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4F9E" w14:textId="77777777" w:rsidR="00BD6A1D" w:rsidRPr="00BD6A1D" w:rsidRDefault="006943C1" w:rsidP="00683232">
      <w:pPr>
        <w:pStyle w:val="Glava"/>
        <w:tabs>
          <w:tab w:val="left" w:pos="5103"/>
        </w:tabs>
        <w:spacing w:line="240" w:lineRule="exact"/>
        <w:rPr>
          <w:rFonts w:cs="Arial"/>
          <w:sz w:val="16"/>
          <w:szCs w:val="16"/>
        </w:rPr>
      </w:pPr>
      <w:r>
        <w:rPr>
          <w:rFonts w:cs="Arial"/>
          <w:sz w:val="16"/>
          <w:szCs w:val="16"/>
        </w:rPr>
        <w:t xml:space="preserve">  </w:t>
      </w:r>
      <w:r w:rsidRPr="006943C1">
        <w:rPr>
          <w:rFonts w:cs="Arial"/>
          <w:sz w:val="16"/>
          <w:szCs w:val="16"/>
        </w:rPr>
        <w:t>Dunajska cesta 21</w:t>
      </w:r>
      <w:r w:rsidR="00BD6A1D" w:rsidRPr="00BD6A1D">
        <w:rPr>
          <w:rFonts w:cs="Arial"/>
          <w:sz w:val="16"/>
          <w:szCs w:val="16"/>
        </w:rPr>
        <w:t>, 1000 Ljubljana</w:t>
      </w:r>
      <w:r w:rsidR="00BD6A1D">
        <w:rPr>
          <w:rFonts w:cs="Arial"/>
          <w:sz w:val="16"/>
          <w:szCs w:val="16"/>
        </w:rPr>
        <w:tab/>
      </w:r>
      <w:r w:rsidR="00BD6A1D">
        <w:rPr>
          <w:rFonts w:cs="Arial"/>
          <w:sz w:val="16"/>
          <w:szCs w:val="16"/>
        </w:rPr>
        <w:tab/>
      </w:r>
      <w:r w:rsidR="00BD6A1D" w:rsidRPr="00BD6A1D">
        <w:rPr>
          <w:rFonts w:cs="Arial"/>
          <w:sz w:val="16"/>
          <w:szCs w:val="16"/>
        </w:rPr>
        <w:t xml:space="preserve">T: 01 369 </w:t>
      </w:r>
      <w:r w:rsidR="00794550">
        <w:rPr>
          <w:rFonts w:cs="Arial"/>
          <w:sz w:val="16"/>
          <w:szCs w:val="16"/>
        </w:rPr>
        <w:t>79 40</w:t>
      </w:r>
    </w:p>
    <w:p w14:paraId="67325B6E" w14:textId="77777777" w:rsidR="00BD6A1D" w:rsidRDefault="00BD6A1D" w:rsidP="00BD6A1D">
      <w:pPr>
        <w:pStyle w:val="Glava"/>
        <w:tabs>
          <w:tab w:val="left" w:pos="5112"/>
        </w:tabs>
        <w:spacing w:line="240" w:lineRule="exact"/>
        <w:ind w:left="5103"/>
        <w:rPr>
          <w:rFonts w:cs="Arial"/>
          <w:sz w:val="16"/>
          <w:szCs w:val="16"/>
        </w:rPr>
      </w:pPr>
      <w:r w:rsidRPr="00BD6A1D">
        <w:rPr>
          <w:rFonts w:cs="Arial"/>
          <w:sz w:val="16"/>
          <w:szCs w:val="16"/>
        </w:rPr>
        <w:tab/>
        <w:t>E: gp.</w:t>
      </w:r>
      <w:r w:rsidR="00683232">
        <w:rPr>
          <w:rFonts w:cs="Arial"/>
          <w:sz w:val="16"/>
          <w:szCs w:val="16"/>
        </w:rPr>
        <w:t>msp</w:t>
      </w:r>
      <w:r w:rsidRPr="00BD6A1D">
        <w:rPr>
          <w:rFonts w:cs="Arial"/>
          <w:sz w:val="16"/>
          <w:szCs w:val="16"/>
        </w:rPr>
        <w:t xml:space="preserve">@gov.si </w:t>
      </w:r>
      <w:hyperlink r:id="rId7" w:history="1">
        <w:r w:rsidR="00683232" w:rsidRPr="00B45898">
          <w:rPr>
            <w:rStyle w:val="Hiperpovezava"/>
            <w:rFonts w:cs="Arial"/>
            <w:sz w:val="16"/>
            <w:szCs w:val="16"/>
          </w:rPr>
          <w:t>www.gov.si</w:t>
        </w:r>
      </w:hyperlink>
    </w:p>
    <w:p w14:paraId="11EA6EB2" w14:textId="66762ABF" w:rsidR="00BD6A1D" w:rsidRDefault="00BD6A1D" w:rsidP="00BD6A1D">
      <w:pPr>
        <w:pStyle w:val="Glava"/>
        <w:tabs>
          <w:tab w:val="left" w:pos="5112"/>
        </w:tabs>
        <w:spacing w:line="240" w:lineRule="exact"/>
        <w:ind w:left="5103"/>
        <w:rPr>
          <w:rFonts w:cs="Arial"/>
          <w:sz w:val="16"/>
          <w:szCs w:val="16"/>
        </w:rPr>
      </w:pPr>
    </w:p>
    <w:p w14:paraId="5E52C424" w14:textId="77777777" w:rsidR="00193301" w:rsidRPr="00BD6A1D" w:rsidRDefault="00193301" w:rsidP="00BD6A1D">
      <w:pPr>
        <w:pStyle w:val="Glava"/>
        <w:tabs>
          <w:tab w:val="left" w:pos="5112"/>
        </w:tabs>
        <w:spacing w:line="240" w:lineRule="exact"/>
        <w:ind w:left="5103"/>
        <w:rPr>
          <w:rFonts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AE1F83" w14:paraId="058AA467" w14:textId="77777777" w:rsidTr="00BD6A1D">
        <w:trPr>
          <w:gridAfter w:val="2"/>
          <w:wAfter w:w="3067" w:type="dxa"/>
        </w:trPr>
        <w:tc>
          <w:tcPr>
            <w:tcW w:w="6096" w:type="dxa"/>
            <w:gridSpan w:val="2"/>
          </w:tcPr>
          <w:p w14:paraId="69A54D12" w14:textId="7800ABE5"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 xml:space="preserve">Številka: </w:t>
            </w:r>
            <w:r w:rsidR="00B90AC1">
              <w:rPr>
                <w:rFonts w:eastAsia="Times New Roman" w:cs="Arial"/>
                <w:szCs w:val="20"/>
                <w:lang w:eastAsia="sl-SI"/>
              </w:rPr>
              <w:t>4101-</w:t>
            </w:r>
            <w:r w:rsidR="00A73CE2">
              <w:rPr>
                <w:rFonts w:eastAsia="Times New Roman" w:cs="Arial"/>
                <w:szCs w:val="20"/>
                <w:lang w:eastAsia="sl-SI"/>
              </w:rPr>
              <w:t>1</w:t>
            </w:r>
            <w:r w:rsidR="00B90AC1">
              <w:rPr>
                <w:rFonts w:eastAsia="Times New Roman" w:cs="Arial"/>
                <w:szCs w:val="20"/>
                <w:lang w:eastAsia="sl-SI"/>
              </w:rPr>
              <w:t>/202</w:t>
            </w:r>
            <w:r w:rsidR="00A73CE2">
              <w:rPr>
                <w:rFonts w:eastAsia="Times New Roman" w:cs="Arial"/>
                <w:szCs w:val="20"/>
                <w:lang w:eastAsia="sl-SI"/>
              </w:rPr>
              <w:t>4</w:t>
            </w:r>
            <w:r w:rsidR="00B90AC1">
              <w:rPr>
                <w:rFonts w:eastAsia="Times New Roman" w:cs="Arial"/>
                <w:szCs w:val="20"/>
                <w:lang w:eastAsia="sl-SI"/>
              </w:rPr>
              <w:t>-2</w:t>
            </w:r>
            <w:r w:rsidR="00A73CE2">
              <w:rPr>
                <w:rFonts w:eastAsia="Times New Roman" w:cs="Arial"/>
                <w:szCs w:val="20"/>
                <w:lang w:eastAsia="sl-SI"/>
              </w:rPr>
              <w:t>720</w:t>
            </w:r>
            <w:r w:rsidR="00B90AC1">
              <w:rPr>
                <w:rFonts w:eastAsia="Times New Roman" w:cs="Arial"/>
                <w:szCs w:val="20"/>
                <w:lang w:eastAsia="sl-SI"/>
              </w:rPr>
              <w:t>-</w:t>
            </w:r>
            <w:r w:rsidR="0020353A">
              <w:rPr>
                <w:rFonts w:eastAsia="Times New Roman" w:cs="Arial"/>
                <w:szCs w:val="20"/>
                <w:lang w:eastAsia="sl-SI"/>
              </w:rPr>
              <w:t>36</w:t>
            </w:r>
          </w:p>
        </w:tc>
      </w:tr>
      <w:tr w:rsidR="00AE1F83" w:rsidRPr="00AE1F83" w14:paraId="324E21C5" w14:textId="77777777" w:rsidTr="00BD6A1D">
        <w:trPr>
          <w:gridAfter w:val="2"/>
          <w:wAfter w:w="3067" w:type="dxa"/>
        </w:trPr>
        <w:tc>
          <w:tcPr>
            <w:tcW w:w="6096" w:type="dxa"/>
            <w:gridSpan w:val="2"/>
          </w:tcPr>
          <w:p w14:paraId="32D1B65F" w14:textId="4F69D199"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szCs w:val="20"/>
                <w:lang w:eastAsia="sl-SI"/>
              </w:rPr>
              <w:t>Ljubljana</w:t>
            </w:r>
            <w:r w:rsidR="00193301">
              <w:rPr>
                <w:rFonts w:eastAsia="Times New Roman" w:cs="Arial"/>
                <w:szCs w:val="20"/>
                <w:lang w:eastAsia="sl-SI"/>
              </w:rPr>
              <w:t xml:space="preserve">, </w:t>
            </w:r>
            <w:r w:rsidR="00916C59">
              <w:rPr>
                <w:rFonts w:eastAsia="Times New Roman" w:cs="Arial"/>
                <w:szCs w:val="20"/>
                <w:lang w:eastAsia="sl-SI"/>
              </w:rPr>
              <w:t>28. 3. 2024</w:t>
            </w:r>
          </w:p>
        </w:tc>
      </w:tr>
      <w:tr w:rsidR="00AE1F83" w:rsidRPr="00AE1F83" w14:paraId="0ED184A8" w14:textId="77777777" w:rsidTr="00BD6A1D">
        <w:trPr>
          <w:gridAfter w:val="2"/>
          <w:wAfter w:w="3067" w:type="dxa"/>
        </w:trPr>
        <w:tc>
          <w:tcPr>
            <w:tcW w:w="6096" w:type="dxa"/>
            <w:gridSpan w:val="2"/>
          </w:tcPr>
          <w:p w14:paraId="7A725270" w14:textId="3D019E16" w:rsidR="00AE1F83" w:rsidRPr="00AE1F83" w:rsidRDefault="00AE1F83" w:rsidP="00AE1F83">
            <w:pPr>
              <w:overflowPunct w:val="0"/>
              <w:autoSpaceDE w:val="0"/>
              <w:autoSpaceDN w:val="0"/>
              <w:adjustRightInd w:val="0"/>
              <w:spacing w:after="0" w:line="260" w:lineRule="exact"/>
              <w:textAlignment w:val="baseline"/>
              <w:rPr>
                <w:rFonts w:eastAsia="Times New Roman" w:cs="Arial"/>
                <w:szCs w:val="20"/>
                <w:lang w:eastAsia="sl-SI"/>
              </w:rPr>
            </w:pPr>
          </w:p>
        </w:tc>
      </w:tr>
      <w:tr w:rsidR="00AE1F83" w:rsidRPr="00AE1F83" w14:paraId="02F3913B" w14:textId="77777777" w:rsidTr="00BD6A1D">
        <w:trPr>
          <w:gridAfter w:val="2"/>
          <w:wAfter w:w="3067" w:type="dxa"/>
        </w:trPr>
        <w:tc>
          <w:tcPr>
            <w:tcW w:w="6096" w:type="dxa"/>
            <w:gridSpan w:val="2"/>
          </w:tcPr>
          <w:p w14:paraId="16DADF26" w14:textId="77777777" w:rsidR="00AE1F83" w:rsidRPr="00AE1F83" w:rsidRDefault="00AE1F83" w:rsidP="00AE1F83">
            <w:pPr>
              <w:spacing w:after="0" w:line="260" w:lineRule="exact"/>
              <w:rPr>
                <w:rFonts w:eastAsia="Times New Roman" w:cs="Arial"/>
                <w:szCs w:val="20"/>
              </w:rPr>
            </w:pPr>
          </w:p>
          <w:p w14:paraId="65AF7E88" w14:textId="77777777" w:rsidR="00AE1F83" w:rsidRPr="00AE1F83" w:rsidRDefault="00AE1F83" w:rsidP="00AE1F83">
            <w:pPr>
              <w:spacing w:after="0" w:line="260" w:lineRule="exact"/>
              <w:rPr>
                <w:rFonts w:eastAsia="Times New Roman" w:cs="Arial"/>
                <w:szCs w:val="20"/>
              </w:rPr>
            </w:pPr>
            <w:r w:rsidRPr="00AE1F83">
              <w:rPr>
                <w:rFonts w:eastAsia="Times New Roman" w:cs="Arial"/>
                <w:szCs w:val="20"/>
              </w:rPr>
              <w:t>GENERALNI SEKRETARIAT VLADE REPUBLIKE SLOVENIJE</w:t>
            </w:r>
          </w:p>
          <w:p w14:paraId="18961D6C" w14:textId="639FF68A" w:rsidR="00AE1F83" w:rsidRPr="00AE1F83" w:rsidRDefault="00000000" w:rsidP="00AE1F83">
            <w:pPr>
              <w:spacing w:after="0" w:line="260" w:lineRule="exact"/>
              <w:rPr>
                <w:rFonts w:eastAsia="Times New Roman" w:cs="Arial"/>
                <w:szCs w:val="20"/>
              </w:rPr>
            </w:pPr>
            <w:hyperlink r:id="rId8" w:history="1">
              <w:r w:rsidR="005A34B6" w:rsidRPr="00DE62E2">
                <w:rPr>
                  <w:rStyle w:val="Hiperpovezava"/>
                </w:rPr>
                <w:t>g</w:t>
              </w:r>
              <w:r w:rsidR="005A34B6" w:rsidRPr="00DE62E2">
                <w:rPr>
                  <w:rStyle w:val="Hiperpovezava"/>
                  <w:rFonts w:eastAsia="Times New Roman"/>
                  <w:szCs w:val="20"/>
                </w:rPr>
                <w:t>p.gs@gov.si</w:t>
              </w:r>
            </w:hyperlink>
          </w:p>
          <w:p w14:paraId="51F36EEE" w14:textId="77777777" w:rsidR="00AE1F83" w:rsidRPr="00AE1F83" w:rsidRDefault="00AE1F83" w:rsidP="00AE1F83">
            <w:pPr>
              <w:spacing w:after="0" w:line="260" w:lineRule="exact"/>
              <w:rPr>
                <w:rFonts w:eastAsia="Times New Roman" w:cs="Arial"/>
                <w:szCs w:val="20"/>
              </w:rPr>
            </w:pPr>
          </w:p>
        </w:tc>
      </w:tr>
      <w:tr w:rsidR="00193301" w:rsidRPr="00AE1F83" w14:paraId="78E7FEDF" w14:textId="77777777" w:rsidTr="00BD6A1D">
        <w:tc>
          <w:tcPr>
            <w:tcW w:w="9163" w:type="dxa"/>
            <w:gridSpan w:val="4"/>
          </w:tcPr>
          <w:p w14:paraId="55174612" w14:textId="73198374" w:rsidR="00193301" w:rsidRPr="00193301" w:rsidRDefault="00193301" w:rsidP="00193301">
            <w:pPr>
              <w:suppressAutoHyphens/>
              <w:overflowPunct w:val="0"/>
              <w:autoSpaceDE w:val="0"/>
              <w:autoSpaceDN w:val="0"/>
              <w:adjustRightInd w:val="0"/>
              <w:spacing w:after="0" w:line="260" w:lineRule="exact"/>
              <w:textAlignment w:val="baseline"/>
              <w:rPr>
                <w:rFonts w:eastAsia="Times New Roman" w:cs="Arial"/>
                <w:b/>
                <w:bCs/>
                <w:szCs w:val="20"/>
                <w:lang w:eastAsia="sl-SI"/>
              </w:rPr>
            </w:pPr>
            <w:r w:rsidRPr="00193301">
              <w:rPr>
                <w:b/>
                <w:bCs/>
                <w:szCs w:val="20"/>
              </w:rPr>
              <w:t xml:space="preserve">ZADEVA: </w:t>
            </w:r>
            <w:r w:rsidR="00CD11A1">
              <w:rPr>
                <w:b/>
                <w:bCs/>
                <w:szCs w:val="20"/>
              </w:rPr>
              <w:t>Ponovna uvrstitev in s</w:t>
            </w:r>
            <w:r w:rsidR="00C51BB7">
              <w:rPr>
                <w:b/>
                <w:bCs/>
                <w:szCs w:val="20"/>
              </w:rPr>
              <w:t xml:space="preserve">prememba izhodiščne vrednosti </w:t>
            </w:r>
            <w:r w:rsidRPr="00193301">
              <w:rPr>
                <w:b/>
                <w:bCs/>
                <w:szCs w:val="20"/>
              </w:rPr>
              <w:t xml:space="preserve">projekta </w:t>
            </w:r>
            <w:r w:rsidR="00CE759D" w:rsidRPr="00CE759D">
              <w:rPr>
                <w:b/>
                <w:bCs/>
                <w:szCs w:val="20"/>
              </w:rPr>
              <w:t>2611-22-09</w:t>
            </w:r>
            <w:r w:rsidR="005849FF">
              <w:rPr>
                <w:b/>
                <w:bCs/>
                <w:szCs w:val="20"/>
              </w:rPr>
              <w:t>0</w:t>
            </w:r>
            <w:r w:rsidR="00CE759D" w:rsidRPr="00CE759D">
              <w:rPr>
                <w:b/>
                <w:bCs/>
                <w:szCs w:val="20"/>
              </w:rPr>
              <w:t xml:space="preserve">2 </w:t>
            </w:r>
            <w:r w:rsidR="005849FF">
              <w:rPr>
                <w:b/>
                <w:bCs/>
                <w:szCs w:val="20"/>
              </w:rPr>
              <w:t xml:space="preserve">- </w:t>
            </w:r>
            <w:r w:rsidR="005849FF" w:rsidRPr="005849FF">
              <w:rPr>
                <w:b/>
                <w:bCs/>
                <w:szCs w:val="20"/>
              </w:rPr>
              <w:t xml:space="preserve">Nadzidava in prizidava </w:t>
            </w:r>
            <w:r w:rsidR="008D3BC5">
              <w:rPr>
                <w:b/>
                <w:bCs/>
                <w:szCs w:val="20"/>
              </w:rPr>
              <w:t xml:space="preserve">- </w:t>
            </w:r>
            <w:r w:rsidR="005849FF" w:rsidRPr="005849FF">
              <w:rPr>
                <w:b/>
                <w:bCs/>
                <w:szCs w:val="20"/>
              </w:rPr>
              <w:t>Dom Poljčane, Slov</w:t>
            </w:r>
            <w:r w:rsidR="00CD11A1">
              <w:rPr>
                <w:b/>
                <w:bCs/>
                <w:szCs w:val="20"/>
              </w:rPr>
              <w:t>.</w:t>
            </w:r>
            <w:r w:rsidR="005849FF" w:rsidRPr="005849FF">
              <w:rPr>
                <w:b/>
                <w:bCs/>
                <w:szCs w:val="20"/>
              </w:rPr>
              <w:t xml:space="preserve"> Bistrica </w:t>
            </w:r>
            <w:r w:rsidRPr="00193301">
              <w:rPr>
                <w:b/>
                <w:bCs/>
                <w:szCs w:val="20"/>
              </w:rPr>
              <w:t>v veljavn</w:t>
            </w:r>
            <w:r w:rsidR="00C51BB7">
              <w:rPr>
                <w:b/>
                <w:bCs/>
                <w:szCs w:val="20"/>
              </w:rPr>
              <w:t>em</w:t>
            </w:r>
            <w:r w:rsidRPr="00193301">
              <w:rPr>
                <w:b/>
                <w:bCs/>
                <w:szCs w:val="20"/>
              </w:rPr>
              <w:t xml:space="preserve"> Načrt</w:t>
            </w:r>
            <w:r w:rsidR="00C51BB7">
              <w:rPr>
                <w:b/>
                <w:bCs/>
                <w:szCs w:val="20"/>
              </w:rPr>
              <w:t>u</w:t>
            </w:r>
            <w:r w:rsidRPr="00193301">
              <w:rPr>
                <w:b/>
                <w:bCs/>
                <w:szCs w:val="20"/>
              </w:rPr>
              <w:t xml:space="preserve"> razvojnih programov za obdobje 202</w:t>
            </w:r>
            <w:r w:rsidR="00A73CE2">
              <w:rPr>
                <w:b/>
                <w:bCs/>
                <w:szCs w:val="20"/>
              </w:rPr>
              <w:t>4</w:t>
            </w:r>
            <w:r w:rsidRPr="00193301">
              <w:rPr>
                <w:b/>
                <w:bCs/>
                <w:szCs w:val="20"/>
              </w:rPr>
              <w:t xml:space="preserve"> – 202</w:t>
            </w:r>
            <w:r w:rsidR="00A73CE2">
              <w:rPr>
                <w:b/>
                <w:bCs/>
                <w:szCs w:val="20"/>
              </w:rPr>
              <w:t>7</w:t>
            </w:r>
            <w:r w:rsidRPr="00193301">
              <w:rPr>
                <w:b/>
                <w:bCs/>
                <w:szCs w:val="20"/>
              </w:rPr>
              <w:t xml:space="preserve"> – gradivo za obravnavo</w:t>
            </w:r>
          </w:p>
        </w:tc>
      </w:tr>
      <w:tr w:rsidR="00193301" w:rsidRPr="00AE1F83" w14:paraId="172409D9" w14:textId="77777777" w:rsidTr="00BD6A1D">
        <w:tc>
          <w:tcPr>
            <w:tcW w:w="9163" w:type="dxa"/>
            <w:gridSpan w:val="4"/>
          </w:tcPr>
          <w:p w14:paraId="7729BC27"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1. Predlog sklepov vlade:</w:t>
            </w:r>
          </w:p>
        </w:tc>
      </w:tr>
      <w:tr w:rsidR="00193301" w:rsidRPr="00AE1F83" w14:paraId="7AF751C0" w14:textId="77777777" w:rsidTr="00BD6A1D">
        <w:tc>
          <w:tcPr>
            <w:tcW w:w="9163" w:type="dxa"/>
            <w:gridSpan w:val="4"/>
          </w:tcPr>
          <w:p w14:paraId="2AEFCE8F" w14:textId="77777777" w:rsidR="00193301" w:rsidRDefault="00193301" w:rsidP="00193301">
            <w:pPr>
              <w:pStyle w:val="Neotevilenodstavek"/>
              <w:rPr>
                <w:iCs/>
                <w:sz w:val="20"/>
                <w:szCs w:val="20"/>
              </w:rPr>
            </w:pPr>
          </w:p>
          <w:p w14:paraId="4CD40C41" w14:textId="5DE20540" w:rsidR="00193301" w:rsidRDefault="00193301" w:rsidP="00193301">
            <w:pPr>
              <w:pStyle w:val="Neotevilenodstavek"/>
              <w:spacing w:before="0" w:after="0" w:line="240" w:lineRule="auto"/>
              <w:rPr>
                <w:iCs/>
                <w:sz w:val="20"/>
                <w:szCs w:val="20"/>
              </w:rPr>
            </w:pPr>
            <w:bookmarkStart w:id="0" w:name="_Hlk144200788"/>
            <w:r w:rsidRPr="00146325">
              <w:rPr>
                <w:iCs/>
                <w:sz w:val="20"/>
                <w:szCs w:val="20"/>
              </w:rPr>
              <w:t xml:space="preserve">Na podlagi petega odstavka 31. člena Zakona o izvrševanju proračunov Republike Slovenije za leti </w:t>
            </w:r>
            <w:r w:rsidR="00A73CE2" w:rsidRPr="00E01998">
              <w:rPr>
                <w:iCs/>
                <w:sz w:val="20"/>
                <w:szCs w:val="20"/>
              </w:rPr>
              <w:t xml:space="preserve">2024 in 2025 (Uradni list RS, št. </w:t>
            </w:r>
            <w:r w:rsidR="00E01998" w:rsidRPr="00E01998">
              <w:rPr>
                <w:iCs/>
                <w:sz w:val="20"/>
                <w:szCs w:val="20"/>
              </w:rPr>
              <w:t xml:space="preserve">123/23 in </w:t>
            </w:r>
            <w:r w:rsidR="00A73CE2" w:rsidRPr="00E01998">
              <w:rPr>
                <w:iCs/>
                <w:sz w:val="20"/>
                <w:szCs w:val="20"/>
              </w:rPr>
              <w:t>12/24)</w:t>
            </w:r>
            <w:r w:rsidR="00A73CE2">
              <w:rPr>
                <w:iCs/>
                <w:sz w:val="20"/>
                <w:szCs w:val="20"/>
              </w:rPr>
              <w:t xml:space="preserve"> </w:t>
            </w:r>
            <w:r w:rsidRPr="00670EE1">
              <w:rPr>
                <w:iCs/>
                <w:sz w:val="20"/>
                <w:szCs w:val="20"/>
              </w:rPr>
              <w:t xml:space="preserve">je Vlada Republike Slovenije na seji dne………………sprejela naslednji </w:t>
            </w:r>
          </w:p>
          <w:bookmarkEnd w:id="0"/>
          <w:p w14:paraId="7DE6FE50" w14:textId="66619FA3" w:rsidR="00193301" w:rsidRDefault="00193301" w:rsidP="00193301">
            <w:pPr>
              <w:pStyle w:val="Neotevilenodstavek"/>
              <w:spacing w:before="0" w:after="0" w:line="240" w:lineRule="auto"/>
              <w:rPr>
                <w:iCs/>
                <w:sz w:val="20"/>
                <w:szCs w:val="20"/>
              </w:rPr>
            </w:pPr>
          </w:p>
          <w:p w14:paraId="4A3629F9" w14:textId="77777777" w:rsidR="00B73FD4" w:rsidRDefault="00B73FD4" w:rsidP="00193301">
            <w:pPr>
              <w:pStyle w:val="Neotevilenodstavek"/>
              <w:spacing w:before="0" w:after="0" w:line="240" w:lineRule="auto"/>
              <w:rPr>
                <w:iCs/>
                <w:sz w:val="20"/>
                <w:szCs w:val="20"/>
              </w:rPr>
            </w:pPr>
          </w:p>
          <w:p w14:paraId="21B74810" w14:textId="77777777" w:rsidR="00193301" w:rsidRDefault="00193301" w:rsidP="00193301">
            <w:pPr>
              <w:pStyle w:val="Neotevilenodstavek"/>
              <w:spacing w:before="0" w:after="0" w:line="240" w:lineRule="auto"/>
              <w:jc w:val="center"/>
              <w:rPr>
                <w:iCs/>
                <w:sz w:val="20"/>
                <w:szCs w:val="20"/>
              </w:rPr>
            </w:pPr>
            <w:r>
              <w:rPr>
                <w:iCs/>
                <w:sz w:val="20"/>
                <w:szCs w:val="20"/>
              </w:rPr>
              <w:t>SKLEP:</w:t>
            </w:r>
          </w:p>
          <w:p w14:paraId="0F54512D" w14:textId="77777777" w:rsidR="00193301" w:rsidRPr="00670EE1" w:rsidRDefault="00193301" w:rsidP="00193301">
            <w:pPr>
              <w:pStyle w:val="Neotevilenodstavek"/>
              <w:spacing w:before="0" w:after="0" w:line="240" w:lineRule="auto"/>
              <w:jc w:val="center"/>
              <w:rPr>
                <w:iCs/>
                <w:sz w:val="20"/>
                <w:szCs w:val="20"/>
              </w:rPr>
            </w:pPr>
          </w:p>
          <w:p w14:paraId="17253B82" w14:textId="4A416C46" w:rsidR="00CE759D" w:rsidRPr="00CE759D" w:rsidRDefault="00193301" w:rsidP="00CE759D">
            <w:pPr>
              <w:jc w:val="both"/>
              <w:rPr>
                <w:rFonts w:eastAsia="Times New Roman"/>
                <w:szCs w:val="24"/>
              </w:rPr>
            </w:pPr>
            <w:bookmarkStart w:id="1" w:name="_Hlk140501287"/>
            <w:r w:rsidRPr="00CC0E41">
              <w:rPr>
                <w:iCs/>
                <w:szCs w:val="20"/>
              </w:rPr>
              <w:t>V veljavn</w:t>
            </w:r>
            <w:r w:rsidR="008D3BC5">
              <w:rPr>
                <w:iCs/>
                <w:szCs w:val="20"/>
              </w:rPr>
              <w:t>i</w:t>
            </w:r>
            <w:r w:rsidRPr="00CC0E41">
              <w:rPr>
                <w:iCs/>
                <w:szCs w:val="20"/>
              </w:rPr>
              <w:t xml:space="preserve"> Načrt razvojnih programov </w:t>
            </w:r>
            <w:r w:rsidRPr="000517DF">
              <w:rPr>
                <w:iCs/>
                <w:szCs w:val="20"/>
              </w:rPr>
              <w:t>202</w:t>
            </w:r>
            <w:r w:rsidR="00A73CE2">
              <w:rPr>
                <w:iCs/>
                <w:szCs w:val="20"/>
              </w:rPr>
              <w:t>4</w:t>
            </w:r>
            <w:r w:rsidRPr="000517DF">
              <w:rPr>
                <w:iCs/>
                <w:szCs w:val="20"/>
              </w:rPr>
              <w:t>–202</w:t>
            </w:r>
            <w:r w:rsidR="00A73CE2">
              <w:rPr>
                <w:iCs/>
                <w:szCs w:val="20"/>
              </w:rPr>
              <w:t>7</w:t>
            </w:r>
            <w:r w:rsidRPr="00CC0E41">
              <w:rPr>
                <w:iCs/>
                <w:szCs w:val="20"/>
              </w:rPr>
              <w:t xml:space="preserve"> se, </w:t>
            </w:r>
            <w:r>
              <w:rPr>
                <w:iCs/>
                <w:szCs w:val="20"/>
              </w:rPr>
              <w:t xml:space="preserve">v skladu </w:t>
            </w:r>
            <w:r w:rsidRPr="00CC0E41">
              <w:rPr>
                <w:iCs/>
                <w:szCs w:val="20"/>
              </w:rPr>
              <w:t xml:space="preserve">s podatki iz priložene tabele, </w:t>
            </w:r>
            <w:r w:rsidR="008D3BC5">
              <w:rPr>
                <w:iCs/>
                <w:szCs w:val="20"/>
              </w:rPr>
              <w:t xml:space="preserve">ponovno uvrsti </w:t>
            </w:r>
            <w:r w:rsidRPr="00CC0E41">
              <w:rPr>
                <w:iCs/>
                <w:szCs w:val="20"/>
              </w:rPr>
              <w:t xml:space="preserve">projekt, ki izhaja iz evidenčnega projekta </w:t>
            </w:r>
            <w:r w:rsidR="00CE759D" w:rsidRPr="00CE759D">
              <w:rPr>
                <w:rFonts w:eastAsia="Times New Roman"/>
                <w:iCs/>
                <w:color w:val="000000"/>
                <w:szCs w:val="20"/>
              </w:rPr>
              <w:t>2611-13-0002 – n</w:t>
            </w:r>
            <w:r w:rsidR="00CE759D" w:rsidRPr="00CE759D">
              <w:rPr>
                <w:rFonts w:eastAsia="Times New Roman"/>
                <w:iCs/>
                <w:szCs w:val="20"/>
              </w:rPr>
              <w:t>ovogradnje, adaptacije, rekonstrukcije, oprema domov za starostnike in SV zavode, in sicer</w:t>
            </w:r>
            <w:r w:rsidR="00CE759D" w:rsidRPr="00CE759D">
              <w:rPr>
                <w:rFonts w:eastAsia="Times New Roman"/>
                <w:iCs/>
                <w:color w:val="000000"/>
                <w:szCs w:val="20"/>
              </w:rPr>
              <w:t xml:space="preserve">: </w:t>
            </w:r>
            <w:r w:rsidR="005849FF" w:rsidRPr="005849FF">
              <w:rPr>
                <w:szCs w:val="20"/>
              </w:rPr>
              <w:t xml:space="preserve">2611-22-0902 - Nadzidava in prizidava </w:t>
            </w:r>
            <w:r w:rsidR="008D3BC5">
              <w:rPr>
                <w:szCs w:val="20"/>
              </w:rPr>
              <w:t xml:space="preserve">- </w:t>
            </w:r>
            <w:r w:rsidR="005849FF" w:rsidRPr="005849FF">
              <w:rPr>
                <w:szCs w:val="20"/>
              </w:rPr>
              <w:t>Dom Poljčane, Slov</w:t>
            </w:r>
            <w:r w:rsidR="008D3BC5">
              <w:rPr>
                <w:szCs w:val="20"/>
              </w:rPr>
              <w:t>.</w:t>
            </w:r>
            <w:r w:rsidR="005849FF" w:rsidRPr="005849FF">
              <w:rPr>
                <w:szCs w:val="20"/>
              </w:rPr>
              <w:t xml:space="preserve"> Bistrica</w:t>
            </w:r>
            <w:r w:rsidR="00CE759D" w:rsidRPr="005849FF">
              <w:rPr>
                <w:rFonts w:eastAsia="Times New Roman"/>
                <w:bCs/>
                <w:iCs/>
                <w:color w:val="000000"/>
                <w:szCs w:val="20"/>
              </w:rPr>
              <w:t>,</w:t>
            </w:r>
            <w:r w:rsidR="00CE759D" w:rsidRPr="00CE759D">
              <w:rPr>
                <w:rFonts w:eastAsia="Times New Roman"/>
                <w:b/>
                <w:iCs/>
                <w:color w:val="000000"/>
                <w:szCs w:val="20"/>
              </w:rPr>
              <w:t xml:space="preserve"> </w:t>
            </w:r>
            <w:r w:rsidR="00CE759D" w:rsidRPr="00CE759D">
              <w:rPr>
                <w:rFonts w:eastAsia="Times New Roman"/>
                <w:iCs/>
                <w:color w:val="000000"/>
                <w:szCs w:val="20"/>
              </w:rPr>
              <w:t>ki spada v skupino projektov, 2611-11-S018 – Izvajanje enovitega sistema dolgotrajne oskrbe</w:t>
            </w:r>
            <w:r w:rsidR="008D3BC5">
              <w:rPr>
                <w:rFonts w:eastAsia="Times New Roman"/>
                <w:iCs/>
                <w:color w:val="000000"/>
                <w:szCs w:val="20"/>
              </w:rPr>
              <w:t>, ter</w:t>
            </w:r>
            <w:r w:rsidR="008D3BC5">
              <w:rPr>
                <w:iCs/>
                <w:szCs w:val="20"/>
              </w:rPr>
              <w:t xml:space="preserve"> spremeni njegova izhodiščna vrednost.</w:t>
            </w:r>
          </w:p>
          <w:bookmarkEnd w:id="1"/>
          <w:p w14:paraId="474CFD4A" w14:textId="77777777" w:rsidR="00B73FD4" w:rsidRPr="008676A5" w:rsidRDefault="00B73FD4" w:rsidP="00B73FD4">
            <w:pPr>
              <w:pStyle w:val="Neotevilenodstavek"/>
              <w:textAlignment w:val="auto"/>
              <w:rPr>
                <w:iCs/>
                <w:color w:val="000000"/>
                <w:sz w:val="20"/>
                <w:szCs w:val="20"/>
              </w:rPr>
            </w:pPr>
          </w:p>
          <w:p w14:paraId="45D4BC57" w14:textId="77777777" w:rsidR="00193301" w:rsidRPr="00670EE1" w:rsidRDefault="00193301" w:rsidP="00193301">
            <w:pPr>
              <w:pStyle w:val="Neotevilenodstavek"/>
              <w:rPr>
                <w:iCs/>
                <w:sz w:val="20"/>
                <w:szCs w:val="20"/>
              </w:rPr>
            </w:pPr>
          </w:p>
          <w:p w14:paraId="0D4A26C2" w14:textId="77777777" w:rsidR="00193301" w:rsidRPr="00670EE1" w:rsidRDefault="00193301" w:rsidP="00193301">
            <w:pPr>
              <w:pStyle w:val="Neotevilenodstavek"/>
              <w:rPr>
                <w:iCs/>
                <w:sz w:val="20"/>
                <w:szCs w:val="20"/>
              </w:rPr>
            </w:pPr>
            <w:r w:rsidRPr="00670EE1">
              <w:rPr>
                <w:iCs/>
                <w:sz w:val="20"/>
                <w:szCs w:val="20"/>
              </w:rPr>
              <w:t>Številka:</w:t>
            </w:r>
          </w:p>
          <w:p w14:paraId="70BD8916" w14:textId="77777777" w:rsidR="00193301" w:rsidRPr="00670EE1" w:rsidRDefault="00193301" w:rsidP="00193301">
            <w:pPr>
              <w:pStyle w:val="Neotevilenodstavek"/>
              <w:rPr>
                <w:iCs/>
                <w:sz w:val="20"/>
                <w:szCs w:val="20"/>
              </w:rPr>
            </w:pPr>
            <w:r w:rsidRPr="00670EE1">
              <w:rPr>
                <w:iCs/>
                <w:sz w:val="20"/>
                <w:szCs w:val="20"/>
              </w:rPr>
              <w:t>V Ljubljani, dne</w:t>
            </w:r>
          </w:p>
          <w:p w14:paraId="3240FC11" w14:textId="77777777" w:rsidR="00193301" w:rsidRPr="00670EE1" w:rsidRDefault="00193301" w:rsidP="00193301">
            <w:pPr>
              <w:pStyle w:val="Neotevilenodstavek"/>
              <w:rPr>
                <w:iCs/>
                <w:sz w:val="20"/>
                <w:szCs w:val="20"/>
              </w:rPr>
            </w:pPr>
          </w:p>
          <w:p w14:paraId="0212E163" w14:textId="77777777" w:rsidR="00193301" w:rsidRPr="00875E9F" w:rsidRDefault="00193301" w:rsidP="00193301">
            <w:pPr>
              <w:pStyle w:val="Neotevilenodstavek"/>
              <w:rPr>
                <w:iCs/>
                <w:sz w:val="20"/>
                <w:szCs w:val="20"/>
                <w:highlight w:val="yellow"/>
              </w:rPr>
            </w:pPr>
            <w:r w:rsidRPr="00670EE1">
              <w:rPr>
                <w:iCs/>
                <w:sz w:val="20"/>
                <w:szCs w:val="20"/>
              </w:rPr>
              <w:t xml:space="preserve">                                                                                       </w:t>
            </w:r>
            <w:r>
              <w:rPr>
                <w:iCs/>
                <w:sz w:val="20"/>
                <w:szCs w:val="20"/>
              </w:rPr>
              <w:t>Barbara Kolenko Helbl</w:t>
            </w:r>
          </w:p>
          <w:p w14:paraId="295D31D6" w14:textId="77777777" w:rsidR="00193301" w:rsidRPr="00670EE1" w:rsidRDefault="00193301" w:rsidP="00193301">
            <w:pPr>
              <w:pStyle w:val="Neotevilenodstavek"/>
              <w:rPr>
                <w:iCs/>
                <w:sz w:val="20"/>
                <w:szCs w:val="20"/>
              </w:rPr>
            </w:pPr>
            <w:r w:rsidRPr="00C73D98">
              <w:rPr>
                <w:iCs/>
                <w:sz w:val="20"/>
                <w:szCs w:val="20"/>
              </w:rPr>
              <w:t xml:space="preserve">                                                                                      </w:t>
            </w:r>
            <w:r>
              <w:rPr>
                <w:iCs/>
                <w:sz w:val="20"/>
                <w:szCs w:val="20"/>
              </w:rPr>
              <w:t xml:space="preserve"> </w:t>
            </w:r>
            <w:r w:rsidRPr="00C73D98">
              <w:rPr>
                <w:iCs/>
                <w:sz w:val="20"/>
                <w:szCs w:val="20"/>
              </w:rPr>
              <w:t>generaln</w:t>
            </w:r>
            <w:r>
              <w:rPr>
                <w:iCs/>
                <w:sz w:val="20"/>
                <w:szCs w:val="20"/>
              </w:rPr>
              <w:t>a</w:t>
            </w:r>
            <w:r w:rsidRPr="00C73D98">
              <w:rPr>
                <w:iCs/>
                <w:sz w:val="20"/>
                <w:szCs w:val="20"/>
              </w:rPr>
              <w:t xml:space="preserve"> sekretar</w:t>
            </w:r>
            <w:r>
              <w:rPr>
                <w:iCs/>
                <w:sz w:val="20"/>
                <w:szCs w:val="20"/>
              </w:rPr>
              <w:t>ka</w:t>
            </w:r>
          </w:p>
          <w:p w14:paraId="774DB249" w14:textId="77777777" w:rsidR="00193301" w:rsidRPr="00670EE1" w:rsidRDefault="00193301" w:rsidP="00193301">
            <w:pPr>
              <w:pStyle w:val="Neotevilenodstavek"/>
              <w:rPr>
                <w:iCs/>
                <w:sz w:val="20"/>
                <w:szCs w:val="20"/>
              </w:rPr>
            </w:pPr>
          </w:p>
          <w:p w14:paraId="7ABD9FAA" w14:textId="77777777" w:rsidR="00193301" w:rsidRPr="00670EE1" w:rsidRDefault="00193301" w:rsidP="00193301">
            <w:pPr>
              <w:pStyle w:val="Neotevilenodstavek"/>
              <w:rPr>
                <w:iCs/>
                <w:sz w:val="20"/>
                <w:szCs w:val="20"/>
              </w:rPr>
            </w:pPr>
          </w:p>
          <w:p w14:paraId="57A3346B" w14:textId="77777777" w:rsidR="00193301" w:rsidRPr="00670EE1" w:rsidRDefault="00193301" w:rsidP="00193301">
            <w:pPr>
              <w:pStyle w:val="Neotevilenodstavek"/>
              <w:rPr>
                <w:iCs/>
                <w:sz w:val="20"/>
                <w:szCs w:val="20"/>
              </w:rPr>
            </w:pPr>
          </w:p>
          <w:p w14:paraId="2B1EC9DC" w14:textId="77777777" w:rsidR="00193301" w:rsidRPr="00670EE1" w:rsidRDefault="00193301" w:rsidP="00193301">
            <w:pPr>
              <w:keepLines/>
              <w:rPr>
                <w:rFonts w:cs="Arial"/>
                <w:bCs/>
                <w:szCs w:val="20"/>
              </w:rPr>
            </w:pPr>
            <w:r w:rsidRPr="00670EE1">
              <w:rPr>
                <w:rFonts w:cs="Arial"/>
                <w:bCs/>
                <w:szCs w:val="20"/>
              </w:rPr>
              <w:t>Prejme</w:t>
            </w:r>
            <w:r>
              <w:rPr>
                <w:rFonts w:cs="Arial"/>
                <w:bCs/>
                <w:szCs w:val="20"/>
              </w:rPr>
              <w:t>ta</w:t>
            </w:r>
            <w:r w:rsidRPr="00670EE1">
              <w:rPr>
                <w:rFonts w:cs="Arial"/>
                <w:bCs/>
                <w:szCs w:val="20"/>
              </w:rPr>
              <w:t>:</w:t>
            </w:r>
          </w:p>
          <w:p w14:paraId="5732C05B" w14:textId="7070AD25" w:rsidR="00193301" w:rsidRPr="00670EE1" w:rsidRDefault="00193301" w:rsidP="00193301">
            <w:pPr>
              <w:pStyle w:val="Odstavekseznama"/>
              <w:keepLines/>
              <w:numPr>
                <w:ilvl w:val="0"/>
                <w:numId w:val="12"/>
              </w:numPr>
              <w:spacing w:line="260" w:lineRule="exact"/>
              <w:contextualSpacing/>
              <w:rPr>
                <w:rFonts w:ascii="Arial" w:hAnsi="Arial" w:cs="Arial"/>
                <w:bCs/>
                <w:sz w:val="20"/>
                <w:szCs w:val="20"/>
              </w:rPr>
            </w:pPr>
            <w:r w:rsidRPr="00670EE1">
              <w:rPr>
                <w:rFonts w:ascii="Arial" w:hAnsi="Arial" w:cs="Arial"/>
                <w:bCs/>
                <w:sz w:val="20"/>
                <w:szCs w:val="20"/>
              </w:rPr>
              <w:t xml:space="preserve">Ministrstvo za </w:t>
            </w:r>
            <w:r w:rsidR="0047112A">
              <w:rPr>
                <w:rFonts w:ascii="Arial" w:hAnsi="Arial" w:cs="Arial"/>
                <w:bCs/>
                <w:sz w:val="20"/>
                <w:szCs w:val="20"/>
              </w:rPr>
              <w:t>solidarno prihodnost</w:t>
            </w:r>
            <w:r w:rsidRPr="00670EE1">
              <w:rPr>
                <w:rFonts w:ascii="Arial" w:hAnsi="Arial" w:cs="Arial"/>
                <w:bCs/>
                <w:sz w:val="20"/>
                <w:szCs w:val="20"/>
              </w:rPr>
              <w:t>,</w:t>
            </w:r>
          </w:p>
          <w:p w14:paraId="1551B772" w14:textId="510A4F2E" w:rsidR="00193301" w:rsidRPr="00AE1F83" w:rsidRDefault="00193301" w:rsidP="00193301">
            <w:pPr>
              <w:numPr>
                <w:ilvl w:val="0"/>
                <w:numId w:val="12"/>
              </w:numPr>
              <w:overflowPunct w:val="0"/>
              <w:autoSpaceDE w:val="0"/>
              <w:autoSpaceDN w:val="0"/>
              <w:adjustRightInd w:val="0"/>
              <w:spacing w:after="0" w:line="260" w:lineRule="exact"/>
              <w:jc w:val="both"/>
              <w:textAlignment w:val="baseline"/>
              <w:rPr>
                <w:rFonts w:eastAsia="Times New Roman" w:cs="Arial"/>
                <w:iCs/>
                <w:szCs w:val="20"/>
                <w:lang w:eastAsia="sl-SI"/>
              </w:rPr>
            </w:pPr>
            <w:r w:rsidRPr="00670EE1">
              <w:rPr>
                <w:rFonts w:cs="Arial"/>
                <w:bCs/>
                <w:szCs w:val="20"/>
              </w:rPr>
              <w:t>Ministrstvo za finance.</w:t>
            </w:r>
          </w:p>
        </w:tc>
      </w:tr>
      <w:tr w:rsidR="00193301" w:rsidRPr="00AE1F83" w14:paraId="3B16B4BD" w14:textId="77777777" w:rsidTr="00BD6A1D">
        <w:tc>
          <w:tcPr>
            <w:tcW w:w="9163" w:type="dxa"/>
            <w:gridSpan w:val="4"/>
          </w:tcPr>
          <w:p w14:paraId="7D081B92"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2. Predlog za obravnavo predloga zakona po nujnem ali skrajšanem postopku v državnem zboru z obrazložitvijo razlogov:</w:t>
            </w:r>
          </w:p>
        </w:tc>
      </w:tr>
      <w:tr w:rsidR="00193301" w:rsidRPr="00AE1F83" w14:paraId="078864DE" w14:textId="77777777" w:rsidTr="00BD6A1D">
        <w:tc>
          <w:tcPr>
            <w:tcW w:w="9163" w:type="dxa"/>
            <w:gridSpan w:val="4"/>
          </w:tcPr>
          <w:p w14:paraId="71208482" w14:textId="4EEAEA5E"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0687AD67" w14:textId="77777777" w:rsidTr="00BD6A1D">
        <w:tc>
          <w:tcPr>
            <w:tcW w:w="9163" w:type="dxa"/>
            <w:gridSpan w:val="4"/>
          </w:tcPr>
          <w:p w14:paraId="16925305"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3.a Osebe, odgovorne za strokovno pripravo in usklajenost gradiva:</w:t>
            </w:r>
          </w:p>
        </w:tc>
      </w:tr>
      <w:tr w:rsidR="00193301" w:rsidRPr="00AE1F83" w14:paraId="004E8AE2" w14:textId="77777777" w:rsidTr="00BD6A1D">
        <w:tc>
          <w:tcPr>
            <w:tcW w:w="9163" w:type="dxa"/>
            <w:gridSpan w:val="4"/>
          </w:tcPr>
          <w:p w14:paraId="2963D43B" w14:textId="55B03D19" w:rsidR="00193301"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193301">
              <w:rPr>
                <w:rFonts w:eastAsia="Times New Roman" w:cs="Arial"/>
                <w:iCs/>
                <w:szCs w:val="20"/>
                <w:lang w:eastAsia="sl-SI"/>
              </w:rPr>
              <w:t>An</w:t>
            </w:r>
            <w:r w:rsidR="00DF7F66">
              <w:rPr>
                <w:rFonts w:eastAsia="Times New Roman" w:cs="Arial"/>
                <w:iCs/>
                <w:szCs w:val="20"/>
                <w:lang w:eastAsia="sl-SI"/>
              </w:rPr>
              <w:t>a Černe</w:t>
            </w:r>
            <w:r w:rsidRPr="00193301">
              <w:rPr>
                <w:rFonts w:eastAsia="Times New Roman" w:cs="Arial"/>
                <w:iCs/>
                <w:szCs w:val="20"/>
                <w:lang w:eastAsia="sl-SI"/>
              </w:rPr>
              <w:t xml:space="preserve">, </w:t>
            </w:r>
            <w:r w:rsidR="00DF7F66">
              <w:rPr>
                <w:rFonts w:eastAsia="Times New Roman" w:cs="Arial"/>
                <w:iCs/>
                <w:szCs w:val="20"/>
                <w:lang w:eastAsia="sl-SI"/>
              </w:rPr>
              <w:t xml:space="preserve">v. d. </w:t>
            </w:r>
            <w:r w:rsidRPr="00193301">
              <w:rPr>
                <w:rFonts w:eastAsia="Times New Roman" w:cs="Arial"/>
                <w:iCs/>
                <w:szCs w:val="20"/>
                <w:lang w:eastAsia="sl-SI"/>
              </w:rPr>
              <w:t>generaln</w:t>
            </w:r>
            <w:r w:rsidR="00DF7F66">
              <w:rPr>
                <w:rFonts w:eastAsia="Times New Roman" w:cs="Arial"/>
                <w:iCs/>
                <w:szCs w:val="20"/>
                <w:lang w:eastAsia="sl-SI"/>
              </w:rPr>
              <w:t>e</w:t>
            </w:r>
            <w:r w:rsidRPr="00193301">
              <w:rPr>
                <w:rFonts w:eastAsia="Times New Roman" w:cs="Arial"/>
                <w:iCs/>
                <w:szCs w:val="20"/>
                <w:lang w:eastAsia="sl-SI"/>
              </w:rPr>
              <w:t xml:space="preserve"> </w:t>
            </w:r>
            <w:r>
              <w:rPr>
                <w:rFonts w:eastAsia="Times New Roman" w:cs="Arial"/>
                <w:iCs/>
                <w:szCs w:val="20"/>
                <w:lang w:eastAsia="sl-SI"/>
              </w:rPr>
              <w:t>sekretar</w:t>
            </w:r>
            <w:r w:rsidR="00DF7F66">
              <w:rPr>
                <w:rFonts w:eastAsia="Times New Roman" w:cs="Arial"/>
                <w:iCs/>
                <w:szCs w:val="20"/>
                <w:lang w:eastAsia="sl-SI"/>
              </w:rPr>
              <w:t>ke</w:t>
            </w:r>
          </w:p>
          <w:p w14:paraId="1E13FFF1" w14:textId="42A0D2D1" w:rsidR="00193301" w:rsidRPr="00AE1F83" w:rsidRDefault="00DF7F66" w:rsidP="00DF7F66">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Lidija Kodrič Vuk, vodja Službe za investicije Sekretariatu</w:t>
            </w:r>
          </w:p>
        </w:tc>
      </w:tr>
      <w:tr w:rsidR="00193301" w:rsidRPr="00AE1F83" w14:paraId="1533FA07" w14:textId="77777777" w:rsidTr="00BD6A1D">
        <w:tc>
          <w:tcPr>
            <w:tcW w:w="9163" w:type="dxa"/>
            <w:gridSpan w:val="4"/>
          </w:tcPr>
          <w:p w14:paraId="6032BAC5"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iCs/>
                <w:szCs w:val="20"/>
                <w:lang w:eastAsia="sl-SI"/>
              </w:rPr>
              <w:t xml:space="preserve">3.b Zunanji strokovnjaki, ki so </w:t>
            </w:r>
            <w:r w:rsidRPr="00AE1F83">
              <w:rPr>
                <w:rFonts w:eastAsia="Times New Roman" w:cs="Arial"/>
                <w:b/>
                <w:szCs w:val="20"/>
                <w:lang w:eastAsia="sl-SI"/>
              </w:rPr>
              <w:t>sodelovali pri pripravi dela ali celotnega gradiva:</w:t>
            </w:r>
          </w:p>
        </w:tc>
      </w:tr>
      <w:tr w:rsidR="00193301" w:rsidRPr="00AE1F83" w14:paraId="5D99A4F5" w14:textId="77777777" w:rsidTr="00BD6A1D">
        <w:tc>
          <w:tcPr>
            <w:tcW w:w="9163" w:type="dxa"/>
            <w:gridSpan w:val="4"/>
          </w:tcPr>
          <w:p w14:paraId="05385821" w14:textId="625C81C6"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Pr>
                <w:rFonts w:eastAsia="Times New Roman" w:cs="Arial"/>
                <w:iCs/>
                <w:szCs w:val="20"/>
                <w:lang w:eastAsia="sl-SI"/>
              </w:rPr>
              <w:t>/</w:t>
            </w:r>
          </w:p>
        </w:tc>
      </w:tr>
      <w:tr w:rsidR="00193301" w:rsidRPr="00AE1F83" w14:paraId="1EFC6760" w14:textId="77777777" w:rsidTr="00BD6A1D">
        <w:tc>
          <w:tcPr>
            <w:tcW w:w="9163" w:type="dxa"/>
            <w:gridSpan w:val="4"/>
          </w:tcPr>
          <w:p w14:paraId="6A5A22F8"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iCs/>
                <w:szCs w:val="20"/>
                <w:lang w:eastAsia="sl-SI"/>
              </w:rPr>
            </w:pPr>
            <w:r w:rsidRPr="00AE1F83">
              <w:rPr>
                <w:rFonts w:eastAsia="Times New Roman" w:cs="Arial"/>
                <w:b/>
                <w:szCs w:val="20"/>
                <w:lang w:eastAsia="sl-SI"/>
              </w:rPr>
              <w:t>4. Predstavniki vlade, ki bodo sodelovali pri delu državnega zbora:</w:t>
            </w:r>
          </w:p>
        </w:tc>
      </w:tr>
      <w:tr w:rsidR="00193301" w:rsidRPr="00AE1F83" w14:paraId="024CDEC1" w14:textId="77777777" w:rsidTr="00BD6A1D">
        <w:tc>
          <w:tcPr>
            <w:tcW w:w="9163" w:type="dxa"/>
            <w:gridSpan w:val="4"/>
          </w:tcPr>
          <w:p w14:paraId="54169B33" w14:textId="0E0DD32E"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
                <w:szCs w:val="20"/>
                <w:lang w:eastAsia="sl-SI"/>
              </w:rPr>
            </w:pPr>
            <w:r>
              <w:rPr>
                <w:rFonts w:eastAsia="Times New Roman" w:cs="Arial"/>
                <w:iCs/>
                <w:szCs w:val="20"/>
                <w:lang w:eastAsia="sl-SI"/>
              </w:rPr>
              <w:t>/</w:t>
            </w:r>
          </w:p>
        </w:tc>
      </w:tr>
      <w:tr w:rsidR="00193301" w:rsidRPr="00AE1F83" w14:paraId="56B22850" w14:textId="77777777" w:rsidTr="00BD6A1D">
        <w:tc>
          <w:tcPr>
            <w:tcW w:w="9163" w:type="dxa"/>
            <w:gridSpan w:val="4"/>
          </w:tcPr>
          <w:p w14:paraId="5A0A42D1"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lastRenderedPageBreak/>
              <w:t>5. Kratek povzetek gradiva:</w:t>
            </w:r>
          </w:p>
        </w:tc>
      </w:tr>
      <w:tr w:rsidR="00193301" w:rsidRPr="00AE1F83" w14:paraId="179E7059" w14:textId="77777777" w:rsidTr="00BD6A1D">
        <w:tc>
          <w:tcPr>
            <w:tcW w:w="9163" w:type="dxa"/>
            <w:gridSpan w:val="4"/>
          </w:tcPr>
          <w:p w14:paraId="0F6D2DB9" w14:textId="4A643CD8" w:rsidR="005849FF" w:rsidRDefault="005849FF" w:rsidP="00352562">
            <w:pPr>
              <w:tabs>
                <w:tab w:val="left" w:pos="1701"/>
              </w:tabs>
              <w:spacing w:after="0" w:line="264" w:lineRule="auto"/>
              <w:jc w:val="both"/>
              <w:rPr>
                <w:rFonts w:eastAsia="Times New Roman"/>
                <w:iCs/>
                <w:szCs w:val="20"/>
              </w:rPr>
            </w:pPr>
            <w:r w:rsidRPr="00E857DF">
              <w:rPr>
                <w:rFonts w:eastAsia="Times New Roman"/>
                <w:iCs/>
                <w:szCs w:val="20"/>
              </w:rPr>
              <w:t xml:space="preserve">Gradivo se nanaša na nadzidavo in prizidavo Doma dr. Jožeta Potrča Poljčane, enota Slovenska Bistrica. Ocenjena vrednost investicije znaša </w:t>
            </w:r>
            <w:r w:rsidR="00E857DF" w:rsidRPr="00E857DF">
              <w:rPr>
                <w:rFonts w:eastAsia="Times New Roman"/>
                <w:iCs/>
                <w:szCs w:val="20"/>
              </w:rPr>
              <w:t>6</w:t>
            </w:r>
            <w:r w:rsidRPr="00E857DF">
              <w:rPr>
                <w:rFonts w:eastAsia="Times New Roman"/>
                <w:iCs/>
                <w:szCs w:val="20"/>
              </w:rPr>
              <w:t>.</w:t>
            </w:r>
            <w:r w:rsidR="00E857DF" w:rsidRPr="00E857DF">
              <w:rPr>
                <w:rFonts w:eastAsia="Times New Roman"/>
                <w:iCs/>
                <w:szCs w:val="20"/>
              </w:rPr>
              <w:t>1</w:t>
            </w:r>
            <w:r w:rsidR="00DF7F66">
              <w:rPr>
                <w:rFonts w:eastAsia="Times New Roman"/>
                <w:iCs/>
                <w:szCs w:val="20"/>
              </w:rPr>
              <w:t>73</w:t>
            </w:r>
            <w:r w:rsidRPr="00E857DF">
              <w:rPr>
                <w:rFonts w:eastAsia="Times New Roman"/>
                <w:iCs/>
                <w:szCs w:val="20"/>
              </w:rPr>
              <w:t>.</w:t>
            </w:r>
            <w:r w:rsidR="00DF7F66">
              <w:rPr>
                <w:rFonts w:eastAsia="Times New Roman"/>
                <w:iCs/>
                <w:szCs w:val="20"/>
              </w:rPr>
              <w:t>283</w:t>
            </w:r>
            <w:r w:rsidR="00E857DF" w:rsidRPr="00E857DF">
              <w:rPr>
                <w:rFonts w:eastAsia="Times New Roman"/>
                <w:iCs/>
                <w:szCs w:val="20"/>
              </w:rPr>
              <w:t>,1</w:t>
            </w:r>
            <w:r w:rsidR="00DF7F66">
              <w:rPr>
                <w:rFonts w:eastAsia="Times New Roman"/>
                <w:iCs/>
                <w:szCs w:val="20"/>
              </w:rPr>
              <w:t>5</w:t>
            </w:r>
            <w:r w:rsidRPr="00E857DF">
              <w:rPr>
                <w:rFonts w:eastAsia="Times New Roman"/>
                <w:iCs/>
                <w:szCs w:val="20"/>
              </w:rPr>
              <w:t xml:space="preserve"> EUR z DDV. Priprave na investicijo so se začele v letu 2021 </w:t>
            </w:r>
            <w:r w:rsidR="00E857DF" w:rsidRPr="00E857DF">
              <w:rPr>
                <w:rFonts w:eastAsia="Times New Roman"/>
                <w:iCs/>
                <w:szCs w:val="20"/>
              </w:rPr>
              <w:t xml:space="preserve">in 2022 </w:t>
            </w:r>
            <w:r w:rsidRPr="00E857DF">
              <w:rPr>
                <w:rFonts w:eastAsia="Times New Roman"/>
                <w:iCs/>
                <w:szCs w:val="20"/>
              </w:rPr>
              <w:t>(priprava investicijske dokumentacije), gradbena dela pa se bo izvajala v letih 202</w:t>
            </w:r>
            <w:r w:rsidR="00E857DF" w:rsidRPr="00E857DF">
              <w:rPr>
                <w:rFonts w:eastAsia="Times New Roman"/>
                <w:iCs/>
                <w:szCs w:val="20"/>
              </w:rPr>
              <w:t>3, 2024 in</w:t>
            </w:r>
            <w:r w:rsidRPr="00E857DF">
              <w:rPr>
                <w:rFonts w:eastAsia="Times New Roman"/>
                <w:iCs/>
                <w:szCs w:val="20"/>
              </w:rPr>
              <w:t xml:space="preserve"> 202</w:t>
            </w:r>
            <w:r w:rsidR="00E857DF">
              <w:rPr>
                <w:rFonts w:eastAsia="Times New Roman"/>
                <w:iCs/>
                <w:szCs w:val="20"/>
              </w:rPr>
              <w:t>5</w:t>
            </w:r>
            <w:r w:rsidRPr="005849FF">
              <w:rPr>
                <w:rFonts w:eastAsia="Times New Roman"/>
                <w:iCs/>
                <w:szCs w:val="20"/>
              </w:rPr>
              <w:t xml:space="preserve">. </w:t>
            </w:r>
            <w:r w:rsidR="00E857DF" w:rsidRPr="00E857DF">
              <w:rPr>
                <w:rFonts w:eastAsia="Times New Roman"/>
                <w:iCs/>
                <w:szCs w:val="20"/>
              </w:rPr>
              <w:t xml:space="preserve">Z izvedbo investicije bo pridobljenih 76 novih mest, s čimer </w:t>
            </w:r>
            <w:r w:rsidRPr="005849FF">
              <w:rPr>
                <w:rFonts w:eastAsia="Times New Roman"/>
                <w:iCs/>
                <w:szCs w:val="20"/>
              </w:rPr>
              <w:t>bo zagotovljena ustrezna socialnovarstvena infrastruktura, ki bo sledila demografskim trendom in omogočala kakovostno skrb za starostnike, zmanjšala število čakajočih za sprejem v oskrbo ter pripomogla k dvigu kakovosti družbenega okolja.</w:t>
            </w:r>
            <w:r>
              <w:rPr>
                <w:rFonts w:eastAsia="Times New Roman"/>
                <w:iCs/>
                <w:szCs w:val="20"/>
              </w:rPr>
              <w:t xml:space="preserve"> </w:t>
            </w:r>
          </w:p>
          <w:p w14:paraId="0BC1747C" w14:textId="1998A135" w:rsidR="00352562" w:rsidRPr="00471CE6" w:rsidRDefault="00352562" w:rsidP="00352562">
            <w:pPr>
              <w:tabs>
                <w:tab w:val="left" w:pos="1701"/>
              </w:tabs>
              <w:spacing w:after="0" w:line="264" w:lineRule="auto"/>
              <w:jc w:val="both"/>
              <w:rPr>
                <w:rFonts w:cs="Arial"/>
                <w:szCs w:val="20"/>
              </w:rPr>
            </w:pPr>
            <w:r w:rsidRPr="00B90AC1">
              <w:rPr>
                <w:rFonts w:eastAsia="Times New Roman" w:cs="Arial"/>
                <w:bCs/>
                <w:szCs w:val="20"/>
              </w:rPr>
              <w:t>Na podlagi Zakona o spremembah in dopolnitvah Zakona o državni upravi (Uradni list RS, št. 18/23) se je z dnem 14. 2. 2023 opravljanje nalog na področju socialnega varstva v delu, ki se nanaša na institucionalno varstvo, preneslo v pristojnost Ministrstva za solidarno prihodnost (v nadaljevanju: ministrstvo).</w:t>
            </w:r>
            <w:r w:rsidRPr="00352562">
              <w:rPr>
                <w:rFonts w:eastAsia="Times New Roman" w:cs="Arial"/>
                <w:bCs/>
                <w:szCs w:val="20"/>
              </w:rPr>
              <w:t xml:space="preserve"> </w:t>
            </w:r>
          </w:p>
        </w:tc>
      </w:tr>
      <w:tr w:rsidR="00193301" w:rsidRPr="00AE1F83" w14:paraId="6557C882" w14:textId="77777777" w:rsidTr="00BD6A1D">
        <w:tc>
          <w:tcPr>
            <w:tcW w:w="9163" w:type="dxa"/>
            <w:gridSpan w:val="4"/>
          </w:tcPr>
          <w:p w14:paraId="3448BBC2" w14:textId="77777777" w:rsidR="00193301" w:rsidRPr="00AE1F83" w:rsidRDefault="00193301" w:rsidP="00193301">
            <w:pPr>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6. Presoja posledic za:</w:t>
            </w:r>
          </w:p>
        </w:tc>
      </w:tr>
      <w:tr w:rsidR="00193301" w:rsidRPr="00AE1F83" w14:paraId="613E88F3" w14:textId="77777777" w:rsidTr="00BD6A1D">
        <w:tc>
          <w:tcPr>
            <w:tcW w:w="1448" w:type="dxa"/>
          </w:tcPr>
          <w:p w14:paraId="73B4048E"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a)</w:t>
            </w:r>
          </w:p>
        </w:tc>
        <w:tc>
          <w:tcPr>
            <w:tcW w:w="5444" w:type="dxa"/>
            <w:gridSpan w:val="2"/>
          </w:tcPr>
          <w:p w14:paraId="5C1FB9EA"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szCs w:val="20"/>
                <w:lang w:eastAsia="sl-SI"/>
              </w:rPr>
              <w:t>javnofinančna sredstva nad 40.000 EUR v tekočem in naslednjih treh letih</w:t>
            </w:r>
          </w:p>
        </w:tc>
        <w:tc>
          <w:tcPr>
            <w:tcW w:w="2271" w:type="dxa"/>
            <w:vAlign w:val="center"/>
          </w:tcPr>
          <w:p w14:paraId="482C2970"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193301">
              <w:rPr>
                <w:rFonts w:eastAsia="Times New Roman" w:cs="Arial"/>
                <w:b/>
                <w:bCs/>
                <w:szCs w:val="20"/>
                <w:lang w:eastAsia="sl-SI"/>
              </w:rPr>
              <w:t>DA</w:t>
            </w:r>
            <w:r w:rsidRPr="00AE1F83">
              <w:rPr>
                <w:rFonts w:eastAsia="Times New Roman" w:cs="Arial"/>
                <w:szCs w:val="20"/>
                <w:lang w:eastAsia="sl-SI"/>
              </w:rPr>
              <w:t>/NE</w:t>
            </w:r>
          </w:p>
        </w:tc>
      </w:tr>
      <w:tr w:rsidR="00193301" w:rsidRPr="00AE1F83" w14:paraId="073840ED" w14:textId="77777777" w:rsidTr="00BD6A1D">
        <w:tc>
          <w:tcPr>
            <w:tcW w:w="1448" w:type="dxa"/>
          </w:tcPr>
          <w:p w14:paraId="3718B542"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b)</w:t>
            </w:r>
          </w:p>
        </w:tc>
        <w:tc>
          <w:tcPr>
            <w:tcW w:w="5444" w:type="dxa"/>
            <w:gridSpan w:val="2"/>
          </w:tcPr>
          <w:p w14:paraId="49EE7CCB"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bCs/>
                <w:szCs w:val="20"/>
                <w:lang w:eastAsia="sl-SI"/>
              </w:rPr>
              <w:t>usklajenost slovenskega pravnega reda s pravnim redom Evropske unije</w:t>
            </w:r>
          </w:p>
        </w:tc>
        <w:tc>
          <w:tcPr>
            <w:tcW w:w="2271" w:type="dxa"/>
            <w:vAlign w:val="center"/>
          </w:tcPr>
          <w:p w14:paraId="5D364D17"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1E8BF67D" w14:textId="77777777" w:rsidTr="00BD6A1D">
        <w:tc>
          <w:tcPr>
            <w:tcW w:w="1448" w:type="dxa"/>
          </w:tcPr>
          <w:p w14:paraId="141F8836"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c)</w:t>
            </w:r>
          </w:p>
        </w:tc>
        <w:tc>
          <w:tcPr>
            <w:tcW w:w="5444" w:type="dxa"/>
            <w:gridSpan w:val="2"/>
          </w:tcPr>
          <w:p w14:paraId="18B9375E"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szCs w:val="20"/>
                <w:lang w:eastAsia="sl-SI"/>
              </w:rPr>
              <w:t>administrativne posledice</w:t>
            </w:r>
          </w:p>
        </w:tc>
        <w:tc>
          <w:tcPr>
            <w:tcW w:w="2271" w:type="dxa"/>
            <w:vAlign w:val="center"/>
          </w:tcPr>
          <w:p w14:paraId="148DCA06"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22834E78" w14:textId="77777777" w:rsidTr="00BD6A1D">
        <w:tc>
          <w:tcPr>
            <w:tcW w:w="1448" w:type="dxa"/>
          </w:tcPr>
          <w:p w14:paraId="7A7BD6A0"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č)</w:t>
            </w:r>
          </w:p>
        </w:tc>
        <w:tc>
          <w:tcPr>
            <w:tcW w:w="5444" w:type="dxa"/>
            <w:gridSpan w:val="2"/>
          </w:tcPr>
          <w:p w14:paraId="7BE5A152"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szCs w:val="20"/>
                <w:lang w:eastAsia="sl-SI"/>
              </w:rPr>
              <w:t>gospodarstvo, zlasti</w:t>
            </w:r>
            <w:r w:rsidRPr="00AE1F83">
              <w:rPr>
                <w:rFonts w:eastAsia="Times New Roman" w:cs="Arial"/>
                <w:bCs/>
                <w:szCs w:val="20"/>
                <w:lang w:eastAsia="sl-SI"/>
              </w:rPr>
              <w:t xml:space="preserve"> mala in srednja podjetja ter konkurenčnost podjetij</w:t>
            </w:r>
          </w:p>
        </w:tc>
        <w:tc>
          <w:tcPr>
            <w:tcW w:w="2271" w:type="dxa"/>
            <w:vAlign w:val="center"/>
          </w:tcPr>
          <w:p w14:paraId="336AC7E4"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0B68B067" w14:textId="77777777" w:rsidTr="00BD6A1D">
        <w:tc>
          <w:tcPr>
            <w:tcW w:w="1448" w:type="dxa"/>
          </w:tcPr>
          <w:p w14:paraId="226626DD"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d)</w:t>
            </w:r>
          </w:p>
        </w:tc>
        <w:tc>
          <w:tcPr>
            <w:tcW w:w="5444" w:type="dxa"/>
            <w:gridSpan w:val="2"/>
          </w:tcPr>
          <w:p w14:paraId="43EDBAE3"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okolje, vključno s prostorskimi in varstvenimi vidiki</w:t>
            </w:r>
          </w:p>
        </w:tc>
        <w:tc>
          <w:tcPr>
            <w:tcW w:w="2271" w:type="dxa"/>
            <w:vAlign w:val="center"/>
          </w:tcPr>
          <w:p w14:paraId="12275EB3"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4F7CCA34" w14:textId="77777777" w:rsidTr="00BD6A1D">
        <w:tc>
          <w:tcPr>
            <w:tcW w:w="1448" w:type="dxa"/>
          </w:tcPr>
          <w:p w14:paraId="4A441BCF"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e)</w:t>
            </w:r>
          </w:p>
        </w:tc>
        <w:tc>
          <w:tcPr>
            <w:tcW w:w="5444" w:type="dxa"/>
            <w:gridSpan w:val="2"/>
          </w:tcPr>
          <w:p w14:paraId="31EBBD7A"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socialno področje</w:t>
            </w:r>
          </w:p>
        </w:tc>
        <w:tc>
          <w:tcPr>
            <w:tcW w:w="2271" w:type="dxa"/>
            <w:vAlign w:val="center"/>
          </w:tcPr>
          <w:p w14:paraId="3BD0ACAA"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0CF39864" w14:textId="77777777" w:rsidTr="00BD6A1D">
        <w:tc>
          <w:tcPr>
            <w:tcW w:w="1448" w:type="dxa"/>
            <w:tcBorders>
              <w:bottom w:val="single" w:sz="4" w:space="0" w:color="auto"/>
            </w:tcBorders>
          </w:tcPr>
          <w:p w14:paraId="0165FB92" w14:textId="77777777" w:rsidR="00193301" w:rsidRPr="00AE1F83" w:rsidRDefault="00193301" w:rsidP="00193301">
            <w:pPr>
              <w:overflowPunct w:val="0"/>
              <w:autoSpaceDE w:val="0"/>
              <w:autoSpaceDN w:val="0"/>
              <w:adjustRightInd w:val="0"/>
              <w:spacing w:after="0" w:line="260" w:lineRule="exact"/>
              <w:ind w:left="360"/>
              <w:jc w:val="both"/>
              <w:textAlignment w:val="baseline"/>
              <w:rPr>
                <w:rFonts w:eastAsia="Times New Roman" w:cs="Arial"/>
                <w:iCs/>
                <w:szCs w:val="20"/>
                <w:lang w:eastAsia="sl-SI"/>
              </w:rPr>
            </w:pPr>
            <w:r w:rsidRPr="00AE1F83">
              <w:rPr>
                <w:rFonts w:eastAsia="Times New Roman" w:cs="Arial"/>
                <w:iCs/>
                <w:szCs w:val="20"/>
                <w:lang w:eastAsia="sl-SI"/>
              </w:rPr>
              <w:t>f)</w:t>
            </w:r>
          </w:p>
        </w:tc>
        <w:tc>
          <w:tcPr>
            <w:tcW w:w="5444" w:type="dxa"/>
            <w:gridSpan w:val="2"/>
            <w:tcBorders>
              <w:bottom w:val="single" w:sz="4" w:space="0" w:color="auto"/>
            </w:tcBorders>
          </w:tcPr>
          <w:p w14:paraId="4070B8E0" w14:textId="77777777" w:rsidR="00193301" w:rsidRPr="00AE1F83" w:rsidRDefault="00193301" w:rsidP="00193301">
            <w:p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dokumente razvojnega načrtovanja:</w:t>
            </w:r>
          </w:p>
          <w:p w14:paraId="3F7142FE"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nacionalne dokumente razvojnega načrtovanja</w:t>
            </w:r>
          </w:p>
          <w:p w14:paraId="7723D280"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politike na ravni programov po strukturi razvojne klasifikacije programskega proračuna</w:t>
            </w:r>
          </w:p>
          <w:p w14:paraId="344F7C9A" w14:textId="77777777" w:rsidR="00193301" w:rsidRPr="00AE1F83" w:rsidRDefault="00193301" w:rsidP="00193301">
            <w:pPr>
              <w:numPr>
                <w:ilvl w:val="0"/>
                <w:numId w:val="3"/>
              </w:numPr>
              <w:overflowPunct w:val="0"/>
              <w:autoSpaceDE w:val="0"/>
              <w:autoSpaceDN w:val="0"/>
              <w:adjustRightInd w:val="0"/>
              <w:spacing w:after="0" w:line="260" w:lineRule="exact"/>
              <w:jc w:val="both"/>
              <w:textAlignment w:val="baseline"/>
              <w:rPr>
                <w:rFonts w:eastAsia="Times New Roman" w:cs="Arial"/>
                <w:bCs/>
                <w:szCs w:val="20"/>
                <w:lang w:eastAsia="sl-SI"/>
              </w:rPr>
            </w:pPr>
            <w:r w:rsidRPr="00AE1F83">
              <w:rPr>
                <w:rFonts w:eastAsia="Times New Roman" w:cs="Arial"/>
                <w:bCs/>
                <w:szCs w:val="20"/>
                <w:lang w:eastAsia="sl-SI"/>
              </w:rPr>
              <w:t>razvojne dokumente Evropske unije in mednarodnih organizacij</w:t>
            </w:r>
          </w:p>
        </w:tc>
        <w:tc>
          <w:tcPr>
            <w:tcW w:w="2271" w:type="dxa"/>
            <w:tcBorders>
              <w:bottom w:val="single" w:sz="4" w:space="0" w:color="auto"/>
            </w:tcBorders>
            <w:vAlign w:val="center"/>
          </w:tcPr>
          <w:p w14:paraId="686BDC69" w14:textId="77777777" w:rsidR="00193301" w:rsidRPr="00AE1F83" w:rsidRDefault="00193301" w:rsidP="00193301">
            <w:pPr>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21515227" w14:textId="77777777" w:rsidTr="00BD6A1D">
        <w:tc>
          <w:tcPr>
            <w:tcW w:w="9163" w:type="dxa"/>
            <w:gridSpan w:val="4"/>
            <w:tcBorders>
              <w:top w:val="single" w:sz="4" w:space="0" w:color="auto"/>
              <w:left w:val="single" w:sz="4" w:space="0" w:color="auto"/>
              <w:bottom w:val="single" w:sz="4" w:space="0" w:color="auto"/>
              <w:right w:val="single" w:sz="4" w:space="0" w:color="auto"/>
            </w:tcBorders>
          </w:tcPr>
          <w:p w14:paraId="7829EB8C" w14:textId="77777777" w:rsidR="00193301" w:rsidRPr="00AE1F83" w:rsidRDefault="00193301" w:rsidP="00193301">
            <w:pPr>
              <w:widowControl w:val="0"/>
              <w:suppressAutoHyphens/>
              <w:overflowPunct w:val="0"/>
              <w:autoSpaceDE w:val="0"/>
              <w:autoSpaceDN w:val="0"/>
              <w:adjustRightInd w:val="0"/>
              <w:spacing w:after="0" w:line="260" w:lineRule="exact"/>
              <w:textAlignment w:val="baseline"/>
              <w:outlineLvl w:val="3"/>
              <w:rPr>
                <w:rFonts w:eastAsia="Times New Roman" w:cs="Arial"/>
                <w:b/>
                <w:szCs w:val="20"/>
                <w:lang w:eastAsia="sl-SI"/>
              </w:rPr>
            </w:pPr>
            <w:r w:rsidRPr="00AE1F83">
              <w:rPr>
                <w:rFonts w:eastAsia="Times New Roman" w:cs="Arial"/>
                <w:b/>
                <w:szCs w:val="20"/>
                <w:lang w:eastAsia="sl-SI"/>
              </w:rPr>
              <w:t>7.a Predstavitev ocene finančnih posledic nad 40.000 EUR:</w:t>
            </w:r>
          </w:p>
          <w:p w14:paraId="7B3E550A" w14:textId="77777777" w:rsidR="00193301" w:rsidRPr="00AE1F83" w:rsidRDefault="00193301" w:rsidP="00193301">
            <w:pPr>
              <w:widowControl w:val="0"/>
              <w:suppressAutoHyphens/>
              <w:overflowPunct w:val="0"/>
              <w:autoSpaceDE w:val="0"/>
              <w:autoSpaceDN w:val="0"/>
              <w:adjustRightInd w:val="0"/>
              <w:spacing w:after="0" w:line="260" w:lineRule="exact"/>
              <w:textAlignment w:val="baseline"/>
              <w:outlineLvl w:val="3"/>
              <w:rPr>
                <w:rFonts w:eastAsia="Times New Roman" w:cs="Arial"/>
                <w:szCs w:val="20"/>
                <w:lang w:eastAsia="sl-SI"/>
              </w:rPr>
            </w:pPr>
            <w:r w:rsidRPr="00AE1F83">
              <w:rPr>
                <w:rFonts w:eastAsia="Times New Roman" w:cs="Arial"/>
                <w:szCs w:val="20"/>
                <w:lang w:eastAsia="sl-SI"/>
              </w:rPr>
              <w:t>(Samo če izberete DA pod točko 6.a.)</w:t>
            </w:r>
          </w:p>
        </w:tc>
      </w:tr>
    </w:tbl>
    <w:p w14:paraId="47C95CD6" w14:textId="77777777" w:rsidR="00AE1F83" w:rsidRPr="00AE1F83" w:rsidRDefault="00AE1F83" w:rsidP="00AE1F83">
      <w:pPr>
        <w:spacing w:after="0" w:line="260" w:lineRule="exact"/>
        <w:rPr>
          <w:rFonts w:eastAsia="Times New Roman"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269"/>
        <w:gridCol w:w="1283"/>
        <w:gridCol w:w="548"/>
        <w:gridCol w:w="913"/>
        <w:gridCol w:w="683"/>
        <w:gridCol w:w="385"/>
        <w:gridCol w:w="589"/>
        <w:gridCol w:w="1842"/>
      </w:tblGrid>
      <w:tr w:rsidR="00AE1F83" w:rsidRPr="00AE1F83" w14:paraId="50A651ED" w14:textId="77777777"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2FB6033" w14:textId="77777777" w:rsidR="00AE1F83" w:rsidRPr="00AE1F83" w:rsidRDefault="00AE1F83" w:rsidP="00AE1F83">
            <w:pPr>
              <w:pageBreakBefore/>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 Ocena finančnih posledic, ki niso načrtovane v sprejetem proračunu</w:t>
            </w:r>
          </w:p>
        </w:tc>
      </w:tr>
      <w:tr w:rsidR="00AE1F83" w:rsidRPr="00AE1F83" w14:paraId="5822E5A8" w14:textId="77777777" w:rsidTr="00193301">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A1E34B" w14:textId="77777777" w:rsidR="00AE1F83" w:rsidRPr="00AE1F83" w:rsidRDefault="00AE1F83" w:rsidP="00AE1F83">
            <w:pPr>
              <w:widowControl w:val="0"/>
              <w:spacing w:after="0" w:line="260" w:lineRule="exact"/>
              <w:ind w:left="-122" w:right="-112"/>
              <w:jc w:val="center"/>
              <w:rPr>
                <w:rFonts w:eastAsia="Times New Roman"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89960D4"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F2481C6"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+ 1</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693842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4442F7A2"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t + 3</w:t>
            </w:r>
          </w:p>
        </w:tc>
      </w:tr>
      <w:tr w:rsidR="00AE1F83" w:rsidRPr="00AE1F83" w14:paraId="28BD8AF7"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DD135C6"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08BB4D"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0067906"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735DC55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6F68F64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1DF4C77B"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88F8FB"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3C4611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FCD9A20"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D9EB79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CF6AA6B"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71B8898"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956FDB"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9F10AE9"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3C6B21" w14:textId="77777777" w:rsidR="00AE1F83" w:rsidRPr="00AE1F83" w:rsidRDefault="00AE1F83" w:rsidP="00AE1F83">
            <w:pPr>
              <w:widowControl w:val="0"/>
              <w:spacing w:after="0" w:line="260" w:lineRule="exact"/>
              <w:jc w:val="center"/>
              <w:rPr>
                <w:rFonts w:eastAsia="Times New Roman" w:cs="Arial"/>
                <w:szCs w:val="20"/>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0BE6ACB4" w14:textId="77777777" w:rsidR="00AE1F83" w:rsidRPr="00AE1F83" w:rsidRDefault="00AE1F83" w:rsidP="00AE1F83">
            <w:pPr>
              <w:widowControl w:val="0"/>
              <w:spacing w:after="0" w:line="260" w:lineRule="exact"/>
              <w:jc w:val="center"/>
              <w:rPr>
                <w:rFonts w:eastAsia="Times New Roman" w:cs="Arial"/>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B7C3575"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694BEEBD" w14:textId="77777777" w:rsidTr="00193301">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65406CF"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961A00" w14:textId="77777777" w:rsidR="00AE1F83" w:rsidRPr="00AE1F83" w:rsidRDefault="00AE1F83" w:rsidP="00AE1F83">
            <w:pPr>
              <w:widowControl w:val="0"/>
              <w:spacing w:after="0" w:line="260" w:lineRule="exact"/>
              <w:jc w:val="center"/>
              <w:rPr>
                <w:rFonts w:eastAsia="Times New Roman"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97053EE" w14:textId="77777777" w:rsidR="00AE1F83" w:rsidRPr="00AE1F83" w:rsidRDefault="00AE1F83" w:rsidP="00AE1F83">
            <w:pPr>
              <w:widowControl w:val="0"/>
              <w:spacing w:after="0" w:line="260" w:lineRule="exact"/>
              <w:jc w:val="center"/>
              <w:rPr>
                <w:rFonts w:eastAsia="Times New Roman" w:cs="Arial"/>
                <w:szCs w:val="20"/>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7550BAE2" w14:textId="77777777" w:rsidR="00AE1F83" w:rsidRPr="00AE1F83" w:rsidRDefault="00AE1F83" w:rsidP="00AE1F83">
            <w:pPr>
              <w:widowControl w:val="0"/>
              <w:spacing w:after="0" w:line="260" w:lineRule="exact"/>
              <w:jc w:val="center"/>
              <w:rPr>
                <w:rFonts w:eastAsia="Times New Roman" w:cs="Arial"/>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51E5FBF" w14:textId="77777777" w:rsidR="00AE1F83" w:rsidRPr="00AE1F83" w:rsidRDefault="00AE1F83" w:rsidP="00AE1F83">
            <w:pPr>
              <w:widowControl w:val="0"/>
              <w:spacing w:after="0" w:line="260" w:lineRule="exact"/>
              <w:jc w:val="center"/>
              <w:rPr>
                <w:rFonts w:eastAsia="Times New Roman" w:cs="Arial"/>
                <w:szCs w:val="20"/>
              </w:rPr>
            </w:pPr>
          </w:p>
        </w:tc>
      </w:tr>
      <w:tr w:rsidR="00AE1F83" w:rsidRPr="00AE1F83" w14:paraId="68B8AE1B" w14:textId="77777777" w:rsidTr="00193301">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12A606" w14:textId="77777777" w:rsidR="00AE1F83" w:rsidRPr="00AE1F83" w:rsidRDefault="00AE1F83" w:rsidP="00AE1F83">
            <w:pPr>
              <w:widowControl w:val="0"/>
              <w:spacing w:after="0" w:line="260" w:lineRule="exact"/>
              <w:rPr>
                <w:rFonts w:eastAsia="Times New Roman" w:cs="Arial"/>
                <w:bCs/>
                <w:szCs w:val="20"/>
              </w:rPr>
            </w:pPr>
            <w:r w:rsidRPr="00AE1F83">
              <w:rPr>
                <w:rFonts w:eastAsia="Times New Roman" w:cs="Arial"/>
                <w:bCs/>
                <w:szCs w:val="20"/>
              </w:rPr>
              <w:t>Predvideno povečanje (+) ali zmanjšanje (</w:t>
            </w:r>
            <w:r w:rsidRPr="00AE1F83">
              <w:rPr>
                <w:rFonts w:eastAsia="Times New Roman" w:cs="Arial"/>
                <w:b/>
                <w:szCs w:val="20"/>
              </w:rPr>
              <w:t>–</w:t>
            </w:r>
            <w:r w:rsidRPr="00AE1F83">
              <w:rPr>
                <w:rFonts w:eastAsia="Times New Roman"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377F417"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BDC143D" w14:textId="77777777" w:rsidR="00AE1F83" w:rsidRPr="00AE1F83" w:rsidRDefault="00AE1F83" w:rsidP="00AE1F83">
            <w:pPr>
              <w:widowControl w:val="0"/>
              <w:tabs>
                <w:tab w:val="left" w:pos="360"/>
              </w:tabs>
              <w:spacing w:after="0" w:line="260" w:lineRule="exact"/>
              <w:jc w:val="center"/>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50121A2"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6774038A" w14:textId="77777777" w:rsidR="00AE1F83" w:rsidRPr="00AE1F83" w:rsidRDefault="00AE1F83" w:rsidP="00AE1F83">
            <w:pPr>
              <w:widowControl w:val="0"/>
              <w:tabs>
                <w:tab w:val="left" w:pos="360"/>
              </w:tabs>
              <w:spacing w:after="0" w:line="260" w:lineRule="exact"/>
              <w:jc w:val="center"/>
              <w:outlineLvl w:val="0"/>
              <w:rPr>
                <w:rFonts w:eastAsia="Times New Roman" w:cs="Arial"/>
                <w:kern w:val="32"/>
                <w:szCs w:val="20"/>
                <w:lang w:eastAsia="sl-SI"/>
              </w:rPr>
            </w:pPr>
          </w:p>
        </w:tc>
      </w:tr>
      <w:tr w:rsidR="00AE1F83" w:rsidRPr="00AE1F83" w14:paraId="587DC14A"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FC2E02"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 Finančne posledice za državni proračun</w:t>
            </w:r>
          </w:p>
        </w:tc>
      </w:tr>
      <w:tr w:rsidR="00AE1F83" w:rsidRPr="00AE1F83" w14:paraId="558E3785" w14:textId="77777777"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6D276B" w14:textId="77777777" w:rsidR="00AE1F83" w:rsidRPr="00AE1F83" w:rsidRDefault="00AE1F83" w:rsidP="00AE1F83">
            <w:pPr>
              <w:widowControl w:val="0"/>
              <w:tabs>
                <w:tab w:val="left" w:pos="2340"/>
              </w:tabs>
              <w:spacing w:after="0" w:line="260" w:lineRule="exact"/>
              <w:ind w:left="142" w:hanging="142"/>
              <w:outlineLvl w:val="0"/>
              <w:rPr>
                <w:rFonts w:eastAsia="Times New Roman" w:cs="Arial"/>
                <w:b/>
                <w:kern w:val="32"/>
                <w:szCs w:val="20"/>
                <w:lang w:eastAsia="sl-SI"/>
              </w:rPr>
            </w:pPr>
            <w:r w:rsidRPr="00AE1F83">
              <w:rPr>
                <w:rFonts w:eastAsia="Times New Roman" w:cs="Arial"/>
                <w:b/>
                <w:kern w:val="32"/>
                <w:szCs w:val="20"/>
                <w:lang w:eastAsia="sl-SI"/>
              </w:rPr>
              <w:t>II.a Pravice porabe za izvedbo predlaganih rešitev so zagotovljene:</w:t>
            </w:r>
          </w:p>
        </w:tc>
      </w:tr>
      <w:tr w:rsidR="00AE1F83" w:rsidRPr="00AE1F83" w14:paraId="290B17DB" w14:textId="77777777" w:rsidTr="00193301">
        <w:trPr>
          <w:cantSplit/>
          <w:trHeight w:val="100"/>
        </w:trPr>
        <w:tc>
          <w:tcPr>
            <w:tcW w:w="1688" w:type="dxa"/>
            <w:tcBorders>
              <w:top w:val="single" w:sz="4" w:space="0" w:color="auto"/>
              <w:left w:val="single" w:sz="4" w:space="0" w:color="auto"/>
              <w:bottom w:val="single" w:sz="4" w:space="0" w:color="auto"/>
              <w:right w:val="single" w:sz="4" w:space="0" w:color="auto"/>
            </w:tcBorders>
            <w:vAlign w:val="center"/>
          </w:tcPr>
          <w:p w14:paraId="4BF4C8B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8C45DA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7048EB30"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proračunske postavke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38737A63"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412AFBC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 + 1</w:t>
            </w:r>
          </w:p>
        </w:tc>
      </w:tr>
      <w:tr w:rsidR="00AE1F83" w:rsidRPr="00AE1F83" w14:paraId="681FE6F5" w14:textId="77777777" w:rsidTr="00193301">
        <w:trPr>
          <w:cantSplit/>
          <w:trHeight w:val="328"/>
        </w:trPr>
        <w:tc>
          <w:tcPr>
            <w:tcW w:w="1688" w:type="dxa"/>
            <w:tcBorders>
              <w:top w:val="single" w:sz="4" w:space="0" w:color="auto"/>
              <w:left w:val="single" w:sz="4" w:space="0" w:color="auto"/>
              <w:bottom w:val="single" w:sz="4" w:space="0" w:color="auto"/>
              <w:right w:val="single" w:sz="4" w:space="0" w:color="auto"/>
            </w:tcBorders>
            <w:vAlign w:val="center"/>
          </w:tcPr>
          <w:p w14:paraId="299EF65D" w14:textId="61577BDC" w:rsidR="00AE1F83" w:rsidRPr="00AE1F83" w:rsidRDefault="00193301" w:rsidP="00AE1F83">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MSP</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25E2467" w14:textId="45A682B7" w:rsidR="00AE1F83" w:rsidRPr="00AE1F83" w:rsidRDefault="00CE759D" w:rsidP="00AE1F83">
            <w:pPr>
              <w:widowControl w:val="0"/>
              <w:tabs>
                <w:tab w:val="left" w:pos="360"/>
              </w:tabs>
              <w:spacing w:after="0" w:line="260" w:lineRule="exact"/>
              <w:outlineLvl w:val="0"/>
              <w:rPr>
                <w:rFonts w:eastAsia="Times New Roman" w:cs="Arial"/>
                <w:bCs/>
                <w:kern w:val="32"/>
                <w:szCs w:val="20"/>
                <w:lang w:eastAsia="sl-SI"/>
              </w:rPr>
            </w:pPr>
            <w:r w:rsidRPr="00CE759D">
              <w:rPr>
                <w:rFonts w:eastAsia="Times New Roman" w:cs="Arial"/>
                <w:szCs w:val="24"/>
                <w:lang w:eastAsia="sl-SI"/>
              </w:rPr>
              <w:t>2611-22-09</w:t>
            </w:r>
            <w:r w:rsidR="005849FF">
              <w:rPr>
                <w:rFonts w:eastAsia="Times New Roman" w:cs="Arial"/>
                <w:szCs w:val="24"/>
                <w:lang w:eastAsia="sl-SI"/>
              </w:rPr>
              <w:t>02</w:t>
            </w:r>
            <w:r w:rsidRPr="00CE759D">
              <w:rPr>
                <w:rFonts w:eastAsia="Times New Roman" w:cs="Arial"/>
                <w:szCs w:val="24"/>
                <w:lang w:eastAsia="sl-SI"/>
              </w:rPr>
              <w:t xml:space="preserve"> – </w:t>
            </w:r>
            <w:r w:rsidR="005849FF" w:rsidRPr="005849FF">
              <w:rPr>
                <w:rFonts w:eastAsia="Times New Roman" w:cs="Arial"/>
                <w:szCs w:val="24"/>
                <w:lang w:eastAsia="sl-SI"/>
              </w:rPr>
              <w:t>Nadzidava in prizidava Doma dr. Jožeta Potrča Poljčane, enota Slovenska Bistrica</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61596324" w14:textId="5100527D" w:rsidR="00193301" w:rsidRPr="00193301" w:rsidRDefault="00471CE6" w:rsidP="00193301">
            <w:pPr>
              <w:widowControl w:val="0"/>
              <w:tabs>
                <w:tab w:val="left" w:pos="360"/>
              </w:tabs>
              <w:spacing w:after="0" w:line="260" w:lineRule="exact"/>
              <w:outlineLvl w:val="0"/>
              <w:rPr>
                <w:rFonts w:eastAsia="Times New Roman" w:cs="Arial"/>
                <w:bCs/>
                <w:iCs/>
                <w:color w:val="000000"/>
                <w:kern w:val="32"/>
                <w:szCs w:val="20"/>
                <w:lang w:eastAsia="sl-SI"/>
              </w:rPr>
            </w:pPr>
            <w:r w:rsidRPr="008D19CA">
              <w:rPr>
                <w:rFonts w:eastAsia="Times New Roman" w:cs="Arial"/>
                <w:bCs/>
                <w:iCs/>
                <w:color w:val="000000"/>
                <w:kern w:val="32"/>
                <w:szCs w:val="20"/>
                <w:lang w:eastAsia="sl-SI"/>
              </w:rPr>
              <w:t>231</w:t>
            </w:r>
            <w:r w:rsidR="00CE759D">
              <w:rPr>
                <w:rFonts w:eastAsia="Times New Roman" w:cs="Arial"/>
                <w:bCs/>
                <w:iCs/>
                <w:color w:val="000000"/>
                <w:kern w:val="32"/>
                <w:szCs w:val="20"/>
                <w:lang w:eastAsia="sl-SI"/>
              </w:rPr>
              <w:t>839</w:t>
            </w:r>
            <w:r w:rsidR="00193301" w:rsidRPr="00193301">
              <w:rPr>
                <w:rFonts w:eastAsia="Times New Roman" w:cs="Arial"/>
                <w:bCs/>
                <w:iCs/>
                <w:color w:val="000000"/>
                <w:kern w:val="32"/>
                <w:szCs w:val="20"/>
                <w:lang w:eastAsia="sl-SI"/>
              </w:rPr>
              <w:t xml:space="preserve"> -</w:t>
            </w:r>
          </w:p>
          <w:p w14:paraId="00A75C5D" w14:textId="741C4A80" w:rsidR="00AE1F83" w:rsidRPr="00AE1F83" w:rsidRDefault="00CE759D" w:rsidP="00193301">
            <w:pPr>
              <w:widowControl w:val="0"/>
              <w:tabs>
                <w:tab w:val="left" w:pos="360"/>
              </w:tabs>
              <w:spacing w:after="0" w:line="260" w:lineRule="exact"/>
              <w:outlineLvl w:val="0"/>
              <w:rPr>
                <w:rFonts w:eastAsia="Times New Roman" w:cs="Arial"/>
                <w:bCs/>
                <w:kern w:val="32"/>
                <w:szCs w:val="20"/>
                <w:lang w:eastAsia="sl-SI"/>
              </w:rPr>
            </w:pPr>
            <w:r w:rsidRPr="00CE759D">
              <w:rPr>
                <w:rFonts w:eastAsia="Times New Roman"/>
                <w:szCs w:val="24"/>
                <w:lang w:eastAsia="sl-SI"/>
              </w:rPr>
              <w:t>Program mreže domov za starostnike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2F8F0034" w14:textId="2B7782DA" w:rsidR="00AE1F83" w:rsidRPr="00AE1F83" w:rsidRDefault="00DF7F66"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0</w:t>
            </w:r>
          </w:p>
        </w:tc>
        <w:tc>
          <w:tcPr>
            <w:tcW w:w="1842" w:type="dxa"/>
            <w:tcBorders>
              <w:top w:val="single" w:sz="4" w:space="0" w:color="auto"/>
              <w:left w:val="single" w:sz="4" w:space="0" w:color="auto"/>
              <w:bottom w:val="single" w:sz="4" w:space="0" w:color="auto"/>
              <w:right w:val="single" w:sz="4" w:space="0" w:color="auto"/>
            </w:tcBorders>
            <w:vAlign w:val="center"/>
          </w:tcPr>
          <w:p w14:paraId="1C078903" w14:textId="15ABEA61" w:rsidR="00AE1F83" w:rsidRPr="00AE1F83" w:rsidRDefault="00DF7F66"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0</w:t>
            </w:r>
          </w:p>
        </w:tc>
      </w:tr>
      <w:tr w:rsidR="00AE1F83" w:rsidRPr="00AE1F83" w14:paraId="26801BAB"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2AEC234E"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131E7C"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388548E6"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6C4A6ED4"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E8A9B98" w14:textId="77777777" w:rsidR="00AE1F83" w:rsidRPr="00AE1F83" w:rsidRDefault="00AE1F83" w:rsidP="00AE1F83">
            <w:pPr>
              <w:widowControl w:val="0"/>
              <w:tabs>
                <w:tab w:val="left" w:pos="360"/>
              </w:tabs>
              <w:spacing w:after="0" w:line="260" w:lineRule="exact"/>
              <w:outlineLvl w:val="0"/>
              <w:rPr>
                <w:rFonts w:eastAsia="Times New Roman" w:cs="Arial"/>
                <w:bCs/>
                <w:kern w:val="32"/>
                <w:szCs w:val="20"/>
                <w:lang w:eastAsia="sl-SI"/>
              </w:rPr>
            </w:pPr>
          </w:p>
        </w:tc>
      </w:tr>
      <w:tr w:rsidR="00AE1F83" w:rsidRPr="00AE1F83" w14:paraId="0EB344E8" w14:textId="77777777" w:rsidTr="0019330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BB235EE" w14:textId="77777777" w:rsidR="00AE1F83" w:rsidRPr="00AE1F83" w:rsidRDefault="00AE1F83" w:rsidP="00AE1F83">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ECBB7E4" w14:textId="0635D2B2" w:rsidR="00AE1F83" w:rsidRPr="00AE1F83" w:rsidRDefault="00DF7F66" w:rsidP="00AE1F83">
            <w:pPr>
              <w:widowControl w:val="0"/>
              <w:spacing w:after="0" w:line="260" w:lineRule="exact"/>
              <w:jc w:val="center"/>
              <w:rPr>
                <w:rFonts w:eastAsia="Times New Roman" w:cs="Arial"/>
                <w:b/>
                <w:szCs w:val="20"/>
              </w:rPr>
            </w:pPr>
            <w:r>
              <w:rPr>
                <w:rFonts w:eastAsia="Times New Roman" w:cs="Arial"/>
                <w:b/>
                <w:szCs w:val="20"/>
              </w:rPr>
              <w:t>0</w:t>
            </w:r>
          </w:p>
        </w:tc>
        <w:tc>
          <w:tcPr>
            <w:tcW w:w="1842" w:type="dxa"/>
            <w:tcBorders>
              <w:top w:val="single" w:sz="4" w:space="0" w:color="auto"/>
              <w:left w:val="single" w:sz="4" w:space="0" w:color="auto"/>
              <w:bottom w:val="single" w:sz="4" w:space="0" w:color="auto"/>
              <w:right w:val="single" w:sz="4" w:space="0" w:color="auto"/>
            </w:tcBorders>
            <w:vAlign w:val="center"/>
          </w:tcPr>
          <w:p w14:paraId="085A63CC" w14:textId="1DBA986C" w:rsidR="00AE1F83" w:rsidRPr="00AE1F83" w:rsidRDefault="00DF7F66"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0</w:t>
            </w:r>
          </w:p>
        </w:tc>
      </w:tr>
      <w:tr w:rsidR="00AE1F83" w:rsidRPr="00AE1F83" w14:paraId="26BBC683" w14:textId="77777777"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6729D0" w14:textId="77777777" w:rsidR="00AE1F83" w:rsidRPr="00AE1F83" w:rsidRDefault="00AE1F83" w:rsidP="00AE1F83">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II.b Manjkajoče pravice porabe bodo zagotovljene s prerazporeditvijo:</w:t>
            </w:r>
          </w:p>
        </w:tc>
      </w:tr>
      <w:tr w:rsidR="00AE1F83" w:rsidRPr="00AE1F83" w14:paraId="32501252" w14:textId="77777777" w:rsidTr="00193301">
        <w:trPr>
          <w:cantSplit/>
          <w:trHeight w:val="100"/>
        </w:trPr>
        <w:tc>
          <w:tcPr>
            <w:tcW w:w="1688" w:type="dxa"/>
            <w:tcBorders>
              <w:top w:val="single" w:sz="4" w:space="0" w:color="auto"/>
              <w:left w:val="single" w:sz="4" w:space="0" w:color="auto"/>
              <w:bottom w:val="single" w:sz="4" w:space="0" w:color="auto"/>
              <w:right w:val="single" w:sz="4" w:space="0" w:color="auto"/>
            </w:tcBorders>
            <w:vAlign w:val="center"/>
          </w:tcPr>
          <w:p w14:paraId="0CBB610A"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Ime proračunskega uporabnika </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B86811F"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Šifra in naziv ukrepa, projekta</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4214367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Šifra in naziv proračunske postavke </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C7B240B"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B226A2D" w14:textId="77777777" w:rsidR="00AE1F83" w:rsidRPr="00AE1F83" w:rsidRDefault="00AE1F83" w:rsidP="00AE1F83">
            <w:pPr>
              <w:widowControl w:val="0"/>
              <w:spacing w:after="0" w:line="260" w:lineRule="exact"/>
              <w:jc w:val="center"/>
              <w:rPr>
                <w:rFonts w:eastAsia="Times New Roman" w:cs="Arial"/>
                <w:szCs w:val="20"/>
              </w:rPr>
            </w:pPr>
            <w:r w:rsidRPr="00AE1F83">
              <w:rPr>
                <w:rFonts w:eastAsia="Times New Roman" w:cs="Arial"/>
                <w:szCs w:val="20"/>
              </w:rPr>
              <w:t xml:space="preserve">Znesek za t + 1 </w:t>
            </w:r>
          </w:p>
        </w:tc>
      </w:tr>
      <w:tr w:rsidR="00193301" w:rsidRPr="00AE1F83" w14:paraId="0A59C6B8"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44DBA2B0" w14:textId="6CA68542"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r>
              <w:rPr>
                <w:rFonts w:eastAsia="Times New Roman" w:cs="Arial"/>
                <w:bCs/>
                <w:kern w:val="32"/>
                <w:szCs w:val="20"/>
                <w:lang w:eastAsia="sl-SI"/>
              </w:rPr>
              <w:t>MSP</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8FD1E0B" w14:textId="3F7F377F" w:rsidR="00193301" w:rsidRPr="00AE1F83" w:rsidRDefault="00CE759D" w:rsidP="00193301">
            <w:pPr>
              <w:widowControl w:val="0"/>
              <w:tabs>
                <w:tab w:val="left" w:pos="360"/>
              </w:tabs>
              <w:spacing w:after="0" w:line="260" w:lineRule="exact"/>
              <w:outlineLvl w:val="0"/>
              <w:rPr>
                <w:rFonts w:eastAsia="Times New Roman" w:cs="Arial"/>
                <w:bCs/>
                <w:kern w:val="32"/>
                <w:szCs w:val="20"/>
                <w:lang w:eastAsia="sl-SI"/>
              </w:rPr>
            </w:pPr>
            <w:r w:rsidRPr="00CE759D">
              <w:rPr>
                <w:rFonts w:eastAsia="Times New Roman" w:cs="Arial"/>
                <w:szCs w:val="24"/>
                <w:lang w:eastAsia="sl-SI"/>
              </w:rPr>
              <w:t>2611-13-0002 Novogradnje, adaptacije, rekonstrukcije, oprema domov za starejše, SV zavodov</w:t>
            </w: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68C46FC3" w14:textId="77777777" w:rsidR="00CE759D" w:rsidRPr="00193301" w:rsidRDefault="00CE759D" w:rsidP="00CE759D">
            <w:pPr>
              <w:widowControl w:val="0"/>
              <w:tabs>
                <w:tab w:val="left" w:pos="360"/>
              </w:tabs>
              <w:spacing w:after="0" w:line="260" w:lineRule="exact"/>
              <w:outlineLvl w:val="0"/>
              <w:rPr>
                <w:rFonts w:eastAsia="Times New Roman" w:cs="Arial"/>
                <w:bCs/>
                <w:iCs/>
                <w:color w:val="000000"/>
                <w:kern w:val="32"/>
                <w:szCs w:val="20"/>
                <w:lang w:eastAsia="sl-SI"/>
              </w:rPr>
            </w:pPr>
            <w:r w:rsidRPr="008D19CA">
              <w:rPr>
                <w:rFonts w:eastAsia="Times New Roman" w:cs="Arial"/>
                <w:bCs/>
                <w:iCs/>
                <w:color w:val="000000"/>
                <w:kern w:val="32"/>
                <w:szCs w:val="20"/>
                <w:lang w:eastAsia="sl-SI"/>
              </w:rPr>
              <w:t>231</w:t>
            </w:r>
            <w:r>
              <w:rPr>
                <w:rFonts w:eastAsia="Times New Roman" w:cs="Arial"/>
                <w:bCs/>
                <w:iCs/>
                <w:color w:val="000000"/>
                <w:kern w:val="32"/>
                <w:szCs w:val="20"/>
                <w:lang w:eastAsia="sl-SI"/>
              </w:rPr>
              <w:t>839</w:t>
            </w:r>
            <w:r w:rsidRPr="00193301">
              <w:rPr>
                <w:rFonts w:eastAsia="Times New Roman" w:cs="Arial"/>
                <w:bCs/>
                <w:iCs/>
                <w:color w:val="000000"/>
                <w:kern w:val="32"/>
                <w:szCs w:val="20"/>
                <w:lang w:eastAsia="sl-SI"/>
              </w:rPr>
              <w:t xml:space="preserve"> -</w:t>
            </w:r>
          </w:p>
          <w:p w14:paraId="6176593F" w14:textId="53007291" w:rsidR="00193301" w:rsidRPr="00AE1F83" w:rsidRDefault="00CE759D" w:rsidP="00CE759D">
            <w:pPr>
              <w:widowControl w:val="0"/>
              <w:tabs>
                <w:tab w:val="left" w:pos="360"/>
              </w:tabs>
              <w:spacing w:after="0" w:line="260" w:lineRule="exact"/>
              <w:outlineLvl w:val="0"/>
              <w:rPr>
                <w:rFonts w:eastAsia="Times New Roman" w:cs="Arial"/>
                <w:bCs/>
                <w:kern w:val="32"/>
                <w:szCs w:val="20"/>
                <w:lang w:eastAsia="sl-SI"/>
              </w:rPr>
            </w:pPr>
            <w:r w:rsidRPr="00CE759D">
              <w:rPr>
                <w:rFonts w:eastAsia="Times New Roman"/>
                <w:szCs w:val="24"/>
                <w:lang w:eastAsia="sl-SI"/>
              </w:rPr>
              <w:t>Program mreže domov za starostnike</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44AAA25" w14:textId="137867C1" w:rsidR="00193301" w:rsidRPr="00AE1F83" w:rsidRDefault="00DF7F66"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2.500.000,00</w:t>
            </w:r>
          </w:p>
        </w:tc>
        <w:tc>
          <w:tcPr>
            <w:tcW w:w="1842" w:type="dxa"/>
            <w:tcBorders>
              <w:top w:val="single" w:sz="4" w:space="0" w:color="auto"/>
              <w:left w:val="single" w:sz="4" w:space="0" w:color="auto"/>
              <w:bottom w:val="single" w:sz="4" w:space="0" w:color="auto"/>
              <w:right w:val="single" w:sz="4" w:space="0" w:color="auto"/>
            </w:tcBorders>
            <w:vAlign w:val="center"/>
          </w:tcPr>
          <w:p w14:paraId="0F6E0245" w14:textId="080AE8AC" w:rsidR="00193301" w:rsidRPr="00AE1F83" w:rsidRDefault="00DF7F66" w:rsidP="00193301">
            <w:pPr>
              <w:widowControl w:val="0"/>
              <w:tabs>
                <w:tab w:val="left" w:pos="360"/>
              </w:tabs>
              <w:spacing w:after="0" w:line="260" w:lineRule="exact"/>
              <w:jc w:val="center"/>
              <w:outlineLvl w:val="0"/>
              <w:rPr>
                <w:rFonts w:eastAsia="Times New Roman" w:cs="Arial"/>
                <w:bCs/>
                <w:kern w:val="32"/>
                <w:szCs w:val="20"/>
                <w:lang w:eastAsia="sl-SI"/>
              </w:rPr>
            </w:pPr>
            <w:r>
              <w:rPr>
                <w:rFonts w:eastAsia="Times New Roman" w:cs="Arial"/>
                <w:bCs/>
                <w:kern w:val="32"/>
                <w:szCs w:val="20"/>
                <w:lang w:eastAsia="sl-SI"/>
              </w:rPr>
              <w:t>3.373.286,63</w:t>
            </w:r>
          </w:p>
        </w:tc>
      </w:tr>
      <w:tr w:rsidR="00193301" w:rsidRPr="00AE1F83" w14:paraId="6FD8EE4C" w14:textId="77777777" w:rsidTr="00193301">
        <w:trPr>
          <w:cantSplit/>
          <w:trHeight w:val="95"/>
        </w:trPr>
        <w:tc>
          <w:tcPr>
            <w:tcW w:w="1688" w:type="dxa"/>
            <w:tcBorders>
              <w:top w:val="single" w:sz="4" w:space="0" w:color="auto"/>
              <w:left w:val="single" w:sz="4" w:space="0" w:color="auto"/>
              <w:bottom w:val="single" w:sz="4" w:space="0" w:color="auto"/>
              <w:right w:val="single" w:sz="4" w:space="0" w:color="auto"/>
            </w:tcBorders>
            <w:vAlign w:val="center"/>
          </w:tcPr>
          <w:p w14:paraId="3129366B"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5197BD8"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461" w:type="dxa"/>
            <w:gridSpan w:val="2"/>
            <w:tcBorders>
              <w:top w:val="single" w:sz="4" w:space="0" w:color="auto"/>
              <w:left w:val="single" w:sz="4" w:space="0" w:color="auto"/>
              <w:bottom w:val="single" w:sz="4" w:space="0" w:color="auto"/>
              <w:right w:val="single" w:sz="4" w:space="0" w:color="auto"/>
            </w:tcBorders>
            <w:vAlign w:val="center"/>
          </w:tcPr>
          <w:p w14:paraId="0DB0C033"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50CA16E1"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1842" w:type="dxa"/>
            <w:tcBorders>
              <w:top w:val="single" w:sz="4" w:space="0" w:color="auto"/>
              <w:left w:val="single" w:sz="4" w:space="0" w:color="auto"/>
              <w:bottom w:val="single" w:sz="4" w:space="0" w:color="auto"/>
              <w:right w:val="single" w:sz="4" w:space="0" w:color="auto"/>
            </w:tcBorders>
            <w:vAlign w:val="center"/>
          </w:tcPr>
          <w:p w14:paraId="73DC91F9"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r>
      <w:tr w:rsidR="00193301" w:rsidRPr="00AE1F83" w14:paraId="463FD831" w14:textId="77777777" w:rsidTr="00193301">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03AC8BA"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1657" w:type="dxa"/>
            <w:gridSpan w:val="3"/>
            <w:tcBorders>
              <w:top w:val="single" w:sz="4" w:space="0" w:color="auto"/>
              <w:left w:val="single" w:sz="4" w:space="0" w:color="auto"/>
              <w:bottom w:val="single" w:sz="4" w:space="0" w:color="auto"/>
              <w:right w:val="single" w:sz="4" w:space="0" w:color="auto"/>
            </w:tcBorders>
            <w:vAlign w:val="center"/>
          </w:tcPr>
          <w:p w14:paraId="1A336FCC" w14:textId="2C5C07CF" w:rsidR="00193301" w:rsidRPr="00AE1F83" w:rsidRDefault="00DF7F66"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2.5</w:t>
            </w:r>
            <w:r w:rsidR="00CE759D">
              <w:rPr>
                <w:rFonts w:eastAsia="Times New Roman" w:cs="Arial"/>
                <w:b/>
                <w:kern w:val="32"/>
                <w:szCs w:val="20"/>
                <w:lang w:eastAsia="sl-SI"/>
              </w:rPr>
              <w:t>0</w:t>
            </w:r>
            <w:r>
              <w:rPr>
                <w:rFonts w:eastAsia="Times New Roman" w:cs="Arial"/>
                <w:b/>
                <w:kern w:val="32"/>
                <w:szCs w:val="20"/>
                <w:lang w:eastAsia="sl-SI"/>
              </w:rPr>
              <w:t>0.000,00</w:t>
            </w:r>
          </w:p>
        </w:tc>
        <w:tc>
          <w:tcPr>
            <w:tcW w:w="1842" w:type="dxa"/>
            <w:tcBorders>
              <w:top w:val="single" w:sz="4" w:space="0" w:color="auto"/>
              <w:left w:val="single" w:sz="4" w:space="0" w:color="auto"/>
              <w:bottom w:val="single" w:sz="4" w:space="0" w:color="auto"/>
              <w:right w:val="single" w:sz="4" w:space="0" w:color="auto"/>
            </w:tcBorders>
            <w:vAlign w:val="center"/>
          </w:tcPr>
          <w:p w14:paraId="4254B210" w14:textId="1FACC9DC" w:rsidR="00193301" w:rsidRPr="00AE1F83" w:rsidRDefault="00DF7F66" w:rsidP="00193301">
            <w:pPr>
              <w:widowControl w:val="0"/>
              <w:tabs>
                <w:tab w:val="left" w:pos="360"/>
              </w:tabs>
              <w:spacing w:after="0" w:line="260" w:lineRule="exact"/>
              <w:jc w:val="center"/>
              <w:outlineLvl w:val="0"/>
              <w:rPr>
                <w:rFonts w:eastAsia="Times New Roman" w:cs="Arial"/>
                <w:b/>
                <w:kern w:val="32"/>
                <w:szCs w:val="20"/>
                <w:lang w:eastAsia="sl-SI"/>
              </w:rPr>
            </w:pPr>
            <w:r>
              <w:rPr>
                <w:rFonts w:eastAsia="Times New Roman" w:cs="Arial"/>
                <w:b/>
                <w:kern w:val="32"/>
                <w:szCs w:val="20"/>
                <w:lang w:eastAsia="sl-SI"/>
              </w:rPr>
              <w:t>3.373.286,63</w:t>
            </w:r>
          </w:p>
        </w:tc>
      </w:tr>
      <w:tr w:rsidR="00193301" w:rsidRPr="00AE1F83" w14:paraId="6605EB78" w14:textId="77777777"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A55BB7A" w14:textId="77777777" w:rsidR="00193301" w:rsidRPr="00AE1F83" w:rsidRDefault="00193301" w:rsidP="00193301">
            <w:pPr>
              <w:widowControl w:val="0"/>
              <w:tabs>
                <w:tab w:val="left" w:pos="234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II.c Načrtovana nadomestitev zmanjšanih prihodkov in povečanih odhodkov proračuna:</w:t>
            </w:r>
          </w:p>
        </w:tc>
      </w:tr>
      <w:tr w:rsidR="00193301" w:rsidRPr="00AE1F83" w14:paraId="67C8A590" w14:textId="77777777" w:rsidTr="00193301">
        <w:trPr>
          <w:cantSplit/>
          <w:trHeight w:val="100"/>
        </w:trPr>
        <w:tc>
          <w:tcPr>
            <w:tcW w:w="4240" w:type="dxa"/>
            <w:gridSpan w:val="3"/>
            <w:tcBorders>
              <w:top w:val="single" w:sz="4" w:space="0" w:color="auto"/>
              <w:left w:val="single" w:sz="4" w:space="0" w:color="auto"/>
              <w:bottom w:val="single" w:sz="4" w:space="0" w:color="auto"/>
              <w:right w:val="single" w:sz="4" w:space="0" w:color="auto"/>
            </w:tcBorders>
            <w:vAlign w:val="center"/>
          </w:tcPr>
          <w:p w14:paraId="0C27449F"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Novi prihodki</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9803C0F"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78D0369" w14:textId="77777777" w:rsidR="00193301" w:rsidRPr="00AE1F83" w:rsidRDefault="00193301" w:rsidP="00193301">
            <w:pPr>
              <w:widowControl w:val="0"/>
              <w:spacing w:after="0" w:line="260" w:lineRule="exact"/>
              <w:ind w:left="-122" w:right="-112"/>
              <w:jc w:val="center"/>
              <w:rPr>
                <w:rFonts w:eastAsia="Times New Roman" w:cs="Arial"/>
                <w:szCs w:val="20"/>
              </w:rPr>
            </w:pPr>
            <w:r w:rsidRPr="00AE1F83">
              <w:rPr>
                <w:rFonts w:eastAsia="Times New Roman" w:cs="Arial"/>
                <w:szCs w:val="20"/>
              </w:rPr>
              <w:t>Znesek za t + 1</w:t>
            </w:r>
          </w:p>
        </w:tc>
      </w:tr>
      <w:tr w:rsidR="00193301" w:rsidRPr="00AE1F83" w14:paraId="460FA2E7" w14:textId="77777777" w:rsidTr="00193301">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17847E06"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50E3778F"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16E7873" w14:textId="77777777" w:rsidR="00193301" w:rsidRPr="00AE1F83" w:rsidRDefault="00193301" w:rsidP="00193301">
            <w:pPr>
              <w:widowControl w:val="0"/>
              <w:tabs>
                <w:tab w:val="left" w:pos="360"/>
              </w:tabs>
              <w:spacing w:after="0" w:line="260" w:lineRule="exact"/>
              <w:outlineLvl w:val="0"/>
              <w:rPr>
                <w:rFonts w:eastAsia="Times New Roman" w:cs="Arial"/>
                <w:bCs/>
                <w:kern w:val="32"/>
                <w:szCs w:val="20"/>
                <w:lang w:eastAsia="sl-SI"/>
              </w:rPr>
            </w:pPr>
          </w:p>
        </w:tc>
      </w:tr>
      <w:tr w:rsidR="00193301" w:rsidRPr="00AE1F83" w14:paraId="6FB994A2" w14:textId="77777777" w:rsidTr="00193301">
        <w:trPr>
          <w:cantSplit/>
          <w:trHeight w:val="95"/>
        </w:trPr>
        <w:tc>
          <w:tcPr>
            <w:tcW w:w="4240" w:type="dxa"/>
            <w:gridSpan w:val="3"/>
            <w:tcBorders>
              <w:top w:val="single" w:sz="4" w:space="0" w:color="auto"/>
              <w:left w:val="single" w:sz="4" w:space="0" w:color="auto"/>
              <w:bottom w:val="single" w:sz="4" w:space="0" w:color="auto"/>
              <w:right w:val="single" w:sz="4" w:space="0" w:color="auto"/>
            </w:tcBorders>
            <w:vAlign w:val="center"/>
          </w:tcPr>
          <w:p w14:paraId="3C0B5FA3"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r w:rsidRPr="00AE1F83">
              <w:rPr>
                <w:rFonts w:eastAsia="Times New Roman" w:cs="Arial"/>
                <w:b/>
                <w:kern w:val="32"/>
                <w:szCs w:val="20"/>
                <w:lang w:eastAsia="sl-SI"/>
              </w:rPr>
              <w:t>SKUPAJ</w:t>
            </w:r>
          </w:p>
        </w:tc>
        <w:tc>
          <w:tcPr>
            <w:tcW w:w="2144" w:type="dxa"/>
            <w:gridSpan w:val="3"/>
            <w:tcBorders>
              <w:top w:val="single" w:sz="4" w:space="0" w:color="auto"/>
              <w:left w:val="single" w:sz="4" w:space="0" w:color="auto"/>
              <w:bottom w:val="single" w:sz="4" w:space="0" w:color="auto"/>
              <w:right w:val="single" w:sz="4" w:space="0" w:color="auto"/>
            </w:tcBorders>
            <w:vAlign w:val="center"/>
          </w:tcPr>
          <w:p w14:paraId="1B60D31F"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C901D1B" w14:textId="77777777" w:rsidR="00193301" w:rsidRPr="00AE1F83" w:rsidRDefault="00193301" w:rsidP="00193301">
            <w:pPr>
              <w:widowControl w:val="0"/>
              <w:tabs>
                <w:tab w:val="left" w:pos="360"/>
              </w:tabs>
              <w:spacing w:after="0" w:line="260" w:lineRule="exact"/>
              <w:outlineLvl w:val="0"/>
              <w:rPr>
                <w:rFonts w:eastAsia="Times New Roman" w:cs="Arial"/>
                <w:b/>
                <w:kern w:val="32"/>
                <w:szCs w:val="20"/>
                <w:lang w:eastAsia="sl-SI"/>
              </w:rPr>
            </w:pPr>
          </w:p>
        </w:tc>
      </w:tr>
      <w:tr w:rsidR="00193301" w:rsidRPr="00AE1F83" w14:paraId="3C6657C3"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6707198" w14:textId="77777777" w:rsidR="00193301" w:rsidRPr="00AE1F83" w:rsidRDefault="00193301" w:rsidP="00193301">
            <w:pPr>
              <w:widowControl w:val="0"/>
              <w:spacing w:after="0" w:line="260" w:lineRule="exact"/>
              <w:rPr>
                <w:rFonts w:eastAsia="Times New Roman" w:cs="Arial"/>
                <w:b/>
                <w:szCs w:val="20"/>
              </w:rPr>
            </w:pPr>
            <w:r w:rsidRPr="00AE1F83">
              <w:rPr>
                <w:rFonts w:eastAsia="Times New Roman" w:cs="Arial"/>
                <w:b/>
                <w:szCs w:val="20"/>
              </w:rPr>
              <w:t>OBRAZLOŽITEV:</w:t>
            </w:r>
          </w:p>
          <w:p w14:paraId="42C29F4C" w14:textId="77777777" w:rsidR="00193301" w:rsidRPr="00AE1F83" w:rsidRDefault="00193301" w:rsidP="00193301">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Ocena finančnih posledic, ki niso načrtovane v sprejetem proračunu</w:t>
            </w:r>
          </w:p>
          <w:p w14:paraId="3F660099" w14:textId="77777777" w:rsidR="00193301" w:rsidRPr="00AE1F83" w:rsidRDefault="00193301" w:rsidP="00193301">
            <w:pPr>
              <w:widowControl w:val="0"/>
              <w:spacing w:after="0" w:line="260" w:lineRule="exact"/>
              <w:ind w:left="360" w:hanging="76"/>
              <w:jc w:val="both"/>
              <w:rPr>
                <w:rFonts w:eastAsia="Times New Roman" w:cs="Arial"/>
                <w:szCs w:val="20"/>
                <w:lang w:eastAsia="sl-SI"/>
              </w:rPr>
            </w:pPr>
            <w:r w:rsidRPr="00AE1F83">
              <w:rPr>
                <w:rFonts w:eastAsia="Times New Roman" w:cs="Arial"/>
                <w:szCs w:val="20"/>
                <w:lang w:eastAsia="sl-SI"/>
              </w:rPr>
              <w:t>V zvezi s predlaganim vladnim gradivom se navedejo predvidene spremembe (povečanje, zmanjšanje):</w:t>
            </w:r>
          </w:p>
          <w:p w14:paraId="4731CD31"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prihodkov državnega proračuna in občinskih proračunov,</w:t>
            </w:r>
          </w:p>
          <w:p w14:paraId="5C99A1F2"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odhodkov državnega proračuna, ki niso načrtovani na ukrepih oziroma projektih sprejetih proračunov,</w:t>
            </w:r>
          </w:p>
          <w:p w14:paraId="0CE6B641" w14:textId="77777777" w:rsidR="00193301" w:rsidRPr="00AE1F83" w:rsidRDefault="00193301" w:rsidP="00193301">
            <w:pPr>
              <w:widowControl w:val="0"/>
              <w:numPr>
                <w:ilvl w:val="0"/>
                <w:numId w:val="4"/>
              </w:numPr>
              <w:suppressAutoHyphens/>
              <w:spacing w:after="0" w:line="260" w:lineRule="exact"/>
              <w:jc w:val="both"/>
              <w:rPr>
                <w:rFonts w:eastAsia="Times New Roman" w:cs="Arial"/>
                <w:szCs w:val="20"/>
              </w:rPr>
            </w:pPr>
            <w:r w:rsidRPr="00AE1F83">
              <w:rPr>
                <w:rFonts w:eastAsia="Times New Roman" w:cs="Arial"/>
                <w:szCs w:val="20"/>
                <w:lang w:eastAsia="sl-SI"/>
              </w:rPr>
              <w:t>obveznosti za druga javnofinančna sredstva (drugi viri), ki niso načrtovana na ukrepih oziroma projektih sprejetih proračunov.</w:t>
            </w:r>
          </w:p>
          <w:p w14:paraId="09EAA053" w14:textId="77777777" w:rsidR="00193301" w:rsidRPr="00AE1F83" w:rsidRDefault="00193301" w:rsidP="00193301">
            <w:pPr>
              <w:widowControl w:val="0"/>
              <w:spacing w:after="0" w:line="260" w:lineRule="exact"/>
              <w:ind w:left="284"/>
              <w:rPr>
                <w:rFonts w:eastAsia="Times New Roman" w:cs="Arial"/>
                <w:szCs w:val="20"/>
                <w:lang w:eastAsia="sl-SI"/>
              </w:rPr>
            </w:pPr>
          </w:p>
          <w:p w14:paraId="09155949" w14:textId="77777777" w:rsidR="00193301" w:rsidRPr="00AE1F83" w:rsidRDefault="00193301" w:rsidP="00193301">
            <w:pPr>
              <w:widowControl w:val="0"/>
              <w:numPr>
                <w:ilvl w:val="0"/>
                <w:numId w:val="1"/>
              </w:numPr>
              <w:suppressAutoHyphens/>
              <w:spacing w:after="0" w:line="260" w:lineRule="exact"/>
              <w:ind w:left="284" w:hanging="284"/>
              <w:jc w:val="both"/>
              <w:rPr>
                <w:rFonts w:eastAsia="Times New Roman" w:cs="Arial"/>
                <w:b/>
                <w:szCs w:val="20"/>
                <w:lang w:eastAsia="sl-SI"/>
              </w:rPr>
            </w:pPr>
            <w:r w:rsidRPr="00AE1F83">
              <w:rPr>
                <w:rFonts w:eastAsia="Times New Roman" w:cs="Arial"/>
                <w:b/>
                <w:szCs w:val="20"/>
                <w:lang w:eastAsia="sl-SI"/>
              </w:rPr>
              <w:t>Finančne posledice za državni proračun</w:t>
            </w:r>
          </w:p>
          <w:p w14:paraId="130F03CA"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Prikazane morajo biti finančne posledice za državni proračun, ki so na proračunskih postavkah načrtovane v dinamiki projektov oziroma ukrepov:</w:t>
            </w:r>
          </w:p>
          <w:p w14:paraId="42110DB0" w14:textId="77777777" w:rsidR="00193301" w:rsidRPr="00AE1F83" w:rsidRDefault="00193301" w:rsidP="00193301">
            <w:pPr>
              <w:widowControl w:val="0"/>
              <w:suppressAutoHyphens/>
              <w:spacing w:after="0" w:line="260" w:lineRule="exact"/>
              <w:ind w:left="720"/>
              <w:jc w:val="both"/>
              <w:rPr>
                <w:rFonts w:eastAsia="Times New Roman" w:cs="Arial"/>
                <w:b/>
                <w:szCs w:val="20"/>
                <w:lang w:eastAsia="sl-SI"/>
              </w:rPr>
            </w:pPr>
            <w:r w:rsidRPr="00AE1F83">
              <w:rPr>
                <w:rFonts w:eastAsia="Times New Roman" w:cs="Arial"/>
                <w:b/>
                <w:szCs w:val="20"/>
                <w:lang w:eastAsia="sl-SI"/>
              </w:rPr>
              <w:t>II.a Pravice porabe za izvedbo predlaganih rešitev so zagotovljene:</w:t>
            </w:r>
          </w:p>
          <w:p w14:paraId="2346E059"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1196DC7"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proračunski uporabnik, ki bo financiral novi projekt oziroma ukrep,</w:t>
            </w:r>
          </w:p>
          <w:p w14:paraId="77955504"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 xml:space="preserve">projekt oziroma ukrep, s katerim se bodo dosegli cilji vladnega gradiva, in </w:t>
            </w:r>
          </w:p>
          <w:p w14:paraId="36EB5FAF" w14:textId="77777777" w:rsidR="00193301" w:rsidRPr="00AE1F83" w:rsidRDefault="00193301" w:rsidP="00193301">
            <w:pPr>
              <w:widowControl w:val="0"/>
              <w:numPr>
                <w:ilvl w:val="0"/>
                <w:numId w:val="5"/>
              </w:numPr>
              <w:suppressAutoHyphens/>
              <w:spacing w:after="0" w:line="260" w:lineRule="exact"/>
              <w:jc w:val="both"/>
              <w:rPr>
                <w:rFonts w:eastAsia="Times New Roman" w:cs="Arial"/>
                <w:szCs w:val="20"/>
                <w:lang w:eastAsia="sl-SI"/>
              </w:rPr>
            </w:pPr>
            <w:r w:rsidRPr="00AE1F83">
              <w:rPr>
                <w:rFonts w:eastAsia="Times New Roman" w:cs="Arial"/>
                <w:szCs w:val="20"/>
                <w:lang w:eastAsia="sl-SI"/>
              </w:rPr>
              <w:t>proračunske postavke.</w:t>
            </w:r>
          </w:p>
          <w:p w14:paraId="7EC27F55"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69BDA04" w14:textId="77777777" w:rsidR="00193301" w:rsidRPr="00AE1F83" w:rsidRDefault="00193301" w:rsidP="00193301">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II.b Manjkajoče pravice porabe bodo zagotovljene s prerazporeditvijo:</w:t>
            </w:r>
          </w:p>
          <w:p w14:paraId="240781EE"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F103CF6" w14:textId="77777777" w:rsidR="00193301" w:rsidRPr="00AE1F83" w:rsidRDefault="00193301" w:rsidP="00193301">
            <w:pPr>
              <w:widowControl w:val="0"/>
              <w:suppressAutoHyphens/>
              <w:spacing w:after="0" w:line="260" w:lineRule="exact"/>
              <w:ind w:left="714"/>
              <w:jc w:val="both"/>
              <w:rPr>
                <w:rFonts w:eastAsia="Times New Roman" w:cs="Arial"/>
                <w:b/>
                <w:szCs w:val="20"/>
                <w:lang w:eastAsia="sl-SI"/>
              </w:rPr>
            </w:pPr>
            <w:r w:rsidRPr="00AE1F83">
              <w:rPr>
                <w:rFonts w:eastAsia="Times New Roman" w:cs="Arial"/>
                <w:b/>
                <w:szCs w:val="20"/>
                <w:lang w:eastAsia="sl-SI"/>
              </w:rPr>
              <w:t>II.c Načrtovana nadomestitev zmanjšanih prihodkov in povečanih odhodkov proračuna:</w:t>
            </w:r>
          </w:p>
          <w:p w14:paraId="3CFF775E" w14:textId="77777777" w:rsidR="00193301" w:rsidRPr="00AE1F83" w:rsidRDefault="00193301" w:rsidP="00193301">
            <w:pPr>
              <w:widowControl w:val="0"/>
              <w:spacing w:after="0" w:line="260" w:lineRule="exact"/>
              <w:ind w:left="284"/>
              <w:jc w:val="both"/>
              <w:rPr>
                <w:rFonts w:eastAsia="Times New Roman" w:cs="Arial"/>
                <w:szCs w:val="20"/>
                <w:lang w:eastAsia="sl-SI"/>
              </w:rPr>
            </w:pPr>
            <w:r w:rsidRPr="00AE1F83">
              <w:rPr>
                <w:rFonts w:eastAsia="Times New Roman"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F932E5C" w14:textId="77777777" w:rsidR="00193301" w:rsidRPr="00AE1F83" w:rsidRDefault="00193301" w:rsidP="00193301">
            <w:pPr>
              <w:widowControl w:val="0"/>
              <w:suppressAutoHyphens/>
              <w:overflowPunct w:val="0"/>
              <w:autoSpaceDE w:val="0"/>
              <w:autoSpaceDN w:val="0"/>
              <w:adjustRightInd w:val="0"/>
              <w:spacing w:after="0" w:line="260" w:lineRule="exact"/>
              <w:jc w:val="both"/>
              <w:textAlignment w:val="baseline"/>
              <w:rPr>
                <w:rFonts w:eastAsia="Times New Roman" w:cs="Arial"/>
                <w:b/>
                <w:bCs/>
                <w:spacing w:val="40"/>
                <w:szCs w:val="20"/>
                <w:lang w:eastAsia="sl-SI"/>
              </w:rPr>
            </w:pPr>
          </w:p>
        </w:tc>
      </w:tr>
      <w:tr w:rsidR="00193301" w:rsidRPr="00AE1F83" w14:paraId="783691F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D41B399" w14:textId="77777777" w:rsidR="00193301" w:rsidRPr="00AE1F83" w:rsidRDefault="00193301" w:rsidP="00193301">
            <w:pPr>
              <w:spacing w:after="0" w:line="260" w:lineRule="exact"/>
              <w:rPr>
                <w:rFonts w:eastAsia="Times New Roman" w:cs="Arial"/>
                <w:b/>
                <w:szCs w:val="20"/>
              </w:rPr>
            </w:pPr>
            <w:r w:rsidRPr="00AE1F83">
              <w:rPr>
                <w:rFonts w:eastAsia="Times New Roman" w:cs="Arial"/>
                <w:b/>
                <w:szCs w:val="20"/>
              </w:rPr>
              <w:t>7.b Predstavitev ocene finančnih posledic pod 40.000 EUR:</w:t>
            </w:r>
          </w:p>
          <w:p w14:paraId="1C93D3AB" w14:textId="77777777" w:rsidR="00193301" w:rsidRPr="00AE1F83" w:rsidRDefault="00193301" w:rsidP="00193301">
            <w:pPr>
              <w:spacing w:after="0" w:line="260" w:lineRule="exact"/>
              <w:rPr>
                <w:rFonts w:eastAsia="Times New Roman" w:cs="Arial"/>
                <w:szCs w:val="20"/>
              </w:rPr>
            </w:pPr>
            <w:r w:rsidRPr="00AE1F83">
              <w:rPr>
                <w:rFonts w:eastAsia="Times New Roman" w:cs="Arial"/>
                <w:szCs w:val="20"/>
              </w:rPr>
              <w:t>(Samo če izberete NE pod točko 6.a.)</w:t>
            </w:r>
          </w:p>
          <w:p w14:paraId="6E2C0DDA" w14:textId="77777777" w:rsidR="00193301" w:rsidRPr="00AE1F83" w:rsidRDefault="00193301" w:rsidP="00193301">
            <w:pPr>
              <w:spacing w:after="0" w:line="260" w:lineRule="exact"/>
              <w:rPr>
                <w:rFonts w:eastAsia="Times New Roman" w:cs="Arial"/>
                <w:b/>
                <w:szCs w:val="20"/>
              </w:rPr>
            </w:pPr>
            <w:r w:rsidRPr="00AE1F83">
              <w:rPr>
                <w:rFonts w:eastAsia="Times New Roman" w:cs="Arial"/>
                <w:b/>
                <w:szCs w:val="20"/>
              </w:rPr>
              <w:t>Kratka obrazložitev</w:t>
            </w:r>
          </w:p>
          <w:p w14:paraId="2B1C5005" w14:textId="77777777" w:rsidR="00193301" w:rsidRPr="00AE1F83" w:rsidRDefault="00193301" w:rsidP="00193301">
            <w:pPr>
              <w:spacing w:after="0" w:line="260" w:lineRule="exact"/>
              <w:rPr>
                <w:rFonts w:eastAsia="Times New Roman" w:cs="Arial"/>
                <w:b/>
                <w:szCs w:val="20"/>
              </w:rPr>
            </w:pPr>
          </w:p>
        </w:tc>
      </w:tr>
      <w:tr w:rsidR="00193301" w:rsidRPr="00AE1F83" w14:paraId="516E147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08B0C92" w14:textId="77777777" w:rsidR="00193301" w:rsidRPr="00AE1F83" w:rsidRDefault="00193301" w:rsidP="00193301">
            <w:pPr>
              <w:spacing w:after="0" w:line="260" w:lineRule="exact"/>
              <w:rPr>
                <w:rFonts w:eastAsia="Times New Roman" w:cs="Arial"/>
                <w:b/>
                <w:szCs w:val="20"/>
              </w:rPr>
            </w:pPr>
            <w:r w:rsidRPr="00AE1F83">
              <w:rPr>
                <w:rFonts w:eastAsia="Times New Roman" w:cs="Arial"/>
                <w:b/>
                <w:szCs w:val="20"/>
              </w:rPr>
              <w:t>8. Predstavitev sodelovanja z združenji občin:</w:t>
            </w:r>
          </w:p>
        </w:tc>
      </w:tr>
      <w:tr w:rsidR="00193301" w:rsidRPr="00AE1F83" w14:paraId="06DB2917"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7148B8D"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Vsebina predloženega gradiva (predpisa) vpliva na:</w:t>
            </w:r>
          </w:p>
          <w:p w14:paraId="3A3A6409" w14:textId="77777777" w:rsidR="00193301" w:rsidRPr="00AE1F83" w:rsidRDefault="00193301" w:rsidP="00193301">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pristojnosti občin,</w:t>
            </w:r>
          </w:p>
          <w:p w14:paraId="6D1C6F81" w14:textId="77777777" w:rsidR="00193301" w:rsidRPr="00AE1F83" w:rsidRDefault="00193301" w:rsidP="00193301">
            <w:pPr>
              <w:widowControl w:val="0"/>
              <w:numPr>
                <w:ilvl w:val="1"/>
                <w:numId w:val="8"/>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delovanje občin,</w:t>
            </w:r>
          </w:p>
          <w:p w14:paraId="76EE9794" w14:textId="77777777" w:rsidR="00193301" w:rsidRPr="00AE1F83" w:rsidRDefault="00193301" w:rsidP="00193301">
            <w:pPr>
              <w:widowControl w:val="0"/>
              <w:numPr>
                <w:ilvl w:val="1"/>
                <w:numId w:val="4"/>
              </w:numPr>
              <w:overflowPunct w:val="0"/>
              <w:autoSpaceDE w:val="0"/>
              <w:autoSpaceDN w:val="0"/>
              <w:adjustRightInd w:val="0"/>
              <w:spacing w:after="0" w:line="260" w:lineRule="exact"/>
              <w:ind w:left="418" w:hanging="426"/>
              <w:jc w:val="both"/>
              <w:textAlignment w:val="baseline"/>
              <w:rPr>
                <w:rFonts w:eastAsia="Times New Roman" w:cs="Arial"/>
                <w:iCs/>
                <w:szCs w:val="20"/>
                <w:lang w:eastAsia="sl-SI"/>
              </w:rPr>
            </w:pPr>
            <w:r w:rsidRPr="00AE1F83">
              <w:rPr>
                <w:rFonts w:eastAsia="Times New Roman" w:cs="Arial"/>
                <w:iCs/>
                <w:szCs w:val="20"/>
                <w:lang w:eastAsia="sl-SI"/>
              </w:rPr>
              <w:t>financiranje občin.</w:t>
            </w:r>
          </w:p>
          <w:p w14:paraId="3A3A0260" w14:textId="77777777" w:rsidR="00193301" w:rsidRPr="00AE1F83" w:rsidRDefault="00193301" w:rsidP="00193301">
            <w:pPr>
              <w:widowControl w:val="0"/>
              <w:overflowPunct w:val="0"/>
              <w:autoSpaceDE w:val="0"/>
              <w:autoSpaceDN w:val="0"/>
              <w:adjustRightInd w:val="0"/>
              <w:spacing w:after="0" w:line="260" w:lineRule="exact"/>
              <w:ind w:left="1440"/>
              <w:jc w:val="both"/>
              <w:textAlignment w:val="baseline"/>
              <w:rPr>
                <w:rFonts w:eastAsia="Times New Roman" w:cs="Arial"/>
                <w:iCs/>
                <w:szCs w:val="20"/>
                <w:lang w:eastAsia="sl-SI"/>
              </w:rPr>
            </w:pPr>
          </w:p>
        </w:tc>
        <w:tc>
          <w:tcPr>
            <w:tcW w:w="2431" w:type="dxa"/>
            <w:gridSpan w:val="2"/>
          </w:tcPr>
          <w:p w14:paraId="5E79EF38"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193301">
              <w:rPr>
                <w:rFonts w:eastAsia="Times New Roman" w:cs="Arial"/>
                <w:b/>
                <w:bCs/>
                <w:szCs w:val="20"/>
                <w:lang w:eastAsia="sl-SI"/>
              </w:rPr>
              <w:t>NE</w:t>
            </w:r>
          </w:p>
        </w:tc>
      </w:tr>
      <w:tr w:rsidR="00193301" w:rsidRPr="00AE1F83" w14:paraId="72BFB73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0C4007E"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 xml:space="preserve">Gradivo (predpis) je bilo poslano v mnenje: </w:t>
            </w:r>
          </w:p>
          <w:p w14:paraId="1A53B0E6"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Skupnosti občin Slovenije SOS: DA/</w:t>
            </w:r>
            <w:r w:rsidRPr="006E5450">
              <w:rPr>
                <w:rFonts w:eastAsia="Times New Roman" w:cs="Arial"/>
                <w:b/>
                <w:bCs/>
                <w:iCs/>
                <w:szCs w:val="20"/>
                <w:lang w:eastAsia="sl-SI"/>
              </w:rPr>
              <w:t>NE</w:t>
            </w:r>
          </w:p>
          <w:p w14:paraId="17B63A34"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občin Slovenije ZOS: DA/</w:t>
            </w:r>
            <w:r w:rsidRPr="006E5450">
              <w:rPr>
                <w:rFonts w:eastAsia="Times New Roman" w:cs="Arial"/>
                <w:b/>
                <w:bCs/>
                <w:iCs/>
                <w:szCs w:val="20"/>
                <w:lang w:eastAsia="sl-SI"/>
              </w:rPr>
              <w:t>NE</w:t>
            </w:r>
          </w:p>
          <w:p w14:paraId="44E39DC7" w14:textId="77777777" w:rsidR="00193301" w:rsidRPr="00AE1F83" w:rsidRDefault="00193301" w:rsidP="00193301">
            <w:pPr>
              <w:widowControl w:val="0"/>
              <w:numPr>
                <w:ilvl w:val="0"/>
                <w:numId w:val="6"/>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Združenju mestnih občin Slovenije ZMOS: DA/</w:t>
            </w:r>
            <w:r w:rsidRPr="006E5450">
              <w:rPr>
                <w:rFonts w:eastAsia="Times New Roman" w:cs="Arial"/>
                <w:b/>
                <w:bCs/>
                <w:iCs/>
                <w:szCs w:val="20"/>
                <w:lang w:eastAsia="sl-SI"/>
              </w:rPr>
              <w:t>NE</w:t>
            </w:r>
          </w:p>
          <w:p w14:paraId="1574571C"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Predlogi in pripombe združenj so bili upoštevani:</w:t>
            </w:r>
          </w:p>
          <w:p w14:paraId="2B3E91BC"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 celoti,</w:t>
            </w:r>
          </w:p>
          <w:p w14:paraId="1A69947E"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večinoma,</w:t>
            </w:r>
          </w:p>
          <w:p w14:paraId="5F726C48"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delno,</w:t>
            </w:r>
          </w:p>
          <w:p w14:paraId="43B0DD13" w14:textId="77777777" w:rsidR="00193301" w:rsidRPr="00AE1F83" w:rsidRDefault="00193301" w:rsidP="00193301">
            <w:pPr>
              <w:widowControl w:val="0"/>
              <w:numPr>
                <w:ilvl w:val="0"/>
                <w:numId w:val="7"/>
              </w:numPr>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niso bili upoštevani.</w:t>
            </w:r>
          </w:p>
          <w:p w14:paraId="5E9A8D5A"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AE1F83">
              <w:rPr>
                <w:rFonts w:eastAsia="Times New Roman" w:cs="Arial"/>
                <w:iCs/>
                <w:szCs w:val="20"/>
                <w:lang w:eastAsia="sl-SI"/>
              </w:rPr>
              <w:t>Bistveni predlogi in pripombe, ki niso bili upoštevani.</w:t>
            </w:r>
          </w:p>
          <w:p w14:paraId="6A2D9BD2"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5802729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FE53A82"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9. Predstavitev sodelovanja javnosti:</w:t>
            </w:r>
          </w:p>
        </w:tc>
      </w:tr>
      <w:tr w:rsidR="00193301" w:rsidRPr="00AE1F83" w14:paraId="29A9C63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0F374EE" w14:textId="77777777" w:rsidR="00193301" w:rsidRPr="00AE1F83" w:rsidRDefault="00193301" w:rsidP="00193301">
            <w:pPr>
              <w:widowControl w:val="0"/>
              <w:overflowPunct w:val="0"/>
              <w:autoSpaceDE w:val="0"/>
              <w:autoSpaceDN w:val="0"/>
              <w:adjustRightInd w:val="0"/>
              <w:spacing w:after="0" w:line="260" w:lineRule="exact"/>
              <w:jc w:val="both"/>
              <w:textAlignment w:val="baseline"/>
              <w:rPr>
                <w:rFonts w:eastAsia="Times New Roman" w:cs="Arial"/>
                <w:szCs w:val="20"/>
                <w:lang w:eastAsia="sl-SI"/>
              </w:rPr>
            </w:pPr>
            <w:r w:rsidRPr="00AE1F83">
              <w:rPr>
                <w:rFonts w:eastAsia="Times New Roman" w:cs="Arial"/>
                <w:iCs/>
                <w:szCs w:val="20"/>
                <w:lang w:eastAsia="sl-SI"/>
              </w:rPr>
              <w:t>Gradivo je bilo predhodno objavljeno na spletni strani predlagatelja:</w:t>
            </w:r>
          </w:p>
        </w:tc>
        <w:tc>
          <w:tcPr>
            <w:tcW w:w="2431" w:type="dxa"/>
            <w:gridSpan w:val="2"/>
          </w:tcPr>
          <w:p w14:paraId="46D9B962"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759E853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26B945" w14:textId="75193DBA" w:rsidR="00193301" w:rsidRPr="00AE1F83" w:rsidRDefault="006E5450" w:rsidP="00193301">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r w:rsidRPr="006E5450">
              <w:rPr>
                <w:rFonts w:eastAsia="Times New Roman"/>
                <w:iCs/>
                <w:szCs w:val="20"/>
              </w:rPr>
              <w:t>Pri pripravi gradiva sodelovanje javnosti ni potrebno</w:t>
            </w:r>
          </w:p>
        </w:tc>
      </w:tr>
      <w:tr w:rsidR="00193301" w:rsidRPr="00AE1F83" w14:paraId="4E17A81B"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D631B36" w14:textId="77777777" w:rsidR="00193301" w:rsidRPr="00AE1F83" w:rsidRDefault="00193301" w:rsidP="006E5450">
            <w:pPr>
              <w:widowControl w:val="0"/>
              <w:overflowPunct w:val="0"/>
              <w:autoSpaceDE w:val="0"/>
              <w:autoSpaceDN w:val="0"/>
              <w:adjustRightInd w:val="0"/>
              <w:spacing w:after="0" w:line="260" w:lineRule="exact"/>
              <w:jc w:val="both"/>
              <w:textAlignment w:val="baseline"/>
              <w:rPr>
                <w:rFonts w:eastAsia="Times New Roman" w:cs="Arial"/>
                <w:iCs/>
                <w:szCs w:val="20"/>
                <w:lang w:eastAsia="sl-SI"/>
              </w:rPr>
            </w:pPr>
          </w:p>
        </w:tc>
      </w:tr>
      <w:tr w:rsidR="00193301" w:rsidRPr="00AE1F83" w14:paraId="578C93FC"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C98E434"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szCs w:val="20"/>
                <w:lang w:eastAsia="sl-SI"/>
              </w:rPr>
            </w:pPr>
            <w:r w:rsidRPr="00AE1F83">
              <w:rPr>
                <w:rFonts w:eastAsia="Times New Roman" w:cs="Arial"/>
                <w:b/>
                <w:szCs w:val="20"/>
                <w:lang w:eastAsia="sl-SI"/>
              </w:rPr>
              <w:t>10. Pri pripravi gradiva so bile upoštevane zahteve iz Resolucije o normativni dejavnosti:</w:t>
            </w:r>
          </w:p>
        </w:tc>
        <w:tc>
          <w:tcPr>
            <w:tcW w:w="2431" w:type="dxa"/>
            <w:gridSpan w:val="2"/>
            <w:vAlign w:val="center"/>
          </w:tcPr>
          <w:p w14:paraId="10779B46"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iCs/>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0FF4F17A"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16164B" w14:textId="77777777" w:rsidR="00193301" w:rsidRPr="00AE1F83" w:rsidRDefault="00193301" w:rsidP="00193301">
            <w:pPr>
              <w:widowControl w:val="0"/>
              <w:overflowPunct w:val="0"/>
              <w:autoSpaceDE w:val="0"/>
              <w:autoSpaceDN w:val="0"/>
              <w:adjustRightInd w:val="0"/>
              <w:spacing w:after="0" w:line="260" w:lineRule="exact"/>
              <w:textAlignment w:val="baseline"/>
              <w:rPr>
                <w:rFonts w:eastAsia="Times New Roman" w:cs="Arial"/>
                <w:b/>
                <w:szCs w:val="20"/>
                <w:lang w:eastAsia="sl-SI"/>
              </w:rPr>
            </w:pPr>
            <w:r w:rsidRPr="00AE1F83">
              <w:rPr>
                <w:rFonts w:eastAsia="Times New Roman" w:cs="Arial"/>
                <w:b/>
                <w:szCs w:val="20"/>
                <w:lang w:eastAsia="sl-SI"/>
              </w:rPr>
              <w:t>11. Gradivo je uvrščeno v delovni program vlade:</w:t>
            </w:r>
          </w:p>
        </w:tc>
        <w:tc>
          <w:tcPr>
            <w:tcW w:w="2431" w:type="dxa"/>
            <w:gridSpan w:val="2"/>
            <w:vAlign w:val="center"/>
          </w:tcPr>
          <w:p w14:paraId="35621CBB" w14:textId="77777777" w:rsidR="00193301" w:rsidRPr="00AE1F83" w:rsidRDefault="00193301" w:rsidP="00193301">
            <w:pPr>
              <w:widowControl w:val="0"/>
              <w:overflowPunct w:val="0"/>
              <w:autoSpaceDE w:val="0"/>
              <w:autoSpaceDN w:val="0"/>
              <w:adjustRightInd w:val="0"/>
              <w:spacing w:after="0" w:line="260" w:lineRule="exact"/>
              <w:jc w:val="center"/>
              <w:textAlignment w:val="baseline"/>
              <w:rPr>
                <w:rFonts w:eastAsia="Times New Roman" w:cs="Arial"/>
                <w:szCs w:val="20"/>
                <w:lang w:eastAsia="sl-SI"/>
              </w:rPr>
            </w:pPr>
            <w:r w:rsidRPr="00AE1F83">
              <w:rPr>
                <w:rFonts w:eastAsia="Times New Roman" w:cs="Arial"/>
                <w:szCs w:val="20"/>
                <w:lang w:eastAsia="sl-SI"/>
              </w:rPr>
              <w:t>DA/</w:t>
            </w:r>
            <w:r w:rsidRPr="006E5450">
              <w:rPr>
                <w:rFonts w:eastAsia="Times New Roman" w:cs="Arial"/>
                <w:b/>
                <w:bCs/>
                <w:szCs w:val="20"/>
                <w:lang w:eastAsia="sl-SI"/>
              </w:rPr>
              <w:t>NE</w:t>
            </w:r>
          </w:p>
        </w:tc>
      </w:tr>
      <w:tr w:rsidR="00193301" w:rsidRPr="00AE1F83" w14:paraId="14584AD5"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42E089FF" w14:textId="77777777" w:rsidR="00193301" w:rsidRPr="00AE1F83" w:rsidRDefault="00193301"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p w14:paraId="37CACBC6" w14:textId="77777777" w:rsid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sidRPr="006E5450">
              <w:rPr>
                <w:rFonts w:eastAsia="Times New Roman" w:cs="Arial"/>
                <w:b/>
                <w:szCs w:val="20"/>
                <w:lang w:eastAsia="sl-SI"/>
              </w:rPr>
              <w:t xml:space="preserve">                          </w:t>
            </w:r>
          </w:p>
          <w:p w14:paraId="0B1D06A3" w14:textId="45E5A183" w:rsidR="006E5450" w:rsidRP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Pr>
                <w:rFonts w:eastAsia="Times New Roman" w:cs="Arial"/>
                <w:b/>
                <w:szCs w:val="20"/>
                <w:lang w:eastAsia="sl-SI"/>
              </w:rPr>
              <w:t xml:space="preserve">                     Simon Maljevac</w:t>
            </w:r>
          </w:p>
          <w:p w14:paraId="73944D6A" w14:textId="77777777" w:rsidR="006E5450" w:rsidRPr="006E5450" w:rsidRDefault="006E5450" w:rsidP="006E5450">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r w:rsidRPr="006E5450">
              <w:rPr>
                <w:rFonts w:eastAsia="Times New Roman" w:cs="Arial"/>
                <w:b/>
                <w:szCs w:val="20"/>
                <w:lang w:eastAsia="sl-SI"/>
              </w:rPr>
              <w:t xml:space="preserve">                             minister</w:t>
            </w:r>
          </w:p>
          <w:p w14:paraId="1B6AD02C" w14:textId="77777777" w:rsidR="006E5450" w:rsidRPr="006E5450" w:rsidRDefault="006E5450" w:rsidP="006E5450">
            <w:pPr>
              <w:tabs>
                <w:tab w:val="left" w:pos="3402"/>
              </w:tabs>
              <w:spacing w:after="0" w:line="260" w:lineRule="exact"/>
              <w:jc w:val="both"/>
              <w:rPr>
                <w:rFonts w:eastAsia="Times New Roman"/>
                <w:szCs w:val="20"/>
                <w:lang w:val="it-IT"/>
              </w:rPr>
            </w:pPr>
            <w:r w:rsidRPr="006E5450">
              <w:rPr>
                <w:rFonts w:eastAsia="Times New Roman"/>
                <w:szCs w:val="20"/>
                <w:lang w:val="it-IT"/>
              </w:rPr>
              <w:t xml:space="preserve">     </w:t>
            </w:r>
          </w:p>
          <w:p w14:paraId="6BC0FAC7" w14:textId="77777777" w:rsidR="006E5450" w:rsidRPr="006E5450" w:rsidRDefault="006E5450" w:rsidP="006E5450">
            <w:pPr>
              <w:tabs>
                <w:tab w:val="left" w:pos="3402"/>
              </w:tabs>
              <w:spacing w:after="0" w:line="260" w:lineRule="exact"/>
              <w:jc w:val="both"/>
              <w:rPr>
                <w:rFonts w:eastAsia="Times New Roman"/>
                <w:szCs w:val="20"/>
                <w:lang w:val="it-IT"/>
              </w:rPr>
            </w:pPr>
          </w:p>
          <w:p w14:paraId="6561997B" w14:textId="77777777" w:rsidR="006E5450" w:rsidRPr="006E5450" w:rsidRDefault="006E5450" w:rsidP="006E5450">
            <w:pPr>
              <w:tabs>
                <w:tab w:val="left" w:pos="3402"/>
              </w:tabs>
              <w:spacing w:after="0" w:line="260" w:lineRule="exact"/>
              <w:jc w:val="both"/>
              <w:rPr>
                <w:rFonts w:eastAsia="Times New Roman"/>
                <w:szCs w:val="20"/>
                <w:lang w:val="it-IT"/>
              </w:rPr>
            </w:pPr>
          </w:p>
          <w:p w14:paraId="6C49E0D1" w14:textId="77777777" w:rsidR="006E5450" w:rsidRPr="006E5450" w:rsidRDefault="006E5450" w:rsidP="006E5450">
            <w:pPr>
              <w:tabs>
                <w:tab w:val="left" w:pos="3402"/>
              </w:tabs>
              <w:spacing w:after="0" w:line="260" w:lineRule="exact"/>
              <w:jc w:val="both"/>
              <w:rPr>
                <w:rFonts w:eastAsia="Times New Roman"/>
                <w:szCs w:val="20"/>
                <w:lang w:val="it-IT"/>
              </w:rPr>
            </w:pPr>
          </w:p>
          <w:p w14:paraId="6942A9A9" w14:textId="77777777" w:rsidR="006E5450" w:rsidRPr="006E5450" w:rsidRDefault="006E5450" w:rsidP="006E5450">
            <w:pPr>
              <w:tabs>
                <w:tab w:val="left" w:pos="3402"/>
              </w:tabs>
              <w:spacing w:after="0" w:line="260" w:lineRule="exact"/>
              <w:jc w:val="both"/>
              <w:rPr>
                <w:rFonts w:eastAsia="Times New Roman"/>
                <w:szCs w:val="20"/>
                <w:lang w:val="it-IT"/>
              </w:rPr>
            </w:pPr>
          </w:p>
          <w:p w14:paraId="3D739C6D" w14:textId="77777777" w:rsidR="006E5450" w:rsidRPr="006E5450" w:rsidRDefault="006E5450" w:rsidP="006E5450">
            <w:pPr>
              <w:tabs>
                <w:tab w:val="left" w:pos="3402"/>
              </w:tabs>
              <w:spacing w:after="0" w:line="260" w:lineRule="exact"/>
              <w:jc w:val="both"/>
              <w:rPr>
                <w:rFonts w:eastAsia="Times New Roman"/>
                <w:szCs w:val="20"/>
                <w:lang w:val="it-IT"/>
              </w:rPr>
            </w:pPr>
          </w:p>
          <w:p w14:paraId="1744C7E2" w14:textId="77777777" w:rsidR="006E5450" w:rsidRPr="006E5450" w:rsidRDefault="006E5450" w:rsidP="006E5450">
            <w:pPr>
              <w:tabs>
                <w:tab w:val="left" w:pos="3402"/>
              </w:tabs>
              <w:spacing w:after="0" w:line="260" w:lineRule="exact"/>
              <w:jc w:val="both"/>
              <w:rPr>
                <w:rFonts w:eastAsia="Times New Roman"/>
                <w:szCs w:val="20"/>
                <w:lang w:val="it-IT"/>
              </w:rPr>
            </w:pPr>
          </w:p>
          <w:p w14:paraId="44B4EB1D" w14:textId="77777777" w:rsidR="006E5450" w:rsidRPr="006E5450" w:rsidRDefault="006E5450" w:rsidP="006E5450">
            <w:pPr>
              <w:tabs>
                <w:tab w:val="left" w:pos="3402"/>
              </w:tabs>
              <w:spacing w:after="0" w:line="260" w:lineRule="exact"/>
              <w:jc w:val="both"/>
              <w:rPr>
                <w:rFonts w:eastAsia="Times New Roman"/>
                <w:szCs w:val="24"/>
              </w:rPr>
            </w:pPr>
            <w:r w:rsidRPr="006E5450">
              <w:rPr>
                <w:rFonts w:eastAsia="Times New Roman"/>
                <w:szCs w:val="20"/>
                <w:lang w:val="it-IT"/>
              </w:rPr>
              <w:t xml:space="preserve">   </w:t>
            </w:r>
            <w:r w:rsidRPr="006E5450">
              <w:rPr>
                <w:rFonts w:eastAsia="Times New Roman"/>
                <w:szCs w:val="24"/>
              </w:rPr>
              <w:t xml:space="preserve">Priloge: </w:t>
            </w:r>
          </w:p>
          <w:p w14:paraId="6BAC9259"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Obrazložitev,</w:t>
            </w:r>
          </w:p>
          <w:p w14:paraId="56773FDD"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Predlog Sklepa Vlade RS,</w:t>
            </w:r>
          </w:p>
          <w:p w14:paraId="37D9F1E7" w14:textId="77777777"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Obrazec 3: Načrt razvojnih programov,</w:t>
            </w:r>
          </w:p>
          <w:p w14:paraId="3F2204FB" w14:textId="01BCFD8D" w:rsidR="006E5450" w:rsidRPr="006E5450" w:rsidRDefault="006E5450" w:rsidP="006E5450">
            <w:pPr>
              <w:numPr>
                <w:ilvl w:val="1"/>
                <w:numId w:val="4"/>
              </w:numPr>
              <w:tabs>
                <w:tab w:val="left" w:pos="3402"/>
              </w:tabs>
              <w:spacing w:after="0" w:line="260" w:lineRule="exact"/>
              <w:jc w:val="both"/>
              <w:rPr>
                <w:rFonts w:eastAsia="Times New Roman"/>
                <w:szCs w:val="24"/>
              </w:rPr>
            </w:pPr>
            <w:r w:rsidRPr="006E5450">
              <w:rPr>
                <w:rFonts w:eastAsia="Times New Roman"/>
                <w:szCs w:val="24"/>
              </w:rPr>
              <w:t xml:space="preserve">Sklep o potrditvi investicijske dokumentacije, </w:t>
            </w:r>
            <w:r w:rsidR="00471CE6">
              <w:rPr>
                <w:rFonts w:eastAsia="Times New Roman"/>
                <w:szCs w:val="24"/>
              </w:rPr>
              <w:t>1</w:t>
            </w:r>
            <w:r w:rsidRPr="006E5450">
              <w:rPr>
                <w:rFonts w:eastAsia="Times New Roman"/>
                <w:szCs w:val="24"/>
              </w:rPr>
              <w:t>x.</w:t>
            </w:r>
          </w:p>
          <w:p w14:paraId="0DB92F4D" w14:textId="77777777" w:rsidR="00193301" w:rsidRPr="00AE1F83" w:rsidRDefault="00193301"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r w:rsidR="006E5450" w:rsidRPr="00AE1F83" w14:paraId="51A15999" w14:textId="77777777"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AA9DD73" w14:textId="77777777" w:rsidR="006E5450" w:rsidRPr="00AE1F83" w:rsidRDefault="006E5450" w:rsidP="00193301">
            <w:pPr>
              <w:widowControl w:val="0"/>
              <w:suppressAutoHyphens/>
              <w:overflowPunct w:val="0"/>
              <w:autoSpaceDE w:val="0"/>
              <w:autoSpaceDN w:val="0"/>
              <w:adjustRightInd w:val="0"/>
              <w:spacing w:after="0" w:line="260" w:lineRule="exact"/>
              <w:ind w:left="3400"/>
              <w:textAlignment w:val="baseline"/>
              <w:outlineLvl w:val="3"/>
              <w:rPr>
                <w:rFonts w:eastAsia="Times New Roman" w:cs="Arial"/>
                <w:b/>
                <w:szCs w:val="20"/>
                <w:lang w:eastAsia="sl-SI"/>
              </w:rPr>
            </w:pPr>
          </w:p>
        </w:tc>
      </w:tr>
    </w:tbl>
    <w:p w14:paraId="1A3B8727" w14:textId="1571E733" w:rsidR="00FB397B" w:rsidRDefault="00FB397B"/>
    <w:p w14:paraId="4DBF4361" w14:textId="3D88AE64" w:rsidR="006E5450" w:rsidRDefault="006E5450"/>
    <w:p w14:paraId="3F96F71D" w14:textId="1D92E3A3" w:rsidR="006E5450" w:rsidRDefault="006E5450"/>
    <w:p w14:paraId="27339E5C" w14:textId="024F0777" w:rsidR="006E5450" w:rsidRDefault="006E5450"/>
    <w:p w14:paraId="2CDE241E" w14:textId="611C5C1B" w:rsidR="006E5450" w:rsidRDefault="006E5450"/>
    <w:p w14:paraId="1806540C" w14:textId="45D31AD7" w:rsidR="006E5450" w:rsidRDefault="006E5450"/>
    <w:p w14:paraId="4EB972B6" w14:textId="3B728A55" w:rsidR="006E5450" w:rsidRDefault="006E5450"/>
    <w:p w14:paraId="3431AD08" w14:textId="70C7D0B0" w:rsidR="006E5450" w:rsidRDefault="006E5450"/>
    <w:p w14:paraId="3C9DE666" w14:textId="109CB7A4" w:rsidR="006E5450" w:rsidRDefault="006E5450"/>
    <w:p w14:paraId="673DC739" w14:textId="4810BBD6" w:rsidR="006E5450" w:rsidRDefault="006E5450"/>
    <w:p w14:paraId="4502CA52" w14:textId="171893DE" w:rsidR="006E5450" w:rsidRDefault="006E5450"/>
    <w:p w14:paraId="25E142F7" w14:textId="77777777" w:rsidR="006E5450" w:rsidRPr="006E5450" w:rsidRDefault="006E5450" w:rsidP="006E5450">
      <w:pPr>
        <w:tabs>
          <w:tab w:val="left" w:pos="3402"/>
        </w:tabs>
        <w:spacing w:after="0" w:line="260" w:lineRule="exact"/>
        <w:ind w:left="360"/>
        <w:jc w:val="center"/>
        <w:rPr>
          <w:rFonts w:eastAsia="Times New Roman"/>
          <w:b/>
          <w:szCs w:val="24"/>
        </w:rPr>
      </w:pPr>
      <w:r w:rsidRPr="00B90AC1">
        <w:rPr>
          <w:rFonts w:eastAsia="Times New Roman"/>
          <w:b/>
          <w:szCs w:val="24"/>
        </w:rPr>
        <w:t>OBRAZLOŽITEV</w:t>
      </w:r>
    </w:p>
    <w:p w14:paraId="4DD2B3E7" w14:textId="77777777" w:rsidR="006E5450" w:rsidRPr="006E5450" w:rsidRDefault="006E5450" w:rsidP="006E5450">
      <w:pPr>
        <w:spacing w:after="0" w:line="260" w:lineRule="exact"/>
        <w:jc w:val="both"/>
        <w:rPr>
          <w:rFonts w:eastAsia="Times New Roman"/>
          <w:szCs w:val="24"/>
        </w:rPr>
      </w:pPr>
    </w:p>
    <w:p w14:paraId="6426E538" w14:textId="11340440" w:rsidR="00B64849" w:rsidRPr="005849FF" w:rsidRDefault="00B64849" w:rsidP="005849FF">
      <w:pPr>
        <w:pStyle w:val="podpisi"/>
        <w:jc w:val="both"/>
        <w:rPr>
          <w:b/>
          <w:iCs/>
          <w:color w:val="000000"/>
          <w:szCs w:val="20"/>
          <w:lang w:val="sl-SI"/>
        </w:rPr>
      </w:pPr>
      <w:r w:rsidRPr="005849FF">
        <w:rPr>
          <w:b/>
          <w:iCs/>
          <w:color w:val="000000"/>
          <w:szCs w:val="20"/>
          <w:lang w:val="sl-SI"/>
        </w:rPr>
        <w:t xml:space="preserve">Sprememba izhodiščne vrednosti </w:t>
      </w:r>
      <w:r w:rsidR="00381596">
        <w:rPr>
          <w:b/>
          <w:iCs/>
          <w:color w:val="000000"/>
          <w:szCs w:val="20"/>
          <w:lang w:val="sl-SI"/>
        </w:rPr>
        <w:t xml:space="preserve">in podaljšanje </w:t>
      </w:r>
      <w:r w:rsidRPr="005849FF">
        <w:rPr>
          <w:b/>
          <w:iCs/>
          <w:color w:val="000000"/>
          <w:szCs w:val="20"/>
          <w:lang w:val="sl-SI"/>
        </w:rPr>
        <w:t>projekta</w:t>
      </w:r>
      <w:r w:rsidR="006E5450" w:rsidRPr="005849FF">
        <w:rPr>
          <w:b/>
          <w:iCs/>
          <w:color w:val="000000"/>
          <w:szCs w:val="20"/>
          <w:lang w:val="sl-SI"/>
        </w:rPr>
        <w:t xml:space="preserve"> </w:t>
      </w:r>
      <w:r w:rsidR="005849FF" w:rsidRPr="005849FF">
        <w:rPr>
          <w:b/>
          <w:iCs/>
          <w:color w:val="000000"/>
          <w:szCs w:val="20"/>
          <w:lang w:val="sl-SI"/>
        </w:rPr>
        <w:t xml:space="preserve">2611-22-0902 – Nadzidava in prizidava Doma Poljčane, </w:t>
      </w:r>
      <w:r w:rsidR="00560F74">
        <w:rPr>
          <w:b/>
          <w:iCs/>
          <w:color w:val="000000"/>
          <w:szCs w:val="20"/>
          <w:lang w:val="sl-SI"/>
        </w:rPr>
        <w:t>S</w:t>
      </w:r>
      <w:r w:rsidR="005849FF" w:rsidRPr="005849FF">
        <w:rPr>
          <w:b/>
          <w:iCs/>
          <w:color w:val="000000"/>
          <w:szCs w:val="20"/>
          <w:lang w:val="sl-SI"/>
        </w:rPr>
        <w:t>lov</w:t>
      </w:r>
      <w:r w:rsidR="00560F74">
        <w:rPr>
          <w:b/>
          <w:iCs/>
          <w:color w:val="000000"/>
          <w:szCs w:val="20"/>
          <w:lang w:val="sl-SI"/>
        </w:rPr>
        <w:t>.</w:t>
      </w:r>
      <w:r w:rsidR="005849FF" w:rsidRPr="005849FF">
        <w:rPr>
          <w:b/>
          <w:iCs/>
          <w:color w:val="000000"/>
          <w:szCs w:val="20"/>
          <w:lang w:val="sl-SI"/>
        </w:rPr>
        <w:t xml:space="preserve"> Bistrica</w:t>
      </w:r>
    </w:p>
    <w:p w14:paraId="2626CD4E" w14:textId="52C5F26F" w:rsidR="005849FF" w:rsidRDefault="005849FF" w:rsidP="005849FF">
      <w:pPr>
        <w:pStyle w:val="podpisi"/>
        <w:jc w:val="both"/>
        <w:rPr>
          <w:rFonts w:cs="Arial"/>
          <w:b/>
          <w:iCs/>
          <w:szCs w:val="20"/>
          <w:lang w:eastAsia="sl-SI"/>
        </w:rPr>
      </w:pPr>
    </w:p>
    <w:p w14:paraId="0EF27048" w14:textId="77777777" w:rsidR="00456552" w:rsidRPr="006E5450" w:rsidRDefault="00456552" w:rsidP="005849FF">
      <w:pPr>
        <w:pStyle w:val="podpisi"/>
        <w:jc w:val="both"/>
        <w:rPr>
          <w:rFonts w:cs="Arial"/>
          <w:b/>
          <w:iCs/>
          <w:szCs w:val="20"/>
          <w:lang w:eastAsia="sl-SI"/>
        </w:rPr>
      </w:pPr>
    </w:p>
    <w:p w14:paraId="25210652" w14:textId="492A9B74" w:rsidR="005849FF" w:rsidRPr="005849FF" w:rsidRDefault="005849FF" w:rsidP="005849FF">
      <w:pPr>
        <w:tabs>
          <w:tab w:val="left" w:pos="3402"/>
        </w:tabs>
        <w:spacing w:after="0" w:line="260" w:lineRule="exact"/>
        <w:jc w:val="both"/>
        <w:rPr>
          <w:rFonts w:eastAsia="Times New Roman"/>
          <w:iCs/>
          <w:szCs w:val="20"/>
        </w:rPr>
      </w:pPr>
      <w:r w:rsidRPr="005849FF">
        <w:rPr>
          <w:rFonts w:eastAsia="Times New Roman" w:cs="Arial"/>
          <w:szCs w:val="20"/>
        </w:rPr>
        <w:t xml:space="preserve">Dom dr. Jožeta Potrča Poljčane (v nadaljnjem besedilu: dom) je javni socialno varstveni zavod za institucionalno varstvo starejših od 65 let. Osnovna oskrba zajema institucionalno varstvo, dnevno varstvo, pomoč na domu in razvoz kosil. Poleg osnovne dejavnosti dom stanovalcem zagotavlja delovno terapijo in fizioterapijo. Dom deluje na dveh lokacijah, in sicer v Poljčanah, kjer kapaciteta znaša 230 stanovalcev in v Slovenski Bistrici, ki sprejme 124 stanovalcev. Enota v Slovenski Bistrici ima sedem </w:t>
      </w:r>
      <w:r w:rsidR="00D04F12">
        <w:rPr>
          <w:rFonts w:eastAsia="Times New Roman" w:cs="Arial"/>
          <w:szCs w:val="20"/>
        </w:rPr>
        <w:t xml:space="preserve">bivalnih enot </w:t>
      </w:r>
      <w:r w:rsidR="00D04F12" w:rsidRPr="00D04F12">
        <w:rPr>
          <w:rFonts w:ascii="Calibri" w:hAnsi="Calibri" w:cs="Arial"/>
          <w:sz w:val="22"/>
          <w:szCs w:val="20"/>
        </w:rPr>
        <w:t>z lastnim dnevnim prostorom s kuhinjo, negovalno kopalnico in skladišči za čisto in umazano perilo</w:t>
      </w:r>
      <w:r w:rsidR="00D04F12">
        <w:rPr>
          <w:rFonts w:ascii="Calibri" w:hAnsi="Calibri" w:cs="Arial"/>
          <w:sz w:val="22"/>
          <w:szCs w:val="20"/>
        </w:rPr>
        <w:t>, in sicer</w:t>
      </w:r>
      <w:r w:rsidRPr="005849FF">
        <w:rPr>
          <w:rFonts w:eastAsia="Times New Roman" w:cs="Arial"/>
          <w:szCs w:val="20"/>
        </w:rPr>
        <w:t xml:space="preserve"> dva varovana oddelka za osebe </w:t>
      </w:r>
      <w:r w:rsidR="00D04F12">
        <w:rPr>
          <w:rFonts w:eastAsia="Times New Roman" w:cs="Arial"/>
          <w:szCs w:val="20"/>
        </w:rPr>
        <w:t xml:space="preserve">z demenco </w:t>
      </w:r>
      <w:r w:rsidRPr="005849FF">
        <w:rPr>
          <w:rFonts w:eastAsia="Times New Roman" w:cs="Arial"/>
          <w:szCs w:val="20"/>
        </w:rPr>
        <w:t xml:space="preserve">s po 12 </w:t>
      </w:r>
      <w:r w:rsidR="00D04F12">
        <w:rPr>
          <w:rFonts w:eastAsia="Times New Roman" w:cs="Arial"/>
          <w:szCs w:val="20"/>
        </w:rPr>
        <w:t>mest</w:t>
      </w:r>
      <w:r w:rsidRPr="005849FF">
        <w:rPr>
          <w:rFonts w:eastAsia="Times New Roman" w:cs="Arial"/>
          <w:szCs w:val="20"/>
        </w:rPr>
        <w:t xml:space="preserve">i v pritličju in pet oskrbovanih oddelkov s po 20 </w:t>
      </w:r>
      <w:r w:rsidR="00D04F12">
        <w:rPr>
          <w:rFonts w:eastAsia="Times New Roman" w:cs="Arial"/>
          <w:szCs w:val="20"/>
        </w:rPr>
        <w:t>mesti</w:t>
      </w:r>
      <w:r w:rsidRPr="005849FF">
        <w:rPr>
          <w:rFonts w:eastAsia="Times New Roman" w:cs="Arial"/>
          <w:szCs w:val="20"/>
        </w:rPr>
        <w:t xml:space="preserve"> v dveh nadstropjih.</w:t>
      </w:r>
      <w:r w:rsidR="00D04F12" w:rsidRPr="00D04F12">
        <w:rPr>
          <w:rFonts w:eastAsia="Times New Roman" w:cs="Arial"/>
          <w:szCs w:val="20"/>
        </w:rPr>
        <w:t xml:space="preserve"> Ima tudi vse potrebne skupne, zdravstvene in tehnične prostore: skupno jedilnico, kuhinjo, ambulanto, prostore uprave, vežico in kapelico. Načrtovan je bil tudi dnevni center za do 10 oseb, za katerega pa ni zanimanja</w:t>
      </w:r>
      <w:r w:rsidRPr="005849FF">
        <w:rPr>
          <w:rFonts w:eastAsia="Times New Roman"/>
          <w:iCs/>
          <w:szCs w:val="20"/>
        </w:rPr>
        <w:t>. Zaradi naraščanja potreb po oskrbi starejših v občini in širši okolici se v zadnjih letih podaljšujejo čakalne dobe in število čakajočih za bivanje v domu</w:t>
      </w:r>
      <w:r w:rsidR="00D04F12">
        <w:rPr>
          <w:rFonts w:eastAsia="Times New Roman"/>
          <w:iCs/>
          <w:szCs w:val="20"/>
        </w:rPr>
        <w:t xml:space="preserve">, </w:t>
      </w:r>
      <w:r w:rsidR="00D04F12" w:rsidRPr="00D04F12">
        <w:rPr>
          <w:rFonts w:eastAsia="Times New Roman"/>
          <w:iCs/>
          <w:szCs w:val="20"/>
        </w:rPr>
        <w:t>je potrebno povečanje kapacitet enote.</w:t>
      </w:r>
    </w:p>
    <w:p w14:paraId="7EFC2E42" w14:textId="77777777" w:rsidR="005849FF" w:rsidRPr="005849FF" w:rsidRDefault="005849FF" w:rsidP="005849FF">
      <w:pPr>
        <w:tabs>
          <w:tab w:val="left" w:pos="3402"/>
        </w:tabs>
        <w:spacing w:after="0" w:line="260" w:lineRule="exact"/>
        <w:jc w:val="both"/>
        <w:rPr>
          <w:rFonts w:eastAsia="Times New Roman"/>
          <w:iCs/>
          <w:szCs w:val="20"/>
        </w:rPr>
      </w:pPr>
    </w:p>
    <w:p w14:paraId="2B879C34" w14:textId="47FF3FBA" w:rsidR="005849FF" w:rsidRPr="005849FF" w:rsidRDefault="00D04F12" w:rsidP="005849FF">
      <w:pPr>
        <w:tabs>
          <w:tab w:val="left" w:pos="3402"/>
        </w:tabs>
        <w:spacing w:after="0" w:line="260" w:lineRule="exact"/>
        <w:jc w:val="both"/>
        <w:rPr>
          <w:rFonts w:eastAsia="Times New Roman" w:cs="Arial"/>
          <w:szCs w:val="20"/>
        </w:rPr>
      </w:pPr>
      <w:r w:rsidRPr="00D04F12">
        <w:rPr>
          <w:rFonts w:eastAsia="Times New Roman" w:cs="Arial"/>
          <w:szCs w:val="20"/>
        </w:rPr>
        <w:t>Namen investicije je zagotovitev ustreznih prostorskih pogojev za povečanje kapacitet v enoti doma v Slovenskih Konjicah na 12 bivalnih enot, ki bodo zagotavljale bivanje za 200 uporabnikov oziroma dodatnih 76 mest, z reorganizacijo nedelujočega dnevnega centra pridobiti dodatne kapacitete za potrebe oseb z demenco ter v primeru epidemije zagotoviti izolacijo posameznih enot.</w:t>
      </w:r>
    </w:p>
    <w:p w14:paraId="0C80450B" w14:textId="77777777" w:rsidR="005849FF" w:rsidRPr="005849FF" w:rsidRDefault="005849FF" w:rsidP="005849FF">
      <w:pPr>
        <w:tabs>
          <w:tab w:val="left" w:pos="3402"/>
        </w:tabs>
        <w:spacing w:after="0" w:line="260" w:lineRule="exact"/>
        <w:jc w:val="both"/>
        <w:rPr>
          <w:rFonts w:eastAsia="Times New Roman" w:cs="Arial"/>
          <w:szCs w:val="20"/>
          <w:highlight w:val="yellow"/>
        </w:rPr>
      </w:pPr>
    </w:p>
    <w:p w14:paraId="11CA77C2" w14:textId="07B62C29" w:rsidR="005849FF" w:rsidRDefault="005849FF" w:rsidP="005849FF">
      <w:pPr>
        <w:tabs>
          <w:tab w:val="left" w:pos="3402"/>
        </w:tabs>
        <w:spacing w:after="0" w:line="260" w:lineRule="exact"/>
        <w:jc w:val="both"/>
        <w:rPr>
          <w:rFonts w:eastAsia="Times New Roman"/>
          <w:iCs/>
          <w:szCs w:val="20"/>
        </w:rPr>
      </w:pPr>
      <w:r w:rsidRPr="005849FF">
        <w:rPr>
          <w:rFonts w:eastAsia="Times New Roman"/>
          <w:iCs/>
          <w:szCs w:val="20"/>
        </w:rPr>
        <w:t>Investicija predstavlja nadzidavo</w:t>
      </w:r>
      <w:r w:rsidR="00D04F12">
        <w:rPr>
          <w:rFonts w:eastAsia="Times New Roman"/>
          <w:iCs/>
          <w:szCs w:val="20"/>
        </w:rPr>
        <w:t xml:space="preserve"> in prizidavo</w:t>
      </w:r>
      <w:r w:rsidRPr="005849FF">
        <w:rPr>
          <w:rFonts w:eastAsia="Times New Roman"/>
          <w:iCs/>
          <w:szCs w:val="20"/>
        </w:rPr>
        <w:t xml:space="preserve"> obstoječega objekta, ki se bo v večjem delu nadzidal za eno, delno tudi za dve etaži, tako da bo etažnost po dokončani nadzidavi P+3 oziroma P+2. </w:t>
      </w:r>
      <w:r w:rsidR="00D04F12" w:rsidRPr="00D04F12">
        <w:rPr>
          <w:rFonts w:eastAsia="Times New Roman"/>
          <w:iCs/>
          <w:szCs w:val="20"/>
        </w:rPr>
        <w:t>V pritličju bo izvedena dodatna polovična bivalna enota za osebe z demenco s štirimi sobami oziroma šestimi ležišči, prehodno dnevno sobo s kuhinjsko nišo in negovalno kopalnico. V drugem nadstropju se bo z nadzidavo pridobila nova bivalna enota z 20 mesti. V tretjem nadstropju bosta dve polni bivalni enoti s po 20 mesti, ena polovična bivalna enota z 10 mesti in vsemi spremljajočimi skupnimi prostori (dnevne sobe, negovalne kopalnice) ter prostori fizioterapije. Obstoječe zunanje požarno stopnišče se bo zaprlo, konstrukcija pa ojačala zaradi dodatne obtežitve v nadstropjih.</w:t>
      </w:r>
    </w:p>
    <w:p w14:paraId="72C8CD53" w14:textId="77777777" w:rsidR="00D04F12" w:rsidRPr="005849FF" w:rsidRDefault="00D04F12" w:rsidP="005849FF">
      <w:pPr>
        <w:tabs>
          <w:tab w:val="left" w:pos="3402"/>
        </w:tabs>
        <w:spacing w:after="0" w:line="260" w:lineRule="exact"/>
        <w:jc w:val="both"/>
        <w:rPr>
          <w:rFonts w:eastAsia="Times New Roman"/>
          <w:iCs/>
          <w:szCs w:val="20"/>
          <w:highlight w:val="yellow"/>
        </w:rPr>
      </w:pPr>
    </w:p>
    <w:p w14:paraId="1F6107A0" w14:textId="77777777" w:rsidR="005849FF" w:rsidRDefault="005849FF" w:rsidP="005849FF">
      <w:pPr>
        <w:spacing w:after="0" w:line="240" w:lineRule="auto"/>
        <w:jc w:val="both"/>
        <w:rPr>
          <w:rFonts w:eastAsia="Times New Roman" w:cs="Arial"/>
          <w:szCs w:val="20"/>
        </w:rPr>
      </w:pPr>
      <w:r w:rsidRPr="005849FF">
        <w:rPr>
          <w:rFonts w:eastAsia="Times New Roman" w:cs="Arial"/>
          <w:szCs w:val="20"/>
        </w:rPr>
        <w:t>Z izvedbo investicije bo zagotovljena ustrezna socialnovarstvena infrastruktura, ki bo sledila demografskim trendom in omogočala kakovostno skrb za starostnike, zmanjšala število čakajočih za sprejem v oskrbo ter pripomogla k dvigu kakovosti družbenega okolja.</w:t>
      </w:r>
    </w:p>
    <w:p w14:paraId="0FF12295" w14:textId="77777777" w:rsidR="0070224D" w:rsidRPr="005849FF" w:rsidRDefault="0070224D" w:rsidP="005849FF">
      <w:pPr>
        <w:spacing w:after="0" w:line="240" w:lineRule="auto"/>
        <w:jc w:val="both"/>
        <w:rPr>
          <w:rFonts w:eastAsia="Times New Roman" w:cs="Arial"/>
          <w:szCs w:val="20"/>
        </w:rPr>
      </w:pPr>
    </w:p>
    <w:p w14:paraId="074B7E22" w14:textId="77777777" w:rsidR="0070224D" w:rsidRPr="00352562" w:rsidRDefault="0070224D" w:rsidP="0070224D">
      <w:pPr>
        <w:tabs>
          <w:tab w:val="left" w:pos="1701"/>
        </w:tabs>
        <w:spacing w:after="0" w:line="264" w:lineRule="auto"/>
        <w:jc w:val="both"/>
        <w:rPr>
          <w:rFonts w:eastAsia="Times New Roman" w:cs="Arial"/>
          <w:bCs/>
          <w:szCs w:val="20"/>
        </w:rPr>
      </w:pPr>
      <w:r w:rsidRPr="00B90AC1">
        <w:rPr>
          <w:rFonts w:eastAsia="Times New Roman" w:cs="Arial"/>
          <w:bCs/>
          <w:szCs w:val="20"/>
        </w:rPr>
        <w:t>Na podlagi Zakona o spremembah in dopolnitvah Zakona o državni upravi (Uradni list RS, št. 18/23) se je z dnem 14. 2. 2023 opravljanje nalog na področju socialnega varstva v delu, ki se nanaša na institucionalno varstvo, preneslo v pristojnost Ministrstva za solidarno prihodnost (v nadalj</w:t>
      </w:r>
      <w:r>
        <w:rPr>
          <w:rFonts w:eastAsia="Times New Roman" w:cs="Arial"/>
          <w:bCs/>
          <w:szCs w:val="20"/>
        </w:rPr>
        <w:t>njem besedilu</w:t>
      </w:r>
      <w:r w:rsidRPr="00B90AC1">
        <w:rPr>
          <w:rFonts w:eastAsia="Times New Roman" w:cs="Arial"/>
          <w:bCs/>
          <w:szCs w:val="20"/>
        </w:rPr>
        <w:t>: ministrstvo).</w:t>
      </w:r>
      <w:r w:rsidRPr="00352562">
        <w:rPr>
          <w:rFonts w:eastAsia="Times New Roman" w:cs="Arial"/>
          <w:bCs/>
          <w:szCs w:val="20"/>
        </w:rPr>
        <w:t xml:space="preserve"> </w:t>
      </w:r>
    </w:p>
    <w:p w14:paraId="686E36CD" w14:textId="2993626C" w:rsidR="005849FF" w:rsidRDefault="005849FF" w:rsidP="005849FF">
      <w:pPr>
        <w:spacing w:after="0" w:line="260" w:lineRule="exact"/>
        <w:jc w:val="both"/>
        <w:rPr>
          <w:rFonts w:eastAsia="Times New Roman" w:cs="Arial"/>
          <w:szCs w:val="20"/>
        </w:rPr>
      </w:pPr>
    </w:p>
    <w:p w14:paraId="147512C8" w14:textId="3AD4E05A" w:rsidR="00D26836" w:rsidRDefault="00D26836" w:rsidP="00D04F12">
      <w:pPr>
        <w:tabs>
          <w:tab w:val="left" w:pos="3402"/>
        </w:tabs>
        <w:spacing w:after="0" w:line="260" w:lineRule="exact"/>
        <w:jc w:val="both"/>
        <w:rPr>
          <w:rFonts w:eastAsia="Times New Roman"/>
          <w:iCs/>
          <w:szCs w:val="20"/>
        </w:rPr>
      </w:pPr>
      <w:r w:rsidRPr="00D26836">
        <w:rPr>
          <w:rFonts w:eastAsia="Times New Roman"/>
          <w:iCs/>
          <w:szCs w:val="20"/>
        </w:rPr>
        <w:t xml:space="preserve">Zaradi spremenjenih okoliščin analize stanja od priprave predhodnih dokumentov je prišlo do racionalizacije stroškov in spremembe obsega načrtovanih del, ki so se razdelila v 2 fazi, pri čemer 2. faza, ki predstavlja povečanje obstoječe kuhinje, izvedbo dodatnega dvigala za dostavo, servis in ločevanje poti z neposrednim dostopom iz servisnega dela zunanje ureditve ter spremembo lokacije upravnih prostorov, ni več predmet projekta. V projekt so dodatno vključeni stroški opreme, podražitev gradbenih del in materialov ter ažurirani inflacijski faktorji iz Pomladanske napovedi gospodarskih gibanj 2023, zaradi česar se je povišala ocenjena vrednost investicije. </w:t>
      </w:r>
      <w:r w:rsidR="00D30B0C" w:rsidRPr="00D30B0C">
        <w:rPr>
          <w:szCs w:val="20"/>
        </w:rPr>
        <w:t xml:space="preserve">Zaradi neuspešnih postopkov pri izvedbi postopka javnega naročila ter objektivnih okoliščin, povezanih s podražitvijo gradbenih del in materialov, se je podaljšal </w:t>
      </w:r>
      <w:r w:rsidR="00D30B0C" w:rsidRPr="00D30B0C">
        <w:t>terminski plan izvedbe, ki predvideva zaključek investicije v letu 2025. Spremenili so se tudi viri in dinamika financiranja</w:t>
      </w:r>
      <w:r w:rsidRPr="00D26836">
        <w:rPr>
          <w:rFonts w:eastAsia="Times New Roman"/>
          <w:iCs/>
          <w:szCs w:val="20"/>
        </w:rPr>
        <w:t>. Glede na navedeno je bila izdelana Novelacija investicijskega programa.</w:t>
      </w:r>
    </w:p>
    <w:p w14:paraId="75CB6842" w14:textId="77777777" w:rsidR="00D04F12" w:rsidRPr="005849FF" w:rsidRDefault="00D04F12" w:rsidP="005849FF">
      <w:pPr>
        <w:spacing w:after="0" w:line="260" w:lineRule="exact"/>
        <w:jc w:val="both"/>
        <w:rPr>
          <w:rFonts w:eastAsia="Times New Roman" w:cs="Arial"/>
          <w:szCs w:val="20"/>
        </w:rPr>
      </w:pPr>
    </w:p>
    <w:p w14:paraId="673940B8" w14:textId="681F4DAC" w:rsidR="005849FF" w:rsidRDefault="005849FF" w:rsidP="005849FF">
      <w:pPr>
        <w:tabs>
          <w:tab w:val="left" w:pos="3402"/>
        </w:tabs>
        <w:spacing w:after="0" w:line="260" w:lineRule="exact"/>
        <w:jc w:val="both"/>
        <w:rPr>
          <w:rFonts w:eastAsia="Times New Roman"/>
          <w:iCs/>
          <w:szCs w:val="20"/>
        </w:rPr>
      </w:pPr>
      <w:r w:rsidRPr="005849FF">
        <w:rPr>
          <w:rFonts w:eastAsia="Times New Roman"/>
          <w:iCs/>
          <w:szCs w:val="20"/>
        </w:rPr>
        <w:t>Ocenjena vrednost investicije</w:t>
      </w:r>
      <w:r w:rsidR="00D04F12">
        <w:rPr>
          <w:rFonts w:eastAsia="Times New Roman"/>
          <w:iCs/>
          <w:szCs w:val="20"/>
        </w:rPr>
        <w:t xml:space="preserve"> po novelaciji investicijskega programa </w:t>
      </w:r>
      <w:r w:rsidRPr="005849FF">
        <w:rPr>
          <w:rFonts w:eastAsia="Times New Roman"/>
          <w:iCs/>
          <w:szCs w:val="20"/>
        </w:rPr>
        <w:t xml:space="preserve">znaša </w:t>
      </w:r>
      <w:r w:rsidR="00D04F12">
        <w:rPr>
          <w:rFonts w:eastAsia="Times New Roman"/>
          <w:iCs/>
          <w:szCs w:val="20"/>
        </w:rPr>
        <w:t>6.1</w:t>
      </w:r>
      <w:r w:rsidR="00DF7F66">
        <w:rPr>
          <w:rFonts w:eastAsia="Times New Roman"/>
          <w:iCs/>
          <w:szCs w:val="20"/>
        </w:rPr>
        <w:t>73</w:t>
      </w:r>
      <w:r w:rsidR="00D04F12">
        <w:rPr>
          <w:rFonts w:eastAsia="Times New Roman"/>
          <w:iCs/>
          <w:szCs w:val="20"/>
        </w:rPr>
        <w:t>.</w:t>
      </w:r>
      <w:r w:rsidR="00DF7F66">
        <w:rPr>
          <w:rFonts w:eastAsia="Times New Roman"/>
          <w:iCs/>
          <w:szCs w:val="20"/>
        </w:rPr>
        <w:t>283,15</w:t>
      </w:r>
      <w:r w:rsidRPr="005849FF">
        <w:rPr>
          <w:rFonts w:eastAsia="Times New Roman"/>
          <w:iCs/>
          <w:szCs w:val="20"/>
        </w:rPr>
        <w:t xml:space="preserve"> EUR z DDV. </w:t>
      </w:r>
    </w:p>
    <w:p w14:paraId="11A84EA9" w14:textId="77777777" w:rsidR="00D30B0C" w:rsidRDefault="00D30B0C" w:rsidP="005849FF">
      <w:pPr>
        <w:tabs>
          <w:tab w:val="left" w:pos="3402"/>
        </w:tabs>
        <w:spacing w:after="0" w:line="260" w:lineRule="exact"/>
        <w:jc w:val="both"/>
        <w:rPr>
          <w:rFonts w:eastAsia="Times New Roman"/>
          <w:iCs/>
          <w:szCs w:val="20"/>
        </w:rPr>
      </w:pPr>
    </w:p>
    <w:p w14:paraId="33815033" w14:textId="0BE0F343" w:rsidR="00D30B0C" w:rsidRDefault="00D30B0C" w:rsidP="00D30B0C">
      <w:pPr>
        <w:tabs>
          <w:tab w:val="left" w:pos="3402"/>
        </w:tabs>
        <w:spacing w:after="0" w:line="260" w:lineRule="exact"/>
        <w:jc w:val="both"/>
        <w:rPr>
          <w:rFonts w:eastAsia="Times New Roman" w:cs="Arial"/>
          <w:szCs w:val="20"/>
        </w:rPr>
      </w:pPr>
      <w:r>
        <w:rPr>
          <w:rFonts w:eastAsia="Times New Roman" w:cs="Arial"/>
          <w:szCs w:val="20"/>
        </w:rPr>
        <w:t xml:space="preserve">Izhodiščna vrednost projekta po investicijskem programu znaša </w:t>
      </w:r>
      <w:r w:rsidR="00ED11CF">
        <w:rPr>
          <w:rFonts w:eastAsia="Times New Roman" w:cs="Arial"/>
          <w:szCs w:val="20"/>
        </w:rPr>
        <w:t>4.223.601,99</w:t>
      </w:r>
      <w:r>
        <w:rPr>
          <w:rFonts w:eastAsia="Times New Roman" w:cs="Arial"/>
          <w:szCs w:val="20"/>
        </w:rPr>
        <w:t xml:space="preserve"> EUR. Z novelacijo investicijskega programa se bo vrednost projekta povečala za 1.</w:t>
      </w:r>
      <w:r w:rsidR="00ED11CF">
        <w:rPr>
          <w:rFonts w:eastAsia="Times New Roman" w:cs="Arial"/>
          <w:szCs w:val="20"/>
        </w:rPr>
        <w:t>949.681,16</w:t>
      </w:r>
      <w:r>
        <w:rPr>
          <w:rFonts w:eastAsia="Times New Roman" w:cs="Arial"/>
          <w:szCs w:val="20"/>
        </w:rPr>
        <w:t xml:space="preserve"> EUR oziroma 4</w:t>
      </w:r>
      <w:r w:rsidR="00ED11CF">
        <w:rPr>
          <w:rFonts w:eastAsia="Times New Roman" w:cs="Arial"/>
          <w:szCs w:val="20"/>
        </w:rPr>
        <w:t>6</w:t>
      </w:r>
      <w:r>
        <w:rPr>
          <w:rFonts w:eastAsia="Times New Roman" w:cs="Arial"/>
          <w:szCs w:val="20"/>
        </w:rPr>
        <w:t>,</w:t>
      </w:r>
      <w:r w:rsidR="00ED11CF">
        <w:rPr>
          <w:rFonts w:eastAsia="Times New Roman" w:cs="Arial"/>
          <w:szCs w:val="20"/>
        </w:rPr>
        <w:t>16</w:t>
      </w:r>
      <w:r>
        <w:rPr>
          <w:rFonts w:eastAsia="Times New Roman" w:cs="Arial"/>
          <w:szCs w:val="20"/>
        </w:rPr>
        <w:t xml:space="preserve"> %, nova izhodiščna vrednost projekta pa bo tako znašala </w:t>
      </w:r>
      <w:r w:rsidR="00ED11CF">
        <w:rPr>
          <w:rFonts w:eastAsia="Times New Roman" w:cs="Arial"/>
          <w:szCs w:val="20"/>
        </w:rPr>
        <w:t>6.173.283,15</w:t>
      </w:r>
      <w:r>
        <w:rPr>
          <w:rFonts w:eastAsia="Times New Roman" w:cs="Arial"/>
          <w:szCs w:val="20"/>
        </w:rPr>
        <w:t xml:space="preserve"> EUR.</w:t>
      </w:r>
    </w:p>
    <w:p w14:paraId="6FD6CF13" w14:textId="77777777" w:rsidR="00D30B0C" w:rsidRPr="005849FF" w:rsidRDefault="00D30B0C" w:rsidP="005849FF">
      <w:pPr>
        <w:tabs>
          <w:tab w:val="left" w:pos="3402"/>
        </w:tabs>
        <w:spacing w:after="0" w:line="260" w:lineRule="exact"/>
        <w:jc w:val="both"/>
        <w:rPr>
          <w:rFonts w:eastAsia="Times New Roman"/>
          <w:iCs/>
          <w:szCs w:val="20"/>
        </w:rPr>
      </w:pPr>
    </w:p>
    <w:p w14:paraId="64C9A1B6" w14:textId="30C8747D" w:rsidR="00456552" w:rsidRPr="00D3129C" w:rsidRDefault="00456552" w:rsidP="00456552">
      <w:pPr>
        <w:spacing w:after="0" w:line="260" w:lineRule="exact"/>
        <w:jc w:val="both"/>
        <w:rPr>
          <w:rFonts w:eastAsia="Times New Roman"/>
          <w:szCs w:val="24"/>
        </w:rPr>
      </w:pPr>
      <w:r w:rsidRPr="00D3129C">
        <w:rPr>
          <w:rFonts w:eastAsia="Times New Roman"/>
          <w:szCs w:val="24"/>
        </w:rPr>
        <w:t>Sredstva za investicijo bo</w:t>
      </w:r>
      <w:r>
        <w:rPr>
          <w:rFonts w:eastAsia="Times New Roman"/>
          <w:szCs w:val="24"/>
        </w:rPr>
        <w:t>do</w:t>
      </w:r>
      <w:r w:rsidRPr="00D3129C">
        <w:rPr>
          <w:rFonts w:eastAsia="Times New Roman"/>
          <w:szCs w:val="24"/>
        </w:rPr>
        <w:t xml:space="preserve"> zagotovil</w:t>
      </w:r>
      <w:r>
        <w:rPr>
          <w:rFonts w:eastAsia="Times New Roman"/>
          <w:szCs w:val="24"/>
        </w:rPr>
        <w:t>i</w:t>
      </w:r>
      <w:r w:rsidRPr="00D3129C">
        <w:rPr>
          <w:rFonts w:eastAsia="Times New Roman"/>
          <w:szCs w:val="24"/>
        </w:rPr>
        <w:t xml:space="preserve"> </w:t>
      </w:r>
      <w:r>
        <w:rPr>
          <w:rFonts w:eastAsia="Times New Roman"/>
          <w:szCs w:val="24"/>
        </w:rPr>
        <w:t xml:space="preserve">ministrstvo, Ministrstvo za delo, družino, socialne zadeve in enake možnosti </w:t>
      </w:r>
      <w:r w:rsidRPr="00B90AC1">
        <w:rPr>
          <w:rFonts w:eastAsia="Times New Roman" w:cs="Arial"/>
          <w:bCs/>
          <w:szCs w:val="20"/>
        </w:rPr>
        <w:t>(v nadalj</w:t>
      </w:r>
      <w:r>
        <w:rPr>
          <w:rFonts w:eastAsia="Times New Roman" w:cs="Arial"/>
          <w:bCs/>
          <w:szCs w:val="20"/>
        </w:rPr>
        <w:t>njem besedilu</w:t>
      </w:r>
      <w:r w:rsidRPr="00B90AC1">
        <w:rPr>
          <w:rFonts w:eastAsia="Times New Roman" w:cs="Arial"/>
          <w:bCs/>
          <w:szCs w:val="20"/>
        </w:rPr>
        <w:t xml:space="preserve">: </w:t>
      </w:r>
      <w:r>
        <w:rPr>
          <w:rFonts w:eastAsia="Times New Roman" w:cs="Arial"/>
          <w:bCs/>
          <w:szCs w:val="20"/>
        </w:rPr>
        <w:t>MDDSZ</w:t>
      </w:r>
      <w:r w:rsidRPr="00B90AC1">
        <w:rPr>
          <w:rFonts w:eastAsia="Times New Roman" w:cs="Arial"/>
          <w:bCs/>
          <w:szCs w:val="20"/>
        </w:rPr>
        <w:t>)</w:t>
      </w:r>
      <w:r>
        <w:rPr>
          <w:rFonts w:eastAsia="Times New Roman"/>
          <w:szCs w:val="24"/>
        </w:rPr>
        <w:t>,</w:t>
      </w:r>
      <w:r w:rsidRPr="00D3129C">
        <w:rPr>
          <w:rFonts w:eastAsia="Times New Roman"/>
          <w:szCs w:val="24"/>
        </w:rPr>
        <w:t xml:space="preserve"> Občina </w:t>
      </w:r>
      <w:r>
        <w:rPr>
          <w:rFonts w:eastAsia="Times New Roman"/>
          <w:szCs w:val="24"/>
        </w:rPr>
        <w:t>Slovenska Bistrica in dom</w:t>
      </w:r>
      <w:r w:rsidRPr="00D3129C">
        <w:rPr>
          <w:rFonts w:eastAsia="Times New Roman"/>
          <w:szCs w:val="24"/>
        </w:rPr>
        <w:t xml:space="preserve"> na naslednji način:</w:t>
      </w:r>
    </w:p>
    <w:p w14:paraId="264DAB7F" w14:textId="77777777" w:rsidR="00456552" w:rsidRPr="00D3129C" w:rsidRDefault="00456552" w:rsidP="00456552">
      <w:pPr>
        <w:spacing w:after="0" w:line="260" w:lineRule="exact"/>
        <w:jc w:val="both"/>
        <w:rPr>
          <w:rFonts w:eastAsia="Times New Roman"/>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5"/>
        <w:gridCol w:w="1269"/>
        <w:gridCol w:w="1275"/>
        <w:gridCol w:w="1418"/>
        <w:gridCol w:w="1417"/>
        <w:gridCol w:w="1418"/>
        <w:gridCol w:w="1559"/>
      </w:tblGrid>
      <w:tr w:rsidR="00456552" w:rsidRPr="00D3129C" w14:paraId="33DC5749" w14:textId="77777777" w:rsidTr="00456552">
        <w:tc>
          <w:tcPr>
            <w:tcW w:w="1425" w:type="dxa"/>
            <w:shd w:val="clear" w:color="auto" w:fill="auto"/>
            <w:vAlign w:val="center"/>
          </w:tcPr>
          <w:p w14:paraId="0CB8DB97"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Vir financiranja</w:t>
            </w:r>
          </w:p>
        </w:tc>
        <w:tc>
          <w:tcPr>
            <w:tcW w:w="1269" w:type="dxa"/>
            <w:shd w:val="clear" w:color="auto" w:fill="auto"/>
            <w:vAlign w:val="center"/>
          </w:tcPr>
          <w:p w14:paraId="2ACCE907"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2021</w:t>
            </w:r>
          </w:p>
        </w:tc>
        <w:tc>
          <w:tcPr>
            <w:tcW w:w="1275" w:type="dxa"/>
            <w:shd w:val="clear" w:color="auto" w:fill="auto"/>
            <w:vAlign w:val="center"/>
          </w:tcPr>
          <w:p w14:paraId="12147BBA"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2022</w:t>
            </w:r>
          </w:p>
        </w:tc>
        <w:tc>
          <w:tcPr>
            <w:tcW w:w="1418" w:type="dxa"/>
            <w:shd w:val="clear" w:color="auto" w:fill="auto"/>
            <w:vAlign w:val="center"/>
          </w:tcPr>
          <w:p w14:paraId="36DB3B4E"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2023</w:t>
            </w:r>
          </w:p>
        </w:tc>
        <w:tc>
          <w:tcPr>
            <w:tcW w:w="1417" w:type="dxa"/>
            <w:vAlign w:val="center"/>
          </w:tcPr>
          <w:p w14:paraId="137EE3AC"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2024</w:t>
            </w:r>
          </w:p>
        </w:tc>
        <w:tc>
          <w:tcPr>
            <w:tcW w:w="1418" w:type="dxa"/>
            <w:vAlign w:val="center"/>
          </w:tcPr>
          <w:p w14:paraId="05F10A24"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Pr>
                <w:rFonts w:eastAsia="Times New Roman" w:cs="Arial"/>
                <w:b/>
                <w:szCs w:val="20"/>
                <w:lang w:eastAsia="sl-SI"/>
              </w:rPr>
              <w:t>2025</w:t>
            </w:r>
          </w:p>
        </w:tc>
        <w:tc>
          <w:tcPr>
            <w:tcW w:w="1559" w:type="dxa"/>
            <w:shd w:val="clear" w:color="auto" w:fill="auto"/>
            <w:vAlign w:val="center"/>
          </w:tcPr>
          <w:p w14:paraId="0B1EB397"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Skupaj</w:t>
            </w:r>
          </w:p>
        </w:tc>
      </w:tr>
      <w:tr w:rsidR="00456552" w:rsidRPr="00D3129C" w14:paraId="60A473F2" w14:textId="77777777" w:rsidTr="00456552">
        <w:trPr>
          <w:trHeight w:val="398"/>
        </w:trPr>
        <w:tc>
          <w:tcPr>
            <w:tcW w:w="1425" w:type="dxa"/>
            <w:shd w:val="clear" w:color="auto" w:fill="auto"/>
            <w:vAlign w:val="center"/>
          </w:tcPr>
          <w:p w14:paraId="270D6489" w14:textId="626E3E78"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Pr>
                <w:rFonts w:eastAsia="Times New Roman" w:cs="Arial"/>
                <w:b/>
                <w:szCs w:val="20"/>
                <w:lang w:eastAsia="sl-SI"/>
              </w:rPr>
              <w:t>m</w:t>
            </w:r>
            <w:r w:rsidRPr="00D3129C">
              <w:rPr>
                <w:rFonts w:eastAsia="Times New Roman" w:cs="Arial"/>
                <w:b/>
                <w:szCs w:val="20"/>
                <w:lang w:eastAsia="sl-SI"/>
              </w:rPr>
              <w:t>inistrstvo</w:t>
            </w:r>
          </w:p>
        </w:tc>
        <w:tc>
          <w:tcPr>
            <w:tcW w:w="1269" w:type="dxa"/>
            <w:shd w:val="clear" w:color="auto" w:fill="auto"/>
            <w:vAlign w:val="center"/>
          </w:tcPr>
          <w:p w14:paraId="47D6AD84" w14:textId="77777777"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sidRPr="00D3129C">
              <w:rPr>
                <w:rFonts w:eastAsia="Times New Roman" w:cs="Arial"/>
                <w:szCs w:val="20"/>
                <w:lang w:eastAsia="sl-SI"/>
              </w:rPr>
              <w:t>/</w:t>
            </w:r>
          </w:p>
        </w:tc>
        <w:tc>
          <w:tcPr>
            <w:tcW w:w="1275" w:type="dxa"/>
            <w:shd w:val="clear" w:color="auto" w:fill="auto"/>
            <w:vAlign w:val="center"/>
          </w:tcPr>
          <w:p w14:paraId="11CB8150" w14:textId="77777777"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418" w:type="dxa"/>
            <w:shd w:val="clear" w:color="auto" w:fill="auto"/>
            <w:vAlign w:val="center"/>
          </w:tcPr>
          <w:p w14:paraId="472CA42B" w14:textId="658D084C" w:rsidR="00456552" w:rsidRPr="00D3129C" w:rsidRDefault="00DF7F66"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3.566,55</w:t>
            </w:r>
          </w:p>
        </w:tc>
        <w:tc>
          <w:tcPr>
            <w:tcW w:w="1417" w:type="dxa"/>
            <w:vAlign w:val="center"/>
          </w:tcPr>
          <w:p w14:paraId="16A2D1C0" w14:textId="792AAA7B" w:rsidR="00456552" w:rsidRPr="00D3129C" w:rsidRDefault="007465E9"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2.500.000,00</w:t>
            </w:r>
          </w:p>
        </w:tc>
        <w:tc>
          <w:tcPr>
            <w:tcW w:w="1418" w:type="dxa"/>
            <w:vAlign w:val="center"/>
          </w:tcPr>
          <w:p w14:paraId="7F557B34" w14:textId="45F52CC6" w:rsidR="00456552" w:rsidRPr="00D3129C" w:rsidRDefault="00DF7F66"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3.373.286,63</w:t>
            </w:r>
          </w:p>
        </w:tc>
        <w:tc>
          <w:tcPr>
            <w:tcW w:w="1559" w:type="dxa"/>
            <w:shd w:val="clear" w:color="auto" w:fill="auto"/>
            <w:vAlign w:val="center"/>
          </w:tcPr>
          <w:p w14:paraId="0D646C89" w14:textId="63FA3E6A" w:rsidR="00456552" w:rsidRPr="00D3129C" w:rsidRDefault="007465E9"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5.876.853,18</w:t>
            </w:r>
          </w:p>
        </w:tc>
      </w:tr>
      <w:tr w:rsidR="00456552" w:rsidRPr="00D3129C" w14:paraId="61254D8E" w14:textId="77777777" w:rsidTr="00456552">
        <w:tc>
          <w:tcPr>
            <w:tcW w:w="1425" w:type="dxa"/>
            <w:shd w:val="clear" w:color="auto" w:fill="auto"/>
            <w:vAlign w:val="center"/>
          </w:tcPr>
          <w:p w14:paraId="3384B01C" w14:textId="1BB83A92"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Pr>
                <w:rFonts w:eastAsia="Times New Roman" w:cs="Arial"/>
                <w:b/>
                <w:szCs w:val="20"/>
                <w:lang w:eastAsia="sl-SI"/>
              </w:rPr>
              <w:t>MDDSZ</w:t>
            </w:r>
          </w:p>
        </w:tc>
        <w:tc>
          <w:tcPr>
            <w:tcW w:w="1269" w:type="dxa"/>
            <w:shd w:val="clear" w:color="auto" w:fill="auto"/>
            <w:vAlign w:val="center"/>
          </w:tcPr>
          <w:p w14:paraId="0464F832" w14:textId="48DCE7F6" w:rsidR="00456552" w:rsidRPr="00D3129C" w:rsidRDefault="007465E9"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275" w:type="dxa"/>
            <w:shd w:val="clear" w:color="auto" w:fill="auto"/>
            <w:vAlign w:val="center"/>
          </w:tcPr>
          <w:p w14:paraId="7F44AA41" w14:textId="4BA001F8" w:rsidR="00456552"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149.311,49</w:t>
            </w:r>
          </w:p>
          <w:p w14:paraId="3092375C" w14:textId="24662FCE" w:rsidR="00456552" w:rsidRDefault="00456552" w:rsidP="00456552">
            <w:pPr>
              <w:autoSpaceDE w:val="0"/>
              <w:autoSpaceDN w:val="0"/>
              <w:adjustRightInd w:val="0"/>
              <w:spacing w:after="0" w:line="264" w:lineRule="auto"/>
              <w:jc w:val="right"/>
              <w:rPr>
                <w:rFonts w:eastAsia="Times New Roman" w:cs="Arial"/>
                <w:szCs w:val="20"/>
                <w:lang w:eastAsia="sl-SI"/>
              </w:rPr>
            </w:pPr>
          </w:p>
        </w:tc>
        <w:tc>
          <w:tcPr>
            <w:tcW w:w="1418" w:type="dxa"/>
            <w:shd w:val="clear" w:color="auto" w:fill="auto"/>
            <w:vAlign w:val="center"/>
          </w:tcPr>
          <w:p w14:paraId="746289CD" w14:textId="5DBBAE6B" w:rsidR="00456552" w:rsidRDefault="007465E9"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417" w:type="dxa"/>
            <w:vAlign w:val="center"/>
          </w:tcPr>
          <w:p w14:paraId="034D8552" w14:textId="041F27DA" w:rsidR="00456552" w:rsidRDefault="007465E9"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w:t>
            </w:r>
          </w:p>
        </w:tc>
        <w:tc>
          <w:tcPr>
            <w:tcW w:w="1418" w:type="dxa"/>
            <w:vAlign w:val="center"/>
          </w:tcPr>
          <w:p w14:paraId="50005A67" w14:textId="3A4875AA" w:rsidR="00456552" w:rsidRPr="00D3129C" w:rsidRDefault="007465E9"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w:t>
            </w:r>
          </w:p>
        </w:tc>
        <w:tc>
          <w:tcPr>
            <w:tcW w:w="1559" w:type="dxa"/>
            <w:shd w:val="clear" w:color="auto" w:fill="auto"/>
            <w:vAlign w:val="center"/>
          </w:tcPr>
          <w:p w14:paraId="3899036D" w14:textId="10D029CE" w:rsidR="00456552" w:rsidRDefault="00456552"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149.311,49</w:t>
            </w:r>
          </w:p>
        </w:tc>
      </w:tr>
      <w:tr w:rsidR="00456552" w:rsidRPr="00D3129C" w14:paraId="3C933FB9" w14:textId="77777777" w:rsidTr="00456552">
        <w:tc>
          <w:tcPr>
            <w:tcW w:w="1425" w:type="dxa"/>
            <w:shd w:val="clear" w:color="auto" w:fill="auto"/>
            <w:vAlign w:val="center"/>
          </w:tcPr>
          <w:p w14:paraId="20010340" w14:textId="69F7074D"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 xml:space="preserve">Občina </w:t>
            </w:r>
            <w:r>
              <w:rPr>
                <w:rFonts w:eastAsia="Times New Roman" w:cs="Arial"/>
                <w:b/>
                <w:szCs w:val="20"/>
                <w:lang w:eastAsia="sl-SI"/>
              </w:rPr>
              <w:t>Slovenska Bistrica</w:t>
            </w:r>
          </w:p>
        </w:tc>
        <w:tc>
          <w:tcPr>
            <w:tcW w:w="1269" w:type="dxa"/>
            <w:shd w:val="clear" w:color="auto" w:fill="auto"/>
            <w:vAlign w:val="center"/>
          </w:tcPr>
          <w:p w14:paraId="61E67D26" w14:textId="376F3EC8"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50.174,94</w:t>
            </w:r>
          </w:p>
        </w:tc>
        <w:tc>
          <w:tcPr>
            <w:tcW w:w="1275" w:type="dxa"/>
            <w:shd w:val="clear" w:color="auto" w:fill="auto"/>
            <w:vAlign w:val="center"/>
          </w:tcPr>
          <w:p w14:paraId="625BFEE8" w14:textId="69B745AB"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418" w:type="dxa"/>
            <w:shd w:val="clear" w:color="auto" w:fill="auto"/>
            <w:vAlign w:val="center"/>
          </w:tcPr>
          <w:p w14:paraId="7E4EFDE4" w14:textId="36F89B12"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417" w:type="dxa"/>
            <w:vAlign w:val="center"/>
          </w:tcPr>
          <w:p w14:paraId="376F1E72" w14:textId="7A61D53B" w:rsidR="00456552" w:rsidRPr="00D3129C" w:rsidRDefault="00456552"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w:t>
            </w:r>
          </w:p>
        </w:tc>
        <w:tc>
          <w:tcPr>
            <w:tcW w:w="1418" w:type="dxa"/>
            <w:vAlign w:val="center"/>
          </w:tcPr>
          <w:p w14:paraId="3CEFD6C1" w14:textId="163E3485" w:rsidR="00456552" w:rsidRPr="00D3129C" w:rsidRDefault="00456552"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w:t>
            </w:r>
          </w:p>
        </w:tc>
        <w:tc>
          <w:tcPr>
            <w:tcW w:w="1559" w:type="dxa"/>
            <w:shd w:val="clear" w:color="auto" w:fill="auto"/>
            <w:vAlign w:val="center"/>
          </w:tcPr>
          <w:p w14:paraId="580E6DB3" w14:textId="471D4495" w:rsidR="00456552" w:rsidRPr="00D3129C" w:rsidRDefault="00456552"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50.1</w:t>
            </w:r>
            <w:r w:rsidR="007465E9">
              <w:rPr>
                <w:rFonts w:eastAsia="Times New Roman" w:cs="Arial"/>
                <w:b/>
                <w:szCs w:val="20"/>
                <w:lang w:eastAsia="sl-SI"/>
              </w:rPr>
              <w:t>74,94</w:t>
            </w:r>
          </w:p>
        </w:tc>
      </w:tr>
      <w:tr w:rsidR="00456552" w:rsidRPr="00D3129C" w14:paraId="6ABEB188" w14:textId="77777777" w:rsidTr="00456552">
        <w:trPr>
          <w:trHeight w:val="374"/>
        </w:trPr>
        <w:tc>
          <w:tcPr>
            <w:tcW w:w="1425" w:type="dxa"/>
            <w:shd w:val="clear" w:color="auto" w:fill="auto"/>
            <w:vAlign w:val="center"/>
          </w:tcPr>
          <w:p w14:paraId="555CFD4F" w14:textId="16D1265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Pr>
                <w:rFonts w:eastAsia="Times New Roman" w:cs="Arial"/>
                <w:b/>
                <w:szCs w:val="20"/>
                <w:lang w:eastAsia="sl-SI"/>
              </w:rPr>
              <w:t>dom</w:t>
            </w:r>
          </w:p>
        </w:tc>
        <w:tc>
          <w:tcPr>
            <w:tcW w:w="1269" w:type="dxa"/>
            <w:shd w:val="clear" w:color="auto" w:fill="auto"/>
            <w:vAlign w:val="center"/>
          </w:tcPr>
          <w:p w14:paraId="6B6E9EC8" w14:textId="3A5F6194" w:rsidR="00456552" w:rsidRPr="00D3129C"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w:t>
            </w:r>
          </w:p>
        </w:tc>
        <w:tc>
          <w:tcPr>
            <w:tcW w:w="1275" w:type="dxa"/>
            <w:shd w:val="clear" w:color="auto" w:fill="auto"/>
            <w:vAlign w:val="center"/>
          </w:tcPr>
          <w:p w14:paraId="0DCE4BC1" w14:textId="69E7CB8F" w:rsidR="00456552" w:rsidRDefault="00456552"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1.358,51</w:t>
            </w:r>
          </w:p>
        </w:tc>
        <w:tc>
          <w:tcPr>
            <w:tcW w:w="1418" w:type="dxa"/>
            <w:shd w:val="clear" w:color="auto" w:fill="auto"/>
            <w:vAlign w:val="center"/>
          </w:tcPr>
          <w:p w14:paraId="3E3CF092" w14:textId="1FD895BD" w:rsidR="00456552" w:rsidRDefault="00DF7F66" w:rsidP="00456552">
            <w:pPr>
              <w:autoSpaceDE w:val="0"/>
              <w:autoSpaceDN w:val="0"/>
              <w:adjustRightInd w:val="0"/>
              <w:spacing w:after="0" w:line="264" w:lineRule="auto"/>
              <w:jc w:val="right"/>
              <w:rPr>
                <w:rFonts w:eastAsia="Times New Roman" w:cs="Arial"/>
                <w:szCs w:val="20"/>
                <w:lang w:eastAsia="sl-SI"/>
              </w:rPr>
            </w:pPr>
            <w:r>
              <w:rPr>
                <w:rFonts w:eastAsia="Times New Roman" w:cs="Arial"/>
                <w:szCs w:val="20"/>
                <w:lang w:eastAsia="sl-SI"/>
              </w:rPr>
              <w:t>2.594,45</w:t>
            </w:r>
          </w:p>
        </w:tc>
        <w:tc>
          <w:tcPr>
            <w:tcW w:w="1417" w:type="dxa"/>
            <w:vAlign w:val="center"/>
          </w:tcPr>
          <w:p w14:paraId="42E5F97D" w14:textId="41358BAD" w:rsidR="00456552" w:rsidRDefault="00DF7F66"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48.257,01</w:t>
            </w:r>
          </w:p>
        </w:tc>
        <w:tc>
          <w:tcPr>
            <w:tcW w:w="1418" w:type="dxa"/>
            <w:vAlign w:val="center"/>
          </w:tcPr>
          <w:p w14:paraId="0BA11232" w14:textId="76CD08A5" w:rsidR="00456552" w:rsidRPr="00D3129C" w:rsidRDefault="00DF7F66" w:rsidP="00456552">
            <w:pPr>
              <w:autoSpaceDE w:val="0"/>
              <w:autoSpaceDN w:val="0"/>
              <w:adjustRightInd w:val="0"/>
              <w:spacing w:after="0" w:line="264" w:lineRule="auto"/>
              <w:jc w:val="right"/>
              <w:rPr>
                <w:rFonts w:eastAsia="Times New Roman" w:cs="Arial"/>
                <w:bCs/>
                <w:szCs w:val="20"/>
                <w:lang w:eastAsia="sl-SI"/>
              </w:rPr>
            </w:pPr>
            <w:r>
              <w:rPr>
                <w:rFonts w:eastAsia="Times New Roman" w:cs="Arial"/>
                <w:bCs/>
                <w:szCs w:val="20"/>
                <w:lang w:eastAsia="sl-SI"/>
              </w:rPr>
              <w:t>44.733,57</w:t>
            </w:r>
          </w:p>
        </w:tc>
        <w:tc>
          <w:tcPr>
            <w:tcW w:w="1559" w:type="dxa"/>
            <w:shd w:val="clear" w:color="auto" w:fill="auto"/>
            <w:vAlign w:val="center"/>
          </w:tcPr>
          <w:p w14:paraId="3D43BD37" w14:textId="0EE785B3" w:rsidR="00456552" w:rsidRDefault="00DF7F66"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96.943,54</w:t>
            </w:r>
          </w:p>
        </w:tc>
      </w:tr>
      <w:tr w:rsidR="00456552" w:rsidRPr="00D3129C" w14:paraId="2EE0A8F6" w14:textId="77777777" w:rsidTr="00456552">
        <w:trPr>
          <w:trHeight w:val="408"/>
        </w:trPr>
        <w:tc>
          <w:tcPr>
            <w:tcW w:w="1425" w:type="dxa"/>
            <w:shd w:val="clear" w:color="auto" w:fill="auto"/>
            <w:vAlign w:val="center"/>
          </w:tcPr>
          <w:p w14:paraId="780071EC" w14:textId="77777777" w:rsidR="00456552" w:rsidRPr="00D3129C" w:rsidRDefault="00456552" w:rsidP="00456552">
            <w:pPr>
              <w:autoSpaceDE w:val="0"/>
              <w:autoSpaceDN w:val="0"/>
              <w:adjustRightInd w:val="0"/>
              <w:spacing w:after="0" w:line="264" w:lineRule="auto"/>
              <w:jc w:val="center"/>
              <w:rPr>
                <w:rFonts w:eastAsia="Times New Roman" w:cs="Arial"/>
                <w:b/>
                <w:szCs w:val="20"/>
                <w:lang w:eastAsia="sl-SI"/>
              </w:rPr>
            </w:pPr>
            <w:r w:rsidRPr="00D3129C">
              <w:rPr>
                <w:rFonts w:eastAsia="Times New Roman" w:cs="Arial"/>
                <w:b/>
                <w:szCs w:val="20"/>
                <w:lang w:eastAsia="sl-SI"/>
              </w:rPr>
              <w:t>Skupaj</w:t>
            </w:r>
          </w:p>
        </w:tc>
        <w:tc>
          <w:tcPr>
            <w:tcW w:w="1269" w:type="dxa"/>
            <w:shd w:val="clear" w:color="auto" w:fill="auto"/>
            <w:vAlign w:val="center"/>
          </w:tcPr>
          <w:p w14:paraId="441F6325" w14:textId="363AE709" w:rsidR="00456552" w:rsidRPr="00D3129C" w:rsidRDefault="007465E9"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50.174,9</w:t>
            </w:r>
            <w:r w:rsidR="00DF7F66">
              <w:rPr>
                <w:rFonts w:eastAsia="Times New Roman" w:cs="Arial"/>
                <w:b/>
                <w:szCs w:val="20"/>
                <w:lang w:eastAsia="sl-SI"/>
              </w:rPr>
              <w:t>4</w:t>
            </w:r>
          </w:p>
        </w:tc>
        <w:tc>
          <w:tcPr>
            <w:tcW w:w="1275" w:type="dxa"/>
            <w:shd w:val="clear" w:color="auto" w:fill="auto"/>
            <w:vAlign w:val="center"/>
          </w:tcPr>
          <w:p w14:paraId="032B5863" w14:textId="1298E01F" w:rsidR="00456552" w:rsidRPr="00D3129C" w:rsidRDefault="00456552"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15</w:t>
            </w:r>
            <w:r w:rsidR="007465E9">
              <w:rPr>
                <w:rFonts w:eastAsia="Times New Roman" w:cs="Arial"/>
                <w:b/>
                <w:szCs w:val="20"/>
                <w:lang w:eastAsia="sl-SI"/>
              </w:rPr>
              <w:t>0</w:t>
            </w:r>
            <w:r>
              <w:rPr>
                <w:rFonts w:eastAsia="Times New Roman" w:cs="Arial"/>
                <w:b/>
                <w:szCs w:val="20"/>
                <w:lang w:eastAsia="sl-SI"/>
              </w:rPr>
              <w:t>.</w:t>
            </w:r>
            <w:r w:rsidR="007465E9">
              <w:rPr>
                <w:rFonts w:eastAsia="Times New Roman" w:cs="Arial"/>
                <w:b/>
                <w:szCs w:val="20"/>
                <w:lang w:eastAsia="sl-SI"/>
              </w:rPr>
              <w:t>670,00</w:t>
            </w:r>
          </w:p>
        </w:tc>
        <w:tc>
          <w:tcPr>
            <w:tcW w:w="1418" w:type="dxa"/>
            <w:shd w:val="clear" w:color="auto" w:fill="auto"/>
            <w:vAlign w:val="center"/>
          </w:tcPr>
          <w:p w14:paraId="30EA8E8E" w14:textId="09B0D321" w:rsidR="00456552" w:rsidRPr="00D3129C" w:rsidRDefault="00DF7F66"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6.161,00</w:t>
            </w:r>
          </w:p>
        </w:tc>
        <w:tc>
          <w:tcPr>
            <w:tcW w:w="1417" w:type="dxa"/>
            <w:vAlign w:val="center"/>
          </w:tcPr>
          <w:p w14:paraId="316BA718" w14:textId="69DC9E7F" w:rsidR="00456552" w:rsidRPr="00D3129C" w:rsidRDefault="007465E9"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2.</w:t>
            </w:r>
            <w:r w:rsidR="00DF7F66">
              <w:rPr>
                <w:rFonts w:eastAsia="Times New Roman" w:cs="Arial"/>
                <w:b/>
                <w:szCs w:val="20"/>
                <w:lang w:eastAsia="sl-SI"/>
              </w:rPr>
              <w:t>548.257,01</w:t>
            </w:r>
          </w:p>
        </w:tc>
        <w:tc>
          <w:tcPr>
            <w:tcW w:w="1418" w:type="dxa"/>
            <w:vAlign w:val="center"/>
          </w:tcPr>
          <w:p w14:paraId="09F61578" w14:textId="5B19E169" w:rsidR="00456552" w:rsidRPr="00D3129C" w:rsidRDefault="00DF7F66"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3.418.020,20</w:t>
            </w:r>
          </w:p>
        </w:tc>
        <w:tc>
          <w:tcPr>
            <w:tcW w:w="1559" w:type="dxa"/>
            <w:shd w:val="clear" w:color="auto" w:fill="auto"/>
            <w:vAlign w:val="center"/>
          </w:tcPr>
          <w:p w14:paraId="40A25697" w14:textId="6172C172" w:rsidR="00456552" w:rsidRPr="00D3129C" w:rsidRDefault="00DF7F66" w:rsidP="00456552">
            <w:pPr>
              <w:autoSpaceDE w:val="0"/>
              <w:autoSpaceDN w:val="0"/>
              <w:adjustRightInd w:val="0"/>
              <w:spacing w:after="0" w:line="264" w:lineRule="auto"/>
              <w:jc w:val="right"/>
              <w:rPr>
                <w:rFonts w:eastAsia="Times New Roman" w:cs="Arial"/>
                <w:b/>
                <w:szCs w:val="20"/>
                <w:lang w:eastAsia="sl-SI"/>
              </w:rPr>
            </w:pPr>
            <w:r>
              <w:rPr>
                <w:rFonts w:eastAsia="Times New Roman" w:cs="Arial"/>
                <w:b/>
                <w:szCs w:val="20"/>
                <w:lang w:eastAsia="sl-SI"/>
              </w:rPr>
              <w:t>6.173.283</w:t>
            </w:r>
            <w:r w:rsidR="007465E9">
              <w:rPr>
                <w:rFonts w:eastAsia="Times New Roman" w:cs="Arial"/>
                <w:b/>
                <w:szCs w:val="20"/>
                <w:lang w:eastAsia="sl-SI"/>
              </w:rPr>
              <w:t>,</w:t>
            </w:r>
            <w:r>
              <w:rPr>
                <w:rFonts w:eastAsia="Times New Roman" w:cs="Arial"/>
                <w:b/>
                <w:szCs w:val="20"/>
                <w:lang w:eastAsia="sl-SI"/>
              </w:rPr>
              <w:t>15</w:t>
            </w:r>
          </w:p>
        </w:tc>
      </w:tr>
    </w:tbl>
    <w:p w14:paraId="7A159D69" w14:textId="45140962" w:rsidR="00456552" w:rsidRDefault="00456552" w:rsidP="005849FF">
      <w:pPr>
        <w:tabs>
          <w:tab w:val="left" w:pos="3402"/>
        </w:tabs>
        <w:spacing w:after="0" w:line="260" w:lineRule="exact"/>
        <w:jc w:val="both"/>
        <w:rPr>
          <w:rFonts w:eastAsia="Times New Roman"/>
          <w:iCs/>
          <w:szCs w:val="20"/>
        </w:rPr>
      </w:pPr>
    </w:p>
    <w:p w14:paraId="2B4559CD" w14:textId="77777777" w:rsidR="00456552" w:rsidRPr="005849FF" w:rsidRDefault="00456552" w:rsidP="005849FF">
      <w:pPr>
        <w:tabs>
          <w:tab w:val="left" w:pos="3402"/>
        </w:tabs>
        <w:spacing w:after="0" w:line="260" w:lineRule="exact"/>
        <w:jc w:val="both"/>
        <w:rPr>
          <w:rFonts w:eastAsia="Times New Roman"/>
          <w:iCs/>
          <w:szCs w:val="20"/>
        </w:rPr>
      </w:pPr>
    </w:p>
    <w:p w14:paraId="66E67EE3" w14:textId="3269A335" w:rsidR="005849FF" w:rsidRPr="005849FF" w:rsidRDefault="005849FF" w:rsidP="005849FF">
      <w:pPr>
        <w:tabs>
          <w:tab w:val="left" w:pos="3402"/>
        </w:tabs>
        <w:spacing w:after="0" w:line="260" w:lineRule="exact"/>
        <w:jc w:val="both"/>
        <w:rPr>
          <w:rFonts w:eastAsia="Times New Roman"/>
          <w:iCs/>
          <w:szCs w:val="20"/>
        </w:rPr>
      </w:pPr>
      <w:r w:rsidRPr="005849FF">
        <w:rPr>
          <w:rFonts w:eastAsia="Times New Roman"/>
          <w:iCs/>
          <w:szCs w:val="20"/>
        </w:rPr>
        <w:t>Priprave na investicijo so se začele v letu 2021</w:t>
      </w:r>
      <w:r w:rsidR="00DF7F66">
        <w:rPr>
          <w:rFonts w:eastAsia="Times New Roman"/>
          <w:iCs/>
          <w:szCs w:val="20"/>
        </w:rPr>
        <w:t>, investicija pa se bo zaključila v letu 2025.</w:t>
      </w:r>
    </w:p>
    <w:p w14:paraId="267C2876" w14:textId="77777777" w:rsidR="005849FF" w:rsidRDefault="005849FF" w:rsidP="006E5450">
      <w:pPr>
        <w:tabs>
          <w:tab w:val="left" w:pos="3402"/>
        </w:tabs>
        <w:spacing w:after="0" w:line="260" w:lineRule="exact"/>
        <w:jc w:val="both"/>
        <w:rPr>
          <w:rFonts w:eastAsia="Times New Roman"/>
          <w:b/>
          <w:szCs w:val="20"/>
        </w:rPr>
      </w:pPr>
    </w:p>
    <w:p w14:paraId="3C502499" w14:textId="77777777" w:rsidR="00456552" w:rsidRDefault="00456552" w:rsidP="006E5450">
      <w:pPr>
        <w:tabs>
          <w:tab w:val="left" w:pos="3402"/>
        </w:tabs>
        <w:spacing w:after="0" w:line="260" w:lineRule="exact"/>
        <w:jc w:val="both"/>
        <w:rPr>
          <w:rFonts w:eastAsia="Times New Roman"/>
          <w:b/>
          <w:szCs w:val="20"/>
        </w:rPr>
      </w:pPr>
    </w:p>
    <w:p w14:paraId="29238487" w14:textId="77777777" w:rsidR="00456552" w:rsidRDefault="00456552" w:rsidP="006E5450">
      <w:pPr>
        <w:tabs>
          <w:tab w:val="left" w:pos="3402"/>
        </w:tabs>
        <w:spacing w:after="0" w:line="260" w:lineRule="exact"/>
        <w:jc w:val="both"/>
        <w:rPr>
          <w:rFonts w:eastAsia="Times New Roman"/>
          <w:b/>
          <w:szCs w:val="20"/>
        </w:rPr>
      </w:pPr>
    </w:p>
    <w:p w14:paraId="5DD5768D" w14:textId="77777777" w:rsidR="00456552" w:rsidRDefault="00456552" w:rsidP="006E5450">
      <w:pPr>
        <w:tabs>
          <w:tab w:val="left" w:pos="3402"/>
        </w:tabs>
        <w:spacing w:after="0" w:line="260" w:lineRule="exact"/>
        <w:jc w:val="both"/>
        <w:rPr>
          <w:rFonts w:eastAsia="Times New Roman"/>
          <w:b/>
          <w:szCs w:val="20"/>
        </w:rPr>
      </w:pPr>
    </w:p>
    <w:p w14:paraId="539167C1" w14:textId="77777777" w:rsidR="00456552" w:rsidRDefault="00456552" w:rsidP="006E5450">
      <w:pPr>
        <w:tabs>
          <w:tab w:val="left" w:pos="3402"/>
        </w:tabs>
        <w:spacing w:after="0" w:line="260" w:lineRule="exact"/>
        <w:jc w:val="both"/>
        <w:rPr>
          <w:rFonts w:eastAsia="Times New Roman"/>
          <w:b/>
          <w:szCs w:val="20"/>
        </w:rPr>
      </w:pPr>
    </w:p>
    <w:p w14:paraId="7E93F27F" w14:textId="77777777" w:rsidR="00456552" w:rsidRDefault="00456552" w:rsidP="006E5450">
      <w:pPr>
        <w:tabs>
          <w:tab w:val="left" w:pos="3402"/>
        </w:tabs>
        <w:spacing w:after="0" w:line="260" w:lineRule="exact"/>
        <w:jc w:val="both"/>
        <w:rPr>
          <w:rFonts w:eastAsia="Times New Roman"/>
          <w:b/>
          <w:szCs w:val="20"/>
        </w:rPr>
      </w:pPr>
    </w:p>
    <w:p w14:paraId="5E3BE252" w14:textId="77777777" w:rsidR="00456552" w:rsidRDefault="00456552" w:rsidP="006E5450">
      <w:pPr>
        <w:tabs>
          <w:tab w:val="left" w:pos="3402"/>
        </w:tabs>
        <w:spacing w:after="0" w:line="260" w:lineRule="exact"/>
        <w:jc w:val="both"/>
        <w:rPr>
          <w:rFonts w:eastAsia="Times New Roman"/>
          <w:b/>
          <w:szCs w:val="20"/>
        </w:rPr>
      </w:pPr>
    </w:p>
    <w:p w14:paraId="00AD2BC6" w14:textId="77777777" w:rsidR="00456552" w:rsidRDefault="00456552" w:rsidP="006E5450">
      <w:pPr>
        <w:tabs>
          <w:tab w:val="left" w:pos="3402"/>
        </w:tabs>
        <w:spacing w:after="0" w:line="260" w:lineRule="exact"/>
        <w:jc w:val="both"/>
        <w:rPr>
          <w:rFonts w:eastAsia="Times New Roman"/>
          <w:b/>
          <w:szCs w:val="20"/>
        </w:rPr>
      </w:pPr>
    </w:p>
    <w:p w14:paraId="3A7E7FE0" w14:textId="77777777" w:rsidR="00456552" w:rsidRDefault="00456552" w:rsidP="006E5450">
      <w:pPr>
        <w:tabs>
          <w:tab w:val="left" w:pos="3402"/>
        </w:tabs>
        <w:spacing w:after="0" w:line="260" w:lineRule="exact"/>
        <w:jc w:val="both"/>
        <w:rPr>
          <w:rFonts w:eastAsia="Times New Roman"/>
          <w:b/>
          <w:szCs w:val="20"/>
        </w:rPr>
      </w:pPr>
    </w:p>
    <w:p w14:paraId="70F59508" w14:textId="77777777" w:rsidR="00456552" w:rsidRDefault="00456552" w:rsidP="006E5450">
      <w:pPr>
        <w:tabs>
          <w:tab w:val="left" w:pos="3402"/>
        </w:tabs>
        <w:spacing w:after="0" w:line="260" w:lineRule="exact"/>
        <w:jc w:val="both"/>
        <w:rPr>
          <w:rFonts w:eastAsia="Times New Roman"/>
          <w:b/>
          <w:szCs w:val="20"/>
        </w:rPr>
      </w:pPr>
    </w:p>
    <w:p w14:paraId="32402EB8" w14:textId="61AF157F" w:rsidR="00456552" w:rsidRDefault="00456552" w:rsidP="006E5450">
      <w:pPr>
        <w:tabs>
          <w:tab w:val="left" w:pos="3402"/>
        </w:tabs>
        <w:spacing w:after="0" w:line="260" w:lineRule="exact"/>
        <w:jc w:val="both"/>
        <w:rPr>
          <w:rFonts w:eastAsia="Times New Roman"/>
          <w:b/>
          <w:szCs w:val="20"/>
        </w:rPr>
      </w:pPr>
    </w:p>
    <w:p w14:paraId="14D89DBA" w14:textId="5527B452" w:rsidR="00456552" w:rsidRDefault="00456552" w:rsidP="006E5450">
      <w:pPr>
        <w:tabs>
          <w:tab w:val="left" w:pos="3402"/>
        </w:tabs>
        <w:spacing w:after="0" w:line="260" w:lineRule="exact"/>
        <w:jc w:val="both"/>
        <w:rPr>
          <w:rFonts w:eastAsia="Times New Roman"/>
          <w:b/>
          <w:szCs w:val="20"/>
        </w:rPr>
      </w:pPr>
    </w:p>
    <w:p w14:paraId="6F3DA021" w14:textId="2A34F2DF" w:rsidR="00456552" w:rsidRDefault="00456552" w:rsidP="006E5450">
      <w:pPr>
        <w:tabs>
          <w:tab w:val="left" w:pos="3402"/>
        </w:tabs>
        <w:spacing w:after="0" w:line="260" w:lineRule="exact"/>
        <w:jc w:val="both"/>
        <w:rPr>
          <w:rFonts w:eastAsia="Times New Roman"/>
          <w:b/>
          <w:szCs w:val="20"/>
        </w:rPr>
      </w:pPr>
    </w:p>
    <w:p w14:paraId="4C56299B" w14:textId="2086FBEC" w:rsidR="00456552" w:rsidRDefault="00456552" w:rsidP="006E5450">
      <w:pPr>
        <w:tabs>
          <w:tab w:val="left" w:pos="3402"/>
        </w:tabs>
        <w:spacing w:after="0" w:line="260" w:lineRule="exact"/>
        <w:jc w:val="both"/>
        <w:rPr>
          <w:rFonts w:eastAsia="Times New Roman"/>
          <w:b/>
          <w:szCs w:val="20"/>
        </w:rPr>
      </w:pPr>
    </w:p>
    <w:p w14:paraId="757B53B0" w14:textId="174687AB" w:rsidR="00456552" w:rsidRDefault="00456552" w:rsidP="006E5450">
      <w:pPr>
        <w:tabs>
          <w:tab w:val="left" w:pos="3402"/>
        </w:tabs>
        <w:spacing w:after="0" w:line="260" w:lineRule="exact"/>
        <w:jc w:val="both"/>
        <w:rPr>
          <w:rFonts w:eastAsia="Times New Roman"/>
          <w:b/>
          <w:szCs w:val="20"/>
        </w:rPr>
      </w:pPr>
    </w:p>
    <w:p w14:paraId="07CF6100" w14:textId="39C8E11E" w:rsidR="00456552" w:rsidRDefault="00456552" w:rsidP="006E5450">
      <w:pPr>
        <w:tabs>
          <w:tab w:val="left" w:pos="3402"/>
        </w:tabs>
        <w:spacing w:after="0" w:line="260" w:lineRule="exact"/>
        <w:jc w:val="both"/>
        <w:rPr>
          <w:rFonts w:eastAsia="Times New Roman"/>
          <w:b/>
          <w:szCs w:val="20"/>
        </w:rPr>
      </w:pPr>
    </w:p>
    <w:p w14:paraId="6A710480" w14:textId="0CC6A315" w:rsidR="00456552" w:rsidRDefault="00456552" w:rsidP="006E5450">
      <w:pPr>
        <w:tabs>
          <w:tab w:val="left" w:pos="3402"/>
        </w:tabs>
        <w:spacing w:after="0" w:line="260" w:lineRule="exact"/>
        <w:jc w:val="both"/>
        <w:rPr>
          <w:rFonts w:eastAsia="Times New Roman"/>
          <w:b/>
          <w:szCs w:val="20"/>
        </w:rPr>
      </w:pPr>
    </w:p>
    <w:p w14:paraId="3B6B046B" w14:textId="139541A9" w:rsidR="00456552" w:rsidRDefault="00456552" w:rsidP="006E5450">
      <w:pPr>
        <w:tabs>
          <w:tab w:val="left" w:pos="3402"/>
        </w:tabs>
        <w:spacing w:after="0" w:line="260" w:lineRule="exact"/>
        <w:jc w:val="both"/>
        <w:rPr>
          <w:rFonts w:eastAsia="Times New Roman"/>
          <w:b/>
          <w:szCs w:val="20"/>
        </w:rPr>
      </w:pPr>
    </w:p>
    <w:p w14:paraId="60049A21" w14:textId="2B99C47F" w:rsidR="00456552" w:rsidRDefault="00456552" w:rsidP="006E5450">
      <w:pPr>
        <w:tabs>
          <w:tab w:val="left" w:pos="3402"/>
        </w:tabs>
        <w:spacing w:after="0" w:line="260" w:lineRule="exact"/>
        <w:jc w:val="both"/>
        <w:rPr>
          <w:rFonts w:eastAsia="Times New Roman"/>
          <w:b/>
          <w:szCs w:val="20"/>
        </w:rPr>
      </w:pPr>
    </w:p>
    <w:p w14:paraId="4514142D" w14:textId="2E56EC99" w:rsidR="00456552" w:rsidRDefault="00456552" w:rsidP="006E5450">
      <w:pPr>
        <w:tabs>
          <w:tab w:val="left" w:pos="3402"/>
        </w:tabs>
        <w:spacing w:after="0" w:line="260" w:lineRule="exact"/>
        <w:jc w:val="both"/>
        <w:rPr>
          <w:rFonts w:eastAsia="Times New Roman"/>
          <w:b/>
          <w:szCs w:val="20"/>
        </w:rPr>
      </w:pPr>
    </w:p>
    <w:p w14:paraId="57BF72C9" w14:textId="66A3749D" w:rsidR="00456552" w:rsidRDefault="00456552" w:rsidP="006E5450">
      <w:pPr>
        <w:tabs>
          <w:tab w:val="left" w:pos="3402"/>
        </w:tabs>
        <w:spacing w:after="0" w:line="260" w:lineRule="exact"/>
        <w:jc w:val="both"/>
        <w:rPr>
          <w:rFonts w:eastAsia="Times New Roman"/>
          <w:b/>
          <w:szCs w:val="20"/>
        </w:rPr>
      </w:pPr>
    </w:p>
    <w:p w14:paraId="27BDA4F2" w14:textId="316D9FB2" w:rsidR="00456552" w:rsidRDefault="00456552" w:rsidP="006E5450">
      <w:pPr>
        <w:tabs>
          <w:tab w:val="left" w:pos="3402"/>
        </w:tabs>
        <w:spacing w:after="0" w:line="260" w:lineRule="exact"/>
        <w:jc w:val="both"/>
        <w:rPr>
          <w:rFonts w:eastAsia="Times New Roman"/>
          <w:b/>
          <w:szCs w:val="20"/>
        </w:rPr>
      </w:pPr>
    </w:p>
    <w:p w14:paraId="559449F4" w14:textId="34E5EAC3" w:rsidR="00456552" w:rsidRDefault="00456552" w:rsidP="006E5450">
      <w:pPr>
        <w:tabs>
          <w:tab w:val="left" w:pos="3402"/>
        </w:tabs>
        <w:spacing w:after="0" w:line="260" w:lineRule="exact"/>
        <w:jc w:val="both"/>
        <w:rPr>
          <w:rFonts w:eastAsia="Times New Roman"/>
          <w:b/>
          <w:szCs w:val="20"/>
        </w:rPr>
      </w:pPr>
    </w:p>
    <w:p w14:paraId="736BFB80" w14:textId="109C5457" w:rsidR="00456552" w:rsidRDefault="00456552" w:rsidP="006E5450">
      <w:pPr>
        <w:tabs>
          <w:tab w:val="left" w:pos="3402"/>
        </w:tabs>
        <w:spacing w:after="0" w:line="260" w:lineRule="exact"/>
        <w:jc w:val="both"/>
        <w:rPr>
          <w:rFonts w:eastAsia="Times New Roman"/>
          <w:b/>
          <w:szCs w:val="20"/>
        </w:rPr>
      </w:pPr>
    </w:p>
    <w:p w14:paraId="585C4460" w14:textId="66B80E9C" w:rsidR="00456552" w:rsidRDefault="00456552" w:rsidP="006E5450">
      <w:pPr>
        <w:tabs>
          <w:tab w:val="left" w:pos="3402"/>
        </w:tabs>
        <w:spacing w:after="0" w:line="260" w:lineRule="exact"/>
        <w:jc w:val="both"/>
        <w:rPr>
          <w:rFonts w:eastAsia="Times New Roman"/>
          <w:b/>
          <w:szCs w:val="20"/>
        </w:rPr>
      </w:pPr>
    </w:p>
    <w:p w14:paraId="0457BC35" w14:textId="507E13A0" w:rsidR="006E5450" w:rsidRPr="006E5450" w:rsidRDefault="006E5450" w:rsidP="006E5450">
      <w:pPr>
        <w:tabs>
          <w:tab w:val="left" w:pos="3402"/>
        </w:tabs>
        <w:spacing w:after="0" w:line="260" w:lineRule="exact"/>
        <w:jc w:val="both"/>
        <w:rPr>
          <w:rFonts w:eastAsia="Times New Roman"/>
          <w:b/>
          <w:szCs w:val="20"/>
        </w:rPr>
      </w:pPr>
      <w:r w:rsidRPr="006E5450">
        <w:rPr>
          <w:rFonts w:eastAsia="Times New Roman"/>
          <w:b/>
          <w:szCs w:val="20"/>
        </w:rPr>
        <w:t>PREDLOG SKLEPA VLADE</w:t>
      </w:r>
    </w:p>
    <w:p w14:paraId="34DBDFF2" w14:textId="77777777" w:rsidR="006E5450" w:rsidRPr="006E5450" w:rsidRDefault="006E5450" w:rsidP="006E5450">
      <w:pPr>
        <w:tabs>
          <w:tab w:val="left" w:pos="3402"/>
        </w:tabs>
        <w:spacing w:after="0" w:line="260" w:lineRule="exact"/>
        <w:jc w:val="both"/>
        <w:rPr>
          <w:rFonts w:eastAsia="Times New Roman"/>
          <w:b/>
          <w:szCs w:val="20"/>
        </w:rPr>
      </w:pPr>
    </w:p>
    <w:p w14:paraId="722B2492" w14:textId="77777777" w:rsidR="006E5450" w:rsidRPr="006E5450" w:rsidRDefault="006E5450" w:rsidP="006E5450">
      <w:pPr>
        <w:tabs>
          <w:tab w:val="left" w:pos="3402"/>
        </w:tabs>
        <w:spacing w:after="0" w:line="260" w:lineRule="exact"/>
        <w:jc w:val="both"/>
        <w:rPr>
          <w:rFonts w:eastAsia="Times New Roman"/>
          <w:b/>
          <w:szCs w:val="20"/>
        </w:rPr>
      </w:pPr>
    </w:p>
    <w:p w14:paraId="7C26F730" w14:textId="77777777" w:rsidR="006E5450" w:rsidRPr="006E5450" w:rsidRDefault="006E5450" w:rsidP="006E5450">
      <w:pPr>
        <w:tabs>
          <w:tab w:val="left" w:pos="3402"/>
        </w:tabs>
        <w:spacing w:after="0" w:line="260" w:lineRule="exact"/>
        <w:jc w:val="both"/>
        <w:rPr>
          <w:rFonts w:eastAsia="Times New Roman"/>
          <w:szCs w:val="20"/>
        </w:rPr>
      </w:pPr>
      <w:r w:rsidRPr="006E5450">
        <w:rPr>
          <w:rFonts w:eastAsia="Times New Roman"/>
          <w:szCs w:val="20"/>
        </w:rPr>
        <w:t>Številka:</w:t>
      </w:r>
    </w:p>
    <w:p w14:paraId="7DE5D9E7" w14:textId="77777777" w:rsidR="006E5450" w:rsidRPr="006E5450" w:rsidRDefault="006E5450" w:rsidP="006E5450">
      <w:pPr>
        <w:tabs>
          <w:tab w:val="left" w:pos="3402"/>
        </w:tabs>
        <w:spacing w:after="0" w:line="260" w:lineRule="exact"/>
        <w:jc w:val="both"/>
        <w:rPr>
          <w:rFonts w:eastAsia="Times New Roman"/>
          <w:szCs w:val="20"/>
        </w:rPr>
      </w:pPr>
    </w:p>
    <w:p w14:paraId="75E581A7" w14:textId="77777777" w:rsidR="006E5450" w:rsidRPr="006E5450" w:rsidRDefault="006E5450" w:rsidP="006E5450">
      <w:pPr>
        <w:tabs>
          <w:tab w:val="left" w:pos="3402"/>
        </w:tabs>
        <w:spacing w:after="0" w:line="260" w:lineRule="exact"/>
        <w:jc w:val="both"/>
        <w:rPr>
          <w:rFonts w:eastAsia="Times New Roman"/>
          <w:szCs w:val="20"/>
        </w:rPr>
      </w:pPr>
    </w:p>
    <w:p w14:paraId="00ABE4EC" w14:textId="77777777" w:rsidR="006E5450" w:rsidRPr="006E5450" w:rsidRDefault="006E5450" w:rsidP="006E5450">
      <w:pPr>
        <w:tabs>
          <w:tab w:val="left" w:pos="3402"/>
        </w:tabs>
        <w:spacing w:after="0" w:line="260" w:lineRule="exact"/>
        <w:jc w:val="both"/>
        <w:rPr>
          <w:rFonts w:eastAsia="Times New Roman"/>
          <w:szCs w:val="20"/>
        </w:rPr>
      </w:pPr>
      <w:r w:rsidRPr="006E5450">
        <w:rPr>
          <w:rFonts w:eastAsia="Times New Roman"/>
          <w:szCs w:val="20"/>
        </w:rPr>
        <w:t>Ljubljana, dne</w:t>
      </w:r>
    </w:p>
    <w:p w14:paraId="5D79F1F2" w14:textId="77777777" w:rsidR="006E5450" w:rsidRPr="006E5450" w:rsidRDefault="006E5450" w:rsidP="006E5450">
      <w:pPr>
        <w:tabs>
          <w:tab w:val="left" w:pos="3402"/>
        </w:tabs>
        <w:spacing w:after="0" w:line="260" w:lineRule="exact"/>
        <w:jc w:val="both"/>
        <w:rPr>
          <w:rFonts w:eastAsia="Times New Roman"/>
          <w:szCs w:val="20"/>
        </w:rPr>
      </w:pPr>
    </w:p>
    <w:p w14:paraId="2A43C44E" w14:textId="77777777" w:rsidR="006E5450" w:rsidRPr="006E5450" w:rsidRDefault="006E5450" w:rsidP="006E5450">
      <w:pPr>
        <w:tabs>
          <w:tab w:val="left" w:pos="3402"/>
        </w:tabs>
        <w:spacing w:after="0" w:line="260" w:lineRule="exact"/>
        <w:jc w:val="both"/>
        <w:rPr>
          <w:rFonts w:eastAsia="Times New Roman"/>
          <w:szCs w:val="20"/>
        </w:rPr>
      </w:pPr>
    </w:p>
    <w:p w14:paraId="04CEBF2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0A87F458" w14:textId="00AAFE92" w:rsidR="006E5450" w:rsidRPr="006E5450" w:rsidRDefault="005849FF" w:rsidP="006E5450">
      <w:pPr>
        <w:overflowPunct w:val="0"/>
        <w:autoSpaceDE w:val="0"/>
        <w:autoSpaceDN w:val="0"/>
        <w:adjustRightInd w:val="0"/>
        <w:spacing w:after="0" w:line="240" w:lineRule="auto"/>
        <w:jc w:val="both"/>
        <w:textAlignment w:val="baseline"/>
        <w:rPr>
          <w:rFonts w:eastAsia="Times New Roman" w:cs="Arial"/>
          <w:iCs/>
          <w:szCs w:val="20"/>
          <w:lang w:eastAsia="sl-SI"/>
        </w:rPr>
      </w:pPr>
      <w:r w:rsidRPr="005849FF">
        <w:rPr>
          <w:rFonts w:eastAsia="Times New Roman" w:cs="Arial"/>
          <w:iCs/>
          <w:szCs w:val="20"/>
          <w:lang w:eastAsia="sl-SI"/>
        </w:rPr>
        <w:t xml:space="preserve">Na podlagi petega odstavka 31. člena Zakona o izvrševanju proračunov Republike Slovenije za leti </w:t>
      </w:r>
      <w:r w:rsidR="008359C5" w:rsidRPr="00E01998">
        <w:rPr>
          <w:iCs/>
          <w:szCs w:val="20"/>
        </w:rPr>
        <w:t xml:space="preserve">2024 in 2025 (Uradni list RS, št. </w:t>
      </w:r>
      <w:r w:rsidR="00E01998">
        <w:rPr>
          <w:iCs/>
          <w:szCs w:val="20"/>
        </w:rPr>
        <w:t xml:space="preserve">123/23 in </w:t>
      </w:r>
      <w:r w:rsidR="008359C5" w:rsidRPr="00E01998">
        <w:rPr>
          <w:iCs/>
          <w:szCs w:val="20"/>
        </w:rPr>
        <w:t>12/24)</w:t>
      </w:r>
      <w:r w:rsidR="008359C5">
        <w:rPr>
          <w:iCs/>
          <w:szCs w:val="20"/>
        </w:rPr>
        <w:t xml:space="preserve"> </w:t>
      </w:r>
      <w:r w:rsidRPr="005849FF">
        <w:rPr>
          <w:rFonts w:eastAsia="Times New Roman" w:cs="Arial"/>
          <w:iCs/>
          <w:szCs w:val="20"/>
          <w:lang w:eastAsia="sl-SI"/>
        </w:rPr>
        <w:t>je Vlada Republike Slovenije na seji dne………………sprejela naslednji</w:t>
      </w:r>
    </w:p>
    <w:p w14:paraId="1CB577C9"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78C12D1D"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25EC9C3C" w14:textId="77777777" w:rsidR="006E5450" w:rsidRPr="006E5450" w:rsidRDefault="006E5450" w:rsidP="006E5450">
      <w:pPr>
        <w:overflowPunct w:val="0"/>
        <w:autoSpaceDE w:val="0"/>
        <w:autoSpaceDN w:val="0"/>
        <w:adjustRightInd w:val="0"/>
        <w:spacing w:after="0" w:line="240" w:lineRule="auto"/>
        <w:jc w:val="center"/>
        <w:textAlignment w:val="baseline"/>
        <w:rPr>
          <w:rFonts w:eastAsia="Times New Roman" w:cs="Arial"/>
          <w:iCs/>
          <w:szCs w:val="20"/>
          <w:lang w:eastAsia="sl-SI"/>
        </w:rPr>
      </w:pPr>
      <w:r w:rsidRPr="006E5450">
        <w:rPr>
          <w:rFonts w:eastAsia="Times New Roman" w:cs="Arial"/>
          <w:iCs/>
          <w:szCs w:val="20"/>
          <w:lang w:eastAsia="sl-SI"/>
        </w:rPr>
        <w:t>SKLEP:</w:t>
      </w:r>
    </w:p>
    <w:p w14:paraId="01327674"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07F6ECA7" w14:textId="77777777" w:rsidR="006E5450" w:rsidRPr="006E5450" w:rsidRDefault="006E5450" w:rsidP="006E5450">
      <w:pPr>
        <w:overflowPunct w:val="0"/>
        <w:autoSpaceDE w:val="0"/>
        <w:autoSpaceDN w:val="0"/>
        <w:adjustRightInd w:val="0"/>
        <w:spacing w:after="0" w:line="240" w:lineRule="auto"/>
        <w:jc w:val="both"/>
        <w:textAlignment w:val="baseline"/>
        <w:rPr>
          <w:rFonts w:eastAsia="Times New Roman" w:cs="Arial"/>
          <w:iCs/>
          <w:szCs w:val="20"/>
          <w:lang w:eastAsia="sl-SI"/>
        </w:rPr>
      </w:pPr>
    </w:p>
    <w:p w14:paraId="352CD61B" w14:textId="217954AD" w:rsidR="008D3BC5" w:rsidRPr="00CE759D" w:rsidRDefault="008D3BC5" w:rsidP="008D3BC5">
      <w:pPr>
        <w:jc w:val="both"/>
        <w:rPr>
          <w:rFonts w:eastAsia="Times New Roman"/>
          <w:szCs w:val="24"/>
        </w:rPr>
      </w:pPr>
      <w:r w:rsidRPr="00CC0E41">
        <w:rPr>
          <w:iCs/>
          <w:szCs w:val="20"/>
        </w:rPr>
        <w:t>V veljavn</w:t>
      </w:r>
      <w:r>
        <w:rPr>
          <w:iCs/>
          <w:szCs w:val="20"/>
        </w:rPr>
        <w:t>i</w:t>
      </w:r>
      <w:r w:rsidRPr="00CC0E41">
        <w:rPr>
          <w:iCs/>
          <w:szCs w:val="20"/>
        </w:rPr>
        <w:t xml:space="preserve"> Načrt razvojnih programov </w:t>
      </w:r>
      <w:r w:rsidRPr="000517DF">
        <w:rPr>
          <w:iCs/>
          <w:szCs w:val="20"/>
        </w:rPr>
        <w:t>202</w:t>
      </w:r>
      <w:r>
        <w:rPr>
          <w:iCs/>
          <w:szCs w:val="20"/>
        </w:rPr>
        <w:t>4</w:t>
      </w:r>
      <w:r w:rsidRPr="000517DF">
        <w:rPr>
          <w:iCs/>
          <w:szCs w:val="20"/>
        </w:rPr>
        <w:t>–202</w:t>
      </w:r>
      <w:r>
        <w:rPr>
          <w:iCs/>
          <w:szCs w:val="20"/>
        </w:rPr>
        <w:t>7</w:t>
      </w:r>
      <w:r w:rsidRPr="00CC0E41">
        <w:rPr>
          <w:iCs/>
          <w:szCs w:val="20"/>
        </w:rPr>
        <w:t xml:space="preserve"> se, </w:t>
      </w:r>
      <w:r>
        <w:rPr>
          <w:iCs/>
          <w:szCs w:val="20"/>
        </w:rPr>
        <w:t xml:space="preserve">v skladu </w:t>
      </w:r>
      <w:r w:rsidRPr="00CC0E41">
        <w:rPr>
          <w:iCs/>
          <w:szCs w:val="20"/>
        </w:rPr>
        <w:t xml:space="preserve">s podatki iz priložene tabele, </w:t>
      </w:r>
      <w:r>
        <w:rPr>
          <w:iCs/>
          <w:szCs w:val="20"/>
        </w:rPr>
        <w:t xml:space="preserve">ponovno uvrsti </w:t>
      </w:r>
      <w:r w:rsidRPr="00CC0E41">
        <w:rPr>
          <w:iCs/>
          <w:szCs w:val="20"/>
        </w:rPr>
        <w:t xml:space="preserve">projekt, ki izhaja iz evidenčnega projekta </w:t>
      </w:r>
      <w:r w:rsidRPr="00CE759D">
        <w:rPr>
          <w:rFonts w:eastAsia="Times New Roman"/>
          <w:iCs/>
          <w:color w:val="000000"/>
          <w:szCs w:val="20"/>
        </w:rPr>
        <w:t>2611-13-0002 – n</w:t>
      </w:r>
      <w:r w:rsidRPr="00CE759D">
        <w:rPr>
          <w:rFonts w:eastAsia="Times New Roman"/>
          <w:iCs/>
          <w:szCs w:val="20"/>
        </w:rPr>
        <w:t>ovogradnje, adaptacije, rekonstrukcije, oprema domov za starostnike in SV zavode, in sicer</w:t>
      </w:r>
      <w:r w:rsidRPr="00CE759D">
        <w:rPr>
          <w:rFonts w:eastAsia="Times New Roman"/>
          <w:iCs/>
          <w:color w:val="000000"/>
          <w:szCs w:val="20"/>
        </w:rPr>
        <w:t xml:space="preserve">: </w:t>
      </w:r>
      <w:r w:rsidRPr="005849FF">
        <w:rPr>
          <w:szCs w:val="20"/>
        </w:rPr>
        <w:t xml:space="preserve">2611-22-0902 - Nadzidava in prizidava </w:t>
      </w:r>
      <w:r>
        <w:rPr>
          <w:szCs w:val="20"/>
        </w:rPr>
        <w:t xml:space="preserve">- </w:t>
      </w:r>
      <w:r w:rsidRPr="005849FF">
        <w:rPr>
          <w:szCs w:val="20"/>
        </w:rPr>
        <w:t>Dom Poljčane, Slov</w:t>
      </w:r>
      <w:r>
        <w:rPr>
          <w:szCs w:val="20"/>
        </w:rPr>
        <w:t>.</w:t>
      </w:r>
      <w:r w:rsidRPr="005849FF">
        <w:rPr>
          <w:szCs w:val="20"/>
        </w:rPr>
        <w:t xml:space="preserve"> Bistrica</w:t>
      </w:r>
      <w:r w:rsidRPr="005849FF">
        <w:rPr>
          <w:rFonts w:eastAsia="Times New Roman"/>
          <w:bCs/>
          <w:iCs/>
          <w:color w:val="000000"/>
          <w:szCs w:val="20"/>
        </w:rPr>
        <w:t>,</w:t>
      </w:r>
      <w:r w:rsidRPr="00CE759D">
        <w:rPr>
          <w:rFonts w:eastAsia="Times New Roman"/>
          <w:b/>
          <w:iCs/>
          <w:color w:val="000000"/>
          <w:szCs w:val="20"/>
        </w:rPr>
        <w:t xml:space="preserve"> </w:t>
      </w:r>
      <w:r w:rsidRPr="00CE759D">
        <w:rPr>
          <w:rFonts w:eastAsia="Times New Roman"/>
          <w:iCs/>
          <w:color w:val="000000"/>
          <w:szCs w:val="20"/>
        </w:rPr>
        <w:t>ki spada v skupino projektov, 2611-11-S018 – Izvajanje enovitega sistema dolgotrajne oskrbe</w:t>
      </w:r>
      <w:r>
        <w:rPr>
          <w:rFonts w:eastAsia="Times New Roman"/>
          <w:iCs/>
          <w:color w:val="000000"/>
          <w:szCs w:val="20"/>
        </w:rPr>
        <w:t>, ter</w:t>
      </w:r>
      <w:r>
        <w:rPr>
          <w:iCs/>
          <w:szCs w:val="20"/>
        </w:rPr>
        <w:t xml:space="preserve"> spremeni njegova izhodiščna vrednost.</w:t>
      </w:r>
    </w:p>
    <w:p w14:paraId="6E8D86FA"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680059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38634F24"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54DFF763"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highlight w:val="yellow"/>
          <w:lang w:eastAsia="sl-SI"/>
        </w:rPr>
      </w:pPr>
      <w:r w:rsidRPr="006E5450">
        <w:rPr>
          <w:rFonts w:eastAsia="Times New Roman" w:cs="Arial"/>
          <w:iCs/>
          <w:szCs w:val="20"/>
          <w:lang w:eastAsia="sl-SI"/>
        </w:rPr>
        <w:t xml:space="preserve">                                                                                       Barbara Kolenko Helbl</w:t>
      </w:r>
    </w:p>
    <w:p w14:paraId="2F226C9A"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r w:rsidRPr="006E5450">
        <w:rPr>
          <w:rFonts w:eastAsia="Times New Roman" w:cs="Arial"/>
          <w:iCs/>
          <w:szCs w:val="20"/>
          <w:lang w:eastAsia="sl-SI"/>
        </w:rPr>
        <w:t xml:space="preserve">                                                                                       generalna sekretarka</w:t>
      </w:r>
    </w:p>
    <w:p w14:paraId="56AD2F6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D006BF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43BC67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43A93BC"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6426378"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6BEEDA11"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530B889"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9242B12"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7B95406E"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27D5B592"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4CA37463" w14:textId="77777777" w:rsidR="006E5450" w:rsidRPr="006E5450" w:rsidRDefault="006E5450" w:rsidP="006E5450">
      <w:pPr>
        <w:keepLines/>
        <w:spacing w:after="0" w:line="260" w:lineRule="exact"/>
        <w:jc w:val="both"/>
        <w:rPr>
          <w:rFonts w:eastAsia="Times New Roman" w:cs="Arial"/>
          <w:bCs/>
          <w:szCs w:val="20"/>
        </w:rPr>
      </w:pPr>
      <w:r w:rsidRPr="006E5450">
        <w:rPr>
          <w:rFonts w:eastAsia="Times New Roman" w:cs="Arial"/>
          <w:bCs/>
          <w:szCs w:val="20"/>
        </w:rPr>
        <w:t>Prejmeta:</w:t>
      </w:r>
    </w:p>
    <w:p w14:paraId="35B4C558" w14:textId="4338821C" w:rsidR="006E5450" w:rsidRPr="006E5450" w:rsidRDefault="006E5450" w:rsidP="006E5450">
      <w:pPr>
        <w:keepLines/>
        <w:numPr>
          <w:ilvl w:val="0"/>
          <w:numId w:val="10"/>
        </w:numPr>
        <w:spacing w:after="0" w:line="260" w:lineRule="exact"/>
        <w:ind w:left="851"/>
        <w:contextualSpacing/>
        <w:jc w:val="both"/>
        <w:rPr>
          <w:rFonts w:eastAsia="Times New Roman" w:cs="Arial"/>
          <w:bCs/>
          <w:szCs w:val="20"/>
          <w:lang w:eastAsia="sl-SI"/>
        </w:rPr>
      </w:pPr>
      <w:r w:rsidRPr="006E5450">
        <w:rPr>
          <w:rFonts w:eastAsia="Times New Roman" w:cs="Arial"/>
          <w:bCs/>
          <w:szCs w:val="20"/>
          <w:lang w:eastAsia="sl-SI"/>
        </w:rPr>
        <w:t xml:space="preserve">Ministrstvo za </w:t>
      </w:r>
      <w:r w:rsidR="007B19CA">
        <w:rPr>
          <w:rFonts w:eastAsia="Times New Roman" w:cs="Arial"/>
          <w:bCs/>
          <w:szCs w:val="20"/>
          <w:lang w:eastAsia="sl-SI"/>
        </w:rPr>
        <w:t>solidarno prihodnost</w:t>
      </w:r>
      <w:r w:rsidRPr="006E5450">
        <w:rPr>
          <w:rFonts w:eastAsia="Times New Roman" w:cs="Arial"/>
          <w:bCs/>
          <w:szCs w:val="20"/>
          <w:lang w:eastAsia="sl-SI"/>
        </w:rPr>
        <w:t>,</w:t>
      </w:r>
    </w:p>
    <w:p w14:paraId="73039077" w14:textId="77777777" w:rsidR="006E5450" w:rsidRPr="006E5450" w:rsidRDefault="006E5450" w:rsidP="006E5450">
      <w:pPr>
        <w:keepLines/>
        <w:numPr>
          <w:ilvl w:val="0"/>
          <w:numId w:val="10"/>
        </w:numPr>
        <w:spacing w:after="0" w:line="260" w:lineRule="exact"/>
        <w:ind w:left="851"/>
        <w:contextualSpacing/>
        <w:jc w:val="both"/>
        <w:rPr>
          <w:rFonts w:eastAsia="Times New Roman" w:cs="Arial"/>
          <w:bCs/>
          <w:szCs w:val="20"/>
          <w:lang w:eastAsia="sl-SI"/>
        </w:rPr>
      </w:pPr>
      <w:r w:rsidRPr="006E5450">
        <w:rPr>
          <w:rFonts w:eastAsia="Times New Roman" w:cs="Arial"/>
          <w:bCs/>
          <w:szCs w:val="20"/>
          <w:lang w:eastAsia="sl-SI"/>
        </w:rPr>
        <w:t>Ministrstvo za finance.</w:t>
      </w:r>
    </w:p>
    <w:p w14:paraId="6ACA1AB7"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iCs/>
          <w:szCs w:val="20"/>
          <w:lang w:eastAsia="sl-SI"/>
        </w:rPr>
      </w:pPr>
    </w:p>
    <w:p w14:paraId="666FD77D"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bCs/>
          <w:szCs w:val="20"/>
          <w:lang w:eastAsia="sl-SI"/>
        </w:rPr>
      </w:pPr>
      <w:r w:rsidRPr="006E5450">
        <w:rPr>
          <w:rFonts w:eastAsia="Times New Roman" w:cs="Arial"/>
          <w:iCs/>
          <w:szCs w:val="20"/>
          <w:lang w:eastAsia="sl-SI"/>
        </w:rPr>
        <w:t xml:space="preserve">                                                                                       </w:t>
      </w:r>
    </w:p>
    <w:p w14:paraId="6BAABDBC" w14:textId="77777777" w:rsidR="006E5450" w:rsidRPr="006E5450" w:rsidRDefault="006E5450" w:rsidP="006E5450">
      <w:pPr>
        <w:overflowPunct w:val="0"/>
        <w:autoSpaceDE w:val="0"/>
        <w:autoSpaceDN w:val="0"/>
        <w:adjustRightInd w:val="0"/>
        <w:spacing w:before="60" w:after="60" w:line="200" w:lineRule="exact"/>
        <w:jc w:val="both"/>
        <w:textAlignment w:val="baseline"/>
        <w:rPr>
          <w:rFonts w:eastAsia="Times New Roman" w:cs="Arial"/>
          <w:sz w:val="22"/>
          <w:lang w:eastAsia="sl-SI"/>
        </w:rPr>
      </w:pPr>
    </w:p>
    <w:p w14:paraId="24ED6A97" w14:textId="431EEC83" w:rsidR="006E5450" w:rsidRDefault="006E5450"/>
    <w:p w14:paraId="14642646" w14:textId="77777777" w:rsidR="006E5450" w:rsidRDefault="006E5450"/>
    <w:sectPr w:rsidR="006E5450" w:rsidSect="006943C1">
      <w:headerReference w:type="first" r:id="rId9"/>
      <w:pgSz w:w="11906" w:h="16838"/>
      <w:pgMar w:top="185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D5090" w14:textId="77777777" w:rsidR="008A6341" w:rsidRDefault="008A6341" w:rsidP="00BD6A1D">
      <w:pPr>
        <w:spacing w:after="0" w:line="240" w:lineRule="auto"/>
      </w:pPr>
      <w:r>
        <w:separator/>
      </w:r>
    </w:p>
  </w:endnote>
  <w:endnote w:type="continuationSeparator" w:id="0">
    <w:p w14:paraId="1D544235" w14:textId="77777777" w:rsidR="008A6341" w:rsidRDefault="008A6341"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0F9F" w14:textId="77777777" w:rsidR="008A6341" w:rsidRDefault="008A6341" w:rsidP="00BD6A1D">
      <w:pPr>
        <w:spacing w:after="0" w:line="240" w:lineRule="auto"/>
      </w:pPr>
      <w:r>
        <w:separator/>
      </w:r>
    </w:p>
  </w:footnote>
  <w:footnote w:type="continuationSeparator" w:id="0">
    <w:p w14:paraId="3BA8ED31" w14:textId="77777777" w:rsidR="008A6341" w:rsidRDefault="008A6341" w:rsidP="00BD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629B" w14:textId="77777777" w:rsidR="009F5FFF" w:rsidRPr="00BD6A1D" w:rsidRDefault="00683232" w:rsidP="00BD6A1D">
    <w:pPr>
      <w:pStyle w:val="Glava"/>
      <w:tabs>
        <w:tab w:val="left" w:pos="5112"/>
      </w:tabs>
      <w:spacing w:line="240" w:lineRule="exact"/>
      <w:ind w:left="5103"/>
      <w:rPr>
        <w:rFonts w:cs="Arial"/>
        <w:sz w:val="16"/>
        <w:szCs w:val="16"/>
      </w:rPr>
    </w:pPr>
    <w:r>
      <w:rPr>
        <w:rFonts w:cs="Arial"/>
        <w:noProof/>
        <w:sz w:val="16"/>
        <w:szCs w:val="16"/>
      </w:rPr>
      <w:drawing>
        <wp:anchor distT="0" distB="0" distL="114300" distR="114300" simplePos="0" relativeHeight="251658240" behindDoc="0" locked="0" layoutInCell="1" allowOverlap="1" wp14:anchorId="7E037FAF" wp14:editId="67465FC6">
          <wp:simplePos x="0" y="0"/>
          <wp:positionH relativeFrom="page">
            <wp:align>left</wp:align>
          </wp:positionH>
          <wp:positionV relativeFrom="page">
            <wp:align>top</wp:align>
          </wp:positionV>
          <wp:extent cx="3535200" cy="1083600"/>
          <wp:effectExtent l="0" t="0" r="8255" b="2540"/>
          <wp:wrapSquare wrapText="bothSides"/>
          <wp:docPr id="11" name="Slika 1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3535200" cy="1083600"/>
                  </a:xfrm>
                  <a:prstGeom prst="rect">
                    <a:avLst/>
                  </a:prstGeom>
                </pic:spPr>
              </pic:pic>
            </a:graphicData>
          </a:graphic>
          <wp14:sizeRelH relativeFrom="margin">
            <wp14:pctWidth>0</wp14:pctWidth>
          </wp14:sizeRelH>
          <wp14:sizeRelV relativeFrom="margin">
            <wp14:pctHeight>0</wp14:pctHeight>
          </wp14:sizeRelV>
        </wp:anchor>
      </w:drawing>
    </w:r>
  </w:p>
  <w:p w14:paraId="4C60A741" w14:textId="77777777" w:rsidR="009F5FFF" w:rsidRDefault="009F5FF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407EF2"/>
    <w:multiLevelType w:val="hybridMultilevel"/>
    <w:tmpl w:val="E244DBF6"/>
    <w:lvl w:ilvl="0" w:tplc="AF2CE064">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6132D38"/>
    <w:multiLevelType w:val="hybridMultilevel"/>
    <w:tmpl w:val="0BD2E17C"/>
    <w:lvl w:ilvl="0" w:tplc="AF2CE0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6762CD"/>
    <w:multiLevelType w:val="hybridMultilevel"/>
    <w:tmpl w:val="1ACA0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DF4865"/>
    <w:multiLevelType w:val="hybridMultilevel"/>
    <w:tmpl w:val="36F843F6"/>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5476B0"/>
    <w:multiLevelType w:val="hybridMultilevel"/>
    <w:tmpl w:val="C1348A86"/>
    <w:lvl w:ilvl="0" w:tplc="AC4430B4">
      <w:start w:val="2"/>
      <w:numFmt w:val="bullet"/>
      <w:lvlText w:val="-"/>
      <w:lvlJc w:val="left"/>
      <w:pPr>
        <w:ind w:left="1429" w:hanging="360"/>
      </w:p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76364B20"/>
    <w:multiLevelType w:val="hybridMultilevel"/>
    <w:tmpl w:val="B74EB1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9CB32AF"/>
    <w:multiLevelType w:val="hybridMultilevel"/>
    <w:tmpl w:val="89EA46FA"/>
    <w:lvl w:ilvl="0" w:tplc="AF2CE0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67391705">
    <w:abstractNumId w:val="0"/>
  </w:num>
  <w:num w:numId="2" w16cid:durableId="2131391868">
    <w:abstractNumId w:val="10"/>
  </w:num>
  <w:num w:numId="3" w16cid:durableId="485437145">
    <w:abstractNumId w:val="8"/>
  </w:num>
  <w:num w:numId="4" w16cid:durableId="1145198727">
    <w:abstractNumId w:val="11"/>
  </w:num>
  <w:num w:numId="5" w16cid:durableId="1578511121">
    <w:abstractNumId w:val="15"/>
  </w:num>
  <w:num w:numId="6" w16cid:durableId="883103004">
    <w:abstractNumId w:val="6"/>
  </w:num>
  <w:num w:numId="7" w16cid:durableId="1513908896">
    <w:abstractNumId w:val="2"/>
  </w:num>
  <w:num w:numId="8" w16cid:durableId="875242798">
    <w:abstractNumId w:val="7"/>
  </w:num>
  <w:num w:numId="9" w16cid:durableId="358628783">
    <w:abstractNumId w:val="3"/>
  </w:num>
  <w:num w:numId="10" w16cid:durableId="30736628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8427383">
    <w:abstractNumId w:val="13"/>
  </w:num>
  <w:num w:numId="12" w16cid:durableId="129370712">
    <w:abstractNumId w:val="4"/>
  </w:num>
  <w:num w:numId="13" w16cid:durableId="662860030">
    <w:abstractNumId w:val="1"/>
  </w:num>
  <w:num w:numId="14" w16cid:durableId="658264469">
    <w:abstractNumId w:val="14"/>
  </w:num>
  <w:num w:numId="15" w16cid:durableId="1180974498">
    <w:abstractNumId w:val="9"/>
  </w:num>
  <w:num w:numId="16" w16cid:durableId="498428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01"/>
    <w:rsid w:val="00005D4B"/>
    <w:rsid w:val="00006A51"/>
    <w:rsid w:val="00016653"/>
    <w:rsid w:val="00023EFD"/>
    <w:rsid w:val="000260D8"/>
    <w:rsid w:val="00031D62"/>
    <w:rsid w:val="00033B69"/>
    <w:rsid w:val="000370A4"/>
    <w:rsid w:val="00037137"/>
    <w:rsid w:val="00037530"/>
    <w:rsid w:val="00041646"/>
    <w:rsid w:val="00043EE2"/>
    <w:rsid w:val="000469EA"/>
    <w:rsid w:val="00047F8B"/>
    <w:rsid w:val="00053AD0"/>
    <w:rsid w:val="00063047"/>
    <w:rsid w:val="00064C6A"/>
    <w:rsid w:val="00070EF5"/>
    <w:rsid w:val="00072E58"/>
    <w:rsid w:val="0008543D"/>
    <w:rsid w:val="00086470"/>
    <w:rsid w:val="00092441"/>
    <w:rsid w:val="00094804"/>
    <w:rsid w:val="000A200B"/>
    <w:rsid w:val="000A355D"/>
    <w:rsid w:val="000A6D92"/>
    <w:rsid w:val="000B0226"/>
    <w:rsid w:val="000B1D20"/>
    <w:rsid w:val="000B4182"/>
    <w:rsid w:val="000B7566"/>
    <w:rsid w:val="000C327A"/>
    <w:rsid w:val="000C35AB"/>
    <w:rsid w:val="000D0A51"/>
    <w:rsid w:val="000D0F4D"/>
    <w:rsid w:val="000D4B53"/>
    <w:rsid w:val="000D5D7F"/>
    <w:rsid w:val="000D6646"/>
    <w:rsid w:val="000D7761"/>
    <w:rsid w:val="000E0AB5"/>
    <w:rsid w:val="000E1DE5"/>
    <w:rsid w:val="000F2CE1"/>
    <w:rsid w:val="00103C03"/>
    <w:rsid w:val="00105499"/>
    <w:rsid w:val="001106BB"/>
    <w:rsid w:val="00111994"/>
    <w:rsid w:val="00113D22"/>
    <w:rsid w:val="00123A17"/>
    <w:rsid w:val="00133E4A"/>
    <w:rsid w:val="00134190"/>
    <w:rsid w:val="001362D8"/>
    <w:rsid w:val="00144C7E"/>
    <w:rsid w:val="00152D3A"/>
    <w:rsid w:val="001536A5"/>
    <w:rsid w:val="00171198"/>
    <w:rsid w:val="00171378"/>
    <w:rsid w:val="00173A3F"/>
    <w:rsid w:val="00177722"/>
    <w:rsid w:val="001872B1"/>
    <w:rsid w:val="00191468"/>
    <w:rsid w:val="001930E5"/>
    <w:rsid w:val="00193301"/>
    <w:rsid w:val="00195F0E"/>
    <w:rsid w:val="001973E4"/>
    <w:rsid w:val="001A161B"/>
    <w:rsid w:val="001A18FF"/>
    <w:rsid w:val="001A1F7D"/>
    <w:rsid w:val="001B5D01"/>
    <w:rsid w:val="001C6E7D"/>
    <w:rsid w:val="001C7F58"/>
    <w:rsid w:val="001D3B84"/>
    <w:rsid w:val="001D4243"/>
    <w:rsid w:val="001E5463"/>
    <w:rsid w:val="001E772B"/>
    <w:rsid w:val="001F3A9B"/>
    <w:rsid w:val="001F3E1E"/>
    <w:rsid w:val="001F5801"/>
    <w:rsid w:val="00201360"/>
    <w:rsid w:val="0020353A"/>
    <w:rsid w:val="00203834"/>
    <w:rsid w:val="00205037"/>
    <w:rsid w:val="002050C4"/>
    <w:rsid w:val="0021132C"/>
    <w:rsid w:val="002139CD"/>
    <w:rsid w:val="00231AE9"/>
    <w:rsid w:val="0023299A"/>
    <w:rsid w:val="00243BA1"/>
    <w:rsid w:val="00252CBD"/>
    <w:rsid w:val="00263A02"/>
    <w:rsid w:val="00264611"/>
    <w:rsid w:val="002741EC"/>
    <w:rsid w:val="002808C0"/>
    <w:rsid w:val="00280D65"/>
    <w:rsid w:val="00281FD3"/>
    <w:rsid w:val="00282EDF"/>
    <w:rsid w:val="00283E8B"/>
    <w:rsid w:val="00285701"/>
    <w:rsid w:val="00295634"/>
    <w:rsid w:val="00296A2A"/>
    <w:rsid w:val="002975CC"/>
    <w:rsid w:val="00297B7C"/>
    <w:rsid w:val="002A0D94"/>
    <w:rsid w:val="002B0452"/>
    <w:rsid w:val="002B4B7D"/>
    <w:rsid w:val="002C0ECF"/>
    <w:rsid w:val="002C32B9"/>
    <w:rsid w:val="002C4185"/>
    <w:rsid w:val="002C4311"/>
    <w:rsid w:val="002C4776"/>
    <w:rsid w:val="002C7CC5"/>
    <w:rsid w:val="002D0E49"/>
    <w:rsid w:val="002E32ED"/>
    <w:rsid w:val="002E3A7B"/>
    <w:rsid w:val="002E579F"/>
    <w:rsid w:val="002F4BDE"/>
    <w:rsid w:val="002F7626"/>
    <w:rsid w:val="003000D7"/>
    <w:rsid w:val="003006B7"/>
    <w:rsid w:val="0030223A"/>
    <w:rsid w:val="003045F4"/>
    <w:rsid w:val="0030553A"/>
    <w:rsid w:val="00306254"/>
    <w:rsid w:val="00306464"/>
    <w:rsid w:val="00306956"/>
    <w:rsid w:val="003113EF"/>
    <w:rsid w:val="00313172"/>
    <w:rsid w:val="00313DD0"/>
    <w:rsid w:val="00317B62"/>
    <w:rsid w:val="00321A64"/>
    <w:rsid w:val="0032406F"/>
    <w:rsid w:val="00334783"/>
    <w:rsid w:val="00335B51"/>
    <w:rsid w:val="00341ED5"/>
    <w:rsid w:val="0034328E"/>
    <w:rsid w:val="00343E82"/>
    <w:rsid w:val="00344D41"/>
    <w:rsid w:val="003463C7"/>
    <w:rsid w:val="00352562"/>
    <w:rsid w:val="00352B66"/>
    <w:rsid w:val="00353A01"/>
    <w:rsid w:val="003553D3"/>
    <w:rsid w:val="00363341"/>
    <w:rsid w:val="003666A5"/>
    <w:rsid w:val="00374331"/>
    <w:rsid w:val="00377E70"/>
    <w:rsid w:val="003812A7"/>
    <w:rsid w:val="00381596"/>
    <w:rsid w:val="00387CA1"/>
    <w:rsid w:val="00392F8A"/>
    <w:rsid w:val="00394038"/>
    <w:rsid w:val="003B2DA8"/>
    <w:rsid w:val="003B47ED"/>
    <w:rsid w:val="003C03A2"/>
    <w:rsid w:val="003C0EB9"/>
    <w:rsid w:val="003C474A"/>
    <w:rsid w:val="003C5297"/>
    <w:rsid w:val="003C55F1"/>
    <w:rsid w:val="003D14F8"/>
    <w:rsid w:val="003D69DD"/>
    <w:rsid w:val="003E39CB"/>
    <w:rsid w:val="004001ED"/>
    <w:rsid w:val="00400A84"/>
    <w:rsid w:val="004010F5"/>
    <w:rsid w:val="004039AD"/>
    <w:rsid w:val="00404136"/>
    <w:rsid w:val="00405D58"/>
    <w:rsid w:val="004106B9"/>
    <w:rsid w:val="00424243"/>
    <w:rsid w:val="00430892"/>
    <w:rsid w:val="0043352E"/>
    <w:rsid w:val="00436151"/>
    <w:rsid w:val="00437B22"/>
    <w:rsid w:val="00441CE5"/>
    <w:rsid w:val="00441E82"/>
    <w:rsid w:val="00442482"/>
    <w:rsid w:val="00443383"/>
    <w:rsid w:val="00443FAC"/>
    <w:rsid w:val="00450BA6"/>
    <w:rsid w:val="004526CF"/>
    <w:rsid w:val="00455560"/>
    <w:rsid w:val="00456552"/>
    <w:rsid w:val="00457F52"/>
    <w:rsid w:val="00464FD0"/>
    <w:rsid w:val="00465007"/>
    <w:rsid w:val="00465339"/>
    <w:rsid w:val="0046655C"/>
    <w:rsid w:val="0047112A"/>
    <w:rsid w:val="00471985"/>
    <w:rsid w:val="00471CE6"/>
    <w:rsid w:val="00480514"/>
    <w:rsid w:val="004818F7"/>
    <w:rsid w:val="00487446"/>
    <w:rsid w:val="004875BD"/>
    <w:rsid w:val="0049580C"/>
    <w:rsid w:val="00495E33"/>
    <w:rsid w:val="004A508F"/>
    <w:rsid w:val="004A642E"/>
    <w:rsid w:val="004B34EA"/>
    <w:rsid w:val="004B4898"/>
    <w:rsid w:val="004D2EE1"/>
    <w:rsid w:val="004D5B5F"/>
    <w:rsid w:val="004E1309"/>
    <w:rsid w:val="004E1F41"/>
    <w:rsid w:val="004E419B"/>
    <w:rsid w:val="004E5809"/>
    <w:rsid w:val="004F1894"/>
    <w:rsid w:val="004F3EAF"/>
    <w:rsid w:val="00501B78"/>
    <w:rsid w:val="00502070"/>
    <w:rsid w:val="00503E36"/>
    <w:rsid w:val="005047DD"/>
    <w:rsid w:val="0050606B"/>
    <w:rsid w:val="005103E9"/>
    <w:rsid w:val="005113DC"/>
    <w:rsid w:val="00516080"/>
    <w:rsid w:val="00517027"/>
    <w:rsid w:val="00517F7D"/>
    <w:rsid w:val="005304D1"/>
    <w:rsid w:val="00530740"/>
    <w:rsid w:val="00530D9D"/>
    <w:rsid w:val="0053551E"/>
    <w:rsid w:val="005404B4"/>
    <w:rsid w:val="00541200"/>
    <w:rsid w:val="00542A26"/>
    <w:rsid w:val="00542F8F"/>
    <w:rsid w:val="00546279"/>
    <w:rsid w:val="00550775"/>
    <w:rsid w:val="005543A1"/>
    <w:rsid w:val="00554E6F"/>
    <w:rsid w:val="0055795E"/>
    <w:rsid w:val="0056065B"/>
    <w:rsid w:val="0056092E"/>
    <w:rsid w:val="00560F74"/>
    <w:rsid w:val="005626B4"/>
    <w:rsid w:val="005628CE"/>
    <w:rsid w:val="005631BF"/>
    <w:rsid w:val="00566CBA"/>
    <w:rsid w:val="00566E0B"/>
    <w:rsid w:val="00577616"/>
    <w:rsid w:val="005806CA"/>
    <w:rsid w:val="00584568"/>
    <w:rsid w:val="005849FF"/>
    <w:rsid w:val="005934A7"/>
    <w:rsid w:val="00594BAB"/>
    <w:rsid w:val="005950D8"/>
    <w:rsid w:val="0059582E"/>
    <w:rsid w:val="00596C43"/>
    <w:rsid w:val="00597972"/>
    <w:rsid w:val="00597BDE"/>
    <w:rsid w:val="005A0491"/>
    <w:rsid w:val="005A34B6"/>
    <w:rsid w:val="005B0728"/>
    <w:rsid w:val="005B1E5C"/>
    <w:rsid w:val="005C0301"/>
    <w:rsid w:val="005C3D84"/>
    <w:rsid w:val="005C5929"/>
    <w:rsid w:val="005C62A9"/>
    <w:rsid w:val="005D0B8D"/>
    <w:rsid w:val="005D6299"/>
    <w:rsid w:val="005E050F"/>
    <w:rsid w:val="005E481A"/>
    <w:rsid w:val="005F0AB5"/>
    <w:rsid w:val="005F2D29"/>
    <w:rsid w:val="005F6B31"/>
    <w:rsid w:val="006006CD"/>
    <w:rsid w:val="00606A4A"/>
    <w:rsid w:val="00611C9F"/>
    <w:rsid w:val="00637336"/>
    <w:rsid w:val="006472A3"/>
    <w:rsid w:val="00650B1D"/>
    <w:rsid w:val="00652C9D"/>
    <w:rsid w:val="00660293"/>
    <w:rsid w:val="006644BE"/>
    <w:rsid w:val="00666542"/>
    <w:rsid w:val="00672DE9"/>
    <w:rsid w:val="00680A10"/>
    <w:rsid w:val="00681489"/>
    <w:rsid w:val="00683232"/>
    <w:rsid w:val="00683295"/>
    <w:rsid w:val="006834B0"/>
    <w:rsid w:val="006869E1"/>
    <w:rsid w:val="006901A0"/>
    <w:rsid w:val="00692BA6"/>
    <w:rsid w:val="006943C1"/>
    <w:rsid w:val="00694D20"/>
    <w:rsid w:val="00695EC3"/>
    <w:rsid w:val="00697AC1"/>
    <w:rsid w:val="006A0B81"/>
    <w:rsid w:val="006A369E"/>
    <w:rsid w:val="006A3A96"/>
    <w:rsid w:val="006A7EA4"/>
    <w:rsid w:val="006B026B"/>
    <w:rsid w:val="006C04F0"/>
    <w:rsid w:val="006C2E8B"/>
    <w:rsid w:val="006C4DDD"/>
    <w:rsid w:val="006D2817"/>
    <w:rsid w:val="006E1AAF"/>
    <w:rsid w:val="006E5450"/>
    <w:rsid w:val="006F1DE8"/>
    <w:rsid w:val="006F4B5D"/>
    <w:rsid w:val="006F6E40"/>
    <w:rsid w:val="00700B6E"/>
    <w:rsid w:val="0070224D"/>
    <w:rsid w:val="0070516C"/>
    <w:rsid w:val="007102F1"/>
    <w:rsid w:val="00710FD5"/>
    <w:rsid w:val="00712A2E"/>
    <w:rsid w:val="00712EE1"/>
    <w:rsid w:val="007208EE"/>
    <w:rsid w:val="00722283"/>
    <w:rsid w:val="0072392C"/>
    <w:rsid w:val="00724171"/>
    <w:rsid w:val="00725055"/>
    <w:rsid w:val="00736FA9"/>
    <w:rsid w:val="00744A3C"/>
    <w:rsid w:val="007465E9"/>
    <w:rsid w:val="007472FB"/>
    <w:rsid w:val="00747D51"/>
    <w:rsid w:val="007517FA"/>
    <w:rsid w:val="00752A4E"/>
    <w:rsid w:val="00753C89"/>
    <w:rsid w:val="00765F81"/>
    <w:rsid w:val="00766FC4"/>
    <w:rsid w:val="00772B96"/>
    <w:rsid w:val="007825EA"/>
    <w:rsid w:val="00791772"/>
    <w:rsid w:val="007917F7"/>
    <w:rsid w:val="0079182D"/>
    <w:rsid w:val="00791E76"/>
    <w:rsid w:val="00792F9D"/>
    <w:rsid w:val="00794550"/>
    <w:rsid w:val="00796FA8"/>
    <w:rsid w:val="007A1D86"/>
    <w:rsid w:val="007A3E6F"/>
    <w:rsid w:val="007B19CA"/>
    <w:rsid w:val="007B3CE7"/>
    <w:rsid w:val="007B5944"/>
    <w:rsid w:val="007C2FFC"/>
    <w:rsid w:val="007C6601"/>
    <w:rsid w:val="007C7E12"/>
    <w:rsid w:val="007D1FFC"/>
    <w:rsid w:val="007D2FDE"/>
    <w:rsid w:val="007D329E"/>
    <w:rsid w:val="007D4C46"/>
    <w:rsid w:val="007D628C"/>
    <w:rsid w:val="007D6E2D"/>
    <w:rsid w:val="007E41DC"/>
    <w:rsid w:val="007E7A89"/>
    <w:rsid w:val="007F1424"/>
    <w:rsid w:val="007F2270"/>
    <w:rsid w:val="007F3D31"/>
    <w:rsid w:val="007F50D0"/>
    <w:rsid w:val="007F5210"/>
    <w:rsid w:val="008059E5"/>
    <w:rsid w:val="00815794"/>
    <w:rsid w:val="0082208C"/>
    <w:rsid w:val="00823A09"/>
    <w:rsid w:val="008257EB"/>
    <w:rsid w:val="008320E6"/>
    <w:rsid w:val="008359B5"/>
    <w:rsid w:val="008359C5"/>
    <w:rsid w:val="008404F5"/>
    <w:rsid w:val="00840F12"/>
    <w:rsid w:val="00850D20"/>
    <w:rsid w:val="00853F6F"/>
    <w:rsid w:val="00855965"/>
    <w:rsid w:val="00857188"/>
    <w:rsid w:val="008615E8"/>
    <w:rsid w:val="00871A9E"/>
    <w:rsid w:val="00872EE3"/>
    <w:rsid w:val="00873DEB"/>
    <w:rsid w:val="00874372"/>
    <w:rsid w:val="008758B5"/>
    <w:rsid w:val="008771F3"/>
    <w:rsid w:val="00881F5D"/>
    <w:rsid w:val="00882C3C"/>
    <w:rsid w:val="0089600B"/>
    <w:rsid w:val="008A01D8"/>
    <w:rsid w:val="008A0A69"/>
    <w:rsid w:val="008A25A5"/>
    <w:rsid w:val="008A6341"/>
    <w:rsid w:val="008A73B1"/>
    <w:rsid w:val="008B0C91"/>
    <w:rsid w:val="008B1171"/>
    <w:rsid w:val="008C78D1"/>
    <w:rsid w:val="008D1984"/>
    <w:rsid w:val="008D19CA"/>
    <w:rsid w:val="008D2923"/>
    <w:rsid w:val="008D3BC5"/>
    <w:rsid w:val="008E13F6"/>
    <w:rsid w:val="008E2F44"/>
    <w:rsid w:val="008E3607"/>
    <w:rsid w:val="008E3F2C"/>
    <w:rsid w:val="008E66DE"/>
    <w:rsid w:val="008E74A7"/>
    <w:rsid w:val="008E7D5F"/>
    <w:rsid w:val="008F210F"/>
    <w:rsid w:val="008F7206"/>
    <w:rsid w:val="009002EC"/>
    <w:rsid w:val="00900E14"/>
    <w:rsid w:val="0090196F"/>
    <w:rsid w:val="009152F5"/>
    <w:rsid w:val="00916C59"/>
    <w:rsid w:val="009208B4"/>
    <w:rsid w:val="0092732F"/>
    <w:rsid w:val="00927A46"/>
    <w:rsid w:val="00930048"/>
    <w:rsid w:val="00932ECD"/>
    <w:rsid w:val="00933C2B"/>
    <w:rsid w:val="00935C84"/>
    <w:rsid w:val="009466E1"/>
    <w:rsid w:val="00950CEF"/>
    <w:rsid w:val="00955EF1"/>
    <w:rsid w:val="00957BF2"/>
    <w:rsid w:val="00960D7B"/>
    <w:rsid w:val="00962ED5"/>
    <w:rsid w:val="00963186"/>
    <w:rsid w:val="009679D0"/>
    <w:rsid w:val="0097108F"/>
    <w:rsid w:val="009750C9"/>
    <w:rsid w:val="0098067D"/>
    <w:rsid w:val="009806BD"/>
    <w:rsid w:val="0098604B"/>
    <w:rsid w:val="00990888"/>
    <w:rsid w:val="00994792"/>
    <w:rsid w:val="00996CD5"/>
    <w:rsid w:val="009A0932"/>
    <w:rsid w:val="009A1574"/>
    <w:rsid w:val="009A2836"/>
    <w:rsid w:val="009A307B"/>
    <w:rsid w:val="009B2063"/>
    <w:rsid w:val="009B36F6"/>
    <w:rsid w:val="009C0E87"/>
    <w:rsid w:val="009C1679"/>
    <w:rsid w:val="009C7D22"/>
    <w:rsid w:val="009D1CD9"/>
    <w:rsid w:val="009D63BF"/>
    <w:rsid w:val="009E2E85"/>
    <w:rsid w:val="009E35E9"/>
    <w:rsid w:val="009E3CA8"/>
    <w:rsid w:val="009E5A53"/>
    <w:rsid w:val="009F4030"/>
    <w:rsid w:val="009F4B7A"/>
    <w:rsid w:val="009F5FFF"/>
    <w:rsid w:val="00A06F18"/>
    <w:rsid w:val="00A11D54"/>
    <w:rsid w:val="00A129FD"/>
    <w:rsid w:val="00A13746"/>
    <w:rsid w:val="00A1687A"/>
    <w:rsid w:val="00A17AD1"/>
    <w:rsid w:val="00A17F54"/>
    <w:rsid w:val="00A26FE2"/>
    <w:rsid w:val="00A27F1A"/>
    <w:rsid w:val="00A330BC"/>
    <w:rsid w:val="00A36BD5"/>
    <w:rsid w:val="00A42AD2"/>
    <w:rsid w:val="00A5059B"/>
    <w:rsid w:val="00A51134"/>
    <w:rsid w:val="00A5215A"/>
    <w:rsid w:val="00A65A46"/>
    <w:rsid w:val="00A711FA"/>
    <w:rsid w:val="00A73CE2"/>
    <w:rsid w:val="00A75EB1"/>
    <w:rsid w:val="00A76C72"/>
    <w:rsid w:val="00A83104"/>
    <w:rsid w:val="00A9050A"/>
    <w:rsid w:val="00A97302"/>
    <w:rsid w:val="00AA4B42"/>
    <w:rsid w:val="00AA7734"/>
    <w:rsid w:val="00AA7CFE"/>
    <w:rsid w:val="00AB23BA"/>
    <w:rsid w:val="00AB2A4F"/>
    <w:rsid w:val="00AC3FF4"/>
    <w:rsid w:val="00AC4C8A"/>
    <w:rsid w:val="00AC594C"/>
    <w:rsid w:val="00AD0810"/>
    <w:rsid w:val="00AD2F63"/>
    <w:rsid w:val="00AD4BAA"/>
    <w:rsid w:val="00AD7FC0"/>
    <w:rsid w:val="00AE0F38"/>
    <w:rsid w:val="00AE1656"/>
    <w:rsid w:val="00AE1F83"/>
    <w:rsid w:val="00B012E0"/>
    <w:rsid w:val="00B05775"/>
    <w:rsid w:val="00B0740C"/>
    <w:rsid w:val="00B1099B"/>
    <w:rsid w:val="00B133E5"/>
    <w:rsid w:val="00B17F52"/>
    <w:rsid w:val="00B24F3B"/>
    <w:rsid w:val="00B30846"/>
    <w:rsid w:val="00B33D20"/>
    <w:rsid w:val="00B35482"/>
    <w:rsid w:val="00B379A0"/>
    <w:rsid w:val="00B45E38"/>
    <w:rsid w:val="00B47848"/>
    <w:rsid w:val="00B47C21"/>
    <w:rsid w:val="00B51A08"/>
    <w:rsid w:val="00B57B4A"/>
    <w:rsid w:val="00B64849"/>
    <w:rsid w:val="00B73FD4"/>
    <w:rsid w:val="00B74247"/>
    <w:rsid w:val="00B75324"/>
    <w:rsid w:val="00B80348"/>
    <w:rsid w:val="00B80402"/>
    <w:rsid w:val="00B835A6"/>
    <w:rsid w:val="00B83CDA"/>
    <w:rsid w:val="00B84B5A"/>
    <w:rsid w:val="00B84E65"/>
    <w:rsid w:val="00B90AC1"/>
    <w:rsid w:val="00B93CC2"/>
    <w:rsid w:val="00B97869"/>
    <w:rsid w:val="00BA22EC"/>
    <w:rsid w:val="00BA2BF5"/>
    <w:rsid w:val="00BA4D38"/>
    <w:rsid w:val="00BC1355"/>
    <w:rsid w:val="00BD0AE7"/>
    <w:rsid w:val="00BD5D3B"/>
    <w:rsid w:val="00BD6A1D"/>
    <w:rsid w:val="00C06CE2"/>
    <w:rsid w:val="00C12103"/>
    <w:rsid w:val="00C12AA2"/>
    <w:rsid w:val="00C17D1A"/>
    <w:rsid w:val="00C20F30"/>
    <w:rsid w:val="00C24825"/>
    <w:rsid w:val="00C24B2C"/>
    <w:rsid w:val="00C25AEE"/>
    <w:rsid w:val="00C34CA0"/>
    <w:rsid w:val="00C35846"/>
    <w:rsid w:val="00C35CED"/>
    <w:rsid w:val="00C37180"/>
    <w:rsid w:val="00C44C5F"/>
    <w:rsid w:val="00C463C7"/>
    <w:rsid w:val="00C4759F"/>
    <w:rsid w:val="00C51BB7"/>
    <w:rsid w:val="00C55F16"/>
    <w:rsid w:val="00C56723"/>
    <w:rsid w:val="00C65144"/>
    <w:rsid w:val="00C67AD0"/>
    <w:rsid w:val="00C70C2C"/>
    <w:rsid w:val="00C81CA6"/>
    <w:rsid w:val="00C90ABB"/>
    <w:rsid w:val="00C9741B"/>
    <w:rsid w:val="00CB1F91"/>
    <w:rsid w:val="00CB49B6"/>
    <w:rsid w:val="00CC1DF2"/>
    <w:rsid w:val="00CC5598"/>
    <w:rsid w:val="00CD02DE"/>
    <w:rsid w:val="00CD11A1"/>
    <w:rsid w:val="00CD13A9"/>
    <w:rsid w:val="00CD612F"/>
    <w:rsid w:val="00CE675B"/>
    <w:rsid w:val="00CE759D"/>
    <w:rsid w:val="00CF0D41"/>
    <w:rsid w:val="00CF6512"/>
    <w:rsid w:val="00D04881"/>
    <w:rsid w:val="00D04F12"/>
    <w:rsid w:val="00D05E13"/>
    <w:rsid w:val="00D05F7C"/>
    <w:rsid w:val="00D06888"/>
    <w:rsid w:val="00D124E7"/>
    <w:rsid w:val="00D1358D"/>
    <w:rsid w:val="00D25CE5"/>
    <w:rsid w:val="00D25FC9"/>
    <w:rsid w:val="00D26142"/>
    <w:rsid w:val="00D26836"/>
    <w:rsid w:val="00D30B0C"/>
    <w:rsid w:val="00D3129C"/>
    <w:rsid w:val="00D3221C"/>
    <w:rsid w:val="00D343DA"/>
    <w:rsid w:val="00D40CA5"/>
    <w:rsid w:val="00D41D6F"/>
    <w:rsid w:val="00D42B9C"/>
    <w:rsid w:val="00D508D8"/>
    <w:rsid w:val="00D51502"/>
    <w:rsid w:val="00D575A9"/>
    <w:rsid w:val="00D7180C"/>
    <w:rsid w:val="00D73D11"/>
    <w:rsid w:val="00D74241"/>
    <w:rsid w:val="00D74917"/>
    <w:rsid w:val="00D91990"/>
    <w:rsid w:val="00DA2CE0"/>
    <w:rsid w:val="00DA3DFA"/>
    <w:rsid w:val="00DA7DF3"/>
    <w:rsid w:val="00DB092C"/>
    <w:rsid w:val="00DB1DD4"/>
    <w:rsid w:val="00DB2A2B"/>
    <w:rsid w:val="00DB5094"/>
    <w:rsid w:val="00DC1FEB"/>
    <w:rsid w:val="00DC36AB"/>
    <w:rsid w:val="00DC6D4A"/>
    <w:rsid w:val="00DD71C5"/>
    <w:rsid w:val="00DE392A"/>
    <w:rsid w:val="00DE3DBC"/>
    <w:rsid w:val="00DE4687"/>
    <w:rsid w:val="00DE6225"/>
    <w:rsid w:val="00DF162E"/>
    <w:rsid w:val="00DF4290"/>
    <w:rsid w:val="00DF7F66"/>
    <w:rsid w:val="00E00063"/>
    <w:rsid w:val="00E01998"/>
    <w:rsid w:val="00E04DF6"/>
    <w:rsid w:val="00E06B44"/>
    <w:rsid w:val="00E1620A"/>
    <w:rsid w:val="00E23726"/>
    <w:rsid w:val="00E24658"/>
    <w:rsid w:val="00E261E6"/>
    <w:rsid w:val="00E31D86"/>
    <w:rsid w:val="00E34570"/>
    <w:rsid w:val="00E35143"/>
    <w:rsid w:val="00E3754A"/>
    <w:rsid w:val="00E51D56"/>
    <w:rsid w:val="00E54664"/>
    <w:rsid w:val="00E55816"/>
    <w:rsid w:val="00E646BD"/>
    <w:rsid w:val="00E73D20"/>
    <w:rsid w:val="00E8007B"/>
    <w:rsid w:val="00E857DF"/>
    <w:rsid w:val="00E917FD"/>
    <w:rsid w:val="00E9240F"/>
    <w:rsid w:val="00E95A2A"/>
    <w:rsid w:val="00E97665"/>
    <w:rsid w:val="00EA12FD"/>
    <w:rsid w:val="00EB2B19"/>
    <w:rsid w:val="00EC0ADC"/>
    <w:rsid w:val="00EC1D01"/>
    <w:rsid w:val="00EC77B9"/>
    <w:rsid w:val="00ED001F"/>
    <w:rsid w:val="00ED11CF"/>
    <w:rsid w:val="00ED1A2A"/>
    <w:rsid w:val="00ED371F"/>
    <w:rsid w:val="00ED6299"/>
    <w:rsid w:val="00ED7841"/>
    <w:rsid w:val="00EE3928"/>
    <w:rsid w:val="00EE49A6"/>
    <w:rsid w:val="00EE6F0D"/>
    <w:rsid w:val="00EE70CA"/>
    <w:rsid w:val="00EF168C"/>
    <w:rsid w:val="00EF4A9E"/>
    <w:rsid w:val="00EF4E1D"/>
    <w:rsid w:val="00EF6986"/>
    <w:rsid w:val="00F02EA5"/>
    <w:rsid w:val="00F11DAC"/>
    <w:rsid w:val="00F1555E"/>
    <w:rsid w:val="00F16961"/>
    <w:rsid w:val="00F21295"/>
    <w:rsid w:val="00F270F8"/>
    <w:rsid w:val="00F42075"/>
    <w:rsid w:val="00F420EF"/>
    <w:rsid w:val="00F51CC2"/>
    <w:rsid w:val="00F569A3"/>
    <w:rsid w:val="00F62328"/>
    <w:rsid w:val="00F62994"/>
    <w:rsid w:val="00F82DE5"/>
    <w:rsid w:val="00F97901"/>
    <w:rsid w:val="00FA46CA"/>
    <w:rsid w:val="00FB397B"/>
    <w:rsid w:val="00FB3E3E"/>
    <w:rsid w:val="00FB439C"/>
    <w:rsid w:val="00FB43B0"/>
    <w:rsid w:val="00FB4D1B"/>
    <w:rsid w:val="00FB6FF0"/>
    <w:rsid w:val="00FC7849"/>
    <w:rsid w:val="00FD38CF"/>
    <w:rsid w:val="00FD63B4"/>
    <w:rsid w:val="00FE3A3A"/>
    <w:rsid w:val="00FE5B06"/>
    <w:rsid w:val="00FF0233"/>
    <w:rsid w:val="00FF054C"/>
    <w:rsid w:val="00FF1D3C"/>
    <w:rsid w:val="00FF2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EBB9E"/>
  <w15:docId w15:val="{77430641-F24F-45B5-8263-F146C9B1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849FF"/>
    <w:rPr>
      <w:rFonts w:ascii="Arial" w:eastAsia="Calibri" w:hAnsi="Arial" w:cs="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styleId="Nerazreenaomemba">
    <w:name w:val="Unresolved Mention"/>
    <w:basedOn w:val="Privzetapisavaodstavka"/>
    <w:uiPriority w:val="99"/>
    <w:semiHidden/>
    <w:unhideWhenUsed/>
    <w:rsid w:val="00683232"/>
    <w:rPr>
      <w:color w:val="605E5C"/>
      <w:shd w:val="clear" w:color="auto" w:fill="E1DFDD"/>
    </w:rPr>
  </w:style>
  <w:style w:type="paragraph" w:customStyle="1" w:styleId="Neotevilenodstavek">
    <w:name w:val="Neoštevilčen odstavek"/>
    <w:basedOn w:val="Navaden"/>
    <w:link w:val="NeotevilenodstavekZnak"/>
    <w:uiPriority w:val="99"/>
    <w:qFormat/>
    <w:rsid w:val="00193301"/>
    <w:pPr>
      <w:overflowPunct w:val="0"/>
      <w:autoSpaceDE w:val="0"/>
      <w:autoSpaceDN w:val="0"/>
      <w:adjustRightInd w:val="0"/>
      <w:spacing w:before="60" w:after="60" w:line="200" w:lineRule="exact"/>
      <w:jc w:val="both"/>
      <w:textAlignment w:val="baseline"/>
    </w:pPr>
    <w:rPr>
      <w:rFonts w:eastAsia="Times New Roman" w:cs="Arial"/>
      <w:sz w:val="22"/>
      <w:lang w:eastAsia="sl-SI"/>
    </w:rPr>
  </w:style>
  <w:style w:type="character" w:customStyle="1" w:styleId="NeotevilenodstavekZnak">
    <w:name w:val="Neoštevilčen odstavek Znak"/>
    <w:link w:val="Neotevilenodstavek"/>
    <w:uiPriority w:val="99"/>
    <w:rsid w:val="00193301"/>
    <w:rPr>
      <w:rFonts w:ascii="Arial" w:eastAsia="Times New Roman" w:hAnsi="Arial" w:cs="Arial"/>
      <w:lang w:eastAsia="sl-SI"/>
    </w:rPr>
  </w:style>
  <w:style w:type="paragraph" w:styleId="Odstavekseznama">
    <w:name w:val="List Paragraph"/>
    <w:basedOn w:val="Navaden"/>
    <w:uiPriority w:val="34"/>
    <w:qFormat/>
    <w:rsid w:val="00193301"/>
    <w:pPr>
      <w:spacing w:after="0" w:line="240" w:lineRule="auto"/>
      <w:ind w:left="708"/>
    </w:pPr>
    <w:rPr>
      <w:rFonts w:ascii="Times New Roman" w:eastAsia="Times New Roman" w:hAnsi="Times New Roman"/>
      <w:sz w:val="24"/>
      <w:szCs w:val="24"/>
      <w:lang w:eastAsia="sl-SI"/>
    </w:rPr>
  </w:style>
  <w:style w:type="paragraph" w:customStyle="1" w:styleId="podpisi">
    <w:name w:val="podpisi"/>
    <w:basedOn w:val="Navaden"/>
    <w:qFormat/>
    <w:rsid w:val="00D3129C"/>
    <w:pPr>
      <w:tabs>
        <w:tab w:val="left" w:pos="3402"/>
      </w:tabs>
      <w:spacing w:after="0" w:line="260" w:lineRule="exact"/>
    </w:pPr>
    <w:rPr>
      <w:rFonts w:eastAsia="Times New 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21320">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SP\Predloge\Vladno%20gradivo%20-%20priloga%20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 1</Template>
  <TotalTime>315</TotalTime>
  <Pages>8</Pages>
  <Words>2271</Words>
  <Characters>12951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Mally Dovč</dc:creator>
  <cp:keywords/>
  <dc:description/>
  <cp:lastModifiedBy>Maja Mally Dovč</cp:lastModifiedBy>
  <cp:revision>35</cp:revision>
  <cp:lastPrinted>2024-03-01T11:52:00Z</cp:lastPrinted>
  <dcterms:created xsi:type="dcterms:W3CDTF">2023-06-02T12:08:00Z</dcterms:created>
  <dcterms:modified xsi:type="dcterms:W3CDTF">2024-04-03T08:38:00Z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902958791</vt:i4>
  </property>
</Properties>
</file>