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7363" w14:textId="67FF1877" w:rsidR="00242E68" w:rsidRPr="0025033E" w:rsidRDefault="00242E68" w:rsidP="00ED5676">
      <w:pPr>
        <w:autoSpaceDN/>
        <w:spacing w:after="0" w:line="240" w:lineRule="auto"/>
        <w:jc w:val="both"/>
        <w:rPr>
          <w:rFonts w:cs="Arial"/>
          <w:b/>
          <w:bCs/>
          <w:sz w:val="24"/>
          <w:szCs w:val="24"/>
          <w:lang w:eastAsia="en-US"/>
        </w:rPr>
      </w:pPr>
      <w:r w:rsidRPr="0025033E">
        <w:rPr>
          <w:rFonts w:cs="Arial"/>
          <w:noProof/>
        </w:rPr>
        <w:drawing>
          <wp:anchor distT="0" distB="0" distL="114300" distR="114300" simplePos="0" relativeHeight="251658241" behindDoc="0" locked="0" layoutInCell="1" allowOverlap="1" wp14:anchorId="39284406" wp14:editId="6986D44F">
            <wp:simplePos x="0" y="0"/>
            <wp:positionH relativeFrom="margin">
              <wp:posOffset>3961179</wp:posOffset>
            </wp:positionH>
            <wp:positionV relativeFrom="margin">
              <wp:posOffset>94971</wp:posOffset>
            </wp:positionV>
            <wp:extent cx="2167886" cy="686430"/>
            <wp:effectExtent l="0" t="0" r="3814" b="0"/>
            <wp:wrapSquare wrapText="bothSides"/>
            <wp:docPr id="565470481" name="Slik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5470481" name="Slika 10">
                      <a:extLst>
                        <a:ext uri="{C183D7F6-B498-43B3-948B-1728B52AA6E4}">
                          <adec:decorative xmlns:adec="http://schemas.microsoft.com/office/drawing/2017/decorative" val="1"/>
                        </a:ext>
                      </a:extLst>
                    </pic:cNvPr>
                    <pic:cNvPicPr/>
                  </pic:nvPicPr>
                  <pic:blipFill>
                    <a:blip r:embed="rId8"/>
                    <a:srcRect l="64594"/>
                    <a:stretch>
                      <a:fillRect/>
                    </a:stretch>
                  </pic:blipFill>
                  <pic:spPr>
                    <a:xfrm>
                      <a:off x="0" y="0"/>
                      <a:ext cx="2167886" cy="686430"/>
                    </a:xfrm>
                    <a:prstGeom prst="rect">
                      <a:avLst/>
                    </a:prstGeom>
                    <a:noFill/>
                    <a:ln>
                      <a:noFill/>
                      <a:prstDash/>
                    </a:ln>
                  </pic:spPr>
                </pic:pic>
              </a:graphicData>
            </a:graphic>
          </wp:anchor>
        </w:drawing>
      </w:r>
      <w:r w:rsidRPr="0025033E">
        <w:rPr>
          <w:rFonts w:cs="Arial"/>
          <w:b/>
          <w:bCs/>
          <w:noProof/>
          <w:sz w:val="24"/>
          <w:szCs w:val="24"/>
          <w:lang w:eastAsia="en-US"/>
        </w:rPr>
        <w:drawing>
          <wp:anchor distT="0" distB="0" distL="114300" distR="114300" simplePos="0" relativeHeight="251658242" behindDoc="1" locked="0" layoutInCell="1" allowOverlap="1" wp14:anchorId="4953DB75" wp14:editId="3917265D">
            <wp:simplePos x="0" y="0"/>
            <wp:positionH relativeFrom="column">
              <wp:posOffset>-176481</wp:posOffset>
            </wp:positionH>
            <wp:positionV relativeFrom="paragraph">
              <wp:posOffset>130629</wp:posOffset>
            </wp:positionV>
            <wp:extent cx="3847465" cy="368300"/>
            <wp:effectExtent l="0" t="0" r="635" b="0"/>
            <wp:wrapTight wrapText="bothSides">
              <wp:wrapPolygon edited="0">
                <wp:start x="321" y="0"/>
                <wp:lineTo x="0" y="1117"/>
                <wp:lineTo x="0" y="11172"/>
                <wp:lineTo x="428" y="20110"/>
                <wp:lineTo x="21497" y="20110"/>
                <wp:lineTo x="21497" y="8938"/>
                <wp:lineTo x="12192" y="2234"/>
                <wp:lineTo x="1283" y="0"/>
                <wp:lineTo x="321" y="0"/>
              </wp:wrapPolygon>
            </wp:wrapTight>
            <wp:docPr id="1736772353" name="Slika 1736772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72353" name="Slika 173677235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anchor>
        </w:drawing>
      </w:r>
    </w:p>
    <w:p w14:paraId="6E2493F3" w14:textId="410DEFA8" w:rsidR="00242E68" w:rsidRPr="0025033E" w:rsidRDefault="00242E68" w:rsidP="7E32E97F">
      <w:pPr>
        <w:tabs>
          <w:tab w:val="center" w:pos="4536"/>
          <w:tab w:val="left" w:pos="6663"/>
          <w:tab w:val="right" w:pos="9072"/>
        </w:tabs>
        <w:autoSpaceDN/>
        <w:spacing w:after="0" w:line="240" w:lineRule="exact"/>
        <w:jc w:val="both"/>
        <w:rPr>
          <w:rFonts w:eastAsiaTheme="minorEastAsia" w:cs="Arial"/>
          <w:kern w:val="2"/>
          <w:lang w:eastAsia="en-US"/>
          <w14:ligatures w14:val="standardContextual"/>
        </w:rPr>
      </w:pPr>
    </w:p>
    <w:p w14:paraId="05843647" w14:textId="1F51B938" w:rsidR="00242E68" w:rsidRPr="0025033E" w:rsidRDefault="00242E68" w:rsidP="7E32E97F">
      <w:pPr>
        <w:tabs>
          <w:tab w:val="center" w:pos="4536"/>
          <w:tab w:val="left" w:pos="6663"/>
          <w:tab w:val="right" w:pos="9072"/>
        </w:tabs>
        <w:autoSpaceDN/>
        <w:spacing w:after="0" w:line="240" w:lineRule="exact"/>
        <w:jc w:val="both"/>
        <w:rPr>
          <w:rFonts w:eastAsiaTheme="minorEastAsia" w:cs="Arial"/>
          <w:kern w:val="2"/>
          <w:sz w:val="16"/>
          <w:szCs w:val="16"/>
          <w:lang w:eastAsia="en-US"/>
          <w14:ligatures w14:val="standardContextual"/>
        </w:rPr>
      </w:pPr>
    </w:p>
    <w:p w14:paraId="5193815D" w14:textId="57C8A58E" w:rsidR="000E7A5A" w:rsidRPr="0025033E" w:rsidRDefault="000E7A5A" w:rsidP="00ED5676">
      <w:pPr>
        <w:pStyle w:val="Brezrazmikov"/>
        <w:spacing w:line="276" w:lineRule="auto"/>
        <w:jc w:val="both"/>
        <w:rPr>
          <w:rFonts w:ascii="Arial" w:hAnsi="Arial" w:cs="Arial"/>
          <w:lang w:val="it-IT"/>
        </w:rPr>
      </w:pPr>
    </w:p>
    <w:p w14:paraId="22D69B9D" w14:textId="35D634B5" w:rsidR="000E7A5A" w:rsidRPr="0025033E" w:rsidRDefault="000E7A5A" w:rsidP="00ED5676">
      <w:pPr>
        <w:pStyle w:val="Brezrazmikov"/>
        <w:spacing w:line="276" w:lineRule="auto"/>
        <w:jc w:val="both"/>
        <w:rPr>
          <w:rFonts w:ascii="Arial" w:hAnsi="Arial" w:cs="Arial"/>
          <w:lang w:val="it-IT"/>
        </w:rPr>
      </w:pPr>
    </w:p>
    <w:p w14:paraId="1E1C8CCF" w14:textId="6B9AD570" w:rsidR="000E7A5A" w:rsidRDefault="000E7A5A" w:rsidP="00ED5676">
      <w:pPr>
        <w:pStyle w:val="Brezrazmikov"/>
        <w:spacing w:line="276" w:lineRule="auto"/>
        <w:jc w:val="both"/>
        <w:rPr>
          <w:rFonts w:ascii="Arial" w:hAnsi="Arial" w:cs="Arial"/>
        </w:rPr>
      </w:pPr>
    </w:p>
    <w:p w14:paraId="38C87533" w14:textId="175CAE0F" w:rsidR="00385C95" w:rsidRPr="0025033E" w:rsidRDefault="00385C95" w:rsidP="00ED5676">
      <w:pPr>
        <w:pStyle w:val="Brezrazmikov"/>
        <w:spacing w:line="276" w:lineRule="auto"/>
        <w:jc w:val="both"/>
        <w:rPr>
          <w:rFonts w:ascii="Arial" w:hAnsi="Arial" w:cs="Arial"/>
        </w:rPr>
      </w:pPr>
    </w:p>
    <w:p w14:paraId="4852B292" w14:textId="5B96491C" w:rsidR="000E7A5A" w:rsidRPr="0025033E" w:rsidRDefault="000E7A5A" w:rsidP="00ED5676">
      <w:pPr>
        <w:pStyle w:val="Brezrazmikov"/>
        <w:spacing w:line="276" w:lineRule="auto"/>
        <w:jc w:val="both"/>
        <w:rPr>
          <w:rFonts w:ascii="Arial" w:hAnsi="Arial" w:cs="Arial"/>
        </w:rPr>
      </w:pPr>
    </w:p>
    <w:p w14:paraId="27996EEC" w14:textId="77777777" w:rsidR="000E7A5A" w:rsidRPr="0025033E" w:rsidRDefault="000E7A5A" w:rsidP="00ED5676">
      <w:pPr>
        <w:pStyle w:val="Brezrazmikov"/>
        <w:spacing w:line="276" w:lineRule="auto"/>
        <w:jc w:val="both"/>
        <w:rPr>
          <w:rFonts w:ascii="Arial" w:hAnsi="Arial" w:cs="Arial"/>
        </w:rPr>
      </w:pPr>
    </w:p>
    <w:p w14:paraId="44410C15" w14:textId="046CACBC" w:rsidR="000E7A5A" w:rsidRPr="0025033E" w:rsidRDefault="000E7A5A" w:rsidP="00ED5676">
      <w:pPr>
        <w:pStyle w:val="Brezrazmikov"/>
        <w:spacing w:line="276" w:lineRule="auto"/>
        <w:jc w:val="both"/>
        <w:rPr>
          <w:rFonts w:ascii="Arial" w:hAnsi="Arial" w:cs="Arial"/>
        </w:rPr>
      </w:pPr>
    </w:p>
    <w:p w14:paraId="0E794BE3" w14:textId="6D078A2F" w:rsidR="000E7A5A" w:rsidRPr="0025033E" w:rsidRDefault="002213E0" w:rsidP="00ED5676">
      <w:pPr>
        <w:pStyle w:val="Brezrazmikov"/>
        <w:spacing w:line="276" w:lineRule="auto"/>
        <w:jc w:val="both"/>
        <w:rPr>
          <w:rFonts w:ascii="Arial" w:hAnsi="Arial" w:cs="Arial"/>
        </w:rPr>
      </w:pPr>
      <w:r w:rsidRPr="0025033E">
        <w:rPr>
          <w:rFonts w:ascii="Arial" w:hAnsi="Arial" w:cs="Arial"/>
          <w:noProof/>
        </w:rPr>
        <mc:AlternateContent>
          <mc:Choice Requires="wps">
            <w:drawing>
              <wp:anchor distT="0" distB="0" distL="114300" distR="114300" simplePos="0" relativeHeight="251658240" behindDoc="1" locked="0" layoutInCell="1" allowOverlap="1" wp14:anchorId="4FAE5D60" wp14:editId="0C837310">
                <wp:simplePos x="0" y="0"/>
                <wp:positionH relativeFrom="margin">
                  <wp:posOffset>88900</wp:posOffset>
                </wp:positionH>
                <wp:positionV relativeFrom="margin">
                  <wp:posOffset>2072282</wp:posOffset>
                </wp:positionV>
                <wp:extent cx="5572125" cy="2886075"/>
                <wp:effectExtent l="0" t="0" r="9525" b="9525"/>
                <wp:wrapSquare wrapText="bothSides"/>
                <wp:docPr id="1664359588" name="Polje z besedilo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72125" cy="2886075"/>
                        </a:xfrm>
                        <a:prstGeom prst="rect">
                          <a:avLst/>
                        </a:prstGeom>
                        <a:noFill/>
                        <a:ln>
                          <a:noFill/>
                          <a:prstDash/>
                        </a:ln>
                      </wps:spPr>
                      <wps:txbx>
                        <w:txbxContent>
                          <w:p w14:paraId="510A554C" w14:textId="0A8CEB09" w:rsidR="00026F85"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44"/>
                                <w:szCs w:val="44"/>
                                <w:lang w:eastAsia="zh-CN"/>
                              </w:rPr>
                              <w:t xml:space="preserve">POROČILO </w:t>
                            </w:r>
                            <w:r w:rsidR="00E20BAC">
                              <w:rPr>
                                <w:rFonts w:eastAsia="SimSun" w:cs="Arial"/>
                                <w:b/>
                                <w:bCs/>
                                <w:color w:val="0070C0"/>
                                <w:sz w:val="44"/>
                                <w:szCs w:val="44"/>
                                <w:lang w:eastAsia="zh-CN"/>
                              </w:rPr>
                              <w:t>O IZVAJANJU</w:t>
                            </w:r>
                            <w:r w:rsidR="00E20BAC" w:rsidRPr="00790095">
                              <w:rPr>
                                <w:rFonts w:eastAsia="SimSun" w:cs="Arial"/>
                                <w:b/>
                                <w:bCs/>
                                <w:color w:val="0070C0"/>
                                <w:sz w:val="44"/>
                                <w:szCs w:val="44"/>
                                <w:lang w:eastAsia="zh-CN"/>
                              </w:rPr>
                              <w:t xml:space="preserve"> EVROPSKE KOHEZIJSKE POLITIKE 2021–2027 </w:t>
                            </w:r>
                            <w:r w:rsidR="00E20BAC">
                              <w:rPr>
                                <w:rFonts w:eastAsia="SimSun" w:cs="Arial"/>
                                <w:b/>
                                <w:bCs/>
                                <w:color w:val="0070C0"/>
                                <w:sz w:val="44"/>
                                <w:szCs w:val="44"/>
                                <w:lang w:eastAsia="zh-CN"/>
                              </w:rPr>
                              <w:t xml:space="preserve">IN </w:t>
                            </w:r>
                            <w:r w:rsidR="004317A8">
                              <w:rPr>
                                <w:rFonts w:eastAsia="SimSun" w:cs="Arial"/>
                                <w:b/>
                                <w:bCs/>
                                <w:color w:val="0070C0"/>
                                <w:sz w:val="44"/>
                                <w:szCs w:val="44"/>
                                <w:lang w:eastAsia="zh-CN"/>
                              </w:rPr>
                              <w:t>ZAKLJUČEVAN</w:t>
                            </w:r>
                            <w:r w:rsidR="00E20BAC">
                              <w:rPr>
                                <w:rFonts w:eastAsia="SimSun" w:cs="Arial"/>
                                <w:b/>
                                <w:bCs/>
                                <w:color w:val="0070C0"/>
                                <w:sz w:val="44"/>
                                <w:szCs w:val="44"/>
                                <w:lang w:eastAsia="zh-CN"/>
                              </w:rPr>
                              <w:t>JU</w:t>
                            </w:r>
                            <w:r w:rsidR="00D8040B">
                              <w:rPr>
                                <w:rFonts w:eastAsia="SimSun" w:cs="Arial"/>
                                <w:b/>
                                <w:bCs/>
                                <w:color w:val="0070C0"/>
                                <w:sz w:val="44"/>
                                <w:szCs w:val="44"/>
                                <w:lang w:eastAsia="zh-CN"/>
                              </w:rPr>
                              <w:t xml:space="preserve"> </w:t>
                            </w:r>
                            <w:r w:rsidR="00466CC1">
                              <w:rPr>
                                <w:rFonts w:eastAsia="SimSun" w:cs="Arial"/>
                                <w:b/>
                                <w:bCs/>
                                <w:color w:val="0070C0"/>
                                <w:sz w:val="44"/>
                                <w:szCs w:val="44"/>
                                <w:lang w:eastAsia="zh-CN"/>
                              </w:rPr>
                              <w:t xml:space="preserve">PROGRAMSKEGA OBDOBJA </w:t>
                            </w:r>
                            <w:r w:rsidRPr="00790095">
                              <w:rPr>
                                <w:rFonts w:eastAsia="SimSun" w:cs="Arial"/>
                                <w:b/>
                                <w:bCs/>
                                <w:color w:val="0070C0"/>
                                <w:sz w:val="44"/>
                                <w:szCs w:val="44"/>
                                <w:lang w:eastAsia="zh-CN"/>
                              </w:rPr>
                              <w:t xml:space="preserve">2014–2020 </w:t>
                            </w:r>
                            <w:r w:rsidR="001A3623">
                              <w:rPr>
                                <w:rFonts w:eastAsia="SimSun" w:cs="Arial"/>
                                <w:b/>
                                <w:bCs/>
                                <w:color w:val="0070C0"/>
                                <w:sz w:val="44"/>
                                <w:szCs w:val="44"/>
                                <w:lang w:eastAsia="zh-CN"/>
                              </w:rPr>
                              <w:t xml:space="preserve">ZA OBDOBJE OD </w:t>
                            </w:r>
                            <w:r w:rsidRPr="00790095">
                              <w:rPr>
                                <w:rFonts w:eastAsia="SimSun" w:cs="Arial"/>
                                <w:b/>
                                <w:bCs/>
                                <w:color w:val="0070C0"/>
                                <w:sz w:val="44"/>
                                <w:szCs w:val="44"/>
                                <w:lang w:eastAsia="zh-CN"/>
                              </w:rPr>
                              <w:t>JANUARJA 2014</w:t>
                            </w:r>
                            <w:r w:rsidR="001A3623">
                              <w:rPr>
                                <w:rFonts w:eastAsia="SimSun" w:cs="Arial"/>
                                <w:b/>
                                <w:bCs/>
                                <w:color w:val="0070C0"/>
                                <w:sz w:val="44"/>
                                <w:szCs w:val="44"/>
                                <w:lang w:eastAsia="zh-CN"/>
                              </w:rPr>
                              <w:t xml:space="preserve"> DO </w:t>
                            </w:r>
                            <w:r w:rsidR="007B0F5D">
                              <w:rPr>
                                <w:rFonts w:eastAsia="SimSun" w:cs="Arial"/>
                                <w:b/>
                                <w:bCs/>
                                <w:color w:val="0070C0"/>
                                <w:sz w:val="44"/>
                                <w:szCs w:val="44"/>
                                <w:lang w:eastAsia="zh-CN"/>
                              </w:rPr>
                              <w:t xml:space="preserve">DECEMBRA </w:t>
                            </w:r>
                            <w:r w:rsidRPr="00790095">
                              <w:rPr>
                                <w:rFonts w:eastAsia="SimSun" w:cs="Arial"/>
                                <w:b/>
                                <w:bCs/>
                                <w:color w:val="0070C0"/>
                                <w:sz w:val="44"/>
                                <w:szCs w:val="44"/>
                                <w:lang w:eastAsia="zh-CN"/>
                              </w:rPr>
                              <w:t>202</w:t>
                            </w:r>
                            <w:r>
                              <w:rPr>
                                <w:rFonts w:eastAsia="SimSun" w:cs="Arial"/>
                                <w:b/>
                                <w:bCs/>
                                <w:color w:val="0070C0"/>
                                <w:sz w:val="44"/>
                                <w:szCs w:val="44"/>
                                <w:lang w:eastAsia="zh-CN"/>
                              </w:rPr>
                              <w:t>5</w:t>
                            </w:r>
                          </w:p>
                          <w:p w14:paraId="147720A0" w14:textId="77777777" w:rsidR="00026F85" w:rsidRDefault="00026F85" w:rsidP="00BF35F8">
                            <w:pPr>
                              <w:spacing w:line="288" w:lineRule="auto"/>
                              <w:jc w:val="center"/>
                              <w:rPr>
                                <w:rFonts w:eastAsia="SimSun" w:cs="Arial"/>
                                <w:b/>
                                <w:bCs/>
                                <w:color w:val="0070C0"/>
                                <w:sz w:val="44"/>
                                <w:szCs w:val="44"/>
                                <w:lang w:eastAsia="zh-CN"/>
                              </w:rPr>
                            </w:pPr>
                          </w:p>
                          <w:p w14:paraId="392B4FB3" w14:textId="77777777" w:rsidR="00026F85" w:rsidRPr="00BF35F8"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32"/>
                                <w:szCs w:val="32"/>
                                <w:lang w:eastAsia="zh-CN"/>
                              </w:rPr>
                              <w:t>Cilj: naložbe za rast in delovna mesta</w:t>
                            </w:r>
                          </w:p>
                          <w:p w14:paraId="4D9D5AFF" w14:textId="77777777" w:rsidR="00026F85" w:rsidRDefault="00026F85">
                            <w:pPr>
                              <w:spacing w:line="288" w:lineRule="auto"/>
                              <w:jc w:val="center"/>
                            </w:pPr>
                          </w:p>
                        </w:txbxContent>
                      </wps:txbx>
                      <wps:bodyPr vert="horz" wrap="square" lIns="0" tIns="0" rIns="0" bIns="0" anchor="t" anchorCtr="0" compatLnSpc="0">
                        <a:spAutoFit/>
                      </wps:bodyPr>
                    </wps:wsp>
                  </a:graphicData>
                </a:graphic>
              </wp:anchor>
            </w:drawing>
          </mc:Choice>
          <mc:Fallback>
            <w:pict>
              <v:shapetype w14:anchorId="4FAE5D60" id="_x0000_t202" coordsize="21600,21600" o:spt="202" path="m,l,21600r21600,l21600,xe">
                <v:stroke joinstyle="miter"/>
                <v:path gradientshapeok="t" o:connecttype="rect"/>
              </v:shapetype>
              <v:shape id="Polje z besedilom 1" o:spid="_x0000_s1026" type="#_x0000_t202" alt="&quot;&quot;" style="position:absolute;left:0;text-align:left;margin-left:7pt;margin-top:163.15pt;width:438.75pt;height:227.2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" filled="f" stroked="f">
                <v:textbox style="mso-fit-shape-to-text:t" inset="0,0,0,0">
                  <w:txbxContent>
                    <w:p w14:paraId="510A554C" w14:textId="0A8CEB09" w:rsidR="00026F85"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44"/>
                          <w:szCs w:val="44"/>
                          <w:lang w:eastAsia="zh-CN"/>
                        </w:rPr>
                        <w:t xml:space="preserve">POROČILO </w:t>
                      </w:r>
                      <w:r w:rsidR="00E20BAC">
                        <w:rPr>
                          <w:rFonts w:eastAsia="SimSun" w:cs="Arial"/>
                          <w:b/>
                          <w:bCs/>
                          <w:color w:val="0070C0"/>
                          <w:sz w:val="44"/>
                          <w:szCs w:val="44"/>
                          <w:lang w:eastAsia="zh-CN"/>
                        </w:rPr>
                        <w:t>O IZVAJANJU</w:t>
                      </w:r>
                      <w:r w:rsidR="00E20BAC" w:rsidRPr="00790095">
                        <w:rPr>
                          <w:rFonts w:eastAsia="SimSun" w:cs="Arial"/>
                          <w:b/>
                          <w:bCs/>
                          <w:color w:val="0070C0"/>
                          <w:sz w:val="44"/>
                          <w:szCs w:val="44"/>
                          <w:lang w:eastAsia="zh-CN"/>
                        </w:rPr>
                        <w:t xml:space="preserve"> EVROPSKE KOHEZIJSKE POLITIKE 2021–2027 </w:t>
                      </w:r>
                      <w:r w:rsidR="00E20BAC">
                        <w:rPr>
                          <w:rFonts w:eastAsia="SimSun" w:cs="Arial"/>
                          <w:b/>
                          <w:bCs/>
                          <w:color w:val="0070C0"/>
                          <w:sz w:val="44"/>
                          <w:szCs w:val="44"/>
                          <w:lang w:eastAsia="zh-CN"/>
                        </w:rPr>
                        <w:t xml:space="preserve">IN </w:t>
                      </w:r>
                      <w:r w:rsidR="004317A8">
                        <w:rPr>
                          <w:rFonts w:eastAsia="SimSun" w:cs="Arial"/>
                          <w:b/>
                          <w:bCs/>
                          <w:color w:val="0070C0"/>
                          <w:sz w:val="44"/>
                          <w:szCs w:val="44"/>
                          <w:lang w:eastAsia="zh-CN"/>
                        </w:rPr>
                        <w:t>ZAKLJUČEVAN</w:t>
                      </w:r>
                      <w:r w:rsidR="00E20BAC">
                        <w:rPr>
                          <w:rFonts w:eastAsia="SimSun" w:cs="Arial"/>
                          <w:b/>
                          <w:bCs/>
                          <w:color w:val="0070C0"/>
                          <w:sz w:val="44"/>
                          <w:szCs w:val="44"/>
                          <w:lang w:eastAsia="zh-CN"/>
                        </w:rPr>
                        <w:t>JU</w:t>
                      </w:r>
                      <w:r w:rsidR="00D8040B">
                        <w:rPr>
                          <w:rFonts w:eastAsia="SimSun" w:cs="Arial"/>
                          <w:b/>
                          <w:bCs/>
                          <w:color w:val="0070C0"/>
                          <w:sz w:val="44"/>
                          <w:szCs w:val="44"/>
                          <w:lang w:eastAsia="zh-CN"/>
                        </w:rPr>
                        <w:t xml:space="preserve"> </w:t>
                      </w:r>
                      <w:r w:rsidR="00466CC1">
                        <w:rPr>
                          <w:rFonts w:eastAsia="SimSun" w:cs="Arial"/>
                          <w:b/>
                          <w:bCs/>
                          <w:color w:val="0070C0"/>
                          <w:sz w:val="44"/>
                          <w:szCs w:val="44"/>
                          <w:lang w:eastAsia="zh-CN"/>
                        </w:rPr>
                        <w:t xml:space="preserve">PROGRAMSKEGA OBDOBJA </w:t>
                      </w:r>
                      <w:r w:rsidRPr="00790095">
                        <w:rPr>
                          <w:rFonts w:eastAsia="SimSun" w:cs="Arial"/>
                          <w:b/>
                          <w:bCs/>
                          <w:color w:val="0070C0"/>
                          <w:sz w:val="44"/>
                          <w:szCs w:val="44"/>
                          <w:lang w:eastAsia="zh-CN"/>
                        </w:rPr>
                        <w:t xml:space="preserve">2014–2020 </w:t>
                      </w:r>
                      <w:r w:rsidR="001A3623">
                        <w:rPr>
                          <w:rFonts w:eastAsia="SimSun" w:cs="Arial"/>
                          <w:b/>
                          <w:bCs/>
                          <w:color w:val="0070C0"/>
                          <w:sz w:val="44"/>
                          <w:szCs w:val="44"/>
                          <w:lang w:eastAsia="zh-CN"/>
                        </w:rPr>
                        <w:t xml:space="preserve">ZA OBDOBJE OD </w:t>
                      </w:r>
                      <w:r w:rsidRPr="00790095">
                        <w:rPr>
                          <w:rFonts w:eastAsia="SimSun" w:cs="Arial"/>
                          <w:b/>
                          <w:bCs/>
                          <w:color w:val="0070C0"/>
                          <w:sz w:val="44"/>
                          <w:szCs w:val="44"/>
                          <w:lang w:eastAsia="zh-CN"/>
                        </w:rPr>
                        <w:t>JANUARJA 2014</w:t>
                      </w:r>
                      <w:r w:rsidR="001A3623">
                        <w:rPr>
                          <w:rFonts w:eastAsia="SimSun" w:cs="Arial"/>
                          <w:b/>
                          <w:bCs/>
                          <w:color w:val="0070C0"/>
                          <w:sz w:val="44"/>
                          <w:szCs w:val="44"/>
                          <w:lang w:eastAsia="zh-CN"/>
                        </w:rPr>
                        <w:t xml:space="preserve"> DO </w:t>
                      </w:r>
                      <w:r w:rsidR="007B0F5D">
                        <w:rPr>
                          <w:rFonts w:eastAsia="SimSun" w:cs="Arial"/>
                          <w:b/>
                          <w:bCs/>
                          <w:color w:val="0070C0"/>
                          <w:sz w:val="44"/>
                          <w:szCs w:val="44"/>
                          <w:lang w:eastAsia="zh-CN"/>
                        </w:rPr>
                        <w:t xml:space="preserve">DECEMBRA </w:t>
                      </w:r>
                      <w:r w:rsidRPr="00790095">
                        <w:rPr>
                          <w:rFonts w:eastAsia="SimSun" w:cs="Arial"/>
                          <w:b/>
                          <w:bCs/>
                          <w:color w:val="0070C0"/>
                          <w:sz w:val="44"/>
                          <w:szCs w:val="44"/>
                          <w:lang w:eastAsia="zh-CN"/>
                        </w:rPr>
                        <w:t>202</w:t>
                      </w:r>
                      <w:r>
                        <w:rPr>
                          <w:rFonts w:eastAsia="SimSun" w:cs="Arial"/>
                          <w:b/>
                          <w:bCs/>
                          <w:color w:val="0070C0"/>
                          <w:sz w:val="44"/>
                          <w:szCs w:val="44"/>
                          <w:lang w:eastAsia="zh-CN"/>
                        </w:rPr>
                        <w:t>5</w:t>
                      </w:r>
                    </w:p>
                    <w:p w14:paraId="147720A0" w14:textId="77777777" w:rsidR="00026F85" w:rsidRDefault="00026F85" w:rsidP="00BF35F8">
                      <w:pPr>
                        <w:spacing w:line="288" w:lineRule="auto"/>
                        <w:jc w:val="center"/>
                        <w:rPr>
                          <w:rFonts w:eastAsia="SimSun" w:cs="Arial"/>
                          <w:b/>
                          <w:bCs/>
                          <w:color w:val="0070C0"/>
                          <w:sz w:val="44"/>
                          <w:szCs w:val="44"/>
                          <w:lang w:eastAsia="zh-CN"/>
                        </w:rPr>
                      </w:pPr>
                    </w:p>
                    <w:p w14:paraId="392B4FB3" w14:textId="77777777" w:rsidR="00026F85" w:rsidRPr="00BF35F8"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32"/>
                          <w:szCs w:val="32"/>
                          <w:lang w:eastAsia="zh-CN"/>
                        </w:rPr>
                        <w:t>Cilj: naložbe za rast in delovna mesta</w:t>
                      </w:r>
                    </w:p>
                    <w:p w14:paraId="4D9D5AFF" w14:textId="77777777" w:rsidR="00026F85" w:rsidRDefault="00026F85">
                      <w:pPr>
                        <w:spacing w:line="288" w:lineRule="auto"/>
                        <w:jc w:val="center"/>
                      </w:pPr>
                    </w:p>
                  </w:txbxContent>
                </v:textbox>
                <w10:wrap type="square" anchorx="margin" anchory="margin"/>
              </v:shape>
            </w:pict>
          </mc:Fallback>
        </mc:AlternateContent>
      </w:r>
    </w:p>
    <w:p w14:paraId="48F6ECD6" w14:textId="17D85A35" w:rsidR="000E7A5A" w:rsidRPr="0025033E" w:rsidRDefault="000E7A5A" w:rsidP="00ED5676">
      <w:pPr>
        <w:pStyle w:val="Brezrazmikov"/>
        <w:spacing w:line="276" w:lineRule="auto"/>
        <w:jc w:val="both"/>
        <w:rPr>
          <w:rFonts w:ascii="Arial" w:hAnsi="Arial" w:cs="Arial"/>
        </w:rPr>
      </w:pPr>
    </w:p>
    <w:p w14:paraId="43E89AC5" w14:textId="01F7B66C" w:rsidR="000E7A5A" w:rsidRPr="0025033E" w:rsidRDefault="000E7A5A" w:rsidP="00ED5676">
      <w:pPr>
        <w:pStyle w:val="Brezrazmikov"/>
        <w:spacing w:line="276" w:lineRule="auto"/>
        <w:jc w:val="both"/>
        <w:rPr>
          <w:rFonts w:ascii="Arial" w:hAnsi="Arial" w:cs="Arial"/>
        </w:rPr>
      </w:pPr>
    </w:p>
    <w:p w14:paraId="4D8646EA" w14:textId="752023BA" w:rsidR="000E7A5A" w:rsidRPr="0025033E" w:rsidRDefault="000B1EB8" w:rsidP="00ED5676">
      <w:pPr>
        <w:pStyle w:val="Brezrazmikov"/>
        <w:spacing w:line="276" w:lineRule="auto"/>
        <w:jc w:val="both"/>
        <w:rPr>
          <w:rFonts w:ascii="Arial" w:hAnsi="Arial" w:cs="Arial"/>
        </w:rPr>
      </w:pPr>
      <w:r w:rsidRPr="0025033E">
        <w:rPr>
          <w:rFonts w:ascii="Arial" w:hAnsi="Arial" w:cs="Arial"/>
          <w:noProof/>
          <w:sz w:val="22"/>
          <w:szCs w:val="22"/>
        </w:rPr>
        <w:drawing>
          <wp:anchor distT="0" distB="0" distL="114300" distR="114300" simplePos="0" relativeHeight="251658243" behindDoc="1" locked="0" layoutInCell="1" allowOverlap="1" wp14:anchorId="0E3C11B6" wp14:editId="08A17EA7">
            <wp:simplePos x="0" y="0"/>
            <wp:positionH relativeFrom="column">
              <wp:posOffset>1874999</wp:posOffset>
            </wp:positionH>
            <wp:positionV relativeFrom="paragraph">
              <wp:posOffset>41599</wp:posOffset>
            </wp:positionV>
            <wp:extent cx="2286635" cy="1106170"/>
            <wp:effectExtent l="0" t="0" r="0" b="0"/>
            <wp:wrapNone/>
            <wp:docPr id="99"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Slika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635" cy="1106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7D4F1" w14:textId="35ED50FD" w:rsidR="000E7A5A" w:rsidRDefault="000E7A5A" w:rsidP="00ED5676">
      <w:pPr>
        <w:pStyle w:val="Brezrazmikov"/>
        <w:spacing w:line="276" w:lineRule="auto"/>
        <w:jc w:val="both"/>
        <w:rPr>
          <w:rFonts w:ascii="Arial" w:hAnsi="Arial" w:cs="Arial"/>
        </w:rPr>
      </w:pPr>
    </w:p>
    <w:p w14:paraId="2E1CD0EA" w14:textId="30EB57CE" w:rsidR="00EB539A" w:rsidRDefault="00EB539A" w:rsidP="00ED5676">
      <w:pPr>
        <w:pStyle w:val="Brezrazmikov"/>
        <w:spacing w:line="276" w:lineRule="auto"/>
        <w:jc w:val="both"/>
        <w:rPr>
          <w:rFonts w:ascii="Arial" w:hAnsi="Arial" w:cs="Arial"/>
        </w:rPr>
      </w:pPr>
    </w:p>
    <w:p w14:paraId="6B411B75" w14:textId="25B90D26" w:rsidR="000E7A5A" w:rsidRPr="0025033E" w:rsidRDefault="000E7A5A" w:rsidP="00ED5676">
      <w:pPr>
        <w:pStyle w:val="Brezrazmikov"/>
        <w:spacing w:line="276" w:lineRule="auto"/>
        <w:jc w:val="both"/>
        <w:rPr>
          <w:rFonts w:ascii="Arial" w:hAnsi="Arial" w:cs="Arial"/>
        </w:rPr>
      </w:pPr>
    </w:p>
    <w:p w14:paraId="3BC745B9" w14:textId="0236ADD5" w:rsidR="000E7A5A" w:rsidRPr="0025033E" w:rsidRDefault="000E7A5A" w:rsidP="00ED5676">
      <w:pPr>
        <w:pStyle w:val="Brezrazmikov"/>
        <w:spacing w:line="276" w:lineRule="auto"/>
        <w:jc w:val="both"/>
        <w:rPr>
          <w:rFonts w:ascii="Arial" w:hAnsi="Arial" w:cs="Arial"/>
        </w:rPr>
      </w:pPr>
    </w:p>
    <w:p w14:paraId="66CAAB89" w14:textId="43ABFE1D" w:rsidR="000E7A5A" w:rsidRPr="0025033E" w:rsidRDefault="000E7A5A" w:rsidP="00ED5676">
      <w:pPr>
        <w:pStyle w:val="Brezrazmikov"/>
        <w:spacing w:line="276" w:lineRule="auto"/>
        <w:jc w:val="both"/>
        <w:rPr>
          <w:rFonts w:ascii="Arial" w:hAnsi="Arial" w:cs="Arial"/>
        </w:rPr>
      </w:pPr>
    </w:p>
    <w:p w14:paraId="0823A51A" w14:textId="292B3051" w:rsidR="000E7A5A" w:rsidRPr="0025033E" w:rsidRDefault="000E7A5A" w:rsidP="00ED5676">
      <w:pPr>
        <w:pStyle w:val="Brezrazmikov"/>
        <w:spacing w:line="276" w:lineRule="auto"/>
        <w:jc w:val="both"/>
        <w:rPr>
          <w:rFonts w:ascii="Arial" w:hAnsi="Arial" w:cs="Arial"/>
        </w:rPr>
      </w:pPr>
    </w:p>
    <w:p w14:paraId="5A81935C" w14:textId="77777777" w:rsidR="000E7A5A" w:rsidRPr="0025033E" w:rsidRDefault="000E7A5A" w:rsidP="00ED5676">
      <w:pPr>
        <w:pStyle w:val="Brezrazmikov"/>
        <w:spacing w:line="276" w:lineRule="auto"/>
        <w:jc w:val="both"/>
        <w:rPr>
          <w:rFonts w:ascii="Arial" w:hAnsi="Arial" w:cs="Arial"/>
        </w:rPr>
      </w:pPr>
    </w:p>
    <w:p w14:paraId="37FF241D" w14:textId="77777777" w:rsidR="000E7A5A" w:rsidRPr="0025033E" w:rsidRDefault="000E7A5A" w:rsidP="00ED5676">
      <w:pPr>
        <w:pStyle w:val="Brezrazmikov"/>
        <w:spacing w:line="276" w:lineRule="auto"/>
        <w:jc w:val="both"/>
        <w:rPr>
          <w:rFonts w:ascii="Arial" w:hAnsi="Arial" w:cs="Arial"/>
        </w:rPr>
      </w:pPr>
    </w:p>
    <w:p w14:paraId="52193165" w14:textId="2FE983F0" w:rsidR="000E7A5A" w:rsidRPr="0025033E" w:rsidRDefault="000E7A5A" w:rsidP="00ED5676">
      <w:pPr>
        <w:pStyle w:val="Brezrazmikov"/>
        <w:spacing w:line="276" w:lineRule="auto"/>
        <w:jc w:val="both"/>
        <w:rPr>
          <w:rFonts w:ascii="Arial" w:hAnsi="Arial" w:cs="Arial"/>
        </w:rPr>
      </w:pPr>
    </w:p>
    <w:p w14:paraId="2B88C6C2" w14:textId="134B0927" w:rsidR="000E7A5A" w:rsidRPr="0025033E" w:rsidRDefault="4CC901AF" w:rsidP="00ED5676">
      <w:pPr>
        <w:pStyle w:val="Brezrazmikov"/>
        <w:spacing w:line="276" w:lineRule="auto"/>
        <w:jc w:val="both"/>
        <w:rPr>
          <w:rFonts w:ascii="Arial" w:hAnsi="Arial" w:cs="Arial"/>
        </w:rPr>
      </w:pPr>
      <w:r>
        <w:rPr>
          <w:noProof/>
        </w:rPr>
        <w:drawing>
          <wp:inline distT="0" distB="0" distL="0" distR="0" wp14:anchorId="2FA14B55" wp14:editId="4ADD2706">
            <wp:extent cx="904871" cy="904871"/>
            <wp:effectExtent l="0" t="0" r="0" b="0"/>
            <wp:docPr id="241230276" name="Slik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1230276" name="Slika 3">
                      <a:extLst>
                        <a:ext uri="{C183D7F6-B498-43B3-948B-1728B52AA6E4}">
                          <adec:decorative xmlns:adec="http://schemas.microsoft.com/office/drawing/2017/decorative" val="1"/>
                        </a:ext>
                      </a:extLst>
                    </pic:cNvPr>
                    <pic:cNvPicPr/>
                  </pic:nvPicPr>
                  <pic:blipFill>
                    <a:blip r:embed="rId11"/>
                    <a:stretch>
                      <a:fillRect/>
                    </a:stretch>
                  </pic:blipFill>
                  <pic:spPr>
                    <a:xfrm>
                      <a:off x="0" y="0"/>
                      <a:ext cx="904871" cy="904871"/>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2A53F837" wp14:editId="734D954B">
            <wp:extent cx="895353" cy="895353"/>
            <wp:effectExtent l="0" t="0" r="0" b="0"/>
            <wp:docPr id="1489299457" name="Slik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89299457" name="Slika 7">
                      <a:extLst>
                        <a:ext uri="{C183D7F6-B498-43B3-948B-1728B52AA6E4}">
                          <adec:decorative xmlns:adec="http://schemas.microsoft.com/office/drawing/2017/decorative" val="1"/>
                        </a:ext>
                      </a:extLst>
                    </pic:cNvPr>
                    <pic:cNvPicPr/>
                  </pic:nvPicPr>
                  <pic:blipFill>
                    <a:blip r:embed="rId12"/>
                    <a:stretch>
                      <a:fillRect/>
                    </a:stretch>
                  </pic:blipFill>
                  <pic:spPr>
                    <a:xfrm>
                      <a:off x="0" y="0"/>
                      <a:ext cx="895353" cy="895353"/>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501558B5" wp14:editId="4B58544D">
            <wp:extent cx="952503" cy="952503"/>
            <wp:effectExtent l="0" t="0" r="0" b="0"/>
            <wp:docPr id="663338797" name="Slik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63338797" name="Slika 3">
                      <a:extLst>
                        <a:ext uri="{C183D7F6-B498-43B3-948B-1728B52AA6E4}">
                          <adec:decorative xmlns:adec="http://schemas.microsoft.com/office/drawing/2017/decorative" val="1"/>
                        </a:ext>
                      </a:extLst>
                    </pic:cNvPr>
                    <pic:cNvPicPr/>
                  </pic:nvPicPr>
                  <pic:blipFill>
                    <a:blip r:embed="rId13"/>
                    <a:stretch>
                      <a:fillRect/>
                    </a:stretch>
                  </pic:blipFill>
                  <pic:spPr>
                    <a:xfrm>
                      <a:off x="0" y="0"/>
                      <a:ext cx="952503" cy="952503"/>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35E57D06" wp14:editId="430188FA">
            <wp:extent cx="914400" cy="914400"/>
            <wp:effectExtent l="0" t="0" r="0" b="0"/>
            <wp:docPr id="1187780790" name="Slik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87780790" name="Slika 8">
                      <a:extLst>
                        <a:ext uri="{C183D7F6-B498-43B3-948B-1728B52AA6E4}">
                          <adec:decorative xmlns:adec="http://schemas.microsoft.com/office/drawing/2017/decorative" val="1"/>
                        </a:ext>
                      </a:extLst>
                    </pic:cNvPr>
                    <pic:cNvPicPr/>
                  </pic:nvPicPr>
                  <pic:blipFill>
                    <a:blip r:embed="rId14"/>
                    <a:stretch>
                      <a:fillRect/>
                    </a:stretch>
                  </pic:blipFill>
                  <pic:spPr>
                    <a:xfrm>
                      <a:off x="0" y="0"/>
                      <a:ext cx="914400" cy="914400"/>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7B43B3A4" wp14:editId="052B6B04">
            <wp:extent cx="914400" cy="914400"/>
            <wp:effectExtent l="0" t="0" r="0" b="0"/>
            <wp:docPr id="1453515604" name="Slik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53515604" name="Slika 5">
                      <a:extLst>
                        <a:ext uri="{C183D7F6-B498-43B3-948B-1728B52AA6E4}">
                          <adec:decorative xmlns:adec="http://schemas.microsoft.com/office/drawing/2017/decorative" val="1"/>
                        </a:ext>
                      </a:extLst>
                    </pic:cNvPr>
                    <pic:cNvPicPr/>
                  </pic:nvPicPr>
                  <pic:blipFill>
                    <a:blip r:embed="rId15"/>
                    <a:stretch>
                      <a:fillRect/>
                    </a:stretch>
                  </pic:blipFill>
                  <pic:spPr>
                    <a:xfrm>
                      <a:off x="0" y="0"/>
                      <a:ext cx="914400" cy="914400"/>
                    </a:xfrm>
                    <a:prstGeom prst="rect">
                      <a:avLst/>
                    </a:prstGeom>
                    <a:noFill/>
                    <a:ln>
                      <a:noFill/>
                      <a:prstDash/>
                    </a:ln>
                  </pic:spPr>
                </pic:pic>
              </a:graphicData>
            </a:graphic>
          </wp:inline>
        </w:drawing>
      </w:r>
      <w:r w:rsidRPr="7E32E97F">
        <w:rPr>
          <w:rFonts w:ascii="Arial" w:hAnsi="Arial" w:cs="Arial"/>
        </w:rPr>
        <w:t xml:space="preserve">  </w:t>
      </w:r>
      <w:r>
        <w:rPr>
          <w:noProof/>
        </w:rPr>
        <w:drawing>
          <wp:inline distT="0" distB="0" distL="0" distR="0" wp14:anchorId="59C9D53B" wp14:editId="7F826577">
            <wp:extent cx="790571" cy="790571"/>
            <wp:effectExtent l="0" t="0" r="0" b="0"/>
            <wp:docPr id="300732731" name="Slik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0732731" name="Slika 6">
                      <a:extLst>
                        <a:ext uri="{C183D7F6-B498-43B3-948B-1728B52AA6E4}">
                          <adec:decorative xmlns:adec="http://schemas.microsoft.com/office/drawing/2017/decorative" val="1"/>
                        </a:ext>
                      </a:extLst>
                    </pic:cNvPr>
                    <pic:cNvPicPr/>
                  </pic:nvPicPr>
                  <pic:blipFill>
                    <a:blip r:embed="rId16"/>
                    <a:stretch>
                      <a:fillRect/>
                    </a:stretch>
                  </pic:blipFill>
                  <pic:spPr>
                    <a:xfrm>
                      <a:off x="0" y="0"/>
                      <a:ext cx="790571" cy="790571"/>
                    </a:xfrm>
                    <a:prstGeom prst="rect">
                      <a:avLst/>
                    </a:prstGeom>
                    <a:noFill/>
                    <a:ln>
                      <a:noFill/>
                      <a:prstDash/>
                    </a:ln>
                  </pic:spPr>
                </pic:pic>
              </a:graphicData>
            </a:graphic>
          </wp:inline>
        </w:drawing>
      </w:r>
    </w:p>
    <w:p w14:paraId="42036CE2" w14:textId="77777777" w:rsidR="00D733B3" w:rsidRDefault="00D733B3" w:rsidP="7E32E97F">
      <w:pPr>
        <w:pStyle w:val="Kazalovsebine1"/>
        <w:tabs>
          <w:tab w:val="left" w:pos="400"/>
          <w:tab w:val="right" w:leader="dot" w:pos="9060"/>
        </w:tabs>
        <w:spacing w:before="0" w:after="0"/>
        <w:jc w:val="both"/>
        <w:rPr>
          <w:rFonts w:ascii="Arial" w:hAnsi="Arial" w:cs="Arial"/>
          <w:b w:val="0"/>
          <w:bCs w:val="0"/>
          <w:caps w:val="0"/>
          <w:color w:val="4472C4" w:themeColor="accent1"/>
          <w:sz w:val="24"/>
          <w:szCs w:val="24"/>
        </w:rPr>
      </w:pPr>
      <w:bookmarkStart w:id="0" w:name="_Toc187758246"/>
      <w:bookmarkStart w:id="1" w:name="_Toc187753546"/>
      <w:bookmarkStart w:id="2" w:name="_Toc187740756"/>
      <w:bookmarkStart w:id="3" w:name="_Toc187741101"/>
      <w:bookmarkStart w:id="4" w:name="_Toc187741204"/>
      <w:bookmarkStart w:id="5" w:name="_Toc187742663"/>
      <w:bookmarkStart w:id="6" w:name="_Toc187742723"/>
      <w:bookmarkStart w:id="7" w:name="_Toc187817961"/>
      <w:bookmarkStart w:id="8" w:name="_Toc18664632"/>
      <w:bookmarkStart w:id="9" w:name="_Toc18666773"/>
      <w:bookmarkStart w:id="10" w:name="_Toc18666848"/>
      <w:bookmarkStart w:id="11" w:name="_Toc18671904"/>
    </w:p>
    <w:p w14:paraId="5BF29CE0" w14:textId="77777777" w:rsidR="00D733B3" w:rsidRDefault="00D733B3" w:rsidP="7E32E97F">
      <w:pPr>
        <w:pStyle w:val="Kazalovsebine1"/>
        <w:tabs>
          <w:tab w:val="left" w:pos="400"/>
          <w:tab w:val="right" w:leader="dot" w:pos="9060"/>
        </w:tabs>
        <w:spacing w:before="0" w:after="0"/>
        <w:jc w:val="both"/>
        <w:rPr>
          <w:rFonts w:ascii="Arial" w:hAnsi="Arial" w:cs="Arial"/>
          <w:b w:val="0"/>
          <w:bCs w:val="0"/>
          <w:caps w:val="0"/>
          <w:color w:val="4472C4" w:themeColor="accent1"/>
          <w:sz w:val="24"/>
          <w:szCs w:val="24"/>
        </w:rPr>
      </w:pPr>
    </w:p>
    <w:p w14:paraId="6F560011" w14:textId="187502A1" w:rsidR="00E9688F" w:rsidRPr="00873145" w:rsidRDefault="60040738" w:rsidP="7E32E97F">
      <w:pPr>
        <w:pStyle w:val="Kazalovsebine1"/>
        <w:tabs>
          <w:tab w:val="left" w:pos="400"/>
          <w:tab w:val="right" w:leader="dot" w:pos="9060"/>
        </w:tabs>
        <w:spacing w:before="0" w:after="0"/>
        <w:jc w:val="both"/>
        <w:rPr>
          <w:rFonts w:ascii="Arial" w:hAnsi="Arial" w:cs="Arial"/>
          <w:b w:val="0"/>
          <w:bCs w:val="0"/>
          <w:caps w:val="0"/>
          <w:color w:val="4472C4" w:themeColor="accent1"/>
          <w:sz w:val="24"/>
          <w:szCs w:val="24"/>
        </w:rPr>
      </w:pPr>
      <w:r w:rsidRPr="00873145">
        <w:rPr>
          <w:rFonts w:ascii="Arial" w:hAnsi="Arial" w:cs="Arial"/>
          <w:b w:val="0"/>
          <w:bCs w:val="0"/>
          <w:caps w:val="0"/>
          <w:color w:val="4472C4" w:themeColor="accent1"/>
          <w:sz w:val="24"/>
          <w:szCs w:val="24"/>
        </w:rPr>
        <w:lastRenderedPageBreak/>
        <w:t>KAZALO VSEBINE</w:t>
      </w:r>
    </w:p>
    <w:bookmarkEnd w:id="0"/>
    <w:bookmarkEnd w:id="1"/>
    <w:bookmarkEnd w:id="2"/>
    <w:bookmarkEnd w:id="3"/>
    <w:bookmarkEnd w:id="4"/>
    <w:bookmarkEnd w:id="5"/>
    <w:bookmarkEnd w:id="6"/>
    <w:bookmarkEnd w:id="7"/>
    <w:p w14:paraId="3617753E" w14:textId="77777777" w:rsidR="0030659F" w:rsidRPr="00873145" w:rsidRDefault="0030659F" w:rsidP="7E32E97F">
      <w:pPr>
        <w:spacing w:after="0"/>
        <w:jc w:val="both"/>
        <w:rPr>
          <w:rFonts w:cs="Arial"/>
        </w:rPr>
      </w:pPr>
    </w:p>
    <w:sdt>
      <w:sdtPr>
        <w:rPr>
          <w:rFonts w:ascii="Arial" w:hAnsi="Arial" w:cs="Arial"/>
          <w:b w:val="0"/>
          <w:bCs w:val="0"/>
          <w:caps w:val="0"/>
        </w:rPr>
        <w:id w:val="-1647733943"/>
        <w:docPartObj>
          <w:docPartGallery w:val="Table of Contents"/>
          <w:docPartUnique/>
        </w:docPartObj>
      </w:sdtPr>
      <w:sdtEndPr>
        <w:rPr>
          <w:caps/>
        </w:rPr>
      </w:sdtEndPr>
      <w:sdtContent>
        <w:p w14:paraId="16BB3A44" w14:textId="43F496B9" w:rsidR="00CC3224" w:rsidRPr="000C5612" w:rsidRDefault="008B3FFC" w:rsidP="000C5612">
          <w:pPr>
            <w:pStyle w:val="Kazalovsebine1"/>
            <w:tabs>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lang w:eastAsia="zh-CN"/>
            </w:rPr>
            <w:fldChar w:fldCharType="begin"/>
          </w:r>
          <w:r w:rsidRPr="000C5612">
            <w:rPr>
              <w:rFonts w:ascii="Arial" w:hAnsi="Arial" w:cs="Arial"/>
              <w:b w:val="0"/>
              <w:bCs w:val="0"/>
              <w:lang w:eastAsia="zh-CN"/>
            </w:rPr>
            <w:instrText xml:space="preserve"> TOC \o "1-4" \u </w:instrText>
          </w:r>
          <w:r w:rsidRPr="000C5612">
            <w:rPr>
              <w:rFonts w:ascii="Arial" w:hAnsi="Arial" w:cs="Arial"/>
              <w:b w:val="0"/>
              <w:bCs w:val="0"/>
              <w:lang w:eastAsia="zh-CN"/>
            </w:rPr>
            <w:fldChar w:fldCharType="separate"/>
          </w:r>
          <w:r w:rsidR="00CC3224" w:rsidRPr="000C5612">
            <w:rPr>
              <w:rFonts w:ascii="Arial" w:hAnsi="Arial" w:cs="Arial"/>
              <w:b w:val="0"/>
              <w:bCs w:val="0"/>
              <w:noProof/>
            </w:rPr>
            <w:t>UVOD</w:t>
          </w:r>
          <w:r w:rsidR="00CC3224" w:rsidRPr="000C5612">
            <w:rPr>
              <w:rFonts w:ascii="Arial" w:hAnsi="Arial" w:cs="Arial"/>
              <w:b w:val="0"/>
              <w:bCs w:val="0"/>
              <w:noProof/>
            </w:rPr>
            <w:tab/>
          </w:r>
          <w:r w:rsidR="00CC3224" w:rsidRPr="000C5612">
            <w:rPr>
              <w:rFonts w:ascii="Arial" w:hAnsi="Arial" w:cs="Arial"/>
              <w:b w:val="0"/>
              <w:bCs w:val="0"/>
              <w:noProof/>
            </w:rPr>
            <w:fldChar w:fldCharType="begin"/>
          </w:r>
          <w:r w:rsidR="00CC3224" w:rsidRPr="000C5612">
            <w:rPr>
              <w:rFonts w:ascii="Arial" w:hAnsi="Arial" w:cs="Arial"/>
              <w:b w:val="0"/>
              <w:bCs w:val="0"/>
              <w:noProof/>
            </w:rPr>
            <w:instrText xml:space="preserve"> PAGEREF _Toc219974398 \h </w:instrText>
          </w:r>
          <w:r w:rsidR="00CC3224" w:rsidRPr="000C5612">
            <w:rPr>
              <w:rFonts w:ascii="Arial" w:hAnsi="Arial" w:cs="Arial"/>
              <w:b w:val="0"/>
              <w:bCs w:val="0"/>
              <w:noProof/>
            </w:rPr>
          </w:r>
          <w:r w:rsidR="00CC3224" w:rsidRPr="000C5612">
            <w:rPr>
              <w:rFonts w:ascii="Arial" w:hAnsi="Arial" w:cs="Arial"/>
              <w:b w:val="0"/>
              <w:bCs w:val="0"/>
              <w:noProof/>
            </w:rPr>
            <w:fldChar w:fldCharType="separate"/>
          </w:r>
          <w:r w:rsidR="000C5612" w:rsidRPr="000C5612">
            <w:rPr>
              <w:rFonts w:ascii="Arial" w:hAnsi="Arial" w:cs="Arial"/>
              <w:b w:val="0"/>
              <w:bCs w:val="0"/>
              <w:noProof/>
            </w:rPr>
            <w:t>2</w:t>
          </w:r>
          <w:r w:rsidR="00CC3224" w:rsidRPr="000C5612">
            <w:rPr>
              <w:rFonts w:ascii="Arial" w:hAnsi="Arial" w:cs="Arial"/>
              <w:b w:val="0"/>
              <w:bCs w:val="0"/>
              <w:noProof/>
            </w:rPr>
            <w:fldChar w:fldCharType="end"/>
          </w:r>
        </w:p>
        <w:p w14:paraId="27B700F8" w14:textId="53ED677B" w:rsidR="00CC3224" w:rsidRPr="000C5612" w:rsidRDefault="00CC3224" w:rsidP="000C5612">
          <w:pPr>
            <w:pStyle w:val="Kazalovsebine1"/>
            <w:tabs>
              <w:tab w:val="left" w:pos="400"/>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noProof/>
            </w:rPr>
            <w:t>1</w:t>
          </w:r>
          <w:r w:rsidRPr="000C5612">
            <w:rPr>
              <w:rFonts w:ascii="Arial" w:eastAsiaTheme="minorEastAsia" w:hAnsi="Arial" w:cs="Arial"/>
              <w:b w:val="0"/>
              <w:bCs w:val="0"/>
              <w:caps w:val="0"/>
              <w:noProof/>
              <w:kern w:val="2"/>
              <w:sz w:val="24"/>
              <w:szCs w:val="24"/>
              <w14:ligatures w14:val="standardContextual"/>
            </w:rPr>
            <w:tab/>
          </w:r>
          <w:r w:rsidRPr="000C5612">
            <w:rPr>
              <w:rFonts w:ascii="Arial" w:hAnsi="Arial" w:cs="Arial"/>
              <w:b w:val="0"/>
              <w:bCs w:val="0"/>
              <w:noProof/>
            </w:rPr>
            <w:t>PROGRAMSKO OBDOBJE 2021–2027</w:t>
          </w:r>
          <w:r w:rsidRPr="000C5612">
            <w:rPr>
              <w:rFonts w:ascii="Arial" w:hAnsi="Arial" w:cs="Arial"/>
              <w:b w:val="0"/>
              <w:bCs w:val="0"/>
              <w:noProof/>
            </w:rPr>
            <w:tab/>
          </w:r>
          <w:r w:rsidRPr="000C5612">
            <w:rPr>
              <w:rFonts w:ascii="Arial" w:hAnsi="Arial" w:cs="Arial"/>
              <w:b w:val="0"/>
              <w:bCs w:val="0"/>
              <w:noProof/>
            </w:rPr>
            <w:fldChar w:fldCharType="begin"/>
          </w:r>
          <w:r w:rsidRPr="000C5612">
            <w:rPr>
              <w:rFonts w:ascii="Arial" w:hAnsi="Arial" w:cs="Arial"/>
              <w:b w:val="0"/>
              <w:bCs w:val="0"/>
              <w:noProof/>
            </w:rPr>
            <w:instrText xml:space="preserve"> PAGEREF _Toc219974399 \h </w:instrText>
          </w:r>
          <w:r w:rsidRPr="000C5612">
            <w:rPr>
              <w:rFonts w:ascii="Arial" w:hAnsi="Arial" w:cs="Arial"/>
              <w:b w:val="0"/>
              <w:bCs w:val="0"/>
              <w:noProof/>
            </w:rPr>
          </w:r>
          <w:r w:rsidRPr="000C5612">
            <w:rPr>
              <w:rFonts w:ascii="Arial" w:hAnsi="Arial" w:cs="Arial"/>
              <w:b w:val="0"/>
              <w:bCs w:val="0"/>
              <w:noProof/>
            </w:rPr>
            <w:fldChar w:fldCharType="separate"/>
          </w:r>
          <w:r w:rsidR="000C5612" w:rsidRPr="000C5612">
            <w:rPr>
              <w:rFonts w:ascii="Arial" w:hAnsi="Arial" w:cs="Arial"/>
              <w:b w:val="0"/>
              <w:bCs w:val="0"/>
              <w:noProof/>
            </w:rPr>
            <w:t>3</w:t>
          </w:r>
          <w:r w:rsidRPr="000C5612">
            <w:rPr>
              <w:rFonts w:ascii="Arial" w:hAnsi="Arial" w:cs="Arial"/>
              <w:b w:val="0"/>
              <w:bCs w:val="0"/>
              <w:noProof/>
            </w:rPr>
            <w:fldChar w:fldCharType="end"/>
          </w:r>
        </w:p>
        <w:p w14:paraId="32AD01C3" w14:textId="2131043A"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lang w:eastAsia="zh-CN"/>
            </w:rPr>
            <w:t>1.1</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DEJAVNOSTI, POVEZANE S PROGRAMOM EKP 2021–2027</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_Toc219974400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3</w:t>
          </w:r>
          <w:r w:rsidRPr="000C5612">
            <w:rPr>
              <w:rFonts w:ascii="Arial" w:hAnsi="Arial" w:cs="Arial"/>
              <w:noProof/>
            </w:rPr>
            <w:fldChar w:fldCharType="end"/>
          </w:r>
        </w:p>
        <w:p w14:paraId="32295D3F" w14:textId="5EF20DB2" w:rsidR="00CC3224" w:rsidRPr="000C5612" w:rsidRDefault="00CC3224" w:rsidP="000C5612">
          <w:pPr>
            <w:pStyle w:val="Kazalovsebine3"/>
            <w:tabs>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1.1.1 Sporazum o partnerstvu</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_Toc219974401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3</w:t>
          </w:r>
          <w:r w:rsidRPr="000C5612">
            <w:rPr>
              <w:rFonts w:ascii="Arial" w:hAnsi="Arial" w:cs="Arial"/>
              <w:noProof/>
            </w:rPr>
            <w:fldChar w:fldCharType="end"/>
          </w:r>
        </w:p>
        <w:p w14:paraId="77EB17B2" w14:textId="4B946C0C" w:rsidR="00CC3224" w:rsidRPr="000C5612" w:rsidRDefault="00CC3224" w:rsidP="000C5612">
          <w:pPr>
            <w:pStyle w:val="Kazalovsebine3"/>
            <w:tabs>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1.1.2 Program evropske kohezijske politike v obdobju 2021–2027</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_Toc219974402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4</w:t>
          </w:r>
          <w:r w:rsidRPr="000C5612">
            <w:rPr>
              <w:rFonts w:ascii="Arial" w:hAnsi="Arial" w:cs="Arial"/>
              <w:noProof/>
            </w:rPr>
            <w:fldChar w:fldCharType="end"/>
          </w:r>
        </w:p>
        <w:p w14:paraId="10F8F164" w14:textId="1E29AF5A" w:rsidR="00CC3224" w:rsidRPr="000C5612" w:rsidRDefault="00CC3224" w:rsidP="000C5612">
          <w:pPr>
            <w:pStyle w:val="Kazalovsebine3"/>
            <w:tabs>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1.1.3 Izvedbene določbe</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_Toc219974403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4</w:t>
          </w:r>
          <w:r w:rsidRPr="000C5612">
            <w:rPr>
              <w:rFonts w:ascii="Arial" w:hAnsi="Arial" w:cs="Arial"/>
              <w:noProof/>
            </w:rPr>
            <w:fldChar w:fldCharType="end"/>
          </w:r>
        </w:p>
        <w:p w14:paraId="39514832" w14:textId="60AF1219" w:rsidR="00CC3224" w:rsidRPr="000C5612" w:rsidRDefault="00CC3224" w:rsidP="000C5612">
          <w:pPr>
            <w:pStyle w:val="Kazalovsebine1"/>
            <w:tabs>
              <w:tab w:val="left" w:pos="400"/>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noProof/>
            </w:rPr>
            <w:t>2</w:t>
          </w:r>
          <w:r w:rsidRPr="000C5612">
            <w:rPr>
              <w:rFonts w:ascii="Arial" w:eastAsiaTheme="minorEastAsia" w:hAnsi="Arial" w:cs="Arial"/>
              <w:b w:val="0"/>
              <w:bCs w:val="0"/>
              <w:caps w:val="0"/>
              <w:noProof/>
              <w:kern w:val="2"/>
              <w:sz w:val="24"/>
              <w:szCs w:val="24"/>
              <w14:ligatures w14:val="standardContextual"/>
            </w:rPr>
            <w:tab/>
          </w:r>
          <w:r w:rsidRPr="000C5612">
            <w:rPr>
              <w:rFonts w:ascii="Arial" w:hAnsi="Arial" w:cs="Arial"/>
              <w:b w:val="0"/>
              <w:bCs w:val="0"/>
              <w:noProof/>
            </w:rPr>
            <w:t>IZVAJANJE PROGRAMA EKP 2021–2027</w:t>
          </w:r>
          <w:r w:rsidRPr="000C5612">
            <w:rPr>
              <w:rFonts w:ascii="Arial" w:hAnsi="Arial" w:cs="Arial"/>
              <w:b w:val="0"/>
              <w:bCs w:val="0"/>
              <w:noProof/>
            </w:rPr>
            <w:tab/>
          </w:r>
          <w:r w:rsidRPr="000C5612">
            <w:rPr>
              <w:rFonts w:ascii="Arial" w:hAnsi="Arial" w:cs="Arial"/>
              <w:b w:val="0"/>
              <w:bCs w:val="0"/>
              <w:noProof/>
            </w:rPr>
            <w:fldChar w:fldCharType="begin"/>
          </w:r>
          <w:r w:rsidRPr="000C5612">
            <w:rPr>
              <w:rFonts w:ascii="Arial" w:hAnsi="Arial" w:cs="Arial"/>
              <w:b w:val="0"/>
              <w:bCs w:val="0"/>
              <w:noProof/>
            </w:rPr>
            <w:instrText xml:space="preserve"> PAGEREF _Toc219974404 \h </w:instrText>
          </w:r>
          <w:r w:rsidRPr="000C5612">
            <w:rPr>
              <w:rFonts w:ascii="Arial" w:hAnsi="Arial" w:cs="Arial"/>
              <w:b w:val="0"/>
              <w:bCs w:val="0"/>
              <w:noProof/>
            </w:rPr>
          </w:r>
          <w:r w:rsidRPr="000C5612">
            <w:rPr>
              <w:rFonts w:ascii="Arial" w:hAnsi="Arial" w:cs="Arial"/>
              <w:b w:val="0"/>
              <w:bCs w:val="0"/>
              <w:noProof/>
            </w:rPr>
            <w:fldChar w:fldCharType="separate"/>
          </w:r>
          <w:r w:rsidR="000C5612" w:rsidRPr="000C5612">
            <w:rPr>
              <w:rFonts w:ascii="Arial" w:hAnsi="Arial" w:cs="Arial"/>
              <w:b w:val="0"/>
              <w:bCs w:val="0"/>
              <w:noProof/>
            </w:rPr>
            <w:t>5</w:t>
          </w:r>
          <w:r w:rsidRPr="000C5612">
            <w:rPr>
              <w:rFonts w:ascii="Arial" w:hAnsi="Arial" w:cs="Arial"/>
              <w:b w:val="0"/>
              <w:bCs w:val="0"/>
              <w:noProof/>
            </w:rPr>
            <w:fldChar w:fldCharType="end"/>
          </w:r>
        </w:p>
        <w:p w14:paraId="7E4B68D9" w14:textId="00583476"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2.1</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CELOSTNI TERITORIALNI RAZVOJ</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_Toc219974405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9</w:t>
          </w:r>
          <w:r w:rsidRPr="000C5612">
            <w:rPr>
              <w:rFonts w:ascii="Arial" w:hAnsi="Arial" w:cs="Arial"/>
              <w:noProof/>
            </w:rPr>
            <w:fldChar w:fldCharType="end"/>
          </w:r>
        </w:p>
        <w:p w14:paraId="2E024000" w14:textId="24F30B10"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2.1.1</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Lokalni razvoj, ki ga vodi skupnost (CLLD)</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_Toc219974406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9</w:t>
          </w:r>
          <w:r w:rsidRPr="000C5612">
            <w:rPr>
              <w:rFonts w:ascii="Arial" w:hAnsi="Arial" w:cs="Arial"/>
              <w:noProof/>
            </w:rPr>
            <w:fldChar w:fldCharType="end"/>
          </w:r>
        </w:p>
        <w:p w14:paraId="275DFA85" w14:textId="5505D780"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2.1.2</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Celostne teritorialne naložbe (CTN)</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_Toc219974407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9</w:t>
          </w:r>
          <w:r w:rsidRPr="000C5612">
            <w:rPr>
              <w:rFonts w:ascii="Arial" w:hAnsi="Arial" w:cs="Arial"/>
              <w:noProof/>
            </w:rPr>
            <w:fldChar w:fldCharType="end"/>
          </w:r>
        </w:p>
        <w:p w14:paraId="5B6094D6" w14:textId="33EF733D"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2.1.3</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Dogovor za razvoj regij (DRR)</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_Toc219974408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9</w:t>
          </w:r>
          <w:r w:rsidRPr="000C5612">
            <w:rPr>
              <w:rFonts w:ascii="Arial" w:hAnsi="Arial" w:cs="Arial"/>
              <w:noProof/>
            </w:rPr>
            <w:fldChar w:fldCharType="end"/>
          </w:r>
        </w:p>
        <w:p w14:paraId="233AAB63" w14:textId="12D714F7"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2.2</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SKLAD ZA PRAVIČNI PREHOD (SPP)</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_Toc219974409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10</w:t>
          </w:r>
          <w:r w:rsidRPr="000C5612">
            <w:rPr>
              <w:rFonts w:ascii="Arial" w:hAnsi="Arial" w:cs="Arial"/>
              <w:noProof/>
            </w:rPr>
            <w:fldChar w:fldCharType="end"/>
          </w:r>
        </w:p>
        <w:p w14:paraId="1CCDC00C" w14:textId="61664A17"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2.3</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EVROPSKI SOCIALNI SKLAD PLUS (ESS+)</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_Toc219974410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11</w:t>
          </w:r>
          <w:r w:rsidRPr="000C5612">
            <w:rPr>
              <w:rFonts w:ascii="Arial" w:hAnsi="Arial" w:cs="Arial"/>
              <w:noProof/>
            </w:rPr>
            <w:fldChar w:fldCharType="end"/>
          </w:r>
        </w:p>
        <w:p w14:paraId="1C4D3FFD" w14:textId="146A0A17"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2.4</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FINANČNI INSTRUMENTI</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_Toc219974411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13</w:t>
          </w:r>
          <w:r w:rsidRPr="000C5612">
            <w:rPr>
              <w:rFonts w:ascii="Arial" w:hAnsi="Arial" w:cs="Arial"/>
              <w:noProof/>
            </w:rPr>
            <w:fldChar w:fldCharType="end"/>
          </w:r>
        </w:p>
        <w:p w14:paraId="5A9C8627" w14:textId="1E3CF042"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eastAsia="Calibri" w:hAnsi="Arial" w:cs="Arial"/>
              <w:noProof/>
            </w:rPr>
            <w:t>2.4.1</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Finančni instrumenti iz sklada ESRR</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_Toc219974412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13</w:t>
          </w:r>
          <w:r w:rsidRPr="000C5612">
            <w:rPr>
              <w:rFonts w:ascii="Arial" w:hAnsi="Arial" w:cs="Arial"/>
              <w:noProof/>
            </w:rPr>
            <w:fldChar w:fldCharType="end"/>
          </w:r>
        </w:p>
        <w:p w14:paraId="41D37DAE" w14:textId="190D3012"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eastAsia="Calibri" w:hAnsi="Arial" w:cs="Arial"/>
              <w:noProof/>
            </w:rPr>
            <w:t>2.4.2</w:t>
          </w:r>
          <w:r w:rsidRPr="000C5612">
            <w:rPr>
              <w:rFonts w:ascii="Arial" w:eastAsiaTheme="minorEastAsia" w:hAnsi="Arial" w:cs="Arial"/>
              <w:i w:val="0"/>
              <w:iCs w:val="0"/>
              <w:noProof/>
              <w:kern w:val="2"/>
              <w:sz w:val="24"/>
              <w:szCs w:val="24"/>
              <w14:ligatures w14:val="standardContextual"/>
            </w:rPr>
            <w:tab/>
          </w:r>
          <w:r w:rsidRPr="000C5612">
            <w:rPr>
              <w:rFonts w:ascii="Arial" w:eastAsia="Calibri" w:hAnsi="Arial" w:cs="Arial"/>
              <w:noProof/>
            </w:rPr>
            <w:t>Finančni instrumenti iz sklada ESS+</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_Toc219974413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14</w:t>
          </w:r>
          <w:r w:rsidRPr="000C5612">
            <w:rPr>
              <w:rFonts w:ascii="Arial" w:hAnsi="Arial" w:cs="Arial"/>
              <w:noProof/>
            </w:rPr>
            <w:fldChar w:fldCharType="end"/>
          </w:r>
        </w:p>
        <w:p w14:paraId="69894B2F" w14:textId="74D877FA"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2.5</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SPREMEMBA PROGRAMA EKP 2021–2027 IN UREDB</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_Toc219974414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14</w:t>
          </w:r>
          <w:r w:rsidRPr="000C5612">
            <w:rPr>
              <w:rFonts w:ascii="Arial" w:hAnsi="Arial" w:cs="Arial"/>
              <w:noProof/>
            </w:rPr>
            <w:fldChar w:fldCharType="end"/>
          </w:r>
        </w:p>
        <w:p w14:paraId="53163525" w14:textId="51D496CE"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2.6</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VKLJUČEVANJE NAČELA, DA SE NE ŠKODUJE BISTVENO (DNSH) IN NAČEL NOVEGA EVROPSKEGA BAUHAUSA (NEB) TER ZAGOTOVITEV PODNEBNE ODPORNOSTI INFRASTRUKTURE (CLIMATE PROOFING) V OBDOBJU 2021–2027</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_Toc219974415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16</w:t>
          </w:r>
          <w:r w:rsidRPr="000C5612">
            <w:rPr>
              <w:rFonts w:ascii="Arial" w:hAnsi="Arial" w:cs="Arial"/>
              <w:noProof/>
            </w:rPr>
            <w:fldChar w:fldCharType="end"/>
          </w:r>
        </w:p>
        <w:p w14:paraId="1601BBF0" w14:textId="139BC10D"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2.7</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INFORMACIJSKI SISTEM OU e-MA2</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_Toc219974416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16</w:t>
          </w:r>
          <w:r w:rsidRPr="000C5612">
            <w:rPr>
              <w:rFonts w:ascii="Arial" w:hAnsi="Arial" w:cs="Arial"/>
              <w:noProof/>
            </w:rPr>
            <w:fldChar w:fldCharType="end"/>
          </w:r>
        </w:p>
        <w:p w14:paraId="5B93A474" w14:textId="7C5F7DE1"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2.8</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SLOVENSKA STRATEGIJA TRAJNOSTNE PAMETNE SPECIALIZACIJE (S5)</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_Toc219974417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18</w:t>
          </w:r>
          <w:r w:rsidRPr="000C5612">
            <w:rPr>
              <w:rFonts w:ascii="Arial" w:hAnsi="Arial" w:cs="Arial"/>
              <w:noProof/>
            </w:rPr>
            <w:fldChar w:fldCharType="end"/>
          </w:r>
        </w:p>
        <w:p w14:paraId="4A18CDCE" w14:textId="52B27970"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2.8.1</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Delovna skupina vlade za podporo izvajanju (DSV) S5</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_Toc219974418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20</w:t>
          </w:r>
          <w:r w:rsidRPr="000C5612">
            <w:rPr>
              <w:rFonts w:ascii="Arial" w:hAnsi="Arial" w:cs="Arial"/>
              <w:noProof/>
            </w:rPr>
            <w:fldChar w:fldCharType="end"/>
          </w:r>
        </w:p>
        <w:p w14:paraId="349C459B" w14:textId="56244829" w:rsidR="00CC3224" w:rsidRPr="000C5612" w:rsidRDefault="00CC3224" w:rsidP="000C5612">
          <w:pPr>
            <w:pStyle w:val="Kazalovsebine3"/>
            <w:tabs>
              <w:tab w:val="left" w:pos="1200"/>
              <w:tab w:val="right" w:leader="dot" w:pos="9060"/>
            </w:tabs>
            <w:jc w:val="both"/>
            <w:rPr>
              <w:rFonts w:ascii="Arial" w:eastAsiaTheme="minorEastAsia" w:hAnsi="Arial" w:cs="Arial"/>
              <w:i w:val="0"/>
              <w:iCs w:val="0"/>
              <w:noProof/>
              <w:kern w:val="2"/>
              <w:sz w:val="24"/>
              <w:szCs w:val="24"/>
              <w14:ligatures w14:val="standardContextual"/>
            </w:rPr>
          </w:pPr>
          <w:r w:rsidRPr="000C5612">
            <w:rPr>
              <w:rFonts w:ascii="Arial" w:hAnsi="Arial" w:cs="Arial"/>
              <w:noProof/>
            </w:rPr>
            <w:t>2.8.2</w:t>
          </w:r>
          <w:r w:rsidRPr="000C5612">
            <w:rPr>
              <w:rFonts w:ascii="Arial" w:eastAsiaTheme="minorEastAsia" w:hAnsi="Arial" w:cs="Arial"/>
              <w:i w:val="0"/>
              <w:iCs w:val="0"/>
              <w:noProof/>
              <w:kern w:val="2"/>
              <w:sz w:val="24"/>
              <w:szCs w:val="24"/>
              <w14:ligatures w14:val="standardContextual"/>
            </w:rPr>
            <w:tab/>
          </w:r>
          <w:r w:rsidRPr="000C5612">
            <w:rPr>
              <w:rFonts w:ascii="Arial" w:hAnsi="Arial" w:cs="Arial"/>
              <w:noProof/>
            </w:rPr>
            <w:t xml:space="preserve">Proces </w:t>
          </w:r>
          <w:r w:rsidRPr="000C5612">
            <w:rPr>
              <w:rFonts w:ascii="Arial" w:eastAsia="Calibri" w:hAnsi="Arial" w:cs="Arial"/>
              <w:noProof/>
            </w:rPr>
            <w:t>podjetniškega</w:t>
          </w:r>
          <w:r w:rsidRPr="000C5612">
            <w:rPr>
              <w:rFonts w:ascii="Arial" w:hAnsi="Arial" w:cs="Arial"/>
              <w:noProof/>
            </w:rPr>
            <w:t xml:space="preserve"> odkrivanja</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_Toc219974419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21</w:t>
          </w:r>
          <w:r w:rsidRPr="000C5612">
            <w:rPr>
              <w:rFonts w:ascii="Arial" w:hAnsi="Arial" w:cs="Arial"/>
              <w:noProof/>
            </w:rPr>
            <w:fldChar w:fldCharType="end"/>
          </w:r>
        </w:p>
        <w:p w14:paraId="6A27291E" w14:textId="65201AB6"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2.9</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PROMOCIJA EKP</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_Toc219974420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22</w:t>
          </w:r>
          <w:r w:rsidRPr="000C5612">
            <w:rPr>
              <w:rFonts w:ascii="Arial" w:hAnsi="Arial" w:cs="Arial"/>
              <w:noProof/>
            </w:rPr>
            <w:fldChar w:fldCharType="end"/>
          </w:r>
        </w:p>
        <w:p w14:paraId="7B614D9E" w14:textId="6E1E2627" w:rsidR="00CC3224" w:rsidRPr="000C5612" w:rsidRDefault="00CC3224" w:rsidP="000C5612">
          <w:pPr>
            <w:pStyle w:val="Kazalovsebine1"/>
            <w:tabs>
              <w:tab w:val="left" w:pos="400"/>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noProof/>
            </w:rPr>
            <w:t>3</w:t>
          </w:r>
          <w:r w:rsidRPr="000C5612">
            <w:rPr>
              <w:rFonts w:ascii="Arial" w:eastAsiaTheme="minorEastAsia" w:hAnsi="Arial" w:cs="Arial"/>
              <w:b w:val="0"/>
              <w:bCs w:val="0"/>
              <w:caps w:val="0"/>
              <w:noProof/>
              <w:kern w:val="2"/>
              <w:sz w:val="24"/>
              <w:szCs w:val="24"/>
              <w14:ligatures w14:val="standardContextual"/>
            </w:rPr>
            <w:tab/>
          </w:r>
          <w:r w:rsidRPr="000C5612">
            <w:rPr>
              <w:rFonts w:ascii="Arial" w:hAnsi="Arial" w:cs="Arial"/>
              <w:b w:val="0"/>
              <w:bCs w:val="0"/>
              <w:noProof/>
            </w:rPr>
            <w:t>PROGRAMSKO OBDOBJE 2014–2020: AKTUALNO STANJE IN GLAVNE AKTIVNOSTI V PRVEM POLLETJU LETA 2025</w:t>
          </w:r>
          <w:r w:rsidRPr="000C5612">
            <w:rPr>
              <w:rFonts w:ascii="Arial" w:hAnsi="Arial" w:cs="Arial"/>
              <w:b w:val="0"/>
              <w:bCs w:val="0"/>
              <w:noProof/>
            </w:rPr>
            <w:tab/>
          </w:r>
          <w:r w:rsidRPr="000C5612">
            <w:rPr>
              <w:rFonts w:ascii="Arial" w:hAnsi="Arial" w:cs="Arial"/>
              <w:b w:val="0"/>
              <w:bCs w:val="0"/>
              <w:noProof/>
            </w:rPr>
            <w:fldChar w:fldCharType="begin"/>
          </w:r>
          <w:r w:rsidRPr="000C5612">
            <w:rPr>
              <w:rFonts w:ascii="Arial" w:hAnsi="Arial" w:cs="Arial"/>
              <w:b w:val="0"/>
              <w:bCs w:val="0"/>
              <w:noProof/>
            </w:rPr>
            <w:instrText xml:space="preserve"> PAGEREF _Toc219974421 \h </w:instrText>
          </w:r>
          <w:r w:rsidRPr="000C5612">
            <w:rPr>
              <w:rFonts w:ascii="Arial" w:hAnsi="Arial" w:cs="Arial"/>
              <w:b w:val="0"/>
              <w:bCs w:val="0"/>
              <w:noProof/>
            </w:rPr>
          </w:r>
          <w:r w:rsidRPr="000C5612">
            <w:rPr>
              <w:rFonts w:ascii="Arial" w:hAnsi="Arial" w:cs="Arial"/>
              <w:b w:val="0"/>
              <w:bCs w:val="0"/>
              <w:noProof/>
            </w:rPr>
            <w:fldChar w:fldCharType="separate"/>
          </w:r>
          <w:r w:rsidR="000C5612" w:rsidRPr="000C5612">
            <w:rPr>
              <w:rFonts w:ascii="Arial" w:hAnsi="Arial" w:cs="Arial"/>
              <w:b w:val="0"/>
              <w:bCs w:val="0"/>
              <w:noProof/>
            </w:rPr>
            <w:t>25</w:t>
          </w:r>
          <w:r w:rsidRPr="000C5612">
            <w:rPr>
              <w:rFonts w:ascii="Arial" w:hAnsi="Arial" w:cs="Arial"/>
              <w:b w:val="0"/>
              <w:bCs w:val="0"/>
              <w:noProof/>
            </w:rPr>
            <w:fldChar w:fldCharType="end"/>
          </w:r>
        </w:p>
        <w:p w14:paraId="5EEBB1EA" w14:textId="4F4D15CB" w:rsidR="00CC3224" w:rsidRPr="000C5612" w:rsidRDefault="00CC3224" w:rsidP="000C5612">
          <w:pPr>
            <w:pStyle w:val="Kazalovsebine2"/>
            <w:tabs>
              <w:tab w:val="left" w:pos="800"/>
              <w:tab w:val="right" w:leader="dot" w:pos="9060"/>
            </w:tabs>
            <w:jc w:val="both"/>
            <w:rPr>
              <w:rFonts w:ascii="Arial" w:eastAsiaTheme="minorEastAsia" w:hAnsi="Arial" w:cs="Arial"/>
              <w:smallCaps w:val="0"/>
              <w:noProof/>
              <w:kern w:val="2"/>
              <w:sz w:val="24"/>
              <w:szCs w:val="24"/>
              <w14:ligatures w14:val="standardContextual"/>
            </w:rPr>
          </w:pPr>
          <w:r w:rsidRPr="000C5612">
            <w:rPr>
              <w:rFonts w:ascii="Arial" w:hAnsi="Arial" w:cs="Arial"/>
              <w:noProof/>
            </w:rPr>
            <w:t>3.1</w:t>
          </w:r>
          <w:r w:rsidRPr="000C5612">
            <w:rPr>
              <w:rFonts w:ascii="Arial" w:eastAsiaTheme="minorEastAsia" w:hAnsi="Arial" w:cs="Arial"/>
              <w:smallCaps w:val="0"/>
              <w:noProof/>
              <w:kern w:val="2"/>
              <w:sz w:val="24"/>
              <w:szCs w:val="24"/>
              <w14:ligatures w14:val="standardContextual"/>
            </w:rPr>
            <w:tab/>
          </w:r>
          <w:r w:rsidRPr="000C5612">
            <w:rPr>
              <w:rFonts w:ascii="Arial" w:hAnsi="Arial" w:cs="Arial"/>
              <w:noProof/>
            </w:rPr>
            <w:t>ZAKLJUČEVANJE OP EKP 2014–2020</w:t>
          </w:r>
          <w:r w:rsidRPr="000C5612">
            <w:rPr>
              <w:rFonts w:ascii="Arial" w:hAnsi="Arial" w:cs="Arial"/>
              <w:noProof/>
            </w:rPr>
            <w:tab/>
          </w:r>
          <w:r w:rsidRPr="000C5612">
            <w:rPr>
              <w:rFonts w:ascii="Arial" w:hAnsi="Arial" w:cs="Arial"/>
              <w:noProof/>
            </w:rPr>
            <w:fldChar w:fldCharType="begin"/>
          </w:r>
          <w:r w:rsidRPr="000C5612">
            <w:rPr>
              <w:rFonts w:ascii="Arial" w:hAnsi="Arial" w:cs="Arial"/>
              <w:noProof/>
            </w:rPr>
            <w:instrText xml:space="preserve"> PAGEREF _Toc219974422 \h </w:instrText>
          </w:r>
          <w:r w:rsidRPr="000C5612">
            <w:rPr>
              <w:rFonts w:ascii="Arial" w:hAnsi="Arial" w:cs="Arial"/>
              <w:noProof/>
            </w:rPr>
          </w:r>
          <w:r w:rsidRPr="000C5612">
            <w:rPr>
              <w:rFonts w:ascii="Arial" w:hAnsi="Arial" w:cs="Arial"/>
              <w:noProof/>
            </w:rPr>
            <w:fldChar w:fldCharType="separate"/>
          </w:r>
          <w:r w:rsidR="000C5612" w:rsidRPr="000C5612">
            <w:rPr>
              <w:rFonts w:ascii="Arial" w:hAnsi="Arial" w:cs="Arial"/>
              <w:noProof/>
            </w:rPr>
            <w:t>25</w:t>
          </w:r>
          <w:r w:rsidRPr="000C5612">
            <w:rPr>
              <w:rFonts w:ascii="Arial" w:hAnsi="Arial" w:cs="Arial"/>
              <w:noProof/>
            </w:rPr>
            <w:fldChar w:fldCharType="end"/>
          </w:r>
        </w:p>
        <w:p w14:paraId="1315403E" w14:textId="3BF7C77C" w:rsidR="00CC3224" w:rsidRPr="000C5612" w:rsidRDefault="00CC3224" w:rsidP="000C5612">
          <w:pPr>
            <w:pStyle w:val="Kazalovsebine1"/>
            <w:tabs>
              <w:tab w:val="left" w:pos="400"/>
              <w:tab w:val="right" w:leader="dot" w:pos="9060"/>
            </w:tabs>
            <w:spacing w:before="0" w:after="0"/>
            <w:jc w:val="both"/>
            <w:rPr>
              <w:rFonts w:ascii="Arial" w:eastAsiaTheme="minorEastAsia" w:hAnsi="Arial" w:cs="Arial"/>
              <w:b w:val="0"/>
              <w:bCs w:val="0"/>
              <w:caps w:val="0"/>
              <w:noProof/>
              <w:kern w:val="2"/>
              <w:sz w:val="24"/>
              <w:szCs w:val="24"/>
              <w14:ligatures w14:val="standardContextual"/>
            </w:rPr>
          </w:pPr>
          <w:r w:rsidRPr="000C5612">
            <w:rPr>
              <w:rFonts w:ascii="Arial" w:hAnsi="Arial" w:cs="Arial"/>
              <w:b w:val="0"/>
              <w:bCs w:val="0"/>
              <w:noProof/>
            </w:rPr>
            <w:t>4</w:t>
          </w:r>
          <w:r w:rsidRPr="000C5612">
            <w:rPr>
              <w:rFonts w:ascii="Arial" w:eastAsiaTheme="minorEastAsia" w:hAnsi="Arial" w:cs="Arial"/>
              <w:b w:val="0"/>
              <w:bCs w:val="0"/>
              <w:caps w:val="0"/>
              <w:noProof/>
              <w:kern w:val="2"/>
              <w:sz w:val="24"/>
              <w:szCs w:val="24"/>
              <w14:ligatures w14:val="standardContextual"/>
            </w:rPr>
            <w:tab/>
          </w:r>
          <w:r w:rsidRPr="000C5612">
            <w:rPr>
              <w:rFonts w:ascii="Arial" w:hAnsi="Arial" w:cs="Arial"/>
              <w:b w:val="0"/>
              <w:bCs w:val="0"/>
              <w:noProof/>
            </w:rPr>
            <w:t>Priloga 1: Poročilo o napredku pri pripravi tematskih omogočitvenih pogojev v obdobju 2021–2027</w:t>
          </w:r>
          <w:r w:rsidRPr="000C5612">
            <w:rPr>
              <w:rFonts w:ascii="Arial" w:hAnsi="Arial" w:cs="Arial"/>
              <w:b w:val="0"/>
              <w:bCs w:val="0"/>
              <w:noProof/>
            </w:rPr>
            <w:tab/>
          </w:r>
          <w:r w:rsidRPr="000C5612">
            <w:rPr>
              <w:rFonts w:ascii="Arial" w:hAnsi="Arial" w:cs="Arial"/>
              <w:b w:val="0"/>
              <w:bCs w:val="0"/>
              <w:noProof/>
            </w:rPr>
            <w:fldChar w:fldCharType="begin"/>
          </w:r>
          <w:r w:rsidRPr="000C5612">
            <w:rPr>
              <w:rFonts w:ascii="Arial" w:hAnsi="Arial" w:cs="Arial"/>
              <w:b w:val="0"/>
              <w:bCs w:val="0"/>
              <w:noProof/>
            </w:rPr>
            <w:instrText xml:space="preserve"> PAGEREF _Toc219974423 \h </w:instrText>
          </w:r>
          <w:r w:rsidRPr="000C5612">
            <w:rPr>
              <w:rFonts w:ascii="Arial" w:hAnsi="Arial" w:cs="Arial"/>
              <w:b w:val="0"/>
              <w:bCs w:val="0"/>
              <w:noProof/>
            </w:rPr>
          </w:r>
          <w:r w:rsidRPr="000C5612">
            <w:rPr>
              <w:rFonts w:ascii="Arial" w:hAnsi="Arial" w:cs="Arial"/>
              <w:b w:val="0"/>
              <w:bCs w:val="0"/>
              <w:noProof/>
            </w:rPr>
            <w:fldChar w:fldCharType="separate"/>
          </w:r>
          <w:r w:rsidR="000C5612" w:rsidRPr="000C5612">
            <w:rPr>
              <w:rFonts w:ascii="Arial" w:hAnsi="Arial" w:cs="Arial"/>
              <w:b w:val="0"/>
              <w:bCs w:val="0"/>
              <w:noProof/>
            </w:rPr>
            <w:t>29</w:t>
          </w:r>
          <w:r w:rsidRPr="000C5612">
            <w:rPr>
              <w:rFonts w:ascii="Arial" w:hAnsi="Arial" w:cs="Arial"/>
              <w:b w:val="0"/>
              <w:bCs w:val="0"/>
              <w:noProof/>
            </w:rPr>
            <w:fldChar w:fldCharType="end"/>
          </w:r>
        </w:p>
        <w:p w14:paraId="529DAD43" w14:textId="314E4305" w:rsidR="005A12CC" w:rsidRPr="00D666B4" w:rsidRDefault="008B3FFC" w:rsidP="000C5612">
          <w:pPr>
            <w:pStyle w:val="Kazalovsebine1"/>
            <w:tabs>
              <w:tab w:val="right" w:leader="dot" w:pos="9060"/>
            </w:tabs>
            <w:spacing w:before="0" w:after="0"/>
            <w:jc w:val="both"/>
            <w:rPr>
              <w:rFonts w:ascii="Arial" w:hAnsi="Arial" w:cs="Arial"/>
              <w:b w:val="0"/>
              <w:bCs w:val="0"/>
            </w:rPr>
          </w:pPr>
          <w:r w:rsidRPr="000C5612">
            <w:rPr>
              <w:rFonts w:ascii="Arial" w:hAnsi="Arial" w:cs="Arial"/>
              <w:b w:val="0"/>
              <w:bCs w:val="0"/>
              <w:lang w:eastAsia="zh-CN"/>
            </w:rPr>
            <w:fldChar w:fldCharType="end"/>
          </w:r>
        </w:p>
      </w:sdtContent>
    </w:sdt>
    <w:bookmarkEnd w:id="8"/>
    <w:bookmarkEnd w:id="9"/>
    <w:bookmarkEnd w:id="10"/>
    <w:bookmarkEnd w:id="11"/>
    <w:p w14:paraId="37833C5F" w14:textId="131AB40D" w:rsidR="008557EF" w:rsidRPr="003A44DA" w:rsidRDefault="2EACA3DF" w:rsidP="7E32E97F">
      <w:pPr>
        <w:shd w:val="clear" w:color="auto" w:fill="FFFFFF" w:themeFill="background1"/>
        <w:spacing w:after="0"/>
        <w:jc w:val="both"/>
        <w:rPr>
          <w:rFonts w:cs="Arial"/>
          <w:color w:val="4472C4" w:themeColor="accent1"/>
          <w:sz w:val="24"/>
          <w:szCs w:val="24"/>
        </w:rPr>
      </w:pPr>
      <w:r w:rsidRPr="7E32E97F">
        <w:rPr>
          <w:rFonts w:cs="Arial"/>
          <w:color w:val="4472C4" w:themeColor="accent1"/>
          <w:sz w:val="24"/>
          <w:szCs w:val="24"/>
        </w:rPr>
        <w:t xml:space="preserve">KAZALO </w:t>
      </w:r>
      <w:r w:rsidR="533097F7" w:rsidRPr="7E32E97F">
        <w:rPr>
          <w:rFonts w:cs="Arial"/>
          <w:color w:val="4472C4" w:themeColor="accent1"/>
          <w:sz w:val="24"/>
          <w:szCs w:val="24"/>
        </w:rPr>
        <w:t>GRAFOV</w:t>
      </w:r>
    </w:p>
    <w:p w14:paraId="3534ECDC" w14:textId="77777777" w:rsidR="008557EF" w:rsidRPr="006133CB" w:rsidRDefault="008557EF" w:rsidP="00ED5676">
      <w:pPr>
        <w:shd w:val="clear" w:color="auto" w:fill="FFFFFF" w:themeFill="background1"/>
        <w:spacing w:after="0"/>
        <w:jc w:val="both"/>
        <w:rPr>
          <w:rFonts w:cs="Arial"/>
          <w:color w:val="4472C4" w:themeColor="accent1"/>
        </w:rPr>
      </w:pPr>
    </w:p>
    <w:p w14:paraId="4584543B" w14:textId="140B87EE" w:rsidR="00052B97" w:rsidRDefault="008557EF" w:rsidP="00052B97">
      <w:pPr>
        <w:pStyle w:val="Kazaloslik"/>
        <w:tabs>
          <w:tab w:val="right" w:leader="dot" w:pos="9060"/>
        </w:tabs>
        <w:spacing w:after="0"/>
        <w:jc w:val="both"/>
        <w:rPr>
          <w:rFonts w:asciiTheme="minorHAnsi" w:eastAsiaTheme="minorEastAsia" w:hAnsiTheme="minorHAnsi" w:cstheme="minorBidi"/>
          <w:noProof/>
          <w:kern w:val="2"/>
          <w:sz w:val="24"/>
          <w:szCs w:val="24"/>
          <w:lang w:val="sl-SI" w:eastAsia="sl-SI"/>
          <w14:ligatures w14:val="standardContextual"/>
        </w:rPr>
      </w:pPr>
      <w:r w:rsidRPr="7E32E97F">
        <w:rPr>
          <w:rFonts w:cs="Arial"/>
          <w:color w:val="4472C4" w:themeColor="accent1"/>
          <w:sz w:val="20"/>
          <w:szCs w:val="20"/>
        </w:rPr>
        <w:fldChar w:fldCharType="begin"/>
      </w:r>
      <w:r w:rsidRPr="00466CC1">
        <w:rPr>
          <w:rFonts w:cs="Arial"/>
          <w:color w:val="4472C4" w:themeColor="accent1"/>
          <w:sz w:val="20"/>
          <w:szCs w:val="20"/>
        </w:rPr>
        <w:instrText xml:space="preserve"> TOC \h \z \c "Graf" </w:instrText>
      </w:r>
      <w:r w:rsidRPr="7E32E97F">
        <w:rPr>
          <w:rFonts w:cs="Arial"/>
          <w:color w:val="4472C4" w:themeColor="accent1"/>
          <w:sz w:val="20"/>
          <w:szCs w:val="20"/>
        </w:rPr>
        <w:fldChar w:fldCharType="separate"/>
      </w:r>
      <w:hyperlink w:anchor="_Toc219453853" w:history="1">
        <w:r w:rsidR="00052B97" w:rsidRPr="00046227">
          <w:rPr>
            <w:rStyle w:val="Hiperpovezava"/>
            <w:noProof/>
          </w:rPr>
          <w:t>Graf 1: Prikaz višine izplačanih zahtevkov ter certificiranih izdatkov po obdobjih (od 1. 1. 2024 – 31. 12. 2025)</w:t>
        </w:r>
        <w:r w:rsidR="00052B97">
          <w:rPr>
            <w:noProof/>
            <w:webHidden/>
          </w:rPr>
          <w:tab/>
        </w:r>
        <w:r w:rsidR="00052B97">
          <w:rPr>
            <w:noProof/>
            <w:webHidden/>
          </w:rPr>
          <w:fldChar w:fldCharType="begin"/>
        </w:r>
        <w:r w:rsidR="00052B97">
          <w:rPr>
            <w:noProof/>
            <w:webHidden/>
          </w:rPr>
          <w:instrText xml:space="preserve"> PAGEREF _Toc219453853 \h </w:instrText>
        </w:r>
        <w:r w:rsidR="00052B97">
          <w:rPr>
            <w:noProof/>
            <w:webHidden/>
          </w:rPr>
        </w:r>
        <w:r w:rsidR="00052B97">
          <w:rPr>
            <w:noProof/>
            <w:webHidden/>
          </w:rPr>
          <w:fldChar w:fldCharType="separate"/>
        </w:r>
        <w:r w:rsidR="000C5612">
          <w:rPr>
            <w:noProof/>
            <w:webHidden/>
          </w:rPr>
          <w:t>17</w:t>
        </w:r>
        <w:r w:rsidR="00052B97">
          <w:rPr>
            <w:noProof/>
            <w:webHidden/>
          </w:rPr>
          <w:fldChar w:fldCharType="end"/>
        </w:r>
      </w:hyperlink>
    </w:p>
    <w:p w14:paraId="00A02F6F" w14:textId="15521614" w:rsidR="00052B97" w:rsidRDefault="00052B97" w:rsidP="00052B97">
      <w:pPr>
        <w:pStyle w:val="Kazaloslik"/>
        <w:tabs>
          <w:tab w:val="right" w:leader="dot" w:pos="9060"/>
        </w:tabs>
        <w:spacing w:after="0"/>
        <w:jc w:val="both"/>
        <w:rPr>
          <w:rFonts w:asciiTheme="minorHAnsi" w:eastAsiaTheme="minorEastAsia" w:hAnsiTheme="minorHAnsi" w:cstheme="minorBidi"/>
          <w:noProof/>
          <w:kern w:val="2"/>
          <w:sz w:val="24"/>
          <w:szCs w:val="24"/>
          <w:lang w:val="sl-SI" w:eastAsia="sl-SI"/>
          <w14:ligatures w14:val="standardContextual"/>
        </w:rPr>
      </w:pPr>
      <w:hyperlink w:anchor="_Toc219453854" w:history="1">
        <w:r w:rsidRPr="00046227">
          <w:rPr>
            <w:rStyle w:val="Hiperpovezava"/>
            <w:noProof/>
          </w:rPr>
          <w:t>Graf 2: Število novo registriranih uporabnikov v aplikacijo IS e-MA2 za posamezno odboje</w:t>
        </w:r>
        <w:r>
          <w:rPr>
            <w:noProof/>
            <w:webHidden/>
          </w:rPr>
          <w:tab/>
        </w:r>
        <w:r>
          <w:rPr>
            <w:noProof/>
            <w:webHidden/>
          </w:rPr>
          <w:fldChar w:fldCharType="begin"/>
        </w:r>
        <w:r>
          <w:rPr>
            <w:noProof/>
            <w:webHidden/>
          </w:rPr>
          <w:instrText xml:space="preserve"> PAGEREF _Toc219453854 \h </w:instrText>
        </w:r>
        <w:r>
          <w:rPr>
            <w:noProof/>
            <w:webHidden/>
          </w:rPr>
        </w:r>
        <w:r>
          <w:rPr>
            <w:noProof/>
            <w:webHidden/>
          </w:rPr>
          <w:fldChar w:fldCharType="separate"/>
        </w:r>
        <w:r w:rsidR="000C5612">
          <w:rPr>
            <w:noProof/>
            <w:webHidden/>
          </w:rPr>
          <w:t>17</w:t>
        </w:r>
        <w:r>
          <w:rPr>
            <w:noProof/>
            <w:webHidden/>
          </w:rPr>
          <w:fldChar w:fldCharType="end"/>
        </w:r>
      </w:hyperlink>
    </w:p>
    <w:p w14:paraId="1C485A31" w14:textId="1E36C7DE" w:rsidR="00052B97" w:rsidRDefault="00052B97" w:rsidP="00052B97">
      <w:pPr>
        <w:pStyle w:val="Kazaloslik"/>
        <w:tabs>
          <w:tab w:val="right" w:leader="dot" w:pos="9060"/>
        </w:tabs>
        <w:spacing w:after="0"/>
        <w:jc w:val="both"/>
        <w:rPr>
          <w:rFonts w:asciiTheme="minorHAnsi" w:eastAsiaTheme="minorEastAsia" w:hAnsiTheme="minorHAnsi" w:cstheme="minorBidi"/>
          <w:noProof/>
          <w:kern w:val="2"/>
          <w:sz w:val="24"/>
          <w:szCs w:val="24"/>
          <w:lang w:val="sl-SI" w:eastAsia="sl-SI"/>
          <w14:ligatures w14:val="standardContextual"/>
        </w:rPr>
      </w:pPr>
      <w:hyperlink w:anchor="_Toc219453855" w:history="1">
        <w:r w:rsidRPr="00046227">
          <w:rPr>
            <w:rStyle w:val="Hiperpovezava"/>
            <w:noProof/>
          </w:rPr>
          <w:t>Graf 3: Prikaz števila "klicev" po aplikaciji skozi obdobje (od 1. 1. 2024 do 30. 6. 2025)</w:t>
        </w:r>
        <w:r>
          <w:rPr>
            <w:noProof/>
            <w:webHidden/>
          </w:rPr>
          <w:tab/>
        </w:r>
        <w:r>
          <w:rPr>
            <w:noProof/>
            <w:webHidden/>
          </w:rPr>
          <w:fldChar w:fldCharType="begin"/>
        </w:r>
        <w:r>
          <w:rPr>
            <w:noProof/>
            <w:webHidden/>
          </w:rPr>
          <w:instrText xml:space="preserve"> PAGEREF _Toc219453855 \h </w:instrText>
        </w:r>
        <w:r>
          <w:rPr>
            <w:noProof/>
            <w:webHidden/>
          </w:rPr>
        </w:r>
        <w:r>
          <w:rPr>
            <w:noProof/>
            <w:webHidden/>
          </w:rPr>
          <w:fldChar w:fldCharType="separate"/>
        </w:r>
        <w:r w:rsidR="000C5612">
          <w:rPr>
            <w:noProof/>
            <w:webHidden/>
          </w:rPr>
          <w:t>18</w:t>
        </w:r>
        <w:r>
          <w:rPr>
            <w:noProof/>
            <w:webHidden/>
          </w:rPr>
          <w:fldChar w:fldCharType="end"/>
        </w:r>
      </w:hyperlink>
    </w:p>
    <w:p w14:paraId="490671A7" w14:textId="77777777" w:rsidR="007C61DD" w:rsidRDefault="008557EF" w:rsidP="00ED5676">
      <w:pPr>
        <w:shd w:val="clear" w:color="auto" w:fill="FFFFFF" w:themeFill="background1"/>
        <w:spacing w:after="0"/>
        <w:jc w:val="both"/>
        <w:rPr>
          <w:rFonts w:cs="Arial"/>
          <w:color w:val="4472C4" w:themeColor="accent1"/>
        </w:rPr>
      </w:pPr>
      <w:r w:rsidRPr="7E32E97F">
        <w:rPr>
          <w:rFonts w:cs="Arial"/>
          <w:color w:val="4472C4" w:themeColor="accent1"/>
        </w:rPr>
        <w:fldChar w:fldCharType="end"/>
      </w:r>
    </w:p>
    <w:p w14:paraId="12326117" w14:textId="7B9CCA36" w:rsidR="00D07111" w:rsidRPr="003A44DA" w:rsidRDefault="533097F7" w:rsidP="00ED5676">
      <w:pPr>
        <w:shd w:val="clear" w:color="auto" w:fill="FFFFFF" w:themeFill="background1"/>
        <w:spacing w:after="0"/>
        <w:jc w:val="both"/>
        <w:rPr>
          <w:rFonts w:cs="Arial"/>
          <w:color w:val="4472C4" w:themeColor="accent1"/>
          <w:sz w:val="24"/>
          <w:szCs w:val="24"/>
        </w:rPr>
      </w:pPr>
      <w:r w:rsidRPr="7E32E97F">
        <w:rPr>
          <w:rFonts w:cs="Arial"/>
          <w:color w:val="4472C4" w:themeColor="accent1"/>
          <w:sz w:val="24"/>
          <w:szCs w:val="24"/>
        </w:rPr>
        <w:t xml:space="preserve">KAZALO </w:t>
      </w:r>
      <w:r w:rsidR="2EACA3DF" w:rsidRPr="7E32E97F">
        <w:rPr>
          <w:rFonts w:cs="Arial"/>
          <w:color w:val="4472C4" w:themeColor="accent1"/>
          <w:sz w:val="24"/>
          <w:szCs w:val="24"/>
        </w:rPr>
        <w:t>TABEL</w:t>
      </w:r>
    </w:p>
    <w:p w14:paraId="6529C069" w14:textId="77777777" w:rsidR="0030659F" w:rsidRPr="0030659F" w:rsidRDefault="0030659F" w:rsidP="7E32E97F">
      <w:pPr>
        <w:shd w:val="clear" w:color="auto" w:fill="FFFFFF" w:themeFill="background1"/>
        <w:spacing w:after="0"/>
        <w:jc w:val="both"/>
        <w:rPr>
          <w:rFonts w:cs="Arial"/>
          <w:color w:val="4472C4" w:themeColor="accent1"/>
        </w:rPr>
      </w:pPr>
    </w:p>
    <w:p w14:paraId="109FDF82" w14:textId="2C35546A" w:rsidR="006133CB" w:rsidRPr="006133CB" w:rsidRDefault="00B6179D"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r w:rsidRPr="006133CB">
        <w:rPr>
          <w:rFonts w:cs="Arial"/>
          <w:b/>
          <w:bCs/>
          <w:caps/>
          <w:sz w:val="20"/>
          <w:szCs w:val="20"/>
        </w:rPr>
        <w:fldChar w:fldCharType="begin"/>
      </w:r>
      <w:r w:rsidRPr="006133CB">
        <w:rPr>
          <w:rFonts w:cs="Arial"/>
          <w:sz w:val="20"/>
          <w:szCs w:val="20"/>
        </w:rPr>
        <w:instrText xml:space="preserve"> TOC \h \z \c "Tabela" </w:instrText>
      </w:r>
      <w:r w:rsidRPr="006133CB">
        <w:rPr>
          <w:rFonts w:cs="Arial"/>
          <w:b/>
          <w:bCs/>
          <w:caps/>
          <w:sz w:val="20"/>
          <w:szCs w:val="20"/>
        </w:rPr>
        <w:fldChar w:fldCharType="separate"/>
      </w:r>
      <w:hyperlink w:anchor="_Toc219986165" w:history="1">
        <w:r w:rsidR="006133CB" w:rsidRPr="006133CB">
          <w:rPr>
            <w:rStyle w:val="Hiperpovezava"/>
            <w:noProof/>
            <w:sz w:val="20"/>
            <w:szCs w:val="20"/>
          </w:rPr>
          <w:t>Tabela 1: Stanje izvajanja Programa EKP 2021–2027 po skladih in regijah skupaj: obdobje od 1. 1. 2021 do 31. 12. 2025</w:t>
        </w:r>
        <w:r w:rsidR="006133CB" w:rsidRPr="006133CB">
          <w:rPr>
            <w:noProof/>
            <w:webHidden/>
            <w:sz w:val="20"/>
            <w:szCs w:val="20"/>
          </w:rPr>
          <w:tab/>
        </w:r>
        <w:r w:rsidR="006133CB" w:rsidRPr="006133CB">
          <w:rPr>
            <w:noProof/>
            <w:webHidden/>
            <w:sz w:val="20"/>
            <w:szCs w:val="20"/>
          </w:rPr>
          <w:fldChar w:fldCharType="begin"/>
        </w:r>
        <w:r w:rsidR="006133CB" w:rsidRPr="006133CB">
          <w:rPr>
            <w:noProof/>
            <w:webHidden/>
            <w:sz w:val="20"/>
            <w:szCs w:val="20"/>
          </w:rPr>
          <w:instrText xml:space="preserve"> PAGEREF _Toc219986165 \h </w:instrText>
        </w:r>
        <w:r w:rsidR="006133CB" w:rsidRPr="006133CB">
          <w:rPr>
            <w:noProof/>
            <w:webHidden/>
            <w:sz w:val="20"/>
            <w:szCs w:val="20"/>
          </w:rPr>
        </w:r>
        <w:r w:rsidR="006133CB" w:rsidRPr="006133CB">
          <w:rPr>
            <w:noProof/>
            <w:webHidden/>
            <w:sz w:val="20"/>
            <w:szCs w:val="20"/>
          </w:rPr>
          <w:fldChar w:fldCharType="separate"/>
        </w:r>
        <w:r w:rsidR="006133CB" w:rsidRPr="006133CB">
          <w:rPr>
            <w:noProof/>
            <w:webHidden/>
            <w:sz w:val="20"/>
            <w:szCs w:val="20"/>
          </w:rPr>
          <w:t>6</w:t>
        </w:r>
        <w:r w:rsidR="006133CB" w:rsidRPr="006133CB">
          <w:rPr>
            <w:noProof/>
            <w:webHidden/>
            <w:sz w:val="20"/>
            <w:szCs w:val="20"/>
          </w:rPr>
          <w:fldChar w:fldCharType="end"/>
        </w:r>
      </w:hyperlink>
    </w:p>
    <w:p w14:paraId="604E469B" w14:textId="4185F78A" w:rsidR="006133CB" w:rsidRPr="006133CB" w:rsidRDefault="006133CB"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66" w:history="1">
        <w:r w:rsidRPr="006133CB">
          <w:rPr>
            <w:rStyle w:val="Hiperpovezava"/>
            <w:rFonts w:cs="Arial"/>
            <w:noProof/>
            <w:sz w:val="20"/>
            <w:szCs w:val="20"/>
          </w:rPr>
          <w:t>Tabela 2: Stanje izvajanja Programa EKP 2021–2027 po prednostnih nalogah skupaj: obdobje od 1. 1. 2021 do 31. 12. 2025</w:t>
        </w:r>
        <w:r w:rsidRPr="006133CB">
          <w:rPr>
            <w:noProof/>
            <w:webHidden/>
            <w:sz w:val="20"/>
            <w:szCs w:val="20"/>
          </w:rPr>
          <w:tab/>
        </w:r>
        <w:r w:rsidRPr="006133CB">
          <w:rPr>
            <w:noProof/>
            <w:webHidden/>
            <w:sz w:val="20"/>
            <w:szCs w:val="20"/>
          </w:rPr>
          <w:fldChar w:fldCharType="begin"/>
        </w:r>
        <w:r w:rsidRPr="006133CB">
          <w:rPr>
            <w:noProof/>
            <w:webHidden/>
            <w:sz w:val="20"/>
            <w:szCs w:val="20"/>
          </w:rPr>
          <w:instrText xml:space="preserve"> PAGEREF _Toc219986166 \h </w:instrText>
        </w:r>
        <w:r w:rsidRPr="006133CB">
          <w:rPr>
            <w:noProof/>
            <w:webHidden/>
            <w:sz w:val="20"/>
            <w:szCs w:val="20"/>
          </w:rPr>
        </w:r>
        <w:r w:rsidRPr="006133CB">
          <w:rPr>
            <w:noProof/>
            <w:webHidden/>
            <w:sz w:val="20"/>
            <w:szCs w:val="20"/>
          </w:rPr>
          <w:fldChar w:fldCharType="separate"/>
        </w:r>
        <w:r w:rsidRPr="006133CB">
          <w:rPr>
            <w:noProof/>
            <w:webHidden/>
            <w:sz w:val="20"/>
            <w:szCs w:val="20"/>
          </w:rPr>
          <w:t>8</w:t>
        </w:r>
        <w:r w:rsidRPr="006133CB">
          <w:rPr>
            <w:noProof/>
            <w:webHidden/>
            <w:sz w:val="20"/>
            <w:szCs w:val="20"/>
          </w:rPr>
          <w:fldChar w:fldCharType="end"/>
        </w:r>
      </w:hyperlink>
    </w:p>
    <w:p w14:paraId="35F793FB" w14:textId="14CC2150" w:rsidR="006133CB" w:rsidRPr="006133CB" w:rsidRDefault="006133CB"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67" w:history="1">
        <w:r w:rsidRPr="006133CB">
          <w:rPr>
            <w:rStyle w:val="Hiperpovezava"/>
            <w:noProof/>
            <w:sz w:val="20"/>
            <w:szCs w:val="20"/>
          </w:rPr>
          <w:t>Tabela 8: Pregled učinkov komuniciranja v drugem polletju 2025 na družbenih omrežjih Evropska sredstva (Facebook)</w:t>
        </w:r>
        <w:r w:rsidRPr="006133CB">
          <w:rPr>
            <w:noProof/>
            <w:webHidden/>
            <w:sz w:val="20"/>
            <w:szCs w:val="20"/>
          </w:rPr>
          <w:tab/>
        </w:r>
        <w:r w:rsidRPr="006133CB">
          <w:rPr>
            <w:noProof/>
            <w:webHidden/>
            <w:sz w:val="20"/>
            <w:szCs w:val="20"/>
          </w:rPr>
          <w:fldChar w:fldCharType="begin"/>
        </w:r>
        <w:r w:rsidRPr="006133CB">
          <w:rPr>
            <w:noProof/>
            <w:webHidden/>
            <w:sz w:val="20"/>
            <w:szCs w:val="20"/>
          </w:rPr>
          <w:instrText xml:space="preserve"> PAGEREF _Toc219986167 \h </w:instrText>
        </w:r>
        <w:r w:rsidRPr="006133CB">
          <w:rPr>
            <w:noProof/>
            <w:webHidden/>
            <w:sz w:val="20"/>
            <w:szCs w:val="20"/>
          </w:rPr>
        </w:r>
        <w:r w:rsidRPr="006133CB">
          <w:rPr>
            <w:noProof/>
            <w:webHidden/>
            <w:sz w:val="20"/>
            <w:szCs w:val="20"/>
          </w:rPr>
          <w:fldChar w:fldCharType="separate"/>
        </w:r>
        <w:r w:rsidRPr="006133CB">
          <w:rPr>
            <w:noProof/>
            <w:webHidden/>
            <w:sz w:val="20"/>
            <w:szCs w:val="20"/>
          </w:rPr>
          <w:t>23</w:t>
        </w:r>
        <w:r w:rsidRPr="006133CB">
          <w:rPr>
            <w:noProof/>
            <w:webHidden/>
            <w:sz w:val="20"/>
            <w:szCs w:val="20"/>
          </w:rPr>
          <w:fldChar w:fldCharType="end"/>
        </w:r>
      </w:hyperlink>
    </w:p>
    <w:p w14:paraId="75F4DEB2" w14:textId="6FC1F4F1" w:rsidR="006133CB" w:rsidRPr="006133CB" w:rsidRDefault="006133CB"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68" w:history="1">
        <w:r w:rsidRPr="006133CB">
          <w:rPr>
            <w:rStyle w:val="Hiperpovezava"/>
            <w:noProof/>
            <w:sz w:val="20"/>
            <w:szCs w:val="20"/>
          </w:rPr>
          <w:t>Tabela 9: Pregled učinkov komuniciranja v drugem polletju 2025 na družbenih omrežjih Evropska sredstva (Instagram)</w:t>
        </w:r>
        <w:r w:rsidRPr="006133CB">
          <w:rPr>
            <w:noProof/>
            <w:webHidden/>
            <w:sz w:val="20"/>
            <w:szCs w:val="20"/>
          </w:rPr>
          <w:tab/>
        </w:r>
        <w:r w:rsidRPr="006133CB">
          <w:rPr>
            <w:noProof/>
            <w:webHidden/>
            <w:sz w:val="20"/>
            <w:szCs w:val="20"/>
          </w:rPr>
          <w:fldChar w:fldCharType="begin"/>
        </w:r>
        <w:r w:rsidRPr="006133CB">
          <w:rPr>
            <w:noProof/>
            <w:webHidden/>
            <w:sz w:val="20"/>
            <w:szCs w:val="20"/>
          </w:rPr>
          <w:instrText xml:space="preserve"> PAGEREF _Toc219986168 \h </w:instrText>
        </w:r>
        <w:r w:rsidRPr="006133CB">
          <w:rPr>
            <w:noProof/>
            <w:webHidden/>
            <w:sz w:val="20"/>
            <w:szCs w:val="20"/>
          </w:rPr>
        </w:r>
        <w:r w:rsidRPr="006133CB">
          <w:rPr>
            <w:noProof/>
            <w:webHidden/>
            <w:sz w:val="20"/>
            <w:szCs w:val="20"/>
          </w:rPr>
          <w:fldChar w:fldCharType="separate"/>
        </w:r>
        <w:r w:rsidRPr="006133CB">
          <w:rPr>
            <w:noProof/>
            <w:webHidden/>
            <w:sz w:val="20"/>
            <w:szCs w:val="20"/>
          </w:rPr>
          <w:t>24</w:t>
        </w:r>
        <w:r w:rsidRPr="006133CB">
          <w:rPr>
            <w:noProof/>
            <w:webHidden/>
            <w:sz w:val="20"/>
            <w:szCs w:val="20"/>
          </w:rPr>
          <w:fldChar w:fldCharType="end"/>
        </w:r>
      </w:hyperlink>
    </w:p>
    <w:p w14:paraId="4E103CB0" w14:textId="034CD433" w:rsidR="006133CB" w:rsidRPr="006133CB" w:rsidRDefault="006133CB"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69" w:history="1">
        <w:r w:rsidRPr="006133CB">
          <w:rPr>
            <w:rStyle w:val="Hiperpovezava"/>
            <w:noProof/>
            <w:sz w:val="20"/>
            <w:szCs w:val="20"/>
          </w:rPr>
          <w:t>Tabela 10: Pregled učinkov komuniciranja v drugem polletju 2025 na družbenih omrežjih Evropska sredstva (LinkedIn)</w:t>
        </w:r>
        <w:r w:rsidRPr="006133CB">
          <w:rPr>
            <w:noProof/>
            <w:webHidden/>
            <w:sz w:val="20"/>
            <w:szCs w:val="20"/>
          </w:rPr>
          <w:tab/>
        </w:r>
        <w:r w:rsidRPr="006133CB">
          <w:rPr>
            <w:noProof/>
            <w:webHidden/>
            <w:sz w:val="20"/>
            <w:szCs w:val="20"/>
          </w:rPr>
          <w:fldChar w:fldCharType="begin"/>
        </w:r>
        <w:r w:rsidRPr="006133CB">
          <w:rPr>
            <w:noProof/>
            <w:webHidden/>
            <w:sz w:val="20"/>
            <w:szCs w:val="20"/>
          </w:rPr>
          <w:instrText xml:space="preserve"> PAGEREF _Toc219986169 \h </w:instrText>
        </w:r>
        <w:r w:rsidRPr="006133CB">
          <w:rPr>
            <w:noProof/>
            <w:webHidden/>
            <w:sz w:val="20"/>
            <w:szCs w:val="20"/>
          </w:rPr>
        </w:r>
        <w:r w:rsidRPr="006133CB">
          <w:rPr>
            <w:noProof/>
            <w:webHidden/>
            <w:sz w:val="20"/>
            <w:szCs w:val="20"/>
          </w:rPr>
          <w:fldChar w:fldCharType="separate"/>
        </w:r>
        <w:r w:rsidRPr="006133CB">
          <w:rPr>
            <w:noProof/>
            <w:webHidden/>
            <w:sz w:val="20"/>
            <w:szCs w:val="20"/>
          </w:rPr>
          <w:t>24</w:t>
        </w:r>
        <w:r w:rsidRPr="006133CB">
          <w:rPr>
            <w:noProof/>
            <w:webHidden/>
            <w:sz w:val="20"/>
            <w:szCs w:val="20"/>
          </w:rPr>
          <w:fldChar w:fldCharType="end"/>
        </w:r>
      </w:hyperlink>
    </w:p>
    <w:p w14:paraId="5FF506AD" w14:textId="1F2F2A68" w:rsidR="006133CB" w:rsidRPr="006133CB" w:rsidRDefault="006133CB"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70" w:history="1">
        <w:r w:rsidRPr="006133CB">
          <w:rPr>
            <w:rStyle w:val="Hiperpovezava"/>
            <w:noProof/>
            <w:sz w:val="20"/>
            <w:szCs w:val="20"/>
          </w:rPr>
          <w:t>Tabela 11: Pregled učinkov komuniciranja v drugem polletju 2025 na družbenih omrežjih Evropska sredstva (Youtube)</w:t>
        </w:r>
        <w:r w:rsidRPr="006133CB">
          <w:rPr>
            <w:noProof/>
            <w:webHidden/>
            <w:sz w:val="20"/>
            <w:szCs w:val="20"/>
          </w:rPr>
          <w:tab/>
        </w:r>
        <w:r w:rsidRPr="006133CB">
          <w:rPr>
            <w:noProof/>
            <w:webHidden/>
            <w:sz w:val="20"/>
            <w:szCs w:val="20"/>
          </w:rPr>
          <w:fldChar w:fldCharType="begin"/>
        </w:r>
        <w:r w:rsidRPr="006133CB">
          <w:rPr>
            <w:noProof/>
            <w:webHidden/>
            <w:sz w:val="20"/>
            <w:szCs w:val="20"/>
          </w:rPr>
          <w:instrText xml:space="preserve"> PAGEREF _Toc219986170 \h </w:instrText>
        </w:r>
        <w:r w:rsidRPr="006133CB">
          <w:rPr>
            <w:noProof/>
            <w:webHidden/>
            <w:sz w:val="20"/>
            <w:szCs w:val="20"/>
          </w:rPr>
        </w:r>
        <w:r w:rsidRPr="006133CB">
          <w:rPr>
            <w:noProof/>
            <w:webHidden/>
            <w:sz w:val="20"/>
            <w:szCs w:val="20"/>
          </w:rPr>
          <w:fldChar w:fldCharType="separate"/>
        </w:r>
        <w:r w:rsidRPr="006133CB">
          <w:rPr>
            <w:noProof/>
            <w:webHidden/>
            <w:sz w:val="20"/>
            <w:szCs w:val="20"/>
          </w:rPr>
          <w:t>24</w:t>
        </w:r>
        <w:r w:rsidRPr="006133CB">
          <w:rPr>
            <w:noProof/>
            <w:webHidden/>
            <w:sz w:val="20"/>
            <w:szCs w:val="20"/>
          </w:rPr>
          <w:fldChar w:fldCharType="end"/>
        </w:r>
      </w:hyperlink>
    </w:p>
    <w:p w14:paraId="560DF369" w14:textId="0B51D59D" w:rsidR="006133CB" w:rsidRPr="006133CB" w:rsidRDefault="006133CB" w:rsidP="006133CB">
      <w:pPr>
        <w:pStyle w:val="Kazaloslik"/>
        <w:tabs>
          <w:tab w:val="right" w:leader="dot" w:pos="9060"/>
        </w:tabs>
        <w:spacing w:after="0"/>
        <w:jc w:val="both"/>
        <w:rPr>
          <w:rFonts w:asciiTheme="minorHAnsi" w:eastAsiaTheme="minorEastAsia" w:hAnsiTheme="minorHAnsi" w:cstheme="minorBidi"/>
          <w:noProof/>
          <w:kern w:val="2"/>
          <w:sz w:val="20"/>
          <w:szCs w:val="20"/>
          <w:lang w:val="sl-SI" w:eastAsia="sl-SI"/>
          <w14:ligatures w14:val="standardContextual"/>
        </w:rPr>
      </w:pPr>
      <w:hyperlink w:anchor="_Toc219986171" w:history="1">
        <w:r w:rsidRPr="006133CB">
          <w:rPr>
            <w:rStyle w:val="Hiperpovezava"/>
            <w:noProof/>
            <w:sz w:val="20"/>
            <w:szCs w:val="20"/>
          </w:rPr>
          <w:t>Tabela 12: Koriščenje sredstev EKP za celotno obdobje</w:t>
        </w:r>
        <w:r w:rsidRPr="006133CB">
          <w:rPr>
            <w:noProof/>
            <w:webHidden/>
            <w:sz w:val="20"/>
            <w:szCs w:val="20"/>
          </w:rPr>
          <w:tab/>
        </w:r>
        <w:r w:rsidRPr="006133CB">
          <w:rPr>
            <w:noProof/>
            <w:webHidden/>
            <w:sz w:val="20"/>
            <w:szCs w:val="20"/>
          </w:rPr>
          <w:fldChar w:fldCharType="begin"/>
        </w:r>
        <w:r w:rsidRPr="006133CB">
          <w:rPr>
            <w:noProof/>
            <w:webHidden/>
            <w:sz w:val="20"/>
            <w:szCs w:val="20"/>
          </w:rPr>
          <w:instrText xml:space="preserve"> PAGEREF _Toc219986171 \h </w:instrText>
        </w:r>
        <w:r w:rsidRPr="006133CB">
          <w:rPr>
            <w:noProof/>
            <w:webHidden/>
            <w:sz w:val="20"/>
            <w:szCs w:val="20"/>
          </w:rPr>
        </w:r>
        <w:r w:rsidRPr="006133CB">
          <w:rPr>
            <w:noProof/>
            <w:webHidden/>
            <w:sz w:val="20"/>
            <w:szCs w:val="20"/>
          </w:rPr>
          <w:fldChar w:fldCharType="separate"/>
        </w:r>
        <w:r w:rsidRPr="006133CB">
          <w:rPr>
            <w:noProof/>
            <w:webHidden/>
            <w:sz w:val="20"/>
            <w:szCs w:val="20"/>
          </w:rPr>
          <w:t>26</w:t>
        </w:r>
        <w:r w:rsidRPr="006133CB">
          <w:rPr>
            <w:noProof/>
            <w:webHidden/>
            <w:sz w:val="20"/>
            <w:szCs w:val="20"/>
          </w:rPr>
          <w:fldChar w:fldCharType="end"/>
        </w:r>
      </w:hyperlink>
    </w:p>
    <w:p w14:paraId="3BAC759F" w14:textId="703FF7CE" w:rsidR="009173C9" w:rsidRPr="00924F77" w:rsidRDefault="00B6179D" w:rsidP="006133CB">
      <w:pPr>
        <w:pStyle w:val="Kazalovsebine1"/>
        <w:tabs>
          <w:tab w:val="left" w:pos="400"/>
          <w:tab w:val="right" w:leader="dot" w:pos="9060"/>
        </w:tabs>
        <w:spacing w:before="0" w:after="0"/>
        <w:jc w:val="both"/>
        <w:rPr>
          <w:rFonts w:ascii="Arial" w:hAnsi="Arial" w:cs="Arial"/>
          <w:b w:val="0"/>
          <w:bCs w:val="0"/>
          <w:caps w:val="0"/>
        </w:rPr>
      </w:pPr>
      <w:r w:rsidRPr="006133CB">
        <w:rPr>
          <w:rFonts w:ascii="Arial" w:hAnsi="Arial" w:cs="Arial"/>
          <w:b w:val="0"/>
          <w:bCs w:val="0"/>
          <w:caps w:val="0"/>
        </w:rPr>
        <w:fldChar w:fldCharType="end"/>
      </w:r>
    </w:p>
    <w:p w14:paraId="3DFFFD45" w14:textId="25B2B5DB" w:rsidR="000E7A5A" w:rsidRPr="009173C9" w:rsidRDefault="4CC901AF" w:rsidP="0030659F">
      <w:pPr>
        <w:pStyle w:val="Kazalovsebine1"/>
        <w:tabs>
          <w:tab w:val="left" w:pos="400"/>
          <w:tab w:val="right" w:leader="dot" w:pos="9060"/>
        </w:tabs>
        <w:spacing w:before="0" w:after="0"/>
        <w:rPr>
          <w:rFonts w:ascii="Arial" w:hAnsi="Arial" w:cs="Arial"/>
          <w:b w:val="0"/>
          <w:bCs w:val="0"/>
          <w:color w:val="4472C4" w:themeColor="accent1"/>
          <w:sz w:val="24"/>
          <w:szCs w:val="24"/>
          <w:lang w:eastAsia="zh-CN"/>
        </w:rPr>
      </w:pPr>
      <w:bookmarkStart w:id="12" w:name="_Toc400455575"/>
      <w:bookmarkStart w:id="13" w:name="_Toc18664634"/>
      <w:bookmarkStart w:id="14" w:name="_Toc18666775"/>
      <w:bookmarkStart w:id="15" w:name="_Toc18666850"/>
      <w:bookmarkStart w:id="16" w:name="_Toc18671906"/>
      <w:r w:rsidRPr="7E32E97F">
        <w:rPr>
          <w:rFonts w:ascii="Arial" w:hAnsi="Arial" w:cs="Arial"/>
          <w:b w:val="0"/>
          <w:bCs w:val="0"/>
          <w:color w:val="4472C4" w:themeColor="accent1"/>
          <w:sz w:val="24"/>
          <w:szCs w:val="24"/>
        </w:rPr>
        <w:t xml:space="preserve">KRATICE, OKRAJŠAVE IN </w:t>
      </w:r>
      <w:bookmarkEnd w:id="12"/>
      <w:r w:rsidRPr="7E32E97F">
        <w:rPr>
          <w:rFonts w:ascii="Arial" w:hAnsi="Arial" w:cs="Arial"/>
          <w:b w:val="0"/>
          <w:bCs w:val="0"/>
          <w:color w:val="4472C4" w:themeColor="accent1"/>
          <w:sz w:val="24"/>
          <w:szCs w:val="24"/>
        </w:rPr>
        <w:t>POMEN IZRAZOV</w:t>
      </w:r>
      <w:bookmarkEnd w:id="13"/>
      <w:bookmarkEnd w:id="14"/>
      <w:bookmarkEnd w:id="15"/>
      <w:bookmarkEnd w:id="16"/>
    </w:p>
    <w:p w14:paraId="39936B34" w14:textId="77777777" w:rsidR="0030659F" w:rsidRPr="0030659F" w:rsidRDefault="0030659F" w:rsidP="0030659F">
      <w:pPr>
        <w:spacing w:after="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479"/>
      </w:tblGrid>
      <w:tr w:rsidR="00493DB0" w:rsidRPr="006A0AC2" w14:paraId="2D754E76" w14:textId="77777777" w:rsidTr="7E32E97F">
        <w:tc>
          <w:tcPr>
            <w:tcW w:w="2127" w:type="dxa"/>
            <w:vAlign w:val="center"/>
          </w:tcPr>
          <w:p w14:paraId="3B2E20DC" w14:textId="5B3087BA" w:rsidR="00493DB0" w:rsidRPr="006A0AC2" w:rsidRDefault="7D68536D" w:rsidP="7E32E97F">
            <w:pPr>
              <w:tabs>
                <w:tab w:val="left" w:pos="567"/>
              </w:tabs>
              <w:spacing w:after="0" w:line="240" w:lineRule="auto"/>
              <w:jc w:val="both"/>
              <w:rPr>
                <w:rFonts w:eastAsia="SimSun" w:cs="Arial"/>
                <w:lang w:eastAsia="zh-CN"/>
              </w:rPr>
            </w:pPr>
            <w:r w:rsidRPr="7E32E97F">
              <w:rPr>
                <w:rFonts w:eastAsia="SimSun" w:cs="Arial"/>
              </w:rPr>
              <w:t>BDP</w:t>
            </w:r>
          </w:p>
        </w:tc>
        <w:tc>
          <w:tcPr>
            <w:tcW w:w="6479" w:type="dxa"/>
            <w:vAlign w:val="center"/>
          </w:tcPr>
          <w:p w14:paraId="73AF7701" w14:textId="4F41AF22" w:rsidR="00493DB0" w:rsidRPr="006A0AC2" w:rsidRDefault="4054C665" w:rsidP="7E32E97F">
            <w:pPr>
              <w:spacing w:after="0" w:line="240" w:lineRule="auto"/>
              <w:jc w:val="both"/>
              <w:rPr>
                <w:rFonts w:eastAsia="SimSun" w:cs="Arial"/>
                <w:lang w:eastAsia="zh-CN"/>
              </w:rPr>
            </w:pPr>
            <w:r w:rsidRPr="7E32E97F">
              <w:rPr>
                <w:rFonts w:eastAsia="SimSun" w:cs="Arial"/>
              </w:rPr>
              <w:t>b</w:t>
            </w:r>
            <w:r w:rsidR="7D68536D" w:rsidRPr="7E32E97F">
              <w:rPr>
                <w:rFonts w:eastAsia="SimSun" w:cs="Arial"/>
              </w:rPr>
              <w:t>ruto domači proizvod</w:t>
            </w:r>
          </w:p>
        </w:tc>
      </w:tr>
      <w:tr w:rsidR="008045F8" w:rsidRPr="006A0AC2" w14:paraId="732FA7AA" w14:textId="77777777" w:rsidTr="7E32E97F">
        <w:tc>
          <w:tcPr>
            <w:tcW w:w="2127" w:type="dxa"/>
            <w:vAlign w:val="center"/>
          </w:tcPr>
          <w:p w14:paraId="55EF1F2B" w14:textId="77777777" w:rsidR="008045F8" w:rsidRPr="006A0AC2" w:rsidRDefault="2049AE29" w:rsidP="7E32E97F">
            <w:pPr>
              <w:tabs>
                <w:tab w:val="left" w:pos="567"/>
              </w:tabs>
              <w:spacing w:after="0" w:line="240" w:lineRule="auto"/>
              <w:jc w:val="both"/>
              <w:rPr>
                <w:rFonts w:eastAsia="SimSun" w:cs="Arial"/>
                <w:lang w:eastAsia="zh-CN"/>
              </w:rPr>
            </w:pPr>
            <w:bookmarkStart w:id="17" w:name="_Hlk188014510"/>
            <w:r w:rsidRPr="7E32E97F">
              <w:rPr>
                <w:rFonts w:eastAsia="SimSun" w:cs="Arial"/>
              </w:rPr>
              <w:t>certificirani izdatki</w:t>
            </w:r>
          </w:p>
        </w:tc>
        <w:tc>
          <w:tcPr>
            <w:tcW w:w="6479" w:type="dxa"/>
            <w:vAlign w:val="center"/>
          </w:tcPr>
          <w:p w14:paraId="518B9713" w14:textId="77777777" w:rsidR="008045F8" w:rsidRPr="006A0AC2" w:rsidRDefault="2049AE29" w:rsidP="7E32E97F">
            <w:pPr>
              <w:spacing w:after="0" w:line="240" w:lineRule="auto"/>
              <w:jc w:val="both"/>
              <w:rPr>
                <w:rFonts w:eastAsia="SimSun" w:cs="Arial"/>
                <w:lang w:eastAsia="zh-CN"/>
              </w:rPr>
            </w:pPr>
            <w:r w:rsidRPr="7E32E97F">
              <w:rPr>
                <w:rFonts w:eastAsia="SimSun" w:cs="Arial"/>
              </w:rPr>
              <w:t>zahtevki za povračilo iz EU</w:t>
            </w:r>
          </w:p>
        </w:tc>
      </w:tr>
      <w:tr w:rsidR="008045F8" w:rsidRPr="006A0AC2" w14:paraId="6D95D677" w14:textId="77777777" w:rsidTr="7E32E97F">
        <w:tc>
          <w:tcPr>
            <w:tcW w:w="2127" w:type="dxa"/>
            <w:vAlign w:val="center"/>
          </w:tcPr>
          <w:p w14:paraId="064016F4"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CLLD</w:t>
            </w:r>
          </w:p>
        </w:tc>
        <w:tc>
          <w:tcPr>
            <w:tcW w:w="6479" w:type="dxa"/>
            <w:vAlign w:val="center"/>
          </w:tcPr>
          <w:p w14:paraId="63BD3B39"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lokalni razvoj, ki ga vodi skupnost</w:t>
            </w:r>
          </w:p>
        </w:tc>
      </w:tr>
      <w:tr w:rsidR="008045F8" w:rsidRPr="006A0AC2" w14:paraId="7466D51C" w14:textId="77777777" w:rsidTr="7E32E97F">
        <w:tc>
          <w:tcPr>
            <w:tcW w:w="2127" w:type="dxa"/>
            <w:vAlign w:val="center"/>
          </w:tcPr>
          <w:p w14:paraId="28518E7D" w14:textId="77777777" w:rsidR="008045F8" w:rsidRPr="006A0AC2" w:rsidRDefault="2049AE29" w:rsidP="7E32E97F">
            <w:pPr>
              <w:spacing w:after="0" w:line="240" w:lineRule="auto"/>
              <w:jc w:val="both"/>
              <w:rPr>
                <w:rFonts w:eastAsia="MS Mincho" w:cs="Arial"/>
              </w:rPr>
            </w:pPr>
            <w:r w:rsidRPr="7E32E97F">
              <w:rPr>
                <w:rFonts w:eastAsia="MS Mincho" w:cs="Arial"/>
              </w:rPr>
              <w:t>CTN</w:t>
            </w:r>
          </w:p>
        </w:tc>
        <w:tc>
          <w:tcPr>
            <w:tcW w:w="6479" w:type="dxa"/>
            <w:vAlign w:val="center"/>
          </w:tcPr>
          <w:p w14:paraId="5BD4239B"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celostne teritorialne naložbe</w:t>
            </w:r>
          </w:p>
        </w:tc>
      </w:tr>
      <w:tr w:rsidR="008045F8" w:rsidRPr="006A0AC2" w14:paraId="59DF6E2E" w14:textId="77777777" w:rsidTr="7E32E97F">
        <w:tc>
          <w:tcPr>
            <w:tcW w:w="2127" w:type="dxa"/>
            <w:vAlign w:val="center"/>
          </w:tcPr>
          <w:p w14:paraId="280A9147"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dodeljena sredstva</w:t>
            </w:r>
          </w:p>
        </w:tc>
        <w:tc>
          <w:tcPr>
            <w:tcW w:w="6479" w:type="dxa"/>
            <w:vAlign w:val="center"/>
          </w:tcPr>
          <w:p w14:paraId="38741F3E"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izdane odločitve o podpori/vrednost potrjenih NIO</w:t>
            </w:r>
          </w:p>
        </w:tc>
      </w:tr>
      <w:tr w:rsidR="008045F8" w:rsidRPr="006A0AC2" w14:paraId="5A126ADE" w14:textId="77777777" w:rsidTr="7E32E97F">
        <w:tc>
          <w:tcPr>
            <w:tcW w:w="2127" w:type="dxa"/>
            <w:vAlign w:val="center"/>
          </w:tcPr>
          <w:p w14:paraId="6B92C0B0"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DRR</w:t>
            </w:r>
          </w:p>
        </w:tc>
        <w:tc>
          <w:tcPr>
            <w:tcW w:w="6479" w:type="dxa"/>
            <w:vAlign w:val="center"/>
          </w:tcPr>
          <w:p w14:paraId="77F701F1"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Dogovor za razvoj regij</w:t>
            </w:r>
          </w:p>
        </w:tc>
      </w:tr>
      <w:tr w:rsidR="008045F8" w:rsidRPr="006A0AC2" w14:paraId="74976845" w14:textId="77777777" w:rsidTr="7E32E97F">
        <w:tc>
          <w:tcPr>
            <w:tcW w:w="2127" w:type="dxa"/>
            <w:vAlign w:val="center"/>
          </w:tcPr>
          <w:p w14:paraId="0F9AAB48" w14:textId="021D93EB"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e-CA</w:t>
            </w:r>
            <w:r w:rsidR="09199ECE" w:rsidRPr="7E32E97F">
              <w:rPr>
                <w:rFonts w:eastAsia="SimSun" w:cs="Arial"/>
              </w:rPr>
              <w:t>/ e-CA2</w:t>
            </w:r>
          </w:p>
        </w:tc>
        <w:tc>
          <w:tcPr>
            <w:tcW w:w="6479" w:type="dxa"/>
            <w:vAlign w:val="center"/>
          </w:tcPr>
          <w:p w14:paraId="3BA99A76" w14:textId="24A69C59"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 xml:space="preserve">informacijski sistem organa za </w:t>
            </w:r>
            <w:r w:rsidR="09199ECE" w:rsidRPr="7E32E97F">
              <w:rPr>
                <w:rFonts w:eastAsia="SimSun" w:cs="Arial"/>
              </w:rPr>
              <w:t>računovodenje</w:t>
            </w:r>
          </w:p>
        </w:tc>
      </w:tr>
      <w:tr w:rsidR="008045F8" w:rsidRPr="006A0AC2" w14:paraId="68D9F754" w14:textId="77777777" w:rsidTr="7E32E97F">
        <w:tc>
          <w:tcPr>
            <w:tcW w:w="2127" w:type="dxa"/>
            <w:vAlign w:val="center"/>
          </w:tcPr>
          <w:p w14:paraId="6F88233D"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EK</w:t>
            </w:r>
          </w:p>
        </w:tc>
        <w:tc>
          <w:tcPr>
            <w:tcW w:w="6479" w:type="dxa"/>
            <w:vAlign w:val="center"/>
          </w:tcPr>
          <w:p w14:paraId="54BCC4E2"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Evropska komisija</w:t>
            </w:r>
          </w:p>
        </w:tc>
      </w:tr>
      <w:tr w:rsidR="008045F8" w:rsidRPr="006A0AC2" w14:paraId="5BB5BE20" w14:textId="77777777" w:rsidTr="7E32E97F">
        <w:tc>
          <w:tcPr>
            <w:tcW w:w="2127" w:type="dxa"/>
            <w:vAlign w:val="center"/>
          </w:tcPr>
          <w:p w14:paraId="0CF23A92"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EKP</w:t>
            </w:r>
          </w:p>
        </w:tc>
        <w:tc>
          <w:tcPr>
            <w:tcW w:w="6479" w:type="dxa"/>
            <w:vAlign w:val="center"/>
          </w:tcPr>
          <w:p w14:paraId="43BD997A" w14:textId="00935601" w:rsidR="008045F8" w:rsidRPr="006A0AC2" w:rsidRDefault="156FED91" w:rsidP="7E32E97F">
            <w:pPr>
              <w:tabs>
                <w:tab w:val="left" w:pos="567"/>
              </w:tabs>
              <w:spacing w:after="0" w:line="240" w:lineRule="auto"/>
              <w:jc w:val="both"/>
              <w:rPr>
                <w:rFonts w:eastAsia="SimSun" w:cs="Arial"/>
                <w:lang w:eastAsia="zh-CN"/>
              </w:rPr>
            </w:pPr>
            <w:r w:rsidRPr="7E32E97F">
              <w:rPr>
                <w:rFonts w:eastAsia="SimSun" w:cs="Arial"/>
              </w:rPr>
              <w:t>E</w:t>
            </w:r>
            <w:r w:rsidR="2049AE29" w:rsidRPr="7E32E97F">
              <w:rPr>
                <w:rFonts w:eastAsia="SimSun" w:cs="Arial"/>
              </w:rPr>
              <w:t>vropska kohezijska politika</w:t>
            </w:r>
          </w:p>
        </w:tc>
      </w:tr>
      <w:tr w:rsidR="008045F8" w:rsidRPr="006A0AC2" w14:paraId="2D55FA42" w14:textId="77777777" w:rsidTr="7E32E97F">
        <w:tc>
          <w:tcPr>
            <w:tcW w:w="2127" w:type="dxa"/>
            <w:vAlign w:val="center"/>
          </w:tcPr>
          <w:p w14:paraId="664BC589"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EKSRP</w:t>
            </w:r>
          </w:p>
        </w:tc>
        <w:tc>
          <w:tcPr>
            <w:tcW w:w="6479" w:type="dxa"/>
            <w:vAlign w:val="center"/>
          </w:tcPr>
          <w:p w14:paraId="03E618E7" w14:textId="77777777"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Evropski kmetijski sklad za razvoj podeželja</w:t>
            </w:r>
          </w:p>
        </w:tc>
      </w:tr>
      <w:tr w:rsidR="008045F8" w:rsidRPr="006A0AC2" w14:paraId="503A099D" w14:textId="77777777" w:rsidTr="7E32E97F">
        <w:tc>
          <w:tcPr>
            <w:tcW w:w="2127" w:type="dxa"/>
            <w:vAlign w:val="center"/>
          </w:tcPr>
          <w:p w14:paraId="566E937C" w14:textId="4138BD98" w:rsidR="008045F8" w:rsidRPr="006A0AC2" w:rsidRDefault="2049AE29" w:rsidP="7E32E97F">
            <w:pPr>
              <w:tabs>
                <w:tab w:val="left" w:pos="567"/>
              </w:tabs>
              <w:spacing w:after="0" w:line="240" w:lineRule="auto"/>
              <w:jc w:val="both"/>
              <w:rPr>
                <w:rFonts w:eastAsia="SimSun" w:cs="Arial"/>
                <w:lang w:eastAsia="zh-CN"/>
              </w:rPr>
            </w:pPr>
            <w:r w:rsidRPr="7E32E97F">
              <w:rPr>
                <w:rFonts w:eastAsia="SimSun" w:cs="Arial"/>
              </w:rPr>
              <w:t>e-MA</w:t>
            </w:r>
            <w:r w:rsidR="429131A0" w:rsidRPr="7E32E97F">
              <w:rPr>
                <w:rFonts w:eastAsia="SimSun" w:cs="Arial"/>
              </w:rPr>
              <w:t>/ e-MA2</w:t>
            </w:r>
          </w:p>
        </w:tc>
        <w:tc>
          <w:tcPr>
            <w:tcW w:w="6479" w:type="dxa"/>
            <w:vAlign w:val="center"/>
          </w:tcPr>
          <w:p w14:paraId="6B1CF042" w14:textId="77777777" w:rsidR="008045F8" w:rsidRPr="006A0AC2" w:rsidRDefault="2049AE29" w:rsidP="7E32E97F">
            <w:pPr>
              <w:tabs>
                <w:tab w:val="left" w:pos="567"/>
              </w:tabs>
              <w:spacing w:after="0" w:line="240" w:lineRule="auto"/>
              <w:jc w:val="both"/>
              <w:rPr>
                <w:rFonts w:cs="Arial"/>
              </w:rPr>
            </w:pPr>
            <w:r w:rsidRPr="7E32E97F">
              <w:rPr>
                <w:rFonts w:cs="Arial"/>
              </w:rPr>
              <w:t>informacijski sistem organa upravljanja</w:t>
            </w:r>
          </w:p>
        </w:tc>
      </w:tr>
      <w:tr w:rsidR="00D821A0" w:rsidRPr="006A0AC2" w14:paraId="376F3E57" w14:textId="77777777" w:rsidTr="7E32E97F">
        <w:tc>
          <w:tcPr>
            <w:tcW w:w="2127" w:type="dxa"/>
            <w:vAlign w:val="center"/>
          </w:tcPr>
          <w:p w14:paraId="102218B9" w14:textId="0A21D3D3"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ERS</w:t>
            </w:r>
          </w:p>
        </w:tc>
        <w:tc>
          <w:tcPr>
            <w:tcW w:w="6479" w:type="dxa"/>
            <w:vAlign w:val="center"/>
          </w:tcPr>
          <w:p w14:paraId="071B2536" w14:textId="4EC7F53B"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Evropsko računsko sodišče</w:t>
            </w:r>
          </w:p>
        </w:tc>
      </w:tr>
      <w:tr w:rsidR="00D821A0" w:rsidRPr="006A0AC2" w14:paraId="1C8237B1" w14:textId="77777777" w:rsidTr="7E32E97F">
        <w:tc>
          <w:tcPr>
            <w:tcW w:w="2127" w:type="dxa"/>
            <w:vAlign w:val="center"/>
          </w:tcPr>
          <w:p w14:paraId="5D8FACC4"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ESIF</w:t>
            </w:r>
          </w:p>
        </w:tc>
        <w:tc>
          <w:tcPr>
            <w:tcW w:w="6479" w:type="dxa"/>
            <w:vAlign w:val="center"/>
          </w:tcPr>
          <w:p w14:paraId="6BE3C826"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evropski strukturni in investicijski skladi kot viri financiranja OP: Evropski sklad za regionalni razvoj (ESRR), Evropski socialni sklad (ESS) in Kohezijski sklad (KS)</w:t>
            </w:r>
          </w:p>
        </w:tc>
      </w:tr>
      <w:tr w:rsidR="00D821A0" w:rsidRPr="006A0AC2" w14:paraId="4DFFEEAE" w14:textId="77777777" w:rsidTr="7E32E97F">
        <w:tc>
          <w:tcPr>
            <w:tcW w:w="2127" w:type="dxa"/>
            <w:vAlign w:val="center"/>
          </w:tcPr>
          <w:p w14:paraId="71C1998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ESPR</w:t>
            </w:r>
          </w:p>
        </w:tc>
        <w:tc>
          <w:tcPr>
            <w:tcW w:w="6479" w:type="dxa"/>
            <w:vAlign w:val="center"/>
          </w:tcPr>
          <w:p w14:paraId="2B2BE514" w14:textId="13313430"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Evropski sklad za pomorstvo</w:t>
            </w:r>
            <w:r w:rsidR="429131A0" w:rsidRPr="7E32E97F">
              <w:rPr>
                <w:rFonts w:eastAsia="SimSun" w:cs="Arial"/>
              </w:rPr>
              <w:t>,</w:t>
            </w:r>
            <w:r w:rsidRPr="7E32E97F">
              <w:rPr>
                <w:rFonts w:eastAsia="SimSun" w:cs="Arial"/>
              </w:rPr>
              <w:t xml:space="preserve"> ribištvo</w:t>
            </w:r>
            <w:r w:rsidR="429131A0" w:rsidRPr="7E32E97F">
              <w:rPr>
                <w:rFonts w:eastAsia="SimSun" w:cs="Arial"/>
              </w:rPr>
              <w:t xml:space="preserve"> in akvakulturo</w:t>
            </w:r>
          </w:p>
        </w:tc>
      </w:tr>
      <w:tr w:rsidR="00D821A0" w:rsidRPr="006A0AC2" w14:paraId="4538DBFD" w14:textId="77777777" w:rsidTr="7E32E97F">
        <w:tc>
          <w:tcPr>
            <w:tcW w:w="2127" w:type="dxa"/>
            <w:vAlign w:val="center"/>
          </w:tcPr>
          <w:p w14:paraId="6E746ED0"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EU</w:t>
            </w:r>
          </w:p>
        </w:tc>
        <w:tc>
          <w:tcPr>
            <w:tcW w:w="6479" w:type="dxa"/>
            <w:vAlign w:val="center"/>
          </w:tcPr>
          <w:p w14:paraId="03CC071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Evropska unija</w:t>
            </w:r>
          </w:p>
        </w:tc>
      </w:tr>
      <w:tr w:rsidR="00D821A0" w:rsidRPr="006A0AC2" w14:paraId="21B28C8E" w14:textId="77777777" w:rsidTr="7E32E97F">
        <w:tc>
          <w:tcPr>
            <w:tcW w:w="2127" w:type="dxa"/>
            <w:vAlign w:val="center"/>
          </w:tcPr>
          <w:p w14:paraId="315C628F"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FI</w:t>
            </w:r>
          </w:p>
        </w:tc>
        <w:tc>
          <w:tcPr>
            <w:tcW w:w="6479" w:type="dxa"/>
            <w:vAlign w:val="center"/>
          </w:tcPr>
          <w:p w14:paraId="403DE62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finančni instrumenti</w:t>
            </w:r>
          </w:p>
        </w:tc>
      </w:tr>
      <w:tr w:rsidR="00D821A0" w:rsidRPr="006A0AC2" w14:paraId="0762B604" w14:textId="77777777" w:rsidTr="7E32E97F">
        <w:tc>
          <w:tcPr>
            <w:tcW w:w="2127" w:type="dxa"/>
            <w:vAlign w:val="center"/>
          </w:tcPr>
          <w:p w14:paraId="59C6F42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JR</w:t>
            </w:r>
          </w:p>
        </w:tc>
        <w:tc>
          <w:tcPr>
            <w:tcW w:w="6479" w:type="dxa"/>
            <w:vAlign w:val="center"/>
          </w:tcPr>
          <w:p w14:paraId="4090A04E" w14:textId="77777777" w:rsidR="00D821A0" w:rsidRPr="006A0AC2" w:rsidRDefault="16A372B2" w:rsidP="7E32E97F">
            <w:pPr>
              <w:tabs>
                <w:tab w:val="left" w:pos="567"/>
              </w:tabs>
              <w:spacing w:after="0" w:line="240" w:lineRule="auto"/>
              <w:jc w:val="both"/>
              <w:rPr>
                <w:rFonts w:eastAsia="MS Mincho" w:cs="Arial"/>
              </w:rPr>
            </w:pPr>
            <w:r w:rsidRPr="7E32E97F">
              <w:rPr>
                <w:rFonts w:eastAsia="MS Mincho" w:cs="Arial"/>
              </w:rPr>
              <w:t>javni razpis</w:t>
            </w:r>
          </w:p>
        </w:tc>
      </w:tr>
      <w:tr w:rsidR="00D821A0" w:rsidRPr="006A0AC2" w14:paraId="783E3697" w14:textId="77777777" w:rsidTr="7E32E97F">
        <w:tc>
          <w:tcPr>
            <w:tcW w:w="2127" w:type="dxa"/>
            <w:vAlign w:val="center"/>
          </w:tcPr>
          <w:p w14:paraId="70ED7D95"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LAS</w:t>
            </w:r>
          </w:p>
        </w:tc>
        <w:tc>
          <w:tcPr>
            <w:tcW w:w="6479" w:type="dxa"/>
            <w:vAlign w:val="center"/>
          </w:tcPr>
          <w:p w14:paraId="61F7BDEE"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MS Mincho" w:cs="Arial"/>
              </w:rPr>
              <w:t>lokalne akcijske skupine</w:t>
            </w:r>
          </w:p>
        </w:tc>
      </w:tr>
      <w:tr w:rsidR="00D821A0" w:rsidRPr="006A0AC2" w14:paraId="4E3BDEFD" w14:textId="77777777" w:rsidTr="7E32E97F">
        <w:tc>
          <w:tcPr>
            <w:tcW w:w="2127" w:type="dxa"/>
            <w:vAlign w:val="center"/>
          </w:tcPr>
          <w:p w14:paraId="05C1249D" w14:textId="1BB756AA"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MF</w:t>
            </w:r>
            <w:r w:rsidR="58C34AA7" w:rsidRPr="7E32E97F">
              <w:rPr>
                <w:rFonts w:eastAsia="SimSun" w:cs="Arial"/>
              </w:rPr>
              <w:t>E</w:t>
            </w:r>
            <w:r w:rsidRPr="7E32E97F">
              <w:rPr>
                <w:rFonts w:eastAsia="SimSun" w:cs="Arial"/>
              </w:rPr>
              <w:t>RAC</w:t>
            </w:r>
          </w:p>
        </w:tc>
        <w:tc>
          <w:tcPr>
            <w:tcW w:w="6479" w:type="dxa"/>
            <w:vAlign w:val="center"/>
          </w:tcPr>
          <w:p w14:paraId="5DA641EC" w14:textId="77777777" w:rsidR="00D821A0" w:rsidRPr="006A0AC2" w:rsidRDefault="16A372B2" w:rsidP="7E32E97F">
            <w:pPr>
              <w:tabs>
                <w:tab w:val="left" w:pos="567"/>
              </w:tabs>
              <w:spacing w:after="0" w:line="240" w:lineRule="auto"/>
              <w:jc w:val="both"/>
              <w:rPr>
                <w:rFonts w:cs="Arial"/>
              </w:rPr>
            </w:pPr>
            <w:r w:rsidRPr="7E32E97F">
              <w:rPr>
                <w:rFonts w:cs="Arial"/>
              </w:rPr>
              <w:t xml:space="preserve">enoten, računalniško podprt računovodski sistem za izvrševanje državnega proračuna </w:t>
            </w:r>
          </w:p>
        </w:tc>
      </w:tr>
      <w:tr w:rsidR="00D821A0" w:rsidRPr="006A0AC2" w14:paraId="7F03C6A7" w14:textId="77777777" w:rsidTr="7E32E97F">
        <w:tc>
          <w:tcPr>
            <w:tcW w:w="2127" w:type="dxa"/>
            <w:vAlign w:val="center"/>
          </w:tcPr>
          <w:p w14:paraId="69E66B1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MDP</w:t>
            </w:r>
          </w:p>
        </w:tc>
        <w:tc>
          <w:tcPr>
            <w:tcW w:w="6479" w:type="dxa"/>
            <w:vAlign w:val="center"/>
          </w:tcPr>
          <w:p w14:paraId="47A77A18" w14:textId="77777777" w:rsidR="00D821A0" w:rsidRPr="006A0AC2" w:rsidRDefault="16A372B2" w:rsidP="7E32E97F">
            <w:pPr>
              <w:tabs>
                <w:tab w:val="left" w:pos="567"/>
              </w:tabs>
              <w:spacing w:after="0" w:line="240" w:lineRule="auto"/>
              <w:jc w:val="both"/>
              <w:rPr>
                <w:rFonts w:cs="Arial"/>
              </w:rPr>
            </w:pPr>
            <w:r w:rsidRPr="7E32E97F">
              <w:rPr>
                <w:rFonts w:cs="Arial"/>
              </w:rPr>
              <w:t xml:space="preserve">Ministrstvo za digitalno preobrazbo </w:t>
            </w:r>
          </w:p>
        </w:tc>
      </w:tr>
      <w:tr w:rsidR="00D821A0" w:rsidRPr="006A0AC2" w14:paraId="550B4FD0" w14:textId="77777777" w:rsidTr="7E32E97F">
        <w:tc>
          <w:tcPr>
            <w:tcW w:w="2127" w:type="dxa"/>
            <w:vAlign w:val="center"/>
          </w:tcPr>
          <w:p w14:paraId="4EE8F000"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MDDSZ</w:t>
            </w:r>
          </w:p>
        </w:tc>
        <w:tc>
          <w:tcPr>
            <w:tcW w:w="6479" w:type="dxa"/>
            <w:vAlign w:val="center"/>
          </w:tcPr>
          <w:p w14:paraId="594C093D" w14:textId="77777777" w:rsidR="00D821A0" w:rsidRPr="006A0AC2" w:rsidRDefault="16A372B2" w:rsidP="7E32E97F">
            <w:pPr>
              <w:tabs>
                <w:tab w:val="left" w:pos="567"/>
              </w:tabs>
              <w:spacing w:after="0" w:line="240" w:lineRule="auto"/>
              <w:jc w:val="both"/>
              <w:rPr>
                <w:rFonts w:cs="Arial"/>
              </w:rPr>
            </w:pPr>
            <w:r w:rsidRPr="7E32E97F">
              <w:rPr>
                <w:rFonts w:eastAsia="SimSun" w:cs="Arial"/>
              </w:rPr>
              <w:t>Ministrstvo za delo, družino, socialne zadeve in enake možnosti</w:t>
            </w:r>
          </w:p>
        </w:tc>
      </w:tr>
      <w:tr w:rsidR="00D821A0" w:rsidRPr="006A0AC2" w14:paraId="38B71D46" w14:textId="77777777" w:rsidTr="7E32E97F">
        <w:tc>
          <w:tcPr>
            <w:tcW w:w="2127" w:type="dxa"/>
            <w:vAlign w:val="center"/>
          </w:tcPr>
          <w:p w14:paraId="2E01B28F"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cs="Arial"/>
              </w:rPr>
              <w:t>MF</w:t>
            </w:r>
          </w:p>
        </w:tc>
        <w:tc>
          <w:tcPr>
            <w:tcW w:w="6479" w:type="dxa"/>
            <w:vAlign w:val="center"/>
          </w:tcPr>
          <w:p w14:paraId="122BE32E"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finance</w:t>
            </w:r>
          </w:p>
        </w:tc>
      </w:tr>
      <w:tr w:rsidR="00D821A0" w:rsidRPr="006A0AC2" w14:paraId="2638EDA9" w14:textId="77777777" w:rsidTr="7E32E97F">
        <w:tc>
          <w:tcPr>
            <w:tcW w:w="2127" w:type="dxa"/>
            <w:vAlign w:val="center"/>
          </w:tcPr>
          <w:p w14:paraId="63EADDCB"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MGTŠ</w:t>
            </w:r>
          </w:p>
        </w:tc>
        <w:tc>
          <w:tcPr>
            <w:tcW w:w="6479" w:type="dxa"/>
            <w:vAlign w:val="center"/>
          </w:tcPr>
          <w:p w14:paraId="444BAD0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gospodarstvo, turizem in šport</w:t>
            </w:r>
          </w:p>
        </w:tc>
      </w:tr>
      <w:tr w:rsidR="00D821A0" w:rsidRPr="006A0AC2" w14:paraId="7937A11E" w14:textId="77777777" w:rsidTr="7E32E97F">
        <w:tc>
          <w:tcPr>
            <w:tcW w:w="2127" w:type="dxa"/>
            <w:vAlign w:val="center"/>
          </w:tcPr>
          <w:p w14:paraId="71022E41"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MSP</w:t>
            </w:r>
          </w:p>
        </w:tc>
        <w:tc>
          <w:tcPr>
            <w:tcW w:w="6479" w:type="dxa"/>
            <w:vAlign w:val="center"/>
          </w:tcPr>
          <w:p w14:paraId="7BB566DA" w14:textId="5EB0E2E0"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 xml:space="preserve">Ministrstvo za solidarno prihodnost </w:t>
            </w:r>
          </w:p>
        </w:tc>
      </w:tr>
      <w:tr w:rsidR="00D821A0" w:rsidRPr="006A0AC2" w14:paraId="15E152A9" w14:textId="77777777" w:rsidTr="7E32E97F">
        <w:tc>
          <w:tcPr>
            <w:tcW w:w="2127" w:type="dxa"/>
            <w:vAlign w:val="center"/>
          </w:tcPr>
          <w:p w14:paraId="662CF9B3"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MJU</w:t>
            </w:r>
          </w:p>
        </w:tc>
        <w:tc>
          <w:tcPr>
            <w:tcW w:w="6479" w:type="dxa"/>
            <w:vAlign w:val="center"/>
          </w:tcPr>
          <w:p w14:paraId="66744754"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javno upravo</w:t>
            </w:r>
          </w:p>
        </w:tc>
      </w:tr>
      <w:tr w:rsidR="00D821A0" w:rsidRPr="006A0AC2" w14:paraId="6BA8EB70" w14:textId="77777777" w:rsidTr="7E32E97F">
        <w:tc>
          <w:tcPr>
            <w:tcW w:w="2127" w:type="dxa"/>
            <w:vAlign w:val="center"/>
          </w:tcPr>
          <w:p w14:paraId="002CDB84"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MK</w:t>
            </w:r>
          </w:p>
        </w:tc>
        <w:tc>
          <w:tcPr>
            <w:tcW w:w="6479" w:type="dxa"/>
            <w:vAlign w:val="center"/>
          </w:tcPr>
          <w:p w14:paraId="53EDFA5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kulturo</w:t>
            </w:r>
          </w:p>
        </w:tc>
      </w:tr>
      <w:tr w:rsidR="00D045EB" w:rsidRPr="006A0AC2" w14:paraId="5E4078E5" w14:textId="77777777" w:rsidTr="7E32E97F">
        <w:tc>
          <w:tcPr>
            <w:tcW w:w="2127" w:type="dxa"/>
            <w:vAlign w:val="center"/>
          </w:tcPr>
          <w:p w14:paraId="37516B34" w14:textId="106DCEE5" w:rsidR="00D045EB" w:rsidRPr="006A0AC2" w:rsidRDefault="393E650A" w:rsidP="7E32E97F">
            <w:pPr>
              <w:tabs>
                <w:tab w:val="left" w:pos="567"/>
              </w:tabs>
              <w:spacing w:after="0" w:line="240" w:lineRule="auto"/>
              <w:jc w:val="both"/>
              <w:rPr>
                <w:rFonts w:eastAsia="SimSun" w:cs="Arial"/>
                <w:lang w:eastAsia="zh-CN"/>
              </w:rPr>
            </w:pPr>
            <w:r w:rsidRPr="7E32E97F">
              <w:rPr>
                <w:rFonts w:eastAsia="SimSun" w:cs="Arial"/>
              </w:rPr>
              <w:t>MKGP</w:t>
            </w:r>
          </w:p>
        </w:tc>
        <w:tc>
          <w:tcPr>
            <w:tcW w:w="6479" w:type="dxa"/>
            <w:vAlign w:val="center"/>
          </w:tcPr>
          <w:p w14:paraId="498A6B3A" w14:textId="39769B78" w:rsidR="00D045EB" w:rsidRPr="006A0AC2" w:rsidRDefault="393E650A" w:rsidP="7E32E97F">
            <w:pPr>
              <w:tabs>
                <w:tab w:val="left" w:pos="567"/>
              </w:tabs>
              <w:spacing w:after="0" w:line="240" w:lineRule="auto"/>
              <w:jc w:val="both"/>
              <w:rPr>
                <w:rFonts w:eastAsia="SimSun" w:cs="Arial"/>
                <w:lang w:eastAsia="zh-CN"/>
              </w:rPr>
            </w:pPr>
            <w:r w:rsidRPr="7E32E97F">
              <w:rPr>
                <w:rFonts w:eastAsia="SimSun" w:cs="Arial"/>
              </w:rPr>
              <w:t>Ministrstvo za kmetijstvo, gozdarstvo in prehrano</w:t>
            </w:r>
          </w:p>
        </w:tc>
      </w:tr>
      <w:tr w:rsidR="00D821A0" w:rsidRPr="006A0AC2" w14:paraId="645D5EEA" w14:textId="77777777" w:rsidTr="7E32E97F">
        <w:tc>
          <w:tcPr>
            <w:tcW w:w="2127" w:type="dxa"/>
            <w:vAlign w:val="center"/>
          </w:tcPr>
          <w:p w14:paraId="4A5D132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MKRR</w:t>
            </w:r>
          </w:p>
        </w:tc>
        <w:tc>
          <w:tcPr>
            <w:tcW w:w="6479" w:type="dxa"/>
            <w:vAlign w:val="center"/>
          </w:tcPr>
          <w:p w14:paraId="6FB3EB7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kohezijo in regionalni razvoj</w:t>
            </w:r>
          </w:p>
        </w:tc>
      </w:tr>
      <w:tr w:rsidR="00D821A0" w:rsidRPr="006A0AC2" w14:paraId="330570AB" w14:textId="77777777" w:rsidTr="7E32E97F">
        <w:tc>
          <w:tcPr>
            <w:tcW w:w="2127" w:type="dxa"/>
            <w:vAlign w:val="center"/>
          </w:tcPr>
          <w:p w14:paraId="6D0F2ED1"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cs="Arial"/>
              </w:rPr>
              <w:t>MNVP</w:t>
            </w:r>
          </w:p>
        </w:tc>
        <w:tc>
          <w:tcPr>
            <w:tcW w:w="6479" w:type="dxa"/>
            <w:vAlign w:val="center"/>
          </w:tcPr>
          <w:p w14:paraId="7A83F2C5"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naravne vire in prostor</w:t>
            </w:r>
          </w:p>
        </w:tc>
      </w:tr>
      <w:tr w:rsidR="00D821A0" w:rsidRPr="006A0AC2" w14:paraId="05D37EED" w14:textId="77777777" w:rsidTr="7E32E97F">
        <w:tc>
          <w:tcPr>
            <w:tcW w:w="2127" w:type="dxa"/>
            <w:vAlign w:val="center"/>
          </w:tcPr>
          <w:p w14:paraId="72C028C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MOPE</w:t>
            </w:r>
          </w:p>
        </w:tc>
        <w:tc>
          <w:tcPr>
            <w:tcW w:w="6479" w:type="dxa"/>
            <w:vAlign w:val="center"/>
          </w:tcPr>
          <w:p w14:paraId="50E8961C"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okolje, podnebje in energijo</w:t>
            </w:r>
          </w:p>
        </w:tc>
      </w:tr>
      <w:tr w:rsidR="00D821A0" w:rsidRPr="006A0AC2" w14:paraId="337BE7A7" w14:textId="77777777" w:rsidTr="7E32E97F">
        <w:tc>
          <w:tcPr>
            <w:tcW w:w="2127" w:type="dxa"/>
            <w:vAlign w:val="center"/>
          </w:tcPr>
          <w:p w14:paraId="1DB8F9E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MP</w:t>
            </w:r>
          </w:p>
        </w:tc>
        <w:tc>
          <w:tcPr>
            <w:tcW w:w="6479" w:type="dxa"/>
            <w:vAlign w:val="center"/>
          </w:tcPr>
          <w:p w14:paraId="5C57E869"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pravosodje</w:t>
            </w:r>
          </w:p>
        </w:tc>
      </w:tr>
      <w:tr w:rsidR="00D821A0" w:rsidRPr="006A0AC2" w14:paraId="0D2DDBAF" w14:textId="77777777" w:rsidTr="7E32E97F">
        <w:tc>
          <w:tcPr>
            <w:tcW w:w="2127" w:type="dxa"/>
            <w:vAlign w:val="center"/>
          </w:tcPr>
          <w:p w14:paraId="3372AD89"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MVI</w:t>
            </w:r>
          </w:p>
        </w:tc>
        <w:tc>
          <w:tcPr>
            <w:tcW w:w="6479" w:type="dxa"/>
            <w:vAlign w:val="center"/>
          </w:tcPr>
          <w:p w14:paraId="51783FA1"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vzgojo in izobraževanje</w:t>
            </w:r>
          </w:p>
        </w:tc>
      </w:tr>
      <w:tr w:rsidR="00D821A0" w:rsidRPr="006A0AC2" w14:paraId="00A949C9" w14:textId="77777777" w:rsidTr="7E32E97F">
        <w:tc>
          <w:tcPr>
            <w:tcW w:w="2127" w:type="dxa"/>
            <w:vAlign w:val="center"/>
          </w:tcPr>
          <w:p w14:paraId="33517409"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MVZI</w:t>
            </w:r>
          </w:p>
        </w:tc>
        <w:tc>
          <w:tcPr>
            <w:tcW w:w="6479" w:type="dxa"/>
            <w:vAlign w:val="center"/>
          </w:tcPr>
          <w:p w14:paraId="56DD3E3B"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visoko šolstvo, znanost in inovacije</w:t>
            </w:r>
          </w:p>
        </w:tc>
      </w:tr>
      <w:tr w:rsidR="00D821A0" w:rsidRPr="006A0AC2" w14:paraId="11FD6D98" w14:textId="77777777" w:rsidTr="7E32E97F">
        <w:tc>
          <w:tcPr>
            <w:tcW w:w="2127" w:type="dxa"/>
            <w:vAlign w:val="center"/>
          </w:tcPr>
          <w:p w14:paraId="79804A28"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MZ</w:t>
            </w:r>
          </w:p>
        </w:tc>
        <w:tc>
          <w:tcPr>
            <w:tcW w:w="6479" w:type="dxa"/>
            <w:vAlign w:val="center"/>
          </w:tcPr>
          <w:p w14:paraId="49A9CBD4"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zdravje</w:t>
            </w:r>
          </w:p>
        </w:tc>
      </w:tr>
      <w:tr w:rsidR="00D821A0" w:rsidRPr="006A0AC2" w14:paraId="758DF375" w14:textId="77777777" w:rsidTr="7E32E97F">
        <w:tc>
          <w:tcPr>
            <w:tcW w:w="2127" w:type="dxa"/>
            <w:vAlign w:val="center"/>
          </w:tcPr>
          <w:p w14:paraId="42621112"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 xml:space="preserve">MZEZ </w:t>
            </w:r>
          </w:p>
        </w:tc>
        <w:tc>
          <w:tcPr>
            <w:tcW w:w="6479" w:type="dxa"/>
            <w:vAlign w:val="center"/>
          </w:tcPr>
          <w:p w14:paraId="4735C9DD"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zunanje in evropske zadeve</w:t>
            </w:r>
          </w:p>
        </w:tc>
      </w:tr>
      <w:tr w:rsidR="00D821A0" w:rsidRPr="006A0AC2" w14:paraId="07A2A2F1" w14:textId="77777777" w:rsidTr="7E32E97F">
        <w:tc>
          <w:tcPr>
            <w:tcW w:w="2127" w:type="dxa"/>
            <w:vAlign w:val="center"/>
          </w:tcPr>
          <w:p w14:paraId="61C1B6FA" w14:textId="77777777" w:rsidR="00D821A0" w:rsidRPr="006A0AC2" w:rsidRDefault="16A372B2" w:rsidP="7E32E97F">
            <w:pPr>
              <w:spacing w:after="0" w:line="240" w:lineRule="auto"/>
              <w:jc w:val="both"/>
              <w:rPr>
                <w:rFonts w:cs="Arial"/>
              </w:rPr>
            </w:pPr>
            <w:r w:rsidRPr="7E32E97F">
              <w:rPr>
                <w:rFonts w:cs="Arial"/>
              </w:rPr>
              <w:t>MZI</w:t>
            </w:r>
          </w:p>
        </w:tc>
        <w:tc>
          <w:tcPr>
            <w:tcW w:w="6479" w:type="dxa"/>
            <w:vAlign w:val="center"/>
          </w:tcPr>
          <w:p w14:paraId="5F958F2D"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Ministrstvo za infrastrukturo</w:t>
            </w:r>
          </w:p>
        </w:tc>
      </w:tr>
      <w:tr w:rsidR="00D821A0" w:rsidRPr="006A0AC2" w14:paraId="0726C3D2" w14:textId="77777777" w:rsidTr="7E32E97F">
        <w:tc>
          <w:tcPr>
            <w:tcW w:w="2127" w:type="dxa"/>
            <w:vAlign w:val="center"/>
          </w:tcPr>
          <w:p w14:paraId="0551B91E"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NIO</w:t>
            </w:r>
          </w:p>
        </w:tc>
        <w:tc>
          <w:tcPr>
            <w:tcW w:w="6479" w:type="dxa"/>
            <w:vAlign w:val="center"/>
          </w:tcPr>
          <w:p w14:paraId="2B3764E7"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način izbora operacije: javni razpis, javni poziv ali neposredna potrditev operacije, programa</w:t>
            </w:r>
          </w:p>
        </w:tc>
      </w:tr>
      <w:tr w:rsidR="00D821A0" w:rsidRPr="006A0AC2" w14:paraId="746B90F8" w14:textId="77777777" w:rsidTr="7E32E97F">
        <w:tc>
          <w:tcPr>
            <w:tcW w:w="2127" w:type="dxa"/>
            <w:vAlign w:val="center"/>
          </w:tcPr>
          <w:p w14:paraId="7532F0DB"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NPO</w:t>
            </w:r>
          </w:p>
        </w:tc>
        <w:tc>
          <w:tcPr>
            <w:tcW w:w="6479" w:type="dxa"/>
            <w:vAlign w:val="center"/>
          </w:tcPr>
          <w:p w14:paraId="3E4EE9C9" w14:textId="77777777" w:rsidR="00D821A0" w:rsidRPr="006A0AC2" w:rsidRDefault="16A372B2" w:rsidP="7E32E97F">
            <w:pPr>
              <w:tabs>
                <w:tab w:val="left" w:pos="567"/>
              </w:tabs>
              <w:spacing w:after="0" w:line="240" w:lineRule="auto"/>
              <w:jc w:val="both"/>
              <w:rPr>
                <w:rFonts w:eastAsia="SimSun" w:cs="Arial"/>
                <w:lang w:eastAsia="zh-CN"/>
              </w:rPr>
            </w:pPr>
            <w:r w:rsidRPr="7E32E97F">
              <w:rPr>
                <w:rFonts w:eastAsia="SimSun" w:cs="Arial"/>
              </w:rPr>
              <w:t>neposredna potrditev operacije</w:t>
            </w:r>
          </w:p>
        </w:tc>
      </w:tr>
      <w:tr w:rsidR="00F41D3F" w:rsidRPr="006A0AC2" w14:paraId="519A0660" w14:textId="77777777" w:rsidTr="7E32E97F">
        <w:tc>
          <w:tcPr>
            <w:tcW w:w="2127" w:type="dxa"/>
            <w:vAlign w:val="center"/>
          </w:tcPr>
          <w:p w14:paraId="2973B9C7" w14:textId="2E483847"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Območni načrt za pravični prehod SAŠA</w:t>
            </w:r>
          </w:p>
        </w:tc>
        <w:tc>
          <w:tcPr>
            <w:tcW w:w="6479" w:type="dxa"/>
            <w:vAlign w:val="center"/>
          </w:tcPr>
          <w:p w14:paraId="57AAE181" w14:textId="23A3C141"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ONPP SAŠA</w:t>
            </w:r>
          </w:p>
        </w:tc>
      </w:tr>
      <w:tr w:rsidR="00F41D3F" w:rsidRPr="006A0AC2" w14:paraId="46154CDC" w14:textId="77777777" w:rsidTr="7E32E97F">
        <w:tc>
          <w:tcPr>
            <w:tcW w:w="2127" w:type="dxa"/>
            <w:vAlign w:val="center"/>
          </w:tcPr>
          <w:p w14:paraId="4220A85C" w14:textId="5C399CB3"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Območni načrt za pravični prehod Zagorje</w:t>
            </w:r>
          </w:p>
        </w:tc>
        <w:tc>
          <w:tcPr>
            <w:tcW w:w="6479" w:type="dxa"/>
            <w:vAlign w:val="center"/>
          </w:tcPr>
          <w:p w14:paraId="79E7A0EB" w14:textId="293D60CF"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ONPP Zagorje</w:t>
            </w:r>
          </w:p>
        </w:tc>
      </w:tr>
      <w:tr w:rsidR="00F41D3F" w:rsidRPr="006A0AC2" w14:paraId="64AF0DC3" w14:textId="77777777" w:rsidTr="7E32E97F">
        <w:tc>
          <w:tcPr>
            <w:tcW w:w="2127" w:type="dxa"/>
            <w:vAlign w:val="center"/>
          </w:tcPr>
          <w:p w14:paraId="5DA568D6" w14:textId="77777777"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OP EKP</w:t>
            </w:r>
          </w:p>
        </w:tc>
        <w:tc>
          <w:tcPr>
            <w:tcW w:w="6479" w:type="dxa"/>
            <w:vAlign w:val="center"/>
          </w:tcPr>
          <w:p w14:paraId="2DB3C591" w14:textId="77777777" w:rsidR="00F41D3F" w:rsidRPr="00011F11" w:rsidRDefault="4CC37323" w:rsidP="7E32E97F">
            <w:pPr>
              <w:tabs>
                <w:tab w:val="left" w:pos="567"/>
              </w:tabs>
              <w:spacing w:after="0" w:line="240" w:lineRule="auto"/>
              <w:jc w:val="both"/>
              <w:rPr>
                <w:rFonts w:eastAsia="SimSun" w:cs="Arial"/>
                <w:lang w:eastAsia="zh-CN"/>
              </w:rPr>
            </w:pPr>
            <w:r w:rsidRPr="7E32E97F">
              <w:rPr>
                <w:rFonts w:eastAsia="SimSun" w:cs="Arial"/>
              </w:rPr>
              <w:t>Operativni program za izvajanje evropske kohezijske politike v obdobju 2014–2020</w:t>
            </w:r>
          </w:p>
        </w:tc>
      </w:tr>
      <w:tr w:rsidR="00F41D3F" w:rsidRPr="006A0AC2" w14:paraId="144B012D" w14:textId="77777777" w:rsidTr="7E32E97F">
        <w:tc>
          <w:tcPr>
            <w:tcW w:w="2127" w:type="dxa"/>
            <w:vAlign w:val="center"/>
          </w:tcPr>
          <w:p w14:paraId="68BF5B7D"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operacija</w:t>
            </w:r>
          </w:p>
        </w:tc>
        <w:tc>
          <w:tcPr>
            <w:tcW w:w="6479" w:type="dxa"/>
            <w:vAlign w:val="center"/>
          </w:tcPr>
          <w:p w14:paraId="1025C6DF"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potrjen projekt ali skupina projektov, ki jo izvaja en upravičenec ali več teh, ali potrjen program, ki ga izvaja upravičenec za doseganje ciljev prednostnih osi</w:t>
            </w:r>
          </w:p>
        </w:tc>
      </w:tr>
      <w:tr w:rsidR="00F41D3F" w:rsidRPr="006A0AC2" w14:paraId="1269D36D" w14:textId="77777777" w:rsidTr="7E32E97F">
        <w:tc>
          <w:tcPr>
            <w:tcW w:w="2127" w:type="dxa"/>
            <w:vAlign w:val="center"/>
          </w:tcPr>
          <w:p w14:paraId="1C78DC9D" w14:textId="28E217AA"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OU</w:t>
            </w:r>
          </w:p>
        </w:tc>
        <w:tc>
          <w:tcPr>
            <w:tcW w:w="6479" w:type="dxa"/>
            <w:vAlign w:val="center"/>
          </w:tcPr>
          <w:p w14:paraId="63B42E87"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organ upravljanja</w:t>
            </w:r>
          </w:p>
        </w:tc>
      </w:tr>
      <w:tr w:rsidR="00F41D3F" w:rsidRPr="006A0AC2" w14:paraId="21007922" w14:textId="77777777" w:rsidTr="7E32E97F">
        <w:tc>
          <w:tcPr>
            <w:tcW w:w="2127" w:type="dxa"/>
            <w:vAlign w:val="center"/>
          </w:tcPr>
          <w:p w14:paraId="00E0C309" w14:textId="77777777" w:rsidR="00F41D3F" w:rsidRPr="006D2A50" w:rsidRDefault="4CC37323" w:rsidP="7E32E97F">
            <w:pPr>
              <w:tabs>
                <w:tab w:val="left" w:pos="567"/>
              </w:tabs>
              <w:spacing w:after="0" w:line="240" w:lineRule="auto"/>
              <w:jc w:val="both"/>
              <w:rPr>
                <w:rFonts w:eastAsia="SimSun" w:cs="Arial"/>
                <w:lang w:eastAsia="zh-CN"/>
              </w:rPr>
            </w:pPr>
            <w:r w:rsidRPr="7E32E97F">
              <w:rPr>
                <w:rFonts w:eastAsia="SimSun" w:cs="Arial"/>
              </w:rPr>
              <w:lastRenderedPageBreak/>
              <w:t>OzS</w:t>
            </w:r>
          </w:p>
        </w:tc>
        <w:tc>
          <w:tcPr>
            <w:tcW w:w="6479" w:type="dxa"/>
            <w:vAlign w:val="center"/>
          </w:tcPr>
          <w:p w14:paraId="49A6D9DB" w14:textId="70E8D01A" w:rsidR="00F41D3F" w:rsidRPr="006D2A50" w:rsidRDefault="4CC37323" w:rsidP="7E32E97F">
            <w:pPr>
              <w:tabs>
                <w:tab w:val="left" w:pos="567"/>
              </w:tabs>
              <w:spacing w:after="0" w:line="240" w:lineRule="auto"/>
              <w:jc w:val="both"/>
              <w:rPr>
                <w:rFonts w:eastAsia="SimSun" w:cs="Arial"/>
                <w:lang w:eastAsia="zh-CN"/>
              </w:rPr>
            </w:pPr>
            <w:r w:rsidRPr="7E32E97F">
              <w:rPr>
                <w:rFonts w:eastAsia="SimSun" w:cs="Arial"/>
              </w:rPr>
              <w:t>Odbor za spremljanje Operativnega programa za izvajanje evropske kohezijske politike v obdobju 2014–2020</w:t>
            </w:r>
            <w:r w:rsidR="6FF31759" w:rsidRPr="7E32E97F">
              <w:rPr>
                <w:rFonts w:eastAsia="SimSun" w:cs="Arial"/>
              </w:rPr>
              <w:t xml:space="preserve"> in v obdobju 2021</w:t>
            </w:r>
            <w:r w:rsidR="47FEE1A6" w:rsidRPr="7E32E97F">
              <w:rPr>
                <w:rFonts w:eastAsia="SimSun" w:cs="Arial"/>
              </w:rPr>
              <w:t>–</w:t>
            </w:r>
            <w:r w:rsidR="6FF31759" w:rsidRPr="7E32E97F">
              <w:rPr>
                <w:rFonts w:eastAsia="SimSun" w:cs="Arial"/>
              </w:rPr>
              <w:t>2027</w:t>
            </w:r>
          </w:p>
        </w:tc>
      </w:tr>
      <w:tr w:rsidR="00F41D3F" w:rsidRPr="006A0AC2" w14:paraId="2089AC1D" w14:textId="77777777" w:rsidTr="7E32E97F">
        <w:tc>
          <w:tcPr>
            <w:tcW w:w="2127" w:type="dxa"/>
            <w:vAlign w:val="center"/>
          </w:tcPr>
          <w:p w14:paraId="281A3D6C" w14:textId="71D7D96A"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PEKP</w:t>
            </w:r>
          </w:p>
        </w:tc>
        <w:tc>
          <w:tcPr>
            <w:tcW w:w="6479" w:type="dxa"/>
            <w:vAlign w:val="center"/>
          </w:tcPr>
          <w:p w14:paraId="11B32471" w14:textId="00BCB983"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Program izvajanja evropske kohezijske politike v obdobju 2021–2027</w:t>
            </w:r>
          </w:p>
        </w:tc>
      </w:tr>
      <w:tr w:rsidR="00F41D3F" w:rsidRPr="006A0AC2" w14:paraId="101080FF" w14:textId="77777777" w:rsidTr="7E32E97F">
        <w:tc>
          <w:tcPr>
            <w:tcW w:w="2127" w:type="dxa"/>
            <w:vAlign w:val="center"/>
          </w:tcPr>
          <w:p w14:paraId="6EFC16F7" w14:textId="088DA24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PN</w:t>
            </w:r>
          </w:p>
        </w:tc>
        <w:tc>
          <w:tcPr>
            <w:tcW w:w="6479" w:type="dxa"/>
            <w:vAlign w:val="center"/>
          </w:tcPr>
          <w:p w14:paraId="5809EE86" w14:textId="3C973C95"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prednostna naložba</w:t>
            </w:r>
          </w:p>
        </w:tc>
      </w:tr>
      <w:tr w:rsidR="00F41D3F" w:rsidRPr="006A0AC2" w14:paraId="23BC5333" w14:textId="77777777" w:rsidTr="7E32E97F">
        <w:tc>
          <w:tcPr>
            <w:tcW w:w="2127" w:type="dxa"/>
            <w:vAlign w:val="center"/>
          </w:tcPr>
          <w:p w14:paraId="2A33D2BD" w14:textId="71DE10FA"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POS</w:t>
            </w:r>
          </w:p>
        </w:tc>
        <w:tc>
          <w:tcPr>
            <w:tcW w:w="6479" w:type="dxa"/>
            <w:vAlign w:val="center"/>
          </w:tcPr>
          <w:p w14:paraId="212857C8" w14:textId="43851F82" w:rsidR="00F41D3F" w:rsidRPr="006A0AC2" w:rsidRDefault="4CC37323" w:rsidP="7E32E97F">
            <w:pPr>
              <w:tabs>
                <w:tab w:val="left" w:pos="567"/>
              </w:tabs>
              <w:spacing w:after="0" w:line="240" w:lineRule="auto"/>
              <w:jc w:val="both"/>
              <w:rPr>
                <w:rFonts w:eastAsia="SimSun" w:cs="Arial"/>
                <w:lang w:eastAsia="zh-CN"/>
              </w:rPr>
            </w:pPr>
            <w:r w:rsidRPr="7E32E97F">
              <w:rPr>
                <w:rFonts w:cs="Arial"/>
              </w:rPr>
              <w:t>poenostavljene oblike stroškov</w:t>
            </w:r>
          </w:p>
        </w:tc>
      </w:tr>
      <w:tr w:rsidR="00F41D3F" w:rsidRPr="006A0AC2" w14:paraId="0601BD33" w14:textId="77777777" w:rsidTr="7E32E97F">
        <w:tc>
          <w:tcPr>
            <w:tcW w:w="2127" w:type="dxa"/>
            <w:vAlign w:val="center"/>
          </w:tcPr>
          <w:p w14:paraId="5E1081F0" w14:textId="5750CD61"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PO/PT</w:t>
            </w:r>
          </w:p>
        </w:tc>
        <w:tc>
          <w:tcPr>
            <w:tcW w:w="6479" w:type="dxa"/>
            <w:vAlign w:val="center"/>
          </w:tcPr>
          <w:p w14:paraId="3A55BB5D" w14:textId="51E3EB10" w:rsidR="00F41D3F" w:rsidRPr="006A0AC2" w:rsidRDefault="4CC37323" w:rsidP="7E32E97F">
            <w:pPr>
              <w:tabs>
                <w:tab w:val="left" w:pos="567"/>
              </w:tabs>
              <w:spacing w:after="0" w:line="240" w:lineRule="auto"/>
              <w:jc w:val="both"/>
              <w:rPr>
                <w:rFonts w:cs="Arial"/>
              </w:rPr>
            </w:pPr>
            <w:r w:rsidRPr="7E32E97F">
              <w:rPr>
                <w:rFonts w:eastAsia="SimSun" w:cs="Arial"/>
              </w:rPr>
              <w:t>Posredniški organ/ posredniško telo</w:t>
            </w:r>
          </w:p>
        </w:tc>
      </w:tr>
      <w:tr w:rsidR="00F41D3F" w:rsidRPr="006A0AC2" w14:paraId="4181F318" w14:textId="77777777" w:rsidTr="7E32E97F">
        <w:tc>
          <w:tcPr>
            <w:tcW w:w="2127" w:type="dxa"/>
            <w:vAlign w:val="center"/>
          </w:tcPr>
          <w:p w14:paraId="0BC3FBE9"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pravice porabe</w:t>
            </w:r>
          </w:p>
        </w:tc>
        <w:tc>
          <w:tcPr>
            <w:tcW w:w="6479" w:type="dxa"/>
            <w:vAlign w:val="center"/>
          </w:tcPr>
          <w:p w14:paraId="78A3DDD3" w14:textId="77777777" w:rsidR="00F41D3F" w:rsidRPr="006A0AC2" w:rsidRDefault="4CC37323" w:rsidP="7E32E97F">
            <w:pPr>
              <w:autoSpaceDE w:val="0"/>
              <w:adjustRightInd w:val="0"/>
              <w:spacing w:after="0" w:line="240" w:lineRule="auto"/>
              <w:jc w:val="both"/>
              <w:rPr>
                <w:rFonts w:cs="Arial"/>
                <w:i/>
                <w:iCs/>
                <w:color w:val="000000"/>
              </w:rPr>
            </w:pPr>
            <w:r w:rsidRPr="7E32E97F">
              <w:rPr>
                <w:rFonts w:cs="Arial"/>
              </w:rPr>
              <w:t xml:space="preserve">razpoložljiva sredstva evropske kohezijske politike za obdobje 2014–2020 za cilj naložbe za rast in delovna mesta </w:t>
            </w:r>
          </w:p>
        </w:tc>
      </w:tr>
      <w:tr w:rsidR="00F41D3F" w:rsidRPr="006A0AC2" w14:paraId="5558432F" w14:textId="77777777" w:rsidTr="7E32E97F">
        <w:tc>
          <w:tcPr>
            <w:tcW w:w="2127" w:type="dxa"/>
            <w:vAlign w:val="center"/>
          </w:tcPr>
          <w:p w14:paraId="3157BAE8"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prednostna os</w:t>
            </w:r>
          </w:p>
        </w:tc>
        <w:tc>
          <w:tcPr>
            <w:tcW w:w="6479" w:type="dxa"/>
            <w:vAlign w:val="center"/>
          </w:tcPr>
          <w:p w14:paraId="0DAA324C"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tematski cilj</w:t>
            </w:r>
          </w:p>
        </w:tc>
      </w:tr>
      <w:tr w:rsidR="00F41D3F" w:rsidRPr="006A0AC2" w14:paraId="05092798" w14:textId="77777777" w:rsidTr="7E32E97F">
        <w:tc>
          <w:tcPr>
            <w:tcW w:w="2127" w:type="dxa"/>
            <w:vAlign w:val="center"/>
          </w:tcPr>
          <w:p w14:paraId="46E8D9FE"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SID</w:t>
            </w:r>
          </w:p>
        </w:tc>
        <w:tc>
          <w:tcPr>
            <w:tcW w:w="6479" w:type="dxa"/>
            <w:vAlign w:val="center"/>
          </w:tcPr>
          <w:p w14:paraId="6DFFAFD3"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Slovenska izvozna in razvojna banka d. d., Ljubljana</w:t>
            </w:r>
          </w:p>
        </w:tc>
      </w:tr>
      <w:tr w:rsidR="00F41D3F" w:rsidRPr="006A0AC2" w14:paraId="128534E2" w14:textId="77777777" w:rsidTr="7E32E97F">
        <w:tc>
          <w:tcPr>
            <w:tcW w:w="2127" w:type="dxa"/>
            <w:vAlign w:val="center"/>
          </w:tcPr>
          <w:p w14:paraId="4B40A219"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S4/S5</w:t>
            </w:r>
          </w:p>
        </w:tc>
        <w:tc>
          <w:tcPr>
            <w:tcW w:w="6479" w:type="dxa"/>
            <w:vAlign w:val="center"/>
          </w:tcPr>
          <w:p w14:paraId="0997758C"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Slovenska strategija pametne specializacije</w:t>
            </w:r>
          </w:p>
        </w:tc>
      </w:tr>
      <w:tr w:rsidR="00F41D3F" w:rsidRPr="006A0AC2" w14:paraId="3FB38749" w14:textId="77777777" w:rsidTr="7E32E97F">
        <w:tc>
          <w:tcPr>
            <w:tcW w:w="2127" w:type="dxa"/>
            <w:vAlign w:val="center"/>
          </w:tcPr>
          <w:p w14:paraId="1B4A7E59"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MS Mincho" w:cs="Arial"/>
              </w:rPr>
              <w:t>SLR</w:t>
            </w:r>
          </w:p>
        </w:tc>
        <w:tc>
          <w:tcPr>
            <w:tcW w:w="6479" w:type="dxa"/>
            <w:vAlign w:val="center"/>
          </w:tcPr>
          <w:p w14:paraId="13DDD14F"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strategija lokalnega razvoja</w:t>
            </w:r>
          </w:p>
        </w:tc>
      </w:tr>
      <w:tr w:rsidR="00F41D3F" w:rsidRPr="006A0AC2" w14:paraId="46807B2C" w14:textId="77777777" w:rsidTr="7E32E97F">
        <w:tc>
          <w:tcPr>
            <w:tcW w:w="2127" w:type="dxa"/>
            <w:vAlign w:val="center"/>
          </w:tcPr>
          <w:p w14:paraId="5FF01413" w14:textId="4C173AED" w:rsidR="00F41D3F" w:rsidRPr="006A0AC2" w:rsidRDefault="4CC37323" w:rsidP="7E32E97F">
            <w:pPr>
              <w:tabs>
                <w:tab w:val="left" w:pos="567"/>
              </w:tabs>
              <w:spacing w:after="0" w:line="240" w:lineRule="auto"/>
              <w:jc w:val="both"/>
              <w:rPr>
                <w:rFonts w:eastAsia="MS Mincho" w:cs="Arial"/>
              </w:rPr>
            </w:pPr>
            <w:r w:rsidRPr="7E32E97F">
              <w:rPr>
                <w:rFonts w:eastAsia="MS Mincho" w:cs="Arial"/>
              </w:rPr>
              <w:t>SRIP</w:t>
            </w:r>
          </w:p>
        </w:tc>
        <w:tc>
          <w:tcPr>
            <w:tcW w:w="6479" w:type="dxa"/>
            <w:vAlign w:val="center"/>
          </w:tcPr>
          <w:p w14:paraId="183F111E" w14:textId="323C867E"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strateška razvojno-inovacijska partnerstva</w:t>
            </w:r>
          </w:p>
        </w:tc>
      </w:tr>
      <w:tr w:rsidR="00F41D3F" w:rsidRPr="006A0AC2" w14:paraId="64F81312" w14:textId="77777777" w:rsidTr="7E32E97F">
        <w:tc>
          <w:tcPr>
            <w:tcW w:w="2127" w:type="dxa"/>
            <w:vAlign w:val="center"/>
          </w:tcPr>
          <w:p w14:paraId="6559CF36" w14:textId="77777777" w:rsidR="00F41D3F" w:rsidRPr="006A0AC2" w:rsidRDefault="4CC37323" w:rsidP="7E32E97F">
            <w:pPr>
              <w:tabs>
                <w:tab w:val="left" w:pos="567"/>
              </w:tabs>
              <w:spacing w:after="0" w:line="240" w:lineRule="auto"/>
              <w:jc w:val="both"/>
              <w:rPr>
                <w:rFonts w:eastAsia="MS Mincho" w:cs="Arial"/>
              </w:rPr>
            </w:pPr>
            <w:r w:rsidRPr="7E32E97F">
              <w:rPr>
                <w:rFonts w:eastAsia="MS Mincho" w:cs="Arial"/>
              </w:rPr>
              <w:t>STEP</w:t>
            </w:r>
          </w:p>
        </w:tc>
        <w:tc>
          <w:tcPr>
            <w:tcW w:w="6479" w:type="dxa"/>
            <w:vAlign w:val="center"/>
          </w:tcPr>
          <w:p w14:paraId="416F46B3" w14:textId="511C7AFD"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Strategic Technologies for Europe Platform</w:t>
            </w:r>
            <w:r w:rsidR="64914442" w:rsidRPr="7E32E97F">
              <w:rPr>
                <w:rFonts w:eastAsia="SimSun" w:cs="Arial"/>
              </w:rPr>
              <w:t xml:space="preserve"> – Platforma za strateške tehnologije za Evropo</w:t>
            </w:r>
          </w:p>
        </w:tc>
      </w:tr>
      <w:tr w:rsidR="00F41D3F" w:rsidRPr="006A0AC2" w14:paraId="7AC9F7DC" w14:textId="77777777" w:rsidTr="7E32E97F">
        <w:tc>
          <w:tcPr>
            <w:tcW w:w="2127" w:type="dxa"/>
            <w:vAlign w:val="center"/>
          </w:tcPr>
          <w:p w14:paraId="4B1A1190"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SVRK</w:t>
            </w:r>
          </w:p>
        </w:tc>
        <w:tc>
          <w:tcPr>
            <w:tcW w:w="6479" w:type="dxa"/>
            <w:vAlign w:val="center"/>
          </w:tcPr>
          <w:p w14:paraId="4220AE42"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Služba Vlade RS za razvoj in evropsko kohezijsko politiko, organ upravljanja za strukturne sklade in Kohezijski sklad</w:t>
            </w:r>
          </w:p>
        </w:tc>
      </w:tr>
      <w:tr w:rsidR="00F41D3F" w:rsidRPr="006A0AC2" w14:paraId="75F631A1" w14:textId="77777777" w:rsidTr="7E32E97F">
        <w:tc>
          <w:tcPr>
            <w:tcW w:w="2127" w:type="dxa"/>
            <w:vAlign w:val="center"/>
          </w:tcPr>
          <w:p w14:paraId="3136A39E"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TP</w:t>
            </w:r>
          </w:p>
        </w:tc>
        <w:tc>
          <w:tcPr>
            <w:tcW w:w="6479" w:type="dxa"/>
            <w:vAlign w:val="center"/>
          </w:tcPr>
          <w:p w14:paraId="182F9F12"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tehnična podpora</w:t>
            </w:r>
          </w:p>
        </w:tc>
      </w:tr>
      <w:tr w:rsidR="00F41D3F" w:rsidRPr="006A0AC2" w14:paraId="6D9E0FDE" w14:textId="77777777" w:rsidTr="7E32E97F">
        <w:tc>
          <w:tcPr>
            <w:tcW w:w="2127" w:type="dxa"/>
            <w:vAlign w:val="center"/>
          </w:tcPr>
          <w:p w14:paraId="00DAE142"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Uredba EKP</w:t>
            </w:r>
          </w:p>
        </w:tc>
        <w:tc>
          <w:tcPr>
            <w:tcW w:w="6479" w:type="dxa"/>
            <w:vAlign w:val="center"/>
          </w:tcPr>
          <w:p w14:paraId="68004683"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cs="Arial"/>
              </w:rPr>
              <w:t>Uredba o porabi sredstev evropske kohezijske politike v Republiki Sloveniji v programskem obdobju 2014–2020 za cilj naložbe za rast in delovna mesta</w:t>
            </w:r>
          </w:p>
        </w:tc>
      </w:tr>
      <w:tr w:rsidR="00AB1938" w:rsidRPr="006A0AC2" w14:paraId="0344397F" w14:textId="77777777" w:rsidTr="7E32E97F">
        <w:tc>
          <w:tcPr>
            <w:tcW w:w="2127" w:type="dxa"/>
            <w:vAlign w:val="center"/>
          </w:tcPr>
          <w:p w14:paraId="47A0A97A" w14:textId="31575CFD" w:rsidR="00AB1938" w:rsidRPr="006D2A50" w:rsidRDefault="565947FA" w:rsidP="7E32E97F">
            <w:pPr>
              <w:tabs>
                <w:tab w:val="left" w:pos="567"/>
              </w:tabs>
              <w:spacing w:after="0" w:line="240" w:lineRule="auto"/>
              <w:jc w:val="both"/>
              <w:rPr>
                <w:rFonts w:eastAsia="SimSun" w:cs="Arial"/>
                <w:lang w:eastAsia="zh-CN"/>
              </w:rPr>
            </w:pPr>
            <w:r w:rsidRPr="7E32E97F">
              <w:rPr>
                <w:rFonts w:eastAsia="SimSun" w:cs="Arial"/>
              </w:rPr>
              <w:t xml:space="preserve">Uredba EKP </w:t>
            </w:r>
          </w:p>
        </w:tc>
        <w:tc>
          <w:tcPr>
            <w:tcW w:w="6479" w:type="dxa"/>
            <w:vAlign w:val="center"/>
          </w:tcPr>
          <w:p w14:paraId="7992794B" w14:textId="2C1A94EC" w:rsidR="00AB1938" w:rsidRPr="006D2A50" w:rsidRDefault="565947FA" w:rsidP="7E32E97F">
            <w:pPr>
              <w:tabs>
                <w:tab w:val="left" w:pos="567"/>
              </w:tabs>
              <w:spacing w:after="0" w:line="240" w:lineRule="auto"/>
              <w:jc w:val="both"/>
              <w:rPr>
                <w:rFonts w:cs="Arial"/>
              </w:rPr>
            </w:pPr>
            <w:r w:rsidRPr="7E32E97F">
              <w:rPr>
                <w:rFonts w:cs="Arial"/>
              </w:rPr>
              <w:t>Uredba o izvajanju uredb (EU) in (Euratom) na področju izvajanja evropske kohezijske politike v obdobju 2021–2027 za cilj naložbe za rast in delovna mesta</w:t>
            </w:r>
          </w:p>
        </w:tc>
      </w:tr>
      <w:tr w:rsidR="00F41D3F" w:rsidRPr="006A0AC2" w14:paraId="6A4CBC09" w14:textId="77777777" w:rsidTr="7E32E97F">
        <w:tc>
          <w:tcPr>
            <w:tcW w:w="2127" w:type="dxa"/>
            <w:vAlign w:val="center"/>
          </w:tcPr>
          <w:p w14:paraId="63D39BC0"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VFO</w:t>
            </w:r>
          </w:p>
        </w:tc>
        <w:tc>
          <w:tcPr>
            <w:tcW w:w="6479" w:type="dxa"/>
            <w:vAlign w:val="center"/>
          </w:tcPr>
          <w:p w14:paraId="480B085D"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Calibri" w:cs="Arial"/>
              </w:rPr>
              <w:t>večletni finančni okvir EU</w:t>
            </w:r>
          </w:p>
        </w:tc>
      </w:tr>
      <w:tr w:rsidR="00F41D3F" w:rsidRPr="006A0AC2" w14:paraId="05C13FEA" w14:textId="77777777" w:rsidTr="7E32E97F">
        <w:tc>
          <w:tcPr>
            <w:tcW w:w="2127" w:type="dxa"/>
            <w:vAlign w:val="center"/>
          </w:tcPr>
          <w:p w14:paraId="1CD6A6D3"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YEI</w:t>
            </w:r>
          </w:p>
        </w:tc>
        <w:tc>
          <w:tcPr>
            <w:tcW w:w="6479" w:type="dxa"/>
            <w:vAlign w:val="center"/>
          </w:tcPr>
          <w:p w14:paraId="71CAA24C"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Pobuda za zaposlovanje mladih (finančna sredstva so načrtovana kot dopolnilo sredstvom iz ESS v obdobju 2014–2020)</w:t>
            </w:r>
          </w:p>
        </w:tc>
      </w:tr>
      <w:tr w:rsidR="00F41D3F" w:rsidRPr="006A0AC2" w14:paraId="684D203B" w14:textId="77777777" w:rsidTr="7E32E97F">
        <w:tc>
          <w:tcPr>
            <w:tcW w:w="2127" w:type="dxa"/>
            <w:vAlign w:val="center"/>
          </w:tcPr>
          <w:p w14:paraId="61BDA2B0"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ZMOS</w:t>
            </w:r>
          </w:p>
        </w:tc>
        <w:tc>
          <w:tcPr>
            <w:tcW w:w="6479" w:type="dxa"/>
            <w:vAlign w:val="center"/>
          </w:tcPr>
          <w:p w14:paraId="431719FF"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Združenje mestnih občin Slovenije</w:t>
            </w:r>
          </w:p>
        </w:tc>
      </w:tr>
      <w:tr w:rsidR="00F41D3F" w:rsidRPr="006A0AC2" w14:paraId="59A658DD" w14:textId="77777777" w:rsidTr="7E32E97F">
        <w:tc>
          <w:tcPr>
            <w:tcW w:w="2127" w:type="dxa"/>
            <w:vAlign w:val="center"/>
          </w:tcPr>
          <w:p w14:paraId="71DA540B"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ZzI</w:t>
            </w:r>
          </w:p>
        </w:tc>
        <w:tc>
          <w:tcPr>
            <w:tcW w:w="6479" w:type="dxa"/>
            <w:vAlign w:val="center"/>
          </w:tcPr>
          <w:p w14:paraId="5FD71751" w14:textId="77777777" w:rsidR="00F41D3F" w:rsidRPr="006A0AC2" w:rsidRDefault="4CC37323" w:rsidP="7E32E97F">
            <w:pPr>
              <w:tabs>
                <w:tab w:val="left" w:pos="567"/>
              </w:tabs>
              <w:spacing w:after="0" w:line="240" w:lineRule="auto"/>
              <w:jc w:val="both"/>
              <w:rPr>
                <w:rFonts w:eastAsia="SimSun" w:cs="Arial"/>
                <w:lang w:eastAsia="zh-CN"/>
              </w:rPr>
            </w:pPr>
            <w:r w:rsidRPr="7E32E97F">
              <w:rPr>
                <w:rFonts w:eastAsia="SimSun" w:cs="Arial"/>
              </w:rPr>
              <w:t>zahtevek za izplačilo</w:t>
            </w:r>
          </w:p>
        </w:tc>
      </w:tr>
      <w:bookmarkEnd w:id="17"/>
    </w:tbl>
    <w:p w14:paraId="6FB70267" w14:textId="77777777" w:rsidR="007E18A1" w:rsidRPr="0025033E" w:rsidRDefault="007E18A1" w:rsidP="00ED5676">
      <w:pPr>
        <w:spacing w:line="276" w:lineRule="auto"/>
        <w:jc w:val="both"/>
        <w:rPr>
          <w:rFonts w:eastAsia="HGGothicM" w:cs="Arial"/>
        </w:rPr>
        <w:sectPr w:rsidR="007E18A1" w:rsidRPr="0025033E">
          <w:headerReference w:type="default" r:id="rId17"/>
          <w:footerReference w:type="default" r:id="rId18"/>
          <w:pgSz w:w="11906" w:h="16838"/>
          <w:pgMar w:top="1418" w:right="1418" w:bottom="1418" w:left="1418" w:header="709" w:footer="709" w:gutter="0"/>
          <w:cols w:space="708"/>
        </w:sectPr>
      </w:pPr>
    </w:p>
    <w:p w14:paraId="34F8CCF3" w14:textId="77777777" w:rsidR="009D68EB" w:rsidRPr="0025033E" w:rsidRDefault="5E916F02" w:rsidP="7E32E97F">
      <w:pPr>
        <w:autoSpaceDN/>
        <w:spacing w:after="0"/>
        <w:jc w:val="center"/>
        <w:rPr>
          <w:rFonts w:eastAsia="HGGothicM" w:cs="Arial"/>
          <w:b/>
          <w:bCs/>
          <w:color w:val="2E74B5"/>
          <w:sz w:val="22"/>
          <w:szCs w:val="22"/>
          <w:lang w:eastAsia="x-none"/>
        </w:rPr>
      </w:pPr>
      <w:bookmarkStart w:id="18" w:name="_Toc558805973"/>
      <w:bookmarkStart w:id="19" w:name="_Toc1337774168"/>
      <w:bookmarkStart w:id="20" w:name="_Toc204595319"/>
      <w:bookmarkStart w:id="21" w:name="_Toc1299853429"/>
      <w:bookmarkStart w:id="22" w:name="_Toc276748515"/>
      <w:bookmarkStart w:id="23" w:name="_Toc787574123"/>
      <w:bookmarkStart w:id="24" w:name="_Toc1379065192"/>
      <w:bookmarkStart w:id="25" w:name="_Toc1308387226"/>
      <w:bookmarkStart w:id="26" w:name="_Toc467314235"/>
      <w:bookmarkStart w:id="27" w:name="_Toc911886735"/>
      <w:bookmarkStart w:id="28" w:name="_Toc1462530050"/>
      <w:bookmarkStart w:id="29" w:name="_Toc1379595910"/>
      <w:bookmarkStart w:id="30" w:name="_Toc2006092952"/>
      <w:bookmarkStart w:id="31" w:name="_Toc1739294218"/>
      <w:bookmarkStart w:id="32" w:name="_Toc1840981132"/>
      <w:bookmarkStart w:id="33" w:name="_Toc299935706"/>
      <w:bookmarkStart w:id="34" w:name="_Toc1828184051"/>
      <w:bookmarkStart w:id="35" w:name="_Toc215266057"/>
      <w:bookmarkStart w:id="36" w:name="_Toc611172654"/>
      <w:bookmarkStart w:id="37" w:name="_Toc369422290"/>
      <w:bookmarkStart w:id="38" w:name="_Toc1722127333"/>
      <w:bookmarkStart w:id="39" w:name="_Toc907806681"/>
      <w:bookmarkStart w:id="40" w:name="_Toc933610509"/>
      <w:bookmarkStart w:id="41" w:name="_Toc2134243359"/>
      <w:bookmarkStart w:id="42" w:name="_Toc1331906492"/>
      <w:bookmarkStart w:id="43" w:name="_Toc989203233"/>
      <w:bookmarkStart w:id="44" w:name="_Toc925775372"/>
      <w:bookmarkStart w:id="45" w:name="_Toc840267118"/>
      <w:bookmarkStart w:id="46" w:name="_Toc888061547"/>
      <w:bookmarkStart w:id="47" w:name="_Toc588446153"/>
      <w:bookmarkStart w:id="48" w:name="_Toc1602112335"/>
      <w:bookmarkStart w:id="49" w:name="_Toc2007111824"/>
      <w:bookmarkStart w:id="50" w:name="_Toc910435387"/>
      <w:bookmarkStart w:id="51" w:name="_Toc265094537"/>
      <w:bookmarkStart w:id="52" w:name="_Toc1303026484"/>
      <w:bookmarkStart w:id="53" w:name="_Toc214997685"/>
      <w:bookmarkStart w:id="54" w:name="_Toc1129915611"/>
      <w:bookmarkStart w:id="55" w:name="_Toc529423988"/>
      <w:bookmarkStart w:id="56" w:name="_Toc1314682962"/>
      <w:bookmarkStart w:id="57" w:name="_Toc364437237"/>
      <w:bookmarkStart w:id="58" w:name="_Toc1752696687"/>
      <w:bookmarkStart w:id="59" w:name="_Toc935686337"/>
      <w:bookmarkStart w:id="60" w:name="_Toc1581414871"/>
      <w:bookmarkStart w:id="61" w:name="_Toc552026495"/>
      <w:bookmarkStart w:id="62" w:name="_Toc794136107"/>
      <w:bookmarkStart w:id="63" w:name="_Toc1132810085"/>
      <w:bookmarkStart w:id="64" w:name="_Toc2054215907"/>
      <w:bookmarkStart w:id="65" w:name="_Toc429641800"/>
      <w:bookmarkStart w:id="66" w:name="_Toc1012754163"/>
      <w:bookmarkStart w:id="67" w:name="_Toc1286025785"/>
      <w:bookmarkStart w:id="68" w:name="_Toc710158920"/>
      <w:bookmarkStart w:id="69" w:name="_Toc489972748"/>
      <w:bookmarkStart w:id="70" w:name="_Toc730990598"/>
      <w:bookmarkStart w:id="71" w:name="_Toc728687562"/>
      <w:bookmarkStart w:id="72" w:name="_Toc2006781558"/>
      <w:bookmarkStart w:id="73" w:name="_Toc395363613"/>
      <w:bookmarkStart w:id="74" w:name="_Toc1917041092"/>
      <w:bookmarkStart w:id="75" w:name="_Toc91934929"/>
      <w:bookmarkStart w:id="76" w:name="_Toc129285892"/>
      <w:bookmarkStart w:id="77" w:name="_Toc1236736446"/>
      <w:bookmarkStart w:id="78" w:name="_Toc977350809"/>
      <w:bookmarkStart w:id="79" w:name="_Toc1426614488"/>
      <w:bookmarkStart w:id="80" w:name="_Toc1563811008"/>
      <w:bookmarkStart w:id="81" w:name="_Toc611542782"/>
      <w:bookmarkStart w:id="82" w:name="_Toc329168116"/>
      <w:bookmarkStart w:id="83" w:name="_Toc1746019340"/>
      <w:bookmarkStart w:id="84" w:name="_Toc704240501"/>
      <w:bookmarkStart w:id="85" w:name="_Toc615219393"/>
      <w:bookmarkStart w:id="86" w:name="_Toc690732609"/>
      <w:bookmarkStart w:id="87" w:name="_Toc199284563"/>
      <w:bookmarkStart w:id="88" w:name="_Toc426869936"/>
      <w:bookmarkStart w:id="89" w:name="_Toc1196128655"/>
      <w:bookmarkStart w:id="90" w:name="_Toc85600054"/>
      <w:bookmarkStart w:id="91" w:name="_Toc822571468"/>
      <w:bookmarkStart w:id="92" w:name="_Toc1225382650"/>
      <w:bookmarkStart w:id="93" w:name="_Toc912415360"/>
      <w:bookmarkStart w:id="94" w:name="_Toc2090814630"/>
      <w:bookmarkStart w:id="95" w:name="_Toc1721121512"/>
      <w:bookmarkStart w:id="96" w:name="_Toc2073896224"/>
      <w:bookmarkStart w:id="97" w:name="_Toc1375974840"/>
      <w:bookmarkStart w:id="98" w:name="_Toc1955079296"/>
      <w:bookmarkStart w:id="99" w:name="_Toc487874125"/>
      <w:bookmarkStart w:id="100" w:name="_Toc131019291"/>
      <w:bookmarkStart w:id="101" w:name="_Toc1458979740"/>
      <w:bookmarkStart w:id="102" w:name="_Toc187739292"/>
      <w:bookmarkStart w:id="103" w:name="_Toc187740025"/>
      <w:r w:rsidRPr="7E32E97F">
        <w:rPr>
          <w:rFonts w:eastAsia="HGGothicM" w:cs="Arial"/>
          <w:b/>
          <w:bCs/>
          <w:color w:val="2E74B5" w:themeColor="accent5" w:themeShade="BF"/>
          <w:sz w:val="22"/>
          <w:szCs w:val="22"/>
        </w:rPr>
        <w:lastRenderedPageBreak/>
        <w:t>POVZETEK</w:t>
      </w:r>
    </w:p>
    <w:p w14:paraId="47DB44D8" w14:textId="77777777" w:rsidR="009D68EB" w:rsidRPr="0025033E" w:rsidRDefault="009D68EB" w:rsidP="00ED5676">
      <w:pPr>
        <w:autoSpaceDN/>
        <w:spacing w:after="0" w:line="288" w:lineRule="auto"/>
        <w:jc w:val="both"/>
        <w:rPr>
          <w:rFonts w:eastAsia="SimSun" w:cs="Arial"/>
          <w:sz w:val="22"/>
          <w:szCs w:val="22"/>
          <w:lang w:eastAsia="zh-CN"/>
        </w:rPr>
      </w:pPr>
    </w:p>
    <w:p w14:paraId="0916E0F6" w14:textId="66EEE9B3" w:rsidR="00567269" w:rsidRPr="001650A8" w:rsidRDefault="4B71132B" w:rsidP="006F51E6">
      <w:pPr>
        <w:autoSpaceDN/>
        <w:spacing w:after="0" w:line="288" w:lineRule="auto"/>
        <w:ind w:right="286"/>
        <w:jc w:val="both"/>
        <w:rPr>
          <w:rFonts w:cs="Arial"/>
        </w:rPr>
      </w:pPr>
      <w:r w:rsidRPr="001650A8">
        <w:rPr>
          <w:rFonts w:cs="Arial"/>
        </w:rPr>
        <w:t xml:space="preserve">Izvajanje evropske kohezijske politike trenutno </w:t>
      </w:r>
      <w:r w:rsidR="00255124" w:rsidRPr="001650A8">
        <w:rPr>
          <w:rFonts w:cs="Arial"/>
        </w:rPr>
        <w:t>še vedno poteka v obdobju prekrivanja dveh programskih ciklov.</w:t>
      </w:r>
      <w:r w:rsidRPr="001650A8">
        <w:rPr>
          <w:rFonts w:cs="Arial"/>
        </w:rPr>
        <w:t xml:space="preserve"> </w:t>
      </w:r>
      <w:r w:rsidR="0C51EA6D" w:rsidRPr="001650A8">
        <w:rPr>
          <w:rFonts w:cs="Arial"/>
        </w:rPr>
        <w:t>D</w:t>
      </w:r>
      <w:r w:rsidRPr="001650A8">
        <w:rPr>
          <w:rFonts w:cs="Arial"/>
        </w:rPr>
        <w:t>ržave članice</w:t>
      </w:r>
      <w:r w:rsidR="0003F1B2" w:rsidRPr="001650A8">
        <w:rPr>
          <w:rFonts w:cs="Arial"/>
        </w:rPr>
        <w:t xml:space="preserve">, </w:t>
      </w:r>
      <w:r w:rsidR="00255124" w:rsidRPr="001650A8">
        <w:rPr>
          <w:rFonts w:cs="Arial"/>
        </w:rPr>
        <w:t xml:space="preserve">med njimi tudi </w:t>
      </w:r>
      <w:r w:rsidR="0003F1B2" w:rsidRPr="001650A8">
        <w:rPr>
          <w:rFonts w:cs="Arial"/>
        </w:rPr>
        <w:t>Slovenija</w:t>
      </w:r>
      <w:r w:rsidR="00255124" w:rsidRPr="001650A8">
        <w:rPr>
          <w:rFonts w:cs="Arial"/>
        </w:rPr>
        <w:t xml:space="preserve">, so sočasno osredotočene na intenzivno izvajanje ukrepov za čim bolj učinkovito </w:t>
      </w:r>
      <w:r w:rsidRPr="001650A8">
        <w:rPr>
          <w:rFonts w:cs="Arial"/>
        </w:rPr>
        <w:t xml:space="preserve">in pravočasno porabo dodeljenih sredstev </w:t>
      </w:r>
      <w:r w:rsidR="18A01451" w:rsidRPr="001650A8">
        <w:rPr>
          <w:rFonts w:cs="Arial"/>
        </w:rPr>
        <w:t>v programskem obdobju 2021</w:t>
      </w:r>
      <w:r w:rsidR="1A9A2848" w:rsidRPr="001650A8">
        <w:rPr>
          <w:rFonts w:cs="Arial"/>
        </w:rPr>
        <w:t>–</w:t>
      </w:r>
      <w:r w:rsidR="18A01451" w:rsidRPr="001650A8">
        <w:rPr>
          <w:rFonts w:cs="Arial"/>
        </w:rPr>
        <w:t xml:space="preserve">2027, </w:t>
      </w:r>
      <w:r w:rsidR="00255124" w:rsidRPr="001650A8">
        <w:rPr>
          <w:rFonts w:cs="Arial"/>
        </w:rPr>
        <w:t xml:space="preserve">ter na izvajanje nalog, povezanih z zaključevanjem </w:t>
      </w:r>
      <w:r w:rsidR="4C85E3E5" w:rsidRPr="001650A8">
        <w:rPr>
          <w:rFonts w:cs="Arial"/>
        </w:rPr>
        <w:t>programskega obdobja 2014–2020</w:t>
      </w:r>
      <w:r w:rsidR="557AB82C" w:rsidRPr="001650A8">
        <w:rPr>
          <w:rFonts w:cs="Arial"/>
        </w:rPr>
        <w:t>.</w:t>
      </w:r>
      <w:r w:rsidR="1206BEE2" w:rsidRPr="001650A8">
        <w:rPr>
          <w:rFonts w:cs="Arial"/>
        </w:rPr>
        <w:t xml:space="preserve"> </w:t>
      </w:r>
      <w:r w:rsidR="6A6D3F51" w:rsidRPr="001650A8">
        <w:rPr>
          <w:rFonts w:cs="Arial"/>
        </w:rPr>
        <w:t>Skrajni rok za predložite</w:t>
      </w:r>
      <w:r w:rsidR="2C6C19FA" w:rsidRPr="001650A8">
        <w:rPr>
          <w:rFonts w:cs="Arial"/>
        </w:rPr>
        <w:t xml:space="preserve">v celotnega paketa dokumentacije </w:t>
      </w:r>
      <w:r w:rsidR="1E91C69E" w:rsidRPr="001650A8">
        <w:rPr>
          <w:rFonts w:cs="Arial"/>
        </w:rPr>
        <w:t xml:space="preserve">za omenjeno obdobje </w:t>
      </w:r>
      <w:r w:rsidR="2C6C19FA" w:rsidRPr="001650A8">
        <w:rPr>
          <w:rFonts w:cs="Arial"/>
        </w:rPr>
        <w:t xml:space="preserve">se izteče </w:t>
      </w:r>
      <w:r w:rsidR="17E9AE2D" w:rsidRPr="001650A8">
        <w:rPr>
          <w:rFonts w:cs="Arial"/>
        </w:rPr>
        <w:t xml:space="preserve">februarja </w:t>
      </w:r>
      <w:r w:rsidR="2C6C19FA" w:rsidRPr="001650A8">
        <w:rPr>
          <w:rFonts w:cs="Arial"/>
        </w:rPr>
        <w:t xml:space="preserve">2026. </w:t>
      </w:r>
    </w:p>
    <w:p w14:paraId="77EBA65E" w14:textId="5A119A62" w:rsidR="00567269" w:rsidRPr="001650A8" w:rsidRDefault="00567269" w:rsidP="06AD9397">
      <w:pPr>
        <w:autoSpaceDN/>
        <w:spacing w:after="0" w:line="288" w:lineRule="auto"/>
        <w:jc w:val="both"/>
        <w:rPr>
          <w:rFonts w:cs="Arial"/>
        </w:rPr>
      </w:pPr>
    </w:p>
    <w:p w14:paraId="18F4060C" w14:textId="0916A745" w:rsidR="00567269" w:rsidRPr="001650A8" w:rsidRDefault="00255124" w:rsidP="006F51E6">
      <w:pPr>
        <w:tabs>
          <w:tab w:val="left" w:pos="9214"/>
        </w:tabs>
        <w:autoSpaceDN/>
        <w:spacing w:after="0" w:line="288" w:lineRule="auto"/>
        <w:ind w:right="286"/>
        <w:jc w:val="both"/>
        <w:rPr>
          <w:rFonts w:cs="Arial"/>
        </w:rPr>
      </w:pPr>
      <w:r w:rsidRPr="001650A8">
        <w:rPr>
          <w:rFonts w:cs="Arial"/>
        </w:rPr>
        <w:t xml:space="preserve">Poseben izziv predstavlja dejstvo, da se naloge v zvezi z obema programskima obdobjema izvajajo znotraj iste kadrovske zasedbe, ki je hkrati v tesnem sodelovanju z Evropsko komisijo vključena tudi v pripravo zakonodajnih podlag za prihodnje programsko obdobje 2028–2034. Ta proces poteka v okoliščinah povečane negotovosti, ki izhajajo tudi iz izkušenj v času pandemije covida-19 kot tudi iz zaostrenih in hitro spreminjajočih se geopolitičnih razmer. Navedeno se sicer že odraža v osnutkih </w:t>
      </w:r>
      <w:r w:rsidR="29A506BC" w:rsidRPr="001650A8">
        <w:rPr>
          <w:rFonts w:cs="Arial"/>
        </w:rPr>
        <w:t xml:space="preserve">programskih dokumentov za </w:t>
      </w:r>
      <w:r w:rsidRPr="001650A8">
        <w:rPr>
          <w:rFonts w:cs="Arial"/>
        </w:rPr>
        <w:t xml:space="preserve">novo </w:t>
      </w:r>
      <w:r w:rsidR="29A506BC" w:rsidRPr="001650A8">
        <w:rPr>
          <w:rFonts w:cs="Arial"/>
        </w:rPr>
        <w:t>omenjeno obd</w:t>
      </w:r>
      <w:r w:rsidR="6377A88E" w:rsidRPr="001650A8">
        <w:rPr>
          <w:rFonts w:cs="Arial"/>
        </w:rPr>
        <w:t>o</w:t>
      </w:r>
      <w:r w:rsidR="29A506BC" w:rsidRPr="001650A8">
        <w:rPr>
          <w:rFonts w:cs="Arial"/>
        </w:rPr>
        <w:t>bj</w:t>
      </w:r>
      <w:r w:rsidR="2875FE52" w:rsidRPr="001650A8">
        <w:rPr>
          <w:rFonts w:cs="Arial"/>
        </w:rPr>
        <w:t>e</w:t>
      </w:r>
      <w:r w:rsidRPr="001650A8">
        <w:rPr>
          <w:rFonts w:cs="Arial"/>
        </w:rPr>
        <w:t xml:space="preserve">, v katerih – kljub zgodnji fazi njihove priprave že zaznavamo napoved pomembnejših strukturnih in </w:t>
      </w:r>
      <w:r w:rsidR="4044A2E0" w:rsidRPr="001650A8">
        <w:rPr>
          <w:rFonts w:cs="Arial"/>
        </w:rPr>
        <w:t>vsebinsk</w:t>
      </w:r>
      <w:r w:rsidRPr="001650A8">
        <w:rPr>
          <w:rFonts w:cs="Arial"/>
        </w:rPr>
        <w:t>ih</w:t>
      </w:r>
      <w:r w:rsidR="4044A2E0" w:rsidRPr="001650A8">
        <w:rPr>
          <w:rFonts w:cs="Arial"/>
        </w:rPr>
        <w:t xml:space="preserve"> spremembe </w:t>
      </w:r>
      <w:r w:rsidRPr="001650A8">
        <w:rPr>
          <w:rFonts w:cs="Arial"/>
        </w:rPr>
        <w:t xml:space="preserve">pri </w:t>
      </w:r>
      <w:r w:rsidR="4044A2E0" w:rsidRPr="001650A8">
        <w:rPr>
          <w:rFonts w:cs="Arial"/>
        </w:rPr>
        <w:t>izvaj</w:t>
      </w:r>
      <w:r w:rsidR="757FC070" w:rsidRPr="001650A8">
        <w:rPr>
          <w:rFonts w:cs="Arial"/>
        </w:rPr>
        <w:t>a</w:t>
      </w:r>
      <w:r w:rsidR="4044A2E0" w:rsidRPr="001650A8">
        <w:rPr>
          <w:rFonts w:cs="Arial"/>
        </w:rPr>
        <w:t>nj</w:t>
      </w:r>
      <w:r w:rsidRPr="001650A8">
        <w:rPr>
          <w:rFonts w:cs="Arial"/>
        </w:rPr>
        <w:t>u</w:t>
      </w:r>
      <w:r w:rsidR="4044A2E0" w:rsidRPr="001650A8">
        <w:rPr>
          <w:rFonts w:cs="Arial"/>
        </w:rPr>
        <w:t xml:space="preserve"> kohezijske politike. </w:t>
      </w:r>
    </w:p>
    <w:p w14:paraId="38171FA8" w14:textId="2E51F6EB" w:rsidR="00567269" w:rsidRPr="001650A8" w:rsidRDefault="00567269" w:rsidP="06AD9397">
      <w:pPr>
        <w:autoSpaceDN/>
        <w:spacing w:after="0" w:line="288" w:lineRule="auto"/>
        <w:jc w:val="both"/>
        <w:rPr>
          <w:rFonts w:cs="Arial"/>
        </w:rPr>
      </w:pPr>
    </w:p>
    <w:p w14:paraId="5AB67166" w14:textId="1448FCCF" w:rsidR="4D18AD37" w:rsidRPr="001650A8" w:rsidRDefault="26648450" w:rsidP="006F51E6">
      <w:pPr>
        <w:spacing w:after="0" w:line="288" w:lineRule="auto"/>
        <w:ind w:right="286"/>
        <w:jc w:val="both"/>
        <w:rPr>
          <w:rFonts w:cs="Arial"/>
        </w:rPr>
      </w:pPr>
      <w:r w:rsidRPr="001650A8">
        <w:rPr>
          <w:rFonts w:cs="Arial"/>
        </w:rPr>
        <w:t xml:space="preserve">V tokratnem poročilu </w:t>
      </w:r>
      <w:r w:rsidR="347FF3AE" w:rsidRPr="001650A8">
        <w:rPr>
          <w:rFonts w:cs="Arial"/>
        </w:rPr>
        <w:t xml:space="preserve">so </w:t>
      </w:r>
      <w:r w:rsidR="007A40AD" w:rsidRPr="001650A8">
        <w:rPr>
          <w:rFonts w:cs="Arial"/>
        </w:rPr>
        <w:t xml:space="preserve">v uvodnem delu </w:t>
      </w:r>
      <w:r w:rsidR="347FF3AE" w:rsidRPr="001650A8">
        <w:rPr>
          <w:rFonts w:cs="Arial"/>
        </w:rPr>
        <w:t>predstavljeni podatki in aktivnosti</w:t>
      </w:r>
      <w:r w:rsidR="007A40AD" w:rsidRPr="001650A8">
        <w:rPr>
          <w:rFonts w:cs="Arial"/>
        </w:rPr>
        <w:t xml:space="preserve">, povezani z </w:t>
      </w:r>
      <w:r w:rsidR="347FF3AE" w:rsidRPr="001650A8">
        <w:rPr>
          <w:rFonts w:cs="Arial"/>
        </w:rPr>
        <w:t>izvajanj</w:t>
      </w:r>
      <w:r w:rsidR="007A40AD" w:rsidRPr="001650A8">
        <w:rPr>
          <w:rFonts w:cs="Arial"/>
        </w:rPr>
        <w:t>em</w:t>
      </w:r>
      <w:r w:rsidR="347FF3AE" w:rsidRPr="001650A8">
        <w:rPr>
          <w:rFonts w:cs="Arial"/>
        </w:rPr>
        <w:t xml:space="preserve"> aktualnega </w:t>
      </w:r>
      <w:r w:rsidR="4949C203" w:rsidRPr="001650A8">
        <w:rPr>
          <w:rFonts w:cs="Arial"/>
        </w:rPr>
        <w:t>programskega obdobja</w:t>
      </w:r>
      <w:r w:rsidR="28D60ACA" w:rsidRPr="001650A8">
        <w:rPr>
          <w:rFonts w:cs="Arial"/>
        </w:rPr>
        <w:t xml:space="preserve"> 2021</w:t>
      </w:r>
      <w:r w:rsidR="1A9A2848" w:rsidRPr="001650A8">
        <w:rPr>
          <w:rFonts w:cs="Arial"/>
        </w:rPr>
        <w:t>–</w:t>
      </w:r>
      <w:r w:rsidR="28D60ACA" w:rsidRPr="001650A8">
        <w:rPr>
          <w:rFonts w:cs="Arial"/>
        </w:rPr>
        <w:t>2027</w:t>
      </w:r>
      <w:r w:rsidR="4949C203" w:rsidRPr="001650A8">
        <w:rPr>
          <w:rFonts w:cs="Arial"/>
        </w:rPr>
        <w:t xml:space="preserve">, v nadaljevanju </w:t>
      </w:r>
      <w:r w:rsidR="10535083" w:rsidRPr="001650A8">
        <w:rPr>
          <w:rFonts w:cs="Arial"/>
        </w:rPr>
        <w:t>pa s</w:t>
      </w:r>
      <w:r w:rsidR="007A40AD" w:rsidRPr="001650A8">
        <w:rPr>
          <w:rFonts w:cs="Arial"/>
        </w:rPr>
        <w:t xml:space="preserve">o podane </w:t>
      </w:r>
      <w:r w:rsidR="10535083" w:rsidRPr="001650A8">
        <w:rPr>
          <w:rFonts w:cs="Arial"/>
        </w:rPr>
        <w:t xml:space="preserve">informacija </w:t>
      </w:r>
      <w:r w:rsidR="007A40AD" w:rsidRPr="001650A8">
        <w:rPr>
          <w:rFonts w:cs="Arial"/>
        </w:rPr>
        <w:t xml:space="preserve">o postopkih </w:t>
      </w:r>
      <w:r w:rsidR="10535083" w:rsidRPr="001650A8">
        <w:rPr>
          <w:rFonts w:cs="Arial"/>
        </w:rPr>
        <w:t xml:space="preserve"> zaključevanja iztekajočega se programskega obdobja</w:t>
      </w:r>
      <w:r w:rsidR="00B33BF0">
        <w:rPr>
          <w:rFonts w:cs="Arial"/>
        </w:rPr>
        <w:t xml:space="preserve"> 2014–2020 </w:t>
      </w:r>
      <w:r w:rsidR="007A40AD" w:rsidRPr="001650A8">
        <w:rPr>
          <w:rFonts w:cs="Arial"/>
        </w:rPr>
        <w:t xml:space="preserve">. </w:t>
      </w:r>
    </w:p>
    <w:p w14:paraId="4627914E" w14:textId="4651FB0E" w:rsidR="5AD675C8" w:rsidRPr="001650A8" w:rsidRDefault="5AD675C8" w:rsidP="5AD675C8">
      <w:pPr>
        <w:spacing w:after="0" w:line="288" w:lineRule="auto"/>
        <w:jc w:val="both"/>
        <w:rPr>
          <w:rFonts w:cs="Arial"/>
        </w:rPr>
      </w:pPr>
    </w:p>
    <w:p w14:paraId="23307AB4" w14:textId="2A5D3C72" w:rsidR="428DAF64" w:rsidRPr="001650A8" w:rsidRDefault="18A8CD9A" w:rsidP="006F51E6">
      <w:pPr>
        <w:tabs>
          <w:tab w:val="left" w:pos="9214"/>
        </w:tabs>
        <w:spacing w:after="0" w:line="288" w:lineRule="auto"/>
        <w:ind w:right="286"/>
        <w:jc w:val="both"/>
        <w:rPr>
          <w:rFonts w:eastAsia="SimSun" w:cs="Arial"/>
          <w:lang w:eastAsia="zh-CN"/>
        </w:rPr>
      </w:pPr>
      <w:r w:rsidRPr="001650A8">
        <w:rPr>
          <w:rFonts w:eastAsia="SimSun" w:cs="Arial"/>
        </w:rPr>
        <w:t xml:space="preserve">Poročilo poleg kumulativnega stanja za obdobje od januarja 2014 do konca </w:t>
      </w:r>
      <w:r w:rsidR="007A40AD" w:rsidRPr="001650A8">
        <w:rPr>
          <w:rFonts w:eastAsia="SimSun" w:cs="Arial"/>
        </w:rPr>
        <w:t xml:space="preserve">decembra </w:t>
      </w:r>
      <w:r w:rsidRPr="001650A8">
        <w:rPr>
          <w:rFonts w:eastAsia="SimSun" w:cs="Arial"/>
        </w:rPr>
        <w:t xml:space="preserve">2025 vsebuje tudi opis izzivov ter ključnih aktivnosti v </w:t>
      </w:r>
      <w:r w:rsidR="007A40AD" w:rsidRPr="001650A8">
        <w:rPr>
          <w:rFonts w:eastAsia="SimSun" w:cs="Arial"/>
        </w:rPr>
        <w:t xml:space="preserve">drugem </w:t>
      </w:r>
      <w:r w:rsidRPr="001650A8">
        <w:rPr>
          <w:rFonts w:eastAsia="SimSun" w:cs="Arial"/>
        </w:rPr>
        <w:t>polletju leta 2025.</w:t>
      </w:r>
    </w:p>
    <w:p w14:paraId="76E572F5" w14:textId="358ED1B8" w:rsidR="30DAF857" w:rsidRPr="001650A8" w:rsidRDefault="30DAF857" w:rsidP="30DAF857">
      <w:pPr>
        <w:spacing w:after="0" w:line="288" w:lineRule="auto"/>
        <w:jc w:val="both"/>
        <w:rPr>
          <w:rFonts w:eastAsia="SimSun" w:cs="Arial"/>
          <w:lang w:eastAsia="zh-CN"/>
        </w:rPr>
      </w:pPr>
    </w:p>
    <w:p w14:paraId="5BF3F31B" w14:textId="54764065" w:rsidR="009D68EB" w:rsidRPr="001650A8" w:rsidRDefault="071B5195" w:rsidP="006F51E6">
      <w:pPr>
        <w:tabs>
          <w:tab w:val="left" w:pos="9072"/>
        </w:tabs>
        <w:autoSpaceDN/>
        <w:spacing w:after="0" w:line="288" w:lineRule="auto"/>
        <w:ind w:right="286"/>
        <w:jc w:val="both"/>
        <w:rPr>
          <w:rFonts w:eastAsia="Calibri" w:cs="Arial"/>
        </w:rPr>
      </w:pPr>
      <w:bookmarkStart w:id="104" w:name="_Hlk156215178"/>
      <w:r w:rsidRPr="001650A8">
        <w:rPr>
          <w:rFonts w:eastAsia="Calibri" w:cs="Arial"/>
        </w:rPr>
        <w:t>S</w:t>
      </w:r>
      <w:r w:rsidR="5E916F02" w:rsidRPr="001650A8">
        <w:rPr>
          <w:rFonts w:eastAsia="Calibri" w:cs="Arial"/>
        </w:rPr>
        <w:t xml:space="preserve">tanje pri koriščenju sredstev evropske kohezijske politike v okviru izvajanja Programa evropske kohezijske politike v programskem obdobju </w:t>
      </w:r>
      <w:r w:rsidR="419C6937" w:rsidRPr="001650A8">
        <w:rPr>
          <w:rFonts w:eastAsia="Calibri" w:cs="Arial"/>
        </w:rPr>
        <w:t>2021–2027</w:t>
      </w:r>
      <w:r w:rsidR="6C4FDEEC" w:rsidRPr="001650A8">
        <w:rPr>
          <w:rFonts w:eastAsia="Calibri" w:cs="Arial"/>
        </w:rPr>
        <w:t xml:space="preserve"> (PEKP)</w:t>
      </w:r>
      <w:r w:rsidR="5E916F02" w:rsidRPr="001650A8">
        <w:rPr>
          <w:rFonts w:eastAsia="Calibri" w:cs="Arial"/>
        </w:rPr>
        <w:t xml:space="preserve"> je sledeče:</w:t>
      </w:r>
    </w:p>
    <w:p w14:paraId="38C24992" w14:textId="400AC514" w:rsidR="009D68EB" w:rsidRPr="001650A8" w:rsidRDefault="5E916F02" w:rsidP="006F51E6">
      <w:pPr>
        <w:numPr>
          <w:ilvl w:val="0"/>
          <w:numId w:val="17"/>
        </w:numPr>
        <w:autoSpaceDN/>
        <w:spacing w:after="0" w:line="288" w:lineRule="auto"/>
        <w:ind w:right="286"/>
        <w:jc w:val="both"/>
        <w:rPr>
          <w:rFonts w:cs="Arial"/>
        </w:rPr>
      </w:pPr>
      <w:r w:rsidRPr="001650A8">
        <w:rPr>
          <w:rFonts w:cs="Arial"/>
        </w:rPr>
        <w:t xml:space="preserve">odločitve o podpori v skupni vrednosti </w:t>
      </w:r>
      <w:r w:rsidR="39E9D8B5" w:rsidRPr="001650A8">
        <w:rPr>
          <w:rFonts w:cs="Arial"/>
        </w:rPr>
        <w:t>1.975.949.860</w:t>
      </w:r>
      <w:r w:rsidRPr="001650A8">
        <w:rPr>
          <w:rFonts w:cs="Arial"/>
        </w:rPr>
        <w:t xml:space="preserve"> EUR (EU del), kar je </w:t>
      </w:r>
      <w:r w:rsidR="39E9D8B5" w:rsidRPr="001650A8">
        <w:rPr>
          <w:rFonts w:cs="Arial"/>
        </w:rPr>
        <w:t xml:space="preserve">64 </w:t>
      </w:r>
      <w:r w:rsidRPr="001650A8">
        <w:rPr>
          <w:rFonts w:cs="Arial"/>
        </w:rPr>
        <w:t>% vseh razpoložljivih sredstev;</w:t>
      </w:r>
    </w:p>
    <w:p w14:paraId="108D3C0F" w14:textId="4D891733" w:rsidR="009D68EB" w:rsidRPr="001650A8" w:rsidRDefault="5E916F02" w:rsidP="006F51E6">
      <w:pPr>
        <w:numPr>
          <w:ilvl w:val="0"/>
          <w:numId w:val="17"/>
        </w:numPr>
        <w:autoSpaceDN/>
        <w:spacing w:after="0" w:line="288" w:lineRule="auto"/>
        <w:ind w:right="286"/>
        <w:jc w:val="both"/>
        <w:rPr>
          <w:rFonts w:cs="Arial"/>
        </w:rPr>
      </w:pPr>
      <w:r w:rsidRPr="001650A8">
        <w:rPr>
          <w:rFonts w:cs="Arial"/>
        </w:rPr>
        <w:t xml:space="preserve">znesek potrjenih operacij v skupni vrednosti </w:t>
      </w:r>
      <w:r w:rsidR="39E9D8B5" w:rsidRPr="001650A8">
        <w:rPr>
          <w:rFonts w:cs="Arial"/>
        </w:rPr>
        <w:t>1.325.937.173</w:t>
      </w:r>
      <w:r w:rsidRPr="001650A8">
        <w:rPr>
          <w:rFonts w:cs="Arial"/>
        </w:rPr>
        <w:t xml:space="preserve"> EUR (EU del), kar je </w:t>
      </w:r>
      <w:r w:rsidR="39E9D8B5" w:rsidRPr="001650A8">
        <w:rPr>
          <w:rFonts w:cs="Arial"/>
        </w:rPr>
        <w:t xml:space="preserve">43 </w:t>
      </w:r>
      <w:r w:rsidRPr="001650A8">
        <w:rPr>
          <w:rFonts w:cs="Arial"/>
        </w:rPr>
        <w:t>% razpoložljivih sredstev;</w:t>
      </w:r>
    </w:p>
    <w:p w14:paraId="39E71903" w14:textId="3A7FFA47" w:rsidR="001B41E1" w:rsidRPr="001650A8" w:rsidRDefault="5E916F02" w:rsidP="001B41E1">
      <w:pPr>
        <w:numPr>
          <w:ilvl w:val="0"/>
          <w:numId w:val="17"/>
        </w:numPr>
        <w:tabs>
          <w:tab w:val="left" w:pos="9356"/>
        </w:tabs>
        <w:autoSpaceDN/>
        <w:spacing w:after="0" w:line="288" w:lineRule="auto"/>
        <w:ind w:right="286"/>
        <w:jc w:val="both"/>
        <w:rPr>
          <w:rFonts w:cs="Arial"/>
        </w:rPr>
      </w:pPr>
      <w:r w:rsidRPr="001650A8">
        <w:rPr>
          <w:rFonts w:cs="Arial"/>
        </w:rPr>
        <w:t xml:space="preserve">izplačila iz državnega proračuna v skupni vrednosti </w:t>
      </w:r>
      <w:r w:rsidR="39E9D8B5" w:rsidRPr="001650A8">
        <w:rPr>
          <w:rFonts w:cs="Arial"/>
        </w:rPr>
        <w:t>382.752.816</w:t>
      </w:r>
      <w:r w:rsidRPr="001650A8">
        <w:rPr>
          <w:rFonts w:cs="Arial"/>
        </w:rPr>
        <w:t xml:space="preserve"> EUR (EU del), kar je </w:t>
      </w:r>
      <w:r w:rsidR="39E9D8B5" w:rsidRPr="001650A8">
        <w:rPr>
          <w:rFonts w:cs="Arial"/>
        </w:rPr>
        <w:t>12</w:t>
      </w:r>
      <w:r w:rsidRPr="001650A8">
        <w:rPr>
          <w:rFonts w:cs="Arial"/>
        </w:rPr>
        <w:t xml:space="preserve"> % razpoložljivih sredstev. </w:t>
      </w:r>
    </w:p>
    <w:p w14:paraId="1F635CC3" w14:textId="77777777" w:rsidR="0030659F" w:rsidRDefault="0030659F" w:rsidP="7E32E97F">
      <w:pPr>
        <w:autoSpaceDN/>
        <w:spacing w:after="0" w:line="288" w:lineRule="auto"/>
        <w:jc w:val="both"/>
        <w:rPr>
          <w:rFonts w:cs="Arial"/>
          <w:highlight w:val="yellow"/>
        </w:rPr>
      </w:pPr>
    </w:p>
    <w:p w14:paraId="1662D9D7" w14:textId="27796504" w:rsidR="002E6782" w:rsidRDefault="002E6782" w:rsidP="7E32E97F">
      <w:pPr>
        <w:autoSpaceDN/>
        <w:spacing w:after="0" w:line="288" w:lineRule="auto"/>
        <w:jc w:val="both"/>
        <w:rPr>
          <w:rFonts w:cs="Arial"/>
          <w:highlight w:val="yellow"/>
        </w:rPr>
      </w:pPr>
      <w:r w:rsidRPr="002E6782">
        <w:rPr>
          <w:rFonts w:cs="Arial"/>
        </w:rPr>
        <w:t>V drugi polovici polletja je bilo delo MKRR osredotočeno na operativno obvladovanje tveganj za doseganje finančnih mejnikov ter na pripravo in sprejem obsežne spremembe Programa EKP 2021–2027.</w:t>
      </w:r>
    </w:p>
    <w:p w14:paraId="0CF3B530" w14:textId="77777777" w:rsidR="002E6782" w:rsidRDefault="002E6782" w:rsidP="7E32E97F">
      <w:pPr>
        <w:autoSpaceDN/>
        <w:spacing w:after="0" w:line="288" w:lineRule="auto"/>
        <w:jc w:val="both"/>
        <w:rPr>
          <w:rFonts w:cs="Arial"/>
          <w:highlight w:val="yellow"/>
        </w:rPr>
      </w:pPr>
    </w:p>
    <w:p w14:paraId="3A267F94" w14:textId="5EEEA943" w:rsidR="00396725" w:rsidRPr="000C4A26" w:rsidRDefault="001B41E1" w:rsidP="7E32E97F">
      <w:pPr>
        <w:autoSpaceDN/>
        <w:spacing w:after="0"/>
        <w:jc w:val="both"/>
        <w:rPr>
          <w:rFonts w:eastAsia="HGGothicM" w:cs="Arial"/>
          <w:highlight w:val="yellow"/>
          <w:lang w:eastAsia="x-none"/>
        </w:rPr>
      </w:pPr>
      <w:r w:rsidRPr="001B41E1">
        <w:rPr>
          <w:rFonts w:cs="Arial"/>
        </w:rPr>
        <w:t>Vlada Republike Slovenije je</w:t>
      </w:r>
      <w:r w:rsidR="002E6782">
        <w:rPr>
          <w:rFonts w:cs="Arial"/>
        </w:rPr>
        <w:t xml:space="preserve"> v drugem polletju</w:t>
      </w:r>
      <w:r w:rsidRPr="001B41E1">
        <w:rPr>
          <w:rFonts w:cs="Arial"/>
        </w:rPr>
        <w:t xml:space="preserve"> potrdila drugo spremembo Programa evropske kohezijske politike za obdobje 2021</w:t>
      </w:r>
      <w:r w:rsidR="00E61ABB">
        <w:rPr>
          <w:rFonts w:cs="Arial"/>
        </w:rPr>
        <w:t>–</w:t>
      </w:r>
      <w:r w:rsidRPr="001B41E1">
        <w:rPr>
          <w:rFonts w:cs="Arial"/>
        </w:rPr>
        <w:t>2027, s katero se država prilagaja novim geopolitičnim, varnostnim in gospodarskim razmeram ter hkrati pospešuje črpanje evropskih sredstev v drugi polovici finančne perspektive. Spremembe programa prinašajo prerazporeditev nepovratnih sredstev na prednostna področja z največjim razvojnim učinkom, med katerimi so konkurenčnost gospodarstva, energetska varnost, obramba in dostopna stanovanjska politika</w:t>
      </w:r>
      <w:r>
        <w:rPr>
          <w:rFonts w:cs="Arial"/>
        </w:rPr>
        <w:t xml:space="preserve">. </w:t>
      </w:r>
      <w:r w:rsidR="002E6782">
        <w:rPr>
          <w:rFonts w:cs="Arial"/>
        </w:rPr>
        <w:t xml:space="preserve">Prav tako </w:t>
      </w:r>
      <w:bookmarkStart w:id="105" w:name="_Hlk171404463"/>
      <w:bookmarkEnd w:id="104"/>
      <w:r w:rsidR="002E6782" w:rsidRPr="002E6782">
        <w:rPr>
          <w:rFonts w:eastAsia="HGGothicM" w:cs="Arial"/>
        </w:rPr>
        <w:t>prinaša tudi nekaj sistemskih ugodnosti, kot je denimo podaljšanje izvajanja EKP do konca leta 2030 in višja stopnja sofinanciranja za nove cilje</w:t>
      </w:r>
      <w:r w:rsidR="00FF51F2">
        <w:rPr>
          <w:rFonts w:eastAsia="HGGothicM" w:cs="Arial"/>
        </w:rPr>
        <w:t>.</w:t>
      </w:r>
    </w:p>
    <w:p w14:paraId="39C7D27D" w14:textId="6C1EE32C" w:rsidR="005F2E2D" w:rsidRPr="000C4A26" w:rsidRDefault="005F2E2D" w:rsidP="7E32E97F">
      <w:pPr>
        <w:autoSpaceDN/>
        <w:spacing w:after="0" w:line="276" w:lineRule="auto"/>
        <w:jc w:val="both"/>
        <w:rPr>
          <w:rFonts w:eastAsia="HGGothicM" w:cs="Arial"/>
          <w:highlight w:val="yellow"/>
          <w:lang w:eastAsia="x-none"/>
        </w:rPr>
      </w:pPr>
    </w:p>
    <w:p w14:paraId="0D1648A8" w14:textId="2B52CBCB" w:rsidR="009D68EB" w:rsidRPr="00D315EB" w:rsidRDefault="009763C5" w:rsidP="001650A8">
      <w:pPr>
        <w:spacing w:after="0" w:line="288" w:lineRule="auto"/>
        <w:ind w:right="286"/>
        <w:jc w:val="both"/>
        <w:rPr>
          <w:rFonts w:eastAsia="HGGothicM" w:cs="Arial"/>
          <w:lang w:eastAsia="x-none"/>
        </w:rPr>
        <w:sectPr w:rsidR="009D68EB" w:rsidRPr="00D315EB" w:rsidSect="009D68EB">
          <w:headerReference w:type="default" r:id="rId19"/>
          <w:footerReference w:type="default" r:id="rId20"/>
          <w:pgSz w:w="11900" w:h="16840" w:code="9"/>
          <w:pgMar w:top="1701" w:right="1135" w:bottom="1418" w:left="1265" w:header="851" w:footer="327" w:gutter="0"/>
          <w:pgNumType w:start="1"/>
          <w:cols w:space="708"/>
          <w:titlePg/>
          <w:docGrid w:linePitch="272"/>
        </w:sectPr>
      </w:pPr>
      <w:r w:rsidRPr="001650A8">
        <w:rPr>
          <w:rFonts w:cs="Arial"/>
        </w:rPr>
        <w:t xml:space="preserve">Poročilo o izvajanju </w:t>
      </w:r>
      <w:r w:rsidR="001776B6">
        <w:rPr>
          <w:rFonts w:cs="Arial"/>
        </w:rPr>
        <w:t>in zaključevanju EKP</w:t>
      </w:r>
      <w:r w:rsidRPr="001650A8">
        <w:rPr>
          <w:rFonts w:cs="Arial"/>
        </w:rPr>
        <w:t xml:space="preserve"> 2014–2020</w:t>
      </w:r>
      <w:r w:rsidR="006114EA" w:rsidRPr="001650A8">
        <w:rPr>
          <w:rFonts w:cs="Arial"/>
        </w:rPr>
        <w:t xml:space="preserve"> je predstavljeno v zadnjem poglavju poročila</w:t>
      </w:r>
      <w:r w:rsidR="001776B6">
        <w:rPr>
          <w:rFonts w:cs="Arial"/>
        </w:rPr>
        <w:t xml:space="preserve"> ter</w:t>
      </w:r>
      <w:r w:rsidR="006114EA" w:rsidRPr="001650A8">
        <w:rPr>
          <w:rFonts w:cs="Arial"/>
        </w:rPr>
        <w:t xml:space="preserve"> </w:t>
      </w:r>
      <w:r w:rsidR="001776B6">
        <w:rPr>
          <w:rFonts w:cs="Arial"/>
        </w:rPr>
        <w:t>p</w:t>
      </w:r>
      <w:r w:rsidRPr="001650A8">
        <w:rPr>
          <w:rFonts w:cs="Arial"/>
        </w:rPr>
        <w:t>ovzema pregled stanja na dan 3</w:t>
      </w:r>
      <w:r w:rsidR="002E6782" w:rsidRPr="001650A8">
        <w:rPr>
          <w:rFonts w:cs="Arial"/>
        </w:rPr>
        <w:t>1</w:t>
      </w:r>
      <w:r w:rsidRPr="001650A8">
        <w:rPr>
          <w:rFonts w:cs="Arial"/>
        </w:rPr>
        <w:t xml:space="preserve">. </w:t>
      </w:r>
      <w:r w:rsidR="002E6782" w:rsidRPr="001650A8">
        <w:rPr>
          <w:rFonts w:cs="Arial"/>
        </w:rPr>
        <w:t>12</w:t>
      </w:r>
      <w:r w:rsidRPr="001650A8">
        <w:rPr>
          <w:rFonts w:cs="Arial"/>
        </w:rPr>
        <w:t>. 202</w:t>
      </w:r>
      <w:r w:rsidR="2A9AFC34" w:rsidRPr="001650A8">
        <w:rPr>
          <w:rFonts w:cs="Arial"/>
        </w:rPr>
        <w:t xml:space="preserve">5. </w:t>
      </w:r>
      <w:r w:rsidR="001776B6">
        <w:rPr>
          <w:rFonts w:cs="Arial"/>
        </w:rPr>
        <w:t>V</w:t>
      </w:r>
      <w:r w:rsidR="006114EA" w:rsidRPr="001650A8">
        <w:rPr>
          <w:rFonts w:cs="Arial"/>
        </w:rPr>
        <w:t xml:space="preserve"> navedenem obdobju so bile do </w:t>
      </w:r>
      <w:r w:rsidRPr="001650A8">
        <w:rPr>
          <w:rFonts w:cs="Arial"/>
          <w:color w:val="000000" w:themeColor="text1"/>
        </w:rPr>
        <w:t>konca leta 202</w:t>
      </w:r>
      <w:r w:rsidR="002E6782" w:rsidRPr="001650A8">
        <w:rPr>
          <w:rFonts w:cs="Arial"/>
          <w:color w:val="000000" w:themeColor="text1"/>
        </w:rPr>
        <w:t>5</w:t>
      </w:r>
      <w:r w:rsidRPr="001650A8">
        <w:rPr>
          <w:rFonts w:cs="Arial"/>
          <w:color w:val="000000" w:themeColor="text1"/>
        </w:rPr>
        <w:t xml:space="preserve"> izdane vse odločitve o podp</w:t>
      </w:r>
      <w:r w:rsidR="65C9D1CF" w:rsidRPr="001650A8">
        <w:rPr>
          <w:rFonts w:cs="Arial"/>
          <w:color w:val="000000" w:themeColor="text1"/>
        </w:rPr>
        <w:t>o</w:t>
      </w:r>
      <w:r w:rsidRPr="001650A8">
        <w:rPr>
          <w:rFonts w:cs="Arial"/>
          <w:color w:val="000000" w:themeColor="text1"/>
        </w:rPr>
        <w:t xml:space="preserve">ri ter izvedena vsa izplačila, </w:t>
      </w:r>
      <w:r w:rsidR="006114EA" w:rsidRPr="001650A8">
        <w:rPr>
          <w:rFonts w:cs="Arial"/>
          <w:color w:val="000000" w:themeColor="text1"/>
        </w:rPr>
        <w:t xml:space="preserve">medtem ko </w:t>
      </w:r>
      <w:r w:rsidRPr="001650A8">
        <w:rPr>
          <w:rFonts w:cs="Arial"/>
          <w:color w:val="000000" w:themeColor="text1"/>
        </w:rPr>
        <w:t xml:space="preserve">zaključevanje </w:t>
      </w:r>
      <w:r w:rsidR="006114EA" w:rsidRPr="001650A8">
        <w:rPr>
          <w:rFonts w:cs="Arial"/>
          <w:color w:val="000000" w:themeColor="text1"/>
        </w:rPr>
        <w:t xml:space="preserve">posameznih </w:t>
      </w:r>
      <w:r w:rsidRPr="001650A8">
        <w:rPr>
          <w:rFonts w:cs="Arial"/>
          <w:color w:val="000000" w:themeColor="text1"/>
        </w:rPr>
        <w:t xml:space="preserve">operacij </w:t>
      </w:r>
      <w:r w:rsidR="4B5711B4" w:rsidRPr="001650A8">
        <w:rPr>
          <w:rFonts w:cs="Arial"/>
          <w:color w:val="000000" w:themeColor="text1"/>
        </w:rPr>
        <w:t xml:space="preserve">oz. Operativnega programa </w:t>
      </w:r>
      <w:r w:rsidR="001776B6">
        <w:rPr>
          <w:rFonts w:cs="Arial"/>
          <w:color w:val="000000" w:themeColor="text1"/>
        </w:rPr>
        <w:t xml:space="preserve">2014–2020 </w:t>
      </w:r>
      <w:r w:rsidR="4B5711B4" w:rsidRPr="001650A8">
        <w:rPr>
          <w:rFonts w:cs="Arial"/>
          <w:color w:val="000000" w:themeColor="text1"/>
        </w:rPr>
        <w:t>kot celote</w:t>
      </w:r>
      <w:r w:rsidR="006114EA" w:rsidRPr="001650A8">
        <w:rPr>
          <w:rFonts w:cs="Arial"/>
          <w:color w:val="000000" w:themeColor="text1"/>
        </w:rPr>
        <w:t xml:space="preserve"> še poteka</w:t>
      </w:r>
      <w:r w:rsidR="4B5711B4" w:rsidRPr="001650A8">
        <w:rPr>
          <w:rFonts w:cs="Arial"/>
          <w:color w:val="000000" w:themeColor="text1"/>
        </w:rPr>
        <w:t>.</w:t>
      </w:r>
      <w:r w:rsidR="006114EA" w:rsidRPr="003631ED">
        <w:rPr>
          <w:rFonts w:cs="Arial"/>
          <w:color w:val="000000" w:themeColor="text1"/>
        </w:rPr>
        <w:t xml:space="preserve"> V prilogi 2 Poročila pa je predstavljeno tudi Poročilo o delu</w:t>
      </w:r>
      <w:r w:rsidR="4B5711B4" w:rsidRPr="003631ED">
        <w:rPr>
          <w:rFonts w:cs="Arial"/>
          <w:color w:val="000000" w:themeColor="text1"/>
        </w:rPr>
        <w:t xml:space="preserve"> </w:t>
      </w:r>
      <w:r w:rsidR="006114EA" w:rsidRPr="003631ED">
        <w:rPr>
          <w:rFonts w:cs="Arial"/>
          <w:color w:val="000000" w:themeColor="text1"/>
        </w:rPr>
        <w:t>Delovne skupine vlade za podporo izvajanju Slovenske strategije trajnostne pametne specializacije (DSV S5) v letu 2025</w:t>
      </w:r>
      <w:r w:rsidR="006114EA" w:rsidRPr="003631ED">
        <w:rPr>
          <w:rFonts w:eastAsia="HGGothicM" w:cs="Arial"/>
          <w:lang w:eastAsia="x-none"/>
        </w:rPr>
        <w:t>.</w:t>
      </w:r>
      <w:bookmarkEnd w:id="105"/>
    </w:p>
    <w:p w14:paraId="39427C39" w14:textId="17ABE081" w:rsidR="000E7A5A" w:rsidRPr="0025033E" w:rsidRDefault="4CC901AF" w:rsidP="003E671B">
      <w:pPr>
        <w:pStyle w:val="Naslov10"/>
        <w:numPr>
          <w:ilvl w:val="0"/>
          <w:numId w:val="0"/>
        </w:numPr>
        <w:spacing w:before="0" w:after="0" w:line="276" w:lineRule="auto"/>
        <w:ind w:left="432" w:hanging="432"/>
        <w:rPr>
          <w:rFonts w:cs="Arial"/>
        </w:rPr>
      </w:pPr>
      <w:bookmarkStart w:id="106" w:name="_Toc219974398"/>
      <w:r w:rsidRPr="7E32E97F">
        <w:rPr>
          <w:rFonts w:cs="Arial"/>
        </w:rPr>
        <w:lastRenderedPageBreak/>
        <w:t>UVOD</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6"/>
      <w:r w:rsidRPr="7E32E97F">
        <w:rPr>
          <w:rFonts w:cs="Arial"/>
        </w:rPr>
        <w:t xml:space="preserve"> </w:t>
      </w:r>
    </w:p>
    <w:p w14:paraId="07751468" w14:textId="19D46035" w:rsidR="009D68EB" w:rsidRDefault="5E916F02" w:rsidP="7E32E97F">
      <w:pPr>
        <w:spacing w:after="0" w:line="276" w:lineRule="auto"/>
        <w:jc w:val="both"/>
        <w:rPr>
          <w:rFonts w:cs="Arial"/>
        </w:rPr>
      </w:pPr>
      <w:r w:rsidRPr="7E32E97F">
        <w:rPr>
          <w:rFonts w:cs="Arial"/>
        </w:rPr>
        <w:t>Evropska unija s finančnimi sredstvi podpira projekte in programe na različnih področjih</w:t>
      </w:r>
      <w:r w:rsidR="56F757EA" w:rsidRPr="7E32E97F">
        <w:rPr>
          <w:rFonts w:cs="Arial"/>
        </w:rPr>
        <w:t>,</w:t>
      </w:r>
      <w:r w:rsidR="0F11E6BB" w:rsidRPr="7E32E97F">
        <w:rPr>
          <w:rFonts w:cs="Arial"/>
        </w:rPr>
        <w:t xml:space="preserve"> kot so</w:t>
      </w:r>
      <w:r w:rsidRPr="7E32E97F">
        <w:rPr>
          <w:rFonts w:cs="Arial"/>
        </w:rPr>
        <w:t xml:space="preserve"> regionalni in urbani razvoj, zaposlovanje in socialno vključevanje, kmetijstvo in razvoj podeželja, pomorske zadeve in ribištvo, raziskave in inovacije, podpora malim in srednje velikim podjetjem</w:t>
      </w:r>
      <w:r w:rsidR="297E5416" w:rsidRPr="7E32E97F">
        <w:rPr>
          <w:rFonts w:cs="Arial"/>
        </w:rPr>
        <w:t xml:space="preserve"> ipd</w:t>
      </w:r>
      <w:r w:rsidRPr="7E32E97F">
        <w:rPr>
          <w:rFonts w:cs="Arial"/>
        </w:rPr>
        <w:t>.</w:t>
      </w:r>
      <w:r w:rsidR="00C25C29">
        <w:rPr>
          <w:rFonts w:cs="Arial"/>
        </w:rPr>
        <w:t xml:space="preserve"> </w:t>
      </w:r>
      <w:r w:rsidRPr="7E32E97F">
        <w:rPr>
          <w:rFonts w:cs="Arial"/>
        </w:rPr>
        <w:t xml:space="preserve">Upravljanje proračunskih sredstev EU poteka v partnerstvu med EK in državo članico v skladu z načelom deljenega upravljanja, in sicer predvsem upravljanje sredstev strukturnih in investicijskih skladov, ki jih urejajo skupna določila, opredeljena v Skupnem strateškem okviru. </w:t>
      </w:r>
    </w:p>
    <w:p w14:paraId="37D3401C" w14:textId="77777777" w:rsidR="00AB13F1" w:rsidRDefault="00AB13F1" w:rsidP="7E32E97F">
      <w:pPr>
        <w:spacing w:after="0" w:line="276" w:lineRule="auto"/>
        <w:jc w:val="both"/>
        <w:rPr>
          <w:rFonts w:cs="Arial"/>
        </w:rPr>
      </w:pPr>
    </w:p>
    <w:p w14:paraId="5D11D304" w14:textId="46AD97E1" w:rsidR="009D68EB" w:rsidRPr="00E20BAC" w:rsidRDefault="0F11E6BB" w:rsidP="00ED5676">
      <w:pPr>
        <w:spacing w:after="0" w:line="276" w:lineRule="auto"/>
        <w:jc w:val="both"/>
        <w:rPr>
          <w:rFonts w:cs="Arial"/>
        </w:rPr>
      </w:pPr>
      <w:r w:rsidRPr="7E32E97F">
        <w:rPr>
          <w:rFonts w:cs="Arial"/>
        </w:rPr>
        <w:t xml:space="preserve">Predmet poročila je </w:t>
      </w:r>
      <w:r w:rsidR="09500449" w:rsidRPr="7E32E97F">
        <w:rPr>
          <w:rFonts w:cs="Arial"/>
        </w:rPr>
        <w:t xml:space="preserve">podati informacijo o </w:t>
      </w:r>
      <w:r w:rsidRPr="7E32E97F">
        <w:rPr>
          <w:rFonts w:cs="Arial"/>
        </w:rPr>
        <w:t>izvajanj</w:t>
      </w:r>
      <w:r w:rsidR="7C29BD97" w:rsidRPr="7E32E97F">
        <w:rPr>
          <w:rFonts w:cs="Arial"/>
        </w:rPr>
        <w:t>u</w:t>
      </w:r>
      <w:r w:rsidRPr="7E32E97F">
        <w:rPr>
          <w:rFonts w:cs="Arial"/>
        </w:rPr>
        <w:t xml:space="preserve"> </w:t>
      </w:r>
      <w:r w:rsidR="14B996BB" w:rsidRPr="7E32E97F">
        <w:rPr>
          <w:rFonts w:cs="Arial"/>
        </w:rPr>
        <w:t>p</w:t>
      </w:r>
      <w:r w:rsidRPr="7E32E97F">
        <w:rPr>
          <w:rFonts w:cs="Arial"/>
        </w:rPr>
        <w:t>rogramov evropske kohezijske politike</w:t>
      </w:r>
      <w:r w:rsidR="17BEBDE2" w:rsidRPr="7E32E97F">
        <w:rPr>
          <w:rFonts w:cs="Arial"/>
        </w:rPr>
        <w:t>,</w:t>
      </w:r>
      <w:r w:rsidRPr="7E32E97F">
        <w:rPr>
          <w:rFonts w:cs="Arial"/>
        </w:rPr>
        <w:t xml:space="preserve"> </w:t>
      </w:r>
      <w:r w:rsidR="17BEBDE2" w:rsidRPr="7E32E97F">
        <w:rPr>
          <w:rFonts w:cs="Arial"/>
        </w:rPr>
        <w:t>ki j</w:t>
      </w:r>
      <w:r w:rsidR="58CBF522" w:rsidRPr="7E32E97F">
        <w:rPr>
          <w:rFonts w:cs="Arial"/>
        </w:rPr>
        <w:t>ih</w:t>
      </w:r>
      <w:r w:rsidR="5E916F02" w:rsidRPr="7E32E97F">
        <w:rPr>
          <w:rFonts w:cs="Arial"/>
        </w:rPr>
        <w:t xml:space="preserve"> Ministrstv</w:t>
      </w:r>
      <w:r w:rsidR="65DC9AEA" w:rsidRPr="7E32E97F">
        <w:rPr>
          <w:rFonts w:cs="Arial"/>
        </w:rPr>
        <w:t>o</w:t>
      </w:r>
      <w:r w:rsidR="5E916F02" w:rsidRPr="7E32E97F">
        <w:rPr>
          <w:rFonts w:cs="Arial"/>
        </w:rPr>
        <w:t xml:space="preserve"> za kohezijo in regionalni razvoj (MKRR), </w:t>
      </w:r>
      <w:r w:rsidR="375624DD" w:rsidRPr="7E32E97F">
        <w:rPr>
          <w:rFonts w:cs="Arial"/>
        </w:rPr>
        <w:t>v vlogi</w:t>
      </w:r>
      <w:r w:rsidR="5E916F02" w:rsidRPr="7E32E97F">
        <w:rPr>
          <w:rFonts w:cs="Arial"/>
        </w:rPr>
        <w:t xml:space="preserve"> organa upravljanja</w:t>
      </w:r>
      <w:r w:rsidR="1A9A2848" w:rsidRPr="7E32E97F">
        <w:rPr>
          <w:rFonts w:cs="Arial"/>
        </w:rPr>
        <w:t xml:space="preserve"> </w:t>
      </w:r>
      <w:r w:rsidR="0EF94676" w:rsidRPr="7E32E97F">
        <w:rPr>
          <w:rFonts w:cs="Arial"/>
        </w:rPr>
        <w:t>(OU)</w:t>
      </w:r>
      <w:r w:rsidR="5E916F02" w:rsidRPr="7E32E97F">
        <w:rPr>
          <w:rFonts w:cs="Arial"/>
        </w:rPr>
        <w:t xml:space="preserve"> za evropske strukturne in investicijske sklade</w:t>
      </w:r>
      <w:r w:rsidR="0A04173B" w:rsidRPr="7E32E97F">
        <w:rPr>
          <w:rFonts w:cs="Arial"/>
        </w:rPr>
        <w:t xml:space="preserve">, </w:t>
      </w:r>
      <w:r w:rsidR="14B3AF55" w:rsidRPr="7E32E97F">
        <w:rPr>
          <w:rFonts w:cs="Arial"/>
        </w:rPr>
        <w:t>izvaja v sodelovanju s 1</w:t>
      </w:r>
      <w:r w:rsidR="76CCFE8C" w:rsidRPr="7E32E97F">
        <w:rPr>
          <w:rFonts w:cs="Arial"/>
        </w:rPr>
        <w:t>5</w:t>
      </w:r>
      <w:r w:rsidR="14B3AF55" w:rsidRPr="7E32E97F">
        <w:rPr>
          <w:rFonts w:cs="Arial"/>
        </w:rPr>
        <w:t xml:space="preserve"> </w:t>
      </w:r>
      <w:r w:rsidR="0545A023" w:rsidRPr="7E32E97F">
        <w:rPr>
          <w:rFonts w:cs="Arial"/>
        </w:rPr>
        <w:t xml:space="preserve">posredniškimi telesi in Ministrstvom za finance. </w:t>
      </w:r>
      <w:r w:rsidRPr="7E32E97F">
        <w:rPr>
          <w:rFonts w:cs="Arial"/>
        </w:rPr>
        <w:t xml:space="preserve">V programskem </w:t>
      </w:r>
      <w:r w:rsidR="337735FB" w:rsidRPr="7E32E97F">
        <w:rPr>
          <w:rFonts w:cs="Arial"/>
        </w:rPr>
        <w:t>obdobj</w:t>
      </w:r>
      <w:r w:rsidRPr="7E32E97F">
        <w:rPr>
          <w:rFonts w:cs="Arial"/>
        </w:rPr>
        <w:t>u</w:t>
      </w:r>
      <w:r w:rsidR="337735FB" w:rsidRPr="7E32E97F">
        <w:rPr>
          <w:rFonts w:cs="Arial"/>
        </w:rPr>
        <w:t xml:space="preserve"> 2021–2027 </w:t>
      </w:r>
      <w:r w:rsidRPr="7E32E97F">
        <w:rPr>
          <w:rFonts w:cs="Arial"/>
        </w:rPr>
        <w:t xml:space="preserve">se izvaja </w:t>
      </w:r>
      <w:r w:rsidR="337735FB" w:rsidRPr="7E32E97F">
        <w:rPr>
          <w:rFonts w:cs="Arial"/>
        </w:rPr>
        <w:t>Program evropske kohezijske politike (PEKP)</w:t>
      </w:r>
      <w:r w:rsidR="67C35F5A" w:rsidRPr="7E32E97F">
        <w:rPr>
          <w:rFonts w:cs="Arial"/>
        </w:rPr>
        <w:t>,</w:t>
      </w:r>
      <w:r w:rsidR="337735FB" w:rsidRPr="7E32E97F">
        <w:rPr>
          <w:rFonts w:cs="Arial"/>
        </w:rPr>
        <w:t xml:space="preserve"> v </w:t>
      </w:r>
      <w:r w:rsidR="0C2F9E26" w:rsidRPr="7E32E97F">
        <w:rPr>
          <w:rFonts w:cs="Arial"/>
        </w:rPr>
        <w:t>okviru katerega se izvajajo projekti sofinancira</w:t>
      </w:r>
      <w:r w:rsidR="254DFECB" w:rsidRPr="7E32E97F">
        <w:rPr>
          <w:rFonts w:cs="Arial"/>
        </w:rPr>
        <w:t>ni</w:t>
      </w:r>
      <w:r w:rsidR="0C2F9E26" w:rsidRPr="7E32E97F">
        <w:rPr>
          <w:rFonts w:cs="Arial"/>
        </w:rPr>
        <w:t xml:space="preserve"> iz </w:t>
      </w:r>
      <w:r w:rsidR="337735FB" w:rsidRPr="7E32E97F">
        <w:rPr>
          <w:rFonts w:cs="Arial"/>
        </w:rPr>
        <w:t>štir</w:t>
      </w:r>
      <w:r w:rsidR="1A9A2848" w:rsidRPr="7E32E97F">
        <w:rPr>
          <w:rFonts w:cs="Arial"/>
        </w:rPr>
        <w:t>ih</w:t>
      </w:r>
      <w:r w:rsidR="337735FB" w:rsidRPr="7E32E97F">
        <w:rPr>
          <w:rFonts w:cs="Arial"/>
        </w:rPr>
        <w:t xml:space="preserve"> sklad</w:t>
      </w:r>
      <w:r w:rsidR="42B470EC" w:rsidRPr="7E32E97F">
        <w:rPr>
          <w:rFonts w:cs="Arial"/>
        </w:rPr>
        <w:t>ov</w:t>
      </w:r>
      <w:r w:rsidR="337735FB" w:rsidRPr="7E32E97F">
        <w:rPr>
          <w:rFonts w:cs="Arial"/>
        </w:rPr>
        <w:t>: Kohezijsk</w:t>
      </w:r>
      <w:r w:rsidR="4328F246" w:rsidRPr="7E32E97F">
        <w:rPr>
          <w:rFonts w:cs="Arial"/>
        </w:rPr>
        <w:t>ega</w:t>
      </w:r>
      <w:r w:rsidR="337735FB" w:rsidRPr="7E32E97F">
        <w:rPr>
          <w:rFonts w:cs="Arial"/>
        </w:rPr>
        <w:t xml:space="preserve"> sklad</w:t>
      </w:r>
      <w:r w:rsidR="289637DD" w:rsidRPr="7E32E97F">
        <w:rPr>
          <w:rFonts w:cs="Arial"/>
        </w:rPr>
        <w:t>a</w:t>
      </w:r>
      <w:r w:rsidR="337735FB" w:rsidRPr="7E32E97F">
        <w:rPr>
          <w:rFonts w:cs="Arial"/>
        </w:rPr>
        <w:t xml:space="preserve"> (KS), Evropsk</w:t>
      </w:r>
      <w:r w:rsidR="4E5B8270" w:rsidRPr="7E32E97F">
        <w:rPr>
          <w:rFonts w:cs="Arial"/>
        </w:rPr>
        <w:t>ega</w:t>
      </w:r>
      <w:r w:rsidR="337735FB" w:rsidRPr="7E32E97F">
        <w:rPr>
          <w:rFonts w:cs="Arial"/>
        </w:rPr>
        <w:t xml:space="preserve"> sklad</w:t>
      </w:r>
      <w:r w:rsidR="0F8F64B0" w:rsidRPr="7E32E97F">
        <w:rPr>
          <w:rFonts w:cs="Arial"/>
        </w:rPr>
        <w:t>a</w:t>
      </w:r>
      <w:r w:rsidR="337735FB" w:rsidRPr="7E32E97F">
        <w:rPr>
          <w:rFonts w:cs="Arial"/>
        </w:rPr>
        <w:t xml:space="preserve"> za regionalni razvoj (ESRR), Evropsk</w:t>
      </w:r>
      <w:r w:rsidR="50FF6489" w:rsidRPr="7E32E97F">
        <w:rPr>
          <w:rFonts w:cs="Arial"/>
        </w:rPr>
        <w:t>ega</w:t>
      </w:r>
      <w:r w:rsidR="337735FB" w:rsidRPr="7E32E97F">
        <w:rPr>
          <w:rFonts w:cs="Arial"/>
        </w:rPr>
        <w:t xml:space="preserve"> socialn</w:t>
      </w:r>
      <w:r w:rsidR="213FA10B" w:rsidRPr="7E32E97F">
        <w:rPr>
          <w:rFonts w:cs="Arial"/>
        </w:rPr>
        <w:t>ega</w:t>
      </w:r>
      <w:r w:rsidR="337735FB" w:rsidRPr="7E32E97F">
        <w:rPr>
          <w:rFonts w:cs="Arial"/>
        </w:rPr>
        <w:t xml:space="preserve"> sklad</w:t>
      </w:r>
      <w:r w:rsidR="10C48737" w:rsidRPr="7E32E97F">
        <w:rPr>
          <w:rFonts w:cs="Arial"/>
        </w:rPr>
        <w:t>a</w:t>
      </w:r>
      <w:r w:rsidR="337735FB" w:rsidRPr="7E32E97F">
        <w:rPr>
          <w:rFonts w:cs="Arial"/>
        </w:rPr>
        <w:t xml:space="preserve"> plus (ESS+) in Sklad</w:t>
      </w:r>
      <w:r w:rsidR="065CD1DC" w:rsidRPr="7E32E97F">
        <w:rPr>
          <w:rFonts w:cs="Arial"/>
        </w:rPr>
        <w:t>a</w:t>
      </w:r>
      <w:r w:rsidR="337735FB" w:rsidRPr="7E32E97F">
        <w:rPr>
          <w:rFonts w:cs="Arial"/>
        </w:rPr>
        <w:t xml:space="preserve"> za pravični prehod (SPP). Slovenija je v programskem obdobju 2021–2027 </w:t>
      </w:r>
      <w:r w:rsidR="337735FB" w:rsidRPr="00ED6775">
        <w:rPr>
          <w:rFonts w:cs="Arial"/>
        </w:rPr>
        <w:t>upravičena do 3,2 milijarde evrov</w:t>
      </w:r>
      <w:r w:rsidR="337735FB" w:rsidRPr="7E32E97F">
        <w:rPr>
          <w:rFonts w:cs="Arial"/>
        </w:rPr>
        <w:t xml:space="preserve"> evropskih sredstev. </w:t>
      </w:r>
      <w:r w:rsidRPr="5E819E66">
        <w:rPr>
          <w:rFonts w:cs="Arial"/>
        </w:rPr>
        <w:t xml:space="preserve">V okviru programskega obdobja </w:t>
      </w:r>
      <w:r w:rsidR="5CF35F9E" w:rsidRPr="5E819E66">
        <w:rPr>
          <w:rFonts w:cs="Arial"/>
        </w:rPr>
        <w:t>2014–2020</w:t>
      </w:r>
      <w:r w:rsidRPr="5E819E66">
        <w:rPr>
          <w:rFonts w:cs="Arial"/>
        </w:rPr>
        <w:t xml:space="preserve"> se izvaja </w:t>
      </w:r>
      <w:r w:rsidR="5E916F02" w:rsidRPr="5E819E66">
        <w:rPr>
          <w:rFonts w:cs="Arial"/>
        </w:rPr>
        <w:t xml:space="preserve">Operativni program za izvajanje evropske kohezijske politike 2014–2020, </w:t>
      </w:r>
      <w:r w:rsidRPr="5E819E66">
        <w:rPr>
          <w:rFonts w:cs="Arial"/>
        </w:rPr>
        <w:t xml:space="preserve">s </w:t>
      </w:r>
      <w:r w:rsidR="5E916F02" w:rsidRPr="5E819E66">
        <w:rPr>
          <w:rFonts w:cs="Arial"/>
        </w:rPr>
        <w:t>cilj</w:t>
      </w:r>
      <w:r w:rsidRPr="5E819E66">
        <w:rPr>
          <w:rFonts w:cs="Arial"/>
        </w:rPr>
        <w:t>em »</w:t>
      </w:r>
      <w:r w:rsidR="5E916F02" w:rsidRPr="5E819E66">
        <w:rPr>
          <w:rFonts w:cs="Arial"/>
        </w:rPr>
        <w:t>naložbe za rast in delovna mesta</w:t>
      </w:r>
      <w:r w:rsidRPr="5E819E66">
        <w:rPr>
          <w:rFonts w:cs="Arial"/>
        </w:rPr>
        <w:t>«</w:t>
      </w:r>
      <w:r w:rsidR="5E916F02" w:rsidRPr="5E819E66">
        <w:rPr>
          <w:rFonts w:cs="Arial"/>
        </w:rPr>
        <w:t xml:space="preserve">, ki je </w:t>
      </w:r>
      <w:r w:rsidRPr="5E819E66">
        <w:rPr>
          <w:rFonts w:cs="Arial"/>
        </w:rPr>
        <w:t xml:space="preserve">omogočil </w:t>
      </w:r>
      <w:r w:rsidR="5E916F02" w:rsidRPr="5E819E66">
        <w:rPr>
          <w:rFonts w:cs="Arial"/>
        </w:rPr>
        <w:t>koriščenje sredstev v vrednosti 3,336 milijarde evrov</w:t>
      </w:r>
      <w:r w:rsidR="009D68EB" w:rsidRPr="5E819E66">
        <w:rPr>
          <w:rFonts w:cs="Arial"/>
          <w:vertAlign w:val="superscript"/>
        </w:rPr>
        <w:footnoteReference w:id="2"/>
      </w:r>
      <w:r w:rsidR="5E916F02" w:rsidRPr="5E819E66">
        <w:rPr>
          <w:rFonts w:cs="Arial"/>
        </w:rPr>
        <w:t xml:space="preserve"> </w:t>
      </w:r>
      <w:r w:rsidRPr="5E819E66">
        <w:rPr>
          <w:rFonts w:cs="Arial"/>
        </w:rPr>
        <w:t>i</w:t>
      </w:r>
      <w:r w:rsidR="5E916F02" w:rsidRPr="5E819E66">
        <w:rPr>
          <w:rFonts w:cs="Arial"/>
        </w:rPr>
        <w:t xml:space="preserve">z </w:t>
      </w:r>
      <w:r w:rsidR="1BD97311" w:rsidRPr="325CA591">
        <w:rPr>
          <w:rFonts w:cs="Arial"/>
        </w:rPr>
        <w:t xml:space="preserve">treh </w:t>
      </w:r>
      <w:r w:rsidR="5E916F02" w:rsidRPr="325CA591">
        <w:rPr>
          <w:rFonts w:cs="Arial"/>
        </w:rPr>
        <w:t>sklad</w:t>
      </w:r>
      <w:r w:rsidRPr="325CA591">
        <w:rPr>
          <w:rFonts w:cs="Arial"/>
        </w:rPr>
        <w:t>ov</w:t>
      </w:r>
      <w:r w:rsidR="526B791B" w:rsidRPr="325CA591">
        <w:rPr>
          <w:rFonts w:cs="Arial"/>
        </w:rPr>
        <w:t>:</w:t>
      </w:r>
      <w:r w:rsidR="5E916F02" w:rsidRPr="5E819E66">
        <w:rPr>
          <w:rFonts w:cs="Arial"/>
        </w:rPr>
        <w:t xml:space="preserve"> Evropski sklad za regionalni razvoj (ESRR), Evropski socialni sklad (ESS) in Kohezijski sklad (KS)</w:t>
      </w:r>
      <w:r w:rsidRPr="5E819E66">
        <w:rPr>
          <w:rFonts w:cs="Arial"/>
        </w:rPr>
        <w:t xml:space="preserve">. </w:t>
      </w:r>
      <w:r w:rsidR="5E916F02" w:rsidRPr="5E819E66">
        <w:rPr>
          <w:rFonts w:cs="Arial"/>
        </w:rPr>
        <w:t xml:space="preserve">Gre za znatna in pomembna razvojna sredstva, za katera </w:t>
      </w:r>
      <w:r w:rsidR="5E916F02" w:rsidRPr="4153B09A">
        <w:rPr>
          <w:rFonts w:cs="Arial"/>
        </w:rPr>
        <w:t>mora</w:t>
      </w:r>
      <w:r w:rsidR="24E492B9" w:rsidRPr="4153B09A">
        <w:rPr>
          <w:rFonts w:cs="Arial"/>
        </w:rPr>
        <w:t xml:space="preserve"> država članica </w:t>
      </w:r>
      <w:r w:rsidR="5E916F02" w:rsidRPr="5E819E66">
        <w:rPr>
          <w:rFonts w:cs="Arial"/>
        </w:rPr>
        <w:t>zagotoviti, da bodo zakonito, gospodarno in učinkovito porabljena, zastavljeni cilji pa uspešno doseženi.</w:t>
      </w:r>
    </w:p>
    <w:p w14:paraId="0FD938DE" w14:textId="77777777" w:rsidR="009D68EB" w:rsidRPr="00E20BAC" w:rsidRDefault="009D68EB" w:rsidP="7E32E97F">
      <w:pPr>
        <w:spacing w:after="0" w:line="276" w:lineRule="auto"/>
        <w:jc w:val="both"/>
        <w:rPr>
          <w:rFonts w:cs="Arial"/>
        </w:rPr>
      </w:pPr>
    </w:p>
    <w:p w14:paraId="1B674C28" w14:textId="2285A9CC" w:rsidR="009D68EB" w:rsidRPr="00E20BAC" w:rsidRDefault="5E916F02" w:rsidP="00ED5676">
      <w:pPr>
        <w:spacing w:after="0" w:line="276" w:lineRule="auto"/>
        <w:jc w:val="both"/>
        <w:rPr>
          <w:rFonts w:cs="Arial"/>
        </w:rPr>
      </w:pPr>
      <w:r w:rsidRPr="7E32E97F">
        <w:rPr>
          <w:rFonts w:cs="Arial"/>
        </w:rPr>
        <w:t xml:space="preserve">Namen poročila je redno </w:t>
      </w:r>
      <w:r w:rsidR="0F11E6BB" w:rsidRPr="7E32E97F">
        <w:rPr>
          <w:rFonts w:cs="Arial"/>
        </w:rPr>
        <w:t xml:space="preserve">in celovito obveščanje </w:t>
      </w:r>
      <w:r w:rsidRPr="7E32E97F">
        <w:rPr>
          <w:rFonts w:cs="Arial"/>
        </w:rPr>
        <w:t>Vlad</w:t>
      </w:r>
      <w:r w:rsidR="0F11E6BB" w:rsidRPr="7E32E97F">
        <w:rPr>
          <w:rFonts w:cs="Arial"/>
        </w:rPr>
        <w:t>e</w:t>
      </w:r>
      <w:r w:rsidRPr="7E32E97F">
        <w:rPr>
          <w:rFonts w:cs="Arial"/>
        </w:rPr>
        <w:t xml:space="preserve"> RS in pristojn</w:t>
      </w:r>
      <w:r w:rsidR="0F11E6BB" w:rsidRPr="7E32E97F">
        <w:rPr>
          <w:rFonts w:cs="Arial"/>
        </w:rPr>
        <w:t>ega</w:t>
      </w:r>
      <w:r w:rsidRPr="7E32E97F">
        <w:rPr>
          <w:rFonts w:cs="Arial"/>
        </w:rPr>
        <w:t xml:space="preserve"> odbor</w:t>
      </w:r>
      <w:r w:rsidR="0F11E6BB" w:rsidRPr="7E32E97F">
        <w:rPr>
          <w:rFonts w:cs="Arial"/>
        </w:rPr>
        <w:t>a</w:t>
      </w:r>
      <w:r w:rsidRPr="7E32E97F">
        <w:rPr>
          <w:rFonts w:cs="Arial"/>
        </w:rPr>
        <w:t xml:space="preserve"> Državnega zbora</w:t>
      </w:r>
      <w:r w:rsidR="0F11E6BB" w:rsidRPr="7E32E97F">
        <w:rPr>
          <w:rFonts w:cs="Arial"/>
        </w:rPr>
        <w:t xml:space="preserve"> </w:t>
      </w:r>
      <w:r w:rsidR="604D585D" w:rsidRPr="7E32E97F">
        <w:rPr>
          <w:rFonts w:cs="Arial"/>
        </w:rPr>
        <w:t xml:space="preserve">RS </w:t>
      </w:r>
      <w:r w:rsidR="0F11E6BB" w:rsidRPr="7E32E97F">
        <w:rPr>
          <w:rFonts w:cs="Arial"/>
        </w:rPr>
        <w:t>o napredku pri iz</w:t>
      </w:r>
      <w:r w:rsidRPr="7E32E97F">
        <w:rPr>
          <w:rFonts w:cs="Arial"/>
        </w:rPr>
        <w:t>vajanj</w:t>
      </w:r>
      <w:r w:rsidR="0F11E6BB" w:rsidRPr="7E32E97F">
        <w:rPr>
          <w:rFonts w:cs="Arial"/>
        </w:rPr>
        <w:t>u</w:t>
      </w:r>
      <w:r w:rsidRPr="7E32E97F">
        <w:rPr>
          <w:rFonts w:cs="Arial"/>
        </w:rPr>
        <w:t xml:space="preserve"> </w:t>
      </w:r>
      <w:r w:rsidR="27C65CD7" w:rsidRPr="7E32E97F">
        <w:rPr>
          <w:rFonts w:cs="Arial"/>
        </w:rPr>
        <w:t>evropske kohezijske politike (</w:t>
      </w:r>
      <w:r w:rsidRPr="7E32E97F">
        <w:rPr>
          <w:rFonts w:cs="Arial"/>
        </w:rPr>
        <w:t>EKP</w:t>
      </w:r>
      <w:r w:rsidR="27C65CD7" w:rsidRPr="7E32E97F">
        <w:rPr>
          <w:rFonts w:cs="Arial"/>
        </w:rPr>
        <w:t>)</w:t>
      </w:r>
      <w:r w:rsidR="00444550">
        <w:rPr>
          <w:rFonts w:cs="Arial"/>
        </w:rPr>
        <w:t>.</w:t>
      </w:r>
      <w:r w:rsidRPr="7E32E97F">
        <w:rPr>
          <w:rFonts w:cs="Arial"/>
        </w:rPr>
        <w:t xml:space="preserve"> </w:t>
      </w:r>
    </w:p>
    <w:p w14:paraId="64E15426" w14:textId="77777777" w:rsidR="009D68EB" w:rsidRPr="00E20BAC" w:rsidRDefault="009D68EB" w:rsidP="7E32E97F">
      <w:pPr>
        <w:spacing w:after="0" w:line="276" w:lineRule="auto"/>
        <w:jc w:val="both"/>
        <w:rPr>
          <w:rFonts w:cs="Arial"/>
        </w:rPr>
      </w:pPr>
    </w:p>
    <w:p w14:paraId="1CD4C65A" w14:textId="25D86F00" w:rsidR="00184172" w:rsidRDefault="5E916F02" w:rsidP="00ED5676">
      <w:pPr>
        <w:spacing w:after="0" w:line="276" w:lineRule="auto"/>
        <w:jc w:val="both"/>
        <w:rPr>
          <w:rFonts w:cs="Arial"/>
        </w:rPr>
      </w:pPr>
      <w:r w:rsidRPr="7E32E97F">
        <w:rPr>
          <w:rFonts w:cs="Arial"/>
        </w:rPr>
        <w:t xml:space="preserve">Poročilo je pripravil MKRR v vlogi OU v sodelovanju s posredniškimi telesi (PT), ki so vključeni v izvajanje EKP – Ministrstvo za gospodarstvo, turizem in šport (MGTŠ), Ministrstvo za naravne vire in prostor (MNVP), Ministrstvo za infrastrukturo (MZI), Ministrstvo za okolje, podnebje in energijo (MOPE), Ministrstvo za delo, družino, socialne zadeve in enake možnosti (MDSSZ), Ministrstvo za pravosodje (MP), Ministrstvo za javno upravo (MJU), Ministrstvo za vzgojo in izobraževanje (MVI), Ministrstvo za visoko šolstvo, znanost, in inovacije (MVZI), Ministrstvo za zdravje (MZ), Ministrstvo za kulturo (MK), Ministrstvo za kohezijo in regionalni razvoj </w:t>
      </w:r>
      <w:r w:rsidR="78FE2969" w:rsidRPr="7E32E97F">
        <w:rPr>
          <w:rFonts w:cs="Arial"/>
        </w:rPr>
        <w:t xml:space="preserve">v vlogi posredniškega telesa </w:t>
      </w:r>
      <w:r w:rsidRPr="7E32E97F">
        <w:rPr>
          <w:rFonts w:cs="Arial"/>
        </w:rPr>
        <w:t>(MKRR</w:t>
      </w:r>
      <w:r w:rsidR="508F8F6A" w:rsidRPr="7E32E97F">
        <w:rPr>
          <w:rFonts w:cs="Arial"/>
        </w:rPr>
        <w:t xml:space="preserve"> PT</w:t>
      </w:r>
      <w:r w:rsidRPr="7E32E97F">
        <w:rPr>
          <w:rFonts w:cs="Arial"/>
        </w:rPr>
        <w:t>), Ministrstvo za solidarno prihodnost (MSP), Ministrstvo za digitalno preobrazbo (MDP)</w:t>
      </w:r>
      <w:r w:rsidR="5029F42B" w:rsidRPr="7E32E97F">
        <w:rPr>
          <w:rFonts w:cs="Arial"/>
        </w:rPr>
        <w:t>,</w:t>
      </w:r>
      <w:r w:rsidRPr="7E32E97F">
        <w:rPr>
          <w:rFonts w:cs="Arial"/>
        </w:rPr>
        <w:t xml:space="preserve"> Združenje mestnih občin Slovenije (ZMOS) in organom za potrjevanje/računovod</w:t>
      </w:r>
      <w:r w:rsidR="57E08F80" w:rsidRPr="7E32E97F">
        <w:rPr>
          <w:rFonts w:cs="Arial"/>
        </w:rPr>
        <w:t>enje</w:t>
      </w:r>
      <w:r w:rsidRPr="7E32E97F">
        <w:rPr>
          <w:rFonts w:cs="Arial"/>
        </w:rPr>
        <w:t xml:space="preserve"> - Ministrstvo za finance (MF).</w:t>
      </w:r>
    </w:p>
    <w:p w14:paraId="49E8D02C" w14:textId="77777777" w:rsidR="00184172" w:rsidRDefault="00184172" w:rsidP="7E32E97F">
      <w:pPr>
        <w:spacing w:after="0" w:line="276" w:lineRule="auto"/>
        <w:jc w:val="both"/>
        <w:rPr>
          <w:rFonts w:cs="Arial"/>
        </w:rPr>
      </w:pPr>
    </w:p>
    <w:p w14:paraId="4077D815" w14:textId="6F1062F6" w:rsidR="00184172" w:rsidRDefault="27C65CD7" w:rsidP="00ED5676">
      <w:pPr>
        <w:spacing w:after="0" w:line="276" w:lineRule="auto"/>
        <w:jc w:val="both"/>
        <w:rPr>
          <w:rFonts w:cs="Arial"/>
        </w:rPr>
      </w:pPr>
      <w:r w:rsidRPr="7E32E97F">
        <w:rPr>
          <w:rFonts w:cs="Arial"/>
        </w:rPr>
        <w:t>Poročilo je strukturirano tako, da najprej podaja pregled izvajanj</w:t>
      </w:r>
      <w:r w:rsidR="4A89FCB5" w:rsidRPr="7E32E97F">
        <w:rPr>
          <w:rFonts w:cs="Arial"/>
        </w:rPr>
        <w:t>a</w:t>
      </w:r>
      <w:r w:rsidRPr="7E32E97F">
        <w:rPr>
          <w:rFonts w:cs="Arial"/>
        </w:rPr>
        <w:t xml:space="preserve"> programskega obdobja 2021–2027, v </w:t>
      </w:r>
      <w:r w:rsidR="5FEC570A" w:rsidRPr="7E32E97F">
        <w:rPr>
          <w:rFonts w:cs="Arial"/>
        </w:rPr>
        <w:t>nadaljevanju</w:t>
      </w:r>
      <w:r w:rsidR="16475CD3" w:rsidRPr="7E32E97F">
        <w:rPr>
          <w:rFonts w:cs="Arial"/>
        </w:rPr>
        <w:t xml:space="preserve"> pa so predstavljene tudi </w:t>
      </w:r>
      <w:r w:rsidRPr="7E32E97F">
        <w:rPr>
          <w:rFonts w:cs="Arial"/>
        </w:rPr>
        <w:t>aktivnosti, povezane z zaključevanjem programskega obdobja 2014–2020. Vsi predstavljeni podatki se nanašajo na stanje na presečni datum 3</w:t>
      </w:r>
      <w:r w:rsidR="4F84C245" w:rsidRPr="7E32E97F">
        <w:rPr>
          <w:rFonts w:cs="Arial"/>
        </w:rPr>
        <w:t>1</w:t>
      </w:r>
      <w:r w:rsidRPr="7E32E97F">
        <w:rPr>
          <w:rFonts w:cs="Arial"/>
        </w:rPr>
        <w:t xml:space="preserve">. </w:t>
      </w:r>
      <w:r w:rsidR="4F84C245" w:rsidRPr="7E32E97F">
        <w:rPr>
          <w:rFonts w:cs="Arial"/>
        </w:rPr>
        <w:t>12</w:t>
      </w:r>
      <w:r w:rsidR="746CF8F6" w:rsidRPr="7E32E97F">
        <w:rPr>
          <w:rFonts w:cs="Arial"/>
        </w:rPr>
        <w:t>.</w:t>
      </w:r>
      <w:r w:rsidRPr="7E32E97F">
        <w:rPr>
          <w:rFonts w:cs="Arial"/>
        </w:rPr>
        <w:t xml:space="preserve"> 2025. </w:t>
      </w:r>
    </w:p>
    <w:p w14:paraId="5DFEF882" w14:textId="0F258D1C" w:rsidR="00184172" w:rsidRDefault="00184172" w:rsidP="7E32E97F">
      <w:pPr>
        <w:spacing w:after="0" w:line="276" w:lineRule="auto"/>
        <w:jc w:val="both"/>
        <w:rPr>
          <w:rFonts w:cs="Arial"/>
        </w:rPr>
        <w:sectPr w:rsidR="00184172" w:rsidSect="00014A15">
          <w:headerReference w:type="default" r:id="rId21"/>
          <w:pgSz w:w="11906" w:h="16838" w:code="9"/>
          <w:pgMar w:top="1418" w:right="1418" w:bottom="1418" w:left="1418" w:header="709" w:footer="709" w:gutter="0"/>
          <w:cols w:space="708"/>
          <w:docGrid w:linePitch="272"/>
        </w:sectPr>
      </w:pPr>
    </w:p>
    <w:p w14:paraId="29D77D7E" w14:textId="38E242FC" w:rsidR="005410F2" w:rsidRPr="0025033E" w:rsidRDefault="4BEC0757" w:rsidP="7E32E97F">
      <w:pPr>
        <w:pStyle w:val="Naslov10"/>
        <w:spacing w:before="0" w:after="0" w:line="276" w:lineRule="auto"/>
        <w:rPr>
          <w:rFonts w:cs="Arial"/>
        </w:rPr>
      </w:pPr>
      <w:bookmarkStart w:id="107" w:name="_Toc204675634"/>
      <w:bookmarkStart w:id="108" w:name="_Toc204695138"/>
      <w:bookmarkStart w:id="109" w:name="_Toc204675635"/>
      <w:bookmarkStart w:id="110" w:name="_Toc204695139"/>
      <w:bookmarkStart w:id="111" w:name="_Toc204675636"/>
      <w:bookmarkStart w:id="112" w:name="_Toc204695140"/>
      <w:bookmarkStart w:id="113" w:name="_Toc204675637"/>
      <w:bookmarkStart w:id="114" w:name="_Toc204695141"/>
      <w:bookmarkStart w:id="115" w:name="_Toc204675638"/>
      <w:bookmarkStart w:id="116" w:name="_Toc204695142"/>
      <w:bookmarkStart w:id="117" w:name="_Toc204675639"/>
      <w:bookmarkStart w:id="118" w:name="_Toc204695143"/>
      <w:bookmarkStart w:id="119" w:name="_Toc204675640"/>
      <w:bookmarkStart w:id="120" w:name="_Toc204695144"/>
      <w:bookmarkStart w:id="121" w:name="_Toc204675641"/>
      <w:bookmarkStart w:id="122" w:name="_Toc204695145"/>
      <w:bookmarkStart w:id="123" w:name="_Toc204675642"/>
      <w:bookmarkStart w:id="124" w:name="_Toc204695146"/>
      <w:bookmarkStart w:id="125" w:name="_Toc204675643"/>
      <w:bookmarkStart w:id="126" w:name="_Toc204695147"/>
      <w:bookmarkStart w:id="127" w:name="_Toc204675644"/>
      <w:bookmarkStart w:id="128" w:name="_Toc204695148"/>
      <w:bookmarkStart w:id="129" w:name="_Toc204675645"/>
      <w:bookmarkStart w:id="130" w:name="_Toc204695149"/>
      <w:bookmarkStart w:id="131" w:name="_Toc204675646"/>
      <w:bookmarkStart w:id="132" w:name="_Toc204695150"/>
      <w:bookmarkStart w:id="133" w:name="_Toc204675647"/>
      <w:bookmarkStart w:id="134" w:name="_Toc204695151"/>
      <w:bookmarkStart w:id="135" w:name="_Toc204675648"/>
      <w:bookmarkStart w:id="136" w:name="_Toc204695152"/>
      <w:bookmarkStart w:id="137" w:name="_Toc204675649"/>
      <w:bookmarkStart w:id="138" w:name="_Toc204695153"/>
      <w:bookmarkStart w:id="139" w:name="_Toc204675650"/>
      <w:bookmarkStart w:id="140" w:name="_Toc204695154"/>
      <w:bookmarkStart w:id="141" w:name="_Toc204675651"/>
      <w:bookmarkStart w:id="142" w:name="_Toc204695155"/>
      <w:bookmarkStart w:id="143" w:name="_Toc219974399"/>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7E32E97F">
        <w:rPr>
          <w:rFonts w:cs="Arial"/>
        </w:rPr>
        <w:lastRenderedPageBreak/>
        <w:t xml:space="preserve">PROGRAMSKO OBDOBJE </w:t>
      </w:r>
      <w:r w:rsidR="2F3EC8E3" w:rsidRPr="7E32E97F">
        <w:rPr>
          <w:rFonts w:cs="Arial"/>
        </w:rPr>
        <w:t>2021–2027</w:t>
      </w:r>
      <w:bookmarkEnd w:id="143"/>
    </w:p>
    <w:p w14:paraId="0FC271CF" w14:textId="4B20C309" w:rsidR="005410F2" w:rsidRPr="0025033E" w:rsidRDefault="4BEC0757" w:rsidP="00ED5676">
      <w:pPr>
        <w:autoSpaceDN/>
        <w:spacing w:after="0" w:line="288" w:lineRule="auto"/>
        <w:jc w:val="both"/>
        <w:rPr>
          <w:rFonts w:cs="Arial"/>
        </w:rPr>
      </w:pPr>
      <w:r w:rsidRPr="7E32E97F">
        <w:rPr>
          <w:rFonts w:cs="Arial"/>
        </w:rPr>
        <w:t xml:space="preserve">Evropski svet je na izrednem zasedanju 21. 7. 2020 sprejel sklep oz. dogovor glede Večletnega finančnega okvira za obdobje 2021–2027 in instrumenta za okrevanje „NextGenerationEU“ (višino sredstev) ter ključne elemente (stopnje sofinanciranja, tematske osredotočenosti, ipd.). Sveženj kohezijskih uredb je bil sprejet 24. 6. 2021, s čimer so bile podane pravne podlage za pripravo in oddajo nacionalnih programov EKP za obdobje </w:t>
      </w:r>
      <w:r w:rsidR="419C6937" w:rsidRPr="7E32E97F">
        <w:rPr>
          <w:rFonts w:cs="Arial"/>
        </w:rPr>
        <w:t>2021</w:t>
      </w:r>
      <w:r w:rsidR="47FEE1A6" w:rsidRPr="7E32E97F">
        <w:rPr>
          <w:rFonts w:cs="Arial"/>
        </w:rPr>
        <w:t>–</w:t>
      </w:r>
      <w:r w:rsidR="419C6937" w:rsidRPr="7E32E97F">
        <w:rPr>
          <w:rFonts w:cs="Arial"/>
        </w:rPr>
        <w:t>2027</w:t>
      </w:r>
      <w:r w:rsidRPr="7E32E97F">
        <w:rPr>
          <w:rFonts w:cs="Arial"/>
        </w:rPr>
        <w:t xml:space="preserve"> ter s čimer so bili dokončno opredeljeni ključni elementi. </w:t>
      </w:r>
    </w:p>
    <w:p w14:paraId="06992940" w14:textId="77777777" w:rsidR="000E7A5A" w:rsidRPr="0025033E" w:rsidRDefault="000E7A5A" w:rsidP="7E32E97F">
      <w:pPr>
        <w:spacing w:after="0" w:line="276" w:lineRule="auto"/>
        <w:contextualSpacing/>
        <w:jc w:val="both"/>
        <w:rPr>
          <w:rFonts w:eastAsia="SimSun" w:cs="Arial"/>
          <w:color w:val="0070C0"/>
          <w:lang w:eastAsia="zh-CN"/>
        </w:rPr>
      </w:pPr>
    </w:p>
    <w:p w14:paraId="3CD026A9" w14:textId="5C449159" w:rsidR="000E7A5A" w:rsidRPr="0025033E" w:rsidRDefault="3D496760" w:rsidP="7E32E97F">
      <w:pPr>
        <w:pStyle w:val="Naslov2"/>
        <w:spacing w:before="0"/>
        <w:rPr>
          <w:rFonts w:cs="Arial"/>
          <w:lang w:eastAsia="zh-CN"/>
        </w:rPr>
      </w:pPr>
      <w:bookmarkStart w:id="144" w:name="_Toc219974400"/>
      <w:bookmarkStart w:id="145" w:name="_Toc187739297"/>
      <w:bookmarkStart w:id="146" w:name="_Toc187740030"/>
      <w:r w:rsidRPr="7E32E97F">
        <w:rPr>
          <w:rFonts w:cs="Arial"/>
        </w:rPr>
        <w:t>DEJAVNOSTI, POVEZANE S PROGRAMOM EKP 2021–2027</w:t>
      </w:r>
      <w:bookmarkEnd w:id="144"/>
      <w:r w:rsidRPr="7E32E97F">
        <w:rPr>
          <w:rFonts w:cs="Arial"/>
        </w:rPr>
        <w:t xml:space="preserve"> </w:t>
      </w:r>
      <w:bookmarkEnd w:id="145"/>
      <w:bookmarkEnd w:id="146"/>
    </w:p>
    <w:p w14:paraId="1867F3E5" w14:textId="77777777" w:rsidR="000E7A5A" w:rsidRPr="00C25C29" w:rsidRDefault="000E7A5A" w:rsidP="7E32E97F">
      <w:pPr>
        <w:spacing w:after="0" w:line="276" w:lineRule="auto"/>
        <w:contextualSpacing/>
        <w:jc w:val="both"/>
        <w:rPr>
          <w:rFonts w:eastAsia="SimSun" w:cs="Arial"/>
          <w:color w:val="0070C0"/>
          <w:lang w:eastAsia="zh-CN"/>
        </w:rPr>
      </w:pPr>
    </w:p>
    <w:p w14:paraId="47738F2C" w14:textId="3FA26214" w:rsidR="005410F2" w:rsidRPr="0025033E" w:rsidRDefault="4BEC0757" w:rsidP="00ED5676">
      <w:pPr>
        <w:autoSpaceDE w:val="0"/>
        <w:adjustRightInd w:val="0"/>
        <w:spacing w:after="0" w:line="288" w:lineRule="auto"/>
        <w:jc w:val="both"/>
        <w:rPr>
          <w:rFonts w:cs="Arial"/>
        </w:rPr>
      </w:pPr>
      <w:r w:rsidRPr="7E32E97F">
        <w:rPr>
          <w:rFonts w:cs="Arial"/>
        </w:rPr>
        <w:t>Vlada RS je s sklepom številka 54402-7/2019/6 z dne 18. 7. 2019</w:t>
      </w:r>
      <w:r w:rsidRPr="7E32E97F">
        <w:rPr>
          <w:rFonts w:cs="Arial"/>
          <w:b/>
          <w:bCs/>
        </w:rPr>
        <w:t xml:space="preserve"> </w:t>
      </w:r>
      <w:r w:rsidRPr="7E32E97F">
        <w:rPr>
          <w:rFonts w:cs="Arial"/>
        </w:rPr>
        <w:t>naložila takratni SVRK, da v sodelovanju z ministrstvi, vladnimi službami in partnerji pripravi programske dokumente za izvajanje EKP za obdobje 2021–2027 +.</w:t>
      </w:r>
    </w:p>
    <w:p w14:paraId="236E31B8" w14:textId="77777777" w:rsidR="00573ABE" w:rsidRPr="0025033E" w:rsidRDefault="00573ABE" w:rsidP="7E32E97F">
      <w:pPr>
        <w:autoSpaceDE w:val="0"/>
        <w:adjustRightInd w:val="0"/>
        <w:spacing w:after="0" w:line="288" w:lineRule="auto"/>
        <w:jc w:val="both"/>
        <w:rPr>
          <w:rFonts w:cs="Arial"/>
        </w:rPr>
      </w:pPr>
    </w:p>
    <w:p w14:paraId="37485B29" w14:textId="77777777" w:rsidR="005410F2" w:rsidRPr="0025033E" w:rsidRDefault="4BEC0757" w:rsidP="7E32E97F">
      <w:pPr>
        <w:autoSpaceDE w:val="0"/>
        <w:adjustRightInd w:val="0"/>
        <w:spacing w:after="0" w:line="288" w:lineRule="auto"/>
        <w:jc w:val="both"/>
        <w:rPr>
          <w:rFonts w:cs="Arial"/>
          <w:color w:val="000000"/>
        </w:rPr>
      </w:pPr>
      <w:r w:rsidRPr="7E32E97F">
        <w:rPr>
          <w:rFonts w:cs="Arial"/>
          <w:color w:val="000000" w:themeColor="text1"/>
        </w:rPr>
        <w:t>Paket dokumentov, ki jih je morala Slovenija v okviru programiranja pripraviti, obsega:</w:t>
      </w:r>
    </w:p>
    <w:p w14:paraId="6DDDF501" w14:textId="77777777" w:rsidR="005410F2" w:rsidRPr="0025033E" w:rsidRDefault="4BEC0757" w:rsidP="7E32E97F">
      <w:pPr>
        <w:numPr>
          <w:ilvl w:val="0"/>
          <w:numId w:val="21"/>
        </w:numPr>
        <w:autoSpaceDN/>
        <w:spacing w:after="0" w:line="288" w:lineRule="auto"/>
        <w:jc w:val="both"/>
        <w:rPr>
          <w:rFonts w:eastAsia="Calibri" w:cs="Arial"/>
        </w:rPr>
      </w:pPr>
      <w:r w:rsidRPr="7E32E97F">
        <w:rPr>
          <w:rFonts w:eastAsia="Calibri" w:cs="Arial"/>
        </w:rPr>
        <w:t>programske dokumente, tj. dokumente, na podlagi katerih se sredstva Sloveniji dodelijo v deljeno upravljanje, in sicer program (trenutno operativni program) in sporazum o partnerstvu (kot samostojni dokument ali del programa);</w:t>
      </w:r>
    </w:p>
    <w:p w14:paraId="770D21A5" w14:textId="77777777" w:rsidR="005410F2" w:rsidRPr="0025033E" w:rsidRDefault="4BEC0757" w:rsidP="7E32E97F">
      <w:pPr>
        <w:numPr>
          <w:ilvl w:val="0"/>
          <w:numId w:val="21"/>
        </w:numPr>
        <w:autoSpaceDN/>
        <w:spacing w:after="0" w:line="288" w:lineRule="auto"/>
        <w:jc w:val="both"/>
        <w:rPr>
          <w:rFonts w:eastAsia="Calibri" w:cs="Arial"/>
        </w:rPr>
      </w:pPr>
      <w:r w:rsidRPr="7E32E97F">
        <w:rPr>
          <w:rFonts w:eastAsia="Calibri" w:cs="Arial"/>
        </w:rPr>
        <w:t xml:space="preserve">dokumente (strategije, akcijski načrti, resolucije ipd.) in predpise, ki zagotavljajo izpolnjevanje tematskih omogočitvenih pogojev; </w:t>
      </w:r>
    </w:p>
    <w:p w14:paraId="4DD0A190" w14:textId="723A1765" w:rsidR="005410F2" w:rsidRPr="0025033E" w:rsidRDefault="4BEC0757" w:rsidP="7E32E97F">
      <w:pPr>
        <w:numPr>
          <w:ilvl w:val="0"/>
          <w:numId w:val="21"/>
        </w:numPr>
        <w:autoSpaceDN/>
        <w:spacing w:after="0" w:line="288" w:lineRule="auto"/>
        <w:jc w:val="both"/>
        <w:rPr>
          <w:rFonts w:eastAsia="Calibri" w:cs="Arial"/>
        </w:rPr>
      </w:pPr>
      <w:r w:rsidRPr="7E32E97F">
        <w:rPr>
          <w:rFonts w:eastAsia="Calibri" w:cs="Arial"/>
        </w:rPr>
        <w:t xml:space="preserve">opise izpolnjevanja horizontalnih omogočitvenih pogojev (predhodne pogojenosti iz obdobja </w:t>
      </w:r>
      <w:r w:rsidR="5CF35F9E" w:rsidRPr="7E32E97F">
        <w:rPr>
          <w:rFonts w:eastAsia="Calibri" w:cs="Arial"/>
        </w:rPr>
        <w:t>2014–2020</w:t>
      </w:r>
      <w:r w:rsidRPr="7E32E97F">
        <w:rPr>
          <w:rFonts w:eastAsia="Calibri" w:cs="Arial"/>
        </w:rPr>
        <w:t xml:space="preserve"> so nadomestili t.i. omogočitveni pogoji). Teh je manj, bolj so osredotočeni na cilje zadevnega sklada in, za razliko od obdobja </w:t>
      </w:r>
      <w:r w:rsidR="5CF35F9E" w:rsidRPr="7E32E97F">
        <w:rPr>
          <w:rFonts w:eastAsia="Calibri" w:cs="Arial"/>
        </w:rPr>
        <w:t>2014–2020</w:t>
      </w:r>
      <w:r w:rsidRPr="7E32E97F">
        <w:rPr>
          <w:rFonts w:eastAsia="Calibri" w:cs="Arial"/>
        </w:rPr>
        <w:t xml:space="preserve">, se spremljajo in izvajajo v celotnem obdobju. Načelo se bo okrepilo na naslednje načine: države članice ne bodo mogle prijaviti odhodkov v zvezi s specifičnimi cilji, dokler omogočitveni pogoj ne bo izpolnjen. S tem bo zagotovljeno, da bodo vse sofinancirane operacije v skladu z okvirom politike EU; </w:t>
      </w:r>
    </w:p>
    <w:p w14:paraId="57D2FD6F" w14:textId="77777777" w:rsidR="005410F2" w:rsidRDefault="4BEC0757" w:rsidP="7E32E97F">
      <w:pPr>
        <w:numPr>
          <w:ilvl w:val="0"/>
          <w:numId w:val="21"/>
        </w:numPr>
        <w:autoSpaceDN/>
        <w:spacing w:after="0" w:line="288" w:lineRule="auto"/>
        <w:jc w:val="both"/>
        <w:rPr>
          <w:rFonts w:eastAsia="Calibri" w:cs="Arial"/>
        </w:rPr>
      </w:pPr>
      <w:r w:rsidRPr="7E32E97F">
        <w:rPr>
          <w:rFonts w:eastAsia="Calibri" w:cs="Arial"/>
        </w:rPr>
        <w:t>predloge za poenostavljene oblike stroškov.</w:t>
      </w:r>
    </w:p>
    <w:p w14:paraId="6F76CEDB" w14:textId="77777777" w:rsidR="00CD40C5" w:rsidRDefault="00CD40C5" w:rsidP="7E32E97F">
      <w:pPr>
        <w:autoSpaceDN/>
        <w:spacing w:after="0" w:line="288" w:lineRule="auto"/>
        <w:jc w:val="both"/>
        <w:rPr>
          <w:rFonts w:eastAsia="Calibri" w:cs="Arial"/>
        </w:rPr>
      </w:pPr>
    </w:p>
    <w:p w14:paraId="52E8D493" w14:textId="6EC2DF0A" w:rsidR="005410F2" w:rsidRPr="0025033E" w:rsidRDefault="06DD1F31" w:rsidP="00ED1F84">
      <w:pPr>
        <w:pStyle w:val="Naslov3"/>
        <w:numPr>
          <w:ilvl w:val="0"/>
          <w:numId w:val="0"/>
        </w:numPr>
        <w:tabs>
          <w:tab w:val="left" w:pos="2410"/>
        </w:tabs>
        <w:rPr>
          <w:rFonts w:cs="Arial"/>
        </w:rPr>
      </w:pPr>
      <w:bookmarkStart w:id="147" w:name="_Toc219974401"/>
      <w:r w:rsidRPr="7E32E97F">
        <w:rPr>
          <w:rFonts w:cs="Arial"/>
        </w:rPr>
        <w:t xml:space="preserve">1.1.1 </w:t>
      </w:r>
      <w:r w:rsidR="0E566075" w:rsidRPr="7E32E97F">
        <w:rPr>
          <w:rFonts w:cs="Arial"/>
        </w:rPr>
        <w:t>Sporazum o partnerstvu</w:t>
      </w:r>
      <w:bookmarkEnd w:id="147"/>
    </w:p>
    <w:p w14:paraId="4B7A4D08" w14:textId="77777777" w:rsidR="005C39FF" w:rsidRPr="0025033E" w:rsidRDefault="005C39FF" w:rsidP="00ED5676">
      <w:pPr>
        <w:spacing w:after="0"/>
        <w:jc w:val="both"/>
        <w:rPr>
          <w:rFonts w:eastAsia="Calibri" w:cs="Arial"/>
        </w:rPr>
      </w:pPr>
    </w:p>
    <w:p w14:paraId="40F6D0E7" w14:textId="53AF0824" w:rsidR="005C39FF" w:rsidRPr="0025033E" w:rsidRDefault="0E566075" w:rsidP="7E32E97F">
      <w:pPr>
        <w:autoSpaceDN/>
        <w:spacing w:after="0" w:line="276" w:lineRule="auto"/>
        <w:jc w:val="both"/>
        <w:rPr>
          <w:rFonts w:eastAsia="Calibri" w:cs="Arial"/>
        </w:rPr>
      </w:pPr>
      <w:r w:rsidRPr="7E32E97F">
        <w:rPr>
          <w:rFonts w:eastAsia="Calibri" w:cs="Arial"/>
        </w:rPr>
        <w:t xml:space="preserve">Sporazum o partnerstvu določa strateške usmeritve za načrtovanje programov ter ureditve za učinkovito in uspešno uporabo ESRR, ESS+, KS, SPP in ESPRA v obdobju od začetka 2021 do konca 2027. V začetku drugega polletja 2022 je potekalo še zadnje intenzivno usklajevanje Sporazuma o partnerstvu </w:t>
      </w:r>
      <w:r w:rsidR="419C6937" w:rsidRPr="7E32E97F">
        <w:rPr>
          <w:rFonts w:eastAsia="Calibri" w:cs="Arial"/>
        </w:rPr>
        <w:t>2021–2027</w:t>
      </w:r>
      <w:r w:rsidRPr="7E32E97F">
        <w:rPr>
          <w:rFonts w:eastAsia="Calibri" w:cs="Arial"/>
        </w:rPr>
        <w:t xml:space="preserve"> z EK. Slovenija je tako po izredno trdem delu in usklajevanju 15. 7. 2022 sporazum posredovala EK, ki ga je uradno potrdila 12. 9. 2022.</w:t>
      </w:r>
    </w:p>
    <w:p w14:paraId="57B8F7F2" w14:textId="77777777" w:rsidR="005C39FF" w:rsidRPr="0025033E" w:rsidRDefault="005C39FF" w:rsidP="7E32E97F">
      <w:pPr>
        <w:autoSpaceDN/>
        <w:spacing w:after="0" w:line="276" w:lineRule="auto"/>
        <w:jc w:val="both"/>
        <w:rPr>
          <w:rFonts w:eastAsia="Calibri" w:cs="Arial"/>
        </w:rPr>
      </w:pPr>
    </w:p>
    <w:p w14:paraId="6E0CEA6F" w14:textId="77777777" w:rsidR="005C39FF" w:rsidRPr="0025033E" w:rsidRDefault="0E566075" w:rsidP="7E32E97F">
      <w:pPr>
        <w:autoSpaceDN/>
        <w:spacing w:after="0" w:line="276" w:lineRule="auto"/>
        <w:jc w:val="both"/>
        <w:rPr>
          <w:rFonts w:eastAsia="Calibri" w:cs="Arial"/>
        </w:rPr>
      </w:pPr>
      <w:r w:rsidRPr="7E32E97F">
        <w:rPr>
          <w:rFonts w:eastAsia="Calibri" w:cs="Arial"/>
        </w:rPr>
        <w:t>Republika Slovenija načrtuje podporo petim ciljem politik, ki jim dodaja še specifični cilj SPP. Preko njih je dana prednost področjem, kjer ima Slovenija zaznane vrzeli: ukrepi za dvig produktivnosti, digitalizacija, infrastrukturne vrzeli - železniška povezljivost, trajnostna mobilnost, manjkajoči večji sistemi za odvajanje in čiščenje odpadnih voda, tretja razvojna os, (večji) sistemi za zagotavljanje ustrezne kakovosti pitne vode, energetska prenova stavb, vlaganja v obnovljive vire energije, področje izobraževanja ipd.</w:t>
      </w:r>
    </w:p>
    <w:p w14:paraId="008A9745" w14:textId="77777777" w:rsidR="005C39FF" w:rsidRPr="0025033E" w:rsidRDefault="005C39FF" w:rsidP="7E32E97F">
      <w:pPr>
        <w:autoSpaceDN/>
        <w:spacing w:after="0" w:line="276" w:lineRule="auto"/>
        <w:jc w:val="both"/>
        <w:rPr>
          <w:rFonts w:eastAsia="Calibri" w:cs="Arial"/>
        </w:rPr>
      </w:pPr>
    </w:p>
    <w:p w14:paraId="5FD9D7C1" w14:textId="77777777" w:rsidR="005C39FF" w:rsidRPr="0025033E" w:rsidRDefault="0E566075" w:rsidP="7E32E97F">
      <w:pPr>
        <w:autoSpaceDN/>
        <w:spacing w:after="0" w:line="276" w:lineRule="auto"/>
        <w:jc w:val="both"/>
        <w:rPr>
          <w:rFonts w:eastAsia="Calibri" w:cs="Arial"/>
        </w:rPr>
      </w:pPr>
      <w:r w:rsidRPr="7E32E97F">
        <w:rPr>
          <w:rFonts w:eastAsia="Calibri" w:cs="Arial"/>
        </w:rPr>
        <w:t xml:space="preserve">V Sloveniji se bodo izvajali naslednji pristopi za naslavljanje posebnih potreb regij in območij: </w:t>
      </w:r>
    </w:p>
    <w:p w14:paraId="4336EEF7" w14:textId="77777777" w:rsidR="005C39FF" w:rsidRPr="0025033E" w:rsidRDefault="0E566075" w:rsidP="7E32E97F">
      <w:pPr>
        <w:numPr>
          <w:ilvl w:val="0"/>
          <w:numId w:val="22"/>
        </w:numPr>
        <w:autoSpaceDN/>
        <w:spacing w:after="0" w:line="276" w:lineRule="auto"/>
        <w:contextualSpacing/>
        <w:jc w:val="both"/>
        <w:rPr>
          <w:rFonts w:eastAsia="Calibri" w:cs="Arial"/>
        </w:rPr>
      </w:pPr>
      <w:r w:rsidRPr="7E32E97F">
        <w:rPr>
          <w:rFonts w:eastAsia="Calibri" w:cs="Arial"/>
        </w:rPr>
        <w:t>za trajnostni razvoj mest celostne teritorialne naložbe (CTN),</w:t>
      </w:r>
    </w:p>
    <w:p w14:paraId="2D7A5598" w14:textId="5509EAC1" w:rsidR="005C39FF" w:rsidRPr="0025033E" w:rsidRDefault="0E566075" w:rsidP="7E32E97F">
      <w:pPr>
        <w:numPr>
          <w:ilvl w:val="0"/>
          <w:numId w:val="22"/>
        </w:numPr>
        <w:autoSpaceDN/>
        <w:spacing w:after="0" w:line="276" w:lineRule="auto"/>
        <w:contextualSpacing/>
        <w:jc w:val="both"/>
        <w:rPr>
          <w:rFonts w:eastAsia="Calibri" w:cs="Arial"/>
        </w:rPr>
      </w:pPr>
      <w:r w:rsidRPr="7E32E97F">
        <w:rPr>
          <w:rFonts w:eastAsia="Calibri" w:cs="Arial"/>
        </w:rPr>
        <w:t>za lokalni razvoj, ki ga vodi skupnost (CLLD) in</w:t>
      </w:r>
    </w:p>
    <w:p w14:paraId="2ED150E2" w14:textId="1AA43000" w:rsidR="00C25C29" w:rsidRDefault="0E566075" w:rsidP="00E048E1">
      <w:pPr>
        <w:numPr>
          <w:ilvl w:val="0"/>
          <w:numId w:val="22"/>
        </w:numPr>
        <w:autoSpaceDN/>
        <w:spacing w:after="0" w:line="276" w:lineRule="auto"/>
        <w:contextualSpacing/>
        <w:jc w:val="both"/>
        <w:rPr>
          <w:rFonts w:eastAsia="Calibri" w:cs="Arial"/>
        </w:rPr>
      </w:pPr>
      <w:r w:rsidRPr="00C25C29">
        <w:rPr>
          <w:rFonts w:eastAsia="Calibri" w:cs="Arial"/>
        </w:rPr>
        <w:t>za regionalni razvoj pa drugo teritorialno orodje, ki podpira pobude, ki jih je zasnovala država članica (DRR).</w:t>
      </w:r>
    </w:p>
    <w:p w14:paraId="5DB85AC5" w14:textId="77777777" w:rsidR="00C25C29" w:rsidRDefault="00C25C29" w:rsidP="00C25C29">
      <w:pPr>
        <w:autoSpaceDN/>
        <w:spacing w:after="0" w:line="276" w:lineRule="auto"/>
        <w:contextualSpacing/>
        <w:jc w:val="both"/>
        <w:rPr>
          <w:rFonts w:eastAsia="Calibri" w:cs="Arial"/>
        </w:rPr>
      </w:pPr>
    </w:p>
    <w:p w14:paraId="5D3D62ED" w14:textId="532F6EBE" w:rsidR="005C39FF" w:rsidRPr="00C25C29" w:rsidRDefault="0E566075" w:rsidP="00C25C29">
      <w:pPr>
        <w:autoSpaceDN/>
        <w:spacing w:after="0" w:line="276" w:lineRule="auto"/>
        <w:contextualSpacing/>
        <w:jc w:val="both"/>
        <w:rPr>
          <w:rFonts w:eastAsia="Calibri" w:cs="Arial"/>
        </w:rPr>
      </w:pPr>
      <w:r w:rsidRPr="00C25C29">
        <w:rPr>
          <w:rFonts w:eastAsia="Calibri" w:cs="Arial"/>
        </w:rPr>
        <w:t xml:space="preserve">Ukrepi EKP </w:t>
      </w:r>
      <w:r w:rsidR="419C6937" w:rsidRPr="00C25C29">
        <w:rPr>
          <w:rFonts w:eastAsia="Calibri" w:cs="Arial"/>
        </w:rPr>
        <w:t>2021–2027</w:t>
      </w:r>
      <w:r w:rsidRPr="00C25C29">
        <w:rPr>
          <w:rFonts w:eastAsia="Calibri" w:cs="Arial"/>
        </w:rPr>
        <w:t xml:space="preserve"> bodo skladno z načelom komplementarnosti kombinirani s sredstvi Mehanizma za okrevanje in odpornost.</w:t>
      </w:r>
    </w:p>
    <w:p w14:paraId="69CFF799" w14:textId="5F0892B0" w:rsidR="005C39FF" w:rsidRPr="0025033E" w:rsidRDefault="06DD1F31" w:rsidP="003E671B">
      <w:pPr>
        <w:pStyle w:val="Naslov3"/>
        <w:numPr>
          <w:ilvl w:val="0"/>
          <w:numId w:val="0"/>
        </w:numPr>
        <w:rPr>
          <w:rFonts w:cs="Arial"/>
        </w:rPr>
      </w:pPr>
      <w:bookmarkStart w:id="148" w:name="_Toc219974402"/>
      <w:r w:rsidRPr="7E32E97F">
        <w:rPr>
          <w:rFonts w:cs="Arial"/>
        </w:rPr>
        <w:lastRenderedPageBreak/>
        <w:t xml:space="preserve">1.1.2 </w:t>
      </w:r>
      <w:r w:rsidR="0E566075" w:rsidRPr="7E32E97F">
        <w:rPr>
          <w:rFonts w:cs="Arial"/>
        </w:rPr>
        <w:t xml:space="preserve">Program </w:t>
      </w:r>
      <w:r w:rsidR="2B1BB349" w:rsidRPr="7E32E97F">
        <w:rPr>
          <w:rFonts w:cs="Arial"/>
        </w:rPr>
        <w:t>e</w:t>
      </w:r>
      <w:r w:rsidR="0E566075" w:rsidRPr="7E32E97F">
        <w:rPr>
          <w:rFonts w:cs="Arial"/>
        </w:rPr>
        <w:t xml:space="preserve">vropske kohezijske politike v obdobju </w:t>
      </w:r>
      <w:r w:rsidR="419C6937" w:rsidRPr="7E32E97F">
        <w:rPr>
          <w:rFonts w:cs="Arial"/>
        </w:rPr>
        <w:t>2021–2027</w:t>
      </w:r>
      <w:bookmarkEnd w:id="148"/>
      <w:r w:rsidR="419C6937" w:rsidRPr="7E32E97F">
        <w:rPr>
          <w:rFonts w:cs="Arial"/>
        </w:rPr>
        <w:t xml:space="preserve"> </w:t>
      </w:r>
    </w:p>
    <w:p w14:paraId="09629EA9" w14:textId="77777777" w:rsidR="005C39FF" w:rsidRPr="0025033E" w:rsidRDefault="005C39FF" w:rsidP="00ED5676">
      <w:pPr>
        <w:spacing w:after="0"/>
        <w:jc w:val="both"/>
        <w:rPr>
          <w:rFonts w:eastAsia="Calibri" w:cs="Arial"/>
        </w:rPr>
      </w:pPr>
    </w:p>
    <w:p w14:paraId="391BA0AD" w14:textId="66F0414D" w:rsidR="005C39FF" w:rsidRPr="004F6FC4" w:rsidRDefault="0E566075" w:rsidP="43EDA22E">
      <w:pPr>
        <w:shd w:val="clear" w:color="auto" w:fill="FFFFFF" w:themeFill="background1"/>
        <w:autoSpaceDN/>
        <w:spacing w:after="0" w:line="276" w:lineRule="auto"/>
        <w:jc w:val="both"/>
        <w:rPr>
          <w:rFonts w:cs="Arial"/>
        </w:rPr>
      </w:pPr>
      <w:r w:rsidRPr="7E32E97F">
        <w:rPr>
          <w:rFonts w:cs="Arial"/>
        </w:rPr>
        <w:t xml:space="preserve">Za obdobje </w:t>
      </w:r>
      <w:r w:rsidR="419C6937" w:rsidRPr="7E32E97F">
        <w:rPr>
          <w:rFonts w:cs="Arial"/>
        </w:rPr>
        <w:t xml:space="preserve">2021–2027 </w:t>
      </w:r>
      <w:r w:rsidRPr="7E32E97F">
        <w:rPr>
          <w:rFonts w:cs="Arial"/>
        </w:rPr>
        <w:t>je na nacionalni ravni pripravljen en (operativni) PEKP, ki zajema financiranje iz štirih skladov:</w:t>
      </w:r>
    </w:p>
    <w:p w14:paraId="73EFD0A8" w14:textId="77777777" w:rsidR="005C39FF" w:rsidRPr="004F6FC4" w:rsidRDefault="0E566075" w:rsidP="7E32E97F">
      <w:pPr>
        <w:numPr>
          <w:ilvl w:val="0"/>
          <w:numId w:val="23"/>
        </w:numPr>
        <w:shd w:val="clear" w:color="auto" w:fill="FFFFFF" w:themeFill="background1"/>
        <w:autoSpaceDN/>
        <w:spacing w:after="0" w:line="276" w:lineRule="auto"/>
        <w:jc w:val="both"/>
        <w:rPr>
          <w:rFonts w:cs="Arial"/>
        </w:rPr>
      </w:pPr>
      <w:r w:rsidRPr="7E32E97F">
        <w:rPr>
          <w:rFonts w:cs="Arial"/>
        </w:rPr>
        <w:t>Kohezijski sklad (celotna Slovenija),</w:t>
      </w:r>
    </w:p>
    <w:p w14:paraId="5224A5A1" w14:textId="58D07131" w:rsidR="005C39FF" w:rsidRPr="004F6FC4" w:rsidRDefault="0E566075" w:rsidP="00C13272">
      <w:pPr>
        <w:numPr>
          <w:ilvl w:val="0"/>
          <w:numId w:val="23"/>
        </w:numPr>
        <w:shd w:val="clear" w:color="auto" w:fill="FFFFFF" w:themeFill="background1"/>
        <w:autoSpaceDN/>
        <w:spacing w:after="0" w:line="276" w:lineRule="auto"/>
        <w:jc w:val="both"/>
        <w:rPr>
          <w:rFonts w:cs="Arial"/>
        </w:rPr>
      </w:pPr>
      <w:r w:rsidRPr="7E32E97F">
        <w:rPr>
          <w:rFonts w:cs="Arial"/>
        </w:rPr>
        <w:t xml:space="preserve">Evropski sklad za regionalni razvoj (ločen na </w:t>
      </w:r>
      <w:r w:rsidR="25C72152" w:rsidRPr="7E32E97F">
        <w:rPr>
          <w:rFonts w:cs="Arial"/>
        </w:rPr>
        <w:t xml:space="preserve">kohezijsko regijo </w:t>
      </w:r>
      <w:r w:rsidRPr="7E32E97F">
        <w:rPr>
          <w:rFonts w:cs="Arial"/>
        </w:rPr>
        <w:t>Vzhodn</w:t>
      </w:r>
      <w:r w:rsidR="4D8421F5" w:rsidRPr="7E32E97F">
        <w:rPr>
          <w:rFonts w:cs="Arial"/>
        </w:rPr>
        <w:t>a Slovenija</w:t>
      </w:r>
      <w:r w:rsidRPr="7E32E97F">
        <w:rPr>
          <w:rFonts w:cs="Arial"/>
        </w:rPr>
        <w:t xml:space="preserve"> </w:t>
      </w:r>
      <w:r w:rsidR="5C72BB8B" w:rsidRPr="7E32E97F">
        <w:rPr>
          <w:rFonts w:cs="Arial"/>
        </w:rPr>
        <w:t>(KRVS)</w:t>
      </w:r>
      <w:r w:rsidRPr="7E32E97F">
        <w:rPr>
          <w:rFonts w:cs="Arial"/>
        </w:rPr>
        <w:t xml:space="preserve"> in </w:t>
      </w:r>
      <w:r w:rsidR="7D98F769" w:rsidRPr="7E32E97F">
        <w:rPr>
          <w:rFonts w:cs="Arial"/>
        </w:rPr>
        <w:t xml:space="preserve">kohezijsko regijo </w:t>
      </w:r>
      <w:r w:rsidRPr="7E32E97F">
        <w:rPr>
          <w:rFonts w:cs="Arial"/>
        </w:rPr>
        <w:t>Zahodn</w:t>
      </w:r>
      <w:r w:rsidR="78B76AB9" w:rsidRPr="7E32E97F">
        <w:rPr>
          <w:rFonts w:cs="Arial"/>
        </w:rPr>
        <w:t>a</w:t>
      </w:r>
      <w:r w:rsidRPr="7E32E97F">
        <w:rPr>
          <w:rFonts w:cs="Arial"/>
        </w:rPr>
        <w:t xml:space="preserve"> </w:t>
      </w:r>
      <w:r w:rsidR="47C501FE" w:rsidRPr="7E32E97F">
        <w:rPr>
          <w:rFonts w:cs="Arial"/>
        </w:rPr>
        <w:t xml:space="preserve">Slovenija </w:t>
      </w:r>
      <w:r w:rsidR="129CFEA0" w:rsidRPr="7E32E97F">
        <w:rPr>
          <w:rFonts w:cs="Arial"/>
        </w:rPr>
        <w:t>(KRZS)</w:t>
      </w:r>
      <w:r w:rsidRPr="7E32E97F">
        <w:rPr>
          <w:rFonts w:cs="Arial"/>
        </w:rPr>
        <w:t xml:space="preserve"> glede na določen finančni razrez s strani EK),</w:t>
      </w:r>
    </w:p>
    <w:p w14:paraId="62F30134" w14:textId="178D7D22" w:rsidR="005C39FF" w:rsidRPr="004F6FC4" w:rsidRDefault="0E566075" w:rsidP="00C13272">
      <w:pPr>
        <w:numPr>
          <w:ilvl w:val="0"/>
          <w:numId w:val="23"/>
        </w:numPr>
        <w:shd w:val="clear" w:color="auto" w:fill="FFFFFF" w:themeFill="background1"/>
        <w:autoSpaceDN/>
        <w:spacing w:after="0" w:line="276" w:lineRule="auto"/>
        <w:jc w:val="both"/>
        <w:rPr>
          <w:rFonts w:cs="Arial"/>
        </w:rPr>
      </w:pPr>
      <w:r w:rsidRPr="7E32E97F">
        <w:rPr>
          <w:rFonts w:cs="Arial"/>
        </w:rPr>
        <w:t xml:space="preserve">Evropski socialni sklad plus (ločen na </w:t>
      </w:r>
      <w:r w:rsidR="7F47E684" w:rsidRPr="7E32E97F">
        <w:rPr>
          <w:rFonts w:cs="Arial"/>
        </w:rPr>
        <w:t xml:space="preserve">kohezijsko regijo </w:t>
      </w:r>
      <w:r w:rsidRPr="7E32E97F">
        <w:rPr>
          <w:rFonts w:cs="Arial"/>
        </w:rPr>
        <w:t>Vzhodn</w:t>
      </w:r>
      <w:r w:rsidR="3C924555" w:rsidRPr="7E32E97F">
        <w:rPr>
          <w:rFonts w:cs="Arial"/>
        </w:rPr>
        <w:t>a Slovenija</w:t>
      </w:r>
      <w:r w:rsidRPr="7E32E97F">
        <w:rPr>
          <w:rFonts w:cs="Arial"/>
        </w:rPr>
        <w:t xml:space="preserve"> in </w:t>
      </w:r>
      <w:r w:rsidR="6F15BB93" w:rsidRPr="7E32E97F">
        <w:rPr>
          <w:rFonts w:cs="Arial"/>
        </w:rPr>
        <w:t xml:space="preserve">kohezijsko regijo </w:t>
      </w:r>
      <w:r w:rsidRPr="7E32E97F">
        <w:rPr>
          <w:rFonts w:cs="Arial"/>
        </w:rPr>
        <w:t>Zahodn</w:t>
      </w:r>
      <w:r w:rsidR="159A175D" w:rsidRPr="7E32E97F">
        <w:rPr>
          <w:rFonts w:cs="Arial"/>
        </w:rPr>
        <w:t xml:space="preserve">a Slovenija </w:t>
      </w:r>
      <w:r w:rsidRPr="7E32E97F">
        <w:rPr>
          <w:rFonts w:cs="Arial"/>
        </w:rPr>
        <w:t>glede na določen finančni razrez s strani EK),</w:t>
      </w:r>
    </w:p>
    <w:p w14:paraId="1F82216D" w14:textId="77777777" w:rsidR="005C39FF" w:rsidRPr="004F6FC4" w:rsidRDefault="0E566075" w:rsidP="7E32E97F">
      <w:pPr>
        <w:numPr>
          <w:ilvl w:val="0"/>
          <w:numId w:val="23"/>
        </w:numPr>
        <w:shd w:val="clear" w:color="auto" w:fill="FFFFFF" w:themeFill="background1"/>
        <w:autoSpaceDN/>
        <w:spacing w:after="0" w:line="276" w:lineRule="auto"/>
        <w:jc w:val="both"/>
        <w:rPr>
          <w:rFonts w:cs="Arial"/>
        </w:rPr>
      </w:pPr>
      <w:r w:rsidRPr="7E32E97F">
        <w:rPr>
          <w:rFonts w:cs="Arial"/>
        </w:rPr>
        <w:t>Sklad za pravični prehod (za dve premogovniški regiji - Zasavje in Šaleška dolina).</w:t>
      </w:r>
    </w:p>
    <w:p w14:paraId="5E491DE6" w14:textId="77777777" w:rsidR="005C39FF" w:rsidRPr="004F6FC4" w:rsidRDefault="005C39FF" w:rsidP="7E32E97F">
      <w:pPr>
        <w:autoSpaceDN/>
        <w:spacing w:after="0" w:line="288" w:lineRule="auto"/>
        <w:jc w:val="both"/>
        <w:rPr>
          <w:rFonts w:cs="Arial"/>
        </w:rPr>
      </w:pPr>
    </w:p>
    <w:p w14:paraId="360CEF73" w14:textId="46158C6A" w:rsidR="005C39FF" w:rsidRPr="004F6FC4" w:rsidRDefault="786585D6" w:rsidP="00ED5676">
      <w:pPr>
        <w:autoSpaceDN/>
        <w:spacing w:after="0" w:line="288" w:lineRule="auto"/>
        <w:jc w:val="both"/>
        <w:rPr>
          <w:rFonts w:cs="Arial"/>
        </w:rPr>
      </w:pPr>
      <w:r w:rsidRPr="5E1C93E7">
        <w:rPr>
          <w:rFonts w:cs="Arial"/>
          <w:color w:val="222222"/>
          <w:shd w:val="clear" w:color="auto" w:fill="FFFFFF"/>
        </w:rPr>
        <w:t xml:space="preserve">Za razliko od programskega </w:t>
      </w:r>
      <w:r w:rsidRPr="196F70CA">
        <w:rPr>
          <w:rFonts w:cs="Arial"/>
          <w:color w:val="222222"/>
          <w:shd w:val="clear" w:color="auto" w:fill="FFFFFF"/>
        </w:rPr>
        <w:t>obdobja</w:t>
      </w:r>
      <w:r w:rsidRPr="5E1C93E7">
        <w:rPr>
          <w:rFonts w:cs="Arial"/>
          <w:color w:val="222222"/>
          <w:shd w:val="clear" w:color="auto" w:fill="FFFFFF"/>
        </w:rPr>
        <w:t xml:space="preserve"> 2014</w:t>
      </w:r>
      <w:r w:rsidR="4BD3E402" w:rsidRPr="62AA6838">
        <w:rPr>
          <w:rFonts w:cs="Arial"/>
        </w:rPr>
        <w:t>–</w:t>
      </w:r>
      <w:r w:rsidRPr="5E1C93E7">
        <w:rPr>
          <w:rFonts w:cs="Arial"/>
          <w:color w:val="222222"/>
          <w:shd w:val="clear" w:color="auto" w:fill="FFFFFF"/>
        </w:rPr>
        <w:t xml:space="preserve">2020 je </w:t>
      </w:r>
      <w:r w:rsidRPr="67A565C1">
        <w:rPr>
          <w:rFonts w:cs="Arial"/>
          <w:color w:val="222222"/>
          <w:shd w:val="clear" w:color="auto" w:fill="FFFFFF"/>
        </w:rPr>
        <w:t>v obdo</w:t>
      </w:r>
      <w:r w:rsidR="25AC61FA">
        <w:rPr>
          <w:rFonts w:cs="Arial"/>
          <w:color w:val="222222"/>
          <w:shd w:val="clear" w:color="auto" w:fill="FFFFFF"/>
        </w:rPr>
        <w:t>b</w:t>
      </w:r>
      <w:r w:rsidRPr="67A565C1">
        <w:rPr>
          <w:rFonts w:cs="Arial"/>
          <w:color w:val="222222"/>
          <w:shd w:val="clear" w:color="auto" w:fill="FFFFFF"/>
        </w:rPr>
        <w:t>ju 2021</w:t>
      </w:r>
      <w:r w:rsidR="3CE2D922" w:rsidRPr="43EDA22E">
        <w:rPr>
          <w:rFonts w:cs="Arial"/>
        </w:rPr>
        <w:t>–</w:t>
      </w:r>
      <w:r w:rsidRPr="67A565C1">
        <w:rPr>
          <w:rFonts w:cs="Arial"/>
          <w:color w:val="222222"/>
          <w:shd w:val="clear" w:color="auto" w:fill="FFFFFF"/>
        </w:rPr>
        <w:t>2027 oz</w:t>
      </w:r>
      <w:r w:rsidR="25AC61FA">
        <w:rPr>
          <w:rFonts w:cs="Arial"/>
          <w:color w:val="222222"/>
          <w:shd w:val="clear" w:color="auto" w:fill="FFFFFF"/>
        </w:rPr>
        <w:t>.</w:t>
      </w:r>
      <w:r w:rsidRPr="67A565C1">
        <w:rPr>
          <w:rFonts w:cs="Arial"/>
          <w:color w:val="222222"/>
          <w:shd w:val="clear" w:color="auto" w:fill="FFFFFF"/>
        </w:rPr>
        <w:t xml:space="preserve"> PEKP d</w:t>
      </w:r>
      <w:r w:rsidR="0E566075" w:rsidRPr="5E1C93E7">
        <w:rPr>
          <w:rFonts w:cs="Arial"/>
          <w:color w:val="222222"/>
          <w:shd w:val="clear" w:color="auto" w:fill="FFFFFF"/>
        </w:rPr>
        <w:t>odatno</w:t>
      </w:r>
      <w:r w:rsidR="0E566075" w:rsidRPr="0BDC778D">
        <w:rPr>
          <w:rFonts w:cs="Arial"/>
          <w:color w:val="222222"/>
          <w:shd w:val="clear" w:color="auto" w:fill="FFFFFF"/>
        </w:rPr>
        <w:t xml:space="preserve"> vključen Sklad za pravični prehod. S sredstvi tega sklada se dodatno zagotavlja podpora ljudem, gospodarstvu in okolju na območjih, ki se soočajo z resnimi socialno-ekonomskimi izzivi</w:t>
      </w:r>
      <w:r w:rsidR="420BBF69" w:rsidRPr="3F6605F3">
        <w:rPr>
          <w:rFonts w:cs="Arial"/>
          <w:color w:val="222222"/>
          <w:shd w:val="clear" w:color="auto" w:fill="FFFFFF"/>
        </w:rPr>
        <w:t xml:space="preserve"> </w:t>
      </w:r>
      <w:r w:rsidR="420BBF69" w:rsidRPr="4593BDA7">
        <w:rPr>
          <w:rFonts w:cs="Arial"/>
          <w:color w:val="222222"/>
          <w:shd w:val="clear" w:color="auto" w:fill="FFFFFF"/>
        </w:rPr>
        <w:t>zaradi</w:t>
      </w:r>
      <w:r w:rsidR="0E566075" w:rsidRPr="0BDC778D">
        <w:rPr>
          <w:rFonts w:cs="Arial"/>
          <w:color w:val="222222"/>
          <w:shd w:val="clear" w:color="auto" w:fill="FFFFFF"/>
        </w:rPr>
        <w:t xml:space="preserve"> prehoda na energetske in podnebne cilje Unije za leto 2030 ter na podnebno nevtralno gospodarstvo Unije do leta 2050.</w:t>
      </w:r>
    </w:p>
    <w:p w14:paraId="294AE206" w14:textId="77777777" w:rsidR="005C39FF" w:rsidRPr="004F6FC4" w:rsidRDefault="005C39FF" w:rsidP="7E32E97F">
      <w:pPr>
        <w:autoSpaceDN/>
        <w:spacing w:after="0" w:line="288" w:lineRule="auto"/>
        <w:jc w:val="both"/>
        <w:rPr>
          <w:rFonts w:cs="Arial"/>
        </w:rPr>
      </w:pPr>
    </w:p>
    <w:p w14:paraId="38CDD274" w14:textId="42E8CCF0" w:rsidR="005C39FF" w:rsidRPr="004F6FC4" w:rsidRDefault="0E566075" w:rsidP="00ED5676">
      <w:pPr>
        <w:autoSpaceDN/>
        <w:spacing w:after="0" w:line="276" w:lineRule="auto"/>
        <w:jc w:val="both"/>
        <w:rPr>
          <w:rFonts w:cs="Arial"/>
        </w:rPr>
      </w:pPr>
      <w:r w:rsidRPr="7E32E97F">
        <w:rPr>
          <w:rFonts w:cs="Arial"/>
        </w:rPr>
        <w:t xml:space="preserve">Slovenija je v obdobju 2021–2027 razdeljena na dve kohezijski regiji - </w:t>
      </w:r>
      <w:r w:rsidR="44435419" w:rsidRPr="7E32E97F">
        <w:rPr>
          <w:rFonts w:cs="Arial"/>
        </w:rPr>
        <w:t>Z</w:t>
      </w:r>
      <w:r w:rsidRPr="7E32E97F">
        <w:rPr>
          <w:rFonts w:cs="Arial"/>
        </w:rPr>
        <w:t xml:space="preserve">ahodno Slovenijo in </w:t>
      </w:r>
      <w:r w:rsidR="15F9EC2D" w:rsidRPr="7E32E97F">
        <w:rPr>
          <w:rFonts w:cs="Arial"/>
        </w:rPr>
        <w:t>V</w:t>
      </w:r>
      <w:r w:rsidRPr="7E32E97F">
        <w:rPr>
          <w:rFonts w:cs="Arial"/>
        </w:rPr>
        <w:t xml:space="preserve">zhodno Slovenijo. Stopnja sofinanciranja projektov je do največ 40 % za kohezijsko regijo </w:t>
      </w:r>
      <w:r w:rsidR="0A41E518" w:rsidRPr="7E32E97F">
        <w:rPr>
          <w:rFonts w:cs="Arial"/>
        </w:rPr>
        <w:t>Z</w:t>
      </w:r>
      <w:r w:rsidRPr="7E32E97F">
        <w:rPr>
          <w:rFonts w:cs="Arial"/>
        </w:rPr>
        <w:t xml:space="preserve">ahodna Slovenija in 85 % za kohezijsko regijo </w:t>
      </w:r>
      <w:r w:rsidR="727A664F" w:rsidRPr="7E32E97F">
        <w:rPr>
          <w:rFonts w:cs="Arial"/>
        </w:rPr>
        <w:t>V</w:t>
      </w:r>
      <w:r w:rsidRPr="7E32E97F">
        <w:rPr>
          <w:rFonts w:cs="Arial"/>
        </w:rPr>
        <w:t xml:space="preserve">zhodna Slovenija. Skupno je v okviru </w:t>
      </w:r>
      <w:r w:rsidR="5807DD62" w:rsidRPr="7E32E97F">
        <w:rPr>
          <w:rFonts w:cs="Arial"/>
        </w:rPr>
        <w:t>P</w:t>
      </w:r>
      <w:r w:rsidRPr="7E32E97F">
        <w:rPr>
          <w:rFonts w:cs="Arial"/>
        </w:rPr>
        <w:t xml:space="preserve">EKP </w:t>
      </w:r>
      <w:r w:rsidR="419C6937" w:rsidRPr="7E32E97F">
        <w:rPr>
          <w:rFonts w:cs="Arial"/>
        </w:rPr>
        <w:t xml:space="preserve">2021–2027 </w:t>
      </w:r>
      <w:r w:rsidRPr="7E32E97F">
        <w:rPr>
          <w:rFonts w:cs="Arial"/>
        </w:rPr>
        <w:t>Sloveniji na voljo 3,2 milijarde EUR, ki jih lahko izkoristi do konca leta 2029.</w:t>
      </w:r>
    </w:p>
    <w:p w14:paraId="5CB4C533" w14:textId="414981AE" w:rsidR="00573ABE" w:rsidRPr="004F6FC4" w:rsidRDefault="00573ABE" w:rsidP="00ED5676">
      <w:pPr>
        <w:autoSpaceDN/>
        <w:spacing w:after="0" w:line="276" w:lineRule="auto"/>
        <w:jc w:val="both"/>
        <w:rPr>
          <w:rFonts w:cs="Arial"/>
        </w:rPr>
      </w:pPr>
    </w:p>
    <w:p w14:paraId="4B0F708D" w14:textId="49F0180E" w:rsidR="005C39FF" w:rsidRPr="004F6FC4" w:rsidRDefault="0E566075" w:rsidP="00ED5676">
      <w:pPr>
        <w:autoSpaceDN/>
        <w:spacing w:after="0" w:line="276" w:lineRule="auto"/>
        <w:jc w:val="both"/>
        <w:rPr>
          <w:rFonts w:cs="Arial"/>
        </w:rPr>
      </w:pPr>
      <w:r w:rsidRPr="7E32E97F">
        <w:rPr>
          <w:rFonts w:cs="Arial"/>
        </w:rPr>
        <w:t xml:space="preserve">Vsebine PEKP so razdeljene v </w:t>
      </w:r>
      <w:r w:rsidR="7BB087BB" w:rsidRPr="7E32E97F">
        <w:rPr>
          <w:rFonts w:cs="Arial"/>
        </w:rPr>
        <w:t>pet</w:t>
      </w:r>
      <w:r w:rsidRPr="7E32E97F">
        <w:rPr>
          <w:rFonts w:cs="Arial"/>
        </w:rPr>
        <w:t xml:space="preserve"> ciljev politik (CP), kot jih je določila EK</w:t>
      </w:r>
      <w:r w:rsidR="11E447E9" w:rsidRPr="7E32E97F">
        <w:rPr>
          <w:rFonts w:cs="Arial"/>
        </w:rPr>
        <w:t xml:space="preserve"> z Uredbo o skupnih določbah</w:t>
      </w:r>
      <w:r w:rsidR="1EB0CC35" w:rsidRPr="7E32E97F">
        <w:rPr>
          <w:rFonts w:cs="Arial"/>
        </w:rPr>
        <w:t xml:space="preserve"> (EU) 2021/1060</w:t>
      </w:r>
      <w:r w:rsidR="2727D0FF" w:rsidRPr="7E32E97F">
        <w:rPr>
          <w:rFonts w:cs="Arial"/>
        </w:rPr>
        <w:t>.</w:t>
      </w:r>
      <w:r w:rsidRPr="7E32E97F">
        <w:rPr>
          <w:rFonts w:cs="Arial"/>
        </w:rPr>
        <w:t xml:space="preserve"> </w:t>
      </w:r>
      <w:r w:rsidR="565D0CD4" w:rsidRPr="7E32E97F">
        <w:rPr>
          <w:rFonts w:cs="Arial"/>
        </w:rPr>
        <w:t xml:space="preserve">Slovenija je </w:t>
      </w:r>
      <w:r w:rsidRPr="7E32E97F">
        <w:rPr>
          <w:rFonts w:cs="Arial"/>
        </w:rPr>
        <w:t>dodat</w:t>
      </w:r>
      <w:r w:rsidR="1A9A2848" w:rsidRPr="7E32E97F">
        <w:rPr>
          <w:rFonts w:cs="Arial"/>
        </w:rPr>
        <w:t>e</w:t>
      </w:r>
      <w:r w:rsidRPr="7E32E97F">
        <w:rPr>
          <w:rFonts w:cs="Arial"/>
        </w:rPr>
        <w:t>n</w:t>
      </w:r>
      <w:r w:rsidR="73E39BD5" w:rsidRPr="7E32E97F">
        <w:rPr>
          <w:rFonts w:cs="Arial"/>
        </w:rPr>
        <w:t>,</w:t>
      </w:r>
      <w:r w:rsidRPr="7E32E97F">
        <w:rPr>
          <w:rFonts w:cs="Arial"/>
        </w:rPr>
        <w:t xml:space="preserve"> kot 6. </w:t>
      </w:r>
      <w:r w:rsidR="54BC8F38" w:rsidRPr="7E32E97F">
        <w:rPr>
          <w:rFonts w:cs="Arial"/>
        </w:rPr>
        <w:t xml:space="preserve">specifičen </w:t>
      </w:r>
      <w:r w:rsidRPr="7E32E97F">
        <w:rPr>
          <w:rFonts w:cs="Arial"/>
        </w:rPr>
        <w:t>cilj</w:t>
      </w:r>
      <w:r w:rsidR="57AA76DC" w:rsidRPr="7E32E97F">
        <w:rPr>
          <w:rFonts w:cs="Arial"/>
        </w:rPr>
        <w:t>,</w:t>
      </w:r>
      <w:r w:rsidRPr="7E32E97F">
        <w:rPr>
          <w:rFonts w:cs="Arial"/>
        </w:rPr>
        <w:t xml:space="preserve"> opredelil</w:t>
      </w:r>
      <w:r w:rsidR="44D9DE5B" w:rsidRPr="7E32E97F">
        <w:rPr>
          <w:rFonts w:cs="Arial"/>
        </w:rPr>
        <w:t>a</w:t>
      </w:r>
      <w:r w:rsidRPr="7E32E97F">
        <w:rPr>
          <w:rFonts w:cs="Arial"/>
        </w:rPr>
        <w:t xml:space="preserve"> Sklad za pravični prehod. V skladu s Strategijo razvoja Slovenije do 2030 </w:t>
      </w:r>
      <w:r w:rsidR="3BF4C659" w:rsidRPr="7E32E97F">
        <w:rPr>
          <w:rFonts w:cs="Arial"/>
        </w:rPr>
        <w:t xml:space="preserve">je Slovenija </w:t>
      </w:r>
      <w:r w:rsidRPr="7E32E97F">
        <w:rPr>
          <w:rFonts w:cs="Arial"/>
        </w:rPr>
        <w:t>opredelil</w:t>
      </w:r>
      <w:r w:rsidR="28B52D7B" w:rsidRPr="7E32E97F">
        <w:rPr>
          <w:rFonts w:cs="Arial"/>
        </w:rPr>
        <w:t>a</w:t>
      </w:r>
      <w:r w:rsidRPr="7E32E97F">
        <w:rPr>
          <w:rFonts w:cs="Arial"/>
        </w:rPr>
        <w:t xml:space="preserve"> </w:t>
      </w:r>
      <w:r w:rsidR="25D4BF1B" w:rsidRPr="7E32E97F">
        <w:rPr>
          <w:rFonts w:cs="Arial"/>
        </w:rPr>
        <w:t xml:space="preserve">deset </w:t>
      </w:r>
      <w:r w:rsidRPr="7E32E97F">
        <w:rPr>
          <w:rFonts w:cs="Arial"/>
        </w:rPr>
        <w:t xml:space="preserve">prednostnih nalog, znotraj katerih so </w:t>
      </w:r>
      <w:r w:rsidR="25D4BF1B" w:rsidRPr="7E32E97F">
        <w:rPr>
          <w:rFonts w:cs="Arial"/>
        </w:rPr>
        <w:t>d</w:t>
      </w:r>
      <w:r w:rsidRPr="7E32E97F">
        <w:rPr>
          <w:rFonts w:cs="Arial"/>
        </w:rPr>
        <w:t>o</w:t>
      </w:r>
      <w:r w:rsidR="25D4BF1B" w:rsidRPr="7E32E97F">
        <w:rPr>
          <w:rFonts w:cs="Arial"/>
        </w:rPr>
        <w:t xml:space="preserve">ločeni </w:t>
      </w:r>
      <w:r w:rsidRPr="7E32E97F">
        <w:rPr>
          <w:rFonts w:cs="Arial"/>
        </w:rPr>
        <w:t xml:space="preserve">posamezni specifični cilji, </w:t>
      </w:r>
      <w:r w:rsidR="25D4BF1B" w:rsidRPr="7E32E97F">
        <w:rPr>
          <w:rFonts w:cs="Arial"/>
        </w:rPr>
        <w:t xml:space="preserve">skladno z </w:t>
      </w:r>
      <w:r w:rsidR="71B1F0F2" w:rsidRPr="7E32E97F">
        <w:rPr>
          <w:rFonts w:cs="Arial"/>
        </w:rPr>
        <w:t>Uredb</w:t>
      </w:r>
      <w:r w:rsidR="25D4BF1B" w:rsidRPr="7E32E97F">
        <w:rPr>
          <w:rFonts w:cs="Arial"/>
        </w:rPr>
        <w:t>o</w:t>
      </w:r>
      <w:r w:rsidR="71B1F0F2" w:rsidRPr="7E32E97F">
        <w:rPr>
          <w:rFonts w:cs="Arial"/>
        </w:rPr>
        <w:t xml:space="preserve"> o skupnih določbah</w:t>
      </w:r>
      <w:r w:rsidR="1EB0CC35" w:rsidRPr="7E32E97F">
        <w:rPr>
          <w:rFonts w:cs="Arial"/>
        </w:rPr>
        <w:t xml:space="preserve"> (EU) 2021/1060</w:t>
      </w:r>
      <w:r w:rsidRPr="7E32E97F">
        <w:rPr>
          <w:rFonts w:cs="Arial"/>
        </w:rPr>
        <w:t xml:space="preserve">. Prednostna naloga lahko uporabi podporo iz enega ali več skladov, razen če prejme podporo iz SPP. Prednostna naloga je sestavljena iz enega ali več specifičnih ciljev. V okviru priprave PEKP </w:t>
      </w:r>
      <w:r w:rsidR="7A6DC031" w:rsidRPr="7E32E97F">
        <w:rPr>
          <w:rFonts w:cs="Arial"/>
        </w:rPr>
        <w:t xml:space="preserve">je Slovenija </w:t>
      </w:r>
      <w:r w:rsidRPr="7E32E97F">
        <w:rPr>
          <w:rFonts w:cs="Arial"/>
        </w:rPr>
        <w:t>pri oblikovanju prednostnih področij vlaganj izhajal</w:t>
      </w:r>
      <w:r w:rsidR="06EA2993" w:rsidRPr="7E32E97F">
        <w:rPr>
          <w:rFonts w:cs="Arial"/>
        </w:rPr>
        <w:t>a</w:t>
      </w:r>
      <w:r w:rsidRPr="7E32E97F">
        <w:rPr>
          <w:rFonts w:cs="Arial"/>
        </w:rPr>
        <w:t xml:space="preserve"> iz Strategije razvoja Slovenije 2030, Poročila o razvoju 2021 ter strateških prioritet Evropske komisije, predvsem na področjih zelenega in digitalnega prehoda ter vzpostavitve gospodarstva za ljudi.</w:t>
      </w:r>
    </w:p>
    <w:p w14:paraId="581A68F6" w14:textId="77777777" w:rsidR="00573ABE" w:rsidRPr="004F6FC4" w:rsidRDefault="00573ABE" w:rsidP="7E32E97F">
      <w:pPr>
        <w:autoSpaceDN/>
        <w:spacing w:after="0" w:line="276" w:lineRule="auto"/>
        <w:jc w:val="both"/>
        <w:rPr>
          <w:rFonts w:cs="Arial"/>
        </w:rPr>
      </w:pPr>
    </w:p>
    <w:p w14:paraId="2A5DA4D8" w14:textId="6B8533B8" w:rsidR="005C39FF" w:rsidRPr="004F6FC4" w:rsidRDefault="0E566075" w:rsidP="00ED5676">
      <w:pPr>
        <w:autoSpaceDN/>
        <w:spacing w:after="0" w:line="276" w:lineRule="auto"/>
        <w:jc w:val="both"/>
        <w:rPr>
          <w:rFonts w:eastAsia="Calibri" w:cs="Arial"/>
        </w:rPr>
      </w:pPr>
      <w:r w:rsidRPr="7E32E97F">
        <w:rPr>
          <w:rFonts w:eastAsia="Calibri" w:cs="Arial"/>
        </w:rPr>
        <w:t xml:space="preserve">Sredstva </w:t>
      </w:r>
      <w:r w:rsidR="580C6C44" w:rsidRPr="7E32E97F">
        <w:rPr>
          <w:rFonts w:eastAsia="Calibri" w:cs="Arial"/>
        </w:rPr>
        <w:t>tehnične podpore (</w:t>
      </w:r>
      <w:r w:rsidRPr="7E32E97F">
        <w:rPr>
          <w:rFonts w:eastAsia="Calibri" w:cs="Arial"/>
        </w:rPr>
        <w:t>TP</w:t>
      </w:r>
      <w:r w:rsidR="1F1BB302" w:rsidRPr="7E32E97F">
        <w:rPr>
          <w:rFonts w:eastAsia="Calibri" w:cs="Arial"/>
        </w:rPr>
        <w:t>)</w:t>
      </w:r>
      <w:r w:rsidRPr="7E32E97F">
        <w:rPr>
          <w:rFonts w:eastAsia="Calibri" w:cs="Arial"/>
        </w:rPr>
        <w:t xml:space="preserve"> se izvaja</w:t>
      </w:r>
      <w:r w:rsidR="4E1386FC" w:rsidRPr="7E32E97F">
        <w:rPr>
          <w:rFonts w:eastAsia="Calibri" w:cs="Arial"/>
        </w:rPr>
        <w:t>jo</w:t>
      </w:r>
      <w:r w:rsidRPr="7E32E97F">
        <w:rPr>
          <w:rFonts w:eastAsia="Calibri" w:cs="Arial"/>
        </w:rPr>
        <w:t xml:space="preserve"> po pavšalni stopnji na podlagi napredka pri izvajanju PEKP</w:t>
      </w:r>
      <w:r w:rsidR="2FA42E14" w:rsidRPr="7E32E97F">
        <w:rPr>
          <w:rFonts w:eastAsia="Calibri" w:cs="Arial"/>
        </w:rPr>
        <w:t xml:space="preserve"> in</w:t>
      </w:r>
      <w:r w:rsidRPr="7E32E97F">
        <w:rPr>
          <w:rFonts w:eastAsia="Calibri" w:cs="Arial"/>
        </w:rPr>
        <w:t xml:space="preserve"> bodo tako del vsake prednostne naloge programa in ne bodo vključena v obliki ločene prednostne naloge</w:t>
      </w:r>
      <w:r w:rsidR="254EB338" w:rsidRPr="7E32E97F">
        <w:rPr>
          <w:rFonts w:eastAsia="Calibri" w:cs="Arial"/>
        </w:rPr>
        <w:t>, kot doslej</w:t>
      </w:r>
      <w:r w:rsidRPr="7E32E97F">
        <w:rPr>
          <w:rFonts w:eastAsia="Calibri" w:cs="Arial"/>
        </w:rPr>
        <w:t>. Povrnjena bodo po pavšalni stopnji glede na sklad, regijo in upravičene izdatke, ki jih bo Slovenija vključila v zahtevke za izplačilo in posredovala EK.</w:t>
      </w:r>
    </w:p>
    <w:p w14:paraId="071088C0" w14:textId="77777777" w:rsidR="00427FC8" w:rsidRPr="004F6FC4" w:rsidRDefault="00427FC8" w:rsidP="7E32E97F">
      <w:pPr>
        <w:autoSpaceDN/>
        <w:spacing w:after="0" w:line="276" w:lineRule="auto"/>
        <w:jc w:val="both"/>
        <w:rPr>
          <w:rFonts w:cs="Arial"/>
        </w:rPr>
      </w:pPr>
    </w:p>
    <w:p w14:paraId="6589C137" w14:textId="77777777" w:rsidR="005C39FF" w:rsidRPr="004F6FC4" w:rsidRDefault="0E566075" w:rsidP="7E32E97F">
      <w:pPr>
        <w:autoSpaceDN/>
        <w:spacing w:after="0" w:line="288" w:lineRule="auto"/>
        <w:jc w:val="both"/>
        <w:rPr>
          <w:rFonts w:cs="Arial"/>
        </w:rPr>
      </w:pPr>
      <w:r w:rsidRPr="7E32E97F">
        <w:rPr>
          <w:rFonts w:cs="Arial"/>
        </w:rPr>
        <w:t>Program je bil s strani EK potrjen 12. 12. 2022.</w:t>
      </w:r>
    </w:p>
    <w:p w14:paraId="56281E2A" w14:textId="4949CDC1" w:rsidR="005C39FF" w:rsidRPr="004F6FC4" w:rsidRDefault="005C39FF" w:rsidP="00ED5676">
      <w:pPr>
        <w:spacing w:after="0"/>
        <w:jc w:val="both"/>
        <w:rPr>
          <w:rFonts w:eastAsia="Calibri" w:cs="Arial"/>
          <w:sz w:val="18"/>
          <w:szCs w:val="18"/>
        </w:rPr>
      </w:pPr>
    </w:p>
    <w:p w14:paraId="30EAB123" w14:textId="64420BD1" w:rsidR="005C39FF" w:rsidRPr="0025033E" w:rsidRDefault="76EE8A62" w:rsidP="003E671B">
      <w:pPr>
        <w:pStyle w:val="Naslov3"/>
        <w:numPr>
          <w:ilvl w:val="0"/>
          <w:numId w:val="0"/>
        </w:numPr>
        <w:rPr>
          <w:rFonts w:cs="Arial"/>
        </w:rPr>
      </w:pPr>
      <w:bookmarkStart w:id="149" w:name="_Toc219974403"/>
      <w:r w:rsidRPr="7E32E97F">
        <w:rPr>
          <w:rFonts w:cs="Arial"/>
        </w:rPr>
        <w:t xml:space="preserve">1.1.3 </w:t>
      </w:r>
      <w:r w:rsidR="0E566075" w:rsidRPr="7E32E97F">
        <w:rPr>
          <w:rFonts w:cs="Arial"/>
        </w:rPr>
        <w:t>Izvedbene določbe</w:t>
      </w:r>
      <w:bookmarkEnd w:id="149"/>
    </w:p>
    <w:p w14:paraId="616B496A" w14:textId="77777777" w:rsidR="005C39FF" w:rsidRPr="0025033E" w:rsidRDefault="005C39FF" w:rsidP="00ED5676">
      <w:pPr>
        <w:spacing w:after="0"/>
        <w:jc w:val="both"/>
        <w:rPr>
          <w:rFonts w:cs="Arial"/>
        </w:rPr>
      </w:pPr>
    </w:p>
    <w:p w14:paraId="52FC1A0D" w14:textId="4CAA9E39" w:rsidR="005C39FF" w:rsidRPr="0025033E" w:rsidRDefault="0E566075" w:rsidP="00ED5676">
      <w:pPr>
        <w:autoSpaceDN/>
        <w:spacing w:after="0" w:line="256" w:lineRule="auto"/>
        <w:jc w:val="both"/>
        <w:rPr>
          <w:rFonts w:eastAsia="Calibri" w:cs="Arial"/>
        </w:rPr>
      </w:pPr>
      <w:r w:rsidRPr="7E32E97F">
        <w:rPr>
          <w:rFonts w:eastAsia="Calibri" w:cs="Arial"/>
        </w:rPr>
        <w:t xml:space="preserve">V Sloveniji je za koordinacijo Sporazuma o partnerstvu ter izvajanje PEKP vzpostavljen sistem upravljanja in nadzora v okviru odgovornosti države članice v deljenem upravljanju, delovanje pa </w:t>
      </w:r>
      <w:r w:rsidR="4E1386FC" w:rsidRPr="7E32E97F">
        <w:rPr>
          <w:rFonts w:eastAsia="Calibri" w:cs="Arial"/>
        </w:rPr>
        <w:t xml:space="preserve">je </w:t>
      </w:r>
      <w:r w:rsidRPr="7E32E97F">
        <w:rPr>
          <w:rFonts w:eastAsia="Calibri" w:cs="Arial"/>
        </w:rPr>
        <w:t xml:space="preserve">zagotovljeno v skladu z načelom dobrega finančnega poslovodenja in ključnimi zahtevami iz regulatornega okvira EKP v obdobju </w:t>
      </w:r>
      <w:r w:rsidR="419C6937" w:rsidRPr="7E32E97F">
        <w:rPr>
          <w:rFonts w:eastAsia="Calibri" w:cs="Arial"/>
        </w:rPr>
        <w:t>2021–2027</w:t>
      </w:r>
      <w:r w:rsidRPr="7E32E97F">
        <w:rPr>
          <w:rFonts w:eastAsia="Calibri" w:cs="Arial"/>
        </w:rPr>
        <w:t>.</w:t>
      </w:r>
    </w:p>
    <w:p w14:paraId="2C803DD0" w14:textId="77777777" w:rsidR="005C39FF" w:rsidRPr="0025033E" w:rsidRDefault="005C39FF" w:rsidP="7E32E97F">
      <w:pPr>
        <w:autoSpaceDN/>
        <w:spacing w:after="0" w:line="256" w:lineRule="auto"/>
        <w:jc w:val="both"/>
        <w:rPr>
          <w:rFonts w:eastAsia="Calibri" w:cs="Arial"/>
        </w:rPr>
      </w:pPr>
    </w:p>
    <w:p w14:paraId="2365D908" w14:textId="19DADA61" w:rsidR="005C39FF" w:rsidRDefault="0E566075" w:rsidP="2446E3D2">
      <w:pPr>
        <w:autoSpaceDN/>
        <w:spacing w:after="0" w:line="276" w:lineRule="auto"/>
        <w:jc w:val="both"/>
        <w:rPr>
          <w:rFonts w:eastAsia="Calibri" w:cs="Arial"/>
        </w:rPr>
      </w:pPr>
      <w:r w:rsidRPr="7E32E97F">
        <w:rPr>
          <w:rFonts w:eastAsia="Calibri" w:cs="Arial"/>
        </w:rPr>
        <w:t xml:space="preserve">OU je </w:t>
      </w:r>
      <w:r w:rsidR="232A58F9" w:rsidRPr="7E32E97F">
        <w:rPr>
          <w:rFonts w:eastAsia="Calibri" w:cs="Arial"/>
        </w:rPr>
        <w:t xml:space="preserve">v sodelovanju z relevantnimi deležniki </w:t>
      </w:r>
      <w:r w:rsidRPr="7E32E97F">
        <w:rPr>
          <w:rFonts w:eastAsia="Calibri" w:cs="Arial"/>
        </w:rPr>
        <w:t xml:space="preserve">pripravil Uredbo o izvajanju uredb (EU) in (Euratom) na področju izvajanja evropske kohezijske politike v obdobju </w:t>
      </w:r>
      <w:r w:rsidR="419C6937" w:rsidRPr="7E32E97F">
        <w:rPr>
          <w:rFonts w:eastAsia="Calibri" w:cs="Arial"/>
        </w:rPr>
        <w:t xml:space="preserve">2021–2027 </w:t>
      </w:r>
      <w:r w:rsidRPr="7E32E97F">
        <w:rPr>
          <w:rFonts w:eastAsia="Calibri" w:cs="Arial"/>
        </w:rPr>
        <w:t xml:space="preserve">za cilj naložbe za rast in delovna mesta, ki je bila objavljena v Uradnem listu št. 21/2023 z dne 17. 2. 2023 ter Opis sistema upravljanja in nadzora za izvajanje </w:t>
      </w:r>
      <w:r w:rsidRPr="7E32E97F">
        <w:rPr>
          <w:rFonts w:cs="Arial"/>
        </w:rPr>
        <w:t>PEKP. Pripravljena so</w:t>
      </w:r>
      <w:r w:rsidR="256AC442" w:rsidRPr="7E32E97F">
        <w:rPr>
          <w:rFonts w:cs="Arial"/>
        </w:rPr>
        <w:t xml:space="preserve"> bila </w:t>
      </w:r>
      <w:r w:rsidRPr="7E32E97F">
        <w:rPr>
          <w:rFonts w:cs="Arial"/>
        </w:rPr>
        <w:t xml:space="preserve">tudi </w:t>
      </w:r>
      <w:r w:rsidRPr="7E32E97F">
        <w:rPr>
          <w:rFonts w:eastAsia="Calibri" w:cs="Arial"/>
        </w:rPr>
        <w:t>pripadajoča področna navodila, ki jih je</w:t>
      </w:r>
      <w:r w:rsidR="029611AB" w:rsidRPr="7E32E97F">
        <w:rPr>
          <w:rFonts w:eastAsia="Calibri" w:cs="Arial"/>
        </w:rPr>
        <w:t>, prav tako v sodelovanju s pristojnimi resorji,</w:t>
      </w:r>
      <w:r w:rsidRPr="7E32E97F">
        <w:rPr>
          <w:rFonts w:eastAsia="Calibri" w:cs="Arial"/>
        </w:rPr>
        <w:t xml:space="preserve"> pr</w:t>
      </w:r>
      <w:r w:rsidR="34880FBE" w:rsidRPr="7E32E97F">
        <w:rPr>
          <w:rFonts w:eastAsia="Calibri" w:cs="Arial"/>
        </w:rPr>
        <w:t xml:space="preserve">ipravil </w:t>
      </w:r>
      <w:r w:rsidRPr="7E32E97F">
        <w:rPr>
          <w:rFonts w:eastAsia="Calibri" w:cs="Arial"/>
        </w:rPr>
        <w:t xml:space="preserve">OU. Celoten napredek je dostopen na spletnem naslovu: </w:t>
      </w:r>
      <w:hyperlink r:id="rId22">
        <w:r w:rsidRPr="7E32E97F">
          <w:rPr>
            <w:rFonts w:eastAsia="Calibri" w:cs="Arial"/>
            <w:color w:val="0000FF"/>
            <w:u w:val="single"/>
          </w:rPr>
          <w:t>https://evropskasredstva.si/evropska-kohezijska-politika/</w:t>
        </w:r>
      </w:hyperlink>
      <w:r w:rsidRPr="7E32E97F">
        <w:rPr>
          <w:rFonts w:eastAsia="Calibri" w:cs="Arial"/>
        </w:rPr>
        <w:t>.</w:t>
      </w:r>
    </w:p>
    <w:p w14:paraId="60B4CEAF" w14:textId="77777777" w:rsidR="00C25C29" w:rsidRPr="0025033E" w:rsidRDefault="00C25C29" w:rsidP="2446E3D2">
      <w:pPr>
        <w:autoSpaceDN/>
        <w:spacing w:after="0" w:line="276" w:lineRule="auto"/>
        <w:jc w:val="both"/>
        <w:rPr>
          <w:rFonts w:eastAsia="Calibri" w:cs="Arial"/>
        </w:rPr>
      </w:pPr>
    </w:p>
    <w:p w14:paraId="0CF14374" w14:textId="71E9CC2C" w:rsidR="00C011C0" w:rsidRPr="0025033E" w:rsidRDefault="76D056A1" w:rsidP="7E32E97F">
      <w:pPr>
        <w:pStyle w:val="Naslov10"/>
        <w:spacing w:before="0" w:after="0"/>
        <w:rPr>
          <w:rFonts w:cs="Arial"/>
        </w:rPr>
      </w:pPr>
      <w:bookmarkStart w:id="150" w:name="_Toc219974404"/>
      <w:r w:rsidRPr="7E32E97F">
        <w:rPr>
          <w:rFonts w:cs="Arial"/>
        </w:rPr>
        <w:lastRenderedPageBreak/>
        <w:t xml:space="preserve">IZVAJANJE PROGRAMA EKP </w:t>
      </w:r>
      <w:r w:rsidR="419C6937" w:rsidRPr="7E32E97F">
        <w:rPr>
          <w:rFonts w:cs="Arial"/>
        </w:rPr>
        <w:t>2021–2027</w:t>
      </w:r>
      <w:bookmarkEnd w:id="150"/>
      <w:r w:rsidR="419C6937" w:rsidRPr="7E32E97F">
        <w:rPr>
          <w:rFonts w:cs="Arial"/>
        </w:rPr>
        <w:t xml:space="preserve"> </w:t>
      </w:r>
    </w:p>
    <w:p w14:paraId="7E8D96F2" w14:textId="7CAC3A58" w:rsidR="00A169E8" w:rsidRPr="006B001F" w:rsidRDefault="76D056A1" w:rsidP="7E32E97F">
      <w:pPr>
        <w:autoSpaceDE w:val="0"/>
        <w:adjustRightInd w:val="0"/>
        <w:spacing w:after="0" w:line="288" w:lineRule="auto"/>
        <w:jc w:val="both"/>
        <w:rPr>
          <w:rFonts w:cs="Arial"/>
        </w:rPr>
      </w:pPr>
      <w:r w:rsidRPr="7E32E97F">
        <w:rPr>
          <w:rFonts w:cs="Arial"/>
        </w:rPr>
        <w:t xml:space="preserve">V okviru razpoložljivih sredstev za programsko obdobje </w:t>
      </w:r>
      <w:r w:rsidR="419C6937" w:rsidRPr="7E32E97F">
        <w:rPr>
          <w:rFonts w:eastAsia="Calibri" w:cs="Arial"/>
        </w:rPr>
        <w:t xml:space="preserve">2021–2027 </w:t>
      </w:r>
      <w:r w:rsidRPr="7E32E97F">
        <w:rPr>
          <w:rFonts w:cs="Arial"/>
        </w:rPr>
        <w:t xml:space="preserve">je razdelitev sredstev po skladih </w:t>
      </w:r>
      <w:r w:rsidRPr="006B001F">
        <w:rPr>
          <w:rFonts w:cs="Arial"/>
        </w:rPr>
        <w:t>naslednja:</w:t>
      </w:r>
    </w:p>
    <w:p w14:paraId="18E4ABDE" w14:textId="6FF7D7AC" w:rsidR="00A169E8" w:rsidRPr="006B001F" w:rsidRDefault="76D056A1" w:rsidP="7E32E97F">
      <w:pPr>
        <w:numPr>
          <w:ilvl w:val="0"/>
          <w:numId w:val="18"/>
        </w:numPr>
        <w:autoSpaceDE w:val="0"/>
        <w:autoSpaceDN/>
        <w:adjustRightInd w:val="0"/>
        <w:spacing w:after="0" w:line="288" w:lineRule="auto"/>
        <w:jc w:val="both"/>
        <w:rPr>
          <w:rFonts w:cs="Arial"/>
        </w:rPr>
      </w:pPr>
      <w:r w:rsidRPr="006B001F">
        <w:rPr>
          <w:rFonts w:cs="Arial"/>
        </w:rPr>
        <w:t>ESRR: 1.545.686.28</w:t>
      </w:r>
      <w:r w:rsidR="720CA2C9" w:rsidRPr="006B001F">
        <w:rPr>
          <w:rFonts w:cs="Arial"/>
        </w:rPr>
        <w:t>8</w:t>
      </w:r>
      <w:r w:rsidRPr="006B001F">
        <w:rPr>
          <w:rFonts w:cs="Arial"/>
        </w:rPr>
        <w:t xml:space="preserve"> EUR;</w:t>
      </w:r>
    </w:p>
    <w:p w14:paraId="17A21122" w14:textId="77777777" w:rsidR="00A169E8" w:rsidRPr="006B001F" w:rsidRDefault="76D056A1" w:rsidP="7E32E97F">
      <w:pPr>
        <w:numPr>
          <w:ilvl w:val="0"/>
          <w:numId w:val="18"/>
        </w:numPr>
        <w:autoSpaceDE w:val="0"/>
        <w:autoSpaceDN/>
        <w:adjustRightInd w:val="0"/>
        <w:spacing w:after="0" w:line="288" w:lineRule="auto"/>
        <w:jc w:val="both"/>
        <w:rPr>
          <w:rFonts w:cs="Arial"/>
        </w:rPr>
      </w:pPr>
      <w:r w:rsidRPr="006B001F">
        <w:rPr>
          <w:rFonts w:cs="Arial"/>
        </w:rPr>
        <w:t>ESS+: 611.504.805 EUR;</w:t>
      </w:r>
    </w:p>
    <w:p w14:paraId="3F7802A5" w14:textId="77777777" w:rsidR="00A169E8" w:rsidRPr="006B001F" w:rsidRDefault="76D056A1" w:rsidP="7E32E97F">
      <w:pPr>
        <w:numPr>
          <w:ilvl w:val="0"/>
          <w:numId w:val="18"/>
        </w:numPr>
        <w:autoSpaceDE w:val="0"/>
        <w:autoSpaceDN/>
        <w:adjustRightInd w:val="0"/>
        <w:spacing w:after="0" w:line="288" w:lineRule="auto"/>
        <w:jc w:val="both"/>
        <w:rPr>
          <w:rFonts w:cs="Arial"/>
        </w:rPr>
      </w:pPr>
      <w:r w:rsidRPr="006B001F">
        <w:rPr>
          <w:rFonts w:cs="Arial"/>
        </w:rPr>
        <w:t>KS: 700.675.721 EUR;</w:t>
      </w:r>
    </w:p>
    <w:p w14:paraId="7A0A3DBE" w14:textId="77777777" w:rsidR="00A169E8" w:rsidRPr="006B001F" w:rsidRDefault="76D056A1" w:rsidP="7E32E97F">
      <w:pPr>
        <w:numPr>
          <w:ilvl w:val="0"/>
          <w:numId w:val="18"/>
        </w:numPr>
        <w:autoSpaceDE w:val="0"/>
        <w:autoSpaceDN/>
        <w:adjustRightInd w:val="0"/>
        <w:spacing w:after="0" w:line="240" w:lineRule="auto"/>
        <w:jc w:val="both"/>
        <w:rPr>
          <w:rFonts w:cs="Arial"/>
        </w:rPr>
      </w:pPr>
      <w:r w:rsidRPr="006B001F">
        <w:rPr>
          <w:rFonts w:cs="Arial"/>
        </w:rPr>
        <w:t>SPP: 248.773.600 EUR.</w:t>
      </w:r>
    </w:p>
    <w:p w14:paraId="75EF9F00" w14:textId="18D0FF8D" w:rsidR="00A169E8" w:rsidRPr="00654311" w:rsidRDefault="00A169E8" w:rsidP="7E32E97F">
      <w:pPr>
        <w:autoSpaceDE w:val="0"/>
        <w:adjustRightInd w:val="0"/>
        <w:spacing w:after="0" w:line="288" w:lineRule="auto"/>
        <w:jc w:val="both"/>
        <w:rPr>
          <w:rFonts w:cs="Arial"/>
        </w:rPr>
      </w:pPr>
    </w:p>
    <w:p w14:paraId="04B3C24F" w14:textId="77777777" w:rsidR="00A169E8" w:rsidRPr="00654311" w:rsidRDefault="76D056A1" w:rsidP="7E32E97F">
      <w:pPr>
        <w:autoSpaceDN/>
        <w:spacing w:after="0" w:line="288" w:lineRule="auto"/>
        <w:jc w:val="both"/>
        <w:rPr>
          <w:rFonts w:eastAsia="SimSun" w:cs="Arial"/>
          <w:lang w:eastAsia="zh-CN"/>
        </w:rPr>
      </w:pPr>
      <w:r w:rsidRPr="7E32E97F">
        <w:rPr>
          <w:rFonts w:eastAsia="SimSun" w:cs="Arial"/>
        </w:rPr>
        <w:t>V okviru razdelitve razpoložljivih sredstev posameznih skladov glede na geografsko upravičenost, kamor spada razdelitev na obe kohezijski regiji, je stanje naslednje:</w:t>
      </w:r>
    </w:p>
    <w:p w14:paraId="3A981DE3" w14:textId="084A1AE9" w:rsidR="00A169E8" w:rsidRPr="0025033E" w:rsidRDefault="76D056A1" w:rsidP="00C13272">
      <w:pPr>
        <w:numPr>
          <w:ilvl w:val="0"/>
          <w:numId w:val="19"/>
        </w:numPr>
        <w:autoSpaceDE w:val="0"/>
        <w:autoSpaceDN/>
        <w:adjustRightInd w:val="0"/>
        <w:spacing w:after="0" w:line="288" w:lineRule="auto"/>
        <w:ind w:left="714" w:hanging="357"/>
        <w:jc w:val="both"/>
        <w:rPr>
          <w:rFonts w:eastAsia="SimSun" w:cs="Arial"/>
          <w:lang w:eastAsia="zh-CN"/>
        </w:rPr>
      </w:pPr>
      <w:r w:rsidRPr="7E32E97F">
        <w:rPr>
          <w:rFonts w:eastAsia="SimSun" w:cs="Arial"/>
        </w:rPr>
        <w:t xml:space="preserve">kohezijski regiji Zahodna Slovenija je iz ESRR in ESS+ skupaj namenjenih </w:t>
      </w:r>
      <w:r w:rsidR="7A1650F1" w:rsidRPr="7E32E97F">
        <w:rPr>
          <w:rFonts w:eastAsia="SimSun" w:cs="Arial"/>
        </w:rPr>
        <w:t>513</w:t>
      </w:r>
      <w:r w:rsidR="1A9A2848" w:rsidRPr="7E32E97F">
        <w:rPr>
          <w:rFonts w:eastAsia="SimSun" w:cs="Arial"/>
        </w:rPr>
        <w:t xml:space="preserve"> </w:t>
      </w:r>
      <w:r w:rsidR="7A1650F1" w:rsidRPr="7E32E97F">
        <w:rPr>
          <w:rFonts w:eastAsia="SimSun" w:cs="Arial"/>
        </w:rPr>
        <w:t>mio</w:t>
      </w:r>
      <w:r w:rsidR="38B4439E" w:rsidRPr="7E32E97F">
        <w:rPr>
          <w:rFonts w:eastAsia="SimSun" w:cs="Arial"/>
        </w:rPr>
        <w:t xml:space="preserve"> </w:t>
      </w:r>
      <w:r w:rsidRPr="7E32E97F">
        <w:rPr>
          <w:rFonts w:eastAsia="SimSun" w:cs="Arial"/>
        </w:rPr>
        <w:t xml:space="preserve">EUR razpoložljivih sredstev; </w:t>
      </w:r>
    </w:p>
    <w:p w14:paraId="78BF5338" w14:textId="115F9EDE" w:rsidR="00A169E8" w:rsidRPr="0025033E" w:rsidRDefault="76D056A1" w:rsidP="00C13272">
      <w:pPr>
        <w:numPr>
          <w:ilvl w:val="0"/>
          <w:numId w:val="19"/>
        </w:numPr>
        <w:autoSpaceDE w:val="0"/>
        <w:autoSpaceDN/>
        <w:adjustRightInd w:val="0"/>
        <w:spacing w:after="0" w:line="288" w:lineRule="auto"/>
        <w:jc w:val="both"/>
        <w:rPr>
          <w:rFonts w:eastAsia="SimSun" w:cs="Arial"/>
          <w:lang w:eastAsia="zh-CN"/>
        </w:rPr>
      </w:pPr>
      <w:r w:rsidRPr="7E32E97F">
        <w:rPr>
          <w:rFonts w:eastAsia="SimSun" w:cs="Arial"/>
        </w:rPr>
        <w:t>kohezijski regiji Vzhodna Slovenija je iz ESRR in ESS+ skupaj namenjenih 1,</w:t>
      </w:r>
      <w:r w:rsidR="7A1650F1" w:rsidRPr="7E32E97F">
        <w:rPr>
          <w:rFonts w:eastAsia="SimSun" w:cs="Arial"/>
        </w:rPr>
        <w:t>6</w:t>
      </w:r>
      <w:r w:rsidR="450B69D1" w:rsidRPr="7E32E97F">
        <w:rPr>
          <w:rFonts w:eastAsia="SimSun" w:cs="Arial"/>
        </w:rPr>
        <w:t>4</w:t>
      </w:r>
      <w:r w:rsidR="7A1650F1" w:rsidRPr="7E32E97F">
        <w:rPr>
          <w:rFonts w:eastAsia="SimSun" w:cs="Arial"/>
        </w:rPr>
        <w:t>4</w:t>
      </w:r>
      <w:r w:rsidRPr="7E32E97F">
        <w:rPr>
          <w:rFonts w:eastAsia="SimSun" w:cs="Arial"/>
        </w:rPr>
        <w:t xml:space="preserve"> mrd EUR razpoložljivih sredstev; </w:t>
      </w:r>
    </w:p>
    <w:p w14:paraId="5EE88FAA" w14:textId="77777777" w:rsidR="00A169E8" w:rsidRPr="0025033E" w:rsidRDefault="76D056A1" w:rsidP="7E32E97F">
      <w:pPr>
        <w:numPr>
          <w:ilvl w:val="0"/>
          <w:numId w:val="19"/>
        </w:numPr>
        <w:autoSpaceDE w:val="0"/>
        <w:autoSpaceDN/>
        <w:adjustRightInd w:val="0"/>
        <w:spacing w:after="0" w:line="288" w:lineRule="auto"/>
        <w:jc w:val="both"/>
        <w:rPr>
          <w:rFonts w:eastAsia="SimSun" w:cs="Arial"/>
          <w:lang w:eastAsia="zh-CN"/>
        </w:rPr>
      </w:pPr>
      <w:r w:rsidRPr="7E32E97F">
        <w:rPr>
          <w:rFonts w:eastAsia="SimSun" w:cs="Arial"/>
        </w:rPr>
        <w:t>obema regijama je skupaj na voljo 700 mio EUR iz sklada KS, ki se ne deli med regijama in se izvaja na območju celotne Slovenije;</w:t>
      </w:r>
    </w:p>
    <w:p w14:paraId="1ADC6492" w14:textId="77777777" w:rsidR="00A169E8" w:rsidRPr="0025033E" w:rsidRDefault="76D056A1" w:rsidP="7E32E97F">
      <w:pPr>
        <w:numPr>
          <w:ilvl w:val="0"/>
          <w:numId w:val="19"/>
        </w:numPr>
        <w:autoSpaceDE w:val="0"/>
        <w:autoSpaceDN/>
        <w:adjustRightInd w:val="0"/>
        <w:spacing w:after="0" w:line="288" w:lineRule="auto"/>
        <w:jc w:val="both"/>
        <w:rPr>
          <w:rFonts w:eastAsia="SimSun" w:cs="Arial"/>
          <w:lang w:eastAsia="zh-CN"/>
        </w:rPr>
      </w:pPr>
      <w:r w:rsidRPr="7E32E97F">
        <w:rPr>
          <w:rFonts w:eastAsia="SimSun" w:cs="Arial"/>
        </w:rPr>
        <w:t>izvajanje SPP ni vezano na geografsko upravičenost med kohezijski regiji, temveč je namenjeno regijam, ki so upravičena območja pravičnega prehoda; v Sloveniji sta to dve premogovni regiji: Savinjsko-šaleška in Zasavska.</w:t>
      </w:r>
    </w:p>
    <w:p w14:paraId="140AF987" w14:textId="77777777" w:rsidR="00A169E8" w:rsidRPr="0025033E" w:rsidRDefault="00A169E8" w:rsidP="7E32E97F">
      <w:pPr>
        <w:autoSpaceDE w:val="0"/>
        <w:adjustRightInd w:val="0"/>
        <w:spacing w:after="0" w:line="288" w:lineRule="auto"/>
        <w:jc w:val="both"/>
        <w:rPr>
          <w:rFonts w:eastAsia="SimSun" w:cs="Arial"/>
          <w:lang w:eastAsia="zh-CN"/>
        </w:rPr>
      </w:pPr>
    </w:p>
    <w:p w14:paraId="04136446" w14:textId="4CE3A089" w:rsidR="00A169E8" w:rsidRPr="0025033E" w:rsidRDefault="76D056A1" w:rsidP="7E32E97F">
      <w:pPr>
        <w:autoSpaceDE w:val="0"/>
        <w:adjustRightInd w:val="0"/>
        <w:spacing w:after="0" w:line="288" w:lineRule="auto"/>
        <w:jc w:val="both"/>
        <w:rPr>
          <w:rFonts w:cs="Arial"/>
        </w:rPr>
      </w:pPr>
      <w:r w:rsidRPr="7E32E97F">
        <w:rPr>
          <w:rFonts w:cs="Arial"/>
        </w:rPr>
        <w:t>KRZS se uvršča med razvite regije, KRVS pa med manj razvite regije, kar pomeni različno stopnjo sofinanciranja s strani EK. Ker pa so tudi v KRZS kljub splošni večji razvitosti prisotne velike razlike v stopnji razvitosti med razvojnimi regijami in znotraj njih, proračun RS zagotavlja ustrezno višino nacionalnega prispevka, ki omogoča ustrezno izvedbo operacij v obeh kohezijskih regijah.</w:t>
      </w:r>
    </w:p>
    <w:p w14:paraId="76FA75B1" w14:textId="77777777" w:rsidR="00A169E8" w:rsidRPr="0025033E" w:rsidRDefault="00A169E8" w:rsidP="7E32E97F">
      <w:pPr>
        <w:autoSpaceDN/>
        <w:spacing w:after="0" w:line="240" w:lineRule="auto"/>
        <w:jc w:val="both"/>
        <w:rPr>
          <w:rFonts w:cs="Arial"/>
          <w:b/>
          <w:bCs/>
          <w:color w:val="5B9BD5"/>
        </w:rPr>
      </w:pPr>
    </w:p>
    <w:p w14:paraId="01820436" w14:textId="57C3B6B2" w:rsidR="00A169E8" w:rsidRPr="0025033E" w:rsidRDefault="76D056A1" w:rsidP="7E32E97F">
      <w:pPr>
        <w:autoSpaceDN/>
        <w:spacing w:after="0"/>
        <w:jc w:val="both"/>
        <w:rPr>
          <w:rFonts w:cs="Arial"/>
        </w:rPr>
      </w:pPr>
      <w:r w:rsidRPr="7E32E97F">
        <w:rPr>
          <w:rFonts w:cs="Arial"/>
        </w:rPr>
        <w:t xml:space="preserve">S sprejemom nacionalne uredbe se je lahko začelo izvajanje EKP </w:t>
      </w:r>
      <w:r w:rsidR="419C6937" w:rsidRPr="7E32E97F">
        <w:rPr>
          <w:rFonts w:eastAsia="Calibri" w:cs="Arial"/>
        </w:rPr>
        <w:t>2021–2027</w:t>
      </w:r>
      <w:r w:rsidRPr="7E32E97F">
        <w:rPr>
          <w:rFonts w:cs="Arial"/>
        </w:rPr>
        <w:t>. V juniju 2023 je bila izdana prva odločitev o podpori, ki predstavlja dejanski začetek izvajanja PEKP.</w:t>
      </w:r>
    </w:p>
    <w:p w14:paraId="73E8374C" w14:textId="77777777" w:rsidR="00A169E8" w:rsidRPr="00654311" w:rsidRDefault="00A169E8" w:rsidP="7E32E97F">
      <w:pPr>
        <w:autoSpaceDN/>
        <w:spacing w:after="0"/>
        <w:jc w:val="both"/>
        <w:rPr>
          <w:rFonts w:cs="Arial"/>
        </w:rPr>
      </w:pPr>
    </w:p>
    <w:p w14:paraId="2E9E5AD8" w14:textId="7A826440" w:rsidR="00A169E8" w:rsidRPr="00654311" w:rsidRDefault="76D056A1" w:rsidP="00ED5676">
      <w:pPr>
        <w:autoSpaceDN/>
        <w:spacing w:after="0" w:line="288" w:lineRule="auto"/>
        <w:jc w:val="both"/>
        <w:rPr>
          <w:rFonts w:eastAsia="SimSun" w:cs="Arial"/>
          <w:lang w:eastAsia="zh-CN"/>
        </w:rPr>
      </w:pPr>
      <w:r w:rsidRPr="7E32E97F">
        <w:rPr>
          <w:rFonts w:cs="Arial"/>
        </w:rPr>
        <w:t xml:space="preserve">Tudi v okviru EKP </w:t>
      </w:r>
      <w:r w:rsidR="419C6937" w:rsidRPr="7E32E97F">
        <w:rPr>
          <w:rFonts w:eastAsia="Calibri" w:cs="Arial"/>
        </w:rPr>
        <w:t>2021–2027</w:t>
      </w:r>
      <w:r w:rsidRPr="7E32E97F">
        <w:rPr>
          <w:rFonts w:cs="Arial"/>
        </w:rPr>
        <w:t xml:space="preserve">, </w:t>
      </w:r>
      <w:r w:rsidRPr="7E32E97F">
        <w:rPr>
          <w:rFonts w:eastAsia="SimSun" w:cs="Arial"/>
        </w:rPr>
        <w:t xml:space="preserve">ne glede na razdelitev po skladih ali kohezijskih regijah, izvajanje EKP zajema različne vidike, od finančnega, kamor </w:t>
      </w:r>
      <w:r w:rsidR="25E90A23" w:rsidRPr="7E32E97F">
        <w:rPr>
          <w:rFonts w:eastAsia="SimSun" w:cs="Arial"/>
        </w:rPr>
        <w:t>se</w:t>
      </w:r>
      <w:r w:rsidRPr="7E32E97F">
        <w:rPr>
          <w:rFonts w:eastAsia="SimSun" w:cs="Arial"/>
        </w:rPr>
        <w:t xml:space="preserve"> lahko šteje napredek, vezan na uspešnost koriščenja EU sredstev, do vsebinskega, kjer je moč spremljati vsebinski napredek na posamezni prednostni osi. </w:t>
      </w:r>
    </w:p>
    <w:p w14:paraId="0C0FD5A2" w14:textId="77777777" w:rsidR="00A169E8" w:rsidRPr="00654311" w:rsidRDefault="00A169E8" w:rsidP="7E32E97F">
      <w:pPr>
        <w:autoSpaceDN/>
        <w:spacing w:after="0" w:line="288" w:lineRule="auto"/>
        <w:jc w:val="both"/>
        <w:rPr>
          <w:rFonts w:eastAsia="SimSun" w:cs="Arial"/>
          <w:lang w:eastAsia="zh-CN"/>
        </w:rPr>
      </w:pPr>
    </w:p>
    <w:p w14:paraId="56834E10" w14:textId="77777777" w:rsidR="00A169E8" w:rsidRPr="0025033E" w:rsidRDefault="76D056A1" w:rsidP="7E32E97F">
      <w:pPr>
        <w:autoSpaceDN/>
        <w:spacing w:after="0" w:line="288" w:lineRule="auto"/>
        <w:jc w:val="both"/>
        <w:rPr>
          <w:rFonts w:cs="Arial"/>
        </w:rPr>
      </w:pPr>
      <w:r w:rsidRPr="7E32E97F">
        <w:rPr>
          <w:rFonts w:cs="Arial"/>
        </w:rPr>
        <w:t>Sistem koriščenja EKP tudi v tem programskem obdobju obsega več faz, ki si sledijo v sosledju:</w:t>
      </w:r>
    </w:p>
    <w:p w14:paraId="0656AE15" w14:textId="77777777" w:rsidR="00A169E8" w:rsidRPr="0025033E" w:rsidRDefault="76D056A1" w:rsidP="7E32E97F">
      <w:pPr>
        <w:numPr>
          <w:ilvl w:val="0"/>
          <w:numId w:val="26"/>
        </w:numPr>
        <w:autoSpaceDN/>
        <w:spacing w:after="0" w:line="288" w:lineRule="auto"/>
        <w:jc w:val="both"/>
        <w:rPr>
          <w:rFonts w:cs="Arial"/>
        </w:rPr>
      </w:pPr>
      <w:r w:rsidRPr="7E32E97F">
        <w:rPr>
          <w:rFonts w:cs="Arial"/>
          <w:b/>
          <w:bCs/>
        </w:rPr>
        <w:t xml:space="preserve">FAZA: </w:t>
      </w:r>
      <w:r w:rsidRPr="7E32E97F">
        <w:rPr>
          <w:rFonts w:cs="Arial"/>
        </w:rPr>
        <w:t xml:space="preserve">OU oceni vlogo PT za odobritev evropskih sredstev za posamični javni razpis/projekt oziroma program. V kolikor je vloga skladna z vsebino PEKP, OU izda odločitev o podpori PT. </w:t>
      </w:r>
    </w:p>
    <w:p w14:paraId="46610F2E" w14:textId="3195E998" w:rsidR="00A169E8" w:rsidRPr="0025033E" w:rsidRDefault="76D056A1" w:rsidP="7E32E97F">
      <w:pPr>
        <w:numPr>
          <w:ilvl w:val="0"/>
          <w:numId w:val="26"/>
        </w:numPr>
        <w:autoSpaceDN/>
        <w:spacing w:after="0" w:line="288" w:lineRule="auto"/>
        <w:jc w:val="both"/>
        <w:rPr>
          <w:rFonts w:cs="Arial"/>
        </w:rPr>
      </w:pPr>
      <w:r w:rsidRPr="7E32E97F">
        <w:rPr>
          <w:rFonts w:cs="Arial"/>
          <w:b/>
          <w:bCs/>
        </w:rPr>
        <w:t xml:space="preserve">FAZA: </w:t>
      </w:r>
      <w:r w:rsidRPr="7E32E97F">
        <w:rPr>
          <w:rFonts w:cs="Arial"/>
        </w:rPr>
        <w:t xml:space="preserve">PT izvedejo postopke izbora (npr. objavijo javne razpise), dodelijo sredstva in sklenejo pogodbe o sofinanciranju z upravičenci, kar je podlaga za dejansko financiranje </w:t>
      </w:r>
      <w:r w:rsidR="3A9EB50B" w:rsidRPr="7E32E97F">
        <w:rPr>
          <w:rFonts w:cs="Arial"/>
        </w:rPr>
        <w:t xml:space="preserve">projektov/operacij </w:t>
      </w:r>
      <w:r w:rsidRPr="7E32E97F">
        <w:rPr>
          <w:rFonts w:cs="Arial"/>
        </w:rPr>
        <w:t xml:space="preserve">z sredstev EKP. </w:t>
      </w:r>
    </w:p>
    <w:p w14:paraId="1490305B" w14:textId="7AD78548" w:rsidR="00A169E8" w:rsidRPr="0025033E" w:rsidRDefault="76D056A1" w:rsidP="7E32E97F">
      <w:pPr>
        <w:numPr>
          <w:ilvl w:val="0"/>
          <w:numId w:val="26"/>
        </w:numPr>
        <w:autoSpaceDN/>
        <w:spacing w:after="0" w:line="288" w:lineRule="auto"/>
        <w:jc w:val="both"/>
        <w:rPr>
          <w:rFonts w:cs="Arial"/>
        </w:rPr>
      </w:pPr>
      <w:r w:rsidRPr="7E32E97F">
        <w:rPr>
          <w:rFonts w:cs="Arial"/>
          <w:b/>
          <w:bCs/>
        </w:rPr>
        <w:t xml:space="preserve">FAZA: </w:t>
      </w:r>
      <w:r w:rsidRPr="7E32E97F">
        <w:rPr>
          <w:rFonts w:cs="Arial"/>
        </w:rPr>
        <w:t xml:space="preserve">izvedba </w:t>
      </w:r>
      <w:r w:rsidR="57E08F80" w:rsidRPr="7E32E97F">
        <w:rPr>
          <w:rFonts w:cs="Arial"/>
        </w:rPr>
        <w:t>operacije</w:t>
      </w:r>
      <w:r w:rsidRPr="7E32E97F">
        <w:rPr>
          <w:rFonts w:cs="Arial"/>
        </w:rPr>
        <w:t xml:space="preserve"> (upravičenec, izvajalci) v skladu s pogodbo o sofinanciranju. Za izvedene aktivnosti upravičenci PT izstavijo račune (zahtevke za izplačila, v nadaljnjem besedilu: ZZI), ki se nato plačajo (založijo) iz državnega proračuna. </w:t>
      </w:r>
    </w:p>
    <w:p w14:paraId="7A9BC1F6" w14:textId="1840D893" w:rsidR="00A169E8" w:rsidRPr="0025033E" w:rsidRDefault="76D056A1" w:rsidP="00C13272">
      <w:pPr>
        <w:numPr>
          <w:ilvl w:val="0"/>
          <w:numId w:val="26"/>
        </w:numPr>
        <w:autoSpaceDN/>
        <w:spacing w:after="0" w:line="288" w:lineRule="auto"/>
        <w:jc w:val="both"/>
        <w:rPr>
          <w:rFonts w:cs="Arial"/>
        </w:rPr>
      </w:pPr>
      <w:r w:rsidRPr="7E32E97F">
        <w:rPr>
          <w:rFonts w:cs="Arial"/>
          <w:b/>
          <w:bCs/>
        </w:rPr>
        <w:t xml:space="preserve">FAZA: </w:t>
      </w:r>
      <w:r w:rsidRPr="7E32E97F">
        <w:rPr>
          <w:rFonts w:cs="Arial"/>
        </w:rPr>
        <w:t>predstavlja prenos plačanih in preverjenih ZZI iz e-MA2 v informacijski sistem organa za računovodenje (e-CA</w:t>
      </w:r>
      <w:r w:rsidR="12F638C8" w:rsidRPr="7E32E97F">
        <w:rPr>
          <w:rFonts w:cs="Arial"/>
        </w:rPr>
        <w:t>2</w:t>
      </w:r>
      <w:r w:rsidRPr="7E32E97F">
        <w:rPr>
          <w:rFonts w:cs="Arial"/>
        </w:rPr>
        <w:t>). Organ za računovodenje</w:t>
      </w:r>
      <w:r w:rsidR="64F5B835" w:rsidRPr="7E32E97F">
        <w:rPr>
          <w:rFonts w:cs="Arial"/>
        </w:rPr>
        <w:t>,</w:t>
      </w:r>
      <w:r w:rsidRPr="7E32E97F">
        <w:rPr>
          <w:rFonts w:cs="Arial"/>
        </w:rPr>
        <w:t xml:space="preserve"> </w:t>
      </w:r>
      <w:r w:rsidR="64F5B835" w:rsidRPr="7E32E97F">
        <w:rPr>
          <w:rFonts w:cs="Arial"/>
        </w:rPr>
        <w:t xml:space="preserve">ki deluje v okviru </w:t>
      </w:r>
      <w:r w:rsidRPr="7E32E97F">
        <w:rPr>
          <w:rFonts w:cs="Arial"/>
        </w:rPr>
        <w:t>MF</w:t>
      </w:r>
      <w:r w:rsidR="1CF70650" w:rsidRPr="7E32E97F">
        <w:rPr>
          <w:rFonts w:cs="Arial"/>
        </w:rPr>
        <w:t xml:space="preserve">, </w:t>
      </w:r>
      <w:r w:rsidRPr="7E32E97F">
        <w:rPr>
          <w:rFonts w:cs="Arial"/>
        </w:rPr>
        <w:t>ZZI-je pregleda, jih potrdi, izvede povračilo sredstev EU iz podračuna na Banki Slovenije v državni proračun in nato Evropski komisiji pošlje zahtevek za povračilo sredstev. Četrta faza predstavlja koriščenje sredstev.</w:t>
      </w:r>
    </w:p>
    <w:p w14:paraId="7E939FA9" w14:textId="69FD14E7" w:rsidR="006B001F" w:rsidRDefault="76D056A1" w:rsidP="006B001F">
      <w:pPr>
        <w:numPr>
          <w:ilvl w:val="0"/>
          <w:numId w:val="26"/>
        </w:numPr>
        <w:autoSpaceDN/>
        <w:spacing w:after="0" w:line="288" w:lineRule="auto"/>
        <w:jc w:val="both"/>
        <w:rPr>
          <w:rFonts w:cs="Arial"/>
        </w:rPr>
      </w:pPr>
      <w:r w:rsidRPr="7E32E97F">
        <w:rPr>
          <w:rFonts w:cs="Arial"/>
          <w:b/>
          <w:bCs/>
        </w:rPr>
        <w:t xml:space="preserve">FAZA: </w:t>
      </w:r>
      <w:r w:rsidRPr="7E32E97F">
        <w:rPr>
          <w:rFonts w:cs="Arial"/>
        </w:rPr>
        <w:t xml:space="preserve">predstavlja preverjanje zahtevkov pri EK in plačilo sredstev iz proračuna EU na podračune pri Banki Slovenija. </w:t>
      </w:r>
    </w:p>
    <w:p w14:paraId="65F957C1" w14:textId="77777777" w:rsidR="006B001F" w:rsidRPr="001650A8" w:rsidRDefault="006B001F" w:rsidP="001650A8">
      <w:pPr>
        <w:autoSpaceDN/>
        <w:spacing w:after="0" w:line="288" w:lineRule="auto"/>
        <w:ind w:left="360"/>
        <w:jc w:val="both"/>
        <w:rPr>
          <w:rFonts w:cs="Arial"/>
          <w:sz w:val="12"/>
          <w:szCs w:val="12"/>
        </w:rPr>
      </w:pPr>
    </w:p>
    <w:p w14:paraId="61F2A566" w14:textId="0E874CC4" w:rsidR="00A169E8" w:rsidRPr="0025033E" w:rsidRDefault="1E325512" w:rsidP="071446A1">
      <w:pPr>
        <w:spacing w:after="0"/>
        <w:jc w:val="both"/>
        <w:rPr>
          <w:rFonts w:cs="Arial"/>
          <w:lang w:eastAsia="zh-CN"/>
        </w:rPr>
        <w:sectPr w:rsidR="00A169E8" w:rsidRPr="0025033E" w:rsidSect="00014A15">
          <w:pgSz w:w="11906" w:h="16838" w:code="9"/>
          <w:pgMar w:top="1418" w:right="1418" w:bottom="1418" w:left="1418" w:header="709" w:footer="709" w:gutter="0"/>
          <w:cols w:space="708"/>
          <w:docGrid w:linePitch="272"/>
        </w:sectPr>
      </w:pPr>
      <w:r w:rsidRPr="7E32E97F">
        <w:rPr>
          <w:rFonts w:cs="Arial"/>
        </w:rPr>
        <w:t xml:space="preserve">V tabeli </w:t>
      </w:r>
      <w:r w:rsidR="1A9A2848" w:rsidRPr="7E32E97F">
        <w:rPr>
          <w:rFonts w:cs="Arial"/>
        </w:rPr>
        <w:t>1</w:t>
      </w:r>
      <w:r w:rsidRPr="7E32E97F">
        <w:rPr>
          <w:rFonts w:cs="Arial"/>
        </w:rPr>
        <w:t xml:space="preserve"> je predstavljen finančni napredek po skladih in po geografski upravičenosti za obdobje od 1. </w:t>
      </w:r>
      <w:r w:rsidRPr="007665A0">
        <w:rPr>
          <w:rFonts w:cs="Arial"/>
        </w:rPr>
        <w:t xml:space="preserve">1. 2021 do </w:t>
      </w:r>
      <w:r w:rsidR="654F6786" w:rsidRPr="007665A0">
        <w:rPr>
          <w:rFonts w:cs="Arial"/>
        </w:rPr>
        <w:t>3</w:t>
      </w:r>
      <w:r w:rsidR="4F84C245" w:rsidRPr="007665A0">
        <w:rPr>
          <w:rFonts w:cs="Arial"/>
        </w:rPr>
        <w:t>1</w:t>
      </w:r>
      <w:r w:rsidR="654F6786" w:rsidRPr="007665A0">
        <w:rPr>
          <w:rFonts w:cs="Arial"/>
        </w:rPr>
        <w:t xml:space="preserve">. </w:t>
      </w:r>
      <w:r w:rsidR="4F84C245" w:rsidRPr="007665A0">
        <w:rPr>
          <w:rFonts w:cs="Arial"/>
        </w:rPr>
        <w:t>12</w:t>
      </w:r>
      <w:r w:rsidR="654F6786" w:rsidRPr="007665A0">
        <w:rPr>
          <w:rFonts w:cs="Arial"/>
        </w:rPr>
        <w:t>. 2025</w:t>
      </w:r>
      <w:r w:rsidRPr="007665A0">
        <w:rPr>
          <w:rFonts w:cs="Arial"/>
        </w:rPr>
        <w:t xml:space="preserve"> ter</w:t>
      </w:r>
      <w:r w:rsidRPr="7E32E97F">
        <w:rPr>
          <w:rFonts w:cs="Arial"/>
        </w:rPr>
        <w:t xml:space="preserve"> finančni napredek po posameznih fazah izvajanja EKP.</w:t>
      </w:r>
    </w:p>
    <w:p w14:paraId="4996F626" w14:textId="1FA552D6" w:rsidR="00A3593B" w:rsidRDefault="09402BD4" w:rsidP="00A910CE">
      <w:pPr>
        <w:pStyle w:val="Napis"/>
        <w:keepNext/>
        <w:spacing w:after="0"/>
        <w:jc w:val="both"/>
        <w:rPr>
          <w:b w:val="0"/>
          <w:bCs w:val="0"/>
        </w:rPr>
      </w:pPr>
      <w:bookmarkStart w:id="151" w:name="_Toc219986165"/>
      <w:r>
        <w:rPr>
          <w:b w:val="0"/>
          <w:bCs w:val="0"/>
        </w:rPr>
        <w:lastRenderedPageBreak/>
        <w:t xml:space="preserve">Tabela </w:t>
      </w:r>
      <w:r w:rsidR="005B5025">
        <w:rPr>
          <w:b w:val="0"/>
          <w:bCs w:val="0"/>
        </w:rPr>
        <w:fldChar w:fldCharType="begin"/>
      </w:r>
      <w:r w:rsidR="005B5025">
        <w:rPr>
          <w:b w:val="0"/>
          <w:bCs w:val="0"/>
        </w:rPr>
        <w:instrText xml:space="preserve"> SEQ Tabela \* ARABIC </w:instrText>
      </w:r>
      <w:r w:rsidR="005B5025">
        <w:rPr>
          <w:b w:val="0"/>
          <w:bCs w:val="0"/>
        </w:rPr>
        <w:fldChar w:fldCharType="separate"/>
      </w:r>
      <w:r w:rsidR="51EE8C33">
        <w:rPr>
          <w:b w:val="0"/>
          <w:bCs w:val="0"/>
        </w:rPr>
        <w:t>1</w:t>
      </w:r>
      <w:r w:rsidR="005B5025">
        <w:rPr>
          <w:b w:val="0"/>
          <w:bCs w:val="0"/>
        </w:rPr>
        <w:fldChar w:fldCharType="end"/>
      </w:r>
      <w:r>
        <w:rPr>
          <w:b w:val="0"/>
          <w:bCs w:val="0"/>
        </w:rPr>
        <w:t xml:space="preserve">: Stanje izvajanja Programa EKP 2021–2027 po skladih in regijah skupaj: obdobje od 1. 1. 2021 </w:t>
      </w:r>
      <w:r w:rsidRPr="007665A0">
        <w:rPr>
          <w:b w:val="0"/>
          <w:bCs w:val="0"/>
        </w:rPr>
        <w:t>do 3</w:t>
      </w:r>
      <w:r w:rsidR="4F84C245" w:rsidRPr="007665A0">
        <w:rPr>
          <w:b w:val="0"/>
          <w:bCs w:val="0"/>
        </w:rPr>
        <w:t>1</w:t>
      </w:r>
      <w:r w:rsidRPr="007665A0">
        <w:rPr>
          <w:b w:val="0"/>
          <w:bCs w:val="0"/>
        </w:rPr>
        <w:t xml:space="preserve">. </w:t>
      </w:r>
      <w:r w:rsidR="4F84C245" w:rsidRPr="007665A0">
        <w:rPr>
          <w:b w:val="0"/>
          <w:bCs w:val="0"/>
        </w:rPr>
        <w:t>12</w:t>
      </w:r>
      <w:r w:rsidRPr="007665A0">
        <w:rPr>
          <w:b w:val="0"/>
          <w:bCs w:val="0"/>
        </w:rPr>
        <w:t>. 2025</w:t>
      </w:r>
      <w:bookmarkEnd w:id="151"/>
    </w:p>
    <w:p w14:paraId="0BD73259" w14:textId="77777777" w:rsidR="00C30005" w:rsidRPr="00C30005" w:rsidRDefault="00C30005" w:rsidP="00D733B3">
      <w:pPr>
        <w:spacing w:after="0"/>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7"/>
        <w:gridCol w:w="1771"/>
        <w:gridCol w:w="2047"/>
        <w:gridCol w:w="1886"/>
        <w:gridCol w:w="1012"/>
        <w:gridCol w:w="1863"/>
        <w:gridCol w:w="1104"/>
        <w:gridCol w:w="1771"/>
        <w:gridCol w:w="1081"/>
      </w:tblGrid>
      <w:tr w:rsidR="00CD7CA7" w:rsidRPr="00CD7CA7" w14:paraId="525997FB" w14:textId="77777777" w:rsidTr="00052B97">
        <w:trPr>
          <w:trHeight w:val="802"/>
        </w:trPr>
        <w:tc>
          <w:tcPr>
            <w:tcW w:w="1357" w:type="dxa"/>
            <w:vMerge w:val="restart"/>
            <w:shd w:val="clear" w:color="auto" w:fill="DDEBF7"/>
            <w:vAlign w:val="center"/>
            <w:hideMark/>
          </w:tcPr>
          <w:p w14:paraId="51E9AEB8"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Sklad</w:t>
            </w:r>
          </w:p>
        </w:tc>
        <w:tc>
          <w:tcPr>
            <w:tcW w:w="1771" w:type="dxa"/>
            <w:vMerge w:val="restart"/>
            <w:shd w:val="clear" w:color="auto" w:fill="DDEBF7"/>
            <w:vAlign w:val="center"/>
            <w:hideMark/>
          </w:tcPr>
          <w:p w14:paraId="0CE0A11D"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Regija</w:t>
            </w:r>
          </w:p>
        </w:tc>
        <w:tc>
          <w:tcPr>
            <w:tcW w:w="2047" w:type="dxa"/>
            <w:shd w:val="clear" w:color="auto" w:fill="DDEBF7"/>
            <w:vAlign w:val="center"/>
            <w:hideMark/>
          </w:tcPr>
          <w:p w14:paraId="209187F7" w14:textId="68F2599C"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Pravice porabe brez tehnične pomoči*</w:t>
            </w:r>
          </w:p>
        </w:tc>
        <w:tc>
          <w:tcPr>
            <w:tcW w:w="2898" w:type="dxa"/>
            <w:gridSpan w:val="2"/>
            <w:shd w:val="clear" w:color="auto" w:fill="DDEBF7"/>
            <w:vAlign w:val="center"/>
          </w:tcPr>
          <w:p w14:paraId="0A19CB93" w14:textId="68CEA6F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Odločitve o podpori 31.12.2025**</w:t>
            </w:r>
          </w:p>
        </w:tc>
        <w:tc>
          <w:tcPr>
            <w:tcW w:w="2967" w:type="dxa"/>
            <w:gridSpan w:val="2"/>
            <w:shd w:val="clear" w:color="auto" w:fill="DDEBF7"/>
            <w:vAlign w:val="center"/>
          </w:tcPr>
          <w:p w14:paraId="1AA38CC3" w14:textId="7B8D9213"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Potrjene operacije 31.12.2025***</w:t>
            </w:r>
          </w:p>
        </w:tc>
        <w:tc>
          <w:tcPr>
            <w:tcW w:w="2852" w:type="dxa"/>
            <w:gridSpan w:val="2"/>
            <w:shd w:val="clear" w:color="auto" w:fill="DDEBF7"/>
            <w:vAlign w:val="center"/>
          </w:tcPr>
          <w:p w14:paraId="50308AA3" w14:textId="77777777" w:rsidR="00CD7CA7" w:rsidRDefault="720CA2C9" w:rsidP="7E32E97F">
            <w:pPr>
              <w:autoSpaceDN/>
              <w:spacing w:after="0" w:line="240" w:lineRule="auto"/>
              <w:jc w:val="center"/>
              <w:rPr>
                <w:rFonts w:cs="Arial"/>
                <w:b/>
                <w:bCs/>
                <w:color w:val="000000"/>
              </w:rPr>
            </w:pPr>
            <w:r w:rsidRPr="7E32E97F">
              <w:rPr>
                <w:rFonts w:cs="Arial"/>
                <w:b/>
                <w:bCs/>
                <w:color w:val="000000" w:themeColor="text1"/>
              </w:rPr>
              <w:t xml:space="preserve">Izplačila iz DP </w:t>
            </w:r>
          </w:p>
          <w:p w14:paraId="0F5BDDD3" w14:textId="38F2A855"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(vključno s FI) 31.12.2025****</w:t>
            </w:r>
          </w:p>
        </w:tc>
      </w:tr>
      <w:tr w:rsidR="00CD7CA7" w:rsidRPr="00CD7CA7" w14:paraId="10A31EB4" w14:textId="77777777" w:rsidTr="00052B97">
        <w:trPr>
          <w:trHeight w:val="258"/>
        </w:trPr>
        <w:tc>
          <w:tcPr>
            <w:tcW w:w="1357" w:type="dxa"/>
            <w:vMerge/>
            <w:vAlign w:val="center"/>
            <w:hideMark/>
          </w:tcPr>
          <w:p w14:paraId="4EC62768" w14:textId="77777777" w:rsidR="00CD7CA7" w:rsidRPr="00CD7CA7" w:rsidRDefault="00CD7CA7" w:rsidP="00CD7CA7">
            <w:pPr>
              <w:autoSpaceDN/>
              <w:spacing w:after="0" w:line="240" w:lineRule="auto"/>
              <w:rPr>
                <w:rFonts w:cs="Arial"/>
                <w:b/>
                <w:bCs/>
                <w:color w:val="000000"/>
                <w:sz w:val="16"/>
                <w:szCs w:val="16"/>
              </w:rPr>
            </w:pPr>
          </w:p>
        </w:tc>
        <w:tc>
          <w:tcPr>
            <w:tcW w:w="1771" w:type="dxa"/>
            <w:vMerge/>
            <w:vAlign w:val="center"/>
            <w:hideMark/>
          </w:tcPr>
          <w:p w14:paraId="22E2A5A3" w14:textId="77777777" w:rsidR="00CD7CA7" w:rsidRPr="00CD7CA7" w:rsidRDefault="00CD7CA7" w:rsidP="00CD7CA7">
            <w:pPr>
              <w:autoSpaceDN/>
              <w:spacing w:after="0" w:line="240" w:lineRule="auto"/>
              <w:rPr>
                <w:rFonts w:cs="Arial"/>
                <w:b/>
                <w:bCs/>
                <w:color w:val="000000"/>
                <w:sz w:val="16"/>
                <w:szCs w:val="16"/>
              </w:rPr>
            </w:pPr>
          </w:p>
        </w:tc>
        <w:tc>
          <w:tcPr>
            <w:tcW w:w="2047" w:type="dxa"/>
            <w:vMerge w:val="restart"/>
            <w:shd w:val="clear" w:color="auto" w:fill="DDEBF7"/>
            <w:vAlign w:val="center"/>
            <w:hideMark/>
          </w:tcPr>
          <w:p w14:paraId="6BF9246C"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EU del (EUR)</w:t>
            </w:r>
          </w:p>
        </w:tc>
        <w:tc>
          <w:tcPr>
            <w:tcW w:w="1886" w:type="dxa"/>
            <w:vMerge w:val="restart"/>
            <w:shd w:val="clear" w:color="auto" w:fill="DDEBF7"/>
            <w:vAlign w:val="center"/>
            <w:hideMark/>
          </w:tcPr>
          <w:p w14:paraId="4FF724A4"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EU del (EUR)</w:t>
            </w:r>
          </w:p>
        </w:tc>
        <w:tc>
          <w:tcPr>
            <w:tcW w:w="1012" w:type="dxa"/>
            <w:shd w:val="clear" w:color="auto" w:fill="DDEBF7"/>
            <w:vAlign w:val="center"/>
            <w:hideMark/>
          </w:tcPr>
          <w:p w14:paraId="57458683"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 EU del</w:t>
            </w:r>
          </w:p>
        </w:tc>
        <w:tc>
          <w:tcPr>
            <w:tcW w:w="1863" w:type="dxa"/>
            <w:vMerge w:val="restart"/>
            <w:shd w:val="clear" w:color="auto" w:fill="DDEBF7"/>
            <w:vAlign w:val="center"/>
            <w:hideMark/>
          </w:tcPr>
          <w:p w14:paraId="21462EC0"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EU del (EUR)</w:t>
            </w:r>
          </w:p>
        </w:tc>
        <w:tc>
          <w:tcPr>
            <w:tcW w:w="1104" w:type="dxa"/>
            <w:shd w:val="clear" w:color="auto" w:fill="DDEBF7"/>
            <w:vAlign w:val="center"/>
            <w:hideMark/>
          </w:tcPr>
          <w:p w14:paraId="1C7C4974"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 EU del</w:t>
            </w:r>
          </w:p>
        </w:tc>
        <w:tc>
          <w:tcPr>
            <w:tcW w:w="1771" w:type="dxa"/>
            <w:vMerge w:val="restart"/>
            <w:shd w:val="clear" w:color="auto" w:fill="DDEBF7"/>
            <w:vAlign w:val="center"/>
            <w:hideMark/>
          </w:tcPr>
          <w:p w14:paraId="671AA87A"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EU del (EUR)</w:t>
            </w:r>
          </w:p>
        </w:tc>
        <w:tc>
          <w:tcPr>
            <w:tcW w:w="1081" w:type="dxa"/>
            <w:shd w:val="clear" w:color="auto" w:fill="DDEBF7"/>
            <w:vAlign w:val="center"/>
            <w:hideMark/>
          </w:tcPr>
          <w:p w14:paraId="04BE3926"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 EU del</w:t>
            </w:r>
          </w:p>
        </w:tc>
      </w:tr>
      <w:tr w:rsidR="00CD7CA7" w:rsidRPr="00CD7CA7" w14:paraId="1D10EDCF" w14:textId="77777777" w:rsidTr="00052B97">
        <w:trPr>
          <w:trHeight w:val="258"/>
        </w:trPr>
        <w:tc>
          <w:tcPr>
            <w:tcW w:w="1357" w:type="dxa"/>
            <w:vMerge/>
            <w:vAlign w:val="center"/>
            <w:hideMark/>
          </w:tcPr>
          <w:p w14:paraId="5CDDA632" w14:textId="77777777" w:rsidR="00CD7CA7" w:rsidRPr="00CD7CA7" w:rsidRDefault="00CD7CA7" w:rsidP="00CD7CA7">
            <w:pPr>
              <w:autoSpaceDN/>
              <w:spacing w:after="0" w:line="240" w:lineRule="auto"/>
              <w:rPr>
                <w:rFonts w:cs="Arial"/>
                <w:b/>
                <w:bCs/>
                <w:color w:val="000000"/>
                <w:sz w:val="16"/>
                <w:szCs w:val="16"/>
              </w:rPr>
            </w:pPr>
          </w:p>
        </w:tc>
        <w:tc>
          <w:tcPr>
            <w:tcW w:w="1771" w:type="dxa"/>
            <w:vMerge/>
            <w:vAlign w:val="center"/>
            <w:hideMark/>
          </w:tcPr>
          <w:p w14:paraId="3E3DBEF4" w14:textId="77777777" w:rsidR="00CD7CA7" w:rsidRPr="00CD7CA7" w:rsidRDefault="00CD7CA7" w:rsidP="00CD7CA7">
            <w:pPr>
              <w:autoSpaceDN/>
              <w:spacing w:after="0" w:line="240" w:lineRule="auto"/>
              <w:rPr>
                <w:rFonts w:cs="Arial"/>
                <w:b/>
                <w:bCs/>
                <w:color w:val="000000"/>
                <w:sz w:val="16"/>
                <w:szCs w:val="16"/>
              </w:rPr>
            </w:pPr>
          </w:p>
        </w:tc>
        <w:tc>
          <w:tcPr>
            <w:tcW w:w="2047" w:type="dxa"/>
            <w:vMerge/>
            <w:vAlign w:val="center"/>
            <w:hideMark/>
          </w:tcPr>
          <w:p w14:paraId="61D37AF8" w14:textId="77777777" w:rsidR="00CD7CA7" w:rsidRPr="00CD7CA7" w:rsidRDefault="00CD7CA7" w:rsidP="00CD7CA7">
            <w:pPr>
              <w:autoSpaceDN/>
              <w:spacing w:after="0" w:line="240" w:lineRule="auto"/>
              <w:rPr>
                <w:rFonts w:cs="Arial"/>
                <w:color w:val="000000"/>
                <w:sz w:val="16"/>
                <w:szCs w:val="16"/>
              </w:rPr>
            </w:pPr>
          </w:p>
        </w:tc>
        <w:tc>
          <w:tcPr>
            <w:tcW w:w="1886" w:type="dxa"/>
            <w:vMerge/>
            <w:vAlign w:val="center"/>
            <w:hideMark/>
          </w:tcPr>
          <w:p w14:paraId="09215E41" w14:textId="77777777" w:rsidR="00CD7CA7" w:rsidRPr="00CD7CA7" w:rsidRDefault="00CD7CA7" w:rsidP="00CD7CA7">
            <w:pPr>
              <w:autoSpaceDN/>
              <w:spacing w:after="0" w:line="240" w:lineRule="auto"/>
              <w:rPr>
                <w:rFonts w:cs="Arial"/>
                <w:color w:val="000000"/>
                <w:sz w:val="16"/>
                <w:szCs w:val="16"/>
              </w:rPr>
            </w:pPr>
          </w:p>
        </w:tc>
        <w:tc>
          <w:tcPr>
            <w:tcW w:w="1012" w:type="dxa"/>
            <w:shd w:val="clear" w:color="auto" w:fill="DDEBF7"/>
            <w:vAlign w:val="center"/>
            <w:hideMark/>
          </w:tcPr>
          <w:p w14:paraId="60299524"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4/3*100</w:t>
            </w:r>
          </w:p>
        </w:tc>
        <w:tc>
          <w:tcPr>
            <w:tcW w:w="1863" w:type="dxa"/>
            <w:vMerge/>
            <w:vAlign w:val="center"/>
            <w:hideMark/>
          </w:tcPr>
          <w:p w14:paraId="364B6264" w14:textId="77777777" w:rsidR="00CD7CA7" w:rsidRPr="00CD7CA7" w:rsidRDefault="00CD7CA7" w:rsidP="00CD7CA7">
            <w:pPr>
              <w:autoSpaceDN/>
              <w:spacing w:after="0" w:line="240" w:lineRule="auto"/>
              <w:rPr>
                <w:rFonts w:cs="Arial"/>
                <w:color w:val="000000"/>
                <w:sz w:val="16"/>
                <w:szCs w:val="16"/>
              </w:rPr>
            </w:pPr>
          </w:p>
        </w:tc>
        <w:tc>
          <w:tcPr>
            <w:tcW w:w="1104" w:type="dxa"/>
            <w:shd w:val="clear" w:color="auto" w:fill="DDEBF7"/>
            <w:vAlign w:val="center"/>
            <w:hideMark/>
          </w:tcPr>
          <w:p w14:paraId="050A67C7"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6/3*100</w:t>
            </w:r>
          </w:p>
        </w:tc>
        <w:tc>
          <w:tcPr>
            <w:tcW w:w="1771" w:type="dxa"/>
            <w:vMerge/>
            <w:vAlign w:val="center"/>
            <w:hideMark/>
          </w:tcPr>
          <w:p w14:paraId="7B3C01C6" w14:textId="77777777" w:rsidR="00CD7CA7" w:rsidRPr="00CD7CA7" w:rsidRDefault="00CD7CA7" w:rsidP="00CD7CA7">
            <w:pPr>
              <w:autoSpaceDN/>
              <w:spacing w:after="0" w:line="240" w:lineRule="auto"/>
              <w:rPr>
                <w:rFonts w:cs="Arial"/>
                <w:color w:val="000000"/>
                <w:sz w:val="16"/>
                <w:szCs w:val="16"/>
              </w:rPr>
            </w:pPr>
          </w:p>
        </w:tc>
        <w:tc>
          <w:tcPr>
            <w:tcW w:w="1081" w:type="dxa"/>
            <w:shd w:val="clear" w:color="auto" w:fill="DDEBF7"/>
            <w:vAlign w:val="center"/>
            <w:hideMark/>
          </w:tcPr>
          <w:p w14:paraId="481D09E2" w14:textId="77777777" w:rsidR="00CD7CA7" w:rsidRPr="00CD7CA7" w:rsidRDefault="720CA2C9" w:rsidP="00CD7CA7">
            <w:pPr>
              <w:autoSpaceDN/>
              <w:spacing w:after="0" w:line="240" w:lineRule="auto"/>
              <w:jc w:val="center"/>
              <w:rPr>
                <w:rFonts w:cs="Arial"/>
                <w:color w:val="000000"/>
                <w:sz w:val="16"/>
                <w:szCs w:val="16"/>
              </w:rPr>
            </w:pPr>
            <w:r w:rsidRPr="7E32E97F">
              <w:rPr>
                <w:rFonts w:cs="Arial"/>
                <w:color w:val="000000" w:themeColor="text1"/>
                <w:sz w:val="16"/>
                <w:szCs w:val="16"/>
              </w:rPr>
              <w:t>8/3*100</w:t>
            </w:r>
          </w:p>
        </w:tc>
      </w:tr>
      <w:tr w:rsidR="00CD7CA7" w:rsidRPr="00CD7CA7" w14:paraId="70479171" w14:textId="77777777" w:rsidTr="00052B97">
        <w:trPr>
          <w:trHeight w:val="310"/>
        </w:trPr>
        <w:tc>
          <w:tcPr>
            <w:tcW w:w="1357" w:type="dxa"/>
            <w:shd w:val="clear" w:color="auto" w:fill="DDEBF7"/>
            <w:vAlign w:val="center"/>
            <w:hideMark/>
          </w:tcPr>
          <w:p w14:paraId="2D7FD559"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1</w:t>
            </w:r>
          </w:p>
        </w:tc>
        <w:tc>
          <w:tcPr>
            <w:tcW w:w="1771" w:type="dxa"/>
            <w:shd w:val="clear" w:color="auto" w:fill="DDEBF7"/>
            <w:vAlign w:val="center"/>
            <w:hideMark/>
          </w:tcPr>
          <w:p w14:paraId="1C28852F"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2</w:t>
            </w:r>
          </w:p>
        </w:tc>
        <w:tc>
          <w:tcPr>
            <w:tcW w:w="2047" w:type="dxa"/>
            <w:shd w:val="clear" w:color="auto" w:fill="DDEBF7"/>
            <w:vAlign w:val="center"/>
            <w:hideMark/>
          </w:tcPr>
          <w:p w14:paraId="598A2B59"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3</w:t>
            </w:r>
          </w:p>
        </w:tc>
        <w:tc>
          <w:tcPr>
            <w:tcW w:w="1886" w:type="dxa"/>
            <w:shd w:val="clear" w:color="auto" w:fill="DDEBF7"/>
            <w:vAlign w:val="center"/>
            <w:hideMark/>
          </w:tcPr>
          <w:p w14:paraId="24ADD5EB"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4</w:t>
            </w:r>
          </w:p>
        </w:tc>
        <w:tc>
          <w:tcPr>
            <w:tcW w:w="1012" w:type="dxa"/>
            <w:shd w:val="clear" w:color="auto" w:fill="DDEBF7"/>
            <w:vAlign w:val="center"/>
            <w:hideMark/>
          </w:tcPr>
          <w:p w14:paraId="3BF45104"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5</w:t>
            </w:r>
          </w:p>
        </w:tc>
        <w:tc>
          <w:tcPr>
            <w:tcW w:w="1863" w:type="dxa"/>
            <w:shd w:val="clear" w:color="auto" w:fill="DDEBF7"/>
            <w:vAlign w:val="center"/>
            <w:hideMark/>
          </w:tcPr>
          <w:p w14:paraId="26D4EC95"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6</w:t>
            </w:r>
          </w:p>
        </w:tc>
        <w:tc>
          <w:tcPr>
            <w:tcW w:w="1104" w:type="dxa"/>
            <w:shd w:val="clear" w:color="auto" w:fill="DDEBF7"/>
            <w:vAlign w:val="center"/>
            <w:hideMark/>
          </w:tcPr>
          <w:p w14:paraId="5184D9B5"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7</w:t>
            </w:r>
          </w:p>
        </w:tc>
        <w:tc>
          <w:tcPr>
            <w:tcW w:w="1771" w:type="dxa"/>
            <w:shd w:val="clear" w:color="auto" w:fill="DDEBF7"/>
            <w:vAlign w:val="center"/>
            <w:hideMark/>
          </w:tcPr>
          <w:p w14:paraId="70A0DCD4"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8</w:t>
            </w:r>
          </w:p>
        </w:tc>
        <w:tc>
          <w:tcPr>
            <w:tcW w:w="1081" w:type="dxa"/>
            <w:shd w:val="clear" w:color="auto" w:fill="DDEBF7"/>
            <w:vAlign w:val="center"/>
            <w:hideMark/>
          </w:tcPr>
          <w:p w14:paraId="66449651" w14:textId="77777777" w:rsidR="00CD7CA7" w:rsidRPr="00CD7CA7" w:rsidRDefault="720CA2C9" w:rsidP="00CD7CA7">
            <w:pPr>
              <w:autoSpaceDN/>
              <w:spacing w:after="0" w:line="240" w:lineRule="auto"/>
              <w:jc w:val="center"/>
              <w:rPr>
                <w:rFonts w:cs="Arial"/>
                <w:color w:val="000000"/>
                <w:sz w:val="12"/>
                <w:szCs w:val="12"/>
              </w:rPr>
            </w:pPr>
            <w:r w:rsidRPr="7E32E97F">
              <w:rPr>
                <w:rFonts w:cs="Arial"/>
                <w:color w:val="000000" w:themeColor="text1"/>
                <w:sz w:val="12"/>
                <w:szCs w:val="12"/>
              </w:rPr>
              <w:t>9</w:t>
            </w:r>
          </w:p>
        </w:tc>
      </w:tr>
      <w:tr w:rsidR="00CD7CA7" w:rsidRPr="00CD7CA7" w14:paraId="63791549" w14:textId="77777777" w:rsidTr="00052B97">
        <w:trPr>
          <w:trHeight w:val="344"/>
        </w:trPr>
        <w:tc>
          <w:tcPr>
            <w:tcW w:w="1357" w:type="dxa"/>
            <w:vMerge w:val="restart"/>
            <w:vAlign w:val="center"/>
            <w:hideMark/>
          </w:tcPr>
          <w:p w14:paraId="04A38B19"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ESRR</w:t>
            </w:r>
          </w:p>
        </w:tc>
        <w:tc>
          <w:tcPr>
            <w:tcW w:w="1771" w:type="dxa"/>
            <w:noWrap/>
            <w:vAlign w:val="center"/>
            <w:hideMark/>
          </w:tcPr>
          <w:p w14:paraId="111BF90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Zahod</w:t>
            </w:r>
          </w:p>
        </w:tc>
        <w:tc>
          <w:tcPr>
            <w:tcW w:w="2047" w:type="dxa"/>
            <w:noWrap/>
            <w:vAlign w:val="center"/>
            <w:hideMark/>
          </w:tcPr>
          <w:p w14:paraId="792E3FAF"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370.648.767</w:t>
            </w:r>
          </w:p>
        </w:tc>
        <w:tc>
          <w:tcPr>
            <w:tcW w:w="1886" w:type="dxa"/>
            <w:noWrap/>
            <w:vAlign w:val="center"/>
            <w:hideMark/>
          </w:tcPr>
          <w:p w14:paraId="7E4E263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203.571.580</w:t>
            </w:r>
          </w:p>
        </w:tc>
        <w:tc>
          <w:tcPr>
            <w:tcW w:w="1012" w:type="dxa"/>
            <w:noWrap/>
            <w:vAlign w:val="center"/>
            <w:hideMark/>
          </w:tcPr>
          <w:p w14:paraId="171CFFBF"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55%</w:t>
            </w:r>
          </w:p>
        </w:tc>
        <w:tc>
          <w:tcPr>
            <w:tcW w:w="1863" w:type="dxa"/>
            <w:noWrap/>
            <w:vAlign w:val="center"/>
            <w:hideMark/>
          </w:tcPr>
          <w:p w14:paraId="4E8C0E4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128.414.929</w:t>
            </w:r>
          </w:p>
        </w:tc>
        <w:tc>
          <w:tcPr>
            <w:tcW w:w="1104" w:type="dxa"/>
            <w:noWrap/>
            <w:vAlign w:val="center"/>
            <w:hideMark/>
          </w:tcPr>
          <w:p w14:paraId="6E0D06CB"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35%</w:t>
            </w:r>
          </w:p>
        </w:tc>
        <w:tc>
          <w:tcPr>
            <w:tcW w:w="1771" w:type="dxa"/>
            <w:vAlign w:val="center"/>
            <w:hideMark/>
          </w:tcPr>
          <w:p w14:paraId="04CA98C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42.122.622</w:t>
            </w:r>
          </w:p>
        </w:tc>
        <w:tc>
          <w:tcPr>
            <w:tcW w:w="1081" w:type="dxa"/>
            <w:noWrap/>
            <w:vAlign w:val="center"/>
            <w:hideMark/>
          </w:tcPr>
          <w:p w14:paraId="6B52D31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11%</w:t>
            </w:r>
          </w:p>
        </w:tc>
      </w:tr>
      <w:tr w:rsidR="00CD7CA7" w:rsidRPr="00CD7CA7" w14:paraId="19AF72BD" w14:textId="77777777" w:rsidTr="00052B97">
        <w:trPr>
          <w:trHeight w:val="344"/>
        </w:trPr>
        <w:tc>
          <w:tcPr>
            <w:tcW w:w="1357" w:type="dxa"/>
            <w:vMerge/>
            <w:vAlign w:val="center"/>
            <w:hideMark/>
          </w:tcPr>
          <w:p w14:paraId="37327C25"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26D15D2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Vzhod</w:t>
            </w:r>
          </w:p>
        </w:tc>
        <w:tc>
          <w:tcPr>
            <w:tcW w:w="2047" w:type="dxa"/>
            <w:noWrap/>
            <w:vAlign w:val="center"/>
            <w:hideMark/>
          </w:tcPr>
          <w:p w14:paraId="48EE6B9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1.175.037.521</w:t>
            </w:r>
          </w:p>
        </w:tc>
        <w:tc>
          <w:tcPr>
            <w:tcW w:w="1886" w:type="dxa"/>
            <w:noWrap/>
            <w:vAlign w:val="center"/>
            <w:hideMark/>
          </w:tcPr>
          <w:p w14:paraId="7DA361D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763.196.742</w:t>
            </w:r>
          </w:p>
        </w:tc>
        <w:tc>
          <w:tcPr>
            <w:tcW w:w="1012" w:type="dxa"/>
            <w:noWrap/>
            <w:vAlign w:val="center"/>
            <w:hideMark/>
          </w:tcPr>
          <w:p w14:paraId="7FEC6B7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65%</w:t>
            </w:r>
          </w:p>
        </w:tc>
        <w:tc>
          <w:tcPr>
            <w:tcW w:w="1863" w:type="dxa"/>
            <w:noWrap/>
            <w:vAlign w:val="center"/>
            <w:hideMark/>
          </w:tcPr>
          <w:p w14:paraId="2BE3744C"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473.859.526</w:t>
            </w:r>
          </w:p>
        </w:tc>
        <w:tc>
          <w:tcPr>
            <w:tcW w:w="1104" w:type="dxa"/>
            <w:noWrap/>
            <w:vAlign w:val="center"/>
            <w:hideMark/>
          </w:tcPr>
          <w:p w14:paraId="4FF146C6"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40%</w:t>
            </w:r>
          </w:p>
        </w:tc>
        <w:tc>
          <w:tcPr>
            <w:tcW w:w="1771" w:type="dxa"/>
            <w:noWrap/>
            <w:vAlign w:val="center"/>
            <w:hideMark/>
          </w:tcPr>
          <w:p w14:paraId="7634F87C"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148.306.351</w:t>
            </w:r>
          </w:p>
        </w:tc>
        <w:tc>
          <w:tcPr>
            <w:tcW w:w="1081" w:type="dxa"/>
            <w:noWrap/>
            <w:vAlign w:val="center"/>
            <w:hideMark/>
          </w:tcPr>
          <w:p w14:paraId="692DB61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13%</w:t>
            </w:r>
          </w:p>
        </w:tc>
      </w:tr>
      <w:tr w:rsidR="00CD7CA7" w:rsidRPr="00CD7CA7" w14:paraId="24B92756" w14:textId="77777777" w:rsidTr="00052B97">
        <w:trPr>
          <w:trHeight w:val="344"/>
        </w:trPr>
        <w:tc>
          <w:tcPr>
            <w:tcW w:w="3128" w:type="dxa"/>
            <w:gridSpan w:val="2"/>
            <w:shd w:val="clear" w:color="auto" w:fill="DDEBF7"/>
            <w:vAlign w:val="center"/>
            <w:hideMark/>
          </w:tcPr>
          <w:p w14:paraId="7AD1831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Skupaj ESRR</w:t>
            </w:r>
          </w:p>
        </w:tc>
        <w:tc>
          <w:tcPr>
            <w:tcW w:w="2047" w:type="dxa"/>
            <w:shd w:val="clear" w:color="auto" w:fill="DDEBF7"/>
            <w:noWrap/>
            <w:vAlign w:val="center"/>
            <w:hideMark/>
          </w:tcPr>
          <w:p w14:paraId="529EFFA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1.545.686.288</w:t>
            </w:r>
          </w:p>
        </w:tc>
        <w:tc>
          <w:tcPr>
            <w:tcW w:w="1886" w:type="dxa"/>
            <w:shd w:val="clear" w:color="auto" w:fill="DDEBF7"/>
            <w:noWrap/>
            <w:vAlign w:val="center"/>
            <w:hideMark/>
          </w:tcPr>
          <w:p w14:paraId="38C315C5"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966.768.322</w:t>
            </w:r>
          </w:p>
        </w:tc>
        <w:tc>
          <w:tcPr>
            <w:tcW w:w="1012" w:type="dxa"/>
            <w:shd w:val="clear" w:color="auto" w:fill="DDEBF7"/>
            <w:noWrap/>
            <w:vAlign w:val="center"/>
            <w:hideMark/>
          </w:tcPr>
          <w:p w14:paraId="2F26E77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63%</w:t>
            </w:r>
          </w:p>
        </w:tc>
        <w:tc>
          <w:tcPr>
            <w:tcW w:w="1863" w:type="dxa"/>
            <w:shd w:val="clear" w:color="auto" w:fill="DDEBF7"/>
            <w:noWrap/>
            <w:vAlign w:val="center"/>
            <w:hideMark/>
          </w:tcPr>
          <w:p w14:paraId="028A3286"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602.274.455</w:t>
            </w:r>
          </w:p>
        </w:tc>
        <w:tc>
          <w:tcPr>
            <w:tcW w:w="1104" w:type="dxa"/>
            <w:shd w:val="clear" w:color="auto" w:fill="DDEBF7"/>
            <w:noWrap/>
            <w:vAlign w:val="center"/>
            <w:hideMark/>
          </w:tcPr>
          <w:p w14:paraId="0AC0E8F1"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39%</w:t>
            </w:r>
          </w:p>
        </w:tc>
        <w:tc>
          <w:tcPr>
            <w:tcW w:w="1771" w:type="dxa"/>
            <w:shd w:val="clear" w:color="auto" w:fill="DDEBF7"/>
            <w:noWrap/>
            <w:vAlign w:val="center"/>
            <w:hideMark/>
          </w:tcPr>
          <w:p w14:paraId="25B52A1D"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190.428.973</w:t>
            </w:r>
          </w:p>
        </w:tc>
        <w:tc>
          <w:tcPr>
            <w:tcW w:w="1081" w:type="dxa"/>
            <w:shd w:val="clear" w:color="auto" w:fill="DDEBF7"/>
            <w:noWrap/>
            <w:vAlign w:val="center"/>
            <w:hideMark/>
          </w:tcPr>
          <w:p w14:paraId="321D6CB9"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12%</w:t>
            </w:r>
          </w:p>
        </w:tc>
      </w:tr>
      <w:tr w:rsidR="00CD7CA7" w:rsidRPr="00CD7CA7" w14:paraId="3675FC43" w14:textId="77777777" w:rsidTr="00052B97">
        <w:trPr>
          <w:trHeight w:val="344"/>
        </w:trPr>
        <w:tc>
          <w:tcPr>
            <w:tcW w:w="1357" w:type="dxa"/>
            <w:vMerge w:val="restart"/>
            <w:vAlign w:val="center"/>
            <w:hideMark/>
          </w:tcPr>
          <w:p w14:paraId="23A92A2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ESS+</w:t>
            </w:r>
          </w:p>
        </w:tc>
        <w:tc>
          <w:tcPr>
            <w:tcW w:w="1771" w:type="dxa"/>
            <w:noWrap/>
            <w:vAlign w:val="center"/>
            <w:hideMark/>
          </w:tcPr>
          <w:p w14:paraId="2BC2D00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Zahod</w:t>
            </w:r>
          </w:p>
        </w:tc>
        <w:tc>
          <w:tcPr>
            <w:tcW w:w="2047" w:type="dxa"/>
            <w:noWrap/>
            <w:vAlign w:val="center"/>
            <w:hideMark/>
          </w:tcPr>
          <w:p w14:paraId="6BB2908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142.107.283</w:t>
            </w:r>
          </w:p>
        </w:tc>
        <w:tc>
          <w:tcPr>
            <w:tcW w:w="1886" w:type="dxa"/>
            <w:noWrap/>
            <w:vAlign w:val="center"/>
            <w:hideMark/>
          </w:tcPr>
          <w:p w14:paraId="3C5FDBF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74.967.767</w:t>
            </w:r>
          </w:p>
        </w:tc>
        <w:tc>
          <w:tcPr>
            <w:tcW w:w="1012" w:type="dxa"/>
            <w:noWrap/>
            <w:vAlign w:val="center"/>
            <w:hideMark/>
          </w:tcPr>
          <w:p w14:paraId="44870653"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53%</w:t>
            </w:r>
          </w:p>
        </w:tc>
        <w:tc>
          <w:tcPr>
            <w:tcW w:w="1863" w:type="dxa"/>
            <w:noWrap/>
            <w:vAlign w:val="center"/>
            <w:hideMark/>
          </w:tcPr>
          <w:p w14:paraId="0B0A6556"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61.067.677</w:t>
            </w:r>
          </w:p>
        </w:tc>
        <w:tc>
          <w:tcPr>
            <w:tcW w:w="1104" w:type="dxa"/>
            <w:noWrap/>
            <w:vAlign w:val="center"/>
            <w:hideMark/>
          </w:tcPr>
          <w:p w14:paraId="28DE5D26"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43%</w:t>
            </w:r>
          </w:p>
        </w:tc>
        <w:tc>
          <w:tcPr>
            <w:tcW w:w="1771" w:type="dxa"/>
            <w:noWrap/>
            <w:vAlign w:val="center"/>
            <w:hideMark/>
          </w:tcPr>
          <w:p w14:paraId="75A84A8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13.308.876</w:t>
            </w:r>
          </w:p>
        </w:tc>
        <w:tc>
          <w:tcPr>
            <w:tcW w:w="1081" w:type="dxa"/>
            <w:noWrap/>
            <w:vAlign w:val="center"/>
            <w:hideMark/>
          </w:tcPr>
          <w:p w14:paraId="54400112"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9%</w:t>
            </w:r>
          </w:p>
        </w:tc>
      </w:tr>
      <w:tr w:rsidR="00CD7CA7" w:rsidRPr="00CD7CA7" w14:paraId="01754C50" w14:textId="77777777" w:rsidTr="00052B97">
        <w:trPr>
          <w:trHeight w:val="344"/>
        </w:trPr>
        <w:tc>
          <w:tcPr>
            <w:tcW w:w="1357" w:type="dxa"/>
            <w:vMerge/>
            <w:vAlign w:val="center"/>
            <w:hideMark/>
          </w:tcPr>
          <w:p w14:paraId="675B5F51"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3764A37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Vzhod</w:t>
            </w:r>
          </w:p>
        </w:tc>
        <w:tc>
          <w:tcPr>
            <w:tcW w:w="2047" w:type="dxa"/>
            <w:noWrap/>
            <w:vAlign w:val="center"/>
            <w:hideMark/>
          </w:tcPr>
          <w:p w14:paraId="2AE0859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469.397.522</w:t>
            </w:r>
          </w:p>
        </w:tc>
        <w:tc>
          <w:tcPr>
            <w:tcW w:w="1886" w:type="dxa"/>
            <w:noWrap/>
            <w:vAlign w:val="center"/>
            <w:hideMark/>
          </w:tcPr>
          <w:p w14:paraId="0271DEE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286.937.965</w:t>
            </w:r>
          </w:p>
        </w:tc>
        <w:tc>
          <w:tcPr>
            <w:tcW w:w="1012" w:type="dxa"/>
            <w:noWrap/>
            <w:vAlign w:val="center"/>
            <w:hideMark/>
          </w:tcPr>
          <w:p w14:paraId="65801C3A"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61%</w:t>
            </w:r>
          </w:p>
        </w:tc>
        <w:tc>
          <w:tcPr>
            <w:tcW w:w="1863" w:type="dxa"/>
            <w:noWrap/>
            <w:vAlign w:val="center"/>
            <w:hideMark/>
          </w:tcPr>
          <w:p w14:paraId="7EC7C9A4"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243.716.128</w:t>
            </w:r>
          </w:p>
        </w:tc>
        <w:tc>
          <w:tcPr>
            <w:tcW w:w="1104" w:type="dxa"/>
            <w:noWrap/>
            <w:vAlign w:val="center"/>
            <w:hideMark/>
          </w:tcPr>
          <w:p w14:paraId="518F90FD"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52%</w:t>
            </w:r>
          </w:p>
        </w:tc>
        <w:tc>
          <w:tcPr>
            <w:tcW w:w="1771" w:type="dxa"/>
            <w:noWrap/>
            <w:vAlign w:val="center"/>
            <w:hideMark/>
          </w:tcPr>
          <w:p w14:paraId="0BBA0FD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47.300.917</w:t>
            </w:r>
          </w:p>
        </w:tc>
        <w:tc>
          <w:tcPr>
            <w:tcW w:w="1081" w:type="dxa"/>
            <w:noWrap/>
            <w:vAlign w:val="center"/>
            <w:hideMark/>
          </w:tcPr>
          <w:p w14:paraId="7BFF052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10%</w:t>
            </w:r>
          </w:p>
        </w:tc>
      </w:tr>
      <w:tr w:rsidR="00CD7CA7" w:rsidRPr="00CD7CA7" w14:paraId="0FC87E17" w14:textId="77777777" w:rsidTr="00052B97">
        <w:trPr>
          <w:trHeight w:val="344"/>
        </w:trPr>
        <w:tc>
          <w:tcPr>
            <w:tcW w:w="3128" w:type="dxa"/>
            <w:gridSpan w:val="2"/>
            <w:shd w:val="clear" w:color="auto" w:fill="DDEBF7"/>
            <w:vAlign w:val="center"/>
            <w:hideMark/>
          </w:tcPr>
          <w:p w14:paraId="0BFD53E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Skupaj ESS+</w:t>
            </w:r>
          </w:p>
        </w:tc>
        <w:tc>
          <w:tcPr>
            <w:tcW w:w="2047" w:type="dxa"/>
            <w:shd w:val="clear" w:color="auto" w:fill="DDEBF7"/>
            <w:noWrap/>
            <w:vAlign w:val="center"/>
            <w:hideMark/>
          </w:tcPr>
          <w:p w14:paraId="1087CF23"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611.504.805</w:t>
            </w:r>
          </w:p>
        </w:tc>
        <w:tc>
          <w:tcPr>
            <w:tcW w:w="1886" w:type="dxa"/>
            <w:shd w:val="clear" w:color="auto" w:fill="DDEBF7"/>
            <w:noWrap/>
            <w:vAlign w:val="center"/>
            <w:hideMark/>
          </w:tcPr>
          <w:p w14:paraId="45221C03"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361.905.732</w:t>
            </w:r>
          </w:p>
        </w:tc>
        <w:tc>
          <w:tcPr>
            <w:tcW w:w="1012" w:type="dxa"/>
            <w:shd w:val="clear" w:color="auto" w:fill="DDEBF7"/>
            <w:noWrap/>
            <w:vAlign w:val="center"/>
            <w:hideMark/>
          </w:tcPr>
          <w:p w14:paraId="48997A51"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59%</w:t>
            </w:r>
          </w:p>
        </w:tc>
        <w:tc>
          <w:tcPr>
            <w:tcW w:w="1863" w:type="dxa"/>
            <w:shd w:val="clear" w:color="auto" w:fill="DDEBF7"/>
            <w:noWrap/>
            <w:vAlign w:val="center"/>
            <w:hideMark/>
          </w:tcPr>
          <w:p w14:paraId="42F641B4"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304.783.805</w:t>
            </w:r>
          </w:p>
        </w:tc>
        <w:tc>
          <w:tcPr>
            <w:tcW w:w="1104" w:type="dxa"/>
            <w:shd w:val="clear" w:color="auto" w:fill="DDEBF7"/>
            <w:noWrap/>
            <w:vAlign w:val="center"/>
            <w:hideMark/>
          </w:tcPr>
          <w:p w14:paraId="7C436CC8"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50%</w:t>
            </w:r>
          </w:p>
        </w:tc>
        <w:tc>
          <w:tcPr>
            <w:tcW w:w="1771" w:type="dxa"/>
            <w:shd w:val="clear" w:color="auto" w:fill="DDEBF7"/>
            <w:noWrap/>
            <w:vAlign w:val="center"/>
            <w:hideMark/>
          </w:tcPr>
          <w:p w14:paraId="41B11F0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60.609.794</w:t>
            </w:r>
          </w:p>
        </w:tc>
        <w:tc>
          <w:tcPr>
            <w:tcW w:w="1081" w:type="dxa"/>
            <w:shd w:val="clear" w:color="auto" w:fill="DDEBF7"/>
            <w:noWrap/>
            <w:vAlign w:val="center"/>
            <w:hideMark/>
          </w:tcPr>
          <w:p w14:paraId="4301333A"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10%</w:t>
            </w:r>
          </w:p>
        </w:tc>
      </w:tr>
      <w:tr w:rsidR="00CD7CA7" w:rsidRPr="00CD7CA7" w14:paraId="168BCD8E" w14:textId="77777777" w:rsidTr="00052B97">
        <w:trPr>
          <w:trHeight w:val="344"/>
        </w:trPr>
        <w:tc>
          <w:tcPr>
            <w:tcW w:w="1357" w:type="dxa"/>
            <w:vAlign w:val="center"/>
            <w:hideMark/>
          </w:tcPr>
          <w:p w14:paraId="3183F8E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KS</w:t>
            </w:r>
          </w:p>
        </w:tc>
        <w:tc>
          <w:tcPr>
            <w:tcW w:w="1771" w:type="dxa"/>
            <w:noWrap/>
            <w:vAlign w:val="center"/>
            <w:hideMark/>
          </w:tcPr>
          <w:p w14:paraId="2EF029E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Celotna SI</w:t>
            </w:r>
          </w:p>
        </w:tc>
        <w:tc>
          <w:tcPr>
            <w:tcW w:w="2047" w:type="dxa"/>
            <w:noWrap/>
            <w:vAlign w:val="center"/>
            <w:hideMark/>
          </w:tcPr>
          <w:p w14:paraId="4E8566E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700.675.721</w:t>
            </w:r>
          </w:p>
        </w:tc>
        <w:tc>
          <w:tcPr>
            <w:tcW w:w="1886" w:type="dxa"/>
            <w:noWrap/>
            <w:vAlign w:val="center"/>
            <w:hideMark/>
          </w:tcPr>
          <w:p w14:paraId="6EC984C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443.180.454</w:t>
            </w:r>
          </w:p>
        </w:tc>
        <w:tc>
          <w:tcPr>
            <w:tcW w:w="1012" w:type="dxa"/>
            <w:noWrap/>
            <w:vAlign w:val="center"/>
            <w:hideMark/>
          </w:tcPr>
          <w:p w14:paraId="43F7D6D4"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63%</w:t>
            </w:r>
          </w:p>
        </w:tc>
        <w:tc>
          <w:tcPr>
            <w:tcW w:w="1863" w:type="dxa"/>
            <w:noWrap/>
            <w:vAlign w:val="center"/>
            <w:hideMark/>
          </w:tcPr>
          <w:p w14:paraId="15F96BB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298.012.397</w:t>
            </w:r>
          </w:p>
        </w:tc>
        <w:tc>
          <w:tcPr>
            <w:tcW w:w="1104" w:type="dxa"/>
            <w:noWrap/>
            <w:vAlign w:val="center"/>
            <w:hideMark/>
          </w:tcPr>
          <w:p w14:paraId="1CA535A0"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43%</w:t>
            </w:r>
          </w:p>
        </w:tc>
        <w:tc>
          <w:tcPr>
            <w:tcW w:w="1771" w:type="dxa"/>
            <w:noWrap/>
            <w:vAlign w:val="center"/>
            <w:hideMark/>
          </w:tcPr>
          <w:p w14:paraId="09070A2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99.163.349</w:t>
            </w:r>
          </w:p>
        </w:tc>
        <w:tc>
          <w:tcPr>
            <w:tcW w:w="1081" w:type="dxa"/>
            <w:noWrap/>
            <w:vAlign w:val="center"/>
            <w:hideMark/>
          </w:tcPr>
          <w:p w14:paraId="6E1E2C06"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14%</w:t>
            </w:r>
          </w:p>
        </w:tc>
      </w:tr>
      <w:tr w:rsidR="00CD7CA7" w:rsidRPr="00CD7CA7" w14:paraId="4E7A09C1" w14:textId="77777777" w:rsidTr="00052B97">
        <w:trPr>
          <w:trHeight w:val="344"/>
        </w:trPr>
        <w:tc>
          <w:tcPr>
            <w:tcW w:w="3128" w:type="dxa"/>
            <w:gridSpan w:val="2"/>
            <w:shd w:val="clear" w:color="auto" w:fill="DDEBF7"/>
            <w:vAlign w:val="center"/>
            <w:hideMark/>
          </w:tcPr>
          <w:p w14:paraId="0C597F4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Skupaj KS</w:t>
            </w:r>
          </w:p>
        </w:tc>
        <w:tc>
          <w:tcPr>
            <w:tcW w:w="2047" w:type="dxa"/>
            <w:shd w:val="clear" w:color="auto" w:fill="DDEBF7"/>
            <w:noWrap/>
            <w:vAlign w:val="center"/>
            <w:hideMark/>
          </w:tcPr>
          <w:p w14:paraId="60758815"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700.675.721</w:t>
            </w:r>
          </w:p>
        </w:tc>
        <w:tc>
          <w:tcPr>
            <w:tcW w:w="1886" w:type="dxa"/>
            <w:shd w:val="clear" w:color="auto" w:fill="DDEBF7"/>
            <w:noWrap/>
            <w:vAlign w:val="center"/>
            <w:hideMark/>
          </w:tcPr>
          <w:p w14:paraId="17F2890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443.180.454</w:t>
            </w:r>
          </w:p>
        </w:tc>
        <w:tc>
          <w:tcPr>
            <w:tcW w:w="1012" w:type="dxa"/>
            <w:shd w:val="clear" w:color="auto" w:fill="DDEBF7"/>
            <w:noWrap/>
            <w:vAlign w:val="center"/>
            <w:hideMark/>
          </w:tcPr>
          <w:p w14:paraId="4E7FFE54"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63%</w:t>
            </w:r>
          </w:p>
        </w:tc>
        <w:tc>
          <w:tcPr>
            <w:tcW w:w="1863" w:type="dxa"/>
            <w:shd w:val="clear" w:color="auto" w:fill="DDEBF7"/>
            <w:noWrap/>
            <w:vAlign w:val="center"/>
            <w:hideMark/>
          </w:tcPr>
          <w:p w14:paraId="1F4CB11D"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298.012.397</w:t>
            </w:r>
          </w:p>
        </w:tc>
        <w:tc>
          <w:tcPr>
            <w:tcW w:w="1104" w:type="dxa"/>
            <w:shd w:val="clear" w:color="auto" w:fill="DDEBF7"/>
            <w:noWrap/>
            <w:vAlign w:val="center"/>
            <w:hideMark/>
          </w:tcPr>
          <w:p w14:paraId="5C335BC8"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43%</w:t>
            </w:r>
          </w:p>
        </w:tc>
        <w:tc>
          <w:tcPr>
            <w:tcW w:w="1771" w:type="dxa"/>
            <w:shd w:val="clear" w:color="auto" w:fill="DDEBF7"/>
            <w:noWrap/>
            <w:vAlign w:val="center"/>
            <w:hideMark/>
          </w:tcPr>
          <w:p w14:paraId="3954F4F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99.163.349</w:t>
            </w:r>
          </w:p>
        </w:tc>
        <w:tc>
          <w:tcPr>
            <w:tcW w:w="1081" w:type="dxa"/>
            <w:shd w:val="clear" w:color="auto" w:fill="DDEBF7"/>
            <w:noWrap/>
            <w:vAlign w:val="center"/>
            <w:hideMark/>
          </w:tcPr>
          <w:p w14:paraId="0B46F530"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14%</w:t>
            </w:r>
          </w:p>
        </w:tc>
      </w:tr>
      <w:tr w:rsidR="00CD7CA7" w:rsidRPr="00CD7CA7" w14:paraId="730A3BED" w14:textId="77777777" w:rsidTr="00052B97">
        <w:trPr>
          <w:trHeight w:val="344"/>
        </w:trPr>
        <w:tc>
          <w:tcPr>
            <w:tcW w:w="1357" w:type="dxa"/>
            <w:vAlign w:val="center"/>
            <w:hideMark/>
          </w:tcPr>
          <w:p w14:paraId="6E2F4FCC"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SPP</w:t>
            </w:r>
          </w:p>
        </w:tc>
        <w:tc>
          <w:tcPr>
            <w:tcW w:w="1771" w:type="dxa"/>
            <w:noWrap/>
            <w:vAlign w:val="center"/>
            <w:hideMark/>
          </w:tcPr>
          <w:p w14:paraId="28153C5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Celotna SI</w:t>
            </w:r>
          </w:p>
        </w:tc>
        <w:tc>
          <w:tcPr>
            <w:tcW w:w="2047" w:type="dxa"/>
            <w:noWrap/>
            <w:vAlign w:val="center"/>
            <w:hideMark/>
          </w:tcPr>
          <w:p w14:paraId="51B7EF54"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248.773.600</w:t>
            </w:r>
          </w:p>
        </w:tc>
        <w:tc>
          <w:tcPr>
            <w:tcW w:w="1886" w:type="dxa"/>
            <w:noWrap/>
            <w:vAlign w:val="center"/>
            <w:hideMark/>
          </w:tcPr>
          <w:p w14:paraId="186545A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204.095.352</w:t>
            </w:r>
          </w:p>
        </w:tc>
        <w:tc>
          <w:tcPr>
            <w:tcW w:w="1012" w:type="dxa"/>
            <w:noWrap/>
            <w:vAlign w:val="center"/>
            <w:hideMark/>
          </w:tcPr>
          <w:p w14:paraId="002EE7BA"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82%</w:t>
            </w:r>
          </w:p>
        </w:tc>
        <w:tc>
          <w:tcPr>
            <w:tcW w:w="1863" w:type="dxa"/>
            <w:noWrap/>
            <w:vAlign w:val="center"/>
            <w:hideMark/>
          </w:tcPr>
          <w:p w14:paraId="227C70F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120.866.517</w:t>
            </w:r>
          </w:p>
        </w:tc>
        <w:tc>
          <w:tcPr>
            <w:tcW w:w="1104" w:type="dxa"/>
            <w:noWrap/>
            <w:vAlign w:val="center"/>
            <w:hideMark/>
          </w:tcPr>
          <w:p w14:paraId="1B055AAB"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49%</w:t>
            </w:r>
          </w:p>
        </w:tc>
        <w:tc>
          <w:tcPr>
            <w:tcW w:w="1771" w:type="dxa"/>
            <w:noWrap/>
            <w:vAlign w:val="center"/>
            <w:hideMark/>
          </w:tcPr>
          <w:p w14:paraId="37740BD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32.550.700</w:t>
            </w:r>
          </w:p>
        </w:tc>
        <w:tc>
          <w:tcPr>
            <w:tcW w:w="1081" w:type="dxa"/>
            <w:noWrap/>
            <w:vAlign w:val="center"/>
            <w:hideMark/>
          </w:tcPr>
          <w:p w14:paraId="79F62584"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13%</w:t>
            </w:r>
          </w:p>
        </w:tc>
      </w:tr>
      <w:tr w:rsidR="00CD7CA7" w:rsidRPr="00CD7CA7" w14:paraId="209837B9" w14:textId="77777777" w:rsidTr="00052B97">
        <w:trPr>
          <w:trHeight w:val="344"/>
        </w:trPr>
        <w:tc>
          <w:tcPr>
            <w:tcW w:w="3128" w:type="dxa"/>
            <w:gridSpan w:val="2"/>
            <w:shd w:val="clear" w:color="auto" w:fill="DDEBF7"/>
            <w:noWrap/>
            <w:vAlign w:val="center"/>
            <w:hideMark/>
          </w:tcPr>
          <w:p w14:paraId="6AA9E06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Skupaj SPP</w:t>
            </w:r>
          </w:p>
        </w:tc>
        <w:tc>
          <w:tcPr>
            <w:tcW w:w="2047" w:type="dxa"/>
            <w:shd w:val="clear" w:color="auto" w:fill="DDEBF7"/>
            <w:noWrap/>
            <w:vAlign w:val="center"/>
            <w:hideMark/>
          </w:tcPr>
          <w:p w14:paraId="1213435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248.773.600</w:t>
            </w:r>
          </w:p>
        </w:tc>
        <w:tc>
          <w:tcPr>
            <w:tcW w:w="1886" w:type="dxa"/>
            <w:shd w:val="clear" w:color="auto" w:fill="DDEBF7"/>
            <w:noWrap/>
            <w:vAlign w:val="center"/>
            <w:hideMark/>
          </w:tcPr>
          <w:p w14:paraId="080A10C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204.095.352</w:t>
            </w:r>
          </w:p>
        </w:tc>
        <w:tc>
          <w:tcPr>
            <w:tcW w:w="1012" w:type="dxa"/>
            <w:shd w:val="clear" w:color="auto" w:fill="DDEBF7"/>
            <w:noWrap/>
            <w:vAlign w:val="center"/>
            <w:hideMark/>
          </w:tcPr>
          <w:p w14:paraId="05319AE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82%</w:t>
            </w:r>
          </w:p>
        </w:tc>
        <w:tc>
          <w:tcPr>
            <w:tcW w:w="1863" w:type="dxa"/>
            <w:shd w:val="clear" w:color="auto" w:fill="DDEBF7"/>
            <w:noWrap/>
            <w:vAlign w:val="center"/>
            <w:hideMark/>
          </w:tcPr>
          <w:p w14:paraId="5B103AC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120.866.517</w:t>
            </w:r>
          </w:p>
        </w:tc>
        <w:tc>
          <w:tcPr>
            <w:tcW w:w="1104" w:type="dxa"/>
            <w:shd w:val="clear" w:color="auto" w:fill="DDEBF7"/>
            <w:noWrap/>
            <w:vAlign w:val="center"/>
            <w:hideMark/>
          </w:tcPr>
          <w:p w14:paraId="18ABBA3D"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49%</w:t>
            </w:r>
          </w:p>
        </w:tc>
        <w:tc>
          <w:tcPr>
            <w:tcW w:w="1771" w:type="dxa"/>
            <w:shd w:val="clear" w:color="auto" w:fill="DDEBF7"/>
            <w:noWrap/>
            <w:vAlign w:val="center"/>
            <w:hideMark/>
          </w:tcPr>
          <w:p w14:paraId="0F1476C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32.550.700</w:t>
            </w:r>
          </w:p>
        </w:tc>
        <w:tc>
          <w:tcPr>
            <w:tcW w:w="1081" w:type="dxa"/>
            <w:shd w:val="clear" w:color="auto" w:fill="DDEBF7"/>
            <w:noWrap/>
            <w:vAlign w:val="center"/>
            <w:hideMark/>
          </w:tcPr>
          <w:p w14:paraId="1F1C6D42"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13%</w:t>
            </w:r>
          </w:p>
        </w:tc>
      </w:tr>
      <w:tr w:rsidR="00CD7CA7" w:rsidRPr="00CD7CA7" w14:paraId="7FDD0312" w14:textId="77777777" w:rsidTr="00052B97">
        <w:trPr>
          <w:trHeight w:val="344"/>
        </w:trPr>
        <w:tc>
          <w:tcPr>
            <w:tcW w:w="1357" w:type="dxa"/>
            <w:vMerge w:val="restart"/>
            <w:noWrap/>
            <w:vAlign w:val="center"/>
            <w:hideMark/>
          </w:tcPr>
          <w:p w14:paraId="0A9E774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PEKP</w:t>
            </w:r>
          </w:p>
        </w:tc>
        <w:tc>
          <w:tcPr>
            <w:tcW w:w="1771" w:type="dxa"/>
            <w:noWrap/>
            <w:vAlign w:val="center"/>
            <w:hideMark/>
          </w:tcPr>
          <w:p w14:paraId="7C525B5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Zahod</w:t>
            </w:r>
          </w:p>
        </w:tc>
        <w:tc>
          <w:tcPr>
            <w:tcW w:w="2047" w:type="dxa"/>
            <w:noWrap/>
            <w:vAlign w:val="center"/>
            <w:hideMark/>
          </w:tcPr>
          <w:p w14:paraId="7E87318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512.756.050</w:t>
            </w:r>
          </w:p>
        </w:tc>
        <w:tc>
          <w:tcPr>
            <w:tcW w:w="1886" w:type="dxa"/>
            <w:noWrap/>
            <w:vAlign w:val="center"/>
            <w:hideMark/>
          </w:tcPr>
          <w:p w14:paraId="23842445"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278.539.347</w:t>
            </w:r>
          </w:p>
        </w:tc>
        <w:tc>
          <w:tcPr>
            <w:tcW w:w="1012" w:type="dxa"/>
            <w:noWrap/>
            <w:vAlign w:val="center"/>
            <w:hideMark/>
          </w:tcPr>
          <w:p w14:paraId="1F703A45"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54%</w:t>
            </w:r>
          </w:p>
        </w:tc>
        <w:tc>
          <w:tcPr>
            <w:tcW w:w="1863" w:type="dxa"/>
            <w:noWrap/>
            <w:vAlign w:val="center"/>
            <w:hideMark/>
          </w:tcPr>
          <w:p w14:paraId="2F781C5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189.482.605</w:t>
            </w:r>
          </w:p>
        </w:tc>
        <w:tc>
          <w:tcPr>
            <w:tcW w:w="1104" w:type="dxa"/>
            <w:noWrap/>
            <w:vAlign w:val="center"/>
            <w:hideMark/>
          </w:tcPr>
          <w:p w14:paraId="2DE3328F"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37%</w:t>
            </w:r>
          </w:p>
        </w:tc>
        <w:tc>
          <w:tcPr>
            <w:tcW w:w="1771" w:type="dxa"/>
            <w:noWrap/>
            <w:vAlign w:val="center"/>
            <w:hideMark/>
          </w:tcPr>
          <w:p w14:paraId="0017575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55.431.498</w:t>
            </w:r>
          </w:p>
        </w:tc>
        <w:tc>
          <w:tcPr>
            <w:tcW w:w="1081" w:type="dxa"/>
            <w:noWrap/>
            <w:vAlign w:val="center"/>
            <w:hideMark/>
          </w:tcPr>
          <w:p w14:paraId="1A7E71B6"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11%</w:t>
            </w:r>
          </w:p>
        </w:tc>
      </w:tr>
      <w:tr w:rsidR="00CD7CA7" w:rsidRPr="00CD7CA7" w14:paraId="15A31697" w14:textId="77777777" w:rsidTr="00052B97">
        <w:trPr>
          <w:trHeight w:val="344"/>
        </w:trPr>
        <w:tc>
          <w:tcPr>
            <w:tcW w:w="1357" w:type="dxa"/>
            <w:vMerge/>
            <w:vAlign w:val="center"/>
            <w:hideMark/>
          </w:tcPr>
          <w:p w14:paraId="5CCBBAA0"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0EC361EC"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Vzhod</w:t>
            </w:r>
          </w:p>
        </w:tc>
        <w:tc>
          <w:tcPr>
            <w:tcW w:w="2047" w:type="dxa"/>
            <w:noWrap/>
            <w:vAlign w:val="center"/>
            <w:hideMark/>
          </w:tcPr>
          <w:p w14:paraId="78904D62"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1.644.435.043</w:t>
            </w:r>
          </w:p>
        </w:tc>
        <w:tc>
          <w:tcPr>
            <w:tcW w:w="1886" w:type="dxa"/>
            <w:noWrap/>
            <w:vAlign w:val="center"/>
            <w:hideMark/>
          </w:tcPr>
          <w:p w14:paraId="52F5A0B6"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1.050.134.707</w:t>
            </w:r>
          </w:p>
        </w:tc>
        <w:tc>
          <w:tcPr>
            <w:tcW w:w="1012" w:type="dxa"/>
            <w:noWrap/>
            <w:vAlign w:val="center"/>
            <w:hideMark/>
          </w:tcPr>
          <w:p w14:paraId="3423468D"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64%</w:t>
            </w:r>
          </w:p>
        </w:tc>
        <w:tc>
          <w:tcPr>
            <w:tcW w:w="1863" w:type="dxa"/>
            <w:noWrap/>
            <w:vAlign w:val="center"/>
            <w:hideMark/>
          </w:tcPr>
          <w:p w14:paraId="4856604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717.575.654</w:t>
            </w:r>
          </w:p>
        </w:tc>
        <w:tc>
          <w:tcPr>
            <w:tcW w:w="1104" w:type="dxa"/>
            <w:noWrap/>
            <w:vAlign w:val="center"/>
            <w:hideMark/>
          </w:tcPr>
          <w:p w14:paraId="34B90B9E"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44%</w:t>
            </w:r>
          </w:p>
        </w:tc>
        <w:tc>
          <w:tcPr>
            <w:tcW w:w="1771" w:type="dxa"/>
            <w:noWrap/>
            <w:vAlign w:val="center"/>
            <w:hideMark/>
          </w:tcPr>
          <w:p w14:paraId="39FF753B"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195.607.268</w:t>
            </w:r>
          </w:p>
        </w:tc>
        <w:tc>
          <w:tcPr>
            <w:tcW w:w="1081" w:type="dxa"/>
            <w:noWrap/>
            <w:vAlign w:val="center"/>
            <w:hideMark/>
          </w:tcPr>
          <w:p w14:paraId="18412131"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12%</w:t>
            </w:r>
          </w:p>
        </w:tc>
      </w:tr>
      <w:tr w:rsidR="00CD7CA7" w:rsidRPr="00CD7CA7" w14:paraId="561DC6E4" w14:textId="77777777" w:rsidTr="00052B97">
        <w:trPr>
          <w:trHeight w:val="344"/>
        </w:trPr>
        <w:tc>
          <w:tcPr>
            <w:tcW w:w="1357" w:type="dxa"/>
            <w:vMerge/>
            <w:vAlign w:val="center"/>
            <w:hideMark/>
          </w:tcPr>
          <w:p w14:paraId="2CA664C4"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067478BE"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Celotna SI - KS</w:t>
            </w:r>
          </w:p>
        </w:tc>
        <w:tc>
          <w:tcPr>
            <w:tcW w:w="2047" w:type="dxa"/>
            <w:noWrap/>
            <w:vAlign w:val="center"/>
            <w:hideMark/>
          </w:tcPr>
          <w:p w14:paraId="3D48B3B7"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700.675.721</w:t>
            </w:r>
          </w:p>
        </w:tc>
        <w:tc>
          <w:tcPr>
            <w:tcW w:w="1886" w:type="dxa"/>
            <w:noWrap/>
            <w:vAlign w:val="center"/>
            <w:hideMark/>
          </w:tcPr>
          <w:p w14:paraId="29235124"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443.180.454</w:t>
            </w:r>
          </w:p>
        </w:tc>
        <w:tc>
          <w:tcPr>
            <w:tcW w:w="1012" w:type="dxa"/>
            <w:noWrap/>
            <w:vAlign w:val="center"/>
            <w:hideMark/>
          </w:tcPr>
          <w:p w14:paraId="4AECADDD"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63%</w:t>
            </w:r>
          </w:p>
        </w:tc>
        <w:tc>
          <w:tcPr>
            <w:tcW w:w="1863" w:type="dxa"/>
            <w:noWrap/>
            <w:vAlign w:val="center"/>
            <w:hideMark/>
          </w:tcPr>
          <w:p w14:paraId="74D6E4AD"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298.012.397</w:t>
            </w:r>
          </w:p>
        </w:tc>
        <w:tc>
          <w:tcPr>
            <w:tcW w:w="1104" w:type="dxa"/>
            <w:noWrap/>
            <w:vAlign w:val="center"/>
            <w:hideMark/>
          </w:tcPr>
          <w:p w14:paraId="730FC88A"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43%</w:t>
            </w:r>
          </w:p>
        </w:tc>
        <w:tc>
          <w:tcPr>
            <w:tcW w:w="1771" w:type="dxa"/>
            <w:noWrap/>
            <w:vAlign w:val="center"/>
            <w:hideMark/>
          </w:tcPr>
          <w:p w14:paraId="3F8D548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99.163.349</w:t>
            </w:r>
          </w:p>
        </w:tc>
        <w:tc>
          <w:tcPr>
            <w:tcW w:w="1081" w:type="dxa"/>
            <w:noWrap/>
            <w:vAlign w:val="center"/>
            <w:hideMark/>
          </w:tcPr>
          <w:p w14:paraId="2BF0F618"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14%</w:t>
            </w:r>
          </w:p>
        </w:tc>
      </w:tr>
      <w:tr w:rsidR="00CD7CA7" w:rsidRPr="00CD7CA7" w14:paraId="48E37870" w14:textId="77777777" w:rsidTr="00052B97">
        <w:trPr>
          <w:trHeight w:val="344"/>
        </w:trPr>
        <w:tc>
          <w:tcPr>
            <w:tcW w:w="1357" w:type="dxa"/>
            <w:vMerge/>
            <w:vAlign w:val="center"/>
            <w:hideMark/>
          </w:tcPr>
          <w:p w14:paraId="4F64004E" w14:textId="77777777" w:rsidR="00CD7CA7" w:rsidRPr="00CD7CA7" w:rsidRDefault="00CD7CA7" w:rsidP="00CD7CA7">
            <w:pPr>
              <w:autoSpaceDN/>
              <w:spacing w:after="0" w:line="240" w:lineRule="auto"/>
              <w:rPr>
                <w:rFonts w:cs="Arial"/>
                <w:color w:val="000000"/>
              </w:rPr>
            </w:pPr>
          </w:p>
        </w:tc>
        <w:tc>
          <w:tcPr>
            <w:tcW w:w="1771" w:type="dxa"/>
            <w:noWrap/>
            <w:vAlign w:val="center"/>
            <w:hideMark/>
          </w:tcPr>
          <w:p w14:paraId="4A6C8441"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Celotna SI - SPP</w:t>
            </w:r>
          </w:p>
        </w:tc>
        <w:tc>
          <w:tcPr>
            <w:tcW w:w="2047" w:type="dxa"/>
            <w:noWrap/>
            <w:vAlign w:val="center"/>
            <w:hideMark/>
          </w:tcPr>
          <w:p w14:paraId="401A9C3D"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248.773.600</w:t>
            </w:r>
          </w:p>
        </w:tc>
        <w:tc>
          <w:tcPr>
            <w:tcW w:w="1886" w:type="dxa"/>
            <w:noWrap/>
            <w:vAlign w:val="center"/>
            <w:hideMark/>
          </w:tcPr>
          <w:p w14:paraId="57E895D8"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204.095.352</w:t>
            </w:r>
          </w:p>
        </w:tc>
        <w:tc>
          <w:tcPr>
            <w:tcW w:w="1012" w:type="dxa"/>
            <w:noWrap/>
            <w:vAlign w:val="center"/>
            <w:hideMark/>
          </w:tcPr>
          <w:p w14:paraId="10C95677"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82%</w:t>
            </w:r>
          </w:p>
        </w:tc>
        <w:tc>
          <w:tcPr>
            <w:tcW w:w="1863" w:type="dxa"/>
            <w:noWrap/>
            <w:vAlign w:val="center"/>
            <w:hideMark/>
          </w:tcPr>
          <w:p w14:paraId="1706C24A"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120.866.517</w:t>
            </w:r>
          </w:p>
        </w:tc>
        <w:tc>
          <w:tcPr>
            <w:tcW w:w="1104" w:type="dxa"/>
            <w:noWrap/>
            <w:vAlign w:val="center"/>
            <w:hideMark/>
          </w:tcPr>
          <w:p w14:paraId="7958470E"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49%</w:t>
            </w:r>
          </w:p>
        </w:tc>
        <w:tc>
          <w:tcPr>
            <w:tcW w:w="1771" w:type="dxa"/>
            <w:noWrap/>
            <w:vAlign w:val="center"/>
            <w:hideMark/>
          </w:tcPr>
          <w:p w14:paraId="4AAACA70" w14:textId="77777777" w:rsidR="00CD7CA7" w:rsidRPr="00CD7CA7" w:rsidRDefault="720CA2C9" w:rsidP="7E32E97F">
            <w:pPr>
              <w:autoSpaceDN/>
              <w:spacing w:after="0" w:line="240" w:lineRule="auto"/>
              <w:jc w:val="right"/>
              <w:rPr>
                <w:rFonts w:cs="Arial"/>
                <w:color w:val="000000"/>
              </w:rPr>
            </w:pPr>
            <w:r w:rsidRPr="7E32E97F">
              <w:rPr>
                <w:rFonts w:cs="Arial"/>
                <w:color w:val="000000" w:themeColor="text1"/>
              </w:rPr>
              <w:t>32.550.700</w:t>
            </w:r>
          </w:p>
        </w:tc>
        <w:tc>
          <w:tcPr>
            <w:tcW w:w="1081" w:type="dxa"/>
            <w:noWrap/>
            <w:vAlign w:val="center"/>
            <w:hideMark/>
          </w:tcPr>
          <w:p w14:paraId="15250953" w14:textId="77777777" w:rsidR="00CD7CA7" w:rsidRPr="00CD7CA7" w:rsidRDefault="720CA2C9" w:rsidP="7E32E97F">
            <w:pPr>
              <w:autoSpaceDN/>
              <w:spacing w:after="0" w:line="240" w:lineRule="auto"/>
              <w:jc w:val="center"/>
              <w:rPr>
                <w:rFonts w:cs="Arial"/>
                <w:color w:val="000000"/>
              </w:rPr>
            </w:pPr>
            <w:r w:rsidRPr="7E32E97F">
              <w:rPr>
                <w:rFonts w:cs="Arial"/>
                <w:color w:val="000000" w:themeColor="text1"/>
              </w:rPr>
              <w:t>13%</w:t>
            </w:r>
          </w:p>
        </w:tc>
      </w:tr>
      <w:tr w:rsidR="00CD7CA7" w:rsidRPr="00CD7CA7" w14:paraId="375E3A57" w14:textId="77777777" w:rsidTr="00052B97">
        <w:trPr>
          <w:trHeight w:val="344"/>
        </w:trPr>
        <w:tc>
          <w:tcPr>
            <w:tcW w:w="3128" w:type="dxa"/>
            <w:gridSpan w:val="2"/>
            <w:shd w:val="clear" w:color="auto" w:fill="DDEBF7"/>
            <w:noWrap/>
            <w:vAlign w:val="center"/>
            <w:hideMark/>
          </w:tcPr>
          <w:p w14:paraId="59903EDF"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Skupaj</w:t>
            </w:r>
          </w:p>
        </w:tc>
        <w:tc>
          <w:tcPr>
            <w:tcW w:w="2047" w:type="dxa"/>
            <w:shd w:val="clear" w:color="auto" w:fill="DDEBF7"/>
            <w:noWrap/>
            <w:vAlign w:val="center"/>
            <w:hideMark/>
          </w:tcPr>
          <w:p w14:paraId="0DC8D738"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3.106.640.414</w:t>
            </w:r>
          </w:p>
        </w:tc>
        <w:tc>
          <w:tcPr>
            <w:tcW w:w="1886" w:type="dxa"/>
            <w:shd w:val="clear" w:color="auto" w:fill="DDEBF7"/>
            <w:noWrap/>
            <w:vAlign w:val="center"/>
            <w:hideMark/>
          </w:tcPr>
          <w:p w14:paraId="6CF52987"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1.975.949.860</w:t>
            </w:r>
          </w:p>
        </w:tc>
        <w:tc>
          <w:tcPr>
            <w:tcW w:w="1012" w:type="dxa"/>
            <w:shd w:val="clear" w:color="auto" w:fill="DDEBF7"/>
            <w:noWrap/>
            <w:vAlign w:val="center"/>
            <w:hideMark/>
          </w:tcPr>
          <w:p w14:paraId="14470400"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64%</w:t>
            </w:r>
          </w:p>
        </w:tc>
        <w:tc>
          <w:tcPr>
            <w:tcW w:w="1863" w:type="dxa"/>
            <w:shd w:val="clear" w:color="auto" w:fill="DDEBF7"/>
            <w:noWrap/>
            <w:vAlign w:val="center"/>
            <w:hideMark/>
          </w:tcPr>
          <w:p w14:paraId="03713378"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1.325.937.173</w:t>
            </w:r>
          </w:p>
        </w:tc>
        <w:tc>
          <w:tcPr>
            <w:tcW w:w="1104" w:type="dxa"/>
            <w:shd w:val="clear" w:color="auto" w:fill="DDEBF7"/>
            <w:noWrap/>
            <w:vAlign w:val="center"/>
            <w:hideMark/>
          </w:tcPr>
          <w:p w14:paraId="28D0304D"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43%</w:t>
            </w:r>
          </w:p>
        </w:tc>
        <w:tc>
          <w:tcPr>
            <w:tcW w:w="1771" w:type="dxa"/>
            <w:shd w:val="clear" w:color="auto" w:fill="DDEBF7"/>
            <w:noWrap/>
            <w:vAlign w:val="center"/>
            <w:hideMark/>
          </w:tcPr>
          <w:p w14:paraId="55D9CC2B" w14:textId="77777777" w:rsidR="00CD7CA7" w:rsidRPr="00CD7CA7" w:rsidRDefault="720CA2C9" w:rsidP="7E32E97F">
            <w:pPr>
              <w:autoSpaceDN/>
              <w:spacing w:after="0" w:line="240" w:lineRule="auto"/>
              <w:jc w:val="right"/>
              <w:rPr>
                <w:rFonts w:cs="Arial"/>
                <w:b/>
                <w:bCs/>
                <w:color w:val="000000"/>
              </w:rPr>
            </w:pPr>
            <w:r w:rsidRPr="7E32E97F">
              <w:rPr>
                <w:rFonts w:cs="Arial"/>
                <w:b/>
                <w:bCs/>
                <w:color w:val="000000" w:themeColor="text1"/>
              </w:rPr>
              <w:t>382.752.816</w:t>
            </w:r>
          </w:p>
        </w:tc>
        <w:tc>
          <w:tcPr>
            <w:tcW w:w="1081" w:type="dxa"/>
            <w:shd w:val="clear" w:color="auto" w:fill="DDEBF7"/>
            <w:noWrap/>
            <w:vAlign w:val="center"/>
            <w:hideMark/>
          </w:tcPr>
          <w:p w14:paraId="1F7A716E" w14:textId="77777777" w:rsidR="00CD7CA7" w:rsidRPr="00CD7CA7" w:rsidRDefault="720CA2C9" w:rsidP="7E32E97F">
            <w:pPr>
              <w:autoSpaceDN/>
              <w:spacing w:after="0" w:line="240" w:lineRule="auto"/>
              <w:jc w:val="center"/>
              <w:rPr>
                <w:rFonts w:cs="Arial"/>
                <w:b/>
                <w:bCs/>
                <w:color w:val="000000"/>
              </w:rPr>
            </w:pPr>
            <w:r w:rsidRPr="7E32E97F">
              <w:rPr>
                <w:rFonts w:cs="Arial"/>
                <w:b/>
                <w:bCs/>
                <w:color w:val="000000" w:themeColor="text1"/>
              </w:rPr>
              <w:t>12%</w:t>
            </w:r>
          </w:p>
        </w:tc>
      </w:tr>
    </w:tbl>
    <w:p w14:paraId="5B0A49FA" w14:textId="2A07BAE7" w:rsidR="00A169E8" w:rsidRPr="00006EC3" w:rsidRDefault="1E325512"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Vir: IS OU e-MA2, MFERAC</w:t>
      </w:r>
    </w:p>
    <w:p w14:paraId="34C4E0AD" w14:textId="1AF15B97" w:rsidR="00A169E8" w:rsidRPr="00006EC3" w:rsidRDefault="76D056A1"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Razpoložljiva sredstva/pravice porabe EKP</w:t>
      </w:r>
      <w:r w:rsidR="410860A3" w:rsidRPr="7E32E97F">
        <w:rPr>
          <w:rFonts w:eastAsia="SimSun" w:cs="Arial"/>
          <w:sz w:val="16"/>
          <w:szCs w:val="16"/>
        </w:rPr>
        <w:t xml:space="preserve"> brez tehnične pomoči</w:t>
      </w:r>
      <w:r w:rsidRPr="7E32E97F">
        <w:rPr>
          <w:rFonts w:eastAsia="SimSun" w:cs="Arial"/>
          <w:sz w:val="16"/>
          <w:szCs w:val="16"/>
        </w:rPr>
        <w:t xml:space="preserve"> za obdobje 2021−2027 (EU del) – Program EKP 2021–2027.</w:t>
      </w:r>
    </w:p>
    <w:p w14:paraId="7FEC130D" w14:textId="77777777" w:rsidR="00A169E8" w:rsidRPr="00006EC3" w:rsidRDefault="76D056A1"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Odločitve o podpori zajemajo vrednost vlog za posamezen projekt, program ali javni razpis/poziv, brez neupravičenih stroškov. </w:t>
      </w:r>
    </w:p>
    <w:p w14:paraId="1EA3E17F" w14:textId="77777777" w:rsidR="00A169E8" w:rsidRPr="007665A0" w:rsidRDefault="76D056A1"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Potrjene operacije pomenijo pogodbe o </w:t>
      </w:r>
      <w:r w:rsidRPr="007665A0">
        <w:rPr>
          <w:rFonts w:eastAsia="SimSun" w:cs="Arial"/>
          <w:sz w:val="16"/>
          <w:szCs w:val="16"/>
        </w:rPr>
        <w:t>sofinanciranju oziroma odločitve o podpori, kadar je upravičenec neposredni proračunski uporabnik.</w:t>
      </w:r>
    </w:p>
    <w:p w14:paraId="097D2FC7" w14:textId="2A9A6219" w:rsidR="00A169E8" w:rsidRPr="00006EC3" w:rsidRDefault="1E325512" w:rsidP="7E32E97F">
      <w:pPr>
        <w:autoSpaceDN/>
        <w:spacing w:after="0" w:line="288" w:lineRule="auto"/>
        <w:contextualSpacing/>
        <w:jc w:val="both"/>
        <w:rPr>
          <w:rFonts w:eastAsia="SimSun" w:cs="Arial"/>
          <w:sz w:val="16"/>
          <w:szCs w:val="16"/>
          <w:lang w:eastAsia="zh-CN"/>
        </w:rPr>
      </w:pPr>
      <w:r w:rsidRPr="007665A0">
        <w:rPr>
          <w:rFonts w:eastAsia="SimSun" w:cs="Arial"/>
          <w:sz w:val="16"/>
          <w:szCs w:val="16"/>
        </w:rPr>
        <w:t>**** Izplačila iz državnega proračuna (vir: MF</w:t>
      </w:r>
      <w:r w:rsidR="348664A7" w:rsidRPr="007665A0">
        <w:rPr>
          <w:rFonts w:eastAsia="SimSun" w:cs="Arial"/>
          <w:sz w:val="16"/>
          <w:szCs w:val="16"/>
        </w:rPr>
        <w:t>E</w:t>
      </w:r>
      <w:r w:rsidRPr="007665A0">
        <w:rPr>
          <w:rFonts w:eastAsia="SimSun" w:cs="Arial"/>
          <w:sz w:val="16"/>
          <w:szCs w:val="16"/>
        </w:rPr>
        <w:t xml:space="preserve">RAC, izpis na dan </w:t>
      </w:r>
      <w:r w:rsidR="720CA2C9" w:rsidRPr="007665A0">
        <w:rPr>
          <w:rFonts w:eastAsia="SimSun" w:cs="Arial"/>
          <w:sz w:val="16"/>
          <w:szCs w:val="16"/>
        </w:rPr>
        <w:t>6. 1. 2026</w:t>
      </w:r>
      <w:r w:rsidRPr="007665A0">
        <w:rPr>
          <w:rFonts w:eastAsia="SimSun" w:cs="Arial"/>
          <w:sz w:val="16"/>
          <w:szCs w:val="16"/>
        </w:rPr>
        <w:t>).</w:t>
      </w:r>
      <w:r w:rsidR="410860A3" w:rsidRPr="7E32E97F">
        <w:rPr>
          <w:rFonts w:eastAsia="SimSun" w:cs="Arial"/>
          <w:sz w:val="16"/>
          <w:szCs w:val="16"/>
        </w:rPr>
        <w:t xml:space="preserve"> </w:t>
      </w:r>
      <w:r w:rsidR="599F7E26" w:rsidRPr="7E32E97F">
        <w:rPr>
          <w:rFonts w:eastAsia="SimSun" w:cs="Arial"/>
          <w:sz w:val="16"/>
          <w:szCs w:val="16"/>
        </w:rPr>
        <w:t>Izplačilom</w:t>
      </w:r>
      <w:r w:rsidR="65ED3597" w:rsidRPr="7E32E97F">
        <w:rPr>
          <w:rFonts w:eastAsia="SimSun" w:cs="Arial"/>
          <w:sz w:val="16"/>
          <w:szCs w:val="16"/>
        </w:rPr>
        <w:t xml:space="preserve"> na KS</w:t>
      </w:r>
      <w:r w:rsidR="599F7E26" w:rsidRPr="7E32E97F">
        <w:rPr>
          <w:rFonts w:eastAsia="SimSun" w:cs="Arial"/>
          <w:sz w:val="16"/>
          <w:szCs w:val="16"/>
        </w:rPr>
        <w:t xml:space="preserve"> je prišteta preknjižb</w:t>
      </w:r>
      <w:r w:rsidR="3DAE6743" w:rsidRPr="7E32E97F">
        <w:rPr>
          <w:rFonts w:eastAsia="SimSun" w:cs="Arial"/>
          <w:sz w:val="16"/>
          <w:szCs w:val="16"/>
        </w:rPr>
        <w:t>a</w:t>
      </w:r>
      <w:r w:rsidR="599F7E26" w:rsidRPr="7E32E97F">
        <w:rPr>
          <w:rFonts w:eastAsia="SimSun" w:cs="Arial"/>
          <w:sz w:val="16"/>
          <w:szCs w:val="16"/>
        </w:rPr>
        <w:t xml:space="preserve"> MZI za l</w:t>
      </w:r>
      <w:r w:rsidR="276B12B1" w:rsidRPr="7E32E97F">
        <w:rPr>
          <w:rFonts w:eastAsia="SimSun" w:cs="Arial"/>
          <w:sz w:val="16"/>
          <w:szCs w:val="16"/>
        </w:rPr>
        <w:t>eto</w:t>
      </w:r>
      <w:r w:rsidR="599F7E26" w:rsidRPr="7E32E97F">
        <w:rPr>
          <w:rFonts w:eastAsia="SimSun" w:cs="Arial"/>
          <w:sz w:val="16"/>
          <w:szCs w:val="16"/>
        </w:rPr>
        <w:t xml:space="preserve"> 2024 </w:t>
      </w:r>
      <w:r w:rsidR="2E83D717" w:rsidRPr="7E32E97F">
        <w:rPr>
          <w:rFonts w:eastAsia="SimSun" w:cs="Arial"/>
          <w:sz w:val="16"/>
          <w:szCs w:val="16"/>
        </w:rPr>
        <w:t>(ŽOLP) v znesku 5,6 mio EUR (EU del).</w:t>
      </w:r>
    </w:p>
    <w:p w14:paraId="2484EFE9" w14:textId="77777777" w:rsidR="00A169E8" w:rsidRPr="0025033E" w:rsidRDefault="00A169E8" w:rsidP="00ED5676">
      <w:pPr>
        <w:spacing w:after="0"/>
        <w:jc w:val="both"/>
        <w:rPr>
          <w:rFonts w:eastAsia="Calibri" w:cs="Arial"/>
        </w:rPr>
        <w:sectPr w:rsidR="00A169E8" w:rsidRPr="0025033E" w:rsidSect="00A169E8">
          <w:pgSz w:w="16838" w:h="11906" w:orient="landscape" w:code="9"/>
          <w:pgMar w:top="1418" w:right="1418" w:bottom="1418" w:left="1418" w:header="709" w:footer="709" w:gutter="0"/>
          <w:cols w:space="708"/>
          <w:docGrid w:linePitch="272"/>
        </w:sectPr>
      </w:pPr>
    </w:p>
    <w:p w14:paraId="559FB45E" w14:textId="1B8680AE" w:rsidR="007D0104" w:rsidRDefault="0C59AA56" w:rsidP="00ED5676">
      <w:pPr>
        <w:autoSpaceDN/>
        <w:spacing w:after="0" w:line="288" w:lineRule="auto"/>
        <w:jc w:val="both"/>
        <w:rPr>
          <w:rFonts w:cs="Arial"/>
        </w:rPr>
      </w:pPr>
      <w:bookmarkStart w:id="152" w:name="_Toc187739298"/>
      <w:bookmarkStart w:id="153" w:name="_Toc187740031"/>
      <w:r w:rsidRPr="7E32E97F">
        <w:rPr>
          <w:rFonts w:cs="Arial"/>
        </w:rPr>
        <w:lastRenderedPageBreak/>
        <w:t xml:space="preserve">Tabela </w:t>
      </w:r>
      <w:r w:rsidR="0D1DE6E6" w:rsidRPr="7E32E97F">
        <w:rPr>
          <w:rFonts w:cs="Arial"/>
        </w:rPr>
        <w:t>2</w:t>
      </w:r>
      <w:r w:rsidRPr="7E32E97F">
        <w:rPr>
          <w:rFonts w:cs="Arial"/>
        </w:rPr>
        <w:t xml:space="preserve"> prikazuje stanje izvajanja v celotnem obdobju izvajanja do konca </w:t>
      </w:r>
      <w:r w:rsidR="6DFBF4D1" w:rsidRPr="7E32E97F">
        <w:rPr>
          <w:rFonts w:cs="Arial"/>
        </w:rPr>
        <w:t>decembr</w:t>
      </w:r>
      <w:r w:rsidR="722349F5" w:rsidRPr="7E32E97F">
        <w:rPr>
          <w:rFonts w:cs="Arial"/>
        </w:rPr>
        <w:t>a</w:t>
      </w:r>
      <w:r w:rsidRPr="7E32E97F">
        <w:rPr>
          <w:rFonts w:cs="Arial"/>
        </w:rPr>
        <w:t xml:space="preserve"> 202</w:t>
      </w:r>
      <w:r w:rsidR="722349F5" w:rsidRPr="7E32E97F">
        <w:rPr>
          <w:rFonts w:cs="Arial"/>
        </w:rPr>
        <w:t>5</w:t>
      </w:r>
      <w:r w:rsidRPr="7E32E97F">
        <w:rPr>
          <w:rFonts w:cs="Arial"/>
        </w:rPr>
        <w:t xml:space="preserve">: </w:t>
      </w:r>
    </w:p>
    <w:p w14:paraId="6AD763DF" w14:textId="79FCF6B6" w:rsidR="007D0104" w:rsidRPr="007A0101" w:rsidRDefault="2CAB4ABE" w:rsidP="071446A1">
      <w:pPr>
        <w:numPr>
          <w:ilvl w:val="0"/>
          <w:numId w:val="17"/>
        </w:numPr>
        <w:autoSpaceDN/>
        <w:spacing w:after="0" w:line="288" w:lineRule="auto"/>
        <w:jc w:val="both"/>
        <w:rPr>
          <w:rFonts w:eastAsia="SimSun" w:cs="Arial"/>
          <w:lang w:eastAsia="zh-CN"/>
        </w:rPr>
      </w:pPr>
      <w:bookmarkStart w:id="154" w:name="_Hlk156810655"/>
      <w:r w:rsidRPr="7E32E97F">
        <w:rPr>
          <w:rFonts w:eastAsia="SimSun" w:cs="Arial"/>
        </w:rPr>
        <w:t xml:space="preserve">odločitve o podpori v skupni vrednosti </w:t>
      </w:r>
      <w:bookmarkStart w:id="155" w:name="_Hlk157421511"/>
      <w:r w:rsidR="27EB3099" w:rsidRPr="7E32E97F">
        <w:rPr>
          <w:rFonts w:eastAsia="SimSun" w:cs="Arial"/>
        </w:rPr>
        <w:t>1.975.949.860</w:t>
      </w:r>
      <w:r w:rsidRPr="7E32E97F">
        <w:rPr>
          <w:rFonts w:eastAsia="SimSun" w:cs="Arial"/>
        </w:rPr>
        <w:t xml:space="preserve"> </w:t>
      </w:r>
      <w:bookmarkEnd w:id="155"/>
      <w:r w:rsidRPr="7E32E97F">
        <w:rPr>
          <w:rFonts w:eastAsia="SimSun" w:cs="Arial"/>
        </w:rPr>
        <w:t xml:space="preserve">EUR (EU del), kar je </w:t>
      </w:r>
      <w:r w:rsidR="27EB3099" w:rsidRPr="7E32E97F">
        <w:rPr>
          <w:rFonts w:eastAsia="SimSun" w:cs="Arial"/>
        </w:rPr>
        <w:t>64</w:t>
      </w:r>
      <w:r w:rsidRPr="7E32E97F">
        <w:rPr>
          <w:rFonts w:eastAsia="SimSun" w:cs="Arial"/>
        </w:rPr>
        <w:t xml:space="preserve"> % vseh razpoložljivih sredstev (1. faza);</w:t>
      </w:r>
    </w:p>
    <w:p w14:paraId="641F472A" w14:textId="7214E2B2" w:rsidR="007D0104" w:rsidRPr="007A0101" w:rsidRDefault="2CAB4ABE" w:rsidP="071446A1">
      <w:pPr>
        <w:numPr>
          <w:ilvl w:val="0"/>
          <w:numId w:val="15"/>
        </w:numPr>
        <w:autoSpaceDN/>
        <w:spacing w:after="0" w:line="288" w:lineRule="auto"/>
        <w:jc w:val="both"/>
        <w:rPr>
          <w:rFonts w:eastAsia="SimSun" w:cs="Arial"/>
          <w:lang w:eastAsia="zh-CN"/>
        </w:rPr>
      </w:pPr>
      <w:r w:rsidRPr="7E32E97F">
        <w:rPr>
          <w:rFonts w:eastAsia="SimSun" w:cs="Arial"/>
        </w:rPr>
        <w:t xml:space="preserve">znesek potrjenih operacij v skupni vrednosti </w:t>
      </w:r>
      <w:bookmarkStart w:id="156" w:name="_Hlk157421552"/>
      <w:r w:rsidR="27EB3099" w:rsidRPr="7E32E97F">
        <w:rPr>
          <w:rFonts w:eastAsia="SimSun" w:cs="Arial"/>
        </w:rPr>
        <w:t>1.325.937.173</w:t>
      </w:r>
      <w:r w:rsidRPr="7E32E97F">
        <w:rPr>
          <w:rFonts w:eastAsia="SimSun" w:cs="Arial"/>
        </w:rPr>
        <w:t xml:space="preserve"> </w:t>
      </w:r>
      <w:bookmarkEnd w:id="156"/>
      <w:r w:rsidRPr="7E32E97F">
        <w:rPr>
          <w:rFonts w:eastAsia="SimSun" w:cs="Arial"/>
        </w:rPr>
        <w:t xml:space="preserve">EUR (EU del), kar je </w:t>
      </w:r>
      <w:r w:rsidR="27EB3099" w:rsidRPr="7E32E97F">
        <w:rPr>
          <w:rFonts w:eastAsia="SimSun" w:cs="Arial"/>
        </w:rPr>
        <w:t>43</w:t>
      </w:r>
      <w:r w:rsidRPr="7E32E97F">
        <w:rPr>
          <w:rFonts w:eastAsia="SimSun" w:cs="Arial"/>
        </w:rPr>
        <w:t xml:space="preserve"> % razpoložljivih sredstev (2. faza);</w:t>
      </w:r>
    </w:p>
    <w:p w14:paraId="6F02737F" w14:textId="2E885A48" w:rsidR="00EA4649" w:rsidRDefault="2CAB4ABE" w:rsidP="071446A1">
      <w:pPr>
        <w:numPr>
          <w:ilvl w:val="0"/>
          <w:numId w:val="15"/>
        </w:numPr>
        <w:autoSpaceDN/>
        <w:spacing w:after="0" w:line="288" w:lineRule="auto"/>
        <w:jc w:val="both"/>
        <w:rPr>
          <w:rFonts w:eastAsia="SimSun" w:cs="Arial"/>
          <w:lang w:eastAsia="zh-CN"/>
        </w:rPr>
      </w:pPr>
      <w:r w:rsidRPr="7E32E97F">
        <w:rPr>
          <w:rFonts w:eastAsia="SimSun" w:cs="Arial"/>
        </w:rPr>
        <w:t xml:space="preserve">izplačila iz državnega proračuna v skupni vrednosti </w:t>
      </w:r>
      <w:bookmarkStart w:id="157" w:name="_Hlk157421593"/>
      <w:r w:rsidR="27EB3099" w:rsidRPr="7E32E97F">
        <w:rPr>
          <w:rFonts w:eastAsia="SimSun" w:cs="Arial"/>
        </w:rPr>
        <w:t>382.752.816</w:t>
      </w:r>
      <w:r w:rsidRPr="7E32E97F">
        <w:rPr>
          <w:rFonts w:eastAsia="SimSun" w:cs="Arial"/>
        </w:rPr>
        <w:t xml:space="preserve"> </w:t>
      </w:r>
      <w:bookmarkEnd w:id="157"/>
      <w:r w:rsidRPr="7E32E97F">
        <w:rPr>
          <w:rFonts w:eastAsia="SimSun" w:cs="Arial"/>
        </w:rPr>
        <w:t xml:space="preserve">EUR (EU del), kar je </w:t>
      </w:r>
      <w:r w:rsidR="27EB3099" w:rsidRPr="7E32E97F">
        <w:rPr>
          <w:rFonts w:eastAsia="SimSun" w:cs="Arial"/>
        </w:rPr>
        <w:t>12</w:t>
      </w:r>
      <w:r w:rsidRPr="7E32E97F">
        <w:rPr>
          <w:rFonts w:eastAsia="SimSun" w:cs="Arial"/>
        </w:rPr>
        <w:t xml:space="preserve"> % razpoložljivih sredstev (3. faza)</w:t>
      </w:r>
      <w:r w:rsidR="168651FE" w:rsidRPr="7E32E97F">
        <w:rPr>
          <w:rFonts w:eastAsia="SimSun" w:cs="Arial"/>
        </w:rPr>
        <w:t>.</w:t>
      </w:r>
    </w:p>
    <w:bookmarkEnd w:id="154"/>
    <w:p w14:paraId="0CC9D943" w14:textId="77777777" w:rsidR="007D0104" w:rsidRPr="0025033E" w:rsidRDefault="007D0104" w:rsidP="7E32E97F">
      <w:pPr>
        <w:autoSpaceDN/>
        <w:spacing w:after="0" w:line="240" w:lineRule="auto"/>
        <w:jc w:val="both"/>
        <w:rPr>
          <w:rFonts w:cs="Arial"/>
        </w:rPr>
      </w:pPr>
    </w:p>
    <w:p w14:paraId="36A08AE0" w14:textId="679012C0" w:rsidR="007D0104" w:rsidRPr="0025033E" w:rsidRDefault="0C59AA56" w:rsidP="00ED5676">
      <w:pPr>
        <w:autoSpaceDN/>
        <w:spacing w:after="0"/>
        <w:jc w:val="both"/>
        <w:rPr>
          <w:rFonts w:cs="Arial"/>
        </w:rPr>
      </w:pPr>
      <w:r w:rsidRPr="7E32E97F">
        <w:rPr>
          <w:rFonts w:cs="Arial"/>
        </w:rPr>
        <w:t xml:space="preserve">Slovenija na podlagi PEKP izvaja naslednje vsebine v okviru </w:t>
      </w:r>
      <w:r w:rsidR="0F6A1398" w:rsidRPr="7E32E97F">
        <w:rPr>
          <w:rFonts w:cs="Arial"/>
        </w:rPr>
        <w:t xml:space="preserve">10 </w:t>
      </w:r>
      <w:r w:rsidRPr="7E32E97F">
        <w:rPr>
          <w:rFonts w:cs="Arial"/>
        </w:rPr>
        <w:t>prednostnih nalog:</w:t>
      </w:r>
    </w:p>
    <w:p w14:paraId="47FC7B4E" w14:textId="77777777" w:rsidR="007D0104" w:rsidRPr="0025033E" w:rsidRDefault="0C59AA56" w:rsidP="7E32E97F">
      <w:pPr>
        <w:numPr>
          <w:ilvl w:val="0"/>
          <w:numId w:val="16"/>
        </w:numPr>
        <w:autoSpaceDN/>
        <w:spacing w:after="0"/>
        <w:jc w:val="both"/>
        <w:rPr>
          <w:rFonts w:cs="Arial"/>
        </w:rPr>
      </w:pPr>
      <w:r w:rsidRPr="7E32E97F">
        <w:rPr>
          <w:rFonts w:cs="Arial"/>
        </w:rPr>
        <w:t>1. PREDNOSTNA NALOGA: Inovacijska družba znanja;</w:t>
      </w:r>
    </w:p>
    <w:p w14:paraId="3C134790" w14:textId="77777777" w:rsidR="007D0104" w:rsidRPr="0025033E" w:rsidRDefault="0C59AA56" w:rsidP="7E32E97F">
      <w:pPr>
        <w:numPr>
          <w:ilvl w:val="0"/>
          <w:numId w:val="16"/>
        </w:numPr>
        <w:autoSpaceDN/>
        <w:spacing w:after="0"/>
        <w:jc w:val="both"/>
        <w:rPr>
          <w:rFonts w:cs="Arial"/>
        </w:rPr>
      </w:pPr>
      <w:r w:rsidRPr="7E32E97F">
        <w:rPr>
          <w:rFonts w:cs="Arial"/>
        </w:rPr>
        <w:t>2. PREDNOSTNA NALOGA: Digitalna povezljivost;</w:t>
      </w:r>
    </w:p>
    <w:p w14:paraId="4AAD2C30" w14:textId="77777777" w:rsidR="007D0104" w:rsidRPr="0025033E" w:rsidRDefault="0C59AA56" w:rsidP="7E32E97F">
      <w:pPr>
        <w:numPr>
          <w:ilvl w:val="0"/>
          <w:numId w:val="16"/>
        </w:numPr>
        <w:autoSpaceDN/>
        <w:spacing w:after="0"/>
        <w:jc w:val="both"/>
        <w:rPr>
          <w:rFonts w:cs="Arial"/>
        </w:rPr>
      </w:pPr>
      <w:r w:rsidRPr="7E32E97F">
        <w:rPr>
          <w:rFonts w:cs="Arial"/>
        </w:rPr>
        <w:t>3. PREDNOSTNA NALOGA: Zelena preobrazba za podnebno nevtralnost;</w:t>
      </w:r>
    </w:p>
    <w:p w14:paraId="70851536" w14:textId="77777777" w:rsidR="007D0104" w:rsidRPr="0025033E" w:rsidRDefault="0C59AA56" w:rsidP="7E32E97F">
      <w:pPr>
        <w:numPr>
          <w:ilvl w:val="0"/>
          <w:numId w:val="16"/>
        </w:numPr>
        <w:autoSpaceDN/>
        <w:spacing w:after="0"/>
        <w:jc w:val="both"/>
        <w:rPr>
          <w:rFonts w:cs="Arial"/>
        </w:rPr>
      </w:pPr>
      <w:r w:rsidRPr="7E32E97F">
        <w:rPr>
          <w:rFonts w:cs="Arial"/>
        </w:rPr>
        <w:t>4. PREDNOSTNA NALOGA: Trajnostna urbana mobilnost;</w:t>
      </w:r>
    </w:p>
    <w:p w14:paraId="3C8BA869" w14:textId="77777777" w:rsidR="007D0104" w:rsidRPr="0025033E" w:rsidRDefault="0C59AA56" w:rsidP="7E32E97F">
      <w:pPr>
        <w:numPr>
          <w:ilvl w:val="0"/>
          <w:numId w:val="16"/>
        </w:numPr>
        <w:autoSpaceDN/>
        <w:spacing w:after="0"/>
        <w:jc w:val="both"/>
        <w:rPr>
          <w:rFonts w:cs="Arial"/>
        </w:rPr>
      </w:pPr>
      <w:r w:rsidRPr="7E32E97F">
        <w:rPr>
          <w:rFonts w:cs="Arial"/>
        </w:rPr>
        <w:t>5. PREDNOSTNA NALOGA: Trajnostna (čez)regionalna mobilnost in povezljivost;</w:t>
      </w:r>
    </w:p>
    <w:p w14:paraId="54C89E48" w14:textId="77777777" w:rsidR="007D0104" w:rsidRPr="0025033E" w:rsidRDefault="0C59AA56" w:rsidP="7E32E97F">
      <w:pPr>
        <w:numPr>
          <w:ilvl w:val="0"/>
          <w:numId w:val="16"/>
        </w:numPr>
        <w:autoSpaceDN/>
        <w:spacing w:after="0"/>
        <w:jc w:val="both"/>
        <w:rPr>
          <w:rFonts w:cs="Arial"/>
        </w:rPr>
      </w:pPr>
      <w:r w:rsidRPr="7E32E97F">
        <w:rPr>
          <w:rFonts w:cs="Arial"/>
        </w:rPr>
        <w:t>6. PREDNOSTNA NALOGA: Znanja in spretnosti ter odzivni trg dela;</w:t>
      </w:r>
    </w:p>
    <w:p w14:paraId="2F6D1DB4" w14:textId="77777777" w:rsidR="007D0104" w:rsidRPr="0025033E" w:rsidRDefault="0C59AA56" w:rsidP="7E32E97F">
      <w:pPr>
        <w:numPr>
          <w:ilvl w:val="0"/>
          <w:numId w:val="16"/>
        </w:numPr>
        <w:autoSpaceDN/>
        <w:spacing w:after="0"/>
        <w:jc w:val="both"/>
        <w:rPr>
          <w:rFonts w:cs="Arial"/>
        </w:rPr>
      </w:pPr>
      <w:r w:rsidRPr="7E32E97F">
        <w:rPr>
          <w:rFonts w:cs="Arial"/>
        </w:rPr>
        <w:t>7. PREDNOSTNA NALOGA: Dolgotrajna oskrba in zdravje ter socialna vključenost;</w:t>
      </w:r>
    </w:p>
    <w:p w14:paraId="08194B4D" w14:textId="77777777" w:rsidR="007D0104" w:rsidRPr="0025033E" w:rsidRDefault="0C59AA56" w:rsidP="7E32E97F">
      <w:pPr>
        <w:numPr>
          <w:ilvl w:val="0"/>
          <w:numId w:val="16"/>
        </w:numPr>
        <w:autoSpaceDN/>
        <w:spacing w:after="0"/>
        <w:jc w:val="both"/>
        <w:rPr>
          <w:rFonts w:cs="Arial"/>
        </w:rPr>
      </w:pPr>
      <w:r w:rsidRPr="7E32E97F">
        <w:rPr>
          <w:rFonts w:cs="Arial"/>
        </w:rPr>
        <w:t>8. PREDNOSTNA NALOGA: Trajnostna turizem in kultura;</w:t>
      </w:r>
    </w:p>
    <w:p w14:paraId="4D6A7255" w14:textId="77777777" w:rsidR="007D0104" w:rsidRPr="0025033E" w:rsidRDefault="0C59AA56" w:rsidP="7E32E97F">
      <w:pPr>
        <w:numPr>
          <w:ilvl w:val="0"/>
          <w:numId w:val="16"/>
        </w:numPr>
        <w:autoSpaceDN/>
        <w:spacing w:after="0"/>
        <w:jc w:val="both"/>
        <w:rPr>
          <w:rFonts w:cs="Arial"/>
        </w:rPr>
      </w:pPr>
      <w:r w:rsidRPr="7E32E97F">
        <w:rPr>
          <w:rFonts w:cs="Arial"/>
        </w:rPr>
        <w:t>9. PREDNOSTNA NALOGA: Trajnostni razvoj lokalnih območij;</w:t>
      </w:r>
    </w:p>
    <w:p w14:paraId="07B10AE9" w14:textId="77777777" w:rsidR="007D0104" w:rsidRDefault="0C59AA56" w:rsidP="7E32E97F">
      <w:pPr>
        <w:numPr>
          <w:ilvl w:val="0"/>
          <w:numId w:val="16"/>
        </w:numPr>
        <w:autoSpaceDN/>
        <w:spacing w:after="0"/>
        <w:jc w:val="both"/>
        <w:rPr>
          <w:rFonts w:cs="Arial"/>
        </w:rPr>
      </w:pPr>
      <w:r w:rsidRPr="7E32E97F">
        <w:rPr>
          <w:rFonts w:cs="Arial"/>
        </w:rPr>
        <w:t>10. PREDNOSTNA NALOGA: Prestrukturiranje premogovnih regij;</w:t>
      </w:r>
    </w:p>
    <w:p w14:paraId="53B8245A" w14:textId="3EBE6A50" w:rsidR="00444550" w:rsidRPr="0025033E" w:rsidRDefault="00444550" w:rsidP="7E32E97F">
      <w:pPr>
        <w:numPr>
          <w:ilvl w:val="0"/>
          <w:numId w:val="16"/>
        </w:numPr>
        <w:autoSpaceDN/>
        <w:spacing w:after="0"/>
        <w:jc w:val="both"/>
        <w:rPr>
          <w:rFonts w:cs="Arial"/>
        </w:rPr>
      </w:pPr>
      <w:r>
        <w:rPr>
          <w:rFonts w:cs="Arial"/>
        </w:rPr>
        <w:t>11. PREDNOSTNA NALOGA: Razvoj strateških tehnologij za Evropo – STEP.</w:t>
      </w:r>
    </w:p>
    <w:p w14:paraId="3C7E1CC8" w14:textId="77777777" w:rsidR="009D252C" w:rsidRDefault="009D252C" w:rsidP="004F784B">
      <w:pPr>
        <w:spacing w:after="0"/>
        <w:jc w:val="both"/>
        <w:rPr>
          <w:rFonts w:cs="Arial"/>
        </w:rPr>
      </w:pPr>
    </w:p>
    <w:p w14:paraId="11764AB9" w14:textId="175D2655" w:rsidR="004F784B" w:rsidRPr="0025033E" w:rsidRDefault="7A90293A" w:rsidP="00ED5676">
      <w:pPr>
        <w:jc w:val="both"/>
        <w:rPr>
          <w:rFonts w:cs="Arial"/>
        </w:rPr>
        <w:sectPr w:rsidR="004F784B" w:rsidRPr="0025033E" w:rsidSect="00A169E8">
          <w:pgSz w:w="11906" w:h="16838" w:code="9"/>
          <w:pgMar w:top="1418" w:right="1418" w:bottom="1418" w:left="1418" w:header="709" w:footer="709" w:gutter="0"/>
          <w:cols w:space="708"/>
          <w:docGrid w:linePitch="272"/>
        </w:sectPr>
      </w:pPr>
      <w:r w:rsidRPr="7E32E97F">
        <w:rPr>
          <w:rFonts w:eastAsia="SimSun" w:cs="Arial"/>
        </w:rPr>
        <w:t xml:space="preserve">Do </w:t>
      </w:r>
      <w:r w:rsidRPr="007665A0">
        <w:rPr>
          <w:rFonts w:eastAsia="SimSun" w:cs="Arial"/>
        </w:rPr>
        <w:t>3</w:t>
      </w:r>
      <w:r w:rsidR="4F84C245" w:rsidRPr="007665A0">
        <w:rPr>
          <w:rFonts w:eastAsia="SimSun" w:cs="Arial"/>
        </w:rPr>
        <w:t>1</w:t>
      </w:r>
      <w:r w:rsidRPr="007665A0">
        <w:rPr>
          <w:rFonts w:eastAsia="SimSun" w:cs="Arial"/>
        </w:rPr>
        <w:t>.</w:t>
      </w:r>
      <w:r w:rsidR="255E05F1" w:rsidRPr="007665A0">
        <w:rPr>
          <w:rFonts w:eastAsia="SimSun" w:cs="Arial"/>
        </w:rPr>
        <w:t xml:space="preserve"> </w:t>
      </w:r>
      <w:r w:rsidR="4F84C245" w:rsidRPr="007665A0">
        <w:rPr>
          <w:rFonts w:eastAsia="SimSun" w:cs="Arial"/>
        </w:rPr>
        <w:t>12</w:t>
      </w:r>
      <w:r w:rsidRPr="007665A0">
        <w:rPr>
          <w:rFonts w:eastAsia="SimSun" w:cs="Arial"/>
        </w:rPr>
        <w:t>.</w:t>
      </w:r>
      <w:r w:rsidR="255E05F1" w:rsidRPr="007665A0">
        <w:rPr>
          <w:rFonts w:eastAsia="SimSun" w:cs="Arial"/>
        </w:rPr>
        <w:t xml:space="preserve"> </w:t>
      </w:r>
      <w:r w:rsidRPr="007665A0">
        <w:rPr>
          <w:rFonts w:eastAsia="SimSun" w:cs="Arial"/>
        </w:rPr>
        <w:t>2025</w:t>
      </w:r>
      <w:r w:rsidRPr="7E32E97F">
        <w:rPr>
          <w:rFonts w:eastAsia="SimSun" w:cs="Arial"/>
        </w:rPr>
        <w:t xml:space="preserve"> je bilo skupno </w:t>
      </w:r>
      <w:r w:rsidRPr="00181551">
        <w:rPr>
          <w:rFonts w:eastAsia="SimSun" w:cs="Arial"/>
        </w:rPr>
        <w:t xml:space="preserve">certificiranih </w:t>
      </w:r>
      <w:r w:rsidR="410860A3" w:rsidRPr="00181551">
        <w:rPr>
          <w:rFonts w:eastAsia="SimSun" w:cs="Arial"/>
        </w:rPr>
        <w:t>383.396.155</w:t>
      </w:r>
      <w:r w:rsidRPr="00181551">
        <w:rPr>
          <w:rFonts w:eastAsia="SimSun" w:cs="Arial"/>
        </w:rPr>
        <w:t xml:space="preserve"> EUR (EU</w:t>
      </w:r>
      <w:r w:rsidRPr="7E32E97F">
        <w:rPr>
          <w:rFonts w:eastAsia="SimSun" w:cs="Arial"/>
        </w:rPr>
        <w:t xml:space="preserve"> del) izdatkov, kar predstavlja</w:t>
      </w:r>
      <w:r w:rsidR="410860A3" w:rsidRPr="7E32E97F">
        <w:rPr>
          <w:rFonts w:eastAsia="SimSun" w:cs="Arial"/>
        </w:rPr>
        <w:t xml:space="preserve"> 12</w:t>
      </w:r>
      <w:r w:rsidRPr="7E32E97F">
        <w:rPr>
          <w:rFonts w:eastAsia="SimSun" w:cs="Arial"/>
        </w:rPr>
        <w:t xml:space="preserve"> % razpoložljivih sredstev.</w:t>
      </w:r>
    </w:p>
    <w:p w14:paraId="0AE437D9" w14:textId="2A9FAF71" w:rsidR="00A3593B" w:rsidRDefault="39C84C7E" w:rsidP="00A3593B">
      <w:pPr>
        <w:pStyle w:val="Napis"/>
        <w:keepNext/>
        <w:spacing w:after="0"/>
        <w:rPr>
          <w:rFonts w:cs="Arial"/>
          <w:b w:val="0"/>
          <w:bCs w:val="0"/>
        </w:rPr>
      </w:pPr>
      <w:bookmarkStart w:id="158" w:name="_Toc219986166"/>
      <w:r w:rsidRPr="7E32E97F">
        <w:rPr>
          <w:rFonts w:cs="Arial"/>
          <w:b w:val="0"/>
          <w:bCs w:val="0"/>
        </w:rPr>
        <w:lastRenderedPageBreak/>
        <w:t xml:space="preserve">Tabela </w:t>
      </w:r>
      <w:r w:rsidR="00E07066" w:rsidRPr="7E32E97F">
        <w:rPr>
          <w:rFonts w:cs="Arial"/>
          <w:b w:val="0"/>
          <w:bCs w:val="0"/>
        </w:rPr>
        <w:fldChar w:fldCharType="begin"/>
      </w:r>
      <w:r w:rsidR="00E07066" w:rsidRPr="7E32E97F">
        <w:rPr>
          <w:rFonts w:cs="Arial"/>
          <w:b w:val="0"/>
          <w:bCs w:val="0"/>
        </w:rPr>
        <w:instrText xml:space="preserve"> SEQ Tabela \* ARABIC </w:instrText>
      </w:r>
      <w:r w:rsidR="00E07066" w:rsidRPr="7E32E97F">
        <w:rPr>
          <w:rFonts w:cs="Arial"/>
          <w:b w:val="0"/>
          <w:bCs w:val="0"/>
        </w:rPr>
        <w:fldChar w:fldCharType="separate"/>
      </w:r>
      <w:r w:rsidR="51EE8C33" w:rsidRPr="7E32E97F">
        <w:rPr>
          <w:rFonts w:cs="Arial"/>
          <w:b w:val="0"/>
          <w:bCs w:val="0"/>
        </w:rPr>
        <w:t>2</w:t>
      </w:r>
      <w:r w:rsidR="00E07066" w:rsidRPr="7E32E97F">
        <w:rPr>
          <w:rFonts w:cs="Arial"/>
          <w:b w:val="0"/>
          <w:bCs w:val="0"/>
        </w:rPr>
        <w:fldChar w:fldCharType="end"/>
      </w:r>
      <w:r w:rsidRPr="7E32E97F">
        <w:rPr>
          <w:rFonts w:cs="Arial"/>
          <w:b w:val="0"/>
          <w:bCs w:val="0"/>
        </w:rPr>
        <w:t xml:space="preserve">: Stanje izvajanja Programa EKP 2021–2027 po prednostnih nalogah skupaj: obdobje od 1. 1. 2021 do </w:t>
      </w:r>
      <w:r w:rsidRPr="007665A0">
        <w:rPr>
          <w:rFonts w:cs="Arial"/>
          <w:b w:val="0"/>
          <w:bCs w:val="0"/>
        </w:rPr>
        <w:t>3</w:t>
      </w:r>
      <w:r w:rsidR="6DFBF4D1" w:rsidRPr="007665A0">
        <w:rPr>
          <w:rFonts w:cs="Arial"/>
          <w:b w:val="0"/>
          <w:bCs w:val="0"/>
        </w:rPr>
        <w:t>1</w:t>
      </w:r>
      <w:r w:rsidRPr="007665A0">
        <w:rPr>
          <w:rFonts w:cs="Arial"/>
          <w:b w:val="0"/>
          <w:bCs w:val="0"/>
        </w:rPr>
        <w:t xml:space="preserve">. </w:t>
      </w:r>
      <w:r w:rsidR="6DFBF4D1" w:rsidRPr="007665A0">
        <w:rPr>
          <w:rFonts w:cs="Arial"/>
          <w:b w:val="0"/>
          <w:bCs w:val="0"/>
        </w:rPr>
        <w:t>12</w:t>
      </w:r>
      <w:r w:rsidRPr="007665A0">
        <w:rPr>
          <w:rFonts w:cs="Arial"/>
          <w:b w:val="0"/>
          <w:bCs w:val="0"/>
        </w:rPr>
        <w:t>. 2025</w:t>
      </w:r>
      <w:bookmarkEnd w:id="158"/>
    </w:p>
    <w:p w14:paraId="18FEFCDA" w14:textId="77777777" w:rsidR="00C30005" w:rsidRDefault="00C30005" w:rsidP="00D733B3">
      <w:pPr>
        <w:spacing w:after="0"/>
      </w:pPr>
    </w:p>
    <w:tbl>
      <w:tblPr>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4"/>
        <w:gridCol w:w="1600"/>
        <w:gridCol w:w="1540"/>
        <w:gridCol w:w="860"/>
        <w:gridCol w:w="1500"/>
        <w:gridCol w:w="860"/>
        <w:gridCol w:w="1578"/>
        <w:gridCol w:w="842"/>
      </w:tblGrid>
      <w:tr w:rsidR="00052B97" w:rsidRPr="00C30005" w14:paraId="339E9A37" w14:textId="77777777" w:rsidTr="00181551">
        <w:trPr>
          <w:trHeight w:val="655"/>
        </w:trPr>
        <w:tc>
          <w:tcPr>
            <w:tcW w:w="5524" w:type="dxa"/>
            <w:vMerge w:val="restart"/>
            <w:shd w:val="clear" w:color="auto" w:fill="DDEBF7"/>
            <w:vAlign w:val="center"/>
            <w:hideMark/>
          </w:tcPr>
          <w:p w14:paraId="04088F05" w14:textId="77777777" w:rsidR="00052B97" w:rsidRPr="00C30005" w:rsidRDefault="00052B97" w:rsidP="7E32E97F">
            <w:pPr>
              <w:autoSpaceDN/>
              <w:spacing w:after="0" w:line="240" w:lineRule="auto"/>
              <w:jc w:val="center"/>
              <w:rPr>
                <w:rFonts w:cs="Arial"/>
                <w:b/>
                <w:bCs/>
                <w:color w:val="000000"/>
              </w:rPr>
            </w:pPr>
            <w:r w:rsidRPr="7E32E97F">
              <w:rPr>
                <w:rFonts w:cs="Arial"/>
                <w:b/>
                <w:bCs/>
                <w:color w:val="000000" w:themeColor="text1"/>
              </w:rPr>
              <w:t>Prednostna naloga</w:t>
            </w:r>
          </w:p>
        </w:tc>
        <w:tc>
          <w:tcPr>
            <w:tcW w:w="1600" w:type="dxa"/>
            <w:vMerge w:val="restart"/>
            <w:shd w:val="clear" w:color="auto" w:fill="DDEBF7"/>
            <w:vAlign w:val="center"/>
            <w:hideMark/>
          </w:tcPr>
          <w:p w14:paraId="57637700" w14:textId="0F25BCF4" w:rsidR="00052B97" w:rsidRPr="00C30005" w:rsidRDefault="00052B97" w:rsidP="7E32E97F">
            <w:pPr>
              <w:autoSpaceDN/>
              <w:spacing w:after="0" w:line="240" w:lineRule="auto"/>
              <w:jc w:val="center"/>
              <w:rPr>
                <w:rFonts w:cs="Arial"/>
                <w:b/>
                <w:bCs/>
                <w:color w:val="000000"/>
              </w:rPr>
            </w:pPr>
            <w:r w:rsidRPr="7E32E97F">
              <w:rPr>
                <w:rFonts w:cs="Arial"/>
                <w:b/>
                <w:bCs/>
                <w:color w:val="000000" w:themeColor="text1"/>
              </w:rPr>
              <w:t>Pravice porabe brez tehnične pomoči*</w:t>
            </w:r>
          </w:p>
        </w:tc>
        <w:tc>
          <w:tcPr>
            <w:tcW w:w="2400" w:type="dxa"/>
            <w:gridSpan w:val="2"/>
            <w:vMerge w:val="restart"/>
            <w:shd w:val="clear" w:color="auto" w:fill="DDEBF7"/>
            <w:noWrap/>
            <w:vAlign w:val="center"/>
          </w:tcPr>
          <w:p w14:paraId="1DD92015" w14:textId="44CDD420" w:rsidR="00052B97" w:rsidRPr="00C30005" w:rsidRDefault="00052B97" w:rsidP="7E32E97F">
            <w:pPr>
              <w:autoSpaceDN/>
              <w:spacing w:after="0" w:line="240" w:lineRule="auto"/>
              <w:jc w:val="center"/>
              <w:rPr>
                <w:rFonts w:cs="Arial"/>
                <w:color w:val="000000"/>
              </w:rPr>
            </w:pPr>
            <w:r w:rsidRPr="7E32E97F">
              <w:rPr>
                <w:rFonts w:cs="Arial"/>
                <w:b/>
                <w:bCs/>
                <w:color w:val="000000" w:themeColor="text1"/>
              </w:rPr>
              <w:t>Odločitve o podpori 31.12.2025**</w:t>
            </w:r>
          </w:p>
        </w:tc>
        <w:tc>
          <w:tcPr>
            <w:tcW w:w="2360" w:type="dxa"/>
            <w:gridSpan w:val="2"/>
            <w:vMerge w:val="restart"/>
            <w:shd w:val="clear" w:color="auto" w:fill="DDEBF7"/>
            <w:noWrap/>
            <w:vAlign w:val="center"/>
          </w:tcPr>
          <w:p w14:paraId="2DB07A61" w14:textId="52514B1A" w:rsidR="00052B97" w:rsidRPr="00C30005" w:rsidRDefault="00052B97" w:rsidP="7E32E97F">
            <w:pPr>
              <w:autoSpaceDN/>
              <w:spacing w:after="0" w:line="240" w:lineRule="auto"/>
              <w:jc w:val="center"/>
              <w:rPr>
                <w:rFonts w:cs="Arial"/>
                <w:color w:val="000000"/>
              </w:rPr>
            </w:pPr>
            <w:r w:rsidRPr="7E32E97F">
              <w:rPr>
                <w:rFonts w:cs="Arial"/>
                <w:b/>
                <w:bCs/>
                <w:color w:val="000000" w:themeColor="text1"/>
              </w:rPr>
              <w:t>Potrjene operacije 31.12.2025***</w:t>
            </w:r>
          </w:p>
        </w:tc>
        <w:tc>
          <w:tcPr>
            <w:tcW w:w="2420" w:type="dxa"/>
            <w:gridSpan w:val="2"/>
            <w:vMerge w:val="restart"/>
            <w:shd w:val="clear" w:color="auto" w:fill="DDEBF7"/>
            <w:noWrap/>
            <w:vAlign w:val="center"/>
          </w:tcPr>
          <w:p w14:paraId="0C485B4F" w14:textId="77777777" w:rsidR="00052B97" w:rsidRDefault="00052B97" w:rsidP="7E32E97F">
            <w:pPr>
              <w:autoSpaceDN/>
              <w:spacing w:after="0" w:line="240" w:lineRule="auto"/>
              <w:jc w:val="center"/>
              <w:rPr>
                <w:rFonts w:cs="Arial"/>
                <w:b/>
                <w:bCs/>
                <w:color w:val="000000"/>
              </w:rPr>
            </w:pPr>
            <w:r w:rsidRPr="7E32E97F">
              <w:rPr>
                <w:rFonts w:cs="Arial"/>
                <w:b/>
                <w:bCs/>
                <w:color w:val="000000" w:themeColor="text1"/>
              </w:rPr>
              <w:t xml:space="preserve">Izplačila iz DP </w:t>
            </w:r>
          </w:p>
          <w:p w14:paraId="6653B048" w14:textId="75104588" w:rsidR="00052B97" w:rsidRPr="00C30005" w:rsidRDefault="00052B97" w:rsidP="7E32E97F">
            <w:pPr>
              <w:autoSpaceDN/>
              <w:spacing w:after="0" w:line="240" w:lineRule="auto"/>
              <w:jc w:val="center"/>
              <w:rPr>
                <w:rFonts w:cs="Arial"/>
                <w:color w:val="000000"/>
              </w:rPr>
            </w:pPr>
            <w:r w:rsidRPr="7E32E97F">
              <w:rPr>
                <w:rFonts w:cs="Arial"/>
                <w:b/>
                <w:bCs/>
                <w:color w:val="000000" w:themeColor="text1"/>
              </w:rPr>
              <w:t>(vključno s FI) 31.12.2025****</w:t>
            </w:r>
          </w:p>
        </w:tc>
      </w:tr>
      <w:tr w:rsidR="00052B97" w:rsidRPr="00C30005" w14:paraId="62403054" w14:textId="77777777" w:rsidTr="00181551">
        <w:trPr>
          <w:trHeight w:val="300"/>
        </w:trPr>
        <w:tc>
          <w:tcPr>
            <w:tcW w:w="5524" w:type="dxa"/>
            <w:vMerge/>
            <w:vAlign w:val="center"/>
            <w:hideMark/>
          </w:tcPr>
          <w:p w14:paraId="323312F1" w14:textId="77777777" w:rsidR="00052B97" w:rsidRPr="00C30005" w:rsidRDefault="00052B97" w:rsidP="00C30005">
            <w:pPr>
              <w:autoSpaceDN/>
              <w:spacing w:after="0" w:line="240" w:lineRule="auto"/>
              <w:rPr>
                <w:rFonts w:cs="Arial"/>
                <w:b/>
                <w:bCs/>
                <w:color w:val="000000"/>
                <w:sz w:val="16"/>
                <w:szCs w:val="16"/>
              </w:rPr>
            </w:pPr>
          </w:p>
        </w:tc>
        <w:tc>
          <w:tcPr>
            <w:tcW w:w="1600" w:type="dxa"/>
            <w:vMerge/>
            <w:vAlign w:val="center"/>
            <w:hideMark/>
          </w:tcPr>
          <w:p w14:paraId="6C6A8103" w14:textId="77777777" w:rsidR="00052B97" w:rsidRPr="00C30005" w:rsidRDefault="00052B97" w:rsidP="00C30005">
            <w:pPr>
              <w:autoSpaceDN/>
              <w:spacing w:after="0" w:line="240" w:lineRule="auto"/>
              <w:rPr>
                <w:rFonts w:cs="Arial"/>
                <w:b/>
                <w:bCs/>
                <w:color w:val="000000"/>
                <w:sz w:val="16"/>
                <w:szCs w:val="16"/>
              </w:rPr>
            </w:pPr>
          </w:p>
        </w:tc>
        <w:tc>
          <w:tcPr>
            <w:tcW w:w="2400" w:type="dxa"/>
            <w:gridSpan w:val="2"/>
            <w:vMerge/>
            <w:vAlign w:val="center"/>
            <w:hideMark/>
          </w:tcPr>
          <w:p w14:paraId="4CE44BA5" w14:textId="77777777" w:rsidR="00052B97" w:rsidRPr="00C30005" w:rsidRDefault="00052B97" w:rsidP="00C30005">
            <w:pPr>
              <w:autoSpaceDN/>
              <w:spacing w:after="0" w:line="240" w:lineRule="auto"/>
              <w:rPr>
                <w:rFonts w:cs="Arial"/>
                <w:b/>
                <w:bCs/>
                <w:color w:val="000000"/>
                <w:sz w:val="16"/>
                <w:szCs w:val="16"/>
              </w:rPr>
            </w:pPr>
          </w:p>
        </w:tc>
        <w:tc>
          <w:tcPr>
            <w:tcW w:w="2360" w:type="dxa"/>
            <w:gridSpan w:val="2"/>
            <w:vMerge/>
            <w:vAlign w:val="center"/>
            <w:hideMark/>
          </w:tcPr>
          <w:p w14:paraId="6D36E702" w14:textId="77777777" w:rsidR="00052B97" w:rsidRPr="00C30005" w:rsidRDefault="00052B97" w:rsidP="00C30005">
            <w:pPr>
              <w:autoSpaceDN/>
              <w:spacing w:after="0" w:line="240" w:lineRule="auto"/>
              <w:rPr>
                <w:rFonts w:cs="Arial"/>
                <w:b/>
                <w:bCs/>
                <w:color w:val="000000"/>
                <w:sz w:val="16"/>
                <w:szCs w:val="16"/>
              </w:rPr>
            </w:pPr>
          </w:p>
        </w:tc>
        <w:tc>
          <w:tcPr>
            <w:tcW w:w="2420" w:type="dxa"/>
            <w:gridSpan w:val="2"/>
            <w:vMerge/>
            <w:vAlign w:val="center"/>
            <w:hideMark/>
          </w:tcPr>
          <w:p w14:paraId="6E493168" w14:textId="77777777" w:rsidR="00052B97" w:rsidRPr="00C30005" w:rsidRDefault="00052B97" w:rsidP="00C30005">
            <w:pPr>
              <w:autoSpaceDN/>
              <w:spacing w:after="0" w:line="240" w:lineRule="auto"/>
              <w:rPr>
                <w:rFonts w:cs="Arial"/>
                <w:b/>
                <w:bCs/>
                <w:color w:val="000000"/>
                <w:sz w:val="16"/>
                <w:szCs w:val="16"/>
              </w:rPr>
            </w:pPr>
          </w:p>
        </w:tc>
      </w:tr>
      <w:tr w:rsidR="00052B97" w:rsidRPr="00C30005" w14:paraId="3330C41D" w14:textId="77777777" w:rsidTr="00181551">
        <w:trPr>
          <w:trHeight w:val="300"/>
        </w:trPr>
        <w:tc>
          <w:tcPr>
            <w:tcW w:w="5524" w:type="dxa"/>
            <w:vMerge/>
            <w:vAlign w:val="center"/>
            <w:hideMark/>
          </w:tcPr>
          <w:p w14:paraId="538AE17A" w14:textId="77777777" w:rsidR="00052B97" w:rsidRPr="00C30005" w:rsidRDefault="00052B97" w:rsidP="00C30005">
            <w:pPr>
              <w:autoSpaceDN/>
              <w:spacing w:after="0" w:line="240" w:lineRule="auto"/>
              <w:rPr>
                <w:rFonts w:cs="Arial"/>
                <w:b/>
                <w:bCs/>
                <w:color w:val="000000"/>
                <w:sz w:val="16"/>
                <w:szCs w:val="16"/>
              </w:rPr>
            </w:pPr>
          </w:p>
        </w:tc>
        <w:tc>
          <w:tcPr>
            <w:tcW w:w="1600" w:type="dxa"/>
            <w:vMerge w:val="restart"/>
            <w:shd w:val="clear" w:color="auto" w:fill="DDEBF7"/>
            <w:vAlign w:val="center"/>
            <w:hideMark/>
          </w:tcPr>
          <w:p w14:paraId="11F8F2CB"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EU del (EUR)</w:t>
            </w:r>
          </w:p>
        </w:tc>
        <w:tc>
          <w:tcPr>
            <w:tcW w:w="1540" w:type="dxa"/>
            <w:vMerge w:val="restart"/>
            <w:shd w:val="clear" w:color="auto" w:fill="DDEBF7"/>
            <w:vAlign w:val="center"/>
            <w:hideMark/>
          </w:tcPr>
          <w:p w14:paraId="168717B0"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EU del (EUR)</w:t>
            </w:r>
          </w:p>
        </w:tc>
        <w:tc>
          <w:tcPr>
            <w:tcW w:w="860" w:type="dxa"/>
            <w:shd w:val="clear" w:color="auto" w:fill="DDEBF7"/>
            <w:vAlign w:val="center"/>
            <w:hideMark/>
          </w:tcPr>
          <w:p w14:paraId="57A4686B"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 EU del</w:t>
            </w:r>
          </w:p>
        </w:tc>
        <w:tc>
          <w:tcPr>
            <w:tcW w:w="1500" w:type="dxa"/>
            <w:vMerge w:val="restart"/>
            <w:shd w:val="clear" w:color="auto" w:fill="DDEBF7"/>
            <w:vAlign w:val="center"/>
            <w:hideMark/>
          </w:tcPr>
          <w:p w14:paraId="5946B486"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EU del (EUR)</w:t>
            </w:r>
          </w:p>
        </w:tc>
        <w:tc>
          <w:tcPr>
            <w:tcW w:w="860" w:type="dxa"/>
            <w:shd w:val="clear" w:color="auto" w:fill="DDEBF7"/>
            <w:vAlign w:val="center"/>
            <w:hideMark/>
          </w:tcPr>
          <w:p w14:paraId="088868DA"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 EU del</w:t>
            </w:r>
          </w:p>
        </w:tc>
        <w:tc>
          <w:tcPr>
            <w:tcW w:w="1578" w:type="dxa"/>
            <w:vMerge w:val="restart"/>
            <w:shd w:val="clear" w:color="auto" w:fill="DDEBF7"/>
            <w:vAlign w:val="center"/>
            <w:hideMark/>
          </w:tcPr>
          <w:p w14:paraId="742B2372"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EU del (EUR)</w:t>
            </w:r>
          </w:p>
        </w:tc>
        <w:tc>
          <w:tcPr>
            <w:tcW w:w="842" w:type="dxa"/>
            <w:shd w:val="clear" w:color="auto" w:fill="DDEBF7"/>
            <w:vAlign w:val="center"/>
            <w:hideMark/>
          </w:tcPr>
          <w:p w14:paraId="35FBCBB8"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 EU del</w:t>
            </w:r>
          </w:p>
        </w:tc>
      </w:tr>
      <w:tr w:rsidR="00052B97" w:rsidRPr="00C30005" w14:paraId="44C7A931" w14:textId="77777777" w:rsidTr="00181551">
        <w:trPr>
          <w:trHeight w:val="300"/>
        </w:trPr>
        <w:tc>
          <w:tcPr>
            <w:tcW w:w="5524" w:type="dxa"/>
            <w:vMerge/>
            <w:vAlign w:val="center"/>
            <w:hideMark/>
          </w:tcPr>
          <w:p w14:paraId="70E05224" w14:textId="77777777" w:rsidR="00052B97" w:rsidRPr="00C30005" w:rsidRDefault="00052B97" w:rsidP="00C30005">
            <w:pPr>
              <w:autoSpaceDN/>
              <w:spacing w:after="0" w:line="240" w:lineRule="auto"/>
              <w:rPr>
                <w:rFonts w:cs="Arial"/>
                <w:b/>
                <w:bCs/>
                <w:color w:val="000000"/>
                <w:sz w:val="16"/>
                <w:szCs w:val="16"/>
              </w:rPr>
            </w:pPr>
          </w:p>
        </w:tc>
        <w:tc>
          <w:tcPr>
            <w:tcW w:w="1600" w:type="dxa"/>
            <w:vMerge/>
            <w:vAlign w:val="center"/>
            <w:hideMark/>
          </w:tcPr>
          <w:p w14:paraId="68BC2576" w14:textId="77777777" w:rsidR="00052B97" w:rsidRPr="00C30005" w:rsidRDefault="00052B97" w:rsidP="00C30005">
            <w:pPr>
              <w:autoSpaceDN/>
              <w:spacing w:after="0" w:line="240" w:lineRule="auto"/>
              <w:rPr>
                <w:rFonts w:cs="Arial"/>
                <w:b/>
                <w:bCs/>
                <w:color w:val="000000"/>
                <w:sz w:val="16"/>
                <w:szCs w:val="16"/>
              </w:rPr>
            </w:pPr>
          </w:p>
        </w:tc>
        <w:tc>
          <w:tcPr>
            <w:tcW w:w="1540" w:type="dxa"/>
            <w:vMerge/>
            <w:vAlign w:val="center"/>
            <w:hideMark/>
          </w:tcPr>
          <w:p w14:paraId="14F61FC6" w14:textId="77777777" w:rsidR="00052B97" w:rsidRPr="00C30005" w:rsidRDefault="00052B97" w:rsidP="00C30005">
            <w:pPr>
              <w:autoSpaceDN/>
              <w:spacing w:after="0" w:line="240" w:lineRule="auto"/>
              <w:rPr>
                <w:rFonts w:cs="Arial"/>
                <w:b/>
                <w:bCs/>
                <w:color w:val="000000"/>
                <w:sz w:val="16"/>
                <w:szCs w:val="16"/>
              </w:rPr>
            </w:pPr>
          </w:p>
        </w:tc>
        <w:tc>
          <w:tcPr>
            <w:tcW w:w="860" w:type="dxa"/>
            <w:shd w:val="clear" w:color="auto" w:fill="DDEBF7"/>
            <w:vAlign w:val="center"/>
            <w:hideMark/>
          </w:tcPr>
          <w:p w14:paraId="412DA4BA"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3/2*100</w:t>
            </w:r>
          </w:p>
        </w:tc>
        <w:tc>
          <w:tcPr>
            <w:tcW w:w="1500" w:type="dxa"/>
            <w:vMerge/>
            <w:vAlign w:val="center"/>
            <w:hideMark/>
          </w:tcPr>
          <w:p w14:paraId="0F155D73" w14:textId="77777777" w:rsidR="00052B97" w:rsidRPr="00C30005" w:rsidRDefault="00052B97" w:rsidP="00C30005">
            <w:pPr>
              <w:autoSpaceDN/>
              <w:spacing w:after="0" w:line="240" w:lineRule="auto"/>
              <w:rPr>
                <w:rFonts w:cs="Arial"/>
                <w:b/>
                <w:bCs/>
                <w:color w:val="000000"/>
                <w:sz w:val="16"/>
                <w:szCs w:val="16"/>
              </w:rPr>
            </w:pPr>
          </w:p>
        </w:tc>
        <w:tc>
          <w:tcPr>
            <w:tcW w:w="860" w:type="dxa"/>
            <w:shd w:val="clear" w:color="auto" w:fill="DDEBF7"/>
            <w:vAlign w:val="center"/>
            <w:hideMark/>
          </w:tcPr>
          <w:p w14:paraId="41AEAB24"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5/2*100</w:t>
            </w:r>
          </w:p>
        </w:tc>
        <w:tc>
          <w:tcPr>
            <w:tcW w:w="1578" w:type="dxa"/>
            <w:vMerge/>
            <w:vAlign w:val="center"/>
            <w:hideMark/>
          </w:tcPr>
          <w:p w14:paraId="64E85DEA" w14:textId="77777777" w:rsidR="00052B97" w:rsidRPr="00C30005" w:rsidRDefault="00052B97" w:rsidP="00C30005">
            <w:pPr>
              <w:autoSpaceDN/>
              <w:spacing w:after="0" w:line="240" w:lineRule="auto"/>
              <w:rPr>
                <w:rFonts w:cs="Arial"/>
                <w:b/>
                <w:bCs/>
                <w:color w:val="000000"/>
                <w:sz w:val="16"/>
                <w:szCs w:val="16"/>
              </w:rPr>
            </w:pPr>
          </w:p>
        </w:tc>
        <w:tc>
          <w:tcPr>
            <w:tcW w:w="842" w:type="dxa"/>
            <w:shd w:val="clear" w:color="auto" w:fill="DDEBF7"/>
            <w:vAlign w:val="center"/>
            <w:hideMark/>
          </w:tcPr>
          <w:p w14:paraId="4167D20B" w14:textId="77777777" w:rsidR="00052B97" w:rsidRPr="00C30005" w:rsidRDefault="00052B97" w:rsidP="00C30005">
            <w:pPr>
              <w:autoSpaceDN/>
              <w:spacing w:after="0" w:line="240" w:lineRule="auto"/>
              <w:jc w:val="center"/>
              <w:rPr>
                <w:rFonts w:cs="Arial"/>
                <w:b/>
                <w:bCs/>
                <w:color w:val="000000"/>
                <w:sz w:val="16"/>
                <w:szCs w:val="16"/>
              </w:rPr>
            </w:pPr>
            <w:r w:rsidRPr="7E32E97F">
              <w:rPr>
                <w:rFonts w:cs="Arial"/>
                <w:b/>
                <w:bCs/>
                <w:color w:val="000000" w:themeColor="text1"/>
                <w:sz w:val="16"/>
                <w:szCs w:val="16"/>
              </w:rPr>
              <w:t>7/2*100</w:t>
            </w:r>
          </w:p>
        </w:tc>
      </w:tr>
      <w:tr w:rsidR="00052B97" w:rsidRPr="00C30005" w14:paraId="7E79D987" w14:textId="77777777" w:rsidTr="00181551">
        <w:trPr>
          <w:trHeight w:val="240"/>
        </w:trPr>
        <w:tc>
          <w:tcPr>
            <w:tcW w:w="5524" w:type="dxa"/>
            <w:shd w:val="clear" w:color="auto" w:fill="DDEBF7"/>
            <w:vAlign w:val="center"/>
            <w:hideMark/>
          </w:tcPr>
          <w:p w14:paraId="3AB2888E"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1</w:t>
            </w:r>
          </w:p>
        </w:tc>
        <w:tc>
          <w:tcPr>
            <w:tcW w:w="1600" w:type="dxa"/>
            <w:shd w:val="clear" w:color="auto" w:fill="DDEBF7"/>
            <w:vAlign w:val="center"/>
            <w:hideMark/>
          </w:tcPr>
          <w:p w14:paraId="6E2D7B90"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2</w:t>
            </w:r>
          </w:p>
        </w:tc>
        <w:tc>
          <w:tcPr>
            <w:tcW w:w="1540" w:type="dxa"/>
            <w:shd w:val="clear" w:color="auto" w:fill="DDEBF7"/>
            <w:vAlign w:val="center"/>
            <w:hideMark/>
          </w:tcPr>
          <w:p w14:paraId="61EA2431"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3</w:t>
            </w:r>
          </w:p>
        </w:tc>
        <w:tc>
          <w:tcPr>
            <w:tcW w:w="860" w:type="dxa"/>
            <w:shd w:val="clear" w:color="auto" w:fill="DDEBF7"/>
            <w:vAlign w:val="center"/>
            <w:hideMark/>
          </w:tcPr>
          <w:p w14:paraId="6E7B66C1"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4</w:t>
            </w:r>
          </w:p>
        </w:tc>
        <w:tc>
          <w:tcPr>
            <w:tcW w:w="1500" w:type="dxa"/>
            <w:shd w:val="clear" w:color="auto" w:fill="DDEBF7"/>
            <w:vAlign w:val="center"/>
            <w:hideMark/>
          </w:tcPr>
          <w:p w14:paraId="0F21FD17"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5</w:t>
            </w:r>
          </w:p>
        </w:tc>
        <w:tc>
          <w:tcPr>
            <w:tcW w:w="860" w:type="dxa"/>
            <w:shd w:val="clear" w:color="auto" w:fill="DDEBF7"/>
            <w:vAlign w:val="center"/>
            <w:hideMark/>
          </w:tcPr>
          <w:p w14:paraId="25F72251"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6</w:t>
            </w:r>
          </w:p>
        </w:tc>
        <w:tc>
          <w:tcPr>
            <w:tcW w:w="1578" w:type="dxa"/>
            <w:shd w:val="clear" w:color="auto" w:fill="DDEBF7"/>
            <w:vAlign w:val="center"/>
            <w:hideMark/>
          </w:tcPr>
          <w:p w14:paraId="14EC316E"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7</w:t>
            </w:r>
          </w:p>
        </w:tc>
        <w:tc>
          <w:tcPr>
            <w:tcW w:w="842" w:type="dxa"/>
            <w:shd w:val="clear" w:color="auto" w:fill="DDEBF7"/>
            <w:vAlign w:val="center"/>
            <w:hideMark/>
          </w:tcPr>
          <w:p w14:paraId="4430FEAF" w14:textId="77777777" w:rsidR="00052B97" w:rsidRPr="00C30005" w:rsidRDefault="00052B97" w:rsidP="00C30005">
            <w:pPr>
              <w:autoSpaceDN/>
              <w:spacing w:after="0" w:line="240" w:lineRule="auto"/>
              <w:jc w:val="center"/>
              <w:rPr>
                <w:rFonts w:cs="Arial"/>
                <w:b/>
                <w:bCs/>
                <w:color w:val="000000"/>
                <w:sz w:val="12"/>
                <w:szCs w:val="12"/>
              </w:rPr>
            </w:pPr>
            <w:r w:rsidRPr="7E32E97F">
              <w:rPr>
                <w:rFonts w:cs="Arial"/>
                <w:b/>
                <w:bCs/>
                <w:color w:val="000000" w:themeColor="text1"/>
                <w:sz w:val="12"/>
                <w:szCs w:val="12"/>
              </w:rPr>
              <w:t>8</w:t>
            </w:r>
          </w:p>
        </w:tc>
      </w:tr>
      <w:tr w:rsidR="00052B97" w:rsidRPr="00C30005" w14:paraId="5144BB90" w14:textId="77777777" w:rsidTr="00181551">
        <w:trPr>
          <w:trHeight w:val="300"/>
        </w:trPr>
        <w:tc>
          <w:tcPr>
            <w:tcW w:w="5524" w:type="dxa"/>
            <w:noWrap/>
            <w:vAlign w:val="bottom"/>
            <w:hideMark/>
          </w:tcPr>
          <w:p w14:paraId="239B0FD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1 - Inovacijska družba znanja</w:t>
            </w:r>
          </w:p>
        </w:tc>
        <w:tc>
          <w:tcPr>
            <w:tcW w:w="1600" w:type="dxa"/>
            <w:noWrap/>
            <w:vAlign w:val="bottom"/>
            <w:hideMark/>
          </w:tcPr>
          <w:p w14:paraId="0EBCB35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627.511.071</w:t>
            </w:r>
          </w:p>
        </w:tc>
        <w:tc>
          <w:tcPr>
            <w:tcW w:w="1540" w:type="dxa"/>
            <w:noWrap/>
            <w:vAlign w:val="bottom"/>
            <w:hideMark/>
          </w:tcPr>
          <w:p w14:paraId="78397FA0"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386.343.032</w:t>
            </w:r>
          </w:p>
        </w:tc>
        <w:tc>
          <w:tcPr>
            <w:tcW w:w="860" w:type="dxa"/>
            <w:noWrap/>
            <w:vAlign w:val="bottom"/>
            <w:hideMark/>
          </w:tcPr>
          <w:p w14:paraId="50E2079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62%</w:t>
            </w:r>
          </w:p>
        </w:tc>
        <w:tc>
          <w:tcPr>
            <w:tcW w:w="1500" w:type="dxa"/>
            <w:noWrap/>
            <w:vAlign w:val="bottom"/>
            <w:hideMark/>
          </w:tcPr>
          <w:p w14:paraId="0A4A56C5"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234.866.277</w:t>
            </w:r>
          </w:p>
        </w:tc>
        <w:tc>
          <w:tcPr>
            <w:tcW w:w="860" w:type="dxa"/>
            <w:noWrap/>
            <w:vAlign w:val="bottom"/>
            <w:hideMark/>
          </w:tcPr>
          <w:p w14:paraId="60EF836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37%</w:t>
            </w:r>
          </w:p>
        </w:tc>
        <w:tc>
          <w:tcPr>
            <w:tcW w:w="1578" w:type="dxa"/>
            <w:noWrap/>
            <w:vAlign w:val="bottom"/>
            <w:hideMark/>
          </w:tcPr>
          <w:p w14:paraId="5F90FD5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70.492.214</w:t>
            </w:r>
          </w:p>
        </w:tc>
        <w:tc>
          <w:tcPr>
            <w:tcW w:w="842" w:type="dxa"/>
            <w:noWrap/>
            <w:vAlign w:val="bottom"/>
            <w:hideMark/>
          </w:tcPr>
          <w:p w14:paraId="5853637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11%</w:t>
            </w:r>
          </w:p>
        </w:tc>
      </w:tr>
      <w:tr w:rsidR="00052B97" w:rsidRPr="00C30005" w14:paraId="20D25C99" w14:textId="77777777" w:rsidTr="00181551">
        <w:trPr>
          <w:trHeight w:val="300"/>
        </w:trPr>
        <w:tc>
          <w:tcPr>
            <w:tcW w:w="5524" w:type="dxa"/>
            <w:noWrap/>
            <w:vAlign w:val="bottom"/>
            <w:hideMark/>
          </w:tcPr>
          <w:p w14:paraId="54DC5DC0"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2 - Digitalna povezljivost</w:t>
            </w:r>
          </w:p>
        </w:tc>
        <w:tc>
          <w:tcPr>
            <w:tcW w:w="1600" w:type="dxa"/>
            <w:noWrap/>
            <w:vAlign w:val="bottom"/>
            <w:hideMark/>
          </w:tcPr>
          <w:p w14:paraId="250571C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19.662.744</w:t>
            </w:r>
          </w:p>
        </w:tc>
        <w:tc>
          <w:tcPr>
            <w:tcW w:w="1540" w:type="dxa"/>
            <w:noWrap/>
            <w:vAlign w:val="bottom"/>
            <w:hideMark/>
          </w:tcPr>
          <w:p w14:paraId="5CEBCA9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60" w:type="dxa"/>
            <w:noWrap/>
            <w:vAlign w:val="bottom"/>
            <w:hideMark/>
          </w:tcPr>
          <w:p w14:paraId="5CC906F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1500" w:type="dxa"/>
            <w:noWrap/>
            <w:vAlign w:val="bottom"/>
            <w:hideMark/>
          </w:tcPr>
          <w:p w14:paraId="271DC77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60" w:type="dxa"/>
            <w:noWrap/>
            <w:vAlign w:val="bottom"/>
            <w:hideMark/>
          </w:tcPr>
          <w:p w14:paraId="3C7AED5D"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1578" w:type="dxa"/>
            <w:noWrap/>
            <w:vAlign w:val="bottom"/>
            <w:hideMark/>
          </w:tcPr>
          <w:p w14:paraId="52F0D24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42" w:type="dxa"/>
            <w:noWrap/>
            <w:vAlign w:val="bottom"/>
            <w:hideMark/>
          </w:tcPr>
          <w:p w14:paraId="7BC041FD"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r>
      <w:tr w:rsidR="00052B97" w:rsidRPr="00C30005" w14:paraId="5E8126E5" w14:textId="77777777" w:rsidTr="00181551">
        <w:trPr>
          <w:trHeight w:val="300"/>
        </w:trPr>
        <w:tc>
          <w:tcPr>
            <w:tcW w:w="5524" w:type="dxa"/>
            <w:noWrap/>
            <w:vAlign w:val="bottom"/>
            <w:hideMark/>
          </w:tcPr>
          <w:p w14:paraId="41372CC1"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3 - Zelena preobrazba za podnebno nevtralnost</w:t>
            </w:r>
          </w:p>
        </w:tc>
        <w:tc>
          <w:tcPr>
            <w:tcW w:w="1600" w:type="dxa"/>
            <w:noWrap/>
            <w:vAlign w:val="bottom"/>
            <w:hideMark/>
          </w:tcPr>
          <w:p w14:paraId="7CBCB36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728.807.182</w:t>
            </w:r>
          </w:p>
        </w:tc>
        <w:tc>
          <w:tcPr>
            <w:tcW w:w="1540" w:type="dxa"/>
            <w:noWrap/>
            <w:vAlign w:val="bottom"/>
            <w:hideMark/>
          </w:tcPr>
          <w:p w14:paraId="6E3BD866"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402.405.634</w:t>
            </w:r>
          </w:p>
        </w:tc>
        <w:tc>
          <w:tcPr>
            <w:tcW w:w="860" w:type="dxa"/>
            <w:noWrap/>
            <w:vAlign w:val="bottom"/>
            <w:hideMark/>
          </w:tcPr>
          <w:p w14:paraId="08E9BAA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55%</w:t>
            </w:r>
          </w:p>
        </w:tc>
        <w:tc>
          <w:tcPr>
            <w:tcW w:w="1500" w:type="dxa"/>
            <w:noWrap/>
            <w:vAlign w:val="bottom"/>
            <w:hideMark/>
          </w:tcPr>
          <w:p w14:paraId="09AADE1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237.137.181</w:t>
            </w:r>
          </w:p>
        </w:tc>
        <w:tc>
          <w:tcPr>
            <w:tcW w:w="860" w:type="dxa"/>
            <w:noWrap/>
            <w:vAlign w:val="bottom"/>
            <w:hideMark/>
          </w:tcPr>
          <w:p w14:paraId="7B177D2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33%</w:t>
            </w:r>
          </w:p>
        </w:tc>
        <w:tc>
          <w:tcPr>
            <w:tcW w:w="1578" w:type="dxa"/>
            <w:noWrap/>
            <w:vAlign w:val="bottom"/>
            <w:hideMark/>
          </w:tcPr>
          <w:p w14:paraId="4F2A69F0"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52.147.272</w:t>
            </w:r>
          </w:p>
        </w:tc>
        <w:tc>
          <w:tcPr>
            <w:tcW w:w="842" w:type="dxa"/>
            <w:noWrap/>
            <w:vAlign w:val="bottom"/>
            <w:hideMark/>
          </w:tcPr>
          <w:p w14:paraId="292EEB6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w:t>
            </w:r>
          </w:p>
        </w:tc>
      </w:tr>
      <w:tr w:rsidR="00052B97" w:rsidRPr="00C30005" w14:paraId="19DE3BC9" w14:textId="77777777" w:rsidTr="00181551">
        <w:trPr>
          <w:trHeight w:val="300"/>
        </w:trPr>
        <w:tc>
          <w:tcPr>
            <w:tcW w:w="5524" w:type="dxa"/>
            <w:noWrap/>
            <w:vAlign w:val="bottom"/>
            <w:hideMark/>
          </w:tcPr>
          <w:p w14:paraId="1BBE04F2"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4 - Trajnostna urbana mobilnost</w:t>
            </w:r>
          </w:p>
        </w:tc>
        <w:tc>
          <w:tcPr>
            <w:tcW w:w="1600" w:type="dxa"/>
            <w:noWrap/>
            <w:vAlign w:val="bottom"/>
            <w:hideMark/>
          </w:tcPr>
          <w:p w14:paraId="63D0850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53.917.253</w:t>
            </w:r>
          </w:p>
        </w:tc>
        <w:tc>
          <w:tcPr>
            <w:tcW w:w="1540" w:type="dxa"/>
            <w:noWrap/>
            <w:vAlign w:val="bottom"/>
            <w:hideMark/>
          </w:tcPr>
          <w:p w14:paraId="518BC0C5"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21.426.294</w:t>
            </w:r>
          </w:p>
        </w:tc>
        <w:tc>
          <w:tcPr>
            <w:tcW w:w="860" w:type="dxa"/>
            <w:noWrap/>
            <w:vAlign w:val="bottom"/>
            <w:hideMark/>
          </w:tcPr>
          <w:p w14:paraId="796F28F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40%</w:t>
            </w:r>
          </w:p>
        </w:tc>
        <w:tc>
          <w:tcPr>
            <w:tcW w:w="1500" w:type="dxa"/>
            <w:noWrap/>
            <w:vAlign w:val="bottom"/>
            <w:hideMark/>
          </w:tcPr>
          <w:p w14:paraId="388499E6"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17.926.294</w:t>
            </w:r>
          </w:p>
        </w:tc>
        <w:tc>
          <w:tcPr>
            <w:tcW w:w="860" w:type="dxa"/>
            <w:noWrap/>
            <w:vAlign w:val="bottom"/>
            <w:hideMark/>
          </w:tcPr>
          <w:p w14:paraId="5210EFA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33%</w:t>
            </w:r>
          </w:p>
        </w:tc>
        <w:tc>
          <w:tcPr>
            <w:tcW w:w="1578" w:type="dxa"/>
            <w:noWrap/>
            <w:vAlign w:val="bottom"/>
            <w:hideMark/>
          </w:tcPr>
          <w:p w14:paraId="6EC7F25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5.711.946</w:t>
            </w:r>
          </w:p>
        </w:tc>
        <w:tc>
          <w:tcPr>
            <w:tcW w:w="842" w:type="dxa"/>
            <w:noWrap/>
            <w:vAlign w:val="bottom"/>
            <w:hideMark/>
          </w:tcPr>
          <w:p w14:paraId="07A84D9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11%</w:t>
            </w:r>
          </w:p>
        </w:tc>
      </w:tr>
      <w:tr w:rsidR="00052B97" w:rsidRPr="00C30005" w14:paraId="3215506C" w14:textId="77777777" w:rsidTr="00181551">
        <w:trPr>
          <w:trHeight w:val="300"/>
        </w:trPr>
        <w:tc>
          <w:tcPr>
            <w:tcW w:w="5524" w:type="dxa"/>
            <w:noWrap/>
            <w:vAlign w:val="bottom"/>
            <w:hideMark/>
          </w:tcPr>
          <w:p w14:paraId="7DA83EC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5 - Trajnostna (čez)regionalna mobilnost in povezljivost</w:t>
            </w:r>
          </w:p>
        </w:tc>
        <w:tc>
          <w:tcPr>
            <w:tcW w:w="1600" w:type="dxa"/>
            <w:noWrap/>
            <w:vAlign w:val="bottom"/>
            <w:hideMark/>
          </w:tcPr>
          <w:p w14:paraId="3A7DFB7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501.341.161</w:t>
            </w:r>
          </w:p>
        </w:tc>
        <w:tc>
          <w:tcPr>
            <w:tcW w:w="1540" w:type="dxa"/>
            <w:noWrap/>
            <w:vAlign w:val="bottom"/>
            <w:hideMark/>
          </w:tcPr>
          <w:p w14:paraId="0E24D8A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369.897.841</w:t>
            </w:r>
          </w:p>
        </w:tc>
        <w:tc>
          <w:tcPr>
            <w:tcW w:w="860" w:type="dxa"/>
            <w:noWrap/>
            <w:vAlign w:val="bottom"/>
            <w:hideMark/>
          </w:tcPr>
          <w:p w14:paraId="36993386"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74%</w:t>
            </w:r>
          </w:p>
        </w:tc>
        <w:tc>
          <w:tcPr>
            <w:tcW w:w="1500" w:type="dxa"/>
            <w:noWrap/>
            <w:vAlign w:val="bottom"/>
            <w:hideMark/>
          </w:tcPr>
          <w:p w14:paraId="2E5A6AE1"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293.282.825</w:t>
            </w:r>
          </w:p>
        </w:tc>
        <w:tc>
          <w:tcPr>
            <w:tcW w:w="860" w:type="dxa"/>
            <w:noWrap/>
            <w:vAlign w:val="bottom"/>
            <w:hideMark/>
          </w:tcPr>
          <w:p w14:paraId="5DC3135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58%</w:t>
            </w:r>
          </w:p>
        </w:tc>
        <w:tc>
          <w:tcPr>
            <w:tcW w:w="1578" w:type="dxa"/>
            <w:noWrap/>
            <w:vAlign w:val="bottom"/>
            <w:hideMark/>
          </w:tcPr>
          <w:p w14:paraId="1FCA46D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114.744.189</w:t>
            </w:r>
          </w:p>
        </w:tc>
        <w:tc>
          <w:tcPr>
            <w:tcW w:w="842" w:type="dxa"/>
            <w:noWrap/>
            <w:vAlign w:val="bottom"/>
            <w:hideMark/>
          </w:tcPr>
          <w:p w14:paraId="2E0BF26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23%</w:t>
            </w:r>
          </w:p>
        </w:tc>
      </w:tr>
      <w:tr w:rsidR="00052B97" w:rsidRPr="00C30005" w14:paraId="3030ED23" w14:textId="77777777" w:rsidTr="00181551">
        <w:trPr>
          <w:trHeight w:val="300"/>
        </w:trPr>
        <w:tc>
          <w:tcPr>
            <w:tcW w:w="5524" w:type="dxa"/>
            <w:noWrap/>
            <w:vAlign w:val="bottom"/>
            <w:hideMark/>
          </w:tcPr>
          <w:p w14:paraId="76BAFC4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6 - Znanja in spretnosti ter odzivni trg dela</w:t>
            </w:r>
          </w:p>
        </w:tc>
        <w:tc>
          <w:tcPr>
            <w:tcW w:w="1600" w:type="dxa"/>
            <w:noWrap/>
            <w:vAlign w:val="bottom"/>
            <w:hideMark/>
          </w:tcPr>
          <w:p w14:paraId="7E6DF13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439.423.865</w:t>
            </w:r>
          </w:p>
        </w:tc>
        <w:tc>
          <w:tcPr>
            <w:tcW w:w="1540" w:type="dxa"/>
            <w:noWrap/>
            <w:vAlign w:val="bottom"/>
            <w:hideMark/>
          </w:tcPr>
          <w:p w14:paraId="5ACC6DED"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224.355.789</w:t>
            </w:r>
          </w:p>
        </w:tc>
        <w:tc>
          <w:tcPr>
            <w:tcW w:w="860" w:type="dxa"/>
            <w:noWrap/>
            <w:vAlign w:val="bottom"/>
            <w:hideMark/>
          </w:tcPr>
          <w:p w14:paraId="6FA202E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51%</w:t>
            </w:r>
          </w:p>
        </w:tc>
        <w:tc>
          <w:tcPr>
            <w:tcW w:w="1500" w:type="dxa"/>
            <w:noWrap/>
            <w:vAlign w:val="bottom"/>
            <w:hideMark/>
          </w:tcPr>
          <w:p w14:paraId="3557122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194.662.067</w:t>
            </w:r>
          </w:p>
        </w:tc>
        <w:tc>
          <w:tcPr>
            <w:tcW w:w="860" w:type="dxa"/>
            <w:noWrap/>
            <w:vAlign w:val="bottom"/>
            <w:hideMark/>
          </w:tcPr>
          <w:p w14:paraId="6860CDF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44%</w:t>
            </w:r>
          </w:p>
        </w:tc>
        <w:tc>
          <w:tcPr>
            <w:tcW w:w="1578" w:type="dxa"/>
            <w:noWrap/>
            <w:vAlign w:val="bottom"/>
            <w:hideMark/>
          </w:tcPr>
          <w:p w14:paraId="64CA6E7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39.692.705</w:t>
            </w:r>
          </w:p>
        </w:tc>
        <w:tc>
          <w:tcPr>
            <w:tcW w:w="842" w:type="dxa"/>
            <w:noWrap/>
            <w:vAlign w:val="bottom"/>
            <w:hideMark/>
          </w:tcPr>
          <w:p w14:paraId="44FCE775"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9%</w:t>
            </w:r>
          </w:p>
        </w:tc>
      </w:tr>
      <w:tr w:rsidR="00052B97" w:rsidRPr="00C30005" w14:paraId="0341DCB4" w14:textId="77777777" w:rsidTr="00181551">
        <w:trPr>
          <w:trHeight w:val="300"/>
        </w:trPr>
        <w:tc>
          <w:tcPr>
            <w:tcW w:w="5524" w:type="dxa"/>
            <w:noWrap/>
            <w:vAlign w:val="bottom"/>
            <w:hideMark/>
          </w:tcPr>
          <w:p w14:paraId="6006189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7 - Dolgotrajna oskrba in zdravje ter socialna vključenost</w:t>
            </w:r>
          </w:p>
        </w:tc>
        <w:tc>
          <w:tcPr>
            <w:tcW w:w="1600" w:type="dxa"/>
            <w:noWrap/>
            <w:vAlign w:val="bottom"/>
            <w:hideMark/>
          </w:tcPr>
          <w:p w14:paraId="64EAB152"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282.311.001</w:t>
            </w:r>
          </w:p>
        </w:tc>
        <w:tc>
          <w:tcPr>
            <w:tcW w:w="1540" w:type="dxa"/>
            <w:noWrap/>
            <w:vAlign w:val="bottom"/>
            <w:hideMark/>
          </w:tcPr>
          <w:p w14:paraId="1AA18DC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200.783.529</w:t>
            </w:r>
          </w:p>
        </w:tc>
        <w:tc>
          <w:tcPr>
            <w:tcW w:w="860" w:type="dxa"/>
            <w:noWrap/>
            <w:vAlign w:val="bottom"/>
            <w:hideMark/>
          </w:tcPr>
          <w:p w14:paraId="42C8CFD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71%</w:t>
            </w:r>
          </w:p>
        </w:tc>
        <w:tc>
          <w:tcPr>
            <w:tcW w:w="1500" w:type="dxa"/>
            <w:noWrap/>
            <w:vAlign w:val="bottom"/>
            <w:hideMark/>
          </w:tcPr>
          <w:p w14:paraId="2CDABFC1"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160.112.220</w:t>
            </w:r>
          </w:p>
        </w:tc>
        <w:tc>
          <w:tcPr>
            <w:tcW w:w="860" w:type="dxa"/>
            <w:noWrap/>
            <w:vAlign w:val="bottom"/>
            <w:hideMark/>
          </w:tcPr>
          <w:p w14:paraId="5EFB159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57%</w:t>
            </w:r>
          </w:p>
        </w:tc>
        <w:tc>
          <w:tcPr>
            <w:tcW w:w="1578" w:type="dxa"/>
            <w:noWrap/>
            <w:vAlign w:val="bottom"/>
            <w:hideMark/>
          </w:tcPr>
          <w:p w14:paraId="61794BAD"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32.680.884</w:t>
            </w:r>
          </w:p>
        </w:tc>
        <w:tc>
          <w:tcPr>
            <w:tcW w:w="842" w:type="dxa"/>
            <w:noWrap/>
            <w:vAlign w:val="bottom"/>
            <w:hideMark/>
          </w:tcPr>
          <w:p w14:paraId="055920A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12%</w:t>
            </w:r>
          </w:p>
        </w:tc>
      </w:tr>
      <w:tr w:rsidR="00052B97" w:rsidRPr="00C30005" w14:paraId="43653849" w14:textId="77777777" w:rsidTr="00181551">
        <w:trPr>
          <w:trHeight w:val="300"/>
        </w:trPr>
        <w:tc>
          <w:tcPr>
            <w:tcW w:w="5524" w:type="dxa"/>
            <w:noWrap/>
            <w:vAlign w:val="bottom"/>
            <w:hideMark/>
          </w:tcPr>
          <w:p w14:paraId="10BCA10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8 - Trajnostna turizem in kultura</w:t>
            </w:r>
          </w:p>
        </w:tc>
        <w:tc>
          <w:tcPr>
            <w:tcW w:w="1600" w:type="dxa"/>
            <w:noWrap/>
            <w:vAlign w:val="bottom"/>
            <w:hideMark/>
          </w:tcPr>
          <w:p w14:paraId="2F7AA03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19.661.752</w:t>
            </w:r>
          </w:p>
        </w:tc>
        <w:tc>
          <w:tcPr>
            <w:tcW w:w="1540" w:type="dxa"/>
            <w:noWrap/>
            <w:vAlign w:val="bottom"/>
            <w:hideMark/>
          </w:tcPr>
          <w:p w14:paraId="0E61A64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27.736.152</w:t>
            </w:r>
          </w:p>
        </w:tc>
        <w:tc>
          <w:tcPr>
            <w:tcW w:w="860" w:type="dxa"/>
            <w:noWrap/>
            <w:vAlign w:val="bottom"/>
            <w:hideMark/>
          </w:tcPr>
          <w:p w14:paraId="53344655"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141%</w:t>
            </w:r>
          </w:p>
        </w:tc>
        <w:tc>
          <w:tcPr>
            <w:tcW w:w="1500" w:type="dxa"/>
            <w:noWrap/>
            <w:vAlign w:val="bottom"/>
            <w:hideMark/>
          </w:tcPr>
          <w:p w14:paraId="177B1D9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10.766.945</w:t>
            </w:r>
          </w:p>
        </w:tc>
        <w:tc>
          <w:tcPr>
            <w:tcW w:w="860" w:type="dxa"/>
            <w:noWrap/>
            <w:vAlign w:val="bottom"/>
            <w:hideMark/>
          </w:tcPr>
          <w:p w14:paraId="692B2D9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55%</w:t>
            </w:r>
          </w:p>
        </w:tc>
        <w:tc>
          <w:tcPr>
            <w:tcW w:w="1578" w:type="dxa"/>
            <w:noWrap/>
            <w:vAlign w:val="bottom"/>
            <w:hideMark/>
          </w:tcPr>
          <w:p w14:paraId="38806D0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42" w:type="dxa"/>
            <w:noWrap/>
            <w:vAlign w:val="bottom"/>
            <w:hideMark/>
          </w:tcPr>
          <w:p w14:paraId="31E4168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r>
      <w:tr w:rsidR="00052B97" w:rsidRPr="00C30005" w14:paraId="362669DB" w14:textId="77777777" w:rsidTr="00181551">
        <w:trPr>
          <w:trHeight w:val="300"/>
        </w:trPr>
        <w:tc>
          <w:tcPr>
            <w:tcW w:w="5524" w:type="dxa"/>
            <w:noWrap/>
            <w:vAlign w:val="bottom"/>
            <w:hideMark/>
          </w:tcPr>
          <w:p w14:paraId="1D2D317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9 - Trajnostni razvoj lokalnih območij</w:t>
            </w:r>
          </w:p>
        </w:tc>
        <w:tc>
          <w:tcPr>
            <w:tcW w:w="1600" w:type="dxa"/>
            <w:noWrap/>
            <w:vAlign w:val="bottom"/>
            <w:hideMark/>
          </w:tcPr>
          <w:p w14:paraId="69D09AF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85.230.785</w:t>
            </w:r>
          </w:p>
        </w:tc>
        <w:tc>
          <w:tcPr>
            <w:tcW w:w="1540" w:type="dxa"/>
            <w:noWrap/>
            <w:vAlign w:val="bottom"/>
            <w:hideMark/>
          </w:tcPr>
          <w:p w14:paraId="02D6010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78.906.236</w:t>
            </w:r>
          </w:p>
        </w:tc>
        <w:tc>
          <w:tcPr>
            <w:tcW w:w="860" w:type="dxa"/>
            <w:noWrap/>
            <w:vAlign w:val="bottom"/>
            <w:hideMark/>
          </w:tcPr>
          <w:p w14:paraId="66F2105B"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93%</w:t>
            </w:r>
          </w:p>
        </w:tc>
        <w:tc>
          <w:tcPr>
            <w:tcW w:w="1500" w:type="dxa"/>
            <w:noWrap/>
            <w:vAlign w:val="bottom"/>
            <w:hideMark/>
          </w:tcPr>
          <w:p w14:paraId="6F6A5058"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56.316.848</w:t>
            </w:r>
          </w:p>
        </w:tc>
        <w:tc>
          <w:tcPr>
            <w:tcW w:w="860" w:type="dxa"/>
            <w:noWrap/>
            <w:vAlign w:val="bottom"/>
            <w:hideMark/>
          </w:tcPr>
          <w:p w14:paraId="5C99364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66%</w:t>
            </w:r>
          </w:p>
        </w:tc>
        <w:tc>
          <w:tcPr>
            <w:tcW w:w="1578" w:type="dxa"/>
            <w:noWrap/>
            <w:vAlign w:val="bottom"/>
            <w:hideMark/>
          </w:tcPr>
          <w:p w14:paraId="7CC43AC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34.732.906</w:t>
            </w:r>
          </w:p>
        </w:tc>
        <w:tc>
          <w:tcPr>
            <w:tcW w:w="842" w:type="dxa"/>
            <w:noWrap/>
            <w:vAlign w:val="bottom"/>
            <w:hideMark/>
          </w:tcPr>
          <w:p w14:paraId="0F10B1BA"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41%</w:t>
            </w:r>
          </w:p>
        </w:tc>
      </w:tr>
      <w:tr w:rsidR="00052B97" w:rsidRPr="00C30005" w14:paraId="36E2A6BC" w14:textId="77777777" w:rsidTr="00181551">
        <w:trPr>
          <w:trHeight w:val="300"/>
        </w:trPr>
        <w:tc>
          <w:tcPr>
            <w:tcW w:w="5524" w:type="dxa"/>
            <w:noWrap/>
            <w:vAlign w:val="bottom"/>
            <w:hideMark/>
          </w:tcPr>
          <w:p w14:paraId="7AB7D93C"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10 - Prestrukturiranje premogovnih regij</w:t>
            </w:r>
          </w:p>
        </w:tc>
        <w:tc>
          <w:tcPr>
            <w:tcW w:w="1600" w:type="dxa"/>
            <w:noWrap/>
            <w:vAlign w:val="bottom"/>
            <w:hideMark/>
          </w:tcPr>
          <w:p w14:paraId="7A15DB76"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248.773.600</w:t>
            </w:r>
          </w:p>
        </w:tc>
        <w:tc>
          <w:tcPr>
            <w:tcW w:w="1540" w:type="dxa"/>
            <w:noWrap/>
            <w:vAlign w:val="bottom"/>
            <w:hideMark/>
          </w:tcPr>
          <w:p w14:paraId="33914A0F"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204.095.352</w:t>
            </w:r>
          </w:p>
        </w:tc>
        <w:tc>
          <w:tcPr>
            <w:tcW w:w="860" w:type="dxa"/>
            <w:noWrap/>
            <w:vAlign w:val="bottom"/>
            <w:hideMark/>
          </w:tcPr>
          <w:p w14:paraId="67D2F597"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82%</w:t>
            </w:r>
          </w:p>
        </w:tc>
        <w:tc>
          <w:tcPr>
            <w:tcW w:w="1500" w:type="dxa"/>
            <w:noWrap/>
            <w:vAlign w:val="bottom"/>
            <w:hideMark/>
          </w:tcPr>
          <w:p w14:paraId="2324A163"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120.866.517</w:t>
            </w:r>
          </w:p>
        </w:tc>
        <w:tc>
          <w:tcPr>
            <w:tcW w:w="860" w:type="dxa"/>
            <w:noWrap/>
            <w:vAlign w:val="bottom"/>
            <w:hideMark/>
          </w:tcPr>
          <w:p w14:paraId="4F500C4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49%</w:t>
            </w:r>
          </w:p>
        </w:tc>
        <w:tc>
          <w:tcPr>
            <w:tcW w:w="1578" w:type="dxa"/>
            <w:noWrap/>
            <w:vAlign w:val="bottom"/>
            <w:hideMark/>
          </w:tcPr>
          <w:p w14:paraId="4CF424A2"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32.550.700</w:t>
            </w:r>
          </w:p>
        </w:tc>
        <w:tc>
          <w:tcPr>
            <w:tcW w:w="842" w:type="dxa"/>
            <w:noWrap/>
            <w:vAlign w:val="bottom"/>
            <w:hideMark/>
          </w:tcPr>
          <w:p w14:paraId="4D2E4C11"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13%</w:t>
            </w:r>
          </w:p>
        </w:tc>
      </w:tr>
      <w:tr w:rsidR="00052B97" w:rsidRPr="00C30005" w14:paraId="529A8F7C" w14:textId="77777777" w:rsidTr="00181551">
        <w:trPr>
          <w:trHeight w:val="300"/>
        </w:trPr>
        <w:tc>
          <w:tcPr>
            <w:tcW w:w="5524" w:type="dxa"/>
            <w:noWrap/>
            <w:vAlign w:val="bottom"/>
            <w:hideMark/>
          </w:tcPr>
          <w:p w14:paraId="30234A52"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PN 11 - Razvoj strateških tehnologij za Evropo - STEP</w:t>
            </w:r>
          </w:p>
        </w:tc>
        <w:tc>
          <w:tcPr>
            <w:tcW w:w="1600" w:type="dxa"/>
            <w:noWrap/>
            <w:vAlign w:val="bottom"/>
            <w:hideMark/>
          </w:tcPr>
          <w:p w14:paraId="54E70554"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100.000.000</w:t>
            </w:r>
          </w:p>
        </w:tc>
        <w:tc>
          <w:tcPr>
            <w:tcW w:w="1540" w:type="dxa"/>
            <w:noWrap/>
            <w:vAlign w:val="bottom"/>
            <w:hideMark/>
          </w:tcPr>
          <w:p w14:paraId="3DC443A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60.000.000</w:t>
            </w:r>
          </w:p>
        </w:tc>
        <w:tc>
          <w:tcPr>
            <w:tcW w:w="860" w:type="dxa"/>
            <w:noWrap/>
            <w:vAlign w:val="bottom"/>
            <w:hideMark/>
          </w:tcPr>
          <w:p w14:paraId="2D652DB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60%</w:t>
            </w:r>
          </w:p>
        </w:tc>
        <w:tc>
          <w:tcPr>
            <w:tcW w:w="1500" w:type="dxa"/>
            <w:noWrap/>
            <w:vAlign w:val="bottom"/>
            <w:hideMark/>
          </w:tcPr>
          <w:p w14:paraId="1D97DEF0"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60" w:type="dxa"/>
            <w:noWrap/>
            <w:vAlign w:val="bottom"/>
            <w:hideMark/>
          </w:tcPr>
          <w:p w14:paraId="665050A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1578" w:type="dxa"/>
            <w:noWrap/>
            <w:vAlign w:val="bottom"/>
            <w:hideMark/>
          </w:tcPr>
          <w:p w14:paraId="32335B6E"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c>
          <w:tcPr>
            <w:tcW w:w="842" w:type="dxa"/>
            <w:noWrap/>
            <w:vAlign w:val="bottom"/>
            <w:hideMark/>
          </w:tcPr>
          <w:p w14:paraId="77476459" w14:textId="77777777" w:rsidR="00052B97" w:rsidRPr="00C30005" w:rsidRDefault="00052B97" w:rsidP="7E32E97F">
            <w:pPr>
              <w:autoSpaceDN/>
              <w:spacing w:after="0" w:line="240" w:lineRule="auto"/>
              <w:jc w:val="right"/>
              <w:rPr>
                <w:rFonts w:cs="Arial"/>
                <w:color w:val="000000"/>
              </w:rPr>
            </w:pPr>
            <w:r w:rsidRPr="7E32E97F">
              <w:rPr>
                <w:rFonts w:cs="Arial"/>
                <w:color w:val="000000" w:themeColor="text1"/>
              </w:rPr>
              <w:t>0%</w:t>
            </w:r>
          </w:p>
        </w:tc>
      </w:tr>
      <w:tr w:rsidR="00052B97" w:rsidRPr="00C30005" w14:paraId="5C3317F9" w14:textId="77777777" w:rsidTr="00181551">
        <w:trPr>
          <w:trHeight w:val="300"/>
        </w:trPr>
        <w:tc>
          <w:tcPr>
            <w:tcW w:w="5524" w:type="dxa"/>
            <w:shd w:val="clear" w:color="auto" w:fill="DDEBF7"/>
            <w:noWrap/>
            <w:vAlign w:val="bottom"/>
            <w:hideMark/>
          </w:tcPr>
          <w:p w14:paraId="0E7F7A64"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 xml:space="preserve">Skupaj </w:t>
            </w:r>
          </w:p>
        </w:tc>
        <w:tc>
          <w:tcPr>
            <w:tcW w:w="1600" w:type="dxa"/>
            <w:shd w:val="clear" w:color="auto" w:fill="DDEBF7"/>
            <w:noWrap/>
            <w:vAlign w:val="bottom"/>
            <w:hideMark/>
          </w:tcPr>
          <w:p w14:paraId="4B8708D9"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3.106.640.414</w:t>
            </w:r>
          </w:p>
        </w:tc>
        <w:tc>
          <w:tcPr>
            <w:tcW w:w="1540" w:type="dxa"/>
            <w:shd w:val="clear" w:color="auto" w:fill="DDEBF7"/>
            <w:noWrap/>
            <w:vAlign w:val="bottom"/>
            <w:hideMark/>
          </w:tcPr>
          <w:p w14:paraId="166B415B"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1.975.949.860</w:t>
            </w:r>
          </w:p>
        </w:tc>
        <w:tc>
          <w:tcPr>
            <w:tcW w:w="860" w:type="dxa"/>
            <w:shd w:val="clear" w:color="auto" w:fill="DDEBF7"/>
            <w:noWrap/>
            <w:vAlign w:val="bottom"/>
            <w:hideMark/>
          </w:tcPr>
          <w:p w14:paraId="2BB6EF57"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64%</w:t>
            </w:r>
          </w:p>
        </w:tc>
        <w:tc>
          <w:tcPr>
            <w:tcW w:w="1500" w:type="dxa"/>
            <w:shd w:val="clear" w:color="auto" w:fill="DDEBF7"/>
            <w:noWrap/>
            <w:vAlign w:val="bottom"/>
            <w:hideMark/>
          </w:tcPr>
          <w:p w14:paraId="2408A7B0"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1.325.937.173</w:t>
            </w:r>
          </w:p>
        </w:tc>
        <w:tc>
          <w:tcPr>
            <w:tcW w:w="860" w:type="dxa"/>
            <w:shd w:val="clear" w:color="auto" w:fill="DDEBF7"/>
            <w:noWrap/>
            <w:vAlign w:val="bottom"/>
            <w:hideMark/>
          </w:tcPr>
          <w:p w14:paraId="7B15BE8F"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43%</w:t>
            </w:r>
          </w:p>
        </w:tc>
        <w:tc>
          <w:tcPr>
            <w:tcW w:w="1578" w:type="dxa"/>
            <w:shd w:val="clear" w:color="auto" w:fill="DDEBF7"/>
            <w:noWrap/>
            <w:vAlign w:val="bottom"/>
            <w:hideMark/>
          </w:tcPr>
          <w:p w14:paraId="0C3C79ED"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382.752.816</w:t>
            </w:r>
          </w:p>
        </w:tc>
        <w:tc>
          <w:tcPr>
            <w:tcW w:w="842" w:type="dxa"/>
            <w:shd w:val="clear" w:color="auto" w:fill="DDEBF7"/>
            <w:noWrap/>
            <w:vAlign w:val="bottom"/>
            <w:hideMark/>
          </w:tcPr>
          <w:p w14:paraId="071E23E3" w14:textId="77777777" w:rsidR="00052B97" w:rsidRPr="00C30005" w:rsidRDefault="00052B97" w:rsidP="7E32E97F">
            <w:pPr>
              <w:autoSpaceDN/>
              <w:spacing w:after="0" w:line="240" w:lineRule="auto"/>
              <w:jc w:val="right"/>
              <w:rPr>
                <w:rFonts w:cs="Arial"/>
                <w:b/>
                <w:bCs/>
                <w:color w:val="000000"/>
              </w:rPr>
            </w:pPr>
            <w:r w:rsidRPr="7E32E97F">
              <w:rPr>
                <w:rFonts w:cs="Arial"/>
                <w:b/>
                <w:bCs/>
                <w:color w:val="000000" w:themeColor="text1"/>
              </w:rPr>
              <w:t>12%</w:t>
            </w:r>
          </w:p>
        </w:tc>
      </w:tr>
    </w:tbl>
    <w:p w14:paraId="4839A7E7" w14:textId="77777777" w:rsidR="007D0104" w:rsidRPr="00006EC3" w:rsidRDefault="0C59AA56" w:rsidP="7E32E97F">
      <w:pPr>
        <w:autoSpaceDN/>
        <w:spacing w:after="0" w:line="288" w:lineRule="auto"/>
        <w:contextualSpacing/>
        <w:jc w:val="both"/>
        <w:rPr>
          <w:rFonts w:eastAsia="Arial" w:cs="Arial"/>
          <w:sz w:val="16"/>
          <w:szCs w:val="16"/>
          <w:lang w:eastAsia="zh-CN"/>
        </w:rPr>
      </w:pPr>
      <w:bookmarkStart w:id="159" w:name="_Hlk188016546"/>
      <w:r w:rsidRPr="7E32E97F">
        <w:rPr>
          <w:rFonts w:eastAsia="Arial" w:cs="Arial"/>
          <w:sz w:val="16"/>
          <w:szCs w:val="16"/>
        </w:rPr>
        <w:t xml:space="preserve">Vir: IS OU e-MA2, MFERAC </w:t>
      </w:r>
    </w:p>
    <w:p w14:paraId="66EB2F0B" w14:textId="60833E5E" w:rsidR="007D0104" w:rsidRPr="00006EC3" w:rsidRDefault="0C59AA56"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Razpoložljiva sredstva/pravice porabe EKP </w:t>
      </w:r>
      <w:r w:rsidR="58C34AA7" w:rsidRPr="7E32E97F">
        <w:rPr>
          <w:rFonts w:eastAsia="SimSun" w:cs="Arial"/>
          <w:sz w:val="16"/>
          <w:szCs w:val="16"/>
        </w:rPr>
        <w:t xml:space="preserve">brez tehnične pomoči </w:t>
      </w:r>
      <w:r w:rsidRPr="7E32E97F">
        <w:rPr>
          <w:rFonts w:eastAsia="SimSun" w:cs="Arial"/>
          <w:sz w:val="16"/>
          <w:szCs w:val="16"/>
        </w:rPr>
        <w:t>za obdobje 2021−2027 (EU del) – Program EKP 2021–2027.</w:t>
      </w:r>
    </w:p>
    <w:p w14:paraId="6778A8F0" w14:textId="77777777" w:rsidR="007D0104" w:rsidRPr="00006EC3" w:rsidRDefault="0C59AA56"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Odločitve o podpori zajemajo vrednost vlog za posamezen projekt, program ali javni razpis/poziv, brez neupravičenih stroškov. </w:t>
      </w:r>
    </w:p>
    <w:p w14:paraId="1AF5E744" w14:textId="77777777" w:rsidR="007D0104" w:rsidRPr="00006EC3" w:rsidRDefault="0C59AA56" w:rsidP="7E32E97F">
      <w:pPr>
        <w:autoSpaceDN/>
        <w:spacing w:after="0" w:line="288" w:lineRule="auto"/>
        <w:contextualSpacing/>
        <w:jc w:val="both"/>
        <w:rPr>
          <w:rFonts w:eastAsia="SimSun" w:cs="Arial"/>
          <w:sz w:val="16"/>
          <w:szCs w:val="16"/>
          <w:lang w:eastAsia="zh-CN"/>
        </w:rPr>
      </w:pPr>
      <w:r w:rsidRPr="7E32E97F">
        <w:rPr>
          <w:rFonts w:eastAsia="SimSun" w:cs="Arial"/>
          <w:sz w:val="16"/>
          <w:szCs w:val="16"/>
        </w:rPr>
        <w:t xml:space="preserve">*** Potrjene operacije pomenijo pogodbe o sofinanciranju oziroma odločitve o podpori, kadar je upravičenec neposredni proračunski uporabnik. </w:t>
      </w:r>
    </w:p>
    <w:p w14:paraId="3AF9E853" w14:textId="1BBFE9E8" w:rsidR="007D0104" w:rsidRPr="00006EC3" w:rsidRDefault="2CAB4ABE" w:rsidP="7E32E97F">
      <w:pPr>
        <w:autoSpaceDN/>
        <w:spacing w:after="0" w:line="288" w:lineRule="auto"/>
        <w:contextualSpacing/>
        <w:jc w:val="both"/>
        <w:rPr>
          <w:rFonts w:eastAsia="SimSun" w:cs="Arial"/>
          <w:sz w:val="16"/>
          <w:szCs w:val="16"/>
          <w:lang w:eastAsia="zh-CN"/>
        </w:rPr>
        <w:sectPr w:rsidR="007D0104" w:rsidRPr="00006EC3" w:rsidSect="007D0104">
          <w:pgSz w:w="16838" w:h="11906" w:orient="landscape" w:code="9"/>
          <w:pgMar w:top="1418" w:right="1418" w:bottom="1418" w:left="1418" w:header="709" w:footer="709" w:gutter="0"/>
          <w:cols w:space="708"/>
          <w:docGrid w:linePitch="272"/>
        </w:sectPr>
      </w:pPr>
      <w:r w:rsidRPr="7E32E97F">
        <w:rPr>
          <w:rFonts w:eastAsia="SimSun" w:cs="Arial"/>
          <w:sz w:val="16"/>
          <w:szCs w:val="16"/>
        </w:rPr>
        <w:t>**** Izplačila iz državnega proračuna (vir: MF</w:t>
      </w:r>
      <w:r w:rsidR="58C34AA7" w:rsidRPr="7E32E97F">
        <w:rPr>
          <w:rFonts w:eastAsia="SimSun" w:cs="Arial"/>
          <w:sz w:val="16"/>
          <w:szCs w:val="16"/>
        </w:rPr>
        <w:t>E</w:t>
      </w:r>
      <w:r w:rsidRPr="7E32E97F">
        <w:rPr>
          <w:rFonts w:eastAsia="SimSun" w:cs="Arial"/>
          <w:sz w:val="16"/>
          <w:szCs w:val="16"/>
        </w:rPr>
        <w:t xml:space="preserve">RAC, izpis na dan </w:t>
      </w:r>
      <w:r w:rsidR="410860A3" w:rsidRPr="7E32E97F">
        <w:rPr>
          <w:rFonts w:eastAsia="SimSun" w:cs="Arial"/>
          <w:sz w:val="16"/>
          <w:szCs w:val="16"/>
        </w:rPr>
        <w:t>6. 1. 2026</w:t>
      </w:r>
      <w:r w:rsidRPr="7E32E97F">
        <w:rPr>
          <w:rFonts w:eastAsia="SimSun" w:cs="Arial"/>
          <w:sz w:val="16"/>
          <w:szCs w:val="16"/>
        </w:rPr>
        <w:t>).</w:t>
      </w:r>
      <w:r w:rsidR="7FF65FCF" w:rsidRPr="7E32E97F">
        <w:rPr>
          <w:rFonts w:eastAsia="SimSun" w:cs="Arial"/>
          <w:sz w:val="16"/>
          <w:szCs w:val="16"/>
        </w:rPr>
        <w:t xml:space="preserve"> Izplačilom na PN 5 je prišteta preknjižba MZI za leto 2024 (ŽOLP) v znesku 5,6 mio EUR (EU del).</w:t>
      </w:r>
    </w:p>
    <w:p w14:paraId="11D324D4" w14:textId="20588A95" w:rsidR="005439A8" w:rsidRPr="00924F77" w:rsidRDefault="01A61AC5" w:rsidP="7E32E97F">
      <w:pPr>
        <w:pStyle w:val="Naslov2"/>
        <w:spacing w:before="0"/>
        <w:rPr>
          <w:rFonts w:cs="Arial"/>
        </w:rPr>
      </w:pPr>
      <w:bookmarkStart w:id="160" w:name="_Toc204675661"/>
      <w:bookmarkStart w:id="161" w:name="_Toc204695165"/>
      <w:bookmarkStart w:id="162" w:name="_Toc204675662"/>
      <w:bookmarkStart w:id="163" w:name="_Toc204695166"/>
      <w:bookmarkStart w:id="164" w:name="_Toc204675663"/>
      <w:bookmarkStart w:id="165" w:name="_Toc204695167"/>
      <w:bookmarkStart w:id="166" w:name="_Toc204675664"/>
      <w:bookmarkStart w:id="167" w:name="_Toc204695168"/>
      <w:bookmarkStart w:id="168" w:name="_Toc204675665"/>
      <w:bookmarkStart w:id="169" w:name="_Toc204695169"/>
      <w:bookmarkStart w:id="170" w:name="_Toc204675666"/>
      <w:bookmarkStart w:id="171" w:name="_Toc204695170"/>
      <w:bookmarkStart w:id="172" w:name="_Toc204675667"/>
      <w:bookmarkStart w:id="173" w:name="_Toc204695171"/>
      <w:bookmarkStart w:id="174" w:name="_Toc204675668"/>
      <w:bookmarkStart w:id="175" w:name="_Toc204695172"/>
      <w:bookmarkStart w:id="176" w:name="_Toc204675669"/>
      <w:bookmarkStart w:id="177" w:name="_Toc204695173"/>
      <w:bookmarkStart w:id="178" w:name="_Toc204675670"/>
      <w:bookmarkStart w:id="179" w:name="_Toc204695174"/>
      <w:bookmarkStart w:id="180" w:name="_Toc204675671"/>
      <w:bookmarkStart w:id="181" w:name="_Toc204695175"/>
      <w:bookmarkStart w:id="182" w:name="_Toc204675672"/>
      <w:bookmarkStart w:id="183" w:name="_Toc204695176"/>
      <w:bookmarkStart w:id="184" w:name="_Toc204675673"/>
      <w:bookmarkStart w:id="185" w:name="_Toc204695177"/>
      <w:bookmarkStart w:id="186" w:name="_Toc204675674"/>
      <w:bookmarkStart w:id="187" w:name="_Toc204695178"/>
      <w:bookmarkStart w:id="188" w:name="_Toc204675675"/>
      <w:bookmarkStart w:id="189" w:name="_Toc204695179"/>
      <w:bookmarkStart w:id="190" w:name="_Toc204675676"/>
      <w:bookmarkStart w:id="191" w:name="_Toc204695180"/>
      <w:bookmarkStart w:id="192" w:name="_Toc204675677"/>
      <w:bookmarkStart w:id="193" w:name="_Toc204695181"/>
      <w:bookmarkStart w:id="194" w:name="_Toc204675678"/>
      <w:bookmarkStart w:id="195" w:name="_Toc204695182"/>
      <w:bookmarkStart w:id="196" w:name="_Toc204675679"/>
      <w:bookmarkStart w:id="197" w:name="_Toc204695183"/>
      <w:bookmarkStart w:id="198" w:name="_Toc204675680"/>
      <w:bookmarkStart w:id="199" w:name="_Toc204695184"/>
      <w:bookmarkStart w:id="200" w:name="_Toc204675681"/>
      <w:bookmarkStart w:id="201" w:name="_Toc204695185"/>
      <w:bookmarkStart w:id="202" w:name="_Toc204675682"/>
      <w:bookmarkStart w:id="203" w:name="_Toc204695186"/>
      <w:bookmarkStart w:id="204" w:name="_Toc204675683"/>
      <w:bookmarkStart w:id="205" w:name="_Toc204695187"/>
      <w:bookmarkStart w:id="206" w:name="_Toc204675684"/>
      <w:bookmarkStart w:id="207" w:name="_Toc204695188"/>
      <w:bookmarkStart w:id="208" w:name="_Toc204675685"/>
      <w:bookmarkStart w:id="209" w:name="_Toc204695189"/>
      <w:bookmarkStart w:id="210" w:name="_Toc204675686"/>
      <w:bookmarkStart w:id="211" w:name="_Toc204695190"/>
      <w:bookmarkStart w:id="212" w:name="_Toc204675687"/>
      <w:bookmarkStart w:id="213" w:name="_Toc204695191"/>
      <w:bookmarkStart w:id="214" w:name="_Toc204675688"/>
      <w:bookmarkStart w:id="215" w:name="_Toc204695192"/>
      <w:bookmarkStart w:id="216" w:name="_Toc204675689"/>
      <w:bookmarkStart w:id="217" w:name="_Toc204695193"/>
      <w:bookmarkStart w:id="218" w:name="_Toc219974405"/>
      <w:bookmarkEnd w:id="152"/>
      <w:bookmarkEnd w:id="153"/>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7E32E97F">
        <w:rPr>
          <w:rFonts w:cs="Arial"/>
        </w:rPr>
        <w:lastRenderedPageBreak/>
        <w:t>CELOSTNI TERITORIALNI RAZVOJ</w:t>
      </w:r>
      <w:bookmarkEnd w:id="218"/>
    </w:p>
    <w:p w14:paraId="51535362" w14:textId="77777777" w:rsidR="005439A8" w:rsidRPr="0025033E" w:rsidRDefault="005439A8" w:rsidP="00ED5676">
      <w:pPr>
        <w:spacing w:after="0"/>
        <w:jc w:val="both"/>
        <w:rPr>
          <w:rFonts w:cs="Arial"/>
          <w:sz w:val="22"/>
          <w:szCs w:val="22"/>
        </w:rPr>
      </w:pPr>
    </w:p>
    <w:p w14:paraId="3A52D89F" w14:textId="7FE2AA0A" w:rsidR="00841D4F" w:rsidRDefault="00EC1CA5" w:rsidP="7E32E97F">
      <w:pPr>
        <w:pStyle w:val="Naslov3"/>
        <w:rPr>
          <w:rFonts w:cs="Arial"/>
        </w:rPr>
      </w:pPr>
      <w:bookmarkStart w:id="219" w:name="_Toc219974406"/>
      <w:r w:rsidRPr="7E32E97F">
        <w:rPr>
          <w:rFonts w:cs="Arial"/>
        </w:rPr>
        <w:t>Lokalni razvoj, ki ga vodi skupnost (CLLD)</w:t>
      </w:r>
      <w:bookmarkEnd w:id="219"/>
    </w:p>
    <w:p w14:paraId="02926DE7" w14:textId="77777777" w:rsidR="00841D4F" w:rsidRDefault="00841D4F" w:rsidP="7E32E97F">
      <w:pPr>
        <w:spacing w:after="0"/>
        <w:jc w:val="both"/>
        <w:rPr>
          <w:rFonts w:cs="Arial"/>
        </w:rPr>
      </w:pPr>
    </w:p>
    <w:p w14:paraId="58A406C4" w14:textId="76B2A1DD" w:rsidR="5536E482" w:rsidRDefault="5536E482" w:rsidP="7E32E97F">
      <w:pPr>
        <w:spacing w:after="0"/>
        <w:jc w:val="both"/>
        <w:rPr>
          <w:rFonts w:cs="Arial"/>
        </w:rPr>
      </w:pPr>
      <w:r w:rsidRPr="7E32E97F">
        <w:rPr>
          <w:rFonts w:cs="Arial"/>
        </w:rPr>
        <w:t>Na območju države deluje 37 lokalnih akcijskih skupin (LAS), ki so za območja, na katerih delujejo Strategije lokalnega razvoja (SLR) in so vse že potrjene. LAS pripravljajo in objavljajo javne pozive na vseh 37 območjih. V začetku septembra so bile podpisane prve pogodbe o sofinanciranju projektov, izbranih na javnih pozivih LAS. Operacije se izvajajo in prva izplačila so bila izvedena do konca leta.</w:t>
      </w:r>
    </w:p>
    <w:p w14:paraId="5FB50C9B" w14:textId="77777777" w:rsidR="00841D4F" w:rsidRPr="00841D4F" w:rsidRDefault="00841D4F" w:rsidP="000523F8">
      <w:pPr>
        <w:spacing w:after="0"/>
      </w:pPr>
    </w:p>
    <w:p w14:paraId="245E6499" w14:textId="15996F63" w:rsidR="00404987" w:rsidRPr="0025033E" w:rsidRDefault="1CE4E815" w:rsidP="7E32E97F">
      <w:pPr>
        <w:pStyle w:val="Naslov3"/>
        <w:rPr>
          <w:rFonts w:cs="Arial"/>
        </w:rPr>
      </w:pPr>
      <w:bookmarkStart w:id="220" w:name="_Toc219974407"/>
      <w:r w:rsidRPr="7E32E97F">
        <w:rPr>
          <w:rFonts w:cs="Arial"/>
        </w:rPr>
        <w:t>Celostne teritorialne naložbe (CTN)</w:t>
      </w:r>
      <w:bookmarkEnd w:id="220"/>
    </w:p>
    <w:p w14:paraId="1B4FCCB1" w14:textId="77777777" w:rsidR="00404987" w:rsidRPr="0025033E" w:rsidRDefault="00404987" w:rsidP="00ED5676">
      <w:pPr>
        <w:spacing w:after="0"/>
        <w:jc w:val="both"/>
        <w:rPr>
          <w:rFonts w:cs="Arial"/>
        </w:rPr>
      </w:pPr>
    </w:p>
    <w:p w14:paraId="3AA0FFD7" w14:textId="7C7248EA" w:rsidR="00391161" w:rsidRDefault="1CE4E815" w:rsidP="003006BF">
      <w:pPr>
        <w:spacing w:after="0"/>
        <w:jc w:val="both"/>
      </w:pPr>
      <w:r w:rsidRPr="7E32E97F">
        <w:rPr>
          <w:rFonts w:cs="Arial"/>
        </w:rPr>
        <w:t>CTN je namenjen trajnostnemu razvoju mest, kjer so upravičenci mestne občine (12), ki morajo imeti sprejete Trajnostne urbane strategije</w:t>
      </w:r>
      <w:r w:rsidR="6D445E68" w:rsidRPr="7E32E97F">
        <w:rPr>
          <w:rFonts w:cs="Arial"/>
        </w:rPr>
        <w:t>,</w:t>
      </w:r>
      <w:r w:rsidRPr="7E32E97F">
        <w:rPr>
          <w:rFonts w:cs="Arial"/>
        </w:rPr>
        <w:t xml:space="preserve"> iz katerih izhajajo predlogi za predvidene ukrepe. Za izvajanje CTN v obdobju </w:t>
      </w:r>
      <w:r w:rsidR="419C6937" w:rsidRPr="7E32E97F">
        <w:rPr>
          <w:rFonts w:cs="Arial"/>
        </w:rPr>
        <w:t xml:space="preserve">2021–2027 </w:t>
      </w:r>
      <w:r w:rsidRPr="7E32E97F">
        <w:rPr>
          <w:rFonts w:cs="Arial"/>
        </w:rPr>
        <w:t xml:space="preserve">je namenjenih 127 mio EUR ESRR sredstev. </w:t>
      </w:r>
    </w:p>
    <w:p w14:paraId="7D1E2299" w14:textId="682E9BE4" w:rsidR="00391161" w:rsidRDefault="00391161" w:rsidP="765FA4B8">
      <w:pPr>
        <w:spacing w:after="0"/>
        <w:jc w:val="both"/>
        <w:rPr>
          <w:rFonts w:cs="Arial"/>
        </w:rPr>
      </w:pPr>
    </w:p>
    <w:p w14:paraId="4A7FD27F" w14:textId="31F5118D" w:rsidR="00123E01" w:rsidRDefault="1CE4E815" w:rsidP="003006BF">
      <w:pPr>
        <w:spacing w:after="0"/>
        <w:jc w:val="both"/>
        <w:rPr>
          <w:rFonts w:cs="Arial"/>
        </w:rPr>
      </w:pPr>
      <w:r w:rsidRPr="7E32E97F">
        <w:rPr>
          <w:rFonts w:cs="Arial"/>
        </w:rPr>
        <w:t>Mehanizem CTN se izvaja na treh specifičnih ciljih in sicer: RSO 2.7 – zelene infrastrukture, RSO 2.8 – trajnostna mobilnost in RSO 5.1 – učinkovita raba prostora v urbanih območjih.</w:t>
      </w:r>
      <w:r w:rsidR="2E91A401" w:rsidRPr="7E32E97F">
        <w:rPr>
          <w:rFonts w:cs="Arial"/>
        </w:rPr>
        <w:t xml:space="preserve"> </w:t>
      </w:r>
      <w:r w:rsidR="6B053BF1" w:rsidRPr="7E32E97F">
        <w:rPr>
          <w:rFonts w:cs="Arial"/>
        </w:rPr>
        <w:t xml:space="preserve">PT ZMOS je </w:t>
      </w:r>
      <w:r w:rsidR="03D1BFF3" w:rsidRPr="7E32E97F">
        <w:rPr>
          <w:rFonts w:cs="Arial"/>
        </w:rPr>
        <w:t xml:space="preserve">v oktobru in novembru 2023 objavilo prva </w:t>
      </w:r>
      <w:r w:rsidR="400B14DD" w:rsidRPr="7E32E97F">
        <w:rPr>
          <w:rFonts w:cs="Arial"/>
        </w:rPr>
        <w:t>tri</w:t>
      </w:r>
      <w:r w:rsidR="03D1BFF3" w:rsidRPr="7E32E97F">
        <w:rPr>
          <w:rFonts w:cs="Arial"/>
        </w:rPr>
        <w:t xml:space="preserve"> p</w:t>
      </w:r>
      <w:r w:rsidR="5DADA311" w:rsidRPr="7E32E97F">
        <w:rPr>
          <w:rFonts w:cs="Arial"/>
        </w:rPr>
        <w:t>ovabil</w:t>
      </w:r>
      <w:r w:rsidR="36ADF3FE" w:rsidRPr="7E32E97F">
        <w:rPr>
          <w:rFonts w:cs="Arial"/>
        </w:rPr>
        <w:t>a</w:t>
      </w:r>
      <w:r w:rsidR="5DADA311" w:rsidRPr="7E32E97F">
        <w:rPr>
          <w:rFonts w:cs="Arial"/>
        </w:rPr>
        <w:t xml:space="preserve"> </w:t>
      </w:r>
      <w:r w:rsidR="6B053BF1" w:rsidRPr="7E32E97F">
        <w:rPr>
          <w:rFonts w:cs="Arial"/>
        </w:rPr>
        <w:t>za izbor operacij na vseh treh specifičnih ciljih</w:t>
      </w:r>
      <w:r w:rsidR="78A6F75C" w:rsidRPr="7E32E97F">
        <w:rPr>
          <w:rFonts w:cs="Arial"/>
        </w:rPr>
        <w:t xml:space="preserve">. Izbranih je bilo </w:t>
      </w:r>
      <w:r w:rsidR="6E956820" w:rsidRPr="7E32E97F">
        <w:rPr>
          <w:rFonts w:cs="Arial"/>
        </w:rPr>
        <w:t>39 operacij</w:t>
      </w:r>
      <w:r w:rsidR="48EA0E3B" w:rsidRPr="7E32E97F">
        <w:rPr>
          <w:rFonts w:cs="Arial"/>
        </w:rPr>
        <w:t>, o</w:t>
      </w:r>
      <w:r w:rsidR="6E956820" w:rsidRPr="7E32E97F">
        <w:rPr>
          <w:rFonts w:cs="Arial"/>
        </w:rPr>
        <w:t xml:space="preserve">d tega je bilo </w:t>
      </w:r>
      <w:r w:rsidR="440E6565" w:rsidRPr="7E32E97F">
        <w:rPr>
          <w:rFonts w:cs="Arial"/>
        </w:rPr>
        <w:t xml:space="preserve">25 </w:t>
      </w:r>
      <w:r w:rsidR="6E956820" w:rsidRPr="7E32E97F">
        <w:rPr>
          <w:rFonts w:cs="Arial"/>
        </w:rPr>
        <w:t>popolnih vlog za odločitev o podpori</w:t>
      </w:r>
      <w:r w:rsidR="10F37576" w:rsidRPr="7E32E97F">
        <w:rPr>
          <w:rFonts w:cs="Arial"/>
        </w:rPr>
        <w:t>,</w:t>
      </w:r>
      <w:r w:rsidR="6A34D116" w:rsidRPr="7E32E97F">
        <w:rPr>
          <w:rFonts w:cs="Arial"/>
        </w:rPr>
        <w:t xml:space="preserve"> za katere je OU izdal odločitve o podpori v skupni vrednosti 44,2 mio EUR</w:t>
      </w:r>
      <w:r w:rsidR="6B053BF1" w:rsidRPr="7E32E97F">
        <w:rPr>
          <w:rFonts w:cs="Arial"/>
        </w:rPr>
        <w:t xml:space="preserve">. </w:t>
      </w:r>
      <w:r w:rsidR="7D8FF518" w:rsidRPr="7E32E97F">
        <w:rPr>
          <w:rFonts w:cs="Arial"/>
        </w:rPr>
        <w:t xml:space="preserve">Naslednja </w:t>
      </w:r>
      <w:r w:rsidR="255E05F1" w:rsidRPr="7E32E97F">
        <w:rPr>
          <w:rFonts w:cs="Arial"/>
        </w:rPr>
        <w:t xml:space="preserve">štiri </w:t>
      </w:r>
      <w:r w:rsidR="4EC5E744" w:rsidRPr="7E32E97F">
        <w:rPr>
          <w:rFonts w:cs="Arial"/>
        </w:rPr>
        <w:t>povabila je PT ZMOS objavilo v marcu</w:t>
      </w:r>
      <w:r w:rsidR="2DB747E9" w:rsidRPr="7E32E97F">
        <w:rPr>
          <w:rFonts w:cs="Arial"/>
        </w:rPr>
        <w:t xml:space="preserve">, aprilu </w:t>
      </w:r>
      <w:r w:rsidR="4EC5E744" w:rsidRPr="7E32E97F">
        <w:rPr>
          <w:rFonts w:cs="Arial"/>
        </w:rPr>
        <w:t>in maju 2025</w:t>
      </w:r>
      <w:r w:rsidR="1C4DA682" w:rsidRPr="7E32E97F">
        <w:rPr>
          <w:rFonts w:cs="Arial"/>
        </w:rPr>
        <w:t>,</w:t>
      </w:r>
      <w:r w:rsidR="4EC5E744" w:rsidRPr="7E32E97F">
        <w:rPr>
          <w:rFonts w:cs="Arial"/>
        </w:rPr>
        <w:t xml:space="preserve"> na katerih je bilo izbranih </w:t>
      </w:r>
      <w:r w:rsidR="537A6635" w:rsidRPr="7E32E97F">
        <w:rPr>
          <w:rFonts w:cs="Arial"/>
        </w:rPr>
        <w:t>48</w:t>
      </w:r>
      <w:r w:rsidR="1AFB74DE" w:rsidRPr="7E32E97F">
        <w:rPr>
          <w:rFonts w:cs="Arial"/>
        </w:rPr>
        <w:t xml:space="preserve"> operacij, </w:t>
      </w:r>
      <w:r w:rsidR="3507D76C" w:rsidRPr="7E32E97F">
        <w:rPr>
          <w:rFonts w:cs="Arial"/>
        </w:rPr>
        <w:t>v skupni vrednosti 79,4 m</w:t>
      </w:r>
      <w:r w:rsidR="196966A2" w:rsidRPr="7E32E97F">
        <w:rPr>
          <w:rFonts w:cs="Arial"/>
        </w:rPr>
        <w:t>i</w:t>
      </w:r>
      <w:r w:rsidR="3507D76C" w:rsidRPr="7E32E97F">
        <w:rPr>
          <w:rFonts w:cs="Arial"/>
        </w:rPr>
        <w:t>o EUR (EU del). Do konca leta 2025 je bilo iz</w:t>
      </w:r>
      <w:r w:rsidR="64A8BF65" w:rsidRPr="7E32E97F">
        <w:rPr>
          <w:rFonts w:cs="Arial"/>
        </w:rPr>
        <w:t>d</w:t>
      </w:r>
      <w:r w:rsidR="3507D76C" w:rsidRPr="7E32E97F">
        <w:rPr>
          <w:rFonts w:cs="Arial"/>
        </w:rPr>
        <w:t>anih 8 odločitev o podpori v skupni vrednosti</w:t>
      </w:r>
      <w:r w:rsidR="5A651AF1" w:rsidRPr="7E32E97F">
        <w:rPr>
          <w:rFonts w:cs="Arial"/>
        </w:rPr>
        <w:t xml:space="preserve"> 18,3 mio EUR (EU del). </w:t>
      </w:r>
      <w:r w:rsidR="7A54343A" w:rsidRPr="7E32E97F">
        <w:rPr>
          <w:rFonts w:cs="Arial"/>
        </w:rPr>
        <w:t xml:space="preserve">Izdaja odločitev o podpori za operacije izbrane na 2, povabilih bo </w:t>
      </w:r>
      <w:r w:rsidR="0FA09052" w:rsidRPr="7E32E97F">
        <w:rPr>
          <w:rFonts w:cs="Arial"/>
        </w:rPr>
        <w:t xml:space="preserve">nadalje </w:t>
      </w:r>
      <w:r w:rsidR="7A54343A" w:rsidRPr="7E32E97F">
        <w:rPr>
          <w:rFonts w:cs="Arial"/>
        </w:rPr>
        <w:t>potekala v letu 2026.</w:t>
      </w:r>
      <w:r w:rsidR="416CC51F" w:rsidRPr="7E32E97F">
        <w:rPr>
          <w:rFonts w:cs="Arial"/>
        </w:rPr>
        <w:t xml:space="preserve"> Prav tako je v letu 2026 predvidena objava 3, povabil PT ZMOS za izbor operacij. </w:t>
      </w:r>
    </w:p>
    <w:p w14:paraId="12EFE944" w14:textId="77777777" w:rsidR="00123E01" w:rsidRDefault="00123E01" w:rsidP="003006BF">
      <w:pPr>
        <w:spacing w:after="0"/>
        <w:jc w:val="both"/>
        <w:rPr>
          <w:rFonts w:cs="Arial"/>
        </w:rPr>
      </w:pPr>
    </w:p>
    <w:p w14:paraId="54F7BDDB" w14:textId="164E13C0" w:rsidR="00391161" w:rsidRPr="00052B97" w:rsidRDefault="5A5C5ABF" w:rsidP="003006BF">
      <w:pPr>
        <w:spacing w:after="0"/>
        <w:jc w:val="both"/>
        <w:rPr>
          <w:rFonts w:cs="Arial"/>
        </w:rPr>
      </w:pPr>
      <w:r w:rsidRPr="00052B97">
        <w:rPr>
          <w:rFonts w:cs="Arial"/>
        </w:rPr>
        <w:t>V okviru R</w:t>
      </w:r>
      <w:r w:rsidR="455AAC62" w:rsidRPr="00052B97">
        <w:rPr>
          <w:rFonts w:cs="Arial"/>
        </w:rPr>
        <w:t>S</w:t>
      </w:r>
      <w:r w:rsidRPr="00052B97">
        <w:rPr>
          <w:rFonts w:cs="Arial"/>
        </w:rPr>
        <w:t xml:space="preserve">O 5.1 </w:t>
      </w:r>
      <w:r w:rsidR="73C58D4E" w:rsidRPr="00052B97">
        <w:rPr>
          <w:rFonts w:cs="Arial"/>
        </w:rPr>
        <w:t xml:space="preserve">so bile v letu 2025 izbrane </w:t>
      </w:r>
      <w:r w:rsidR="46666661" w:rsidRPr="00052B97">
        <w:rPr>
          <w:rFonts w:cs="Arial"/>
        </w:rPr>
        <w:t>tri</w:t>
      </w:r>
      <w:r w:rsidRPr="00052B97">
        <w:rPr>
          <w:rFonts w:cs="Arial"/>
        </w:rPr>
        <w:t xml:space="preserve"> </w:t>
      </w:r>
      <w:r w:rsidR="4DB82C1F" w:rsidRPr="00052B97">
        <w:rPr>
          <w:rFonts w:cs="Arial"/>
        </w:rPr>
        <w:t>operacije</w:t>
      </w:r>
      <w:r w:rsidRPr="00052B97">
        <w:rPr>
          <w:rFonts w:cs="Arial"/>
        </w:rPr>
        <w:t xml:space="preserve"> str</w:t>
      </w:r>
      <w:r w:rsidR="4FC8505B" w:rsidRPr="00052B97">
        <w:rPr>
          <w:rFonts w:cs="Arial"/>
        </w:rPr>
        <w:t>ateškega pomena</w:t>
      </w:r>
      <w:r w:rsidR="2FED8694" w:rsidRPr="00052B97">
        <w:rPr>
          <w:rFonts w:cs="Arial"/>
        </w:rPr>
        <w:t>,</w:t>
      </w:r>
      <w:r w:rsidR="4FC8505B" w:rsidRPr="00052B97">
        <w:rPr>
          <w:rFonts w:cs="Arial"/>
        </w:rPr>
        <w:t xml:space="preserve"> in sicer so to projekti Evropske prestolnice kulture</w:t>
      </w:r>
      <w:r w:rsidR="188725B2" w:rsidRPr="00052B97">
        <w:rPr>
          <w:rFonts w:cs="Arial"/>
        </w:rPr>
        <w:t>: SU</w:t>
      </w:r>
      <w:r w:rsidR="034F5365" w:rsidRPr="00052B97">
        <w:rPr>
          <w:rFonts w:cs="Arial"/>
        </w:rPr>
        <w:t>PER 8</w:t>
      </w:r>
      <w:r w:rsidR="7F469831" w:rsidRPr="00052B97">
        <w:rPr>
          <w:rFonts w:cs="Arial"/>
        </w:rPr>
        <w:t xml:space="preserve">, </w:t>
      </w:r>
      <w:r w:rsidR="40F34A1D" w:rsidRPr="00052B97">
        <w:rPr>
          <w:rFonts w:cs="Arial"/>
        </w:rPr>
        <w:t xml:space="preserve">EPK GO!2025 - Revitalizacija trga Evrope </w:t>
      </w:r>
      <w:r w:rsidR="65F58640" w:rsidRPr="00052B97">
        <w:rPr>
          <w:rFonts w:cs="Arial"/>
        </w:rPr>
        <w:t>in EPK GO!2025 - EPIC</w:t>
      </w:r>
      <w:r w:rsidR="368D274B" w:rsidRPr="00052B97">
        <w:rPr>
          <w:rFonts w:cs="Arial"/>
        </w:rPr>
        <w:t>,</w:t>
      </w:r>
      <w:r w:rsidR="65F58640" w:rsidRPr="00052B97">
        <w:rPr>
          <w:rFonts w:cs="Arial"/>
        </w:rPr>
        <w:t xml:space="preserve"> </w:t>
      </w:r>
      <w:r w:rsidR="184F5713" w:rsidRPr="00052B97">
        <w:rPr>
          <w:rFonts w:cs="Arial"/>
        </w:rPr>
        <w:t xml:space="preserve">za katere je OU izdal odločitve o podpori </w:t>
      </w:r>
      <w:r w:rsidR="40F34A1D" w:rsidRPr="00052B97">
        <w:rPr>
          <w:rFonts w:cs="Arial"/>
        </w:rPr>
        <w:t xml:space="preserve">v skupni vrednosti </w:t>
      </w:r>
      <w:r w:rsidR="1B2746C7" w:rsidRPr="00052B97">
        <w:rPr>
          <w:rFonts w:cs="Arial"/>
        </w:rPr>
        <w:t>3</w:t>
      </w:r>
      <w:r w:rsidR="40F34A1D" w:rsidRPr="00052B97">
        <w:rPr>
          <w:rFonts w:cs="Arial"/>
        </w:rPr>
        <w:t>,</w:t>
      </w:r>
      <w:r w:rsidR="7A0F0EE7" w:rsidRPr="00052B97">
        <w:rPr>
          <w:rFonts w:cs="Arial"/>
        </w:rPr>
        <w:t>9</w:t>
      </w:r>
      <w:r w:rsidR="40F34A1D" w:rsidRPr="00052B97">
        <w:rPr>
          <w:rFonts w:cs="Arial"/>
        </w:rPr>
        <w:t xml:space="preserve"> mio EUR</w:t>
      </w:r>
      <w:r w:rsidR="6BD9C9D4" w:rsidRPr="00052B97">
        <w:rPr>
          <w:rFonts w:cs="Arial"/>
        </w:rPr>
        <w:t>.</w:t>
      </w:r>
      <w:r w:rsidR="2E91A401" w:rsidRPr="00052B97">
        <w:rPr>
          <w:rFonts w:cs="Arial"/>
        </w:rPr>
        <w:t xml:space="preserve"> </w:t>
      </w:r>
      <w:r w:rsidR="5FFD6150" w:rsidRPr="00052B97">
        <w:rPr>
          <w:rFonts w:cs="Arial"/>
        </w:rPr>
        <w:t>Vse tri operacijo so že zaključene.</w:t>
      </w:r>
    </w:p>
    <w:p w14:paraId="014508D4" w14:textId="77777777" w:rsidR="00391161" w:rsidRPr="00052B97" w:rsidRDefault="00391161" w:rsidP="003006BF">
      <w:pPr>
        <w:spacing w:after="0"/>
        <w:rPr>
          <w:rFonts w:cs="Arial"/>
        </w:rPr>
      </w:pPr>
    </w:p>
    <w:p w14:paraId="0B9CD104" w14:textId="77777777" w:rsidR="00A32A8B" w:rsidRPr="00052B97" w:rsidRDefault="5067C361" w:rsidP="7E32E97F">
      <w:pPr>
        <w:pStyle w:val="Naslov3"/>
        <w:rPr>
          <w:rFonts w:cs="Arial"/>
          <w:sz w:val="20"/>
          <w:szCs w:val="20"/>
        </w:rPr>
      </w:pPr>
      <w:bookmarkStart w:id="221" w:name="_Toc204675693"/>
      <w:bookmarkStart w:id="222" w:name="_Toc204695197"/>
      <w:bookmarkStart w:id="223" w:name="_Toc219974408"/>
      <w:bookmarkEnd w:id="221"/>
      <w:bookmarkEnd w:id="222"/>
      <w:r w:rsidRPr="00052B97">
        <w:rPr>
          <w:rFonts w:cs="Arial"/>
          <w:sz w:val="20"/>
          <w:szCs w:val="20"/>
        </w:rPr>
        <w:t>Dogovor za razvoj regij (DRR)</w:t>
      </w:r>
      <w:bookmarkEnd w:id="223"/>
    </w:p>
    <w:p w14:paraId="1A0B3D3A" w14:textId="77777777" w:rsidR="00A32A8B" w:rsidRPr="00052B97" w:rsidRDefault="00A32A8B" w:rsidP="7E32E97F">
      <w:pPr>
        <w:spacing w:after="0"/>
        <w:jc w:val="both"/>
        <w:rPr>
          <w:rFonts w:cs="Arial"/>
        </w:rPr>
      </w:pPr>
    </w:p>
    <w:p w14:paraId="2AC203F6" w14:textId="392A73E7" w:rsidR="008D6B60" w:rsidRPr="00052B97" w:rsidRDefault="250A4CDE" w:rsidP="00052B97">
      <w:pPr>
        <w:spacing w:after="0" w:line="257" w:lineRule="auto"/>
        <w:jc w:val="both"/>
        <w:rPr>
          <w:rFonts w:eastAsia="Republika" w:cs="Arial"/>
        </w:rPr>
      </w:pPr>
      <w:r w:rsidRPr="00052B97">
        <w:rPr>
          <w:rFonts w:eastAsia="Republika" w:cs="Arial"/>
        </w:rPr>
        <w:t xml:space="preserve"> Za programsko obdobje 2021–2027 je potrjenih vseh 12 Regionalnih razvojnih programov. Na tej podlagi je bil konec meseca junija 2023 objavljeno Povabilo razvojnim svetom regij za pripravo in podpis dogovorov za razvoj regij za programsko obdobje 2021−2027 (v nadaljevanju: Povabilo). Predmet celovitega </w:t>
      </w:r>
      <w:r w:rsidR="00F3375D">
        <w:rPr>
          <w:rFonts w:eastAsia="Republika" w:cs="Arial"/>
        </w:rPr>
        <w:t>P</w:t>
      </w:r>
      <w:r w:rsidRPr="00052B97">
        <w:rPr>
          <w:rFonts w:eastAsia="Republika" w:cs="Arial"/>
        </w:rPr>
        <w:t>ovabila je poziv 12 razvojnim regijam k predložitvi osnutkov dogovorov za razvoj regij za programsko obdobje 2021−2027. Predmet prvotnega povabila iz junija 2023 je bilo sofinanciranje projektov v okviru »Prednostne naloge: 1. Inovacijska družba znanja, RSO1.3, Krepitev trajnostne rasti in konkurenčnosti malih in srednjih podjetij ter ustvarjanje delovnih mest v malih in srednjih podjetjih, med drugim s produktivnimi naložbami (ESRR) – Podjetno nad izzive (PONI) v višini 18,47 mio EUR.</w:t>
      </w:r>
    </w:p>
    <w:p w14:paraId="5E222DCE" w14:textId="4263C2B9" w:rsidR="5067C361" w:rsidRPr="00052B97" w:rsidRDefault="5067C361" w:rsidP="00052B97">
      <w:pPr>
        <w:spacing w:after="0"/>
        <w:jc w:val="both"/>
        <w:rPr>
          <w:rFonts w:eastAsia="Republika" w:cs="Arial"/>
        </w:rPr>
      </w:pPr>
    </w:p>
    <w:p w14:paraId="14F24D5F" w14:textId="53F7A9A5" w:rsidR="75D8AD7C" w:rsidRPr="00052B97" w:rsidRDefault="75D8AD7C" w:rsidP="000C4A26">
      <w:pPr>
        <w:spacing w:after="0"/>
        <w:jc w:val="both"/>
        <w:rPr>
          <w:rFonts w:cs="Arial"/>
        </w:rPr>
      </w:pPr>
      <w:r w:rsidRPr="00052B97">
        <w:rPr>
          <w:rFonts w:cs="Arial"/>
        </w:rPr>
        <w:t xml:space="preserve">Povabilo za pripravo dogovorov za razvoj regij se je nato v marcu 2024 dopolnilo še z vsemi ostalimi predvidenimi vsebinami: </w:t>
      </w:r>
    </w:p>
    <w:p w14:paraId="5D41FBCE" w14:textId="40757E1F" w:rsidR="7E32E97F" w:rsidRPr="00052B97" w:rsidRDefault="7E32E97F" w:rsidP="00052B97">
      <w:pPr>
        <w:spacing w:after="0"/>
        <w:jc w:val="both"/>
        <w:rPr>
          <w:rFonts w:eastAsia="Republika" w:cs="Arial"/>
        </w:rPr>
      </w:pPr>
    </w:p>
    <w:p w14:paraId="29BC7D65" w14:textId="0913C39A" w:rsidR="75D8AD7C" w:rsidRPr="00052B97" w:rsidRDefault="75D8AD7C" w:rsidP="000C4A26">
      <w:pPr>
        <w:pStyle w:val="Odstavekseznama"/>
        <w:numPr>
          <w:ilvl w:val="0"/>
          <w:numId w:val="5"/>
        </w:numPr>
        <w:spacing w:after="0" w:line="257" w:lineRule="auto"/>
        <w:jc w:val="both"/>
        <w:rPr>
          <w:rFonts w:eastAsia="Republika" w:cs="Arial"/>
        </w:rPr>
      </w:pPr>
      <w:r w:rsidRPr="00052B97">
        <w:rPr>
          <w:rFonts w:eastAsia="Republika" w:cs="Arial"/>
        </w:rPr>
        <w:t>specifični cilj: RSO1.3</w:t>
      </w:r>
      <w:r w:rsidR="00444550">
        <w:rPr>
          <w:rFonts w:eastAsia="Republika" w:cs="Arial"/>
        </w:rPr>
        <w:t xml:space="preserve"> - </w:t>
      </w:r>
      <w:r w:rsidRPr="00052B97">
        <w:rPr>
          <w:rFonts w:eastAsia="Republika" w:cs="Arial"/>
        </w:rPr>
        <w:t xml:space="preserve"> Krepitev trajnostne rasti in konkurenčnosti malih in srednjih podjetij ter ustvarjanje delovnih mest v malih in srednjih podjetjih, med drugim s produktivnimi naložbami (ESRR) - Podjetniški inkubatorji</w:t>
      </w:r>
      <w:r w:rsidR="00444550">
        <w:rPr>
          <w:rFonts w:eastAsia="Republika" w:cs="Arial"/>
        </w:rPr>
        <w:t>;</w:t>
      </w:r>
      <w:r w:rsidRPr="00052B97">
        <w:rPr>
          <w:rFonts w:eastAsia="Republika" w:cs="Arial"/>
        </w:rPr>
        <w:t xml:space="preserve"> </w:t>
      </w:r>
    </w:p>
    <w:p w14:paraId="6291803F" w14:textId="3EA7FFF5" w:rsidR="75D8AD7C" w:rsidRPr="00052B97" w:rsidRDefault="75D8AD7C" w:rsidP="000C4A26">
      <w:pPr>
        <w:pStyle w:val="Odstavekseznama"/>
        <w:numPr>
          <w:ilvl w:val="0"/>
          <w:numId w:val="5"/>
        </w:numPr>
        <w:spacing w:after="0" w:line="257" w:lineRule="auto"/>
        <w:jc w:val="both"/>
        <w:rPr>
          <w:rFonts w:eastAsia="Republika" w:cs="Arial"/>
        </w:rPr>
      </w:pPr>
      <w:r w:rsidRPr="00052B97">
        <w:rPr>
          <w:rFonts w:eastAsia="Republika" w:cs="Arial"/>
        </w:rPr>
        <w:t xml:space="preserve">specifični cilj: RSO2.5 </w:t>
      </w:r>
      <w:r w:rsidR="00444550">
        <w:rPr>
          <w:rFonts w:eastAsia="Republika" w:cs="Arial"/>
        </w:rPr>
        <w:t xml:space="preserve">- </w:t>
      </w:r>
      <w:r w:rsidRPr="00052B97">
        <w:rPr>
          <w:rFonts w:eastAsia="Republika" w:cs="Arial"/>
        </w:rPr>
        <w:t>Spodbujanje dostopa do vode in trajnostnega gospodarjenja z vodnimi viri (KS); odvajanje in čiščenje odpadne vode, pitna voda</w:t>
      </w:r>
      <w:r w:rsidR="00444550">
        <w:rPr>
          <w:rFonts w:eastAsia="Republika" w:cs="Arial"/>
        </w:rPr>
        <w:t>;</w:t>
      </w:r>
    </w:p>
    <w:p w14:paraId="516801A8" w14:textId="08E19433" w:rsidR="75D8AD7C" w:rsidRPr="00052B97" w:rsidRDefault="75D8AD7C" w:rsidP="000C4A26">
      <w:pPr>
        <w:pStyle w:val="Odstavekseznama"/>
        <w:numPr>
          <w:ilvl w:val="0"/>
          <w:numId w:val="5"/>
        </w:numPr>
        <w:spacing w:after="0" w:line="257" w:lineRule="auto"/>
        <w:jc w:val="both"/>
        <w:rPr>
          <w:rFonts w:eastAsia="Republika" w:cs="Arial"/>
        </w:rPr>
      </w:pPr>
      <w:r w:rsidRPr="00052B97">
        <w:rPr>
          <w:rFonts w:eastAsia="Republika" w:cs="Arial"/>
        </w:rPr>
        <w:t>specifični cilj: RSO2.7</w:t>
      </w:r>
      <w:r w:rsidR="00444550">
        <w:rPr>
          <w:rFonts w:eastAsia="Republika" w:cs="Arial"/>
        </w:rPr>
        <w:t>-</w:t>
      </w:r>
      <w:r w:rsidRPr="00052B97">
        <w:rPr>
          <w:rFonts w:eastAsia="Republika" w:cs="Arial"/>
        </w:rPr>
        <w:t xml:space="preserve"> Izboljšanje varstva in ohranjanja narave ter biotske raznovrstnosti in zelene infrastrukture, tudi v mestnem okolju in zmanjšanje vseh oblik onesnaževanja (ESRR)</w:t>
      </w:r>
      <w:r w:rsidR="00444550">
        <w:rPr>
          <w:rFonts w:eastAsia="Republika" w:cs="Arial"/>
        </w:rPr>
        <w:t>;</w:t>
      </w:r>
    </w:p>
    <w:p w14:paraId="5F89C2A9" w14:textId="50FF23B8" w:rsidR="75D8AD7C" w:rsidRPr="00052B97" w:rsidRDefault="75D8AD7C" w:rsidP="000C4A26">
      <w:pPr>
        <w:pStyle w:val="Odstavekseznama"/>
        <w:numPr>
          <w:ilvl w:val="0"/>
          <w:numId w:val="5"/>
        </w:numPr>
        <w:spacing w:after="0" w:line="257" w:lineRule="auto"/>
        <w:jc w:val="both"/>
        <w:rPr>
          <w:rFonts w:eastAsia="Republika" w:cs="Arial"/>
        </w:rPr>
      </w:pPr>
      <w:r w:rsidRPr="00052B97">
        <w:rPr>
          <w:rFonts w:eastAsia="Republika" w:cs="Arial"/>
        </w:rPr>
        <w:t>specifični cilj: RSO3.2</w:t>
      </w:r>
      <w:r w:rsidR="00444550">
        <w:rPr>
          <w:rFonts w:eastAsia="Republika" w:cs="Arial"/>
        </w:rPr>
        <w:t>-</w:t>
      </w:r>
      <w:r w:rsidRPr="00052B97">
        <w:rPr>
          <w:rFonts w:eastAsia="Republika" w:cs="Arial"/>
        </w:rPr>
        <w:t xml:space="preserve"> Razvoj in krepitev trajnostne, pametne in intermodalne nacionalne, regionalne in lokalne mobilnosti, odporne proti podnebnim spremembam, vključno z boljšim dostopom do omrežja TEN-T in čezmejno mobilnostjo (KS)</w:t>
      </w:r>
      <w:r w:rsidR="7271B6A1" w:rsidRPr="00052B97">
        <w:rPr>
          <w:rFonts w:eastAsia="Republika" w:cs="Arial"/>
        </w:rPr>
        <w:t>.</w:t>
      </w:r>
    </w:p>
    <w:p w14:paraId="7CFCADF2" w14:textId="77777777" w:rsidR="00A32A8B" w:rsidRPr="00052B97" w:rsidRDefault="00A32A8B" w:rsidP="7E32E97F">
      <w:pPr>
        <w:spacing w:after="0"/>
        <w:jc w:val="both"/>
        <w:rPr>
          <w:rFonts w:cs="Arial"/>
        </w:rPr>
      </w:pPr>
    </w:p>
    <w:p w14:paraId="5814F6AA" w14:textId="006AB5A8" w:rsidR="200BA694" w:rsidRPr="00052B97" w:rsidRDefault="73D81C3E" w:rsidP="7E32E97F">
      <w:pPr>
        <w:spacing w:after="160" w:line="257" w:lineRule="auto"/>
        <w:jc w:val="both"/>
        <w:rPr>
          <w:rFonts w:eastAsia="Republika" w:cs="Arial"/>
        </w:rPr>
      </w:pPr>
      <w:r w:rsidRPr="00052B97">
        <w:rPr>
          <w:rFonts w:eastAsia="Republika" w:cs="Arial"/>
        </w:rPr>
        <w:lastRenderedPageBreak/>
        <w:t xml:space="preserve">Skupni obseg sredstev po tej dopolnitvi Povabila znaša </w:t>
      </w:r>
      <w:r w:rsidRPr="00806393">
        <w:rPr>
          <w:rFonts w:eastAsia="Republika" w:cs="Arial"/>
        </w:rPr>
        <w:t>440,07</w:t>
      </w:r>
      <w:r w:rsidRPr="00052B97">
        <w:rPr>
          <w:rFonts w:eastAsia="Republika" w:cs="Arial"/>
        </w:rPr>
        <w:t xml:space="preserve"> mio EUR, od tega </w:t>
      </w:r>
      <w:r w:rsidRPr="00806393">
        <w:rPr>
          <w:rFonts w:eastAsia="Republika" w:cs="Arial"/>
        </w:rPr>
        <w:t>286,04</w:t>
      </w:r>
      <w:r w:rsidRPr="00052B97">
        <w:rPr>
          <w:rFonts w:eastAsia="Republika" w:cs="Arial"/>
        </w:rPr>
        <w:t xml:space="preserve"> mio EUR za kohezijsko regijo Vzhodna Slovenija in </w:t>
      </w:r>
      <w:r w:rsidRPr="00806393">
        <w:rPr>
          <w:rFonts w:eastAsia="Republika" w:cs="Arial"/>
        </w:rPr>
        <w:t>154,03</w:t>
      </w:r>
      <w:r w:rsidRPr="00052B97">
        <w:rPr>
          <w:rFonts w:eastAsia="Republika" w:cs="Arial"/>
        </w:rPr>
        <w:t xml:space="preserve"> mio EUR za kohezijsko regijo Zahodna Slovenija. Regije trenutno intenzivno pripravljajo </w:t>
      </w:r>
      <w:r w:rsidR="00444550">
        <w:rPr>
          <w:rFonts w:eastAsia="Republika" w:cs="Arial"/>
        </w:rPr>
        <w:t xml:space="preserve">izvedbo </w:t>
      </w:r>
      <w:r w:rsidRPr="00052B97">
        <w:rPr>
          <w:rFonts w:eastAsia="Republika" w:cs="Arial"/>
        </w:rPr>
        <w:t>dogovor</w:t>
      </w:r>
      <w:r w:rsidR="00444550">
        <w:rPr>
          <w:rFonts w:eastAsia="Republika" w:cs="Arial"/>
        </w:rPr>
        <w:t>ov</w:t>
      </w:r>
      <w:r w:rsidRPr="00052B97">
        <w:rPr>
          <w:rFonts w:eastAsia="Republika" w:cs="Arial"/>
        </w:rPr>
        <w:t xml:space="preserve"> za razvoj regij, ki vključujejo regionalne, medregionalne in sektorske projekte.</w:t>
      </w:r>
    </w:p>
    <w:p w14:paraId="3D86040D" w14:textId="7CF900A0" w:rsidR="73D81C3E" w:rsidRPr="00052B97" w:rsidRDefault="73D81C3E" w:rsidP="000C4A26">
      <w:pPr>
        <w:spacing w:after="0" w:line="276" w:lineRule="auto"/>
        <w:jc w:val="both"/>
        <w:rPr>
          <w:rFonts w:eastAsia="Republika" w:cs="Arial"/>
        </w:rPr>
      </w:pPr>
      <w:r w:rsidRPr="00052B97">
        <w:rPr>
          <w:rFonts w:eastAsia="Republika" w:cs="Arial"/>
        </w:rPr>
        <w:t xml:space="preserve">Dopolnitev </w:t>
      </w:r>
      <w:r w:rsidR="00F3375D">
        <w:rPr>
          <w:rFonts w:eastAsia="Republika" w:cs="Arial"/>
        </w:rPr>
        <w:t>P</w:t>
      </w:r>
      <w:r w:rsidRPr="00052B97">
        <w:rPr>
          <w:rFonts w:eastAsia="Republika" w:cs="Arial"/>
        </w:rPr>
        <w:t>ovabila razvojnim svetom regij je bila pripravljena v sodelovanju še s pristojnimi tremi drugimi ministrstvi in sicer</w:t>
      </w:r>
      <w:r w:rsidR="00F3375D">
        <w:rPr>
          <w:rFonts w:eastAsia="Republika" w:cs="Arial"/>
        </w:rPr>
        <w:t xml:space="preserve"> z</w:t>
      </w:r>
      <w:r w:rsidRPr="00052B97">
        <w:rPr>
          <w:rFonts w:eastAsia="Republika" w:cs="Arial"/>
        </w:rPr>
        <w:t xml:space="preserve"> MNVP, MOPE in MZI. Vse regije so do roka za posredovanje osnutkov dopolnitev dogovorov s strani regij za zgoraj navedene vsebine, ki je bil 30. 10. 2024 posredovale dopolnjene osnutke dogovorov. V nadaljnjem postopku so bili slednji predhodno </w:t>
      </w:r>
      <w:r w:rsidR="00444550">
        <w:rPr>
          <w:rFonts w:eastAsia="Republika" w:cs="Arial"/>
        </w:rPr>
        <w:t xml:space="preserve">administrativno </w:t>
      </w:r>
      <w:r w:rsidRPr="00052B97">
        <w:rPr>
          <w:rFonts w:eastAsia="Republika" w:cs="Arial"/>
        </w:rPr>
        <w:t xml:space="preserve">pregledani s strani MKRR ter naknadno predloženi v </w:t>
      </w:r>
      <w:r w:rsidR="00444550">
        <w:rPr>
          <w:rFonts w:eastAsia="Republika" w:cs="Arial"/>
        </w:rPr>
        <w:t xml:space="preserve">vsebinski </w:t>
      </w:r>
      <w:r w:rsidRPr="00052B97">
        <w:rPr>
          <w:rFonts w:eastAsia="Republika" w:cs="Arial"/>
        </w:rPr>
        <w:t>pregled na pristojno ministrstvo (MOPE, MZI, MNVP).</w:t>
      </w:r>
    </w:p>
    <w:p w14:paraId="68B74406" w14:textId="77777777" w:rsidR="00F3375D" w:rsidRPr="00052B97" w:rsidRDefault="00F3375D" w:rsidP="00052B97">
      <w:pPr>
        <w:spacing w:after="0" w:line="257" w:lineRule="auto"/>
        <w:jc w:val="both"/>
        <w:rPr>
          <w:rFonts w:eastAsia="Republika" w:cs="Arial"/>
        </w:rPr>
      </w:pPr>
    </w:p>
    <w:p w14:paraId="5B9745A5" w14:textId="69A48BEF" w:rsidR="0790B889" w:rsidRPr="00052B97" w:rsidRDefault="0790B889" w:rsidP="00052B97">
      <w:pPr>
        <w:spacing w:after="0" w:line="257" w:lineRule="auto"/>
        <w:jc w:val="both"/>
        <w:rPr>
          <w:rFonts w:eastAsia="Republika" w:cs="Arial"/>
        </w:rPr>
      </w:pPr>
      <w:r w:rsidRPr="00052B97">
        <w:rPr>
          <w:rFonts w:eastAsia="Republika" w:cs="Arial"/>
        </w:rPr>
        <w:t xml:space="preserve">Do konca 2025 je bilo </w:t>
      </w:r>
      <w:r w:rsidR="5CEB2739" w:rsidRPr="00052B97">
        <w:rPr>
          <w:rFonts w:eastAsia="Republika" w:cs="Arial"/>
        </w:rPr>
        <w:t>potrjenih 2</w:t>
      </w:r>
      <w:r w:rsidR="18EFCF0D" w:rsidRPr="00052B97">
        <w:rPr>
          <w:rFonts w:eastAsia="Republika" w:cs="Arial"/>
        </w:rPr>
        <w:t>4</w:t>
      </w:r>
      <w:r w:rsidR="5CEB2739" w:rsidRPr="00052B97">
        <w:rPr>
          <w:rFonts w:eastAsia="Republika" w:cs="Arial"/>
        </w:rPr>
        <w:t xml:space="preserve"> operacij DRR. </w:t>
      </w:r>
      <w:r w:rsidR="2501E05A" w:rsidRPr="00052B97">
        <w:rPr>
          <w:rFonts w:eastAsia="Republika" w:cs="Arial"/>
        </w:rPr>
        <w:t xml:space="preserve">Za </w:t>
      </w:r>
      <w:r w:rsidR="5CEB2739" w:rsidRPr="00052B97">
        <w:rPr>
          <w:rFonts w:eastAsia="Republika" w:cs="Arial"/>
        </w:rPr>
        <w:t xml:space="preserve">12 </w:t>
      </w:r>
      <w:r w:rsidR="07CF8851" w:rsidRPr="00052B97">
        <w:rPr>
          <w:rFonts w:eastAsia="Republika" w:cs="Arial"/>
        </w:rPr>
        <w:t xml:space="preserve">operacij </w:t>
      </w:r>
      <w:r w:rsidR="5CEB2739" w:rsidRPr="00052B97">
        <w:rPr>
          <w:rFonts w:eastAsia="Republika" w:cs="Arial"/>
        </w:rPr>
        <w:t>PONI</w:t>
      </w:r>
      <w:r w:rsidR="0753FC4A" w:rsidRPr="00052B97">
        <w:rPr>
          <w:rFonts w:eastAsia="Republika" w:cs="Arial"/>
        </w:rPr>
        <w:t>, 1</w:t>
      </w:r>
      <w:r w:rsidR="796EBF26" w:rsidRPr="00052B97">
        <w:rPr>
          <w:rFonts w:eastAsia="Republika" w:cs="Arial"/>
        </w:rPr>
        <w:t>0</w:t>
      </w:r>
      <w:r w:rsidR="0753FC4A" w:rsidRPr="00052B97">
        <w:rPr>
          <w:rFonts w:eastAsia="Republika" w:cs="Arial"/>
        </w:rPr>
        <w:t xml:space="preserve"> operacij regijskih centrov mobilnosti ter d</w:t>
      </w:r>
      <w:r w:rsidR="73D81C3E" w:rsidRPr="00052B97">
        <w:rPr>
          <w:rFonts w:eastAsia="Republika" w:cs="Arial"/>
        </w:rPr>
        <w:t>v</w:t>
      </w:r>
      <w:r w:rsidR="69A66BB2" w:rsidRPr="00052B97">
        <w:rPr>
          <w:rFonts w:eastAsia="Republika" w:cs="Arial"/>
        </w:rPr>
        <w:t xml:space="preserve">e operaciji </w:t>
      </w:r>
      <w:r w:rsidR="73D81C3E" w:rsidRPr="00052B97">
        <w:rPr>
          <w:rFonts w:eastAsia="Republika" w:cs="Arial"/>
        </w:rPr>
        <w:t>izgradnje podjetniških inkubatorjev</w:t>
      </w:r>
      <w:r w:rsidR="17E3B69D" w:rsidRPr="00052B97">
        <w:rPr>
          <w:rFonts w:eastAsia="Republika" w:cs="Arial"/>
        </w:rPr>
        <w:t xml:space="preserve"> so bile izdane odločitve o podpori</w:t>
      </w:r>
      <w:r w:rsidR="3F8AA7F1" w:rsidRPr="00052B97">
        <w:rPr>
          <w:rFonts w:eastAsia="Republika" w:cs="Arial"/>
        </w:rPr>
        <w:t xml:space="preserve">. </w:t>
      </w:r>
      <w:r w:rsidR="1431A207" w:rsidRPr="00052B97">
        <w:rPr>
          <w:rFonts w:eastAsia="Republika" w:cs="Arial"/>
        </w:rPr>
        <w:t>Vse operacije</w:t>
      </w:r>
      <w:r w:rsidR="00444550">
        <w:rPr>
          <w:rFonts w:eastAsia="Republika" w:cs="Arial"/>
        </w:rPr>
        <w:t xml:space="preserve">, z izjemo ene, ki je bila že uspešno zaključena, </w:t>
      </w:r>
      <w:r w:rsidR="73D81C3E" w:rsidRPr="00052B97">
        <w:rPr>
          <w:rFonts w:eastAsia="Republika" w:cs="Arial"/>
        </w:rPr>
        <w:t>s</w:t>
      </w:r>
      <w:r w:rsidR="2FFA1618" w:rsidRPr="00052B97">
        <w:rPr>
          <w:rFonts w:eastAsia="Republika" w:cs="Arial"/>
        </w:rPr>
        <w:t xml:space="preserve">e </w:t>
      </w:r>
      <w:r w:rsidR="00444550">
        <w:rPr>
          <w:rFonts w:eastAsia="Republika" w:cs="Arial"/>
        </w:rPr>
        <w:t xml:space="preserve">še </w:t>
      </w:r>
      <w:r w:rsidR="2FFA1618" w:rsidRPr="00052B97">
        <w:rPr>
          <w:rFonts w:eastAsia="Republika" w:cs="Arial"/>
        </w:rPr>
        <w:t>izvajajo.</w:t>
      </w:r>
    </w:p>
    <w:p w14:paraId="55DAC35A" w14:textId="2177A5C7" w:rsidR="50253749" w:rsidRDefault="50253749" w:rsidP="50253749">
      <w:pPr>
        <w:spacing w:after="0"/>
        <w:jc w:val="both"/>
        <w:rPr>
          <w:rFonts w:cs="Arial"/>
        </w:rPr>
      </w:pPr>
    </w:p>
    <w:p w14:paraId="1B9CF7AA" w14:textId="539E4B8A" w:rsidR="00404987" w:rsidRPr="0025033E" w:rsidRDefault="01A61AC5" w:rsidP="7E32E97F">
      <w:pPr>
        <w:pStyle w:val="Naslov2"/>
        <w:spacing w:before="0"/>
      </w:pPr>
      <w:bookmarkStart w:id="224" w:name="_Toc219974409"/>
      <w:r>
        <w:t>SKLAD ZA PRAVIČNI PREHOD (SPP)</w:t>
      </w:r>
      <w:bookmarkEnd w:id="224"/>
    </w:p>
    <w:p w14:paraId="14AC09B9" w14:textId="77777777" w:rsidR="00404987" w:rsidRPr="0025033E" w:rsidRDefault="00404987" w:rsidP="00ED5676">
      <w:pPr>
        <w:spacing w:after="0"/>
        <w:jc w:val="both"/>
        <w:rPr>
          <w:rFonts w:cs="Arial"/>
        </w:rPr>
      </w:pPr>
    </w:p>
    <w:p w14:paraId="1A4BC207" w14:textId="506545A1" w:rsidR="00404987" w:rsidRPr="00404987" w:rsidRDefault="1CE4E815" w:rsidP="00ED5676">
      <w:pPr>
        <w:autoSpaceDN/>
        <w:spacing w:after="0"/>
        <w:jc w:val="both"/>
        <w:rPr>
          <w:rFonts w:eastAsia="Calibri" w:cs="Arial"/>
        </w:rPr>
      </w:pPr>
      <w:r w:rsidRPr="7E32E97F">
        <w:rPr>
          <w:rFonts w:eastAsia="Calibri" w:cs="Arial"/>
        </w:rPr>
        <w:t xml:space="preserve">Na pobudo in v sodelovanju z regijama sta bili v letu 2024 pripravljeni sprememba </w:t>
      </w:r>
      <w:r w:rsidR="73E1E71F" w:rsidRPr="7E32E97F">
        <w:rPr>
          <w:rFonts w:eastAsia="Calibri" w:cs="Arial"/>
        </w:rPr>
        <w:t xml:space="preserve">Območnega načrta za pravični prehod SAŠA (v nadaljevanju: </w:t>
      </w:r>
      <w:r w:rsidRPr="7E32E97F">
        <w:rPr>
          <w:rFonts w:eastAsia="Calibri" w:cs="Arial"/>
        </w:rPr>
        <w:t>ONPP SAŠA</w:t>
      </w:r>
      <w:r w:rsidR="73E1E71F" w:rsidRPr="7E32E97F">
        <w:rPr>
          <w:rFonts w:eastAsia="Calibri" w:cs="Arial"/>
        </w:rPr>
        <w:t>)</w:t>
      </w:r>
      <w:r w:rsidRPr="7E32E97F">
        <w:rPr>
          <w:rFonts w:eastAsia="Calibri" w:cs="Arial"/>
        </w:rPr>
        <w:t xml:space="preserve"> in sprememba ONPP Zasavje za zagotavljanje sinergij s projekti financirani</w:t>
      </w:r>
      <w:r w:rsidR="00444550">
        <w:rPr>
          <w:rFonts w:eastAsia="Calibri" w:cs="Arial"/>
        </w:rPr>
        <w:t>mi</w:t>
      </w:r>
      <w:r w:rsidRPr="7E32E97F">
        <w:rPr>
          <w:rFonts w:eastAsia="Calibri" w:cs="Arial"/>
        </w:rPr>
        <w:t xml:space="preserve"> v okviru instrumenta posojil za javni sektor (3. steber Mehanizma za pravični prehod). Spremembo PEKP ter spremembi ONPP SAŠA in ONPP Zasavje je dne 22.</w:t>
      </w:r>
      <w:r w:rsidR="2F3EC8E3" w:rsidRPr="7E32E97F">
        <w:rPr>
          <w:rFonts w:eastAsia="Calibri" w:cs="Arial"/>
        </w:rPr>
        <w:t xml:space="preserve"> </w:t>
      </w:r>
      <w:r w:rsidRPr="7E32E97F">
        <w:rPr>
          <w:rFonts w:eastAsia="Calibri" w:cs="Arial"/>
        </w:rPr>
        <w:t>11.</w:t>
      </w:r>
      <w:r w:rsidR="2F3EC8E3" w:rsidRPr="7E32E97F">
        <w:rPr>
          <w:rFonts w:eastAsia="Calibri" w:cs="Arial"/>
        </w:rPr>
        <w:t xml:space="preserve"> </w:t>
      </w:r>
      <w:r w:rsidRPr="7E32E97F">
        <w:rPr>
          <w:rFonts w:eastAsia="Calibri" w:cs="Arial"/>
        </w:rPr>
        <w:t xml:space="preserve">2024 potrdila EK. </w:t>
      </w:r>
      <w:r w:rsidR="00F3375D">
        <w:rPr>
          <w:rFonts w:eastAsia="Calibri" w:cs="Arial"/>
        </w:rPr>
        <w:t xml:space="preserve">Dne </w:t>
      </w:r>
      <w:r w:rsidR="48531F1D" w:rsidRPr="7E32E97F">
        <w:rPr>
          <w:rFonts w:eastAsia="Calibri" w:cs="Arial"/>
        </w:rPr>
        <w:t>2.</w:t>
      </w:r>
      <w:r w:rsidR="00F3375D">
        <w:rPr>
          <w:rFonts w:eastAsia="Calibri" w:cs="Arial"/>
        </w:rPr>
        <w:t xml:space="preserve"> </w:t>
      </w:r>
      <w:r w:rsidR="668B7F7F" w:rsidRPr="7E32E97F">
        <w:rPr>
          <w:rFonts w:eastAsia="Calibri" w:cs="Arial"/>
        </w:rPr>
        <w:t>9.</w:t>
      </w:r>
      <w:r w:rsidR="00F3375D">
        <w:rPr>
          <w:rFonts w:eastAsia="Calibri" w:cs="Arial"/>
        </w:rPr>
        <w:t xml:space="preserve"> </w:t>
      </w:r>
      <w:r w:rsidR="668B7F7F" w:rsidRPr="7E32E97F">
        <w:rPr>
          <w:rFonts w:eastAsia="Calibri" w:cs="Arial"/>
        </w:rPr>
        <w:t>2025 je EK potrdila novo spremembo PEKP, v okviru katere se je</w:t>
      </w:r>
      <w:r w:rsidR="5A10E6EB" w:rsidRPr="7E32E97F">
        <w:rPr>
          <w:rFonts w:eastAsia="Calibri" w:cs="Arial"/>
        </w:rPr>
        <w:t xml:space="preserve"> tudi na JSO 8.1</w:t>
      </w:r>
      <w:r w:rsidR="232C5FFB" w:rsidRPr="7E32E97F">
        <w:rPr>
          <w:rFonts w:eastAsia="Calibri" w:cs="Arial"/>
        </w:rPr>
        <w:t xml:space="preserve"> odpravilo napake in</w:t>
      </w:r>
      <w:r w:rsidR="668B7F7F" w:rsidRPr="7E32E97F">
        <w:rPr>
          <w:rFonts w:eastAsia="Calibri" w:cs="Arial"/>
        </w:rPr>
        <w:t xml:space="preserve"> </w:t>
      </w:r>
      <w:r w:rsidR="239CE4A6" w:rsidRPr="7E32E97F">
        <w:rPr>
          <w:rFonts w:eastAsia="Calibri" w:cs="Arial"/>
        </w:rPr>
        <w:t xml:space="preserve">prilagodilo </w:t>
      </w:r>
      <w:r w:rsidR="668B7F7F" w:rsidRPr="7E32E97F">
        <w:rPr>
          <w:rFonts w:eastAsia="Calibri" w:cs="Arial"/>
        </w:rPr>
        <w:t xml:space="preserve">kazalnike </w:t>
      </w:r>
      <w:r w:rsidR="78A01C9C" w:rsidRPr="7E32E97F">
        <w:rPr>
          <w:rFonts w:eastAsia="Calibri" w:cs="Arial"/>
        </w:rPr>
        <w:t>glede na predvidene ukrepe.</w:t>
      </w:r>
    </w:p>
    <w:p w14:paraId="675F53CB" w14:textId="77777777" w:rsidR="00404987" w:rsidRPr="00404987" w:rsidRDefault="00404987" w:rsidP="7E32E97F">
      <w:pPr>
        <w:autoSpaceDN/>
        <w:spacing w:after="0"/>
        <w:jc w:val="both"/>
        <w:rPr>
          <w:rFonts w:eastAsia="Calibri" w:cs="Arial"/>
        </w:rPr>
      </w:pPr>
    </w:p>
    <w:p w14:paraId="21FA2789" w14:textId="42E43705" w:rsidR="00052B97" w:rsidRDefault="1CE4E815" w:rsidP="7E32E97F">
      <w:pPr>
        <w:autoSpaceDN/>
        <w:spacing w:after="0"/>
        <w:jc w:val="both"/>
        <w:rPr>
          <w:rFonts w:eastAsia="Calibri" w:cs="Arial"/>
        </w:rPr>
      </w:pPr>
      <w:r w:rsidRPr="7E32E97F">
        <w:rPr>
          <w:rFonts w:eastAsia="Calibri" w:cs="Arial"/>
        </w:rPr>
        <w:t xml:space="preserve">Podatki o stanju izvajanja v celotnem obdobju kažejo, da izvajanje poteka počasneje od načrtovane dinamike, kljub </w:t>
      </w:r>
      <w:r w:rsidRPr="00F3375D">
        <w:rPr>
          <w:rFonts w:eastAsia="Calibri" w:cs="Arial"/>
        </w:rPr>
        <w:t xml:space="preserve">temu pa je od 248 mio EUR v okviru Sklada za pravični prehod skupaj izdanih odločitev o podpori za </w:t>
      </w:r>
      <w:r w:rsidR="06C88695" w:rsidRPr="00F3375D">
        <w:rPr>
          <w:rFonts w:eastAsia="Calibri" w:cs="Arial"/>
        </w:rPr>
        <w:t>204,1</w:t>
      </w:r>
      <w:r w:rsidRPr="001650A8">
        <w:rPr>
          <w:rFonts w:eastAsia="Calibri" w:cs="Arial"/>
        </w:rPr>
        <w:t xml:space="preserve"> mio EUR (</w:t>
      </w:r>
      <w:r w:rsidR="5C64C14F" w:rsidRPr="001650A8">
        <w:rPr>
          <w:rFonts w:eastAsia="Calibri" w:cs="Arial"/>
        </w:rPr>
        <w:t>82</w:t>
      </w:r>
      <w:r w:rsidRPr="001650A8">
        <w:rPr>
          <w:rFonts w:eastAsia="Calibri" w:cs="Arial"/>
        </w:rPr>
        <w:t xml:space="preserve"> %)</w:t>
      </w:r>
      <w:r w:rsidRPr="00F3375D">
        <w:rPr>
          <w:rFonts w:eastAsia="Calibri" w:cs="Arial"/>
        </w:rPr>
        <w:t>.</w:t>
      </w:r>
      <w:r w:rsidRPr="00F3375D">
        <w:rPr>
          <w:rFonts w:cs="Arial"/>
        </w:rPr>
        <w:t xml:space="preserve"> </w:t>
      </w:r>
      <w:r w:rsidRPr="00F3375D">
        <w:rPr>
          <w:rFonts w:eastAsia="Calibri" w:cs="Arial"/>
        </w:rPr>
        <w:t xml:space="preserve">Izplačila iz proračuna RS so realizirana v skupni višini </w:t>
      </w:r>
      <w:r w:rsidR="6329134C" w:rsidRPr="00F3375D">
        <w:rPr>
          <w:rFonts w:eastAsia="Calibri" w:cs="Arial"/>
        </w:rPr>
        <w:t>32.5</w:t>
      </w:r>
      <w:r w:rsidRPr="001650A8">
        <w:rPr>
          <w:rFonts w:eastAsia="Calibri" w:cs="Arial"/>
        </w:rPr>
        <w:t xml:space="preserve"> mio EUR EU del</w:t>
      </w:r>
      <w:r w:rsidRPr="00F3375D">
        <w:rPr>
          <w:rFonts w:eastAsia="Calibri" w:cs="Arial"/>
        </w:rPr>
        <w:t>a, kar predstavlja</w:t>
      </w:r>
      <w:r w:rsidR="6290D9FA" w:rsidRPr="00F3375D">
        <w:rPr>
          <w:rFonts w:eastAsia="Calibri" w:cs="Arial"/>
        </w:rPr>
        <w:t xml:space="preserve"> 13</w:t>
      </w:r>
      <w:r w:rsidRPr="00F3375D">
        <w:rPr>
          <w:rFonts w:eastAsia="Calibri" w:cs="Arial"/>
        </w:rPr>
        <w:t xml:space="preserve"> % glede na pravice porabe.</w:t>
      </w:r>
    </w:p>
    <w:p w14:paraId="5BEFFB9B" w14:textId="77777777" w:rsidR="00052B97" w:rsidRDefault="00052B97" w:rsidP="7E32E97F">
      <w:pPr>
        <w:autoSpaceDN/>
        <w:spacing w:after="0"/>
        <w:jc w:val="both"/>
        <w:rPr>
          <w:rFonts w:eastAsia="Calibri" w:cs="Arial"/>
        </w:rPr>
      </w:pPr>
    </w:p>
    <w:p w14:paraId="27CD332F" w14:textId="32A03178" w:rsidR="007201F1" w:rsidRPr="007201F1" w:rsidRDefault="1CE4E815" w:rsidP="7E32E97F">
      <w:pPr>
        <w:autoSpaceDN/>
        <w:spacing w:after="0"/>
        <w:jc w:val="both"/>
        <w:rPr>
          <w:rFonts w:eastAsia="Calibri" w:cs="Arial"/>
        </w:rPr>
      </w:pPr>
      <w:r w:rsidRPr="7E32E97F">
        <w:rPr>
          <w:rFonts w:eastAsia="Calibri" w:cs="Arial"/>
        </w:rPr>
        <w:t xml:space="preserve">V letu 2023 in 2024 je bila izdana odločitev o podpori za operacijo strateškega pomena, Center za demonstracije in usposabljanje za brezogljične tehnologije (Center DUBT) ter objavljeni </w:t>
      </w:r>
      <w:r w:rsidR="7F8FB0B6" w:rsidRPr="7E32E97F">
        <w:rPr>
          <w:rFonts w:eastAsia="Calibri" w:cs="Arial"/>
        </w:rPr>
        <w:t xml:space="preserve">trije </w:t>
      </w:r>
      <w:r w:rsidR="6194D152" w:rsidRPr="7E32E97F">
        <w:rPr>
          <w:rFonts w:eastAsia="Calibri" w:cs="Arial"/>
        </w:rPr>
        <w:t>javn</w:t>
      </w:r>
      <w:r w:rsidR="7E9993B4" w:rsidRPr="7E32E97F">
        <w:rPr>
          <w:rFonts w:eastAsia="Calibri" w:cs="Arial"/>
        </w:rPr>
        <w:t>i</w:t>
      </w:r>
      <w:r w:rsidR="6194D152" w:rsidRPr="7E32E97F">
        <w:rPr>
          <w:rFonts w:eastAsia="Calibri" w:cs="Arial"/>
        </w:rPr>
        <w:t xml:space="preserve"> razpis</w:t>
      </w:r>
      <w:r w:rsidR="2CBAC1DA" w:rsidRPr="7E32E97F">
        <w:rPr>
          <w:rFonts w:eastAsia="Calibri" w:cs="Arial"/>
        </w:rPr>
        <w:t>i</w:t>
      </w:r>
      <w:r w:rsidR="793B9601" w:rsidRPr="7E32E97F">
        <w:rPr>
          <w:rFonts w:eastAsia="Calibri" w:cs="Arial"/>
        </w:rPr>
        <w:t xml:space="preserve">, v okviru katerih </w:t>
      </w:r>
      <w:r w:rsidR="766D6A5F" w:rsidRPr="7E32E97F">
        <w:rPr>
          <w:rFonts w:eastAsia="Calibri" w:cs="Arial"/>
        </w:rPr>
        <w:t>je bil izborni postopek uspešen</w:t>
      </w:r>
      <w:r w:rsidRPr="7E32E97F">
        <w:rPr>
          <w:rFonts w:eastAsia="Calibri" w:cs="Arial"/>
        </w:rPr>
        <w:t>:</w:t>
      </w:r>
      <w:bookmarkStart w:id="225" w:name="_Hlk170891695"/>
      <w:r w:rsidR="1E878344" w:rsidRPr="7E32E97F">
        <w:rPr>
          <w:rFonts w:eastAsia="Calibri" w:cs="Arial"/>
        </w:rPr>
        <w:t xml:space="preserve"> </w:t>
      </w:r>
    </w:p>
    <w:p w14:paraId="254EE64A" w14:textId="42438022" w:rsidR="003E5733" w:rsidRPr="007201F1" w:rsidRDefault="1CE4E815" w:rsidP="7E32E97F">
      <w:pPr>
        <w:pStyle w:val="Odstavekseznama"/>
        <w:numPr>
          <w:ilvl w:val="0"/>
          <w:numId w:val="32"/>
        </w:numPr>
        <w:autoSpaceDN/>
        <w:spacing w:after="0"/>
        <w:jc w:val="both"/>
        <w:rPr>
          <w:rFonts w:eastAsia="Calibri" w:cs="Arial"/>
        </w:rPr>
      </w:pPr>
      <w:r w:rsidRPr="7E32E97F">
        <w:rPr>
          <w:rFonts w:eastAsia="Calibri" w:cs="Arial"/>
        </w:rPr>
        <w:t>JR za sofinanciranje projektov izgradnje ekonomsko – poslovne infrastrukture v Zasavski premogovni regiji</w:t>
      </w:r>
      <w:r w:rsidR="1F8C0DF0" w:rsidRPr="7E32E97F">
        <w:rPr>
          <w:rFonts w:eastAsia="Calibri" w:cs="Arial"/>
        </w:rPr>
        <w:t xml:space="preserve"> (za sofinanciranje izbrane tri operacije)</w:t>
      </w:r>
      <w:bookmarkStart w:id="226" w:name="_Hlk170891803"/>
      <w:bookmarkEnd w:id="225"/>
      <w:r w:rsidR="6194D152" w:rsidRPr="7E32E97F">
        <w:rPr>
          <w:rFonts w:eastAsia="Calibri" w:cs="Arial"/>
        </w:rPr>
        <w:t>;</w:t>
      </w:r>
    </w:p>
    <w:p w14:paraId="1C77CF8C" w14:textId="40C0086C" w:rsidR="003E5733" w:rsidRPr="00052B97" w:rsidRDefault="1CE4E815" w:rsidP="00052B97">
      <w:pPr>
        <w:pStyle w:val="Odstavekseznama"/>
        <w:numPr>
          <w:ilvl w:val="0"/>
          <w:numId w:val="32"/>
        </w:numPr>
        <w:autoSpaceDN/>
        <w:spacing w:after="0"/>
        <w:jc w:val="both"/>
        <w:rPr>
          <w:rFonts w:eastAsia="Calibri" w:cs="Arial"/>
        </w:rPr>
      </w:pPr>
      <w:r w:rsidRPr="7E32E97F">
        <w:rPr>
          <w:rFonts w:eastAsia="Calibri" w:cs="Arial"/>
        </w:rPr>
        <w:t>JR za sofinanciranje projektov izgradnje ekonomsko poslovne infrastrukture (podjetniških inkubatorjev) v Zasavski in Savinjsko-</w:t>
      </w:r>
      <w:r w:rsidR="00444550">
        <w:rPr>
          <w:rFonts w:eastAsia="Calibri" w:cs="Arial"/>
        </w:rPr>
        <w:t>š</w:t>
      </w:r>
      <w:r w:rsidRPr="7E32E97F">
        <w:rPr>
          <w:rFonts w:eastAsia="Calibri" w:cs="Arial"/>
        </w:rPr>
        <w:t>aleški (SAŠA) premogovni regiji</w:t>
      </w:r>
      <w:r w:rsidR="2E4FF227" w:rsidRPr="7E32E97F">
        <w:rPr>
          <w:rFonts w:eastAsia="Calibri" w:cs="Arial"/>
        </w:rPr>
        <w:t xml:space="preserve"> (za sofinanciranje izbrana ena operacija v Zasavski regiji)</w:t>
      </w:r>
      <w:bookmarkEnd w:id="226"/>
      <w:r w:rsidR="6194D152" w:rsidRPr="7E32E97F">
        <w:rPr>
          <w:rFonts w:eastAsia="Calibri" w:cs="Arial"/>
        </w:rPr>
        <w:t>;</w:t>
      </w:r>
    </w:p>
    <w:p w14:paraId="5EC81630" w14:textId="66374F0C" w:rsidR="00404987" w:rsidRPr="003E5733" w:rsidRDefault="6194D152" w:rsidP="7E32E97F">
      <w:pPr>
        <w:pStyle w:val="Odstavekseznama"/>
        <w:numPr>
          <w:ilvl w:val="0"/>
          <w:numId w:val="32"/>
        </w:numPr>
        <w:autoSpaceDN/>
        <w:spacing w:after="0"/>
        <w:jc w:val="both"/>
        <w:rPr>
          <w:rFonts w:eastAsia="Calibri" w:cs="Arial"/>
        </w:rPr>
      </w:pPr>
      <w:r w:rsidRPr="7E32E97F">
        <w:rPr>
          <w:rFonts w:eastAsia="Calibri" w:cs="Arial"/>
        </w:rPr>
        <w:t>JR</w:t>
      </w:r>
      <w:r w:rsidR="1CE4E815" w:rsidRPr="7E32E97F">
        <w:rPr>
          <w:rFonts w:eastAsia="Calibri" w:cs="Arial"/>
        </w:rPr>
        <w:t xml:space="preserve"> za sofinanciranje projektov izgradnje ekonomsko-poslovne infrastrukture Savinjsko-</w:t>
      </w:r>
      <w:r w:rsidR="00444550">
        <w:rPr>
          <w:rFonts w:eastAsia="Calibri" w:cs="Arial"/>
        </w:rPr>
        <w:t>š</w:t>
      </w:r>
      <w:r w:rsidR="1CE4E815" w:rsidRPr="7E32E97F">
        <w:rPr>
          <w:rFonts w:eastAsia="Calibri" w:cs="Arial"/>
        </w:rPr>
        <w:t>aleški (SAŠA) premogovni regiji v okviru Sklada za pravični prehod v obdobju 2023–2027</w:t>
      </w:r>
      <w:r w:rsidR="40566488" w:rsidRPr="7E32E97F">
        <w:rPr>
          <w:rFonts w:eastAsia="Calibri" w:cs="Arial"/>
        </w:rPr>
        <w:t xml:space="preserve"> (za sofinanciranje izbrana ena operacija)</w:t>
      </w:r>
      <w:r w:rsidR="1CE4E815" w:rsidRPr="7E32E97F">
        <w:rPr>
          <w:rFonts w:eastAsia="Calibri" w:cs="Arial"/>
        </w:rPr>
        <w:t>.</w:t>
      </w:r>
    </w:p>
    <w:p w14:paraId="27C4C3C7" w14:textId="77777777" w:rsidR="000523F8" w:rsidRPr="0025033E" w:rsidRDefault="000523F8" w:rsidP="7E32E97F">
      <w:pPr>
        <w:autoSpaceDN/>
        <w:spacing w:after="0"/>
        <w:jc w:val="both"/>
        <w:rPr>
          <w:rFonts w:eastAsia="Calibri" w:cs="Arial"/>
        </w:rPr>
      </w:pPr>
    </w:p>
    <w:p w14:paraId="27470BD7" w14:textId="238ECFF6" w:rsidR="00404987" w:rsidRPr="00404987" w:rsidRDefault="543A99BA" w:rsidP="7E32E97F">
      <w:pPr>
        <w:autoSpaceDN/>
        <w:spacing w:after="0"/>
        <w:jc w:val="both"/>
        <w:rPr>
          <w:rFonts w:eastAsia="Calibri" w:cs="Arial"/>
        </w:rPr>
      </w:pPr>
      <w:r w:rsidRPr="7E32E97F">
        <w:rPr>
          <w:rFonts w:eastAsia="Calibri" w:cs="Arial"/>
        </w:rPr>
        <w:t xml:space="preserve">V prvem polletju 2025 </w:t>
      </w:r>
      <w:r w:rsidR="02E41EAD" w:rsidRPr="7E32E97F">
        <w:rPr>
          <w:rFonts w:eastAsia="Calibri" w:cs="Arial"/>
        </w:rPr>
        <w:t>so</w:t>
      </w:r>
      <w:r w:rsidRPr="7E32E97F">
        <w:rPr>
          <w:rFonts w:eastAsia="Calibri" w:cs="Arial"/>
        </w:rPr>
        <w:t xml:space="preserve"> bil</w:t>
      </w:r>
      <w:r w:rsidR="34DCF0AE" w:rsidRPr="7E32E97F">
        <w:rPr>
          <w:rFonts w:eastAsia="Calibri" w:cs="Arial"/>
        </w:rPr>
        <w:t>i</w:t>
      </w:r>
      <w:r w:rsidRPr="7E32E97F">
        <w:rPr>
          <w:rFonts w:eastAsia="Calibri" w:cs="Arial"/>
        </w:rPr>
        <w:t xml:space="preserve"> objavljen</w:t>
      </w:r>
      <w:r w:rsidR="7075659F" w:rsidRPr="7E32E97F">
        <w:rPr>
          <w:rFonts w:eastAsia="Calibri" w:cs="Arial"/>
        </w:rPr>
        <w:t>i trije javni razpisi:</w:t>
      </w:r>
    </w:p>
    <w:p w14:paraId="78AC16B6" w14:textId="6BFE4C5B" w:rsidR="00404987" w:rsidRPr="00404987" w:rsidRDefault="739AE1D8" w:rsidP="001650A8">
      <w:pPr>
        <w:pStyle w:val="Odstavekseznama"/>
        <w:numPr>
          <w:ilvl w:val="0"/>
          <w:numId w:val="32"/>
        </w:numPr>
        <w:autoSpaceDN/>
        <w:spacing w:after="0"/>
        <w:jc w:val="both"/>
        <w:rPr>
          <w:rFonts w:eastAsia="Calibri" w:cs="Arial"/>
        </w:rPr>
      </w:pPr>
      <w:r w:rsidRPr="7E32E97F">
        <w:rPr>
          <w:rFonts w:eastAsia="Calibri" w:cs="Arial"/>
        </w:rPr>
        <w:t>Javni razpis za sofinanciranje projektov izgradnje ekonomsko-poslovne infrastrukture (podjetniških inkubatorjev) v Savinjsko-</w:t>
      </w:r>
      <w:r w:rsidR="00444550">
        <w:rPr>
          <w:rFonts w:eastAsia="Calibri" w:cs="Arial"/>
        </w:rPr>
        <w:t>š</w:t>
      </w:r>
      <w:r w:rsidRPr="7E32E97F">
        <w:rPr>
          <w:rFonts w:eastAsia="Calibri" w:cs="Arial"/>
        </w:rPr>
        <w:t>aleški (SAŠA) premogovni regiji</w:t>
      </w:r>
      <w:r w:rsidR="19500CF3" w:rsidRPr="7E32E97F">
        <w:rPr>
          <w:rFonts w:eastAsia="Calibri" w:cs="Arial"/>
        </w:rPr>
        <w:t>,</w:t>
      </w:r>
      <w:r w:rsidR="68EDCA1C" w:rsidRPr="7E32E97F">
        <w:rPr>
          <w:rFonts w:eastAsia="Calibri" w:cs="Arial"/>
        </w:rPr>
        <w:t xml:space="preserve"> (</w:t>
      </w:r>
      <w:r w:rsidR="19500CF3" w:rsidRPr="7E32E97F">
        <w:rPr>
          <w:rFonts w:eastAsia="Calibri" w:cs="Arial"/>
        </w:rPr>
        <w:t>JR za sofinanciranje projektov izgradnje ekonomsko-poslovne infrastrukture (podjetniških inkubatorjev) v Zasavski in Savinjsko-</w:t>
      </w:r>
      <w:r w:rsidR="00444550">
        <w:rPr>
          <w:rFonts w:eastAsia="Calibri" w:cs="Arial"/>
        </w:rPr>
        <w:t>š</w:t>
      </w:r>
      <w:r w:rsidR="19500CF3" w:rsidRPr="7E32E97F">
        <w:rPr>
          <w:rFonts w:eastAsia="Calibri" w:cs="Arial"/>
        </w:rPr>
        <w:t>aleški (SAŠA) premogovni regiji</w:t>
      </w:r>
      <w:r w:rsidR="5C8A9E31" w:rsidRPr="7E32E97F">
        <w:rPr>
          <w:rFonts w:eastAsia="Calibri" w:cs="Arial"/>
        </w:rPr>
        <w:t>, objavljen v letu 202</w:t>
      </w:r>
      <w:r w:rsidR="391EAEB6" w:rsidRPr="7E32E97F">
        <w:rPr>
          <w:rFonts w:eastAsia="Calibri" w:cs="Arial"/>
        </w:rPr>
        <w:t>3</w:t>
      </w:r>
      <w:r w:rsidR="5C8A9E31" w:rsidRPr="7E32E97F">
        <w:rPr>
          <w:rFonts w:eastAsia="Calibri" w:cs="Arial"/>
        </w:rPr>
        <w:t>,</w:t>
      </w:r>
      <w:r w:rsidR="19500CF3" w:rsidRPr="7E32E97F">
        <w:rPr>
          <w:rFonts w:eastAsia="Calibri" w:cs="Arial"/>
        </w:rPr>
        <w:t xml:space="preserve"> </w:t>
      </w:r>
      <w:r w:rsidR="5E072D58" w:rsidRPr="7E32E97F">
        <w:rPr>
          <w:rFonts w:eastAsia="Calibri" w:cs="Arial"/>
        </w:rPr>
        <w:t xml:space="preserve">je bil </w:t>
      </w:r>
      <w:r w:rsidR="19500CF3" w:rsidRPr="7E32E97F">
        <w:rPr>
          <w:rFonts w:eastAsia="Calibri" w:cs="Arial"/>
        </w:rPr>
        <w:t xml:space="preserve">za Savinjsko-šaleško </w:t>
      </w:r>
      <w:r w:rsidR="03B548F3" w:rsidRPr="7E32E97F">
        <w:rPr>
          <w:rFonts w:eastAsia="Calibri" w:cs="Arial"/>
        </w:rPr>
        <w:t xml:space="preserve">regijo </w:t>
      </w:r>
      <w:r w:rsidR="19500CF3" w:rsidRPr="7E32E97F">
        <w:rPr>
          <w:rFonts w:eastAsia="Calibri" w:cs="Arial"/>
        </w:rPr>
        <w:t>tem delu preklican in se je zaključil brez izbora operacij</w:t>
      </w:r>
      <w:r w:rsidR="252A1333" w:rsidRPr="7E32E97F">
        <w:rPr>
          <w:rFonts w:eastAsia="Calibri" w:cs="Arial"/>
        </w:rPr>
        <w:t>).</w:t>
      </w:r>
    </w:p>
    <w:p w14:paraId="428FA42E" w14:textId="60DC2062" w:rsidR="0560165B" w:rsidRDefault="00444550" w:rsidP="00052B97">
      <w:pPr>
        <w:spacing w:after="0"/>
        <w:ind w:firstLine="720"/>
        <w:jc w:val="both"/>
        <w:rPr>
          <w:rFonts w:eastAsia="Calibri" w:cs="Arial"/>
        </w:rPr>
      </w:pPr>
      <w:r>
        <w:rPr>
          <w:rFonts w:eastAsia="Calibri" w:cs="Arial"/>
        </w:rPr>
        <w:t>Na JR v letu 2025 pa sta bili z</w:t>
      </w:r>
      <w:r w:rsidR="375270AE" w:rsidRPr="7E32E97F">
        <w:rPr>
          <w:rFonts w:eastAsia="Calibri" w:cs="Arial"/>
        </w:rPr>
        <w:t>a sofinanciranje izbrani dve operaciji.</w:t>
      </w:r>
    </w:p>
    <w:p w14:paraId="5651EB4B" w14:textId="77777777" w:rsidR="00F3375D" w:rsidRDefault="00F3375D" w:rsidP="00052B97">
      <w:pPr>
        <w:spacing w:after="0"/>
        <w:ind w:firstLine="720"/>
        <w:jc w:val="both"/>
        <w:rPr>
          <w:rFonts w:eastAsia="Calibri" w:cs="Arial"/>
        </w:rPr>
      </w:pPr>
    </w:p>
    <w:p w14:paraId="28ACAC7A" w14:textId="52FE0B52" w:rsidR="000523F8" w:rsidRDefault="2E6D9A68" w:rsidP="00C13272">
      <w:pPr>
        <w:pStyle w:val="Odstavekseznama"/>
        <w:numPr>
          <w:ilvl w:val="0"/>
          <w:numId w:val="45"/>
        </w:numPr>
        <w:spacing w:after="0"/>
        <w:jc w:val="both"/>
      </w:pPr>
      <w:r w:rsidRPr="7E32E97F">
        <w:rPr>
          <w:rFonts w:eastAsia="Calibri" w:cs="Arial"/>
        </w:rPr>
        <w:t xml:space="preserve">Javni razpis Obogateno izvajanje </w:t>
      </w:r>
      <w:r>
        <w:t>kakovostnega in dostopnega učenja ter uvajanja krožnih vsebin v VIZ SAŠA regije</w:t>
      </w:r>
      <w:r w:rsidR="0B4378DE">
        <w:t xml:space="preserve"> (izbrana ena operacija)</w:t>
      </w:r>
      <w:r>
        <w:t xml:space="preserve"> in</w:t>
      </w:r>
    </w:p>
    <w:p w14:paraId="104ECDAE" w14:textId="5DDBA568" w:rsidR="707EE995" w:rsidRDefault="2E6D9A68" w:rsidP="00C13272">
      <w:pPr>
        <w:pStyle w:val="Odstavekseznama"/>
        <w:numPr>
          <w:ilvl w:val="0"/>
          <w:numId w:val="45"/>
        </w:numPr>
        <w:spacing w:after="0"/>
        <w:jc w:val="both"/>
      </w:pPr>
      <w:r>
        <w:t>Javni razpis Obogateno izvajanje kakovostnega in dostopnega učenja ter uvajanja krožnih vsebin v VIZ Zasavske regije</w:t>
      </w:r>
      <w:r w:rsidR="703E1A7B">
        <w:t xml:space="preserve"> (izbrana ena operacija)</w:t>
      </w:r>
      <w:r w:rsidR="61A8F249">
        <w:t>.</w:t>
      </w:r>
    </w:p>
    <w:p w14:paraId="4247F207" w14:textId="77777777" w:rsidR="00052B97" w:rsidRDefault="00052B97" w:rsidP="00052B97">
      <w:pPr>
        <w:spacing w:after="0"/>
        <w:jc w:val="both"/>
      </w:pPr>
    </w:p>
    <w:p w14:paraId="4F7C84EA" w14:textId="5BEAEDB3" w:rsidR="000523F8" w:rsidRDefault="0D0AF656" w:rsidP="000C4A26">
      <w:pPr>
        <w:spacing w:after="0"/>
        <w:jc w:val="both"/>
        <w:rPr>
          <w:rFonts w:eastAsia="Calibri" w:cs="Arial"/>
        </w:rPr>
      </w:pPr>
      <w:r w:rsidRPr="7E32E97F">
        <w:rPr>
          <w:rFonts w:eastAsia="Calibri" w:cs="Arial"/>
        </w:rPr>
        <w:lastRenderedPageBreak/>
        <w:t>V prvi polovici leta 2025 je bila izdana tudi odločitev o podpori za operacijo strateškega pomena, Preobrazba sistema daljinskega ogrevanja Šaleške doline – 1. faza</w:t>
      </w:r>
      <w:r w:rsidR="00DA2640">
        <w:rPr>
          <w:rFonts w:eastAsia="Calibri" w:cs="Arial"/>
        </w:rPr>
        <w:t>.</w:t>
      </w:r>
    </w:p>
    <w:p w14:paraId="7C0052FB" w14:textId="19D0A938" w:rsidR="7E32E97F" w:rsidRDefault="7E32E97F" w:rsidP="7E32E97F">
      <w:pPr>
        <w:spacing w:after="0"/>
        <w:jc w:val="both"/>
        <w:rPr>
          <w:rFonts w:eastAsia="Calibri" w:cs="Arial"/>
        </w:rPr>
      </w:pPr>
    </w:p>
    <w:p w14:paraId="74E91F7A" w14:textId="69A65A31" w:rsidR="00404987" w:rsidRPr="0025033E" w:rsidRDefault="210DC6FF" w:rsidP="7E32E97F">
      <w:pPr>
        <w:spacing w:after="0"/>
        <w:jc w:val="both"/>
        <w:rPr>
          <w:rFonts w:eastAsia="Calibri" w:cs="Arial"/>
        </w:rPr>
      </w:pPr>
      <w:r w:rsidRPr="7E32E97F">
        <w:rPr>
          <w:rFonts w:eastAsia="Calibri" w:cs="Arial"/>
        </w:rPr>
        <w:t>V</w:t>
      </w:r>
      <w:r w:rsidR="1CE4E815" w:rsidRPr="7E32E97F">
        <w:rPr>
          <w:rFonts w:eastAsia="Calibri" w:cs="Arial"/>
        </w:rPr>
        <w:t xml:space="preserve"> </w:t>
      </w:r>
      <w:r w:rsidR="793EA048" w:rsidRPr="7E32E97F">
        <w:rPr>
          <w:rFonts w:eastAsia="Calibri" w:cs="Arial"/>
        </w:rPr>
        <w:t xml:space="preserve">drugi polovici </w:t>
      </w:r>
      <w:r w:rsidR="1CE4E815" w:rsidRPr="7E32E97F">
        <w:rPr>
          <w:rFonts w:eastAsia="Calibri" w:cs="Arial"/>
        </w:rPr>
        <w:t>let</w:t>
      </w:r>
      <w:r w:rsidR="0E93C921" w:rsidRPr="7E32E97F">
        <w:rPr>
          <w:rFonts w:eastAsia="Calibri" w:cs="Arial"/>
        </w:rPr>
        <w:t>a</w:t>
      </w:r>
      <w:r w:rsidR="1CE4E815" w:rsidRPr="7E32E97F">
        <w:rPr>
          <w:rFonts w:eastAsia="Calibri" w:cs="Arial"/>
        </w:rPr>
        <w:t xml:space="preserve"> 2025</w:t>
      </w:r>
      <w:r w:rsidR="1BC97101" w:rsidRPr="7E32E97F">
        <w:rPr>
          <w:rFonts w:eastAsia="Calibri" w:cs="Arial"/>
        </w:rPr>
        <w:t xml:space="preserve"> sta bila objavljena </w:t>
      </w:r>
      <w:r w:rsidR="0DC15F9F" w:rsidRPr="7E32E97F">
        <w:rPr>
          <w:rFonts w:eastAsia="Calibri" w:cs="Arial"/>
        </w:rPr>
        <w:t xml:space="preserve">dva </w:t>
      </w:r>
      <w:r w:rsidR="1BC97101" w:rsidRPr="7E32E97F">
        <w:rPr>
          <w:rFonts w:eastAsia="Calibri" w:cs="Arial"/>
        </w:rPr>
        <w:t>JR</w:t>
      </w:r>
      <w:r w:rsidR="5E3AD72C" w:rsidRPr="7E32E97F">
        <w:rPr>
          <w:rFonts w:eastAsia="Calibri" w:cs="Arial"/>
        </w:rPr>
        <w:t>:</w:t>
      </w:r>
    </w:p>
    <w:p w14:paraId="02BDACF3" w14:textId="2B2732D8" w:rsidR="00404987" w:rsidRPr="0025033E" w:rsidRDefault="152E33C1" w:rsidP="000C4A26">
      <w:pPr>
        <w:pStyle w:val="Odstavekseznama"/>
        <w:numPr>
          <w:ilvl w:val="0"/>
          <w:numId w:val="1"/>
        </w:numPr>
        <w:spacing w:after="0"/>
        <w:jc w:val="both"/>
        <w:rPr>
          <w:rFonts w:eastAsia="Calibri" w:cs="Arial"/>
        </w:rPr>
      </w:pPr>
      <w:r w:rsidRPr="7E32E97F">
        <w:rPr>
          <w:rFonts w:eastAsia="Calibri" w:cs="Arial"/>
        </w:rPr>
        <w:t>JR za spodbujanje investicij v gospodarsko prestrukturiranje v Zasavski in Savinjsko-Šaleški premogovni regiji v okviru Sklada za pravični prehod v obdobju 2024</w:t>
      </w:r>
      <w:r w:rsidR="00F3375D" w:rsidRPr="00F3375D">
        <w:rPr>
          <w:rFonts w:eastAsia="Calibri" w:cs="Arial"/>
        </w:rPr>
        <w:t>–</w:t>
      </w:r>
      <w:r w:rsidRPr="7E32E97F">
        <w:rPr>
          <w:rFonts w:eastAsia="Calibri" w:cs="Arial"/>
        </w:rPr>
        <w:t>2027 -</w:t>
      </w:r>
      <w:r w:rsidR="7F71653C" w:rsidRPr="7E32E97F">
        <w:rPr>
          <w:rFonts w:eastAsia="Calibri" w:cs="Arial"/>
        </w:rPr>
        <w:t xml:space="preserve"> </w:t>
      </w:r>
      <w:r w:rsidR="5E3AD72C" w:rsidRPr="7E32E97F">
        <w:rPr>
          <w:rFonts w:eastAsia="Calibri" w:cs="Arial"/>
        </w:rPr>
        <w:t>podpora produktivnim naložbam</w:t>
      </w:r>
      <w:r w:rsidR="00DA2640">
        <w:rPr>
          <w:rFonts w:eastAsia="Calibri" w:cs="Arial"/>
        </w:rPr>
        <w:t>;</w:t>
      </w:r>
    </w:p>
    <w:p w14:paraId="1D41A39C" w14:textId="7783BB52" w:rsidR="03A5C402" w:rsidRDefault="03A5C402" w:rsidP="000C4A26">
      <w:pPr>
        <w:pStyle w:val="Odstavekseznama"/>
        <w:numPr>
          <w:ilvl w:val="0"/>
          <w:numId w:val="1"/>
        </w:numPr>
        <w:spacing w:after="0"/>
        <w:jc w:val="both"/>
        <w:rPr>
          <w:rFonts w:eastAsia="Calibri" w:cs="Arial"/>
        </w:rPr>
      </w:pPr>
      <w:r w:rsidRPr="7E32E97F">
        <w:rPr>
          <w:rFonts w:eastAsia="Calibri" w:cs="Arial"/>
        </w:rPr>
        <w:t>JR za sofinanciranje raziskovalno-razvojnih in demonstracijsko-pilotnih projektov v Zasavski in Savinjsko-šaleški premogovni regiji v okviru Sklada za pravični prehod</w:t>
      </w:r>
      <w:r w:rsidR="00DA2640">
        <w:rPr>
          <w:rFonts w:eastAsia="Calibri" w:cs="Arial"/>
        </w:rPr>
        <w:t>;</w:t>
      </w:r>
    </w:p>
    <w:p w14:paraId="43AD6883" w14:textId="6B2CB1E0" w:rsidR="7E32E97F" w:rsidRDefault="7E32E97F" w:rsidP="7E32E97F">
      <w:pPr>
        <w:spacing w:after="0"/>
        <w:jc w:val="both"/>
        <w:rPr>
          <w:rFonts w:eastAsia="Calibri" w:cs="Arial"/>
        </w:rPr>
      </w:pPr>
    </w:p>
    <w:p w14:paraId="739B067F" w14:textId="6079B1B2" w:rsidR="03A5C402" w:rsidRDefault="03A5C402" w:rsidP="7E32E97F">
      <w:pPr>
        <w:spacing w:after="0"/>
        <w:jc w:val="both"/>
        <w:rPr>
          <w:rFonts w:eastAsia="Calibri" w:cs="Arial"/>
        </w:rPr>
      </w:pPr>
      <w:r w:rsidRPr="7E32E97F">
        <w:rPr>
          <w:rFonts w:eastAsia="Calibri" w:cs="Arial"/>
        </w:rPr>
        <w:t>t</w:t>
      </w:r>
      <w:r w:rsidR="4C051A83" w:rsidRPr="7E32E97F">
        <w:rPr>
          <w:rFonts w:eastAsia="Calibri" w:cs="Arial"/>
        </w:rPr>
        <w:t>er izdani odločitvi o podpori za dve neposredni potrditvi operacij:</w:t>
      </w:r>
    </w:p>
    <w:p w14:paraId="69DEFA4F" w14:textId="61EE1060" w:rsidR="4C051A83" w:rsidRDefault="4C051A83" w:rsidP="000C4A26">
      <w:pPr>
        <w:pStyle w:val="Odstavekseznama"/>
        <w:numPr>
          <w:ilvl w:val="0"/>
          <w:numId w:val="2"/>
        </w:numPr>
        <w:spacing w:after="0"/>
        <w:jc w:val="both"/>
        <w:rPr>
          <w:rFonts w:eastAsia="Calibri" w:cs="Arial"/>
        </w:rPr>
      </w:pPr>
      <w:r w:rsidRPr="7E32E97F">
        <w:rPr>
          <w:rFonts w:eastAsia="Calibri" w:cs="Arial"/>
        </w:rPr>
        <w:t>NPO Izgradnja sončne elektrarne Prapretno 2 in 3 z baterijskim hranilnikom</w:t>
      </w:r>
      <w:r w:rsidR="00DA2640">
        <w:rPr>
          <w:rFonts w:eastAsia="Calibri" w:cs="Arial"/>
        </w:rPr>
        <w:t>;</w:t>
      </w:r>
      <w:r w:rsidRPr="7E32E97F">
        <w:rPr>
          <w:rFonts w:eastAsia="Calibri" w:cs="Arial"/>
        </w:rPr>
        <w:t xml:space="preserve"> </w:t>
      </w:r>
    </w:p>
    <w:p w14:paraId="58529B47" w14:textId="3468C76B" w:rsidR="69F1ED26" w:rsidRDefault="69F1ED26" w:rsidP="000C4A26">
      <w:pPr>
        <w:pStyle w:val="Odstavekseznama"/>
        <w:numPr>
          <w:ilvl w:val="0"/>
          <w:numId w:val="2"/>
        </w:numPr>
        <w:spacing w:after="0"/>
        <w:jc w:val="both"/>
        <w:rPr>
          <w:rFonts w:eastAsia="Calibri" w:cs="Arial"/>
        </w:rPr>
      </w:pPr>
      <w:r w:rsidRPr="7E32E97F">
        <w:rPr>
          <w:rFonts w:eastAsia="Calibri" w:cs="Arial"/>
        </w:rPr>
        <w:t>NPO Laboratorij za raziskave bio-rafinacije biomase v Savinjsko–Šaleški regiji (Velenje)</w:t>
      </w:r>
      <w:r w:rsidR="00DA2640">
        <w:rPr>
          <w:rFonts w:eastAsia="Calibri" w:cs="Arial"/>
        </w:rPr>
        <w:t>.</w:t>
      </w:r>
    </w:p>
    <w:p w14:paraId="56896F22" w14:textId="537C927F" w:rsidR="7E32E97F" w:rsidRDefault="7E32E97F" w:rsidP="000C4A26">
      <w:pPr>
        <w:spacing w:after="0"/>
        <w:jc w:val="both"/>
        <w:rPr>
          <w:rFonts w:eastAsia="Calibri" w:cs="Arial"/>
        </w:rPr>
      </w:pPr>
    </w:p>
    <w:p w14:paraId="505F54D2" w14:textId="4169ED44" w:rsidR="44430A43" w:rsidRDefault="44430A43" w:rsidP="7E32E97F">
      <w:pPr>
        <w:spacing w:after="0"/>
        <w:jc w:val="both"/>
        <w:rPr>
          <w:rFonts w:eastAsia="Calibri" w:cs="Arial"/>
        </w:rPr>
      </w:pPr>
      <w:r w:rsidRPr="7E32E97F">
        <w:rPr>
          <w:rFonts w:eastAsia="Calibri" w:cs="Arial"/>
        </w:rPr>
        <w:t xml:space="preserve">Ukrepi </w:t>
      </w:r>
      <w:r w:rsidR="65786111" w:rsidRPr="7E32E97F">
        <w:rPr>
          <w:rFonts w:eastAsia="Calibri" w:cs="Arial"/>
        </w:rPr>
        <w:t xml:space="preserve">PT </w:t>
      </w:r>
      <w:r w:rsidRPr="7E32E97F">
        <w:rPr>
          <w:rFonts w:eastAsia="Calibri" w:cs="Arial"/>
        </w:rPr>
        <w:t>MDDSZ (Zaposlitve in veščine za vse) so za potrditev predvideni v prvi polovici leta 2026. V letu 2026 se pričakujejo tudi vloge PT MOPE.</w:t>
      </w:r>
    </w:p>
    <w:p w14:paraId="6E990C9B" w14:textId="77777777" w:rsidR="00404987" w:rsidRPr="0025033E" w:rsidRDefault="00404987" w:rsidP="00ED5676">
      <w:pPr>
        <w:spacing w:after="0"/>
        <w:jc w:val="both"/>
        <w:rPr>
          <w:rFonts w:cs="Arial"/>
        </w:rPr>
      </w:pPr>
    </w:p>
    <w:p w14:paraId="4483E2D0" w14:textId="33B03839" w:rsidR="00404987" w:rsidRPr="0025033E" w:rsidRDefault="01A61AC5" w:rsidP="7E32E97F">
      <w:pPr>
        <w:pStyle w:val="Naslov2"/>
        <w:spacing w:before="0"/>
        <w:rPr>
          <w:rFonts w:cs="Arial"/>
        </w:rPr>
      </w:pPr>
      <w:bookmarkStart w:id="227" w:name="_Toc219974410"/>
      <w:r>
        <w:t>EVROPSKI SOCIALNI SKLAD PLUS (ESS+)</w:t>
      </w:r>
      <w:bookmarkEnd w:id="227"/>
    </w:p>
    <w:p w14:paraId="10D36726" w14:textId="60054417" w:rsidR="00404987" w:rsidRPr="0025033E" w:rsidRDefault="00404987" w:rsidP="00ED5676">
      <w:pPr>
        <w:spacing w:after="0"/>
        <w:jc w:val="both"/>
        <w:rPr>
          <w:rFonts w:cs="Arial"/>
        </w:rPr>
      </w:pPr>
    </w:p>
    <w:p w14:paraId="4E447FC6" w14:textId="04305CAF" w:rsidR="005268F5" w:rsidRPr="00573004" w:rsidRDefault="005268F5" w:rsidP="7E32E97F">
      <w:pPr>
        <w:autoSpaceDN/>
        <w:spacing w:after="0" w:line="259" w:lineRule="auto"/>
        <w:jc w:val="both"/>
        <w:rPr>
          <w:rFonts w:eastAsia="Calibri" w:cs="Arial"/>
          <w:kern w:val="2"/>
          <w:lang w:eastAsia="en-US"/>
        </w:rPr>
      </w:pPr>
      <w:r w:rsidRPr="00573004">
        <w:rPr>
          <w:rFonts w:eastAsia="Calibri" w:cs="Arial"/>
          <w:kern w:val="2"/>
          <w:lang w:eastAsia="en-US"/>
        </w:rPr>
        <w:t>Poročilo vsebuje opis ključnih aktivnosti v drugem polletju leta 2025.</w:t>
      </w:r>
    </w:p>
    <w:p w14:paraId="4CF70C60" w14:textId="77777777" w:rsidR="005268F5" w:rsidRDefault="005268F5" w:rsidP="7E32E97F">
      <w:pPr>
        <w:autoSpaceDN/>
        <w:spacing w:after="0" w:line="259" w:lineRule="auto"/>
        <w:jc w:val="both"/>
        <w:rPr>
          <w:rFonts w:eastAsia="Calibri" w:cs="Arial"/>
          <w:b/>
          <w:bCs/>
          <w:kern w:val="2"/>
          <w:lang w:eastAsia="en-US"/>
        </w:rPr>
      </w:pPr>
    </w:p>
    <w:p w14:paraId="375EE049" w14:textId="4673364D" w:rsidR="00404987" w:rsidRPr="00591A84" w:rsidRDefault="5AE2AD4C" w:rsidP="7E32E97F">
      <w:pPr>
        <w:autoSpaceDN/>
        <w:spacing w:after="0" w:line="259" w:lineRule="auto"/>
        <w:jc w:val="both"/>
        <w:rPr>
          <w:rFonts w:eastAsia="Calibri" w:cs="Arial"/>
          <w:b/>
          <w:bCs/>
          <w:kern w:val="2"/>
          <w:lang w:eastAsia="en-US"/>
        </w:rPr>
      </w:pPr>
      <w:r w:rsidRPr="7E32E97F">
        <w:rPr>
          <w:rFonts w:eastAsia="Calibri" w:cs="Arial"/>
          <w:b/>
          <w:bCs/>
          <w:kern w:val="2"/>
          <w:lang w:eastAsia="en-US"/>
        </w:rPr>
        <w:t xml:space="preserve">Prednostna naloga 6: </w:t>
      </w:r>
      <w:r w:rsidR="1CE4E815" w:rsidRPr="7E32E97F">
        <w:rPr>
          <w:rFonts w:eastAsia="Calibri" w:cs="Arial"/>
          <w:b/>
          <w:bCs/>
          <w:kern w:val="2"/>
          <w:lang w:eastAsia="en-US"/>
        </w:rPr>
        <w:t>Znanja in spretnosti ter odzivni trg dela</w:t>
      </w:r>
    </w:p>
    <w:p w14:paraId="27504D73" w14:textId="77777777" w:rsidR="00404987" w:rsidRPr="00591A84" w:rsidRDefault="00404987" w:rsidP="7E32E97F">
      <w:pPr>
        <w:autoSpaceDN/>
        <w:spacing w:after="0" w:line="259" w:lineRule="auto"/>
        <w:jc w:val="both"/>
        <w:rPr>
          <w:rFonts w:eastAsia="Calibri" w:cs="Arial"/>
          <w:b/>
          <w:bCs/>
          <w:kern w:val="2"/>
          <w:lang w:eastAsia="en-US"/>
        </w:rPr>
      </w:pPr>
    </w:p>
    <w:p w14:paraId="108831EB" w14:textId="43FC82C1" w:rsidR="008D6B60" w:rsidRDefault="5AE2AD4C" w:rsidP="001650A8">
      <w:pPr>
        <w:autoSpaceDN/>
        <w:spacing w:after="0" w:line="257" w:lineRule="auto"/>
        <w:jc w:val="both"/>
        <w:rPr>
          <w:rFonts w:eastAsia="Aptos" w:cs="Arial"/>
        </w:rPr>
      </w:pPr>
      <w:r w:rsidRPr="7E32E97F">
        <w:rPr>
          <w:rFonts w:eastAsia="Aptos" w:cs="Arial"/>
          <w:color w:val="000000" w:themeColor="text1"/>
        </w:rPr>
        <w:t xml:space="preserve">Aktivnosti </w:t>
      </w:r>
      <w:r w:rsidR="2BD7FEE7" w:rsidRPr="7E32E97F">
        <w:rPr>
          <w:rFonts w:eastAsia="Aptos" w:cs="Arial"/>
        </w:rPr>
        <w:t>v</w:t>
      </w:r>
      <w:r w:rsidR="1925731B" w:rsidRPr="7E32E97F">
        <w:rPr>
          <w:rFonts w:eastAsia="Aptos" w:cs="Arial"/>
        </w:rPr>
        <w:t>seh posredniških teles</w:t>
      </w:r>
      <w:r w:rsidR="005268F5">
        <w:rPr>
          <w:rFonts w:eastAsia="Aptos" w:cs="Arial"/>
        </w:rPr>
        <w:t xml:space="preserve"> </w:t>
      </w:r>
      <w:r w:rsidR="1925731B" w:rsidRPr="7E32E97F">
        <w:rPr>
          <w:rFonts w:eastAsia="Aptos" w:cs="Arial"/>
        </w:rPr>
        <w:t>so</w:t>
      </w:r>
      <w:r w:rsidR="005268F5">
        <w:rPr>
          <w:rFonts w:eastAsia="Aptos" w:cs="Arial"/>
        </w:rPr>
        <w:t xml:space="preserve"> se pospešile, kar je povzročilo povečanje potrjenih ukrepov za doseganje ciljev na prednostni nalogi. </w:t>
      </w:r>
      <w:r w:rsidR="6C2A6D76" w:rsidRPr="7E32E97F">
        <w:rPr>
          <w:rFonts w:eastAsia="Aptos" w:cs="Arial"/>
        </w:rPr>
        <w:t>Na vseh specifičnih ciljih so bil</w:t>
      </w:r>
      <w:r w:rsidR="004316F6">
        <w:rPr>
          <w:rFonts w:eastAsia="Aptos" w:cs="Arial"/>
        </w:rPr>
        <w:t>i</w:t>
      </w:r>
      <w:r w:rsidR="17F3C1A9" w:rsidRPr="7E32E97F">
        <w:rPr>
          <w:rFonts w:eastAsia="Aptos" w:cs="Arial"/>
        </w:rPr>
        <w:t xml:space="preserve"> v poročanem obdobju</w:t>
      </w:r>
      <w:r w:rsidR="6C2A6D76" w:rsidRPr="7E32E97F">
        <w:rPr>
          <w:rFonts w:eastAsia="Aptos" w:cs="Arial"/>
        </w:rPr>
        <w:t xml:space="preserve"> z odločitvami </w:t>
      </w:r>
      <w:r w:rsidR="2F986EC2" w:rsidRPr="7E32E97F">
        <w:rPr>
          <w:rFonts w:eastAsia="Aptos" w:cs="Arial"/>
        </w:rPr>
        <w:t>OU</w:t>
      </w:r>
      <w:r w:rsidR="1A380A0C" w:rsidRPr="7E32E97F">
        <w:rPr>
          <w:rFonts w:eastAsia="Aptos" w:cs="Arial"/>
        </w:rPr>
        <w:t xml:space="preserve"> </w:t>
      </w:r>
      <w:r w:rsidR="005268F5">
        <w:rPr>
          <w:rFonts w:eastAsia="Aptos" w:cs="Arial"/>
        </w:rPr>
        <w:t xml:space="preserve">potrjeni </w:t>
      </w:r>
      <w:r w:rsidR="1A380A0C" w:rsidRPr="7E32E97F">
        <w:rPr>
          <w:rFonts w:eastAsia="Aptos" w:cs="Arial"/>
        </w:rPr>
        <w:t>novi NIO</w:t>
      </w:r>
      <w:r w:rsidR="10B61722" w:rsidRPr="7E32E97F">
        <w:rPr>
          <w:rFonts w:eastAsia="Aptos" w:cs="Arial"/>
        </w:rPr>
        <w:t>,</w:t>
      </w:r>
      <w:r w:rsidR="655890BF" w:rsidRPr="7E32E97F">
        <w:rPr>
          <w:rFonts w:eastAsia="Aptos" w:cs="Arial"/>
        </w:rPr>
        <w:t xml:space="preserve"> </w:t>
      </w:r>
      <w:r w:rsidR="279263C7" w:rsidRPr="7E32E97F">
        <w:rPr>
          <w:rFonts w:eastAsia="Aptos" w:cs="Arial"/>
        </w:rPr>
        <w:t>ki</w:t>
      </w:r>
      <w:r w:rsidR="460F4D17" w:rsidRPr="7E32E97F">
        <w:rPr>
          <w:rFonts w:eastAsia="Aptos" w:cs="Arial"/>
        </w:rPr>
        <w:t xml:space="preserve"> bodo ustrezno</w:t>
      </w:r>
      <w:r w:rsidR="279263C7" w:rsidRPr="7E32E97F">
        <w:rPr>
          <w:rFonts w:eastAsia="Aptos" w:cs="Arial"/>
        </w:rPr>
        <w:t xml:space="preserve"> naslavlja</w:t>
      </w:r>
      <w:r w:rsidR="39704F79" w:rsidRPr="7E32E97F">
        <w:rPr>
          <w:rFonts w:eastAsia="Aptos" w:cs="Arial"/>
        </w:rPr>
        <w:t>li</w:t>
      </w:r>
      <w:r w:rsidR="279263C7" w:rsidRPr="7E32E97F">
        <w:rPr>
          <w:rFonts w:eastAsia="Aptos" w:cs="Arial"/>
        </w:rPr>
        <w:t xml:space="preserve"> ključne razvojne izzive na področju znanja, razvoja spretnosti in zaposlovanja.</w:t>
      </w:r>
    </w:p>
    <w:p w14:paraId="1892EF39" w14:textId="55C2275B" w:rsidR="008D6B60" w:rsidRDefault="008D6B60" w:rsidP="7E32E97F">
      <w:pPr>
        <w:spacing w:after="0" w:line="257" w:lineRule="auto"/>
        <w:jc w:val="both"/>
        <w:rPr>
          <w:rFonts w:eastAsia="Aptos" w:cs="Arial"/>
        </w:rPr>
      </w:pPr>
    </w:p>
    <w:p w14:paraId="7E608E0E" w14:textId="5BAA5C94" w:rsidR="008D6B60" w:rsidRPr="000C4A26" w:rsidRDefault="0D745DBC" w:rsidP="000C4A26">
      <w:pPr>
        <w:spacing w:after="0" w:line="257" w:lineRule="auto"/>
        <w:jc w:val="both"/>
        <w:rPr>
          <w:rFonts w:eastAsia="Aptos" w:cs="Arial"/>
        </w:rPr>
      </w:pPr>
      <w:r w:rsidRPr="000C4A26">
        <w:rPr>
          <w:rFonts w:eastAsia="Aptos" w:cs="Arial"/>
        </w:rPr>
        <w:t xml:space="preserve">Zavedamo se, </w:t>
      </w:r>
      <w:r w:rsidRPr="7E32E97F">
        <w:rPr>
          <w:rFonts w:eastAsia="Aptos" w:cs="Arial"/>
        </w:rPr>
        <w:t xml:space="preserve">da </w:t>
      </w:r>
      <w:r w:rsidRPr="000C4A26">
        <w:rPr>
          <w:rFonts w:eastAsia="Aptos" w:cs="Arial"/>
        </w:rPr>
        <w:t xml:space="preserve">ostaja najzahtevnejši </w:t>
      </w:r>
      <w:r w:rsidR="722C00D3" w:rsidRPr="7E32E97F">
        <w:rPr>
          <w:rFonts w:eastAsia="Aptos" w:cs="Arial"/>
        </w:rPr>
        <w:t>specifični cilj z vidika izvedbe</w:t>
      </w:r>
      <w:r w:rsidRPr="7E32E97F">
        <w:rPr>
          <w:rFonts w:eastAsia="Aptos" w:cs="Arial"/>
        </w:rPr>
        <w:t xml:space="preserve"> ESO4.5</w:t>
      </w:r>
      <w:r w:rsidR="4F58999E" w:rsidRPr="7E32E97F">
        <w:rPr>
          <w:rFonts w:eastAsia="Aptos" w:cs="Arial"/>
        </w:rPr>
        <w:t>,</w:t>
      </w:r>
      <w:r w:rsidRPr="000C4A26">
        <w:rPr>
          <w:rFonts w:eastAsia="Aptos" w:cs="Arial"/>
        </w:rPr>
        <w:t xml:space="preserve"> vendar se dinamika izvajanja</w:t>
      </w:r>
      <w:r w:rsidR="6E52D434" w:rsidRPr="7E32E97F">
        <w:rPr>
          <w:rFonts w:eastAsia="Aptos" w:cs="Arial"/>
        </w:rPr>
        <w:t xml:space="preserve"> postopoma</w:t>
      </w:r>
      <w:r w:rsidRPr="000C4A26">
        <w:rPr>
          <w:rFonts w:eastAsia="Aptos" w:cs="Arial"/>
        </w:rPr>
        <w:t xml:space="preserve"> izboljšuje zaradi zaključevanj</w:t>
      </w:r>
      <w:r w:rsidR="3FE0571B" w:rsidRPr="7E32E97F">
        <w:rPr>
          <w:rFonts w:eastAsia="Aptos" w:cs="Arial"/>
        </w:rPr>
        <w:t>a</w:t>
      </w:r>
      <w:r w:rsidRPr="000C4A26">
        <w:rPr>
          <w:rFonts w:eastAsia="Aptos" w:cs="Arial"/>
        </w:rPr>
        <w:t xml:space="preserve"> </w:t>
      </w:r>
      <w:r w:rsidR="6C24EA86" w:rsidRPr="7E32E97F">
        <w:rPr>
          <w:rFonts w:eastAsia="Aptos" w:cs="Arial"/>
        </w:rPr>
        <w:t xml:space="preserve">Načrta za okrevanje in odpornost. To bo </w:t>
      </w:r>
      <w:r w:rsidRPr="000C4A26">
        <w:rPr>
          <w:rFonts w:eastAsia="Aptos" w:cs="Arial"/>
        </w:rPr>
        <w:t>pozitivno vplivalo na izvajanje</w:t>
      </w:r>
      <w:r w:rsidR="2F03A4F8" w:rsidRPr="7E32E97F">
        <w:rPr>
          <w:rFonts w:eastAsia="Aptos" w:cs="Arial"/>
        </w:rPr>
        <w:t xml:space="preserve"> celotnega</w:t>
      </w:r>
      <w:r w:rsidRPr="000C4A26">
        <w:rPr>
          <w:rFonts w:eastAsia="Aptos" w:cs="Arial"/>
        </w:rPr>
        <w:t xml:space="preserve"> ESS+</w:t>
      </w:r>
      <w:r w:rsidR="2CBB86D1" w:rsidRPr="7E32E97F">
        <w:rPr>
          <w:rFonts w:eastAsia="Aptos" w:cs="Arial"/>
        </w:rPr>
        <w:t xml:space="preserve">, </w:t>
      </w:r>
      <w:r w:rsidRPr="000C4A26">
        <w:rPr>
          <w:rFonts w:eastAsia="Aptos" w:cs="Arial"/>
        </w:rPr>
        <w:t>saj</w:t>
      </w:r>
      <w:r w:rsidR="54C04328" w:rsidRPr="7E32E97F">
        <w:rPr>
          <w:rFonts w:eastAsia="Aptos" w:cs="Arial"/>
        </w:rPr>
        <w:t xml:space="preserve"> bo o</w:t>
      </w:r>
      <w:r w:rsidRPr="000C4A26">
        <w:rPr>
          <w:rFonts w:eastAsia="Aptos" w:cs="Arial"/>
        </w:rPr>
        <w:t>krepi</w:t>
      </w:r>
      <w:r w:rsidR="0744FB59" w:rsidRPr="7E32E97F">
        <w:rPr>
          <w:rFonts w:eastAsia="Aptos" w:cs="Arial"/>
        </w:rPr>
        <w:t>lo</w:t>
      </w:r>
      <w:r w:rsidRPr="000C4A26">
        <w:rPr>
          <w:rFonts w:eastAsia="Aptos" w:cs="Arial"/>
        </w:rPr>
        <w:t xml:space="preserve"> pripravljenost upravičencev in njihove zmogljivosti za izvajanje operacij.</w:t>
      </w:r>
    </w:p>
    <w:p w14:paraId="14908917" w14:textId="1C678C4F" w:rsidR="16380619" w:rsidRDefault="16380619" w:rsidP="7E32E97F">
      <w:pPr>
        <w:spacing w:after="0" w:line="257" w:lineRule="auto"/>
        <w:jc w:val="both"/>
        <w:rPr>
          <w:rFonts w:eastAsia="Calibri" w:cs="Arial"/>
        </w:rPr>
      </w:pPr>
    </w:p>
    <w:p w14:paraId="272166C6" w14:textId="07B77B69" w:rsidR="54E2479F" w:rsidRDefault="54E2479F" w:rsidP="000C4A26">
      <w:pPr>
        <w:spacing w:after="0" w:line="257" w:lineRule="auto"/>
        <w:jc w:val="both"/>
        <w:rPr>
          <w:rFonts w:eastAsia="Aptos" w:cs="Arial"/>
        </w:rPr>
      </w:pPr>
      <w:r w:rsidRPr="7E32E97F">
        <w:rPr>
          <w:rFonts w:eastAsia="Aptos" w:cs="Arial"/>
        </w:rPr>
        <w:t>N</w:t>
      </w:r>
      <w:r w:rsidR="78B98843" w:rsidRPr="7E32E97F">
        <w:rPr>
          <w:rFonts w:eastAsia="Aptos" w:cs="Arial"/>
        </w:rPr>
        <w:t xml:space="preserve">a </w:t>
      </w:r>
      <w:r w:rsidR="410B5D9A" w:rsidRPr="7E32E97F">
        <w:rPr>
          <w:rFonts w:eastAsia="Aptos" w:cs="Arial"/>
        </w:rPr>
        <w:t>s</w:t>
      </w:r>
      <w:r w:rsidR="78B98843" w:rsidRPr="7E32E97F">
        <w:rPr>
          <w:rFonts w:eastAsia="Aptos" w:cs="Arial"/>
        </w:rPr>
        <w:t>pe</w:t>
      </w:r>
      <w:r w:rsidR="7BCCD8E8" w:rsidRPr="7E32E97F">
        <w:rPr>
          <w:rFonts w:eastAsia="Aptos" w:cs="Arial"/>
        </w:rPr>
        <w:t>cifičnem cilj</w:t>
      </w:r>
      <w:r w:rsidR="04DEB629" w:rsidRPr="7E32E97F">
        <w:rPr>
          <w:rFonts w:eastAsia="Aptos" w:cs="Arial"/>
        </w:rPr>
        <w:t>u</w:t>
      </w:r>
      <w:r w:rsidR="7BCCD8E8" w:rsidRPr="7E32E97F">
        <w:rPr>
          <w:rFonts w:eastAsia="Aptos" w:cs="Arial"/>
        </w:rPr>
        <w:t xml:space="preserve"> ESO4.1</w:t>
      </w:r>
      <w:r w:rsidR="6492FA2A" w:rsidRPr="7E32E97F">
        <w:rPr>
          <w:rFonts w:eastAsia="Aptos" w:cs="Arial"/>
        </w:rPr>
        <w:t xml:space="preserve"> se</w:t>
      </w:r>
      <w:r w:rsidR="78B98843" w:rsidRPr="7E32E97F">
        <w:rPr>
          <w:rFonts w:eastAsia="Aptos" w:cs="Arial"/>
        </w:rPr>
        <w:t xml:space="preserve"> </w:t>
      </w:r>
      <w:r w:rsidR="78B98843" w:rsidRPr="000C4A26">
        <w:rPr>
          <w:rFonts w:eastAsia="Aptos" w:cs="Arial"/>
        </w:rPr>
        <w:t>bo</w:t>
      </w:r>
      <w:r w:rsidR="4AA7B248" w:rsidRPr="7E32E97F">
        <w:rPr>
          <w:rFonts w:eastAsia="Aptos" w:cs="Arial"/>
        </w:rPr>
        <w:t xml:space="preserve"> z novimi aktivnostmi</w:t>
      </w:r>
      <w:r w:rsidR="78B98843" w:rsidRPr="000C4A26">
        <w:rPr>
          <w:rFonts w:eastAsia="Aptos" w:cs="Arial"/>
        </w:rPr>
        <w:t xml:space="preserve"> spodbujal dvig spretnosti na področju podjetništva med mladimi in ženskami</w:t>
      </w:r>
      <w:r w:rsidR="5893868F" w:rsidRPr="7E32E97F">
        <w:rPr>
          <w:rFonts w:eastAsia="Aptos" w:cs="Arial"/>
        </w:rPr>
        <w:t xml:space="preserve"> ter podporno okolje za opolnomočenje oseb na področju kulture preko usposabljanj in prenosa strokovnih kompetenc v rezidenčnih centrih in gostovalnih mrežah</w:t>
      </w:r>
      <w:r w:rsidR="00DA2640">
        <w:rPr>
          <w:rFonts w:eastAsia="Aptos" w:cs="Arial"/>
        </w:rPr>
        <w:t>.</w:t>
      </w:r>
    </w:p>
    <w:p w14:paraId="1F995628" w14:textId="04C69320" w:rsidR="7E32E97F" w:rsidRDefault="7E32E97F" w:rsidP="7E32E97F">
      <w:pPr>
        <w:spacing w:after="0" w:line="257" w:lineRule="auto"/>
        <w:jc w:val="both"/>
        <w:rPr>
          <w:rFonts w:ascii="Aptos" w:eastAsia="Aptos" w:hAnsi="Aptos" w:cs="Aptos"/>
          <w:sz w:val="22"/>
          <w:szCs w:val="22"/>
        </w:rPr>
      </w:pPr>
    </w:p>
    <w:p w14:paraId="74AF954B" w14:textId="770D38CE" w:rsidR="6D0735D0" w:rsidRDefault="6D0735D0" w:rsidP="00052B97">
      <w:pPr>
        <w:spacing w:after="0" w:line="257" w:lineRule="auto"/>
        <w:jc w:val="both"/>
        <w:rPr>
          <w:rFonts w:eastAsia="Aptos" w:cs="Arial"/>
        </w:rPr>
      </w:pPr>
      <w:r w:rsidRPr="7E32E97F">
        <w:rPr>
          <w:rFonts w:eastAsia="Aptos" w:cs="Arial"/>
        </w:rPr>
        <w:t>N</w:t>
      </w:r>
      <w:r w:rsidR="3F1C3E0E" w:rsidRPr="000C4A26">
        <w:rPr>
          <w:rFonts w:eastAsia="Aptos" w:cs="Arial"/>
        </w:rPr>
        <w:t>a specifičnem cilju ESO4.2</w:t>
      </w:r>
      <w:r w:rsidR="21384193" w:rsidRPr="7E32E97F">
        <w:rPr>
          <w:rFonts w:eastAsia="Aptos" w:cs="Arial"/>
        </w:rPr>
        <w:t xml:space="preserve"> se bo z novimi aktivnostmi</w:t>
      </w:r>
      <w:r w:rsidR="26BD9EB6" w:rsidRPr="000C4A26">
        <w:rPr>
          <w:rFonts w:eastAsia="Aptos" w:cs="Arial"/>
        </w:rPr>
        <w:t xml:space="preserve"> </w:t>
      </w:r>
      <w:r w:rsidR="57074C92" w:rsidRPr="7E32E97F">
        <w:rPr>
          <w:rFonts w:eastAsia="Aptos" w:cs="Arial"/>
        </w:rPr>
        <w:t>spodbujal</w:t>
      </w:r>
      <w:r w:rsidR="47B49303" w:rsidRPr="7E32E97F">
        <w:rPr>
          <w:rFonts w:eastAsia="Aptos" w:cs="Arial"/>
        </w:rPr>
        <w:t xml:space="preserve">a modernizacija </w:t>
      </w:r>
      <w:r w:rsidR="3F1C3E0E" w:rsidRPr="000C4A26">
        <w:rPr>
          <w:rFonts w:eastAsia="Aptos" w:cs="Arial"/>
        </w:rPr>
        <w:t>informacijsk</w:t>
      </w:r>
      <w:r w:rsidR="109879EB" w:rsidRPr="7E32E97F">
        <w:rPr>
          <w:rFonts w:eastAsia="Aptos" w:cs="Arial"/>
        </w:rPr>
        <w:t>ega</w:t>
      </w:r>
      <w:r w:rsidR="3F1C3E0E" w:rsidRPr="000C4A26">
        <w:rPr>
          <w:rFonts w:eastAsia="Aptos" w:cs="Arial"/>
        </w:rPr>
        <w:t xml:space="preserve"> sistem</w:t>
      </w:r>
      <w:r w:rsidR="5F3F0810" w:rsidRPr="7E32E97F">
        <w:rPr>
          <w:rFonts w:eastAsia="Aptos" w:cs="Arial"/>
        </w:rPr>
        <w:t>a</w:t>
      </w:r>
      <w:r w:rsidR="3F1C3E0E" w:rsidRPr="000C4A26">
        <w:rPr>
          <w:rFonts w:eastAsia="Aptos" w:cs="Arial"/>
        </w:rPr>
        <w:t xml:space="preserve"> JŠRIPS.</w:t>
      </w:r>
    </w:p>
    <w:p w14:paraId="4538F5C5" w14:textId="77777777" w:rsidR="00052B97" w:rsidRDefault="00052B97" w:rsidP="00052B97">
      <w:pPr>
        <w:spacing w:after="0" w:line="257" w:lineRule="auto"/>
        <w:jc w:val="both"/>
        <w:rPr>
          <w:rFonts w:ascii="Aptos" w:eastAsia="Aptos" w:hAnsi="Aptos" w:cs="Aptos"/>
          <w:sz w:val="22"/>
          <w:szCs w:val="22"/>
        </w:rPr>
      </w:pPr>
    </w:p>
    <w:p w14:paraId="2B480FFA" w14:textId="5E24DF96" w:rsidR="24341F27" w:rsidRDefault="24341F27" w:rsidP="00052B97">
      <w:pPr>
        <w:spacing w:after="0" w:line="257" w:lineRule="auto"/>
        <w:jc w:val="both"/>
        <w:rPr>
          <w:rFonts w:eastAsia="Aptos" w:cs="Arial"/>
        </w:rPr>
      </w:pPr>
      <w:r w:rsidRPr="00052B97">
        <w:rPr>
          <w:rFonts w:eastAsia="Aptos" w:cs="Arial"/>
        </w:rPr>
        <w:t xml:space="preserve">Na specifičnem cilju ESO4.4 se bo z novimi aktivnostmi </w:t>
      </w:r>
      <w:r w:rsidR="55271FB0" w:rsidRPr="00052B97">
        <w:rPr>
          <w:rFonts w:eastAsia="Aptos" w:cs="Arial"/>
        </w:rPr>
        <w:t>podpiral celosten pristop k varnosti in zdravju pri delu, modro ravnanje s kadri v državni upravi, krepile s</w:t>
      </w:r>
      <w:r w:rsidR="005268F5">
        <w:rPr>
          <w:rFonts w:eastAsia="Aptos" w:cs="Arial"/>
        </w:rPr>
        <w:t>e bodo s</w:t>
      </w:r>
      <w:r w:rsidR="55271FB0" w:rsidRPr="00052B97">
        <w:rPr>
          <w:rFonts w:eastAsia="Aptos" w:cs="Arial"/>
        </w:rPr>
        <w:t xml:space="preserve">pretnosti vseh zaposlenih v zaporskem sistemu, krepil </w:t>
      </w:r>
      <w:r w:rsidR="004316F6">
        <w:rPr>
          <w:rFonts w:eastAsia="Aptos" w:cs="Arial"/>
        </w:rPr>
        <w:t xml:space="preserve">se bo </w:t>
      </w:r>
      <w:r w:rsidR="55271FB0" w:rsidRPr="00052B97">
        <w:rPr>
          <w:rFonts w:eastAsia="Aptos" w:cs="Arial"/>
        </w:rPr>
        <w:t>socialni dialog ter spodbujalo kolektivno dogovarjanje in zagovorništvo zaposlenih.</w:t>
      </w:r>
    </w:p>
    <w:p w14:paraId="105D0054" w14:textId="77777777" w:rsidR="00052B97" w:rsidRPr="00052B97" w:rsidRDefault="00052B97" w:rsidP="00052B97">
      <w:pPr>
        <w:spacing w:after="0" w:line="257" w:lineRule="auto"/>
        <w:jc w:val="both"/>
        <w:rPr>
          <w:rFonts w:eastAsia="Aptos" w:cs="Arial"/>
        </w:rPr>
      </w:pPr>
    </w:p>
    <w:p w14:paraId="2B65805C" w14:textId="6995F23C" w:rsidR="5F831AFB" w:rsidRDefault="5F831AFB" w:rsidP="00052B97">
      <w:pPr>
        <w:spacing w:after="0" w:line="257" w:lineRule="auto"/>
        <w:jc w:val="both"/>
        <w:rPr>
          <w:rFonts w:eastAsia="Aptos" w:cs="Arial"/>
        </w:rPr>
      </w:pPr>
      <w:r w:rsidRPr="00052B97">
        <w:rPr>
          <w:rFonts w:eastAsia="Aptos" w:cs="Arial"/>
        </w:rPr>
        <w:t xml:space="preserve">Na specifičnem cilju ESO4.5 se </w:t>
      </w:r>
      <w:r w:rsidR="005268F5">
        <w:rPr>
          <w:rFonts w:eastAsia="Aptos" w:cs="Arial"/>
        </w:rPr>
        <w:t>na področju vzgoje in izobraževanja izvajajo aktivnosti krepitve kompetenc strokovnih in vodstvenih delavcev na področju vodenja inovativnega vzgojno-izobraževalnega zavoda ter dviga kakovosti dvojezičnega šolstva. Prav tako je bil potrjen NPO K</w:t>
      </w:r>
      <w:r w:rsidR="004316F6">
        <w:rPr>
          <w:rFonts w:eastAsia="Aptos" w:cs="Arial"/>
        </w:rPr>
        <w:t>u</w:t>
      </w:r>
      <w:r w:rsidR="005268F5">
        <w:rPr>
          <w:rFonts w:eastAsia="Aptos" w:cs="Arial"/>
        </w:rPr>
        <w:t xml:space="preserve">rikularna prenova – nove poti do znanja. Hkrati se </w:t>
      </w:r>
      <w:r w:rsidRPr="00052B97">
        <w:rPr>
          <w:rFonts w:eastAsia="Aptos" w:cs="Arial"/>
        </w:rPr>
        <w:t xml:space="preserve">bo z novimi aktivnostmi </w:t>
      </w:r>
      <w:r w:rsidR="005268F5">
        <w:rPr>
          <w:rFonts w:eastAsia="Aptos" w:cs="Arial"/>
        </w:rPr>
        <w:t xml:space="preserve">na tem specifičnem cilju </w:t>
      </w:r>
      <w:r w:rsidRPr="00052B97">
        <w:rPr>
          <w:rFonts w:eastAsia="Aptos" w:cs="Arial"/>
        </w:rPr>
        <w:t xml:space="preserve">podpiralo razvijanje kulturno-umetniških vsebin na področju filma, glasbene umetnosti, uprizoritvenih ter vizualnih umetnosti. Vzpostavitev Nacionalnega stičišča kulturno-umetnostne vzgoje bo spodbujala uspešno izvedbo specializiranih štipendij v kulturi. </w:t>
      </w:r>
    </w:p>
    <w:p w14:paraId="538CF264" w14:textId="77777777" w:rsidR="00052B97" w:rsidRPr="00052B97" w:rsidRDefault="00052B97" w:rsidP="00052B97">
      <w:pPr>
        <w:spacing w:after="0" w:line="257" w:lineRule="auto"/>
        <w:jc w:val="both"/>
        <w:rPr>
          <w:rFonts w:eastAsia="Aptos" w:cs="Arial"/>
        </w:rPr>
      </w:pPr>
    </w:p>
    <w:p w14:paraId="0DC67F83" w14:textId="4850A01D" w:rsidR="71570342" w:rsidRPr="00052B97" w:rsidRDefault="71570342" w:rsidP="00052B97">
      <w:pPr>
        <w:spacing w:after="0" w:line="257" w:lineRule="auto"/>
        <w:jc w:val="both"/>
        <w:rPr>
          <w:rFonts w:eastAsia="Arial" w:cs="Arial"/>
        </w:rPr>
      </w:pPr>
      <w:r w:rsidRPr="00052B97">
        <w:rPr>
          <w:rFonts w:eastAsia="Aptos" w:cs="Arial"/>
        </w:rPr>
        <w:t xml:space="preserve">Na specifičnem cilju ESO4.7 se </w:t>
      </w:r>
      <w:r w:rsidR="00A7646D">
        <w:rPr>
          <w:rFonts w:eastAsia="Aptos" w:cs="Arial"/>
        </w:rPr>
        <w:t xml:space="preserve">izvajajo aktivnosti na področju pridobitve in izboljšanja temeljih kompetenc ter splošne izobraženosti odraslih, pridobitve srednješolske in višješolske izobrazbe ter </w:t>
      </w:r>
      <w:r w:rsidR="00A7646D">
        <w:rPr>
          <w:rFonts w:eastAsia="Aptos" w:cs="Arial"/>
        </w:rPr>
        <w:lastRenderedPageBreak/>
        <w:t>poklicne kvalifikacije, krepitve vseživljenjskega učenja ter na področju ozaveščanja in obveščanja različnih javnosti in spodbujanje k večji vključenosti v vseživljenjsko učenje</w:t>
      </w:r>
      <w:r w:rsidR="00052B97" w:rsidRPr="00052B97">
        <w:rPr>
          <w:rFonts w:eastAsia="Roboto" w:cs="Arial"/>
        </w:rPr>
        <w:t>.</w:t>
      </w:r>
    </w:p>
    <w:p w14:paraId="31DC49D1" w14:textId="47ECE745" w:rsidR="7E32E97F" w:rsidRPr="00052B97" w:rsidRDefault="7E32E97F" w:rsidP="00052B97">
      <w:pPr>
        <w:spacing w:after="0" w:line="257" w:lineRule="auto"/>
        <w:jc w:val="both"/>
        <w:rPr>
          <w:rFonts w:eastAsia="Roboto" w:cs="Arial"/>
        </w:rPr>
      </w:pPr>
    </w:p>
    <w:p w14:paraId="606F5777" w14:textId="5C9FDCD9" w:rsidR="3BC84F96" w:rsidRPr="00F3375D" w:rsidRDefault="3BC84F96" w:rsidP="00052B97">
      <w:pPr>
        <w:spacing w:after="0" w:line="257" w:lineRule="auto"/>
        <w:jc w:val="both"/>
        <w:rPr>
          <w:rFonts w:eastAsia="Aptos" w:cs="Arial"/>
        </w:rPr>
      </w:pPr>
      <w:r w:rsidRPr="00052B97">
        <w:rPr>
          <w:rFonts w:eastAsia="Aptos" w:cs="Arial"/>
        </w:rPr>
        <w:t>Novo potrjen</w:t>
      </w:r>
      <w:r w:rsidR="31F7D774" w:rsidRPr="00052B97">
        <w:rPr>
          <w:rFonts w:eastAsia="Aptos" w:cs="Arial"/>
        </w:rPr>
        <w:t>i</w:t>
      </w:r>
      <w:r w:rsidRPr="00052B97">
        <w:rPr>
          <w:rFonts w:eastAsia="Aptos" w:cs="Arial"/>
        </w:rPr>
        <w:t xml:space="preserve"> </w:t>
      </w:r>
      <w:r w:rsidR="3F10B1EA" w:rsidRPr="00052B97">
        <w:rPr>
          <w:rFonts w:eastAsia="Aptos" w:cs="Arial"/>
        </w:rPr>
        <w:t>NIO</w:t>
      </w:r>
      <w:r w:rsidRPr="00052B97">
        <w:rPr>
          <w:rFonts w:eastAsia="Aptos" w:cs="Arial"/>
        </w:rPr>
        <w:t xml:space="preserve"> potrjujejo ciljno usmerjeno izvajanje Prednostne naloge 6, pri čemer se vsebinsko krepi prehod od posamičnih intervencij k celostnim in </w:t>
      </w:r>
      <w:r w:rsidRPr="00F3375D">
        <w:rPr>
          <w:rFonts w:eastAsia="Aptos" w:cs="Arial"/>
        </w:rPr>
        <w:t>dolgoročno vzdržnim sistemskim rešitvam v skladu s cilji ESS+ in nacionalnimi razvojnimi prioritetami.</w:t>
      </w:r>
    </w:p>
    <w:p w14:paraId="3460DC4C" w14:textId="65E5DBE4" w:rsidR="7E32E97F" w:rsidRPr="00F3375D" w:rsidRDefault="7E32E97F" w:rsidP="00052B97">
      <w:pPr>
        <w:spacing w:after="0" w:line="257" w:lineRule="auto"/>
        <w:jc w:val="both"/>
        <w:rPr>
          <w:rFonts w:eastAsia="Aptos" w:cs="Arial"/>
        </w:rPr>
      </w:pPr>
    </w:p>
    <w:p w14:paraId="4B21ECB0" w14:textId="506061C8" w:rsidR="50EC5705" w:rsidRPr="001650A8" w:rsidRDefault="50EC5705" w:rsidP="000C4A26">
      <w:pPr>
        <w:spacing w:after="0"/>
        <w:jc w:val="both"/>
        <w:rPr>
          <w:rFonts w:eastAsia="Republika" w:cs="Arial"/>
        </w:rPr>
      </w:pPr>
      <w:r w:rsidRPr="001650A8">
        <w:rPr>
          <w:rFonts w:eastAsia="Republika" w:cs="Arial"/>
        </w:rPr>
        <w:t>Prednostna naloga 7 ESS+</w:t>
      </w:r>
      <w:r w:rsidRPr="00F3375D">
        <w:rPr>
          <w:rFonts w:eastAsia="Republika" w:cs="Arial"/>
        </w:rPr>
        <w:t xml:space="preserve"> v okviru Programa EKP 2021–2027 se izvaja z namenom krepitve socialne vključenosti, zdravja in dostopnosti storitev</w:t>
      </w:r>
      <w:r w:rsidR="24A91634" w:rsidRPr="00F3375D">
        <w:rPr>
          <w:rFonts w:eastAsia="Republika" w:cs="Arial"/>
        </w:rPr>
        <w:t>.</w:t>
      </w:r>
      <w:r w:rsidRPr="00F3375D">
        <w:rPr>
          <w:rFonts w:eastAsia="Republika" w:cs="Arial"/>
        </w:rPr>
        <w:t xml:space="preserve"> ter zajema tri </w:t>
      </w:r>
      <w:r w:rsidRPr="001650A8">
        <w:rPr>
          <w:rFonts w:eastAsia="Republika" w:cs="Arial"/>
        </w:rPr>
        <w:t>specifične cilje</w:t>
      </w:r>
      <w:r w:rsidR="34EABF8A" w:rsidRPr="001650A8">
        <w:rPr>
          <w:rFonts w:eastAsia="Republika" w:cs="Arial"/>
        </w:rPr>
        <w:t>.</w:t>
      </w:r>
    </w:p>
    <w:p w14:paraId="57116124" w14:textId="77777777" w:rsidR="00052B97" w:rsidRPr="00F3375D" w:rsidRDefault="00052B97" w:rsidP="000C4A26">
      <w:pPr>
        <w:spacing w:after="0"/>
        <w:jc w:val="both"/>
        <w:rPr>
          <w:rFonts w:eastAsia="Republika" w:cs="Arial"/>
        </w:rPr>
      </w:pPr>
    </w:p>
    <w:p w14:paraId="6E0AE7BA" w14:textId="49C169D5" w:rsidR="50EC5705" w:rsidRPr="00F3375D" w:rsidRDefault="50EC5705" w:rsidP="000C4A26">
      <w:pPr>
        <w:spacing w:after="0"/>
        <w:jc w:val="both"/>
        <w:rPr>
          <w:rFonts w:eastAsia="Republika" w:cs="Arial"/>
        </w:rPr>
      </w:pPr>
      <w:r w:rsidRPr="00F3375D">
        <w:rPr>
          <w:rFonts w:eastAsia="Republika" w:cs="Arial"/>
        </w:rPr>
        <w:t xml:space="preserve">V okviru </w:t>
      </w:r>
      <w:r w:rsidR="00F3375D">
        <w:rPr>
          <w:rFonts w:eastAsia="Republika" w:cs="Arial"/>
        </w:rPr>
        <w:t>P</w:t>
      </w:r>
      <w:r w:rsidRPr="00F3375D">
        <w:rPr>
          <w:rFonts w:eastAsia="Republika" w:cs="Arial"/>
        </w:rPr>
        <w:t xml:space="preserve">rednostne naloge 7 </w:t>
      </w:r>
      <w:r w:rsidR="00E813A4">
        <w:rPr>
          <w:rFonts w:eastAsia="Republika" w:cs="Arial"/>
        </w:rPr>
        <w:t xml:space="preserve">so bile </w:t>
      </w:r>
      <w:r w:rsidRPr="00F3375D">
        <w:rPr>
          <w:rFonts w:eastAsia="Republika" w:cs="Arial"/>
        </w:rPr>
        <w:t>potrjene operacije, ki celostno naslavljajo ključne družbene izzive na področju dolgotrajne oskrbe, zdravja, socialne vključenosti, izobraževanja</w:t>
      </w:r>
      <w:r w:rsidR="00E813A4">
        <w:rPr>
          <w:rFonts w:eastAsia="Republika" w:cs="Arial"/>
        </w:rPr>
        <w:t xml:space="preserve"> ranljivih ciljnih skupin</w:t>
      </w:r>
      <w:r w:rsidRPr="00F3375D">
        <w:rPr>
          <w:rFonts w:eastAsia="Republika" w:cs="Arial"/>
        </w:rPr>
        <w:t xml:space="preserve">, zaposljivosti ter aktivnega staranja. Pomemben del potrjenih operacij je usmerjen v </w:t>
      </w:r>
      <w:r w:rsidRPr="001650A8">
        <w:rPr>
          <w:rFonts w:eastAsia="Republika" w:cs="Arial"/>
        </w:rPr>
        <w:t>vzpostavitev in krepitev sistema dolgotrajne oskrbe</w:t>
      </w:r>
      <w:r w:rsidRPr="00F3375D">
        <w:rPr>
          <w:rFonts w:eastAsia="Republika" w:cs="Arial"/>
        </w:rPr>
        <w:t xml:space="preserve">, vključno z informiranjem upravičencev, razvojem kakovostnih standardov, krepitvijo kompetenc zaposlenih ter digitalizacijo podpornih procesov. Na področju </w:t>
      </w:r>
      <w:r w:rsidRPr="001650A8">
        <w:rPr>
          <w:rFonts w:eastAsia="Republika" w:cs="Arial"/>
        </w:rPr>
        <w:t>deinstitucionalizacije</w:t>
      </w:r>
      <w:r w:rsidRPr="00F3375D">
        <w:rPr>
          <w:rFonts w:eastAsia="Republika" w:cs="Arial"/>
        </w:rPr>
        <w:t xml:space="preserve"> so bile potrjene operacije, ki omogočajo prehod iz institucionalne oskrbe v skupnost, zagotavljajo multidisciplinarno podporo ter krepijo zagovorništvo in varstvo pravic oseb z oviranostjo.</w:t>
      </w:r>
    </w:p>
    <w:p w14:paraId="6E7DE27C" w14:textId="77777777" w:rsidR="00052B97" w:rsidRPr="00052B97" w:rsidRDefault="00052B97" w:rsidP="000C4A26">
      <w:pPr>
        <w:spacing w:after="0"/>
        <w:jc w:val="both"/>
        <w:rPr>
          <w:rFonts w:eastAsia="Republika" w:cs="Arial"/>
        </w:rPr>
      </w:pPr>
    </w:p>
    <w:p w14:paraId="46715F35" w14:textId="2AE209DC" w:rsidR="50EC5705" w:rsidRDefault="50EC5705" w:rsidP="00052B97">
      <w:pPr>
        <w:spacing w:after="0" w:line="276" w:lineRule="auto"/>
        <w:jc w:val="both"/>
        <w:rPr>
          <w:rFonts w:eastAsia="Republika" w:cs="Arial"/>
        </w:rPr>
      </w:pPr>
      <w:r w:rsidRPr="00052B97">
        <w:rPr>
          <w:rFonts w:eastAsia="Republika" w:cs="Arial"/>
        </w:rPr>
        <w:t xml:space="preserve">Na </w:t>
      </w:r>
      <w:r w:rsidRPr="00F3375D">
        <w:rPr>
          <w:rFonts w:eastAsia="Republika" w:cs="Arial"/>
        </w:rPr>
        <w:t xml:space="preserve">področju </w:t>
      </w:r>
      <w:r w:rsidRPr="001650A8">
        <w:rPr>
          <w:rFonts w:eastAsia="Republika" w:cs="Arial"/>
        </w:rPr>
        <w:t>zdravja</w:t>
      </w:r>
      <w:r w:rsidRPr="00052B97">
        <w:rPr>
          <w:rFonts w:eastAsia="Republika" w:cs="Arial"/>
        </w:rPr>
        <w:t xml:space="preserve"> so bile potrjene operacije, ki krepijo preventivo, zdravstveno pismenost, zgodnje obravnave kroničnih in duševnih bolezni, razvijajo nove storitve na primarni ravni ter izboljšujejo dostopnost in kakovost zdravstvene oskrbe za ranljive skupine. Poseben poudarek je namenjen razvoju kadrov v zdravstvu, vključno z uvedbo specializacij zdravstvene in babiške nege. Potrjene so bile tudi operacije za </w:t>
      </w:r>
      <w:r w:rsidRPr="001650A8">
        <w:rPr>
          <w:rFonts w:eastAsia="Republika" w:cs="Arial"/>
        </w:rPr>
        <w:t>krepitev duševnega zdravja</w:t>
      </w:r>
      <w:r w:rsidRPr="00052B97">
        <w:rPr>
          <w:rFonts w:eastAsia="Republika" w:cs="Arial"/>
        </w:rPr>
        <w:t>, razvoj novih virov pomoči, podporo osebam z zasvojenostmi ter izboljšanje obravnave v zaporskem sistemu in po odpustu.</w:t>
      </w:r>
    </w:p>
    <w:p w14:paraId="3A752980" w14:textId="77777777" w:rsidR="00052B97" w:rsidRPr="00052B97" w:rsidRDefault="00052B97" w:rsidP="00052B97">
      <w:pPr>
        <w:spacing w:after="0" w:line="276" w:lineRule="auto"/>
        <w:jc w:val="both"/>
        <w:rPr>
          <w:rFonts w:eastAsia="Republika" w:cs="Arial"/>
        </w:rPr>
      </w:pPr>
    </w:p>
    <w:p w14:paraId="0B273509" w14:textId="015406C4" w:rsidR="50EC5705" w:rsidRDefault="50EC5705" w:rsidP="00052B97">
      <w:pPr>
        <w:spacing w:after="0" w:line="276" w:lineRule="auto"/>
        <w:jc w:val="both"/>
        <w:rPr>
          <w:rFonts w:eastAsia="Republika" w:cs="Arial"/>
        </w:rPr>
      </w:pPr>
      <w:r w:rsidRPr="00052B97">
        <w:rPr>
          <w:rFonts w:eastAsia="Republika" w:cs="Arial"/>
        </w:rPr>
        <w:t xml:space="preserve">Na področju </w:t>
      </w:r>
      <w:r w:rsidRPr="001650A8">
        <w:rPr>
          <w:rFonts w:eastAsia="Republika" w:cs="Arial"/>
        </w:rPr>
        <w:t>socialne vključenosti</w:t>
      </w:r>
      <w:r w:rsidRPr="00052B97">
        <w:rPr>
          <w:rFonts w:eastAsia="Republika" w:cs="Arial"/>
        </w:rPr>
        <w:t xml:space="preserve"> so bile potrjene operacije za socialno aktivacijo ranljivih oseb, razvoj skupnostnih storitev, delovanje večgeneracijskih in romskih centrov ter krepitev kompetenc posameznikov, oddaljenih od trga dela. Operacije na področju </w:t>
      </w:r>
      <w:r w:rsidRPr="00F3375D">
        <w:rPr>
          <w:rFonts w:eastAsia="Republika" w:cs="Arial"/>
        </w:rPr>
        <w:t>vzgoje, izobraževanja, športa, kulture in visokega šolstva</w:t>
      </w:r>
      <w:r w:rsidRPr="00052B97">
        <w:rPr>
          <w:rFonts w:eastAsia="Republika" w:cs="Arial"/>
        </w:rPr>
        <w:t xml:space="preserve"> prispevajo k vključevanju otrok, mladih, invalidov in drugih ranljivih skupin, krepitvi temeljnih in socialnih kompetenc ter izboljšanju zaposlitvenih možnosti in kakovosti življenja.</w:t>
      </w:r>
    </w:p>
    <w:p w14:paraId="011B0717" w14:textId="77777777" w:rsidR="00052B97" w:rsidRPr="00052B97" w:rsidRDefault="00052B97" w:rsidP="00052B97">
      <w:pPr>
        <w:spacing w:after="0" w:line="276" w:lineRule="auto"/>
        <w:jc w:val="both"/>
        <w:rPr>
          <w:rFonts w:eastAsia="Republika" w:cs="Arial"/>
        </w:rPr>
      </w:pPr>
    </w:p>
    <w:p w14:paraId="307EF77F" w14:textId="45CB85D0" w:rsidR="2D3773A0" w:rsidRDefault="2D3773A0" w:rsidP="00052B97">
      <w:pPr>
        <w:spacing w:after="0" w:line="276" w:lineRule="auto"/>
        <w:jc w:val="both"/>
        <w:rPr>
          <w:rFonts w:eastAsia="Republika" w:cs="Arial"/>
        </w:rPr>
      </w:pPr>
      <w:r w:rsidRPr="00052B97">
        <w:rPr>
          <w:rFonts w:eastAsia="Republika" w:cs="Arial"/>
        </w:rPr>
        <w:t xml:space="preserve">V </w:t>
      </w:r>
      <w:r w:rsidR="00E813A4">
        <w:rPr>
          <w:rFonts w:eastAsia="Republika" w:cs="Arial"/>
        </w:rPr>
        <w:t>drugem polletju leta 2025</w:t>
      </w:r>
      <w:r w:rsidRPr="00052B97">
        <w:rPr>
          <w:rFonts w:eastAsia="Republika" w:cs="Arial"/>
        </w:rPr>
        <w:t xml:space="preserve"> se je izvajanje </w:t>
      </w:r>
      <w:r w:rsidR="007E1481">
        <w:rPr>
          <w:rFonts w:eastAsia="Republika" w:cs="Arial"/>
        </w:rPr>
        <w:t>P</w:t>
      </w:r>
      <w:r w:rsidRPr="00052B97">
        <w:rPr>
          <w:rFonts w:eastAsia="Republika" w:cs="Arial"/>
        </w:rPr>
        <w:t>rednostne naloge 7 nadaljevalo z osredotočenim potrjevanjem vlog, in sicer:</w:t>
      </w:r>
    </w:p>
    <w:p w14:paraId="4FBDF569" w14:textId="77777777" w:rsidR="00052B97" w:rsidRPr="00052B97" w:rsidRDefault="00052B97" w:rsidP="00052B97">
      <w:pPr>
        <w:spacing w:after="0" w:line="276" w:lineRule="auto"/>
        <w:jc w:val="both"/>
        <w:rPr>
          <w:rFonts w:eastAsia="Republika" w:cs="Arial"/>
        </w:rPr>
      </w:pPr>
    </w:p>
    <w:p w14:paraId="6B7E0C4E" w14:textId="2E750208" w:rsidR="5668CC38" w:rsidRPr="007E1481" w:rsidRDefault="5668CC38" w:rsidP="001650A8">
      <w:pPr>
        <w:pStyle w:val="Odstavekseznama"/>
        <w:numPr>
          <w:ilvl w:val="0"/>
          <w:numId w:val="50"/>
        </w:numPr>
        <w:spacing w:after="0"/>
        <w:jc w:val="both"/>
        <w:rPr>
          <w:rFonts w:eastAsia="Republika" w:cs="Arial"/>
        </w:rPr>
      </w:pPr>
      <w:r w:rsidRPr="007E1481">
        <w:rPr>
          <w:rFonts w:eastAsia="Republika" w:cs="Arial"/>
        </w:rPr>
        <w:t>Na specifičnem cilju ESO4.8 se bo z izbranima operacijama JR »Povezani s kulturo« in »Vključujemo in aktiviramo 2« spodbujala socialna aktivacija in opolnomočenje ranljivih skupin, zlasti oseb, oddaljenih od trga dela in družbenega vključevanja. Aktivnosti so usmerjene v krepitev socialnih, funkcionalnih in delovnih kompetenc ter v večjo vključenost posameznikov v skupnost in družbo, tudi z inovativnim povezovanjem kulturnih vsebin in ciljno usmerjenih usposabljanj.</w:t>
      </w:r>
    </w:p>
    <w:p w14:paraId="01A621EC" w14:textId="5BFC594E" w:rsidR="7E32E97F" w:rsidRPr="00052B97" w:rsidRDefault="7E32E97F" w:rsidP="000C4A26">
      <w:pPr>
        <w:spacing w:after="0"/>
        <w:jc w:val="both"/>
        <w:rPr>
          <w:rFonts w:eastAsia="Republika" w:cs="Arial"/>
        </w:rPr>
      </w:pPr>
    </w:p>
    <w:p w14:paraId="4488B0F1" w14:textId="1DD52319" w:rsidR="5668CC38" w:rsidRPr="007E1481" w:rsidRDefault="5668CC38" w:rsidP="001650A8">
      <w:pPr>
        <w:pStyle w:val="Odstavekseznama"/>
        <w:numPr>
          <w:ilvl w:val="0"/>
          <w:numId w:val="52"/>
        </w:numPr>
        <w:spacing w:after="0"/>
        <w:jc w:val="both"/>
        <w:rPr>
          <w:rFonts w:eastAsia="Republika" w:cs="Arial"/>
        </w:rPr>
      </w:pPr>
      <w:r w:rsidRPr="007E1481">
        <w:rPr>
          <w:rFonts w:eastAsia="Republika" w:cs="Arial"/>
        </w:rPr>
        <w:t>Na specifičnem cilju ESO4.11 se z izbranimi operacijami »Center za zagovorništvo na področju deinstitucionalizacije«, »Sofinanciranje multidisciplinarnih timov za področje deinstitucionalizacije«, »Dostopna dolgotrajna oskrba«, »Posodobitev sistema socialnega varstva«, »Kakovostna dolgotrajna oskrba«, »Zdravstveno negovalna enota v socialnovarstvenih zavodih (ZNE-SVZ)«, »Nove storitve v mreži služb za duševno zdravje«, »Razvoj in krepitev CPZOPD«, »ZaPrePis«, »Uvedba specializacij na področju zdravstvene in babiške nege« ter »Izvajanje novih virov pomoči na področju duševnega zdravja« krepi dostopnost, kakovost in učinkovitost zdravstvenih ter dolgotrajnih oskrbnih storitev. Operacije prispevajo k sistemski vzpostavitvi dolgotrajne oskrbe, razvoju novih zdravstvenih in socialnovarstvenih storitev, krepitvi kadrovskih kompetenc, zdravstvene pismenosti ter bolj integrirani in v uporabnika usmerjeni obravnavi.</w:t>
      </w:r>
    </w:p>
    <w:p w14:paraId="6773DEE8" w14:textId="408702CF" w:rsidR="7E32E97F" w:rsidRPr="00052B97" w:rsidRDefault="7E32E97F" w:rsidP="000C4A26">
      <w:pPr>
        <w:spacing w:after="0"/>
        <w:jc w:val="both"/>
        <w:rPr>
          <w:rFonts w:eastAsia="Republika" w:cs="Arial"/>
        </w:rPr>
      </w:pPr>
    </w:p>
    <w:p w14:paraId="64D77350" w14:textId="0733BD65" w:rsidR="5668CC38" w:rsidRPr="007E1481" w:rsidRDefault="5668CC38" w:rsidP="001650A8">
      <w:pPr>
        <w:pStyle w:val="Odstavekseznama"/>
        <w:numPr>
          <w:ilvl w:val="0"/>
          <w:numId w:val="52"/>
        </w:numPr>
        <w:spacing w:after="0"/>
        <w:jc w:val="both"/>
        <w:rPr>
          <w:rFonts w:eastAsia="Republika" w:cs="Arial"/>
        </w:rPr>
      </w:pPr>
      <w:r w:rsidRPr="007E1481">
        <w:rPr>
          <w:rFonts w:eastAsia="Republika" w:cs="Arial"/>
        </w:rPr>
        <w:lastRenderedPageBreak/>
        <w:t>Na specifičnem cilju ESO4.12 se bo z operacij</w:t>
      </w:r>
      <w:r w:rsidR="00E813A4">
        <w:rPr>
          <w:rFonts w:eastAsia="Republika" w:cs="Arial"/>
        </w:rPr>
        <w:t>ami</w:t>
      </w:r>
      <w:r w:rsidRPr="007E1481">
        <w:rPr>
          <w:rFonts w:eastAsia="Republika" w:cs="Arial"/>
        </w:rPr>
        <w:t xml:space="preserve"> »Vzpostavitev sistema pomoči otrokom z gluhoslepoto v vzgoji in izobraževanju«</w:t>
      </w:r>
      <w:r w:rsidR="00E813A4">
        <w:rPr>
          <w:rFonts w:eastAsia="Republika" w:cs="Arial"/>
        </w:rPr>
        <w:t>, »Izboljšanje pedagoškega procesa za delo z dijaki iz ranljivih skupin v programih nižjega poklicnega izobraževanja« ter »Skupaj za znanje; Izvajanje aktivnosti v večnamenskih romskih centrih«</w:t>
      </w:r>
      <w:r w:rsidRPr="007E1481">
        <w:rPr>
          <w:rFonts w:eastAsia="Republika" w:cs="Arial"/>
        </w:rPr>
        <w:t xml:space="preserve"> izboljševala socialna vključenost ene najbolj ranljivih skupin. Aktivnosti so usmerjene v razvoj strokovnih podlag, inovativnih pedagoških pristopov, prilagojenih oblik komunikacije ter podpornih sistemov, ki otrokom </w:t>
      </w:r>
      <w:r w:rsidR="00E813A4">
        <w:rPr>
          <w:rFonts w:eastAsia="Republika" w:cs="Arial"/>
        </w:rPr>
        <w:t>i</w:t>
      </w:r>
      <w:r w:rsidRPr="007E1481">
        <w:rPr>
          <w:rFonts w:eastAsia="Republika" w:cs="Arial"/>
        </w:rPr>
        <w:t xml:space="preserve">z </w:t>
      </w:r>
      <w:r w:rsidR="00E813A4">
        <w:rPr>
          <w:rFonts w:eastAsia="Republika" w:cs="Arial"/>
        </w:rPr>
        <w:t xml:space="preserve">ranljivih skupin </w:t>
      </w:r>
      <w:r w:rsidRPr="007E1481">
        <w:rPr>
          <w:rFonts w:eastAsia="Republika" w:cs="Arial"/>
        </w:rPr>
        <w:t>omogočajo enakopravnejši dostop do vzgoje, izobraževanja in vključevanja v družbo.</w:t>
      </w:r>
    </w:p>
    <w:p w14:paraId="5B2E6B63" w14:textId="77777777" w:rsidR="00052B97" w:rsidRPr="00052B97" w:rsidRDefault="00052B97" w:rsidP="000C4A26">
      <w:pPr>
        <w:spacing w:after="0"/>
        <w:jc w:val="both"/>
        <w:rPr>
          <w:rFonts w:eastAsia="Republika" w:cs="Arial"/>
        </w:rPr>
      </w:pPr>
    </w:p>
    <w:p w14:paraId="62ECB18B" w14:textId="0A006E68" w:rsidR="00D733B3" w:rsidRDefault="50EC5705" w:rsidP="00D733B3">
      <w:pPr>
        <w:spacing w:after="0" w:line="276" w:lineRule="auto"/>
        <w:jc w:val="both"/>
        <w:rPr>
          <w:rFonts w:eastAsia="Republika" w:cs="Arial"/>
        </w:rPr>
      </w:pPr>
      <w:r w:rsidRPr="00052B97">
        <w:rPr>
          <w:rFonts w:eastAsia="Republika" w:cs="Arial"/>
        </w:rPr>
        <w:t xml:space="preserve">S potrjenimi operacijami </w:t>
      </w:r>
      <w:r w:rsidR="007E1481">
        <w:rPr>
          <w:rFonts w:eastAsia="Republika" w:cs="Arial"/>
        </w:rPr>
        <w:t>P</w:t>
      </w:r>
      <w:r w:rsidRPr="00052B97">
        <w:rPr>
          <w:rFonts w:eastAsia="Republika" w:cs="Arial"/>
        </w:rPr>
        <w:t xml:space="preserve">rednostna naloga 7 celovito uresničuje cilje </w:t>
      </w:r>
      <w:r w:rsidRPr="007E1481">
        <w:rPr>
          <w:rFonts w:eastAsia="Republika" w:cs="Arial"/>
        </w:rPr>
        <w:t>ESS+ sklada</w:t>
      </w:r>
      <w:r w:rsidRPr="00052B97">
        <w:rPr>
          <w:rFonts w:eastAsia="Republika" w:cs="Arial"/>
        </w:rPr>
        <w:t>, ki z vlaganjem v ljudi krepi socialno kohezijo, zmanjšuje neenakosti ter prispeva k bolj pravični, vključujoči in odporni družbi.</w:t>
      </w:r>
      <w:r w:rsidR="00D733B3">
        <w:rPr>
          <w:rFonts w:eastAsia="Republika" w:cs="Arial"/>
        </w:rPr>
        <w:t xml:space="preserve"> </w:t>
      </w:r>
    </w:p>
    <w:p w14:paraId="7062FBC4" w14:textId="77777777" w:rsidR="00D733B3" w:rsidRDefault="00D733B3" w:rsidP="00D733B3">
      <w:pPr>
        <w:spacing w:after="0" w:line="276" w:lineRule="auto"/>
        <w:jc w:val="both"/>
        <w:rPr>
          <w:rFonts w:eastAsia="Republika" w:cs="Arial"/>
        </w:rPr>
      </w:pPr>
    </w:p>
    <w:p w14:paraId="1EE9C490" w14:textId="4B444471" w:rsidR="00CA2BC6" w:rsidRPr="00CA2BC6" w:rsidRDefault="01A61AC5" w:rsidP="6A216576">
      <w:pPr>
        <w:pStyle w:val="Naslov2"/>
        <w:spacing w:before="0"/>
      </w:pPr>
      <w:bookmarkStart w:id="228" w:name="_Toc219974411"/>
      <w:r>
        <w:t>FINANČNI IN</w:t>
      </w:r>
      <w:r w:rsidR="1E7A3944">
        <w:t>S</w:t>
      </w:r>
      <w:r>
        <w:t>TRUMENTI</w:t>
      </w:r>
      <w:bookmarkEnd w:id="228"/>
    </w:p>
    <w:p w14:paraId="1C641BE2" w14:textId="77777777" w:rsidR="00A44063" w:rsidRPr="0025033E" w:rsidRDefault="00A44063" w:rsidP="00ED5676">
      <w:pPr>
        <w:autoSpaceDN/>
        <w:spacing w:after="0"/>
        <w:jc w:val="both"/>
        <w:rPr>
          <w:rFonts w:eastAsia="Calibri" w:cs="Arial"/>
          <w:sz w:val="22"/>
          <w:szCs w:val="22"/>
        </w:rPr>
      </w:pPr>
    </w:p>
    <w:p w14:paraId="5A344A2F" w14:textId="2A5CFEBA" w:rsidR="1541180F" w:rsidRDefault="39CD0C2D" w:rsidP="7E32E97F">
      <w:pPr>
        <w:pStyle w:val="Naslov3"/>
        <w:rPr>
          <w:rFonts w:eastAsia="Calibri" w:cs="Arial"/>
        </w:rPr>
      </w:pPr>
      <w:bookmarkStart w:id="229" w:name="_Toc219974412"/>
      <w:r w:rsidRPr="7E32E97F">
        <w:rPr>
          <w:rFonts w:cs="Arial"/>
        </w:rPr>
        <w:t>Finančni instrumenti iz sklada ESRR</w:t>
      </w:r>
      <w:bookmarkEnd w:id="229"/>
    </w:p>
    <w:p w14:paraId="636AF891" w14:textId="5DA675F1" w:rsidR="050A7BA1" w:rsidRDefault="050A7BA1" w:rsidP="050A7BA1">
      <w:pPr>
        <w:spacing w:after="0"/>
        <w:jc w:val="both"/>
        <w:rPr>
          <w:rFonts w:eastAsia="Calibri" w:cs="Arial"/>
        </w:rPr>
      </w:pPr>
    </w:p>
    <w:p w14:paraId="5420E6BA" w14:textId="77777777" w:rsidR="00602817" w:rsidRDefault="2FE965F4" w:rsidP="7E32E97F">
      <w:pPr>
        <w:autoSpaceDN/>
        <w:spacing w:after="0"/>
        <w:jc w:val="both"/>
        <w:rPr>
          <w:rFonts w:eastAsia="Arial" w:cs="Arial"/>
        </w:rPr>
      </w:pPr>
      <w:r w:rsidRPr="7E32E97F">
        <w:rPr>
          <w:rFonts w:eastAsia="Calibri" w:cs="Arial"/>
        </w:rPr>
        <w:t xml:space="preserve">V PEKP v obdobju </w:t>
      </w:r>
      <w:r w:rsidR="419C6937" w:rsidRPr="7E32E97F">
        <w:rPr>
          <w:rFonts w:eastAsia="Calibri" w:cs="Arial"/>
        </w:rPr>
        <w:t>2021–2027</w:t>
      </w:r>
      <w:r w:rsidR="62B56560" w:rsidRPr="7E32E97F">
        <w:rPr>
          <w:rFonts w:eastAsia="Calibri" w:cs="Arial"/>
        </w:rPr>
        <w:t xml:space="preserve"> </w:t>
      </w:r>
      <w:r w:rsidRPr="7E32E97F">
        <w:rPr>
          <w:rFonts w:eastAsia="Calibri" w:cs="Arial"/>
        </w:rPr>
        <w:t>so finančni instrumenti (v nadaljevanju: FI) predvideni v okviru povratnih in tudi nepovratnih sredstev sklada ESRR</w:t>
      </w:r>
      <w:r w:rsidR="54841A94" w:rsidRPr="7E32E97F">
        <w:rPr>
          <w:rFonts w:eastAsia="Calibri" w:cs="Arial"/>
        </w:rPr>
        <w:t>, in sicer</w:t>
      </w:r>
      <w:r w:rsidRPr="7E32E97F">
        <w:rPr>
          <w:rFonts w:eastAsia="Calibri" w:cs="Arial"/>
        </w:rPr>
        <w:t xml:space="preserve"> v skupni vrednosti 1</w:t>
      </w:r>
      <w:r w:rsidR="54841A94" w:rsidRPr="7E32E97F">
        <w:rPr>
          <w:rFonts w:eastAsia="Calibri" w:cs="Arial"/>
        </w:rPr>
        <w:t>32</w:t>
      </w:r>
      <w:r w:rsidRPr="7E32E97F">
        <w:rPr>
          <w:rFonts w:eastAsia="Calibri" w:cs="Arial"/>
        </w:rPr>
        <w:t xml:space="preserve"> mio EUR</w:t>
      </w:r>
      <w:r w:rsidR="35530268" w:rsidRPr="7E32E97F">
        <w:rPr>
          <w:rFonts w:eastAsia="Calibri" w:cs="Arial"/>
        </w:rPr>
        <w:t xml:space="preserve">. Vendar je </w:t>
      </w:r>
      <w:r w:rsidR="54841A94" w:rsidRPr="7E32E97F">
        <w:rPr>
          <w:rFonts w:eastAsia="Calibri" w:cs="Arial"/>
        </w:rPr>
        <w:t>OU</w:t>
      </w:r>
      <w:r w:rsidR="01610C98" w:rsidRPr="7E32E97F">
        <w:rPr>
          <w:rFonts w:eastAsia="Calibri" w:cs="Arial"/>
        </w:rPr>
        <w:t xml:space="preserve"> </w:t>
      </w:r>
      <w:r w:rsidR="54841A94" w:rsidRPr="7E32E97F">
        <w:rPr>
          <w:rFonts w:eastAsia="Calibri" w:cs="Arial"/>
        </w:rPr>
        <w:t>v sklopu ukrepov za pospešitev koriščenja EKP sredstev</w:t>
      </w:r>
      <w:r w:rsidR="74C78AD6" w:rsidRPr="7E32E97F">
        <w:rPr>
          <w:rFonts w:eastAsia="Calibri" w:cs="Arial"/>
        </w:rPr>
        <w:t xml:space="preserve">, </w:t>
      </w:r>
      <w:r w:rsidR="568122C3" w:rsidRPr="7E32E97F">
        <w:rPr>
          <w:rFonts w:eastAsia="Arial" w:cs="Arial"/>
        </w:rPr>
        <w:t>ob soglasju vlade dodelil posredniškemu telesu za operacijo finančnih instrumentov dodatne pravice porabe preko obsega razpoložljivih sredstev (Uredba EKP, Uradni list št. 13/2025)</w:t>
      </w:r>
      <w:r w:rsidR="19C51E8B" w:rsidRPr="7E32E97F">
        <w:rPr>
          <w:rFonts w:eastAsia="Arial" w:cs="Arial"/>
        </w:rPr>
        <w:t>,</w:t>
      </w:r>
      <w:r w:rsidR="568122C3" w:rsidRPr="7E32E97F">
        <w:rPr>
          <w:rFonts w:eastAsia="Arial" w:cs="Arial"/>
        </w:rPr>
        <w:t xml:space="preserve"> in sicer do višine 190 mio EUR EU sredstev s sklepom vlade Republike Slovenije št. 54402-4/2022/30 z dne 27. 2. 2025.</w:t>
      </w:r>
      <w:r w:rsidR="59ABDACB" w:rsidRPr="7E32E97F">
        <w:rPr>
          <w:rFonts w:eastAsia="Arial" w:cs="Arial"/>
        </w:rPr>
        <w:t xml:space="preserve"> </w:t>
      </w:r>
    </w:p>
    <w:p w14:paraId="792254BB" w14:textId="77777777" w:rsidR="00602817" w:rsidRDefault="00602817" w:rsidP="7E32E97F">
      <w:pPr>
        <w:autoSpaceDN/>
        <w:spacing w:after="0"/>
        <w:jc w:val="both"/>
        <w:rPr>
          <w:rFonts w:eastAsia="Arial" w:cs="Arial"/>
        </w:rPr>
      </w:pPr>
    </w:p>
    <w:p w14:paraId="317AEBCB" w14:textId="0D405C51" w:rsidR="00A44063" w:rsidRPr="00BA4E86" w:rsidRDefault="2FE965F4" w:rsidP="050A7BA1">
      <w:pPr>
        <w:autoSpaceDN/>
        <w:spacing w:after="0"/>
        <w:jc w:val="both"/>
        <w:rPr>
          <w:rFonts w:eastAsia="Calibri" w:cs="Arial"/>
        </w:rPr>
      </w:pPr>
      <w:r w:rsidRPr="7E32E97F">
        <w:rPr>
          <w:rFonts w:eastAsia="Calibri" w:cs="Arial"/>
        </w:rPr>
        <w:t xml:space="preserve">Sredstva namenjena za FI so razdeljena na </w:t>
      </w:r>
      <w:r w:rsidR="032E8728" w:rsidRPr="7E32E97F">
        <w:rPr>
          <w:rFonts w:eastAsia="Calibri" w:cs="Arial"/>
        </w:rPr>
        <w:t>pet</w:t>
      </w:r>
      <w:r w:rsidRPr="7E32E97F">
        <w:rPr>
          <w:rFonts w:eastAsia="Calibri" w:cs="Arial"/>
        </w:rPr>
        <w:t xml:space="preserve"> specifičnih ciljev v okviru </w:t>
      </w:r>
      <w:r w:rsidR="032E8728" w:rsidRPr="7E32E97F">
        <w:rPr>
          <w:rFonts w:eastAsia="Calibri" w:cs="Arial"/>
        </w:rPr>
        <w:t>treh</w:t>
      </w:r>
      <w:r w:rsidRPr="7E32E97F">
        <w:rPr>
          <w:rFonts w:eastAsia="Calibri" w:cs="Arial"/>
        </w:rPr>
        <w:t xml:space="preserve"> prednostnih nalog na podlagi izvedene Predhodne ocene potreb trga in vrzeli financiranja na trgu za izvajanje finančnih instrumentov v programskem obdobju </w:t>
      </w:r>
      <w:r w:rsidR="419C6937" w:rsidRPr="7E32E97F">
        <w:rPr>
          <w:rFonts w:eastAsia="Calibri" w:cs="Arial"/>
        </w:rPr>
        <w:t xml:space="preserve">2021–2027 </w:t>
      </w:r>
      <w:r w:rsidRPr="7E32E97F">
        <w:rPr>
          <w:rFonts w:eastAsia="Calibri" w:cs="Arial"/>
        </w:rPr>
        <w:t>(v nadaljevanju: Predhodna ocena):</w:t>
      </w:r>
    </w:p>
    <w:p w14:paraId="53B489D6" w14:textId="25D2CDC2" w:rsidR="00A44063" w:rsidRPr="00A44063" w:rsidRDefault="2FE965F4" w:rsidP="7E32E97F">
      <w:pPr>
        <w:numPr>
          <w:ilvl w:val="0"/>
          <w:numId w:val="29"/>
        </w:numPr>
        <w:autoSpaceDN/>
        <w:spacing w:after="160" w:line="259" w:lineRule="auto"/>
        <w:contextualSpacing/>
        <w:jc w:val="both"/>
        <w:rPr>
          <w:rFonts w:eastAsia="Arial" w:cs="Arial"/>
        </w:rPr>
      </w:pPr>
      <w:r w:rsidRPr="7E32E97F">
        <w:rPr>
          <w:rFonts w:cs="Arial"/>
        </w:rPr>
        <w:t>specifični cilj RSO 1.1, Razvoj in izboljšanje raziskovalne in inovacijske zmogljivosti ter uvajanje naprednih tehnologij (ESRR)</w:t>
      </w:r>
      <w:r w:rsidRPr="7E32E97F">
        <w:rPr>
          <w:rFonts w:cs="Arial"/>
          <w:b/>
          <w:bCs/>
        </w:rPr>
        <w:t xml:space="preserve"> </w:t>
      </w:r>
      <w:r w:rsidRPr="7E32E97F">
        <w:rPr>
          <w:rFonts w:cs="Arial"/>
        </w:rPr>
        <w:t>–</w:t>
      </w:r>
      <w:r w:rsidRPr="7E32E97F">
        <w:rPr>
          <w:rFonts w:cs="Arial"/>
          <w:b/>
          <w:bCs/>
        </w:rPr>
        <w:t xml:space="preserve"> </w:t>
      </w:r>
      <w:r w:rsidRPr="7E32E97F">
        <w:rPr>
          <w:rFonts w:cs="Arial"/>
        </w:rPr>
        <w:t xml:space="preserve">FI se predvidevajo na področju krepitve vlaganj v raziskovalne razvojne in inovacijske projekte ter sodelovanje med raziskovalnimi organizacijami, gospodarstvom, upravo in ostalimi deležniki. </w:t>
      </w:r>
      <w:r w:rsidR="59E556DD" w:rsidRPr="7E32E97F">
        <w:rPr>
          <w:rFonts w:eastAsia="Arial" w:cs="Arial"/>
        </w:rPr>
        <w:t>Oblikoval se bo finančni produkt posojila RRI podjetjem vseh velikosti</w:t>
      </w:r>
      <w:r w:rsidR="3F57B317" w:rsidRPr="7E32E97F">
        <w:rPr>
          <w:rFonts w:eastAsia="Arial" w:cs="Arial"/>
        </w:rPr>
        <w:t>,</w:t>
      </w:r>
    </w:p>
    <w:p w14:paraId="5018AE55" w14:textId="4ACD4D31" w:rsidR="00A44063" w:rsidRPr="00A44063" w:rsidRDefault="2FE965F4" w:rsidP="001650A8">
      <w:pPr>
        <w:numPr>
          <w:ilvl w:val="0"/>
          <w:numId w:val="29"/>
        </w:numPr>
        <w:autoSpaceDN/>
        <w:spacing w:after="160" w:line="276" w:lineRule="auto"/>
        <w:contextualSpacing/>
        <w:jc w:val="both"/>
        <w:rPr>
          <w:rFonts w:eastAsia="Arial" w:cs="Arial"/>
        </w:rPr>
      </w:pPr>
      <w:r w:rsidRPr="7E32E97F">
        <w:rPr>
          <w:rFonts w:cs="Arial"/>
        </w:rPr>
        <w:t xml:space="preserve">specifični cilj RSO 1.3, Krepitev trajnostne rasti in konkurenčnosti malih in srednjih podjetij ter ustvarjanje delovnih mest v malih in srednjih podjetjih, med drugim s produktivnimi naložbami (ESRR) – </w:t>
      </w:r>
      <w:r w:rsidR="464635AF" w:rsidRPr="7E32E97F">
        <w:rPr>
          <w:rFonts w:cs="Arial"/>
        </w:rPr>
        <w:t xml:space="preserve">z izvajanjem garancij (s subvencijo obrestne mere) se bo spodbujala rast in razvoj MSP z izvedbo investicijskih projektov (za njihovo konkurenčno uveljavljanje na trgu, izboljšan tržni položaj in širitev dejavnosti). </w:t>
      </w:r>
      <w:r w:rsidR="5D9AC1A0" w:rsidRPr="7E32E97F">
        <w:rPr>
          <w:rFonts w:eastAsia="Arial" w:cs="Arial"/>
        </w:rPr>
        <w:t>Oblikoval se bo finančni produkt garancije za bančne kredite s subvencijo obrestne mere za financiranje MSP</w:t>
      </w:r>
      <w:r w:rsidR="51F616EE" w:rsidRPr="7E32E97F">
        <w:rPr>
          <w:rFonts w:eastAsia="Arial" w:cs="Arial"/>
        </w:rPr>
        <w:t>,</w:t>
      </w:r>
    </w:p>
    <w:p w14:paraId="0F270445" w14:textId="41173E7F" w:rsidR="00A44063" w:rsidRPr="00A44063" w:rsidRDefault="2FE965F4" w:rsidP="001650A8">
      <w:pPr>
        <w:numPr>
          <w:ilvl w:val="0"/>
          <w:numId w:val="29"/>
        </w:numPr>
        <w:autoSpaceDN/>
        <w:spacing w:after="160" w:line="276" w:lineRule="auto"/>
        <w:contextualSpacing/>
        <w:jc w:val="both"/>
        <w:rPr>
          <w:rFonts w:eastAsia="Arial" w:cs="Arial"/>
        </w:rPr>
      </w:pPr>
      <w:r w:rsidRPr="7E32E97F">
        <w:rPr>
          <w:rFonts w:cs="Arial"/>
        </w:rPr>
        <w:t xml:space="preserve">specifični cilj RSO 2.1, Spodbujanje energijske učinkovitosti in zmanjševanje emisij toplogrednih plinov – uporaba FI je predvidena pri energetski prenovi stavb </w:t>
      </w:r>
      <w:r w:rsidR="4D2950B6" w:rsidRPr="7E32E97F">
        <w:rPr>
          <w:rFonts w:cs="Arial"/>
        </w:rPr>
        <w:t>poslovnih subjektov.</w:t>
      </w:r>
      <w:r w:rsidRPr="7E32E97F">
        <w:rPr>
          <w:rFonts w:cs="Arial"/>
        </w:rPr>
        <w:t xml:space="preserve"> </w:t>
      </w:r>
      <w:r w:rsidR="4D2950B6" w:rsidRPr="7E32E97F">
        <w:rPr>
          <w:rFonts w:cs="Arial"/>
        </w:rPr>
        <w:t>P</w:t>
      </w:r>
      <w:r w:rsidRPr="7E32E97F">
        <w:rPr>
          <w:rFonts w:cs="Arial"/>
        </w:rPr>
        <w:t xml:space="preserve">redvidoma se bo izvajal v kombinaciji z nepovratnimi sredstvi v okviru ene operacije. </w:t>
      </w:r>
      <w:r w:rsidR="61393B14" w:rsidRPr="7E32E97F">
        <w:rPr>
          <w:rFonts w:eastAsia="Arial" w:cs="Arial"/>
        </w:rPr>
        <w:t>Oblikoval se bo finančni produkt posojila za energetsko učinkovitost s kombinacijo nepovratnih sredstev za vse poslovne subjekte</w:t>
      </w:r>
      <w:r w:rsidR="3CC87117" w:rsidRPr="7E32E97F">
        <w:rPr>
          <w:rFonts w:eastAsia="Arial" w:cs="Arial"/>
        </w:rPr>
        <w:t>,</w:t>
      </w:r>
    </w:p>
    <w:p w14:paraId="2F7FCA25" w14:textId="1B4C2B45" w:rsidR="00A44063" w:rsidRPr="00A44063" w:rsidRDefault="2FE965F4" w:rsidP="7E32E97F">
      <w:pPr>
        <w:numPr>
          <w:ilvl w:val="0"/>
          <w:numId w:val="29"/>
        </w:numPr>
        <w:autoSpaceDN/>
        <w:spacing w:after="160" w:line="259" w:lineRule="auto"/>
        <w:contextualSpacing/>
        <w:jc w:val="both"/>
        <w:rPr>
          <w:rFonts w:eastAsia="Arial" w:cs="Arial"/>
        </w:rPr>
      </w:pPr>
      <w:r w:rsidRPr="7E32E97F">
        <w:rPr>
          <w:rFonts w:cs="Arial"/>
        </w:rPr>
        <w:t xml:space="preserve">specifični cilj RSO 2.6, Spodbujanje prehoda na krožno gospodarstvo, gospodarni z viri (ESSR) – uporaba FI se predvideva za spodbujanje krožnih inovacijskih procesov in učinkovite rabe virov v podjetjih. </w:t>
      </w:r>
      <w:r w:rsidR="056CE0C9" w:rsidRPr="7E32E97F">
        <w:rPr>
          <w:rFonts w:eastAsia="Arial" w:cs="Arial"/>
        </w:rPr>
        <w:t>Oblikoval se bo finančni produkt posojila za prehod v krožno gospodarstvo s kombinacijo nepovratnih sredstev za podjetja</w:t>
      </w:r>
      <w:r w:rsidR="0FC4652C" w:rsidRPr="7E32E97F">
        <w:rPr>
          <w:rFonts w:eastAsia="Arial" w:cs="Arial"/>
        </w:rPr>
        <w:t>,</w:t>
      </w:r>
    </w:p>
    <w:p w14:paraId="0FED07E2" w14:textId="159A1662" w:rsidR="00A44063" w:rsidRPr="00A44063" w:rsidRDefault="2FE965F4" w:rsidP="7E32E97F">
      <w:pPr>
        <w:numPr>
          <w:ilvl w:val="0"/>
          <w:numId w:val="29"/>
        </w:numPr>
        <w:autoSpaceDN/>
        <w:spacing w:after="160" w:line="259" w:lineRule="auto"/>
        <w:contextualSpacing/>
        <w:jc w:val="both"/>
        <w:rPr>
          <w:rFonts w:eastAsia="Arial" w:cs="Arial"/>
        </w:rPr>
      </w:pPr>
      <w:r w:rsidRPr="7E32E97F">
        <w:rPr>
          <w:rFonts w:cs="Arial"/>
        </w:rPr>
        <w:t>specifični cilj RSO 5.1, Spodbujanje celostnega in vključujočega socialnega, gospodarskega in okoljskega razvoja, kulture in naravne dediščine, trajnostnega turizma in varnosti na mestnih območjih –</w:t>
      </w:r>
      <w:r w:rsidRPr="7E32E97F">
        <w:rPr>
          <w:rFonts w:cs="Arial"/>
          <w:b/>
          <w:bCs/>
        </w:rPr>
        <w:t xml:space="preserve"> </w:t>
      </w:r>
      <w:r w:rsidRPr="7E32E97F">
        <w:rPr>
          <w:rFonts w:cs="Arial"/>
        </w:rPr>
        <w:t>prispevati k povečanju kakovosti, raznolikosti in dostopnosti urbanih vsebin, krepitvi kakovosti življenja v mestu z oživljanjem razvrednotenih in premalo izkoriščenih območij v mestih in aktivaciji občanov ter druge zainteresirane javnosti.</w:t>
      </w:r>
      <w:r w:rsidR="41045B82" w:rsidRPr="7E32E97F">
        <w:rPr>
          <w:rFonts w:cs="Arial"/>
        </w:rPr>
        <w:t xml:space="preserve"> </w:t>
      </w:r>
      <w:r w:rsidR="41045B82" w:rsidRPr="7E32E97F">
        <w:rPr>
          <w:rFonts w:eastAsia="Arial" w:cs="Arial"/>
        </w:rPr>
        <w:t>Oblikoval se bo finančni produkt posojila za urbani razvoj.</w:t>
      </w:r>
    </w:p>
    <w:p w14:paraId="01CF2E47" w14:textId="77777777" w:rsidR="00A44063" w:rsidRPr="00A44063" w:rsidRDefault="00A44063" w:rsidP="7E32E97F">
      <w:pPr>
        <w:autoSpaceDN/>
        <w:contextualSpacing/>
        <w:jc w:val="both"/>
        <w:rPr>
          <w:rFonts w:eastAsia="Calibri" w:cs="Arial"/>
        </w:rPr>
      </w:pPr>
    </w:p>
    <w:p w14:paraId="1AAFD22B" w14:textId="1D2424FE" w:rsidR="00A44063" w:rsidRPr="0085014A" w:rsidRDefault="2FE965F4" w:rsidP="001650A8">
      <w:pPr>
        <w:autoSpaceDE w:val="0"/>
        <w:adjustRightInd w:val="0"/>
        <w:spacing w:after="0" w:line="276" w:lineRule="auto"/>
        <w:jc w:val="both"/>
        <w:rPr>
          <w:rFonts w:cs="Arial"/>
        </w:rPr>
      </w:pPr>
      <w:r w:rsidRPr="7E32E97F">
        <w:rPr>
          <w:rFonts w:cs="Arial"/>
          <w:color w:val="000000" w:themeColor="text1"/>
        </w:rPr>
        <w:t xml:space="preserve">MKRR v vlogi OU bo v programskem obdobju </w:t>
      </w:r>
      <w:r w:rsidR="419C6937" w:rsidRPr="7E32E97F">
        <w:rPr>
          <w:rFonts w:cs="Arial"/>
          <w:color w:val="000000" w:themeColor="text1"/>
        </w:rPr>
        <w:t xml:space="preserve">2021–2027 </w:t>
      </w:r>
      <w:r w:rsidRPr="7E32E97F">
        <w:rPr>
          <w:rFonts w:cs="Arial"/>
          <w:color w:val="000000" w:themeColor="text1"/>
        </w:rPr>
        <w:t>na nacionalni ravni izvajal FI s podelitvijo nalog v izvajanje PT pristojn</w:t>
      </w:r>
      <w:r w:rsidR="08CB0A29" w:rsidRPr="7E32E97F">
        <w:rPr>
          <w:rFonts w:cs="Arial"/>
          <w:color w:val="000000" w:themeColor="text1"/>
        </w:rPr>
        <w:t>em</w:t>
      </w:r>
      <w:r w:rsidRPr="7E32E97F">
        <w:rPr>
          <w:rFonts w:cs="Arial"/>
          <w:color w:val="000000" w:themeColor="text1"/>
        </w:rPr>
        <w:t xml:space="preserve"> za izvajanje FI</w:t>
      </w:r>
      <w:r w:rsidR="475B537E" w:rsidRPr="7E32E97F">
        <w:rPr>
          <w:rFonts w:cs="Arial"/>
          <w:color w:val="000000" w:themeColor="text1"/>
        </w:rPr>
        <w:t>, ki je</w:t>
      </w:r>
      <w:r w:rsidRPr="7E32E97F">
        <w:rPr>
          <w:rFonts w:cs="Arial"/>
          <w:color w:val="000000" w:themeColor="text1"/>
        </w:rPr>
        <w:t xml:space="preserve"> ministrstvo pristojno za gospodarstvo, turizem in </w:t>
      </w:r>
      <w:r w:rsidRPr="7E32E97F">
        <w:rPr>
          <w:rFonts w:cs="Arial"/>
          <w:color w:val="000000" w:themeColor="text1"/>
        </w:rPr>
        <w:lastRenderedPageBreak/>
        <w:t xml:space="preserve">šport (MGTŠ). PT pristojno za izvajanje FI pri načrtovanju in izvajanju FI sodeluje pri </w:t>
      </w:r>
      <w:r w:rsidRPr="7E32E97F">
        <w:rPr>
          <w:rFonts w:cs="Arial"/>
        </w:rPr>
        <w:t xml:space="preserve">načrtovanju, izvajanju in spremljanju FI z sodelujočimi ministrstvi MOPE, MNVP in ZMOS, opredeljenimi v skladu z drugim odstavkom 27. členom Uredbe EKP. </w:t>
      </w:r>
    </w:p>
    <w:p w14:paraId="0E50160A" w14:textId="77777777" w:rsidR="000523F8" w:rsidRPr="000523F8" w:rsidRDefault="000523F8" w:rsidP="071446A1">
      <w:pPr>
        <w:spacing w:after="0" w:line="240" w:lineRule="auto"/>
        <w:jc w:val="both"/>
        <w:rPr>
          <w:rFonts w:cs="Arial"/>
          <w:u w:val="single"/>
        </w:rPr>
      </w:pPr>
    </w:p>
    <w:p w14:paraId="02928E5D" w14:textId="7092EA4C" w:rsidR="47E874BB" w:rsidRDefault="0AB9FA99" w:rsidP="001650A8">
      <w:pPr>
        <w:spacing w:after="0" w:line="276" w:lineRule="auto"/>
        <w:jc w:val="both"/>
        <w:rPr>
          <w:rFonts w:cs="Arial"/>
        </w:rPr>
      </w:pPr>
      <w:r w:rsidRPr="7E32E97F">
        <w:rPr>
          <w:rFonts w:cs="Arial"/>
        </w:rPr>
        <w:t xml:space="preserve">Operacija </w:t>
      </w:r>
      <w:r w:rsidR="7AE65612" w:rsidRPr="7E32E97F">
        <w:rPr>
          <w:rFonts w:cs="Arial"/>
        </w:rPr>
        <w:t>FI</w:t>
      </w:r>
      <w:r w:rsidRPr="7E32E97F">
        <w:rPr>
          <w:rFonts w:cs="Arial"/>
        </w:rPr>
        <w:t xml:space="preserve"> iz sklada ESRR se v obdobju 2021</w:t>
      </w:r>
      <w:r w:rsidR="76E5FA47" w:rsidRPr="7E32E97F">
        <w:rPr>
          <w:rFonts w:cs="Arial"/>
          <w:color w:val="000000" w:themeColor="text1"/>
        </w:rPr>
        <w:t>–</w:t>
      </w:r>
      <w:r w:rsidRPr="7E32E97F">
        <w:rPr>
          <w:rFonts w:cs="Arial"/>
        </w:rPr>
        <w:t xml:space="preserve">2027 izvaja preko strukture holdinškega sklada. </w:t>
      </w:r>
      <w:r w:rsidR="314132CA" w:rsidRPr="7E32E97F">
        <w:rPr>
          <w:rFonts w:cs="Arial"/>
        </w:rPr>
        <w:t>PT</w:t>
      </w:r>
      <w:r w:rsidR="0F4D0F43" w:rsidRPr="7E32E97F">
        <w:rPr>
          <w:rFonts w:cs="Arial"/>
        </w:rPr>
        <w:t xml:space="preserve"> </w:t>
      </w:r>
      <w:r w:rsidR="295690FF" w:rsidRPr="7E32E97F">
        <w:rPr>
          <w:rFonts w:cs="Arial"/>
        </w:rPr>
        <w:t>MGTŠ je z odločitvijo o oddaji naročila dne 10.</w:t>
      </w:r>
      <w:r w:rsidR="6123D3E0" w:rsidRPr="7E32E97F">
        <w:rPr>
          <w:rFonts w:cs="Arial"/>
        </w:rPr>
        <w:t xml:space="preserve"> </w:t>
      </w:r>
      <w:r w:rsidR="295690FF" w:rsidRPr="7E32E97F">
        <w:rPr>
          <w:rFonts w:cs="Arial"/>
        </w:rPr>
        <w:t>3.</w:t>
      </w:r>
      <w:r w:rsidR="6123D3E0" w:rsidRPr="7E32E97F">
        <w:rPr>
          <w:rFonts w:cs="Arial"/>
        </w:rPr>
        <w:t xml:space="preserve"> </w:t>
      </w:r>
      <w:r w:rsidR="295690FF" w:rsidRPr="7E32E97F">
        <w:rPr>
          <w:rFonts w:cs="Arial"/>
        </w:rPr>
        <w:t xml:space="preserve">2025 za upravljalca holdinškega sklada po postopku ZJN (in house postopek) izbralo SID - Slovenska izvozna in razvojna banka, d.d. </w:t>
      </w:r>
      <w:r w:rsidR="5653AE1A" w:rsidRPr="7E32E97F">
        <w:rPr>
          <w:rFonts w:cs="Arial"/>
        </w:rPr>
        <w:t>Ljubljana</w:t>
      </w:r>
      <w:r w:rsidR="1DC17A8E" w:rsidRPr="7E32E97F">
        <w:rPr>
          <w:rFonts w:cs="Arial"/>
        </w:rPr>
        <w:t xml:space="preserve"> (v nadaljevanju: SID banka)</w:t>
      </w:r>
      <w:r w:rsidR="5653AE1A" w:rsidRPr="7E32E97F">
        <w:rPr>
          <w:rFonts w:cs="Arial"/>
        </w:rPr>
        <w:t xml:space="preserve">. </w:t>
      </w:r>
      <w:r w:rsidR="2671F428" w:rsidRPr="7E32E97F">
        <w:rPr>
          <w:rFonts w:cs="Arial"/>
        </w:rPr>
        <w:t xml:space="preserve">Dne 13. 3. 2025 </w:t>
      </w:r>
      <w:r w:rsidR="351F013A" w:rsidRPr="7E32E97F">
        <w:rPr>
          <w:rFonts w:cs="Arial"/>
        </w:rPr>
        <w:t>je na podlagi vloge PT</w:t>
      </w:r>
      <w:r w:rsidR="0F4D0F43" w:rsidRPr="7E32E97F">
        <w:rPr>
          <w:rFonts w:cs="Arial"/>
        </w:rPr>
        <w:t xml:space="preserve"> </w:t>
      </w:r>
      <w:r w:rsidR="351F013A" w:rsidRPr="7E32E97F">
        <w:rPr>
          <w:rFonts w:cs="Arial"/>
        </w:rPr>
        <w:t xml:space="preserve">MGTŠ izdal OU Odločitev o podpori za izvajanje </w:t>
      </w:r>
      <w:r w:rsidR="4DF38658" w:rsidRPr="7E32E97F">
        <w:rPr>
          <w:rFonts w:cs="Arial"/>
        </w:rPr>
        <w:t>O</w:t>
      </w:r>
      <w:r w:rsidR="351F013A" w:rsidRPr="7E32E97F">
        <w:rPr>
          <w:rFonts w:cs="Arial"/>
        </w:rPr>
        <w:t xml:space="preserve">peracije </w:t>
      </w:r>
      <w:r w:rsidR="2B133E6D" w:rsidRPr="7E32E97F">
        <w:rPr>
          <w:rFonts w:cs="Arial"/>
        </w:rPr>
        <w:t>FI</w:t>
      </w:r>
      <w:r w:rsidR="351F013A" w:rsidRPr="7E32E97F">
        <w:rPr>
          <w:rFonts w:cs="Arial"/>
        </w:rPr>
        <w:t xml:space="preserve"> v programskem obdobju 2021</w:t>
      </w:r>
      <w:r w:rsidR="76E5FA47" w:rsidRPr="7E32E97F">
        <w:rPr>
          <w:rFonts w:cs="Arial"/>
          <w:color w:val="000000" w:themeColor="text1"/>
        </w:rPr>
        <w:t>–</w:t>
      </w:r>
      <w:r w:rsidR="351F013A" w:rsidRPr="7E32E97F">
        <w:rPr>
          <w:rFonts w:cs="Arial"/>
        </w:rPr>
        <w:t>2027. PT</w:t>
      </w:r>
      <w:r w:rsidR="0F4D0F43" w:rsidRPr="7E32E97F">
        <w:rPr>
          <w:rFonts w:cs="Arial"/>
        </w:rPr>
        <w:t xml:space="preserve"> </w:t>
      </w:r>
      <w:r w:rsidR="351F013A" w:rsidRPr="7E32E97F">
        <w:rPr>
          <w:rFonts w:cs="Arial"/>
        </w:rPr>
        <w:t>MGTŠ je podpisal Sporazum o financiranju z upravljavcem hold</w:t>
      </w:r>
      <w:r w:rsidR="2A538C5A" w:rsidRPr="7E32E97F">
        <w:rPr>
          <w:rFonts w:cs="Arial"/>
        </w:rPr>
        <w:t>i</w:t>
      </w:r>
      <w:r w:rsidR="351F013A" w:rsidRPr="7E32E97F">
        <w:rPr>
          <w:rFonts w:cs="Arial"/>
        </w:rPr>
        <w:t>nške</w:t>
      </w:r>
      <w:r w:rsidR="3868D071" w:rsidRPr="7E32E97F">
        <w:rPr>
          <w:rFonts w:cs="Arial"/>
        </w:rPr>
        <w:t>ga</w:t>
      </w:r>
      <w:r w:rsidR="351F013A" w:rsidRPr="7E32E97F">
        <w:rPr>
          <w:rFonts w:cs="Arial"/>
        </w:rPr>
        <w:t xml:space="preserve"> sklada SID banko dne </w:t>
      </w:r>
      <w:r w:rsidR="1A800A99" w:rsidRPr="7E32E97F">
        <w:rPr>
          <w:rFonts w:cs="Arial"/>
        </w:rPr>
        <w:t>28. 3. 2025</w:t>
      </w:r>
      <w:r w:rsidR="762F68A8" w:rsidRPr="7E32E97F">
        <w:rPr>
          <w:rFonts w:cs="Arial"/>
        </w:rPr>
        <w:t>, ki</w:t>
      </w:r>
      <w:r w:rsidR="057B4701" w:rsidRPr="7E32E97F">
        <w:rPr>
          <w:rFonts w:cs="Arial"/>
        </w:rPr>
        <w:t xml:space="preserve"> vključuje tudi predvideno naložbeno strategijo in poslovno finančni načrt izvajanja </w:t>
      </w:r>
      <w:r w:rsidR="0F4D0F43" w:rsidRPr="7E32E97F">
        <w:rPr>
          <w:rFonts w:cs="Arial"/>
        </w:rPr>
        <w:t>o</w:t>
      </w:r>
      <w:r w:rsidR="057B4701" w:rsidRPr="7E32E97F">
        <w:rPr>
          <w:rFonts w:cs="Arial"/>
        </w:rPr>
        <w:t>peracije</w:t>
      </w:r>
      <w:r w:rsidR="20247812" w:rsidRPr="7E32E97F">
        <w:rPr>
          <w:rFonts w:cs="Arial"/>
        </w:rPr>
        <w:t xml:space="preserve"> FI</w:t>
      </w:r>
      <w:r w:rsidR="057B4701" w:rsidRPr="7E32E97F">
        <w:rPr>
          <w:rFonts w:cs="Arial"/>
        </w:rPr>
        <w:t xml:space="preserve">. </w:t>
      </w:r>
    </w:p>
    <w:p w14:paraId="3E787777" w14:textId="780B9C84" w:rsidR="071446A1" w:rsidRDefault="071446A1" w:rsidP="071446A1">
      <w:pPr>
        <w:spacing w:after="0"/>
        <w:jc w:val="both"/>
        <w:rPr>
          <w:rFonts w:cs="Arial"/>
        </w:rPr>
      </w:pPr>
    </w:p>
    <w:p w14:paraId="5EE76055" w14:textId="047380BA" w:rsidR="0DC9656F" w:rsidRDefault="057B4701" w:rsidP="071446A1">
      <w:pPr>
        <w:spacing w:after="0"/>
        <w:jc w:val="both"/>
        <w:rPr>
          <w:rFonts w:cs="Arial"/>
        </w:rPr>
      </w:pPr>
      <w:r w:rsidRPr="7E32E97F">
        <w:rPr>
          <w:rFonts w:cs="Arial"/>
        </w:rPr>
        <w:t>Dne 7.</w:t>
      </w:r>
      <w:r w:rsidR="61FA881C" w:rsidRPr="7E32E97F">
        <w:rPr>
          <w:rFonts w:cs="Arial"/>
        </w:rPr>
        <w:t xml:space="preserve"> </w:t>
      </w:r>
      <w:r w:rsidRPr="7E32E97F">
        <w:rPr>
          <w:rFonts w:cs="Arial"/>
        </w:rPr>
        <w:t>4.</w:t>
      </w:r>
      <w:r w:rsidR="246EE0FE" w:rsidRPr="7E32E97F">
        <w:rPr>
          <w:rFonts w:cs="Arial"/>
        </w:rPr>
        <w:t xml:space="preserve"> </w:t>
      </w:r>
      <w:r w:rsidRPr="7E32E97F">
        <w:rPr>
          <w:rFonts w:cs="Arial"/>
        </w:rPr>
        <w:t>2025 je bilo izvedeno prvo vplačilo v holdinški sklad iz sredstev EU v višini 30</w:t>
      </w:r>
      <w:r w:rsidR="5842594C" w:rsidRPr="7E32E97F">
        <w:rPr>
          <w:rFonts w:cs="Arial"/>
        </w:rPr>
        <w:t xml:space="preserve"> </w:t>
      </w:r>
      <w:r w:rsidRPr="7E32E97F">
        <w:rPr>
          <w:rFonts w:cs="Arial"/>
        </w:rPr>
        <w:t xml:space="preserve">% od celotne vrednosti operacije, kar je 57 mio EUR. </w:t>
      </w:r>
    </w:p>
    <w:p w14:paraId="055F8B7A" w14:textId="125AFF80" w:rsidR="071446A1" w:rsidRDefault="071446A1" w:rsidP="071446A1">
      <w:pPr>
        <w:spacing w:after="0"/>
        <w:jc w:val="both"/>
        <w:rPr>
          <w:rFonts w:cs="Arial"/>
        </w:rPr>
      </w:pPr>
    </w:p>
    <w:p w14:paraId="3B36FAFC" w14:textId="08843C84" w:rsidR="0DC9656F" w:rsidRPr="003006BF" w:rsidRDefault="057B4701" w:rsidP="001650A8">
      <w:pPr>
        <w:spacing w:after="0" w:line="276" w:lineRule="auto"/>
        <w:jc w:val="both"/>
        <w:rPr>
          <w:rFonts w:cs="Arial"/>
        </w:rPr>
      </w:pPr>
      <w:r w:rsidRPr="7E32E97F">
        <w:rPr>
          <w:rFonts w:cs="Arial"/>
        </w:rPr>
        <w:t xml:space="preserve">V okviru operacije FI potekajo na ravni upravljavca holdinškega sklada postopki izbora finančnih posrednikov ter oblikovanje finančnih produktov. </w:t>
      </w:r>
      <w:r w:rsidR="04D3AC29" w:rsidRPr="7E32E97F">
        <w:rPr>
          <w:rFonts w:cs="Arial"/>
        </w:rPr>
        <w:t>Podpisan</w:t>
      </w:r>
      <w:r w:rsidRPr="7E32E97F">
        <w:rPr>
          <w:rFonts w:cs="Arial"/>
        </w:rPr>
        <w:t xml:space="preserve"> je </w:t>
      </w:r>
      <w:r w:rsidR="1D08B235" w:rsidRPr="7E32E97F">
        <w:rPr>
          <w:rFonts w:cs="Arial"/>
        </w:rPr>
        <w:t>bil</w:t>
      </w:r>
      <w:r w:rsidRPr="7E32E97F">
        <w:rPr>
          <w:rFonts w:cs="Arial"/>
        </w:rPr>
        <w:t xml:space="preserve"> Aneks št.</w:t>
      </w:r>
      <w:r w:rsidR="14744B81" w:rsidRPr="7E32E97F">
        <w:rPr>
          <w:rFonts w:cs="Arial"/>
        </w:rPr>
        <w:t xml:space="preserve"> </w:t>
      </w:r>
      <w:r w:rsidRPr="7E32E97F">
        <w:rPr>
          <w:rFonts w:cs="Arial"/>
        </w:rPr>
        <w:t>1</w:t>
      </w:r>
      <w:r w:rsidR="255E05F1" w:rsidRPr="7E32E97F">
        <w:rPr>
          <w:rFonts w:cs="Arial"/>
        </w:rPr>
        <w:t>,</w:t>
      </w:r>
      <w:r w:rsidRPr="7E32E97F">
        <w:rPr>
          <w:rFonts w:cs="Arial"/>
        </w:rPr>
        <w:t xml:space="preserve"> v katere</w:t>
      </w:r>
      <w:r w:rsidR="653E1757" w:rsidRPr="7E32E97F">
        <w:rPr>
          <w:rFonts w:cs="Arial"/>
        </w:rPr>
        <w:t xml:space="preserve">m se bo podrobno opredelila uporaba </w:t>
      </w:r>
      <w:r w:rsidR="182A8C56" w:rsidRPr="7E32E97F">
        <w:rPr>
          <w:rFonts w:cs="Arial"/>
        </w:rPr>
        <w:t xml:space="preserve">finančnih instrumentov v kombinaciji z </w:t>
      </w:r>
      <w:r w:rsidR="653E1757" w:rsidRPr="7E32E97F">
        <w:rPr>
          <w:rFonts w:cs="Arial"/>
        </w:rPr>
        <w:t>nepovratni</w:t>
      </w:r>
      <w:r w:rsidR="2B83C5EB" w:rsidRPr="7E32E97F">
        <w:rPr>
          <w:rFonts w:cs="Arial"/>
        </w:rPr>
        <w:t xml:space="preserve">mi </w:t>
      </w:r>
      <w:r w:rsidR="653E1757" w:rsidRPr="7E32E97F">
        <w:rPr>
          <w:rFonts w:cs="Arial"/>
        </w:rPr>
        <w:t>sredstv</w:t>
      </w:r>
      <w:r w:rsidR="06E8DEB3" w:rsidRPr="7E32E97F">
        <w:rPr>
          <w:rFonts w:cs="Arial"/>
        </w:rPr>
        <w:t>i v eni operaciji</w:t>
      </w:r>
      <w:r w:rsidR="637A1C01" w:rsidRPr="7E32E97F">
        <w:rPr>
          <w:rFonts w:cs="Arial"/>
        </w:rPr>
        <w:t xml:space="preserve"> v skladu z odstavkom 5, člena 58 Uredbe 2021/1060</w:t>
      </w:r>
      <w:r w:rsidR="653E1757" w:rsidRPr="7E32E97F">
        <w:rPr>
          <w:rFonts w:cs="Arial"/>
        </w:rPr>
        <w:t xml:space="preserve">. </w:t>
      </w:r>
      <w:r w:rsidR="3F8CA72E" w:rsidRPr="7E32E97F">
        <w:rPr>
          <w:rFonts w:cs="Arial"/>
        </w:rPr>
        <w:t>V pripravi je Aneks št.</w:t>
      </w:r>
      <w:r w:rsidR="778E050E" w:rsidRPr="7E32E97F">
        <w:rPr>
          <w:rFonts w:cs="Arial"/>
        </w:rPr>
        <w:t xml:space="preserve"> </w:t>
      </w:r>
      <w:r w:rsidR="3F8CA72E" w:rsidRPr="7E32E97F">
        <w:rPr>
          <w:rFonts w:cs="Arial"/>
        </w:rPr>
        <w:t xml:space="preserve">2 za ureditev dodatnih pravil glede poročanja in nadzora. </w:t>
      </w:r>
    </w:p>
    <w:p w14:paraId="26614CA4" w14:textId="1CEA907C" w:rsidR="6A216576" w:rsidRDefault="6A216576" w:rsidP="6A216576">
      <w:pPr>
        <w:spacing w:after="0"/>
        <w:jc w:val="both"/>
        <w:rPr>
          <w:rFonts w:cs="Arial"/>
        </w:rPr>
      </w:pPr>
    </w:p>
    <w:p w14:paraId="0470C9AE" w14:textId="4AA7B828" w:rsidR="5D1C94C7" w:rsidRDefault="05BDB100" w:rsidP="6A216576">
      <w:pPr>
        <w:spacing w:after="0"/>
        <w:jc w:val="both"/>
        <w:rPr>
          <w:rFonts w:cs="Arial"/>
        </w:rPr>
      </w:pPr>
      <w:r w:rsidRPr="7E32E97F">
        <w:rPr>
          <w:rFonts w:cs="Arial"/>
        </w:rPr>
        <w:t xml:space="preserve">Za namen poenostavitve postopkov so bile v decembru 2025 objavljane Smernice glede upoštevanja načela “ne škoduj bistveno” za finančne </w:t>
      </w:r>
      <w:r w:rsidR="001F7F5A" w:rsidRPr="7E32E97F">
        <w:rPr>
          <w:rFonts w:cs="Arial"/>
        </w:rPr>
        <w:t>instrument</w:t>
      </w:r>
      <w:r w:rsidRPr="7E32E97F">
        <w:rPr>
          <w:rFonts w:cs="Arial"/>
        </w:rPr>
        <w:t xml:space="preserve">, kot dopolnitev obstoječih Smernic DNSH. </w:t>
      </w:r>
    </w:p>
    <w:p w14:paraId="72222246" w14:textId="65083B0D" w:rsidR="6A216576" w:rsidRDefault="6A216576" w:rsidP="6A216576">
      <w:pPr>
        <w:spacing w:after="0"/>
        <w:jc w:val="both"/>
        <w:rPr>
          <w:rFonts w:cs="Arial"/>
        </w:rPr>
      </w:pPr>
    </w:p>
    <w:p w14:paraId="48959F79" w14:textId="32BD997E" w:rsidR="19C67378" w:rsidRDefault="3F8CA72E" w:rsidP="6A216576">
      <w:pPr>
        <w:spacing w:after="0"/>
        <w:jc w:val="both"/>
        <w:rPr>
          <w:rFonts w:cs="Arial"/>
        </w:rPr>
      </w:pPr>
      <w:r w:rsidRPr="7E32E97F">
        <w:rPr>
          <w:rFonts w:cs="Arial"/>
        </w:rPr>
        <w:t xml:space="preserve">SID banka je v zaključni fazi sklepanja Finančnih sporazumov s finančnimi posredniki. Za izvedbo finančnega produkta na SC2.1 se bo sklenil sporazum z Eko skladom in za izvedbo garancij na SC1.3 se bo sklenil sporazum s Slovenskim </w:t>
      </w:r>
      <w:r w:rsidR="002C7E5A" w:rsidRPr="7E32E97F">
        <w:rPr>
          <w:rFonts w:cs="Arial"/>
        </w:rPr>
        <w:t>podjetniškim</w:t>
      </w:r>
      <w:r w:rsidRPr="7E32E97F">
        <w:rPr>
          <w:rFonts w:cs="Arial"/>
        </w:rPr>
        <w:t xml:space="preserve"> skladom. Predvidoma bosta</w:t>
      </w:r>
      <w:r w:rsidR="36B2699B" w:rsidRPr="7E32E97F">
        <w:rPr>
          <w:rFonts w:cs="Arial"/>
        </w:rPr>
        <w:t xml:space="preserve"> oba finančna produkta na trgu v prvi polovici leta 2026.</w:t>
      </w:r>
    </w:p>
    <w:p w14:paraId="39EBB885" w14:textId="0E35A32F" w:rsidR="00A44063" w:rsidRPr="00A44063" w:rsidRDefault="00A44063" w:rsidP="6A216576">
      <w:pPr>
        <w:autoSpaceDE w:val="0"/>
        <w:adjustRightInd w:val="0"/>
        <w:spacing w:after="0" w:line="240" w:lineRule="auto"/>
        <w:jc w:val="both"/>
        <w:rPr>
          <w:rFonts w:cs="Arial"/>
        </w:rPr>
      </w:pPr>
    </w:p>
    <w:p w14:paraId="54218C83" w14:textId="04305228" w:rsidR="115FA51D" w:rsidRPr="00A073B9" w:rsidRDefault="531CBB35" w:rsidP="7E32E97F">
      <w:pPr>
        <w:pStyle w:val="Naslov3"/>
        <w:rPr>
          <w:rFonts w:eastAsia="Calibri" w:cs="Arial"/>
        </w:rPr>
      </w:pPr>
      <w:bookmarkStart w:id="230" w:name="_Toc204675699"/>
      <w:bookmarkStart w:id="231" w:name="_Toc204695203"/>
      <w:bookmarkStart w:id="232" w:name="_Toc204675700"/>
      <w:bookmarkStart w:id="233" w:name="_Toc204695204"/>
      <w:bookmarkStart w:id="234" w:name="_Toc204675701"/>
      <w:bookmarkStart w:id="235" w:name="_Toc204695205"/>
      <w:bookmarkStart w:id="236" w:name="_Toc204675702"/>
      <w:bookmarkStart w:id="237" w:name="_Toc204695206"/>
      <w:bookmarkStart w:id="238" w:name="_Toc204675703"/>
      <w:bookmarkStart w:id="239" w:name="_Toc204695207"/>
      <w:bookmarkStart w:id="240" w:name="_Toc204675704"/>
      <w:bookmarkStart w:id="241" w:name="_Toc204695208"/>
      <w:bookmarkStart w:id="242" w:name="_Toc204675705"/>
      <w:bookmarkStart w:id="243" w:name="_Toc204695209"/>
      <w:bookmarkStart w:id="244" w:name="_Toc204675706"/>
      <w:bookmarkStart w:id="245" w:name="_Toc204695210"/>
      <w:bookmarkStart w:id="246" w:name="_Toc204675707"/>
      <w:bookmarkStart w:id="247" w:name="_Toc204695211"/>
      <w:bookmarkStart w:id="248" w:name="_Toc204675708"/>
      <w:bookmarkStart w:id="249" w:name="_Toc204695212"/>
      <w:bookmarkStart w:id="250" w:name="_Toc204675709"/>
      <w:bookmarkStart w:id="251" w:name="_Toc204695213"/>
      <w:bookmarkStart w:id="252" w:name="_Toc204675710"/>
      <w:bookmarkStart w:id="253" w:name="_Toc204695214"/>
      <w:bookmarkStart w:id="254" w:name="_Toc219974413"/>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7E32E97F">
        <w:rPr>
          <w:rFonts w:eastAsia="Calibri" w:cs="Arial"/>
        </w:rPr>
        <w:t>Finančni instrumenti iz sklada ES</w:t>
      </w:r>
      <w:r w:rsidR="68C6E563" w:rsidRPr="7E32E97F">
        <w:rPr>
          <w:rFonts w:eastAsia="Calibri" w:cs="Arial"/>
        </w:rPr>
        <w:t>S+</w:t>
      </w:r>
      <w:bookmarkEnd w:id="254"/>
    </w:p>
    <w:p w14:paraId="17D25207" w14:textId="3AA276A8" w:rsidR="071446A1" w:rsidRPr="00A073B9" w:rsidRDefault="071446A1" w:rsidP="7E32E97F">
      <w:pPr>
        <w:spacing w:after="0"/>
        <w:jc w:val="both"/>
        <w:rPr>
          <w:rFonts w:cs="Arial"/>
        </w:rPr>
      </w:pPr>
    </w:p>
    <w:p w14:paraId="178077F9" w14:textId="04B822C6" w:rsidR="39CDD088" w:rsidRPr="003006BF" w:rsidRDefault="5FD700A6" w:rsidP="6A216576">
      <w:pPr>
        <w:spacing w:after="0" w:line="276" w:lineRule="auto"/>
        <w:jc w:val="both"/>
        <w:rPr>
          <w:rFonts w:eastAsia="Aptos" w:cs="Arial"/>
        </w:rPr>
      </w:pPr>
      <w:r w:rsidRPr="7E32E97F">
        <w:rPr>
          <w:rFonts w:eastAsia="Arial" w:cs="Arial"/>
        </w:rPr>
        <w:t xml:space="preserve">V okviru sprememb programa PEKP </w:t>
      </w:r>
      <w:r w:rsidR="38827BC1" w:rsidRPr="7E32E97F">
        <w:rPr>
          <w:rFonts w:eastAsia="Arial" w:cs="Arial"/>
        </w:rPr>
        <w:t>20</w:t>
      </w:r>
      <w:r w:rsidRPr="7E32E97F">
        <w:rPr>
          <w:rFonts w:eastAsia="Arial" w:cs="Arial"/>
        </w:rPr>
        <w:t>21</w:t>
      </w:r>
      <w:r w:rsidR="10C06223" w:rsidRPr="7E32E97F">
        <w:rPr>
          <w:rFonts w:eastAsia="Arial" w:cs="Arial"/>
        </w:rPr>
        <w:t>–</w:t>
      </w:r>
      <w:r w:rsidR="5931D2C1" w:rsidRPr="7E32E97F">
        <w:rPr>
          <w:rFonts w:eastAsia="Arial" w:cs="Arial"/>
        </w:rPr>
        <w:t>20</w:t>
      </w:r>
      <w:r w:rsidRPr="7E32E97F">
        <w:rPr>
          <w:rFonts w:eastAsia="Arial" w:cs="Arial"/>
        </w:rPr>
        <w:t>27 (sprememba 3.1) se je predvidela</w:t>
      </w:r>
      <w:r w:rsidR="0F4D0F43" w:rsidRPr="7E32E97F">
        <w:rPr>
          <w:rFonts w:eastAsia="Arial" w:cs="Arial"/>
        </w:rPr>
        <w:t xml:space="preserve"> tudi</w:t>
      </w:r>
      <w:r w:rsidRPr="7E32E97F">
        <w:rPr>
          <w:rFonts w:eastAsia="Arial" w:cs="Arial"/>
        </w:rPr>
        <w:t xml:space="preserve"> vzpostavitev finančnih instrumentov na SC </w:t>
      </w:r>
      <w:r w:rsidR="7A5F4F3D" w:rsidRPr="7E32E97F">
        <w:rPr>
          <w:rFonts w:eastAsia="Arial" w:cs="Arial"/>
        </w:rPr>
        <w:t xml:space="preserve">ESO </w:t>
      </w:r>
      <w:r w:rsidRPr="7E32E97F">
        <w:rPr>
          <w:rFonts w:eastAsia="Aptos" w:cs="Arial"/>
        </w:rPr>
        <w:t xml:space="preserve">4.4 Spodbujanje prilagajanja delavcev, podjetij in podjetnikov na </w:t>
      </w:r>
      <w:r w:rsidR="59ABDACB" w:rsidRPr="7E32E97F">
        <w:rPr>
          <w:rFonts w:eastAsia="Aptos" w:cs="Arial"/>
        </w:rPr>
        <w:t xml:space="preserve">  </w:t>
      </w:r>
      <w:r w:rsidRPr="7E32E97F">
        <w:rPr>
          <w:rFonts w:eastAsia="Aptos" w:cs="Arial"/>
        </w:rPr>
        <w:t>spremembe, aktivnega in zdravega staranja ter zdravega in dobro prilagojenega delovnega okolja, ki obravnava tveganja za zdravje (ESS+) v višini</w:t>
      </w:r>
      <w:r w:rsidR="002C7E5A">
        <w:rPr>
          <w:rFonts w:eastAsia="Aptos" w:cs="Arial"/>
        </w:rPr>
        <w:t xml:space="preserve"> </w:t>
      </w:r>
      <w:r w:rsidR="75B97337" w:rsidRPr="7E32E97F">
        <w:rPr>
          <w:rFonts w:eastAsia="Aptos" w:cs="Arial"/>
        </w:rPr>
        <w:t>8,5</w:t>
      </w:r>
      <w:r w:rsidRPr="7E32E97F">
        <w:rPr>
          <w:rFonts w:eastAsia="Aptos" w:cs="Arial"/>
        </w:rPr>
        <w:t xml:space="preserve"> mio EUR EU sredstev. Usklajevanje o oblikovanju FI na ESS+ potekajo v sodelovanju z MDDSZ in MSP. </w:t>
      </w:r>
    </w:p>
    <w:p w14:paraId="42560861" w14:textId="6BB58385" w:rsidR="39CDD088" w:rsidRPr="00A073B9" w:rsidRDefault="39CDD088" w:rsidP="7E32E97F">
      <w:pPr>
        <w:spacing w:after="0"/>
        <w:jc w:val="both"/>
        <w:rPr>
          <w:rFonts w:cs="Arial"/>
        </w:rPr>
      </w:pPr>
    </w:p>
    <w:p w14:paraId="29FF8D11" w14:textId="4C7BE222" w:rsidR="39CDD088" w:rsidRPr="00C9562B" w:rsidRDefault="254663D6" w:rsidP="6A216576">
      <w:pPr>
        <w:spacing w:after="0"/>
        <w:jc w:val="both"/>
        <w:rPr>
          <w:rFonts w:eastAsia="Arial" w:cs="Arial"/>
        </w:rPr>
      </w:pPr>
      <w:r w:rsidRPr="7E32E97F">
        <w:rPr>
          <w:rFonts w:cs="Arial"/>
        </w:rPr>
        <w:t xml:space="preserve">Na podlagi priporočila </w:t>
      </w:r>
      <w:r w:rsidR="25CEB1A8" w:rsidRPr="7E32E97F">
        <w:rPr>
          <w:rFonts w:cs="Arial"/>
        </w:rPr>
        <w:t>pla</w:t>
      </w:r>
      <w:r w:rsidR="25CEB1A8" w:rsidRPr="7E32E97F">
        <w:rPr>
          <w:rFonts w:eastAsia="Arial" w:cs="Arial"/>
        </w:rPr>
        <w:t xml:space="preserve">tforme FI Compass, ki jo upravlja Evropska komisija v sodelovanju z Evropsko investicijsko banko (EIB) in je namenjena tehnični podpori in usmerjanju pri uporabi </w:t>
      </w:r>
      <w:r w:rsidR="0BB4EBA0" w:rsidRPr="7E32E97F">
        <w:rPr>
          <w:rFonts w:eastAsia="Arial" w:cs="Arial"/>
        </w:rPr>
        <w:t xml:space="preserve">FI </w:t>
      </w:r>
      <w:r w:rsidR="25CEB1A8" w:rsidRPr="7E32E97F">
        <w:rPr>
          <w:rFonts w:eastAsia="Arial" w:cs="Arial"/>
        </w:rPr>
        <w:t xml:space="preserve">v okviru evropskih strukturnih in investicijskih skladov je OU pristopil k vzpostavitvi namenskih </w:t>
      </w:r>
      <w:r w:rsidR="0102061A" w:rsidRPr="7E32E97F">
        <w:rPr>
          <w:rFonts w:eastAsia="Arial" w:cs="Arial"/>
        </w:rPr>
        <w:t>FI</w:t>
      </w:r>
      <w:r w:rsidR="25CEB1A8" w:rsidRPr="7E32E97F">
        <w:rPr>
          <w:rFonts w:eastAsia="Arial" w:cs="Arial"/>
        </w:rPr>
        <w:t xml:space="preserve"> tudi iz sklada ESS+.</w:t>
      </w:r>
      <w:r w:rsidR="49991A01" w:rsidRPr="7E32E97F">
        <w:rPr>
          <w:rFonts w:eastAsia="Arial" w:cs="Arial"/>
        </w:rPr>
        <w:t xml:space="preserve"> Prepoznane so bile omejitve na trgu v Sloveniji za financiranje delavskih odkupov preko finančnih institucij. OU je </w:t>
      </w:r>
      <w:r w:rsidR="1BB16A49" w:rsidRPr="7E32E97F">
        <w:rPr>
          <w:rFonts w:eastAsia="Arial" w:cs="Arial"/>
        </w:rPr>
        <w:t>že prejel izdelano</w:t>
      </w:r>
      <w:r w:rsidR="49991A01" w:rsidRPr="7E32E97F">
        <w:rPr>
          <w:rFonts w:eastAsia="Arial" w:cs="Arial"/>
        </w:rPr>
        <w:t xml:space="preserve"> študij</w:t>
      </w:r>
      <w:r w:rsidR="69F61D60" w:rsidRPr="7E32E97F">
        <w:rPr>
          <w:rFonts w:eastAsia="Arial" w:cs="Arial"/>
        </w:rPr>
        <w:t>o</w:t>
      </w:r>
      <w:r w:rsidR="49991A01" w:rsidRPr="7E32E97F">
        <w:rPr>
          <w:rFonts w:eastAsia="Arial" w:cs="Arial"/>
        </w:rPr>
        <w:t xml:space="preserve">, ki bo naslovila tržno vrzel na področju delavskih odkupov ter </w:t>
      </w:r>
      <w:r w:rsidR="49991A01" w:rsidRPr="00C9562B">
        <w:rPr>
          <w:rFonts w:eastAsia="Arial" w:cs="Arial"/>
        </w:rPr>
        <w:t>predlagal</w:t>
      </w:r>
      <w:r w:rsidR="25FDB7CE" w:rsidRPr="00C9562B">
        <w:rPr>
          <w:rFonts w:eastAsia="Arial" w:cs="Arial"/>
        </w:rPr>
        <w:t>a</w:t>
      </w:r>
      <w:r w:rsidR="49991A01" w:rsidRPr="00C9562B">
        <w:rPr>
          <w:rFonts w:eastAsia="Arial" w:cs="Arial"/>
        </w:rPr>
        <w:t xml:space="preserve"> </w:t>
      </w:r>
      <w:r w:rsidR="002C7E5A" w:rsidRPr="00C9562B">
        <w:rPr>
          <w:rFonts w:eastAsia="Arial" w:cs="Arial"/>
        </w:rPr>
        <w:t>»</w:t>
      </w:r>
      <w:r w:rsidR="0757BAEA" w:rsidRPr="00C9562B">
        <w:rPr>
          <w:rFonts w:eastAsia="Arial" w:cs="Arial"/>
        </w:rPr>
        <w:t>risk sharing</w:t>
      </w:r>
      <w:r w:rsidR="002C7E5A" w:rsidRPr="00C9562B">
        <w:rPr>
          <w:rFonts w:eastAsia="Arial" w:cs="Arial"/>
        </w:rPr>
        <w:t>«</w:t>
      </w:r>
      <w:r w:rsidR="0757BAEA" w:rsidRPr="00C9562B">
        <w:rPr>
          <w:rFonts w:eastAsia="Arial" w:cs="Arial"/>
        </w:rPr>
        <w:t xml:space="preserve"> posojila za oblikovanje finančnega produkta. </w:t>
      </w:r>
    </w:p>
    <w:p w14:paraId="6C1B05EF" w14:textId="77777777" w:rsidR="00D0709D" w:rsidRPr="00C9562B" w:rsidRDefault="00D0709D" w:rsidP="7E32E97F">
      <w:pPr>
        <w:spacing w:after="0"/>
        <w:jc w:val="both"/>
        <w:rPr>
          <w:rFonts w:eastAsia="Arial" w:cs="Arial"/>
        </w:rPr>
      </w:pPr>
    </w:p>
    <w:p w14:paraId="64A5D9F3" w14:textId="3A6A8415" w:rsidR="071446A1" w:rsidRPr="00C9562B" w:rsidRDefault="24E0B7F5" w:rsidP="6A216576">
      <w:pPr>
        <w:pStyle w:val="Naslov2"/>
        <w:spacing w:before="0"/>
      </w:pPr>
      <w:bookmarkStart w:id="255" w:name="_Toc219974414"/>
      <w:r w:rsidRPr="001650A8">
        <w:t>SPREMEMBA PROGRAMA</w:t>
      </w:r>
      <w:r w:rsidR="1D7A4702" w:rsidRPr="001650A8">
        <w:t xml:space="preserve"> EKP</w:t>
      </w:r>
      <w:r w:rsidR="195787FD" w:rsidRPr="001650A8">
        <w:t xml:space="preserve"> </w:t>
      </w:r>
      <w:r w:rsidR="63932797" w:rsidRPr="001650A8">
        <w:t>20</w:t>
      </w:r>
      <w:r w:rsidR="1D7A4702" w:rsidRPr="001650A8">
        <w:t>21–</w:t>
      </w:r>
      <w:r w:rsidR="61C59924" w:rsidRPr="001650A8">
        <w:t>20</w:t>
      </w:r>
      <w:r w:rsidR="1D7A4702" w:rsidRPr="001650A8">
        <w:t xml:space="preserve">27 </w:t>
      </w:r>
      <w:r w:rsidRPr="001650A8">
        <w:t>IN UREDB</w:t>
      </w:r>
      <w:bookmarkEnd w:id="255"/>
    </w:p>
    <w:p w14:paraId="7841BD09" w14:textId="4A0ACFF3" w:rsidR="00E32AB4" w:rsidRPr="003E671B" w:rsidRDefault="00E32AB4" w:rsidP="7E32E97F">
      <w:pPr>
        <w:spacing w:after="0" w:line="276" w:lineRule="auto"/>
        <w:jc w:val="both"/>
        <w:rPr>
          <w:rFonts w:ascii="Aptos" w:eastAsia="Aptos" w:hAnsi="Aptos" w:cs="Aptos"/>
        </w:rPr>
      </w:pPr>
    </w:p>
    <w:p w14:paraId="65A7E9D6" w14:textId="59638729" w:rsidR="622830F8" w:rsidRDefault="21467FC5" w:rsidP="6A216576">
      <w:pPr>
        <w:spacing w:after="0" w:line="276" w:lineRule="auto"/>
        <w:jc w:val="both"/>
        <w:rPr>
          <w:rFonts w:eastAsia="Aptos" w:cs="Arial"/>
        </w:rPr>
      </w:pPr>
      <w:r w:rsidRPr="7E32E97F">
        <w:rPr>
          <w:rFonts w:eastAsia="Aptos" w:cs="Arial"/>
        </w:rPr>
        <w:t>V preteklem polletju je bilo ključno posodabljanje in prilagajanje slovenskega programa EKP 21</w:t>
      </w:r>
      <w:r w:rsidR="002C7E5A" w:rsidRPr="002C7E5A">
        <w:rPr>
          <w:rFonts w:eastAsia="Aptos" w:cs="Arial"/>
        </w:rPr>
        <w:t>–</w:t>
      </w:r>
      <w:r w:rsidRPr="7E32E97F">
        <w:rPr>
          <w:rFonts w:eastAsia="Aptos" w:cs="Arial"/>
        </w:rPr>
        <w:t>27 novim evropskim strateškim usmeritvam ter odpravljanje razkoraka med prvotnim načrtovanjem (2021-2022)</w:t>
      </w:r>
      <w:r w:rsidR="30A04736" w:rsidRPr="7E32E97F">
        <w:rPr>
          <w:rFonts w:eastAsia="Aptos" w:cs="Arial"/>
        </w:rPr>
        <w:t xml:space="preserve"> in dejansko izvedljivostjo ukrepov. Zaradi spremenjenih geopolitičnih razmer in počasnejše dinamike infrastrukturnih naložb so analize pokazale tveganje izgube kohezijskih sredstev, zlasti v letu 2026. </w:t>
      </w:r>
    </w:p>
    <w:p w14:paraId="2C9B1BC8" w14:textId="56648447" w:rsidR="6A216576" w:rsidRDefault="6A216576" w:rsidP="6A216576">
      <w:pPr>
        <w:spacing w:after="0" w:line="276" w:lineRule="auto"/>
        <w:jc w:val="both"/>
        <w:rPr>
          <w:rFonts w:eastAsia="Aptos" w:cs="Arial"/>
        </w:rPr>
      </w:pPr>
    </w:p>
    <w:p w14:paraId="36A681B3" w14:textId="4EFD57EA" w:rsidR="5BBB2F2C" w:rsidRPr="00CC3948" w:rsidRDefault="00A639B4" w:rsidP="6A216576">
      <w:pPr>
        <w:spacing w:after="0" w:line="276" w:lineRule="auto"/>
        <w:jc w:val="both"/>
        <w:rPr>
          <w:rFonts w:eastAsia="Aptos" w:cs="Arial"/>
        </w:rPr>
      </w:pPr>
      <w:r>
        <w:rPr>
          <w:rFonts w:eastAsia="Aptos" w:cs="Arial"/>
        </w:rPr>
        <w:lastRenderedPageBreak/>
        <w:t>Že l</w:t>
      </w:r>
      <w:r w:rsidRPr="7E32E97F">
        <w:rPr>
          <w:rFonts w:eastAsia="Aptos" w:cs="Arial"/>
        </w:rPr>
        <w:t xml:space="preserve">eta </w:t>
      </w:r>
      <w:r w:rsidR="545BA686" w:rsidRPr="7E32E97F">
        <w:rPr>
          <w:rFonts w:eastAsia="Aptos" w:cs="Arial"/>
        </w:rPr>
        <w:t>2024 je EU sprejela Uredbo STEP</w:t>
      </w:r>
      <w:r w:rsidR="37022F41" w:rsidRPr="7E32E97F">
        <w:rPr>
          <w:rFonts w:eastAsia="Aptos" w:cs="Arial"/>
        </w:rPr>
        <w:t xml:space="preserve"> (Uredba (EU) 2024/795)</w:t>
      </w:r>
      <w:r w:rsidR="545BA686" w:rsidRPr="7E32E97F">
        <w:rPr>
          <w:rFonts w:eastAsia="Aptos" w:cs="Arial"/>
        </w:rPr>
        <w:t xml:space="preserve">, ki omogoča večjo finančno fleksibilnost, tudi za velika podjetja v regijah z </w:t>
      </w:r>
      <w:r w:rsidR="627E69BF" w:rsidRPr="7E32E97F">
        <w:rPr>
          <w:rFonts w:eastAsia="Aptos" w:cs="Arial"/>
        </w:rPr>
        <w:t>nižjim</w:t>
      </w:r>
      <w:r w:rsidR="49859A77" w:rsidRPr="7E32E97F">
        <w:rPr>
          <w:rFonts w:eastAsia="Aptos" w:cs="Arial"/>
        </w:rPr>
        <w:t xml:space="preserve"> BDP, ter višje predhodno financiranje (30 %) in do 100 odstotno financiranje EU za strateške projekte zelenega in digitalnega prehoda. Za koriščenje teh možnosti je bila nujna sprememba PEKP, zato je MKRR pripravilo </w:t>
      </w:r>
      <w:r w:rsidR="54D387B4" w:rsidRPr="7E32E97F">
        <w:rPr>
          <w:rFonts w:eastAsia="Aptos" w:cs="Arial"/>
        </w:rPr>
        <w:t>izhodišča</w:t>
      </w:r>
      <w:r w:rsidR="49859A77" w:rsidRPr="7E32E97F">
        <w:rPr>
          <w:rFonts w:eastAsia="Aptos" w:cs="Arial"/>
        </w:rPr>
        <w:t xml:space="preserve"> za prerazporeditev sredstev in vključitev nove</w:t>
      </w:r>
      <w:r w:rsidR="3A03AFAD" w:rsidRPr="7E32E97F">
        <w:rPr>
          <w:rFonts w:eastAsia="Aptos" w:cs="Arial"/>
        </w:rPr>
        <w:t xml:space="preserve">ga specifičnega cilja RSO1.6 - Razvoj ali proizvodnja kritičnih tehnologij. </w:t>
      </w:r>
      <w:r w:rsidR="04E85FDE" w:rsidRPr="7E32E97F">
        <w:rPr>
          <w:rFonts w:eastAsia="Aptos" w:cs="Arial"/>
        </w:rPr>
        <w:t xml:space="preserve">Anketa med </w:t>
      </w:r>
      <w:r w:rsidR="04E85FDE" w:rsidRPr="00CC3948">
        <w:rPr>
          <w:rFonts w:eastAsia="Aptos" w:cs="Arial"/>
        </w:rPr>
        <w:t>podjetji oz. člani Strateških razvojih inova</w:t>
      </w:r>
      <w:r w:rsidR="15948441" w:rsidRPr="00CC3948">
        <w:rPr>
          <w:rFonts w:eastAsia="Aptos" w:cs="Arial"/>
        </w:rPr>
        <w:t xml:space="preserve">cijskih partnerstev (SRIP) je potrdila absorpcijski potencial na področjih STEP v gospodarstvu in med RRI deležniki, kar je </w:t>
      </w:r>
      <w:r w:rsidR="007D0EED" w:rsidRPr="00CC3948">
        <w:rPr>
          <w:rFonts w:eastAsia="Aptos" w:cs="Arial"/>
        </w:rPr>
        <w:t>podporo</w:t>
      </w:r>
      <w:r w:rsidR="2E0A616A" w:rsidRPr="00CC3948">
        <w:rPr>
          <w:rFonts w:eastAsia="Aptos" w:cs="Arial"/>
        </w:rPr>
        <w:t xml:space="preserve"> </w:t>
      </w:r>
      <w:r w:rsidR="279B3BE6" w:rsidRPr="00CC3948">
        <w:rPr>
          <w:rFonts w:eastAsia="Aptos" w:cs="Arial"/>
        </w:rPr>
        <w:t>pripravo</w:t>
      </w:r>
      <w:r w:rsidR="2E0A616A" w:rsidRPr="00CC3948">
        <w:rPr>
          <w:rFonts w:eastAsia="Aptos" w:cs="Arial"/>
        </w:rPr>
        <w:t xml:space="preserve"> predloga sprem</w:t>
      </w:r>
      <w:r w:rsidR="007820B6" w:rsidRPr="00CC3948">
        <w:rPr>
          <w:rFonts w:eastAsia="Aptos" w:cs="Arial"/>
        </w:rPr>
        <w:t>em</w:t>
      </w:r>
      <w:r w:rsidR="2E0A616A" w:rsidRPr="00CC3948">
        <w:rPr>
          <w:rFonts w:eastAsia="Aptos" w:cs="Arial"/>
        </w:rPr>
        <w:t xml:space="preserve">be z najvišjo možno alokacijo. Po medresorski uskladitvi je OU dokument do 31. 3. 2025 uradno poslal na </w:t>
      </w:r>
      <w:r w:rsidR="005312A7" w:rsidRPr="00CC3948">
        <w:rPr>
          <w:rFonts w:eastAsia="Aptos" w:cs="Arial"/>
        </w:rPr>
        <w:t>EK</w:t>
      </w:r>
      <w:r w:rsidR="2E0A616A" w:rsidRPr="00CC3948">
        <w:rPr>
          <w:rFonts w:eastAsia="Aptos" w:cs="Arial"/>
        </w:rPr>
        <w:t>. Po potrditvi je Slovenija postala upravičena do 30 mio EUR predplačila, kar je zmanjšalo obvezno certificiranje izdatkov v letu 202</w:t>
      </w:r>
      <w:r w:rsidR="4DABD45D" w:rsidRPr="00CC3948">
        <w:rPr>
          <w:rFonts w:eastAsia="Aptos" w:cs="Arial"/>
        </w:rPr>
        <w:t xml:space="preserve">5 in pomembno znižalo tveganje izgube sredstev po pravilu N+3. </w:t>
      </w:r>
    </w:p>
    <w:p w14:paraId="35F1936A" w14:textId="1F1BA1C7" w:rsidR="6A216576" w:rsidRPr="00CC3948" w:rsidRDefault="6A216576" w:rsidP="6A216576">
      <w:pPr>
        <w:spacing w:after="0" w:line="276" w:lineRule="auto"/>
        <w:jc w:val="both"/>
        <w:rPr>
          <w:rFonts w:eastAsia="Aptos" w:cs="Arial"/>
        </w:rPr>
      </w:pPr>
    </w:p>
    <w:p w14:paraId="0C53461E" w14:textId="705DB4FF" w:rsidR="22EEAC55" w:rsidRPr="00CC3948" w:rsidRDefault="566FB5AD" w:rsidP="6A216576">
      <w:pPr>
        <w:spacing w:after="0" w:line="276" w:lineRule="auto"/>
        <w:jc w:val="both"/>
        <w:rPr>
          <w:rFonts w:eastAsia="Aptos" w:cs="Arial"/>
        </w:rPr>
      </w:pPr>
      <w:r w:rsidRPr="00CC3948">
        <w:rPr>
          <w:rFonts w:eastAsia="Aptos" w:cs="Arial"/>
        </w:rPr>
        <w:t>Prvo polletje je tako zaznamovala priprava sistemskih in finančnih prilagoditev, ki so ust</w:t>
      </w:r>
      <w:r w:rsidR="50341E80" w:rsidRPr="00CC3948">
        <w:rPr>
          <w:rFonts w:eastAsia="Aptos" w:cs="Arial"/>
        </w:rPr>
        <w:t>v</w:t>
      </w:r>
      <w:r w:rsidRPr="00CC3948">
        <w:rPr>
          <w:rFonts w:eastAsia="Aptos" w:cs="Arial"/>
        </w:rPr>
        <w:t>arile pod</w:t>
      </w:r>
      <w:r w:rsidR="05485620" w:rsidRPr="00CC3948">
        <w:rPr>
          <w:rFonts w:eastAsia="Aptos" w:cs="Arial"/>
        </w:rPr>
        <w:t>l</w:t>
      </w:r>
      <w:r w:rsidRPr="00CC3948">
        <w:rPr>
          <w:rFonts w:eastAsia="Aptos" w:cs="Arial"/>
        </w:rPr>
        <w:t>ago za intenzivnejše in učinkovitejše koriščenje kohezijskih sredstev v drugem polletju.</w:t>
      </w:r>
    </w:p>
    <w:p w14:paraId="296CF8B6" w14:textId="62E56A68" w:rsidR="6A216576" w:rsidRPr="00CC3948" w:rsidRDefault="6A216576" w:rsidP="5DEFD55E">
      <w:pPr>
        <w:spacing w:after="0" w:line="276" w:lineRule="auto"/>
        <w:jc w:val="both"/>
        <w:rPr>
          <w:rFonts w:eastAsia="Aptos" w:cs="Arial"/>
        </w:rPr>
      </w:pPr>
    </w:p>
    <w:p w14:paraId="55D9A6D5" w14:textId="06397246" w:rsidR="00F066C9" w:rsidRPr="00CC3948" w:rsidRDefault="57702592" w:rsidP="00F066C9">
      <w:pPr>
        <w:spacing w:after="0" w:line="276" w:lineRule="auto"/>
        <w:jc w:val="both"/>
        <w:rPr>
          <w:rFonts w:cs="Arial"/>
        </w:rPr>
      </w:pPr>
      <w:bookmarkStart w:id="256" w:name="_Hlk219885721"/>
      <w:r w:rsidRPr="00CC3948">
        <w:rPr>
          <w:rFonts w:eastAsia="Aptos" w:cs="Arial"/>
        </w:rPr>
        <w:t xml:space="preserve">V drugi polovici polletja </w:t>
      </w:r>
      <w:r w:rsidR="32EF347A" w:rsidRPr="00CC3948">
        <w:rPr>
          <w:rFonts w:eastAsia="Aptos" w:cs="Arial"/>
        </w:rPr>
        <w:t xml:space="preserve">je bilo delo MKRR osredotočeno na </w:t>
      </w:r>
      <w:r w:rsidR="00764371" w:rsidRPr="00CC3948">
        <w:rPr>
          <w:rFonts w:eastAsia="Aptos" w:cs="Arial"/>
        </w:rPr>
        <w:t xml:space="preserve">pripravo in sprejem </w:t>
      </w:r>
      <w:r w:rsidR="00BF2368" w:rsidRPr="00CC3948">
        <w:rPr>
          <w:rFonts w:eastAsia="Aptos" w:cs="Arial"/>
        </w:rPr>
        <w:t xml:space="preserve">naslednje </w:t>
      </w:r>
      <w:r w:rsidR="00764371" w:rsidRPr="00CC3948">
        <w:rPr>
          <w:rFonts w:eastAsia="Aptos" w:cs="Arial"/>
        </w:rPr>
        <w:t>spremembe Programa EKP 2021–2027</w:t>
      </w:r>
      <w:r w:rsidR="00BF2368" w:rsidRPr="00CC3948">
        <w:rPr>
          <w:rFonts w:eastAsia="Aptos" w:cs="Arial"/>
        </w:rPr>
        <w:t xml:space="preserve"> kot posledici napovedanih sprememb kohezijskih uredb s strani EK</w:t>
      </w:r>
      <w:r w:rsidR="00764371" w:rsidRPr="00CC3948">
        <w:rPr>
          <w:rFonts w:eastAsia="Aptos" w:cs="Arial"/>
        </w:rPr>
        <w:t xml:space="preserve"> ter na </w:t>
      </w:r>
      <w:r w:rsidR="35EFEDBD" w:rsidRPr="00CC3948">
        <w:rPr>
          <w:rFonts w:eastAsia="Aptos" w:cs="Arial"/>
        </w:rPr>
        <w:t>obvladovanj</w:t>
      </w:r>
      <w:r w:rsidR="00764371" w:rsidRPr="00CC3948">
        <w:rPr>
          <w:rFonts w:eastAsia="Aptos" w:cs="Arial"/>
        </w:rPr>
        <w:t>u</w:t>
      </w:r>
      <w:r w:rsidR="32EF347A" w:rsidRPr="00CC3948">
        <w:rPr>
          <w:rFonts w:eastAsia="Aptos" w:cs="Arial"/>
        </w:rPr>
        <w:t xml:space="preserve"> tveganj za doseganje finančnih mejnikov</w:t>
      </w:r>
      <w:r w:rsidR="00764371" w:rsidRPr="00CC3948">
        <w:rPr>
          <w:rFonts w:eastAsia="Aptos" w:cs="Arial"/>
        </w:rPr>
        <w:t xml:space="preserve"> N+3.</w:t>
      </w:r>
      <w:bookmarkEnd w:id="256"/>
      <w:r w:rsidR="00F066C9" w:rsidRPr="00CC3948">
        <w:rPr>
          <w:rFonts w:eastAsia="Aptos" w:cs="Arial"/>
        </w:rPr>
        <w:t xml:space="preserve"> </w:t>
      </w:r>
      <w:r w:rsidR="00F066C9" w:rsidRPr="00CC3948">
        <w:rPr>
          <w:rFonts w:cs="Arial"/>
        </w:rPr>
        <w:t xml:space="preserve">Evropski parlament je spremembe uredb na področju evropske kohezijske politike v programskem obdobju 2021–2027 potrdil dne 11. 9. 2025. Kohezijska politika se je s tem uskladila z aktualnimi strateškimi prioritetami EU, med katerimi je tudi nova možnost preusmerjanja sredstev v varnost in obrambo. Spremembe so zajele ključne uredbe, ki urejajo Evropski sklad za regionalni razvoj, Kohezijski sklad, Sklad za pravični prehod in Evropski socialni sklad plus. </w:t>
      </w:r>
    </w:p>
    <w:p w14:paraId="1016A7E2" w14:textId="77777777" w:rsidR="00F066C9" w:rsidRPr="00CC3948" w:rsidRDefault="00F066C9" w:rsidP="00F066C9">
      <w:pPr>
        <w:spacing w:after="0" w:line="276" w:lineRule="auto"/>
        <w:jc w:val="both"/>
        <w:rPr>
          <w:rFonts w:cs="Arial"/>
        </w:rPr>
      </w:pPr>
    </w:p>
    <w:p w14:paraId="58AD085F" w14:textId="5E9592D9" w:rsidR="00F066C9" w:rsidRPr="00CC3948" w:rsidRDefault="00764371" w:rsidP="00F066C9">
      <w:pPr>
        <w:spacing w:after="0" w:line="276" w:lineRule="auto"/>
        <w:jc w:val="both"/>
        <w:rPr>
          <w:rFonts w:eastAsia="Aptos" w:cs="Arial"/>
        </w:rPr>
      </w:pPr>
      <w:r w:rsidRPr="00CC3948">
        <w:rPr>
          <w:rFonts w:eastAsia="Aptos" w:cs="Arial"/>
        </w:rPr>
        <w:t xml:space="preserve">Na podlagi </w:t>
      </w:r>
      <w:r w:rsidR="00F066C9" w:rsidRPr="00CC3948">
        <w:rPr>
          <w:rFonts w:eastAsia="Aptos" w:cs="Arial"/>
        </w:rPr>
        <w:t>tega je Slovenija p</w:t>
      </w:r>
      <w:r w:rsidRPr="00CC3948">
        <w:rPr>
          <w:rFonts w:eastAsia="Aptos" w:cs="Arial"/>
        </w:rPr>
        <w:t xml:space="preserve">rilagodila nacionalni program z namenom povečanja finančne fleksibilnosti, učinkovitejše rabe sredstev in pospešitvi koriščenja, zlasti v letu 2026. Sprememba programa vključuje prerazporeditev sredstev in krepitev varnostne mreže, s čimer se zmanjšuje pritisk pri izpolnjevanju pravila N+3 in tveganje za izgubo sredstev. </w:t>
      </w:r>
      <w:r w:rsidR="00F066C9" w:rsidRPr="00CC3948">
        <w:rPr>
          <w:rFonts w:eastAsia="Aptos" w:cs="Arial"/>
        </w:rPr>
        <w:t>Namen spremembe je učinkovitejša raba razpoložljivih nepovratnih sredstev in usmerjanje v področja z največjim razvojnim učinkom, kar bo dodatno pospešilo koriščenje EU sredstev</w:t>
      </w:r>
      <w:r w:rsidR="00CC3948">
        <w:rPr>
          <w:rFonts w:eastAsia="Aptos" w:cs="Arial"/>
        </w:rPr>
        <w:t>.</w:t>
      </w:r>
      <w:r w:rsidR="00F066C9" w:rsidRPr="00CC3948">
        <w:rPr>
          <w:rFonts w:eastAsia="Aptos" w:cs="Arial"/>
        </w:rPr>
        <w:t xml:space="preserve">  </w:t>
      </w:r>
    </w:p>
    <w:p w14:paraId="01270326" w14:textId="77777777" w:rsidR="00F066C9" w:rsidRPr="00CC3948" w:rsidRDefault="00F066C9" w:rsidP="00F066C9">
      <w:pPr>
        <w:spacing w:after="0" w:line="276" w:lineRule="auto"/>
        <w:jc w:val="both"/>
        <w:rPr>
          <w:rFonts w:eastAsia="Aptos" w:cs="Arial"/>
        </w:rPr>
      </w:pPr>
      <w:r w:rsidRPr="00CC3948">
        <w:rPr>
          <w:rFonts w:eastAsia="Aptos" w:cs="Arial"/>
        </w:rPr>
        <w:t xml:space="preserve"> </w:t>
      </w:r>
    </w:p>
    <w:p w14:paraId="50B08C17" w14:textId="7D9C1530" w:rsidR="00F066C9" w:rsidRPr="00F066C9" w:rsidRDefault="00F066C9" w:rsidP="00F066C9">
      <w:pPr>
        <w:spacing w:after="0" w:line="276" w:lineRule="auto"/>
        <w:jc w:val="both"/>
        <w:rPr>
          <w:rFonts w:eastAsia="Aptos" w:cs="Arial"/>
        </w:rPr>
      </w:pPr>
      <w:r w:rsidRPr="00CC3948">
        <w:rPr>
          <w:rFonts w:eastAsia="Aptos" w:cs="Arial"/>
        </w:rPr>
        <w:t xml:space="preserve">V okviru spremembe programa </w:t>
      </w:r>
      <w:r w:rsidR="00CC3948">
        <w:rPr>
          <w:rFonts w:eastAsia="Aptos" w:cs="Arial"/>
        </w:rPr>
        <w:t>je</w:t>
      </w:r>
      <w:r w:rsidRPr="00CC3948">
        <w:rPr>
          <w:rFonts w:eastAsia="Aptos" w:cs="Arial"/>
        </w:rPr>
        <w:t xml:space="preserve"> Slovenija prerazporedila 243,5 mio EUR nepovratnih sredstev ter dodatnih 15,5 mio EUR iz varnostne</w:t>
      </w:r>
      <w:r w:rsidRPr="00F066C9">
        <w:rPr>
          <w:rFonts w:eastAsia="Aptos" w:cs="Arial"/>
        </w:rPr>
        <w:t xml:space="preserve"> mreže v nove strateške vsebine. Največ sredstev bo namenjenih krepitvi konkurenčnosti (53,5 mio EU), in sicer za naložbe v strateške tehnologije v okviru platforme STEP, vključeno z javnim razpisom za razvoj in proizvodnjo strateških tehnologij (30 mio EUR) ter projektom superračunalnik -HPC 2 (23,5 mio EUR). Pomemben del prerazporeditev naslavlja tudi energetski prehod in energetsko varnost (57,7 mio EUR), kjer bodo sredstva podprla čezmejne energetske povezave, omrežja, hranilnike in polnilno infrastrukturo. </w:t>
      </w:r>
    </w:p>
    <w:p w14:paraId="1FFB2C8B"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01E89BCE" w14:textId="3B4DF75B" w:rsidR="00F066C9" w:rsidRPr="00F066C9" w:rsidRDefault="00F066C9" w:rsidP="00F066C9">
      <w:pPr>
        <w:spacing w:after="0" w:line="276" w:lineRule="auto"/>
        <w:jc w:val="both"/>
        <w:rPr>
          <w:rFonts w:eastAsia="Aptos" w:cs="Arial"/>
        </w:rPr>
      </w:pPr>
      <w:r w:rsidRPr="00F066C9">
        <w:rPr>
          <w:rFonts w:eastAsia="Aptos" w:cs="Arial"/>
        </w:rPr>
        <w:t>Slovenija bo dodatnih 81,4 mio EUR namenila področju obrambe in varnosti, pri čemer gre za nalože v t.im. dvojno rabo. Znotraj tega sklopa bo 46 mio EUR usmerjenih v krepitev zdravstvene infrastrukture za dvojno rabo, predvsem v regijske bolnišnice. Poleg tega bo 2</w:t>
      </w:r>
      <w:r w:rsidR="00C22440">
        <w:rPr>
          <w:rFonts w:eastAsia="Aptos" w:cs="Arial"/>
        </w:rPr>
        <w:t>2</w:t>
      </w:r>
      <w:r w:rsidRPr="00F066C9">
        <w:rPr>
          <w:rFonts w:eastAsia="Aptos" w:cs="Arial"/>
        </w:rPr>
        <w:t xml:space="preserve"> mio EUR namenila zagotavljanju odporne </w:t>
      </w:r>
      <w:r w:rsidR="00CC3948" w:rsidRPr="00F066C9">
        <w:rPr>
          <w:rFonts w:eastAsia="Aptos" w:cs="Arial"/>
        </w:rPr>
        <w:t>vzgojne</w:t>
      </w:r>
      <w:r w:rsidRPr="00F066C9">
        <w:rPr>
          <w:rFonts w:eastAsia="Aptos" w:cs="Arial"/>
        </w:rPr>
        <w:t xml:space="preserve"> in izobraževalne infrastrukture, dodatnih 13,3 mio EUR pa bo namenila izgradnji nacionalnega centra za zaščito in reševanje ob naravnih nesrečah, večjih izrednih dogodkih in drugih kriznih razmerah. </w:t>
      </w:r>
    </w:p>
    <w:p w14:paraId="53ADD001"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4E11899C" w14:textId="77777777" w:rsidR="00F066C9" w:rsidRPr="00F066C9" w:rsidRDefault="00F066C9" w:rsidP="00F066C9">
      <w:pPr>
        <w:spacing w:after="0" w:line="276" w:lineRule="auto"/>
        <w:jc w:val="both"/>
        <w:rPr>
          <w:rFonts w:eastAsia="Aptos" w:cs="Arial"/>
        </w:rPr>
      </w:pPr>
      <w:r w:rsidRPr="00F066C9">
        <w:rPr>
          <w:rFonts w:eastAsia="Aptos" w:cs="Arial"/>
        </w:rPr>
        <w:t xml:space="preserve">Nadalje program naslavlja tudi stanovanjsko politiko – za dostopna in trajnostna javna najemna ter oskrbovana stanovanja je predvidenih 41,9 mio EUR. </w:t>
      </w:r>
    </w:p>
    <w:p w14:paraId="11D90EF3"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4F1F3B9F" w14:textId="31A73667" w:rsidR="00F066C9" w:rsidRPr="00F066C9" w:rsidRDefault="00F066C9" w:rsidP="00F066C9">
      <w:pPr>
        <w:spacing w:after="0" w:line="276" w:lineRule="auto"/>
        <w:jc w:val="both"/>
        <w:rPr>
          <w:rFonts w:eastAsia="Aptos" w:cs="Arial"/>
        </w:rPr>
      </w:pPr>
      <w:r w:rsidRPr="00F066C9">
        <w:rPr>
          <w:rFonts w:eastAsia="Aptos" w:cs="Arial"/>
        </w:rPr>
        <w:t xml:space="preserve">Spremenjen program vključuje tudi nove strateško operacijo v Vzhodni kohezijski regiji – obnovo Centra Rotovž v Mariboru. Projekt bo s 18 mio EUR EU sredstev celovito naslovil prostorsko in razvojno problematiko treh kulturnih institucij.  </w:t>
      </w:r>
    </w:p>
    <w:p w14:paraId="7C3F1734"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1B6A1AEE" w14:textId="09C13814" w:rsidR="00F066C9" w:rsidRPr="00F066C9" w:rsidRDefault="00F066C9" w:rsidP="00F066C9">
      <w:pPr>
        <w:spacing w:after="0" w:line="276" w:lineRule="auto"/>
        <w:jc w:val="both"/>
        <w:rPr>
          <w:rFonts w:eastAsia="Aptos" w:cs="Arial"/>
        </w:rPr>
      </w:pPr>
      <w:r w:rsidRPr="00F066C9">
        <w:rPr>
          <w:rFonts w:eastAsia="Aptos" w:cs="Arial"/>
        </w:rPr>
        <w:lastRenderedPageBreak/>
        <w:t xml:space="preserve">Dodatne spremembe prinaša tudi Sklad za pravični prehod. V Savinjsko-šaleški premogovni regiji bo 5 mio EUR </w:t>
      </w:r>
      <w:r w:rsidR="00CC3948" w:rsidRPr="00F066C9">
        <w:rPr>
          <w:rFonts w:eastAsia="Aptos" w:cs="Arial"/>
        </w:rPr>
        <w:t>namenjenih</w:t>
      </w:r>
      <w:r w:rsidRPr="00F066C9">
        <w:rPr>
          <w:rFonts w:eastAsia="Aptos" w:cs="Arial"/>
        </w:rPr>
        <w:t xml:space="preserve"> odkupu in prenosu stanovanj Premogovnika Velenje in Termoelektrarne Šoštanj v javna najemna stanovanja, v Zasavju pa 1,5 mio EUR za vzdrževanja in prenos posameznih stanovanjih enot.  </w:t>
      </w:r>
    </w:p>
    <w:p w14:paraId="5097EBCF" w14:textId="77777777" w:rsidR="00F066C9" w:rsidRPr="00F066C9" w:rsidRDefault="00F066C9" w:rsidP="00F066C9">
      <w:pPr>
        <w:spacing w:after="0" w:line="276" w:lineRule="auto"/>
        <w:jc w:val="both"/>
        <w:rPr>
          <w:rFonts w:eastAsia="Aptos" w:cs="Arial"/>
        </w:rPr>
      </w:pPr>
      <w:r w:rsidRPr="00F066C9">
        <w:rPr>
          <w:rFonts w:eastAsia="Aptos" w:cs="Arial"/>
        </w:rPr>
        <w:t xml:space="preserve"> </w:t>
      </w:r>
    </w:p>
    <w:p w14:paraId="24C975D3" w14:textId="112DB61D" w:rsidR="00764371" w:rsidRPr="001650A8" w:rsidRDefault="00F066C9" w:rsidP="00F066C9">
      <w:pPr>
        <w:spacing w:after="0" w:line="276" w:lineRule="auto"/>
        <w:jc w:val="both"/>
        <w:rPr>
          <w:rFonts w:eastAsia="Aptos" w:cs="Arial"/>
        </w:rPr>
      </w:pPr>
      <w:r w:rsidRPr="00F066C9">
        <w:rPr>
          <w:rFonts w:eastAsia="Aptos" w:cs="Arial"/>
        </w:rPr>
        <w:t>Poleg vsebinskih prerazporeditev sprememba programa uvaja še sistemske izboljšave</w:t>
      </w:r>
      <w:r w:rsidR="00CC3948">
        <w:rPr>
          <w:rFonts w:eastAsia="Aptos" w:cs="Arial"/>
        </w:rPr>
        <w:t>,</w:t>
      </w:r>
      <w:r w:rsidRPr="00F066C9">
        <w:rPr>
          <w:rFonts w:eastAsia="Aptos" w:cs="Arial"/>
        </w:rPr>
        <w:t xml:space="preserve"> in sicer podaljšanje izvajanja evropske kohezijske politike do konca leta 203</w:t>
      </w:r>
      <w:r>
        <w:rPr>
          <w:rFonts w:eastAsia="Aptos" w:cs="Arial"/>
        </w:rPr>
        <w:t>0</w:t>
      </w:r>
      <w:r w:rsidRPr="00F066C9">
        <w:rPr>
          <w:rFonts w:eastAsia="Aptos" w:cs="Arial"/>
        </w:rPr>
        <w:t xml:space="preserve"> ter možnost višje stopnje sofinanciranja novih ciljev, ki se lahko zviša tudi do 100 %. </w:t>
      </w:r>
      <w:r w:rsidR="00046BDB">
        <w:rPr>
          <w:rFonts w:eastAsia="Aptos" w:cs="Arial"/>
        </w:rPr>
        <w:t>S</w:t>
      </w:r>
      <w:r w:rsidRPr="00F066C9">
        <w:rPr>
          <w:rFonts w:eastAsia="Aptos" w:cs="Arial"/>
        </w:rPr>
        <w:t xml:space="preserve"> tem Slovenija pridobiva večjo finančno fleksibilnost in boljše pogoje za </w:t>
      </w:r>
      <w:r w:rsidR="00CC3948">
        <w:rPr>
          <w:rFonts w:eastAsia="Aptos" w:cs="Arial"/>
        </w:rPr>
        <w:t>u</w:t>
      </w:r>
      <w:r w:rsidRPr="00F066C9">
        <w:rPr>
          <w:rFonts w:eastAsia="Aptos" w:cs="Arial"/>
        </w:rPr>
        <w:t>činkovito izvajanje razvojnih projektov v prihodnjih letih.</w:t>
      </w:r>
    </w:p>
    <w:p w14:paraId="6E1AA63C" w14:textId="77777777" w:rsidR="00ED6775" w:rsidRDefault="00ED6775" w:rsidP="5DEFD55E">
      <w:pPr>
        <w:spacing w:after="0" w:line="276" w:lineRule="auto"/>
        <w:jc w:val="both"/>
        <w:rPr>
          <w:rFonts w:eastAsia="Aptos" w:cs="Arial"/>
        </w:rPr>
      </w:pPr>
    </w:p>
    <w:p w14:paraId="1DC07BCC" w14:textId="4F04B3E6" w:rsidR="005339A9" w:rsidRPr="005339A9" w:rsidRDefault="2BDC1C74" w:rsidP="001650A8">
      <w:pPr>
        <w:spacing w:after="0" w:line="276" w:lineRule="auto"/>
        <w:jc w:val="both"/>
        <w:rPr>
          <w:rFonts w:eastAsia="Aptos"/>
        </w:rPr>
      </w:pPr>
      <w:r w:rsidRPr="7E32E97F">
        <w:rPr>
          <w:rFonts w:eastAsia="Aptos" w:cs="Arial"/>
        </w:rPr>
        <w:t xml:space="preserve">Novembra 2025 so bila izhodišča za drugo spremembo programa potrjena tudi na ravni obeh kohezijskih regij. </w:t>
      </w:r>
      <w:r w:rsidR="684DC7FE" w:rsidRPr="7E32E97F">
        <w:rPr>
          <w:rFonts w:eastAsia="Aptos" w:cs="Arial"/>
        </w:rPr>
        <w:t>Vlada</w:t>
      </w:r>
      <w:r w:rsidR="00416B89">
        <w:rPr>
          <w:rFonts w:eastAsia="Aptos" w:cs="Arial"/>
        </w:rPr>
        <w:t xml:space="preserve"> RS</w:t>
      </w:r>
      <w:r w:rsidR="684DC7FE" w:rsidRPr="7E32E97F">
        <w:rPr>
          <w:rFonts w:eastAsia="Aptos" w:cs="Arial"/>
        </w:rPr>
        <w:t xml:space="preserve"> je 27. 11. 2025 potrdila spremembo Programa EKP 2021–2027, odobrila dodatne pravice porabe v okviru varnostne mreže ter naložila posredovanje programa v potrditev </w:t>
      </w:r>
      <w:r w:rsidR="38F881B8" w:rsidRPr="7E32E97F">
        <w:rPr>
          <w:rFonts w:eastAsia="Aptos" w:cs="Arial"/>
        </w:rPr>
        <w:t>EK. S tem so bili izboljšani pogoji za izv</w:t>
      </w:r>
      <w:r w:rsidR="00416B89">
        <w:rPr>
          <w:rFonts w:eastAsia="Aptos" w:cs="Arial"/>
        </w:rPr>
        <w:t xml:space="preserve">ajanje </w:t>
      </w:r>
      <w:r w:rsidR="38F881B8" w:rsidRPr="7E32E97F">
        <w:rPr>
          <w:rFonts w:eastAsia="Aptos" w:cs="Arial"/>
        </w:rPr>
        <w:t xml:space="preserve">strateških projektov, </w:t>
      </w:r>
      <w:r w:rsidR="502442EF" w:rsidRPr="7E32E97F">
        <w:rPr>
          <w:rFonts w:eastAsia="Aptos" w:cs="Arial"/>
        </w:rPr>
        <w:t>zagotovljena</w:t>
      </w:r>
      <w:r w:rsidR="38F881B8" w:rsidRPr="7E32E97F">
        <w:rPr>
          <w:rFonts w:eastAsia="Aptos" w:cs="Arial"/>
        </w:rPr>
        <w:t xml:space="preserve"> dodatna finanč</w:t>
      </w:r>
      <w:r w:rsidR="357D88EE" w:rsidRPr="7E32E97F">
        <w:rPr>
          <w:rFonts w:eastAsia="Aptos" w:cs="Arial"/>
        </w:rPr>
        <w:t>na razbremenitev pri doseganju pravila N+3 in bistveno znižano tveganje za izgubo nepovratnih kohezijskih sredstev v letu 2026.</w:t>
      </w:r>
      <w:r w:rsidR="00CC3948">
        <w:rPr>
          <w:rFonts w:eastAsia="Aptos" w:cs="Arial"/>
        </w:rPr>
        <w:t xml:space="preserve"> Organ upravljanja je spremembo programa uradno posredoval na EK v decembru 2025, s čemer si je Slovenija zagotovila dodatno predplačilo v višini dobrih 48 mio EUR, ki je še dodatno znižal finančni mejnik N+3. </w:t>
      </w:r>
    </w:p>
    <w:p w14:paraId="5BDB3293" w14:textId="77777777" w:rsidR="00E32AB4" w:rsidRPr="00A2111E" w:rsidRDefault="00E32AB4" w:rsidP="00A3284D">
      <w:pPr>
        <w:spacing w:after="0" w:line="276" w:lineRule="auto"/>
        <w:jc w:val="both"/>
        <w:rPr>
          <w:rFonts w:ascii="Aptos" w:eastAsia="Aptos" w:hAnsi="Aptos" w:cs="Aptos"/>
        </w:rPr>
      </w:pPr>
    </w:p>
    <w:p w14:paraId="7817A877" w14:textId="1E6C4371" w:rsidR="00A44063" w:rsidRPr="0030234B" w:rsidRDefault="01A61AC5" w:rsidP="7E32E97F">
      <w:pPr>
        <w:pStyle w:val="Naslov2"/>
        <w:spacing w:before="0"/>
      </w:pPr>
      <w:bookmarkStart w:id="257" w:name="_Toc204675714"/>
      <w:bookmarkStart w:id="258" w:name="_Toc204695218"/>
      <w:bookmarkStart w:id="259" w:name="_Toc204675715"/>
      <w:bookmarkStart w:id="260" w:name="_Toc204695219"/>
      <w:bookmarkStart w:id="261" w:name="_Toc219974415"/>
      <w:bookmarkEnd w:id="257"/>
      <w:bookmarkEnd w:id="258"/>
      <w:bookmarkEnd w:id="259"/>
      <w:bookmarkEnd w:id="260"/>
      <w:r>
        <w:t xml:space="preserve">VKLJUČEVANJE NAČELA, DA SE </w:t>
      </w:r>
      <w:r w:rsidR="25D82A03">
        <w:t xml:space="preserve">NE </w:t>
      </w:r>
      <w:r>
        <w:t>ŠKODUJE BISTVENO (DNSH) IN NAČEL NOVEGA EVROPSKEGA BAUHAUSA (NEB) TER ZAGOTOVITEV PODNEBNE ODPORNOSTI INFRASTRUKTURE (CLIMATE PROOFING) V OBDOBJU 2021–2027</w:t>
      </w:r>
      <w:bookmarkEnd w:id="261"/>
    </w:p>
    <w:p w14:paraId="02FFC050" w14:textId="77777777" w:rsidR="00A44063" w:rsidRPr="0025033E" w:rsidRDefault="00A44063" w:rsidP="00ED5676">
      <w:pPr>
        <w:spacing w:after="0"/>
        <w:jc w:val="both"/>
        <w:rPr>
          <w:rFonts w:cs="Arial"/>
        </w:rPr>
      </w:pPr>
    </w:p>
    <w:p w14:paraId="71EA235B" w14:textId="56E73296" w:rsidR="00A44063" w:rsidRPr="00BA4E86" w:rsidRDefault="58B331A1" w:rsidP="7E32E97F">
      <w:pPr>
        <w:autoSpaceDN/>
        <w:spacing w:after="0"/>
        <w:jc w:val="both"/>
        <w:rPr>
          <w:rFonts w:cs="Arial"/>
        </w:rPr>
      </w:pPr>
      <w:r w:rsidRPr="7E32E97F">
        <w:rPr>
          <w:rFonts w:cs="Arial"/>
        </w:rPr>
        <w:t xml:space="preserve">Za namen </w:t>
      </w:r>
      <w:r w:rsidR="1D903EBF" w:rsidRPr="7E32E97F">
        <w:rPr>
          <w:rFonts w:cs="Arial"/>
        </w:rPr>
        <w:t xml:space="preserve">učinkovitega </w:t>
      </w:r>
      <w:r w:rsidRPr="7E32E97F">
        <w:rPr>
          <w:rFonts w:cs="Arial"/>
        </w:rPr>
        <w:t>vključevanja načela, da se ne škoduje bistveno</w:t>
      </w:r>
      <w:r w:rsidR="002C7E5A">
        <w:rPr>
          <w:rFonts w:cs="Arial"/>
        </w:rPr>
        <w:t xml:space="preserve"> </w:t>
      </w:r>
      <w:r w:rsidRPr="7E32E97F">
        <w:rPr>
          <w:rFonts w:cs="Arial"/>
        </w:rPr>
        <w:t>pri izvajanju PEKP</w:t>
      </w:r>
      <w:r w:rsidR="5449F100" w:rsidRPr="7E32E97F">
        <w:rPr>
          <w:rFonts w:cs="Arial"/>
        </w:rPr>
        <w:t xml:space="preserve"> so deležnikom, vključenim v izvajanje programa</w:t>
      </w:r>
      <w:r w:rsidR="675C5371" w:rsidRPr="7E32E97F">
        <w:rPr>
          <w:rFonts w:cs="Arial"/>
        </w:rPr>
        <w:t>, na voljo</w:t>
      </w:r>
      <w:r w:rsidR="5449F100" w:rsidRPr="7E32E97F">
        <w:rPr>
          <w:rFonts w:cs="Arial"/>
        </w:rPr>
        <w:t xml:space="preserve"> izdana Smernice organa upravljanja </w:t>
      </w:r>
      <w:r w:rsidR="4D324CC8" w:rsidRPr="7E32E97F">
        <w:rPr>
          <w:rFonts w:cs="Arial"/>
        </w:rPr>
        <w:t xml:space="preserve">za uporabo načela, da se ne škoduje bistveno pri izvajanju Programa evropske kohezijske politike v obdobju 2021–2027 v Sloveniji. </w:t>
      </w:r>
      <w:r w:rsidR="2133A983" w:rsidRPr="7E32E97F">
        <w:rPr>
          <w:rFonts w:cs="Arial"/>
        </w:rPr>
        <w:t>I</w:t>
      </w:r>
      <w:r w:rsidRPr="7E32E97F">
        <w:rPr>
          <w:rFonts w:cs="Arial"/>
        </w:rPr>
        <w:t>zveden</w:t>
      </w:r>
      <w:r w:rsidR="0FADEB01" w:rsidRPr="7E32E97F">
        <w:rPr>
          <w:rFonts w:cs="Arial"/>
        </w:rPr>
        <w:t>e</w:t>
      </w:r>
      <w:r w:rsidRPr="7E32E97F">
        <w:rPr>
          <w:rFonts w:cs="Arial"/>
        </w:rPr>
        <w:t xml:space="preserve"> </w:t>
      </w:r>
      <w:r w:rsidR="502BD214" w:rsidRPr="7E32E97F">
        <w:rPr>
          <w:rFonts w:cs="Arial"/>
        </w:rPr>
        <w:t>so</w:t>
      </w:r>
      <w:r w:rsidR="026F9D8E" w:rsidRPr="7E32E97F">
        <w:rPr>
          <w:rFonts w:cs="Arial"/>
        </w:rPr>
        <w:t xml:space="preserve"> bil</w:t>
      </w:r>
      <w:r w:rsidR="45322872" w:rsidRPr="7E32E97F">
        <w:rPr>
          <w:rFonts w:cs="Arial"/>
        </w:rPr>
        <w:t xml:space="preserve">e </w:t>
      </w:r>
      <w:r w:rsidR="0D436EBF" w:rsidRPr="7E32E97F">
        <w:rPr>
          <w:rFonts w:cs="Arial"/>
        </w:rPr>
        <w:t>tri</w:t>
      </w:r>
      <w:r w:rsidRPr="7E32E97F">
        <w:rPr>
          <w:rFonts w:cs="Arial"/>
        </w:rPr>
        <w:t xml:space="preserve"> delavnic</w:t>
      </w:r>
      <w:r w:rsidR="1521A1A5" w:rsidRPr="7E32E97F">
        <w:rPr>
          <w:rFonts w:cs="Arial"/>
        </w:rPr>
        <w:t>e</w:t>
      </w:r>
      <w:r w:rsidRPr="7E32E97F">
        <w:rPr>
          <w:rFonts w:cs="Arial"/>
        </w:rPr>
        <w:t xml:space="preserve"> v letu 2023</w:t>
      </w:r>
      <w:r w:rsidR="3240544A" w:rsidRPr="7E32E97F">
        <w:rPr>
          <w:rFonts w:cs="Arial"/>
        </w:rPr>
        <w:t xml:space="preserve">, </w:t>
      </w:r>
      <w:r w:rsidR="37209B00" w:rsidRPr="7E32E97F">
        <w:rPr>
          <w:rFonts w:cs="Arial"/>
        </w:rPr>
        <w:t>dve</w:t>
      </w:r>
      <w:r w:rsidRPr="7E32E97F">
        <w:rPr>
          <w:rFonts w:cs="Arial"/>
        </w:rPr>
        <w:t xml:space="preserve"> v letu 2024</w:t>
      </w:r>
      <w:r w:rsidR="790A651C" w:rsidRPr="7E32E97F">
        <w:rPr>
          <w:rFonts w:cs="Arial"/>
        </w:rPr>
        <w:t xml:space="preserve"> in ena v letu 2025</w:t>
      </w:r>
      <w:r w:rsidRPr="7E32E97F">
        <w:rPr>
          <w:rFonts w:cs="Arial"/>
        </w:rPr>
        <w:t>.</w:t>
      </w:r>
    </w:p>
    <w:p w14:paraId="06CE1EE1" w14:textId="77777777" w:rsidR="00A44063" w:rsidRPr="00A44063" w:rsidRDefault="00A44063" w:rsidP="7E32E97F">
      <w:pPr>
        <w:autoSpaceDN/>
        <w:spacing w:after="0"/>
        <w:jc w:val="both"/>
        <w:rPr>
          <w:rFonts w:cs="Arial"/>
        </w:rPr>
      </w:pPr>
    </w:p>
    <w:p w14:paraId="07FE6851" w14:textId="4762D0FF" w:rsidR="37A4B0C2" w:rsidRDefault="37A4B0C2" w:rsidP="7E32E97F">
      <w:pPr>
        <w:spacing w:after="0"/>
        <w:jc w:val="both"/>
        <w:rPr>
          <w:rFonts w:cs="Arial"/>
        </w:rPr>
      </w:pPr>
      <w:r w:rsidRPr="7E32E97F">
        <w:rPr>
          <w:rFonts w:cs="Arial"/>
        </w:rPr>
        <w:t xml:space="preserve">Za namen krepitve podnebne odpornosti infrastrukture so bile izdane </w:t>
      </w:r>
      <w:r w:rsidR="7AC59401" w:rsidRPr="7E32E97F">
        <w:rPr>
          <w:rFonts w:cs="Arial"/>
        </w:rPr>
        <w:t xml:space="preserve">Smernice organa upravljanja za krepitev podnebne odpornosti infrastrukture v obdobju 2021–2027. Izvedene so bile tri delavnice v letu 2023, ena </w:t>
      </w:r>
      <w:r w:rsidR="24F2D3AB" w:rsidRPr="7E32E97F">
        <w:rPr>
          <w:rFonts w:cs="Arial"/>
        </w:rPr>
        <w:t>v letu 2024 in ena v letu 2025.</w:t>
      </w:r>
    </w:p>
    <w:p w14:paraId="3E5B522B" w14:textId="1067E088" w:rsidR="00A44063" w:rsidRDefault="58B331A1" w:rsidP="7E32E97F">
      <w:pPr>
        <w:autoSpaceDN/>
        <w:spacing w:after="0"/>
        <w:jc w:val="both"/>
        <w:rPr>
          <w:rFonts w:cs="Arial"/>
        </w:rPr>
      </w:pPr>
      <w:r w:rsidRPr="7E32E97F">
        <w:rPr>
          <w:rFonts w:cs="Arial"/>
        </w:rPr>
        <w:t xml:space="preserve"> </w:t>
      </w:r>
    </w:p>
    <w:p w14:paraId="6FB09D5C" w14:textId="73B00B8A" w:rsidR="3CED4490" w:rsidRDefault="3CED4490" w:rsidP="7E32E97F">
      <w:pPr>
        <w:spacing w:after="0"/>
        <w:jc w:val="both"/>
        <w:rPr>
          <w:rFonts w:cs="Arial"/>
        </w:rPr>
      </w:pPr>
      <w:r w:rsidRPr="7E32E97F">
        <w:rPr>
          <w:rFonts w:cs="Arial"/>
        </w:rPr>
        <w:t>Na področju NEB je zagot</w:t>
      </w:r>
      <w:r w:rsidR="5D102D38" w:rsidRPr="7E32E97F">
        <w:rPr>
          <w:rFonts w:cs="Arial"/>
        </w:rPr>
        <w:t xml:space="preserve">ovljena tehnična podpora strokovnjakov EK, Generalnega direktorata za regionalno in mestno politiko. </w:t>
      </w:r>
      <w:r w:rsidR="2354F221" w:rsidRPr="7E32E97F">
        <w:rPr>
          <w:rFonts w:cs="Arial"/>
        </w:rPr>
        <w:t>Izvedeni sta bili dve delavnici v letu 2023.</w:t>
      </w:r>
    </w:p>
    <w:p w14:paraId="579569DA" w14:textId="18848EFD" w:rsidR="7E32E97F" w:rsidRDefault="7E32E97F" w:rsidP="7E32E97F">
      <w:pPr>
        <w:spacing w:after="0"/>
        <w:jc w:val="both"/>
        <w:rPr>
          <w:rFonts w:cs="Arial"/>
        </w:rPr>
      </w:pPr>
    </w:p>
    <w:p w14:paraId="506C1C0E" w14:textId="77777777" w:rsidR="00A44063" w:rsidRDefault="58B331A1" w:rsidP="7E32E97F">
      <w:pPr>
        <w:autoSpaceDN/>
        <w:spacing w:after="0"/>
        <w:jc w:val="both"/>
        <w:rPr>
          <w:rFonts w:cs="Arial"/>
        </w:rPr>
      </w:pPr>
      <w:r w:rsidRPr="7E32E97F">
        <w:rPr>
          <w:rFonts w:cs="Arial"/>
        </w:rPr>
        <w:t>Omenjene delavnice so bile izvedene v sodelovanju s strokovnjaki evropske pobude JASPERS in drugimi zunanjimi eksperti. Namenjene so bile predvsem krepitvi zmogljivosti na navedenih področjih izvajanja PEKP tako na ravni posredniških teles kot tudi na ravni upravičencev, pripravljavcev projektov.</w:t>
      </w:r>
    </w:p>
    <w:p w14:paraId="1D903BDC" w14:textId="77777777" w:rsidR="00AB03C7" w:rsidRDefault="00AB03C7" w:rsidP="7E32E97F">
      <w:pPr>
        <w:autoSpaceDN/>
        <w:spacing w:after="0"/>
        <w:jc w:val="both"/>
        <w:rPr>
          <w:rFonts w:cs="Arial"/>
        </w:rPr>
      </w:pPr>
    </w:p>
    <w:p w14:paraId="5FBCD1CD" w14:textId="2A587C6E" w:rsidR="00432853" w:rsidRPr="00130F16" w:rsidRDefault="131639DE" w:rsidP="7E32E97F">
      <w:pPr>
        <w:pStyle w:val="Naslov2"/>
        <w:spacing w:before="0"/>
      </w:pPr>
      <w:bookmarkStart w:id="262" w:name="_Toc219974416"/>
      <w:r>
        <w:t xml:space="preserve">INFORMACIJSKI SISTEM OU </w:t>
      </w:r>
      <w:r w:rsidR="42EE7D91">
        <w:t>e</w:t>
      </w:r>
      <w:r w:rsidR="4E40DAAC">
        <w:t>-</w:t>
      </w:r>
      <w:r>
        <w:t>MA2</w:t>
      </w:r>
      <w:bookmarkEnd w:id="262"/>
    </w:p>
    <w:p w14:paraId="69C99065" w14:textId="62D24BEE" w:rsidR="00432853" w:rsidRDefault="00432853" w:rsidP="00432853">
      <w:pPr>
        <w:spacing w:after="0"/>
        <w:jc w:val="both"/>
        <w:rPr>
          <w:rFonts w:cs="Arial"/>
        </w:rPr>
      </w:pPr>
    </w:p>
    <w:p w14:paraId="0D62ED93" w14:textId="48A5CAD9" w:rsidR="5FBA55DC" w:rsidRDefault="5FBA55DC" w:rsidP="001650A8">
      <w:pPr>
        <w:spacing w:after="0" w:line="276" w:lineRule="auto"/>
        <w:jc w:val="both"/>
        <w:rPr>
          <w:rFonts w:eastAsia="Arial" w:cs="Arial"/>
        </w:rPr>
      </w:pPr>
      <w:r w:rsidRPr="7E32E97F">
        <w:rPr>
          <w:rFonts w:eastAsia="Arial" w:cs="Arial"/>
        </w:rPr>
        <w:t>Dne 18. 12. 2025 je bila v produkcijsko okolje prevzeta verzija 2.03.053.02 aplikacije e-MA2, ki je bila tudi aktualna verzija na presečni datum 31. 12. 2025, s katero sta se vzpostavila modul za izrekanje sistemskih korekcij in modul za vrednotenje, ki pa je še v testni fazi. Skozi celoten nabor produkcijskih verzij v zadnjem polletnem obdobju se je aplikacija dopolnjevala v delih, kjer so uporabniki zaznali potrebe po dopolnitvi (dopolnitve na modulu za izvajanje finančnih instrumentov, negativni tok, posodobitve kontrolinga idr.).</w:t>
      </w:r>
    </w:p>
    <w:p w14:paraId="68005548" w14:textId="368279FE" w:rsidR="7E32E97F" w:rsidRDefault="7E32E97F" w:rsidP="000C4A26">
      <w:pPr>
        <w:spacing w:after="0"/>
        <w:jc w:val="both"/>
        <w:rPr>
          <w:rFonts w:eastAsia="Arial" w:cs="Arial"/>
        </w:rPr>
      </w:pPr>
    </w:p>
    <w:p w14:paraId="3DA2DF07" w14:textId="5E1C77EE" w:rsidR="5FBA55DC" w:rsidRDefault="5FBA55DC" w:rsidP="000C4A26">
      <w:pPr>
        <w:spacing w:after="0"/>
        <w:jc w:val="both"/>
        <w:rPr>
          <w:rFonts w:eastAsia="Arial" w:cs="Arial"/>
        </w:rPr>
      </w:pPr>
      <w:r w:rsidRPr="7E32E97F">
        <w:rPr>
          <w:rFonts w:eastAsia="Arial" w:cs="Arial"/>
        </w:rPr>
        <w:t>V letu 2026 je načrtovan dokončen razvoj aplikacije e-MA2 in sicer v delih, ki so potrebni za popolno delovanje sistema oz. spremljanje PEKP:</w:t>
      </w:r>
    </w:p>
    <w:p w14:paraId="65228190" w14:textId="0A41964A" w:rsidR="7E32E97F" w:rsidRDefault="7E32E97F" w:rsidP="000C4A26">
      <w:pPr>
        <w:spacing w:after="0"/>
        <w:jc w:val="both"/>
        <w:rPr>
          <w:rFonts w:eastAsia="Arial" w:cs="Arial"/>
        </w:rPr>
      </w:pPr>
    </w:p>
    <w:p w14:paraId="16B4F58C" w14:textId="28825487" w:rsidR="5FBA55DC" w:rsidRDefault="5FBA55DC" w:rsidP="000C4A26">
      <w:pPr>
        <w:pStyle w:val="Odstavekseznama"/>
        <w:numPr>
          <w:ilvl w:val="0"/>
          <w:numId w:val="4"/>
        </w:numPr>
        <w:spacing w:after="0"/>
        <w:jc w:val="both"/>
        <w:rPr>
          <w:rFonts w:eastAsia="Arial" w:cs="Arial"/>
        </w:rPr>
      </w:pPr>
      <w:r w:rsidRPr="7E32E97F">
        <w:rPr>
          <w:rFonts w:eastAsia="Arial" w:cs="Arial"/>
        </w:rPr>
        <w:t xml:space="preserve">razvoj modula za zaključevanje operacij, </w:t>
      </w:r>
    </w:p>
    <w:p w14:paraId="2E040C2E" w14:textId="688E2034" w:rsidR="5FBA55DC" w:rsidRDefault="5FBA55DC" w:rsidP="000C4A26">
      <w:pPr>
        <w:pStyle w:val="Odstavekseznama"/>
        <w:numPr>
          <w:ilvl w:val="0"/>
          <w:numId w:val="4"/>
        </w:numPr>
        <w:spacing w:after="0"/>
        <w:jc w:val="both"/>
        <w:rPr>
          <w:rFonts w:eastAsia="Arial" w:cs="Arial"/>
        </w:rPr>
      </w:pPr>
      <w:r w:rsidRPr="7E32E97F">
        <w:rPr>
          <w:rFonts w:eastAsia="Arial" w:cs="Arial"/>
        </w:rPr>
        <w:lastRenderedPageBreak/>
        <w:t>razvoj poročilnega sistema ter</w:t>
      </w:r>
    </w:p>
    <w:p w14:paraId="21C1CC34" w14:textId="3EA8641C" w:rsidR="5FBA55DC" w:rsidRDefault="5FBA55DC" w:rsidP="000C4A26">
      <w:pPr>
        <w:pStyle w:val="Odstavekseznama"/>
        <w:numPr>
          <w:ilvl w:val="0"/>
          <w:numId w:val="4"/>
        </w:numPr>
        <w:spacing w:after="0"/>
        <w:jc w:val="both"/>
        <w:rPr>
          <w:rFonts w:eastAsia="Arial" w:cs="Arial"/>
        </w:rPr>
      </w:pPr>
      <w:r w:rsidRPr="7E32E97F">
        <w:rPr>
          <w:rFonts w:eastAsia="Arial" w:cs="Arial"/>
        </w:rPr>
        <w:t>nadgradnja posameznih že razvitih vsebin zaradi zaščite finančnih interesov Unije.</w:t>
      </w:r>
    </w:p>
    <w:p w14:paraId="1DEB28DC" w14:textId="1E5EC55C" w:rsidR="7E32E97F" w:rsidRDefault="7E32E97F" w:rsidP="7E32E97F">
      <w:pPr>
        <w:spacing w:after="0"/>
        <w:jc w:val="both"/>
        <w:rPr>
          <w:rFonts w:eastAsia="Arial" w:cs="Arial"/>
        </w:rPr>
      </w:pPr>
    </w:p>
    <w:p w14:paraId="0A814B0F" w14:textId="3558B514" w:rsidR="5FBA55DC" w:rsidRDefault="5FBA55DC" w:rsidP="000C4A26">
      <w:pPr>
        <w:spacing w:after="0"/>
        <w:jc w:val="both"/>
        <w:rPr>
          <w:rFonts w:eastAsia="Arial" w:cs="Arial"/>
        </w:rPr>
      </w:pPr>
      <w:r w:rsidRPr="7E32E97F">
        <w:rPr>
          <w:rFonts w:eastAsia="Arial" w:cs="Arial"/>
        </w:rPr>
        <w:t>Razvojne naloge potekajo skladno s terminskim načrtom, potrjenim na Projektnem svetu za vzpostavitev in delovanje Informacijskega sistema e-MA2 za programsko obdobje 2021–2027.</w:t>
      </w:r>
    </w:p>
    <w:p w14:paraId="2F3B2C5E" w14:textId="22D8E1A7" w:rsidR="5FBA55DC" w:rsidRDefault="5FBA55DC" w:rsidP="000C4A26">
      <w:pPr>
        <w:spacing w:after="0"/>
        <w:jc w:val="both"/>
        <w:rPr>
          <w:rFonts w:eastAsia="Arial" w:cs="Arial"/>
        </w:rPr>
      </w:pPr>
      <w:r w:rsidRPr="7E32E97F">
        <w:rPr>
          <w:rFonts w:eastAsia="Arial" w:cs="Arial"/>
        </w:rPr>
        <w:t xml:space="preserve">V IS e-MA2 je trenutno 630 operacij v statusu »v izvrševanju« ter 394 operacij v statusu »v Pripravi«. </w:t>
      </w:r>
    </w:p>
    <w:p w14:paraId="79E5ED63" w14:textId="706AED72" w:rsidR="5FBA55DC" w:rsidRDefault="5FBA55DC" w:rsidP="000C4A26">
      <w:pPr>
        <w:spacing w:after="0"/>
        <w:jc w:val="both"/>
        <w:rPr>
          <w:rFonts w:eastAsia="Arial" w:cs="Arial"/>
        </w:rPr>
      </w:pPr>
      <w:r w:rsidRPr="7E32E97F">
        <w:rPr>
          <w:rFonts w:eastAsia="Arial" w:cs="Arial"/>
        </w:rPr>
        <w:t xml:space="preserve"> </w:t>
      </w:r>
    </w:p>
    <w:p w14:paraId="1F683F3C" w14:textId="430FEE3C" w:rsidR="7E32E97F" w:rsidRPr="007820B6" w:rsidRDefault="5FBA55DC" w:rsidP="7E32E97F">
      <w:pPr>
        <w:spacing w:after="0"/>
        <w:jc w:val="both"/>
        <w:rPr>
          <w:rFonts w:eastAsia="Arial" w:cs="Arial"/>
        </w:rPr>
      </w:pPr>
      <w:r w:rsidRPr="7E32E97F">
        <w:rPr>
          <w:rFonts w:eastAsia="Arial" w:cs="Arial"/>
        </w:rPr>
        <w:t>Upravičenci so v IS e-MA2 do 31. 12. 2025 skupno pripravili cca 5.100 zahtevkov za izplačilo (ZZI).</w:t>
      </w:r>
    </w:p>
    <w:p w14:paraId="43ED27DA" w14:textId="77777777" w:rsidR="00432853" w:rsidRDefault="00432853" w:rsidP="00432853">
      <w:pPr>
        <w:spacing w:after="0"/>
        <w:jc w:val="both"/>
        <w:rPr>
          <w:rFonts w:cs="Arial"/>
        </w:rPr>
      </w:pPr>
    </w:p>
    <w:p w14:paraId="7C1E9CD9" w14:textId="541A5E0F" w:rsidR="00432853" w:rsidRPr="000523F8" w:rsidRDefault="131639DE" w:rsidP="00D045EB">
      <w:pPr>
        <w:pStyle w:val="Napis"/>
        <w:keepNext/>
        <w:spacing w:after="0"/>
        <w:jc w:val="both"/>
        <w:rPr>
          <w:b w:val="0"/>
          <w:bCs w:val="0"/>
          <w:color w:val="auto"/>
        </w:rPr>
      </w:pPr>
      <w:bookmarkStart w:id="263" w:name="_Toc219453853"/>
      <w:r w:rsidRPr="7E32E97F">
        <w:rPr>
          <w:b w:val="0"/>
          <w:bCs w:val="0"/>
          <w:color w:val="auto"/>
        </w:rPr>
        <w:t xml:space="preserve">Graf </w:t>
      </w:r>
      <w:r w:rsidR="00432853" w:rsidRPr="7E32E97F">
        <w:rPr>
          <w:b w:val="0"/>
          <w:bCs w:val="0"/>
          <w:color w:val="auto"/>
        </w:rPr>
        <w:fldChar w:fldCharType="begin"/>
      </w:r>
      <w:r w:rsidR="00432853" w:rsidRPr="7E32E97F">
        <w:rPr>
          <w:b w:val="0"/>
          <w:bCs w:val="0"/>
          <w:color w:val="auto"/>
        </w:rPr>
        <w:instrText xml:space="preserve"> SEQ Graf \* ARABIC </w:instrText>
      </w:r>
      <w:r w:rsidR="00432853" w:rsidRPr="7E32E97F">
        <w:rPr>
          <w:b w:val="0"/>
          <w:bCs w:val="0"/>
          <w:color w:val="auto"/>
        </w:rPr>
        <w:fldChar w:fldCharType="separate"/>
      </w:r>
      <w:r w:rsidR="51EE8C33" w:rsidRPr="7E32E97F">
        <w:rPr>
          <w:b w:val="0"/>
          <w:bCs w:val="0"/>
          <w:color w:val="auto"/>
        </w:rPr>
        <w:t>1</w:t>
      </w:r>
      <w:r w:rsidR="00432853" w:rsidRPr="7E32E97F">
        <w:rPr>
          <w:b w:val="0"/>
          <w:bCs w:val="0"/>
          <w:color w:val="auto"/>
        </w:rPr>
        <w:fldChar w:fldCharType="end"/>
      </w:r>
      <w:r w:rsidRPr="7E32E97F">
        <w:rPr>
          <w:b w:val="0"/>
          <w:bCs w:val="0"/>
          <w:color w:val="auto"/>
        </w:rPr>
        <w:t xml:space="preserve">: Prikaz višine izplačanih zahtevkov ter certificiranih </w:t>
      </w:r>
      <w:r w:rsidR="393E650A" w:rsidRPr="7E32E97F">
        <w:rPr>
          <w:b w:val="0"/>
          <w:bCs w:val="0"/>
          <w:color w:val="auto"/>
        </w:rPr>
        <w:t>izdatkov</w:t>
      </w:r>
      <w:r w:rsidRPr="7E32E97F">
        <w:rPr>
          <w:b w:val="0"/>
          <w:bCs w:val="0"/>
          <w:color w:val="auto"/>
        </w:rPr>
        <w:t xml:space="preserve"> po obdobjih (od 1. 1. 2024 – 3</w:t>
      </w:r>
      <w:r w:rsidR="4DBFF9C6" w:rsidRPr="7E32E97F">
        <w:rPr>
          <w:b w:val="0"/>
          <w:bCs w:val="0"/>
          <w:color w:val="auto"/>
        </w:rPr>
        <w:t>1</w:t>
      </w:r>
      <w:r w:rsidRPr="7E32E97F">
        <w:rPr>
          <w:b w:val="0"/>
          <w:bCs w:val="0"/>
          <w:color w:val="auto"/>
        </w:rPr>
        <w:t xml:space="preserve">. </w:t>
      </w:r>
      <w:r w:rsidR="0099C826" w:rsidRPr="7E32E97F">
        <w:rPr>
          <w:b w:val="0"/>
          <w:bCs w:val="0"/>
          <w:color w:val="auto"/>
        </w:rPr>
        <w:t>12</w:t>
      </w:r>
      <w:r w:rsidRPr="7E32E97F">
        <w:rPr>
          <w:b w:val="0"/>
          <w:bCs w:val="0"/>
          <w:color w:val="auto"/>
        </w:rPr>
        <w:t>. 2025)</w:t>
      </w:r>
      <w:bookmarkEnd w:id="263"/>
    </w:p>
    <w:p w14:paraId="3D743C0D" w14:textId="77777777" w:rsidR="00432853" w:rsidRPr="00DB320B" w:rsidRDefault="00432853" w:rsidP="001650A8">
      <w:pPr>
        <w:keepNext/>
        <w:spacing w:after="0"/>
        <w:rPr>
          <w:rFonts w:cs="Arial"/>
        </w:rPr>
      </w:pPr>
      <w:r>
        <w:rPr>
          <w:noProof/>
        </w:rPr>
        <w:drawing>
          <wp:inline distT="0" distB="0" distL="0" distR="0" wp14:anchorId="58234687" wp14:editId="449A1DD3">
            <wp:extent cx="5759450" cy="3150026"/>
            <wp:effectExtent l="0" t="0" r="12700" b="12700"/>
            <wp:docPr id="929874001" name="Grafikon 1">
              <a:extLst xmlns:a="http://schemas.openxmlformats.org/drawingml/2006/main">
                <a:ext uri="{FF2B5EF4-FFF2-40B4-BE49-F238E27FC236}">
                  <a16:creationId xmlns:a16="http://schemas.microsoft.com/office/drawing/2014/main" id="{532CE685-0995-FBB7-D60D-167D211B98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308515" w14:textId="21B55169" w:rsidR="00432853" w:rsidRDefault="131639DE" w:rsidP="00432853">
      <w:pPr>
        <w:spacing w:after="0"/>
        <w:jc w:val="both"/>
        <w:rPr>
          <w:rFonts w:cs="Arial"/>
        </w:rPr>
      </w:pPr>
      <w:r w:rsidRPr="7E32E97F">
        <w:rPr>
          <w:rFonts w:cs="Arial"/>
        </w:rPr>
        <w:t>Vir: IS e</w:t>
      </w:r>
      <w:r w:rsidR="2594A090" w:rsidRPr="7E32E97F">
        <w:rPr>
          <w:rFonts w:cs="Arial"/>
        </w:rPr>
        <w:t>-</w:t>
      </w:r>
      <w:r w:rsidRPr="7E32E97F">
        <w:rPr>
          <w:rFonts w:cs="Arial"/>
        </w:rPr>
        <w:t>MA2</w:t>
      </w:r>
    </w:p>
    <w:p w14:paraId="32E15858" w14:textId="312378B7" w:rsidR="131639DE" w:rsidRDefault="131639DE" w:rsidP="7E32E97F">
      <w:pPr>
        <w:spacing w:after="0"/>
        <w:jc w:val="both"/>
        <w:rPr>
          <w:rFonts w:eastAsia="Arial" w:cs="Arial"/>
        </w:rPr>
      </w:pPr>
    </w:p>
    <w:p w14:paraId="472987FE" w14:textId="1A0A8879" w:rsidR="280530C8" w:rsidRDefault="280530C8" w:rsidP="7E32E97F">
      <w:pPr>
        <w:spacing w:after="0"/>
        <w:jc w:val="both"/>
        <w:rPr>
          <w:rFonts w:eastAsia="Arial" w:cs="Arial"/>
        </w:rPr>
      </w:pPr>
      <w:r w:rsidRPr="7E32E97F">
        <w:rPr>
          <w:rFonts w:eastAsia="Arial" w:cs="Arial"/>
        </w:rPr>
        <w:t xml:space="preserve">Iz grafa je razvidno, da smo do 31. 12. 2025, skozi celotno finančno obdobje, izplačali približno 366,1 mio EUR Zahtevkov za izplačilo, certificirali pa približno 363,7 mio EUR Zahtevkov za izplačilo. </w:t>
      </w:r>
    </w:p>
    <w:p w14:paraId="5248BAB9" w14:textId="089871FC" w:rsidR="280530C8" w:rsidRDefault="280530C8" w:rsidP="000C4A26">
      <w:pPr>
        <w:spacing w:after="0"/>
        <w:jc w:val="both"/>
        <w:rPr>
          <w:rFonts w:eastAsia="Arial" w:cs="Arial"/>
        </w:rPr>
      </w:pPr>
      <w:r w:rsidRPr="7E32E97F">
        <w:rPr>
          <w:rFonts w:eastAsia="Arial" w:cs="Arial"/>
        </w:rPr>
        <w:t xml:space="preserve"> </w:t>
      </w:r>
    </w:p>
    <w:p w14:paraId="46204EC1" w14:textId="07302AE2" w:rsidR="280530C8" w:rsidRDefault="280530C8" w:rsidP="000C4A26">
      <w:pPr>
        <w:spacing w:after="0"/>
        <w:jc w:val="both"/>
        <w:rPr>
          <w:rFonts w:eastAsia="Arial" w:cs="Arial"/>
        </w:rPr>
      </w:pPr>
      <w:r w:rsidRPr="7E32E97F">
        <w:rPr>
          <w:rFonts w:eastAsia="Arial" w:cs="Arial"/>
        </w:rPr>
        <w:t>Aplikacijo e-MA2 aktivno uporablja 2066 uporabnikov. Od začetka vzpostavitve aplikacije do 31. 12. 2025 beležimo sledeče število novo registriranih uporabnikov za posamezno obdobje:</w:t>
      </w:r>
    </w:p>
    <w:p w14:paraId="58948852" w14:textId="77777777" w:rsidR="002C7E5A" w:rsidRDefault="002C7E5A" w:rsidP="00432853">
      <w:pPr>
        <w:pStyle w:val="Napis"/>
        <w:keepNext/>
        <w:spacing w:after="0"/>
        <w:jc w:val="both"/>
        <w:rPr>
          <w:b w:val="0"/>
          <w:bCs w:val="0"/>
          <w:color w:val="auto"/>
        </w:rPr>
      </w:pPr>
      <w:bookmarkStart w:id="264" w:name="_Toc219453854"/>
    </w:p>
    <w:p w14:paraId="4890165A" w14:textId="3C81E92B" w:rsidR="00432853" w:rsidRPr="000523F8" w:rsidRDefault="009A49E2" w:rsidP="00432853">
      <w:pPr>
        <w:pStyle w:val="Napis"/>
        <w:keepNext/>
        <w:spacing w:after="0"/>
        <w:jc w:val="both"/>
        <w:rPr>
          <w:b w:val="0"/>
          <w:bCs w:val="0"/>
          <w:color w:val="auto"/>
        </w:rPr>
      </w:pPr>
      <w:r>
        <w:rPr>
          <w:noProof/>
        </w:rPr>
        <w:drawing>
          <wp:anchor distT="0" distB="0" distL="114300" distR="114300" simplePos="0" relativeHeight="251660291" behindDoc="1" locked="0" layoutInCell="1" allowOverlap="1" wp14:anchorId="218B183F" wp14:editId="1EBEAEB2">
            <wp:simplePos x="0" y="0"/>
            <wp:positionH relativeFrom="column">
              <wp:posOffset>-2540</wp:posOffset>
            </wp:positionH>
            <wp:positionV relativeFrom="paragraph">
              <wp:posOffset>178821</wp:posOffset>
            </wp:positionV>
            <wp:extent cx="5689600" cy="2891155"/>
            <wp:effectExtent l="0" t="0" r="6350" b="4445"/>
            <wp:wrapTight wrapText="bothSides">
              <wp:wrapPolygon edited="0">
                <wp:start x="0" y="0"/>
                <wp:lineTo x="0" y="21491"/>
                <wp:lineTo x="21552" y="21491"/>
                <wp:lineTo x="21552" y="0"/>
                <wp:lineTo x="0" y="0"/>
              </wp:wrapPolygon>
            </wp:wrapTight>
            <wp:docPr id="799470806" name="Grafikon 1">
              <a:extLst xmlns:a="http://schemas.openxmlformats.org/drawingml/2006/main">
                <a:ext uri="{FF2B5EF4-FFF2-40B4-BE49-F238E27FC236}">
                  <a16:creationId xmlns:a16="http://schemas.microsoft.com/office/drawing/2014/main" id="{A8E5820C-A82A-612B-ED56-0B6B19A4F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131639DE" w:rsidRPr="7E32E97F">
        <w:rPr>
          <w:b w:val="0"/>
          <w:bCs w:val="0"/>
          <w:color w:val="auto"/>
        </w:rPr>
        <w:t xml:space="preserve">Graf </w:t>
      </w:r>
      <w:r w:rsidR="00432853" w:rsidRPr="7E32E97F">
        <w:rPr>
          <w:b w:val="0"/>
          <w:bCs w:val="0"/>
          <w:color w:val="auto"/>
        </w:rPr>
        <w:fldChar w:fldCharType="begin"/>
      </w:r>
      <w:r w:rsidR="00432853" w:rsidRPr="7E32E97F">
        <w:rPr>
          <w:b w:val="0"/>
          <w:bCs w:val="0"/>
          <w:color w:val="auto"/>
        </w:rPr>
        <w:instrText xml:space="preserve"> SEQ Graf \* ARABIC </w:instrText>
      </w:r>
      <w:r w:rsidR="00432853" w:rsidRPr="7E32E97F">
        <w:rPr>
          <w:b w:val="0"/>
          <w:bCs w:val="0"/>
          <w:color w:val="auto"/>
        </w:rPr>
        <w:fldChar w:fldCharType="separate"/>
      </w:r>
      <w:r w:rsidR="51EE8C33" w:rsidRPr="7E32E97F">
        <w:rPr>
          <w:b w:val="0"/>
          <w:bCs w:val="0"/>
          <w:color w:val="auto"/>
        </w:rPr>
        <w:t>2</w:t>
      </w:r>
      <w:r w:rsidR="00432853" w:rsidRPr="7E32E97F">
        <w:rPr>
          <w:b w:val="0"/>
          <w:bCs w:val="0"/>
          <w:color w:val="auto"/>
        </w:rPr>
        <w:fldChar w:fldCharType="end"/>
      </w:r>
      <w:r w:rsidR="131639DE" w:rsidRPr="7E32E97F">
        <w:rPr>
          <w:b w:val="0"/>
          <w:bCs w:val="0"/>
          <w:color w:val="auto"/>
        </w:rPr>
        <w:t xml:space="preserve">: Število </w:t>
      </w:r>
      <w:r w:rsidR="4801059B" w:rsidRPr="7E32E97F">
        <w:rPr>
          <w:b w:val="0"/>
          <w:bCs w:val="0"/>
          <w:color w:val="auto"/>
        </w:rPr>
        <w:t>novo registriranih</w:t>
      </w:r>
      <w:r w:rsidR="131639DE" w:rsidRPr="7E32E97F">
        <w:rPr>
          <w:b w:val="0"/>
          <w:bCs w:val="0"/>
          <w:color w:val="auto"/>
        </w:rPr>
        <w:t xml:space="preserve"> uporabnikov v aplikacijo IS e-MA2</w:t>
      </w:r>
      <w:r w:rsidR="1147377F" w:rsidRPr="7E32E97F">
        <w:rPr>
          <w:b w:val="0"/>
          <w:bCs w:val="0"/>
          <w:color w:val="auto"/>
        </w:rPr>
        <w:t xml:space="preserve"> za posamezno o</w:t>
      </w:r>
      <w:r>
        <w:rPr>
          <w:b w:val="0"/>
          <w:bCs w:val="0"/>
          <w:color w:val="auto"/>
        </w:rPr>
        <w:t>bdob</w:t>
      </w:r>
      <w:r w:rsidR="1147377F" w:rsidRPr="7E32E97F">
        <w:rPr>
          <w:b w:val="0"/>
          <w:bCs w:val="0"/>
          <w:color w:val="auto"/>
        </w:rPr>
        <w:t>je</w:t>
      </w:r>
      <w:bookmarkEnd w:id="264"/>
    </w:p>
    <w:p w14:paraId="20711676" w14:textId="4400E670" w:rsidR="00432853" w:rsidRPr="00DB320B" w:rsidRDefault="131639DE" w:rsidP="00432853">
      <w:pPr>
        <w:spacing w:after="0"/>
        <w:jc w:val="both"/>
        <w:rPr>
          <w:rFonts w:cs="Arial"/>
        </w:rPr>
      </w:pPr>
      <w:r w:rsidRPr="7E32E97F">
        <w:rPr>
          <w:rFonts w:cs="Arial"/>
        </w:rPr>
        <w:t>Vir: IS e</w:t>
      </w:r>
      <w:r w:rsidR="2594A090" w:rsidRPr="7E32E97F">
        <w:rPr>
          <w:rFonts w:cs="Arial"/>
        </w:rPr>
        <w:t>-</w:t>
      </w:r>
      <w:r w:rsidRPr="7E32E97F">
        <w:rPr>
          <w:rFonts w:cs="Arial"/>
        </w:rPr>
        <w:t>MA2</w:t>
      </w:r>
    </w:p>
    <w:p w14:paraId="298A5487" w14:textId="4EA8E8EB" w:rsidR="00432853" w:rsidRDefault="1AF98553" w:rsidP="000C4A26">
      <w:pPr>
        <w:spacing w:after="0"/>
        <w:jc w:val="both"/>
        <w:rPr>
          <w:rFonts w:eastAsia="Arial" w:cs="Arial"/>
        </w:rPr>
      </w:pPr>
      <w:r w:rsidRPr="7E32E97F">
        <w:rPr>
          <w:rFonts w:eastAsia="Arial" w:cs="Arial"/>
        </w:rPr>
        <w:t>Na povečano uporabo aplikacije kažejo tudi podatki o številu klicev v aplikaciji e-MA2, ravno tako po obdobjih:</w:t>
      </w:r>
    </w:p>
    <w:p w14:paraId="5C3D14AF" w14:textId="77777777" w:rsidR="002C7E5A" w:rsidRPr="000523F8" w:rsidRDefault="002C7E5A" w:rsidP="000C4A26">
      <w:pPr>
        <w:spacing w:after="0"/>
        <w:jc w:val="both"/>
        <w:rPr>
          <w:rFonts w:eastAsia="Arial" w:cs="Arial"/>
        </w:rPr>
      </w:pPr>
    </w:p>
    <w:p w14:paraId="41ECF0C9" w14:textId="01D45085" w:rsidR="00432853" w:rsidRPr="000523F8" w:rsidRDefault="009A49E2" w:rsidP="00432853">
      <w:pPr>
        <w:pStyle w:val="Napis"/>
        <w:keepNext/>
        <w:spacing w:after="0"/>
        <w:jc w:val="both"/>
        <w:rPr>
          <w:b w:val="0"/>
          <w:bCs w:val="0"/>
          <w:color w:val="auto"/>
        </w:rPr>
      </w:pPr>
      <w:bookmarkStart w:id="265" w:name="_Toc219453855"/>
      <w:r>
        <w:rPr>
          <w:noProof/>
        </w:rPr>
        <w:drawing>
          <wp:anchor distT="0" distB="0" distL="114300" distR="114300" simplePos="0" relativeHeight="251661315" behindDoc="1" locked="0" layoutInCell="1" allowOverlap="1" wp14:anchorId="280561CF" wp14:editId="6C7905EF">
            <wp:simplePos x="0" y="0"/>
            <wp:positionH relativeFrom="column">
              <wp:posOffset>-3810</wp:posOffset>
            </wp:positionH>
            <wp:positionV relativeFrom="paragraph">
              <wp:posOffset>190008</wp:posOffset>
            </wp:positionV>
            <wp:extent cx="5759450" cy="2884485"/>
            <wp:effectExtent l="0" t="0" r="12700" b="11430"/>
            <wp:wrapTight wrapText="bothSides">
              <wp:wrapPolygon edited="0">
                <wp:start x="0" y="0"/>
                <wp:lineTo x="0" y="21543"/>
                <wp:lineTo x="21576" y="21543"/>
                <wp:lineTo x="21576" y="0"/>
                <wp:lineTo x="0" y="0"/>
              </wp:wrapPolygon>
            </wp:wrapTight>
            <wp:docPr id="944390460" name="Grafikon 1">
              <a:extLst xmlns:a="http://schemas.openxmlformats.org/drawingml/2006/main">
                <a:ext uri="{FF2B5EF4-FFF2-40B4-BE49-F238E27FC236}">
                  <a16:creationId xmlns:a16="http://schemas.microsoft.com/office/drawing/2014/main" id="{9DEEBEFD-EEE5-A2E6-9F2F-FBCE63C67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131639DE" w:rsidRPr="7E32E97F">
        <w:rPr>
          <w:b w:val="0"/>
          <w:bCs w:val="0"/>
          <w:color w:val="auto"/>
        </w:rPr>
        <w:t xml:space="preserve">Graf </w:t>
      </w:r>
      <w:r w:rsidR="00432853" w:rsidRPr="7E32E97F">
        <w:rPr>
          <w:b w:val="0"/>
          <w:bCs w:val="0"/>
          <w:color w:val="auto"/>
        </w:rPr>
        <w:fldChar w:fldCharType="begin"/>
      </w:r>
      <w:r w:rsidR="00432853" w:rsidRPr="7E32E97F">
        <w:rPr>
          <w:b w:val="0"/>
          <w:bCs w:val="0"/>
          <w:color w:val="auto"/>
        </w:rPr>
        <w:instrText xml:space="preserve"> SEQ Graf \* ARABIC </w:instrText>
      </w:r>
      <w:r w:rsidR="00432853" w:rsidRPr="7E32E97F">
        <w:rPr>
          <w:b w:val="0"/>
          <w:bCs w:val="0"/>
          <w:color w:val="auto"/>
        </w:rPr>
        <w:fldChar w:fldCharType="separate"/>
      </w:r>
      <w:r w:rsidR="51EE8C33" w:rsidRPr="7E32E97F">
        <w:rPr>
          <w:b w:val="0"/>
          <w:bCs w:val="0"/>
          <w:color w:val="auto"/>
        </w:rPr>
        <w:t>3</w:t>
      </w:r>
      <w:r w:rsidR="00432853" w:rsidRPr="7E32E97F">
        <w:rPr>
          <w:b w:val="0"/>
          <w:bCs w:val="0"/>
          <w:color w:val="auto"/>
        </w:rPr>
        <w:fldChar w:fldCharType="end"/>
      </w:r>
      <w:r w:rsidR="131639DE" w:rsidRPr="7E32E97F">
        <w:rPr>
          <w:b w:val="0"/>
          <w:bCs w:val="0"/>
          <w:color w:val="auto"/>
        </w:rPr>
        <w:t>: Prikaz števila "kli</w:t>
      </w:r>
      <w:r w:rsidR="07C8606A" w:rsidRPr="7E32E97F">
        <w:rPr>
          <w:b w:val="0"/>
          <w:bCs w:val="0"/>
          <w:color w:val="auto"/>
        </w:rPr>
        <w:t>cev</w:t>
      </w:r>
      <w:r w:rsidR="131639DE" w:rsidRPr="7E32E97F">
        <w:rPr>
          <w:b w:val="0"/>
          <w:bCs w:val="0"/>
          <w:color w:val="auto"/>
        </w:rPr>
        <w:t xml:space="preserve">" po aplikaciji skozi obdobje (od 1. 1. 2024 </w:t>
      </w:r>
      <w:r w:rsidR="4F84C245" w:rsidRPr="7E32E97F">
        <w:rPr>
          <w:b w:val="0"/>
          <w:bCs w:val="0"/>
          <w:color w:val="auto"/>
        </w:rPr>
        <w:t>do</w:t>
      </w:r>
      <w:r w:rsidR="131639DE" w:rsidRPr="7E32E97F">
        <w:rPr>
          <w:b w:val="0"/>
          <w:bCs w:val="0"/>
          <w:color w:val="auto"/>
        </w:rPr>
        <w:t xml:space="preserve"> 30. 6. 2025)</w:t>
      </w:r>
      <w:bookmarkEnd w:id="265"/>
    </w:p>
    <w:p w14:paraId="19C9DD7F" w14:textId="51A7CD44" w:rsidR="00432853" w:rsidRDefault="131639DE" w:rsidP="00432853">
      <w:pPr>
        <w:spacing w:after="0"/>
        <w:jc w:val="both"/>
        <w:rPr>
          <w:rFonts w:cs="Arial"/>
        </w:rPr>
      </w:pPr>
      <w:r w:rsidRPr="7E32E97F">
        <w:rPr>
          <w:rFonts w:cs="Arial"/>
        </w:rPr>
        <w:t>Vir: IS e</w:t>
      </w:r>
      <w:r w:rsidR="2594A090" w:rsidRPr="7E32E97F">
        <w:rPr>
          <w:rFonts w:cs="Arial"/>
        </w:rPr>
        <w:t>-</w:t>
      </w:r>
      <w:r w:rsidRPr="7E32E97F">
        <w:rPr>
          <w:rFonts w:cs="Arial"/>
        </w:rPr>
        <w:t>MA2</w:t>
      </w:r>
    </w:p>
    <w:p w14:paraId="7042FFAA" w14:textId="77777777" w:rsidR="00432853" w:rsidRPr="00DB320B" w:rsidRDefault="00432853" w:rsidP="00432853">
      <w:pPr>
        <w:spacing w:after="0"/>
        <w:jc w:val="both"/>
        <w:rPr>
          <w:rFonts w:cs="Arial"/>
        </w:rPr>
      </w:pPr>
    </w:p>
    <w:p w14:paraId="70CA6E18" w14:textId="2D7A9AD9" w:rsidR="00A41957" w:rsidRDefault="131639DE" w:rsidP="00432853">
      <w:pPr>
        <w:spacing w:after="0"/>
        <w:jc w:val="both"/>
        <w:rPr>
          <w:rFonts w:cs="Arial"/>
        </w:rPr>
      </w:pPr>
      <w:r w:rsidRPr="7E32E97F">
        <w:rPr>
          <w:rFonts w:cs="Arial"/>
        </w:rPr>
        <w:t>Bistveni moduli IS e</w:t>
      </w:r>
      <w:r w:rsidR="2594A090" w:rsidRPr="7E32E97F">
        <w:rPr>
          <w:rFonts w:cs="Arial"/>
        </w:rPr>
        <w:t>-</w:t>
      </w:r>
      <w:r w:rsidRPr="7E32E97F">
        <w:rPr>
          <w:rFonts w:cs="Arial"/>
        </w:rPr>
        <w:t xml:space="preserve">MA2 so izdelani, nameščeni v produkcijsko okolje in so v uporabi. </w:t>
      </w:r>
    </w:p>
    <w:p w14:paraId="0211AC2A" w14:textId="77777777" w:rsidR="001650A8" w:rsidRDefault="001650A8" w:rsidP="00432853">
      <w:pPr>
        <w:spacing w:after="0"/>
        <w:jc w:val="both"/>
        <w:rPr>
          <w:rFonts w:cs="Arial"/>
        </w:rPr>
      </w:pPr>
    </w:p>
    <w:p w14:paraId="2A9B3C28" w14:textId="1D52051C" w:rsidR="003979E5" w:rsidRPr="0025033E" w:rsidRDefault="00E5987B" w:rsidP="001650A8">
      <w:pPr>
        <w:pStyle w:val="Naslov2"/>
        <w:spacing w:before="0"/>
        <w:rPr>
          <w:rFonts w:cs="Arial"/>
        </w:rPr>
      </w:pPr>
      <w:bookmarkStart w:id="266" w:name="_Toc219974417"/>
      <w:r w:rsidRPr="7E32E97F">
        <w:rPr>
          <w:rFonts w:cs="Arial"/>
        </w:rPr>
        <w:t>SLOVENSKA STRATEGIJA TRAJNOSTNE PAMETNE SPECIALIZACIJE (S5)</w:t>
      </w:r>
      <w:bookmarkEnd w:id="266"/>
    </w:p>
    <w:p w14:paraId="205FA0B3" w14:textId="77777777" w:rsidR="003979E5" w:rsidRPr="0025033E" w:rsidRDefault="003979E5" w:rsidP="003979E5">
      <w:pPr>
        <w:spacing w:after="0"/>
        <w:jc w:val="both"/>
        <w:rPr>
          <w:rFonts w:eastAsia="Calibri" w:cs="Arial"/>
        </w:rPr>
      </w:pPr>
    </w:p>
    <w:p w14:paraId="7B779F13" w14:textId="5FB83D60" w:rsidR="003979E5" w:rsidRPr="007820B6" w:rsidRDefault="15A4902A" w:rsidP="007820B6">
      <w:pPr>
        <w:autoSpaceDN/>
        <w:spacing w:after="0" w:line="276" w:lineRule="auto"/>
        <w:jc w:val="both"/>
        <w:rPr>
          <w:rFonts w:eastAsia="Aptos" w:cs="Arial"/>
          <w:color w:val="FF0000"/>
        </w:rPr>
      </w:pPr>
      <w:r w:rsidRPr="007820B6">
        <w:rPr>
          <w:rFonts w:eastAsia="Calibri" w:cs="Arial"/>
        </w:rPr>
        <w:t xml:space="preserve">Slovenska strategija trajnostne pametne specializacije (S5) je eden od omogočitvenih pogojev, ki se neposredno nanaša na finančna sredstva Cilja politike 1 – Pametna Evropa, hkrati pa se povezuje tudi z novim skladom v tem programskem obdobju t. i. Skladom za pravični prehod, kjer regulativa določa, da se sredstva tega sklada in posledično projekti v Cilju politike 6 – Evropa za pravični prehod, navezujejo na vsebine S5. </w:t>
      </w:r>
      <w:r w:rsidRPr="007820B6">
        <w:rPr>
          <w:rFonts w:cs="Arial"/>
        </w:rPr>
        <w:t xml:space="preserve">Posreden vpliv S5 pa se skozi uporabo inovacij (deployment) izkazuje tudi </w:t>
      </w:r>
      <w:r w:rsidRPr="007820B6">
        <w:rPr>
          <w:rFonts w:cs="Arial"/>
        </w:rPr>
        <w:lastRenderedPageBreak/>
        <w:t xml:space="preserve">na določenih, relevantnih ukrepih znotraj prednostne naloge 3 Programa EKP– Zelena preobrazba za podnebno nevtralnost ter prednostne naloge 6 – Znanja in spretnosti ter odzivni trg dela, zato je sprejem Strategije pametne specializacije </w:t>
      </w:r>
      <w:r w:rsidRPr="007820B6">
        <w:rPr>
          <w:rFonts w:eastAsia="Calibri" w:cs="Arial"/>
        </w:rPr>
        <w:t xml:space="preserve">za posamezno </w:t>
      </w:r>
      <w:r w:rsidRPr="00C76B50">
        <w:rPr>
          <w:rFonts w:eastAsia="Calibri" w:cs="Arial"/>
        </w:rPr>
        <w:t xml:space="preserve">regijo ali državo članico nujen. </w:t>
      </w:r>
      <w:r w:rsidR="32388597" w:rsidRPr="00C76B50">
        <w:rPr>
          <w:rFonts w:eastAsia="Calibri" w:cs="Arial"/>
        </w:rPr>
        <w:t xml:space="preserve">Zaradi navedenega se skladnost s S5 pregleda za vse ukrepe, ki so financirani na </w:t>
      </w:r>
      <w:r w:rsidR="32388597" w:rsidRPr="001650A8">
        <w:rPr>
          <w:rFonts w:eastAsia="Aptos" w:cs="Arial"/>
        </w:rPr>
        <w:t>RSO 1.1., 1.2., 1.3., 1</w:t>
      </w:r>
      <w:r w:rsidR="53981501" w:rsidRPr="001650A8">
        <w:rPr>
          <w:rFonts w:eastAsia="Aptos" w:cs="Arial"/>
        </w:rPr>
        <w:t>.</w:t>
      </w:r>
      <w:r w:rsidR="32388597" w:rsidRPr="001650A8">
        <w:rPr>
          <w:rFonts w:eastAsia="Aptos" w:cs="Arial"/>
        </w:rPr>
        <w:t xml:space="preserve">4. in 1.6. ter na JSO 8.1. </w:t>
      </w:r>
      <w:r w:rsidR="2298A184" w:rsidRPr="001650A8">
        <w:rPr>
          <w:rFonts w:eastAsia="Aptos" w:cs="Arial"/>
        </w:rPr>
        <w:t xml:space="preserve">V teh primerih </w:t>
      </w:r>
      <w:r w:rsidR="32388597" w:rsidRPr="001650A8">
        <w:rPr>
          <w:rFonts w:eastAsia="Aptos" w:cs="Arial"/>
        </w:rPr>
        <w:t>je izdaja mnenja/soglasja o skladnosti s S5 obvezna in pogoj za izdajo OdlPOD. Na prednostnih nalogah 3 in 6</w:t>
      </w:r>
      <w:r w:rsidR="129BDA40" w:rsidRPr="001650A8">
        <w:rPr>
          <w:rFonts w:eastAsia="Aptos" w:cs="Arial"/>
        </w:rPr>
        <w:t xml:space="preserve"> predvsem na </w:t>
      </w:r>
      <w:r w:rsidR="32388597" w:rsidRPr="001650A8">
        <w:rPr>
          <w:rFonts w:eastAsia="Aptos" w:cs="Arial"/>
        </w:rPr>
        <w:t xml:space="preserve">RSO 2.6 in 2.8. ter ESO 4.1., 4.2., 4.5. in 4.7. </w:t>
      </w:r>
      <w:r w:rsidR="6227FEDB" w:rsidRPr="001650A8">
        <w:rPr>
          <w:rFonts w:eastAsia="Aptos" w:cs="Arial"/>
        </w:rPr>
        <w:t xml:space="preserve">pa se vloge pregledajo glede relevantnosti </w:t>
      </w:r>
      <w:r w:rsidR="32388597" w:rsidRPr="001650A8">
        <w:rPr>
          <w:rFonts w:eastAsia="Aptos" w:cs="Arial"/>
        </w:rPr>
        <w:t xml:space="preserve">posameznega NIO </w:t>
      </w:r>
      <w:r w:rsidR="4645C114" w:rsidRPr="001650A8">
        <w:rPr>
          <w:rFonts w:eastAsia="Aptos" w:cs="Arial"/>
        </w:rPr>
        <w:t xml:space="preserve">za S5 in v primeru relevantnosti OU izda </w:t>
      </w:r>
      <w:r w:rsidR="32388597" w:rsidRPr="001650A8">
        <w:rPr>
          <w:rFonts w:eastAsia="Aptos" w:cs="Arial"/>
        </w:rPr>
        <w:t>presojo o skladnosti s S5</w:t>
      </w:r>
      <w:r w:rsidR="7F498282" w:rsidRPr="001650A8">
        <w:rPr>
          <w:rFonts w:eastAsia="Aptos" w:cs="Arial"/>
        </w:rPr>
        <w:t>.</w:t>
      </w:r>
    </w:p>
    <w:p w14:paraId="3FAD79D2" w14:textId="77777777" w:rsidR="003979E5" w:rsidRPr="007820B6" w:rsidRDefault="003979E5" w:rsidP="7E32E97F">
      <w:pPr>
        <w:autoSpaceDN/>
        <w:spacing w:after="0" w:line="276" w:lineRule="auto"/>
        <w:jc w:val="both"/>
        <w:rPr>
          <w:rFonts w:eastAsia="Calibri" w:cs="Arial"/>
        </w:rPr>
      </w:pPr>
    </w:p>
    <w:p w14:paraId="7D274F84" w14:textId="08E68488" w:rsidR="003979E5" w:rsidRPr="0025033E" w:rsidRDefault="15A4902A" w:rsidP="7E32E97F">
      <w:pPr>
        <w:autoSpaceDN/>
        <w:spacing w:after="0" w:line="276" w:lineRule="auto"/>
        <w:jc w:val="both"/>
        <w:rPr>
          <w:rFonts w:eastAsia="Calibri" w:cs="Arial"/>
        </w:rPr>
      </w:pPr>
      <w:r w:rsidRPr="007820B6">
        <w:rPr>
          <w:rFonts w:eastAsia="Calibri" w:cs="Arial"/>
        </w:rPr>
        <w:t>EK je zaradi pomanjkanja sodelovanja in vlaganj v skupne projekte gospodarstva na eni strani ter institucij na področju raziskav, razvoja in inovacij na drugi strani, že v okviru programskega obdobja 2014–2020 predstavila koncept Strategije pametne specializacije (S3) z namenom spodbuditve in osredotočenja vlaganj držav in njihovih regij v raziskave in inovacije iz ESRR na področja, kjer imajo regije izkazane primerjalne prednosti. Namen te vzpodbude je bil podpreti regionalne/državne prioritete na področju raziskav, razvoja, inovacij in tehnološkega napredka preko t.i. procesa podjetniškega odkrivanja. S3 si je tako pridobila mesto med</w:t>
      </w:r>
      <w:r w:rsidRPr="7E32E97F">
        <w:rPr>
          <w:rFonts w:eastAsia="Calibri" w:cs="Arial"/>
        </w:rPr>
        <w:t xml:space="preserve"> strateškimi dokumenti, ki usmerjajo razvoj posameznih držav in regij, ter sodelovanje med ključnimi kompetenčnimi akterji v evropskih verigah vrednosti, na ravni EU pa pridobiva na veljavi kot pomemben mehanizem za programiranje in izvajanje centraliziranih instrumentov (npr. Obzorje Europe, Interregional innovation Investment instrument idr.). Za konkurenčnost slovenskega gospodarstva, ki je z izvozno naravnanostjo odločilno vpeto v evropske verige vrednosti, je zato učinkovito upravljanje z S5 pomemben dejavnik.</w:t>
      </w:r>
    </w:p>
    <w:p w14:paraId="6822802C" w14:textId="77777777" w:rsidR="003979E5" w:rsidRPr="0025033E" w:rsidRDefault="003979E5" w:rsidP="7E32E97F">
      <w:pPr>
        <w:autoSpaceDN/>
        <w:spacing w:after="0" w:line="276" w:lineRule="auto"/>
        <w:jc w:val="both"/>
        <w:rPr>
          <w:rFonts w:eastAsia="Calibri" w:cs="Arial"/>
        </w:rPr>
      </w:pPr>
    </w:p>
    <w:p w14:paraId="0E9C16B1" w14:textId="77777777" w:rsidR="003979E5" w:rsidRPr="0025033E" w:rsidRDefault="15A4902A" w:rsidP="003979E5">
      <w:pPr>
        <w:autoSpaceDN/>
        <w:spacing w:after="0" w:line="276" w:lineRule="auto"/>
        <w:jc w:val="both"/>
        <w:rPr>
          <w:rFonts w:eastAsia="Calibri" w:cs="Arial"/>
        </w:rPr>
      </w:pPr>
      <w:r w:rsidRPr="7E32E97F">
        <w:rPr>
          <w:rFonts w:eastAsia="Calibri" w:cs="Arial"/>
        </w:rPr>
        <w:t xml:space="preserve">V programskem obdobju 2021–2027 si je nadgrajena Strategija pametne specializacije v Sloveniji kot cilj določila dvojni prehod (Twin Transition) z uporabo t.i. »deeptech« (globoke in integralne rabe omogočitvenih tehnologij in novih poslovnih modelov za razliko od plitke/shallow uvedbe parcialnih »HiTech«). Dvojni prehod razumemo kot inovativno, nizkoogljično, digitalno in na znanju temelječo preobrazbo gospodarstva in družbe. S tem pametna specializacija dobiva trajnostni značaj in se uveljavlja pod kratico S5 (ang. »Slovenian Sustainable Smart Specialisation Strategy«) ter predstavlja celovito in osrednjo podlago za del dodeljevanja sredstev v okviru ESRR znotraj cilja Pametna Evropa. </w:t>
      </w:r>
    </w:p>
    <w:p w14:paraId="151F3DB3" w14:textId="77777777" w:rsidR="003979E5" w:rsidRDefault="003979E5" w:rsidP="7E32E97F">
      <w:pPr>
        <w:autoSpaceDN/>
        <w:spacing w:after="0" w:line="276" w:lineRule="auto"/>
        <w:jc w:val="both"/>
        <w:rPr>
          <w:rFonts w:eastAsia="Calibri" w:cs="Arial"/>
        </w:rPr>
      </w:pPr>
    </w:p>
    <w:p w14:paraId="6A8EB4BF" w14:textId="77777777" w:rsidR="003979E5" w:rsidRPr="0025033E" w:rsidRDefault="15A4902A" w:rsidP="7E32E97F">
      <w:pPr>
        <w:autoSpaceDN/>
        <w:spacing w:after="0" w:line="276" w:lineRule="auto"/>
        <w:jc w:val="both"/>
        <w:rPr>
          <w:rFonts w:eastAsia="Calibri" w:cs="Arial"/>
        </w:rPr>
      </w:pPr>
      <w:r w:rsidRPr="7E32E97F">
        <w:rPr>
          <w:rFonts w:eastAsia="Calibri" w:cs="Arial"/>
        </w:rPr>
        <w:t xml:space="preserve">Strategija S5 je procesno vključevala tri osnovne faze nadgradnje iz S4 v S5: </w:t>
      </w:r>
    </w:p>
    <w:p w14:paraId="7FB8F07B" w14:textId="77777777" w:rsidR="003979E5" w:rsidRPr="0025033E" w:rsidRDefault="15A4902A" w:rsidP="7E32E97F">
      <w:pPr>
        <w:numPr>
          <w:ilvl w:val="0"/>
          <w:numId w:val="24"/>
        </w:numPr>
        <w:autoSpaceDN/>
        <w:spacing w:after="0" w:line="276" w:lineRule="auto"/>
        <w:jc w:val="both"/>
        <w:rPr>
          <w:rFonts w:eastAsia="Calibri" w:cs="Arial"/>
        </w:rPr>
      </w:pPr>
      <w:r w:rsidRPr="7E32E97F">
        <w:rPr>
          <w:rFonts w:eastAsia="Calibri" w:cs="Arial"/>
        </w:rPr>
        <w:t xml:space="preserve">uvodno srečanje s SRIP-i, </w:t>
      </w:r>
    </w:p>
    <w:p w14:paraId="74EE8A81" w14:textId="77777777" w:rsidR="003979E5" w:rsidRPr="0025033E" w:rsidRDefault="15A4902A" w:rsidP="7E32E97F">
      <w:pPr>
        <w:numPr>
          <w:ilvl w:val="0"/>
          <w:numId w:val="24"/>
        </w:numPr>
        <w:autoSpaceDN/>
        <w:spacing w:after="0" w:line="276" w:lineRule="auto"/>
        <w:jc w:val="both"/>
        <w:rPr>
          <w:rFonts w:eastAsia="Calibri" w:cs="Arial"/>
        </w:rPr>
      </w:pPr>
      <w:r w:rsidRPr="7E32E97F">
        <w:rPr>
          <w:rFonts w:eastAsia="Calibri" w:cs="Arial"/>
        </w:rPr>
        <w:t xml:space="preserve">dopolnitev akcijskih načrtov SRIP in usklajevanje z resorji, </w:t>
      </w:r>
    </w:p>
    <w:p w14:paraId="7E445F63" w14:textId="77777777" w:rsidR="003979E5" w:rsidRPr="0025033E" w:rsidRDefault="15A4902A" w:rsidP="7E32E97F">
      <w:pPr>
        <w:numPr>
          <w:ilvl w:val="0"/>
          <w:numId w:val="24"/>
        </w:numPr>
        <w:autoSpaceDN/>
        <w:spacing w:after="0" w:line="276" w:lineRule="auto"/>
        <w:jc w:val="both"/>
        <w:rPr>
          <w:rFonts w:eastAsia="Calibri" w:cs="Arial"/>
        </w:rPr>
      </w:pPr>
      <w:r w:rsidRPr="7E32E97F">
        <w:rPr>
          <w:rFonts w:eastAsia="Calibri" w:cs="Arial"/>
        </w:rPr>
        <w:t xml:space="preserve">posvetovanja z javnostjo. V posvetovanjih z javnostjo je na </w:t>
      </w:r>
      <w:r w:rsidRPr="00D92BA5">
        <w:rPr>
          <w:rFonts w:eastAsia="Calibri" w:cs="Arial"/>
        </w:rPr>
        <w:t>webinarjih</w:t>
      </w:r>
      <w:r w:rsidRPr="7E32E97F">
        <w:rPr>
          <w:rFonts w:eastAsia="Calibri" w:cs="Arial"/>
        </w:rPr>
        <w:t xml:space="preserve"> sodelovalo skoraj 1000 zainteresiranih deležnikov. </w:t>
      </w:r>
    </w:p>
    <w:p w14:paraId="200C41CB" w14:textId="77777777" w:rsidR="003979E5" w:rsidRPr="0025033E" w:rsidRDefault="003979E5" w:rsidP="7E32E97F">
      <w:pPr>
        <w:autoSpaceDN/>
        <w:spacing w:after="0" w:line="276" w:lineRule="auto"/>
        <w:jc w:val="both"/>
        <w:rPr>
          <w:rFonts w:eastAsia="Calibri" w:cs="Arial"/>
        </w:rPr>
      </w:pPr>
    </w:p>
    <w:p w14:paraId="1144C0B9" w14:textId="77777777" w:rsidR="003979E5" w:rsidRPr="0025033E" w:rsidRDefault="15A4902A" w:rsidP="003979E5">
      <w:pPr>
        <w:spacing w:after="0"/>
        <w:jc w:val="both"/>
        <w:rPr>
          <w:rFonts w:eastAsia="Calibri" w:cs="Arial"/>
          <w:sz w:val="18"/>
          <w:szCs w:val="18"/>
        </w:rPr>
      </w:pPr>
      <w:r w:rsidRPr="7E32E97F">
        <w:rPr>
          <w:rFonts w:eastAsia="Calibri" w:cs="Arial"/>
        </w:rPr>
        <w:t xml:space="preserve">S potrditvijo PEKP s strani EK decembra 2022 je bilo torej zaključeno usklajevanje EK in RS glede izpolnitve tematskega omogočitvenega pogoja </w:t>
      </w:r>
      <w:r w:rsidRPr="7E32E97F">
        <w:rPr>
          <w:rFonts w:eastAsia="Calibri" w:cs="Arial"/>
          <w:i/>
          <w:iCs/>
        </w:rPr>
        <w:t>Dobro upravljanje nacionalne ali regionalne strategije pametne specializacije</w:t>
      </w:r>
      <w:r w:rsidRPr="7E32E97F">
        <w:rPr>
          <w:rFonts w:eastAsia="Calibri" w:cs="Arial"/>
        </w:rPr>
        <w:t>.</w:t>
      </w:r>
    </w:p>
    <w:p w14:paraId="2E09D204" w14:textId="75B2F291" w:rsidR="5DEFD55E" w:rsidRDefault="5DEFD55E" w:rsidP="5DEFD55E">
      <w:pPr>
        <w:spacing w:after="0"/>
        <w:jc w:val="both"/>
        <w:rPr>
          <w:rFonts w:eastAsia="Calibri" w:cs="Arial"/>
        </w:rPr>
      </w:pPr>
    </w:p>
    <w:p w14:paraId="0CA2BB59" w14:textId="5DDD797A" w:rsidR="3FF84C52" w:rsidRDefault="56303A66" w:rsidP="5DEFD55E">
      <w:pPr>
        <w:spacing w:after="0"/>
        <w:jc w:val="both"/>
        <w:rPr>
          <w:rFonts w:eastAsia="Calibri"/>
        </w:rPr>
      </w:pPr>
      <w:r w:rsidRPr="7E32E97F">
        <w:rPr>
          <w:rFonts w:eastAsia="Calibri"/>
        </w:rPr>
        <w:t xml:space="preserve">V letu 2025 je bilo pripravljeno Poročilo o izvajanju Slovenske strategije trajnostne pametne specializacije (S5) v obdobju 2023–2025. Poročilo potrjuje, da Slovenija razpolaga z utemeljenim in - v primerjavi z drugimi regijami držav članic EU – nadpovprečno visoko specializiranim inovacijskim ekosistemom, ki je uspešno vključen v evropski raziskovalno inovacijski prostor, a se hkrati sooča z večplastnimi izzivi pri operativnem izvajanju in tveganji glede dolgoročne konkurenčnosti. </w:t>
      </w:r>
    </w:p>
    <w:p w14:paraId="32BAF57B" w14:textId="77777777" w:rsidR="5DEFD55E" w:rsidRDefault="5DEFD55E" w:rsidP="5DEFD55E">
      <w:pPr>
        <w:spacing w:after="0"/>
        <w:jc w:val="both"/>
        <w:rPr>
          <w:rFonts w:eastAsia="Calibri"/>
        </w:rPr>
      </w:pPr>
    </w:p>
    <w:p w14:paraId="0378A9F5" w14:textId="77777777" w:rsidR="3FF84C52" w:rsidRDefault="56303A66" w:rsidP="5DEFD55E">
      <w:pPr>
        <w:spacing w:after="0"/>
        <w:jc w:val="both"/>
        <w:rPr>
          <w:rFonts w:eastAsia="Calibri"/>
          <w:b/>
          <w:bCs/>
        </w:rPr>
      </w:pPr>
      <w:r w:rsidRPr="7E32E97F">
        <w:rPr>
          <w:rFonts w:eastAsia="Calibri"/>
          <w:b/>
          <w:bCs/>
        </w:rPr>
        <w:t>Ključne ugotovitve:</w:t>
      </w:r>
    </w:p>
    <w:p w14:paraId="29824333" w14:textId="77777777" w:rsidR="5DEFD55E" w:rsidRDefault="5DEFD55E" w:rsidP="5DEFD55E">
      <w:pPr>
        <w:spacing w:after="0"/>
        <w:jc w:val="both"/>
        <w:rPr>
          <w:rFonts w:eastAsia="Calibri"/>
        </w:rPr>
      </w:pPr>
    </w:p>
    <w:p w14:paraId="3170677B" w14:textId="6D7659CA" w:rsidR="3FF84C52" w:rsidRDefault="56303A66" w:rsidP="5DEFD55E">
      <w:pPr>
        <w:pStyle w:val="Odstavekseznama"/>
        <w:numPr>
          <w:ilvl w:val="0"/>
          <w:numId w:val="48"/>
        </w:numPr>
        <w:spacing w:after="0"/>
        <w:jc w:val="both"/>
        <w:rPr>
          <w:rFonts w:eastAsia="Calibri"/>
        </w:rPr>
      </w:pPr>
      <w:r w:rsidRPr="7E32E97F">
        <w:rPr>
          <w:rFonts w:eastAsia="Calibri"/>
        </w:rPr>
        <w:t xml:space="preserve">Strategija S5 ima močno podporo v analitičnih podatkih in </w:t>
      </w:r>
      <w:r w:rsidR="29FEDB08" w:rsidRPr="7E32E97F">
        <w:rPr>
          <w:rFonts w:eastAsia="Calibri"/>
        </w:rPr>
        <w:t>razvojnih</w:t>
      </w:r>
      <w:r w:rsidRPr="7E32E97F">
        <w:rPr>
          <w:rFonts w:eastAsia="Calibri"/>
        </w:rPr>
        <w:t xml:space="preserve"> dokumentih, vendar operativna realizacija ukrepov zaostaja za načrtovanimi mejniki.</w:t>
      </w:r>
    </w:p>
    <w:p w14:paraId="17AE1682" w14:textId="77777777" w:rsidR="3FF84C52" w:rsidRDefault="56303A66" w:rsidP="5DEFD55E">
      <w:pPr>
        <w:numPr>
          <w:ilvl w:val="0"/>
          <w:numId w:val="38"/>
        </w:numPr>
        <w:spacing w:after="0"/>
        <w:jc w:val="both"/>
        <w:rPr>
          <w:rFonts w:eastAsia="Calibri"/>
        </w:rPr>
      </w:pPr>
      <w:r w:rsidRPr="7E32E97F">
        <w:rPr>
          <w:rFonts w:eastAsia="Calibri"/>
        </w:rPr>
        <w:t>Institucionalna struktura je razvita, toda zamude pri izvajanju investicij (npr. RRI infrastruktura, znanja in spretnosti) zmanjšujejo hitrost transformacije.</w:t>
      </w:r>
    </w:p>
    <w:p w14:paraId="2FBB4BB3" w14:textId="0080FBD5" w:rsidR="3FF84C52" w:rsidRDefault="56303A66" w:rsidP="5DEFD55E">
      <w:pPr>
        <w:numPr>
          <w:ilvl w:val="0"/>
          <w:numId w:val="38"/>
        </w:numPr>
        <w:spacing w:after="0"/>
        <w:jc w:val="both"/>
        <w:rPr>
          <w:rFonts w:eastAsia="Calibri"/>
        </w:rPr>
      </w:pPr>
      <w:r w:rsidRPr="7E32E97F">
        <w:rPr>
          <w:rFonts w:eastAsia="Calibri"/>
        </w:rPr>
        <w:lastRenderedPageBreak/>
        <w:t xml:space="preserve">Analize SIRIS Academic in S3 CoP TSA potrjujejo visoko stopnjo usklajenosti slovenskega inovacijskega sistema z evropskimi cilji, a tudi vrzeli </w:t>
      </w:r>
      <w:r w:rsidR="554B7898" w:rsidRPr="7E32E97F">
        <w:rPr>
          <w:rFonts w:eastAsia="Calibri"/>
        </w:rPr>
        <w:t xml:space="preserve">predvsem </w:t>
      </w:r>
      <w:r w:rsidRPr="7E32E97F">
        <w:rPr>
          <w:rFonts w:eastAsia="Calibri"/>
        </w:rPr>
        <w:t>pri prenosu znanja in komercializaciji.</w:t>
      </w:r>
    </w:p>
    <w:p w14:paraId="56B0302B" w14:textId="77777777" w:rsidR="3FF84C52" w:rsidRDefault="56303A66" w:rsidP="5DEFD55E">
      <w:pPr>
        <w:numPr>
          <w:ilvl w:val="0"/>
          <w:numId w:val="38"/>
        </w:numPr>
        <w:spacing w:after="0"/>
        <w:jc w:val="both"/>
        <w:rPr>
          <w:rFonts w:eastAsia="Calibri"/>
        </w:rPr>
      </w:pPr>
      <w:r w:rsidRPr="7E32E97F">
        <w:rPr>
          <w:rFonts w:eastAsia="Calibri"/>
        </w:rPr>
        <w:t>Prednostna področja so strokovno utemeljena, a heterogena – zahtevajo diferenciran pristop pri oblikovanju podpornih instrumentov.</w:t>
      </w:r>
    </w:p>
    <w:p w14:paraId="6D9A0B97" w14:textId="77777777" w:rsidR="5DEFD55E" w:rsidRDefault="5DEFD55E" w:rsidP="5DEFD55E">
      <w:pPr>
        <w:spacing w:after="0"/>
        <w:jc w:val="both"/>
        <w:rPr>
          <w:rFonts w:eastAsia="Calibri"/>
        </w:rPr>
      </w:pPr>
    </w:p>
    <w:p w14:paraId="59C19225" w14:textId="373FAAF9" w:rsidR="3FF84C52" w:rsidRDefault="56303A66" w:rsidP="5DEFD55E">
      <w:pPr>
        <w:spacing w:after="0"/>
        <w:jc w:val="both"/>
        <w:rPr>
          <w:rFonts w:eastAsia="Calibri"/>
        </w:rPr>
      </w:pPr>
      <w:r w:rsidRPr="7E32E97F">
        <w:rPr>
          <w:rFonts w:eastAsia="Calibri"/>
          <w:b/>
          <w:bCs/>
        </w:rPr>
        <w:t>Na podlagi teh ugotovitev in analiz je bilo predlagano</w:t>
      </w:r>
      <w:r w:rsidRPr="7E32E97F">
        <w:rPr>
          <w:rFonts w:eastAsia="Calibri"/>
        </w:rPr>
        <w:t>:</w:t>
      </w:r>
    </w:p>
    <w:p w14:paraId="2D71CA34" w14:textId="77777777" w:rsidR="5DEFD55E" w:rsidRDefault="5DEFD55E" w:rsidP="5DEFD55E">
      <w:pPr>
        <w:spacing w:after="0"/>
        <w:jc w:val="both"/>
        <w:rPr>
          <w:rFonts w:eastAsia="Calibri"/>
        </w:rPr>
      </w:pPr>
    </w:p>
    <w:p w14:paraId="424BAEE4" w14:textId="77777777" w:rsidR="3FF84C52" w:rsidRDefault="56303A66" w:rsidP="5DEFD55E">
      <w:pPr>
        <w:pStyle w:val="Odstavekseznama"/>
        <w:numPr>
          <w:ilvl w:val="0"/>
          <w:numId w:val="42"/>
        </w:numPr>
        <w:spacing w:after="0"/>
        <w:jc w:val="both"/>
        <w:rPr>
          <w:rFonts w:eastAsia="Calibri"/>
        </w:rPr>
      </w:pPr>
      <w:r w:rsidRPr="7E32E97F">
        <w:rPr>
          <w:rFonts w:eastAsia="Calibri"/>
        </w:rPr>
        <w:t xml:space="preserve">Srednjeročno </w:t>
      </w:r>
      <w:r w:rsidRPr="00FE6A8D">
        <w:rPr>
          <w:rFonts w:eastAsia="Calibri"/>
        </w:rPr>
        <w:t>odločno povečevanje sredstev za RRI</w:t>
      </w:r>
      <w:r w:rsidRPr="7E32E97F">
        <w:rPr>
          <w:rFonts w:eastAsia="Calibri"/>
        </w:rPr>
        <w:t xml:space="preserve"> v proračunu RS, pospešitev izvajanja ključnih investicij, zlasti na področju RRI infrastrukture (INNOVUM, FS UL) in prenosa znanja (pisarne KTO), ob odpravi administrativnih zastojev in skrbnejšem pregledu zrelosti predlaganih investicij z vidika pripravljenosti na izvedbo. Nadaljevanja vlaganj v strateške infrastrukture (posebej RRI opremo) ob bistveno povečani udeležbi zasebnega sektorja v poslovnih modelih partnerstev z JRO upoštevajoč fleksibilnosti pri pravilih državnih pomoči. </w:t>
      </w:r>
    </w:p>
    <w:p w14:paraId="65D82F1C" w14:textId="77777777" w:rsidR="5DEFD55E" w:rsidRDefault="5DEFD55E" w:rsidP="5DEFD55E">
      <w:pPr>
        <w:pStyle w:val="Odstavekseznama"/>
        <w:spacing w:after="0"/>
        <w:jc w:val="both"/>
        <w:rPr>
          <w:rFonts w:eastAsia="Calibri"/>
        </w:rPr>
      </w:pPr>
    </w:p>
    <w:p w14:paraId="6D492452" w14:textId="77777777" w:rsidR="3FF84C52" w:rsidRDefault="56303A66" w:rsidP="5DEFD55E">
      <w:pPr>
        <w:pStyle w:val="Odstavekseznama"/>
        <w:numPr>
          <w:ilvl w:val="0"/>
          <w:numId w:val="42"/>
        </w:numPr>
        <w:spacing w:after="0"/>
        <w:jc w:val="both"/>
        <w:rPr>
          <w:rFonts w:eastAsia="Calibri"/>
        </w:rPr>
      </w:pPr>
      <w:r w:rsidRPr="7E32E97F">
        <w:rPr>
          <w:rFonts w:eastAsia="Calibri"/>
        </w:rPr>
        <w:t>Krepitev upravljavskih kapacitet v javnem sektorju, s poudarkom na horizontalnem povezovanju med resorji in stalni uskladitvi razpisov s strategijo S5.</w:t>
      </w:r>
    </w:p>
    <w:p w14:paraId="71B5CBDD" w14:textId="77777777" w:rsidR="5DEFD55E" w:rsidRDefault="5DEFD55E" w:rsidP="5DEFD55E">
      <w:pPr>
        <w:pStyle w:val="Odstavekseznama"/>
        <w:rPr>
          <w:rFonts w:eastAsia="Calibri"/>
        </w:rPr>
      </w:pPr>
    </w:p>
    <w:p w14:paraId="42CF34CE" w14:textId="5ACC9F15" w:rsidR="3FF84C52" w:rsidRDefault="56303A66" w:rsidP="5DEFD55E">
      <w:pPr>
        <w:pStyle w:val="Odstavekseznama"/>
        <w:numPr>
          <w:ilvl w:val="0"/>
          <w:numId w:val="42"/>
        </w:numPr>
        <w:spacing w:after="0"/>
        <w:jc w:val="both"/>
        <w:rPr>
          <w:rFonts w:eastAsia="Calibri"/>
        </w:rPr>
      </w:pPr>
      <w:r w:rsidRPr="7E32E97F">
        <w:rPr>
          <w:rFonts w:eastAsia="Calibri"/>
        </w:rPr>
        <w:t xml:space="preserve">Močnejše pozicioniranje in učinkovitejše izvajanje ukrepov za krepitev znanj in spretnosti, z nujno takojšnjo aktivacijo kompetenčnih centrov </w:t>
      </w:r>
      <w:r w:rsidR="34CC5CC6" w:rsidRPr="7E32E97F">
        <w:rPr>
          <w:rFonts w:eastAsia="Calibri"/>
        </w:rPr>
        <w:t xml:space="preserve">za razvoj kadrov </w:t>
      </w:r>
      <w:r w:rsidRPr="7E32E97F">
        <w:rPr>
          <w:rFonts w:eastAsia="Calibri"/>
        </w:rPr>
        <w:t>(KOC), čimprejšnjo uvedbo mikrodokazil in drugih hitreje prilagodljivih izobraževalnih programov, odpravo zaostankov pri vzpostavitvi temeljnega orodja – Platforme trga dela s ciljem čimprejšnjega delovanja v polnem obsegu kot tudi drugih komplementarnih instrumentov.</w:t>
      </w:r>
    </w:p>
    <w:p w14:paraId="2B6FBA56" w14:textId="77777777" w:rsidR="5DEFD55E" w:rsidRDefault="5DEFD55E" w:rsidP="5DEFD55E">
      <w:pPr>
        <w:pStyle w:val="Odstavekseznama"/>
        <w:rPr>
          <w:rFonts w:eastAsia="Calibri"/>
        </w:rPr>
      </w:pPr>
    </w:p>
    <w:p w14:paraId="5F7880BB" w14:textId="77777777" w:rsidR="3FF84C52" w:rsidRDefault="56303A66" w:rsidP="5DEFD55E">
      <w:pPr>
        <w:pStyle w:val="Odstavekseznama"/>
        <w:numPr>
          <w:ilvl w:val="0"/>
          <w:numId w:val="42"/>
        </w:numPr>
        <w:spacing w:after="0"/>
        <w:jc w:val="both"/>
        <w:rPr>
          <w:rFonts w:eastAsia="Calibri"/>
        </w:rPr>
      </w:pPr>
      <w:r w:rsidRPr="7E32E97F">
        <w:rPr>
          <w:rFonts w:eastAsia="Calibri"/>
        </w:rPr>
        <w:t>Prenova modela SRIP z večjo osredotočenostjo na produktne verige, merljive cilje in vključevanje industrijskih akterjev v nišnih segmentih.</w:t>
      </w:r>
    </w:p>
    <w:p w14:paraId="2C50F056" w14:textId="77777777" w:rsidR="5DEFD55E" w:rsidRDefault="5DEFD55E" w:rsidP="5DEFD55E">
      <w:pPr>
        <w:pStyle w:val="Odstavekseznama"/>
        <w:rPr>
          <w:rFonts w:eastAsia="Calibri"/>
        </w:rPr>
      </w:pPr>
    </w:p>
    <w:p w14:paraId="5A81D53E" w14:textId="7C8F1FBD" w:rsidR="3FF84C52" w:rsidRDefault="56303A66" w:rsidP="5DEFD55E">
      <w:pPr>
        <w:pStyle w:val="Odstavekseznama"/>
        <w:numPr>
          <w:ilvl w:val="0"/>
          <w:numId w:val="42"/>
        </w:numPr>
        <w:spacing w:after="0"/>
        <w:jc w:val="both"/>
        <w:rPr>
          <w:rFonts w:eastAsia="Calibri"/>
        </w:rPr>
      </w:pPr>
      <w:r w:rsidRPr="7E32E97F">
        <w:rPr>
          <w:rFonts w:eastAsia="Calibri"/>
        </w:rPr>
        <w:t>Strateška konsolidacija področij S5 glede na njihovo naravo, institucionalno moč, tržno perspektivo in transformacijski potencial. Nove sheme državnih pomoči in podpore prednostnim področjem S5 bodo bolj učinkovite, če bodo upoštevale selektiven pristop glede na naravo prednostnih področij.</w:t>
      </w:r>
    </w:p>
    <w:p w14:paraId="33A91FF7" w14:textId="77777777" w:rsidR="00FE6A8D" w:rsidRPr="00FE6A8D" w:rsidRDefault="00FE6A8D" w:rsidP="001650A8">
      <w:pPr>
        <w:spacing w:after="0"/>
        <w:jc w:val="both"/>
        <w:rPr>
          <w:rFonts w:eastAsia="Calibri"/>
        </w:rPr>
      </w:pPr>
    </w:p>
    <w:p w14:paraId="26BEFC44" w14:textId="6B4566C2" w:rsidR="6D96ABD6" w:rsidRDefault="6CAF5B9C" w:rsidP="7E32E97F">
      <w:pPr>
        <w:pStyle w:val="Odstavekseznama"/>
        <w:numPr>
          <w:ilvl w:val="0"/>
          <w:numId w:val="42"/>
        </w:numPr>
        <w:spacing w:after="0"/>
        <w:jc w:val="both"/>
        <w:rPr>
          <w:rFonts w:eastAsia="Arial" w:cs="Arial"/>
          <w:color w:val="000000" w:themeColor="text1"/>
        </w:rPr>
      </w:pPr>
      <w:r w:rsidRPr="7E32E97F">
        <w:rPr>
          <w:rFonts w:eastAsia="Arial" w:cs="Arial"/>
          <w:color w:val="000000" w:themeColor="text1"/>
        </w:rPr>
        <w:t>Razvoj novih finančnih instrumentov za TRL 6–8, s poudarkom na tveganem kapitalu, demo pilotih, IPCEI in povezovanju z industrijskimi partnerstvi ter z optimalnejšo uporabo pravil na področju državnih pomoči.</w:t>
      </w:r>
    </w:p>
    <w:p w14:paraId="14AB93D2" w14:textId="1F9125C3" w:rsidR="5DEFD55E" w:rsidRDefault="5DEFD55E" w:rsidP="007820B6">
      <w:pPr>
        <w:spacing w:after="0"/>
        <w:rPr>
          <w:rFonts w:eastAsia="Arial" w:cs="Arial"/>
          <w:color w:val="000000" w:themeColor="text1"/>
        </w:rPr>
      </w:pPr>
    </w:p>
    <w:p w14:paraId="6CB0CE06" w14:textId="2707F73B" w:rsidR="6D96ABD6" w:rsidRDefault="6CAF5B9C" w:rsidP="000C4A26">
      <w:pPr>
        <w:pStyle w:val="Odstavekseznama"/>
        <w:numPr>
          <w:ilvl w:val="0"/>
          <w:numId w:val="42"/>
        </w:numPr>
        <w:spacing w:after="0"/>
        <w:jc w:val="both"/>
        <w:rPr>
          <w:rFonts w:eastAsia="Arial" w:cs="Arial"/>
          <w:color w:val="000000" w:themeColor="text1"/>
        </w:rPr>
      </w:pPr>
      <w:r w:rsidRPr="7E32E97F">
        <w:rPr>
          <w:rFonts w:eastAsia="Arial" w:cs="Arial"/>
          <w:color w:val="000000" w:themeColor="text1"/>
        </w:rPr>
        <w:t>Digitalizacija in odprti podatki kot temelj prihodnjega EDP – vzpostaviti je treba stalno, podatkovno vodeno strukturo za podjetniško odkrivanje in podatkovno analitiko. Načrtovano RRI stičišče je topogledno zastavljeno robustno, izvedbo na ARIS je potrebno pospešiti in izvesti celovito, kot je tudi načrtovana.</w:t>
      </w:r>
    </w:p>
    <w:p w14:paraId="16E39765" w14:textId="245A4F8A" w:rsidR="5DEFD55E" w:rsidRDefault="5DEFD55E" w:rsidP="007820B6">
      <w:pPr>
        <w:spacing w:after="0"/>
        <w:rPr>
          <w:rFonts w:eastAsia="Arial" w:cs="Arial"/>
          <w:color w:val="000000" w:themeColor="text1"/>
        </w:rPr>
      </w:pPr>
    </w:p>
    <w:p w14:paraId="5740303C" w14:textId="4D606753" w:rsidR="6D96ABD6" w:rsidRDefault="6CAF5B9C" w:rsidP="000C4A26">
      <w:pPr>
        <w:pStyle w:val="Odstavekseznama"/>
        <w:numPr>
          <w:ilvl w:val="0"/>
          <w:numId w:val="42"/>
        </w:numPr>
        <w:spacing w:after="0"/>
        <w:jc w:val="both"/>
        <w:rPr>
          <w:rFonts w:eastAsia="Arial" w:cs="Arial"/>
          <w:color w:val="000000" w:themeColor="text1"/>
        </w:rPr>
      </w:pPr>
      <w:r w:rsidRPr="7E32E97F">
        <w:rPr>
          <w:rFonts w:eastAsia="Arial" w:cs="Arial"/>
          <w:color w:val="000000" w:themeColor="text1"/>
        </w:rPr>
        <w:t>Nadaljevanje mednarodne vpetosti – ohraniti močno pozicijo v EU programih (npr. I3, Obzorje, STEP), okrepiti vlogo ARIS kot nosilca mednarodne podporne infrastrukture.</w:t>
      </w:r>
    </w:p>
    <w:p w14:paraId="1FDFAD9D" w14:textId="38ABB09A" w:rsidR="5DEFD55E" w:rsidRDefault="5DEFD55E" w:rsidP="007820B6">
      <w:pPr>
        <w:spacing w:after="0"/>
        <w:rPr>
          <w:rFonts w:eastAsia="Arial" w:cs="Arial"/>
          <w:color w:val="000000" w:themeColor="text1"/>
        </w:rPr>
      </w:pPr>
    </w:p>
    <w:p w14:paraId="46EE6EE6" w14:textId="354DD258" w:rsidR="6D96ABD6" w:rsidRDefault="6CAF5B9C" w:rsidP="000C4A26">
      <w:pPr>
        <w:pStyle w:val="Odstavekseznama"/>
        <w:numPr>
          <w:ilvl w:val="0"/>
          <w:numId w:val="42"/>
        </w:numPr>
        <w:spacing w:after="0"/>
        <w:jc w:val="both"/>
        <w:rPr>
          <w:rFonts w:eastAsia="Arial" w:cs="Arial"/>
          <w:color w:val="000000" w:themeColor="text1"/>
        </w:rPr>
      </w:pPr>
      <w:r w:rsidRPr="7E32E97F">
        <w:rPr>
          <w:rFonts w:eastAsia="Arial" w:cs="Arial"/>
          <w:color w:val="000000" w:themeColor="text1"/>
        </w:rPr>
        <w:t>Vpeljava misijskega pristopa (družbeni izzivi in strateške prioritete) v prihodnje programiranje (2028–2035), s poudarkom na transformativnih področjih: zdravje, digitalna suverenost, zelene tehnologije.</w:t>
      </w:r>
    </w:p>
    <w:p w14:paraId="55925662" w14:textId="3E0A1058" w:rsidR="5DEFD55E" w:rsidRDefault="5DEFD55E" w:rsidP="000C4A26">
      <w:pPr>
        <w:spacing w:after="0"/>
        <w:jc w:val="both"/>
        <w:rPr>
          <w:rFonts w:eastAsia="Arial" w:cs="Arial"/>
          <w:color w:val="000000" w:themeColor="text1"/>
        </w:rPr>
      </w:pPr>
    </w:p>
    <w:p w14:paraId="6ECFC844" w14:textId="3ACDD647" w:rsidR="6D96ABD6" w:rsidRDefault="6CAF5B9C" w:rsidP="000C4A26">
      <w:pPr>
        <w:spacing w:after="0"/>
        <w:jc w:val="both"/>
        <w:rPr>
          <w:rFonts w:eastAsia="Arial" w:cs="Arial"/>
          <w:color w:val="000000" w:themeColor="text1"/>
        </w:rPr>
      </w:pPr>
      <w:r w:rsidRPr="7E32E97F">
        <w:rPr>
          <w:rFonts w:eastAsia="Arial" w:cs="Arial"/>
          <w:color w:val="000000" w:themeColor="text1"/>
        </w:rPr>
        <w:t>Poročilo o izvajanju S5 2023–2025 ponuja trdno osnovo za strateško nadgradnjo politike pametne specializacije. Uspeh prihodnjega obdobja bo odvisen od tega, ali bo Slovenija zmogla konsolidirati svoje institucionalne, finančne in človeške vire v smeri ciljno usmerjene, učinkovite in evropsko relevantne inovacijske politike.</w:t>
      </w:r>
    </w:p>
    <w:p w14:paraId="2E62D4E8" w14:textId="77777777" w:rsidR="0094562C" w:rsidRDefault="0094562C" w:rsidP="000C4A26">
      <w:pPr>
        <w:spacing w:after="0"/>
        <w:jc w:val="both"/>
        <w:rPr>
          <w:rFonts w:eastAsia="Arial" w:cs="Arial"/>
          <w:color w:val="881798"/>
        </w:rPr>
      </w:pPr>
    </w:p>
    <w:p w14:paraId="4458576B" w14:textId="77777777" w:rsidR="006D1251" w:rsidRPr="0025033E" w:rsidRDefault="011AC143" w:rsidP="7E32E97F">
      <w:pPr>
        <w:pStyle w:val="Naslov3"/>
        <w:rPr>
          <w:rFonts w:cs="Arial"/>
        </w:rPr>
      </w:pPr>
      <w:bookmarkStart w:id="267" w:name="_Toc219974418"/>
      <w:r>
        <w:t>Delovna</w:t>
      </w:r>
      <w:r w:rsidRPr="7E32E97F">
        <w:rPr>
          <w:rFonts w:cs="Arial"/>
        </w:rPr>
        <w:t xml:space="preserve"> skupina vlade za podporo izvajanju (DSV) S5</w:t>
      </w:r>
      <w:bookmarkEnd w:id="267"/>
    </w:p>
    <w:p w14:paraId="0C1E78EB" w14:textId="77777777" w:rsidR="006D1251" w:rsidRPr="0025033E" w:rsidRDefault="006D1251" w:rsidP="00DC5B89">
      <w:pPr>
        <w:spacing w:after="0"/>
        <w:jc w:val="both"/>
        <w:rPr>
          <w:rFonts w:eastAsia="Calibri" w:cs="Arial"/>
        </w:rPr>
      </w:pPr>
    </w:p>
    <w:p w14:paraId="08118912" w14:textId="77777777" w:rsidR="006D1251" w:rsidRPr="004F6FC4" w:rsidRDefault="011AC143" w:rsidP="7E32E97F">
      <w:pPr>
        <w:autoSpaceDN/>
        <w:spacing w:after="0" w:line="276" w:lineRule="auto"/>
        <w:jc w:val="both"/>
        <w:rPr>
          <w:rFonts w:eastAsia="Calibri" w:cs="Arial"/>
        </w:rPr>
      </w:pPr>
      <w:r w:rsidRPr="7E32E97F">
        <w:rPr>
          <w:rFonts w:eastAsia="Calibri" w:cs="Arial"/>
        </w:rPr>
        <w:lastRenderedPageBreak/>
        <w:t xml:space="preserve">V skladu s S5 je njeno upravljanje organizirano na treh nivojih. Prvi je odločevalski nivo, ki ga izvaja Vlada RS. Operativno upravljanje je delegirano delovni skupini državnih sekretarjev (delovna skupina vlade na nivoju državnih sekretarjev za podporo izvajanju S5 – DSV S5). Drugi nivo predstavlja izvajanje svežnja ukrepov, kar je v pristojnosti ministrstev in izvajalskih institucij. Tretji nivo pa je izvedbena deležniška raven, ki jo koordinirajo Strateška razvojno-inovacijska partnerstva (SRIP-i). </w:t>
      </w:r>
    </w:p>
    <w:p w14:paraId="23C425C6" w14:textId="77777777" w:rsidR="006D1251" w:rsidRPr="004F6FC4" w:rsidRDefault="006D1251" w:rsidP="7E32E97F">
      <w:pPr>
        <w:autoSpaceDN/>
        <w:spacing w:after="0" w:line="276" w:lineRule="auto"/>
        <w:jc w:val="both"/>
        <w:rPr>
          <w:rFonts w:eastAsia="Calibri" w:cs="Arial"/>
        </w:rPr>
      </w:pPr>
    </w:p>
    <w:p w14:paraId="36E9D32E" w14:textId="77777777" w:rsidR="006D1251" w:rsidRPr="004F6FC4" w:rsidRDefault="011AC143" w:rsidP="7E32E97F">
      <w:pPr>
        <w:autoSpaceDN/>
        <w:spacing w:after="0" w:line="276" w:lineRule="auto"/>
        <w:jc w:val="both"/>
        <w:rPr>
          <w:rFonts w:eastAsia="Calibri" w:cs="Arial"/>
        </w:rPr>
      </w:pPr>
      <w:r w:rsidRPr="7E32E97F">
        <w:rPr>
          <w:rFonts w:eastAsia="Calibri" w:cs="Arial"/>
        </w:rPr>
        <w:t xml:space="preserve">Na vladi sprejeti sklep številka 02401-15/2023/12 z dne 19. 6. 2024 določa, da ima DSV S5 trinajst članov predstavnikov naslednjih resorjev MKRR, MVZI, MGTŠ, MDP, MDDSZ, MOPE, MSP, MKGP, MZEZ, MVI, MF, MK in MZI. </w:t>
      </w:r>
    </w:p>
    <w:p w14:paraId="435752AB" w14:textId="77777777" w:rsidR="006D1251" w:rsidRPr="004F6FC4" w:rsidRDefault="006D1251" w:rsidP="7E32E97F">
      <w:pPr>
        <w:autoSpaceDN/>
        <w:spacing w:after="0" w:line="276" w:lineRule="auto"/>
        <w:jc w:val="both"/>
        <w:rPr>
          <w:rFonts w:eastAsia="Calibri" w:cs="Arial"/>
        </w:rPr>
      </w:pPr>
    </w:p>
    <w:p w14:paraId="2E1D3A60" w14:textId="1DCE28DD" w:rsidR="006D1251" w:rsidRPr="000C4A26" w:rsidRDefault="011AC143" w:rsidP="5DEFD55E">
      <w:pPr>
        <w:spacing w:after="0" w:line="276" w:lineRule="auto"/>
        <w:jc w:val="both"/>
        <w:rPr>
          <w:rFonts w:eastAsia="Calibri" w:cs="Arial"/>
        </w:rPr>
      </w:pPr>
      <w:r w:rsidRPr="7E32E97F">
        <w:rPr>
          <w:rFonts w:eastAsia="Calibri" w:cs="Arial"/>
        </w:rPr>
        <w:t xml:space="preserve">DSV S5 se je v </w:t>
      </w:r>
      <w:r w:rsidR="06E2C48A" w:rsidRPr="7E32E97F">
        <w:rPr>
          <w:rFonts w:eastAsia="Calibri" w:cs="Arial"/>
        </w:rPr>
        <w:t>drugi</w:t>
      </w:r>
      <w:r w:rsidRPr="7E32E97F">
        <w:rPr>
          <w:rFonts w:eastAsia="Calibri" w:cs="Arial"/>
        </w:rPr>
        <w:t xml:space="preserve"> polovici leta 2025 sestala na eni redni seji, kjer je obravnavala </w:t>
      </w:r>
      <w:r w:rsidR="529DD30A" w:rsidRPr="7E32E97F">
        <w:rPr>
          <w:rFonts w:eastAsia="Calibri" w:cs="Arial"/>
        </w:rPr>
        <w:t>s</w:t>
      </w:r>
      <w:r w:rsidR="74D1556F" w:rsidRPr="000C4A26">
        <w:rPr>
          <w:rFonts w:eastAsia="Calibri" w:cs="Arial"/>
        </w:rPr>
        <w:t>emantičn</w:t>
      </w:r>
      <w:r w:rsidR="5C46DF74" w:rsidRPr="7E32E97F">
        <w:rPr>
          <w:rFonts w:eastAsia="Calibri" w:cs="Arial"/>
        </w:rPr>
        <w:t>o</w:t>
      </w:r>
      <w:r w:rsidR="74D1556F" w:rsidRPr="000C4A26">
        <w:rPr>
          <w:rFonts w:eastAsia="Calibri" w:cs="Arial"/>
        </w:rPr>
        <w:t xml:space="preserve"> analiz</w:t>
      </w:r>
      <w:r w:rsidR="431CD0C1" w:rsidRPr="7E32E97F">
        <w:rPr>
          <w:rFonts w:eastAsia="Calibri" w:cs="Arial"/>
        </w:rPr>
        <w:t>o</w:t>
      </w:r>
      <w:r w:rsidR="74D1556F" w:rsidRPr="000C4A26">
        <w:rPr>
          <w:rFonts w:eastAsia="Calibri" w:cs="Arial"/>
        </w:rPr>
        <w:t xml:space="preserve"> raziskovalno-razvojnih in inovacijskih (RRI) dosežkov na prednostnih področjih S5</w:t>
      </w:r>
      <w:r w:rsidR="2A3A833D" w:rsidRPr="7E32E97F">
        <w:rPr>
          <w:rFonts w:eastAsia="Calibri" w:cs="Arial"/>
        </w:rPr>
        <w:t>. Le-to</w:t>
      </w:r>
      <w:r w:rsidR="74D1556F" w:rsidRPr="000C4A26">
        <w:rPr>
          <w:rFonts w:eastAsia="Calibri" w:cs="Arial"/>
        </w:rPr>
        <w:t xml:space="preserve"> </w:t>
      </w:r>
      <w:r w:rsidR="11077A23" w:rsidRPr="7E32E97F">
        <w:rPr>
          <w:rFonts w:eastAsia="Calibri" w:cs="Arial"/>
        </w:rPr>
        <w:t xml:space="preserve">je predstavil izvajalec semantične analize (Siris Academic Barcelona). </w:t>
      </w:r>
      <w:r w:rsidR="43AF026D" w:rsidRPr="7E32E97F">
        <w:rPr>
          <w:rFonts w:eastAsia="Calibri" w:cs="Arial"/>
        </w:rPr>
        <w:t>U</w:t>
      </w:r>
      <w:r w:rsidR="74D1556F" w:rsidRPr="000C4A26">
        <w:rPr>
          <w:rFonts w:eastAsia="Calibri" w:cs="Arial"/>
        </w:rPr>
        <w:t>gotovitve</w:t>
      </w:r>
      <w:r w:rsidR="161FEDBF" w:rsidRPr="7E32E97F">
        <w:rPr>
          <w:rFonts w:eastAsia="Calibri" w:cs="Arial"/>
        </w:rPr>
        <w:t xml:space="preserve"> iz analize </w:t>
      </w:r>
      <w:r w:rsidR="74D1556F" w:rsidRPr="000C4A26">
        <w:rPr>
          <w:rFonts w:eastAsia="Calibri" w:cs="Arial"/>
        </w:rPr>
        <w:t xml:space="preserve">so </w:t>
      </w:r>
      <w:r w:rsidR="1321B6A9" w:rsidRPr="7E32E97F">
        <w:rPr>
          <w:rFonts w:eastAsia="Calibri" w:cs="Arial"/>
        </w:rPr>
        <w:t xml:space="preserve">ena izmed podlag </w:t>
      </w:r>
      <w:r w:rsidR="74D1556F" w:rsidRPr="000C4A26">
        <w:rPr>
          <w:rFonts w:eastAsia="Calibri" w:cs="Arial"/>
        </w:rPr>
        <w:t xml:space="preserve">za preoblikovanje prednostnih področij S5. </w:t>
      </w:r>
      <w:r w:rsidR="211DE4B5" w:rsidRPr="7E32E97F">
        <w:rPr>
          <w:rFonts w:eastAsia="Calibri" w:cs="Arial"/>
        </w:rPr>
        <w:t>V</w:t>
      </w:r>
      <w:r w:rsidR="74D1556F" w:rsidRPr="000C4A26">
        <w:rPr>
          <w:rFonts w:eastAsia="Calibri" w:cs="Arial"/>
        </w:rPr>
        <w:t xml:space="preserve"> okviru analize </w:t>
      </w:r>
      <w:r w:rsidR="070D90B1" w:rsidRPr="7E32E97F">
        <w:rPr>
          <w:rFonts w:eastAsia="Calibri" w:cs="Arial"/>
        </w:rPr>
        <w:t xml:space="preserve">je bil </w:t>
      </w:r>
      <w:r w:rsidR="74D1556F" w:rsidRPr="000C4A26">
        <w:rPr>
          <w:rFonts w:eastAsia="Calibri" w:cs="Arial"/>
        </w:rPr>
        <w:t xml:space="preserve">sistematično obdelan obsežen korpus več kot 100.000 dokumentov – vključno z znanstvenimi publikacijami, patenti ter evropskimi in kohezijskimi projekti (Horizon, Interreg, ESRR). Z uporabo metod globokega učenja, umetne inteligence (UI) in velikih jezikovnih modelov (LLM) so bile vsebine tematsko razvrščene v deset prednostnih področij S5. </w:t>
      </w:r>
    </w:p>
    <w:p w14:paraId="3AB85E1A" w14:textId="64FF2997" w:rsidR="5DEFD55E" w:rsidRDefault="5DEFD55E" w:rsidP="5DEFD55E">
      <w:pPr>
        <w:spacing w:after="0" w:line="276" w:lineRule="auto"/>
        <w:jc w:val="both"/>
        <w:rPr>
          <w:rFonts w:eastAsia="Calibri" w:cs="Arial"/>
        </w:rPr>
      </w:pPr>
    </w:p>
    <w:p w14:paraId="6455DA14" w14:textId="77777777" w:rsidR="00A2111E" w:rsidRDefault="00A2111E" w:rsidP="5DEFD55E">
      <w:pPr>
        <w:spacing w:after="0" w:line="276" w:lineRule="auto"/>
        <w:jc w:val="both"/>
        <w:rPr>
          <w:rFonts w:eastAsia="Calibri" w:cs="Arial"/>
        </w:rPr>
      </w:pPr>
    </w:p>
    <w:p w14:paraId="50BC0A8C" w14:textId="4D0B3A3D" w:rsidR="031955BC" w:rsidRPr="000C4A26" w:rsidRDefault="74D1556F" w:rsidP="000C4A26">
      <w:pPr>
        <w:spacing w:after="0" w:line="276" w:lineRule="auto"/>
        <w:jc w:val="both"/>
        <w:rPr>
          <w:rFonts w:eastAsia="Calibri" w:cs="Arial"/>
        </w:rPr>
      </w:pPr>
      <w:r w:rsidRPr="000C4A26">
        <w:rPr>
          <w:rFonts w:eastAsia="Calibri" w:cs="Arial"/>
        </w:rPr>
        <w:t xml:space="preserve">Kot glavna priporočila je </w:t>
      </w:r>
      <w:r w:rsidR="4B2F9F3B" w:rsidRPr="7E32E97F">
        <w:rPr>
          <w:rFonts w:eastAsia="Calibri" w:cs="Arial"/>
        </w:rPr>
        <w:t>v analizi izpostavljeno</w:t>
      </w:r>
      <w:r w:rsidRPr="000C4A26">
        <w:rPr>
          <w:rFonts w:eastAsia="Calibri" w:cs="Arial"/>
        </w:rPr>
        <w:t>:</w:t>
      </w:r>
    </w:p>
    <w:p w14:paraId="7D3DD60F" w14:textId="705DEDE4" w:rsidR="031955BC" w:rsidRPr="000C4A26" w:rsidRDefault="74D1556F" w:rsidP="000C4A26">
      <w:pPr>
        <w:pStyle w:val="Odstavekseznama"/>
        <w:numPr>
          <w:ilvl w:val="0"/>
          <w:numId w:val="7"/>
        </w:numPr>
        <w:spacing w:after="0" w:line="276" w:lineRule="auto"/>
        <w:jc w:val="both"/>
        <w:rPr>
          <w:rFonts w:eastAsia="Calibri" w:cs="Arial"/>
          <w:lang w:val="pl"/>
        </w:rPr>
      </w:pPr>
      <w:r w:rsidRPr="000C4A26">
        <w:rPr>
          <w:rFonts w:eastAsia="Calibri" w:cs="Arial"/>
        </w:rPr>
        <w:t>reorganizacija prednostnih področij S5 da, vendar ne z velikimi spremembami,</w:t>
      </w:r>
      <w:r w:rsidR="703984B6" w:rsidRPr="7E32E97F">
        <w:rPr>
          <w:rFonts w:eastAsia="Calibri" w:cs="Arial"/>
        </w:rPr>
        <w:t xml:space="preserve"> </w:t>
      </w:r>
      <w:r w:rsidR="703984B6" w:rsidRPr="7E32E97F">
        <w:rPr>
          <w:rFonts w:eastAsia="Arial" w:cs="Arial"/>
        </w:rPr>
        <w:t>saj vsa prednostna pod</w:t>
      </w:r>
      <w:r w:rsidR="00F72FC8">
        <w:rPr>
          <w:rFonts w:eastAsia="Arial" w:cs="Arial"/>
        </w:rPr>
        <w:t>r</w:t>
      </w:r>
      <w:r w:rsidR="703984B6" w:rsidRPr="7E32E97F">
        <w:rPr>
          <w:rFonts w:eastAsia="Arial" w:cs="Arial"/>
        </w:rPr>
        <w:t>očja izkazujejo stabilnost in so strokovno utemeljena</w:t>
      </w:r>
      <w:r w:rsidR="00DA2640">
        <w:rPr>
          <w:rFonts w:eastAsia="Arial" w:cs="Arial"/>
        </w:rPr>
        <w:t>,</w:t>
      </w:r>
      <w:r w:rsidRPr="000C4A26">
        <w:rPr>
          <w:rFonts w:eastAsia="Calibri" w:cs="Arial"/>
        </w:rPr>
        <w:t xml:space="preserve"> </w:t>
      </w:r>
    </w:p>
    <w:p w14:paraId="43C30D74" w14:textId="79ED0DEE" w:rsidR="031955BC" w:rsidRPr="000C4A26" w:rsidRDefault="74D1556F" w:rsidP="000C4A26">
      <w:pPr>
        <w:pStyle w:val="Odstavekseznama"/>
        <w:numPr>
          <w:ilvl w:val="0"/>
          <w:numId w:val="7"/>
        </w:numPr>
        <w:spacing w:after="0" w:line="276" w:lineRule="auto"/>
        <w:jc w:val="both"/>
        <w:rPr>
          <w:rFonts w:eastAsia="Calibri" w:cs="Arial"/>
        </w:rPr>
      </w:pPr>
      <w:r w:rsidRPr="000C4A26">
        <w:rPr>
          <w:rFonts w:eastAsia="Calibri" w:cs="Arial"/>
        </w:rPr>
        <w:t>vzdrževati in še okrepiti sodelovanje med znanostjo in gospodarstvom (SRIP-i),</w:t>
      </w:r>
    </w:p>
    <w:p w14:paraId="2DC1A5F1" w14:textId="5A9F7917" w:rsidR="031955BC" w:rsidRPr="000C4A26" w:rsidRDefault="74D1556F" w:rsidP="000C4A26">
      <w:pPr>
        <w:pStyle w:val="Odstavekseznama"/>
        <w:numPr>
          <w:ilvl w:val="0"/>
          <w:numId w:val="7"/>
        </w:numPr>
        <w:spacing w:after="0" w:line="276" w:lineRule="auto"/>
        <w:jc w:val="both"/>
        <w:rPr>
          <w:rFonts w:eastAsia="Calibri" w:cs="Arial"/>
          <w:lang w:val="pt-PT"/>
        </w:rPr>
      </w:pPr>
      <w:r w:rsidRPr="000C4A26">
        <w:rPr>
          <w:rFonts w:eastAsia="Calibri" w:cs="Arial"/>
        </w:rPr>
        <w:t>spodbujati prenos tehnologij in povečati financiranje le-tega,</w:t>
      </w:r>
    </w:p>
    <w:p w14:paraId="20EC01FB" w14:textId="61AFA87F" w:rsidR="031955BC" w:rsidRDefault="74D1556F" w:rsidP="000C4A26">
      <w:pPr>
        <w:pStyle w:val="Odstavekseznama"/>
        <w:numPr>
          <w:ilvl w:val="0"/>
          <w:numId w:val="7"/>
        </w:numPr>
        <w:spacing w:after="0" w:line="276" w:lineRule="auto"/>
        <w:jc w:val="both"/>
        <w:rPr>
          <w:rFonts w:eastAsia="Calibri" w:cs="Arial"/>
        </w:rPr>
      </w:pPr>
      <w:r w:rsidRPr="000C4A26">
        <w:rPr>
          <w:rFonts w:eastAsia="Calibri" w:cs="Arial"/>
        </w:rPr>
        <w:t>podpirati tako ukrepe od zgoraj (policy) kot ukrepe skozi EDP (od spodaj)</w:t>
      </w:r>
      <w:r w:rsidR="00DA2640">
        <w:rPr>
          <w:rFonts w:eastAsia="Calibri" w:cs="Arial"/>
        </w:rPr>
        <w:t>.</w:t>
      </w:r>
    </w:p>
    <w:p w14:paraId="2A44A89E" w14:textId="07A8AAFA" w:rsidR="5DEFD55E" w:rsidRDefault="5DEFD55E" w:rsidP="5DEFD55E">
      <w:pPr>
        <w:spacing w:after="0" w:line="276" w:lineRule="auto"/>
        <w:jc w:val="both"/>
        <w:rPr>
          <w:rFonts w:eastAsia="Calibri" w:cs="Arial"/>
        </w:rPr>
      </w:pPr>
    </w:p>
    <w:p w14:paraId="25E4652B" w14:textId="05719721" w:rsidR="2E0276FD" w:rsidRPr="000C4A26" w:rsidRDefault="344C40F3" w:rsidP="000C4A26">
      <w:pPr>
        <w:spacing w:after="0" w:line="276" w:lineRule="auto"/>
        <w:jc w:val="both"/>
        <w:rPr>
          <w:rFonts w:eastAsia="Calibri" w:cs="Arial"/>
        </w:rPr>
      </w:pPr>
      <w:r w:rsidRPr="7E32E97F">
        <w:rPr>
          <w:rFonts w:eastAsia="Calibri" w:cs="Arial"/>
        </w:rPr>
        <w:t>V razpravi je bilo n</w:t>
      </w:r>
      <w:r w:rsidR="74D1556F" w:rsidRPr="000C4A26">
        <w:rPr>
          <w:rFonts w:eastAsia="Calibri" w:cs="Arial"/>
        </w:rPr>
        <w:t>ajveč časa posvečeno možnemu preoblikovanju prednostnih področij S5 in s tem naslavljanj</w:t>
      </w:r>
      <w:r w:rsidR="3E920386" w:rsidRPr="7E32E97F">
        <w:rPr>
          <w:rFonts w:eastAsia="Calibri" w:cs="Arial"/>
        </w:rPr>
        <w:t>u</w:t>
      </w:r>
      <w:r w:rsidR="74D1556F" w:rsidRPr="000C4A26">
        <w:rPr>
          <w:rFonts w:eastAsia="Calibri" w:cs="Arial"/>
        </w:rPr>
        <w:t xml:space="preserve"> problema nadaljevanja podpore obstoječim SRIP-om zaradi izteka desetletne sheme državnih pomoči in pri tem ne izgubiti generirano znanje, kadre in partnerstva, ki so jih SRIP-i uspeli ustvariti od leta 2016 dalje.</w:t>
      </w:r>
    </w:p>
    <w:p w14:paraId="23CE5180" w14:textId="4A0F867B" w:rsidR="5DEFD55E" w:rsidRDefault="5DEFD55E" w:rsidP="5DEFD55E">
      <w:pPr>
        <w:spacing w:after="0" w:line="276" w:lineRule="auto"/>
        <w:jc w:val="both"/>
        <w:rPr>
          <w:rFonts w:eastAsia="Calibri" w:cs="Arial"/>
        </w:rPr>
      </w:pPr>
    </w:p>
    <w:p w14:paraId="7C678E6A" w14:textId="601E359E" w:rsidR="512C270B" w:rsidRDefault="2658F1BD" w:rsidP="000C4A26">
      <w:pPr>
        <w:spacing w:after="0" w:line="276" w:lineRule="auto"/>
        <w:jc w:val="both"/>
        <w:rPr>
          <w:rFonts w:eastAsia="Calibri" w:cs="Arial"/>
        </w:rPr>
      </w:pPr>
      <w:r w:rsidRPr="7E32E97F">
        <w:rPr>
          <w:rFonts w:eastAsia="Calibri" w:cs="Arial"/>
        </w:rPr>
        <w:t xml:space="preserve">Na </w:t>
      </w:r>
      <w:r w:rsidR="74D1556F" w:rsidRPr="000C4A26">
        <w:rPr>
          <w:rFonts w:eastAsia="Calibri" w:cs="Arial"/>
        </w:rPr>
        <w:t>sej</w:t>
      </w:r>
      <w:r w:rsidR="450B6ED0" w:rsidRPr="7E32E97F">
        <w:rPr>
          <w:rFonts w:eastAsia="Calibri" w:cs="Arial"/>
        </w:rPr>
        <w:t>i</w:t>
      </w:r>
      <w:r w:rsidR="74D1556F" w:rsidRPr="000C4A26">
        <w:rPr>
          <w:rFonts w:eastAsia="Calibri" w:cs="Arial"/>
        </w:rPr>
        <w:t xml:space="preserve"> je bila predstavljena </w:t>
      </w:r>
      <w:r w:rsidR="10FEB897" w:rsidRPr="7E32E97F">
        <w:rPr>
          <w:rFonts w:eastAsia="Calibri" w:cs="Arial"/>
        </w:rPr>
        <w:t xml:space="preserve">tudi </w:t>
      </w:r>
      <w:r w:rsidR="74D1556F" w:rsidRPr="000C4A26">
        <w:rPr>
          <w:rFonts w:eastAsia="Calibri" w:cs="Arial"/>
        </w:rPr>
        <w:t>okvirna časovnica dogodkov za preoblikovanje prednostnih področij S5. Resorji so izpostavili potrebo po dostopu do baze podatkov Semantične analize raziskovalno-razvojnih in inovacijskih (RRI) dosežkov na prednostnih področjih S5. Dostop je bil omogočen vsem, ki so za to zaprosili.</w:t>
      </w:r>
    </w:p>
    <w:p w14:paraId="4556E856" w14:textId="3D22DD6E" w:rsidR="5DEFD55E" w:rsidRPr="00F23536" w:rsidRDefault="5DEFD55E" w:rsidP="5DEFD55E">
      <w:pPr>
        <w:spacing w:after="0" w:line="276" w:lineRule="auto"/>
        <w:jc w:val="both"/>
        <w:rPr>
          <w:rFonts w:eastAsia="Calibri" w:cs="Arial"/>
        </w:rPr>
      </w:pPr>
    </w:p>
    <w:p w14:paraId="1A3F18BB" w14:textId="5CEA8CA3" w:rsidR="52E6A782" w:rsidRPr="00F23536" w:rsidRDefault="4548B6DF" w:rsidP="000C4A26">
      <w:pPr>
        <w:spacing w:after="0" w:line="276" w:lineRule="auto"/>
        <w:jc w:val="both"/>
        <w:rPr>
          <w:rFonts w:eastAsia="Calibri" w:cs="Arial"/>
        </w:rPr>
      </w:pPr>
      <w:r w:rsidRPr="001650A8">
        <w:rPr>
          <w:rFonts w:eastAsia="Calibri" w:cs="Arial"/>
          <w:color w:val="000000" w:themeColor="text1"/>
        </w:rPr>
        <w:t>P</w:t>
      </w:r>
      <w:r w:rsidRPr="00F23536">
        <w:rPr>
          <w:rFonts w:eastAsia="Calibri" w:cs="Arial"/>
        </w:rPr>
        <w:t>regled dodeljenih pristopov po resorjih:</w:t>
      </w:r>
    </w:p>
    <w:p w14:paraId="5D0EF439" w14:textId="3B15BB97" w:rsidR="52E6A782" w:rsidRPr="00F23536" w:rsidRDefault="4548B6DF" w:rsidP="000C4A26">
      <w:pPr>
        <w:spacing w:after="0" w:line="276" w:lineRule="auto"/>
        <w:jc w:val="both"/>
        <w:rPr>
          <w:rFonts w:eastAsia="Calibri" w:cs="Arial"/>
        </w:rPr>
      </w:pPr>
      <w:r w:rsidRPr="00F23536">
        <w:rPr>
          <w:rFonts w:eastAsia="Calibri" w:cs="Arial"/>
        </w:rPr>
        <w:t>MKRR – 10 dostopov</w:t>
      </w:r>
    </w:p>
    <w:p w14:paraId="111B73E8" w14:textId="24104AA3" w:rsidR="52E6A782" w:rsidRPr="00F23536" w:rsidRDefault="4548B6DF" w:rsidP="000C4A26">
      <w:pPr>
        <w:spacing w:after="0" w:line="276" w:lineRule="auto"/>
        <w:jc w:val="both"/>
        <w:rPr>
          <w:rFonts w:eastAsia="Calibri" w:cs="Arial"/>
        </w:rPr>
      </w:pPr>
      <w:r w:rsidRPr="00F23536">
        <w:rPr>
          <w:rFonts w:eastAsia="Calibri" w:cs="Arial"/>
        </w:rPr>
        <w:t>MGTŠ – 4 dostope</w:t>
      </w:r>
    </w:p>
    <w:p w14:paraId="14875DB4" w14:textId="6346E46A" w:rsidR="52E6A782" w:rsidRPr="00F23536" w:rsidRDefault="4548B6DF" w:rsidP="000C4A26">
      <w:pPr>
        <w:spacing w:after="0" w:line="276" w:lineRule="auto"/>
        <w:jc w:val="both"/>
        <w:rPr>
          <w:rFonts w:eastAsia="Calibri" w:cs="Arial"/>
        </w:rPr>
      </w:pPr>
      <w:r w:rsidRPr="00F23536">
        <w:rPr>
          <w:rFonts w:eastAsia="Calibri" w:cs="Arial"/>
        </w:rPr>
        <w:t>MF – 2 dostopa</w:t>
      </w:r>
    </w:p>
    <w:p w14:paraId="24506C84" w14:textId="74056A2B" w:rsidR="52E6A782" w:rsidRPr="00F23536" w:rsidRDefault="4548B6DF" w:rsidP="000C4A26">
      <w:pPr>
        <w:spacing w:after="0" w:line="276" w:lineRule="auto"/>
        <w:jc w:val="both"/>
        <w:rPr>
          <w:rFonts w:eastAsia="Calibri" w:cs="Arial"/>
        </w:rPr>
      </w:pPr>
      <w:r w:rsidRPr="00F23536">
        <w:rPr>
          <w:rFonts w:eastAsia="Calibri" w:cs="Arial"/>
        </w:rPr>
        <w:t>MVZI – 5 dostopov</w:t>
      </w:r>
    </w:p>
    <w:p w14:paraId="3D48C663" w14:textId="208A0769" w:rsidR="52E6A782" w:rsidRPr="00F23536" w:rsidRDefault="4548B6DF" w:rsidP="000C4A26">
      <w:pPr>
        <w:spacing w:after="0" w:line="276" w:lineRule="auto"/>
        <w:jc w:val="both"/>
        <w:rPr>
          <w:rFonts w:eastAsia="Calibri" w:cs="Arial"/>
        </w:rPr>
      </w:pPr>
      <w:r w:rsidRPr="00F23536">
        <w:rPr>
          <w:rFonts w:eastAsia="Calibri" w:cs="Arial"/>
        </w:rPr>
        <w:t>MDP – 2 dostopa</w:t>
      </w:r>
    </w:p>
    <w:p w14:paraId="6658AC05" w14:textId="7E20C991" w:rsidR="52E6A782" w:rsidRPr="00F23536" w:rsidRDefault="4548B6DF" w:rsidP="000C4A26">
      <w:pPr>
        <w:spacing w:after="0" w:line="276" w:lineRule="auto"/>
        <w:jc w:val="both"/>
        <w:rPr>
          <w:rFonts w:eastAsia="Calibri" w:cs="Arial"/>
        </w:rPr>
      </w:pPr>
      <w:r w:rsidRPr="00F23536">
        <w:rPr>
          <w:rFonts w:eastAsia="Calibri" w:cs="Arial"/>
        </w:rPr>
        <w:t>MDDSZ – 2 dostopa</w:t>
      </w:r>
    </w:p>
    <w:p w14:paraId="0985A6E1" w14:textId="794CDA2C" w:rsidR="52E6A782" w:rsidRPr="00F23536" w:rsidRDefault="4548B6DF" w:rsidP="000C4A26">
      <w:pPr>
        <w:spacing w:after="0" w:line="276" w:lineRule="auto"/>
        <w:jc w:val="both"/>
        <w:rPr>
          <w:rFonts w:eastAsia="Calibri" w:cs="Arial"/>
        </w:rPr>
      </w:pPr>
      <w:r w:rsidRPr="00F23536">
        <w:rPr>
          <w:rFonts w:eastAsia="Calibri" w:cs="Arial"/>
        </w:rPr>
        <w:t>MOPE – 2 dostopa</w:t>
      </w:r>
    </w:p>
    <w:p w14:paraId="6990649D" w14:textId="4C540698" w:rsidR="52E6A782" w:rsidRPr="00F23536" w:rsidRDefault="4548B6DF" w:rsidP="000C4A26">
      <w:pPr>
        <w:spacing w:after="0" w:line="276" w:lineRule="auto"/>
        <w:jc w:val="both"/>
        <w:rPr>
          <w:rFonts w:eastAsia="Calibri" w:cs="Arial"/>
        </w:rPr>
      </w:pPr>
      <w:r w:rsidRPr="00F23536">
        <w:rPr>
          <w:rFonts w:eastAsia="Calibri" w:cs="Arial"/>
        </w:rPr>
        <w:t>MVI – 2 dostopa</w:t>
      </w:r>
    </w:p>
    <w:p w14:paraId="38C8BAE9" w14:textId="3FAC91D8" w:rsidR="52E6A782" w:rsidRPr="000C4A26" w:rsidRDefault="4548B6DF" w:rsidP="000C4A26">
      <w:pPr>
        <w:spacing w:after="0" w:line="276" w:lineRule="auto"/>
        <w:jc w:val="both"/>
        <w:rPr>
          <w:rFonts w:eastAsia="Calibri" w:cs="Arial"/>
        </w:rPr>
      </w:pPr>
      <w:r w:rsidRPr="000C4A26">
        <w:rPr>
          <w:rFonts w:eastAsia="Calibri" w:cs="Arial"/>
        </w:rPr>
        <w:t>MZEZ – 4 dostope</w:t>
      </w:r>
    </w:p>
    <w:p w14:paraId="322B5DB2" w14:textId="0E637090" w:rsidR="52E6A782" w:rsidRPr="000C4A26" w:rsidRDefault="4548B6DF" w:rsidP="000C4A26">
      <w:pPr>
        <w:spacing w:after="0" w:line="276" w:lineRule="auto"/>
        <w:jc w:val="both"/>
        <w:rPr>
          <w:rFonts w:eastAsia="Calibri" w:cs="Arial"/>
        </w:rPr>
      </w:pPr>
      <w:r w:rsidRPr="000C4A26">
        <w:rPr>
          <w:rFonts w:eastAsia="Calibri" w:cs="Arial"/>
        </w:rPr>
        <w:t>MSP – 1 dostop</w:t>
      </w:r>
    </w:p>
    <w:p w14:paraId="0F6DCEE3" w14:textId="01441F58" w:rsidR="5DEFD55E" w:rsidRDefault="5DEFD55E" w:rsidP="5DEFD55E">
      <w:pPr>
        <w:spacing w:after="0" w:line="276" w:lineRule="auto"/>
        <w:jc w:val="both"/>
        <w:rPr>
          <w:rFonts w:eastAsia="Calibri" w:cs="Arial"/>
        </w:rPr>
      </w:pPr>
    </w:p>
    <w:p w14:paraId="7E3F95AD" w14:textId="490B8D85" w:rsidR="05C011F9" w:rsidRDefault="30058D93" w:rsidP="000C4A26">
      <w:pPr>
        <w:spacing w:after="0" w:line="276" w:lineRule="auto"/>
        <w:jc w:val="both"/>
        <w:rPr>
          <w:rFonts w:eastAsia="Calibri" w:cs="Arial"/>
          <w:color w:val="000000" w:themeColor="text1"/>
        </w:rPr>
      </w:pPr>
      <w:r w:rsidRPr="7E32E97F">
        <w:rPr>
          <w:rFonts w:eastAsia="Calibri" w:cs="Arial"/>
          <w:color w:val="000000" w:themeColor="text1"/>
        </w:rPr>
        <w:t xml:space="preserve">V skladu s poslovnikom o delu DSV S5 in vladnim sklepom številka 02401-15/2023/5 o ustanovitvi DSV S5 se enkrat letno pripravi poročilo o delu vladne delovne skupine. Poročilo je pripravljeno. </w:t>
      </w:r>
      <w:r w:rsidRPr="7E32E97F">
        <w:rPr>
          <w:rFonts w:eastAsia="Calibri" w:cs="Arial"/>
          <w:color w:val="000000" w:themeColor="text1"/>
        </w:rPr>
        <w:lastRenderedPageBreak/>
        <w:t>Obravnavano</w:t>
      </w:r>
      <w:r w:rsidR="3B9968E6" w:rsidRPr="7E32E97F">
        <w:rPr>
          <w:rFonts w:eastAsia="Calibri" w:cs="Arial"/>
          <w:color w:val="000000" w:themeColor="text1"/>
        </w:rPr>
        <w:t xml:space="preserve"> in odobreno </w:t>
      </w:r>
      <w:r w:rsidRPr="7E32E97F">
        <w:rPr>
          <w:rFonts w:eastAsia="Calibri" w:cs="Arial"/>
          <w:color w:val="000000" w:themeColor="text1"/>
        </w:rPr>
        <w:t xml:space="preserve">je bilo na </w:t>
      </w:r>
      <w:r w:rsidR="00AA2FF7" w:rsidRPr="7E32E97F">
        <w:rPr>
          <w:rFonts w:eastAsia="Calibri" w:cs="Arial"/>
          <w:color w:val="000000" w:themeColor="text1"/>
        </w:rPr>
        <w:t xml:space="preserve">7.redni seji DSV S5 </w:t>
      </w:r>
      <w:r w:rsidR="70162D9B" w:rsidRPr="7E32E97F">
        <w:rPr>
          <w:rFonts w:eastAsia="Calibri" w:cs="Arial"/>
          <w:color w:val="000000" w:themeColor="text1"/>
        </w:rPr>
        <w:t>in je priloga vladnemu gradivu zaradi seznanitve vlade RS z delom te delovne skupine.</w:t>
      </w:r>
    </w:p>
    <w:p w14:paraId="1CE1C675" w14:textId="77777777" w:rsidR="00B45305" w:rsidRDefault="00B45305" w:rsidP="000C4A26">
      <w:pPr>
        <w:spacing w:after="0" w:line="276" w:lineRule="auto"/>
        <w:jc w:val="both"/>
        <w:rPr>
          <w:rFonts w:eastAsia="Calibri" w:cs="Arial"/>
          <w:color w:val="000000" w:themeColor="text1"/>
        </w:rPr>
      </w:pPr>
    </w:p>
    <w:p w14:paraId="5D8BF0D1" w14:textId="77777777" w:rsidR="00432853" w:rsidRPr="0025033E" w:rsidRDefault="131639DE" w:rsidP="7E32E97F">
      <w:pPr>
        <w:pStyle w:val="Naslov3"/>
      </w:pPr>
      <w:bookmarkStart w:id="268" w:name="_Toc219974419"/>
      <w:r>
        <w:t xml:space="preserve">Proces </w:t>
      </w:r>
      <w:r w:rsidRPr="7E32E97F">
        <w:rPr>
          <w:rFonts w:eastAsia="Calibri"/>
        </w:rPr>
        <w:t>podjetniškega</w:t>
      </w:r>
      <w:r>
        <w:t xml:space="preserve"> odkrivanja</w:t>
      </w:r>
      <w:bookmarkEnd w:id="268"/>
    </w:p>
    <w:p w14:paraId="5CA2602F" w14:textId="77777777" w:rsidR="00432853" w:rsidRPr="0025033E" w:rsidRDefault="00432853" w:rsidP="7E32E97F">
      <w:pPr>
        <w:autoSpaceDN/>
        <w:spacing w:after="0" w:line="276" w:lineRule="auto"/>
        <w:jc w:val="both"/>
        <w:rPr>
          <w:rFonts w:eastAsia="Calibri" w:cs="Arial"/>
        </w:rPr>
      </w:pPr>
    </w:p>
    <w:p w14:paraId="5C50D83E" w14:textId="222A1388" w:rsidR="00432853" w:rsidRPr="0025033E" w:rsidRDefault="131639DE" w:rsidP="7E32E97F">
      <w:pPr>
        <w:autoSpaceDN/>
        <w:spacing w:after="0" w:line="276" w:lineRule="auto"/>
        <w:jc w:val="both"/>
        <w:rPr>
          <w:rFonts w:eastAsia="Calibri" w:cs="Arial"/>
        </w:rPr>
      </w:pPr>
      <w:r w:rsidRPr="7E32E97F">
        <w:rPr>
          <w:rFonts w:eastAsia="Calibri" w:cs="Arial"/>
        </w:rPr>
        <w:t xml:space="preserve">Gonilni proces priprave Strategij pametne specializacije je proces podjetniškega odkrivanja (angl. entrepreneurial discovery process - EDP), ki je splošno pojmovan kot vključujoč, na dokazih temelječ proces zainteresiranih strani, ki omogoča pridobivanje informacij o potencialu za nove dejavnosti in s tem učinkovito usmerjanje raziskav in inovacijske politike. Proces podjetniškega odkrivanja mora biti neprekinjen proces, ki se začne z začetnim ugotavljanjem prednostnih nalog strategije pametne specializacije in razširitvijo sodelovanja zainteresiranih strani pri izvajanju strategije pametne specializacije. V ta namen je uvedena tudi poseben elektronski naslov </w:t>
      </w:r>
      <w:hyperlink r:id="rId26">
        <w:r w:rsidRPr="7E32E97F">
          <w:rPr>
            <w:rFonts w:eastAsia="Calibri" w:cs="Arial"/>
            <w:color w:val="0000FF"/>
            <w:u w:val="single"/>
          </w:rPr>
          <w:t>s5.mkrr@gov.si</w:t>
        </w:r>
      </w:hyperlink>
      <w:r w:rsidRPr="7E32E97F">
        <w:rPr>
          <w:rFonts w:eastAsia="Calibri" w:cs="Arial"/>
        </w:rPr>
        <w:t>, kamor lahko deležniki posredujejo predloge, razmisleke, usmeritve, vprašanja, kritike, pohvale. Na ta način se ohranja kontinuirana komunikacija z deležniki peterne vijačnice in omogoča tudi neprestan</w:t>
      </w:r>
      <w:r w:rsidR="001F760A">
        <w:rPr>
          <w:rFonts w:eastAsia="Calibri" w:cs="Arial"/>
        </w:rPr>
        <w:t>.</w:t>
      </w:r>
      <w:r w:rsidRPr="7E32E97F">
        <w:rPr>
          <w:rFonts w:eastAsia="Calibri" w:cs="Arial"/>
        </w:rPr>
        <w:t>a proces podjetniškega odkrivanja.</w:t>
      </w:r>
    </w:p>
    <w:p w14:paraId="2484B551" w14:textId="77777777" w:rsidR="00432853" w:rsidRPr="0025033E" w:rsidRDefault="00432853" w:rsidP="7E32E97F">
      <w:pPr>
        <w:autoSpaceDN/>
        <w:spacing w:after="0" w:line="276" w:lineRule="auto"/>
        <w:jc w:val="both"/>
        <w:rPr>
          <w:rFonts w:eastAsia="Calibri" w:cs="Arial"/>
        </w:rPr>
      </w:pPr>
    </w:p>
    <w:p w14:paraId="122CA265" w14:textId="31E29BD3" w:rsidR="00432853" w:rsidRPr="0025033E" w:rsidRDefault="131639DE" w:rsidP="7E32E97F">
      <w:pPr>
        <w:autoSpaceDN/>
        <w:spacing w:after="0" w:line="276" w:lineRule="auto"/>
        <w:jc w:val="both"/>
        <w:rPr>
          <w:rFonts w:eastAsia="Calibri" w:cs="Arial"/>
        </w:rPr>
      </w:pPr>
      <w:r w:rsidRPr="7E32E97F">
        <w:rPr>
          <w:rFonts w:eastAsia="Calibri" w:cs="Arial"/>
        </w:rPr>
        <w:t>Pametna specializacija - S5 vse bolj postaja mehanizem za podporo regionalnim transformacijam gospodarstev in dvojnemu prehodu ter prehodu v Industrijo 5.0. V želji po zelo fokusno usmerjenem procesu EDP je bila pomembna vzpostavitev P2P (peer-to-peer) navezave med ekipo S5 in ekipo regionalnega dela MKRR za pripravo delavnic v slovenskih razvojnih regijah. V načrtu je bila izvedba ene delavnice na razvojno regijo v sodelovanju z nosilnim partnerjem (kanalom) - RRA, Tehnološki park, občina idr</w:t>
      </w:r>
      <w:r w:rsidR="01F1102B" w:rsidRPr="7E32E97F">
        <w:rPr>
          <w:rFonts w:eastAsia="Calibri" w:cs="Arial"/>
        </w:rPr>
        <w:t>.</w:t>
      </w:r>
      <w:r w:rsidRPr="7E32E97F">
        <w:rPr>
          <w:rFonts w:eastAsia="Calibri" w:cs="Arial"/>
        </w:rPr>
        <w:t xml:space="preserve"> v 1.fazi regionalnega pristopa oziroma regionalnega EDP.</w:t>
      </w:r>
    </w:p>
    <w:p w14:paraId="555EB87C" w14:textId="77777777" w:rsidR="00432853" w:rsidRPr="0025033E" w:rsidRDefault="00432853" w:rsidP="7E32E97F">
      <w:pPr>
        <w:autoSpaceDN/>
        <w:spacing w:after="0" w:line="276" w:lineRule="auto"/>
        <w:jc w:val="both"/>
        <w:rPr>
          <w:rFonts w:eastAsia="Calibri" w:cs="Arial"/>
        </w:rPr>
      </w:pPr>
    </w:p>
    <w:p w14:paraId="2DD844F0" w14:textId="77777777" w:rsidR="00432853" w:rsidRPr="0025033E" w:rsidRDefault="131639DE" w:rsidP="7E32E97F">
      <w:pPr>
        <w:autoSpaceDN/>
        <w:spacing w:after="0" w:line="276" w:lineRule="auto"/>
        <w:jc w:val="both"/>
        <w:rPr>
          <w:rFonts w:eastAsia="Calibri" w:cs="Arial"/>
        </w:rPr>
      </w:pPr>
      <w:r w:rsidRPr="7E32E97F">
        <w:rPr>
          <w:rFonts w:eastAsia="Calibri" w:cs="Arial"/>
        </w:rPr>
        <w:t>Dolgoročni cilji, ki smo jih zasledovali je bilo ukoreninjanje S5 v regijah po načelu subsidiarnosti izvajanja politik ter aktiviranje potencialov S5 v industrijskem prehodu (dvojni prehod, Green Deal, Industrija 5.0).</w:t>
      </w:r>
    </w:p>
    <w:p w14:paraId="5CD9877F" w14:textId="77777777" w:rsidR="00432853" w:rsidRPr="0025033E" w:rsidRDefault="00432853" w:rsidP="7E32E97F">
      <w:pPr>
        <w:autoSpaceDN/>
        <w:spacing w:after="0" w:line="276" w:lineRule="auto"/>
        <w:jc w:val="both"/>
        <w:rPr>
          <w:rFonts w:eastAsia="Calibri" w:cs="Arial"/>
        </w:rPr>
      </w:pPr>
    </w:p>
    <w:p w14:paraId="20300AF3" w14:textId="77777777" w:rsidR="00432853" w:rsidRPr="0025033E" w:rsidRDefault="131639DE" w:rsidP="7E32E97F">
      <w:pPr>
        <w:autoSpaceDN/>
        <w:spacing w:after="0" w:line="276" w:lineRule="auto"/>
        <w:jc w:val="both"/>
        <w:rPr>
          <w:rFonts w:eastAsia="Calibri" w:cs="Arial"/>
        </w:rPr>
      </w:pPr>
      <w:r w:rsidRPr="7E32E97F">
        <w:rPr>
          <w:rFonts w:eastAsia="Calibri" w:cs="Arial"/>
        </w:rPr>
        <w:t xml:space="preserve">Specifični cilji, ki smo si jih zadali pa so bili: </w:t>
      </w:r>
    </w:p>
    <w:p w14:paraId="6E20D0C2" w14:textId="21AC8FE7" w:rsidR="00432853" w:rsidRPr="0025033E" w:rsidRDefault="6D148AF5" w:rsidP="7E32E97F">
      <w:pPr>
        <w:pStyle w:val="Odstavekseznama"/>
        <w:numPr>
          <w:ilvl w:val="0"/>
          <w:numId w:val="31"/>
        </w:numPr>
        <w:autoSpaceDN/>
        <w:spacing w:after="0" w:line="276" w:lineRule="auto"/>
        <w:jc w:val="both"/>
        <w:rPr>
          <w:rFonts w:eastAsia="Calibri" w:cs="Arial"/>
        </w:rPr>
      </w:pPr>
      <w:r w:rsidRPr="7E32E97F">
        <w:rPr>
          <w:rFonts w:eastAsia="Calibri" w:cs="Arial"/>
        </w:rPr>
        <w:t>p</w:t>
      </w:r>
      <w:r w:rsidR="131639DE" w:rsidRPr="7E32E97F">
        <w:rPr>
          <w:rFonts w:eastAsia="Calibri" w:cs="Arial"/>
        </w:rPr>
        <w:t>romocija S5 in povezanih ukrepov PEKP,</w:t>
      </w:r>
    </w:p>
    <w:p w14:paraId="7BF5A36D" w14:textId="77777777" w:rsidR="00432853" w:rsidRPr="0025033E" w:rsidRDefault="131639DE" w:rsidP="7E32E97F">
      <w:pPr>
        <w:pStyle w:val="Odstavekseznama"/>
        <w:numPr>
          <w:ilvl w:val="0"/>
          <w:numId w:val="31"/>
        </w:numPr>
        <w:autoSpaceDN/>
        <w:spacing w:after="0" w:line="276" w:lineRule="auto"/>
        <w:jc w:val="both"/>
        <w:rPr>
          <w:rFonts w:eastAsia="Calibri" w:cs="Arial"/>
        </w:rPr>
      </w:pPr>
      <w:r w:rsidRPr="7E32E97F">
        <w:rPr>
          <w:rFonts w:eastAsia="Calibri" w:cs="Arial"/>
        </w:rPr>
        <w:t>pridobivanje novih članov za strateška partnerstva (dodana vrednost za SRIP-e),</w:t>
      </w:r>
    </w:p>
    <w:p w14:paraId="198B7DAB" w14:textId="77777777" w:rsidR="00432853" w:rsidRPr="00757CE0" w:rsidRDefault="131639DE" w:rsidP="00C13272">
      <w:pPr>
        <w:pStyle w:val="Odstavekseznama"/>
        <w:numPr>
          <w:ilvl w:val="0"/>
          <w:numId w:val="31"/>
        </w:numPr>
        <w:autoSpaceDN/>
        <w:spacing w:after="0" w:line="276" w:lineRule="auto"/>
        <w:jc w:val="both"/>
        <w:rPr>
          <w:rFonts w:eastAsia="Calibri"/>
        </w:rPr>
      </w:pPr>
      <w:r w:rsidRPr="7E32E97F">
        <w:rPr>
          <w:rFonts w:eastAsia="Calibri" w:cs="Arial"/>
        </w:rPr>
        <w:t>spoznavanje akterjev na terenu in pridobitev neposrednih kontaktov, proces podjetniškega odkrivanja za potrebe S5 novele v Q4 2024.</w:t>
      </w:r>
    </w:p>
    <w:p w14:paraId="1760C059" w14:textId="77777777" w:rsidR="00432853" w:rsidRDefault="00432853" w:rsidP="7E32E97F">
      <w:pPr>
        <w:autoSpaceDN/>
        <w:spacing w:after="0" w:line="276" w:lineRule="auto"/>
        <w:jc w:val="both"/>
        <w:rPr>
          <w:rFonts w:eastAsia="Calibri" w:cs="Arial"/>
        </w:rPr>
      </w:pPr>
    </w:p>
    <w:p w14:paraId="216B1CCE" w14:textId="1B63C372" w:rsidR="00432853" w:rsidRDefault="131639DE" w:rsidP="5DEFD55E">
      <w:pPr>
        <w:autoSpaceDN/>
        <w:spacing w:after="0" w:line="276" w:lineRule="auto"/>
        <w:jc w:val="both"/>
        <w:rPr>
          <w:rFonts w:eastAsia="Calibri" w:cs="Arial"/>
        </w:rPr>
      </w:pPr>
      <w:r w:rsidRPr="7E32E97F">
        <w:rPr>
          <w:rFonts w:eastAsia="Calibri" w:cs="Arial"/>
        </w:rPr>
        <w:t>Prva faza regionalnega EDP je bila izvedena konec leta 2023 in v prvi polovici leta 2024, ko je bilo izvedeno 15 delavnic poglobljenih srečanj z deležniki v okviru podjetniškega odkrivanja.</w:t>
      </w:r>
      <w:r w:rsidR="65E71E26" w:rsidRPr="7E32E97F">
        <w:rPr>
          <w:rFonts w:eastAsia="Calibri" w:cs="Arial"/>
        </w:rPr>
        <w:t xml:space="preserve"> </w:t>
      </w:r>
      <w:r w:rsidRPr="7E32E97F">
        <w:rPr>
          <w:rFonts w:eastAsia="Calibri" w:cs="Arial"/>
        </w:rPr>
        <w:t>V sklopu 2. faze regionalnega EDP pa se je pristop strukturiral na izvedbo 12 študij z naslovom Študija o propulzivnih</w:t>
      </w:r>
      <w:r w:rsidR="007820B6">
        <w:rPr>
          <w:rFonts w:eastAsia="Calibri" w:cs="Arial"/>
        </w:rPr>
        <w:t xml:space="preserve"> </w:t>
      </w:r>
      <w:r w:rsidRPr="7E32E97F">
        <w:rPr>
          <w:rFonts w:eastAsia="Calibri" w:cs="Arial"/>
        </w:rPr>
        <w:t>podjetjih na prednostnih področjih S5 v razvojnih regijah. Študije so bile pripravljene oziroma koordinirane s strani 12 regionalnih razvojnih agencij. Na tej podlag</w:t>
      </w:r>
      <w:r w:rsidR="777C419C" w:rsidRPr="7E32E97F">
        <w:rPr>
          <w:rFonts w:eastAsia="Calibri" w:cs="Arial"/>
        </w:rPr>
        <w:t>i se je</w:t>
      </w:r>
      <w:r w:rsidR="1AF48264" w:rsidRPr="7E32E97F">
        <w:rPr>
          <w:rFonts w:eastAsia="Calibri" w:cs="Arial"/>
        </w:rPr>
        <w:t xml:space="preserve"> </w:t>
      </w:r>
      <w:r w:rsidR="0BA2FE23" w:rsidRPr="7E32E97F">
        <w:rPr>
          <w:rFonts w:eastAsia="Calibri" w:cs="Arial"/>
        </w:rPr>
        <w:t xml:space="preserve">v </w:t>
      </w:r>
      <w:r w:rsidRPr="7E32E97F">
        <w:rPr>
          <w:rFonts w:eastAsia="Calibri" w:cs="Arial"/>
        </w:rPr>
        <w:t>vsaki razvojni regiji</w:t>
      </w:r>
      <w:r w:rsidR="52670194" w:rsidRPr="7E32E97F">
        <w:rPr>
          <w:rFonts w:eastAsia="Calibri" w:cs="Arial"/>
        </w:rPr>
        <w:t xml:space="preserve"> izvedla še ena delavnica regionalnega EDP</w:t>
      </w:r>
      <w:r w:rsidRPr="7E32E97F">
        <w:rPr>
          <w:rFonts w:eastAsia="Calibri" w:cs="Arial"/>
        </w:rPr>
        <w:t>.</w:t>
      </w:r>
    </w:p>
    <w:p w14:paraId="253CC6EE" w14:textId="77777777" w:rsidR="00432853" w:rsidRDefault="00432853" w:rsidP="7E32E97F">
      <w:pPr>
        <w:autoSpaceDN/>
        <w:spacing w:after="0" w:line="276" w:lineRule="auto"/>
        <w:jc w:val="both"/>
        <w:rPr>
          <w:rFonts w:eastAsia="Calibri" w:cs="Arial"/>
        </w:rPr>
      </w:pPr>
    </w:p>
    <w:p w14:paraId="3C2C5161" w14:textId="77777777" w:rsidR="00071E35" w:rsidRDefault="131639DE" w:rsidP="5DEFD55E">
      <w:pPr>
        <w:autoSpaceDN/>
        <w:spacing w:after="0" w:line="276" w:lineRule="auto"/>
        <w:jc w:val="both"/>
        <w:rPr>
          <w:rFonts w:eastAsia="Calibri" w:cs="Arial"/>
        </w:rPr>
      </w:pPr>
      <w:r w:rsidRPr="7E32E97F">
        <w:rPr>
          <w:rFonts w:eastAsia="Calibri" w:cs="Arial"/>
        </w:rPr>
        <w:t>Udeležba na teh dvanajstih delavnicah je bila široka – od javnih institucij, raziskovalnih organizacij in predvsem podjetij. Predstavljene so bile ugotovitve študij za vsako posamezno razvojno regijo, v sodelovanju z nacionalno kontaktno točko za STEP je bila podrobneje prikazana Platforma STEP, predstavniki koordinatorjev SRIP-ov in člani podjetij, ki so člani SRIP-ov, pa so predstavila prednosti članstva v SRIP-ih.</w:t>
      </w:r>
    </w:p>
    <w:p w14:paraId="76A9A2CE" w14:textId="07439EF3" w:rsidR="5DEFD55E" w:rsidRDefault="5DEFD55E" w:rsidP="5DEFD55E">
      <w:pPr>
        <w:spacing w:after="0" w:line="276" w:lineRule="auto"/>
        <w:jc w:val="both"/>
        <w:rPr>
          <w:rFonts w:eastAsia="Calibri" w:cs="Arial"/>
        </w:rPr>
      </w:pPr>
    </w:p>
    <w:p w14:paraId="5FF477CF" w14:textId="3ABF3E7F" w:rsidR="3C9831FA" w:rsidRDefault="12A52C88" w:rsidP="000C4A26">
      <w:pPr>
        <w:spacing w:after="0" w:line="276" w:lineRule="auto"/>
        <w:jc w:val="both"/>
        <w:rPr>
          <w:rFonts w:eastAsia="Calibri" w:cs="Arial"/>
        </w:rPr>
      </w:pPr>
      <w:r w:rsidRPr="7E32E97F">
        <w:rPr>
          <w:rFonts w:eastAsia="Calibri" w:cs="Arial"/>
        </w:rPr>
        <w:t xml:space="preserve">Regionalni EDP se bo nadaljeval tudi v letih 2026 in 2027. V tem </w:t>
      </w:r>
      <w:r w:rsidR="51C491CF" w:rsidRPr="7E32E97F">
        <w:rPr>
          <w:rFonts w:eastAsia="Calibri" w:cs="Arial"/>
        </w:rPr>
        <w:t xml:space="preserve">okviru bodo regionalni akterji pod vodstvom RRA pripravili </w:t>
      </w:r>
      <w:r w:rsidR="67B5A0BF" w:rsidRPr="7E32E97F">
        <w:rPr>
          <w:rFonts w:eastAsia="Calibri" w:cs="Arial"/>
        </w:rPr>
        <w:t>študijo</w:t>
      </w:r>
      <w:r w:rsidR="3D54146E" w:rsidRPr="7E32E97F">
        <w:rPr>
          <w:rFonts w:eastAsia="Calibri" w:cs="Arial"/>
        </w:rPr>
        <w:t>, k</w:t>
      </w:r>
      <w:r w:rsidR="67B5A0BF" w:rsidRPr="7E32E97F">
        <w:rPr>
          <w:rFonts w:eastAsia="Calibri" w:cs="Arial"/>
        </w:rPr>
        <w:t xml:space="preserve">i bo </w:t>
      </w:r>
      <w:r w:rsidR="67B5A0BF" w:rsidRPr="000C4A26">
        <w:rPr>
          <w:rFonts w:eastAsia="Calibri" w:cs="Arial"/>
        </w:rPr>
        <w:t xml:space="preserve">Identificirala komplementarne aktivnosti podjetij izven SRIP na fokusnih področjih Slovenske strategije pametne specializacije. </w:t>
      </w:r>
      <w:r w:rsidR="51C7631C" w:rsidRPr="000C4A26">
        <w:rPr>
          <w:rFonts w:eastAsia="Calibri" w:cs="Arial"/>
        </w:rPr>
        <w:t>Namen naloge je priprava ciljno usmerjene študije ter izvedba regionalnih B2B delavnic, namenjenih prepoznavanju podjetij, ki delujejo na prednostnih in fokusnih področjih S5, vendar niso vključena v SRIP. S tem se želi preveriti potencial komplementarnosti in sodelovanja z obstoječimi člani SRIP.</w:t>
      </w:r>
    </w:p>
    <w:p w14:paraId="6BF3EDED" w14:textId="77777777" w:rsidR="00071E35" w:rsidRDefault="00071E35" w:rsidP="7E32E97F">
      <w:pPr>
        <w:autoSpaceDN/>
        <w:spacing w:after="0" w:line="276" w:lineRule="auto"/>
        <w:jc w:val="both"/>
        <w:rPr>
          <w:rFonts w:eastAsia="Calibri" w:cs="Arial"/>
        </w:rPr>
      </w:pPr>
    </w:p>
    <w:p w14:paraId="73052766" w14:textId="5561B9FC" w:rsidR="00D06B5E" w:rsidRPr="00130F16" w:rsidRDefault="01A61AC5" w:rsidP="7E32E97F">
      <w:pPr>
        <w:pStyle w:val="Naslov2"/>
        <w:spacing w:before="0"/>
      </w:pPr>
      <w:bookmarkStart w:id="269" w:name="_Toc219974420"/>
      <w:r>
        <w:lastRenderedPageBreak/>
        <w:t xml:space="preserve">PROMOCIJA </w:t>
      </w:r>
      <w:r w:rsidR="40DEE79B">
        <w:t>EKP</w:t>
      </w:r>
      <w:bookmarkEnd w:id="269"/>
      <w:r w:rsidR="40DEE79B">
        <w:t xml:space="preserve"> </w:t>
      </w:r>
    </w:p>
    <w:p w14:paraId="04FFF320" w14:textId="77777777" w:rsidR="00D928C9" w:rsidRPr="0025033E" w:rsidRDefault="00D928C9" w:rsidP="00ED5676">
      <w:pPr>
        <w:spacing w:after="0"/>
        <w:jc w:val="both"/>
        <w:rPr>
          <w:rFonts w:cs="Arial"/>
        </w:rPr>
      </w:pPr>
    </w:p>
    <w:p w14:paraId="00C2449D" w14:textId="77777777" w:rsidR="005A1BD0" w:rsidRPr="0025033E" w:rsidRDefault="2A170FA4" w:rsidP="005A1BD0">
      <w:pPr>
        <w:autoSpaceDN/>
        <w:spacing w:after="0" w:line="288" w:lineRule="auto"/>
        <w:jc w:val="both"/>
        <w:rPr>
          <w:rFonts w:cs="Arial"/>
        </w:rPr>
      </w:pPr>
      <w:r w:rsidRPr="7E32E97F">
        <w:rPr>
          <w:rFonts w:cs="Arial"/>
        </w:rPr>
        <w:t xml:space="preserve">Osrednji namen komunikacijske strategije EKP je zagotavljati obveščenost javnosti o izvajanju EKP v Sloveniji. Glavna komunikacijska orodja so: spletni portal </w:t>
      </w:r>
      <w:hyperlink r:id="rId27">
        <w:r w:rsidRPr="7E32E97F">
          <w:rPr>
            <w:rFonts w:cs="Arial"/>
            <w:color w:val="0000FF"/>
            <w:u w:val="single"/>
          </w:rPr>
          <w:t>www.evropskasredstva.si</w:t>
        </w:r>
      </w:hyperlink>
      <w:r w:rsidRPr="7E32E97F">
        <w:rPr>
          <w:rFonts w:cs="Arial"/>
        </w:rPr>
        <w:t xml:space="preserve"> ter družbena omrežja (Facebook, Instagram, LinkedIn in YouTube). </w:t>
      </w:r>
    </w:p>
    <w:p w14:paraId="37CEE6DE" w14:textId="77777777" w:rsidR="005A1BD0" w:rsidRPr="0025033E" w:rsidRDefault="005A1BD0" w:rsidP="005A1BD0">
      <w:pPr>
        <w:autoSpaceDN/>
        <w:spacing w:after="0" w:line="288" w:lineRule="auto"/>
        <w:jc w:val="both"/>
        <w:rPr>
          <w:rFonts w:cs="Arial"/>
        </w:rPr>
      </w:pPr>
    </w:p>
    <w:p w14:paraId="177BB675" w14:textId="5F8A66CD" w:rsidR="005A1BD0" w:rsidRPr="0025033E" w:rsidRDefault="2A170FA4" w:rsidP="005A1BD0">
      <w:pPr>
        <w:autoSpaceDN/>
        <w:spacing w:after="0" w:line="288" w:lineRule="auto"/>
        <w:jc w:val="both"/>
        <w:rPr>
          <w:rFonts w:cs="Arial"/>
        </w:rPr>
      </w:pPr>
      <w:r w:rsidRPr="7E32E97F">
        <w:rPr>
          <w:rFonts w:cs="Arial"/>
        </w:rPr>
        <w:t xml:space="preserve">V šestmesečnem obdobju od </w:t>
      </w:r>
      <w:r w:rsidR="4F84C245" w:rsidRPr="7E32E97F">
        <w:rPr>
          <w:rFonts w:cs="Arial"/>
        </w:rPr>
        <w:t>ju</w:t>
      </w:r>
      <w:r w:rsidR="4CA3ECC0" w:rsidRPr="7E32E97F">
        <w:rPr>
          <w:rFonts w:cs="Arial"/>
        </w:rPr>
        <w:t>l</w:t>
      </w:r>
      <w:r w:rsidR="4F84C245" w:rsidRPr="7E32E97F">
        <w:rPr>
          <w:rFonts w:cs="Arial"/>
        </w:rPr>
        <w:t xml:space="preserve">ija </w:t>
      </w:r>
      <w:r w:rsidRPr="7E32E97F">
        <w:rPr>
          <w:rFonts w:cs="Arial"/>
        </w:rPr>
        <w:t xml:space="preserve">do </w:t>
      </w:r>
      <w:r w:rsidR="6DFBF4D1" w:rsidRPr="7E32E97F">
        <w:rPr>
          <w:rFonts w:cs="Arial"/>
        </w:rPr>
        <w:t xml:space="preserve">decembra </w:t>
      </w:r>
      <w:r w:rsidRPr="7E32E97F">
        <w:rPr>
          <w:rFonts w:cs="Arial"/>
        </w:rPr>
        <w:t xml:space="preserve">2025 so </w:t>
      </w:r>
      <w:r w:rsidR="01855BA9" w:rsidRPr="7E32E97F">
        <w:rPr>
          <w:rFonts w:cs="Arial"/>
        </w:rPr>
        <w:t xml:space="preserve">bile </w:t>
      </w:r>
      <w:r w:rsidRPr="7E32E97F">
        <w:rPr>
          <w:rFonts w:cs="Arial"/>
        </w:rPr>
        <w:t>izved</w:t>
      </w:r>
      <w:r w:rsidR="49A3AF4B" w:rsidRPr="7E32E97F">
        <w:rPr>
          <w:rFonts w:cs="Arial"/>
        </w:rPr>
        <w:t>ene</w:t>
      </w:r>
      <w:r w:rsidRPr="7E32E97F">
        <w:rPr>
          <w:rFonts w:cs="Arial"/>
        </w:rPr>
        <w:t xml:space="preserve"> raznolike komunikacijske aktivnosti: </w:t>
      </w:r>
    </w:p>
    <w:p w14:paraId="0013635A" w14:textId="77777777" w:rsidR="005A1BD0" w:rsidRPr="0025033E" w:rsidRDefault="005A1BD0" w:rsidP="005A1BD0">
      <w:pPr>
        <w:autoSpaceDN/>
        <w:spacing w:after="0" w:line="288" w:lineRule="auto"/>
        <w:jc w:val="both"/>
        <w:rPr>
          <w:rFonts w:cs="Arial"/>
        </w:rPr>
      </w:pPr>
    </w:p>
    <w:p w14:paraId="2808BF5D" w14:textId="1C7EC961" w:rsidR="00602817" w:rsidRDefault="2A170FA4" w:rsidP="5DEFD55E">
      <w:pPr>
        <w:pStyle w:val="Odstavekseznama"/>
        <w:numPr>
          <w:ilvl w:val="0"/>
          <w:numId w:val="49"/>
        </w:numPr>
        <w:spacing w:after="0"/>
        <w:jc w:val="both"/>
      </w:pPr>
      <w:r w:rsidRPr="001E5641">
        <w:rPr>
          <w:rFonts w:eastAsia="Calibri"/>
          <w:b/>
          <w:bCs/>
        </w:rPr>
        <w:t>Dobre</w:t>
      </w:r>
      <w:r w:rsidRPr="7E32E97F">
        <w:rPr>
          <w:rFonts w:cs="Arial"/>
          <w:b/>
          <w:bCs/>
        </w:rPr>
        <w:t xml:space="preserve"> zgodbe:</w:t>
      </w:r>
      <w:r w:rsidRPr="7E32E97F">
        <w:rPr>
          <w:rFonts w:cs="Arial"/>
        </w:rPr>
        <w:t xml:space="preserve"> Nadaljevali smo s snemanjem video vsebin v lastni produkciji, s katerimi smo predstavili dobre zgodbe, spisane z evropskimi sredstvi v Sloveniji. Vsebine smo objavljali na družbenih omrežjih Facebook, Instagram, LinkedIn in Youtube. S strani DG Regio smo pridobili tudi finančna sredstva za promocijo objav video vsebin na družbenih omrežjih Evropska sredstva. </w:t>
      </w:r>
      <w:r w:rsidR="7B6C3F3A" w:rsidRPr="7E32E97F">
        <w:rPr>
          <w:rFonts w:eastAsia="Arial" w:cs="Arial"/>
        </w:rPr>
        <w:t>Ta sredstva smo po izteku podpore DG Regio nadomestili z lastnimi.</w:t>
      </w:r>
    </w:p>
    <w:p w14:paraId="61EE8BF9" w14:textId="08E71DE1" w:rsidR="00602817" w:rsidRDefault="2A170FA4" w:rsidP="7E32E97F">
      <w:pPr>
        <w:pStyle w:val="Odstavekseznama"/>
        <w:numPr>
          <w:ilvl w:val="0"/>
          <w:numId w:val="49"/>
        </w:numPr>
        <w:spacing w:after="0"/>
        <w:jc w:val="both"/>
        <w:rPr>
          <w:rFonts w:eastAsia="Arial" w:cs="Arial"/>
        </w:rPr>
      </w:pPr>
      <w:r w:rsidRPr="7E32E97F">
        <w:rPr>
          <w:rFonts w:cs="Arial"/>
          <w:b/>
          <w:bCs/>
        </w:rPr>
        <w:t>Sejemska dejavnost:</w:t>
      </w:r>
      <w:r w:rsidRPr="7E32E97F">
        <w:rPr>
          <w:rFonts w:cs="Arial"/>
        </w:rPr>
        <w:t xml:space="preserve"> Udeleževali smo se sejmov in drugih večjih tematskih prireditev. </w:t>
      </w:r>
      <w:r w:rsidR="2B431B25" w:rsidRPr="7E32E97F">
        <w:rPr>
          <w:rFonts w:cs="Arial"/>
        </w:rPr>
        <w:t>U</w:t>
      </w:r>
      <w:r w:rsidR="2B431B25" w:rsidRPr="7E32E97F">
        <w:rPr>
          <w:rFonts w:eastAsia="Arial" w:cs="Arial"/>
        </w:rPr>
        <w:t xml:space="preserve">deležili smo se </w:t>
      </w:r>
      <w:r w:rsidR="2B431B25" w:rsidRPr="003A50B6">
        <w:rPr>
          <w:rFonts w:eastAsia="Arial" w:cs="Arial"/>
        </w:rPr>
        <w:t xml:space="preserve">sejma </w:t>
      </w:r>
      <w:r w:rsidR="2B431B25" w:rsidRPr="001650A8">
        <w:rPr>
          <w:rFonts w:eastAsia="Arial" w:cs="Arial"/>
        </w:rPr>
        <w:t>MOS v Celju</w:t>
      </w:r>
      <w:r w:rsidR="2B431B25" w:rsidRPr="003A50B6">
        <w:rPr>
          <w:rFonts w:eastAsia="Arial" w:cs="Arial"/>
        </w:rPr>
        <w:t xml:space="preserve">, kjer smo nagovarjali predvsem podjetnike in drugo zainteresirano javnost, ter </w:t>
      </w:r>
      <w:r w:rsidR="2B431B25" w:rsidRPr="001650A8">
        <w:rPr>
          <w:rFonts w:eastAsia="Arial" w:cs="Arial"/>
        </w:rPr>
        <w:t>Festivala za tretje življenjsko obdobje</w:t>
      </w:r>
      <w:r w:rsidR="2B431B25" w:rsidRPr="003A50B6">
        <w:rPr>
          <w:rFonts w:eastAsia="Arial" w:cs="Arial"/>
        </w:rPr>
        <w:t xml:space="preserve">, kjer smo osveščali starejše. Evropska sredstva smo v avgustu predstavljali tudi na </w:t>
      </w:r>
      <w:r w:rsidR="2B431B25" w:rsidRPr="001650A8">
        <w:rPr>
          <w:rFonts w:eastAsia="Arial" w:cs="Arial"/>
        </w:rPr>
        <w:t>Balonarskem festivalu</w:t>
      </w:r>
      <w:r w:rsidR="2B431B25" w:rsidRPr="003A50B6">
        <w:rPr>
          <w:rFonts w:eastAsia="Arial" w:cs="Arial"/>
        </w:rPr>
        <w:t xml:space="preserve"> v Murski Soboti in novembra na </w:t>
      </w:r>
      <w:r w:rsidR="2B431B25" w:rsidRPr="001650A8">
        <w:rPr>
          <w:rFonts w:eastAsia="Arial" w:cs="Arial"/>
        </w:rPr>
        <w:t>Kariernem sejmu v Mariboru</w:t>
      </w:r>
      <w:r w:rsidR="2B431B25" w:rsidRPr="003A50B6">
        <w:rPr>
          <w:rFonts w:eastAsia="Arial" w:cs="Arial"/>
        </w:rPr>
        <w:t>.</w:t>
      </w:r>
    </w:p>
    <w:p w14:paraId="3959EF0F" w14:textId="1A8B62CB" w:rsidR="00602817" w:rsidRDefault="2A170FA4" w:rsidP="7E32E97F">
      <w:pPr>
        <w:pStyle w:val="Odstavekseznama"/>
        <w:numPr>
          <w:ilvl w:val="0"/>
          <w:numId w:val="49"/>
        </w:numPr>
        <w:spacing w:after="0"/>
        <w:jc w:val="both"/>
        <w:rPr>
          <w:rFonts w:eastAsia="Arial" w:cs="Arial"/>
        </w:rPr>
      </w:pPr>
      <w:r w:rsidRPr="7E32E97F">
        <w:rPr>
          <w:rFonts w:cs="Arial"/>
          <w:b/>
          <w:bCs/>
        </w:rPr>
        <w:t>EU projekt, moj projekt:</w:t>
      </w:r>
      <w:r w:rsidRPr="7E32E97F">
        <w:rPr>
          <w:rFonts w:cs="Arial"/>
        </w:rPr>
        <w:t xml:space="preserve"> Izvajali smo aktivnosti v okviru promocijske kampanje EU projekt, moj projekt 2025</w:t>
      </w:r>
      <w:r w:rsidRPr="003A50B6">
        <w:rPr>
          <w:rFonts w:cs="Arial"/>
        </w:rPr>
        <w:t xml:space="preserve">. </w:t>
      </w:r>
      <w:r w:rsidRPr="001650A8">
        <w:rPr>
          <w:rFonts w:cs="Arial"/>
        </w:rPr>
        <w:t>K sodelovanju smo povabili tudi druge programe, ki se financirajo z evropskimi sredstvi in skupaj izbrali 17 finalistov</w:t>
      </w:r>
      <w:r w:rsidRPr="003A50B6">
        <w:rPr>
          <w:rFonts w:cs="Arial"/>
        </w:rPr>
        <w:t>. Projekte</w:t>
      </w:r>
      <w:r w:rsidRPr="7E32E97F">
        <w:rPr>
          <w:rFonts w:cs="Arial"/>
        </w:rPr>
        <w:t xml:space="preserve"> smo predstavili na spletni podstrani </w:t>
      </w:r>
      <w:hyperlink r:id="rId28">
        <w:r w:rsidRPr="7E32E97F">
          <w:rPr>
            <w:rStyle w:val="Hiperpovezava"/>
            <w:rFonts w:cs="Arial"/>
          </w:rPr>
          <w:t>https://evropskasredstva.si/eu-projekt-moj-projekt-2025/.</w:t>
        </w:r>
      </w:hyperlink>
      <w:r w:rsidRPr="7E32E97F">
        <w:rPr>
          <w:rFonts w:cs="Arial"/>
        </w:rPr>
        <w:t xml:space="preserve"> </w:t>
      </w:r>
      <w:r w:rsidR="598508E7" w:rsidRPr="7E32E97F">
        <w:rPr>
          <w:rFonts w:eastAsia="Arial" w:cs="Arial"/>
        </w:rPr>
        <w:t>Med junijem in novembrom so potekali predstavitveni dogodki upravičencev, ki so bili oglaševani v nacionalnih medijih, in  sicer nacionalnem televizijskem programu TV Slovenija 1, radiu Val 202, ki ima status programa posebnega pomena, časopisu Nedeljski dnevnik in spletni strani Siol.net. Oglaševanje projektov iz kampanje EU projekt, moj projekt 2025 je potekalo tudi na družbenih omrežjih Facebook in LinkedIn ter z uporabo orodja Google Ads. Izbrani projekti so izvedli enodnevni dogodek v svojem domačem kraju oz. svoji regiji v obliki okrogle mize, delavnice, dneva odprtih vrat, obiska podjetja, športnih ali kulturnih aktivnosti ipd. V okviru nacionalnega glasovanja smo na Dan Evrope dobili tudi Naj EU projekt 2025, to sta projekta Kolesarska pot Štrekna in Novo mesto – mesto urbanega napredka, ki sta prejela enako število glasov javnosti. Tretje mesto je osvojil projekt zaDravo.</w:t>
      </w:r>
    </w:p>
    <w:p w14:paraId="34AF70A0" w14:textId="1C7157E6" w:rsidR="00602817" w:rsidRDefault="2A170FA4" w:rsidP="00602817">
      <w:pPr>
        <w:pStyle w:val="Odstavekseznama"/>
        <w:numPr>
          <w:ilvl w:val="0"/>
          <w:numId w:val="49"/>
        </w:numPr>
        <w:spacing w:after="0"/>
        <w:jc w:val="both"/>
        <w:rPr>
          <w:rFonts w:cs="Arial"/>
        </w:rPr>
      </w:pPr>
      <w:r w:rsidRPr="7E32E97F">
        <w:rPr>
          <w:rFonts w:cs="Arial"/>
          <w:b/>
          <w:bCs/>
        </w:rPr>
        <w:t>Šola kohezije</w:t>
      </w:r>
      <w:r w:rsidRPr="7E32E97F">
        <w:rPr>
          <w:rFonts w:cs="Arial"/>
        </w:rPr>
        <w:t>: Projekt smo zaradi odličnih odzivov po pilotnem izvajanju nadaljevali tudi v šolskem letu 2024/2025</w:t>
      </w:r>
      <w:r w:rsidR="1CE6EE35" w:rsidRPr="7E32E97F">
        <w:rPr>
          <w:rFonts w:cs="Arial"/>
        </w:rPr>
        <w:t xml:space="preserve">, </w:t>
      </w:r>
      <w:r w:rsidR="2945D9D1" w:rsidRPr="7E32E97F">
        <w:rPr>
          <w:rFonts w:eastAsia="Arial" w:cs="Arial"/>
        </w:rPr>
        <w:t>v katerem je</w:t>
      </w:r>
      <w:r w:rsidR="2945D9D1" w:rsidRPr="7E32E97F">
        <w:rPr>
          <w:rFonts w:eastAsia="Arial" w:cs="Arial"/>
          <w:b/>
          <w:bCs/>
        </w:rPr>
        <w:t xml:space="preserve"> </w:t>
      </w:r>
      <w:r w:rsidR="2945D9D1" w:rsidRPr="003A50B6">
        <w:rPr>
          <w:rFonts w:eastAsia="Arial" w:cs="Arial"/>
        </w:rPr>
        <w:t>sodelovalo</w:t>
      </w:r>
      <w:r w:rsidR="2945D9D1" w:rsidRPr="001650A8">
        <w:rPr>
          <w:rFonts w:eastAsia="Arial" w:cs="Arial"/>
        </w:rPr>
        <w:t xml:space="preserve"> 11 srednjih šol in 14 ekip dijakov iz vse Slovenije</w:t>
      </w:r>
      <w:r w:rsidR="2945D9D1" w:rsidRPr="003A50B6">
        <w:rPr>
          <w:rFonts w:eastAsia="Arial" w:cs="Arial"/>
        </w:rPr>
        <w:t xml:space="preserve">. Nadaljujemo ga tudi v šolskem letu 2025/2026, ko sodeluje </w:t>
      </w:r>
      <w:r w:rsidR="2945D9D1" w:rsidRPr="001650A8">
        <w:rPr>
          <w:rFonts w:eastAsia="Arial" w:cs="Arial"/>
        </w:rPr>
        <w:t>10 srednjih šol</w:t>
      </w:r>
      <w:r w:rsidR="2945D9D1" w:rsidRPr="003A50B6">
        <w:rPr>
          <w:rFonts w:eastAsia="Arial" w:cs="Arial"/>
        </w:rPr>
        <w:t>. Dijaki</w:t>
      </w:r>
      <w:r w:rsidR="2945D9D1" w:rsidRPr="7E32E97F">
        <w:rPr>
          <w:rFonts w:eastAsia="Arial" w:cs="Arial"/>
        </w:rPr>
        <w:t xml:space="preserve"> spremljajo izbrani projekt, pripravijo raziskovalno nalogo, novinarsko reportažo in video za YouTube. </w:t>
      </w:r>
      <w:r w:rsidRPr="7E32E97F">
        <w:rPr>
          <w:rFonts w:cs="Arial"/>
        </w:rPr>
        <w:t xml:space="preserve">Spletna podstran projekta je na voljo tukaj: </w:t>
      </w:r>
      <w:hyperlink r:id="rId29">
        <w:r w:rsidRPr="7E32E97F">
          <w:rPr>
            <w:rFonts w:cs="Arial"/>
            <w:color w:val="0000FF"/>
            <w:u w:val="single"/>
          </w:rPr>
          <w:t>https://evropskasredstva.si/asoc/</w:t>
        </w:r>
      </w:hyperlink>
      <w:r w:rsidRPr="7E32E97F">
        <w:rPr>
          <w:rFonts w:cs="Arial"/>
        </w:rPr>
        <w:t>.</w:t>
      </w:r>
    </w:p>
    <w:p w14:paraId="5F9371A7" w14:textId="2571F677" w:rsidR="00602817" w:rsidRPr="00602817" w:rsidRDefault="2A170FA4" w:rsidP="00602817">
      <w:pPr>
        <w:pStyle w:val="Odstavekseznama"/>
        <w:numPr>
          <w:ilvl w:val="0"/>
          <w:numId w:val="49"/>
        </w:numPr>
        <w:spacing w:after="0"/>
        <w:jc w:val="both"/>
        <w:rPr>
          <w:rFonts w:cs="Arial"/>
        </w:rPr>
      </w:pPr>
      <w:r w:rsidRPr="7E32E97F">
        <w:rPr>
          <w:rFonts w:cs="Arial"/>
          <w:b/>
          <w:bCs/>
        </w:rPr>
        <w:t>Oglaševanje:</w:t>
      </w:r>
      <w:r w:rsidRPr="7E32E97F">
        <w:rPr>
          <w:rFonts w:cs="Arial"/>
        </w:rPr>
        <w:t xml:space="preserve"> Poleg oglaševalske akcije EU projekt, moj projekt 2025 smo izvedli nekaj usmerjenih oglaševanj dosežkov evropske kohezijske politike v različnih slovenskih medijih. 1) Tiskani mediji: V Dnevniku in Nedeljskem dnevniku smo nadaljevali z oglaševanjem, ki se je kot odlično izkazalo že v preteklem letu, in sicer z grajenjem lastne znamke skozi članke »Z evropskimi sredstvi pišemo</w:t>
      </w:r>
      <w:r w:rsidR="59ABDACB" w:rsidRPr="7E32E97F">
        <w:rPr>
          <w:rFonts w:cs="Arial"/>
        </w:rPr>
        <w:t xml:space="preserve"> </w:t>
      </w:r>
      <w:r w:rsidRPr="7E32E97F">
        <w:rPr>
          <w:rFonts w:cs="Arial"/>
        </w:rPr>
        <w:t xml:space="preserve">dobre zgodbe« oz. »Dobre zgodbe Evrope«. Velik del pozornosti, da je z možnostmi evropskega sofinanciranja seznanjena Vzhodna kohezijska regija, smo namenili tudi s tem, da smo oglaševali v mediju Vestnik, in sicer tako preko njihove spletne strani, tiskanega časopisa Vestnik in njihovih družbenih omrežij. 2) Televizija: </w:t>
      </w:r>
      <w:r w:rsidR="5D5E38D8" w:rsidRPr="7E32E97F">
        <w:rPr>
          <w:rFonts w:eastAsia="Arial" w:cs="Arial"/>
        </w:rPr>
        <w:t xml:space="preserve">V drugi polovici leta smo se odločili za oglaševanje na televizijah TV Slovenija v obliki kratkih promocijskih videoposnetkov in na POP TV, kjer smo oglaševali v obliki kratkega napovednika, ki je vabil gledalce, da si ogledajo novonastalo rubriko </w:t>
      </w:r>
      <w:r w:rsidR="20EF6F45" w:rsidRPr="7E32E97F">
        <w:rPr>
          <w:rFonts w:eastAsia="Arial" w:cs="Arial"/>
        </w:rPr>
        <w:t>»</w:t>
      </w:r>
      <w:r w:rsidR="20EF6F45" w:rsidRPr="7E32E97F">
        <w:rPr>
          <w:rFonts w:eastAsia="Arial" w:cs="Arial"/>
          <w:b/>
          <w:bCs/>
        </w:rPr>
        <w:t>Dobre zgodbe Evrope«</w:t>
      </w:r>
      <w:r w:rsidR="5D5E38D8" w:rsidRPr="7E32E97F">
        <w:rPr>
          <w:rFonts w:eastAsia="Arial" w:cs="Arial"/>
        </w:rPr>
        <w:t xml:space="preserve"> na spletni strani 24ur.com.</w:t>
      </w:r>
      <w:r w:rsidR="5D5E38D8">
        <w:t xml:space="preserve"> </w:t>
      </w:r>
      <w:r w:rsidRPr="7E32E97F">
        <w:rPr>
          <w:rFonts w:cs="Arial"/>
        </w:rPr>
        <w:t>Evropska kohezijska sredstva smo približevali ljudem tudi preko lokalne oz. regionalne televizije TV Vaš kanal s sedežem v Novem mestu</w:t>
      </w:r>
      <w:r w:rsidR="12CD098C" w:rsidRPr="7E32E97F">
        <w:rPr>
          <w:rFonts w:cs="Arial"/>
        </w:rPr>
        <w:t xml:space="preserve"> in TV IDEA</w:t>
      </w:r>
      <w:r w:rsidRPr="7E32E97F">
        <w:rPr>
          <w:rFonts w:cs="Arial"/>
        </w:rPr>
        <w:t xml:space="preserve">. 3) Splet: </w:t>
      </w:r>
      <w:r w:rsidR="6BBF94FA" w:rsidRPr="7E32E97F">
        <w:rPr>
          <w:rFonts w:eastAsia="Arial" w:cs="Arial"/>
        </w:rPr>
        <w:t>Novost je oglaševanje dobrih zgodb – projektov, sofinanciranih z evropskimi sredstvi, na spletnem portalu 24ur.com.</w:t>
      </w:r>
      <w:r w:rsidR="6BBF94FA">
        <w:t xml:space="preserve"> </w:t>
      </w:r>
      <w:r w:rsidRPr="7E32E97F">
        <w:rPr>
          <w:rFonts w:cs="Arial"/>
        </w:rPr>
        <w:t xml:space="preserve">Večina člankov, ki so bili objavljeni v tiskanih medijih, so bili nato poobjavljeni še na spletnih straneh medijev, npr. dnevnik.si, vestnik.si, delo.si, itd. </w:t>
      </w:r>
      <w:r w:rsidR="34B1B97C" w:rsidRPr="7E32E97F">
        <w:rPr>
          <w:rFonts w:cs="Arial"/>
        </w:rPr>
        <w:t>Nadalj</w:t>
      </w:r>
      <w:r w:rsidR="4DC0EBED" w:rsidRPr="7E32E97F">
        <w:rPr>
          <w:rFonts w:cs="Arial"/>
        </w:rPr>
        <w:t xml:space="preserve">evali smo </w:t>
      </w:r>
      <w:r w:rsidR="34B1B97C" w:rsidRPr="7E32E97F">
        <w:rPr>
          <w:rFonts w:cs="Arial"/>
        </w:rPr>
        <w:t xml:space="preserve">tudi </w:t>
      </w:r>
      <w:r w:rsidR="5CC45679" w:rsidRPr="7E32E97F">
        <w:rPr>
          <w:rFonts w:cs="Arial"/>
        </w:rPr>
        <w:t xml:space="preserve">z </w:t>
      </w:r>
      <w:r w:rsidR="34B1B97C" w:rsidRPr="7E32E97F">
        <w:rPr>
          <w:rFonts w:cs="Arial"/>
        </w:rPr>
        <w:lastRenderedPageBreak/>
        <w:t>oglaševanje</w:t>
      </w:r>
      <w:r w:rsidR="13318247" w:rsidRPr="7E32E97F">
        <w:rPr>
          <w:rFonts w:cs="Arial"/>
        </w:rPr>
        <w:t>m</w:t>
      </w:r>
      <w:r w:rsidR="34B1B97C" w:rsidRPr="7E32E97F">
        <w:rPr>
          <w:rFonts w:cs="Arial"/>
        </w:rPr>
        <w:t xml:space="preserve"> v okviru pogodbe</w:t>
      </w:r>
      <w:r w:rsidRPr="7E32E97F">
        <w:rPr>
          <w:rFonts w:cs="Arial"/>
        </w:rPr>
        <w:t xml:space="preserve"> z Agencijo IDEA d.o.o. za </w:t>
      </w:r>
      <w:r>
        <w:t>razširjanje video materialov primerov dobrih praks – Kohezijska politika EU – zgledne</w:t>
      </w:r>
      <w:r w:rsidRPr="7E32E97F">
        <w:rPr>
          <w:rFonts w:cs="Arial"/>
        </w:rPr>
        <w:t xml:space="preserve"> </w:t>
      </w:r>
      <w:r>
        <w:t>prakse evropskih skladov, in sicer na spletnih straneh tvidea.si, mariborinfo.com, ljubljanainfo.com, sobotainfo.com, ptujinfo.com, dolenjskainfo.com, pomurec.com ter na FB straneh omenjenih medijev.</w:t>
      </w:r>
      <w:r w:rsidR="33C79E8D">
        <w:t xml:space="preserve"> </w:t>
      </w:r>
    </w:p>
    <w:p w14:paraId="6471DF8F" w14:textId="411986EC" w:rsidR="005A1BD0" w:rsidRPr="00602817" w:rsidRDefault="2A170FA4" w:rsidP="00602817">
      <w:pPr>
        <w:pStyle w:val="Odstavekseznama"/>
        <w:numPr>
          <w:ilvl w:val="0"/>
          <w:numId w:val="49"/>
        </w:numPr>
        <w:spacing w:after="0"/>
        <w:jc w:val="both"/>
        <w:rPr>
          <w:rFonts w:cs="Arial"/>
        </w:rPr>
      </w:pPr>
      <w:r w:rsidRPr="7E32E97F">
        <w:rPr>
          <w:rFonts w:cs="Arial"/>
          <w:b/>
          <w:bCs/>
        </w:rPr>
        <w:t>Družbeni mediji:</w:t>
      </w:r>
      <w:r w:rsidRPr="7E32E97F">
        <w:rPr>
          <w:rFonts w:cs="Arial"/>
        </w:rPr>
        <w:t xml:space="preserve"> Na družbenih omrežjih Evropska sredstva in evropskasredstva.si redno in ažurno pripravljamo in objavljamo vsebine po vnaprej pripravljenem medijskem planu (razen aktualnih objav) po temah, npr. grafike, dobre zgodbe, video idr. Poseben poudarek namenjamo ažurnosti objave načrtovanih razpisov in razpisov v izvajanju.</w:t>
      </w:r>
      <w:r w:rsidRPr="003A50B6">
        <w:rPr>
          <w:rFonts w:cs="Arial"/>
        </w:rPr>
        <w:t xml:space="preserve"> Spodaj je </w:t>
      </w:r>
      <w:r w:rsidRPr="001650A8">
        <w:rPr>
          <w:rFonts w:cs="Arial"/>
        </w:rPr>
        <w:t xml:space="preserve">pregled učinkov komuniciranja v </w:t>
      </w:r>
      <w:r w:rsidR="5D613DA9" w:rsidRPr="001650A8">
        <w:rPr>
          <w:rFonts w:cs="Arial"/>
        </w:rPr>
        <w:t>drugem</w:t>
      </w:r>
      <w:r w:rsidRPr="001650A8">
        <w:rPr>
          <w:rFonts w:cs="Arial"/>
        </w:rPr>
        <w:t xml:space="preserve"> polletju 2025 na družbenih omrežjih Evropska sredstva (Facebook, Instagram, LinkedIn in Youtube): </w:t>
      </w:r>
    </w:p>
    <w:p w14:paraId="7F9A6FF3" w14:textId="3CF5B021" w:rsidR="005A1BD0" w:rsidRPr="00415B31" w:rsidRDefault="2D7239CD" w:rsidP="005A1BD0">
      <w:pPr>
        <w:autoSpaceDN/>
        <w:spacing w:after="0" w:line="288" w:lineRule="auto"/>
        <w:jc w:val="both"/>
        <w:rPr>
          <w:rFonts w:cs="Arial"/>
        </w:rPr>
      </w:pPr>
      <w:r w:rsidRPr="7E32E97F">
        <w:rPr>
          <w:rFonts w:cs="Arial"/>
        </w:rPr>
        <w:t xml:space="preserve"> </w:t>
      </w:r>
    </w:p>
    <w:p w14:paraId="7902679E" w14:textId="77839F24" w:rsidR="005875BD" w:rsidRPr="00986B05" w:rsidRDefault="3B227E03" w:rsidP="000523F8">
      <w:pPr>
        <w:pStyle w:val="Napis"/>
        <w:keepNext/>
        <w:spacing w:after="0"/>
        <w:jc w:val="both"/>
      </w:pPr>
      <w:bookmarkStart w:id="270" w:name="_Toc219986167"/>
      <w:r>
        <w:rPr>
          <w:b w:val="0"/>
          <w:bCs w:val="0"/>
        </w:rPr>
        <w:t xml:space="preserve">Tabela </w:t>
      </w:r>
      <w:r w:rsidR="005875BD">
        <w:rPr>
          <w:b w:val="0"/>
          <w:bCs w:val="0"/>
        </w:rPr>
        <w:fldChar w:fldCharType="begin"/>
      </w:r>
      <w:r w:rsidR="005875BD">
        <w:rPr>
          <w:b w:val="0"/>
          <w:bCs w:val="0"/>
        </w:rPr>
        <w:instrText xml:space="preserve"> SEQ Tabela \* ARABIC </w:instrText>
      </w:r>
      <w:r w:rsidR="005875BD">
        <w:rPr>
          <w:b w:val="0"/>
          <w:bCs w:val="0"/>
        </w:rPr>
        <w:fldChar w:fldCharType="separate"/>
      </w:r>
      <w:r w:rsidR="51EE8C33">
        <w:rPr>
          <w:b w:val="0"/>
          <w:bCs w:val="0"/>
        </w:rPr>
        <w:t>8</w:t>
      </w:r>
      <w:r w:rsidR="005875BD">
        <w:rPr>
          <w:b w:val="0"/>
          <w:bCs w:val="0"/>
        </w:rPr>
        <w:fldChar w:fldCharType="end"/>
      </w:r>
      <w:r>
        <w:rPr>
          <w:b w:val="0"/>
          <w:bCs w:val="0"/>
        </w:rPr>
        <w:t xml:space="preserve">: Pregled učinkov komuniciranja v </w:t>
      </w:r>
      <w:r w:rsidR="09BE7170">
        <w:rPr>
          <w:b w:val="0"/>
          <w:bCs w:val="0"/>
        </w:rPr>
        <w:t>drugem</w:t>
      </w:r>
      <w:r>
        <w:rPr>
          <w:b w:val="0"/>
          <w:bCs w:val="0"/>
        </w:rPr>
        <w:t xml:space="preserve"> polletju 2025 na družbenih omrežjih Evropska sredstva (Facebook)</w:t>
      </w:r>
      <w:bookmarkEnd w:id="270"/>
    </w:p>
    <w:tbl>
      <w:tblPr>
        <w:tblStyle w:val="Tabelamrea"/>
        <w:tblW w:w="0" w:type="auto"/>
        <w:tblInd w:w="487" w:type="dxa"/>
        <w:tblLook w:val="04A0" w:firstRow="1" w:lastRow="0" w:firstColumn="1" w:lastColumn="0" w:noHBand="0" w:noVBand="1"/>
      </w:tblPr>
      <w:tblGrid>
        <w:gridCol w:w="3823"/>
        <w:gridCol w:w="1701"/>
      </w:tblGrid>
      <w:tr w:rsidR="005A1BD0" w:rsidRPr="00415B31" w14:paraId="5EFDA5DB" w14:textId="77777777" w:rsidTr="7E32E97F">
        <w:tc>
          <w:tcPr>
            <w:tcW w:w="3823" w:type="dxa"/>
          </w:tcPr>
          <w:p w14:paraId="62C5B8E8" w14:textId="11E34FC8" w:rsidR="005A1BD0" w:rsidRPr="00415B31" w:rsidRDefault="79E0C62C" w:rsidP="5DEFD55E">
            <w:pPr>
              <w:autoSpaceDN/>
              <w:spacing w:after="0" w:line="288" w:lineRule="auto"/>
              <w:jc w:val="both"/>
              <w:rPr>
                <w:rFonts w:cs="Arial"/>
              </w:rPr>
            </w:pPr>
            <w:r w:rsidRPr="7E32E97F">
              <w:rPr>
                <w:rFonts w:cs="Arial"/>
              </w:rPr>
              <w:t>1.7. 2025 - 31. 12. 2025</w:t>
            </w:r>
          </w:p>
        </w:tc>
        <w:tc>
          <w:tcPr>
            <w:tcW w:w="1701" w:type="dxa"/>
          </w:tcPr>
          <w:p w14:paraId="56539165" w14:textId="77777777" w:rsidR="005A1BD0" w:rsidRPr="00415B31" w:rsidRDefault="2A170FA4" w:rsidP="7E32E97F">
            <w:pPr>
              <w:autoSpaceDN/>
              <w:spacing w:after="0" w:line="288" w:lineRule="auto"/>
              <w:jc w:val="both"/>
              <w:rPr>
                <w:rFonts w:cs="Arial"/>
                <w:b/>
                <w:bCs/>
              </w:rPr>
            </w:pPr>
            <w:r w:rsidRPr="7E32E97F">
              <w:rPr>
                <w:rFonts w:cs="Arial"/>
                <w:b/>
                <w:bCs/>
              </w:rPr>
              <w:t>FACEBOOK</w:t>
            </w:r>
          </w:p>
        </w:tc>
      </w:tr>
      <w:tr w:rsidR="005A1BD0" w:rsidRPr="00415B31" w14:paraId="57107152" w14:textId="77777777" w:rsidTr="7E32E97F">
        <w:tc>
          <w:tcPr>
            <w:tcW w:w="3823" w:type="dxa"/>
          </w:tcPr>
          <w:p w14:paraId="43D0BE6A" w14:textId="38268F74" w:rsidR="005A1BD0" w:rsidRPr="00415B31" w:rsidRDefault="6B3AD065" w:rsidP="5DEFD55E">
            <w:pPr>
              <w:autoSpaceDN/>
              <w:spacing w:after="0" w:line="288" w:lineRule="auto"/>
              <w:jc w:val="both"/>
              <w:rPr>
                <w:rFonts w:cs="Arial"/>
              </w:rPr>
            </w:pPr>
            <w:r w:rsidRPr="7E32E97F">
              <w:rPr>
                <w:rFonts w:cs="Arial"/>
              </w:rPr>
              <w:t>GLEDALCI</w:t>
            </w:r>
          </w:p>
        </w:tc>
        <w:tc>
          <w:tcPr>
            <w:tcW w:w="1701" w:type="dxa"/>
          </w:tcPr>
          <w:p w14:paraId="3A25CC03" w14:textId="035762AD" w:rsidR="005A1BD0" w:rsidRPr="00415B31" w:rsidRDefault="6FB75E28" w:rsidP="000C4A26">
            <w:pPr>
              <w:spacing w:after="0" w:line="288" w:lineRule="auto"/>
              <w:jc w:val="both"/>
              <w:rPr>
                <w:rFonts w:eastAsia="Arial" w:cs="Arial"/>
              </w:rPr>
            </w:pPr>
            <w:r w:rsidRPr="7E32E97F">
              <w:rPr>
                <w:rFonts w:eastAsia="Arial" w:cs="Arial"/>
              </w:rPr>
              <w:t>480.809</w:t>
            </w:r>
          </w:p>
        </w:tc>
      </w:tr>
      <w:tr w:rsidR="005A1BD0" w:rsidRPr="00415B31" w14:paraId="71064EF5" w14:textId="77777777" w:rsidTr="7E32E97F">
        <w:tc>
          <w:tcPr>
            <w:tcW w:w="3823" w:type="dxa"/>
          </w:tcPr>
          <w:p w14:paraId="2CD835A6" w14:textId="77777777" w:rsidR="005A1BD0" w:rsidRPr="00415B31" w:rsidRDefault="2A170FA4" w:rsidP="7E32E97F">
            <w:pPr>
              <w:autoSpaceDN/>
              <w:spacing w:after="0" w:line="288" w:lineRule="auto"/>
              <w:jc w:val="both"/>
              <w:rPr>
                <w:rFonts w:cs="Arial"/>
              </w:rPr>
            </w:pPr>
            <w:r w:rsidRPr="7E32E97F">
              <w:rPr>
                <w:rFonts w:cs="Arial"/>
              </w:rPr>
              <w:t>OGLEDI</w:t>
            </w:r>
          </w:p>
        </w:tc>
        <w:tc>
          <w:tcPr>
            <w:tcW w:w="1701" w:type="dxa"/>
          </w:tcPr>
          <w:p w14:paraId="7D8EF97E" w14:textId="4A714BEE" w:rsidR="005A1BD0" w:rsidRPr="00415B31" w:rsidRDefault="72E6FFCE" w:rsidP="7E32E97F">
            <w:pPr>
              <w:autoSpaceDN/>
              <w:spacing w:after="0" w:line="288" w:lineRule="auto"/>
              <w:jc w:val="both"/>
              <w:rPr>
                <w:rFonts w:eastAsia="Arial" w:cs="Arial"/>
              </w:rPr>
            </w:pPr>
            <w:r w:rsidRPr="7E32E97F">
              <w:rPr>
                <w:rFonts w:eastAsia="Arial" w:cs="Arial"/>
              </w:rPr>
              <w:t>4.057.634</w:t>
            </w:r>
          </w:p>
        </w:tc>
      </w:tr>
      <w:tr w:rsidR="005A1BD0" w:rsidRPr="00415B31" w14:paraId="066B98A9" w14:textId="77777777" w:rsidTr="7E32E97F">
        <w:tc>
          <w:tcPr>
            <w:tcW w:w="3823" w:type="dxa"/>
          </w:tcPr>
          <w:p w14:paraId="1A0FF455" w14:textId="5E4A5C42" w:rsidR="005A1BD0" w:rsidRPr="00415B31" w:rsidRDefault="2A170FA4" w:rsidP="5DEFD55E">
            <w:pPr>
              <w:autoSpaceDN/>
              <w:spacing w:after="0" w:line="288" w:lineRule="auto"/>
              <w:jc w:val="both"/>
              <w:rPr>
                <w:rFonts w:cs="Arial"/>
              </w:rPr>
            </w:pPr>
            <w:r w:rsidRPr="7E32E97F">
              <w:rPr>
                <w:rFonts w:cs="Arial"/>
              </w:rPr>
              <w:t xml:space="preserve">ŠTEVILO SLEDILCEV </w:t>
            </w:r>
          </w:p>
        </w:tc>
        <w:tc>
          <w:tcPr>
            <w:tcW w:w="1701" w:type="dxa"/>
          </w:tcPr>
          <w:p w14:paraId="711D26EF" w14:textId="078CAED7" w:rsidR="005A1BD0" w:rsidRPr="00415B31" w:rsidRDefault="6AA182BD" w:rsidP="7E32E97F">
            <w:pPr>
              <w:autoSpaceDN/>
              <w:spacing w:after="0" w:line="288" w:lineRule="auto"/>
              <w:jc w:val="both"/>
              <w:rPr>
                <w:rFonts w:eastAsia="Arial" w:cs="Arial"/>
              </w:rPr>
            </w:pPr>
            <w:r w:rsidRPr="7E32E97F">
              <w:rPr>
                <w:rFonts w:eastAsia="Arial" w:cs="Arial"/>
              </w:rPr>
              <w:t>8.521</w:t>
            </w:r>
          </w:p>
        </w:tc>
      </w:tr>
    </w:tbl>
    <w:p w14:paraId="68CC4C5B" w14:textId="77777777" w:rsidR="005A1BD0" w:rsidRDefault="005A1BD0" w:rsidP="005A1BD0">
      <w:pPr>
        <w:autoSpaceDN/>
        <w:spacing w:after="0" w:line="288" w:lineRule="auto"/>
        <w:jc w:val="both"/>
        <w:rPr>
          <w:rFonts w:cs="Arial"/>
        </w:rPr>
      </w:pPr>
    </w:p>
    <w:p w14:paraId="2F0975FE" w14:textId="2008EFC6" w:rsidR="00A3593B" w:rsidRPr="00A3593B" w:rsidRDefault="1A9A2848" w:rsidP="00A3593B">
      <w:pPr>
        <w:pStyle w:val="Napis"/>
        <w:keepNext/>
        <w:spacing w:after="0"/>
        <w:jc w:val="both"/>
        <w:rPr>
          <w:b w:val="0"/>
          <w:bCs w:val="0"/>
        </w:rPr>
      </w:pPr>
      <w:bookmarkStart w:id="271" w:name="_Toc219986168"/>
      <w:r>
        <w:rPr>
          <w:b w:val="0"/>
          <w:bCs w:val="0"/>
        </w:rPr>
        <w:t xml:space="preserve">Tabela </w:t>
      </w:r>
      <w:r w:rsidR="00A3593B">
        <w:rPr>
          <w:b w:val="0"/>
          <w:bCs w:val="0"/>
        </w:rPr>
        <w:fldChar w:fldCharType="begin"/>
      </w:r>
      <w:r w:rsidR="00A3593B">
        <w:rPr>
          <w:b w:val="0"/>
          <w:bCs w:val="0"/>
        </w:rPr>
        <w:instrText xml:space="preserve"> SEQ Tabela \* ARABIC </w:instrText>
      </w:r>
      <w:r w:rsidR="00A3593B">
        <w:rPr>
          <w:b w:val="0"/>
          <w:bCs w:val="0"/>
        </w:rPr>
        <w:fldChar w:fldCharType="separate"/>
      </w:r>
      <w:r w:rsidR="51EE8C33">
        <w:rPr>
          <w:b w:val="0"/>
          <w:bCs w:val="0"/>
        </w:rPr>
        <w:t>9</w:t>
      </w:r>
      <w:r w:rsidR="00A3593B">
        <w:rPr>
          <w:b w:val="0"/>
          <w:bCs w:val="0"/>
        </w:rPr>
        <w:fldChar w:fldCharType="end"/>
      </w:r>
      <w:r>
        <w:rPr>
          <w:b w:val="0"/>
          <w:bCs w:val="0"/>
        </w:rPr>
        <w:t xml:space="preserve">: Pregled učinkov komuniciranja v </w:t>
      </w:r>
      <w:r w:rsidR="49A65CA8">
        <w:rPr>
          <w:b w:val="0"/>
          <w:bCs w:val="0"/>
        </w:rPr>
        <w:t>drugem</w:t>
      </w:r>
      <w:r>
        <w:rPr>
          <w:b w:val="0"/>
          <w:bCs w:val="0"/>
        </w:rPr>
        <w:t xml:space="preserve"> polletju 2025 na družbenih omrežjih Evropska sredstva (Instagram)</w:t>
      </w:r>
      <w:bookmarkEnd w:id="271"/>
    </w:p>
    <w:tbl>
      <w:tblPr>
        <w:tblStyle w:val="Tabelamrea"/>
        <w:tblW w:w="0" w:type="auto"/>
        <w:tblInd w:w="457" w:type="dxa"/>
        <w:tblLook w:val="04A0" w:firstRow="1" w:lastRow="0" w:firstColumn="1" w:lastColumn="0" w:noHBand="0" w:noVBand="1"/>
      </w:tblPr>
      <w:tblGrid>
        <w:gridCol w:w="3823"/>
        <w:gridCol w:w="1701"/>
      </w:tblGrid>
      <w:tr w:rsidR="005A1BD0" w:rsidRPr="008B4747" w14:paraId="0ABE1275" w14:textId="77777777" w:rsidTr="7E32E97F">
        <w:tc>
          <w:tcPr>
            <w:tcW w:w="3823" w:type="dxa"/>
          </w:tcPr>
          <w:p w14:paraId="009A2B69" w14:textId="58785EC2" w:rsidR="005A1BD0" w:rsidRPr="008B4747" w:rsidRDefault="28A0CC16" w:rsidP="5DEFD55E">
            <w:pPr>
              <w:autoSpaceDN/>
              <w:spacing w:after="0" w:line="288" w:lineRule="auto"/>
              <w:jc w:val="both"/>
              <w:rPr>
                <w:rFonts w:cs="Arial"/>
              </w:rPr>
            </w:pPr>
            <w:r w:rsidRPr="7E32E97F">
              <w:rPr>
                <w:rFonts w:cs="Arial"/>
              </w:rPr>
              <w:t>1.7. 2025 - 31. 12. 2025</w:t>
            </w:r>
          </w:p>
        </w:tc>
        <w:tc>
          <w:tcPr>
            <w:tcW w:w="1701" w:type="dxa"/>
          </w:tcPr>
          <w:p w14:paraId="35800149" w14:textId="77777777" w:rsidR="005A1BD0" w:rsidRPr="008B4747" w:rsidRDefault="2A170FA4" w:rsidP="7E32E97F">
            <w:pPr>
              <w:autoSpaceDN/>
              <w:spacing w:after="0" w:line="288" w:lineRule="auto"/>
              <w:jc w:val="both"/>
              <w:rPr>
                <w:rFonts w:cs="Arial"/>
                <w:b/>
                <w:bCs/>
              </w:rPr>
            </w:pPr>
            <w:r w:rsidRPr="7E32E97F">
              <w:rPr>
                <w:rFonts w:cs="Arial"/>
                <w:b/>
                <w:bCs/>
              </w:rPr>
              <w:t>INSTAGRAM</w:t>
            </w:r>
          </w:p>
        </w:tc>
      </w:tr>
      <w:tr w:rsidR="005A1BD0" w:rsidRPr="008B4747" w14:paraId="2B61C119" w14:textId="77777777" w:rsidTr="7E32E97F">
        <w:tc>
          <w:tcPr>
            <w:tcW w:w="3823" w:type="dxa"/>
          </w:tcPr>
          <w:p w14:paraId="38D6D5A4" w14:textId="77777777" w:rsidR="005A1BD0" w:rsidRPr="008B4747" w:rsidRDefault="2A170FA4" w:rsidP="7E32E97F">
            <w:pPr>
              <w:autoSpaceDN/>
              <w:spacing w:after="0" w:line="288" w:lineRule="auto"/>
              <w:jc w:val="both"/>
              <w:rPr>
                <w:rFonts w:cs="Arial"/>
              </w:rPr>
            </w:pPr>
            <w:r w:rsidRPr="7E32E97F">
              <w:rPr>
                <w:rFonts w:cs="Arial"/>
              </w:rPr>
              <w:t>DOSEG</w:t>
            </w:r>
          </w:p>
        </w:tc>
        <w:tc>
          <w:tcPr>
            <w:tcW w:w="1701" w:type="dxa"/>
          </w:tcPr>
          <w:p w14:paraId="24CEC4D4" w14:textId="60B01F86" w:rsidR="005A1BD0" w:rsidRPr="008B4747" w:rsidRDefault="6EC5EC45" w:rsidP="7E32E97F">
            <w:pPr>
              <w:autoSpaceDN/>
              <w:spacing w:after="0" w:line="288" w:lineRule="auto"/>
              <w:jc w:val="both"/>
              <w:rPr>
                <w:rFonts w:eastAsia="Arial" w:cs="Arial"/>
              </w:rPr>
            </w:pPr>
            <w:r w:rsidRPr="7E32E97F">
              <w:rPr>
                <w:rFonts w:eastAsia="Arial" w:cs="Arial"/>
              </w:rPr>
              <w:t>216.739</w:t>
            </w:r>
          </w:p>
        </w:tc>
      </w:tr>
      <w:tr w:rsidR="005A1BD0" w:rsidRPr="008B4747" w14:paraId="1CAC31D3" w14:textId="77777777" w:rsidTr="7E32E97F">
        <w:tc>
          <w:tcPr>
            <w:tcW w:w="3823" w:type="dxa"/>
          </w:tcPr>
          <w:p w14:paraId="6039ABE1" w14:textId="77777777" w:rsidR="005A1BD0" w:rsidRPr="008B4747" w:rsidRDefault="2A170FA4" w:rsidP="7E32E97F">
            <w:pPr>
              <w:autoSpaceDN/>
              <w:spacing w:after="0" w:line="288" w:lineRule="auto"/>
              <w:jc w:val="both"/>
              <w:rPr>
                <w:rFonts w:cs="Arial"/>
              </w:rPr>
            </w:pPr>
            <w:r w:rsidRPr="7E32E97F">
              <w:rPr>
                <w:rFonts w:cs="Arial"/>
              </w:rPr>
              <w:t>OGLEDI</w:t>
            </w:r>
          </w:p>
        </w:tc>
        <w:tc>
          <w:tcPr>
            <w:tcW w:w="1701" w:type="dxa"/>
          </w:tcPr>
          <w:p w14:paraId="1F83C1BD" w14:textId="4616894D" w:rsidR="005A1BD0" w:rsidRPr="008B4747" w:rsidRDefault="52759075" w:rsidP="7E32E97F">
            <w:pPr>
              <w:autoSpaceDN/>
              <w:spacing w:after="0" w:line="288" w:lineRule="auto"/>
              <w:jc w:val="both"/>
              <w:rPr>
                <w:rFonts w:eastAsia="Arial" w:cs="Arial"/>
              </w:rPr>
            </w:pPr>
            <w:r w:rsidRPr="7E32E97F">
              <w:rPr>
                <w:rFonts w:eastAsia="Arial" w:cs="Arial"/>
              </w:rPr>
              <w:t>1.284.291</w:t>
            </w:r>
          </w:p>
        </w:tc>
      </w:tr>
      <w:tr w:rsidR="005A1BD0" w:rsidRPr="008B4747" w14:paraId="0143AB08" w14:textId="77777777" w:rsidTr="7E32E97F">
        <w:tc>
          <w:tcPr>
            <w:tcW w:w="3823" w:type="dxa"/>
          </w:tcPr>
          <w:p w14:paraId="15002E0B" w14:textId="7CB95A41" w:rsidR="005A1BD0" w:rsidRPr="008B4747" w:rsidRDefault="2A170FA4" w:rsidP="5DEFD55E">
            <w:pPr>
              <w:autoSpaceDN/>
              <w:spacing w:after="0" w:line="288" w:lineRule="auto"/>
              <w:jc w:val="both"/>
              <w:rPr>
                <w:rFonts w:cs="Arial"/>
              </w:rPr>
            </w:pPr>
            <w:r w:rsidRPr="7E32E97F">
              <w:rPr>
                <w:rFonts w:cs="Arial"/>
              </w:rPr>
              <w:t xml:space="preserve">ŠTEVILO SLEDILCEV </w:t>
            </w:r>
          </w:p>
        </w:tc>
        <w:tc>
          <w:tcPr>
            <w:tcW w:w="1701" w:type="dxa"/>
          </w:tcPr>
          <w:p w14:paraId="42F30CED" w14:textId="55316781" w:rsidR="005A1BD0" w:rsidRPr="008B4747" w:rsidRDefault="785560D2" w:rsidP="7E32E97F">
            <w:pPr>
              <w:autoSpaceDN/>
              <w:spacing w:after="0" w:line="288" w:lineRule="auto"/>
              <w:jc w:val="both"/>
              <w:rPr>
                <w:rFonts w:eastAsia="Arial" w:cs="Arial"/>
              </w:rPr>
            </w:pPr>
            <w:r w:rsidRPr="7E32E97F">
              <w:rPr>
                <w:rFonts w:eastAsia="Arial" w:cs="Arial"/>
              </w:rPr>
              <w:t>1.265</w:t>
            </w:r>
          </w:p>
        </w:tc>
      </w:tr>
    </w:tbl>
    <w:p w14:paraId="1C04F799" w14:textId="559FA70F" w:rsidR="005A1BD0" w:rsidRPr="00415B31" w:rsidRDefault="005A1BD0" w:rsidP="005A1BD0">
      <w:pPr>
        <w:autoSpaceDN/>
        <w:spacing w:after="0" w:line="288" w:lineRule="auto"/>
        <w:jc w:val="both"/>
        <w:rPr>
          <w:rFonts w:cs="Arial"/>
        </w:rPr>
      </w:pPr>
    </w:p>
    <w:p w14:paraId="6B700AA2" w14:textId="6DFCAA77" w:rsidR="00A3593B" w:rsidRPr="00A3593B" w:rsidRDefault="1A9A2848" w:rsidP="00A3593B">
      <w:pPr>
        <w:pStyle w:val="Napis"/>
        <w:keepNext/>
        <w:spacing w:after="0"/>
        <w:jc w:val="both"/>
        <w:rPr>
          <w:b w:val="0"/>
          <w:bCs w:val="0"/>
        </w:rPr>
      </w:pPr>
      <w:bookmarkStart w:id="272" w:name="_Toc219986169"/>
      <w:r>
        <w:rPr>
          <w:b w:val="0"/>
          <w:bCs w:val="0"/>
        </w:rPr>
        <w:t xml:space="preserve">Tabela </w:t>
      </w:r>
      <w:r w:rsidR="00A3593B">
        <w:rPr>
          <w:b w:val="0"/>
          <w:bCs w:val="0"/>
        </w:rPr>
        <w:fldChar w:fldCharType="begin"/>
      </w:r>
      <w:r w:rsidR="00A3593B">
        <w:rPr>
          <w:b w:val="0"/>
          <w:bCs w:val="0"/>
        </w:rPr>
        <w:instrText xml:space="preserve"> SEQ Tabela \* ARABIC </w:instrText>
      </w:r>
      <w:r w:rsidR="00A3593B">
        <w:rPr>
          <w:b w:val="0"/>
          <w:bCs w:val="0"/>
        </w:rPr>
        <w:fldChar w:fldCharType="separate"/>
      </w:r>
      <w:r w:rsidR="51EE8C33">
        <w:rPr>
          <w:b w:val="0"/>
          <w:bCs w:val="0"/>
        </w:rPr>
        <w:t>10</w:t>
      </w:r>
      <w:r w:rsidR="00A3593B">
        <w:rPr>
          <w:b w:val="0"/>
          <w:bCs w:val="0"/>
        </w:rPr>
        <w:fldChar w:fldCharType="end"/>
      </w:r>
      <w:r>
        <w:rPr>
          <w:b w:val="0"/>
          <w:bCs w:val="0"/>
        </w:rPr>
        <w:t xml:space="preserve">: Pregled učinkov komuniciranja v </w:t>
      </w:r>
      <w:r w:rsidR="1C62C195">
        <w:rPr>
          <w:b w:val="0"/>
          <w:bCs w:val="0"/>
        </w:rPr>
        <w:t>drugem</w:t>
      </w:r>
      <w:r>
        <w:rPr>
          <w:b w:val="0"/>
          <w:bCs w:val="0"/>
        </w:rPr>
        <w:t xml:space="preserve"> polletju 2025 na družbenih omrežjih Evropska sredstva (LinkedIn)</w:t>
      </w:r>
      <w:bookmarkEnd w:id="272"/>
    </w:p>
    <w:tbl>
      <w:tblPr>
        <w:tblStyle w:val="Tabelamrea"/>
        <w:tblW w:w="0" w:type="auto"/>
        <w:tblInd w:w="437" w:type="dxa"/>
        <w:tblLook w:val="04A0" w:firstRow="1" w:lastRow="0" w:firstColumn="1" w:lastColumn="0" w:noHBand="0" w:noVBand="1"/>
      </w:tblPr>
      <w:tblGrid>
        <w:gridCol w:w="3823"/>
        <w:gridCol w:w="1701"/>
      </w:tblGrid>
      <w:tr w:rsidR="005A1BD0" w:rsidRPr="008B4747" w14:paraId="79207D5A" w14:textId="77777777" w:rsidTr="7E32E97F">
        <w:tc>
          <w:tcPr>
            <w:tcW w:w="3823" w:type="dxa"/>
          </w:tcPr>
          <w:p w14:paraId="059B6A13" w14:textId="1CD80DAC" w:rsidR="005A1BD0" w:rsidRPr="008B4747" w:rsidRDefault="1F383DF3" w:rsidP="5DEFD55E">
            <w:pPr>
              <w:autoSpaceDN/>
              <w:spacing w:after="0" w:line="288" w:lineRule="auto"/>
              <w:jc w:val="both"/>
              <w:rPr>
                <w:rFonts w:cs="Arial"/>
              </w:rPr>
            </w:pPr>
            <w:r w:rsidRPr="7E32E97F">
              <w:rPr>
                <w:rFonts w:cs="Arial"/>
              </w:rPr>
              <w:t>1.7. 2025 - 31. 12. 2025</w:t>
            </w:r>
          </w:p>
        </w:tc>
        <w:tc>
          <w:tcPr>
            <w:tcW w:w="1701" w:type="dxa"/>
          </w:tcPr>
          <w:p w14:paraId="36411071" w14:textId="77777777" w:rsidR="005A1BD0" w:rsidRPr="008B4747" w:rsidRDefault="2A170FA4" w:rsidP="7E32E97F">
            <w:pPr>
              <w:autoSpaceDN/>
              <w:spacing w:after="0" w:line="288" w:lineRule="auto"/>
              <w:jc w:val="both"/>
              <w:rPr>
                <w:rFonts w:cs="Arial"/>
                <w:b/>
                <w:bCs/>
              </w:rPr>
            </w:pPr>
            <w:r w:rsidRPr="7E32E97F">
              <w:rPr>
                <w:rFonts w:cs="Arial"/>
                <w:b/>
                <w:bCs/>
              </w:rPr>
              <w:t>LINKEDIN</w:t>
            </w:r>
          </w:p>
        </w:tc>
      </w:tr>
      <w:tr w:rsidR="005A1BD0" w:rsidRPr="008B4747" w14:paraId="2BFE00AB" w14:textId="77777777" w:rsidTr="7E32E97F">
        <w:tc>
          <w:tcPr>
            <w:tcW w:w="3823" w:type="dxa"/>
          </w:tcPr>
          <w:p w14:paraId="6E75D3FD" w14:textId="77777777" w:rsidR="005A1BD0" w:rsidRPr="008B4747" w:rsidRDefault="2A170FA4" w:rsidP="7E32E97F">
            <w:pPr>
              <w:autoSpaceDN/>
              <w:spacing w:after="0" w:line="288" w:lineRule="auto"/>
              <w:jc w:val="both"/>
              <w:rPr>
                <w:rFonts w:cs="Arial"/>
              </w:rPr>
            </w:pPr>
            <w:r w:rsidRPr="7E32E97F">
              <w:rPr>
                <w:rFonts w:cs="Arial"/>
              </w:rPr>
              <w:t>PRIKAZI</w:t>
            </w:r>
          </w:p>
        </w:tc>
        <w:tc>
          <w:tcPr>
            <w:tcW w:w="1701" w:type="dxa"/>
          </w:tcPr>
          <w:p w14:paraId="39527923" w14:textId="20B2B6F9" w:rsidR="005A1BD0" w:rsidRPr="008B4747" w:rsidRDefault="2A3694A3" w:rsidP="7E32E97F">
            <w:pPr>
              <w:autoSpaceDN/>
              <w:spacing w:after="0" w:line="288" w:lineRule="auto"/>
              <w:jc w:val="both"/>
              <w:rPr>
                <w:rFonts w:eastAsia="Arial" w:cs="Arial"/>
              </w:rPr>
            </w:pPr>
            <w:r w:rsidRPr="7E32E97F">
              <w:rPr>
                <w:rFonts w:eastAsia="Arial" w:cs="Arial"/>
              </w:rPr>
              <w:t>61.721</w:t>
            </w:r>
          </w:p>
        </w:tc>
      </w:tr>
      <w:tr w:rsidR="005A1BD0" w:rsidRPr="008B4747" w14:paraId="497E8C7F" w14:textId="77777777" w:rsidTr="7E32E97F">
        <w:tc>
          <w:tcPr>
            <w:tcW w:w="3823" w:type="dxa"/>
          </w:tcPr>
          <w:p w14:paraId="4A6C6880" w14:textId="437A7ED2" w:rsidR="005A1BD0" w:rsidRPr="008B4747" w:rsidRDefault="2A170FA4" w:rsidP="5DEFD55E">
            <w:pPr>
              <w:autoSpaceDN/>
              <w:spacing w:after="0" w:line="288" w:lineRule="auto"/>
              <w:jc w:val="both"/>
              <w:rPr>
                <w:rFonts w:cs="Arial"/>
              </w:rPr>
            </w:pPr>
            <w:r w:rsidRPr="7E32E97F">
              <w:rPr>
                <w:rFonts w:cs="Arial"/>
              </w:rPr>
              <w:t xml:space="preserve">ŠTEVILO SLEDILCEV </w:t>
            </w:r>
          </w:p>
        </w:tc>
        <w:tc>
          <w:tcPr>
            <w:tcW w:w="1701" w:type="dxa"/>
          </w:tcPr>
          <w:p w14:paraId="3BF1E22C" w14:textId="7FB52A19" w:rsidR="005A1BD0" w:rsidRPr="008B4747" w:rsidRDefault="5D6AD702" w:rsidP="7E32E97F">
            <w:pPr>
              <w:autoSpaceDN/>
              <w:spacing w:after="0" w:line="288" w:lineRule="auto"/>
              <w:jc w:val="both"/>
              <w:rPr>
                <w:rFonts w:eastAsia="Arial" w:cs="Arial"/>
              </w:rPr>
            </w:pPr>
            <w:r w:rsidRPr="7E32E97F">
              <w:rPr>
                <w:rFonts w:eastAsia="Arial" w:cs="Arial"/>
              </w:rPr>
              <w:t>966</w:t>
            </w:r>
          </w:p>
        </w:tc>
      </w:tr>
    </w:tbl>
    <w:p w14:paraId="4E7A6049" w14:textId="77777777" w:rsidR="00A3593B" w:rsidRDefault="00A3593B" w:rsidP="00A3593B">
      <w:pPr>
        <w:pStyle w:val="Napis"/>
        <w:keepNext/>
        <w:spacing w:after="0"/>
      </w:pPr>
    </w:p>
    <w:p w14:paraId="0DFF8575" w14:textId="11247678" w:rsidR="00A3593B" w:rsidRPr="00A3593B" w:rsidRDefault="1A9A2848" w:rsidP="00A3593B">
      <w:pPr>
        <w:pStyle w:val="Napis"/>
        <w:keepNext/>
        <w:spacing w:after="0"/>
        <w:jc w:val="both"/>
        <w:rPr>
          <w:b w:val="0"/>
          <w:bCs w:val="0"/>
        </w:rPr>
      </w:pPr>
      <w:bookmarkStart w:id="273" w:name="_Toc219986170"/>
      <w:r>
        <w:rPr>
          <w:b w:val="0"/>
          <w:bCs w:val="0"/>
        </w:rPr>
        <w:t xml:space="preserve">Tabela </w:t>
      </w:r>
      <w:r w:rsidR="00A3593B">
        <w:rPr>
          <w:b w:val="0"/>
          <w:bCs w:val="0"/>
        </w:rPr>
        <w:fldChar w:fldCharType="begin"/>
      </w:r>
      <w:r w:rsidR="00A3593B">
        <w:rPr>
          <w:b w:val="0"/>
          <w:bCs w:val="0"/>
        </w:rPr>
        <w:instrText xml:space="preserve"> SEQ Tabela \* ARABIC </w:instrText>
      </w:r>
      <w:r w:rsidR="00A3593B">
        <w:rPr>
          <w:b w:val="0"/>
          <w:bCs w:val="0"/>
        </w:rPr>
        <w:fldChar w:fldCharType="separate"/>
      </w:r>
      <w:r w:rsidR="51EE8C33">
        <w:rPr>
          <w:b w:val="0"/>
          <w:bCs w:val="0"/>
        </w:rPr>
        <w:t>11</w:t>
      </w:r>
      <w:r w:rsidR="00A3593B">
        <w:rPr>
          <w:b w:val="0"/>
          <w:bCs w:val="0"/>
        </w:rPr>
        <w:fldChar w:fldCharType="end"/>
      </w:r>
      <w:r>
        <w:rPr>
          <w:b w:val="0"/>
          <w:bCs w:val="0"/>
        </w:rPr>
        <w:t xml:space="preserve">: Pregled učinkov komuniciranja v </w:t>
      </w:r>
      <w:r w:rsidR="65DAB001">
        <w:rPr>
          <w:b w:val="0"/>
          <w:bCs w:val="0"/>
        </w:rPr>
        <w:t>drugem</w:t>
      </w:r>
      <w:r>
        <w:rPr>
          <w:b w:val="0"/>
          <w:bCs w:val="0"/>
        </w:rPr>
        <w:t xml:space="preserve"> polletju 2025 na družbenih omrežjih Evropska sredstva (Youtube)</w:t>
      </w:r>
      <w:bookmarkEnd w:id="273"/>
    </w:p>
    <w:tbl>
      <w:tblPr>
        <w:tblStyle w:val="Tabelamrea"/>
        <w:tblW w:w="0" w:type="auto"/>
        <w:tblInd w:w="447" w:type="dxa"/>
        <w:tblLook w:val="04A0" w:firstRow="1" w:lastRow="0" w:firstColumn="1" w:lastColumn="0" w:noHBand="0" w:noVBand="1"/>
      </w:tblPr>
      <w:tblGrid>
        <w:gridCol w:w="3816"/>
        <w:gridCol w:w="1701"/>
      </w:tblGrid>
      <w:tr w:rsidR="005A1BD0" w:rsidRPr="008B4747" w14:paraId="726DED47" w14:textId="77777777" w:rsidTr="7E32E97F">
        <w:tc>
          <w:tcPr>
            <w:tcW w:w="3816" w:type="dxa"/>
          </w:tcPr>
          <w:p w14:paraId="4951D58F" w14:textId="2791471E" w:rsidR="005A1BD0" w:rsidRPr="008B4747" w:rsidRDefault="2973BCEA" w:rsidP="5DEFD55E">
            <w:pPr>
              <w:autoSpaceDN/>
              <w:spacing w:after="0" w:line="288" w:lineRule="auto"/>
              <w:jc w:val="both"/>
              <w:rPr>
                <w:rFonts w:cs="Arial"/>
              </w:rPr>
            </w:pPr>
            <w:r w:rsidRPr="7E32E97F">
              <w:rPr>
                <w:rFonts w:cs="Arial"/>
              </w:rPr>
              <w:t>1.7. 2025 - 31. 12. 2025</w:t>
            </w:r>
          </w:p>
        </w:tc>
        <w:tc>
          <w:tcPr>
            <w:tcW w:w="1701" w:type="dxa"/>
          </w:tcPr>
          <w:p w14:paraId="637AA08B" w14:textId="77777777" w:rsidR="005A1BD0" w:rsidRPr="008B4747" w:rsidRDefault="2A170FA4" w:rsidP="7E32E97F">
            <w:pPr>
              <w:autoSpaceDN/>
              <w:spacing w:after="0" w:line="288" w:lineRule="auto"/>
              <w:jc w:val="both"/>
              <w:rPr>
                <w:rFonts w:cs="Arial"/>
                <w:b/>
                <w:bCs/>
              </w:rPr>
            </w:pPr>
            <w:r w:rsidRPr="7E32E97F">
              <w:rPr>
                <w:rFonts w:cs="Arial"/>
                <w:b/>
                <w:bCs/>
              </w:rPr>
              <w:t>YOUTUBE</w:t>
            </w:r>
          </w:p>
        </w:tc>
      </w:tr>
      <w:tr w:rsidR="005A1BD0" w:rsidRPr="008B4747" w14:paraId="4687B6F8" w14:textId="77777777" w:rsidTr="7E32E97F">
        <w:tc>
          <w:tcPr>
            <w:tcW w:w="3816" w:type="dxa"/>
          </w:tcPr>
          <w:p w14:paraId="7E34B580" w14:textId="77777777" w:rsidR="005A1BD0" w:rsidRPr="008B4747" w:rsidRDefault="2A170FA4" w:rsidP="7E32E97F">
            <w:pPr>
              <w:autoSpaceDN/>
              <w:spacing w:after="0" w:line="288" w:lineRule="auto"/>
              <w:jc w:val="both"/>
              <w:rPr>
                <w:rFonts w:cs="Arial"/>
              </w:rPr>
            </w:pPr>
            <w:r w:rsidRPr="7E32E97F">
              <w:rPr>
                <w:rFonts w:cs="Arial"/>
              </w:rPr>
              <w:t>OGLEDI</w:t>
            </w:r>
          </w:p>
        </w:tc>
        <w:tc>
          <w:tcPr>
            <w:tcW w:w="1701" w:type="dxa"/>
          </w:tcPr>
          <w:p w14:paraId="4723E151" w14:textId="5F1BB626" w:rsidR="005A1BD0" w:rsidRPr="008B4747" w:rsidRDefault="3B5A6888" w:rsidP="7E32E97F">
            <w:pPr>
              <w:autoSpaceDN/>
              <w:spacing w:after="0" w:line="288" w:lineRule="auto"/>
              <w:jc w:val="both"/>
              <w:rPr>
                <w:rFonts w:eastAsia="Arial" w:cs="Arial"/>
              </w:rPr>
            </w:pPr>
            <w:r w:rsidRPr="7E32E97F">
              <w:rPr>
                <w:rFonts w:eastAsia="Arial" w:cs="Arial"/>
              </w:rPr>
              <w:t>10.157</w:t>
            </w:r>
          </w:p>
        </w:tc>
      </w:tr>
      <w:tr w:rsidR="005A1BD0" w:rsidRPr="008B4747" w14:paraId="65473601" w14:textId="77777777" w:rsidTr="7E32E97F">
        <w:tc>
          <w:tcPr>
            <w:tcW w:w="3816" w:type="dxa"/>
          </w:tcPr>
          <w:p w14:paraId="5F831A10" w14:textId="77777777" w:rsidR="005A1BD0" w:rsidRPr="008B4747" w:rsidRDefault="2A170FA4" w:rsidP="7E32E97F">
            <w:pPr>
              <w:autoSpaceDN/>
              <w:spacing w:after="0" w:line="288" w:lineRule="auto"/>
              <w:jc w:val="both"/>
              <w:rPr>
                <w:rFonts w:cs="Arial"/>
              </w:rPr>
            </w:pPr>
            <w:r w:rsidRPr="7E32E97F">
              <w:rPr>
                <w:rFonts w:cs="Arial"/>
              </w:rPr>
              <w:t>PRIKAZI</w:t>
            </w:r>
          </w:p>
        </w:tc>
        <w:tc>
          <w:tcPr>
            <w:tcW w:w="1701" w:type="dxa"/>
          </w:tcPr>
          <w:p w14:paraId="438BCD13" w14:textId="632508A7" w:rsidR="005A1BD0" w:rsidRPr="008B4747" w:rsidRDefault="62619B0C" w:rsidP="7E32E97F">
            <w:pPr>
              <w:autoSpaceDN/>
              <w:spacing w:after="0" w:line="288" w:lineRule="auto"/>
              <w:jc w:val="both"/>
              <w:rPr>
                <w:rFonts w:eastAsia="Arial" w:cs="Arial"/>
              </w:rPr>
            </w:pPr>
            <w:r w:rsidRPr="7E32E97F">
              <w:rPr>
                <w:rFonts w:eastAsia="Arial" w:cs="Arial"/>
              </w:rPr>
              <w:t>85.472</w:t>
            </w:r>
          </w:p>
        </w:tc>
      </w:tr>
      <w:tr w:rsidR="005A1BD0" w:rsidRPr="008B4747" w14:paraId="242E723E" w14:textId="77777777" w:rsidTr="7E32E97F">
        <w:tc>
          <w:tcPr>
            <w:tcW w:w="3816" w:type="dxa"/>
          </w:tcPr>
          <w:p w14:paraId="77EFB7F9" w14:textId="79E0846A" w:rsidR="005A1BD0" w:rsidRPr="008B4747" w:rsidRDefault="2A170FA4" w:rsidP="5DEFD55E">
            <w:pPr>
              <w:autoSpaceDN/>
              <w:spacing w:after="0" w:line="288" w:lineRule="auto"/>
              <w:jc w:val="both"/>
              <w:rPr>
                <w:rFonts w:cs="Arial"/>
              </w:rPr>
            </w:pPr>
            <w:r w:rsidRPr="7E32E97F">
              <w:rPr>
                <w:rFonts w:cs="Arial"/>
              </w:rPr>
              <w:t xml:space="preserve">ŠTEVILO NAROČNIKOV </w:t>
            </w:r>
          </w:p>
        </w:tc>
        <w:tc>
          <w:tcPr>
            <w:tcW w:w="1701" w:type="dxa"/>
          </w:tcPr>
          <w:p w14:paraId="4271D613" w14:textId="3AA22944" w:rsidR="005A1BD0" w:rsidRPr="008B4747" w:rsidRDefault="41D2E973" w:rsidP="7E32E97F">
            <w:pPr>
              <w:autoSpaceDN/>
              <w:spacing w:after="0" w:line="288" w:lineRule="auto"/>
              <w:jc w:val="both"/>
              <w:rPr>
                <w:rFonts w:eastAsia="Arial" w:cs="Arial"/>
              </w:rPr>
            </w:pPr>
            <w:r w:rsidRPr="7E32E97F">
              <w:rPr>
                <w:rFonts w:eastAsia="Arial" w:cs="Arial"/>
              </w:rPr>
              <w:t>223</w:t>
            </w:r>
          </w:p>
        </w:tc>
      </w:tr>
    </w:tbl>
    <w:p w14:paraId="14FB7174" w14:textId="77777777" w:rsidR="007D134D" w:rsidRPr="007D134D" w:rsidRDefault="007D134D" w:rsidP="007D134D">
      <w:pPr>
        <w:pStyle w:val="Odstavekseznama"/>
        <w:autoSpaceDN/>
        <w:spacing w:after="0" w:line="288" w:lineRule="auto"/>
        <w:jc w:val="both"/>
        <w:rPr>
          <w:rFonts w:cs="Arial"/>
        </w:rPr>
      </w:pPr>
    </w:p>
    <w:p w14:paraId="69BA235D" w14:textId="6BC26413" w:rsidR="005A1BD0" w:rsidRPr="00602817" w:rsidRDefault="2A170FA4" w:rsidP="00602817">
      <w:pPr>
        <w:pStyle w:val="Odstavekseznama"/>
        <w:numPr>
          <w:ilvl w:val="0"/>
          <w:numId w:val="49"/>
        </w:numPr>
        <w:autoSpaceDN/>
        <w:spacing w:after="0" w:line="288" w:lineRule="auto"/>
        <w:jc w:val="both"/>
        <w:rPr>
          <w:rFonts w:cs="Arial"/>
        </w:rPr>
      </w:pPr>
      <w:r w:rsidRPr="7E32E97F">
        <w:rPr>
          <w:rFonts w:cs="Arial"/>
          <w:b/>
          <w:bCs/>
        </w:rPr>
        <w:t>Vizija kohezija:</w:t>
      </w:r>
      <w:r w:rsidRPr="7E32E97F">
        <w:rPr>
          <w:rFonts w:cs="Arial"/>
        </w:rPr>
        <w:t xml:space="preserve"> Vizij</w:t>
      </w:r>
      <w:r w:rsidR="020150D8" w:rsidRPr="7E32E97F">
        <w:rPr>
          <w:rFonts w:cs="Arial"/>
        </w:rPr>
        <w:t>o</w:t>
      </w:r>
      <w:r w:rsidRPr="7E32E97F">
        <w:rPr>
          <w:rFonts w:cs="Arial"/>
        </w:rPr>
        <w:t xml:space="preserve"> kohezij</w:t>
      </w:r>
      <w:r w:rsidR="7630B79D" w:rsidRPr="7E32E97F">
        <w:rPr>
          <w:rFonts w:cs="Arial"/>
        </w:rPr>
        <w:t>o</w:t>
      </w:r>
      <w:r w:rsidRPr="7E32E97F">
        <w:rPr>
          <w:rFonts w:cs="Arial"/>
        </w:rPr>
        <w:t xml:space="preserve"> še naprej izdajamo mesečno. V njej objavljamo aktualne javne razpise in javne pozive, primere dobrih praks, napovedi dogodkov in druge zanimivosti.</w:t>
      </w:r>
      <w:r w:rsidR="00245E96">
        <w:rPr>
          <w:rFonts w:cs="Arial"/>
        </w:rPr>
        <w:t xml:space="preserve"> </w:t>
      </w:r>
      <w:r w:rsidR="682A98D2" w:rsidRPr="7E32E97F">
        <w:rPr>
          <w:rFonts w:cs="Arial"/>
        </w:rPr>
        <w:t>Konec leta smo beležili 7950 naročnikov.</w:t>
      </w:r>
      <w:r w:rsidRPr="7E32E97F">
        <w:rPr>
          <w:rFonts w:cs="Arial"/>
        </w:rPr>
        <w:t xml:space="preserve"> Vsi izvodi so dosegljivi na </w:t>
      </w:r>
      <w:hyperlink r:id="rId30">
        <w:r w:rsidRPr="7E32E97F">
          <w:rPr>
            <w:rFonts w:cs="Arial"/>
            <w:color w:val="0000FF"/>
            <w:u w:val="single"/>
          </w:rPr>
          <w:t>https://evropskasredstva.si/e-novice-vizija-kohezija/</w:t>
        </w:r>
      </w:hyperlink>
      <w:r w:rsidRPr="7E32E97F">
        <w:rPr>
          <w:rFonts w:cs="Arial"/>
        </w:rPr>
        <w:t>.</w:t>
      </w:r>
    </w:p>
    <w:p w14:paraId="769CB199" w14:textId="1E099027" w:rsidR="00602817" w:rsidRDefault="2A170FA4" w:rsidP="00602817">
      <w:pPr>
        <w:numPr>
          <w:ilvl w:val="0"/>
          <w:numId w:val="49"/>
        </w:numPr>
        <w:autoSpaceDN/>
        <w:spacing w:after="0" w:line="288" w:lineRule="auto"/>
        <w:jc w:val="both"/>
        <w:rPr>
          <w:rFonts w:cs="Arial"/>
          <w:b/>
          <w:bCs/>
        </w:rPr>
      </w:pPr>
      <w:r w:rsidRPr="7E32E97F">
        <w:rPr>
          <w:rFonts w:cs="Arial"/>
          <w:b/>
          <w:bCs/>
        </w:rPr>
        <w:t>Interaktivna svetovalka EMA:</w:t>
      </w:r>
      <w:r w:rsidRPr="7E32E97F">
        <w:rPr>
          <w:rFonts w:cs="Arial"/>
        </w:rPr>
        <w:t xml:space="preserve"> v sodelovanju s pristojnimi resorji je interaktivna svetovalka Ema učinkovita enotna vstopna točka za vsa vprašanja glede evropskih skladov. Potencialnim upravičencem nudimo informacijsko središče z brezplačno telefonsko številko, ki je dnevno na voljo od 9. do 12. ure, preko elektronskega naslova eutocka.mkrr@gov.si</w:t>
      </w:r>
      <w:r w:rsidR="005A1BD0" w:rsidRPr="7E32E97F">
        <w:rPr>
          <w:rFonts w:cs="Arial"/>
        </w:rPr>
        <w:fldChar w:fldCharType="begin"/>
      </w:r>
      <w:r w:rsidR="005A1BD0" w:rsidRPr="7E32E97F">
        <w:rPr>
          <w:rFonts w:cs="Arial"/>
        </w:rPr>
        <w:instrText>eutocka.mkrr@gov.si</w:instrText>
      </w:r>
      <w:r w:rsidR="005A1BD0" w:rsidRPr="7E32E97F">
        <w:rPr>
          <w:rFonts w:cs="Arial"/>
        </w:rPr>
        <w:fldChar w:fldCharType="separate"/>
      </w:r>
      <w:r w:rsidR="005A1BD0" w:rsidRPr="7E32E97F">
        <w:rPr>
          <w:rFonts w:cs="Arial"/>
        </w:rPr>
        <w:fldChar w:fldCharType="end"/>
      </w:r>
      <w:r w:rsidRPr="7E32E97F">
        <w:rPr>
          <w:rFonts w:cs="Arial"/>
        </w:rPr>
        <w:t xml:space="preserve"> ali preko interaktivnega obrazca na evropskasredstva.si</w:t>
      </w:r>
      <w:r w:rsidRPr="7E32E97F">
        <w:rPr>
          <w:rFonts w:cs="Arial"/>
          <w:b/>
          <w:bCs/>
        </w:rPr>
        <w:t xml:space="preserve">. V obdobju </w:t>
      </w:r>
      <w:r w:rsidR="5F8986C7" w:rsidRPr="7E32E97F">
        <w:rPr>
          <w:rFonts w:cs="Arial"/>
          <w:b/>
          <w:bCs/>
        </w:rPr>
        <w:t>31</w:t>
      </w:r>
      <w:r w:rsidRPr="7E32E97F">
        <w:rPr>
          <w:rFonts w:cs="Arial"/>
          <w:b/>
          <w:bCs/>
        </w:rPr>
        <w:t xml:space="preserve">. </w:t>
      </w:r>
      <w:r w:rsidR="3D2929A1" w:rsidRPr="7E32E97F">
        <w:rPr>
          <w:rFonts w:cs="Arial"/>
          <w:b/>
          <w:bCs/>
        </w:rPr>
        <w:t>6</w:t>
      </w:r>
      <w:r w:rsidRPr="7E32E97F">
        <w:rPr>
          <w:rFonts w:cs="Arial"/>
          <w:b/>
          <w:bCs/>
        </w:rPr>
        <w:t>. 2025</w:t>
      </w:r>
      <w:r w:rsidR="0FAED5E2" w:rsidRPr="7E32E97F">
        <w:rPr>
          <w:rFonts w:cs="Arial"/>
          <w:b/>
          <w:bCs/>
        </w:rPr>
        <w:t xml:space="preserve"> </w:t>
      </w:r>
      <w:r w:rsidRPr="7E32E97F">
        <w:rPr>
          <w:rFonts w:cs="Arial"/>
          <w:b/>
          <w:bCs/>
        </w:rPr>
        <w:t>-</w:t>
      </w:r>
      <w:r w:rsidR="0FAED5E2" w:rsidRPr="7E32E97F">
        <w:rPr>
          <w:rFonts w:cs="Arial"/>
          <w:b/>
          <w:bCs/>
        </w:rPr>
        <w:t xml:space="preserve"> </w:t>
      </w:r>
      <w:r w:rsidRPr="7E32E97F">
        <w:rPr>
          <w:rFonts w:cs="Arial"/>
          <w:b/>
          <w:bCs/>
        </w:rPr>
        <w:t>3</w:t>
      </w:r>
      <w:r w:rsidR="10D80B99" w:rsidRPr="7E32E97F">
        <w:rPr>
          <w:rFonts w:cs="Arial"/>
          <w:b/>
          <w:bCs/>
        </w:rPr>
        <w:t>1</w:t>
      </w:r>
      <w:r w:rsidRPr="7E32E97F">
        <w:rPr>
          <w:rFonts w:cs="Arial"/>
          <w:b/>
          <w:bCs/>
        </w:rPr>
        <w:t xml:space="preserve">. </w:t>
      </w:r>
      <w:r w:rsidR="6C4140D0" w:rsidRPr="7E32E97F">
        <w:rPr>
          <w:rFonts w:cs="Arial"/>
          <w:b/>
          <w:bCs/>
        </w:rPr>
        <w:t>12</w:t>
      </w:r>
      <w:r w:rsidRPr="7E32E97F">
        <w:rPr>
          <w:rFonts w:cs="Arial"/>
          <w:b/>
          <w:bCs/>
        </w:rPr>
        <w:t>. 2025 smo preko tega orodja odgovorili na 1</w:t>
      </w:r>
      <w:r w:rsidR="78CED4DE" w:rsidRPr="7E32E97F">
        <w:rPr>
          <w:rFonts w:cs="Arial"/>
          <w:b/>
          <w:bCs/>
        </w:rPr>
        <w:t>55</w:t>
      </w:r>
      <w:r w:rsidRPr="7E32E97F">
        <w:rPr>
          <w:rFonts w:cs="Arial"/>
          <w:b/>
          <w:bCs/>
        </w:rPr>
        <w:t xml:space="preserve"> vprašanj oz. sporočil.</w:t>
      </w:r>
    </w:p>
    <w:p w14:paraId="7E471707" w14:textId="6448C0D6" w:rsidR="005A1BD0" w:rsidRPr="00602817" w:rsidRDefault="2A170FA4" w:rsidP="7E32E97F">
      <w:pPr>
        <w:numPr>
          <w:ilvl w:val="0"/>
          <w:numId w:val="49"/>
        </w:numPr>
        <w:spacing w:after="0" w:line="288" w:lineRule="auto"/>
        <w:jc w:val="both"/>
        <w:rPr>
          <w:rFonts w:eastAsia="Arial" w:cs="Arial"/>
        </w:rPr>
      </w:pPr>
      <w:r w:rsidRPr="7E32E97F">
        <w:rPr>
          <w:rFonts w:cs="Arial"/>
          <w:b/>
          <w:bCs/>
        </w:rPr>
        <w:t>INFORM-SI:</w:t>
      </w:r>
      <w:r w:rsidRPr="7E32E97F">
        <w:rPr>
          <w:rFonts w:cs="Arial"/>
        </w:rPr>
        <w:t xml:space="preserve"> Delovna skupina INFORM-SI, v katero so imenovani programski komunikatorji, komunikatorji posredniških teles EKP in pridruženi komunikatorji kohezijskih regij se je </w:t>
      </w:r>
      <w:r w:rsidR="79FABA74" w:rsidRPr="7E32E97F">
        <w:rPr>
          <w:rFonts w:cs="Arial"/>
        </w:rPr>
        <w:lastRenderedPageBreak/>
        <w:t>novembra</w:t>
      </w:r>
      <w:r w:rsidRPr="7E32E97F">
        <w:rPr>
          <w:rFonts w:cs="Arial"/>
        </w:rPr>
        <w:t xml:space="preserve"> sestala na </w:t>
      </w:r>
      <w:r w:rsidR="31E4F9F9" w:rsidRPr="7E32E97F">
        <w:rPr>
          <w:rFonts w:cs="Arial"/>
        </w:rPr>
        <w:t>drugem</w:t>
      </w:r>
      <w:r w:rsidRPr="7E32E97F">
        <w:rPr>
          <w:rFonts w:cs="Arial"/>
        </w:rPr>
        <w:t xml:space="preserve"> plenarnem zasedanju</w:t>
      </w:r>
      <w:r w:rsidR="725FCCFD" w:rsidRPr="7E32E97F">
        <w:rPr>
          <w:rFonts w:cs="Arial"/>
        </w:rPr>
        <w:t xml:space="preserve"> v le</w:t>
      </w:r>
      <w:r w:rsidR="2B7C6A7C" w:rsidRPr="7E32E97F">
        <w:rPr>
          <w:rFonts w:cs="Arial"/>
        </w:rPr>
        <w:t>tu 2026</w:t>
      </w:r>
      <w:r w:rsidR="36CC3504" w:rsidRPr="7E32E97F">
        <w:rPr>
          <w:rFonts w:cs="Arial"/>
        </w:rPr>
        <w:t>, v okviru katerega je potekala predstavitev</w:t>
      </w:r>
      <w:r w:rsidR="4C4CFF82" w:rsidRPr="7E32E97F">
        <w:rPr>
          <w:rFonts w:eastAsia="Arial" w:cs="Arial"/>
        </w:rPr>
        <w:t xml:space="preserve"> izvedenih komunikacijskih aktivnosti v letu 2025 in obisk primera dobre prakse</w:t>
      </w:r>
      <w:r w:rsidR="24CDDF0E" w:rsidRPr="7E32E97F">
        <w:rPr>
          <w:rFonts w:eastAsia="Arial" w:cs="Arial"/>
        </w:rPr>
        <w:t>.</w:t>
      </w:r>
    </w:p>
    <w:p w14:paraId="33EDBBE8" w14:textId="1BD58C1B" w:rsidR="3CDF399B" w:rsidRDefault="745AD1D2" w:rsidP="7E32E97F">
      <w:pPr>
        <w:numPr>
          <w:ilvl w:val="0"/>
          <w:numId w:val="49"/>
        </w:numPr>
        <w:spacing w:after="0" w:line="288" w:lineRule="auto"/>
        <w:jc w:val="both"/>
        <w:rPr>
          <w:rFonts w:eastAsia="Arial" w:cs="Arial"/>
        </w:rPr>
      </w:pPr>
      <w:r w:rsidRPr="7E32E97F">
        <w:rPr>
          <w:rFonts w:eastAsia="Arial" w:cs="Arial"/>
        </w:rPr>
        <w:t xml:space="preserve">Javnomnenjska raziskava: </w:t>
      </w:r>
      <w:r w:rsidR="28B9BF89" w:rsidRPr="7E32E97F">
        <w:rPr>
          <w:rFonts w:eastAsia="Arial" w:cs="Arial"/>
        </w:rPr>
        <w:t>Javnomnenjska raziskava o evropski kohezijski politiki, izvedena novembra 2025 na reprezentativnem vzorcu 1504 polnoletnih prebivalcev Slovenije, kaže, da je 80 % anketirancev že slišalo za projekte, sofinancirane iz evropskih sredstev, kar 90 % pa jih ocenjuje njihov vpliv na razvoj Slovenije kot pozitiven. Več kot polovica vprašanih (56 %) opaža rezultate evropskih investicij v lokalnem okolju, najpogosteje prek označevalnih tabel projektov.</w:t>
      </w:r>
      <w:r w:rsidR="7A82D02B" w:rsidRPr="7E32E97F">
        <w:rPr>
          <w:rFonts w:eastAsia="Arial" w:cs="Arial"/>
        </w:rPr>
        <w:t xml:space="preserve"> Celotna raziskava je dostopna na povezavi: </w:t>
      </w:r>
      <w:hyperlink r:id="rId31" w:history="1">
        <w:r w:rsidR="5A973B57" w:rsidRPr="7E32E97F">
          <w:rPr>
            <w:rStyle w:val="Hiperpovezava"/>
            <w:rFonts w:eastAsia="Arial" w:cs="Arial"/>
          </w:rPr>
          <w:t>Poročila, vrednotenja in javnomnenjske raziskave - Evropska sredstva</w:t>
        </w:r>
      </w:hyperlink>
      <w:r w:rsidR="5A973B57" w:rsidRPr="7E32E97F">
        <w:rPr>
          <w:rFonts w:eastAsia="Arial" w:cs="Arial"/>
        </w:rPr>
        <w:t>.</w:t>
      </w:r>
    </w:p>
    <w:p w14:paraId="48812098" w14:textId="5C58034D" w:rsidR="005A1BD0" w:rsidRDefault="00035B6F" w:rsidP="7E32E97F">
      <w:pPr>
        <w:autoSpaceDN/>
        <w:spacing w:after="0" w:line="288" w:lineRule="auto"/>
        <w:jc w:val="both"/>
        <w:rPr>
          <w:rFonts w:cs="Arial"/>
        </w:rPr>
      </w:pPr>
      <w:r>
        <w:rPr>
          <w:rFonts w:cs="Arial"/>
        </w:rPr>
        <w:t xml:space="preserve"> </w:t>
      </w:r>
    </w:p>
    <w:p w14:paraId="3897CA04" w14:textId="37953A76" w:rsidR="007504BE" w:rsidRDefault="6DFA9401" w:rsidP="5DEFD55E">
      <w:pPr>
        <w:autoSpaceDN/>
        <w:spacing w:after="0" w:line="288" w:lineRule="auto"/>
        <w:jc w:val="both"/>
        <w:rPr>
          <w:rFonts w:cs="Arial"/>
        </w:rPr>
      </w:pPr>
      <w:r w:rsidRPr="7E32E97F">
        <w:rPr>
          <w:rFonts w:cs="Arial"/>
        </w:rPr>
        <w:t>V obravnavanem obdobju smo nadaljevali z aktivnostmi seznanjanja ciljnih javnosti z vsebino PEKP, obveščali o načrtovanih sredstvih za posamezna področja in motivirali upravičence k pripravi projektov v tem okviru.</w:t>
      </w:r>
      <w:r w:rsidR="0E726913" w:rsidRPr="7E32E97F">
        <w:rPr>
          <w:rFonts w:cs="Arial"/>
        </w:rPr>
        <w:t xml:space="preserve"> Upravičence</w:t>
      </w:r>
      <w:r w:rsidR="4D60616B" w:rsidRPr="7E32E97F">
        <w:rPr>
          <w:rFonts w:cs="Arial"/>
        </w:rPr>
        <w:t xml:space="preserve"> in posredniška telesa</w:t>
      </w:r>
      <w:r w:rsidR="0E726913" w:rsidRPr="7E32E97F">
        <w:rPr>
          <w:rFonts w:cs="Arial"/>
        </w:rPr>
        <w:t xml:space="preserve"> smo </w:t>
      </w:r>
      <w:r w:rsidR="23E5181D" w:rsidRPr="7E32E97F">
        <w:rPr>
          <w:rFonts w:cs="Arial"/>
        </w:rPr>
        <w:t>podpirali pri</w:t>
      </w:r>
      <w:r w:rsidR="59A4FF87" w:rsidRPr="7E32E97F">
        <w:rPr>
          <w:rFonts w:cs="Arial"/>
        </w:rPr>
        <w:t xml:space="preserve"> izpolnjevanju obveznosti informiranja in zagotavljanja vidnosti ter pri</w:t>
      </w:r>
      <w:r w:rsidR="23E5181D" w:rsidRPr="7E32E97F">
        <w:rPr>
          <w:rFonts w:cs="Arial"/>
        </w:rPr>
        <w:t xml:space="preserve"> </w:t>
      </w:r>
      <w:r w:rsidR="0E726913" w:rsidRPr="7E32E97F">
        <w:rPr>
          <w:rFonts w:cs="Arial"/>
        </w:rPr>
        <w:t>organizaciji komunikacijskih aktivnosti in dogodkov v okviru operacij strateškega pomena in operacij, ki presegajo skupno vrednost 10 milijonov evrov</w:t>
      </w:r>
      <w:r w:rsidR="4AD4BE04" w:rsidRPr="7E32E97F">
        <w:rPr>
          <w:rFonts w:cs="Arial"/>
        </w:rPr>
        <w:t>.</w:t>
      </w:r>
      <w:r w:rsidR="6C056F77" w:rsidRPr="7E32E97F">
        <w:rPr>
          <w:rFonts w:cs="Arial"/>
        </w:rPr>
        <w:t xml:space="preserve"> V želji po dvigu prepoznavnosti evropskih projektov v Sloveniji smo registrirali besedno znamk</w:t>
      </w:r>
      <w:r w:rsidR="52D442D7" w:rsidRPr="7E32E97F">
        <w:rPr>
          <w:rFonts w:cs="Arial"/>
        </w:rPr>
        <w:t>o</w:t>
      </w:r>
      <w:r w:rsidR="6C056F77" w:rsidRPr="7E32E97F">
        <w:rPr>
          <w:rFonts w:cs="Arial"/>
        </w:rPr>
        <w:t xml:space="preserve"> »Dobre zgodbe Evrope«</w:t>
      </w:r>
      <w:r w:rsidR="5E7598DB" w:rsidRPr="7E32E97F">
        <w:rPr>
          <w:rFonts w:cs="Arial"/>
        </w:rPr>
        <w:t>.</w:t>
      </w:r>
    </w:p>
    <w:p w14:paraId="353EE107" w14:textId="0A1AD6B3" w:rsidR="007504BE" w:rsidRDefault="007504BE" w:rsidP="5DEFD55E">
      <w:pPr>
        <w:autoSpaceDN/>
        <w:spacing w:after="0" w:line="288" w:lineRule="auto"/>
        <w:jc w:val="both"/>
        <w:rPr>
          <w:rFonts w:cs="Arial"/>
        </w:rPr>
        <w:sectPr w:rsidR="007504BE" w:rsidSect="00AB03C7">
          <w:pgSz w:w="11906" w:h="16838" w:code="9"/>
          <w:pgMar w:top="1418" w:right="1418" w:bottom="1418" w:left="1418" w:header="709" w:footer="709" w:gutter="0"/>
          <w:cols w:space="708"/>
          <w:docGrid w:linePitch="272"/>
        </w:sectPr>
      </w:pPr>
    </w:p>
    <w:p w14:paraId="668C3AB7" w14:textId="77777777" w:rsidR="00AB03C7" w:rsidRPr="00AB03C7" w:rsidRDefault="337735FB" w:rsidP="7E32E97F">
      <w:pPr>
        <w:pStyle w:val="Naslov10"/>
        <w:spacing w:before="0" w:after="0"/>
        <w:rPr>
          <w:rFonts w:cs="Arial"/>
        </w:rPr>
      </w:pPr>
      <w:bookmarkStart w:id="274" w:name="_Toc219974421"/>
      <w:r w:rsidRPr="7E32E97F">
        <w:rPr>
          <w:rFonts w:cs="Arial"/>
        </w:rPr>
        <w:lastRenderedPageBreak/>
        <w:t>PROGRAMSKO OBDOBJE 2014–2020: AKTUALNO STANJE IN GLAVNE AKTIVNOSTI V PRVEM POLLETJU LETA 2025</w:t>
      </w:r>
      <w:bookmarkEnd w:id="274"/>
    </w:p>
    <w:p w14:paraId="2CB5613D" w14:textId="77777777" w:rsidR="00AB03C7" w:rsidRPr="00AB03C7" w:rsidRDefault="00AB03C7" w:rsidP="00AB03C7">
      <w:pPr>
        <w:autoSpaceDE w:val="0"/>
        <w:spacing w:after="0" w:line="276" w:lineRule="auto"/>
        <w:jc w:val="both"/>
        <w:rPr>
          <w:rFonts w:cs="Arial"/>
          <w:sz w:val="22"/>
          <w:szCs w:val="22"/>
        </w:rPr>
      </w:pPr>
    </w:p>
    <w:p w14:paraId="45602412" w14:textId="21A10B31" w:rsidR="00AB03C7" w:rsidRPr="00AB03C7" w:rsidRDefault="337735FB" w:rsidP="7E32E97F">
      <w:pPr>
        <w:autoSpaceDE w:val="0"/>
        <w:spacing w:after="0" w:line="276" w:lineRule="auto"/>
        <w:jc w:val="both"/>
        <w:rPr>
          <w:rFonts w:cs="Arial"/>
        </w:rPr>
      </w:pPr>
      <w:r w:rsidRPr="7E32E97F">
        <w:rPr>
          <w:rFonts w:cs="Arial"/>
        </w:rPr>
        <w:t>Poročilo o izvajanju evropske kohezijske politike 2014–2020 povzema pregled stanja v okviru OP EKP-ja na dan 3</w:t>
      </w:r>
      <w:r w:rsidR="2C0B6274" w:rsidRPr="7E32E97F">
        <w:rPr>
          <w:rFonts w:cs="Arial"/>
        </w:rPr>
        <w:t>1</w:t>
      </w:r>
      <w:r w:rsidRPr="7E32E97F">
        <w:rPr>
          <w:rFonts w:cs="Arial"/>
        </w:rPr>
        <w:t xml:space="preserve">. </w:t>
      </w:r>
      <w:r w:rsidR="2C0B6274" w:rsidRPr="7E32E97F">
        <w:rPr>
          <w:rFonts w:cs="Arial"/>
        </w:rPr>
        <w:t>12</w:t>
      </w:r>
      <w:r w:rsidRPr="7E32E97F">
        <w:rPr>
          <w:rFonts w:cs="Arial"/>
        </w:rPr>
        <w:t xml:space="preserve">. 2025. </w:t>
      </w:r>
    </w:p>
    <w:p w14:paraId="1454A840" w14:textId="77777777" w:rsidR="00AB03C7" w:rsidRPr="00AB03C7" w:rsidRDefault="00AB03C7" w:rsidP="7E32E97F">
      <w:pPr>
        <w:autoSpaceDE w:val="0"/>
        <w:spacing w:after="0" w:line="276" w:lineRule="auto"/>
        <w:jc w:val="both"/>
        <w:rPr>
          <w:rFonts w:cs="Arial"/>
        </w:rPr>
      </w:pPr>
    </w:p>
    <w:p w14:paraId="6F600AC8" w14:textId="512832F5" w:rsidR="00AB03C7" w:rsidRPr="00AB03C7" w:rsidRDefault="337735FB" w:rsidP="7E32E97F">
      <w:pPr>
        <w:autoSpaceDE w:val="0"/>
        <w:spacing w:after="0" w:line="276" w:lineRule="auto"/>
        <w:jc w:val="both"/>
        <w:rPr>
          <w:rFonts w:cs="Arial"/>
        </w:rPr>
      </w:pPr>
      <w:r w:rsidRPr="7E32E97F">
        <w:rPr>
          <w:rFonts w:cs="Arial"/>
        </w:rPr>
        <w:t>Pripravljeno je na osnovi podatkov iz informacijskega sistema organa upravljanja (IS e-MA), podatkov iz informacijskega sistema organa za potrjevanje (IS e-CA) in informacijskega sistema Ministrstva za finance (MF</w:t>
      </w:r>
      <w:r w:rsidR="2594A090" w:rsidRPr="7E32E97F">
        <w:rPr>
          <w:rFonts w:cs="Arial"/>
        </w:rPr>
        <w:t>E</w:t>
      </w:r>
      <w:r w:rsidRPr="7E32E97F">
        <w:rPr>
          <w:rFonts w:cs="Arial"/>
        </w:rPr>
        <w:t>RAC).</w:t>
      </w:r>
    </w:p>
    <w:p w14:paraId="528A9AA2" w14:textId="77777777" w:rsidR="00AB03C7" w:rsidRPr="00AB03C7" w:rsidRDefault="00AB03C7" w:rsidP="7E32E97F">
      <w:pPr>
        <w:autoSpaceDE w:val="0"/>
        <w:spacing w:after="0" w:line="276" w:lineRule="auto"/>
        <w:jc w:val="both"/>
        <w:rPr>
          <w:rFonts w:cs="Arial"/>
        </w:rPr>
      </w:pPr>
    </w:p>
    <w:p w14:paraId="2A5B1BFC" w14:textId="2E652B43" w:rsidR="00AB03C7" w:rsidRPr="00AB03C7" w:rsidRDefault="337735FB" w:rsidP="7E32E97F">
      <w:pPr>
        <w:pStyle w:val="Naslov2"/>
        <w:spacing w:before="0"/>
      </w:pPr>
      <w:bookmarkStart w:id="275" w:name="_Toc219974422"/>
      <w:r>
        <w:t>ZAKLJUČEVANJE OP EKP</w:t>
      </w:r>
      <w:r w:rsidR="47B88CD4">
        <w:t xml:space="preserve"> 2014</w:t>
      </w:r>
      <w:r w:rsidR="420C9C6F">
        <w:t>–</w:t>
      </w:r>
      <w:r w:rsidR="47B88CD4">
        <w:t>2020</w:t>
      </w:r>
      <w:bookmarkEnd w:id="275"/>
    </w:p>
    <w:p w14:paraId="044D51F1" w14:textId="77777777" w:rsidR="00AB03C7" w:rsidRPr="00AB03C7" w:rsidRDefault="00AB03C7" w:rsidP="7E32E97F">
      <w:pPr>
        <w:spacing w:after="0"/>
        <w:jc w:val="both"/>
        <w:rPr>
          <w:rFonts w:eastAsia="SimSun" w:cs="Arial"/>
        </w:rPr>
      </w:pPr>
    </w:p>
    <w:p w14:paraId="254D314A" w14:textId="77777777" w:rsidR="00AB03C7" w:rsidRPr="00AB03C7" w:rsidRDefault="337735FB" w:rsidP="7E32E97F">
      <w:pPr>
        <w:autoSpaceDE w:val="0"/>
        <w:adjustRightInd w:val="0"/>
        <w:spacing w:after="0" w:line="288" w:lineRule="auto"/>
        <w:jc w:val="both"/>
        <w:rPr>
          <w:rFonts w:cs="Arial"/>
        </w:rPr>
      </w:pPr>
      <w:r w:rsidRPr="7E32E97F">
        <w:rPr>
          <w:rFonts w:cs="Arial"/>
        </w:rPr>
        <w:t xml:space="preserve">Slovenija je pri izvajanju EKP razdeljena na dve kohezijski regiji, in sicer na kohezijsko regijo Vzhodna Slovenija (v nadaljnjem besedilu: KRVS) in kohezijsko regijo Zahodna Slovenija (v nadaljnjem besedilu: KRZS). Na podlagi enotne metodologije EU so sredstva ESRR in ESS razdeljena tako, da KRVS pripada 60,6 % razpoložljivih sredstev in KRZS 39,4 % razpoložljivih sredstev. Za osnovno delitev med skladoma (tj. ESRR in ESS) so bile upoštevane razlike v razvitosti, potrebah in stanju na trgu dela v obeh kohezijskih regijah ter v napovedih povečevanja stopnje tveganja revščine. </w:t>
      </w:r>
    </w:p>
    <w:p w14:paraId="1D68BA34" w14:textId="77777777" w:rsidR="00AB03C7" w:rsidRPr="00AB03C7" w:rsidRDefault="00AB03C7" w:rsidP="7E32E97F">
      <w:pPr>
        <w:autoSpaceDE w:val="0"/>
        <w:adjustRightInd w:val="0"/>
        <w:spacing w:after="0" w:line="288" w:lineRule="auto"/>
        <w:jc w:val="both"/>
        <w:rPr>
          <w:rFonts w:cs="Arial"/>
        </w:rPr>
      </w:pPr>
    </w:p>
    <w:p w14:paraId="55BC19F5" w14:textId="77777777" w:rsidR="00AB03C7" w:rsidRPr="00AB03C7" w:rsidRDefault="337735FB" w:rsidP="7E32E97F">
      <w:pPr>
        <w:autoSpaceDE w:val="0"/>
        <w:adjustRightInd w:val="0"/>
        <w:spacing w:after="0" w:line="288" w:lineRule="auto"/>
        <w:jc w:val="both"/>
        <w:rPr>
          <w:rFonts w:cs="Arial"/>
        </w:rPr>
      </w:pPr>
      <w:r w:rsidRPr="7E32E97F">
        <w:rPr>
          <w:rFonts w:cs="Arial"/>
        </w:rPr>
        <w:t>V okviru razpoložljivih sredstev za programsko obdobje 2014–2020 je razdelitev sredstev po skladih naslednja:</w:t>
      </w:r>
    </w:p>
    <w:p w14:paraId="2C3CA745" w14:textId="06A31EB2" w:rsidR="00AB03C7" w:rsidRPr="00AB03C7" w:rsidRDefault="337735FB" w:rsidP="00C13272">
      <w:pPr>
        <w:numPr>
          <w:ilvl w:val="0"/>
          <w:numId w:val="18"/>
        </w:numPr>
        <w:autoSpaceDE w:val="0"/>
        <w:autoSpaceDN/>
        <w:adjustRightInd w:val="0"/>
        <w:spacing w:after="0" w:line="276" w:lineRule="auto"/>
        <w:ind w:left="714" w:hanging="357"/>
        <w:jc w:val="both"/>
        <w:rPr>
          <w:rFonts w:cs="Arial"/>
        </w:rPr>
      </w:pPr>
      <w:r w:rsidRPr="7E32E97F">
        <w:rPr>
          <w:rFonts w:cs="Arial"/>
        </w:rPr>
        <w:t>ESRR: 1.416.685.363 EUR;</w:t>
      </w:r>
    </w:p>
    <w:p w14:paraId="2DE9BEAF" w14:textId="3ADD458B" w:rsidR="00AB03C7" w:rsidRPr="00AB03C7" w:rsidRDefault="337735FB" w:rsidP="00C13272">
      <w:pPr>
        <w:numPr>
          <w:ilvl w:val="0"/>
          <w:numId w:val="18"/>
        </w:numPr>
        <w:autoSpaceDE w:val="0"/>
        <w:autoSpaceDN/>
        <w:adjustRightInd w:val="0"/>
        <w:spacing w:after="0" w:line="276" w:lineRule="auto"/>
        <w:ind w:left="714" w:hanging="357"/>
        <w:jc w:val="both"/>
        <w:rPr>
          <w:rFonts w:cs="Arial"/>
        </w:rPr>
      </w:pPr>
      <w:r w:rsidRPr="7E32E97F">
        <w:rPr>
          <w:rFonts w:cs="Arial"/>
        </w:rPr>
        <w:t>ESS: 718.769.595 EUR;</w:t>
      </w:r>
    </w:p>
    <w:p w14:paraId="7B451763" w14:textId="77777777" w:rsidR="00AB03C7" w:rsidRPr="00AB03C7" w:rsidRDefault="337735FB" w:rsidP="7E32E97F">
      <w:pPr>
        <w:numPr>
          <w:ilvl w:val="0"/>
          <w:numId w:val="18"/>
        </w:numPr>
        <w:autoSpaceDE w:val="0"/>
        <w:autoSpaceDN/>
        <w:adjustRightInd w:val="0"/>
        <w:spacing w:after="0" w:line="276" w:lineRule="auto"/>
        <w:ind w:left="714" w:hanging="357"/>
        <w:jc w:val="both"/>
        <w:rPr>
          <w:rFonts w:cs="Arial"/>
        </w:rPr>
      </w:pPr>
      <w:r w:rsidRPr="7E32E97F">
        <w:rPr>
          <w:rFonts w:cs="Arial"/>
        </w:rPr>
        <w:t>KS: 914.046.895 EUR;</w:t>
      </w:r>
    </w:p>
    <w:p w14:paraId="249F2CAC" w14:textId="77777777" w:rsidR="00AB03C7" w:rsidRPr="00AB03C7" w:rsidRDefault="337735FB" w:rsidP="7E32E97F">
      <w:pPr>
        <w:numPr>
          <w:ilvl w:val="0"/>
          <w:numId w:val="18"/>
        </w:numPr>
        <w:autoSpaceDE w:val="0"/>
        <w:autoSpaceDN/>
        <w:adjustRightInd w:val="0"/>
        <w:spacing w:after="0" w:line="276" w:lineRule="auto"/>
        <w:ind w:left="714" w:hanging="357"/>
        <w:jc w:val="both"/>
        <w:rPr>
          <w:rFonts w:cs="Arial"/>
        </w:rPr>
      </w:pPr>
      <w:r w:rsidRPr="7E32E97F">
        <w:rPr>
          <w:rFonts w:cs="Arial"/>
        </w:rPr>
        <w:t>YEI: 18.423.072 EUR;</w:t>
      </w:r>
    </w:p>
    <w:p w14:paraId="09819822" w14:textId="77777777" w:rsidR="00AB03C7" w:rsidRPr="00AB03C7" w:rsidRDefault="337735FB" w:rsidP="7E32E97F">
      <w:pPr>
        <w:numPr>
          <w:ilvl w:val="0"/>
          <w:numId w:val="18"/>
        </w:numPr>
        <w:autoSpaceDE w:val="0"/>
        <w:autoSpaceDN/>
        <w:adjustRightInd w:val="0"/>
        <w:spacing w:after="0" w:line="276" w:lineRule="auto"/>
        <w:ind w:left="714" w:hanging="357"/>
        <w:jc w:val="both"/>
        <w:rPr>
          <w:rFonts w:cs="Arial"/>
        </w:rPr>
      </w:pPr>
      <w:r w:rsidRPr="7E32E97F">
        <w:rPr>
          <w:rFonts w:cs="Arial"/>
        </w:rPr>
        <w:t>React EU ESRR: 255.741.210 EUR;</w:t>
      </w:r>
    </w:p>
    <w:p w14:paraId="4BB5F511" w14:textId="77777777" w:rsidR="00AB03C7" w:rsidRPr="00AB03C7" w:rsidRDefault="337735FB" w:rsidP="7E32E97F">
      <w:pPr>
        <w:numPr>
          <w:ilvl w:val="0"/>
          <w:numId w:val="18"/>
        </w:numPr>
        <w:autoSpaceDE w:val="0"/>
        <w:autoSpaceDN/>
        <w:adjustRightInd w:val="0"/>
        <w:spacing w:after="0" w:line="276" w:lineRule="auto"/>
        <w:ind w:left="714" w:hanging="357"/>
        <w:jc w:val="both"/>
        <w:rPr>
          <w:rFonts w:cs="Arial"/>
        </w:rPr>
      </w:pPr>
      <w:r w:rsidRPr="7E32E97F">
        <w:rPr>
          <w:rFonts w:cs="Arial"/>
        </w:rPr>
        <w:t>React EU ESS: 13.205.000 EUR.</w:t>
      </w:r>
    </w:p>
    <w:p w14:paraId="65E0CF0A" w14:textId="77777777" w:rsidR="00AB03C7" w:rsidRPr="00AB03C7" w:rsidRDefault="00AB03C7" w:rsidP="7E32E97F">
      <w:pPr>
        <w:spacing w:after="0"/>
        <w:jc w:val="both"/>
        <w:rPr>
          <w:rFonts w:cs="Arial"/>
        </w:rPr>
        <w:sectPr w:rsidR="00AB03C7" w:rsidRPr="00AB03C7" w:rsidSect="00AB03C7">
          <w:pgSz w:w="11906" w:h="16838" w:code="9"/>
          <w:pgMar w:top="1418" w:right="1418" w:bottom="1418" w:left="1418" w:header="709" w:footer="709" w:gutter="0"/>
          <w:cols w:space="708"/>
          <w:docGrid w:linePitch="272"/>
        </w:sectPr>
      </w:pPr>
    </w:p>
    <w:p w14:paraId="338B7E51" w14:textId="366F47D1" w:rsidR="006E13B6" w:rsidRDefault="185ED161" w:rsidP="006E13B6">
      <w:pPr>
        <w:pStyle w:val="Napis"/>
        <w:keepNext/>
        <w:spacing w:after="0"/>
        <w:rPr>
          <w:b w:val="0"/>
          <w:bCs w:val="0"/>
          <w:color w:val="auto"/>
        </w:rPr>
      </w:pPr>
      <w:bookmarkStart w:id="276" w:name="_Toc219986171"/>
      <w:r w:rsidRPr="7E32E97F">
        <w:rPr>
          <w:b w:val="0"/>
          <w:bCs w:val="0"/>
          <w:color w:val="auto"/>
        </w:rPr>
        <w:lastRenderedPageBreak/>
        <w:t xml:space="preserve">Tabela </w:t>
      </w:r>
      <w:r w:rsidR="006E13B6" w:rsidRPr="7E32E97F">
        <w:rPr>
          <w:b w:val="0"/>
          <w:bCs w:val="0"/>
          <w:color w:val="auto"/>
        </w:rPr>
        <w:fldChar w:fldCharType="begin"/>
      </w:r>
      <w:r w:rsidR="006E13B6" w:rsidRPr="7E32E97F">
        <w:rPr>
          <w:b w:val="0"/>
          <w:bCs w:val="0"/>
          <w:color w:val="auto"/>
        </w:rPr>
        <w:instrText xml:space="preserve"> SEQ Tabela \* ARABIC </w:instrText>
      </w:r>
      <w:r w:rsidR="006E13B6" w:rsidRPr="7E32E97F">
        <w:rPr>
          <w:b w:val="0"/>
          <w:bCs w:val="0"/>
          <w:color w:val="auto"/>
        </w:rPr>
        <w:fldChar w:fldCharType="separate"/>
      </w:r>
      <w:r w:rsidR="006E13B6" w:rsidRPr="7E32E97F">
        <w:rPr>
          <w:b w:val="0"/>
          <w:bCs w:val="0"/>
          <w:color w:val="auto"/>
        </w:rPr>
        <w:fldChar w:fldCharType="end"/>
      </w:r>
      <w:r w:rsidR="006E13B6" w:rsidRPr="7E32E97F">
        <w:rPr>
          <w:b w:val="0"/>
          <w:bCs w:val="0"/>
          <w:color w:val="auto"/>
        </w:rPr>
        <w:fldChar w:fldCharType="begin"/>
      </w:r>
      <w:r w:rsidR="006E13B6" w:rsidRPr="7E32E97F">
        <w:rPr>
          <w:b w:val="0"/>
          <w:bCs w:val="0"/>
          <w:color w:val="auto"/>
        </w:rPr>
        <w:instrText xml:space="preserve"> SEQ Tabela \* ARABIC </w:instrText>
      </w:r>
      <w:r w:rsidR="006E13B6" w:rsidRPr="7E32E97F">
        <w:rPr>
          <w:b w:val="0"/>
          <w:bCs w:val="0"/>
          <w:color w:val="auto"/>
        </w:rPr>
        <w:fldChar w:fldCharType="separate"/>
      </w:r>
      <w:r w:rsidR="424FE7BA" w:rsidRPr="7E32E97F">
        <w:rPr>
          <w:b w:val="0"/>
          <w:bCs w:val="0"/>
          <w:color w:val="auto"/>
        </w:rPr>
        <w:t>12</w:t>
      </w:r>
      <w:r w:rsidR="006E13B6" w:rsidRPr="7E32E97F">
        <w:rPr>
          <w:b w:val="0"/>
          <w:bCs w:val="0"/>
          <w:color w:val="auto"/>
        </w:rPr>
        <w:fldChar w:fldCharType="end"/>
      </w:r>
      <w:r w:rsidR="00A2111E">
        <w:rPr>
          <w:b w:val="0"/>
          <w:bCs w:val="0"/>
          <w:color w:val="auto"/>
        </w:rPr>
        <w:t>:</w:t>
      </w:r>
      <w:r w:rsidR="424FE7BA" w:rsidRPr="7E32E97F">
        <w:rPr>
          <w:b w:val="0"/>
          <w:bCs w:val="0"/>
          <w:color w:val="auto"/>
        </w:rPr>
        <w:t xml:space="preserve"> </w:t>
      </w:r>
      <w:r w:rsidRPr="7E32E97F">
        <w:rPr>
          <w:b w:val="0"/>
          <w:bCs w:val="0"/>
          <w:color w:val="auto"/>
        </w:rPr>
        <w:t>Koriščenje sredstev EKP za celotno obdobje</w:t>
      </w:r>
      <w:bookmarkEnd w:id="276"/>
    </w:p>
    <w:p w14:paraId="1FE92049" w14:textId="77777777" w:rsidR="00BA7FB4" w:rsidRPr="00BA7FB4" w:rsidRDefault="00BA7FB4" w:rsidP="00245E96">
      <w:pPr>
        <w:spacing w:after="0"/>
      </w:pPr>
    </w:p>
    <w:tbl>
      <w:tblPr>
        <w:tblW w:w="13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565"/>
        <w:gridCol w:w="1711"/>
        <w:gridCol w:w="1877"/>
        <w:gridCol w:w="749"/>
        <w:gridCol w:w="2153"/>
        <w:gridCol w:w="765"/>
        <w:gridCol w:w="2092"/>
        <w:gridCol w:w="763"/>
        <w:gridCol w:w="16"/>
      </w:tblGrid>
      <w:tr w:rsidR="00F81E42" w:rsidRPr="00AB03C7" w14:paraId="25CC8EED" w14:textId="77777777" w:rsidTr="00F81E42">
        <w:trPr>
          <w:trHeight w:val="328"/>
        </w:trPr>
        <w:tc>
          <w:tcPr>
            <w:tcW w:w="1375" w:type="dxa"/>
            <w:vMerge w:val="restart"/>
            <w:shd w:val="clear" w:color="auto" w:fill="DDEBF7"/>
            <w:tcMar>
              <w:top w:w="0" w:type="dxa"/>
              <w:left w:w="70" w:type="dxa"/>
              <w:bottom w:w="0" w:type="dxa"/>
              <w:right w:w="70" w:type="dxa"/>
            </w:tcMar>
            <w:vAlign w:val="center"/>
            <w:hideMark/>
          </w:tcPr>
          <w:p w14:paraId="3341935A" w14:textId="77777777" w:rsidR="00AB03C7" w:rsidRPr="00AB03C7" w:rsidRDefault="337735FB" w:rsidP="00AB03C7">
            <w:pPr>
              <w:jc w:val="center"/>
              <w:rPr>
                <w:b/>
                <w:bCs/>
              </w:rPr>
            </w:pPr>
            <w:r w:rsidRPr="7E32E97F">
              <w:rPr>
                <w:b/>
                <w:bCs/>
              </w:rPr>
              <w:t>Sklad</w:t>
            </w:r>
          </w:p>
        </w:tc>
        <w:tc>
          <w:tcPr>
            <w:tcW w:w="1565" w:type="dxa"/>
            <w:vMerge w:val="restart"/>
            <w:shd w:val="clear" w:color="auto" w:fill="DDEBF7"/>
            <w:tcMar>
              <w:top w:w="0" w:type="dxa"/>
              <w:left w:w="70" w:type="dxa"/>
              <w:bottom w:w="0" w:type="dxa"/>
              <w:right w:w="70" w:type="dxa"/>
            </w:tcMar>
            <w:vAlign w:val="center"/>
            <w:hideMark/>
          </w:tcPr>
          <w:p w14:paraId="75BEC03B" w14:textId="77777777" w:rsidR="00AB03C7" w:rsidRPr="00AB03C7" w:rsidRDefault="337735FB" w:rsidP="00AB03C7">
            <w:pPr>
              <w:jc w:val="center"/>
              <w:rPr>
                <w:b/>
                <w:bCs/>
              </w:rPr>
            </w:pPr>
            <w:r w:rsidRPr="7E32E97F">
              <w:rPr>
                <w:b/>
                <w:bCs/>
              </w:rPr>
              <w:t>Regija</w:t>
            </w:r>
          </w:p>
        </w:tc>
        <w:tc>
          <w:tcPr>
            <w:tcW w:w="1711" w:type="dxa"/>
            <w:vMerge w:val="restart"/>
            <w:shd w:val="clear" w:color="auto" w:fill="DDEBF7"/>
            <w:tcMar>
              <w:top w:w="0" w:type="dxa"/>
              <w:left w:w="70" w:type="dxa"/>
              <w:bottom w:w="0" w:type="dxa"/>
              <w:right w:w="70" w:type="dxa"/>
            </w:tcMar>
            <w:vAlign w:val="center"/>
            <w:hideMark/>
          </w:tcPr>
          <w:p w14:paraId="31E17DC9" w14:textId="77777777" w:rsidR="00AB03C7" w:rsidRPr="00AB03C7" w:rsidRDefault="337735FB" w:rsidP="00AB03C7">
            <w:pPr>
              <w:rPr>
                <w:b/>
                <w:bCs/>
              </w:rPr>
            </w:pPr>
            <w:r w:rsidRPr="7E32E97F">
              <w:rPr>
                <w:b/>
                <w:bCs/>
              </w:rPr>
              <w:t xml:space="preserve">Pravice porabe* </w:t>
            </w:r>
          </w:p>
        </w:tc>
        <w:tc>
          <w:tcPr>
            <w:tcW w:w="2627" w:type="dxa"/>
            <w:gridSpan w:val="2"/>
            <w:vMerge w:val="restart"/>
            <w:shd w:val="clear" w:color="auto" w:fill="DDEBF7"/>
            <w:tcMar>
              <w:top w:w="0" w:type="dxa"/>
              <w:left w:w="70" w:type="dxa"/>
              <w:bottom w:w="0" w:type="dxa"/>
              <w:right w:w="70" w:type="dxa"/>
            </w:tcMar>
            <w:vAlign w:val="center"/>
            <w:hideMark/>
          </w:tcPr>
          <w:p w14:paraId="00BA77DF" w14:textId="6C976FC4" w:rsidR="008C00AD" w:rsidRPr="00BA7FB4" w:rsidRDefault="337735FB" w:rsidP="008C00AD">
            <w:pPr>
              <w:spacing w:line="240" w:lineRule="auto"/>
              <w:jc w:val="center"/>
              <w:rPr>
                <w:b/>
                <w:bCs/>
              </w:rPr>
            </w:pPr>
            <w:r w:rsidRPr="7E32E97F">
              <w:rPr>
                <w:b/>
                <w:bCs/>
              </w:rPr>
              <w:t>Odločitve o podpori</w:t>
            </w:r>
          </w:p>
          <w:p w14:paraId="32A366A8" w14:textId="066CB9C2" w:rsidR="00AB03C7" w:rsidRPr="00BA7FB4" w:rsidRDefault="337735FB" w:rsidP="008C00AD">
            <w:pPr>
              <w:spacing w:line="240" w:lineRule="auto"/>
              <w:jc w:val="center"/>
              <w:rPr>
                <w:b/>
                <w:bCs/>
              </w:rPr>
            </w:pPr>
            <w:r w:rsidRPr="7E32E97F">
              <w:rPr>
                <w:b/>
                <w:bCs/>
              </w:rPr>
              <w:t>3</w:t>
            </w:r>
            <w:r w:rsidR="01562A39" w:rsidRPr="7E32E97F">
              <w:rPr>
                <w:b/>
                <w:bCs/>
              </w:rPr>
              <w:t>1</w:t>
            </w:r>
            <w:r w:rsidRPr="7E32E97F">
              <w:rPr>
                <w:b/>
                <w:bCs/>
              </w:rPr>
              <w:t xml:space="preserve">. </w:t>
            </w:r>
            <w:r w:rsidR="01562A39" w:rsidRPr="7E32E97F">
              <w:rPr>
                <w:b/>
                <w:bCs/>
              </w:rPr>
              <w:t>12</w:t>
            </w:r>
            <w:r w:rsidRPr="7E32E97F">
              <w:rPr>
                <w:b/>
                <w:bCs/>
              </w:rPr>
              <w:t>. 2025**</w:t>
            </w:r>
          </w:p>
        </w:tc>
        <w:tc>
          <w:tcPr>
            <w:tcW w:w="2918" w:type="dxa"/>
            <w:gridSpan w:val="2"/>
            <w:vMerge w:val="restart"/>
            <w:shd w:val="clear" w:color="auto" w:fill="DDEBF7"/>
            <w:tcMar>
              <w:top w:w="0" w:type="dxa"/>
              <w:left w:w="70" w:type="dxa"/>
              <w:bottom w:w="0" w:type="dxa"/>
              <w:right w:w="70" w:type="dxa"/>
            </w:tcMar>
            <w:vAlign w:val="center"/>
            <w:hideMark/>
          </w:tcPr>
          <w:p w14:paraId="2F7CB2EF" w14:textId="08A7B482" w:rsidR="008C00AD" w:rsidRPr="00BA7FB4" w:rsidRDefault="337735FB" w:rsidP="008C00AD">
            <w:pPr>
              <w:spacing w:line="240" w:lineRule="auto"/>
              <w:jc w:val="center"/>
              <w:rPr>
                <w:b/>
                <w:bCs/>
              </w:rPr>
            </w:pPr>
            <w:r w:rsidRPr="7E32E97F">
              <w:rPr>
                <w:b/>
                <w:bCs/>
              </w:rPr>
              <w:t>Potrjene operacije</w:t>
            </w:r>
          </w:p>
          <w:p w14:paraId="41A5FE51" w14:textId="19E14BFC" w:rsidR="00AB03C7" w:rsidRPr="00BA7FB4" w:rsidRDefault="337735FB" w:rsidP="008C00AD">
            <w:pPr>
              <w:spacing w:line="240" w:lineRule="auto"/>
              <w:jc w:val="center"/>
              <w:rPr>
                <w:b/>
                <w:bCs/>
              </w:rPr>
            </w:pPr>
            <w:r w:rsidRPr="7E32E97F">
              <w:rPr>
                <w:b/>
                <w:bCs/>
              </w:rPr>
              <w:t>3</w:t>
            </w:r>
            <w:r w:rsidR="01562A39" w:rsidRPr="7E32E97F">
              <w:rPr>
                <w:b/>
                <w:bCs/>
              </w:rPr>
              <w:t>1</w:t>
            </w:r>
            <w:r w:rsidRPr="7E32E97F">
              <w:rPr>
                <w:b/>
                <w:bCs/>
              </w:rPr>
              <w:t xml:space="preserve">. </w:t>
            </w:r>
            <w:r w:rsidR="01562A39" w:rsidRPr="7E32E97F">
              <w:rPr>
                <w:b/>
                <w:bCs/>
              </w:rPr>
              <w:t>12</w:t>
            </w:r>
            <w:r w:rsidRPr="7E32E97F">
              <w:rPr>
                <w:b/>
                <w:bCs/>
              </w:rPr>
              <w:t>. 2025***</w:t>
            </w:r>
          </w:p>
        </w:tc>
        <w:tc>
          <w:tcPr>
            <w:tcW w:w="2855" w:type="dxa"/>
            <w:gridSpan w:val="2"/>
            <w:vMerge w:val="restart"/>
            <w:shd w:val="clear" w:color="auto" w:fill="DDEBF7"/>
            <w:tcMar>
              <w:top w:w="0" w:type="dxa"/>
              <w:left w:w="70" w:type="dxa"/>
              <w:bottom w:w="0" w:type="dxa"/>
              <w:right w:w="70" w:type="dxa"/>
            </w:tcMar>
            <w:vAlign w:val="center"/>
            <w:hideMark/>
          </w:tcPr>
          <w:p w14:paraId="1A879D3D" w14:textId="24C48DE9" w:rsidR="008C00AD" w:rsidRPr="00BA7FB4" w:rsidRDefault="337735FB" w:rsidP="008C00AD">
            <w:pPr>
              <w:spacing w:line="240" w:lineRule="auto"/>
              <w:jc w:val="center"/>
              <w:rPr>
                <w:b/>
                <w:bCs/>
              </w:rPr>
            </w:pPr>
            <w:r w:rsidRPr="7E32E97F">
              <w:rPr>
                <w:b/>
                <w:bCs/>
              </w:rPr>
              <w:t>Izplačila iz DP</w:t>
            </w:r>
          </w:p>
          <w:p w14:paraId="181A479D" w14:textId="30DC8E7F" w:rsidR="00AB03C7" w:rsidRPr="00BA7FB4" w:rsidRDefault="337735FB" w:rsidP="008C00AD">
            <w:pPr>
              <w:spacing w:line="240" w:lineRule="auto"/>
              <w:jc w:val="center"/>
              <w:rPr>
                <w:b/>
                <w:bCs/>
              </w:rPr>
            </w:pPr>
            <w:r w:rsidRPr="7E32E97F">
              <w:rPr>
                <w:b/>
                <w:bCs/>
              </w:rPr>
              <w:t>3</w:t>
            </w:r>
            <w:r w:rsidR="01562A39" w:rsidRPr="7E32E97F">
              <w:rPr>
                <w:b/>
                <w:bCs/>
              </w:rPr>
              <w:t>1</w:t>
            </w:r>
            <w:r w:rsidRPr="7E32E97F">
              <w:rPr>
                <w:b/>
                <w:bCs/>
              </w:rPr>
              <w:t xml:space="preserve">. </w:t>
            </w:r>
            <w:r w:rsidR="01562A39" w:rsidRPr="7E32E97F">
              <w:rPr>
                <w:b/>
                <w:bCs/>
              </w:rPr>
              <w:t>12</w:t>
            </w:r>
            <w:r w:rsidRPr="7E32E97F">
              <w:rPr>
                <w:b/>
                <w:bCs/>
              </w:rPr>
              <w:t>. 2025****</w:t>
            </w:r>
          </w:p>
        </w:tc>
        <w:tc>
          <w:tcPr>
            <w:tcW w:w="15" w:type="dxa"/>
            <w:vAlign w:val="center"/>
            <w:hideMark/>
          </w:tcPr>
          <w:p w14:paraId="433A11E0" w14:textId="77777777" w:rsidR="00AB03C7" w:rsidRPr="00AB03C7" w:rsidRDefault="00AB03C7" w:rsidP="00AB03C7"/>
        </w:tc>
      </w:tr>
      <w:tr w:rsidR="00F81E42" w:rsidRPr="00AB03C7" w14:paraId="1B4777F5" w14:textId="77777777" w:rsidTr="00F81E42">
        <w:trPr>
          <w:trHeight w:val="331"/>
        </w:trPr>
        <w:tc>
          <w:tcPr>
            <w:tcW w:w="1375" w:type="dxa"/>
            <w:vMerge/>
            <w:vAlign w:val="center"/>
            <w:hideMark/>
          </w:tcPr>
          <w:p w14:paraId="3393D7B1" w14:textId="77777777" w:rsidR="00AB03C7" w:rsidRPr="00AB03C7" w:rsidRDefault="00AB03C7" w:rsidP="00AB03C7">
            <w:pPr>
              <w:rPr>
                <w:b/>
                <w:bCs/>
              </w:rPr>
            </w:pPr>
          </w:p>
        </w:tc>
        <w:tc>
          <w:tcPr>
            <w:tcW w:w="1565" w:type="dxa"/>
            <w:vMerge/>
            <w:vAlign w:val="center"/>
            <w:hideMark/>
          </w:tcPr>
          <w:p w14:paraId="49C6609D" w14:textId="77777777" w:rsidR="00AB03C7" w:rsidRPr="00AB03C7" w:rsidRDefault="00AB03C7" w:rsidP="00AB03C7">
            <w:pPr>
              <w:rPr>
                <w:b/>
                <w:bCs/>
              </w:rPr>
            </w:pPr>
          </w:p>
        </w:tc>
        <w:tc>
          <w:tcPr>
            <w:tcW w:w="1711" w:type="dxa"/>
            <w:vMerge/>
            <w:vAlign w:val="center"/>
            <w:hideMark/>
          </w:tcPr>
          <w:p w14:paraId="5A755388" w14:textId="77777777" w:rsidR="00AB03C7" w:rsidRPr="00AB03C7" w:rsidRDefault="00AB03C7" w:rsidP="00AB03C7">
            <w:pPr>
              <w:rPr>
                <w:b/>
                <w:bCs/>
              </w:rPr>
            </w:pPr>
          </w:p>
        </w:tc>
        <w:tc>
          <w:tcPr>
            <w:tcW w:w="2627" w:type="dxa"/>
            <w:gridSpan w:val="2"/>
            <w:vMerge/>
            <w:vAlign w:val="center"/>
            <w:hideMark/>
          </w:tcPr>
          <w:p w14:paraId="621262D8" w14:textId="77777777" w:rsidR="00AB03C7" w:rsidRPr="00AB03C7" w:rsidRDefault="00AB03C7" w:rsidP="00AB03C7">
            <w:pPr>
              <w:rPr>
                <w:b/>
                <w:bCs/>
              </w:rPr>
            </w:pPr>
          </w:p>
        </w:tc>
        <w:tc>
          <w:tcPr>
            <w:tcW w:w="2918" w:type="dxa"/>
            <w:gridSpan w:val="2"/>
            <w:vMerge/>
            <w:vAlign w:val="center"/>
            <w:hideMark/>
          </w:tcPr>
          <w:p w14:paraId="7666DB85" w14:textId="77777777" w:rsidR="00AB03C7" w:rsidRPr="00AB03C7" w:rsidRDefault="00AB03C7" w:rsidP="00AB03C7">
            <w:pPr>
              <w:rPr>
                <w:b/>
                <w:bCs/>
              </w:rPr>
            </w:pPr>
          </w:p>
        </w:tc>
        <w:tc>
          <w:tcPr>
            <w:tcW w:w="2855" w:type="dxa"/>
            <w:gridSpan w:val="2"/>
            <w:vMerge/>
            <w:vAlign w:val="center"/>
            <w:hideMark/>
          </w:tcPr>
          <w:p w14:paraId="63008276" w14:textId="77777777" w:rsidR="00AB03C7" w:rsidRPr="00AB03C7" w:rsidRDefault="00AB03C7" w:rsidP="00AB03C7">
            <w:pPr>
              <w:rPr>
                <w:b/>
                <w:bCs/>
              </w:rPr>
            </w:pPr>
          </w:p>
        </w:tc>
        <w:tc>
          <w:tcPr>
            <w:tcW w:w="15" w:type="dxa"/>
            <w:vAlign w:val="center"/>
            <w:hideMark/>
          </w:tcPr>
          <w:p w14:paraId="2599E088" w14:textId="77777777" w:rsidR="00AB03C7" w:rsidRPr="00AB03C7" w:rsidRDefault="00AB03C7" w:rsidP="00AB03C7"/>
        </w:tc>
      </w:tr>
      <w:tr w:rsidR="00F81E42" w:rsidRPr="00AB03C7" w14:paraId="36532E4F" w14:textId="77777777" w:rsidTr="00F81E42">
        <w:trPr>
          <w:trHeight w:val="76"/>
        </w:trPr>
        <w:tc>
          <w:tcPr>
            <w:tcW w:w="1375" w:type="dxa"/>
            <w:vMerge/>
            <w:vAlign w:val="center"/>
            <w:hideMark/>
          </w:tcPr>
          <w:p w14:paraId="1FD1AE79" w14:textId="77777777" w:rsidR="00AB03C7" w:rsidRPr="00AB03C7" w:rsidRDefault="00AB03C7" w:rsidP="00AB03C7">
            <w:pPr>
              <w:rPr>
                <w:b/>
                <w:bCs/>
              </w:rPr>
            </w:pPr>
          </w:p>
        </w:tc>
        <w:tc>
          <w:tcPr>
            <w:tcW w:w="1565" w:type="dxa"/>
            <w:vMerge/>
            <w:vAlign w:val="center"/>
            <w:hideMark/>
          </w:tcPr>
          <w:p w14:paraId="4A1F21D6" w14:textId="77777777" w:rsidR="00AB03C7" w:rsidRPr="00AB03C7" w:rsidRDefault="00AB03C7" w:rsidP="00AB03C7">
            <w:pPr>
              <w:rPr>
                <w:b/>
                <w:bCs/>
              </w:rPr>
            </w:pPr>
          </w:p>
        </w:tc>
        <w:tc>
          <w:tcPr>
            <w:tcW w:w="1711" w:type="dxa"/>
            <w:vMerge/>
            <w:vAlign w:val="center"/>
            <w:hideMark/>
          </w:tcPr>
          <w:p w14:paraId="2761EC54" w14:textId="77777777" w:rsidR="00AB03C7" w:rsidRPr="00AB03C7" w:rsidRDefault="00AB03C7" w:rsidP="00AB03C7">
            <w:pPr>
              <w:rPr>
                <w:b/>
                <w:bCs/>
              </w:rPr>
            </w:pPr>
          </w:p>
        </w:tc>
        <w:tc>
          <w:tcPr>
            <w:tcW w:w="2627" w:type="dxa"/>
            <w:gridSpan w:val="2"/>
            <w:vMerge/>
            <w:vAlign w:val="center"/>
            <w:hideMark/>
          </w:tcPr>
          <w:p w14:paraId="72B42755" w14:textId="77777777" w:rsidR="00AB03C7" w:rsidRPr="00AB03C7" w:rsidRDefault="00AB03C7" w:rsidP="00AB03C7">
            <w:pPr>
              <w:rPr>
                <w:b/>
                <w:bCs/>
              </w:rPr>
            </w:pPr>
          </w:p>
        </w:tc>
        <w:tc>
          <w:tcPr>
            <w:tcW w:w="2918" w:type="dxa"/>
            <w:gridSpan w:val="2"/>
            <w:vMerge/>
            <w:vAlign w:val="center"/>
            <w:hideMark/>
          </w:tcPr>
          <w:p w14:paraId="0455D966" w14:textId="77777777" w:rsidR="00AB03C7" w:rsidRPr="00AB03C7" w:rsidRDefault="00AB03C7" w:rsidP="00AB03C7">
            <w:pPr>
              <w:rPr>
                <w:b/>
                <w:bCs/>
              </w:rPr>
            </w:pPr>
          </w:p>
        </w:tc>
        <w:tc>
          <w:tcPr>
            <w:tcW w:w="2855" w:type="dxa"/>
            <w:gridSpan w:val="2"/>
            <w:vMerge/>
            <w:vAlign w:val="center"/>
            <w:hideMark/>
          </w:tcPr>
          <w:p w14:paraId="6C81D8B9" w14:textId="77777777" w:rsidR="00AB03C7" w:rsidRPr="00AB03C7" w:rsidRDefault="00AB03C7" w:rsidP="00AB03C7">
            <w:pPr>
              <w:rPr>
                <w:b/>
                <w:bCs/>
              </w:rPr>
            </w:pPr>
          </w:p>
        </w:tc>
        <w:tc>
          <w:tcPr>
            <w:tcW w:w="15" w:type="dxa"/>
            <w:vAlign w:val="center"/>
            <w:hideMark/>
          </w:tcPr>
          <w:p w14:paraId="4C6413AA" w14:textId="77777777" w:rsidR="00AB03C7" w:rsidRPr="00AB03C7" w:rsidRDefault="00AB03C7" w:rsidP="00AB03C7"/>
        </w:tc>
      </w:tr>
      <w:tr w:rsidR="00F81E42" w:rsidRPr="00AB03C7" w14:paraId="09A2FE70" w14:textId="77777777" w:rsidTr="00806393">
        <w:trPr>
          <w:trHeight w:val="328"/>
        </w:trPr>
        <w:tc>
          <w:tcPr>
            <w:tcW w:w="1375" w:type="dxa"/>
            <w:vMerge/>
            <w:vAlign w:val="center"/>
            <w:hideMark/>
          </w:tcPr>
          <w:p w14:paraId="30246677" w14:textId="77777777" w:rsidR="00AB03C7" w:rsidRPr="00AB03C7" w:rsidRDefault="00AB03C7" w:rsidP="00AB03C7">
            <w:pPr>
              <w:rPr>
                <w:b/>
                <w:bCs/>
              </w:rPr>
            </w:pPr>
          </w:p>
        </w:tc>
        <w:tc>
          <w:tcPr>
            <w:tcW w:w="1565" w:type="dxa"/>
            <w:vMerge/>
            <w:vAlign w:val="center"/>
            <w:hideMark/>
          </w:tcPr>
          <w:p w14:paraId="7F7BADEE" w14:textId="77777777" w:rsidR="00AB03C7" w:rsidRPr="00AB03C7" w:rsidRDefault="00AB03C7" w:rsidP="00AB03C7">
            <w:pPr>
              <w:rPr>
                <w:b/>
                <w:bCs/>
              </w:rPr>
            </w:pPr>
          </w:p>
        </w:tc>
        <w:tc>
          <w:tcPr>
            <w:tcW w:w="1711" w:type="dxa"/>
            <w:vMerge w:val="restart"/>
            <w:shd w:val="clear" w:color="auto" w:fill="DDEBF7"/>
            <w:tcMar>
              <w:top w:w="0" w:type="dxa"/>
              <w:left w:w="70" w:type="dxa"/>
              <w:bottom w:w="0" w:type="dxa"/>
              <w:right w:w="70" w:type="dxa"/>
            </w:tcMar>
            <w:vAlign w:val="center"/>
            <w:hideMark/>
          </w:tcPr>
          <w:p w14:paraId="46CC8756" w14:textId="77777777" w:rsidR="00AB03C7" w:rsidRPr="008C00AD" w:rsidRDefault="337735FB" w:rsidP="00AB03C7">
            <w:pPr>
              <w:spacing w:after="0"/>
              <w:jc w:val="center"/>
              <w:rPr>
                <w:b/>
                <w:bCs/>
                <w:sz w:val="16"/>
                <w:szCs w:val="16"/>
              </w:rPr>
            </w:pPr>
            <w:r w:rsidRPr="7E32E97F">
              <w:rPr>
                <w:b/>
                <w:bCs/>
                <w:sz w:val="16"/>
                <w:szCs w:val="16"/>
              </w:rPr>
              <w:t>EU del (EUR)</w:t>
            </w:r>
          </w:p>
        </w:tc>
        <w:tc>
          <w:tcPr>
            <w:tcW w:w="1877" w:type="dxa"/>
            <w:vMerge w:val="restart"/>
            <w:shd w:val="clear" w:color="auto" w:fill="DDEBF7"/>
            <w:tcMar>
              <w:top w:w="0" w:type="dxa"/>
              <w:left w:w="70" w:type="dxa"/>
              <w:bottom w:w="0" w:type="dxa"/>
              <w:right w:w="70" w:type="dxa"/>
            </w:tcMar>
            <w:vAlign w:val="center"/>
            <w:hideMark/>
          </w:tcPr>
          <w:p w14:paraId="2F70BC18" w14:textId="77777777" w:rsidR="00AB03C7" w:rsidRPr="008C00AD" w:rsidRDefault="337735FB" w:rsidP="00AB03C7">
            <w:pPr>
              <w:spacing w:after="0"/>
              <w:jc w:val="center"/>
              <w:rPr>
                <w:b/>
                <w:bCs/>
                <w:sz w:val="16"/>
                <w:szCs w:val="16"/>
              </w:rPr>
            </w:pPr>
            <w:r w:rsidRPr="7E32E97F">
              <w:rPr>
                <w:b/>
                <w:bCs/>
                <w:sz w:val="16"/>
                <w:szCs w:val="16"/>
              </w:rPr>
              <w:t>EU del (EUR)</w:t>
            </w:r>
          </w:p>
        </w:tc>
        <w:tc>
          <w:tcPr>
            <w:tcW w:w="749" w:type="dxa"/>
            <w:vMerge w:val="restart"/>
            <w:shd w:val="clear" w:color="auto" w:fill="DDEBF7"/>
            <w:tcMar>
              <w:top w:w="0" w:type="dxa"/>
              <w:left w:w="70" w:type="dxa"/>
              <w:bottom w:w="0" w:type="dxa"/>
              <w:right w:w="70" w:type="dxa"/>
            </w:tcMar>
            <w:vAlign w:val="center"/>
            <w:hideMark/>
          </w:tcPr>
          <w:p w14:paraId="12ECB3FF" w14:textId="77777777" w:rsidR="00AB03C7" w:rsidRPr="008C00AD" w:rsidRDefault="337735FB" w:rsidP="00AB03C7">
            <w:pPr>
              <w:spacing w:after="0"/>
              <w:jc w:val="center"/>
              <w:rPr>
                <w:b/>
                <w:bCs/>
                <w:sz w:val="16"/>
                <w:szCs w:val="16"/>
              </w:rPr>
            </w:pPr>
            <w:r w:rsidRPr="7E32E97F">
              <w:rPr>
                <w:b/>
                <w:bCs/>
                <w:sz w:val="16"/>
                <w:szCs w:val="16"/>
              </w:rPr>
              <w:t>%</w:t>
            </w:r>
          </w:p>
        </w:tc>
        <w:tc>
          <w:tcPr>
            <w:tcW w:w="2153" w:type="dxa"/>
            <w:vMerge w:val="restart"/>
            <w:shd w:val="clear" w:color="auto" w:fill="DDEBF7"/>
            <w:tcMar>
              <w:top w:w="0" w:type="dxa"/>
              <w:left w:w="70" w:type="dxa"/>
              <w:bottom w:w="0" w:type="dxa"/>
              <w:right w:w="70" w:type="dxa"/>
            </w:tcMar>
            <w:vAlign w:val="center"/>
            <w:hideMark/>
          </w:tcPr>
          <w:p w14:paraId="1DC1F7DC" w14:textId="77777777" w:rsidR="00AB03C7" w:rsidRPr="008C00AD" w:rsidRDefault="337735FB" w:rsidP="00AB03C7">
            <w:pPr>
              <w:spacing w:after="0"/>
              <w:jc w:val="center"/>
              <w:rPr>
                <w:b/>
                <w:bCs/>
                <w:sz w:val="16"/>
                <w:szCs w:val="16"/>
              </w:rPr>
            </w:pPr>
            <w:r w:rsidRPr="7E32E97F">
              <w:rPr>
                <w:b/>
                <w:bCs/>
                <w:sz w:val="16"/>
                <w:szCs w:val="16"/>
              </w:rPr>
              <w:t>EU del (EUR)</w:t>
            </w:r>
          </w:p>
        </w:tc>
        <w:tc>
          <w:tcPr>
            <w:tcW w:w="765" w:type="dxa"/>
            <w:vMerge w:val="restart"/>
            <w:shd w:val="clear" w:color="auto" w:fill="DDEBF7"/>
            <w:tcMar>
              <w:top w:w="0" w:type="dxa"/>
              <w:left w:w="70" w:type="dxa"/>
              <w:bottom w:w="0" w:type="dxa"/>
              <w:right w:w="70" w:type="dxa"/>
            </w:tcMar>
            <w:vAlign w:val="center"/>
            <w:hideMark/>
          </w:tcPr>
          <w:p w14:paraId="354E6B92" w14:textId="77777777" w:rsidR="00AB03C7" w:rsidRPr="008C00AD" w:rsidRDefault="337735FB" w:rsidP="00AB03C7">
            <w:pPr>
              <w:spacing w:after="0"/>
              <w:jc w:val="center"/>
              <w:rPr>
                <w:b/>
                <w:bCs/>
                <w:sz w:val="16"/>
                <w:szCs w:val="16"/>
              </w:rPr>
            </w:pPr>
            <w:r w:rsidRPr="7E32E97F">
              <w:rPr>
                <w:b/>
                <w:bCs/>
                <w:sz w:val="16"/>
                <w:szCs w:val="16"/>
              </w:rPr>
              <w:t>%</w:t>
            </w:r>
          </w:p>
        </w:tc>
        <w:tc>
          <w:tcPr>
            <w:tcW w:w="2092" w:type="dxa"/>
            <w:vMerge w:val="restart"/>
            <w:shd w:val="clear" w:color="auto" w:fill="DDEBF7"/>
            <w:tcMar>
              <w:top w:w="0" w:type="dxa"/>
              <w:left w:w="70" w:type="dxa"/>
              <w:bottom w:w="0" w:type="dxa"/>
              <w:right w:w="70" w:type="dxa"/>
            </w:tcMar>
            <w:vAlign w:val="center"/>
            <w:hideMark/>
          </w:tcPr>
          <w:p w14:paraId="1C817FCE" w14:textId="77777777" w:rsidR="00AB03C7" w:rsidRPr="008C00AD" w:rsidRDefault="337735FB" w:rsidP="00AB03C7">
            <w:pPr>
              <w:spacing w:after="0"/>
              <w:jc w:val="center"/>
              <w:rPr>
                <w:b/>
                <w:bCs/>
                <w:sz w:val="16"/>
                <w:szCs w:val="16"/>
              </w:rPr>
            </w:pPr>
            <w:r w:rsidRPr="7E32E97F">
              <w:rPr>
                <w:b/>
                <w:bCs/>
                <w:sz w:val="16"/>
                <w:szCs w:val="16"/>
              </w:rPr>
              <w:t>EU del (EUR)</w:t>
            </w:r>
          </w:p>
        </w:tc>
        <w:tc>
          <w:tcPr>
            <w:tcW w:w="763" w:type="dxa"/>
            <w:vMerge w:val="restart"/>
            <w:shd w:val="clear" w:color="auto" w:fill="DDEBF7"/>
            <w:tcMar>
              <w:top w:w="0" w:type="dxa"/>
              <w:left w:w="70" w:type="dxa"/>
              <w:bottom w:w="0" w:type="dxa"/>
              <w:right w:w="70" w:type="dxa"/>
            </w:tcMar>
            <w:vAlign w:val="center"/>
            <w:hideMark/>
          </w:tcPr>
          <w:p w14:paraId="2F10CB6B" w14:textId="77777777" w:rsidR="00AB03C7" w:rsidRPr="008C00AD" w:rsidRDefault="337735FB" w:rsidP="00AB03C7">
            <w:pPr>
              <w:spacing w:after="0"/>
              <w:jc w:val="center"/>
              <w:rPr>
                <w:b/>
                <w:bCs/>
                <w:sz w:val="16"/>
                <w:szCs w:val="16"/>
              </w:rPr>
            </w:pPr>
            <w:r w:rsidRPr="7E32E97F">
              <w:rPr>
                <w:b/>
                <w:bCs/>
                <w:sz w:val="16"/>
                <w:szCs w:val="16"/>
              </w:rPr>
              <w:t>%</w:t>
            </w:r>
          </w:p>
        </w:tc>
        <w:tc>
          <w:tcPr>
            <w:tcW w:w="15" w:type="dxa"/>
            <w:vAlign w:val="center"/>
            <w:hideMark/>
          </w:tcPr>
          <w:p w14:paraId="32588996" w14:textId="77777777" w:rsidR="00AB03C7" w:rsidRPr="00AB03C7" w:rsidRDefault="00AB03C7" w:rsidP="00AB03C7"/>
        </w:tc>
      </w:tr>
      <w:tr w:rsidR="00F81E42" w:rsidRPr="00AB03C7" w14:paraId="7F4F6CD4" w14:textId="77777777" w:rsidTr="00F81E42">
        <w:trPr>
          <w:trHeight w:val="76"/>
        </w:trPr>
        <w:tc>
          <w:tcPr>
            <w:tcW w:w="1375" w:type="dxa"/>
            <w:vMerge/>
            <w:vAlign w:val="center"/>
            <w:hideMark/>
          </w:tcPr>
          <w:p w14:paraId="4D07B1FA" w14:textId="77777777" w:rsidR="00AB03C7" w:rsidRPr="00AB03C7" w:rsidRDefault="00AB03C7" w:rsidP="00AB03C7">
            <w:pPr>
              <w:rPr>
                <w:b/>
                <w:bCs/>
              </w:rPr>
            </w:pPr>
          </w:p>
        </w:tc>
        <w:tc>
          <w:tcPr>
            <w:tcW w:w="1565" w:type="dxa"/>
            <w:vMerge/>
            <w:vAlign w:val="center"/>
            <w:hideMark/>
          </w:tcPr>
          <w:p w14:paraId="3B43B2DD" w14:textId="77777777" w:rsidR="00AB03C7" w:rsidRPr="00AB03C7" w:rsidRDefault="00AB03C7" w:rsidP="00AB03C7">
            <w:pPr>
              <w:rPr>
                <w:b/>
                <w:bCs/>
              </w:rPr>
            </w:pPr>
          </w:p>
        </w:tc>
        <w:tc>
          <w:tcPr>
            <w:tcW w:w="1711" w:type="dxa"/>
            <w:vMerge/>
            <w:vAlign w:val="center"/>
            <w:hideMark/>
          </w:tcPr>
          <w:p w14:paraId="2F31A978" w14:textId="77777777" w:rsidR="00AB03C7" w:rsidRPr="00AB03C7" w:rsidRDefault="00AB03C7" w:rsidP="00AB03C7">
            <w:pPr>
              <w:rPr>
                <w:b/>
                <w:bCs/>
              </w:rPr>
            </w:pPr>
          </w:p>
        </w:tc>
        <w:tc>
          <w:tcPr>
            <w:tcW w:w="1877" w:type="dxa"/>
            <w:vMerge/>
            <w:vAlign w:val="center"/>
            <w:hideMark/>
          </w:tcPr>
          <w:p w14:paraId="1F3F2AA0" w14:textId="77777777" w:rsidR="00AB03C7" w:rsidRPr="00AB03C7" w:rsidRDefault="00AB03C7" w:rsidP="00AB03C7">
            <w:pPr>
              <w:rPr>
                <w:b/>
                <w:bCs/>
              </w:rPr>
            </w:pPr>
          </w:p>
        </w:tc>
        <w:tc>
          <w:tcPr>
            <w:tcW w:w="749" w:type="dxa"/>
            <w:vMerge/>
            <w:vAlign w:val="center"/>
            <w:hideMark/>
          </w:tcPr>
          <w:p w14:paraId="55530148" w14:textId="77777777" w:rsidR="00AB03C7" w:rsidRPr="00AB03C7" w:rsidRDefault="00AB03C7" w:rsidP="00AB03C7">
            <w:pPr>
              <w:rPr>
                <w:b/>
                <w:bCs/>
              </w:rPr>
            </w:pPr>
          </w:p>
        </w:tc>
        <w:tc>
          <w:tcPr>
            <w:tcW w:w="2153" w:type="dxa"/>
            <w:vMerge/>
            <w:vAlign w:val="center"/>
            <w:hideMark/>
          </w:tcPr>
          <w:p w14:paraId="6C651A18" w14:textId="77777777" w:rsidR="00AB03C7" w:rsidRPr="00AB03C7" w:rsidRDefault="00AB03C7" w:rsidP="00AB03C7">
            <w:pPr>
              <w:rPr>
                <w:b/>
                <w:bCs/>
              </w:rPr>
            </w:pPr>
          </w:p>
        </w:tc>
        <w:tc>
          <w:tcPr>
            <w:tcW w:w="765" w:type="dxa"/>
            <w:vMerge/>
            <w:vAlign w:val="center"/>
            <w:hideMark/>
          </w:tcPr>
          <w:p w14:paraId="7DA6FCFB" w14:textId="77777777" w:rsidR="00AB03C7" w:rsidRPr="00AB03C7" w:rsidRDefault="00AB03C7" w:rsidP="00AB03C7">
            <w:pPr>
              <w:rPr>
                <w:b/>
                <w:bCs/>
              </w:rPr>
            </w:pPr>
          </w:p>
        </w:tc>
        <w:tc>
          <w:tcPr>
            <w:tcW w:w="2092" w:type="dxa"/>
            <w:vMerge/>
            <w:vAlign w:val="center"/>
            <w:hideMark/>
          </w:tcPr>
          <w:p w14:paraId="0A44298A" w14:textId="77777777" w:rsidR="00AB03C7" w:rsidRPr="00AB03C7" w:rsidRDefault="00AB03C7" w:rsidP="00AB03C7">
            <w:pPr>
              <w:rPr>
                <w:b/>
                <w:bCs/>
              </w:rPr>
            </w:pPr>
          </w:p>
        </w:tc>
        <w:tc>
          <w:tcPr>
            <w:tcW w:w="763" w:type="dxa"/>
            <w:vMerge/>
            <w:vAlign w:val="center"/>
            <w:hideMark/>
          </w:tcPr>
          <w:p w14:paraId="73FA4C73" w14:textId="77777777" w:rsidR="00AB03C7" w:rsidRPr="00AB03C7" w:rsidRDefault="00AB03C7" w:rsidP="00AB03C7">
            <w:pPr>
              <w:rPr>
                <w:b/>
                <w:bCs/>
              </w:rPr>
            </w:pPr>
          </w:p>
        </w:tc>
        <w:tc>
          <w:tcPr>
            <w:tcW w:w="15" w:type="dxa"/>
            <w:vAlign w:val="center"/>
            <w:hideMark/>
          </w:tcPr>
          <w:p w14:paraId="6453D641" w14:textId="77777777" w:rsidR="00AB03C7" w:rsidRPr="00AB03C7" w:rsidRDefault="00AB03C7" w:rsidP="00AB03C7"/>
        </w:tc>
      </w:tr>
      <w:tr w:rsidR="00F81E42" w:rsidRPr="00AB03C7" w14:paraId="72F3DD75" w14:textId="77777777" w:rsidTr="00F81E42">
        <w:trPr>
          <w:trHeight w:val="278"/>
        </w:trPr>
        <w:tc>
          <w:tcPr>
            <w:tcW w:w="1375" w:type="dxa"/>
            <w:vMerge w:val="restart"/>
            <w:tcMar>
              <w:top w:w="0" w:type="dxa"/>
              <w:left w:w="70" w:type="dxa"/>
              <w:bottom w:w="0" w:type="dxa"/>
              <w:right w:w="70" w:type="dxa"/>
            </w:tcMar>
            <w:vAlign w:val="center"/>
            <w:hideMark/>
          </w:tcPr>
          <w:p w14:paraId="250EEC77" w14:textId="77777777" w:rsidR="00AB03C7" w:rsidRPr="00AB03C7" w:rsidRDefault="337735FB" w:rsidP="7E32E97F">
            <w:pPr>
              <w:rPr>
                <w:rFonts w:eastAsia="Arial" w:cs="Arial"/>
                <w:b/>
                <w:bCs/>
              </w:rPr>
            </w:pPr>
            <w:r w:rsidRPr="7E32E97F">
              <w:rPr>
                <w:rFonts w:eastAsia="Arial" w:cs="Arial"/>
                <w:b/>
                <w:bCs/>
              </w:rPr>
              <w:t>ESRR</w:t>
            </w:r>
          </w:p>
        </w:tc>
        <w:tc>
          <w:tcPr>
            <w:tcW w:w="1565" w:type="dxa"/>
            <w:noWrap/>
            <w:tcMar>
              <w:top w:w="0" w:type="dxa"/>
              <w:left w:w="70" w:type="dxa"/>
              <w:bottom w:w="0" w:type="dxa"/>
              <w:right w:w="70" w:type="dxa"/>
            </w:tcMar>
            <w:vAlign w:val="center"/>
            <w:hideMark/>
          </w:tcPr>
          <w:p w14:paraId="489256F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Vzhodna</w:t>
            </w:r>
          </w:p>
        </w:tc>
        <w:tc>
          <w:tcPr>
            <w:tcW w:w="1711" w:type="dxa"/>
            <w:noWrap/>
            <w:tcMar>
              <w:top w:w="0" w:type="dxa"/>
              <w:left w:w="70" w:type="dxa"/>
              <w:bottom w:w="0" w:type="dxa"/>
              <w:right w:w="70" w:type="dxa"/>
            </w:tcMar>
            <w:vAlign w:val="center"/>
            <w:hideMark/>
          </w:tcPr>
          <w:p w14:paraId="312005D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907.392.844</w:t>
            </w:r>
          </w:p>
        </w:tc>
        <w:tc>
          <w:tcPr>
            <w:tcW w:w="1877" w:type="dxa"/>
            <w:noWrap/>
            <w:tcMar>
              <w:top w:w="0" w:type="dxa"/>
              <w:left w:w="70" w:type="dxa"/>
              <w:bottom w:w="0" w:type="dxa"/>
              <w:right w:w="70" w:type="dxa"/>
            </w:tcMar>
            <w:vAlign w:val="center"/>
            <w:hideMark/>
          </w:tcPr>
          <w:p w14:paraId="348E0D4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989.913.582</w:t>
            </w:r>
          </w:p>
        </w:tc>
        <w:tc>
          <w:tcPr>
            <w:tcW w:w="749" w:type="dxa"/>
            <w:noWrap/>
            <w:tcMar>
              <w:top w:w="0" w:type="dxa"/>
              <w:left w:w="70" w:type="dxa"/>
              <w:bottom w:w="0" w:type="dxa"/>
              <w:right w:w="70" w:type="dxa"/>
            </w:tcMar>
            <w:vAlign w:val="center"/>
            <w:hideMark/>
          </w:tcPr>
          <w:p w14:paraId="48A16C9C"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109%</w:t>
            </w:r>
          </w:p>
        </w:tc>
        <w:tc>
          <w:tcPr>
            <w:tcW w:w="2153" w:type="dxa"/>
            <w:noWrap/>
            <w:tcMar>
              <w:top w:w="0" w:type="dxa"/>
              <w:left w:w="70" w:type="dxa"/>
              <w:bottom w:w="0" w:type="dxa"/>
              <w:right w:w="70" w:type="dxa"/>
            </w:tcMar>
            <w:vAlign w:val="center"/>
            <w:hideMark/>
          </w:tcPr>
          <w:p w14:paraId="73D07F8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945.565.646</w:t>
            </w:r>
          </w:p>
        </w:tc>
        <w:tc>
          <w:tcPr>
            <w:tcW w:w="765" w:type="dxa"/>
            <w:noWrap/>
            <w:tcMar>
              <w:top w:w="0" w:type="dxa"/>
              <w:left w:w="70" w:type="dxa"/>
              <w:bottom w:w="0" w:type="dxa"/>
              <w:right w:w="70" w:type="dxa"/>
            </w:tcMar>
            <w:vAlign w:val="center"/>
            <w:hideMark/>
          </w:tcPr>
          <w:p w14:paraId="20B841BF" w14:textId="77777777" w:rsidR="00AB03C7" w:rsidRPr="00AB03C7" w:rsidRDefault="337735FB" w:rsidP="00AB03C7">
            <w:pPr>
              <w:spacing w:after="0"/>
              <w:jc w:val="center"/>
              <w:rPr>
                <w:rFonts w:eastAsia="Arial" w:cs="Arial"/>
                <w:color w:val="000000" w:themeColor="text1"/>
              </w:rPr>
            </w:pPr>
            <w:r w:rsidRPr="7E32E97F">
              <w:rPr>
                <w:rFonts w:eastAsia="Arial" w:cs="Arial"/>
                <w:color w:val="000000" w:themeColor="text1"/>
              </w:rPr>
              <w:t>104%</w:t>
            </w:r>
          </w:p>
        </w:tc>
        <w:tc>
          <w:tcPr>
            <w:tcW w:w="2092" w:type="dxa"/>
            <w:noWrap/>
            <w:tcMar>
              <w:top w:w="0" w:type="dxa"/>
              <w:left w:w="70" w:type="dxa"/>
              <w:bottom w:w="0" w:type="dxa"/>
              <w:right w:w="70" w:type="dxa"/>
            </w:tcMar>
            <w:vAlign w:val="center"/>
            <w:hideMark/>
          </w:tcPr>
          <w:p w14:paraId="57BEF3C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904.947.153</w:t>
            </w:r>
          </w:p>
        </w:tc>
        <w:tc>
          <w:tcPr>
            <w:tcW w:w="763" w:type="dxa"/>
            <w:noWrap/>
            <w:tcMar>
              <w:top w:w="0" w:type="dxa"/>
              <w:left w:w="70" w:type="dxa"/>
              <w:bottom w:w="0" w:type="dxa"/>
              <w:right w:w="70" w:type="dxa"/>
            </w:tcMar>
            <w:vAlign w:val="center"/>
            <w:hideMark/>
          </w:tcPr>
          <w:p w14:paraId="539A3C3B"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15" w:type="dxa"/>
            <w:vAlign w:val="center"/>
            <w:hideMark/>
          </w:tcPr>
          <w:p w14:paraId="5F058CB5" w14:textId="77777777" w:rsidR="00AB03C7" w:rsidRPr="00AB03C7" w:rsidRDefault="00AB03C7" w:rsidP="00AB03C7"/>
        </w:tc>
      </w:tr>
      <w:tr w:rsidR="00F81E42" w:rsidRPr="00AB03C7" w14:paraId="46A5E11C" w14:textId="77777777" w:rsidTr="00F81E42">
        <w:trPr>
          <w:trHeight w:val="278"/>
        </w:trPr>
        <w:tc>
          <w:tcPr>
            <w:tcW w:w="1375" w:type="dxa"/>
            <w:vMerge/>
            <w:vAlign w:val="center"/>
            <w:hideMark/>
          </w:tcPr>
          <w:p w14:paraId="1083CC51" w14:textId="77777777" w:rsidR="00AB03C7" w:rsidRPr="00AB03C7" w:rsidRDefault="00AB03C7" w:rsidP="00AB03C7">
            <w:pPr>
              <w:rPr>
                <w:b/>
                <w:bCs/>
              </w:rPr>
            </w:pPr>
          </w:p>
        </w:tc>
        <w:tc>
          <w:tcPr>
            <w:tcW w:w="1565" w:type="dxa"/>
            <w:noWrap/>
            <w:tcMar>
              <w:top w:w="0" w:type="dxa"/>
              <w:left w:w="70" w:type="dxa"/>
              <w:bottom w:w="0" w:type="dxa"/>
              <w:right w:w="70" w:type="dxa"/>
            </w:tcMar>
            <w:vAlign w:val="center"/>
            <w:hideMark/>
          </w:tcPr>
          <w:p w14:paraId="2B41E7D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Zahodna</w:t>
            </w:r>
          </w:p>
        </w:tc>
        <w:tc>
          <w:tcPr>
            <w:tcW w:w="1711" w:type="dxa"/>
            <w:noWrap/>
            <w:tcMar>
              <w:top w:w="0" w:type="dxa"/>
              <w:left w:w="70" w:type="dxa"/>
              <w:bottom w:w="0" w:type="dxa"/>
              <w:right w:w="70" w:type="dxa"/>
            </w:tcMar>
            <w:vAlign w:val="center"/>
            <w:hideMark/>
          </w:tcPr>
          <w:p w14:paraId="1A66ECB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509.292.519</w:t>
            </w:r>
          </w:p>
        </w:tc>
        <w:tc>
          <w:tcPr>
            <w:tcW w:w="1877" w:type="dxa"/>
            <w:noWrap/>
            <w:tcMar>
              <w:top w:w="0" w:type="dxa"/>
              <w:left w:w="70" w:type="dxa"/>
              <w:bottom w:w="0" w:type="dxa"/>
              <w:right w:w="70" w:type="dxa"/>
            </w:tcMar>
            <w:vAlign w:val="center"/>
            <w:hideMark/>
          </w:tcPr>
          <w:p w14:paraId="7994976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639.640.406</w:t>
            </w:r>
          </w:p>
        </w:tc>
        <w:tc>
          <w:tcPr>
            <w:tcW w:w="749" w:type="dxa"/>
            <w:noWrap/>
            <w:tcMar>
              <w:top w:w="0" w:type="dxa"/>
              <w:left w:w="70" w:type="dxa"/>
              <w:bottom w:w="0" w:type="dxa"/>
              <w:right w:w="70" w:type="dxa"/>
            </w:tcMar>
            <w:vAlign w:val="center"/>
            <w:hideMark/>
          </w:tcPr>
          <w:p w14:paraId="5482141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126%</w:t>
            </w:r>
          </w:p>
        </w:tc>
        <w:tc>
          <w:tcPr>
            <w:tcW w:w="2153" w:type="dxa"/>
            <w:noWrap/>
            <w:tcMar>
              <w:top w:w="0" w:type="dxa"/>
              <w:left w:w="70" w:type="dxa"/>
              <w:bottom w:w="0" w:type="dxa"/>
              <w:right w:w="70" w:type="dxa"/>
            </w:tcMar>
            <w:vAlign w:val="center"/>
            <w:hideMark/>
          </w:tcPr>
          <w:p w14:paraId="1D4A0BAE"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631.072.531</w:t>
            </w:r>
          </w:p>
        </w:tc>
        <w:tc>
          <w:tcPr>
            <w:tcW w:w="765" w:type="dxa"/>
            <w:noWrap/>
            <w:tcMar>
              <w:top w:w="0" w:type="dxa"/>
              <w:left w:w="70" w:type="dxa"/>
              <w:bottom w:w="0" w:type="dxa"/>
              <w:right w:w="70" w:type="dxa"/>
            </w:tcMar>
            <w:vAlign w:val="center"/>
            <w:hideMark/>
          </w:tcPr>
          <w:p w14:paraId="3CAECAB5"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124%</w:t>
            </w:r>
          </w:p>
        </w:tc>
        <w:tc>
          <w:tcPr>
            <w:tcW w:w="2092" w:type="dxa"/>
            <w:noWrap/>
            <w:tcMar>
              <w:top w:w="0" w:type="dxa"/>
              <w:left w:w="70" w:type="dxa"/>
              <w:bottom w:w="0" w:type="dxa"/>
              <w:right w:w="70" w:type="dxa"/>
            </w:tcMar>
            <w:vAlign w:val="center"/>
            <w:hideMark/>
          </w:tcPr>
          <w:p w14:paraId="18A359F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598.250.273</w:t>
            </w:r>
          </w:p>
        </w:tc>
        <w:tc>
          <w:tcPr>
            <w:tcW w:w="763" w:type="dxa"/>
            <w:noWrap/>
            <w:tcMar>
              <w:top w:w="0" w:type="dxa"/>
              <w:left w:w="70" w:type="dxa"/>
              <w:bottom w:w="0" w:type="dxa"/>
              <w:right w:w="70" w:type="dxa"/>
            </w:tcMar>
            <w:vAlign w:val="center"/>
            <w:hideMark/>
          </w:tcPr>
          <w:p w14:paraId="4DBE6ABC"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117%</w:t>
            </w:r>
          </w:p>
        </w:tc>
        <w:tc>
          <w:tcPr>
            <w:tcW w:w="15" w:type="dxa"/>
            <w:vAlign w:val="center"/>
            <w:hideMark/>
          </w:tcPr>
          <w:p w14:paraId="1D1195A0" w14:textId="77777777" w:rsidR="00AB03C7" w:rsidRPr="00AB03C7" w:rsidRDefault="00AB03C7" w:rsidP="00AB03C7"/>
        </w:tc>
      </w:tr>
      <w:tr w:rsidR="00F81E42" w:rsidRPr="00AB03C7" w14:paraId="02487631" w14:textId="77777777" w:rsidTr="00F81E42">
        <w:trPr>
          <w:trHeight w:val="292"/>
        </w:trPr>
        <w:tc>
          <w:tcPr>
            <w:tcW w:w="1375" w:type="dxa"/>
            <w:vMerge/>
            <w:vAlign w:val="center"/>
            <w:hideMark/>
          </w:tcPr>
          <w:p w14:paraId="64B9BBAC" w14:textId="77777777" w:rsidR="00AB03C7" w:rsidRPr="00AB03C7" w:rsidRDefault="00AB03C7" w:rsidP="00AB03C7">
            <w:pPr>
              <w:rPr>
                <w:b/>
                <w:bCs/>
              </w:rPr>
            </w:pPr>
          </w:p>
        </w:tc>
        <w:tc>
          <w:tcPr>
            <w:tcW w:w="1565" w:type="dxa"/>
            <w:noWrap/>
            <w:tcMar>
              <w:top w:w="0" w:type="dxa"/>
              <w:left w:w="70" w:type="dxa"/>
              <w:bottom w:w="0" w:type="dxa"/>
              <w:right w:w="70" w:type="dxa"/>
            </w:tcMar>
            <w:vAlign w:val="bottom"/>
            <w:hideMark/>
          </w:tcPr>
          <w:p w14:paraId="4461A0C8"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Celotna SI</w:t>
            </w:r>
          </w:p>
        </w:tc>
        <w:tc>
          <w:tcPr>
            <w:tcW w:w="1711" w:type="dxa"/>
            <w:noWrap/>
            <w:tcMar>
              <w:top w:w="0" w:type="dxa"/>
              <w:left w:w="70" w:type="dxa"/>
              <w:bottom w:w="0" w:type="dxa"/>
              <w:right w:w="70" w:type="dxa"/>
            </w:tcMar>
            <w:vAlign w:val="center"/>
            <w:hideMark/>
          </w:tcPr>
          <w:p w14:paraId="7061F6B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255.741.210</w:t>
            </w:r>
          </w:p>
        </w:tc>
        <w:tc>
          <w:tcPr>
            <w:tcW w:w="1877" w:type="dxa"/>
            <w:noWrap/>
            <w:tcMar>
              <w:top w:w="0" w:type="dxa"/>
              <w:left w:w="70" w:type="dxa"/>
              <w:bottom w:w="0" w:type="dxa"/>
              <w:right w:w="70" w:type="dxa"/>
            </w:tcMar>
            <w:vAlign w:val="center"/>
            <w:hideMark/>
          </w:tcPr>
          <w:p w14:paraId="7941BC9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276.172.328</w:t>
            </w:r>
          </w:p>
        </w:tc>
        <w:tc>
          <w:tcPr>
            <w:tcW w:w="749" w:type="dxa"/>
            <w:noWrap/>
            <w:tcMar>
              <w:top w:w="0" w:type="dxa"/>
              <w:left w:w="70" w:type="dxa"/>
              <w:bottom w:w="0" w:type="dxa"/>
              <w:right w:w="70" w:type="dxa"/>
            </w:tcMar>
            <w:vAlign w:val="center"/>
            <w:hideMark/>
          </w:tcPr>
          <w:p w14:paraId="69EBDF9D"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108%</w:t>
            </w:r>
          </w:p>
        </w:tc>
        <w:tc>
          <w:tcPr>
            <w:tcW w:w="2153" w:type="dxa"/>
            <w:noWrap/>
            <w:tcMar>
              <w:top w:w="0" w:type="dxa"/>
              <w:left w:w="70" w:type="dxa"/>
              <w:bottom w:w="0" w:type="dxa"/>
              <w:right w:w="70" w:type="dxa"/>
            </w:tcMar>
            <w:vAlign w:val="center"/>
            <w:hideMark/>
          </w:tcPr>
          <w:p w14:paraId="18EE7B41"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272.884.972</w:t>
            </w:r>
          </w:p>
        </w:tc>
        <w:tc>
          <w:tcPr>
            <w:tcW w:w="765" w:type="dxa"/>
            <w:noWrap/>
            <w:tcMar>
              <w:top w:w="0" w:type="dxa"/>
              <w:left w:w="70" w:type="dxa"/>
              <w:bottom w:w="0" w:type="dxa"/>
              <w:right w:w="70" w:type="dxa"/>
            </w:tcMar>
            <w:vAlign w:val="center"/>
            <w:hideMark/>
          </w:tcPr>
          <w:p w14:paraId="0FFB31B3"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107%</w:t>
            </w:r>
          </w:p>
        </w:tc>
        <w:tc>
          <w:tcPr>
            <w:tcW w:w="2092" w:type="dxa"/>
            <w:noWrap/>
            <w:tcMar>
              <w:top w:w="0" w:type="dxa"/>
              <w:left w:w="70" w:type="dxa"/>
              <w:bottom w:w="0" w:type="dxa"/>
              <w:right w:w="70" w:type="dxa"/>
            </w:tcMar>
            <w:vAlign w:val="center"/>
            <w:hideMark/>
          </w:tcPr>
          <w:p w14:paraId="32AE65A3"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265.335.993</w:t>
            </w:r>
          </w:p>
        </w:tc>
        <w:tc>
          <w:tcPr>
            <w:tcW w:w="763" w:type="dxa"/>
            <w:noWrap/>
            <w:tcMar>
              <w:top w:w="0" w:type="dxa"/>
              <w:left w:w="70" w:type="dxa"/>
              <w:bottom w:w="0" w:type="dxa"/>
              <w:right w:w="70" w:type="dxa"/>
            </w:tcMar>
            <w:vAlign w:val="center"/>
            <w:hideMark/>
          </w:tcPr>
          <w:p w14:paraId="677DEE3C"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104%</w:t>
            </w:r>
          </w:p>
        </w:tc>
        <w:tc>
          <w:tcPr>
            <w:tcW w:w="15" w:type="dxa"/>
            <w:vAlign w:val="center"/>
            <w:hideMark/>
          </w:tcPr>
          <w:p w14:paraId="652973B3" w14:textId="77777777" w:rsidR="00AB03C7" w:rsidRPr="00AB03C7" w:rsidRDefault="00AB03C7" w:rsidP="00AB03C7"/>
        </w:tc>
      </w:tr>
      <w:tr w:rsidR="00F81E42" w:rsidRPr="00AB03C7" w14:paraId="532D916B" w14:textId="77777777" w:rsidTr="00F81E42">
        <w:trPr>
          <w:trHeight w:val="278"/>
        </w:trPr>
        <w:tc>
          <w:tcPr>
            <w:tcW w:w="2940" w:type="dxa"/>
            <w:gridSpan w:val="2"/>
            <w:shd w:val="clear" w:color="auto" w:fill="DDEBF7"/>
            <w:tcMar>
              <w:top w:w="0" w:type="dxa"/>
              <w:left w:w="70" w:type="dxa"/>
              <w:bottom w:w="0" w:type="dxa"/>
              <w:right w:w="70" w:type="dxa"/>
            </w:tcMar>
            <w:vAlign w:val="center"/>
            <w:hideMark/>
          </w:tcPr>
          <w:p w14:paraId="30EAF95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ESRR</w:t>
            </w:r>
          </w:p>
        </w:tc>
        <w:tc>
          <w:tcPr>
            <w:tcW w:w="1711" w:type="dxa"/>
            <w:shd w:val="clear" w:color="auto" w:fill="DDEBF7"/>
            <w:noWrap/>
            <w:tcMar>
              <w:top w:w="0" w:type="dxa"/>
              <w:left w:w="70" w:type="dxa"/>
              <w:bottom w:w="0" w:type="dxa"/>
              <w:right w:w="70" w:type="dxa"/>
            </w:tcMar>
            <w:vAlign w:val="center"/>
            <w:hideMark/>
          </w:tcPr>
          <w:p w14:paraId="416B3ECB"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1.672.426.573</w:t>
            </w:r>
          </w:p>
        </w:tc>
        <w:tc>
          <w:tcPr>
            <w:tcW w:w="1877" w:type="dxa"/>
            <w:shd w:val="clear" w:color="auto" w:fill="DDEBF7"/>
            <w:noWrap/>
            <w:tcMar>
              <w:top w:w="0" w:type="dxa"/>
              <w:left w:w="70" w:type="dxa"/>
              <w:bottom w:w="0" w:type="dxa"/>
              <w:right w:w="70" w:type="dxa"/>
            </w:tcMar>
            <w:vAlign w:val="center"/>
            <w:hideMark/>
          </w:tcPr>
          <w:p w14:paraId="4A54BC39"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1.905.726.317</w:t>
            </w:r>
          </w:p>
        </w:tc>
        <w:tc>
          <w:tcPr>
            <w:tcW w:w="749" w:type="dxa"/>
            <w:shd w:val="clear" w:color="auto" w:fill="DDEBF7"/>
            <w:noWrap/>
            <w:tcMar>
              <w:top w:w="0" w:type="dxa"/>
              <w:left w:w="70" w:type="dxa"/>
              <w:bottom w:w="0" w:type="dxa"/>
              <w:right w:w="70" w:type="dxa"/>
            </w:tcMar>
            <w:vAlign w:val="center"/>
            <w:hideMark/>
          </w:tcPr>
          <w:p w14:paraId="2FC5C5AD"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114%</w:t>
            </w:r>
          </w:p>
        </w:tc>
        <w:tc>
          <w:tcPr>
            <w:tcW w:w="2153" w:type="dxa"/>
            <w:shd w:val="clear" w:color="auto" w:fill="DDEBF7"/>
            <w:noWrap/>
            <w:tcMar>
              <w:top w:w="0" w:type="dxa"/>
              <w:left w:w="70" w:type="dxa"/>
              <w:bottom w:w="0" w:type="dxa"/>
              <w:right w:w="70" w:type="dxa"/>
            </w:tcMar>
            <w:vAlign w:val="center"/>
            <w:hideMark/>
          </w:tcPr>
          <w:p w14:paraId="513D581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1.849.523.149</w:t>
            </w:r>
          </w:p>
        </w:tc>
        <w:tc>
          <w:tcPr>
            <w:tcW w:w="765" w:type="dxa"/>
            <w:shd w:val="clear" w:color="auto" w:fill="DDEBF7"/>
            <w:noWrap/>
            <w:tcMar>
              <w:top w:w="0" w:type="dxa"/>
              <w:left w:w="70" w:type="dxa"/>
              <w:bottom w:w="0" w:type="dxa"/>
              <w:right w:w="70" w:type="dxa"/>
            </w:tcMar>
            <w:vAlign w:val="center"/>
            <w:hideMark/>
          </w:tcPr>
          <w:p w14:paraId="39682BF7"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111%</w:t>
            </w:r>
          </w:p>
        </w:tc>
        <w:tc>
          <w:tcPr>
            <w:tcW w:w="2092" w:type="dxa"/>
            <w:shd w:val="clear" w:color="auto" w:fill="DDEBF7"/>
            <w:noWrap/>
            <w:tcMar>
              <w:top w:w="0" w:type="dxa"/>
              <w:left w:w="70" w:type="dxa"/>
              <w:bottom w:w="0" w:type="dxa"/>
              <w:right w:w="70" w:type="dxa"/>
            </w:tcMar>
            <w:vAlign w:val="center"/>
            <w:hideMark/>
          </w:tcPr>
          <w:p w14:paraId="6C6B6783"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1.768.533.419</w:t>
            </w:r>
          </w:p>
        </w:tc>
        <w:tc>
          <w:tcPr>
            <w:tcW w:w="763" w:type="dxa"/>
            <w:shd w:val="clear" w:color="auto" w:fill="DDEBF7"/>
            <w:noWrap/>
            <w:tcMar>
              <w:top w:w="0" w:type="dxa"/>
              <w:left w:w="70" w:type="dxa"/>
              <w:bottom w:w="0" w:type="dxa"/>
              <w:right w:w="70" w:type="dxa"/>
            </w:tcMar>
            <w:vAlign w:val="center"/>
            <w:hideMark/>
          </w:tcPr>
          <w:p w14:paraId="6F6F030D"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106%</w:t>
            </w:r>
          </w:p>
        </w:tc>
        <w:tc>
          <w:tcPr>
            <w:tcW w:w="15" w:type="dxa"/>
            <w:vAlign w:val="center"/>
            <w:hideMark/>
          </w:tcPr>
          <w:p w14:paraId="10D4EA4F" w14:textId="77777777" w:rsidR="00AB03C7" w:rsidRPr="00AB03C7" w:rsidRDefault="00AB03C7" w:rsidP="00AB03C7"/>
        </w:tc>
      </w:tr>
      <w:tr w:rsidR="00F81E42" w:rsidRPr="00AB03C7" w14:paraId="21CFFC55" w14:textId="77777777" w:rsidTr="00F81E42">
        <w:trPr>
          <w:trHeight w:val="278"/>
        </w:trPr>
        <w:tc>
          <w:tcPr>
            <w:tcW w:w="1375" w:type="dxa"/>
            <w:vMerge w:val="restart"/>
            <w:tcMar>
              <w:top w:w="0" w:type="dxa"/>
              <w:left w:w="70" w:type="dxa"/>
              <w:bottom w:w="0" w:type="dxa"/>
              <w:right w:w="70" w:type="dxa"/>
            </w:tcMar>
            <w:vAlign w:val="center"/>
            <w:hideMark/>
          </w:tcPr>
          <w:p w14:paraId="1630A2F8" w14:textId="77777777" w:rsidR="00AB03C7" w:rsidRPr="00AB03C7" w:rsidRDefault="337735FB" w:rsidP="7E32E97F">
            <w:pPr>
              <w:rPr>
                <w:rFonts w:eastAsia="Arial" w:cs="Arial"/>
                <w:b/>
                <w:bCs/>
              </w:rPr>
            </w:pPr>
            <w:r w:rsidRPr="7E32E97F">
              <w:rPr>
                <w:rFonts w:eastAsia="Arial" w:cs="Arial"/>
                <w:b/>
                <w:bCs/>
              </w:rPr>
              <w:t>ESS</w:t>
            </w:r>
          </w:p>
        </w:tc>
        <w:tc>
          <w:tcPr>
            <w:tcW w:w="1565" w:type="dxa"/>
            <w:noWrap/>
            <w:tcMar>
              <w:top w:w="0" w:type="dxa"/>
              <w:left w:w="70" w:type="dxa"/>
              <w:bottom w:w="0" w:type="dxa"/>
              <w:right w:w="70" w:type="dxa"/>
            </w:tcMar>
            <w:vAlign w:val="center"/>
            <w:hideMark/>
          </w:tcPr>
          <w:p w14:paraId="62E8C98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Vzhodna</w:t>
            </w:r>
          </w:p>
        </w:tc>
        <w:tc>
          <w:tcPr>
            <w:tcW w:w="1711" w:type="dxa"/>
            <w:noWrap/>
            <w:tcMar>
              <w:top w:w="0" w:type="dxa"/>
              <w:left w:w="70" w:type="dxa"/>
              <w:bottom w:w="0" w:type="dxa"/>
              <w:right w:w="70" w:type="dxa"/>
            </w:tcMar>
            <w:vAlign w:val="center"/>
            <w:hideMark/>
          </w:tcPr>
          <w:p w14:paraId="17890EA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379.473.557</w:t>
            </w:r>
          </w:p>
        </w:tc>
        <w:tc>
          <w:tcPr>
            <w:tcW w:w="1877" w:type="dxa"/>
            <w:noWrap/>
            <w:tcMar>
              <w:top w:w="0" w:type="dxa"/>
              <w:left w:w="70" w:type="dxa"/>
              <w:bottom w:w="0" w:type="dxa"/>
              <w:right w:w="70" w:type="dxa"/>
            </w:tcMar>
            <w:vAlign w:val="center"/>
            <w:hideMark/>
          </w:tcPr>
          <w:p w14:paraId="0004BE45"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404.412.279</w:t>
            </w:r>
          </w:p>
        </w:tc>
        <w:tc>
          <w:tcPr>
            <w:tcW w:w="749" w:type="dxa"/>
            <w:noWrap/>
            <w:tcMar>
              <w:top w:w="0" w:type="dxa"/>
              <w:left w:w="70" w:type="dxa"/>
              <w:bottom w:w="0" w:type="dxa"/>
              <w:right w:w="70" w:type="dxa"/>
            </w:tcMar>
            <w:vAlign w:val="center"/>
            <w:hideMark/>
          </w:tcPr>
          <w:p w14:paraId="5104121D"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107%</w:t>
            </w:r>
          </w:p>
        </w:tc>
        <w:tc>
          <w:tcPr>
            <w:tcW w:w="2153" w:type="dxa"/>
            <w:noWrap/>
            <w:tcMar>
              <w:top w:w="0" w:type="dxa"/>
              <w:left w:w="70" w:type="dxa"/>
              <w:bottom w:w="0" w:type="dxa"/>
              <w:right w:w="70" w:type="dxa"/>
            </w:tcMar>
            <w:vAlign w:val="center"/>
            <w:hideMark/>
          </w:tcPr>
          <w:p w14:paraId="2437D375"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387.261.978</w:t>
            </w:r>
          </w:p>
        </w:tc>
        <w:tc>
          <w:tcPr>
            <w:tcW w:w="765" w:type="dxa"/>
            <w:noWrap/>
            <w:tcMar>
              <w:top w:w="0" w:type="dxa"/>
              <w:left w:w="70" w:type="dxa"/>
              <w:bottom w:w="0" w:type="dxa"/>
              <w:right w:w="70" w:type="dxa"/>
            </w:tcMar>
            <w:vAlign w:val="center"/>
            <w:hideMark/>
          </w:tcPr>
          <w:p w14:paraId="0CB7E694"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102%</w:t>
            </w:r>
          </w:p>
        </w:tc>
        <w:tc>
          <w:tcPr>
            <w:tcW w:w="2092" w:type="dxa"/>
            <w:noWrap/>
            <w:tcMar>
              <w:top w:w="0" w:type="dxa"/>
              <w:left w:w="70" w:type="dxa"/>
              <w:bottom w:w="0" w:type="dxa"/>
              <w:right w:w="70" w:type="dxa"/>
            </w:tcMar>
            <w:vAlign w:val="center"/>
            <w:hideMark/>
          </w:tcPr>
          <w:p w14:paraId="061582A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381.233.538</w:t>
            </w:r>
          </w:p>
        </w:tc>
        <w:tc>
          <w:tcPr>
            <w:tcW w:w="763" w:type="dxa"/>
            <w:noWrap/>
            <w:tcMar>
              <w:top w:w="0" w:type="dxa"/>
              <w:left w:w="70" w:type="dxa"/>
              <w:bottom w:w="0" w:type="dxa"/>
              <w:right w:w="70" w:type="dxa"/>
            </w:tcMar>
            <w:vAlign w:val="center"/>
            <w:hideMark/>
          </w:tcPr>
          <w:p w14:paraId="0241EDB4"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15" w:type="dxa"/>
            <w:vAlign w:val="center"/>
            <w:hideMark/>
          </w:tcPr>
          <w:p w14:paraId="3648CC3C" w14:textId="77777777" w:rsidR="00AB03C7" w:rsidRPr="00AB03C7" w:rsidRDefault="00AB03C7" w:rsidP="00AB03C7"/>
        </w:tc>
      </w:tr>
      <w:tr w:rsidR="00F81E42" w:rsidRPr="00AB03C7" w14:paraId="45FFD8CD" w14:textId="77777777" w:rsidTr="00F81E42">
        <w:trPr>
          <w:trHeight w:val="292"/>
        </w:trPr>
        <w:tc>
          <w:tcPr>
            <w:tcW w:w="1375" w:type="dxa"/>
            <w:vMerge/>
            <w:vAlign w:val="center"/>
            <w:hideMark/>
          </w:tcPr>
          <w:p w14:paraId="43100DE3" w14:textId="77777777" w:rsidR="00AB03C7" w:rsidRPr="00AB03C7" w:rsidRDefault="00AB03C7" w:rsidP="00AB03C7">
            <w:pPr>
              <w:rPr>
                <w:b/>
                <w:bCs/>
              </w:rPr>
            </w:pPr>
          </w:p>
        </w:tc>
        <w:tc>
          <w:tcPr>
            <w:tcW w:w="1565" w:type="dxa"/>
            <w:noWrap/>
            <w:tcMar>
              <w:top w:w="0" w:type="dxa"/>
              <w:left w:w="70" w:type="dxa"/>
              <w:bottom w:w="0" w:type="dxa"/>
              <w:right w:w="70" w:type="dxa"/>
            </w:tcMar>
            <w:vAlign w:val="center"/>
            <w:hideMark/>
          </w:tcPr>
          <w:p w14:paraId="59F1A278"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Zahodna</w:t>
            </w:r>
          </w:p>
        </w:tc>
        <w:tc>
          <w:tcPr>
            <w:tcW w:w="1711" w:type="dxa"/>
            <w:noWrap/>
            <w:tcMar>
              <w:top w:w="0" w:type="dxa"/>
              <w:left w:w="70" w:type="dxa"/>
              <w:bottom w:w="0" w:type="dxa"/>
              <w:right w:w="70" w:type="dxa"/>
            </w:tcMar>
            <w:vAlign w:val="center"/>
            <w:hideMark/>
          </w:tcPr>
          <w:p w14:paraId="25F2A9B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339.296.038</w:t>
            </w:r>
          </w:p>
        </w:tc>
        <w:tc>
          <w:tcPr>
            <w:tcW w:w="1877" w:type="dxa"/>
            <w:noWrap/>
            <w:tcMar>
              <w:top w:w="0" w:type="dxa"/>
              <w:left w:w="70" w:type="dxa"/>
              <w:bottom w:w="0" w:type="dxa"/>
              <w:right w:w="70" w:type="dxa"/>
            </w:tcMar>
            <w:vAlign w:val="center"/>
            <w:hideMark/>
          </w:tcPr>
          <w:p w14:paraId="696690D3"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367.770.281</w:t>
            </w:r>
          </w:p>
        </w:tc>
        <w:tc>
          <w:tcPr>
            <w:tcW w:w="749" w:type="dxa"/>
            <w:noWrap/>
            <w:tcMar>
              <w:top w:w="0" w:type="dxa"/>
              <w:left w:w="70" w:type="dxa"/>
              <w:bottom w:w="0" w:type="dxa"/>
              <w:right w:w="70" w:type="dxa"/>
            </w:tcMar>
            <w:vAlign w:val="center"/>
            <w:hideMark/>
          </w:tcPr>
          <w:p w14:paraId="1ECECE57"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108%</w:t>
            </w:r>
          </w:p>
        </w:tc>
        <w:tc>
          <w:tcPr>
            <w:tcW w:w="2153" w:type="dxa"/>
            <w:noWrap/>
            <w:tcMar>
              <w:top w:w="0" w:type="dxa"/>
              <w:left w:w="70" w:type="dxa"/>
              <w:bottom w:w="0" w:type="dxa"/>
              <w:right w:w="70" w:type="dxa"/>
            </w:tcMar>
            <w:vAlign w:val="center"/>
            <w:hideMark/>
          </w:tcPr>
          <w:p w14:paraId="7ECE915B"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356.939.760</w:t>
            </w:r>
          </w:p>
        </w:tc>
        <w:tc>
          <w:tcPr>
            <w:tcW w:w="765" w:type="dxa"/>
            <w:noWrap/>
            <w:tcMar>
              <w:top w:w="0" w:type="dxa"/>
              <w:left w:w="70" w:type="dxa"/>
              <w:bottom w:w="0" w:type="dxa"/>
              <w:right w:w="70" w:type="dxa"/>
            </w:tcMar>
            <w:vAlign w:val="center"/>
            <w:hideMark/>
          </w:tcPr>
          <w:p w14:paraId="55AB4146"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105%</w:t>
            </w:r>
          </w:p>
        </w:tc>
        <w:tc>
          <w:tcPr>
            <w:tcW w:w="2092" w:type="dxa"/>
            <w:noWrap/>
            <w:tcMar>
              <w:top w:w="0" w:type="dxa"/>
              <w:left w:w="70" w:type="dxa"/>
              <w:bottom w:w="0" w:type="dxa"/>
              <w:right w:w="70" w:type="dxa"/>
            </w:tcMar>
            <w:vAlign w:val="center"/>
            <w:hideMark/>
          </w:tcPr>
          <w:p w14:paraId="25F405F4"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353.756.271</w:t>
            </w:r>
          </w:p>
        </w:tc>
        <w:tc>
          <w:tcPr>
            <w:tcW w:w="763" w:type="dxa"/>
            <w:noWrap/>
            <w:tcMar>
              <w:top w:w="0" w:type="dxa"/>
              <w:left w:w="70" w:type="dxa"/>
              <w:bottom w:w="0" w:type="dxa"/>
              <w:right w:w="70" w:type="dxa"/>
            </w:tcMar>
            <w:vAlign w:val="center"/>
            <w:hideMark/>
          </w:tcPr>
          <w:p w14:paraId="1D952E38"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104%</w:t>
            </w:r>
          </w:p>
        </w:tc>
        <w:tc>
          <w:tcPr>
            <w:tcW w:w="15" w:type="dxa"/>
            <w:vAlign w:val="center"/>
            <w:hideMark/>
          </w:tcPr>
          <w:p w14:paraId="7F1AE63E" w14:textId="77777777" w:rsidR="00AB03C7" w:rsidRPr="00AB03C7" w:rsidRDefault="00AB03C7" w:rsidP="00AB03C7"/>
        </w:tc>
      </w:tr>
      <w:tr w:rsidR="00F81E42" w:rsidRPr="00AB03C7" w14:paraId="495E554D" w14:textId="77777777" w:rsidTr="00F81E42">
        <w:trPr>
          <w:trHeight w:val="278"/>
        </w:trPr>
        <w:tc>
          <w:tcPr>
            <w:tcW w:w="1375" w:type="dxa"/>
            <w:vMerge/>
            <w:vAlign w:val="center"/>
            <w:hideMark/>
          </w:tcPr>
          <w:p w14:paraId="032D091E" w14:textId="77777777" w:rsidR="00AB03C7" w:rsidRPr="00AB03C7" w:rsidRDefault="00AB03C7" w:rsidP="00AB03C7">
            <w:pPr>
              <w:rPr>
                <w:b/>
                <w:bCs/>
              </w:rPr>
            </w:pPr>
          </w:p>
        </w:tc>
        <w:tc>
          <w:tcPr>
            <w:tcW w:w="1565" w:type="dxa"/>
            <w:noWrap/>
            <w:tcMar>
              <w:top w:w="0" w:type="dxa"/>
              <w:left w:w="70" w:type="dxa"/>
              <w:bottom w:w="0" w:type="dxa"/>
              <w:right w:w="70" w:type="dxa"/>
            </w:tcMar>
            <w:vAlign w:val="bottom"/>
            <w:hideMark/>
          </w:tcPr>
          <w:p w14:paraId="71C372CD"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Celotna SI</w:t>
            </w:r>
          </w:p>
        </w:tc>
        <w:tc>
          <w:tcPr>
            <w:tcW w:w="1711" w:type="dxa"/>
            <w:noWrap/>
            <w:tcMar>
              <w:top w:w="0" w:type="dxa"/>
              <w:left w:w="70" w:type="dxa"/>
              <w:bottom w:w="0" w:type="dxa"/>
              <w:right w:w="70" w:type="dxa"/>
            </w:tcMar>
            <w:vAlign w:val="center"/>
            <w:hideMark/>
          </w:tcPr>
          <w:p w14:paraId="7218176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13.205.000</w:t>
            </w:r>
          </w:p>
        </w:tc>
        <w:tc>
          <w:tcPr>
            <w:tcW w:w="1877" w:type="dxa"/>
            <w:noWrap/>
            <w:tcMar>
              <w:top w:w="0" w:type="dxa"/>
              <w:left w:w="70" w:type="dxa"/>
              <w:bottom w:w="0" w:type="dxa"/>
              <w:right w:w="70" w:type="dxa"/>
            </w:tcMar>
            <w:vAlign w:val="center"/>
            <w:hideMark/>
          </w:tcPr>
          <w:p w14:paraId="214802E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15.060.526</w:t>
            </w:r>
          </w:p>
        </w:tc>
        <w:tc>
          <w:tcPr>
            <w:tcW w:w="749" w:type="dxa"/>
            <w:noWrap/>
            <w:tcMar>
              <w:top w:w="0" w:type="dxa"/>
              <w:left w:w="70" w:type="dxa"/>
              <w:bottom w:w="0" w:type="dxa"/>
              <w:right w:w="70" w:type="dxa"/>
            </w:tcMar>
            <w:vAlign w:val="center"/>
            <w:hideMark/>
          </w:tcPr>
          <w:p w14:paraId="62A4EC7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114%</w:t>
            </w:r>
          </w:p>
        </w:tc>
        <w:tc>
          <w:tcPr>
            <w:tcW w:w="2153" w:type="dxa"/>
            <w:noWrap/>
            <w:tcMar>
              <w:top w:w="0" w:type="dxa"/>
              <w:left w:w="70" w:type="dxa"/>
              <w:bottom w:w="0" w:type="dxa"/>
              <w:right w:w="70" w:type="dxa"/>
            </w:tcMar>
            <w:vAlign w:val="center"/>
            <w:hideMark/>
          </w:tcPr>
          <w:p w14:paraId="6C10EEDE"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14.045.342</w:t>
            </w:r>
          </w:p>
        </w:tc>
        <w:tc>
          <w:tcPr>
            <w:tcW w:w="765" w:type="dxa"/>
            <w:noWrap/>
            <w:tcMar>
              <w:top w:w="0" w:type="dxa"/>
              <w:left w:w="70" w:type="dxa"/>
              <w:bottom w:w="0" w:type="dxa"/>
              <w:right w:w="70" w:type="dxa"/>
            </w:tcMar>
            <w:vAlign w:val="center"/>
            <w:hideMark/>
          </w:tcPr>
          <w:p w14:paraId="60A89FB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106%</w:t>
            </w:r>
          </w:p>
        </w:tc>
        <w:tc>
          <w:tcPr>
            <w:tcW w:w="2092" w:type="dxa"/>
            <w:noWrap/>
            <w:tcMar>
              <w:top w:w="0" w:type="dxa"/>
              <w:left w:w="70" w:type="dxa"/>
              <w:bottom w:w="0" w:type="dxa"/>
              <w:right w:w="70" w:type="dxa"/>
            </w:tcMar>
            <w:vAlign w:val="center"/>
            <w:hideMark/>
          </w:tcPr>
          <w:p w14:paraId="40047DC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13.845.052</w:t>
            </w:r>
          </w:p>
        </w:tc>
        <w:tc>
          <w:tcPr>
            <w:tcW w:w="763" w:type="dxa"/>
            <w:noWrap/>
            <w:tcMar>
              <w:top w:w="0" w:type="dxa"/>
              <w:left w:w="70" w:type="dxa"/>
              <w:bottom w:w="0" w:type="dxa"/>
              <w:right w:w="70" w:type="dxa"/>
            </w:tcMar>
            <w:vAlign w:val="center"/>
            <w:hideMark/>
          </w:tcPr>
          <w:p w14:paraId="0759577E"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105%</w:t>
            </w:r>
          </w:p>
        </w:tc>
        <w:tc>
          <w:tcPr>
            <w:tcW w:w="15" w:type="dxa"/>
            <w:vAlign w:val="center"/>
            <w:hideMark/>
          </w:tcPr>
          <w:p w14:paraId="097E325A" w14:textId="77777777" w:rsidR="00AB03C7" w:rsidRPr="00AB03C7" w:rsidRDefault="00AB03C7" w:rsidP="00AB03C7"/>
        </w:tc>
      </w:tr>
      <w:tr w:rsidR="00F81E42" w:rsidRPr="00AB03C7" w14:paraId="0E04717D" w14:textId="77777777" w:rsidTr="00F81E42">
        <w:trPr>
          <w:trHeight w:val="292"/>
        </w:trPr>
        <w:tc>
          <w:tcPr>
            <w:tcW w:w="2940" w:type="dxa"/>
            <w:gridSpan w:val="2"/>
            <w:shd w:val="clear" w:color="auto" w:fill="DDEBF7"/>
            <w:tcMar>
              <w:top w:w="0" w:type="dxa"/>
              <w:left w:w="70" w:type="dxa"/>
              <w:bottom w:w="0" w:type="dxa"/>
              <w:right w:w="70" w:type="dxa"/>
            </w:tcMar>
            <w:vAlign w:val="center"/>
            <w:hideMark/>
          </w:tcPr>
          <w:p w14:paraId="42FB441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ESS</w:t>
            </w:r>
          </w:p>
        </w:tc>
        <w:tc>
          <w:tcPr>
            <w:tcW w:w="1711" w:type="dxa"/>
            <w:shd w:val="clear" w:color="auto" w:fill="DDEBF7"/>
            <w:noWrap/>
            <w:tcMar>
              <w:top w:w="0" w:type="dxa"/>
              <w:left w:w="70" w:type="dxa"/>
              <w:bottom w:w="0" w:type="dxa"/>
              <w:right w:w="70" w:type="dxa"/>
            </w:tcMar>
            <w:vAlign w:val="center"/>
            <w:hideMark/>
          </w:tcPr>
          <w:p w14:paraId="3C6EF287"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731.974.595</w:t>
            </w:r>
          </w:p>
        </w:tc>
        <w:tc>
          <w:tcPr>
            <w:tcW w:w="1877" w:type="dxa"/>
            <w:shd w:val="clear" w:color="auto" w:fill="DDEBF7"/>
            <w:noWrap/>
            <w:tcMar>
              <w:top w:w="0" w:type="dxa"/>
              <w:left w:w="70" w:type="dxa"/>
              <w:bottom w:w="0" w:type="dxa"/>
              <w:right w:w="70" w:type="dxa"/>
            </w:tcMar>
            <w:vAlign w:val="center"/>
            <w:hideMark/>
          </w:tcPr>
          <w:p w14:paraId="075B0149"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787.243.086</w:t>
            </w:r>
          </w:p>
        </w:tc>
        <w:tc>
          <w:tcPr>
            <w:tcW w:w="749" w:type="dxa"/>
            <w:shd w:val="clear" w:color="auto" w:fill="DDEBF7"/>
            <w:noWrap/>
            <w:tcMar>
              <w:top w:w="0" w:type="dxa"/>
              <w:left w:w="70" w:type="dxa"/>
              <w:bottom w:w="0" w:type="dxa"/>
              <w:right w:w="70" w:type="dxa"/>
            </w:tcMar>
            <w:vAlign w:val="center"/>
            <w:hideMark/>
          </w:tcPr>
          <w:p w14:paraId="494CF1A2"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108%</w:t>
            </w:r>
          </w:p>
        </w:tc>
        <w:tc>
          <w:tcPr>
            <w:tcW w:w="2153" w:type="dxa"/>
            <w:shd w:val="clear" w:color="auto" w:fill="DDEBF7"/>
            <w:noWrap/>
            <w:tcMar>
              <w:top w:w="0" w:type="dxa"/>
              <w:left w:w="70" w:type="dxa"/>
              <w:bottom w:w="0" w:type="dxa"/>
              <w:right w:w="70" w:type="dxa"/>
            </w:tcMar>
            <w:vAlign w:val="center"/>
            <w:hideMark/>
          </w:tcPr>
          <w:p w14:paraId="27DEC2D2"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758.247.080</w:t>
            </w:r>
          </w:p>
        </w:tc>
        <w:tc>
          <w:tcPr>
            <w:tcW w:w="765" w:type="dxa"/>
            <w:shd w:val="clear" w:color="auto" w:fill="DDEBF7"/>
            <w:noWrap/>
            <w:tcMar>
              <w:top w:w="0" w:type="dxa"/>
              <w:left w:w="70" w:type="dxa"/>
              <w:bottom w:w="0" w:type="dxa"/>
              <w:right w:w="70" w:type="dxa"/>
            </w:tcMar>
            <w:vAlign w:val="center"/>
            <w:hideMark/>
          </w:tcPr>
          <w:p w14:paraId="27E4CC81"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104%</w:t>
            </w:r>
          </w:p>
        </w:tc>
        <w:tc>
          <w:tcPr>
            <w:tcW w:w="2092" w:type="dxa"/>
            <w:shd w:val="clear" w:color="auto" w:fill="DDEBF7"/>
            <w:noWrap/>
            <w:tcMar>
              <w:top w:w="0" w:type="dxa"/>
              <w:left w:w="70" w:type="dxa"/>
              <w:bottom w:w="0" w:type="dxa"/>
              <w:right w:w="70" w:type="dxa"/>
            </w:tcMar>
            <w:vAlign w:val="center"/>
            <w:hideMark/>
          </w:tcPr>
          <w:p w14:paraId="0F863F04"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748.834.861</w:t>
            </w:r>
          </w:p>
        </w:tc>
        <w:tc>
          <w:tcPr>
            <w:tcW w:w="763" w:type="dxa"/>
            <w:shd w:val="clear" w:color="auto" w:fill="DDEBF7"/>
            <w:noWrap/>
            <w:tcMar>
              <w:top w:w="0" w:type="dxa"/>
              <w:left w:w="70" w:type="dxa"/>
              <w:bottom w:w="0" w:type="dxa"/>
              <w:right w:w="70" w:type="dxa"/>
            </w:tcMar>
            <w:vAlign w:val="center"/>
            <w:hideMark/>
          </w:tcPr>
          <w:p w14:paraId="2C2C413D"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102%</w:t>
            </w:r>
          </w:p>
        </w:tc>
        <w:tc>
          <w:tcPr>
            <w:tcW w:w="15" w:type="dxa"/>
            <w:vAlign w:val="center"/>
            <w:hideMark/>
          </w:tcPr>
          <w:p w14:paraId="38CF9142" w14:textId="77777777" w:rsidR="00AB03C7" w:rsidRPr="00AB03C7" w:rsidRDefault="00AB03C7" w:rsidP="00AB03C7"/>
        </w:tc>
      </w:tr>
      <w:tr w:rsidR="00F81E42" w:rsidRPr="00AB03C7" w14:paraId="67C61AD2" w14:textId="77777777" w:rsidTr="00F81E42">
        <w:trPr>
          <w:trHeight w:val="278"/>
        </w:trPr>
        <w:tc>
          <w:tcPr>
            <w:tcW w:w="1375" w:type="dxa"/>
            <w:tcMar>
              <w:top w:w="0" w:type="dxa"/>
              <w:left w:w="70" w:type="dxa"/>
              <w:bottom w:w="0" w:type="dxa"/>
              <w:right w:w="70" w:type="dxa"/>
            </w:tcMar>
            <w:vAlign w:val="center"/>
            <w:hideMark/>
          </w:tcPr>
          <w:p w14:paraId="5B827A16" w14:textId="77777777" w:rsidR="00AB03C7" w:rsidRPr="00AB03C7" w:rsidRDefault="337735FB" w:rsidP="7E32E97F">
            <w:pPr>
              <w:rPr>
                <w:rFonts w:eastAsia="Arial" w:cs="Arial"/>
                <w:b/>
                <w:bCs/>
              </w:rPr>
            </w:pPr>
            <w:r w:rsidRPr="7E32E97F">
              <w:rPr>
                <w:rFonts w:eastAsia="Arial" w:cs="Arial"/>
                <w:b/>
                <w:bCs/>
              </w:rPr>
              <w:t>KS</w:t>
            </w:r>
          </w:p>
        </w:tc>
        <w:tc>
          <w:tcPr>
            <w:tcW w:w="1565" w:type="dxa"/>
            <w:noWrap/>
            <w:tcMar>
              <w:top w:w="0" w:type="dxa"/>
              <w:left w:w="70" w:type="dxa"/>
              <w:bottom w:w="0" w:type="dxa"/>
              <w:right w:w="70" w:type="dxa"/>
            </w:tcMar>
            <w:vAlign w:val="bottom"/>
            <w:hideMark/>
          </w:tcPr>
          <w:p w14:paraId="3792883E"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Celotna SI</w:t>
            </w:r>
          </w:p>
        </w:tc>
        <w:tc>
          <w:tcPr>
            <w:tcW w:w="1711" w:type="dxa"/>
            <w:noWrap/>
            <w:tcMar>
              <w:top w:w="0" w:type="dxa"/>
              <w:left w:w="70" w:type="dxa"/>
              <w:bottom w:w="0" w:type="dxa"/>
              <w:right w:w="70" w:type="dxa"/>
            </w:tcMar>
            <w:vAlign w:val="center"/>
            <w:hideMark/>
          </w:tcPr>
          <w:p w14:paraId="0B817BBB"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914.046.895</w:t>
            </w:r>
          </w:p>
        </w:tc>
        <w:tc>
          <w:tcPr>
            <w:tcW w:w="1877" w:type="dxa"/>
            <w:noWrap/>
            <w:tcMar>
              <w:top w:w="0" w:type="dxa"/>
              <w:left w:w="70" w:type="dxa"/>
              <w:bottom w:w="0" w:type="dxa"/>
              <w:right w:w="70" w:type="dxa"/>
            </w:tcMar>
            <w:vAlign w:val="center"/>
            <w:hideMark/>
          </w:tcPr>
          <w:p w14:paraId="01747A2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1.095.722.243</w:t>
            </w:r>
          </w:p>
        </w:tc>
        <w:tc>
          <w:tcPr>
            <w:tcW w:w="749" w:type="dxa"/>
            <w:noWrap/>
            <w:tcMar>
              <w:top w:w="0" w:type="dxa"/>
              <w:left w:w="70" w:type="dxa"/>
              <w:bottom w:w="0" w:type="dxa"/>
              <w:right w:w="70" w:type="dxa"/>
            </w:tcMar>
            <w:vAlign w:val="center"/>
            <w:hideMark/>
          </w:tcPr>
          <w:p w14:paraId="6C7F972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120%</w:t>
            </w:r>
          </w:p>
        </w:tc>
        <w:tc>
          <w:tcPr>
            <w:tcW w:w="2153" w:type="dxa"/>
            <w:noWrap/>
            <w:tcMar>
              <w:top w:w="0" w:type="dxa"/>
              <w:left w:w="70" w:type="dxa"/>
              <w:bottom w:w="0" w:type="dxa"/>
              <w:right w:w="70" w:type="dxa"/>
            </w:tcMar>
            <w:vAlign w:val="center"/>
            <w:hideMark/>
          </w:tcPr>
          <w:p w14:paraId="75D7146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1.051.146.959</w:t>
            </w:r>
          </w:p>
        </w:tc>
        <w:tc>
          <w:tcPr>
            <w:tcW w:w="765" w:type="dxa"/>
            <w:noWrap/>
            <w:tcMar>
              <w:top w:w="0" w:type="dxa"/>
              <w:left w:w="70" w:type="dxa"/>
              <w:bottom w:w="0" w:type="dxa"/>
              <w:right w:w="70" w:type="dxa"/>
            </w:tcMar>
            <w:vAlign w:val="center"/>
            <w:hideMark/>
          </w:tcPr>
          <w:p w14:paraId="5736993F"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115%</w:t>
            </w:r>
          </w:p>
        </w:tc>
        <w:tc>
          <w:tcPr>
            <w:tcW w:w="2092" w:type="dxa"/>
            <w:noWrap/>
            <w:tcMar>
              <w:top w:w="0" w:type="dxa"/>
              <w:left w:w="70" w:type="dxa"/>
              <w:bottom w:w="0" w:type="dxa"/>
              <w:right w:w="70" w:type="dxa"/>
            </w:tcMar>
            <w:vAlign w:val="center"/>
            <w:hideMark/>
          </w:tcPr>
          <w:p w14:paraId="64A1DA0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1.017.612.489</w:t>
            </w:r>
          </w:p>
        </w:tc>
        <w:tc>
          <w:tcPr>
            <w:tcW w:w="763" w:type="dxa"/>
            <w:noWrap/>
            <w:tcMar>
              <w:top w:w="0" w:type="dxa"/>
              <w:left w:w="70" w:type="dxa"/>
              <w:bottom w:w="0" w:type="dxa"/>
              <w:right w:w="70" w:type="dxa"/>
            </w:tcMar>
            <w:vAlign w:val="center"/>
            <w:hideMark/>
          </w:tcPr>
          <w:p w14:paraId="30363E12"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111%</w:t>
            </w:r>
          </w:p>
        </w:tc>
        <w:tc>
          <w:tcPr>
            <w:tcW w:w="15" w:type="dxa"/>
            <w:vAlign w:val="center"/>
            <w:hideMark/>
          </w:tcPr>
          <w:p w14:paraId="2BF81839" w14:textId="77777777" w:rsidR="00AB03C7" w:rsidRPr="00AB03C7" w:rsidRDefault="00AB03C7" w:rsidP="00AB03C7"/>
        </w:tc>
      </w:tr>
      <w:tr w:rsidR="00F81E42" w:rsidRPr="00AB03C7" w14:paraId="02249C70" w14:textId="77777777" w:rsidTr="00F81E42">
        <w:trPr>
          <w:trHeight w:val="278"/>
        </w:trPr>
        <w:tc>
          <w:tcPr>
            <w:tcW w:w="2940" w:type="dxa"/>
            <w:gridSpan w:val="2"/>
            <w:shd w:val="clear" w:color="auto" w:fill="DDEBF7"/>
            <w:tcMar>
              <w:top w:w="0" w:type="dxa"/>
              <w:left w:w="70" w:type="dxa"/>
              <w:bottom w:w="0" w:type="dxa"/>
              <w:right w:w="70" w:type="dxa"/>
            </w:tcMar>
            <w:vAlign w:val="center"/>
            <w:hideMark/>
          </w:tcPr>
          <w:p w14:paraId="35FFDB82"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KS</w:t>
            </w:r>
          </w:p>
        </w:tc>
        <w:tc>
          <w:tcPr>
            <w:tcW w:w="1711" w:type="dxa"/>
            <w:shd w:val="clear" w:color="auto" w:fill="DDEBF7"/>
            <w:noWrap/>
            <w:tcMar>
              <w:top w:w="0" w:type="dxa"/>
              <w:left w:w="70" w:type="dxa"/>
              <w:bottom w:w="0" w:type="dxa"/>
              <w:right w:w="70" w:type="dxa"/>
            </w:tcMar>
            <w:vAlign w:val="center"/>
            <w:hideMark/>
          </w:tcPr>
          <w:p w14:paraId="3394CF5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914.046.895</w:t>
            </w:r>
          </w:p>
        </w:tc>
        <w:tc>
          <w:tcPr>
            <w:tcW w:w="1877" w:type="dxa"/>
            <w:shd w:val="clear" w:color="auto" w:fill="DDEBF7"/>
            <w:noWrap/>
            <w:tcMar>
              <w:top w:w="0" w:type="dxa"/>
              <w:left w:w="70" w:type="dxa"/>
              <w:bottom w:w="0" w:type="dxa"/>
              <w:right w:w="70" w:type="dxa"/>
            </w:tcMar>
            <w:vAlign w:val="center"/>
            <w:hideMark/>
          </w:tcPr>
          <w:p w14:paraId="6EE1F5AB"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1.095.722.243</w:t>
            </w:r>
          </w:p>
        </w:tc>
        <w:tc>
          <w:tcPr>
            <w:tcW w:w="749" w:type="dxa"/>
            <w:shd w:val="clear" w:color="auto" w:fill="DDEBF7"/>
            <w:noWrap/>
            <w:tcMar>
              <w:top w:w="0" w:type="dxa"/>
              <w:left w:w="70" w:type="dxa"/>
              <w:bottom w:w="0" w:type="dxa"/>
              <w:right w:w="70" w:type="dxa"/>
            </w:tcMar>
            <w:vAlign w:val="center"/>
            <w:hideMark/>
          </w:tcPr>
          <w:p w14:paraId="6D9A9781"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120%</w:t>
            </w:r>
          </w:p>
        </w:tc>
        <w:tc>
          <w:tcPr>
            <w:tcW w:w="2153" w:type="dxa"/>
            <w:shd w:val="clear" w:color="auto" w:fill="DDEBF7"/>
            <w:noWrap/>
            <w:tcMar>
              <w:top w:w="0" w:type="dxa"/>
              <w:left w:w="70" w:type="dxa"/>
              <w:bottom w:w="0" w:type="dxa"/>
              <w:right w:w="70" w:type="dxa"/>
            </w:tcMar>
            <w:vAlign w:val="center"/>
            <w:hideMark/>
          </w:tcPr>
          <w:p w14:paraId="5EB32FC4"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1.051.146.959</w:t>
            </w:r>
          </w:p>
        </w:tc>
        <w:tc>
          <w:tcPr>
            <w:tcW w:w="765" w:type="dxa"/>
            <w:shd w:val="clear" w:color="auto" w:fill="DDEBF7"/>
            <w:noWrap/>
            <w:tcMar>
              <w:top w:w="0" w:type="dxa"/>
              <w:left w:w="70" w:type="dxa"/>
              <w:bottom w:w="0" w:type="dxa"/>
              <w:right w:w="70" w:type="dxa"/>
            </w:tcMar>
            <w:vAlign w:val="center"/>
            <w:hideMark/>
          </w:tcPr>
          <w:p w14:paraId="1B3C4E71"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115%</w:t>
            </w:r>
          </w:p>
        </w:tc>
        <w:tc>
          <w:tcPr>
            <w:tcW w:w="2092" w:type="dxa"/>
            <w:shd w:val="clear" w:color="auto" w:fill="DDEBF7"/>
            <w:noWrap/>
            <w:tcMar>
              <w:top w:w="0" w:type="dxa"/>
              <w:left w:w="70" w:type="dxa"/>
              <w:bottom w:w="0" w:type="dxa"/>
              <w:right w:w="70" w:type="dxa"/>
            </w:tcMar>
            <w:vAlign w:val="center"/>
            <w:hideMark/>
          </w:tcPr>
          <w:p w14:paraId="739A0F87"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1.017.612.489</w:t>
            </w:r>
          </w:p>
        </w:tc>
        <w:tc>
          <w:tcPr>
            <w:tcW w:w="763" w:type="dxa"/>
            <w:shd w:val="clear" w:color="auto" w:fill="DDEBF7"/>
            <w:noWrap/>
            <w:tcMar>
              <w:top w:w="0" w:type="dxa"/>
              <w:left w:w="70" w:type="dxa"/>
              <w:bottom w:w="0" w:type="dxa"/>
              <w:right w:w="70" w:type="dxa"/>
            </w:tcMar>
            <w:vAlign w:val="center"/>
            <w:hideMark/>
          </w:tcPr>
          <w:p w14:paraId="78529D02"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111%</w:t>
            </w:r>
          </w:p>
        </w:tc>
        <w:tc>
          <w:tcPr>
            <w:tcW w:w="15" w:type="dxa"/>
            <w:vAlign w:val="center"/>
            <w:hideMark/>
          </w:tcPr>
          <w:p w14:paraId="145E5662" w14:textId="77777777" w:rsidR="00AB03C7" w:rsidRPr="00AB03C7" w:rsidRDefault="00AB03C7" w:rsidP="00AB03C7"/>
        </w:tc>
      </w:tr>
      <w:tr w:rsidR="00F81E42" w:rsidRPr="00AB03C7" w14:paraId="395F666E" w14:textId="77777777" w:rsidTr="00F81E42">
        <w:trPr>
          <w:trHeight w:val="278"/>
        </w:trPr>
        <w:tc>
          <w:tcPr>
            <w:tcW w:w="1375" w:type="dxa"/>
            <w:tcMar>
              <w:top w:w="0" w:type="dxa"/>
              <w:left w:w="70" w:type="dxa"/>
              <w:bottom w:w="0" w:type="dxa"/>
              <w:right w:w="70" w:type="dxa"/>
            </w:tcMar>
            <w:vAlign w:val="center"/>
            <w:hideMark/>
          </w:tcPr>
          <w:p w14:paraId="519215F4" w14:textId="77777777" w:rsidR="00AB03C7" w:rsidRPr="00AB03C7" w:rsidRDefault="337735FB" w:rsidP="7E32E97F">
            <w:pPr>
              <w:rPr>
                <w:rFonts w:eastAsia="Arial" w:cs="Arial"/>
                <w:b/>
                <w:bCs/>
              </w:rPr>
            </w:pPr>
            <w:r w:rsidRPr="7E32E97F">
              <w:rPr>
                <w:rFonts w:eastAsia="Arial" w:cs="Arial"/>
                <w:b/>
                <w:bCs/>
              </w:rPr>
              <w:t>YEI</w:t>
            </w:r>
          </w:p>
        </w:tc>
        <w:tc>
          <w:tcPr>
            <w:tcW w:w="1565" w:type="dxa"/>
            <w:noWrap/>
            <w:tcMar>
              <w:top w:w="0" w:type="dxa"/>
              <w:left w:w="70" w:type="dxa"/>
              <w:bottom w:w="0" w:type="dxa"/>
              <w:right w:w="70" w:type="dxa"/>
            </w:tcMar>
            <w:vAlign w:val="center"/>
            <w:hideMark/>
          </w:tcPr>
          <w:p w14:paraId="6C61245B"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Vzhodna</w:t>
            </w:r>
          </w:p>
        </w:tc>
        <w:tc>
          <w:tcPr>
            <w:tcW w:w="1711" w:type="dxa"/>
            <w:noWrap/>
            <w:tcMar>
              <w:top w:w="0" w:type="dxa"/>
              <w:left w:w="70" w:type="dxa"/>
              <w:bottom w:w="0" w:type="dxa"/>
              <w:right w:w="70" w:type="dxa"/>
            </w:tcMar>
            <w:vAlign w:val="center"/>
            <w:hideMark/>
          </w:tcPr>
          <w:p w14:paraId="65BCAB6C"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18.423.072</w:t>
            </w:r>
          </w:p>
        </w:tc>
        <w:tc>
          <w:tcPr>
            <w:tcW w:w="1877" w:type="dxa"/>
            <w:noWrap/>
            <w:tcMar>
              <w:top w:w="0" w:type="dxa"/>
              <w:left w:w="70" w:type="dxa"/>
              <w:bottom w:w="0" w:type="dxa"/>
              <w:right w:w="70" w:type="dxa"/>
            </w:tcMar>
            <w:vAlign w:val="center"/>
            <w:hideMark/>
          </w:tcPr>
          <w:p w14:paraId="12092B86"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18.423.072</w:t>
            </w:r>
          </w:p>
        </w:tc>
        <w:tc>
          <w:tcPr>
            <w:tcW w:w="749" w:type="dxa"/>
            <w:noWrap/>
            <w:tcMar>
              <w:top w:w="0" w:type="dxa"/>
              <w:left w:w="70" w:type="dxa"/>
              <w:bottom w:w="0" w:type="dxa"/>
              <w:right w:w="70" w:type="dxa"/>
            </w:tcMar>
            <w:vAlign w:val="center"/>
            <w:hideMark/>
          </w:tcPr>
          <w:p w14:paraId="04D76CA1"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2153" w:type="dxa"/>
            <w:noWrap/>
            <w:tcMar>
              <w:top w:w="0" w:type="dxa"/>
              <w:left w:w="70" w:type="dxa"/>
              <w:bottom w:w="0" w:type="dxa"/>
              <w:right w:w="70" w:type="dxa"/>
            </w:tcMar>
            <w:vAlign w:val="center"/>
            <w:hideMark/>
          </w:tcPr>
          <w:p w14:paraId="576F11C3"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18.423.072</w:t>
            </w:r>
          </w:p>
        </w:tc>
        <w:tc>
          <w:tcPr>
            <w:tcW w:w="765" w:type="dxa"/>
            <w:noWrap/>
            <w:tcMar>
              <w:top w:w="0" w:type="dxa"/>
              <w:left w:w="70" w:type="dxa"/>
              <w:bottom w:w="0" w:type="dxa"/>
              <w:right w:w="70" w:type="dxa"/>
            </w:tcMar>
            <w:vAlign w:val="center"/>
            <w:hideMark/>
          </w:tcPr>
          <w:p w14:paraId="5B09454C"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2092" w:type="dxa"/>
            <w:noWrap/>
            <w:tcMar>
              <w:top w:w="0" w:type="dxa"/>
              <w:left w:w="70" w:type="dxa"/>
              <w:bottom w:w="0" w:type="dxa"/>
              <w:right w:w="70" w:type="dxa"/>
            </w:tcMar>
            <w:vAlign w:val="center"/>
            <w:hideMark/>
          </w:tcPr>
          <w:p w14:paraId="0DB45E3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17.308.298</w:t>
            </w:r>
          </w:p>
        </w:tc>
        <w:tc>
          <w:tcPr>
            <w:tcW w:w="763" w:type="dxa"/>
            <w:noWrap/>
            <w:tcMar>
              <w:top w:w="0" w:type="dxa"/>
              <w:left w:w="70" w:type="dxa"/>
              <w:bottom w:w="0" w:type="dxa"/>
              <w:right w:w="70" w:type="dxa"/>
            </w:tcMar>
            <w:vAlign w:val="center"/>
            <w:hideMark/>
          </w:tcPr>
          <w:p w14:paraId="5B8E084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94%</w:t>
            </w:r>
          </w:p>
        </w:tc>
        <w:tc>
          <w:tcPr>
            <w:tcW w:w="15" w:type="dxa"/>
            <w:vAlign w:val="center"/>
            <w:hideMark/>
          </w:tcPr>
          <w:p w14:paraId="72E0E934" w14:textId="77777777" w:rsidR="00AB03C7" w:rsidRPr="00AB03C7" w:rsidRDefault="00AB03C7" w:rsidP="00AB03C7"/>
        </w:tc>
      </w:tr>
      <w:tr w:rsidR="00F81E42" w:rsidRPr="00AB03C7" w14:paraId="3FDF6C3F" w14:textId="77777777" w:rsidTr="00F81E42">
        <w:trPr>
          <w:trHeight w:val="278"/>
        </w:trPr>
        <w:tc>
          <w:tcPr>
            <w:tcW w:w="2940" w:type="dxa"/>
            <w:gridSpan w:val="2"/>
            <w:shd w:val="clear" w:color="auto" w:fill="DDEBF7"/>
            <w:noWrap/>
            <w:tcMar>
              <w:top w:w="0" w:type="dxa"/>
              <w:left w:w="70" w:type="dxa"/>
              <w:bottom w:w="0" w:type="dxa"/>
              <w:right w:w="70" w:type="dxa"/>
            </w:tcMar>
            <w:vAlign w:val="center"/>
            <w:hideMark/>
          </w:tcPr>
          <w:p w14:paraId="1BE94B3A"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YEI</w:t>
            </w:r>
          </w:p>
        </w:tc>
        <w:tc>
          <w:tcPr>
            <w:tcW w:w="1711" w:type="dxa"/>
            <w:shd w:val="clear" w:color="auto" w:fill="DDEBF7"/>
            <w:noWrap/>
            <w:tcMar>
              <w:top w:w="0" w:type="dxa"/>
              <w:left w:w="70" w:type="dxa"/>
              <w:bottom w:w="0" w:type="dxa"/>
              <w:right w:w="70" w:type="dxa"/>
            </w:tcMar>
            <w:vAlign w:val="center"/>
            <w:hideMark/>
          </w:tcPr>
          <w:p w14:paraId="5FF7AB90"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18.423.072</w:t>
            </w:r>
          </w:p>
        </w:tc>
        <w:tc>
          <w:tcPr>
            <w:tcW w:w="1877" w:type="dxa"/>
            <w:shd w:val="clear" w:color="auto" w:fill="DDEBF7"/>
            <w:noWrap/>
            <w:tcMar>
              <w:top w:w="0" w:type="dxa"/>
              <w:left w:w="70" w:type="dxa"/>
              <w:bottom w:w="0" w:type="dxa"/>
              <w:right w:w="70" w:type="dxa"/>
            </w:tcMar>
            <w:vAlign w:val="center"/>
            <w:hideMark/>
          </w:tcPr>
          <w:p w14:paraId="3B7D95B2"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18.423.072</w:t>
            </w:r>
          </w:p>
        </w:tc>
        <w:tc>
          <w:tcPr>
            <w:tcW w:w="749" w:type="dxa"/>
            <w:shd w:val="clear" w:color="auto" w:fill="DDEBF7"/>
            <w:noWrap/>
            <w:tcMar>
              <w:top w:w="0" w:type="dxa"/>
              <w:left w:w="70" w:type="dxa"/>
              <w:bottom w:w="0" w:type="dxa"/>
              <w:right w:w="70" w:type="dxa"/>
            </w:tcMar>
            <w:vAlign w:val="center"/>
            <w:hideMark/>
          </w:tcPr>
          <w:p w14:paraId="5BE49418"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100%</w:t>
            </w:r>
          </w:p>
        </w:tc>
        <w:tc>
          <w:tcPr>
            <w:tcW w:w="2153" w:type="dxa"/>
            <w:shd w:val="clear" w:color="auto" w:fill="DDEBF7"/>
            <w:noWrap/>
            <w:tcMar>
              <w:top w:w="0" w:type="dxa"/>
              <w:left w:w="70" w:type="dxa"/>
              <w:bottom w:w="0" w:type="dxa"/>
              <w:right w:w="70" w:type="dxa"/>
            </w:tcMar>
            <w:vAlign w:val="center"/>
            <w:hideMark/>
          </w:tcPr>
          <w:p w14:paraId="6B125307"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18.423.072</w:t>
            </w:r>
          </w:p>
        </w:tc>
        <w:tc>
          <w:tcPr>
            <w:tcW w:w="765" w:type="dxa"/>
            <w:shd w:val="clear" w:color="auto" w:fill="DDEBF7"/>
            <w:noWrap/>
            <w:tcMar>
              <w:top w:w="0" w:type="dxa"/>
              <w:left w:w="70" w:type="dxa"/>
              <w:bottom w:w="0" w:type="dxa"/>
              <w:right w:w="70" w:type="dxa"/>
            </w:tcMar>
            <w:vAlign w:val="center"/>
            <w:hideMark/>
          </w:tcPr>
          <w:p w14:paraId="39082C7A"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100%</w:t>
            </w:r>
          </w:p>
        </w:tc>
        <w:tc>
          <w:tcPr>
            <w:tcW w:w="2092" w:type="dxa"/>
            <w:shd w:val="clear" w:color="auto" w:fill="DDEBF7"/>
            <w:noWrap/>
            <w:tcMar>
              <w:top w:w="0" w:type="dxa"/>
              <w:left w:w="70" w:type="dxa"/>
              <w:bottom w:w="0" w:type="dxa"/>
              <w:right w:w="70" w:type="dxa"/>
            </w:tcMar>
            <w:vAlign w:val="center"/>
            <w:hideMark/>
          </w:tcPr>
          <w:p w14:paraId="099F24C2"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17.308.298</w:t>
            </w:r>
          </w:p>
        </w:tc>
        <w:tc>
          <w:tcPr>
            <w:tcW w:w="763" w:type="dxa"/>
            <w:shd w:val="clear" w:color="auto" w:fill="DDEBF7"/>
            <w:noWrap/>
            <w:tcMar>
              <w:top w:w="0" w:type="dxa"/>
              <w:left w:w="70" w:type="dxa"/>
              <w:bottom w:w="0" w:type="dxa"/>
              <w:right w:w="70" w:type="dxa"/>
            </w:tcMar>
            <w:vAlign w:val="center"/>
            <w:hideMark/>
          </w:tcPr>
          <w:p w14:paraId="3951D130"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94%</w:t>
            </w:r>
          </w:p>
        </w:tc>
        <w:tc>
          <w:tcPr>
            <w:tcW w:w="15" w:type="dxa"/>
            <w:vAlign w:val="center"/>
            <w:hideMark/>
          </w:tcPr>
          <w:p w14:paraId="12D2E672" w14:textId="77777777" w:rsidR="00AB03C7" w:rsidRPr="00AB03C7" w:rsidRDefault="00AB03C7" w:rsidP="00AB03C7"/>
        </w:tc>
      </w:tr>
      <w:tr w:rsidR="00F81E42" w:rsidRPr="00AB03C7" w14:paraId="0064259E" w14:textId="77777777" w:rsidTr="00F81E42">
        <w:trPr>
          <w:trHeight w:val="278"/>
        </w:trPr>
        <w:tc>
          <w:tcPr>
            <w:tcW w:w="1375" w:type="dxa"/>
            <w:vMerge w:val="restart"/>
            <w:noWrap/>
            <w:tcMar>
              <w:top w:w="0" w:type="dxa"/>
              <w:left w:w="70" w:type="dxa"/>
              <w:bottom w:w="0" w:type="dxa"/>
              <w:right w:w="70" w:type="dxa"/>
            </w:tcMar>
            <w:vAlign w:val="center"/>
            <w:hideMark/>
          </w:tcPr>
          <w:p w14:paraId="794875A4" w14:textId="77777777" w:rsidR="00AB03C7" w:rsidRPr="00AB03C7" w:rsidRDefault="337735FB" w:rsidP="7E32E97F">
            <w:pPr>
              <w:rPr>
                <w:rFonts w:eastAsia="Arial" w:cs="Arial"/>
                <w:b/>
                <w:bCs/>
              </w:rPr>
            </w:pPr>
            <w:r w:rsidRPr="7E32E97F">
              <w:rPr>
                <w:rFonts w:eastAsia="Arial" w:cs="Arial"/>
                <w:b/>
                <w:bCs/>
              </w:rPr>
              <w:t xml:space="preserve">OP </w:t>
            </w:r>
          </w:p>
        </w:tc>
        <w:tc>
          <w:tcPr>
            <w:tcW w:w="1565" w:type="dxa"/>
            <w:noWrap/>
            <w:tcMar>
              <w:top w:w="0" w:type="dxa"/>
              <w:left w:w="70" w:type="dxa"/>
              <w:bottom w:w="0" w:type="dxa"/>
              <w:right w:w="70" w:type="dxa"/>
            </w:tcMar>
            <w:vAlign w:val="center"/>
            <w:hideMark/>
          </w:tcPr>
          <w:p w14:paraId="6BD5FCBA"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Vzhodna</w:t>
            </w:r>
          </w:p>
        </w:tc>
        <w:tc>
          <w:tcPr>
            <w:tcW w:w="1711" w:type="dxa"/>
            <w:noWrap/>
            <w:tcMar>
              <w:top w:w="0" w:type="dxa"/>
              <w:left w:w="70" w:type="dxa"/>
              <w:bottom w:w="0" w:type="dxa"/>
              <w:right w:w="70" w:type="dxa"/>
            </w:tcMar>
            <w:vAlign w:val="center"/>
            <w:hideMark/>
          </w:tcPr>
          <w:p w14:paraId="0B4D57F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1.305.289.473</w:t>
            </w:r>
          </w:p>
        </w:tc>
        <w:tc>
          <w:tcPr>
            <w:tcW w:w="1877" w:type="dxa"/>
            <w:noWrap/>
            <w:tcMar>
              <w:top w:w="0" w:type="dxa"/>
              <w:left w:w="70" w:type="dxa"/>
              <w:bottom w:w="0" w:type="dxa"/>
              <w:right w:w="70" w:type="dxa"/>
            </w:tcMar>
            <w:vAlign w:val="center"/>
            <w:hideMark/>
          </w:tcPr>
          <w:p w14:paraId="31357ED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1.412.748.932</w:t>
            </w:r>
          </w:p>
        </w:tc>
        <w:tc>
          <w:tcPr>
            <w:tcW w:w="749" w:type="dxa"/>
            <w:noWrap/>
            <w:tcMar>
              <w:top w:w="0" w:type="dxa"/>
              <w:left w:w="70" w:type="dxa"/>
              <w:bottom w:w="0" w:type="dxa"/>
              <w:right w:w="70" w:type="dxa"/>
            </w:tcMar>
            <w:vAlign w:val="center"/>
            <w:hideMark/>
          </w:tcPr>
          <w:p w14:paraId="6C4F0611"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108%</w:t>
            </w:r>
          </w:p>
        </w:tc>
        <w:tc>
          <w:tcPr>
            <w:tcW w:w="2153" w:type="dxa"/>
            <w:noWrap/>
            <w:tcMar>
              <w:top w:w="0" w:type="dxa"/>
              <w:left w:w="70" w:type="dxa"/>
              <w:bottom w:w="0" w:type="dxa"/>
              <w:right w:w="70" w:type="dxa"/>
            </w:tcMar>
            <w:vAlign w:val="center"/>
            <w:hideMark/>
          </w:tcPr>
          <w:p w14:paraId="2EA8BAD4"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1.351.250.696</w:t>
            </w:r>
          </w:p>
        </w:tc>
        <w:tc>
          <w:tcPr>
            <w:tcW w:w="765" w:type="dxa"/>
            <w:noWrap/>
            <w:tcMar>
              <w:top w:w="0" w:type="dxa"/>
              <w:left w:w="70" w:type="dxa"/>
              <w:bottom w:w="0" w:type="dxa"/>
              <w:right w:w="70" w:type="dxa"/>
            </w:tcMar>
            <w:vAlign w:val="center"/>
            <w:hideMark/>
          </w:tcPr>
          <w:p w14:paraId="1A142C36"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104%</w:t>
            </w:r>
          </w:p>
        </w:tc>
        <w:tc>
          <w:tcPr>
            <w:tcW w:w="2092" w:type="dxa"/>
            <w:noWrap/>
            <w:tcMar>
              <w:top w:w="0" w:type="dxa"/>
              <w:left w:w="70" w:type="dxa"/>
              <w:bottom w:w="0" w:type="dxa"/>
              <w:right w:w="70" w:type="dxa"/>
            </w:tcMar>
            <w:vAlign w:val="center"/>
            <w:hideMark/>
          </w:tcPr>
          <w:p w14:paraId="12F0DB40"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1.303.488.989</w:t>
            </w:r>
          </w:p>
        </w:tc>
        <w:tc>
          <w:tcPr>
            <w:tcW w:w="763" w:type="dxa"/>
            <w:noWrap/>
            <w:tcMar>
              <w:top w:w="0" w:type="dxa"/>
              <w:left w:w="70" w:type="dxa"/>
              <w:bottom w:w="0" w:type="dxa"/>
              <w:right w:w="70" w:type="dxa"/>
            </w:tcMar>
            <w:vAlign w:val="center"/>
            <w:hideMark/>
          </w:tcPr>
          <w:p w14:paraId="3D17F29A"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100%</w:t>
            </w:r>
          </w:p>
        </w:tc>
        <w:tc>
          <w:tcPr>
            <w:tcW w:w="15" w:type="dxa"/>
            <w:vAlign w:val="center"/>
            <w:hideMark/>
          </w:tcPr>
          <w:p w14:paraId="5AC2DB4E" w14:textId="77777777" w:rsidR="00AB03C7" w:rsidRPr="00AB03C7" w:rsidRDefault="00AB03C7" w:rsidP="00AB03C7"/>
        </w:tc>
      </w:tr>
      <w:tr w:rsidR="00F81E42" w:rsidRPr="00AB03C7" w14:paraId="2D8448F2" w14:textId="77777777" w:rsidTr="00F81E42">
        <w:trPr>
          <w:trHeight w:val="278"/>
        </w:trPr>
        <w:tc>
          <w:tcPr>
            <w:tcW w:w="1375" w:type="dxa"/>
            <w:vMerge/>
            <w:vAlign w:val="center"/>
            <w:hideMark/>
          </w:tcPr>
          <w:p w14:paraId="1D03CF8E" w14:textId="77777777" w:rsidR="00AB03C7" w:rsidRPr="00AB03C7" w:rsidRDefault="00AB03C7" w:rsidP="00AB03C7">
            <w:pPr>
              <w:rPr>
                <w:b/>
                <w:bCs/>
              </w:rPr>
            </w:pPr>
          </w:p>
        </w:tc>
        <w:tc>
          <w:tcPr>
            <w:tcW w:w="1565" w:type="dxa"/>
            <w:noWrap/>
            <w:tcMar>
              <w:top w:w="0" w:type="dxa"/>
              <w:left w:w="70" w:type="dxa"/>
              <w:bottom w:w="0" w:type="dxa"/>
              <w:right w:w="70" w:type="dxa"/>
            </w:tcMar>
            <w:vAlign w:val="center"/>
            <w:hideMark/>
          </w:tcPr>
          <w:p w14:paraId="363E340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Zahodna</w:t>
            </w:r>
          </w:p>
        </w:tc>
        <w:tc>
          <w:tcPr>
            <w:tcW w:w="1711" w:type="dxa"/>
            <w:noWrap/>
            <w:tcMar>
              <w:top w:w="0" w:type="dxa"/>
              <w:left w:w="70" w:type="dxa"/>
              <w:bottom w:w="0" w:type="dxa"/>
              <w:right w:w="70" w:type="dxa"/>
            </w:tcMar>
            <w:vAlign w:val="center"/>
            <w:hideMark/>
          </w:tcPr>
          <w:p w14:paraId="0B5FF18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848.588.557</w:t>
            </w:r>
          </w:p>
        </w:tc>
        <w:tc>
          <w:tcPr>
            <w:tcW w:w="1877" w:type="dxa"/>
            <w:noWrap/>
            <w:tcMar>
              <w:top w:w="0" w:type="dxa"/>
              <w:left w:w="70" w:type="dxa"/>
              <w:bottom w:w="0" w:type="dxa"/>
              <w:right w:w="70" w:type="dxa"/>
            </w:tcMar>
            <w:vAlign w:val="center"/>
            <w:hideMark/>
          </w:tcPr>
          <w:p w14:paraId="7AC185DB"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1.007.410.687</w:t>
            </w:r>
          </w:p>
        </w:tc>
        <w:tc>
          <w:tcPr>
            <w:tcW w:w="749" w:type="dxa"/>
            <w:noWrap/>
            <w:tcMar>
              <w:top w:w="0" w:type="dxa"/>
              <w:left w:w="70" w:type="dxa"/>
              <w:bottom w:w="0" w:type="dxa"/>
              <w:right w:w="70" w:type="dxa"/>
            </w:tcMar>
            <w:vAlign w:val="center"/>
            <w:hideMark/>
          </w:tcPr>
          <w:p w14:paraId="6D391D24"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119%</w:t>
            </w:r>
          </w:p>
        </w:tc>
        <w:tc>
          <w:tcPr>
            <w:tcW w:w="2153" w:type="dxa"/>
            <w:noWrap/>
            <w:tcMar>
              <w:top w:w="0" w:type="dxa"/>
              <w:left w:w="70" w:type="dxa"/>
              <w:bottom w:w="0" w:type="dxa"/>
              <w:right w:w="70" w:type="dxa"/>
            </w:tcMar>
            <w:vAlign w:val="center"/>
            <w:hideMark/>
          </w:tcPr>
          <w:p w14:paraId="431FCE36"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988.012.290</w:t>
            </w:r>
          </w:p>
        </w:tc>
        <w:tc>
          <w:tcPr>
            <w:tcW w:w="765" w:type="dxa"/>
            <w:noWrap/>
            <w:tcMar>
              <w:top w:w="0" w:type="dxa"/>
              <w:left w:w="70" w:type="dxa"/>
              <w:bottom w:w="0" w:type="dxa"/>
              <w:right w:w="70" w:type="dxa"/>
            </w:tcMar>
            <w:vAlign w:val="center"/>
            <w:hideMark/>
          </w:tcPr>
          <w:p w14:paraId="3636C941"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116%</w:t>
            </w:r>
          </w:p>
        </w:tc>
        <w:tc>
          <w:tcPr>
            <w:tcW w:w="2092" w:type="dxa"/>
            <w:noWrap/>
            <w:tcMar>
              <w:top w:w="0" w:type="dxa"/>
              <w:left w:w="70" w:type="dxa"/>
              <w:bottom w:w="0" w:type="dxa"/>
              <w:right w:w="70" w:type="dxa"/>
            </w:tcMar>
            <w:vAlign w:val="center"/>
            <w:hideMark/>
          </w:tcPr>
          <w:p w14:paraId="6ED3A212"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952.006.544</w:t>
            </w:r>
          </w:p>
        </w:tc>
        <w:tc>
          <w:tcPr>
            <w:tcW w:w="763" w:type="dxa"/>
            <w:noWrap/>
            <w:tcMar>
              <w:top w:w="0" w:type="dxa"/>
              <w:left w:w="70" w:type="dxa"/>
              <w:bottom w:w="0" w:type="dxa"/>
              <w:right w:w="70" w:type="dxa"/>
            </w:tcMar>
            <w:vAlign w:val="center"/>
            <w:hideMark/>
          </w:tcPr>
          <w:p w14:paraId="47FD761D"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112%</w:t>
            </w:r>
          </w:p>
        </w:tc>
        <w:tc>
          <w:tcPr>
            <w:tcW w:w="15" w:type="dxa"/>
            <w:vAlign w:val="center"/>
            <w:hideMark/>
          </w:tcPr>
          <w:p w14:paraId="61A90DD3" w14:textId="77777777" w:rsidR="00AB03C7" w:rsidRPr="00AB03C7" w:rsidRDefault="00AB03C7" w:rsidP="00AB03C7"/>
        </w:tc>
      </w:tr>
      <w:tr w:rsidR="00F81E42" w:rsidRPr="00AB03C7" w14:paraId="48AD20DE" w14:textId="77777777" w:rsidTr="00F81E42">
        <w:trPr>
          <w:trHeight w:val="278"/>
        </w:trPr>
        <w:tc>
          <w:tcPr>
            <w:tcW w:w="1375" w:type="dxa"/>
            <w:vMerge/>
            <w:vAlign w:val="center"/>
            <w:hideMark/>
          </w:tcPr>
          <w:p w14:paraId="46EF37F7" w14:textId="77777777" w:rsidR="00AB03C7" w:rsidRPr="00AB03C7" w:rsidRDefault="00AB03C7" w:rsidP="00AB03C7">
            <w:pPr>
              <w:rPr>
                <w:b/>
                <w:bCs/>
              </w:rPr>
            </w:pPr>
          </w:p>
        </w:tc>
        <w:tc>
          <w:tcPr>
            <w:tcW w:w="1565" w:type="dxa"/>
            <w:noWrap/>
            <w:tcMar>
              <w:top w:w="0" w:type="dxa"/>
              <w:left w:w="70" w:type="dxa"/>
              <w:bottom w:w="0" w:type="dxa"/>
              <w:right w:w="70" w:type="dxa"/>
            </w:tcMar>
            <w:vAlign w:val="bottom"/>
            <w:hideMark/>
          </w:tcPr>
          <w:p w14:paraId="6242E694"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Celotna SI</w:t>
            </w:r>
          </w:p>
        </w:tc>
        <w:tc>
          <w:tcPr>
            <w:tcW w:w="1711" w:type="dxa"/>
            <w:noWrap/>
            <w:tcMar>
              <w:top w:w="0" w:type="dxa"/>
              <w:left w:w="70" w:type="dxa"/>
              <w:bottom w:w="0" w:type="dxa"/>
              <w:right w:w="70" w:type="dxa"/>
            </w:tcMar>
            <w:vAlign w:val="center"/>
            <w:hideMark/>
          </w:tcPr>
          <w:p w14:paraId="3B94B287"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1.182.993.105</w:t>
            </w:r>
          </w:p>
        </w:tc>
        <w:tc>
          <w:tcPr>
            <w:tcW w:w="1877" w:type="dxa"/>
            <w:noWrap/>
            <w:tcMar>
              <w:top w:w="0" w:type="dxa"/>
              <w:left w:w="70" w:type="dxa"/>
              <w:bottom w:w="0" w:type="dxa"/>
              <w:right w:w="70" w:type="dxa"/>
            </w:tcMar>
            <w:vAlign w:val="center"/>
            <w:hideMark/>
          </w:tcPr>
          <w:p w14:paraId="5291BB0F"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1.386.955.098</w:t>
            </w:r>
          </w:p>
        </w:tc>
        <w:tc>
          <w:tcPr>
            <w:tcW w:w="749" w:type="dxa"/>
            <w:noWrap/>
            <w:tcMar>
              <w:top w:w="0" w:type="dxa"/>
              <w:left w:w="70" w:type="dxa"/>
              <w:bottom w:w="0" w:type="dxa"/>
              <w:right w:w="70" w:type="dxa"/>
            </w:tcMar>
            <w:vAlign w:val="center"/>
            <w:hideMark/>
          </w:tcPr>
          <w:p w14:paraId="3BC21C5F"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117%</w:t>
            </w:r>
          </w:p>
        </w:tc>
        <w:tc>
          <w:tcPr>
            <w:tcW w:w="2153" w:type="dxa"/>
            <w:noWrap/>
            <w:tcMar>
              <w:top w:w="0" w:type="dxa"/>
              <w:left w:w="70" w:type="dxa"/>
              <w:bottom w:w="0" w:type="dxa"/>
              <w:right w:w="70" w:type="dxa"/>
            </w:tcMar>
            <w:vAlign w:val="center"/>
            <w:hideMark/>
          </w:tcPr>
          <w:p w14:paraId="20C72DE6"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1.338.077.273</w:t>
            </w:r>
          </w:p>
        </w:tc>
        <w:tc>
          <w:tcPr>
            <w:tcW w:w="765" w:type="dxa"/>
            <w:noWrap/>
            <w:tcMar>
              <w:top w:w="0" w:type="dxa"/>
              <w:left w:w="70" w:type="dxa"/>
              <w:bottom w:w="0" w:type="dxa"/>
              <w:right w:w="70" w:type="dxa"/>
            </w:tcMar>
            <w:vAlign w:val="center"/>
            <w:hideMark/>
          </w:tcPr>
          <w:p w14:paraId="14388BAD"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113%</w:t>
            </w:r>
          </w:p>
        </w:tc>
        <w:tc>
          <w:tcPr>
            <w:tcW w:w="2092" w:type="dxa"/>
            <w:noWrap/>
            <w:tcMar>
              <w:top w:w="0" w:type="dxa"/>
              <w:left w:w="70" w:type="dxa"/>
              <w:bottom w:w="0" w:type="dxa"/>
              <w:right w:w="70" w:type="dxa"/>
            </w:tcMar>
            <w:vAlign w:val="center"/>
            <w:hideMark/>
          </w:tcPr>
          <w:p w14:paraId="58532B63" w14:textId="77777777" w:rsidR="00AB03C7" w:rsidRPr="00AB03C7" w:rsidRDefault="337735FB" w:rsidP="7E32E97F">
            <w:pPr>
              <w:spacing w:after="0"/>
              <w:jc w:val="right"/>
              <w:rPr>
                <w:rFonts w:eastAsia="Arial" w:cs="Arial"/>
                <w:color w:val="000000" w:themeColor="text1"/>
              </w:rPr>
            </w:pPr>
            <w:r w:rsidRPr="7E32E97F">
              <w:rPr>
                <w:rFonts w:eastAsia="Arial" w:cs="Arial"/>
                <w:color w:val="000000" w:themeColor="text1"/>
              </w:rPr>
              <w:t>1.296.793.533</w:t>
            </w:r>
          </w:p>
        </w:tc>
        <w:tc>
          <w:tcPr>
            <w:tcW w:w="763" w:type="dxa"/>
            <w:noWrap/>
            <w:tcMar>
              <w:top w:w="0" w:type="dxa"/>
              <w:left w:w="70" w:type="dxa"/>
              <w:bottom w:w="0" w:type="dxa"/>
              <w:right w:w="70" w:type="dxa"/>
            </w:tcMar>
            <w:vAlign w:val="center"/>
            <w:hideMark/>
          </w:tcPr>
          <w:p w14:paraId="09B45002" w14:textId="77777777" w:rsidR="00AB03C7" w:rsidRPr="00AB03C7" w:rsidRDefault="337735FB" w:rsidP="7E32E97F">
            <w:pPr>
              <w:spacing w:after="0"/>
              <w:jc w:val="center"/>
              <w:rPr>
                <w:rFonts w:eastAsia="Arial" w:cs="Arial"/>
                <w:color w:val="000000" w:themeColor="text1"/>
              </w:rPr>
            </w:pPr>
            <w:r w:rsidRPr="7E32E97F">
              <w:rPr>
                <w:rFonts w:eastAsia="Arial" w:cs="Arial"/>
                <w:color w:val="000000" w:themeColor="text1"/>
              </w:rPr>
              <w:t>110%</w:t>
            </w:r>
          </w:p>
        </w:tc>
        <w:tc>
          <w:tcPr>
            <w:tcW w:w="15" w:type="dxa"/>
            <w:vAlign w:val="center"/>
            <w:hideMark/>
          </w:tcPr>
          <w:p w14:paraId="656E0470" w14:textId="77777777" w:rsidR="00AB03C7" w:rsidRPr="00AB03C7" w:rsidRDefault="00AB03C7" w:rsidP="00AB03C7"/>
        </w:tc>
      </w:tr>
      <w:tr w:rsidR="00F81E42" w:rsidRPr="00AB03C7" w14:paraId="7AD9A80D" w14:textId="77777777" w:rsidTr="00F81E42">
        <w:trPr>
          <w:trHeight w:val="278"/>
        </w:trPr>
        <w:tc>
          <w:tcPr>
            <w:tcW w:w="2940" w:type="dxa"/>
            <w:gridSpan w:val="2"/>
            <w:shd w:val="clear" w:color="auto" w:fill="DDEBF7"/>
            <w:noWrap/>
            <w:tcMar>
              <w:top w:w="0" w:type="dxa"/>
              <w:left w:w="70" w:type="dxa"/>
              <w:bottom w:w="0" w:type="dxa"/>
              <w:right w:w="70" w:type="dxa"/>
            </w:tcMar>
            <w:vAlign w:val="center"/>
            <w:hideMark/>
          </w:tcPr>
          <w:p w14:paraId="34D2B8DE"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Skupaj OP</w:t>
            </w:r>
          </w:p>
        </w:tc>
        <w:tc>
          <w:tcPr>
            <w:tcW w:w="1711" w:type="dxa"/>
            <w:shd w:val="clear" w:color="auto" w:fill="DDEBF7"/>
            <w:noWrap/>
            <w:tcMar>
              <w:top w:w="0" w:type="dxa"/>
              <w:left w:w="70" w:type="dxa"/>
              <w:bottom w:w="0" w:type="dxa"/>
              <w:right w:w="70" w:type="dxa"/>
            </w:tcMar>
            <w:vAlign w:val="center"/>
            <w:hideMark/>
          </w:tcPr>
          <w:p w14:paraId="130AFCC9"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3.336.871.135</w:t>
            </w:r>
          </w:p>
        </w:tc>
        <w:tc>
          <w:tcPr>
            <w:tcW w:w="1877" w:type="dxa"/>
            <w:shd w:val="clear" w:color="auto" w:fill="DDEBF7"/>
            <w:noWrap/>
            <w:tcMar>
              <w:top w:w="0" w:type="dxa"/>
              <w:left w:w="70" w:type="dxa"/>
              <w:bottom w:w="0" w:type="dxa"/>
              <w:right w:w="70" w:type="dxa"/>
            </w:tcMar>
            <w:vAlign w:val="center"/>
            <w:hideMark/>
          </w:tcPr>
          <w:p w14:paraId="27906038"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3.807.114.717</w:t>
            </w:r>
          </w:p>
        </w:tc>
        <w:tc>
          <w:tcPr>
            <w:tcW w:w="749" w:type="dxa"/>
            <w:shd w:val="clear" w:color="auto" w:fill="DDEBF7"/>
            <w:noWrap/>
            <w:tcMar>
              <w:top w:w="0" w:type="dxa"/>
              <w:left w:w="70" w:type="dxa"/>
              <w:bottom w:w="0" w:type="dxa"/>
              <w:right w:w="70" w:type="dxa"/>
            </w:tcMar>
            <w:vAlign w:val="center"/>
            <w:hideMark/>
          </w:tcPr>
          <w:p w14:paraId="68C81CD5"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114%</w:t>
            </w:r>
          </w:p>
        </w:tc>
        <w:tc>
          <w:tcPr>
            <w:tcW w:w="2153" w:type="dxa"/>
            <w:shd w:val="clear" w:color="auto" w:fill="DDEBF7"/>
            <w:noWrap/>
            <w:tcMar>
              <w:top w:w="0" w:type="dxa"/>
              <w:left w:w="70" w:type="dxa"/>
              <w:bottom w:w="0" w:type="dxa"/>
              <w:right w:w="70" w:type="dxa"/>
            </w:tcMar>
            <w:vAlign w:val="center"/>
            <w:hideMark/>
          </w:tcPr>
          <w:p w14:paraId="60070513"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3.677.340.260</w:t>
            </w:r>
          </w:p>
        </w:tc>
        <w:tc>
          <w:tcPr>
            <w:tcW w:w="765" w:type="dxa"/>
            <w:shd w:val="clear" w:color="auto" w:fill="DDEBF7"/>
            <w:noWrap/>
            <w:tcMar>
              <w:top w:w="0" w:type="dxa"/>
              <w:left w:w="70" w:type="dxa"/>
              <w:bottom w:w="0" w:type="dxa"/>
              <w:right w:w="70" w:type="dxa"/>
            </w:tcMar>
            <w:vAlign w:val="center"/>
            <w:hideMark/>
          </w:tcPr>
          <w:p w14:paraId="085A80BF"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110%</w:t>
            </w:r>
          </w:p>
        </w:tc>
        <w:tc>
          <w:tcPr>
            <w:tcW w:w="2092" w:type="dxa"/>
            <w:shd w:val="clear" w:color="auto" w:fill="DDEBF7"/>
            <w:noWrap/>
            <w:tcMar>
              <w:top w:w="0" w:type="dxa"/>
              <w:left w:w="70" w:type="dxa"/>
              <w:bottom w:w="0" w:type="dxa"/>
              <w:right w:w="70" w:type="dxa"/>
            </w:tcMar>
            <w:vAlign w:val="center"/>
            <w:hideMark/>
          </w:tcPr>
          <w:p w14:paraId="1309E6DF" w14:textId="77777777" w:rsidR="00AB03C7" w:rsidRPr="00AB03C7" w:rsidRDefault="337735FB" w:rsidP="7E32E97F">
            <w:pPr>
              <w:spacing w:after="0"/>
              <w:jc w:val="right"/>
              <w:rPr>
                <w:rFonts w:eastAsia="Arial" w:cs="Arial"/>
                <w:b/>
                <w:bCs/>
                <w:color w:val="000000" w:themeColor="text1"/>
              </w:rPr>
            </w:pPr>
            <w:r w:rsidRPr="7E32E97F">
              <w:rPr>
                <w:rFonts w:eastAsia="Arial" w:cs="Arial"/>
                <w:b/>
                <w:bCs/>
                <w:color w:val="000000" w:themeColor="text1"/>
              </w:rPr>
              <w:t>3.552.289.066</w:t>
            </w:r>
          </w:p>
        </w:tc>
        <w:tc>
          <w:tcPr>
            <w:tcW w:w="763" w:type="dxa"/>
            <w:shd w:val="clear" w:color="auto" w:fill="DDEBF7"/>
            <w:noWrap/>
            <w:tcMar>
              <w:top w:w="0" w:type="dxa"/>
              <w:left w:w="70" w:type="dxa"/>
              <w:bottom w:w="0" w:type="dxa"/>
              <w:right w:w="70" w:type="dxa"/>
            </w:tcMar>
            <w:vAlign w:val="center"/>
            <w:hideMark/>
          </w:tcPr>
          <w:p w14:paraId="7DEAB76C" w14:textId="77777777" w:rsidR="00AB03C7" w:rsidRPr="00AB03C7" w:rsidRDefault="337735FB" w:rsidP="7E32E97F">
            <w:pPr>
              <w:spacing w:after="0"/>
              <w:jc w:val="center"/>
              <w:rPr>
                <w:rFonts w:eastAsia="Arial" w:cs="Arial"/>
                <w:b/>
                <w:bCs/>
                <w:color w:val="000000" w:themeColor="text1"/>
              </w:rPr>
            </w:pPr>
            <w:r w:rsidRPr="7E32E97F">
              <w:rPr>
                <w:rFonts w:eastAsia="Arial" w:cs="Arial"/>
                <w:b/>
                <w:bCs/>
                <w:color w:val="000000" w:themeColor="text1"/>
              </w:rPr>
              <w:t>106%</w:t>
            </w:r>
          </w:p>
        </w:tc>
        <w:tc>
          <w:tcPr>
            <w:tcW w:w="15" w:type="dxa"/>
            <w:vAlign w:val="center"/>
            <w:hideMark/>
          </w:tcPr>
          <w:p w14:paraId="308BB634" w14:textId="77777777" w:rsidR="00AB03C7" w:rsidRPr="00AB03C7" w:rsidRDefault="00AB03C7" w:rsidP="00AB03C7"/>
        </w:tc>
      </w:tr>
    </w:tbl>
    <w:p w14:paraId="0B10FFA6" w14:textId="4B2E0E61" w:rsidR="00AB03C7" w:rsidRPr="00AB03C7" w:rsidRDefault="337735FB" w:rsidP="7E32E97F">
      <w:pPr>
        <w:spacing w:after="0" w:line="288" w:lineRule="auto"/>
        <w:contextualSpacing/>
        <w:jc w:val="both"/>
        <w:rPr>
          <w:rFonts w:eastAsia="SimSun" w:cs="Arial"/>
          <w:sz w:val="16"/>
          <w:szCs w:val="16"/>
          <w:lang w:eastAsia="zh-CN"/>
        </w:rPr>
      </w:pPr>
      <w:r w:rsidRPr="7E32E97F">
        <w:rPr>
          <w:rFonts w:eastAsia="SimSun" w:cs="Arial"/>
          <w:sz w:val="16"/>
          <w:szCs w:val="16"/>
        </w:rPr>
        <w:t>Vir: e-MA, e-CA, MF</w:t>
      </w:r>
      <w:r w:rsidR="2594A090" w:rsidRPr="7E32E97F">
        <w:rPr>
          <w:rFonts w:eastAsia="SimSun" w:cs="Arial"/>
          <w:sz w:val="16"/>
          <w:szCs w:val="16"/>
        </w:rPr>
        <w:t>E</w:t>
      </w:r>
      <w:r w:rsidRPr="7E32E97F">
        <w:rPr>
          <w:rFonts w:eastAsia="SimSun" w:cs="Arial"/>
          <w:sz w:val="16"/>
          <w:szCs w:val="16"/>
        </w:rPr>
        <w:t>RAC</w:t>
      </w:r>
    </w:p>
    <w:p w14:paraId="262C3FC6" w14:textId="77777777" w:rsidR="00AB03C7" w:rsidRPr="00AB03C7" w:rsidRDefault="337735FB" w:rsidP="7E32E97F">
      <w:pPr>
        <w:spacing w:after="0" w:line="288" w:lineRule="auto"/>
        <w:contextualSpacing/>
        <w:jc w:val="both"/>
        <w:rPr>
          <w:rFonts w:eastAsia="SimSun" w:cs="Arial"/>
          <w:sz w:val="16"/>
          <w:szCs w:val="16"/>
          <w:lang w:eastAsia="zh-CN"/>
        </w:rPr>
      </w:pPr>
      <w:r w:rsidRPr="7E32E97F">
        <w:rPr>
          <w:rFonts w:eastAsia="SimSun" w:cs="Arial"/>
          <w:sz w:val="16"/>
          <w:szCs w:val="16"/>
        </w:rPr>
        <w:t>* Razpoložljiva sredstva/pravice porabe EKP za obdobje 2014−2020 (EU del) – OP EKP.</w:t>
      </w:r>
    </w:p>
    <w:p w14:paraId="0A9758D0" w14:textId="77777777" w:rsidR="00AB03C7" w:rsidRPr="00AB03C7" w:rsidRDefault="337735FB" w:rsidP="00AB03C7">
      <w:pPr>
        <w:spacing w:after="0" w:line="288" w:lineRule="auto"/>
        <w:jc w:val="both"/>
        <w:rPr>
          <w:rFonts w:eastAsia="Courier New" w:cs="Arial"/>
          <w:strike/>
          <w:color w:val="000000"/>
          <w:sz w:val="16"/>
          <w:szCs w:val="16"/>
          <w:lang w:bidi="sl-SI"/>
        </w:rPr>
      </w:pPr>
      <w:r w:rsidRPr="7E32E97F">
        <w:rPr>
          <w:rFonts w:eastAsia="SimSun" w:cs="Arial"/>
          <w:sz w:val="16"/>
          <w:szCs w:val="16"/>
        </w:rPr>
        <w:t xml:space="preserve">** Odločitve o podpori zajemajo vrednost vlog za posamezen projekt, program ali javni razpis/poziv, brez neupravičenih stroškov. </w:t>
      </w:r>
    </w:p>
    <w:p w14:paraId="6B36DAC8" w14:textId="77777777" w:rsidR="00AB03C7" w:rsidRPr="00AB03C7" w:rsidRDefault="337735FB" w:rsidP="7E32E97F">
      <w:pPr>
        <w:spacing w:after="0" w:line="288" w:lineRule="auto"/>
        <w:contextualSpacing/>
        <w:jc w:val="both"/>
        <w:rPr>
          <w:rFonts w:cs="Arial"/>
          <w:color w:val="000000"/>
          <w:sz w:val="16"/>
          <w:szCs w:val="16"/>
        </w:rPr>
      </w:pPr>
      <w:r w:rsidRPr="7E32E97F">
        <w:rPr>
          <w:rFonts w:cs="Arial"/>
          <w:color w:val="000000" w:themeColor="text1"/>
          <w:sz w:val="16"/>
          <w:szCs w:val="16"/>
        </w:rPr>
        <w:t>*** Potrjene operacije pomenijo pogodbe o sofinanciranju oziroma odločitve o podpori, kadar je upravičenec neposredni proračunski uporabnik.</w:t>
      </w:r>
    </w:p>
    <w:p w14:paraId="327425D7" w14:textId="26877EDD" w:rsidR="00AB03C7" w:rsidRPr="00AB03C7" w:rsidRDefault="337735FB" w:rsidP="7E32E97F">
      <w:pPr>
        <w:spacing w:after="0" w:line="288" w:lineRule="auto"/>
        <w:contextualSpacing/>
        <w:jc w:val="both"/>
        <w:rPr>
          <w:rFonts w:cs="Arial"/>
          <w:color w:val="000000"/>
          <w:sz w:val="16"/>
          <w:szCs w:val="16"/>
        </w:rPr>
      </w:pPr>
      <w:r w:rsidRPr="7E32E97F">
        <w:rPr>
          <w:rFonts w:cs="Arial"/>
          <w:color w:val="000000" w:themeColor="text1"/>
          <w:sz w:val="16"/>
          <w:szCs w:val="16"/>
        </w:rPr>
        <w:t>**** Izplačila iz državnega proračuna, vključno s prenesenimi sredstvi na Sklad skladov za izvajanje FI, ki pa se ne izkazujejo v bilanci prihodkov in odhodkov državnega proračuna (vir: MF</w:t>
      </w:r>
      <w:r w:rsidR="2594A090" w:rsidRPr="7E32E97F">
        <w:rPr>
          <w:rFonts w:cs="Arial"/>
          <w:color w:val="000000" w:themeColor="text1"/>
          <w:sz w:val="16"/>
          <w:szCs w:val="16"/>
        </w:rPr>
        <w:t>E</w:t>
      </w:r>
      <w:r w:rsidRPr="7E32E97F">
        <w:rPr>
          <w:rFonts w:cs="Arial"/>
          <w:color w:val="000000" w:themeColor="text1"/>
          <w:sz w:val="16"/>
          <w:szCs w:val="16"/>
        </w:rPr>
        <w:t>RAC).</w:t>
      </w:r>
    </w:p>
    <w:p w14:paraId="2CDC7443" w14:textId="77777777" w:rsidR="00AB03C7" w:rsidRPr="00AB03C7" w:rsidRDefault="00AB03C7" w:rsidP="7E32E97F">
      <w:pPr>
        <w:autoSpaceDN/>
        <w:spacing w:after="0" w:line="288" w:lineRule="auto"/>
        <w:jc w:val="both"/>
        <w:rPr>
          <w:rFonts w:cs="Arial"/>
        </w:rPr>
        <w:sectPr w:rsidR="00AB03C7" w:rsidRPr="00AB03C7" w:rsidSect="00AB03C7">
          <w:pgSz w:w="16838" w:h="11906" w:orient="landscape" w:code="9"/>
          <w:pgMar w:top="1418" w:right="1418" w:bottom="1418" w:left="1418" w:header="709" w:footer="709" w:gutter="0"/>
          <w:cols w:space="708"/>
          <w:docGrid w:linePitch="272"/>
        </w:sectPr>
      </w:pPr>
    </w:p>
    <w:p w14:paraId="2064E8F0" w14:textId="0C571DE1" w:rsidR="00AB03C7" w:rsidRPr="00AB03C7" w:rsidRDefault="2594A090" w:rsidP="7E32E97F">
      <w:pPr>
        <w:autoSpaceDN/>
        <w:spacing w:after="0" w:line="288" w:lineRule="auto"/>
        <w:jc w:val="both"/>
        <w:rPr>
          <w:rFonts w:cs="Arial"/>
        </w:rPr>
      </w:pPr>
      <w:r w:rsidRPr="7E32E97F">
        <w:rPr>
          <w:rFonts w:cs="Arial"/>
        </w:rPr>
        <w:lastRenderedPageBreak/>
        <w:t xml:space="preserve">Tabela 12 prikazuje stanje </w:t>
      </w:r>
      <w:r w:rsidR="337735FB" w:rsidRPr="7E32E97F">
        <w:rPr>
          <w:rFonts w:cs="Arial"/>
        </w:rPr>
        <w:t xml:space="preserve">izvajanja za celotno obdobje do konca </w:t>
      </w:r>
      <w:r w:rsidR="2C0B6274" w:rsidRPr="7E32E97F">
        <w:rPr>
          <w:rFonts w:cs="Arial"/>
        </w:rPr>
        <w:t xml:space="preserve">decembra </w:t>
      </w:r>
      <w:r w:rsidR="337735FB" w:rsidRPr="7E32E97F">
        <w:rPr>
          <w:rFonts w:cs="Arial"/>
        </w:rPr>
        <w:t xml:space="preserve">2025: </w:t>
      </w:r>
    </w:p>
    <w:p w14:paraId="5A48F44F" w14:textId="77777777" w:rsidR="00AB03C7" w:rsidRPr="00AB03C7" w:rsidRDefault="337735FB" w:rsidP="00AB03C7">
      <w:pPr>
        <w:numPr>
          <w:ilvl w:val="0"/>
          <w:numId w:val="17"/>
        </w:numPr>
        <w:autoSpaceDN/>
        <w:spacing w:after="0" w:line="288" w:lineRule="auto"/>
        <w:jc w:val="both"/>
        <w:rPr>
          <w:rFonts w:cs="Arial"/>
        </w:rPr>
      </w:pPr>
      <w:r w:rsidRPr="7E32E97F">
        <w:rPr>
          <w:rFonts w:cs="Arial"/>
        </w:rPr>
        <w:t xml:space="preserve">odločitve o podpori v skupni vrednosti </w:t>
      </w:r>
      <w:r w:rsidRPr="7E32E97F">
        <w:rPr>
          <w:rFonts w:eastAsia="SimSun" w:cs="Arial"/>
        </w:rPr>
        <w:t xml:space="preserve">3.807.114.717 </w:t>
      </w:r>
      <w:r w:rsidRPr="7E32E97F">
        <w:rPr>
          <w:rFonts w:cs="Arial"/>
        </w:rPr>
        <w:t>EUR (EU del), kar je 114 % vseh razpoložljivih sredstev;</w:t>
      </w:r>
    </w:p>
    <w:p w14:paraId="3BD17296" w14:textId="77777777" w:rsidR="00AB03C7" w:rsidRPr="00AB03C7" w:rsidRDefault="337735FB" w:rsidP="00AB03C7">
      <w:pPr>
        <w:numPr>
          <w:ilvl w:val="0"/>
          <w:numId w:val="15"/>
        </w:numPr>
        <w:autoSpaceDN/>
        <w:spacing w:after="0" w:line="288" w:lineRule="auto"/>
        <w:jc w:val="both"/>
        <w:rPr>
          <w:rFonts w:cs="Arial"/>
        </w:rPr>
      </w:pPr>
      <w:r w:rsidRPr="7E32E97F">
        <w:rPr>
          <w:rFonts w:cs="Arial"/>
        </w:rPr>
        <w:t xml:space="preserve">znesek potrjenih operacij v skupni vrednosti </w:t>
      </w:r>
      <w:r w:rsidRPr="7E32E97F">
        <w:rPr>
          <w:rFonts w:eastAsia="SimSun" w:cs="Arial"/>
        </w:rPr>
        <w:t xml:space="preserve">3.677.340.260 </w:t>
      </w:r>
      <w:r w:rsidRPr="7E32E97F">
        <w:rPr>
          <w:rFonts w:cs="Arial"/>
        </w:rPr>
        <w:t>EUR (EU del), kar je 110 % razpoložljivih sredstev;</w:t>
      </w:r>
    </w:p>
    <w:p w14:paraId="6D25AFF1" w14:textId="77777777" w:rsidR="00AB03C7" w:rsidRPr="00AB03C7" w:rsidRDefault="337735FB" w:rsidP="00AB03C7">
      <w:pPr>
        <w:numPr>
          <w:ilvl w:val="0"/>
          <w:numId w:val="15"/>
        </w:numPr>
        <w:autoSpaceDN/>
        <w:spacing w:after="0" w:line="288" w:lineRule="auto"/>
        <w:jc w:val="both"/>
        <w:rPr>
          <w:rFonts w:cs="Arial"/>
        </w:rPr>
      </w:pPr>
      <w:r w:rsidRPr="7E32E97F">
        <w:rPr>
          <w:rFonts w:cs="Arial"/>
        </w:rPr>
        <w:t xml:space="preserve">izplačila iz državnega proračuna v skupni vrednosti </w:t>
      </w:r>
      <w:r w:rsidRPr="7E32E97F">
        <w:rPr>
          <w:rFonts w:eastAsia="SimSun" w:cs="Arial"/>
        </w:rPr>
        <w:t xml:space="preserve">3.552.289.066 </w:t>
      </w:r>
      <w:r w:rsidRPr="7E32E97F">
        <w:rPr>
          <w:rFonts w:cs="Arial"/>
        </w:rPr>
        <w:t xml:space="preserve">EUR (EU del), kar je 106 % razpoložljivih sredstev. </w:t>
      </w:r>
    </w:p>
    <w:p w14:paraId="59DBAD61" w14:textId="77777777" w:rsidR="00AB03C7" w:rsidRPr="00AB03C7" w:rsidRDefault="00AB03C7" w:rsidP="7E32E97F">
      <w:pPr>
        <w:autoSpaceDE w:val="0"/>
        <w:adjustRightInd w:val="0"/>
        <w:spacing w:after="0" w:line="288" w:lineRule="auto"/>
        <w:jc w:val="both"/>
        <w:rPr>
          <w:rFonts w:cs="Arial"/>
          <w:i/>
          <w:iCs/>
        </w:rPr>
      </w:pPr>
    </w:p>
    <w:p w14:paraId="5B9753C1" w14:textId="55A10A20" w:rsidR="00AB03C7" w:rsidRPr="00AB03C7" w:rsidRDefault="337735FB" w:rsidP="7E32E97F">
      <w:pPr>
        <w:autoSpaceDE w:val="0"/>
        <w:adjustRightInd w:val="0"/>
        <w:spacing w:after="0" w:line="288" w:lineRule="auto"/>
        <w:jc w:val="both"/>
        <w:rPr>
          <w:rFonts w:cs="Arial"/>
        </w:rPr>
      </w:pPr>
      <w:r w:rsidRPr="7E32E97F">
        <w:rPr>
          <w:rFonts w:cs="Arial"/>
        </w:rPr>
        <w:t>Z odločitvami o podpori odobrena sredstva presegajo razpoložljive pravice porabe (preko 100 %) z namenom, da končna praviloma nižja realizacija povračil iz evropskega proračuna (zaradi ugotovljenih neupravičenih izdatkov, nižje realiziranih izplačil od načrtovanih, odstopov od sofinanciranja ipd.) še vedno omogoči 100 % porabo razpoložljivih sredstev in doseganje ciljev OP EKP (gre za t.</w:t>
      </w:r>
      <w:r w:rsidR="7A68EEBA" w:rsidRPr="7E32E97F">
        <w:rPr>
          <w:rFonts w:cs="Arial"/>
        </w:rPr>
        <w:t xml:space="preserve"> </w:t>
      </w:r>
      <w:r w:rsidRPr="7E32E97F">
        <w:rPr>
          <w:rFonts w:cs="Arial"/>
        </w:rPr>
        <w:t>i</w:t>
      </w:r>
      <w:r w:rsidR="003A79A7">
        <w:rPr>
          <w:rFonts w:cs="Arial"/>
        </w:rPr>
        <w:t>m</w:t>
      </w:r>
      <w:r w:rsidRPr="7E32E97F">
        <w:rPr>
          <w:rFonts w:cs="Arial"/>
        </w:rPr>
        <w:t xml:space="preserve">. overcommitment, ki pomeni zagotavljanje dodatnih pravic porabe nad pravicami porabe OP EKP in je potrebno na prednostnih naložbah, kjer je višje tveganje za nedoseganje 100 % koriščenja EU sredstev). OU redno spremlja izvajanje OP EKP in sprejema ustrezne ukrepe z namenom stoodstotne porabe razpoložljivih sredstev in doseganja ciljev OP EKP. </w:t>
      </w:r>
    </w:p>
    <w:p w14:paraId="5774F412" w14:textId="77777777" w:rsidR="00AB03C7" w:rsidRPr="00AB03C7" w:rsidRDefault="00AB03C7" w:rsidP="7E32E97F">
      <w:pPr>
        <w:autoSpaceDE w:val="0"/>
        <w:adjustRightInd w:val="0"/>
        <w:spacing w:after="0" w:line="288" w:lineRule="auto"/>
        <w:jc w:val="both"/>
        <w:rPr>
          <w:rFonts w:cs="Arial"/>
        </w:rPr>
      </w:pPr>
    </w:p>
    <w:p w14:paraId="3CC43207" w14:textId="77777777" w:rsidR="00AB03C7" w:rsidRPr="00AB03C7" w:rsidRDefault="337735FB" w:rsidP="7E32E97F">
      <w:pPr>
        <w:autoSpaceDE w:val="0"/>
        <w:adjustRightInd w:val="0"/>
        <w:spacing w:after="0" w:line="288" w:lineRule="auto"/>
        <w:jc w:val="both"/>
        <w:rPr>
          <w:rFonts w:cs="Arial"/>
        </w:rPr>
      </w:pPr>
      <w:r w:rsidRPr="7E32E97F">
        <w:rPr>
          <w:rFonts w:cs="Arial"/>
        </w:rPr>
        <w:t xml:space="preserve">Izvajanje evropske kohezijske politike je potekalo v okviru 11 prednostnih osi, ki so tematsko določale cilje in ukrepe. Naknadno sta bili dodani še dve prednostni osi kot odziv na pandemijo covida-19: </w:t>
      </w:r>
    </w:p>
    <w:p w14:paraId="4DC00810"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 PREDNOSTNA OS: Mednarodna konkurenčnost raziskav, inovacij in tehnološkega razvoja v skladu s pametno specializacijo za večjo konkurenčnost in ozelenitev gospodarstva;</w:t>
      </w:r>
    </w:p>
    <w:p w14:paraId="5B023FA1"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2. PREDNOSTNA OS: Povečanje dostopnosti do informacijsko-komunikacijskih tehnologij ter njihove uporabe in kakovosti;</w:t>
      </w:r>
    </w:p>
    <w:p w14:paraId="004FD9F6"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3. PREDNOSTNA OS: Dinamično in konkurenčno podjetništvo za zeleno gospodarsko rast;</w:t>
      </w:r>
    </w:p>
    <w:p w14:paraId="12695703"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4. PREDNOSTNA OS: Trajnostna raba in proizvodnja energije in pametna omrežja;</w:t>
      </w:r>
    </w:p>
    <w:p w14:paraId="6E3BBABF"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5. PREDNOSTNA OS: Prilagajanje podnebnim spremembam;</w:t>
      </w:r>
    </w:p>
    <w:p w14:paraId="0478237D"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6. PREDNOSTNA OS: Boljše stanje okolja in biotske raznovrstnosti;</w:t>
      </w:r>
    </w:p>
    <w:p w14:paraId="0FF61FE5"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7. PREDNOSTNA OS: Gradnja infrastrukture in ukrepi za spodbujanje trajnostne mobilnosti;</w:t>
      </w:r>
    </w:p>
    <w:p w14:paraId="7032517B"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8. PREDNOSTNA OS: Spodbujanje zaposlovanja in transnacionalna mobilnost delovne sile;</w:t>
      </w:r>
    </w:p>
    <w:p w14:paraId="556CCBDA"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9. PREDNOSTNA OS: Socialna vključenost in zmanjševanje tveganja revščine;</w:t>
      </w:r>
    </w:p>
    <w:p w14:paraId="49D540E3"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10. PREDNOSTNA OS: Znanje, spretnosti in vseživljenjsko učenje za boljšo zaposljivost;</w:t>
      </w:r>
    </w:p>
    <w:p w14:paraId="15272460"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11. PREDNOSTNA OS Pravna država, izboljšanje institucionalnih zmogljivosti, učinkovita javna uprava, podpora razvoju NVO in krepitev zmogljivosti socialnih partnerjev;</w:t>
      </w:r>
    </w:p>
    <w:p w14:paraId="19AB3D89"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12. PREDNOSTNA OS: Tehnična podpora KS;</w:t>
      </w:r>
    </w:p>
    <w:p w14:paraId="59646F42"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13. PREDNOSTNA OS: Tehnična podpora ESRR;</w:t>
      </w:r>
    </w:p>
    <w:p w14:paraId="7D0D238B"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14. PREDNOSTNA OS: Tehnična podpora ESS;</w:t>
      </w:r>
    </w:p>
    <w:p w14:paraId="7C199343" w14:textId="77777777" w:rsidR="00AB03C7" w:rsidRPr="00AB03C7" w:rsidRDefault="337735FB" w:rsidP="7E32E97F">
      <w:pPr>
        <w:numPr>
          <w:ilvl w:val="0"/>
          <w:numId w:val="16"/>
        </w:numPr>
        <w:autoSpaceDE w:val="0"/>
        <w:autoSpaceDN/>
        <w:adjustRightInd w:val="0"/>
        <w:spacing w:after="0" w:line="288" w:lineRule="auto"/>
        <w:jc w:val="both"/>
        <w:rPr>
          <w:rFonts w:cs="Arial"/>
        </w:rPr>
      </w:pPr>
      <w:r w:rsidRPr="7E32E97F">
        <w:rPr>
          <w:rFonts w:cs="Arial"/>
        </w:rPr>
        <w:t>15. PREDNOSTNA OS: Spodbujanje odprave posledic krize v okviru REACT-EU – ESRR</w:t>
      </w:r>
    </w:p>
    <w:p w14:paraId="638D0981" w14:textId="09C2D1D7" w:rsidR="00B633FE" w:rsidRPr="00314FBC" w:rsidRDefault="337735FB">
      <w:pPr>
        <w:numPr>
          <w:ilvl w:val="0"/>
          <w:numId w:val="16"/>
        </w:numPr>
        <w:autoSpaceDE w:val="0"/>
        <w:autoSpaceDN/>
        <w:adjustRightInd w:val="0"/>
        <w:spacing w:after="0" w:line="288" w:lineRule="auto"/>
        <w:jc w:val="both"/>
        <w:rPr>
          <w:rFonts w:cs="Arial"/>
        </w:rPr>
      </w:pPr>
      <w:r w:rsidRPr="7E32E97F">
        <w:rPr>
          <w:rFonts w:cs="Arial"/>
        </w:rPr>
        <w:t>16. PREDNOSTNA OS: Spodbujanje odprave posledic krize v okviru REACT-EU – ESS.</w:t>
      </w:r>
    </w:p>
    <w:p w14:paraId="01219039" w14:textId="77777777" w:rsidR="00B633FE" w:rsidRDefault="00B633FE" w:rsidP="7E32E97F">
      <w:pPr>
        <w:autoSpaceDE w:val="0"/>
        <w:autoSpaceDN/>
        <w:adjustRightInd w:val="0"/>
        <w:spacing w:after="0" w:line="288" w:lineRule="auto"/>
        <w:jc w:val="both"/>
        <w:rPr>
          <w:rFonts w:cs="Arial"/>
          <w:color w:val="000000"/>
        </w:rPr>
      </w:pPr>
    </w:p>
    <w:p w14:paraId="5D5B2A72" w14:textId="50DE7719" w:rsidR="00AB03C7" w:rsidRPr="00B633FE" w:rsidRDefault="337735FB" w:rsidP="001D1BD1">
      <w:pPr>
        <w:autoSpaceDE w:val="0"/>
        <w:autoSpaceDN/>
        <w:adjustRightInd w:val="0"/>
        <w:spacing w:after="0" w:line="288" w:lineRule="auto"/>
        <w:jc w:val="both"/>
        <w:rPr>
          <w:rFonts w:cs="Arial"/>
        </w:rPr>
      </w:pPr>
      <w:r w:rsidRPr="7E32E97F">
        <w:rPr>
          <w:rFonts w:cs="Arial"/>
          <w:color w:val="000000" w:themeColor="text1"/>
        </w:rPr>
        <w:t xml:space="preserve">V okviru izvajanja </w:t>
      </w:r>
      <w:r w:rsidR="42AA6CD0" w:rsidRPr="7E32E97F">
        <w:rPr>
          <w:rFonts w:cs="Arial"/>
          <w:color w:val="000000" w:themeColor="text1"/>
        </w:rPr>
        <w:t>e</w:t>
      </w:r>
      <w:r w:rsidRPr="7E32E97F">
        <w:rPr>
          <w:rFonts w:cs="Arial"/>
          <w:color w:val="000000" w:themeColor="text1"/>
        </w:rPr>
        <w:t>vropske kohezijske politike za obdobje 2014–2020 so bile izdane vse odločitve o podp</w:t>
      </w:r>
      <w:r w:rsidR="42AA6CD0" w:rsidRPr="7E32E97F">
        <w:rPr>
          <w:rFonts w:cs="Arial"/>
          <w:color w:val="000000" w:themeColor="text1"/>
        </w:rPr>
        <w:t>o</w:t>
      </w:r>
      <w:r w:rsidRPr="7E32E97F">
        <w:rPr>
          <w:rFonts w:cs="Arial"/>
          <w:color w:val="000000" w:themeColor="text1"/>
        </w:rPr>
        <w:t>ri. Izvedena so bila tudi vsa izplačila, trenutno pa še poteka zaključevanje operacij.</w:t>
      </w:r>
    </w:p>
    <w:p w14:paraId="0D785286" w14:textId="77777777" w:rsidR="00AB03C7" w:rsidRPr="00AB03C7" w:rsidRDefault="00AB03C7" w:rsidP="00AB03C7">
      <w:pPr>
        <w:spacing w:after="0"/>
        <w:jc w:val="both"/>
        <w:rPr>
          <w:rFonts w:cs="Arial"/>
        </w:rPr>
      </w:pPr>
    </w:p>
    <w:p w14:paraId="349E5A68" w14:textId="7FE42216" w:rsidR="00AB03C7" w:rsidRDefault="337735FB" w:rsidP="007820B6">
      <w:pPr>
        <w:spacing w:after="0" w:line="288" w:lineRule="auto"/>
        <w:jc w:val="both"/>
        <w:rPr>
          <w:rFonts w:cs="Arial"/>
          <w:color w:val="000000" w:themeColor="text1"/>
        </w:rPr>
      </w:pPr>
      <w:r w:rsidRPr="7E32E97F">
        <w:rPr>
          <w:rFonts w:cs="Arial"/>
          <w:color w:val="000000" w:themeColor="text1"/>
        </w:rPr>
        <w:t>Na dan 30.</w:t>
      </w:r>
      <w:r w:rsidR="007D134D">
        <w:rPr>
          <w:rFonts w:cs="Arial"/>
          <w:color w:val="000000" w:themeColor="text1"/>
        </w:rPr>
        <w:t xml:space="preserve"> </w:t>
      </w:r>
      <w:r w:rsidR="25F2F999" w:rsidRPr="7E32E97F">
        <w:rPr>
          <w:rFonts w:cs="Arial"/>
          <w:color w:val="000000" w:themeColor="text1"/>
        </w:rPr>
        <w:t>12</w:t>
      </w:r>
      <w:r w:rsidRPr="7E32E97F">
        <w:rPr>
          <w:rFonts w:cs="Arial"/>
          <w:color w:val="000000" w:themeColor="text1"/>
        </w:rPr>
        <w:t>. 2025</w:t>
      </w:r>
      <w:r w:rsidR="63DDB009" w:rsidRPr="7E32E97F">
        <w:rPr>
          <w:rFonts w:cs="Arial"/>
          <w:color w:val="000000" w:themeColor="text1"/>
        </w:rPr>
        <w:t xml:space="preserve"> so bile vse </w:t>
      </w:r>
      <w:r w:rsidR="30565DE4" w:rsidRPr="7E32E97F">
        <w:rPr>
          <w:rFonts w:cs="Arial"/>
          <w:color w:val="000000" w:themeColor="text1"/>
        </w:rPr>
        <w:t>operacije</w:t>
      </w:r>
      <w:r w:rsidR="63DDB009" w:rsidRPr="7E32E97F">
        <w:rPr>
          <w:rFonts w:cs="Arial"/>
          <w:color w:val="000000" w:themeColor="text1"/>
        </w:rPr>
        <w:t xml:space="preserve"> </w:t>
      </w:r>
      <w:r w:rsidRPr="7E32E97F">
        <w:rPr>
          <w:rFonts w:cs="Arial"/>
          <w:color w:val="000000" w:themeColor="text1"/>
        </w:rPr>
        <w:t xml:space="preserve">v IS e-MA </w:t>
      </w:r>
      <w:r w:rsidR="69A00537" w:rsidRPr="7E32E97F">
        <w:rPr>
          <w:rFonts w:cs="Arial"/>
          <w:color w:val="000000" w:themeColor="text1"/>
        </w:rPr>
        <w:t xml:space="preserve">v </w:t>
      </w:r>
      <w:r w:rsidR="6D958732" w:rsidRPr="7E32E97F">
        <w:rPr>
          <w:rFonts w:cs="Arial"/>
          <w:color w:val="000000" w:themeColor="text1"/>
        </w:rPr>
        <w:t>ustreznih statusih.</w:t>
      </w:r>
    </w:p>
    <w:p w14:paraId="12A3A29A" w14:textId="77777777" w:rsidR="007820B6" w:rsidRPr="00AB03C7" w:rsidRDefault="007820B6" w:rsidP="007820B6">
      <w:pPr>
        <w:spacing w:after="0" w:line="288" w:lineRule="auto"/>
        <w:jc w:val="both"/>
        <w:rPr>
          <w:rFonts w:cs="Arial"/>
        </w:rPr>
      </w:pPr>
    </w:p>
    <w:p w14:paraId="40FF9EF4" w14:textId="4A03DB2D" w:rsidR="00AB03C7" w:rsidRPr="00AB03C7" w:rsidRDefault="79B66E6A" w:rsidP="6A216576">
      <w:pPr>
        <w:spacing w:after="0"/>
        <w:jc w:val="both"/>
        <w:rPr>
          <w:rFonts w:cs="Arial"/>
        </w:rPr>
      </w:pPr>
      <w:r w:rsidRPr="005F276F">
        <w:rPr>
          <w:rFonts w:cs="Arial"/>
        </w:rPr>
        <w:t>K</w:t>
      </w:r>
      <w:r w:rsidR="337735FB" w:rsidRPr="005F276F">
        <w:rPr>
          <w:rFonts w:cs="Arial"/>
        </w:rPr>
        <w:t>ončno poročilo o izvajanju OP EKP 14–20</w:t>
      </w:r>
      <w:r w:rsidR="0A0383BE" w:rsidRPr="005F276F">
        <w:rPr>
          <w:rFonts w:cs="Arial"/>
        </w:rPr>
        <w:t xml:space="preserve"> </w:t>
      </w:r>
      <w:r w:rsidR="0C0D0EDE" w:rsidRPr="005F276F">
        <w:rPr>
          <w:rFonts w:cs="Arial"/>
        </w:rPr>
        <w:t xml:space="preserve">je bilo </w:t>
      </w:r>
      <w:r w:rsidR="04DB27B4" w:rsidRPr="005F276F">
        <w:rPr>
          <w:rFonts w:cs="Arial"/>
        </w:rPr>
        <w:t xml:space="preserve">v fazi potrjevanja v okviru </w:t>
      </w:r>
      <w:r w:rsidR="0C0D0EDE" w:rsidRPr="005F276F">
        <w:rPr>
          <w:rFonts w:cs="Arial"/>
        </w:rPr>
        <w:t>15. dopisn</w:t>
      </w:r>
      <w:r w:rsidR="392F3692" w:rsidRPr="005F276F">
        <w:rPr>
          <w:rFonts w:cs="Arial"/>
        </w:rPr>
        <w:t>e</w:t>
      </w:r>
      <w:r w:rsidR="0C0D0EDE" w:rsidRPr="005F276F">
        <w:rPr>
          <w:rFonts w:cs="Arial"/>
        </w:rPr>
        <w:t xml:space="preserve"> sej</w:t>
      </w:r>
      <w:r w:rsidR="29F959FD" w:rsidRPr="005F276F">
        <w:rPr>
          <w:rFonts w:cs="Arial"/>
        </w:rPr>
        <w:t>e</w:t>
      </w:r>
      <w:r w:rsidR="0C0D0EDE" w:rsidRPr="005F276F">
        <w:rPr>
          <w:rFonts w:cs="Arial"/>
        </w:rPr>
        <w:t xml:space="preserve"> OP EKP 14-20</w:t>
      </w:r>
      <w:r w:rsidR="003821BA" w:rsidRPr="005F276F">
        <w:rPr>
          <w:rFonts w:cs="Arial"/>
        </w:rPr>
        <w:t>,</w:t>
      </w:r>
      <w:r w:rsidR="0C0D0EDE" w:rsidRPr="005F276F">
        <w:rPr>
          <w:rFonts w:cs="Arial"/>
        </w:rPr>
        <w:t xml:space="preserve"> </w:t>
      </w:r>
      <w:r w:rsidR="3719637E" w:rsidRPr="005F276F">
        <w:rPr>
          <w:rFonts w:cs="Arial"/>
        </w:rPr>
        <w:t xml:space="preserve">ki je </w:t>
      </w:r>
      <w:r w:rsidR="003821BA" w:rsidRPr="005F276F">
        <w:rPr>
          <w:rFonts w:cs="Arial"/>
        </w:rPr>
        <w:t xml:space="preserve">potekala </w:t>
      </w:r>
      <w:r w:rsidR="00301FB8" w:rsidRPr="005F276F">
        <w:rPr>
          <w:rFonts w:cs="Arial"/>
        </w:rPr>
        <w:t xml:space="preserve">od </w:t>
      </w:r>
      <w:r w:rsidR="0C0D0EDE" w:rsidRPr="005F276F">
        <w:rPr>
          <w:rFonts w:cs="Arial"/>
        </w:rPr>
        <w:t>19. 12. 2025</w:t>
      </w:r>
      <w:r w:rsidR="00301FB8" w:rsidRPr="005F276F">
        <w:rPr>
          <w:rFonts w:cs="Arial"/>
        </w:rPr>
        <w:t xml:space="preserve"> do 6. 1. 2026</w:t>
      </w:r>
      <w:r w:rsidR="005F276F" w:rsidRPr="001650A8">
        <w:rPr>
          <w:rFonts w:cs="Arial"/>
        </w:rPr>
        <w:t xml:space="preserve">. </w:t>
      </w:r>
      <w:r w:rsidR="32932175" w:rsidRPr="005F276F">
        <w:rPr>
          <w:rFonts w:cs="Arial"/>
        </w:rPr>
        <w:t>K</w:t>
      </w:r>
      <w:r w:rsidR="337735FB" w:rsidRPr="005F276F">
        <w:rPr>
          <w:rFonts w:cs="Arial"/>
        </w:rPr>
        <w:t xml:space="preserve">ončno </w:t>
      </w:r>
      <w:r w:rsidR="4182C208" w:rsidRPr="005F276F">
        <w:rPr>
          <w:rFonts w:cs="Arial"/>
        </w:rPr>
        <w:t xml:space="preserve">poročilo </w:t>
      </w:r>
      <w:r w:rsidR="491CB694" w:rsidRPr="005F276F">
        <w:rPr>
          <w:rFonts w:cs="Arial"/>
        </w:rPr>
        <w:t>je podlaga</w:t>
      </w:r>
      <w:r w:rsidR="625B5796" w:rsidRPr="005F276F">
        <w:rPr>
          <w:rFonts w:cs="Arial"/>
        </w:rPr>
        <w:t xml:space="preserve"> za končno izplačilo</w:t>
      </w:r>
      <w:r w:rsidR="491CB694" w:rsidRPr="005F276F">
        <w:rPr>
          <w:rFonts w:cs="Arial"/>
        </w:rPr>
        <w:t xml:space="preserve"> </w:t>
      </w:r>
      <w:r w:rsidR="337735FB" w:rsidRPr="005F276F">
        <w:rPr>
          <w:rFonts w:cs="Arial"/>
        </w:rPr>
        <w:t xml:space="preserve">s strani EK, ki se izvede en mesec po datumu sprejetja končnega poročila oz. najpozneje tri mesece po datumu sprejetja obračunov za končno obračunsko leto. </w:t>
      </w:r>
      <w:r w:rsidR="2300210C" w:rsidRPr="005F276F">
        <w:rPr>
          <w:rFonts w:cs="Arial"/>
        </w:rPr>
        <w:t xml:space="preserve">Vnos in posredovanje zaključnih dokumentov na EK preko SFC2014 bo </w:t>
      </w:r>
      <w:r w:rsidR="005F276F" w:rsidRPr="001650A8">
        <w:rPr>
          <w:rFonts w:cs="Arial"/>
        </w:rPr>
        <w:t>izvedeno</w:t>
      </w:r>
      <w:r w:rsidR="2300210C" w:rsidRPr="005F276F">
        <w:rPr>
          <w:rFonts w:cs="Arial"/>
        </w:rPr>
        <w:t xml:space="preserve"> najkasneje do 15. 2. 2026, </w:t>
      </w:r>
      <w:r w:rsidR="005F276F" w:rsidRPr="001650A8">
        <w:rPr>
          <w:rFonts w:cs="Arial"/>
        </w:rPr>
        <w:t xml:space="preserve">saj navedeni datum </w:t>
      </w:r>
      <w:r w:rsidR="2300210C" w:rsidRPr="005F276F">
        <w:rPr>
          <w:rFonts w:cs="Arial"/>
        </w:rPr>
        <w:t xml:space="preserve">predstavlja skrajni </w:t>
      </w:r>
      <w:r w:rsidR="005F276F" w:rsidRPr="001650A8">
        <w:rPr>
          <w:rFonts w:cs="Arial"/>
        </w:rPr>
        <w:t xml:space="preserve">rok </w:t>
      </w:r>
      <w:r w:rsidR="2300210C" w:rsidRPr="005F276F">
        <w:rPr>
          <w:rFonts w:cs="Arial"/>
        </w:rPr>
        <w:t>za posredovanje</w:t>
      </w:r>
      <w:r w:rsidR="3163551D" w:rsidRPr="005F276F">
        <w:rPr>
          <w:rFonts w:cs="Arial"/>
        </w:rPr>
        <w:t xml:space="preserve"> končnega</w:t>
      </w:r>
      <w:r w:rsidR="2300210C" w:rsidRPr="005F276F">
        <w:rPr>
          <w:rFonts w:cs="Arial"/>
        </w:rPr>
        <w:t xml:space="preserve"> poročila</w:t>
      </w:r>
      <w:r w:rsidR="77A12289" w:rsidRPr="005F276F">
        <w:rPr>
          <w:rFonts w:cs="Arial"/>
        </w:rPr>
        <w:t xml:space="preserve"> o izvajanju</w:t>
      </w:r>
      <w:r w:rsidR="2300210C" w:rsidRPr="005F276F">
        <w:rPr>
          <w:rFonts w:cs="Arial"/>
        </w:rPr>
        <w:t>.</w:t>
      </w:r>
      <w:r w:rsidR="005F276F" w:rsidRPr="001650A8">
        <w:rPr>
          <w:rFonts w:cs="Arial"/>
        </w:rPr>
        <w:t xml:space="preserve"> </w:t>
      </w:r>
      <w:r w:rsidR="2CF59947" w:rsidRPr="005F276F">
        <w:rPr>
          <w:rFonts w:cs="Arial"/>
        </w:rPr>
        <w:t>V okviru k</w:t>
      </w:r>
      <w:r w:rsidR="4AF20D3F" w:rsidRPr="005F276F">
        <w:rPr>
          <w:rFonts w:cs="Arial"/>
        </w:rPr>
        <w:t>ončnega poročila o izvajanju OP EKP 14–</w:t>
      </w:r>
      <w:r w:rsidR="4AF20D3F" w:rsidRPr="005F276F">
        <w:rPr>
          <w:rFonts w:cs="Arial"/>
        </w:rPr>
        <w:lastRenderedPageBreak/>
        <w:t>20</w:t>
      </w:r>
      <w:r w:rsidR="2CF59947" w:rsidRPr="005F276F">
        <w:rPr>
          <w:rFonts w:cs="Arial"/>
        </w:rPr>
        <w:t xml:space="preserve"> je </w:t>
      </w:r>
      <w:r w:rsidR="5095D948" w:rsidRPr="005F276F">
        <w:rPr>
          <w:rFonts w:cs="Arial"/>
        </w:rPr>
        <w:t>v prilogo II</w:t>
      </w:r>
      <w:r w:rsidR="00301FB8" w:rsidRPr="005F276F">
        <w:rPr>
          <w:rFonts w:cs="Arial"/>
        </w:rPr>
        <w:t xml:space="preserve"> končnega poročila</w:t>
      </w:r>
      <w:r w:rsidR="5095D948" w:rsidRPr="005F276F">
        <w:rPr>
          <w:rFonts w:cs="Arial"/>
        </w:rPr>
        <w:t xml:space="preserve"> vključenih 8 nedelujočih operacij. </w:t>
      </w:r>
      <w:r w:rsidR="44674FC6" w:rsidRPr="005F276F">
        <w:rPr>
          <w:rFonts w:cs="Arial"/>
        </w:rPr>
        <w:t>Le-te morajo biti zaključene najkasneje do 15.</w:t>
      </w:r>
      <w:r w:rsidR="003A79A7" w:rsidRPr="005F276F">
        <w:rPr>
          <w:rFonts w:cs="Arial"/>
        </w:rPr>
        <w:t xml:space="preserve"> </w:t>
      </w:r>
      <w:r w:rsidR="44674FC6" w:rsidRPr="005F276F">
        <w:rPr>
          <w:rFonts w:cs="Arial"/>
        </w:rPr>
        <w:t>2.</w:t>
      </w:r>
      <w:r w:rsidR="003A79A7" w:rsidRPr="005F276F">
        <w:rPr>
          <w:rFonts w:cs="Arial"/>
        </w:rPr>
        <w:t xml:space="preserve"> </w:t>
      </w:r>
      <w:r w:rsidR="44674FC6" w:rsidRPr="005F276F">
        <w:rPr>
          <w:rFonts w:cs="Arial"/>
        </w:rPr>
        <w:t>2027.</w:t>
      </w:r>
      <w:r w:rsidR="44674FC6" w:rsidRPr="7E32E97F">
        <w:rPr>
          <w:rFonts w:cs="Arial"/>
        </w:rPr>
        <w:t xml:space="preserve"> </w:t>
      </w:r>
    </w:p>
    <w:p w14:paraId="39FF11E3" w14:textId="3B711DE7" w:rsidR="00AB03C7" w:rsidRPr="00AB03C7" w:rsidRDefault="00AB03C7" w:rsidP="6A216576">
      <w:pPr>
        <w:spacing w:after="0"/>
        <w:jc w:val="both"/>
        <w:rPr>
          <w:rFonts w:cs="Arial"/>
        </w:rPr>
      </w:pPr>
    </w:p>
    <w:p w14:paraId="49C5819C" w14:textId="40FF6518" w:rsidR="00B05431" w:rsidRDefault="00B05431" w:rsidP="7E32E97F">
      <w:pPr>
        <w:autoSpaceDN/>
        <w:jc w:val="both"/>
        <w:rPr>
          <w:rFonts w:eastAsia="Calibri" w:cs="Arial"/>
        </w:rPr>
        <w:sectPr w:rsidR="00B05431" w:rsidSect="00A169E8">
          <w:pgSz w:w="11906" w:h="16838" w:code="9"/>
          <w:pgMar w:top="1418" w:right="1418" w:bottom="1418" w:left="1418" w:header="709" w:footer="709" w:gutter="0"/>
          <w:cols w:space="708"/>
          <w:docGrid w:linePitch="272"/>
        </w:sectPr>
      </w:pPr>
    </w:p>
    <w:p w14:paraId="02F6C3A5" w14:textId="269B5486" w:rsidR="007E7643" w:rsidRPr="002B47E2" w:rsidRDefault="589AF387" w:rsidP="7E32E97F">
      <w:pPr>
        <w:pStyle w:val="Naslov10"/>
        <w:spacing w:before="0" w:after="0"/>
      </w:pPr>
      <w:bookmarkStart w:id="277" w:name="_Toc188012429"/>
      <w:bookmarkStart w:id="278" w:name="_Toc188012449"/>
      <w:bookmarkStart w:id="279" w:name="_Toc219974423"/>
      <w:bookmarkStart w:id="280" w:name="_Toc18671928"/>
      <w:r>
        <w:lastRenderedPageBreak/>
        <w:t>Priloga 1: P</w:t>
      </w:r>
      <w:r w:rsidR="796202C4">
        <w:t xml:space="preserve">oročilo o napredku pri pripravi tematskih omogočitvenih pogojev v obdobju </w:t>
      </w:r>
      <w:bookmarkEnd w:id="277"/>
      <w:bookmarkEnd w:id="278"/>
      <w:r w:rsidR="419C6937">
        <w:t>2021–2027</w:t>
      </w:r>
      <w:bookmarkEnd w:id="279"/>
    </w:p>
    <w:p w14:paraId="4FBC525A" w14:textId="77777777" w:rsidR="007E7643" w:rsidRPr="00D40041" w:rsidRDefault="007E7643" w:rsidP="7E32E97F">
      <w:pPr>
        <w:autoSpaceDN/>
        <w:spacing w:after="0"/>
        <w:jc w:val="both"/>
        <w:rPr>
          <w:rFonts w:cs="Arial"/>
          <w:highlight w:val="yellow"/>
        </w:rPr>
      </w:pPr>
    </w:p>
    <w:p w14:paraId="06B0367F" w14:textId="3EC64415" w:rsidR="007E7643" w:rsidRPr="007E7643" w:rsidRDefault="589AF387" w:rsidP="7E32E97F">
      <w:pPr>
        <w:autoSpaceDN/>
        <w:jc w:val="both"/>
        <w:rPr>
          <w:rFonts w:cs="Arial"/>
        </w:rPr>
      </w:pPr>
      <w:r w:rsidRPr="7E32E97F">
        <w:rPr>
          <w:rFonts w:cs="Arial"/>
        </w:rPr>
        <w:t xml:space="preserve">S Sklepom Vlade RS številka 54402-7/2019/6 z dne 18. 7. 2019 Vlada RS nalaga ministrstvom in vladnim službam, da v okviru Poročila o izvajanju evropske kohezijske politike </w:t>
      </w:r>
      <w:r w:rsidR="5CF35F9E" w:rsidRPr="7E32E97F">
        <w:rPr>
          <w:rFonts w:cs="Arial"/>
        </w:rPr>
        <w:t>2014–2020</w:t>
      </w:r>
      <w:r w:rsidRPr="7E32E97F">
        <w:rPr>
          <w:rFonts w:cs="Arial"/>
        </w:rPr>
        <w:t>, cilj naložbe za rast in delovna mesta poročajo o napredku pri pripravi programskih dokumentov in dokumentov za izpolnjevanje tematskih omogočitvenih pogojev.</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955"/>
        <w:gridCol w:w="4678"/>
        <w:gridCol w:w="1872"/>
        <w:gridCol w:w="1814"/>
      </w:tblGrid>
      <w:tr w:rsidR="007E7643" w:rsidRPr="00E4016A" w14:paraId="0B0334BF" w14:textId="77777777" w:rsidTr="7E32E97F">
        <w:tc>
          <w:tcPr>
            <w:tcW w:w="4282" w:type="dxa"/>
            <w:shd w:val="clear" w:color="auto" w:fill="DEEAF6" w:themeFill="accent5" w:themeFillTint="33"/>
          </w:tcPr>
          <w:bookmarkEnd w:id="280"/>
          <w:p w14:paraId="52BCAE1F" w14:textId="77777777" w:rsidR="007E7643" w:rsidRPr="00E4016A" w:rsidRDefault="589AF387" w:rsidP="7E32E97F">
            <w:pPr>
              <w:autoSpaceDN/>
              <w:spacing w:after="0" w:line="260" w:lineRule="exact"/>
              <w:jc w:val="both"/>
              <w:rPr>
                <w:rFonts w:eastAsia="Calibri" w:cs="Arial"/>
                <w:b/>
                <w:bCs/>
              </w:rPr>
            </w:pPr>
            <w:r w:rsidRPr="7E32E97F">
              <w:rPr>
                <w:rFonts w:eastAsia="Calibri" w:cs="Arial"/>
                <w:b/>
                <w:bCs/>
              </w:rPr>
              <w:t xml:space="preserve">OMOGOČITVENI </w:t>
            </w:r>
            <w:bookmarkStart w:id="281" w:name="_Toc90562334"/>
            <w:r w:rsidRPr="7E32E97F">
              <w:rPr>
                <w:rFonts w:eastAsia="Calibri" w:cs="Arial"/>
                <w:b/>
                <w:bCs/>
              </w:rPr>
              <w:t>POGOJ</w:t>
            </w:r>
            <w:bookmarkEnd w:id="281"/>
          </w:p>
        </w:tc>
        <w:tc>
          <w:tcPr>
            <w:tcW w:w="1955" w:type="dxa"/>
            <w:shd w:val="clear" w:color="auto" w:fill="DEEAF6" w:themeFill="accent5" w:themeFillTint="33"/>
          </w:tcPr>
          <w:p w14:paraId="2B70AAE9" w14:textId="77777777" w:rsidR="007E7643" w:rsidRPr="00E4016A" w:rsidRDefault="589AF387" w:rsidP="7E32E97F">
            <w:pPr>
              <w:autoSpaceDN/>
              <w:spacing w:after="0" w:line="260" w:lineRule="exact"/>
              <w:jc w:val="both"/>
              <w:rPr>
                <w:rFonts w:eastAsia="Calibri" w:cs="Arial"/>
                <w:b/>
                <w:bCs/>
              </w:rPr>
            </w:pPr>
            <w:bookmarkStart w:id="282" w:name="_Toc90562335"/>
            <w:r w:rsidRPr="7E32E97F">
              <w:rPr>
                <w:rFonts w:eastAsia="Calibri" w:cs="Arial"/>
                <w:b/>
                <w:bCs/>
              </w:rPr>
              <w:t>IZPOLNITEV OMOGOČITVENEGA POGOJA (OCENA NOSILCA)</w:t>
            </w:r>
            <w:bookmarkEnd w:id="282"/>
          </w:p>
        </w:tc>
        <w:tc>
          <w:tcPr>
            <w:tcW w:w="4678" w:type="dxa"/>
            <w:shd w:val="clear" w:color="auto" w:fill="DEEAF6" w:themeFill="accent5" w:themeFillTint="33"/>
          </w:tcPr>
          <w:p w14:paraId="1C5989B5" w14:textId="77777777" w:rsidR="007E7643" w:rsidRPr="00E4016A" w:rsidRDefault="589AF387" w:rsidP="7E32E97F">
            <w:pPr>
              <w:autoSpaceDN/>
              <w:spacing w:after="0" w:line="260" w:lineRule="exact"/>
              <w:jc w:val="both"/>
              <w:rPr>
                <w:rFonts w:eastAsia="Calibri" w:cs="Arial"/>
                <w:b/>
                <w:bCs/>
              </w:rPr>
            </w:pPr>
            <w:bookmarkStart w:id="283" w:name="_Toc90562336"/>
            <w:r w:rsidRPr="7E32E97F">
              <w:rPr>
                <w:rFonts w:eastAsia="Calibri" w:cs="Arial"/>
                <w:b/>
                <w:bCs/>
              </w:rPr>
              <w:t>DOKUMENT/OPIS POTREBEN ZA IZPOLNITEV</w:t>
            </w:r>
            <w:bookmarkEnd w:id="283"/>
          </w:p>
        </w:tc>
        <w:tc>
          <w:tcPr>
            <w:tcW w:w="1872" w:type="dxa"/>
            <w:shd w:val="clear" w:color="auto" w:fill="DEEAF6" w:themeFill="accent5" w:themeFillTint="33"/>
          </w:tcPr>
          <w:p w14:paraId="3204AF29" w14:textId="77777777" w:rsidR="007E7643" w:rsidRPr="00E4016A" w:rsidRDefault="589AF387" w:rsidP="7E32E97F">
            <w:pPr>
              <w:autoSpaceDN/>
              <w:spacing w:after="0" w:line="260" w:lineRule="exact"/>
              <w:jc w:val="both"/>
              <w:rPr>
                <w:rFonts w:eastAsia="Calibri" w:cs="Arial"/>
                <w:b/>
                <w:bCs/>
              </w:rPr>
            </w:pPr>
            <w:bookmarkStart w:id="284" w:name="_Toc90562337"/>
            <w:r w:rsidRPr="7E32E97F">
              <w:rPr>
                <w:rFonts w:eastAsia="Calibri" w:cs="Arial"/>
                <w:b/>
                <w:bCs/>
              </w:rPr>
              <w:t>NIVO SPREJEMA</w:t>
            </w:r>
            <w:bookmarkEnd w:id="284"/>
          </w:p>
        </w:tc>
        <w:tc>
          <w:tcPr>
            <w:tcW w:w="1814" w:type="dxa"/>
            <w:shd w:val="clear" w:color="auto" w:fill="DEEAF6" w:themeFill="accent5" w:themeFillTint="33"/>
          </w:tcPr>
          <w:p w14:paraId="78C07987" w14:textId="77777777" w:rsidR="007E7643" w:rsidRPr="00E4016A" w:rsidRDefault="589AF387" w:rsidP="7E32E97F">
            <w:pPr>
              <w:autoSpaceDN/>
              <w:spacing w:after="0" w:line="260" w:lineRule="exact"/>
              <w:jc w:val="both"/>
              <w:rPr>
                <w:rFonts w:eastAsia="Calibri" w:cs="Arial"/>
                <w:b/>
                <w:bCs/>
              </w:rPr>
            </w:pPr>
            <w:bookmarkStart w:id="285" w:name="_Toc90562338"/>
            <w:r w:rsidRPr="7E32E97F">
              <w:rPr>
                <w:rFonts w:eastAsia="Calibri" w:cs="Arial"/>
                <w:b/>
                <w:bCs/>
              </w:rPr>
              <w:t>PRAVNA PODLAGA</w:t>
            </w:r>
            <w:bookmarkEnd w:id="285"/>
          </w:p>
        </w:tc>
      </w:tr>
      <w:tr w:rsidR="007E7643" w:rsidRPr="00E4016A" w14:paraId="3C543A93" w14:textId="77777777" w:rsidTr="7E32E97F">
        <w:tc>
          <w:tcPr>
            <w:tcW w:w="4282" w:type="dxa"/>
          </w:tcPr>
          <w:p w14:paraId="150B2AE0" w14:textId="77777777" w:rsidR="007E7643" w:rsidRPr="00E4016A" w:rsidRDefault="589AF387" w:rsidP="7E32E97F">
            <w:pPr>
              <w:autoSpaceDN/>
              <w:spacing w:after="0" w:line="260" w:lineRule="exact"/>
              <w:jc w:val="both"/>
              <w:rPr>
                <w:rFonts w:cs="Arial"/>
              </w:rPr>
            </w:pPr>
            <w:bookmarkStart w:id="286" w:name="_Toc90562339"/>
            <w:r w:rsidRPr="7E32E97F">
              <w:rPr>
                <w:rFonts w:cs="Arial"/>
              </w:rPr>
              <w:t>Učinkoviti mehanizmi spremljanja trga javnih naročil</w:t>
            </w:r>
            <w:bookmarkEnd w:id="286"/>
          </w:p>
        </w:tc>
        <w:tc>
          <w:tcPr>
            <w:tcW w:w="1955" w:type="dxa"/>
          </w:tcPr>
          <w:p w14:paraId="6878A2A6" w14:textId="77777777" w:rsidR="007E7643" w:rsidRPr="00E4016A" w:rsidRDefault="589AF387" w:rsidP="7E32E97F">
            <w:pPr>
              <w:autoSpaceDN/>
              <w:spacing w:after="0" w:line="260" w:lineRule="exact"/>
              <w:jc w:val="both"/>
              <w:rPr>
                <w:rFonts w:cs="Arial"/>
              </w:rPr>
            </w:pPr>
            <w:bookmarkStart w:id="287" w:name="_Toc90562340"/>
            <w:r w:rsidRPr="7E32E97F">
              <w:rPr>
                <w:rFonts w:cs="Arial"/>
              </w:rPr>
              <w:t>DA</w:t>
            </w:r>
            <w:bookmarkEnd w:id="287"/>
          </w:p>
        </w:tc>
        <w:tc>
          <w:tcPr>
            <w:tcW w:w="4678" w:type="dxa"/>
          </w:tcPr>
          <w:p w14:paraId="77049AE2" w14:textId="77777777" w:rsidR="007E7643" w:rsidRPr="00E4016A" w:rsidRDefault="589AF387" w:rsidP="7E32E97F">
            <w:pPr>
              <w:autoSpaceDN/>
              <w:spacing w:after="0" w:line="260" w:lineRule="exact"/>
              <w:jc w:val="both"/>
              <w:rPr>
                <w:rFonts w:cs="Arial"/>
              </w:rPr>
            </w:pPr>
            <w:bookmarkStart w:id="288" w:name="_Toc90562341"/>
            <w:r w:rsidRPr="7E32E97F">
              <w:rPr>
                <w:rFonts w:cs="Arial"/>
              </w:rPr>
              <w:t>Členi 106.-108. in 114. Zakona o javnem naročanju (Uradni list RS, št. </w:t>
            </w:r>
            <w:hyperlink r:id="rId32">
              <w:r w:rsidRPr="7E32E97F">
                <w:rPr>
                  <w:rFonts w:cs="Arial"/>
                </w:rPr>
                <w:t>91/15</w:t>
              </w:r>
            </w:hyperlink>
            <w:r w:rsidRPr="7E32E97F">
              <w:rPr>
                <w:rFonts w:cs="Arial"/>
              </w:rPr>
              <w:t> in </w:t>
            </w:r>
            <w:hyperlink r:id="rId33">
              <w:r w:rsidRPr="7E32E97F">
                <w:rPr>
                  <w:rFonts w:cs="Arial"/>
                </w:rPr>
                <w:t>14/18</w:t>
              </w:r>
            </w:hyperlink>
            <w:r w:rsidRPr="7E32E97F">
              <w:rPr>
                <w:rFonts w:cs="Arial"/>
              </w:rPr>
              <w:t>)</w:t>
            </w:r>
            <w:bookmarkEnd w:id="288"/>
          </w:p>
        </w:tc>
        <w:tc>
          <w:tcPr>
            <w:tcW w:w="1872" w:type="dxa"/>
          </w:tcPr>
          <w:p w14:paraId="06B6D57A" w14:textId="0DD3E3D4" w:rsidR="007E7643" w:rsidRPr="00E4016A" w:rsidRDefault="7D35320E" w:rsidP="7E32E97F">
            <w:pPr>
              <w:autoSpaceDN/>
              <w:spacing w:after="0" w:line="260" w:lineRule="exact"/>
              <w:jc w:val="both"/>
              <w:rPr>
                <w:rFonts w:cs="Arial"/>
              </w:rPr>
            </w:pPr>
            <w:bookmarkStart w:id="289" w:name="_Toc90562342"/>
            <w:r w:rsidRPr="7E32E97F">
              <w:rPr>
                <w:rFonts w:cs="Arial"/>
              </w:rPr>
              <w:t>V</w:t>
            </w:r>
            <w:r w:rsidR="589AF387" w:rsidRPr="7E32E97F">
              <w:rPr>
                <w:rFonts w:cs="Arial"/>
              </w:rPr>
              <w:t>lada</w:t>
            </w:r>
            <w:bookmarkEnd w:id="289"/>
          </w:p>
        </w:tc>
        <w:tc>
          <w:tcPr>
            <w:tcW w:w="1814" w:type="dxa"/>
          </w:tcPr>
          <w:p w14:paraId="2F286916" w14:textId="77777777" w:rsidR="007E7643" w:rsidRPr="00E4016A" w:rsidRDefault="589AF387" w:rsidP="7E32E97F">
            <w:pPr>
              <w:autoSpaceDN/>
              <w:spacing w:after="0" w:line="260" w:lineRule="exact"/>
              <w:jc w:val="both"/>
              <w:rPr>
                <w:rFonts w:cs="Arial"/>
              </w:rPr>
            </w:pPr>
            <w:bookmarkStart w:id="290" w:name="_Toc90562343"/>
            <w:r w:rsidRPr="7E32E97F">
              <w:rPr>
                <w:rFonts w:cs="Arial"/>
              </w:rPr>
              <w:t>Priloga III Uredbe EU 2021/1060</w:t>
            </w:r>
            <w:bookmarkEnd w:id="290"/>
          </w:p>
        </w:tc>
      </w:tr>
      <w:tr w:rsidR="007E7643" w:rsidRPr="00E4016A" w14:paraId="4333EF6C" w14:textId="77777777" w:rsidTr="7E32E97F">
        <w:tc>
          <w:tcPr>
            <w:tcW w:w="4282" w:type="dxa"/>
          </w:tcPr>
          <w:p w14:paraId="0657DB1E" w14:textId="77777777" w:rsidR="007E7643" w:rsidRPr="00E4016A" w:rsidRDefault="589AF387" w:rsidP="7E32E97F">
            <w:pPr>
              <w:autoSpaceDN/>
              <w:spacing w:after="0" w:line="260" w:lineRule="exact"/>
              <w:jc w:val="both"/>
              <w:rPr>
                <w:rFonts w:cs="Arial"/>
              </w:rPr>
            </w:pPr>
            <w:bookmarkStart w:id="291" w:name="_Toc90562344"/>
            <w:r w:rsidRPr="7E32E97F">
              <w:rPr>
                <w:rFonts w:eastAsia="Calibri" w:cs="Arial"/>
              </w:rPr>
              <w:t xml:space="preserve">Orodja in zmogljivosti za </w:t>
            </w:r>
            <w:r w:rsidRPr="7E32E97F">
              <w:rPr>
                <w:rFonts w:cs="Arial"/>
              </w:rPr>
              <w:t>učinkovito</w:t>
            </w:r>
            <w:r w:rsidRPr="7E32E97F">
              <w:rPr>
                <w:rFonts w:eastAsia="Calibri" w:cs="Arial"/>
              </w:rPr>
              <w:t xml:space="preserve"> uporabo pravil o državni pomoči</w:t>
            </w:r>
            <w:bookmarkEnd w:id="291"/>
          </w:p>
        </w:tc>
        <w:tc>
          <w:tcPr>
            <w:tcW w:w="1955" w:type="dxa"/>
          </w:tcPr>
          <w:p w14:paraId="737DCCD6" w14:textId="77777777" w:rsidR="007E7643" w:rsidRPr="00E4016A" w:rsidRDefault="589AF387" w:rsidP="7E32E97F">
            <w:pPr>
              <w:autoSpaceDN/>
              <w:spacing w:after="0" w:line="260" w:lineRule="exact"/>
              <w:jc w:val="both"/>
              <w:rPr>
                <w:rFonts w:cs="Arial"/>
              </w:rPr>
            </w:pPr>
            <w:bookmarkStart w:id="292" w:name="_Toc90562345"/>
            <w:r w:rsidRPr="7E32E97F">
              <w:rPr>
                <w:rFonts w:cs="Arial"/>
              </w:rPr>
              <w:t>DA</w:t>
            </w:r>
            <w:bookmarkEnd w:id="292"/>
          </w:p>
        </w:tc>
        <w:tc>
          <w:tcPr>
            <w:tcW w:w="4678" w:type="dxa"/>
          </w:tcPr>
          <w:p w14:paraId="3C281DC3" w14:textId="77777777" w:rsidR="007E7643" w:rsidRPr="00E4016A" w:rsidRDefault="589AF387" w:rsidP="7E32E97F">
            <w:pPr>
              <w:autoSpaceDN/>
              <w:spacing w:after="0" w:line="260" w:lineRule="exact"/>
              <w:jc w:val="both"/>
              <w:rPr>
                <w:rFonts w:cs="Arial"/>
              </w:rPr>
            </w:pPr>
            <w:bookmarkStart w:id="293" w:name="_Toc90562346"/>
            <w:r w:rsidRPr="7E32E97F">
              <w:rPr>
                <w:rFonts w:cs="Arial"/>
              </w:rPr>
              <w:t>Zakon o spremljanju državnih pomoči, vodenje evidence poslovnih subjektov s strani AJPES</w:t>
            </w:r>
            <w:bookmarkEnd w:id="293"/>
          </w:p>
        </w:tc>
        <w:tc>
          <w:tcPr>
            <w:tcW w:w="1872" w:type="dxa"/>
          </w:tcPr>
          <w:p w14:paraId="6A0A8A98" w14:textId="3B02E6D5" w:rsidR="007E7643" w:rsidRPr="00E4016A" w:rsidRDefault="7D35320E" w:rsidP="7E32E97F">
            <w:pPr>
              <w:autoSpaceDN/>
              <w:spacing w:after="0" w:line="260" w:lineRule="exact"/>
              <w:jc w:val="both"/>
              <w:rPr>
                <w:rFonts w:cs="Arial"/>
              </w:rPr>
            </w:pPr>
            <w:bookmarkStart w:id="294" w:name="_Toc90562347"/>
            <w:r w:rsidRPr="7E32E97F">
              <w:rPr>
                <w:rFonts w:cs="Arial"/>
              </w:rPr>
              <w:t>V</w:t>
            </w:r>
            <w:r w:rsidR="589AF387" w:rsidRPr="7E32E97F">
              <w:rPr>
                <w:rFonts w:cs="Arial"/>
              </w:rPr>
              <w:t>lada</w:t>
            </w:r>
            <w:bookmarkEnd w:id="294"/>
          </w:p>
        </w:tc>
        <w:tc>
          <w:tcPr>
            <w:tcW w:w="1814" w:type="dxa"/>
          </w:tcPr>
          <w:p w14:paraId="3173D15F" w14:textId="77777777" w:rsidR="007E7643" w:rsidRPr="00E4016A" w:rsidRDefault="589AF387" w:rsidP="7E32E97F">
            <w:pPr>
              <w:autoSpaceDN/>
              <w:spacing w:after="0" w:line="260" w:lineRule="exact"/>
              <w:jc w:val="both"/>
              <w:rPr>
                <w:rFonts w:cs="Arial"/>
              </w:rPr>
            </w:pPr>
            <w:bookmarkStart w:id="295" w:name="_Toc90562348"/>
            <w:r w:rsidRPr="7E32E97F">
              <w:rPr>
                <w:rFonts w:cs="Arial"/>
              </w:rPr>
              <w:t>Priloga III Uredbe EU 2021/1060</w:t>
            </w:r>
            <w:bookmarkEnd w:id="295"/>
          </w:p>
        </w:tc>
      </w:tr>
      <w:tr w:rsidR="007E7643" w:rsidRPr="00E4016A" w14:paraId="02F38C3F" w14:textId="77777777" w:rsidTr="7E32E97F">
        <w:tc>
          <w:tcPr>
            <w:tcW w:w="4282" w:type="dxa"/>
          </w:tcPr>
          <w:p w14:paraId="3A74C7C5" w14:textId="77777777" w:rsidR="007E7643" w:rsidRPr="00E4016A" w:rsidRDefault="589AF387" w:rsidP="7E32E97F">
            <w:pPr>
              <w:autoSpaceDN/>
              <w:spacing w:after="0" w:line="260" w:lineRule="exact"/>
              <w:jc w:val="both"/>
              <w:rPr>
                <w:rFonts w:cs="Arial"/>
              </w:rPr>
            </w:pPr>
            <w:bookmarkStart w:id="296" w:name="_Toc90562349"/>
            <w:r w:rsidRPr="7E32E97F">
              <w:rPr>
                <w:rFonts w:eastAsia="Calibri" w:cs="Arial"/>
              </w:rPr>
              <w:t>Dejanska uporaba in izvajanje Listine o temeljnih pravicah</w:t>
            </w:r>
            <w:bookmarkEnd w:id="296"/>
          </w:p>
        </w:tc>
        <w:tc>
          <w:tcPr>
            <w:tcW w:w="1955" w:type="dxa"/>
          </w:tcPr>
          <w:p w14:paraId="2D20999F" w14:textId="77777777" w:rsidR="007E7643" w:rsidRPr="00E4016A" w:rsidRDefault="589AF387" w:rsidP="7E32E97F">
            <w:pPr>
              <w:autoSpaceDN/>
              <w:spacing w:after="0" w:line="260" w:lineRule="exact"/>
              <w:jc w:val="both"/>
              <w:rPr>
                <w:rFonts w:cs="Arial"/>
              </w:rPr>
            </w:pPr>
            <w:r w:rsidRPr="7E32E97F">
              <w:rPr>
                <w:rFonts w:cs="Arial"/>
              </w:rPr>
              <w:t>DA</w:t>
            </w:r>
          </w:p>
        </w:tc>
        <w:tc>
          <w:tcPr>
            <w:tcW w:w="4678" w:type="dxa"/>
          </w:tcPr>
          <w:p w14:paraId="56B2466C" w14:textId="77777777" w:rsidR="007E7643" w:rsidRPr="00E4016A" w:rsidRDefault="589AF387" w:rsidP="7E32E97F">
            <w:pPr>
              <w:autoSpaceDN/>
              <w:spacing w:after="0" w:line="260" w:lineRule="exact"/>
              <w:jc w:val="both"/>
              <w:rPr>
                <w:rFonts w:cs="Arial"/>
              </w:rPr>
            </w:pPr>
            <w:bookmarkStart w:id="297" w:name="_Toc90562351"/>
            <w:r w:rsidRPr="7E32E97F">
              <w:rPr>
                <w:rFonts w:cs="Arial"/>
              </w:rPr>
              <w:t>Vzpostavitev mehanizmov za zagotavljanje skladnosti programov z Listino EU v programskih dokumentih in poročanje odboru za spremljanje</w:t>
            </w:r>
            <w:bookmarkEnd w:id="297"/>
            <w:r w:rsidRPr="7E32E97F">
              <w:rPr>
                <w:rFonts w:cs="Arial"/>
              </w:rPr>
              <w:t xml:space="preserve"> (vključitev v uredbo, priprava Postopkovnika za zagotovitev izpolnitve horizontalnih omogočitvenih pogojev »Dejanska uporaba in izvajanje Listine Evropske unije o temeljnih pravicah« in »Izvajanje in uporaba Konvencije Združenih narodov o pravicah invalidov v skladu s Sklepom Sveta 2010/48/ES« idr.)</w:t>
            </w:r>
          </w:p>
        </w:tc>
        <w:tc>
          <w:tcPr>
            <w:tcW w:w="1872" w:type="dxa"/>
          </w:tcPr>
          <w:p w14:paraId="10447906" w14:textId="77777777" w:rsidR="007E7643" w:rsidRPr="00E4016A" w:rsidRDefault="589AF387" w:rsidP="7E32E97F">
            <w:pPr>
              <w:autoSpaceDN/>
              <w:spacing w:after="0" w:line="260" w:lineRule="exact"/>
              <w:jc w:val="both"/>
              <w:rPr>
                <w:rFonts w:cs="Arial"/>
              </w:rPr>
            </w:pPr>
            <w:r w:rsidRPr="7E32E97F">
              <w:rPr>
                <w:rFonts w:cs="Arial"/>
              </w:rPr>
              <w:t>MKRR</w:t>
            </w:r>
          </w:p>
          <w:p w14:paraId="2DE3A237" w14:textId="77777777" w:rsidR="007E7643" w:rsidRPr="00E4016A" w:rsidRDefault="007E7643" w:rsidP="7E32E97F">
            <w:pPr>
              <w:autoSpaceDN/>
              <w:spacing w:after="0" w:line="260" w:lineRule="exact"/>
              <w:jc w:val="both"/>
              <w:rPr>
                <w:rFonts w:cs="Arial"/>
              </w:rPr>
            </w:pPr>
          </w:p>
        </w:tc>
        <w:tc>
          <w:tcPr>
            <w:tcW w:w="1814" w:type="dxa"/>
          </w:tcPr>
          <w:p w14:paraId="10D2D2F4" w14:textId="77777777" w:rsidR="007E7643" w:rsidRPr="00E4016A" w:rsidRDefault="589AF387" w:rsidP="7E32E97F">
            <w:pPr>
              <w:autoSpaceDN/>
              <w:spacing w:after="0" w:line="260" w:lineRule="exact"/>
              <w:jc w:val="both"/>
              <w:rPr>
                <w:rFonts w:cs="Arial"/>
              </w:rPr>
            </w:pPr>
            <w:bookmarkStart w:id="298" w:name="_Toc90562354"/>
            <w:r w:rsidRPr="7E32E97F">
              <w:rPr>
                <w:rFonts w:cs="Arial"/>
              </w:rPr>
              <w:t>Priloga III Uredbe EU 2021/1060</w:t>
            </w:r>
            <w:bookmarkEnd w:id="298"/>
          </w:p>
        </w:tc>
      </w:tr>
      <w:tr w:rsidR="007E7643" w:rsidRPr="00E4016A" w14:paraId="451E40A0" w14:textId="77777777" w:rsidTr="7E32E97F">
        <w:tc>
          <w:tcPr>
            <w:tcW w:w="4282" w:type="dxa"/>
          </w:tcPr>
          <w:p w14:paraId="545809CD" w14:textId="77777777" w:rsidR="007E7643" w:rsidRPr="00E4016A" w:rsidRDefault="589AF387" w:rsidP="7E32E97F">
            <w:pPr>
              <w:autoSpaceDN/>
              <w:spacing w:after="0" w:line="260" w:lineRule="exact"/>
              <w:jc w:val="both"/>
              <w:rPr>
                <w:rFonts w:cs="Arial"/>
              </w:rPr>
            </w:pPr>
            <w:bookmarkStart w:id="299" w:name="_Toc90562355"/>
            <w:r w:rsidRPr="7E32E97F">
              <w:rPr>
                <w:rFonts w:eastAsia="Calibri" w:cs="Arial"/>
              </w:rPr>
              <w:t>Izvajanje in uporaba Konvencije Združenih narodov o pravicah invalidov v skladu s Sklepom Sveta 2010/48/ES</w:t>
            </w:r>
            <w:bookmarkEnd w:id="299"/>
          </w:p>
        </w:tc>
        <w:tc>
          <w:tcPr>
            <w:tcW w:w="1955" w:type="dxa"/>
          </w:tcPr>
          <w:p w14:paraId="507CF12A" w14:textId="77777777" w:rsidR="007E7643" w:rsidRPr="00E4016A" w:rsidRDefault="589AF387" w:rsidP="7E32E97F">
            <w:pPr>
              <w:autoSpaceDN/>
              <w:spacing w:after="0" w:line="260" w:lineRule="exact"/>
              <w:jc w:val="both"/>
              <w:rPr>
                <w:rFonts w:cs="Arial"/>
              </w:rPr>
            </w:pPr>
            <w:bookmarkStart w:id="300" w:name="_Toc90562356"/>
            <w:r w:rsidRPr="7E32E97F">
              <w:rPr>
                <w:rFonts w:cs="Arial"/>
              </w:rPr>
              <w:t>DA</w:t>
            </w:r>
            <w:bookmarkEnd w:id="300"/>
          </w:p>
        </w:tc>
        <w:tc>
          <w:tcPr>
            <w:tcW w:w="4678" w:type="dxa"/>
          </w:tcPr>
          <w:p w14:paraId="07D6D744" w14:textId="5F72C57A" w:rsidR="007E7643" w:rsidRPr="00E4016A" w:rsidRDefault="589AF387" w:rsidP="7E32E97F">
            <w:pPr>
              <w:autoSpaceDN/>
              <w:spacing w:after="0" w:line="260" w:lineRule="exact"/>
              <w:jc w:val="both"/>
              <w:rPr>
                <w:rFonts w:cs="Arial"/>
              </w:rPr>
            </w:pPr>
            <w:bookmarkStart w:id="301" w:name="_Toc90562357"/>
            <w:r w:rsidRPr="7E32E97F">
              <w:rPr>
                <w:rFonts w:cs="Arial"/>
              </w:rPr>
              <w:t>Akcijski program za invalide 2022–2030</w:t>
            </w:r>
            <w:bookmarkEnd w:id="301"/>
            <w:r w:rsidR="787CF399" w:rsidRPr="7E32E97F">
              <w:rPr>
                <w:rFonts w:cs="Arial"/>
              </w:rPr>
              <w:t xml:space="preserve">, </w:t>
            </w:r>
            <w:r w:rsidRPr="7E32E97F">
              <w:rPr>
                <w:rFonts w:cs="Arial"/>
              </w:rPr>
              <w:t>Postopkovnik za zagotovitev izpolnitve horizontalnih omogočitvenih pogojev »Dejanska uporaba in izvajanje Listine Evropske unije o temeljnih pravicah« in »Izvajanje in uporaba Konvencije Združenih narodov o pravicah invalidov v skladu s Sklepom Sveta 2010/48/ES«</w:t>
            </w:r>
          </w:p>
        </w:tc>
        <w:tc>
          <w:tcPr>
            <w:tcW w:w="1872" w:type="dxa"/>
          </w:tcPr>
          <w:p w14:paraId="580D028D" w14:textId="77777777" w:rsidR="007E7643" w:rsidRPr="00E4016A" w:rsidRDefault="589AF387" w:rsidP="7E32E97F">
            <w:pPr>
              <w:autoSpaceDN/>
              <w:spacing w:after="0" w:line="260" w:lineRule="exact"/>
              <w:jc w:val="both"/>
              <w:rPr>
                <w:rFonts w:cs="Arial"/>
              </w:rPr>
            </w:pPr>
            <w:bookmarkStart w:id="302" w:name="_Toc90562358"/>
            <w:r w:rsidRPr="7E32E97F">
              <w:rPr>
                <w:rFonts w:cs="Arial"/>
              </w:rPr>
              <w:t>Vlada</w:t>
            </w:r>
            <w:bookmarkEnd w:id="302"/>
          </w:p>
          <w:p w14:paraId="0627B391" w14:textId="77777777" w:rsidR="007E7643" w:rsidRPr="00E4016A" w:rsidRDefault="589AF387" w:rsidP="7E32E97F">
            <w:pPr>
              <w:autoSpaceDN/>
              <w:spacing w:after="0" w:line="260" w:lineRule="exact"/>
              <w:jc w:val="both"/>
              <w:rPr>
                <w:rFonts w:cs="Arial"/>
              </w:rPr>
            </w:pPr>
            <w:r w:rsidRPr="7E32E97F">
              <w:rPr>
                <w:rFonts w:cs="Arial"/>
              </w:rPr>
              <w:t>MKRR</w:t>
            </w:r>
          </w:p>
        </w:tc>
        <w:tc>
          <w:tcPr>
            <w:tcW w:w="1814" w:type="dxa"/>
          </w:tcPr>
          <w:p w14:paraId="3C207B12" w14:textId="77777777" w:rsidR="007E7643" w:rsidRPr="00E4016A" w:rsidRDefault="589AF387" w:rsidP="7E32E97F">
            <w:pPr>
              <w:autoSpaceDN/>
              <w:spacing w:after="0" w:line="260" w:lineRule="exact"/>
              <w:jc w:val="both"/>
              <w:rPr>
                <w:rFonts w:cs="Arial"/>
              </w:rPr>
            </w:pPr>
            <w:bookmarkStart w:id="303" w:name="_Toc90562359"/>
            <w:r w:rsidRPr="7E32E97F">
              <w:rPr>
                <w:rFonts w:cs="Arial"/>
              </w:rPr>
              <w:t>Priloga III Uredbe EU 2021/1060</w:t>
            </w:r>
            <w:bookmarkEnd w:id="303"/>
          </w:p>
        </w:tc>
      </w:tr>
    </w:tbl>
    <w:p w14:paraId="56815F42" w14:textId="77777777" w:rsidR="003151B4" w:rsidRDefault="003151B4" w:rsidP="7E32E97F">
      <w:pPr>
        <w:autoSpaceDN/>
        <w:spacing w:after="0" w:line="260" w:lineRule="exact"/>
        <w:jc w:val="both"/>
        <w:rPr>
          <w:rFonts w:eastAsia="Calibri" w:cs="Arial"/>
        </w:rPr>
        <w:sectPr w:rsidR="003151B4" w:rsidSect="0046697C">
          <w:headerReference w:type="even" r:id="rId34"/>
          <w:footerReference w:type="default" r:id="rId35"/>
          <w:headerReference w:type="first" r:id="rId36"/>
          <w:pgSz w:w="16838" w:h="11906" w:orient="landscape"/>
          <w:pgMar w:top="1134" w:right="1418" w:bottom="1418" w:left="851" w:header="708" w:footer="708" w:gutter="0"/>
          <w:cols w:space="708"/>
          <w:docGrid w:linePitch="272"/>
        </w:sect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955"/>
        <w:gridCol w:w="4678"/>
        <w:gridCol w:w="1872"/>
        <w:gridCol w:w="1814"/>
      </w:tblGrid>
      <w:tr w:rsidR="007E7643" w:rsidRPr="00E4016A" w14:paraId="198743FC" w14:textId="77777777" w:rsidTr="7E32E97F">
        <w:tc>
          <w:tcPr>
            <w:tcW w:w="4282" w:type="dxa"/>
          </w:tcPr>
          <w:p w14:paraId="34A200DC" w14:textId="77777777" w:rsidR="007E7643" w:rsidRPr="00E4016A" w:rsidRDefault="589AF387" w:rsidP="7E32E97F">
            <w:pPr>
              <w:autoSpaceDN/>
              <w:spacing w:after="0" w:line="260" w:lineRule="exact"/>
              <w:jc w:val="both"/>
              <w:rPr>
                <w:rFonts w:eastAsia="Calibri" w:cs="Arial"/>
              </w:rPr>
            </w:pPr>
            <w:r w:rsidRPr="7E32E97F">
              <w:rPr>
                <w:rFonts w:eastAsia="Calibri" w:cs="Arial"/>
              </w:rPr>
              <w:lastRenderedPageBreak/>
              <w:t>1.1 Dobro upravljanje nacionalne ali regionalne strategije pametne specializacije</w:t>
            </w:r>
          </w:p>
        </w:tc>
        <w:tc>
          <w:tcPr>
            <w:tcW w:w="1955" w:type="dxa"/>
          </w:tcPr>
          <w:p w14:paraId="4607BD61" w14:textId="77777777" w:rsidR="007E7643" w:rsidRPr="00E4016A" w:rsidRDefault="589AF387" w:rsidP="7E32E97F">
            <w:pPr>
              <w:autoSpaceDN/>
              <w:spacing w:after="0" w:line="260" w:lineRule="exact"/>
              <w:jc w:val="both"/>
              <w:rPr>
                <w:rFonts w:cs="Arial"/>
              </w:rPr>
            </w:pPr>
            <w:bookmarkStart w:id="304" w:name="_Toc90562360"/>
            <w:r w:rsidRPr="7E32E97F">
              <w:rPr>
                <w:rFonts w:cs="Arial"/>
              </w:rPr>
              <w:t>DA</w:t>
            </w:r>
            <w:bookmarkEnd w:id="304"/>
          </w:p>
        </w:tc>
        <w:tc>
          <w:tcPr>
            <w:tcW w:w="4678" w:type="dxa"/>
          </w:tcPr>
          <w:p w14:paraId="31F91AB1" w14:textId="77777777" w:rsidR="007E7643" w:rsidRPr="00E4016A" w:rsidRDefault="589AF387" w:rsidP="7E32E97F">
            <w:pPr>
              <w:autoSpaceDN/>
              <w:spacing w:after="0" w:line="260" w:lineRule="exact"/>
              <w:jc w:val="both"/>
              <w:rPr>
                <w:rFonts w:cs="Arial"/>
              </w:rPr>
            </w:pPr>
            <w:bookmarkStart w:id="305" w:name="_Toc90562361"/>
            <w:r w:rsidRPr="7E32E97F">
              <w:rPr>
                <w:rFonts w:cs="Arial"/>
              </w:rPr>
              <w:t>Strategija pametne specializacije</w:t>
            </w:r>
            <w:bookmarkEnd w:id="305"/>
            <w:r w:rsidRPr="7E32E97F">
              <w:rPr>
                <w:rFonts w:cs="Arial"/>
              </w:rPr>
              <w:t xml:space="preserve"> </w:t>
            </w:r>
          </w:p>
        </w:tc>
        <w:tc>
          <w:tcPr>
            <w:tcW w:w="1872" w:type="dxa"/>
          </w:tcPr>
          <w:p w14:paraId="3C81B3B8" w14:textId="77777777" w:rsidR="007E7643" w:rsidRPr="00E4016A" w:rsidRDefault="589AF387" w:rsidP="7E32E97F">
            <w:pPr>
              <w:autoSpaceDN/>
              <w:spacing w:after="0" w:line="260" w:lineRule="exact"/>
              <w:jc w:val="both"/>
              <w:rPr>
                <w:rFonts w:cs="Arial"/>
              </w:rPr>
            </w:pPr>
            <w:r w:rsidRPr="7E32E97F">
              <w:rPr>
                <w:rFonts w:cs="Arial"/>
              </w:rPr>
              <w:t>ožja skupina državnih sekretarjev pristojnih za kohezijsko politiko, znanost, inovacije, gospodarstvo in digitalno preobrazbo</w:t>
            </w:r>
          </w:p>
          <w:p w14:paraId="56D87541" w14:textId="77777777" w:rsidR="007E7643" w:rsidRPr="00E4016A" w:rsidRDefault="007E7643" w:rsidP="7E32E97F">
            <w:pPr>
              <w:autoSpaceDN/>
              <w:spacing w:after="0" w:line="260" w:lineRule="exact"/>
              <w:jc w:val="both"/>
              <w:rPr>
                <w:rFonts w:cs="Arial"/>
              </w:rPr>
            </w:pPr>
          </w:p>
        </w:tc>
        <w:tc>
          <w:tcPr>
            <w:tcW w:w="1814" w:type="dxa"/>
          </w:tcPr>
          <w:p w14:paraId="49172F88" w14:textId="77777777" w:rsidR="007E7643" w:rsidRPr="00E4016A" w:rsidRDefault="589AF387" w:rsidP="7E32E97F">
            <w:pPr>
              <w:autoSpaceDN/>
              <w:spacing w:after="0" w:line="260" w:lineRule="exact"/>
              <w:jc w:val="both"/>
              <w:rPr>
                <w:rFonts w:cs="Arial"/>
              </w:rPr>
            </w:pPr>
            <w:bookmarkStart w:id="306" w:name="_Toc90562364"/>
            <w:r w:rsidRPr="7E32E97F">
              <w:rPr>
                <w:rFonts w:cs="Arial"/>
              </w:rPr>
              <w:t>Priloga IV Uredbe EU 2021/1060</w:t>
            </w:r>
            <w:bookmarkEnd w:id="306"/>
          </w:p>
        </w:tc>
      </w:tr>
      <w:tr w:rsidR="007E7643" w:rsidRPr="00E4016A" w14:paraId="3E4B7F1C" w14:textId="77777777" w:rsidTr="7E32E97F">
        <w:tc>
          <w:tcPr>
            <w:tcW w:w="4282" w:type="dxa"/>
          </w:tcPr>
          <w:p w14:paraId="7547CA46" w14:textId="77777777" w:rsidR="007E7643" w:rsidRPr="00E4016A" w:rsidRDefault="589AF387" w:rsidP="7E32E97F">
            <w:pPr>
              <w:autoSpaceDN/>
              <w:spacing w:after="0" w:line="260" w:lineRule="exact"/>
              <w:jc w:val="both"/>
              <w:rPr>
                <w:rFonts w:cs="Arial"/>
              </w:rPr>
            </w:pPr>
            <w:bookmarkStart w:id="307" w:name="_Toc90562365"/>
            <w:r w:rsidRPr="7E32E97F">
              <w:rPr>
                <w:rFonts w:cs="Arial"/>
              </w:rPr>
              <w:t>1.2 Nacionalni ali regionalni načrt za širokopasovna omrežja</w:t>
            </w:r>
            <w:bookmarkEnd w:id="307"/>
          </w:p>
        </w:tc>
        <w:tc>
          <w:tcPr>
            <w:tcW w:w="1955" w:type="dxa"/>
          </w:tcPr>
          <w:p w14:paraId="5E27D451" w14:textId="77777777" w:rsidR="007E7643" w:rsidRPr="00E4016A" w:rsidRDefault="589AF387" w:rsidP="7E32E97F">
            <w:pPr>
              <w:autoSpaceDN/>
              <w:spacing w:after="0" w:line="260" w:lineRule="exact"/>
              <w:jc w:val="both"/>
              <w:rPr>
                <w:rFonts w:cs="Arial"/>
              </w:rPr>
            </w:pPr>
            <w:r w:rsidRPr="7E32E97F">
              <w:rPr>
                <w:rFonts w:cs="Arial"/>
              </w:rPr>
              <w:t>DA</w:t>
            </w:r>
          </w:p>
        </w:tc>
        <w:tc>
          <w:tcPr>
            <w:tcW w:w="4678" w:type="dxa"/>
          </w:tcPr>
          <w:p w14:paraId="39090F0D" w14:textId="77777777" w:rsidR="007E7643" w:rsidRPr="00E4016A" w:rsidRDefault="589AF387" w:rsidP="7E32E97F">
            <w:pPr>
              <w:autoSpaceDN/>
              <w:spacing w:after="0" w:line="260" w:lineRule="exact"/>
              <w:jc w:val="both"/>
              <w:rPr>
                <w:rFonts w:cs="Arial"/>
              </w:rPr>
            </w:pPr>
            <w:r w:rsidRPr="7E32E97F">
              <w:rPr>
                <w:rFonts w:cs="Arial"/>
              </w:rPr>
              <w:t>Načrt razvoja gigabitne infrastrukture do leta 2030</w:t>
            </w:r>
          </w:p>
        </w:tc>
        <w:tc>
          <w:tcPr>
            <w:tcW w:w="1872" w:type="dxa"/>
          </w:tcPr>
          <w:p w14:paraId="2B934795" w14:textId="41ABFE2D" w:rsidR="007E7643" w:rsidRPr="00E4016A" w:rsidRDefault="7D35320E" w:rsidP="7E32E97F">
            <w:pPr>
              <w:autoSpaceDN/>
              <w:spacing w:after="0" w:line="260" w:lineRule="exact"/>
              <w:jc w:val="both"/>
              <w:rPr>
                <w:rFonts w:cs="Arial"/>
              </w:rPr>
            </w:pPr>
            <w:bookmarkStart w:id="308" w:name="_Toc90562368"/>
            <w:r w:rsidRPr="7E32E97F">
              <w:rPr>
                <w:rFonts w:cs="Arial"/>
              </w:rPr>
              <w:t>V</w:t>
            </w:r>
            <w:r w:rsidR="589AF387" w:rsidRPr="7E32E97F">
              <w:rPr>
                <w:rFonts w:cs="Arial"/>
              </w:rPr>
              <w:t>lada</w:t>
            </w:r>
            <w:bookmarkEnd w:id="308"/>
          </w:p>
          <w:p w14:paraId="4C2DDB25" w14:textId="77777777" w:rsidR="007E7643" w:rsidRPr="00E4016A" w:rsidRDefault="007E7643" w:rsidP="7E32E97F">
            <w:pPr>
              <w:autoSpaceDN/>
              <w:spacing w:after="0" w:line="260" w:lineRule="exact"/>
              <w:jc w:val="both"/>
              <w:rPr>
                <w:rFonts w:cs="Arial"/>
              </w:rPr>
            </w:pPr>
          </w:p>
        </w:tc>
        <w:tc>
          <w:tcPr>
            <w:tcW w:w="1814" w:type="dxa"/>
          </w:tcPr>
          <w:p w14:paraId="163D073D" w14:textId="77777777" w:rsidR="007E7643" w:rsidRPr="00E4016A" w:rsidRDefault="589AF387" w:rsidP="7E32E97F">
            <w:pPr>
              <w:autoSpaceDN/>
              <w:spacing w:after="0" w:line="260" w:lineRule="exact"/>
              <w:jc w:val="both"/>
              <w:rPr>
                <w:rFonts w:cs="Arial"/>
              </w:rPr>
            </w:pPr>
            <w:bookmarkStart w:id="309" w:name="_Toc90562370"/>
            <w:r w:rsidRPr="7E32E97F">
              <w:rPr>
                <w:rFonts w:cs="Arial"/>
              </w:rPr>
              <w:t>Priloga IV Uredbe EU 2021/1060</w:t>
            </w:r>
            <w:bookmarkEnd w:id="309"/>
          </w:p>
        </w:tc>
      </w:tr>
      <w:tr w:rsidR="007E7643" w:rsidRPr="00E4016A" w14:paraId="17F517EE" w14:textId="77777777" w:rsidTr="7E32E97F">
        <w:tc>
          <w:tcPr>
            <w:tcW w:w="4282" w:type="dxa"/>
          </w:tcPr>
          <w:p w14:paraId="5DF9844E" w14:textId="082315B4" w:rsidR="007E7643" w:rsidRPr="00E4016A" w:rsidRDefault="589AF387" w:rsidP="7E32E97F">
            <w:pPr>
              <w:autoSpaceDN/>
              <w:spacing w:after="0" w:line="260" w:lineRule="exact"/>
              <w:jc w:val="both"/>
              <w:rPr>
                <w:rFonts w:cs="Arial"/>
              </w:rPr>
            </w:pPr>
            <w:bookmarkStart w:id="310" w:name="_Toc90562371"/>
            <w:r w:rsidRPr="7E32E97F">
              <w:rPr>
                <w:rFonts w:cs="Arial"/>
              </w:rPr>
              <w:t>2.1 Strateški okvir politike za podporo prenove za večjo</w:t>
            </w:r>
            <w:bookmarkEnd w:id="310"/>
            <w:r w:rsidR="5B0F61F7" w:rsidRPr="7E32E97F">
              <w:rPr>
                <w:rFonts w:cs="Arial"/>
              </w:rPr>
              <w:t xml:space="preserve"> </w:t>
            </w:r>
            <w:bookmarkStart w:id="311" w:name="_Toc90562372"/>
            <w:r w:rsidRPr="7E32E97F">
              <w:rPr>
                <w:rFonts w:cs="Arial"/>
              </w:rPr>
              <w:t>energetsko učinkovitost stanovanjskih in nestanovanjskih stavb</w:t>
            </w:r>
            <w:bookmarkEnd w:id="311"/>
          </w:p>
        </w:tc>
        <w:tc>
          <w:tcPr>
            <w:tcW w:w="1955" w:type="dxa"/>
          </w:tcPr>
          <w:p w14:paraId="48558DE9" w14:textId="77777777" w:rsidR="007E7643" w:rsidRPr="00E4016A" w:rsidRDefault="589AF387" w:rsidP="7E32E97F">
            <w:pPr>
              <w:autoSpaceDN/>
              <w:spacing w:after="0" w:line="260" w:lineRule="exact"/>
              <w:jc w:val="both"/>
              <w:rPr>
                <w:rFonts w:cs="Arial"/>
              </w:rPr>
            </w:pPr>
            <w:r w:rsidRPr="7E32E97F">
              <w:rPr>
                <w:rFonts w:cs="Arial"/>
              </w:rPr>
              <w:t>DA</w:t>
            </w:r>
          </w:p>
        </w:tc>
        <w:tc>
          <w:tcPr>
            <w:tcW w:w="4678" w:type="dxa"/>
          </w:tcPr>
          <w:p w14:paraId="1531FADD" w14:textId="77777777" w:rsidR="007E7643" w:rsidRPr="00E4016A" w:rsidRDefault="589AF387" w:rsidP="7E32E97F">
            <w:pPr>
              <w:autoSpaceDN/>
              <w:spacing w:after="0" w:line="260" w:lineRule="exact"/>
              <w:jc w:val="both"/>
              <w:rPr>
                <w:rFonts w:cs="Arial"/>
              </w:rPr>
            </w:pPr>
            <w:bookmarkStart w:id="312" w:name="_Toc90562374"/>
            <w:r w:rsidRPr="7E32E97F">
              <w:rPr>
                <w:rFonts w:cs="Arial"/>
              </w:rPr>
              <w:t>Dolgoročna strategija energetske prenove stavb do leta 2050</w:t>
            </w:r>
            <w:bookmarkEnd w:id="312"/>
          </w:p>
        </w:tc>
        <w:tc>
          <w:tcPr>
            <w:tcW w:w="1872" w:type="dxa"/>
          </w:tcPr>
          <w:p w14:paraId="0860A896" w14:textId="77777777" w:rsidR="00CE10A1" w:rsidRPr="00E4016A" w:rsidRDefault="7D35320E" w:rsidP="7E32E97F">
            <w:pPr>
              <w:autoSpaceDN/>
              <w:spacing w:after="0" w:line="260" w:lineRule="exact"/>
              <w:jc w:val="both"/>
              <w:rPr>
                <w:rFonts w:cs="Arial"/>
              </w:rPr>
            </w:pPr>
            <w:r w:rsidRPr="7E32E97F">
              <w:rPr>
                <w:rFonts w:cs="Arial"/>
              </w:rPr>
              <w:t>Vlada</w:t>
            </w:r>
          </w:p>
          <w:p w14:paraId="3971B43F" w14:textId="6583B26B" w:rsidR="007E7643" w:rsidRPr="00E4016A" w:rsidRDefault="007E7643" w:rsidP="7E32E97F">
            <w:pPr>
              <w:autoSpaceDN/>
              <w:spacing w:after="0" w:line="260" w:lineRule="exact"/>
              <w:jc w:val="both"/>
              <w:rPr>
                <w:rFonts w:cs="Arial"/>
              </w:rPr>
            </w:pPr>
          </w:p>
        </w:tc>
        <w:tc>
          <w:tcPr>
            <w:tcW w:w="1814" w:type="dxa"/>
          </w:tcPr>
          <w:p w14:paraId="5A1CA50F" w14:textId="77777777" w:rsidR="007E7643" w:rsidRPr="00E4016A" w:rsidRDefault="589AF387" w:rsidP="7E32E97F">
            <w:pPr>
              <w:autoSpaceDN/>
              <w:spacing w:after="0" w:line="260" w:lineRule="exact"/>
              <w:jc w:val="both"/>
              <w:rPr>
                <w:rFonts w:cs="Arial"/>
              </w:rPr>
            </w:pPr>
            <w:bookmarkStart w:id="313" w:name="_Toc90562376"/>
            <w:r w:rsidRPr="7E32E97F">
              <w:rPr>
                <w:rFonts w:cs="Arial"/>
              </w:rPr>
              <w:t>Priloga IV Uredbe EU 2021/1060</w:t>
            </w:r>
            <w:bookmarkEnd w:id="313"/>
          </w:p>
        </w:tc>
      </w:tr>
      <w:tr w:rsidR="007E7643" w:rsidRPr="00E4016A" w14:paraId="6C4FC595" w14:textId="77777777" w:rsidTr="7E32E97F">
        <w:tc>
          <w:tcPr>
            <w:tcW w:w="4282" w:type="dxa"/>
          </w:tcPr>
          <w:p w14:paraId="30A3B305" w14:textId="77777777" w:rsidR="007E7643" w:rsidRPr="00E4016A" w:rsidRDefault="589AF387" w:rsidP="7E32E97F">
            <w:pPr>
              <w:autoSpaceDN/>
              <w:spacing w:after="0" w:line="260" w:lineRule="exact"/>
              <w:jc w:val="both"/>
              <w:rPr>
                <w:rFonts w:eastAsia="Calibri" w:cs="Arial"/>
              </w:rPr>
            </w:pPr>
            <w:r w:rsidRPr="7E32E97F">
              <w:rPr>
                <w:rFonts w:eastAsia="Calibri" w:cs="Arial"/>
              </w:rPr>
              <w:t>2.2 Upravljanje Energetskega sektorja</w:t>
            </w:r>
          </w:p>
        </w:tc>
        <w:tc>
          <w:tcPr>
            <w:tcW w:w="1955" w:type="dxa"/>
          </w:tcPr>
          <w:p w14:paraId="13178B14" w14:textId="77777777" w:rsidR="007E7643" w:rsidRPr="00E4016A" w:rsidRDefault="589AF387" w:rsidP="7E32E97F">
            <w:pPr>
              <w:autoSpaceDN/>
              <w:spacing w:after="0" w:line="260" w:lineRule="exact"/>
              <w:jc w:val="both"/>
              <w:rPr>
                <w:rFonts w:cs="Arial"/>
              </w:rPr>
            </w:pPr>
            <w:bookmarkStart w:id="314" w:name="_Toc90562377"/>
            <w:r w:rsidRPr="7E32E97F">
              <w:rPr>
                <w:rFonts w:cs="Arial"/>
              </w:rPr>
              <w:t>DA</w:t>
            </w:r>
            <w:bookmarkEnd w:id="314"/>
          </w:p>
        </w:tc>
        <w:tc>
          <w:tcPr>
            <w:tcW w:w="4678" w:type="dxa"/>
          </w:tcPr>
          <w:p w14:paraId="093F43F4" w14:textId="77777777" w:rsidR="007E7643" w:rsidRPr="00E4016A" w:rsidRDefault="589AF387" w:rsidP="7E32E97F">
            <w:pPr>
              <w:autoSpaceDN/>
              <w:spacing w:after="0" w:line="260" w:lineRule="exact"/>
              <w:jc w:val="both"/>
              <w:rPr>
                <w:rFonts w:cs="Arial"/>
              </w:rPr>
            </w:pPr>
            <w:bookmarkStart w:id="315" w:name="_Toc90562378"/>
            <w:r w:rsidRPr="7E32E97F">
              <w:rPr>
                <w:rFonts w:cs="Arial"/>
              </w:rPr>
              <w:t>Celovit nacionalni energetski in podnebni načrt</w:t>
            </w:r>
            <w:bookmarkEnd w:id="315"/>
          </w:p>
        </w:tc>
        <w:tc>
          <w:tcPr>
            <w:tcW w:w="1872" w:type="dxa"/>
          </w:tcPr>
          <w:p w14:paraId="79A14519" w14:textId="77777777" w:rsidR="00CE10A1" w:rsidRPr="00E4016A" w:rsidRDefault="7D35320E" w:rsidP="7E32E97F">
            <w:pPr>
              <w:autoSpaceDN/>
              <w:spacing w:after="0" w:line="260" w:lineRule="exact"/>
              <w:jc w:val="both"/>
              <w:rPr>
                <w:rFonts w:cs="Arial"/>
              </w:rPr>
            </w:pPr>
            <w:r w:rsidRPr="7E32E97F">
              <w:rPr>
                <w:rFonts w:cs="Arial"/>
              </w:rPr>
              <w:t>Vlada</w:t>
            </w:r>
          </w:p>
          <w:p w14:paraId="5B1E9845" w14:textId="7F3043AD" w:rsidR="007E7643" w:rsidRPr="00E4016A" w:rsidRDefault="007E7643" w:rsidP="7E32E97F">
            <w:pPr>
              <w:autoSpaceDN/>
              <w:spacing w:after="0" w:line="260" w:lineRule="exact"/>
              <w:jc w:val="both"/>
              <w:rPr>
                <w:rFonts w:cs="Arial"/>
              </w:rPr>
            </w:pPr>
          </w:p>
        </w:tc>
        <w:tc>
          <w:tcPr>
            <w:tcW w:w="1814" w:type="dxa"/>
          </w:tcPr>
          <w:p w14:paraId="3FC4647C" w14:textId="77777777" w:rsidR="007E7643" w:rsidRPr="00E4016A" w:rsidRDefault="589AF387" w:rsidP="7E32E97F">
            <w:pPr>
              <w:autoSpaceDN/>
              <w:spacing w:after="0" w:line="260" w:lineRule="exact"/>
              <w:jc w:val="both"/>
              <w:rPr>
                <w:rFonts w:cs="Arial"/>
              </w:rPr>
            </w:pPr>
            <w:bookmarkStart w:id="316" w:name="_Toc90562380"/>
            <w:r w:rsidRPr="7E32E97F">
              <w:rPr>
                <w:rFonts w:cs="Arial"/>
              </w:rPr>
              <w:t>Priloga IV Uredbe EU 2021/1060</w:t>
            </w:r>
            <w:bookmarkEnd w:id="316"/>
          </w:p>
        </w:tc>
      </w:tr>
      <w:tr w:rsidR="007E7643" w:rsidRPr="00E4016A" w14:paraId="0E141496" w14:textId="77777777" w:rsidTr="7E32E97F">
        <w:tc>
          <w:tcPr>
            <w:tcW w:w="4282" w:type="dxa"/>
          </w:tcPr>
          <w:p w14:paraId="4B5BCB7B" w14:textId="77777777" w:rsidR="007E7643" w:rsidRPr="00E4016A" w:rsidRDefault="589AF387" w:rsidP="7E32E97F">
            <w:pPr>
              <w:autoSpaceDN/>
              <w:spacing w:after="0" w:line="260" w:lineRule="exact"/>
              <w:jc w:val="both"/>
              <w:rPr>
                <w:rFonts w:cs="Arial"/>
              </w:rPr>
            </w:pPr>
            <w:bookmarkStart w:id="317" w:name="_Toc90562381"/>
            <w:r w:rsidRPr="7E32E97F">
              <w:rPr>
                <w:rFonts w:cs="Arial"/>
              </w:rPr>
              <w:t>2.3 Učinkovito spodbujanje uporabe energije iz obnovljivih virov v vseh sektorjih in v vsej Uniji</w:t>
            </w:r>
            <w:bookmarkEnd w:id="317"/>
          </w:p>
        </w:tc>
        <w:tc>
          <w:tcPr>
            <w:tcW w:w="1955" w:type="dxa"/>
          </w:tcPr>
          <w:p w14:paraId="1B9A0C52" w14:textId="77777777" w:rsidR="007E7643" w:rsidRPr="00E4016A" w:rsidRDefault="589AF387" w:rsidP="7E32E97F">
            <w:pPr>
              <w:autoSpaceDN/>
              <w:spacing w:after="0" w:line="260" w:lineRule="exact"/>
              <w:jc w:val="both"/>
              <w:rPr>
                <w:rFonts w:cs="Arial"/>
              </w:rPr>
            </w:pPr>
            <w:bookmarkStart w:id="318" w:name="_Toc90562382"/>
            <w:r w:rsidRPr="7E32E97F">
              <w:rPr>
                <w:rFonts w:cs="Arial"/>
              </w:rPr>
              <w:t>DA</w:t>
            </w:r>
            <w:bookmarkEnd w:id="318"/>
          </w:p>
        </w:tc>
        <w:tc>
          <w:tcPr>
            <w:tcW w:w="4678" w:type="dxa"/>
          </w:tcPr>
          <w:p w14:paraId="7FD76912" w14:textId="77777777" w:rsidR="007E7643" w:rsidRPr="00E4016A" w:rsidRDefault="589AF387" w:rsidP="7E32E97F">
            <w:pPr>
              <w:autoSpaceDN/>
              <w:spacing w:after="0" w:line="260" w:lineRule="exact"/>
              <w:jc w:val="both"/>
              <w:rPr>
                <w:rFonts w:cs="Arial"/>
              </w:rPr>
            </w:pPr>
            <w:bookmarkStart w:id="319" w:name="_Toc90562383"/>
            <w:r w:rsidRPr="7E32E97F">
              <w:rPr>
                <w:rFonts w:cs="Arial"/>
              </w:rPr>
              <w:t>Merila upoštevana pri pripravi Celovitega nacionalnega energetskega in podnebnega načrta</w:t>
            </w:r>
            <w:bookmarkEnd w:id="319"/>
          </w:p>
        </w:tc>
        <w:tc>
          <w:tcPr>
            <w:tcW w:w="1872" w:type="dxa"/>
          </w:tcPr>
          <w:p w14:paraId="73403E7E" w14:textId="77777777" w:rsidR="00CE10A1" w:rsidRPr="00E4016A" w:rsidRDefault="7D35320E" w:rsidP="7E32E97F">
            <w:pPr>
              <w:autoSpaceDN/>
              <w:spacing w:after="0" w:line="260" w:lineRule="exact"/>
              <w:jc w:val="both"/>
              <w:rPr>
                <w:rFonts w:cs="Arial"/>
              </w:rPr>
            </w:pPr>
            <w:r w:rsidRPr="7E32E97F">
              <w:rPr>
                <w:rFonts w:cs="Arial"/>
              </w:rPr>
              <w:t>Vlada</w:t>
            </w:r>
          </w:p>
          <w:p w14:paraId="05E6DC17" w14:textId="3AE4B6A9" w:rsidR="007E7643" w:rsidRPr="00E4016A" w:rsidRDefault="007E7643" w:rsidP="7E32E97F">
            <w:pPr>
              <w:autoSpaceDN/>
              <w:spacing w:after="0" w:line="260" w:lineRule="exact"/>
              <w:jc w:val="both"/>
              <w:rPr>
                <w:rFonts w:cs="Arial"/>
              </w:rPr>
            </w:pPr>
          </w:p>
        </w:tc>
        <w:tc>
          <w:tcPr>
            <w:tcW w:w="1814" w:type="dxa"/>
          </w:tcPr>
          <w:p w14:paraId="04961E46" w14:textId="77777777" w:rsidR="007E7643" w:rsidRPr="00E4016A" w:rsidRDefault="589AF387" w:rsidP="7E32E97F">
            <w:pPr>
              <w:autoSpaceDN/>
              <w:spacing w:after="0" w:line="260" w:lineRule="exact"/>
              <w:jc w:val="both"/>
              <w:rPr>
                <w:rFonts w:cs="Arial"/>
              </w:rPr>
            </w:pPr>
            <w:bookmarkStart w:id="320" w:name="_Toc90562385"/>
            <w:r w:rsidRPr="7E32E97F">
              <w:rPr>
                <w:rFonts w:cs="Arial"/>
              </w:rPr>
              <w:t>Priloga IV Uredbe EU 2021/1060</w:t>
            </w:r>
            <w:bookmarkEnd w:id="320"/>
          </w:p>
        </w:tc>
      </w:tr>
      <w:tr w:rsidR="007E7643" w:rsidRPr="00E4016A" w14:paraId="2BB0EA02" w14:textId="77777777" w:rsidTr="7E32E97F">
        <w:tc>
          <w:tcPr>
            <w:tcW w:w="4282" w:type="dxa"/>
          </w:tcPr>
          <w:p w14:paraId="336677F7" w14:textId="77777777" w:rsidR="007E7643" w:rsidRPr="00E4016A" w:rsidRDefault="589AF387" w:rsidP="7E32E97F">
            <w:pPr>
              <w:autoSpaceDN/>
              <w:spacing w:after="0" w:line="260" w:lineRule="exact"/>
              <w:jc w:val="both"/>
              <w:rPr>
                <w:rFonts w:cs="Arial"/>
              </w:rPr>
            </w:pPr>
            <w:bookmarkStart w:id="321" w:name="_Toc90562386"/>
            <w:r w:rsidRPr="7E32E97F">
              <w:rPr>
                <w:rFonts w:cs="Arial"/>
              </w:rPr>
              <w:t>2.4 Učinkovit okvir za obvladovanje tveganja nesreč</w:t>
            </w:r>
            <w:bookmarkEnd w:id="321"/>
          </w:p>
        </w:tc>
        <w:tc>
          <w:tcPr>
            <w:tcW w:w="1955" w:type="dxa"/>
          </w:tcPr>
          <w:p w14:paraId="7D14FE6B" w14:textId="77777777" w:rsidR="007E7643" w:rsidRPr="00E4016A" w:rsidRDefault="589AF387" w:rsidP="7E32E97F">
            <w:pPr>
              <w:autoSpaceDN/>
              <w:spacing w:after="0" w:line="260" w:lineRule="exact"/>
              <w:jc w:val="both"/>
              <w:rPr>
                <w:rFonts w:cs="Arial"/>
              </w:rPr>
            </w:pPr>
            <w:bookmarkStart w:id="322" w:name="_Toc90562387"/>
            <w:r w:rsidRPr="7E32E97F">
              <w:rPr>
                <w:rFonts w:cs="Arial"/>
              </w:rPr>
              <w:t>DA</w:t>
            </w:r>
            <w:bookmarkEnd w:id="322"/>
          </w:p>
        </w:tc>
        <w:tc>
          <w:tcPr>
            <w:tcW w:w="4678" w:type="dxa"/>
          </w:tcPr>
          <w:p w14:paraId="297137D9" w14:textId="77777777" w:rsidR="007E7643" w:rsidRPr="00E4016A" w:rsidRDefault="589AF387" w:rsidP="7E32E97F">
            <w:pPr>
              <w:autoSpaceDN/>
              <w:spacing w:after="0" w:line="260" w:lineRule="exact"/>
              <w:jc w:val="both"/>
              <w:rPr>
                <w:rFonts w:cs="Arial"/>
              </w:rPr>
            </w:pPr>
            <w:bookmarkStart w:id="323" w:name="_Toc90562388"/>
            <w:r w:rsidRPr="7E32E97F">
              <w:rPr>
                <w:rFonts w:cs="Arial"/>
              </w:rPr>
              <w:t>Resolucija o nacionalnem programu varstva pred naravnimi in drugimi nesrečami 2016–2022, sledila bo 2022–2028/2030, Državna ocena tveganj</w:t>
            </w:r>
            <w:bookmarkEnd w:id="323"/>
          </w:p>
        </w:tc>
        <w:tc>
          <w:tcPr>
            <w:tcW w:w="1872" w:type="dxa"/>
          </w:tcPr>
          <w:p w14:paraId="5DDC9992" w14:textId="77777777" w:rsidR="00CE10A1" w:rsidRPr="00E4016A" w:rsidRDefault="7D35320E" w:rsidP="7E32E97F">
            <w:pPr>
              <w:autoSpaceDN/>
              <w:spacing w:after="0" w:line="260" w:lineRule="exact"/>
              <w:jc w:val="both"/>
              <w:rPr>
                <w:rFonts w:cs="Arial"/>
              </w:rPr>
            </w:pPr>
            <w:r w:rsidRPr="7E32E97F">
              <w:rPr>
                <w:rFonts w:cs="Arial"/>
              </w:rPr>
              <w:t>Vlada</w:t>
            </w:r>
          </w:p>
          <w:p w14:paraId="777845BD" w14:textId="02AA6475" w:rsidR="007E7643" w:rsidRPr="00E4016A" w:rsidRDefault="007E7643" w:rsidP="7E32E97F">
            <w:pPr>
              <w:autoSpaceDN/>
              <w:spacing w:after="0" w:line="260" w:lineRule="exact"/>
              <w:jc w:val="both"/>
              <w:rPr>
                <w:rFonts w:cs="Arial"/>
              </w:rPr>
            </w:pPr>
          </w:p>
        </w:tc>
        <w:tc>
          <w:tcPr>
            <w:tcW w:w="1814" w:type="dxa"/>
          </w:tcPr>
          <w:p w14:paraId="5C184F8E" w14:textId="77777777" w:rsidR="007E7643" w:rsidRPr="00E4016A" w:rsidRDefault="589AF387" w:rsidP="7E32E97F">
            <w:pPr>
              <w:autoSpaceDN/>
              <w:spacing w:after="0" w:line="260" w:lineRule="exact"/>
              <w:jc w:val="both"/>
              <w:rPr>
                <w:rFonts w:cs="Arial"/>
              </w:rPr>
            </w:pPr>
            <w:bookmarkStart w:id="324" w:name="_Toc90562390"/>
            <w:r w:rsidRPr="7E32E97F">
              <w:rPr>
                <w:rFonts w:cs="Arial"/>
              </w:rPr>
              <w:t>Priloga IV Uredbe EU 2021/1060</w:t>
            </w:r>
            <w:bookmarkEnd w:id="324"/>
          </w:p>
        </w:tc>
      </w:tr>
      <w:tr w:rsidR="007E7643" w:rsidRPr="00E4016A" w14:paraId="4CA98360" w14:textId="77777777" w:rsidTr="7E32E97F">
        <w:trPr>
          <w:trHeight w:val="541"/>
        </w:trPr>
        <w:tc>
          <w:tcPr>
            <w:tcW w:w="4282" w:type="dxa"/>
          </w:tcPr>
          <w:p w14:paraId="3D0E0606" w14:textId="77777777" w:rsidR="007E7643" w:rsidRPr="00E4016A" w:rsidRDefault="589AF387" w:rsidP="7E32E97F">
            <w:pPr>
              <w:autoSpaceDN/>
              <w:spacing w:after="0" w:line="260" w:lineRule="exact"/>
              <w:jc w:val="both"/>
              <w:rPr>
                <w:rFonts w:cs="Arial"/>
              </w:rPr>
            </w:pPr>
            <w:bookmarkStart w:id="325" w:name="_Toc90562391"/>
            <w:r w:rsidRPr="7E32E97F">
              <w:rPr>
                <w:rFonts w:cs="Arial"/>
              </w:rPr>
              <w:t>2.5 Posodobljeno načrtovanje potrebnih naložb v vodnem sektorju in sektorju odpadne vode</w:t>
            </w:r>
            <w:bookmarkEnd w:id="325"/>
          </w:p>
        </w:tc>
        <w:tc>
          <w:tcPr>
            <w:tcW w:w="1955" w:type="dxa"/>
          </w:tcPr>
          <w:p w14:paraId="5E09EFF7" w14:textId="20D62E93" w:rsidR="007E7643" w:rsidRPr="00E4016A" w:rsidRDefault="19889503" w:rsidP="29AE0A51">
            <w:pPr>
              <w:autoSpaceDN/>
              <w:spacing w:after="0" w:line="260" w:lineRule="exact"/>
              <w:jc w:val="both"/>
              <w:rPr>
                <w:rFonts w:cs="Arial"/>
              </w:rPr>
            </w:pPr>
            <w:bookmarkStart w:id="326" w:name="_Toc90562392"/>
            <w:r w:rsidRPr="7E32E97F">
              <w:rPr>
                <w:rFonts w:cs="Arial"/>
              </w:rPr>
              <w:t>DA</w:t>
            </w:r>
            <w:bookmarkEnd w:id="326"/>
          </w:p>
        </w:tc>
        <w:tc>
          <w:tcPr>
            <w:tcW w:w="4678" w:type="dxa"/>
          </w:tcPr>
          <w:p w14:paraId="3E47C420" w14:textId="77777777" w:rsidR="007E7643" w:rsidRPr="00E4016A" w:rsidRDefault="589AF387" w:rsidP="7E32E97F">
            <w:pPr>
              <w:autoSpaceDN/>
              <w:spacing w:after="0" w:line="260" w:lineRule="exact"/>
              <w:jc w:val="both"/>
              <w:rPr>
                <w:rFonts w:cs="Arial"/>
              </w:rPr>
            </w:pPr>
            <w:r w:rsidRPr="7E32E97F">
              <w:rPr>
                <w:rFonts w:cs="Arial"/>
              </w:rPr>
              <w:t>Prenos direktive št. 2020/2184 v nacionalni pravni red. Rok za prenos je bil 13. 1. 2023</w:t>
            </w:r>
          </w:p>
        </w:tc>
        <w:tc>
          <w:tcPr>
            <w:tcW w:w="1872" w:type="dxa"/>
          </w:tcPr>
          <w:p w14:paraId="54C7F0F4" w14:textId="77777777" w:rsidR="00CE10A1" w:rsidRPr="00E4016A" w:rsidRDefault="7D35320E" w:rsidP="7E32E97F">
            <w:pPr>
              <w:autoSpaceDN/>
              <w:spacing w:after="0" w:line="260" w:lineRule="exact"/>
              <w:jc w:val="both"/>
              <w:rPr>
                <w:rFonts w:cs="Arial"/>
              </w:rPr>
            </w:pPr>
            <w:r w:rsidRPr="7E32E97F">
              <w:rPr>
                <w:rFonts w:cs="Arial"/>
              </w:rPr>
              <w:t>Vlada</w:t>
            </w:r>
          </w:p>
          <w:p w14:paraId="623BE0F5" w14:textId="72FC514D" w:rsidR="007E7643" w:rsidRPr="00E4016A" w:rsidRDefault="007E7643" w:rsidP="7E32E97F">
            <w:pPr>
              <w:autoSpaceDN/>
              <w:spacing w:after="0" w:line="260" w:lineRule="exact"/>
              <w:jc w:val="both"/>
              <w:rPr>
                <w:rFonts w:cs="Arial"/>
              </w:rPr>
            </w:pPr>
          </w:p>
        </w:tc>
        <w:tc>
          <w:tcPr>
            <w:tcW w:w="1814" w:type="dxa"/>
          </w:tcPr>
          <w:p w14:paraId="2E31EEF9" w14:textId="77777777" w:rsidR="007E7643" w:rsidRPr="00E4016A" w:rsidRDefault="589AF387" w:rsidP="7E32E97F">
            <w:pPr>
              <w:autoSpaceDN/>
              <w:spacing w:after="0" w:line="260" w:lineRule="exact"/>
              <w:jc w:val="both"/>
              <w:rPr>
                <w:rFonts w:cs="Arial"/>
              </w:rPr>
            </w:pPr>
            <w:bookmarkStart w:id="327" w:name="_Toc90562395"/>
            <w:r w:rsidRPr="7E32E97F">
              <w:rPr>
                <w:rFonts w:cs="Arial"/>
              </w:rPr>
              <w:t>Priloga IV Uredbe EU 2021/1060</w:t>
            </w:r>
            <w:bookmarkEnd w:id="327"/>
          </w:p>
        </w:tc>
      </w:tr>
      <w:tr w:rsidR="007E7643" w:rsidRPr="00E4016A" w14:paraId="20AF0B66" w14:textId="77777777" w:rsidTr="7E32E97F">
        <w:tc>
          <w:tcPr>
            <w:tcW w:w="4282" w:type="dxa"/>
          </w:tcPr>
          <w:p w14:paraId="1E21C734" w14:textId="77777777" w:rsidR="007E7643" w:rsidRPr="00E4016A" w:rsidRDefault="589AF387" w:rsidP="7E32E97F">
            <w:pPr>
              <w:autoSpaceDN/>
              <w:spacing w:after="0" w:line="260" w:lineRule="exact"/>
              <w:jc w:val="both"/>
              <w:rPr>
                <w:rFonts w:cs="Arial"/>
              </w:rPr>
            </w:pPr>
            <w:bookmarkStart w:id="328" w:name="_Toc90562396"/>
            <w:r w:rsidRPr="7E32E97F">
              <w:rPr>
                <w:rFonts w:cs="Arial"/>
              </w:rPr>
              <w:t>2.6 Posodobljeno načrtovanje ravnanja z odpadki</w:t>
            </w:r>
            <w:bookmarkEnd w:id="328"/>
          </w:p>
        </w:tc>
        <w:tc>
          <w:tcPr>
            <w:tcW w:w="1955" w:type="dxa"/>
          </w:tcPr>
          <w:p w14:paraId="10E3DAC1" w14:textId="77777777" w:rsidR="007E7643" w:rsidRPr="00E4016A" w:rsidRDefault="589AF387" w:rsidP="7E32E97F">
            <w:pPr>
              <w:autoSpaceDN/>
              <w:spacing w:after="0" w:line="260" w:lineRule="exact"/>
              <w:jc w:val="both"/>
              <w:rPr>
                <w:rFonts w:cs="Arial"/>
              </w:rPr>
            </w:pPr>
            <w:bookmarkStart w:id="329" w:name="_Toc90562397"/>
            <w:r w:rsidRPr="7E32E97F">
              <w:rPr>
                <w:rFonts w:cs="Arial"/>
              </w:rPr>
              <w:t>DA</w:t>
            </w:r>
            <w:bookmarkEnd w:id="329"/>
          </w:p>
        </w:tc>
        <w:tc>
          <w:tcPr>
            <w:tcW w:w="4678" w:type="dxa"/>
          </w:tcPr>
          <w:p w14:paraId="104BCED2" w14:textId="77777777" w:rsidR="007E7643" w:rsidRPr="00E4016A" w:rsidRDefault="589AF387" w:rsidP="7E32E97F">
            <w:pPr>
              <w:autoSpaceDN/>
              <w:spacing w:after="0" w:line="260" w:lineRule="exact"/>
              <w:jc w:val="both"/>
              <w:rPr>
                <w:rFonts w:cs="Arial"/>
              </w:rPr>
            </w:pPr>
            <w:bookmarkStart w:id="330" w:name="_Toc90562398"/>
            <w:r w:rsidRPr="7E32E97F">
              <w:rPr>
                <w:rFonts w:cs="Arial"/>
              </w:rPr>
              <w:t>Program ravnanja z odpadki in program preprečevanja odpadkov Republike Slovenije (2022)</w:t>
            </w:r>
            <w:bookmarkEnd w:id="330"/>
          </w:p>
        </w:tc>
        <w:tc>
          <w:tcPr>
            <w:tcW w:w="1872" w:type="dxa"/>
          </w:tcPr>
          <w:p w14:paraId="1573B5C2" w14:textId="77777777" w:rsidR="00CE10A1" w:rsidRPr="00E4016A" w:rsidRDefault="7D35320E" w:rsidP="7E32E97F">
            <w:pPr>
              <w:autoSpaceDN/>
              <w:spacing w:after="0" w:line="260" w:lineRule="exact"/>
              <w:jc w:val="both"/>
              <w:rPr>
                <w:rFonts w:cs="Arial"/>
              </w:rPr>
            </w:pPr>
            <w:r w:rsidRPr="7E32E97F">
              <w:rPr>
                <w:rFonts w:cs="Arial"/>
              </w:rPr>
              <w:t>Vlada</w:t>
            </w:r>
          </w:p>
          <w:p w14:paraId="7D944979" w14:textId="77777777" w:rsidR="007E7643" w:rsidRPr="00E4016A" w:rsidRDefault="007E7643" w:rsidP="7E32E97F">
            <w:pPr>
              <w:autoSpaceDN/>
              <w:spacing w:after="0" w:line="260" w:lineRule="exact"/>
              <w:jc w:val="both"/>
              <w:rPr>
                <w:rFonts w:cs="Arial"/>
              </w:rPr>
            </w:pPr>
          </w:p>
        </w:tc>
        <w:tc>
          <w:tcPr>
            <w:tcW w:w="1814" w:type="dxa"/>
          </w:tcPr>
          <w:p w14:paraId="3CD3B40C" w14:textId="77777777" w:rsidR="007E7643" w:rsidRPr="00E4016A" w:rsidRDefault="589AF387" w:rsidP="7E32E97F">
            <w:pPr>
              <w:autoSpaceDN/>
              <w:spacing w:after="0" w:line="260" w:lineRule="exact"/>
              <w:jc w:val="both"/>
              <w:rPr>
                <w:rFonts w:cs="Arial"/>
              </w:rPr>
            </w:pPr>
            <w:bookmarkStart w:id="331" w:name="_Toc90562401"/>
            <w:r w:rsidRPr="7E32E97F">
              <w:rPr>
                <w:rFonts w:cs="Arial"/>
              </w:rPr>
              <w:t>Priloga IV Uredbe EU 2021/1060</w:t>
            </w:r>
            <w:bookmarkEnd w:id="331"/>
          </w:p>
        </w:tc>
      </w:tr>
      <w:tr w:rsidR="007E7643" w:rsidRPr="00E4016A" w14:paraId="088D66BC" w14:textId="77777777" w:rsidTr="7E32E97F">
        <w:tc>
          <w:tcPr>
            <w:tcW w:w="4282" w:type="dxa"/>
          </w:tcPr>
          <w:p w14:paraId="76551621" w14:textId="77777777" w:rsidR="007E7643" w:rsidRPr="00E4016A" w:rsidRDefault="589AF387" w:rsidP="7E32E97F">
            <w:pPr>
              <w:autoSpaceDN/>
              <w:spacing w:after="0" w:line="260" w:lineRule="exact"/>
              <w:jc w:val="both"/>
              <w:rPr>
                <w:rFonts w:cs="Arial"/>
              </w:rPr>
            </w:pPr>
            <w:bookmarkStart w:id="332" w:name="_Toc90562402"/>
            <w:r w:rsidRPr="7E32E97F">
              <w:rPr>
                <w:rFonts w:cs="Arial"/>
              </w:rPr>
              <w:t>2.7 Prednostni okvir ukrepanja za potrebne ohranitvene ukrepe, ki vključujejo sofinanciranje Unije</w:t>
            </w:r>
            <w:bookmarkEnd w:id="332"/>
          </w:p>
        </w:tc>
        <w:tc>
          <w:tcPr>
            <w:tcW w:w="1955" w:type="dxa"/>
          </w:tcPr>
          <w:p w14:paraId="393ED42B" w14:textId="77777777" w:rsidR="007E7643" w:rsidRPr="00E4016A" w:rsidRDefault="589AF387" w:rsidP="7E32E97F">
            <w:pPr>
              <w:autoSpaceDN/>
              <w:spacing w:after="0" w:line="260" w:lineRule="exact"/>
              <w:jc w:val="both"/>
              <w:rPr>
                <w:rFonts w:cs="Arial"/>
              </w:rPr>
            </w:pPr>
            <w:bookmarkStart w:id="333" w:name="_Toc90562403"/>
            <w:r w:rsidRPr="7E32E97F">
              <w:rPr>
                <w:rFonts w:cs="Arial"/>
              </w:rPr>
              <w:t>DA</w:t>
            </w:r>
            <w:bookmarkEnd w:id="333"/>
          </w:p>
        </w:tc>
        <w:tc>
          <w:tcPr>
            <w:tcW w:w="4678" w:type="dxa"/>
          </w:tcPr>
          <w:p w14:paraId="3A5E49EB" w14:textId="77777777" w:rsidR="007E7643" w:rsidRPr="00E4016A" w:rsidRDefault="589AF387" w:rsidP="7E32E97F">
            <w:pPr>
              <w:autoSpaceDN/>
              <w:spacing w:after="0" w:line="260" w:lineRule="exact"/>
              <w:jc w:val="both"/>
              <w:rPr>
                <w:rFonts w:cs="Arial"/>
              </w:rPr>
            </w:pPr>
            <w:bookmarkStart w:id="334" w:name="_Toc90562404"/>
            <w:r w:rsidRPr="7E32E97F">
              <w:rPr>
                <w:rFonts w:cs="Arial"/>
              </w:rPr>
              <w:t>Prednostni okvir ukrepanja za Slovenijo je bil poslan Evropski komisiji</w:t>
            </w:r>
            <w:bookmarkEnd w:id="334"/>
          </w:p>
        </w:tc>
        <w:tc>
          <w:tcPr>
            <w:tcW w:w="1872" w:type="dxa"/>
          </w:tcPr>
          <w:p w14:paraId="13108349" w14:textId="77777777" w:rsidR="00CE10A1" w:rsidRPr="00E4016A" w:rsidRDefault="7D35320E" w:rsidP="7E32E97F">
            <w:pPr>
              <w:autoSpaceDN/>
              <w:spacing w:after="0" w:line="260" w:lineRule="exact"/>
              <w:jc w:val="both"/>
              <w:rPr>
                <w:rFonts w:cs="Arial"/>
              </w:rPr>
            </w:pPr>
            <w:r w:rsidRPr="7E32E97F">
              <w:rPr>
                <w:rFonts w:cs="Arial"/>
              </w:rPr>
              <w:t>Vlada</w:t>
            </w:r>
          </w:p>
          <w:p w14:paraId="013A729E" w14:textId="77777777" w:rsidR="007E7643" w:rsidRPr="00E4016A" w:rsidRDefault="007E7643" w:rsidP="7E32E97F">
            <w:pPr>
              <w:autoSpaceDN/>
              <w:spacing w:after="0" w:line="260" w:lineRule="exact"/>
              <w:jc w:val="both"/>
              <w:rPr>
                <w:rFonts w:cs="Arial"/>
              </w:rPr>
            </w:pPr>
          </w:p>
        </w:tc>
        <w:tc>
          <w:tcPr>
            <w:tcW w:w="1814" w:type="dxa"/>
          </w:tcPr>
          <w:p w14:paraId="3A4BC9E7" w14:textId="77777777" w:rsidR="007E7643" w:rsidRPr="00E4016A" w:rsidRDefault="589AF387" w:rsidP="7E32E97F">
            <w:pPr>
              <w:autoSpaceDN/>
              <w:spacing w:after="0" w:line="260" w:lineRule="exact"/>
              <w:jc w:val="both"/>
              <w:rPr>
                <w:rFonts w:cs="Arial"/>
              </w:rPr>
            </w:pPr>
            <w:bookmarkStart w:id="335" w:name="_Toc90562407"/>
            <w:r w:rsidRPr="7E32E97F">
              <w:rPr>
                <w:rFonts w:cs="Arial"/>
              </w:rPr>
              <w:t>Priloga IV Uredbe EU 2021/1060</w:t>
            </w:r>
            <w:bookmarkEnd w:id="335"/>
          </w:p>
        </w:tc>
      </w:tr>
    </w:tbl>
    <w:p w14:paraId="79DDB9FE" w14:textId="77777777" w:rsidR="003151B4" w:rsidRDefault="003151B4" w:rsidP="7E32E97F">
      <w:pPr>
        <w:autoSpaceDN/>
        <w:spacing w:after="0" w:line="260" w:lineRule="exact"/>
        <w:jc w:val="both"/>
        <w:rPr>
          <w:rFonts w:cs="Arial"/>
        </w:rPr>
        <w:sectPr w:rsidR="003151B4" w:rsidSect="0046697C">
          <w:pgSz w:w="16838" w:h="11906" w:orient="landscape"/>
          <w:pgMar w:top="1134" w:right="1418" w:bottom="1418" w:left="851" w:header="708" w:footer="708" w:gutter="0"/>
          <w:cols w:space="708"/>
          <w:docGrid w:linePitch="272"/>
        </w:sectPr>
      </w:pPr>
      <w:bookmarkStart w:id="336" w:name="_Toc90562408"/>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955"/>
        <w:gridCol w:w="4678"/>
        <w:gridCol w:w="1872"/>
        <w:gridCol w:w="1814"/>
      </w:tblGrid>
      <w:tr w:rsidR="007E7643" w:rsidRPr="00E4016A" w14:paraId="4B152677" w14:textId="77777777" w:rsidTr="7E32E97F">
        <w:tc>
          <w:tcPr>
            <w:tcW w:w="4282" w:type="dxa"/>
          </w:tcPr>
          <w:p w14:paraId="33AAE1A3" w14:textId="77777777" w:rsidR="007E7643" w:rsidRPr="00E4016A" w:rsidRDefault="589AF387" w:rsidP="7E32E97F">
            <w:pPr>
              <w:autoSpaceDN/>
              <w:spacing w:after="0" w:line="260" w:lineRule="exact"/>
              <w:jc w:val="both"/>
              <w:rPr>
                <w:rFonts w:cs="Arial"/>
              </w:rPr>
            </w:pPr>
            <w:r w:rsidRPr="7E32E97F">
              <w:rPr>
                <w:rFonts w:cs="Arial"/>
              </w:rPr>
              <w:lastRenderedPageBreak/>
              <w:t>3.1 Celovito načrtovanje prometa na ustrezni ravni</w:t>
            </w:r>
            <w:bookmarkEnd w:id="336"/>
          </w:p>
        </w:tc>
        <w:tc>
          <w:tcPr>
            <w:tcW w:w="1955" w:type="dxa"/>
          </w:tcPr>
          <w:p w14:paraId="3D9EEB8E" w14:textId="77777777" w:rsidR="007E7643" w:rsidRPr="00E4016A" w:rsidRDefault="589AF387" w:rsidP="7E32E97F">
            <w:pPr>
              <w:autoSpaceDN/>
              <w:spacing w:after="0" w:line="260" w:lineRule="exact"/>
              <w:jc w:val="both"/>
              <w:rPr>
                <w:rFonts w:cs="Arial"/>
              </w:rPr>
            </w:pPr>
            <w:bookmarkStart w:id="337" w:name="_Toc90562409"/>
            <w:r w:rsidRPr="7E32E97F">
              <w:rPr>
                <w:rFonts w:cs="Arial"/>
              </w:rPr>
              <w:t>DA</w:t>
            </w:r>
            <w:bookmarkEnd w:id="337"/>
          </w:p>
        </w:tc>
        <w:tc>
          <w:tcPr>
            <w:tcW w:w="4678" w:type="dxa"/>
          </w:tcPr>
          <w:p w14:paraId="14BF690D" w14:textId="77777777" w:rsidR="007E7643" w:rsidRPr="00E4016A" w:rsidRDefault="589AF387" w:rsidP="7E32E97F">
            <w:pPr>
              <w:autoSpaceDN/>
              <w:spacing w:after="0" w:line="260" w:lineRule="exact"/>
              <w:jc w:val="both"/>
              <w:rPr>
                <w:rFonts w:cs="Arial"/>
              </w:rPr>
            </w:pPr>
            <w:bookmarkStart w:id="338" w:name="_Toc90562410"/>
            <w:r w:rsidRPr="7E32E97F">
              <w:rPr>
                <w:rFonts w:cs="Arial"/>
              </w:rPr>
              <w:t>Strategija razvoja prometa v RS do leta 2030</w:t>
            </w:r>
            <w:bookmarkEnd w:id="338"/>
          </w:p>
        </w:tc>
        <w:tc>
          <w:tcPr>
            <w:tcW w:w="1872" w:type="dxa"/>
          </w:tcPr>
          <w:p w14:paraId="5A0261CF" w14:textId="77777777" w:rsidR="00CE10A1" w:rsidRPr="00E4016A" w:rsidRDefault="7D35320E" w:rsidP="7E32E97F">
            <w:pPr>
              <w:autoSpaceDN/>
              <w:spacing w:after="0" w:line="260" w:lineRule="exact"/>
              <w:jc w:val="both"/>
              <w:rPr>
                <w:rFonts w:cs="Arial"/>
              </w:rPr>
            </w:pPr>
            <w:r w:rsidRPr="7E32E97F">
              <w:rPr>
                <w:rFonts w:cs="Arial"/>
              </w:rPr>
              <w:t>Vlada</w:t>
            </w:r>
          </w:p>
          <w:p w14:paraId="0E2DCF9F" w14:textId="7B8936A5" w:rsidR="007E7643" w:rsidRPr="00E4016A" w:rsidRDefault="007E7643" w:rsidP="7E32E97F">
            <w:pPr>
              <w:autoSpaceDN/>
              <w:spacing w:after="0" w:line="260" w:lineRule="exact"/>
              <w:jc w:val="both"/>
              <w:rPr>
                <w:rFonts w:cs="Arial"/>
              </w:rPr>
            </w:pPr>
          </w:p>
        </w:tc>
        <w:tc>
          <w:tcPr>
            <w:tcW w:w="1814" w:type="dxa"/>
          </w:tcPr>
          <w:p w14:paraId="0E82CD93" w14:textId="77777777" w:rsidR="007E7643" w:rsidRPr="00E4016A" w:rsidRDefault="589AF387" w:rsidP="7E32E97F">
            <w:pPr>
              <w:autoSpaceDN/>
              <w:spacing w:after="0" w:line="260" w:lineRule="exact"/>
              <w:jc w:val="both"/>
              <w:rPr>
                <w:rFonts w:cs="Arial"/>
              </w:rPr>
            </w:pPr>
            <w:bookmarkStart w:id="339" w:name="_Toc90562412"/>
            <w:r w:rsidRPr="7E32E97F">
              <w:rPr>
                <w:rFonts w:cs="Arial"/>
              </w:rPr>
              <w:t>Priloga IV Uredbe EU 2021/1060</w:t>
            </w:r>
            <w:bookmarkEnd w:id="339"/>
          </w:p>
        </w:tc>
      </w:tr>
      <w:tr w:rsidR="007E7643" w:rsidRPr="00E4016A" w14:paraId="59B4F776" w14:textId="77777777" w:rsidTr="7E32E97F">
        <w:tc>
          <w:tcPr>
            <w:tcW w:w="4282" w:type="dxa"/>
          </w:tcPr>
          <w:p w14:paraId="05718790" w14:textId="77777777" w:rsidR="007E7643" w:rsidRPr="00E4016A" w:rsidRDefault="589AF387" w:rsidP="7E32E97F">
            <w:pPr>
              <w:autoSpaceDN/>
              <w:spacing w:after="0" w:line="260" w:lineRule="exact"/>
              <w:jc w:val="both"/>
              <w:rPr>
                <w:rFonts w:eastAsia="Calibri" w:cs="Arial"/>
              </w:rPr>
            </w:pPr>
            <w:r w:rsidRPr="7E32E97F">
              <w:rPr>
                <w:rFonts w:eastAsia="Calibri" w:cs="Arial"/>
              </w:rPr>
              <w:t>4.1 Strateški okvir politike za aktivne politike trga dela</w:t>
            </w:r>
          </w:p>
        </w:tc>
        <w:tc>
          <w:tcPr>
            <w:tcW w:w="1955" w:type="dxa"/>
          </w:tcPr>
          <w:p w14:paraId="6F6A5B1A" w14:textId="77777777" w:rsidR="007E7643" w:rsidRPr="00E4016A" w:rsidRDefault="589AF387" w:rsidP="7E32E97F">
            <w:pPr>
              <w:autoSpaceDN/>
              <w:spacing w:after="0" w:line="260" w:lineRule="exact"/>
              <w:jc w:val="both"/>
              <w:rPr>
                <w:rFonts w:cs="Arial"/>
              </w:rPr>
            </w:pPr>
            <w:bookmarkStart w:id="340" w:name="_Toc90562413"/>
            <w:r w:rsidRPr="7E32E97F">
              <w:rPr>
                <w:rFonts w:cs="Arial"/>
              </w:rPr>
              <w:t>DA</w:t>
            </w:r>
            <w:bookmarkEnd w:id="340"/>
          </w:p>
        </w:tc>
        <w:tc>
          <w:tcPr>
            <w:tcW w:w="4678" w:type="dxa"/>
          </w:tcPr>
          <w:p w14:paraId="5E35F2B3" w14:textId="2D76DA62" w:rsidR="007E7643" w:rsidRPr="00E4016A" w:rsidRDefault="589AF387" w:rsidP="7E32E97F">
            <w:pPr>
              <w:autoSpaceDN/>
              <w:spacing w:after="0" w:line="260" w:lineRule="exact"/>
              <w:jc w:val="both"/>
              <w:rPr>
                <w:rFonts w:cs="Arial"/>
              </w:rPr>
            </w:pPr>
            <w:bookmarkStart w:id="341" w:name="_Toc90562414"/>
            <w:r w:rsidRPr="7E32E97F">
              <w:rPr>
                <w:rFonts w:cs="Arial"/>
              </w:rPr>
              <w:t>Smernice za izvajanje ukrepov aktivne politike zaposlovanja 2021</w:t>
            </w:r>
            <w:r w:rsidR="402C6DAA" w:rsidRPr="7E32E97F">
              <w:rPr>
                <w:rFonts w:cs="Arial"/>
              </w:rPr>
              <w:t>–</w:t>
            </w:r>
            <w:r w:rsidRPr="7E32E97F">
              <w:rPr>
                <w:rFonts w:cs="Arial"/>
              </w:rPr>
              <w:t>202</w:t>
            </w:r>
            <w:bookmarkEnd w:id="341"/>
            <w:r w:rsidRPr="7E32E97F">
              <w:rPr>
                <w:rFonts w:cs="Arial"/>
              </w:rPr>
              <w:t>5</w:t>
            </w:r>
          </w:p>
        </w:tc>
        <w:tc>
          <w:tcPr>
            <w:tcW w:w="1872" w:type="dxa"/>
          </w:tcPr>
          <w:p w14:paraId="4AD56ED2" w14:textId="77777777" w:rsidR="00CE10A1" w:rsidRPr="00E4016A" w:rsidRDefault="7D35320E" w:rsidP="7E32E97F">
            <w:pPr>
              <w:autoSpaceDN/>
              <w:spacing w:after="0" w:line="260" w:lineRule="exact"/>
              <w:jc w:val="both"/>
              <w:rPr>
                <w:rFonts w:cs="Arial"/>
              </w:rPr>
            </w:pPr>
            <w:r w:rsidRPr="7E32E97F">
              <w:rPr>
                <w:rFonts w:cs="Arial"/>
              </w:rPr>
              <w:t>Vlada</w:t>
            </w:r>
          </w:p>
          <w:p w14:paraId="56AC996A" w14:textId="286F246F" w:rsidR="007E7643" w:rsidRPr="00E4016A" w:rsidRDefault="007E7643" w:rsidP="7E32E97F">
            <w:pPr>
              <w:autoSpaceDN/>
              <w:spacing w:after="0" w:line="260" w:lineRule="exact"/>
              <w:jc w:val="both"/>
              <w:rPr>
                <w:rFonts w:cs="Arial"/>
              </w:rPr>
            </w:pPr>
          </w:p>
        </w:tc>
        <w:tc>
          <w:tcPr>
            <w:tcW w:w="1814" w:type="dxa"/>
          </w:tcPr>
          <w:p w14:paraId="36864FED" w14:textId="77777777" w:rsidR="007E7643" w:rsidRPr="00E4016A" w:rsidRDefault="589AF387" w:rsidP="7E32E97F">
            <w:pPr>
              <w:autoSpaceDN/>
              <w:spacing w:after="0" w:line="260" w:lineRule="exact"/>
              <w:jc w:val="both"/>
              <w:rPr>
                <w:rFonts w:cs="Arial"/>
              </w:rPr>
            </w:pPr>
            <w:bookmarkStart w:id="342" w:name="_Toc90562416"/>
            <w:r w:rsidRPr="7E32E97F">
              <w:rPr>
                <w:rFonts w:cs="Arial"/>
              </w:rPr>
              <w:t>Priloga IV Uredbe EU 2021/1060</w:t>
            </w:r>
            <w:bookmarkEnd w:id="342"/>
          </w:p>
        </w:tc>
      </w:tr>
      <w:tr w:rsidR="007E7643" w:rsidRPr="00E4016A" w14:paraId="0EF42E84" w14:textId="77777777" w:rsidTr="7E32E97F">
        <w:tc>
          <w:tcPr>
            <w:tcW w:w="4282" w:type="dxa"/>
          </w:tcPr>
          <w:p w14:paraId="0E8644D5" w14:textId="77777777" w:rsidR="007E7643" w:rsidRPr="00E4016A" w:rsidRDefault="589AF387" w:rsidP="7E32E97F">
            <w:pPr>
              <w:autoSpaceDN/>
              <w:spacing w:after="0" w:line="260" w:lineRule="exact"/>
              <w:jc w:val="both"/>
              <w:rPr>
                <w:rFonts w:cs="Arial"/>
              </w:rPr>
            </w:pPr>
            <w:bookmarkStart w:id="343" w:name="_Toc90562423"/>
            <w:r w:rsidRPr="7E32E97F">
              <w:rPr>
                <w:rFonts w:cs="Arial"/>
              </w:rPr>
              <w:t>4.3 Strateški okvir politike za sistem izobraževanja in usposabljanja na vseh ravneh</w:t>
            </w:r>
            <w:bookmarkEnd w:id="343"/>
          </w:p>
        </w:tc>
        <w:tc>
          <w:tcPr>
            <w:tcW w:w="1955" w:type="dxa"/>
          </w:tcPr>
          <w:p w14:paraId="500B667C" w14:textId="77777777" w:rsidR="007E7643" w:rsidRPr="00E4016A" w:rsidRDefault="589AF387" w:rsidP="7E32E97F">
            <w:pPr>
              <w:autoSpaceDN/>
              <w:spacing w:after="0" w:line="260" w:lineRule="exact"/>
              <w:jc w:val="both"/>
              <w:rPr>
                <w:rFonts w:cs="Arial"/>
              </w:rPr>
            </w:pPr>
            <w:bookmarkStart w:id="344" w:name="_Toc90562424"/>
            <w:r w:rsidRPr="7E32E97F">
              <w:rPr>
                <w:rFonts w:cs="Arial"/>
              </w:rPr>
              <w:t>DA</w:t>
            </w:r>
            <w:bookmarkEnd w:id="344"/>
          </w:p>
        </w:tc>
        <w:tc>
          <w:tcPr>
            <w:tcW w:w="4678" w:type="dxa"/>
          </w:tcPr>
          <w:p w14:paraId="2DBC0701" w14:textId="3F8FCF8C" w:rsidR="007E7643" w:rsidRPr="00E4016A" w:rsidRDefault="589AF387" w:rsidP="7E32E97F">
            <w:pPr>
              <w:autoSpaceDN/>
              <w:spacing w:after="0" w:line="260" w:lineRule="exact"/>
              <w:jc w:val="both"/>
              <w:rPr>
                <w:rFonts w:cs="Arial"/>
              </w:rPr>
            </w:pPr>
            <w:bookmarkStart w:id="345" w:name="_Toc90562425"/>
            <w:r w:rsidRPr="7E32E97F">
              <w:rPr>
                <w:rFonts w:cs="Arial"/>
              </w:rPr>
              <w:t>Strategija Zavoda RS za zaposlovanje do 2025</w:t>
            </w:r>
            <w:r w:rsidR="787CF399" w:rsidRPr="7E32E97F">
              <w:rPr>
                <w:rFonts w:cs="Arial"/>
              </w:rPr>
              <w:t xml:space="preserve">, </w:t>
            </w:r>
            <w:r w:rsidRPr="7E32E97F">
              <w:rPr>
                <w:rFonts w:cs="Arial"/>
              </w:rPr>
              <w:t>Zakon o organizaciji in financiranju vzgoje in izobraževanja</w:t>
            </w:r>
            <w:r w:rsidR="787CF399" w:rsidRPr="7E32E97F">
              <w:rPr>
                <w:rFonts w:cs="Arial"/>
              </w:rPr>
              <w:t xml:space="preserve">, </w:t>
            </w:r>
            <w:r w:rsidRPr="7E32E97F">
              <w:rPr>
                <w:rFonts w:cs="Arial"/>
              </w:rPr>
              <w:t>Sklep o ustanovitvi Centra RS za mobilnost in evropske programe izobraževanja in usposabljanja (CMEPIUS)</w:t>
            </w:r>
            <w:r w:rsidR="787CF399" w:rsidRPr="7E32E97F">
              <w:rPr>
                <w:rFonts w:cs="Arial"/>
              </w:rPr>
              <w:t>,</w:t>
            </w:r>
          </w:p>
          <w:p w14:paraId="0B90D848" w14:textId="53E920F5" w:rsidR="007E7643" w:rsidRPr="00E4016A" w:rsidRDefault="589AF387" w:rsidP="7E32E97F">
            <w:pPr>
              <w:autoSpaceDN/>
              <w:spacing w:after="0" w:line="260" w:lineRule="exact"/>
              <w:jc w:val="both"/>
              <w:rPr>
                <w:rFonts w:cs="Arial"/>
              </w:rPr>
            </w:pPr>
            <w:r w:rsidRPr="7E32E97F">
              <w:rPr>
                <w:rFonts w:cs="Arial"/>
              </w:rPr>
              <w:t>Zakon o višjem strokovnem izobraževanju</w:t>
            </w:r>
            <w:r w:rsidR="787CF399" w:rsidRPr="7E32E97F">
              <w:rPr>
                <w:rFonts w:cs="Arial"/>
              </w:rPr>
              <w:t xml:space="preserve">, </w:t>
            </w:r>
            <w:r w:rsidRPr="7E32E97F">
              <w:rPr>
                <w:rFonts w:cs="Arial"/>
              </w:rPr>
              <w:t>Strategija višjega strokovnega izobraževanja 20–30</w:t>
            </w:r>
            <w:r w:rsidR="787CF399" w:rsidRPr="7E32E97F">
              <w:rPr>
                <w:rFonts w:cs="Arial"/>
              </w:rPr>
              <w:t xml:space="preserve">, </w:t>
            </w:r>
            <w:r w:rsidRPr="7E32E97F">
              <w:rPr>
                <w:rFonts w:cs="Arial"/>
              </w:rPr>
              <w:t>Zakon o visokem šolstvu</w:t>
            </w:r>
            <w:r w:rsidR="787CF399" w:rsidRPr="7E32E97F">
              <w:rPr>
                <w:rFonts w:cs="Arial"/>
              </w:rPr>
              <w:t xml:space="preserve">, </w:t>
            </w:r>
            <w:bookmarkStart w:id="346" w:name="_Hlk156403289"/>
            <w:r w:rsidRPr="7E32E97F">
              <w:rPr>
                <w:rFonts w:cs="Arial"/>
              </w:rPr>
              <w:t>Resolucija o nacionalnem programu visokega šolstva do 2030</w:t>
            </w:r>
            <w:r w:rsidR="787CF399" w:rsidRPr="7E32E97F">
              <w:rPr>
                <w:rFonts w:cs="Arial"/>
              </w:rPr>
              <w:t>,</w:t>
            </w:r>
            <w:r w:rsidRPr="7E32E97F">
              <w:rPr>
                <w:rFonts w:cs="Arial"/>
              </w:rPr>
              <w:t xml:space="preserve"> </w:t>
            </w:r>
            <w:bookmarkEnd w:id="346"/>
            <w:r w:rsidRPr="7E32E97F">
              <w:rPr>
                <w:rFonts w:cs="Arial"/>
              </w:rPr>
              <w:t>Zakon o izobraževanju odraslih</w:t>
            </w:r>
            <w:r w:rsidR="787CF399" w:rsidRPr="7E32E97F">
              <w:rPr>
                <w:rFonts w:cs="Arial"/>
              </w:rPr>
              <w:t xml:space="preserve">, </w:t>
            </w:r>
            <w:r w:rsidRPr="7E32E97F">
              <w:rPr>
                <w:rFonts w:cs="Arial"/>
              </w:rPr>
              <w:t>Resolucija o nacionalnem programu izobraževanja odraslih v Republiki Sloveniji za obdobje 2022–2030</w:t>
            </w:r>
            <w:r w:rsidR="787CF399" w:rsidRPr="7E32E97F">
              <w:rPr>
                <w:rFonts w:cs="Arial"/>
              </w:rPr>
              <w:t xml:space="preserve">, </w:t>
            </w:r>
            <w:r w:rsidRPr="7E32E97F">
              <w:rPr>
                <w:rFonts w:cs="Arial"/>
              </w:rPr>
              <w:t>Zakon o vrednotenju in priznavanju izobraževanja</w:t>
            </w:r>
            <w:r w:rsidR="787CF399" w:rsidRPr="7E32E97F">
              <w:rPr>
                <w:rFonts w:cs="Arial"/>
              </w:rPr>
              <w:t xml:space="preserve">, </w:t>
            </w:r>
            <w:r w:rsidRPr="7E32E97F">
              <w:rPr>
                <w:rFonts w:cs="Arial"/>
              </w:rPr>
              <w:t>Zakon o slovenskem ogrodju kvalifikacij</w:t>
            </w:r>
            <w:r w:rsidR="787CF399" w:rsidRPr="7E32E97F">
              <w:rPr>
                <w:rFonts w:cs="Arial"/>
              </w:rPr>
              <w:t xml:space="preserve">, </w:t>
            </w:r>
            <w:r w:rsidRPr="7E32E97F">
              <w:rPr>
                <w:rFonts w:cs="Arial"/>
              </w:rPr>
              <w:t>Zakon o postopku priznavanja poklicnih kvalifikacij za opravljanje reguliranih poklicev</w:t>
            </w:r>
            <w:bookmarkEnd w:id="345"/>
          </w:p>
        </w:tc>
        <w:tc>
          <w:tcPr>
            <w:tcW w:w="1872" w:type="dxa"/>
          </w:tcPr>
          <w:p w14:paraId="7909467A" w14:textId="77777777" w:rsidR="00CE10A1" w:rsidRPr="00E4016A" w:rsidRDefault="7D35320E" w:rsidP="7E32E97F">
            <w:pPr>
              <w:autoSpaceDN/>
              <w:spacing w:after="0" w:line="260" w:lineRule="exact"/>
              <w:jc w:val="both"/>
              <w:rPr>
                <w:rFonts w:cs="Arial"/>
              </w:rPr>
            </w:pPr>
            <w:r w:rsidRPr="7E32E97F">
              <w:rPr>
                <w:rFonts w:cs="Arial"/>
              </w:rPr>
              <w:t>Vlada</w:t>
            </w:r>
          </w:p>
          <w:p w14:paraId="1E75369C" w14:textId="77777777" w:rsidR="007E7643" w:rsidRPr="00E4016A" w:rsidRDefault="007E7643" w:rsidP="7E32E97F">
            <w:pPr>
              <w:autoSpaceDN/>
              <w:spacing w:after="0" w:line="260" w:lineRule="exact"/>
              <w:jc w:val="both"/>
              <w:rPr>
                <w:rFonts w:cs="Arial"/>
              </w:rPr>
            </w:pPr>
          </w:p>
        </w:tc>
        <w:tc>
          <w:tcPr>
            <w:tcW w:w="1814" w:type="dxa"/>
          </w:tcPr>
          <w:p w14:paraId="11BCB18D" w14:textId="77777777" w:rsidR="007E7643" w:rsidRPr="00E4016A" w:rsidRDefault="589AF387" w:rsidP="7E32E97F">
            <w:pPr>
              <w:autoSpaceDN/>
              <w:spacing w:after="0" w:line="260" w:lineRule="exact"/>
              <w:jc w:val="both"/>
              <w:rPr>
                <w:rFonts w:cs="Arial"/>
              </w:rPr>
            </w:pPr>
            <w:bookmarkStart w:id="347" w:name="_Toc90562428"/>
            <w:r w:rsidRPr="7E32E97F">
              <w:rPr>
                <w:rFonts w:cs="Arial"/>
              </w:rPr>
              <w:t>Priloga IV Uredbe EU 2021/1060</w:t>
            </w:r>
            <w:bookmarkEnd w:id="347"/>
          </w:p>
        </w:tc>
      </w:tr>
      <w:tr w:rsidR="007E7643" w:rsidRPr="00E4016A" w14:paraId="7C4B7D6D" w14:textId="77777777" w:rsidTr="7E32E97F">
        <w:tc>
          <w:tcPr>
            <w:tcW w:w="4282" w:type="dxa"/>
          </w:tcPr>
          <w:p w14:paraId="48A92B96" w14:textId="77777777" w:rsidR="007E7643" w:rsidRPr="00E4016A" w:rsidRDefault="589AF387" w:rsidP="7E32E97F">
            <w:pPr>
              <w:autoSpaceDN/>
              <w:spacing w:after="0" w:line="260" w:lineRule="exact"/>
              <w:jc w:val="both"/>
              <w:rPr>
                <w:rFonts w:cs="Arial"/>
              </w:rPr>
            </w:pPr>
            <w:bookmarkStart w:id="348" w:name="_Toc90562429"/>
            <w:r w:rsidRPr="7E32E97F">
              <w:rPr>
                <w:rFonts w:cs="Arial"/>
              </w:rPr>
              <w:t>4.4 Nacionalni strateški okvir politike za socialno vključenost in</w:t>
            </w:r>
            <w:bookmarkEnd w:id="348"/>
          </w:p>
          <w:p w14:paraId="1CF9E4B9" w14:textId="77777777" w:rsidR="007E7643" w:rsidRPr="00E4016A" w:rsidRDefault="589AF387" w:rsidP="7E32E97F">
            <w:pPr>
              <w:autoSpaceDN/>
              <w:spacing w:after="0" w:line="260" w:lineRule="exact"/>
              <w:jc w:val="both"/>
              <w:rPr>
                <w:rFonts w:cs="Arial"/>
              </w:rPr>
            </w:pPr>
            <w:bookmarkStart w:id="349" w:name="_Toc90562430"/>
            <w:r w:rsidRPr="7E32E97F">
              <w:rPr>
                <w:rFonts w:cs="Arial"/>
              </w:rPr>
              <w:t>Zmanjševanje revščine</w:t>
            </w:r>
            <w:bookmarkEnd w:id="349"/>
          </w:p>
        </w:tc>
        <w:tc>
          <w:tcPr>
            <w:tcW w:w="1955" w:type="dxa"/>
          </w:tcPr>
          <w:p w14:paraId="39C84EC5" w14:textId="77777777" w:rsidR="007E7643" w:rsidRPr="00E4016A" w:rsidRDefault="589AF387" w:rsidP="7E32E97F">
            <w:pPr>
              <w:autoSpaceDN/>
              <w:spacing w:after="0" w:line="260" w:lineRule="exact"/>
              <w:jc w:val="both"/>
              <w:rPr>
                <w:rFonts w:cs="Arial"/>
              </w:rPr>
            </w:pPr>
            <w:bookmarkStart w:id="350" w:name="_Toc90562431"/>
            <w:r w:rsidRPr="7E32E97F">
              <w:rPr>
                <w:rFonts w:cs="Arial"/>
              </w:rPr>
              <w:t>DA</w:t>
            </w:r>
            <w:bookmarkEnd w:id="350"/>
          </w:p>
        </w:tc>
        <w:tc>
          <w:tcPr>
            <w:tcW w:w="4678" w:type="dxa"/>
          </w:tcPr>
          <w:p w14:paraId="5482B2EF" w14:textId="79B3407F" w:rsidR="007E7643" w:rsidRPr="00E4016A" w:rsidRDefault="589AF387" w:rsidP="7E32E97F">
            <w:pPr>
              <w:autoSpaceDN/>
              <w:spacing w:after="0" w:line="260" w:lineRule="exact"/>
              <w:jc w:val="both"/>
              <w:rPr>
                <w:rFonts w:cs="Arial"/>
              </w:rPr>
            </w:pPr>
            <w:bookmarkStart w:id="351" w:name="_Toc90562432"/>
            <w:r w:rsidRPr="7E32E97F">
              <w:rPr>
                <w:rFonts w:cs="Arial"/>
              </w:rPr>
              <w:t>Resolucija o nacionalnem programu socialnega varstva za obdobje 2021 do 2030 (ReNPSV21</w:t>
            </w:r>
            <w:r w:rsidR="0F659E45" w:rsidRPr="7E32E97F">
              <w:rPr>
                <w:rFonts w:cs="Arial"/>
              </w:rPr>
              <w:t>–</w:t>
            </w:r>
            <w:r w:rsidRPr="7E32E97F">
              <w:rPr>
                <w:rFonts w:cs="Arial"/>
              </w:rPr>
              <w:t xml:space="preserve">30) </w:t>
            </w:r>
          </w:p>
          <w:p w14:paraId="35174CB9" w14:textId="77777777" w:rsidR="007E7643" w:rsidRPr="00E4016A" w:rsidRDefault="589AF387" w:rsidP="7E32E97F">
            <w:pPr>
              <w:autoSpaceDN/>
              <w:spacing w:after="0" w:line="260" w:lineRule="exact"/>
              <w:jc w:val="both"/>
              <w:rPr>
                <w:rFonts w:cs="Arial"/>
              </w:rPr>
            </w:pPr>
            <w:r w:rsidRPr="7E32E97F">
              <w:rPr>
                <w:rFonts w:cs="Arial"/>
              </w:rPr>
              <w:t>Zakon o socialnem varstvu</w:t>
            </w:r>
            <w:bookmarkEnd w:id="351"/>
          </w:p>
        </w:tc>
        <w:tc>
          <w:tcPr>
            <w:tcW w:w="1872" w:type="dxa"/>
          </w:tcPr>
          <w:p w14:paraId="33F07231" w14:textId="77777777" w:rsidR="00CE10A1" w:rsidRPr="00E4016A" w:rsidRDefault="7D35320E" w:rsidP="7E32E97F">
            <w:pPr>
              <w:autoSpaceDN/>
              <w:spacing w:after="0" w:line="260" w:lineRule="exact"/>
              <w:jc w:val="both"/>
              <w:rPr>
                <w:rFonts w:cs="Arial"/>
              </w:rPr>
            </w:pPr>
            <w:r w:rsidRPr="7E32E97F">
              <w:rPr>
                <w:rFonts w:cs="Arial"/>
              </w:rPr>
              <w:t>Vlada</w:t>
            </w:r>
          </w:p>
          <w:p w14:paraId="59E71D23" w14:textId="73E1AE81" w:rsidR="007E7643" w:rsidRPr="00E4016A" w:rsidRDefault="007E7643" w:rsidP="7E32E97F">
            <w:pPr>
              <w:autoSpaceDN/>
              <w:spacing w:after="0" w:line="260" w:lineRule="exact"/>
              <w:jc w:val="both"/>
              <w:rPr>
                <w:rFonts w:cs="Arial"/>
              </w:rPr>
            </w:pPr>
          </w:p>
        </w:tc>
        <w:tc>
          <w:tcPr>
            <w:tcW w:w="1814" w:type="dxa"/>
          </w:tcPr>
          <w:p w14:paraId="1255AFF1" w14:textId="77777777" w:rsidR="007E7643" w:rsidRPr="00E4016A" w:rsidRDefault="589AF387" w:rsidP="7E32E97F">
            <w:pPr>
              <w:autoSpaceDN/>
              <w:spacing w:after="0" w:line="260" w:lineRule="exact"/>
              <w:jc w:val="both"/>
              <w:rPr>
                <w:rFonts w:cs="Arial"/>
              </w:rPr>
            </w:pPr>
            <w:bookmarkStart w:id="352" w:name="_Toc90562434"/>
            <w:r w:rsidRPr="7E32E97F">
              <w:rPr>
                <w:rFonts w:cs="Arial"/>
              </w:rPr>
              <w:t>Priloga IV Uredbe EU 2021/1060</w:t>
            </w:r>
            <w:bookmarkEnd w:id="352"/>
          </w:p>
        </w:tc>
      </w:tr>
      <w:tr w:rsidR="007E7643" w:rsidRPr="00E4016A" w14:paraId="45138656" w14:textId="77777777" w:rsidTr="7E32E97F">
        <w:tc>
          <w:tcPr>
            <w:tcW w:w="4282" w:type="dxa"/>
          </w:tcPr>
          <w:p w14:paraId="7717A65F" w14:textId="77777777" w:rsidR="007E7643" w:rsidRPr="00E4016A" w:rsidRDefault="589AF387" w:rsidP="7E32E97F">
            <w:pPr>
              <w:autoSpaceDN/>
              <w:spacing w:after="0" w:line="260" w:lineRule="exact"/>
              <w:jc w:val="both"/>
              <w:rPr>
                <w:rFonts w:cs="Arial"/>
              </w:rPr>
            </w:pPr>
            <w:bookmarkStart w:id="353" w:name="_Toc90562441"/>
            <w:r w:rsidRPr="7E32E97F">
              <w:rPr>
                <w:rFonts w:cs="Arial"/>
              </w:rPr>
              <w:t>4.6 Strateški okvir politike za zdravstveno varstvo in dolgotrajno</w:t>
            </w:r>
            <w:bookmarkEnd w:id="353"/>
          </w:p>
          <w:p w14:paraId="61567A61" w14:textId="77777777" w:rsidR="007E7643" w:rsidRPr="00E4016A" w:rsidRDefault="589AF387" w:rsidP="7E32E97F">
            <w:pPr>
              <w:autoSpaceDN/>
              <w:spacing w:after="0" w:line="260" w:lineRule="exact"/>
              <w:jc w:val="both"/>
              <w:rPr>
                <w:rFonts w:cs="Arial"/>
              </w:rPr>
            </w:pPr>
            <w:bookmarkStart w:id="354" w:name="_Toc90562442"/>
            <w:r w:rsidRPr="7E32E97F">
              <w:rPr>
                <w:rFonts w:cs="Arial"/>
              </w:rPr>
              <w:t>oskrbo</w:t>
            </w:r>
            <w:bookmarkEnd w:id="354"/>
          </w:p>
        </w:tc>
        <w:tc>
          <w:tcPr>
            <w:tcW w:w="1955" w:type="dxa"/>
          </w:tcPr>
          <w:p w14:paraId="4DA1BC6B" w14:textId="77777777" w:rsidR="007E7643" w:rsidRPr="00E4016A" w:rsidRDefault="589AF387" w:rsidP="7E32E97F">
            <w:pPr>
              <w:autoSpaceDN/>
              <w:spacing w:after="0" w:line="260" w:lineRule="exact"/>
              <w:jc w:val="both"/>
              <w:rPr>
                <w:rFonts w:cs="Arial"/>
              </w:rPr>
            </w:pPr>
            <w:r w:rsidRPr="7E32E97F">
              <w:rPr>
                <w:rFonts w:cs="Arial"/>
              </w:rPr>
              <w:t>DA</w:t>
            </w:r>
          </w:p>
        </w:tc>
        <w:tc>
          <w:tcPr>
            <w:tcW w:w="4678" w:type="dxa"/>
          </w:tcPr>
          <w:p w14:paraId="615C06DC" w14:textId="11DDB411" w:rsidR="007E7643" w:rsidRPr="00E4016A" w:rsidRDefault="589AF387" w:rsidP="7E32E97F">
            <w:pPr>
              <w:autoSpaceDN/>
              <w:spacing w:after="0" w:line="260" w:lineRule="exact"/>
              <w:jc w:val="both"/>
              <w:rPr>
                <w:rFonts w:cs="Arial"/>
              </w:rPr>
            </w:pPr>
            <w:bookmarkStart w:id="355" w:name="_Toc90562444"/>
            <w:r w:rsidRPr="7E32E97F">
              <w:rPr>
                <w:rFonts w:cs="Arial"/>
              </w:rPr>
              <w:t>Mapiranje potreb po zdravstvenem varstvu in dolgotrajni oskrbi</w:t>
            </w:r>
            <w:bookmarkEnd w:id="355"/>
            <w:r w:rsidR="25120DC2" w:rsidRPr="7E32E97F">
              <w:rPr>
                <w:rFonts w:cs="Arial"/>
              </w:rPr>
              <w:t xml:space="preserve">, </w:t>
            </w:r>
            <w:r w:rsidRPr="7E32E97F">
              <w:rPr>
                <w:rFonts w:cs="Arial"/>
              </w:rPr>
              <w:t>Resolucija o nacionalnem planu zdravstvenega varstva 2016–2025 »Skupaj za družbo zdravja« (ReNPZV16–25)</w:t>
            </w:r>
          </w:p>
        </w:tc>
        <w:tc>
          <w:tcPr>
            <w:tcW w:w="1872" w:type="dxa"/>
          </w:tcPr>
          <w:p w14:paraId="228018DD" w14:textId="77777777" w:rsidR="007E7643" w:rsidRPr="00E4016A" w:rsidRDefault="589AF387" w:rsidP="7E32E97F">
            <w:pPr>
              <w:autoSpaceDN/>
              <w:spacing w:after="0" w:line="260" w:lineRule="exact"/>
              <w:jc w:val="both"/>
              <w:rPr>
                <w:rFonts w:cs="Arial"/>
              </w:rPr>
            </w:pPr>
            <w:r w:rsidRPr="7E32E97F">
              <w:rPr>
                <w:rFonts w:cs="Arial"/>
              </w:rPr>
              <w:t>MZ</w:t>
            </w:r>
          </w:p>
          <w:p w14:paraId="2746A230" w14:textId="77777777" w:rsidR="007E7643" w:rsidRPr="00E4016A" w:rsidRDefault="007E7643" w:rsidP="7E32E97F">
            <w:pPr>
              <w:autoSpaceDN/>
              <w:spacing w:after="0" w:line="260" w:lineRule="exact"/>
              <w:jc w:val="both"/>
              <w:rPr>
                <w:rFonts w:cs="Arial"/>
              </w:rPr>
            </w:pPr>
          </w:p>
        </w:tc>
        <w:tc>
          <w:tcPr>
            <w:tcW w:w="1814" w:type="dxa"/>
          </w:tcPr>
          <w:p w14:paraId="5BC8E55A" w14:textId="77777777" w:rsidR="007E7643" w:rsidRPr="00E4016A" w:rsidRDefault="589AF387" w:rsidP="7E32E97F">
            <w:pPr>
              <w:autoSpaceDN/>
              <w:spacing w:after="0" w:line="260" w:lineRule="exact"/>
              <w:jc w:val="both"/>
              <w:rPr>
                <w:rFonts w:cs="Arial"/>
              </w:rPr>
            </w:pPr>
            <w:bookmarkStart w:id="356" w:name="_Toc90562447"/>
            <w:r w:rsidRPr="7E32E97F">
              <w:rPr>
                <w:rFonts w:cs="Arial"/>
              </w:rPr>
              <w:t>Priloga IV Uredbe EU 2021/1060</w:t>
            </w:r>
            <w:bookmarkEnd w:id="356"/>
          </w:p>
        </w:tc>
      </w:tr>
    </w:tbl>
    <w:p w14:paraId="5528CED2" w14:textId="569F3E8F" w:rsidR="00ED5676" w:rsidRPr="00B05431" w:rsidRDefault="00ED5676" w:rsidP="003151B4">
      <w:pPr>
        <w:spacing w:line="240" w:lineRule="auto"/>
        <w:jc w:val="both"/>
        <w:rPr>
          <w:rFonts w:cs="Arial"/>
          <w:sz w:val="22"/>
          <w:szCs w:val="22"/>
        </w:rPr>
      </w:pPr>
    </w:p>
    <w:sectPr w:rsidR="00ED5676" w:rsidRPr="00B05431" w:rsidSect="0046697C">
      <w:pgSz w:w="16838" w:h="11906" w:orient="landscape"/>
      <w:pgMar w:top="1134" w:right="1418" w:bottom="1418" w:left="851"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4339" w14:textId="77777777" w:rsidR="00760DA8" w:rsidRDefault="00760DA8">
      <w:pPr>
        <w:spacing w:after="0" w:line="240" w:lineRule="auto"/>
      </w:pPr>
      <w:r>
        <w:separator/>
      </w:r>
    </w:p>
  </w:endnote>
  <w:endnote w:type="continuationSeparator" w:id="0">
    <w:p w14:paraId="1014CA35" w14:textId="77777777" w:rsidR="00760DA8" w:rsidRDefault="00760DA8">
      <w:pPr>
        <w:spacing w:after="0" w:line="240" w:lineRule="auto"/>
      </w:pPr>
      <w:r>
        <w:continuationSeparator/>
      </w:r>
    </w:p>
  </w:endnote>
  <w:endnote w:type="continuationNotice" w:id="1">
    <w:p w14:paraId="323B5CAF" w14:textId="77777777" w:rsidR="00760DA8" w:rsidRDefault="00760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quot;Calibri&quot;,sans-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GGothicM">
    <w:altName w:val="MS Gothic"/>
    <w:charset w:val="80"/>
    <w:family w:val="modern"/>
    <w:pitch w:val="fixed"/>
    <w:sig w:usb0="80000281" w:usb1="28C76CF8" w:usb2="00000010" w:usb3="00000000" w:csb0="00020000" w:csb1="00000000"/>
  </w:font>
  <w:font w:name="HGSMinchoE">
    <w:charset w:val="80"/>
    <w:family w:val="roman"/>
    <w:pitch w:val="variable"/>
    <w:sig w:usb0="E00002FF" w:usb1="2AC7EDFE" w:usb2="00000012" w:usb3="00000000" w:csb0="00020001" w:csb1="00000000"/>
  </w:font>
  <w:font w:name="Garamond">
    <w:panose1 w:val="02020404030301010803"/>
    <w:charset w:val="EE"/>
    <w:family w:val="roman"/>
    <w:pitch w:val="variable"/>
    <w:sig w:usb0="00000287" w:usb1="00000000" w:usb2="00000000" w:usb3="00000000" w:csb0="0000009F" w:csb1="00000000"/>
  </w:font>
  <w:font w:name="Liberation Sans">
    <w:altName w:val="Arial"/>
    <w:charset w:val="01"/>
    <w:family w:val="swiss"/>
    <w:pitch w:val="default"/>
  </w:font>
  <w:font w:name="CG Times">
    <w:charset w:val="01"/>
    <w:family w:val="roman"/>
    <w:pitch w:val="variable"/>
  </w:font>
  <w:font w:name="Franklin Gothic Medium">
    <w:panose1 w:val="020B0603020102020204"/>
    <w:charset w:val="EE"/>
    <w:family w:val="swiss"/>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4CDF" w14:textId="4F594DD9" w:rsidR="00306071" w:rsidRDefault="7E32E97F" w:rsidP="00623803">
    <w:pPr>
      <w:pStyle w:val="Noga"/>
      <w:jc w:val="right"/>
    </w:pPr>
    <w:r w:rsidRPr="7E32E97F">
      <w:rPr>
        <w:color w:val="5B9BD5" w:themeColor="accent5"/>
        <w:sz w:val="16"/>
        <w:szCs w:val="16"/>
      </w:rPr>
      <w:t xml:space="preserve">Stran </w:t>
    </w:r>
    <w:r w:rsidR="00306071" w:rsidRPr="7E32E97F">
      <w:rPr>
        <w:b/>
        <w:bCs/>
        <w:color w:val="5B9BD5" w:themeColor="accent5"/>
        <w:sz w:val="16"/>
        <w:szCs w:val="16"/>
      </w:rPr>
      <w:fldChar w:fldCharType="begin"/>
    </w:r>
    <w:r w:rsidR="00306071" w:rsidRPr="7E32E97F">
      <w:rPr>
        <w:b/>
        <w:bCs/>
        <w:color w:val="5B9BD5" w:themeColor="accent5"/>
        <w:sz w:val="16"/>
        <w:szCs w:val="16"/>
      </w:rPr>
      <w:instrText xml:space="preserve"> PAGE </w:instrText>
    </w:r>
    <w:r w:rsidR="00306071" w:rsidRPr="7E32E97F">
      <w:rPr>
        <w:b/>
        <w:bCs/>
        <w:color w:val="5B9BD5" w:themeColor="accent5"/>
        <w:sz w:val="16"/>
        <w:szCs w:val="16"/>
      </w:rPr>
      <w:fldChar w:fldCharType="separate"/>
    </w:r>
    <w:r w:rsidRPr="7E32E97F">
      <w:rPr>
        <w:b/>
        <w:bCs/>
        <w:color w:val="5B9BD5" w:themeColor="accent5"/>
        <w:sz w:val="16"/>
        <w:szCs w:val="16"/>
      </w:rPr>
      <w:t>45</w:t>
    </w:r>
    <w:r w:rsidR="00306071" w:rsidRPr="7E32E97F">
      <w:rPr>
        <w:b/>
        <w:bCs/>
        <w:color w:val="5B9BD5" w:themeColor="accent5"/>
        <w:sz w:val="16"/>
        <w:szCs w:val="16"/>
      </w:rPr>
      <w:fldChar w:fldCharType="end"/>
    </w:r>
    <w:r w:rsidRPr="7E32E97F">
      <w:rPr>
        <w:color w:val="5B9BD5" w:themeColor="accent5"/>
        <w:sz w:val="16"/>
        <w:szCs w:val="16"/>
      </w:rPr>
      <w:t xml:space="preserve"> od </w:t>
    </w:r>
    <w:r w:rsidR="00306071" w:rsidRPr="7E32E97F">
      <w:rPr>
        <w:b/>
        <w:bCs/>
        <w:color w:val="5B9BD5" w:themeColor="accent5"/>
        <w:sz w:val="16"/>
        <w:szCs w:val="16"/>
      </w:rPr>
      <w:fldChar w:fldCharType="begin"/>
    </w:r>
    <w:r w:rsidR="00306071" w:rsidRPr="7E32E97F">
      <w:rPr>
        <w:b/>
        <w:bCs/>
        <w:color w:val="5B9BD5" w:themeColor="accent5"/>
        <w:sz w:val="16"/>
        <w:szCs w:val="16"/>
      </w:rPr>
      <w:instrText xml:space="preserve"> NUMPAGES </w:instrText>
    </w:r>
    <w:r w:rsidR="00306071" w:rsidRPr="7E32E97F">
      <w:rPr>
        <w:b/>
        <w:bCs/>
        <w:color w:val="5B9BD5" w:themeColor="accent5"/>
        <w:sz w:val="16"/>
        <w:szCs w:val="16"/>
      </w:rPr>
      <w:fldChar w:fldCharType="separate"/>
    </w:r>
    <w:r w:rsidRPr="7E32E97F">
      <w:rPr>
        <w:b/>
        <w:bCs/>
        <w:color w:val="5B9BD5" w:themeColor="accent5"/>
        <w:sz w:val="16"/>
        <w:szCs w:val="16"/>
      </w:rPr>
      <w:t>46</w:t>
    </w:r>
    <w:r w:rsidR="00306071" w:rsidRPr="7E32E97F">
      <w:rPr>
        <w:b/>
        <w:bCs/>
        <w:color w:val="5B9BD5" w:themeColor="accent5"/>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66C9" w14:textId="77777777" w:rsidR="009D68EB" w:rsidRPr="00485B7D" w:rsidRDefault="7E32E97F">
    <w:pPr>
      <w:pStyle w:val="Noga"/>
      <w:jc w:val="right"/>
      <w:rPr>
        <w:color w:val="5B9BD5"/>
        <w:sz w:val="16"/>
        <w:szCs w:val="16"/>
      </w:rPr>
    </w:pPr>
    <w:r w:rsidRPr="7E32E97F">
      <w:rPr>
        <w:color w:val="5B9BD5" w:themeColor="accent5"/>
        <w:sz w:val="16"/>
        <w:szCs w:val="16"/>
      </w:rPr>
      <w:t xml:space="preserve">Stran </w:t>
    </w:r>
    <w:r w:rsidR="009D68EB" w:rsidRPr="7E32E97F">
      <w:rPr>
        <w:b/>
        <w:bCs/>
        <w:color w:val="5B9BD5" w:themeColor="accent5"/>
        <w:sz w:val="16"/>
        <w:szCs w:val="16"/>
      </w:rPr>
      <w:fldChar w:fldCharType="begin"/>
    </w:r>
    <w:r w:rsidR="009D68EB" w:rsidRPr="7E32E97F">
      <w:rPr>
        <w:b/>
        <w:bCs/>
        <w:color w:val="5B9BD5" w:themeColor="accent5"/>
        <w:sz w:val="16"/>
        <w:szCs w:val="16"/>
      </w:rPr>
      <w:instrText>PAGE</w:instrText>
    </w:r>
    <w:r w:rsidR="009D68EB" w:rsidRPr="7E32E97F">
      <w:rPr>
        <w:b/>
        <w:bCs/>
        <w:color w:val="5B9BD5" w:themeColor="accent5"/>
        <w:sz w:val="16"/>
        <w:szCs w:val="16"/>
      </w:rPr>
      <w:fldChar w:fldCharType="separate"/>
    </w:r>
    <w:r w:rsidRPr="7E32E97F">
      <w:rPr>
        <w:b/>
        <w:bCs/>
        <w:color w:val="5B9BD5" w:themeColor="accent5"/>
        <w:sz w:val="16"/>
        <w:szCs w:val="16"/>
      </w:rPr>
      <w:t>43</w:t>
    </w:r>
    <w:r w:rsidR="009D68EB" w:rsidRPr="7E32E97F">
      <w:rPr>
        <w:b/>
        <w:bCs/>
        <w:color w:val="5B9BD5" w:themeColor="accent5"/>
        <w:sz w:val="16"/>
        <w:szCs w:val="16"/>
      </w:rPr>
      <w:fldChar w:fldCharType="end"/>
    </w:r>
    <w:r w:rsidRPr="7E32E97F">
      <w:rPr>
        <w:color w:val="5B9BD5" w:themeColor="accent5"/>
        <w:sz w:val="16"/>
        <w:szCs w:val="16"/>
      </w:rPr>
      <w:t xml:space="preserve"> od </w:t>
    </w:r>
    <w:r w:rsidR="009D68EB" w:rsidRPr="7E32E97F">
      <w:rPr>
        <w:b/>
        <w:bCs/>
        <w:color w:val="5B9BD5" w:themeColor="accent5"/>
        <w:sz w:val="16"/>
        <w:szCs w:val="16"/>
      </w:rPr>
      <w:fldChar w:fldCharType="begin"/>
    </w:r>
    <w:r w:rsidR="009D68EB" w:rsidRPr="7E32E97F">
      <w:rPr>
        <w:b/>
        <w:bCs/>
        <w:color w:val="5B9BD5" w:themeColor="accent5"/>
        <w:sz w:val="16"/>
        <w:szCs w:val="16"/>
      </w:rPr>
      <w:instrText xml:space="preserve"> NUMPAGES  </w:instrText>
    </w:r>
    <w:r w:rsidR="009D68EB" w:rsidRPr="7E32E97F">
      <w:rPr>
        <w:b/>
        <w:bCs/>
        <w:color w:val="5B9BD5" w:themeColor="accent5"/>
        <w:sz w:val="16"/>
        <w:szCs w:val="16"/>
      </w:rPr>
      <w:fldChar w:fldCharType="separate"/>
    </w:r>
    <w:r w:rsidRPr="7E32E97F">
      <w:rPr>
        <w:b/>
        <w:bCs/>
        <w:color w:val="5B9BD5" w:themeColor="accent5"/>
        <w:sz w:val="16"/>
        <w:szCs w:val="16"/>
      </w:rPr>
      <w:t>43</w:t>
    </w:r>
    <w:r w:rsidR="009D68EB" w:rsidRPr="7E32E97F">
      <w:rPr>
        <w:b/>
        <w:bCs/>
        <w:color w:val="5B9BD5" w:themeColor="accent5"/>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65E7" w14:textId="21F69C06" w:rsidR="00306071" w:rsidRDefault="7E32E97F" w:rsidP="00623803">
    <w:pPr>
      <w:pStyle w:val="Noga"/>
      <w:jc w:val="right"/>
    </w:pPr>
    <w:r w:rsidRPr="7E32E97F">
      <w:rPr>
        <w:color w:val="5B9BD5" w:themeColor="accent5"/>
        <w:sz w:val="16"/>
        <w:szCs w:val="16"/>
      </w:rPr>
      <w:t xml:space="preserve">Stran </w:t>
    </w:r>
    <w:r w:rsidR="00306071" w:rsidRPr="7E32E97F">
      <w:rPr>
        <w:b/>
        <w:bCs/>
        <w:color w:val="5B9BD5" w:themeColor="accent5"/>
        <w:sz w:val="16"/>
        <w:szCs w:val="16"/>
      </w:rPr>
      <w:fldChar w:fldCharType="begin"/>
    </w:r>
    <w:r w:rsidR="00306071" w:rsidRPr="7E32E97F">
      <w:rPr>
        <w:b/>
        <w:bCs/>
        <w:color w:val="5B9BD5" w:themeColor="accent5"/>
        <w:sz w:val="16"/>
        <w:szCs w:val="16"/>
      </w:rPr>
      <w:instrText xml:space="preserve"> PAGE </w:instrText>
    </w:r>
    <w:r w:rsidR="00306071" w:rsidRPr="7E32E97F">
      <w:rPr>
        <w:b/>
        <w:bCs/>
        <w:color w:val="5B9BD5" w:themeColor="accent5"/>
        <w:sz w:val="16"/>
        <w:szCs w:val="16"/>
      </w:rPr>
      <w:fldChar w:fldCharType="separate"/>
    </w:r>
    <w:r w:rsidRPr="7E32E97F">
      <w:rPr>
        <w:b/>
        <w:bCs/>
        <w:color w:val="5B9BD5" w:themeColor="accent5"/>
        <w:sz w:val="16"/>
        <w:szCs w:val="16"/>
      </w:rPr>
      <w:t>45</w:t>
    </w:r>
    <w:r w:rsidR="00306071" w:rsidRPr="7E32E97F">
      <w:rPr>
        <w:b/>
        <w:bCs/>
        <w:color w:val="5B9BD5" w:themeColor="accent5"/>
        <w:sz w:val="16"/>
        <w:szCs w:val="16"/>
      </w:rPr>
      <w:fldChar w:fldCharType="end"/>
    </w:r>
    <w:r w:rsidRPr="7E32E97F">
      <w:rPr>
        <w:color w:val="5B9BD5" w:themeColor="accent5"/>
        <w:sz w:val="16"/>
        <w:szCs w:val="16"/>
      </w:rPr>
      <w:t xml:space="preserve"> od </w:t>
    </w:r>
    <w:r w:rsidR="00306071" w:rsidRPr="7E32E97F">
      <w:rPr>
        <w:b/>
        <w:bCs/>
        <w:color w:val="5B9BD5" w:themeColor="accent5"/>
        <w:sz w:val="16"/>
        <w:szCs w:val="16"/>
      </w:rPr>
      <w:fldChar w:fldCharType="begin"/>
    </w:r>
    <w:r w:rsidR="00306071" w:rsidRPr="7E32E97F">
      <w:rPr>
        <w:b/>
        <w:bCs/>
        <w:color w:val="5B9BD5" w:themeColor="accent5"/>
        <w:sz w:val="16"/>
        <w:szCs w:val="16"/>
      </w:rPr>
      <w:instrText xml:space="preserve"> NUMPAGES </w:instrText>
    </w:r>
    <w:r w:rsidR="00306071" w:rsidRPr="7E32E97F">
      <w:rPr>
        <w:b/>
        <w:bCs/>
        <w:color w:val="5B9BD5" w:themeColor="accent5"/>
        <w:sz w:val="16"/>
        <w:szCs w:val="16"/>
      </w:rPr>
      <w:fldChar w:fldCharType="separate"/>
    </w:r>
    <w:r w:rsidRPr="7E32E97F">
      <w:rPr>
        <w:b/>
        <w:bCs/>
        <w:color w:val="5B9BD5" w:themeColor="accent5"/>
        <w:sz w:val="16"/>
        <w:szCs w:val="16"/>
      </w:rPr>
      <w:t>46</w:t>
    </w:r>
    <w:r w:rsidR="00306071" w:rsidRPr="7E32E97F">
      <w:rPr>
        <w:b/>
        <w:bCs/>
        <w:color w:val="5B9BD5" w:themeColor="accent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A00D" w14:textId="77777777" w:rsidR="00760DA8" w:rsidRDefault="00760DA8">
      <w:pPr>
        <w:spacing w:after="0" w:line="240" w:lineRule="auto"/>
      </w:pPr>
      <w:r>
        <w:rPr>
          <w:color w:val="000000"/>
        </w:rPr>
        <w:separator/>
      </w:r>
    </w:p>
  </w:footnote>
  <w:footnote w:type="continuationSeparator" w:id="0">
    <w:p w14:paraId="69D9600F" w14:textId="77777777" w:rsidR="00760DA8" w:rsidRDefault="00760DA8">
      <w:pPr>
        <w:spacing w:after="0" w:line="240" w:lineRule="auto"/>
      </w:pPr>
      <w:r>
        <w:continuationSeparator/>
      </w:r>
    </w:p>
  </w:footnote>
  <w:footnote w:type="continuationNotice" w:id="1">
    <w:p w14:paraId="6800F915" w14:textId="77777777" w:rsidR="00760DA8" w:rsidRDefault="00760DA8">
      <w:pPr>
        <w:spacing w:after="0" w:line="240" w:lineRule="auto"/>
      </w:pPr>
    </w:p>
  </w:footnote>
  <w:footnote w:id="2">
    <w:p w14:paraId="6F5DD2EC" w14:textId="77777777" w:rsidR="009D68EB" w:rsidRPr="009D68EB" w:rsidRDefault="009D68EB" w:rsidP="00375290">
      <w:pPr>
        <w:pStyle w:val="Sprotnaopomba-besedilo"/>
        <w:spacing w:after="0"/>
        <w:jc w:val="both"/>
        <w:rPr>
          <w:rFonts w:ascii="Arial" w:hAnsi="Arial" w:cs="Arial"/>
          <w:sz w:val="18"/>
          <w:szCs w:val="18"/>
        </w:rPr>
      </w:pPr>
      <w:r w:rsidRPr="009D68EB">
        <w:rPr>
          <w:rStyle w:val="Sprotnaopomba-sklic"/>
          <w:rFonts w:ascii="Arial" w:hAnsi="Arial" w:cs="Arial"/>
          <w:sz w:val="18"/>
        </w:rPr>
        <w:footnoteRef/>
      </w:r>
      <w:r w:rsidRPr="009D68EB">
        <w:rPr>
          <w:rFonts w:ascii="Arial" w:hAnsi="Arial" w:cs="Arial"/>
          <w:sz w:val="18"/>
        </w:rPr>
        <w:t xml:space="preserve"> </w:t>
      </w:r>
      <w:r w:rsidRPr="009D68EB">
        <w:rPr>
          <w:rFonts w:ascii="Arial" w:hAnsi="Arial" w:cs="Arial"/>
          <w:sz w:val="18"/>
          <w:szCs w:val="18"/>
        </w:rPr>
        <w:t>Vrednost evropskih sredstev, brez slovenske udeležbe. Vrednost vključuje tudi pravice porabe v okviru mehanizma React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FFB6" w14:textId="5B5E9873" w:rsidR="00242E68" w:rsidRPr="00E20BAC" w:rsidRDefault="7E32E97F" w:rsidP="00E20BAC">
    <w:pPr>
      <w:pStyle w:val="Glava"/>
    </w:pPr>
    <w:r w:rsidRPr="7E32E97F">
      <w:rPr>
        <w:rFonts w:ascii="Calibri" w:hAnsi="Calibri" w:cs="Calibri"/>
        <w:color w:val="5B9BD5" w:themeColor="accent5"/>
        <w:sz w:val="17"/>
        <w:szCs w:val="17"/>
      </w:rPr>
      <w:t>POROČILO O IZVAJANJU EVROPSKE KOHEZIJSKE POLITIKE 2021–2027 IN ZAKLJUČEVANJU PROGRAMSKEGA OBDOBJA 2014–2020 ZA OBDOBJE OD JANUARJA 2014 DO DECEMBRA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0015" w14:textId="77777777" w:rsidR="009D68EB" w:rsidRPr="00185E1E" w:rsidRDefault="7E32E97F" w:rsidP="7E32E97F">
    <w:pPr>
      <w:pBdr>
        <w:left w:val="single" w:sz="12" w:space="11" w:color="5B9BD5"/>
      </w:pBdr>
      <w:tabs>
        <w:tab w:val="left" w:pos="3620"/>
        <w:tab w:val="left" w:pos="3964"/>
      </w:tabs>
      <w:spacing w:after="0"/>
      <w:rPr>
        <w:rFonts w:ascii="Calibri Light" w:hAnsi="Calibri Light"/>
        <w:color w:val="2E74B5"/>
        <w:sz w:val="17"/>
        <w:szCs w:val="17"/>
      </w:rPr>
    </w:pPr>
    <w:r w:rsidRPr="7E32E97F">
      <w:rPr>
        <w:rFonts w:cs="Calibri"/>
        <w:color w:val="5B9BD5" w:themeColor="accent5"/>
        <w:sz w:val="17"/>
        <w:szCs w:val="17"/>
      </w:rPr>
      <w:t>POROČILO O IZVAJANJU EVROPSKE KOHEZIJSKE POLITIKE 2014–2020 ZA OBDOBJE OD JANUARJA 2014 DO KONCA DECEMBRA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E3EF" w14:textId="5DE54EE8" w:rsidR="00415250" w:rsidRPr="00E20BAC" w:rsidRDefault="7E32E97F" w:rsidP="00970571">
    <w:pPr>
      <w:pStyle w:val="Glava"/>
      <w:jc w:val="both"/>
    </w:pPr>
    <w:r w:rsidRPr="7E32E97F">
      <w:rPr>
        <w:rFonts w:ascii="Calibri" w:hAnsi="Calibri" w:cs="Calibri"/>
        <w:color w:val="5B9BD5" w:themeColor="accent5"/>
        <w:sz w:val="17"/>
        <w:szCs w:val="17"/>
      </w:rPr>
      <w:t>POROČILO O IZVAJANJU EVROPSKE KOHEZIJSKE POLITIKE 2021–2027 IN ZAKLJUČEVANJU PROGRAMSKEGA OBDOBJA 2014–2020 ZA OBDOBJE OD JANUARJA 2014 DO DECEMBRA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3D43" w14:textId="77777777" w:rsidR="00415250" w:rsidRDefault="00415250">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6F4C" w14:textId="77777777" w:rsidR="00415250" w:rsidRDefault="0041525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DF0"/>
    <w:multiLevelType w:val="hybridMultilevel"/>
    <w:tmpl w:val="33C8D4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C25A7"/>
    <w:multiLevelType w:val="hybridMultilevel"/>
    <w:tmpl w:val="63BA64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4E2A0F"/>
    <w:multiLevelType w:val="hybridMultilevel"/>
    <w:tmpl w:val="7D3C02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4228B6"/>
    <w:multiLevelType w:val="hybridMultilevel"/>
    <w:tmpl w:val="9D1A7ADC"/>
    <w:lvl w:ilvl="0" w:tplc="B0A2D45E">
      <w:start w:val="1"/>
      <w:numFmt w:val="bullet"/>
      <w:lvlText w:val="-"/>
      <w:lvlJc w:val="left"/>
      <w:pPr>
        <w:ind w:left="720" w:hanging="360"/>
      </w:pPr>
      <w:rPr>
        <w:rFonts w:ascii="Aptos" w:hAnsi="Aptos" w:hint="default"/>
      </w:rPr>
    </w:lvl>
    <w:lvl w:ilvl="1" w:tplc="94CCFB1E">
      <w:start w:val="1"/>
      <w:numFmt w:val="bullet"/>
      <w:lvlText w:val="o"/>
      <w:lvlJc w:val="left"/>
      <w:pPr>
        <w:ind w:left="1440" w:hanging="360"/>
      </w:pPr>
      <w:rPr>
        <w:rFonts w:ascii="Courier New" w:hAnsi="Courier New" w:hint="default"/>
      </w:rPr>
    </w:lvl>
    <w:lvl w:ilvl="2" w:tplc="691A67FC">
      <w:start w:val="1"/>
      <w:numFmt w:val="bullet"/>
      <w:lvlText w:val=""/>
      <w:lvlJc w:val="left"/>
      <w:pPr>
        <w:ind w:left="2160" w:hanging="360"/>
      </w:pPr>
      <w:rPr>
        <w:rFonts w:ascii="Wingdings" w:hAnsi="Wingdings" w:hint="default"/>
      </w:rPr>
    </w:lvl>
    <w:lvl w:ilvl="3" w:tplc="C038CBDE">
      <w:start w:val="1"/>
      <w:numFmt w:val="bullet"/>
      <w:lvlText w:val=""/>
      <w:lvlJc w:val="left"/>
      <w:pPr>
        <w:ind w:left="2880" w:hanging="360"/>
      </w:pPr>
      <w:rPr>
        <w:rFonts w:ascii="Symbol" w:hAnsi="Symbol" w:hint="default"/>
      </w:rPr>
    </w:lvl>
    <w:lvl w:ilvl="4" w:tplc="89EE09FE">
      <w:start w:val="1"/>
      <w:numFmt w:val="bullet"/>
      <w:lvlText w:val="o"/>
      <w:lvlJc w:val="left"/>
      <w:pPr>
        <w:ind w:left="3600" w:hanging="360"/>
      </w:pPr>
      <w:rPr>
        <w:rFonts w:ascii="Courier New" w:hAnsi="Courier New" w:hint="default"/>
      </w:rPr>
    </w:lvl>
    <w:lvl w:ilvl="5" w:tplc="B888C9D0">
      <w:start w:val="1"/>
      <w:numFmt w:val="bullet"/>
      <w:lvlText w:val=""/>
      <w:lvlJc w:val="left"/>
      <w:pPr>
        <w:ind w:left="4320" w:hanging="360"/>
      </w:pPr>
      <w:rPr>
        <w:rFonts w:ascii="Wingdings" w:hAnsi="Wingdings" w:hint="default"/>
      </w:rPr>
    </w:lvl>
    <w:lvl w:ilvl="6" w:tplc="C2FAADA8">
      <w:start w:val="1"/>
      <w:numFmt w:val="bullet"/>
      <w:lvlText w:val=""/>
      <w:lvlJc w:val="left"/>
      <w:pPr>
        <w:ind w:left="5040" w:hanging="360"/>
      </w:pPr>
      <w:rPr>
        <w:rFonts w:ascii="Symbol" w:hAnsi="Symbol" w:hint="default"/>
      </w:rPr>
    </w:lvl>
    <w:lvl w:ilvl="7" w:tplc="7D0CD5E2">
      <w:start w:val="1"/>
      <w:numFmt w:val="bullet"/>
      <w:lvlText w:val="o"/>
      <w:lvlJc w:val="left"/>
      <w:pPr>
        <w:ind w:left="5760" w:hanging="360"/>
      </w:pPr>
      <w:rPr>
        <w:rFonts w:ascii="Courier New" w:hAnsi="Courier New" w:hint="default"/>
      </w:rPr>
    </w:lvl>
    <w:lvl w:ilvl="8" w:tplc="D8D4DBB6">
      <w:start w:val="1"/>
      <w:numFmt w:val="bullet"/>
      <w:lvlText w:val=""/>
      <w:lvlJc w:val="left"/>
      <w:pPr>
        <w:ind w:left="6480" w:hanging="360"/>
      </w:pPr>
      <w:rPr>
        <w:rFonts w:ascii="Wingdings" w:hAnsi="Wingdings" w:hint="default"/>
      </w:rPr>
    </w:lvl>
  </w:abstractNum>
  <w:abstractNum w:abstractNumId="4" w15:restartNumberingAfterBreak="0">
    <w:nsid w:val="10416028"/>
    <w:multiLevelType w:val="hybridMultilevel"/>
    <w:tmpl w:val="4D08833A"/>
    <w:lvl w:ilvl="0" w:tplc="D3006512">
      <w:start w:val="1"/>
      <w:numFmt w:val="bullet"/>
      <w:lvlText w:val="-"/>
      <w:lvlJc w:val="left"/>
      <w:pPr>
        <w:ind w:left="720" w:hanging="360"/>
      </w:pPr>
      <w:rPr>
        <w:rFonts w:ascii="Symbol" w:hAnsi="Symbol" w:hint="default"/>
      </w:rPr>
    </w:lvl>
    <w:lvl w:ilvl="1" w:tplc="FF0C3416">
      <w:start w:val="1"/>
      <w:numFmt w:val="bullet"/>
      <w:lvlText w:val="o"/>
      <w:lvlJc w:val="left"/>
      <w:pPr>
        <w:ind w:left="1440" w:hanging="360"/>
      </w:pPr>
      <w:rPr>
        <w:rFonts w:ascii="Courier New" w:hAnsi="Courier New" w:hint="default"/>
      </w:rPr>
    </w:lvl>
    <w:lvl w:ilvl="2" w:tplc="81BA29FC">
      <w:start w:val="1"/>
      <w:numFmt w:val="bullet"/>
      <w:lvlText w:val=""/>
      <w:lvlJc w:val="left"/>
      <w:pPr>
        <w:ind w:left="2160" w:hanging="360"/>
      </w:pPr>
      <w:rPr>
        <w:rFonts w:ascii="Wingdings" w:hAnsi="Wingdings" w:hint="default"/>
      </w:rPr>
    </w:lvl>
    <w:lvl w:ilvl="3" w:tplc="06C872DC">
      <w:start w:val="1"/>
      <w:numFmt w:val="bullet"/>
      <w:lvlText w:val=""/>
      <w:lvlJc w:val="left"/>
      <w:pPr>
        <w:ind w:left="2880" w:hanging="360"/>
      </w:pPr>
      <w:rPr>
        <w:rFonts w:ascii="Symbol" w:hAnsi="Symbol" w:hint="default"/>
      </w:rPr>
    </w:lvl>
    <w:lvl w:ilvl="4" w:tplc="058C3660">
      <w:start w:val="1"/>
      <w:numFmt w:val="bullet"/>
      <w:lvlText w:val="o"/>
      <w:lvlJc w:val="left"/>
      <w:pPr>
        <w:ind w:left="3600" w:hanging="360"/>
      </w:pPr>
      <w:rPr>
        <w:rFonts w:ascii="Courier New" w:hAnsi="Courier New" w:hint="default"/>
      </w:rPr>
    </w:lvl>
    <w:lvl w:ilvl="5" w:tplc="9372FBC8">
      <w:start w:val="1"/>
      <w:numFmt w:val="bullet"/>
      <w:lvlText w:val=""/>
      <w:lvlJc w:val="left"/>
      <w:pPr>
        <w:ind w:left="4320" w:hanging="360"/>
      </w:pPr>
      <w:rPr>
        <w:rFonts w:ascii="Wingdings" w:hAnsi="Wingdings" w:hint="default"/>
      </w:rPr>
    </w:lvl>
    <w:lvl w:ilvl="6" w:tplc="CAFE09EA">
      <w:start w:val="1"/>
      <w:numFmt w:val="bullet"/>
      <w:lvlText w:val=""/>
      <w:lvlJc w:val="left"/>
      <w:pPr>
        <w:ind w:left="5040" w:hanging="360"/>
      </w:pPr>
      <w:rPr>
        <w:rFonts w:ascii="Symbol" w:hAnsi="Symbol" w:hint="default"/>
      </w:rPr>
    </w:lvl>
    <w:lvl w:ilvl="7" w:tplc="C018F998">
      <w:start w:val="1"/>
      <w:numFmt w:val="bullet"/>
      <w:lvlText w:val="o"/>
      <w:lvlJc w:val="left"/>
      <w:pPr>
        <w:ind w:left="5760" w:hanging="360"/>
      </w:pPr>
      <w:rPr>
        <w:rFonts w:ascii="Courier New" w:hAnsi="Courier New" w:hint="default"/>
      </w:rPr>
    </w:lvl>
    <w:lvl w:ilvl="8" w:tplc="C3DEB956">
      <w:start w:val="1"/>
      <w:numFmt w:val="bullet"/>
      <w:lvlText w:val=""/>
      <w:lvlJc w:val="left"/>
      <w:pPr>
        <w:ind w:left="6480" w:hanging="360"/>
      </w:pPr>
      <w:rPr>
        <w:rFonts w:ascii="Wingdings" w:hAnsi="Wingdings" w:hint="default"/>
      </w:rPr>
    </w:lvl>
  </w:abstractNum>
  <w:abstractNum w:abstractNumId="5" w15:restartNumberingAfterBreak="0">
    <w:nsid w:val="159D57AF"/>
    <w:multiLevelType w:val="hybridMultilevel"/>
    <w:tmpl w:val="AC6C163E"/>
    <w:lvl w:ilvl="0" w:tplc="DA64EAF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585D8B"/>
    <w:multiLevelType w:val="hybridMultilevel"/>
    <w:tmpl w:val="E88495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8C43B5"/>
    <w:multiLevelType w:val="hybridMultilevel"/>
    <w:tmpl w:val="53AEA184"/>
    <w:lvl w:ilvl="0" w:tplc="FFFFFFFF">
      <w:start w:val="5"/>
      <w:numFmt w:val="bullet"/>
      <w:lvlText w:val="-"/>
      <w:lvlJc w:val="left"/>
      <w:pPr>
        <w:ind w:left="2520" w:hanging="360"/>
      </w:pPr>
      <w:rPr>
        <w:rFonts w:ascii="Arial" w:eastAsiaTheme="minorHAnsi" w:hAnsi="Arial" w:cs="Arial" w:hint="default"/>
      </w:rPr>
    </w:lvl>
    <w:lvl w:ilvl="1" w:tplc="DA64EAFA">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20D373AC"/>
    <w:multiLevelType w:val="hybridMultilevel"/>
    <w:tmpl w:val="B3C4E6CC"/>
    <w:lvl w:ilvl="0" w:tplc="C4ACAE36">
      <w:start w:val="1"/>
      <w:numFmt w:val="decimal"/>
      <w:lvlText w:val="%1."/>
      <w:lvlJc w:val="left"/>
      <w:pPr>
        <w:ind w:left="720" w:hanging="360"/>
      </w:pPr>
      <w:rPr>
        <w:rFonts w:ascii="Arial" w:eastAsia="Times New Roman"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DF631B"/>
    <w:multiLevelType w:val="multilevel"/>
    <w:tmpl w:val="BC9A082A"/>
    <w:styleLink w:val="LFO37"/>
    <w:lvl w:ilvl="0">
      <w:numFmt w:val="bullet"/>
      <w:pStyle w:val="Oddelek"/>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0" w15:restartNumberingAfterBreak="0">
    <w:nsid w:val="2BA1F32C"/>
    <w:multiLevelType w:val="hybridMultilevel"/>
    <w:tmpl w:val="229ADC1C"/>
    <w:lvl w:ilvl="0" w:tplc="BCE2AE3C">
      <w:start w:val="1"/>
      <w:numFmt w:val="bullet"/>
      <w:lvlText w:val="-"/>
      <w:lvlJc w:val="left"/>
      <w:pPr>
        <w:ind w:left="720" w:hanging="360"/>
      </w:pPr>
      <w:rPr>
        <w:rFonts w:ascii="&quot;Calibri&quot;,sans-serif" w:hAnsi="&quot;Calibri&quot;,sans-serif" w:hint="default"/>
      </w:rPr>
    </w:lvl>
    <w:lvl w:ilvl="1" w:tplc="AF62B6BA">
      <w:start w:val="1"/>
      <w:numFmt w:val="bullet"/>
      <w:lvlText w:val="o"/>
      <w:lvlJc w:val="left"/>
      <w:pPr>
        <w:ind w:left="1440" w:hanging="360"/>
      </w:pPr>
      <w:rPr>
        <w:rFonts w:ascii="Courier New" w:hAnsi="Courier New" w:hint="default"/>
      </w:rPr>
    </w:lvl>
    <w:lvl w:ilvl="2" w:tplc="7420848C">
      <w:start w:val="1"/>
      <w:numFmt w:val="bullet"/>
      <w:lvlText w:val=""/>
      <w:lvlJc w:val="left"/>
      <w:pPr>
        <w:ind w:left="2160" w:hanging="360"/>
      </w:pPr>
      <w:rPr>
        <w:rFonts w:ascii="Wingdings" w:hAnsi="Wingdings" w:hint="default"/>
      </w:rPr>
    </w:lvl>
    <w:lvl w:ilvl="3" w:tplc="8FDA3844">
      <w:start w:val="1"/>
      <w:numFmt w:val="bullet"/>
      <w:lvlText w:val=""/>
      <w:lvlJc w:val="left"/>
      <w:pPr>
        <w:ind w:left="2880" w:hanging="360"/>
      </w:pPr>
      <w:rPr>
        <w:rFonts w:ascii="Symbol" w:hAnsi="Symbol" w:hint="default"/>
      </w:rPr>
    </w:lvl>
    <w:lvl w:ilvl="4" w:tplc="DF1A824A">
      <w:start w:val="1"/>
      <w:numFmt w:val="bullet"/>
      <w:lvlText w:val="o"/>
      <w:lvlJc w:val="left"/>
      <w:pPr>
        <w:ind w:left="3600" w:hanging="360"/>
      </w:pPr>
      <w:rPr>
        <w:rFonts w:ascii="Courier New" w:hAnsi="Courier New" w:hint="default"/>
      </w:rPr>
    </w:lvl>
    <w:lvl w:ilvl="5" w:tplc="D21E5682">
      <w:start w:val="1"/>
      <w:numFmt w:val="bullet"/>
      <w:lvlText w:val=""/>
      <w:lvlJc w:val="left"/>
      <w:pPr>
        <w:ind w:left="4320" w:hanging="360"/>
      </w:pPr>
      <w:rPr>
        <w:rFonts w:ascii="Wingdings" w:hAnsi="Wingdings" w:hint="default"/>
      </w:rPr>
    </w:lvl>
    <w:lvl w:ilvl="6" w:tplc="4F04B926">
      <w:start w:val="1"/>
      <w:numFmt w:val="bullet"/>
      <w:lvlText w:val=""/>
      <w:lvlJc w:val="left"/>
      <w:pPr>
        <w:ind w:left="5040" w:hanging="360"/>
      </w:pPr>
      <w:rPr>
        <w:rFonts w:ascii="Symbol" w:hAnsi="Symbol" w:hint="default"/>
      </w:rPr>
    </w:lvl>
    <w:lvl w:ilvl="7" w:tplc="9B06D654">
      <w:start w:val="1"/>
      <w:numFmt w:val="bullet"/>
      <w:lvlText w:val="o"/>
      <w:lvlJc w:val="left"/>
      <w:pPr>
        <w:ind w:left="5760" w:hanging="360"/>
      </w:pPr>
      <w:rPr>
        <w:rFonts w:ascii="Courier New" w:hAnsi="Courier New" w:hint="default"/>
      </w:rPr>
    </w:lvl>
    <w:lvl w:ilvl="8" w:tplc="FACCF09E">
      <w:start w:val="1"/>
      <w:numFmt w:val="bullet"/>
      <w:lvlText w:val=""/>
      <w:lvlJc w:val="left"/>
      <w:pPr>
        <w:ind w:left="6480" w:hanging="360"/>
      </w:pPr>
      <w:rPr>
        <w:rFonts w:ascii="Wingdings" w:hAnsi="Wingdings" w:hint="default"/>
      </w:rPr>
    </w:lvl>
  </w:abstractNum>
  <w:abstractNum w:abstractNumId="11" w15:restartNumberingAfterBreak="0">
    <w:nsid w:val="2C3105BD"/>
    <w:multiLevelType w:val="hybridMultilevel"/>
    <w:tmpl w:val="ADA05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392A77"/>
    <w:multiLevelType w:val="hybridMultilevel"/>
    <w:tmpl w:val="5926919A"/>
    <w:lvl w:ilvl="0" w:tplc="3F62F65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1A750C"/>
    <w:multiLevelType w:val="hybridMultilevel"/>
    <w:tmpl w:val="9A66B8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3D8BDD"/>
    <w:multiLevelType w:val="hybridMultilevel"/>
    <w:tmpl w:val="FFFFFFFF"/>
    <w:lvl w:ilvl="0" w:tplc="31A03B40">
      <w:start w:val="1"/>
      <w:numFmt w:val="bullet"/>
      <w:lvlText w:val="·"/>
      <w:lvlJc w:val="left"/>
      <w:pPr>
        <w:ind w:left="720" w:hanging="360"/>
      </w:pPr>
      <w:rPr>
        <w:rFonts w:ascii="Symbol" w:hAnsi="Symbol" w:hint="default"/>
      </w:rPr>
    </w:lvl>
    <w:lvl w:ilvl="1" w:tplc="75D290AE">
      <w:start w:val="1"/>
      <w:numFmt w:val="bullet"/>
      <w:lvlText w:val="o"/>
      <w:lvlJc w:val="left"/>
      <w:pPr>
        <w:ind w:left="1440" w:hanging="360"/>
      </w:pPr>
      <w:rPr>
        <w:rFonts w:ascii="Courier New" w:hAnsi="Courier New" w:hint="default"/>
      </w:rPr>
    </w:lvl>
    <w:lvl w:ilvl="2" w:tplc="D30E38DE">
      <w:start w:val="1"/>
      <w:numFmt w:val="bullet"/>
      <w:lvlText w:val=""/>
      <w:lvlJc w:val="left"/>
      <w:pPr>
        <w:ind w:left="2160" w:hanging="360"/>
      </w:pPr>
      <w:rPr>
        <w:rFonts w:ascii="Wingdings" w:hAnsi="Wingdings" w:hint="default"/>
      </w:rPr>
    </w:lvl>
    <w:lvl w:ilvl="3" w:tplc="0EB246F6">
      <w:start w:val="1"/>
      <w:numFmt w:val="bullet"/>
      <w:lvlText w:val=""/>
      <w:lvlJc w:val="left"/>
      <w:pPr>
        <w:ind w:left="2880" w:hanging="360"/>
      </w:pPr>
      <w:rPr>
        <w:rFonts w:ascii="Symbol" w:hAnsi="Symbol" w:hint="default"/>
      </w:rPr>
    </w:lvl>
    <w:lvl w:ilvl="4" w:tplc="AB068D0C">
      <w:start w:val="1"/>
      <w:numFmt w:val="bullet"/>
      <w:lvlText w:val="o"/>
      <w:lvlJc w:val="left"/>
      <w:pPr>
        <w:ind w:left="3600" w:hanging="360"/>
      </w:pPr>
      <w:rPr>
        <w:rFonts w:ascii="Courier New" w:hAnsi="Courier New" w:hint="default"/>
      </w:rPr>
    </w:lvl>
    <w:lvl w:ilvl="5" w:tplc="97DA00C4">
      <w:start w:val="1"/>
      <w:numFmt w:val="bullet"/>
      <w:lvlText w:val=""/>
      <w:lvlJc w:val="left"/>
      <w:pPr>
        <w:ind w:left="4320" w:hanging="360"/>
      </w:pPr>
      <w:rPr>
        <w:rFonts w:ascii="Wingdings" w:hAnsi="Wingdings" w:hint="default"/>
      </w:rPr>
    </w:lvl>
    <w:lvl w:ilvl="6" w:tplc="A4CCAA2E">
      <w:start w:val="1"/>
      <w:numFmt w:val="bullet"/>
      <w:lvlText w:val=""/>
      <w:lvlJc w:val="left"/>
      <w:pPr>
        <w:ind w:left="5040" w:hanging="360"/>
      </w:pPr>
      <w:rPr>
        <w:rFonts w:ascii="Symbol" w:hAnsi="Symbol" w:hint="default"/>
      </w:rPr>
    </w:lvl>
    <w:lvl w:ilvl="7" w:tplc="134C8B12">
      <w:start w:val="1"/>
      <w:numFmt w:val="bullet"/>
      <w:lvlText w:val="o"/>
      <w:lvlJc w:val="left"/>
      <w:pPr>
        <w:ind w:left="5760" w:hanging="360"/>
      </w:pPr>
      <w:rPr>
        <w:rFonts w:ascii="Courier New" w:hAnsi="Courier New" w:hint="default"/>
      </w:rPr>
    </w:lvl>
    <w:lvl w:ilvl="8" w:tplc="DDA8055E">
      <w:start w:val="1"/>
      <w:numFmt w:val="bullet"/>
      <w:lvlText w:val=""/>
      <w:lvlJc w:val="left"/>
      <w:pPr>
        <w:ind w:left="6480" w:hanging="360"/>
      </w:pPr>
      <w:rPr>
        <w:rFonts w:ascii="Wingdings" w:hAnsi="Wingdings" w:hint="default"/>
      </w:rPr>
    </w:lvl>
  </w:abstractNum>
  <w:abstractNum w:abstractNumId="15" w15:restartNumberingAfterBreak="0">
    <w:nsid w:val="33434BBD"/>
    <w:multiLevelType w:val="multilevel"/>
    <w:tmpl w:val="A7C478EC"/>
    <w:styleLink w:val="LFO42"/>
    <w:lvl w:ilvl="0">
      <w:start w:val="1"/>
      <w:numFmt w:val="decimal"/>
      <w:pStyle w:val="Naslov1"/>
      <w:lvlText w:val="%1."/>
      <w:lvlJc w:val="left"/>
      <w:pPr>
        <w:ind w:left="720"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 w15:restartNumberingAfterBreak="0">
    <w:nsid w:val="35190937"/>
    <w:multiLevelType w:val="hybridMultilevel"/>
    <w:tmpl w:val="FFFFFFFF"/>
    <w:lvl w:ilvl="0" w:tplc="1D92BCBE">
      <w:start w:val="1"/>
      <w:numFmt w:val="bullet"/>
      <w:lvlText w:val=""/>
      <w:lvlJc w:val="left"/>
      <w:pPr>
        <w:ind w:left="720" w:hanging="360"/>
      </w:pPr>
      <w:rPr>
        <w:rFonts w:ascii="Symbol" w:hAnsi="Symbol" w:hint="default"/>
      </w:rPr>
    </w:lvl>
    <w:lvl w:ilvl="1" w:tplc="77F4365C">
      <w:start w:val="1"/>
      <w:numFmt w:val="bullet"/>
      <w:lvlText w:val="o"/>
      <w:lvlJc w:val="left"/>
      <w:pPr>
        <w:ind w:left="1440" w:hanging="360"/>
      </w:pPr>
      <w:rPr>
        <w:rFonts w:ascii="Courier New" w:hAnsi="Courier New" w:hint="default"/>
      </w:rPr>
    </w:lvl>
    <w:lvl w:ilvl="2" w:tplc="DECE0CB4">
      <w:start w:val="1"/>
      <w:numFmt w:val="bullet"/>
      <w:lvlText w:val=""/>
      <w:lvlJc w:val="left"/>
      <w:pPr>
        <w:ind w:left="2160" w:hanging="360"/>
      </w:pPr>
      <w:rPr>
        <w:rFonts w:ascii="Wingdings" w:hAnsi="Wingdings" w:hint="default"/>
      </w:rPr>
    </w:lvl>
    <w:lvl w:ilvl="3" w:tplc="B070297A">
      <w:start w:val="1"/>
      <w:numFmt w:val="bullet"/>
      <w:lvlText w:val=""/>
      <w:lvlJc w:val="left"/>
      <w:pPr>
        <w:ind w:left="2880" w:hanging="360"/>
      </w:pPr>
      <w:rPr>
        <w:rFonts w:ascii="Symbol" w:hAnsi="Symbol" w:hint="default"/>
      </w:rPr>
    </w:lvl>
    <w:lvl w:ilvl="4" w:tplc="A19EA674">
      <w:start w:val="1"/>
      <w:numFmt w:val="bullet"/>
      <w:lvlText w:val="o"/>
      <w:lvlJc w:val="left"/>
      <w:pPr>
        <w:ind w:left="3600" w:hanging="360"/>
      </w:pPr>
      <w:rPr>
        <w:rFonts w:ascii="Courier New" w:hAnsi="Courier New" w:hint="default"/>
      </w:rPr>
    </w:lvl>
    <w:lvl w:ilvl="5" w:tplc="2A8EF0B4">
      <w:start w:val="1"/>
      <w:numFmt w:val="bullet"/>
      <w:lvlText w:val=""/>
      <w:lvlJc w:val="left"/>
      <w:pPr>
        <w:ind w:left="4320" w:hanging="360"/>
      </w:pPr>
      <w:rPr>
        <w:rFonts w:ascii="Wingdings" w:hAnsi="Wingdings" w:hint="default"/>
      </w:rPr>
    </w:lvl>
    <w:lvl w:ilvl="6" w:tplc="DE9CC1C4">
      <w:start w:val="1"/>
      <w:numFmt w:val="bullet"/>
      <w:lvlText w:val=""/>
      <w:lvlJc w:val="left"/>
      <w:pPr>
        <w:ind w:left="5040" w:hanging="360"/>
      </w:pPr>
      <w:rPr>
        <w:rFonts w:ascii="Symbol" w:hAnsi="Symbol" w:hint="default"/>
      </w:rPr>
    </w:lvl>
    <w:lvl w:ilvl="7" w:tplc="FB4C56DA">
      <w:start w:val="1"/>
      <w:numFmt w:val="bullet"/>
      <w:lvlText w:val="o"/>
      <w:lvlJc w:val="left"/>
      <w:pPr>
        <w:ind w:left="5760" w:hanging="360"/>
      </w:pPr>
      <w:rPr>
        <w:rFonts w:ascii="Courier New" w:hAnsi="Courier New" w:hint="default"/>
      </w:rPr>
    </w:lvl>
    <w:lvl w:ilvl="8" w:tplc="41222292">
      <w:start w:val="1"/>
      <w:numFmt w:val="bullet"/>
      <w:lvlText w:val=""/>
      <w:lvlJc w:val="left"/>
      <w:pPr>
        <w:ind w:left="6480" w:hanging="360"/>
      </w:pPr>
      <w:rPr>
        <w:rFonts w:ascii="Wingdings" w:hAnsi="Wingdings" w:hint="default"/>
      </w:rPr>
    </w:lvl>
  </w:abstractNum>
  <w:abstractNum w:abstractNumId="17" w15:restartNumberingAfterBreak="0">
    <w:nsid w:val="394A1983"/>
    <w:multiLevelType w:val="hybridMultilevel"/>
    <w:tmpl w:val="C0AE8BFA"/>
    <w:lvl w:ilvl="0" w:tplc="04240001">
      <w:start w:val="1"/>
      <w:numFmt w:val="bullet"/>
      <w:lvlText w:val=""/>
      <w:lvlJc w:val="left"/>
      <w:pPr>
        <w:ind w:left="720" w:hanging="360"/>
      </w:pPr>
      <w:rPr>
        <w:rFonts w:ascii="Symbol" w:hAnsi="Symbol" w:hint="default"/>
      </w:rPr>
    </w:lvl>
    <w:lvl w:ilvl="1" w:tplc="B43CE632">
      <w:start w:val="1"/>
      <w:numFmt w:val="bullet"/>
      <w:lvlText w:val="o"/>
      <w:lvlJc w:val="left"/>
      <w:pPr>
        <w:ind w:left="1440" w:hanging="360"/>
      </w:pPr>
      <w:rPr>
        <w:rFonts w:ascii="Courier New" w:hAnsi="Courier New" w:hint="default"/>
      </w:rPr>
    </w:lvl>
    <w:lvl w:ilvl="2" w:tplc="9000F47E">
      <w:start w:val="1"/>
      <w:numFmt w:val="bullet"/>
      <w:lvlText w:val=""/>
      <w:lvlJc w:val="left"/>
      <w:pPr>
        <w:ind w:left="2160" w:hanging="360"/>
      </w:pPr>
      <w:rPr>
        <w:rFonts w:ascii="Wingdings" w:hAnsi="Wingdings" w:hint="default"/>
      </w:rPr>
    </w:lvl>
    <w:lvl w:ilvl="3" w:tplc="36C0C2E2">
      <w:start w:val="1"/>
      <w:numFmt w:val="bullet"/>
      <w:lvlText w:val=""/>
      <w:lvlJc w:val="left"/>
      <w:pPr>
        <w:ind w:left="2880" w:hanging="360"/>
      </w:pPr>
      <w:rPr>
        <w:rFonts w:ascii="Symbol" w:hAnsi="Symbol" w:hint="default"/>
      </w:rPr>
    </w:lvl>
    <w:lvl w:ilvl="4" w:tplc="D040DFBC">
      <w:start w:val="1"/>
      <w:numFmt w:val="bullet"/>
      <w:lvlText w:val="o"/>
      <w:lvlJc w:val="left"/>
      <w:pPr>
        <w:ind w:left="3600" w:hanging="360"/>
      </w:pPr>
      <w:rPr>
        <w:rFonts w:ascii="Courier New" w:hAnsi="Courier New" w:hint="default"/>
      </w:rPr>
    </w:lvl>
    <w:lvl w:ilvl="5" w:tplc="C48CDEAA">
      <w:start w:val="1"/>
      <w:numFmt w:val="bullet"/>
      <w:lvlText w:val=""/>
      <w:lvlJc w:val="left"/>
      <w:pPr>
        <w:ind w:left="4320" w:hanging="360"/>
      </w:pPr>
      <w:rPr>
        <w:rFonts w:ascii="Wingdings" w:hAnsi="Wingdings" w:hint="default"/>
      </w:rPr>
    </w:lvl>
    <w:lvl w:ilvl="6" w:tplc="E402E584">
      <w:start w:val="1"/>
      <w:numFmt w:val="bullet"/>
      <w:lvlText w:val=""/>
      <w:lvlJc w:val="left"/>
      <w:pPr>
        <w:ind w:left="5040" w:hanging="360"/>
      </w:pPr>
      <w:rPr>
        <w:rFonts w:ascii="Symbol" w:hAnsi="Symbol" w:hint="default"/>
      </w:rPr>
    </w:lvl>
    <w:lvl w:ilvl="7" w:tplc="A57CFEEC">
      <w:start w:val="1"/>
      <w:numFmt w:val="bullet"/>
      <w:lvlText w:val="o"/>
      <w:lvlJc w:val="left"/>
      <w:pPr>
        <w:ind w:left="5760" w:hanging="360"/>
      </w:pPr>
      <w:rPr>
        <w:rFonts w:ascii="Courier New" w:hAnsi="Courier New" w:hint="default"/>
      </w:rPr>
    </w:lvl>
    <w:lvl w:ilvl="8" w:tplc="5FEEB160">
      <w:start w:val="1"/>
      <w:numFmt w:val="bullet"/>
      <w:lvlText w:val=""/>
      <w:lvlJc w:val="left"/>
      <w:pPr>
        <w:ind w:left="6480" w:hanging="360"/>
      </w:pPr>
      <w:rPr>
        <w:rFonts w:ascii="Wingdings" w:hAnsi="Wingdings" w:hint="default"/>
      </w:rPr>
    </w:lvl>
  </w:abstractNum>
  <w:abstractNum w:abstractNumId="18" w15:restartNumberingAfterBreak="0">
    <w:nsid w:val="3BB95E9F"/>
    <w:multiLevelType w:val="hybridMultilevel"/>
    <w:tmpl w:val="C9FC6B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95598C"/>
    <w:multiLevelType w:val="hybridMultilevel"/>
    <w:tmpl w:val="7076F9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435AC4"/>
    <w:multiLevelType w:val="hybridMultilevel"/>
    <w:tmpl w:val="939AE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BF7624"/>
    <w:multiLevelType w:val="hybridMultilevel"/>
    <w:tmpl w:val="2AA2D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F31D38"/>
    <w:multiLevelType w:val="multilevel"/>
    <w:tmpl w:val="553076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7E58D4"/>
    <w:multiLevelType w:val="hybridMultilevel"/>
    <w:tmpl w:val="F2BA5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0F2550C"/>
    <w:multiLevelType w:val="hybridMultilevel"/>
    <w:tmpl w:val="E9A0320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30D79FB"/>
    <w:multiLevelType w:val="hybridMultilevel"/>
    <w:tmpl w:val="0A04BD74"/>
    <w:lvl w:ilvl="0" w:tplc="7BE6A946">
      <w:start w:val="1"/>
      <w:numFmt w:val="bullet"/>
      <w:lvlText w:val="-"/>
      <w:lvlJc w:val="left"/>
      <w:pPr>
        <w:ind w:left="720" w:hanging="360"/>
      </w:pPr>
      <w:rPr>
        <w:rFonts w:ascii="Aptos" w:hAnsi="Aptos" w:hint="default"/>
      </w:rPr>
    </w:lvl>
    <w:lvl w:ilvl="1" w:tplc="8AF2D1F0">
      <w:start w:val="1"/>
      <w:numFmt w:val="bullet"/>
      <w:lvlText w:val="o"/>
      <w:lvlJc w:val="left"/>
      <w:pPr>
        <w:ind w:left="1440" w:hanging="360"/>
      </w:pPr>
      <w:rPr>
        <w:rFonts w:ascii="Courier New" w:hAnsi="Courier New" w:hint="default"/>
      </w:rPr>
    </w:lvl>
    <w:lvl w:ilvl="2" w:tplc="7FD0BEEA">
      <w:start w:val="1"/>
      <w:numFmt w:val="bullet"/>
      <w:lvlText w:val=""/>
      <w:lvlJc w:val="left"/>
      <w:pPr>
        <w:ind w:left="2160" w:hanging="360"/>
      </w:pPr>
      <w:rPr>
        <w:rFonts w:ascii="Wingdings" w:hAnsi="Wingdings" w:hint="default"/>
      </w:rPr>
    </w:lvl>
    <w:lvl w:ilvl="3" w:tplc="8FB80FD2">
      <w:start w:val="1"/>
      <w:numFmt w:val="bullet"/>
      <w:lvlText w:val=""/>
      <w:lvlJc w:val="left"/>
      <w:pPr>
        <w:ind w:left="2880" w:hanging="360"/>
      </w:pPr>
      <w:rPr>
        <w:rFonts w:ascii="Symbol" w:hAnsi="Symbol" w:hint="default"/>
      </w:rPr>
    </w:lvl>
    <w:lvl w:ilvl="4" w:tplc="48E4E41A">
      <w:start w:val="1"/>
      <w:numFmt w:val="bullet"/>
      <w:lvlText w:val="o"/>
      <w:lvlJc w:val="left"/>
      <w:pPr>
        <w:ind w:left="3600" w:hanging="360"/>
      </w:pPr>
      <w:rPr>
        <w:rFonts w:ascii="Courier New" w:hAnsi="Courier New" w:hint="default"/>
      </w:rPr>
    </w:lvl>
    <w:lvl w:ilvl="5" w:tplc="53A07D4A">
      <w:start w:val="1"/>
      <w:numFmt w:val="bullet"/>
      <w:lvlText w:val=""/>
      <w:lvlJc w:val="left"/>
      <w:pPr>
        <w:ind w:left="4320" w:hanging="360"/>
      </w:pPr>
      <w:rPr>
        <w:rFonts w:ascii="Wingdings" w:hAnsi="Wingdings" w:hint="default"/>
      </w:rPr>
    </w:lvl>
    <w:lvl w:ilvl="6" w:tplc="F9A82804">
      <w:start w:val="1"/>
      <w:numFmt w:val="bullet"/>
      <w:lvlText w:val=""/>
      <w:lvlJc w:val="left"/>
      <w:pPr>
        <w:ind w:left="5040" w:hanging="360"/>
      </w:pPr>
      <w:rPr>
        <w:rFonts w:ascii="Symbol" w:hAnsi="Symbol" w:hint="default"/>
      </w:rPr>
    </w:lvl>
    <w:lvl w:ilvl="7" w:tplc="9A3EEA5C">
      <w:start w:val="1"/>
      <w:numFmt w:val="bullet"/>
      <w:lvlText w:val="o"/>
      <w:lvlJc w:val="left"/>
      <w:pPr>
        <w:ind w:left="5760" w:hanging="360"/>
      </w:pPr>
      <w:rPr>
        <w:rFonts w:ascii="Courier New" w:hAnsi="Courier New" w:hint="default"/>
      </w:rPr>
    </w:lvl>
    <w:lvl w:ilvl="8" w:tplc="53DCA424">
      <w:start w:val="1"/>
      <w:numFmt w:val="bullet"/>
      <w:lvlText w:val=""/>
      <w:lvlJc w:val="left"/>
      <w:pPr>
        <w:ind w:left="6480" w:hanging="360"/>
      </w:pPr>
      <w:rPr>
        <w:rFonts w:ascii="Wingdings" w:hAnsi="Wingdings" w:hint="default"/>
      </w:rPr>
    </w:lvl>
  </w:abstractNum>
  <w:abstractNum w:abstractNumId="26" w15:restartNumberingAfterBreak="0">
    <w:nsid w:val="487B5C54"/>
    <w:multiLevelType w:val="multilevel"/>
    <w:tmpl w:val="7D688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EF3B3B"/>
    <w:multiLevelType w:val="hybridMultilevel"/>
    <w:tmpl w:val="66A8DC22"/>
    <w:lvl w:ilvl="0" w:tplc="04240001">
      <w:start w:val="1"/>
      <w:numFmt w:val="bullet"/>
      <w:lvlText w:val=""/>
      <w:lvlJc w:val="left"/>
      <w:pPr>
        <w:ind w:left="720" w:hanging="360"/>
      </w:pPr>
      <w:rPr>
        <w:rFonts w:ascii="Symbol" w:hAnsi="Symbol" w:hint="default"/>
      </w:rPr>
    </w:lvl>
    <w:lvl w:ilvl="1" w:tplc="0F7A2A42">
      <w:numFmt w:val="bullet"/>
      <w:lvlText w:val="-"/>
      <w:lvlJc w:val="left"/>
      <w:pPr>
        <w:ind w:left="1800" w:hanging="720"/>
      </w:pPr>
      <w:rPr>
        <w:rFonts w:ascii="Calibri" w:eastAsia="SimSun" w:hAnsi="Calibri" w:cs="Calibri" w:hint="default"/>
      </w:rPr>
    </w:lvl>
    <w:lvl w:ilvl="2" w:tplc="C736F5E2">
      <w:numFmt w:val="bullet"/>
      <w:lvlText w:val="•"/>
      <w:lvlJc w:val="left"/>
      <w:pPr>
        <w:ind w:left="2520" w:hanging="720"/>
      </w:pPr>
      <w:rPr>
        <w:rFonts w:ascii="Calibri" w:eastAsia="Times New Roman"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803A4E"/>
    <w:multiLevelType w:val="hybridMultilevel"/>
    <w:tmpl w:val="1B3E7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36248C"/>
    <w:multiLevelType w:val="hybridMultilevel"/>
    <w:tmpl w:val="03485C80"/>
    <w:lvl w:ilvl="0" w:tplc="04240001">
      <w:start w:val="1"/>
      <w:numFmt w:val="bullet"/>
      <w:lvlText w:val=""/>
      <w:lvlJc w:val="left"/>
      <w:pPr>
        <w:ind w:left="720" w:hanging="360"/>
      </w:pPr>
      <w:rPr>
        <w:rFonts w:ascii="Symbol" w:hAnsi="Symbol" w:hint="default"/>
      </w:rPr>
    </w:lvl>
    <w:lvl w:ilvl="1" w:tplc="CDEA3F92">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C706DA"/>
    <w:multiLevelType w:val="multilevel"/>
    <w:tmpl w:val="03202D18"/>
    <w:styleLink w:val="LFO39"/>
    <w:lvl w:ilvl="0">
      <w:numFmt w:val="bullet"/>
      <w:pStyle w:val="Alineazaodstavkom"/>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31" w15:restartNumberingAfterBreak="0">
    <w:nsid w:val="57046AFD"/>
    <w:multiLevelType w:val="hybridMultilevel"/>
    <w:tmpl w:val="E8FA4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A6C37BC"/>
    <w:multiLevelType w:val="multilevel"/>
    <w:tmpl w:val="C5A8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71CB3"/>
    <w:multiLevelType w:val="multilevel"/>
    <w:tmpl w:val="D93C92C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E413FAB"/>
    <w:multiLevelType w:val="hybridMultilevel"/>
    <w:tmpl w:val="9A08B8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F3A6FEA"/>
    <w:multiLevelType w:val="multilevel"/>
    <w:tmpl w:val="8120519E"/>
    <w:styleLink w:val="LFO40"/>
    <w:lvl w:ilvl="0">
      <w:start w:val="1"/>
      <w:numFmt w:val="decimal"/>
      <w:pStyle w:val="Druginivo"/>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61040F2C"/>
    <w:multiLevelType w:val="hybridMultilevel"/>
    <w:tmpl w:val="5AD28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D837A7"/>
    <w:multiLevelType w:val="hybridMultilevel"/>
    <w:tmpl w:val="FFFFFFFF"/>
    <w:lvl w:ilvl="0" w:tplc="EFCC0AB6">
      <w:start w:val="1"/>
      <w:numFmt w:val="bullet"/>
      <w:lvlText w:val="·"/>
      <w:lvlJc w:val="left"/>
      <w:pPr>
        <w:ind w:left="720" w:hanging="360"/>
      </w:pPr>
      <w:rPr>
        <w:rFonts w:ascii="Symbol" w:hAnsi="Symbol" w:hint="default"/>
      </w:rPr>
    </w:lvl>
    <w:lvl w:ilvl="1" w:tplc="2416CBE2">
      <w:start w:val="1"/>
      <w:numFmt w:val="bullet"/>
      <w:lvlText w:val="o"/>
      <w:lvlJc w:val="left"/>
      <w:pPr>
        <w:ind w:left="1440" w:hanging="360"/>
      </w:pPr>
      <w:rPr>
        <w:rFonts w:ascii="Courier New" w:hAnsi="Courier New" w:hint="default"/>
      </w:rPr>
    </w:lvl>
    <w:lvl w:ilvl="2" w:tplc="541C07EA">
      <w:start w:val="1"/>
      <w:numFmt w:val="bullet"/>
      <w:lvlText w:val=""/>
      <w:lvlJc w:val="left"/>
      <w:pPr>
        <w:ind w:left="2160" w:hanging="360"/>
      </w:pPr>
      <w:rPr>
        <w:rFonts w:ascii="Wingdings" w:hAnsi="Wingdings" w:hint="default"/>
      </w:rPr>
    </w:lvl>
    <w:lvl w:ilvl="3" w:tplc="EA86B5A8">
      <w:start w:val="1"/>
      <w:numFmt w:val="bullet"/>
      <w:lvlText w:val=""/>
      <w:lvlJc w:val="left"/>
      <w:pPr>
        <w:ind w:left="2880" w:hanging="360"/>
      </w:pPr>
      <w:rPr>
        <w:rFonts w:ascii="Symbol" w:hAnsi="Symbol" w:hint="default"/>
      </w:rPr>
    </w:lvl>
    <w:lvl w:ilvl="4" w:tplc="989AC3CE">
      <w:start w:val="1"/>
      <w:numFmt w:val="bullet"/>
      <w:lvlText w:val="o"/>
      <w:lvlJc w:val="left"/>
      <w:pPr>
        <w:ind w:left="3600" w:hanging="360"/>
      </w:pPr>
      <w:rPr>
        <w:rFonts w:ascii="Courier New" w:hAnsi="Courier New" w:hint="default"/>
      </w:rPr>
    </w:lvl>
    <w:lvl w:ilvl="5" w:tplc="5EA8AC00">
      <w:start w:val="1"/>
      <w:numFmt w:val="bullet"/>
      <w:lvlText w:val=""/>
      <w:lvlJc w:val="left"/>
      <w:pPr>
        <w:ind w:left="4320" w:hanging="360"/>
      </w:pPr>
      <w:rPr>
        <w:rFonts w:ascii="Wingdings" w:hAnsi="Wingdings" w:hint="default"/>
      </w:rPr>
    </w:lvl>
    <w:lvl w:ilvl="6" w:tplc="2A0691E8">
      <w:start w:val="1"/>
      <w:numFmt w:val="bullet"/>
      <w:lvlText w:val=""/>
      <w:lvlJc w:val="left"/>
      <w:pPr>
        <w:ind w:left="5040" w:hanging="360"/>
      </w:pPr>
      <w:rPr>
        <w:rFonts w:ascii="Symbol" w:hAnsi="Symbol" w:hint="default"/>
      </w:rPr>
    </w:lvl>
    <w:lvl w:ilvl="7" w:tplc="1494C6E2">
      <w:start w:val="1"/>
      <w:numFmt w:val="bullet"/>
      <w:lvlText w:val="o"/>
      <w:lvlJc w:val="left"/>
      <w:pPr>
        <w:ind w:left="5760" w:hanging="360"/>
      </w:pPr>
      <w:rPr>
        <w:rFonts w:ascii="Courier New" w:hAnsi="Courier New" w:hint="default"/>
      </w:rPr>
    </w:lvl>
    <w:lvl w:ilvl="8" w:tplc="6FCA33D8">
      <w:start w:val="1"/>
      <w:numFmt w:val="bullet"/>
      <w:lvlText w:val=""/>
      <w:lvlJc w:val="left"/>
      <w:pPr>
        <w:ind w:left="6480" w:hanging="360"/>
      </w:pPr>
      <w:rPr>
        <w:rFonts w:ascii="Wingdings" w:hAnsi="Wingdings" w:hint="default"/>
      </w:rPr>
    </w:lvl>
  </w:abstractNum>
  <w:abstractNum w:abstractNumId="38" w15:restartNumberingAfterBreak="0">
    <w:nsid w:val="63BD270B"/>
    <w:multiLevelType w:val="multilevel"/>
    <w:tmpl w:val="2F00850A"/>
    <w:styleLink w:val="LFO123"/>
    <w:lvl w:ilvl="0">
      <w:numFmt w:val="bullet"/>
      <w:pStyle w:val="Alinejapika"/>
      <w:lvlText w:val=""/>
      <w:lvlJc w:val="left"/>
      <w:pPr>
        <w:ind w:left="851" w:hanging="284"/>
      </w:pPr>
      <w:rPr>
        <w:rFonts w:ascii="Symbol" w:hAnsi="Symbol"/>
        <w:b w:val="0"/>
        <w:i w:val="0"/>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4210518"/>
    <w:multiLevelType w:val="hybridMultilevel"/>
    <w:tmpl w:val="22849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5360FAA"/>
    <w:multiLevelType w:val="hybridMultilevel"/>
    <w:tmpl w:val="E356E3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A0451D"/>
    <w:multiLevelType w:val="hybridMultilevel"/>
    <w:tmpl w:val="0E982906"/>
    <w:lvl w:ilvl="0" w:tplc="1CC8A20A">
      <w:start w:val="1"/>
      <w:numFmt w:val="decimal"/>
      <w:lvlText w:val="%1."/>
      <w:lvlJc w:val="left"/>
      <w:pPr>
        <w:ind w:left="360" w:hanging="360"/>
      </w:pPr>
      <w:rPr>
        <w:rFonts w:hint="default"/>
        <w:b w:val="0"/>
        <w:bCs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A981337"/>
    <w:multiLevelType w:val="hybridMultilevel"/>
    <w:tmpl w:val="5F906CDC"/>
    <w:lvl w:ilvl="0" w:tplc="DA64EAF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B1F64AC"/>
    <w:multiLevelType w:val="hybridMultilevel"/>
    <w:tmpl w:val="CDCEF83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00AF6F3"/>
    <w:multiLevelType w:val="hybridMultilevel"/>
    <w:tmpl w:val="1BA01980"/>
    <w:lvl w:ilvl="0" w:tplc="B1D23AC0">
      <w:start w:val="1"/>
      <w:numFmt w:val="bullet"/>
      <w:lvlText w:val="-"/>
      <w:lvlJc w:val="left"/>
      <w:pPr>
        <w:ind w:left="720" w:hanging="360"/>
      </w:pPr>
      <w:rPr>
        <w:rFonts w:ascii="Aptos" w:hAnsi="Aptos" w:hint="default"/>
      </w:rPr>
    </w:lvl>
    <w:lvl w:ilvl="1" w:tplc="38102146">
      <w:start w:val="1"/>
      <w:numFmt w:val="bullet"/>
      <w:lvlText w:val="o"/>
      <w:lvlJc w:val="left"/>
      <w:pPr>
        <w:ind w:left="1440" w:hanging="360"/>
      </w:pPr>
      <w:rPr>
        <w:rFonts w:ascii="Courier New" w:hAnsi="Courier New" w:hint="default"/>
      </w:rPr>
    </w:lvl>
    <w:lvl w:ilvl="2" w:tplc="D058575E">
      <w:start w:val="1"/>
      <w:numFmt w:val="bullet"/>
      <w:lvlText w:val=""/>
      <w:lvlJc w:val="left"/>
      <w:pPr>
        <w:ind w:left="2160" w:hanging="360"/>
      </w:pPr>
      <w:rPr>
        <w:rFonts w:ascii="Wingdings" w:hAnsi="Wingdings" w:hint="default"/>
      </w:rPr>
    </w:lvl>
    <w:lvl w:ilvl="3" w:tplc="4AAE7E32">
      <w:start w:val="1"/>
      <w:numFmt w:val="bullet"/>
      <w:lvlText w:val=""/>
      <w:lvlJc w:val="left"/>
      <w:pPr>
        <w:ind w:left="2880" w:hanging="360"/>
      </w:pPr>
      <w:rPr>
        <w:rFonts w:ascii="Symbol" w:hAnsi="Symbol" w:hint="default"/>
      </w:rPr>
    </w:lvl>
    <w:lvl w:ilvl="4" w:tplc="BDD88AEC">
      <w:start w:val="1"/>
      <w:numFmt w:val="bullet"/>
      <w:lvlText w:val="o"/>
      <w:lvlJc w:val="left"/>
      <w:pPr>
        <w:ind w:left="3600" w:hanging="360"/>
      </w:pPr>
      <w:rPr>
        <w:rFonts w:ascii="Courier New" w:hAnsi="Courier New" w:hint="default"/>
      </w:rPr>
    </w:lvl>
    <w:lvl w:ilvl="5" w:tplc="E6CCB0DE">
      <w:start w:val="1"/>
      <w:numFmt w:val="bullet"/>
      <w:lvlText w:val=""/>
      <w:lvlJc w:val="left"/>
      <w:pPr>
        <w:ind w:left="4320" w:hanging="360"/>
      </w:pPr>
      <w:rPr>
        <w:rFonts w:ascii="Wingdings" w:hAnsi="Wingdings" w:hint="default"/>
      </w:rPr>
    </w:lvl>
    <w:lvl w:ilvl="6" w:tplc="C1E06728">
      <w:start w:val="1"/>
      <w:numFmt w:val="bullet"/>
      <w:lvlText w:val=""/>
      <w:lvlJc w:val="left"/>
      <w:pPr>
        <w:ind w:left="5040" w:hanging="360"/>
      </w:pPr>
      <w:rPr>
        <w:rFonts w:ascii="Symbol" w:hAnsi="Symbol" w:hint="default"/>
      </w:rPr>
    </w:lvl>
    <w:lvl w:ilvl="7" w:tplc="08FE396E">
      <w:start w:val="1"/>
      <w:numFmt w:val="bullet"/>
      <w:lvlText w:val="o"/>
      <w:lvlJc w:val="left"/>
      <w:pPr>
        <w:ind w:left="5760" w:hanging="360"/>
      </w:pPr>
      <w:rPr>
        <w:rFonts w:ascii="Courier New" w:hAnsi="Courier New" w:hint="default"/>
      </w:rPr>
    </w:lvl>
    <w:lvl w:ilvl="8" w:tplc="813EB332">
      <w:start w:val="1"/>
      <w:numFmt w:val="bullet"/>
      <w:lvlText w:val=""/>
      <w:lvlJc w:val="left"/>
      <w:pPr>
        <w:ind w:left="6480" w:hanging="360"/>
      </w:pPr>
      <w:rPr>
        <w:rFonts w:ascii="Wingdings" w:hAnsi="Wingdings" w:hint="default"/>
      </w:rPr>
    </w:lvl>
  </w:abstractNum>
  <w:abstractNum w:abstractNumId="45" w15:restartNumberingAfterBreak="0">
    <w:nsid w:val="733A4D60"/>
    <w:multiLevelType w:val="hybridMultilevel"/>
    <w:tmpl w:val="50788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3752A2E"/>
    <w:multiLevelType w:val="hybridMultilevel"/>
    <w:tmpl w:val="C2801AAC"/>
    <w:lvl w:ilvl="0" w:tplc="E812B7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74A23D0"/>
    <w:multiLevelType w:val="multilevel"/>
    <w:tmpl w:val="B8947F8C"/>
    <w:lvl w:ilvl="0">
      <w:start w:val="1"/>
      <w:numFmt w:val="decimal"/>
      <w:pStyle w:val="Naslov10"/>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8" w15:restartNumberingAfterBreak="0">
    <w:nsid w:val="797A0B84"/>
    <w:multiLevelType w:val="hybridMultilevel"/>
    <w:tmpl w:val="09B24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B6A6623"/>
    <w:multiLevelType w:val="hybridMultilevel"/>
    <w:tmpl w:val="78D04BFC"/>
    <w:lvl w:ilvl="0" w:tplc="FFFFFFFF">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7ED17B9C"/>
    <w:multiLevelType w:val="hybridMultilevel"/>
    <w:tmpl w:val="969A1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F884B24"/>
    <w:multiLevelType w:val="hybridMultilevel"/>
    <w:tmpl w:val="F12845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2941954">
    <w:abstractNumId w:val="44"/>
  </w:num>
  <w:num w:numId="2" w16cid:durableId="1317339528">
    <w:abstractNumId w:val="3"/>
  </w:num>
  <w:num w:numId="3" w16cid:durableId="1060403624">
    <w:abstractNumId w:val="25"/>
  </w:num>
  <w:num w:numId="4" w16cid:durableId="534851336">
    <w:abstractNumId w:val="4"/>
  </w:num>
  <w:num w:numId="5" w16cid:durableId="232855977">
    <w:abstractNumId w:val="17"/>
  </w:num>
  <w:num w:numId="6" w16cid:durableId="142280026">
    <w:abstractNumId w:val="10"/>
  </w:num>
  <w:num w:numId="7" w16cid:durableId="463230619">
    <w:abstractNumId w:val="16"/>
  </w:num>
  <w:num w:numId="8" w16cid:durableId="347175454">
    <w:abstractNumId w:val="37"/>
  </w:num>
  <w:num w:numId="9" w16cid:durableId="2086878712">
    <w:abstractNumId w:val="14"/>
  </w:num>
  <w:num w:numId="10" w16cid:durableId="1157922709">
    <w:abstractNumId w:val="9"/>
  </w:num>
  <w:num w:numId="11" w16cid:durableId="566765192">
    <w:abstractNumId w:val="30"/>
  </w:num>
  <w:num w:numId="12" w16cid:durableId="1439645107">
    <w:abstractNumId w:val="35"/>
  </w:num>
  <w:num w:numId="13" w16cid:durableId="807359148">
    <w:abstractNumId w:val="15"/>
  </w:num>
  <w:num w:numId="14" w16cid:durableId="807862385">
    <w:abstractNumId w:val="38"/>
  </w:num>
  <w:num w:numId="15" w16cid:durableId="1154685117">
    <w:abstractNumId w:val="27"/>
  </w:num>
  <w:num w:numId="16" w16cid:durableId="639723749">
    <w:abstractNumId w:val="19"/>
  </w:num>
  <w:num w:numId="17" w16cid:durableId="1994604795">
    <w:abstractNumId w:val="23"/>
  </w:num>
  <w:num w:numId="18" w16cid:durableId="1602029394">
    <w:abstractNumId w:val="48"/>
  </w:num>
  <w:num w:numId="19" w16cid:durableId="130179062">
    <w:abstractNumId w:val="50"/>
  </w:num>
  <w:num w:numId="20" w16cid:durableId="1914076625">
    <w:abstractNumId w:val="41"/>
  </w:num>
  <w:num w:numId="21" w16cid:durableId="1902599347">
    <w:abstractNumId w:val="20"/>
  </w:num>
  <w:num w:numId="22" w16cid:durableId="711341176">
    <w:abstractNumId w:val="29"/>
  </w:num>
  <w:num w:numId="23" w16cid:durableId="2121146610">
    <w:abstractNumId w:val="32"/>
  </w:num>
  <w:num w:numId="24" w16cid:durableId="1285385147">
    <w:abstractNumId w:val="33"/>
  </w:num>
  <w:num w:numId="25" w16cid:durableId="776945252">
    <w:abstractNumId w:val="39"/>
  </w:num>
  <w:num w:numId="26" w16cid:durableId="620190821">
    <w:abstractNumId w:val="8"/>
  </w:num>
  <w:num w:numId="27" w16cid:durableId="732965296">
    <w:abstractNumId w:val="31"/>
  </w:num>
  <w:num w:numId="28" w16cid:durableId="1234700625">
    <w:abstractNumId w:val="24"/>
  </w:num>
  <w:num w:numId="29" w16cid:durableId="1033266900">
    <w:abstractNumId w:val="49"/>
  </w:num>
  <w:num w:numId="30" w16cid:durableId="844511674">
    <w:abstractNumId w:val="36"/>
  </w:num>
  <w:num w:numId="31" w16cid:durableId="145585275">
    <w:abstractNumId w:val="45"/>
  </w:num>
  <w:num w:numId="32" w16cid:durableId="881988230">
    <w:abstractNumId w:val="0"/>
  </w:num>
  <w:num w:numId="33" w16cid:durableId="175316666">
    <w:abstractNumId w:val="46"/>
  </w:num>
  <w:num w:numId="34" w16cid:durableId="1507013642">
    <w:abstractNumId w:val="13"/>
  </w:num>
  <w:num w:numId="35" w16cid:durableId="1662464120">
    <w:abstractNumId w:val="42"/>
  </w:num>
  <w:num w:numId="36" w16cid:durableId="1118179379">
    <w:abstractNumId w:val="7"/>
  </w:num>
  <w:num w:numId="37" w16cid:durableId="1519081595">
    <w:abstractNumId w:val="43"/>
  </w:num>
  <w:num w:numId="38" w16cid:durableId="166286476">
    <w:abstractNumId w:val="5"/>
  </w:num>
  <w:num w:numId="39" w16cid:durableId="1284995659">
    <w:abstractNumId w:val="28"/>
  </w:num>
  <w:num w:numId="40" w16cid:durableId="2090534891">
    <w:abstractNumId w:val="47"/>
  </w:num>
  <w:num w:numId="41" w16cid:durableId="1019964368">
    <w:abstractNumId w:val="11"/>
  </w:num>
  <w:num w:numId="42" w16cid:durableId="846747896">
    <w:abstractNumId w:val="18"/>
  </w:num>
  <w:num w:numId="43" w16cid:durableId="593826206">
    <w:abstractNumId w:val="2"/>
  </w:num>
  <w:num w:numId="44" w16cid:durableId="1463377829">
    <w:abstractNumId w:val="51"/>
  </w:num>
  <w:num w:numId="45" w16cid:durableId="417365724">
    <w:abstractNumId w:val="1"/>
  </w:num>
  <w:num w:numId="46" w16cid:durableId="2039043934">
    <w:abstractNumId w:val="22"/>
  </w:num>
  <w:num w:numId="47" w16cid:durableId="1348601388">
    <w:abstractNumId w:val="26"/>
  </w:num>
  <w:num w:numId="48" w16cid:durableId="305859688">
    <w:abstractNumId w:val="6"/>
  </w:num>
  <w:num w:numId="49" w16cid:durableId="1594506457">
    <w:abstractNumId w:val="12"/>
  </w:num>
  <w:num w:numId="50" w16cid:durableId="585187153">
    <w:abstractNumId w:val="21"/>
  </w:num>
  <w:num w:numId="51" w16cid:durableId="1016688679">
    <w:abstractNumId w:val="34"/>
  </w:num>
  <w:num w:numId="52" w16cid:durableId="2107385213">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5A"/>
    <w:rsid w:val="00000051"/>
    <w:rsid w:val="00000982"/>
    <w:rsid w:val="00000B2C"/>
    <w:rsid w:val="00003AB0"/>
    <w:rsid w:val="000054D4"/>
    <w:rsid w:val="000058B2"/>
    <w:rsid w:val="00006088"/>
    <w:rsid w:val="00006820"/>
    <w:rsid w:val="00006A74"/>
    <w:rsid w:val="00006CF2"/>
    <w:rsid w:val="00006EC3"/>
    <w:rsid w:val="000071CA"/>
    <w:rsid w:val="0000787C"/>
    <w:rsid w:val="000079A2"/>
    <w:rsid w:val="00010CAC"/>
    <w:rsid w:val="00011E3C"/>
    <w:rsid w:val="00011EC5"/>
    <w:rsid w:val="00011EF8"/>
    <w:rsid w:val="00011F11"/>
    <w:rsid w:val="00011FA6"/>
    <w:rsid w:val="00014A15"/>
    <w:rsid w:val="00014CC0"/>
    <w:rsid w:val="00015647"/>
    <w:rsid w:val="00017907"/>
    <w:rsid w:val="00017A70"/>
    <w:rsid w:val="00021E61"/>
    <w:rsid w:val="00021F48"/>
    <w:rsid w:val="000236D4"/>
    <w:rsid w:val="00024A8B"/>
    <w:rsid w:val="000255AE"/>
    <w:rsid w:val="000259A6"/>
    <w:rsid w:val="00025E8C"/>
    <w:rsid w:val="00026F85"/>
    <w:rsid w:val="000288FD"/>
    <w:rsid w:val="000306CD"/>
    <w:rsid w:val="000318BF"/>
    <w:rsid w:val="00034FF7"/>
    <w:rsid w:val="000354D9"/>
    <w:rsid w:val="00035B6F"/>
    <w:rsid w:val="000363C4"/>
    <w:rsid w:val="00037060"/>
    <w:rsid w:val="0003F1B2"/>
    <w:rsid w:val="00040102"/>
    <w:rsid w:val="00040614"/>
    <w:rsid w:val="000409CA"/>
    <w:rsid w:val="000415D4"/>
    <w:rsid w:val="00041F5E"/>
    <w:rsid w:val="00042D64"/>
    <w:rsid w:val="00043749"/>
    <w:rsid w:val="00046BDB"/>
    <w:rsid w:val="00047027"/>
    <w:rsid w:val="00047CEB"/>
    <w:rsid w:val="00050092"/>
    <w:rsid w:val="0005065E"/>
    <w:rsid w:val="000507CC"/>
    <w:rsid w:val="00051349"/>
    <w:rsid w:val="000523F8"/>
    <w:rsid w:val="00052B97"/>
    <w:rsid w:val="00052EFC"/>
    <w:rsid w:val="00053517"/>
    <w:rsid w:val="0005364B"/>
    <w:rsid w:val="00053850"/>
    <w:rsid w:val="00053D82"/>
    <w:rsid w:val="00055231"/>
    <w:rsid w:val="000552A0"/>
    <w:rsid w:val="00055711"/>
    <w:rsid w:val="00056625"/>
    <w:rsid w:val="00057454"/>
    <w:rsid w:val="000577C9"/>
    <w:rsid w:val="00057C98"/>
    <w:rsid w:val="00060089"/>
    <w:rsid w:val="000648F1"/>
    <w:rsid w:val="000649A2"/>
    <w:rsid w:val="00064CDB"/>
    <w:rsid w:val="00064D8A"/>
    <w:rsid w:val="00064E87"/>
    <w:rsid w:val="0006507E"/>
    <w:rsid w:val="00065F13"/>
    <w:rsid w:val="00066177"/>
    <w:rsid w:val="00066FE4"/>
    <w:rsid w:val="00067292"/>
    <w:rsid w:val="00071B53"/>
    <w:rsid w:val="00071E35"/>
    <w:rsid w:val="0007237F"/>
    <w:rsid w:val="0007464B"/>
    <w:rsid w:val="00074809"/>
    <w:rsid w:val="0007539D"/>
    <w:rsid w:val="0007560A"/>
    <w:rsid w:val="00076981"/>
    <w:rsid w:val="0007777C"/>
    <w:rsid w:val="000778F3"/>
    <w:rsid w:val="00077BAD"/>
    <w:rsid w:val="00080309"/>
    <w:rsid w:val="000804DF"/>
    <w:rsid w:val="0008102E"/>
    <w:rsid w:val="00081891"/>
    <w:rsid w:val="000819F3"/>
    <w:rsid w:val="00081BF9"/>
    <w:rsid w:val="000823F0"/>
    <w:rsid w:val="00082E78"/>
    <w:rsid w:val="00082FBC"/>
    <w:rsid w:val="0008326A"/>
    <w:rsid w:val="0008415F"/>
    <w:rsid w:val="0008490F"/>
    <w:rsid w:val="00084C4F"/>
    <w:rsid w:val="00084DE0"/>
    <w:rsid w:val="00085434"/>
    <w:rsid w:val="000871FB"/>
    <w:rsid w:val="000877CC"/>
    <w:rsid w:val="000878B3"/>
    <w:rsid w:val="00087D70"/>
    <w:rsid w:val="000903A6"/>
    <w:rsid w:val="00090C54"/>
    <w:rsid w:val="00091371"/>
    <w:rsid w:val="00091F6A"/>
    <w:rsid w:val="0009337D"/>
    <w:rsid w:val="00093A81"/>
    <w:rsid w:val="00093BDA"/>
    <w:rsid w:val="00093DF1"/>
    <w:rsid w:val="00093EDE"/>
    <w:rsid w:val="0009530B"/>
    <w:rsid w:val="000955A8"/>
    <w:rsid w:val="00095E84"/>
    <w:rsid w:val="000970E3"/>
    <w:rsid w:val="000975C3"/>
    <w:rsid w:val="00097955"/>
    <w:rsid w:val="000979AF"/>
    <w:rsid w:val="000A483C"/>
    <w:rsid w:val="000A4E15"/>
    <w:rsid w:val="000A5BE5"/>
    <w:rsid w:val="000A5EB2"/>
    <w:rsid w:val="000A7E9D"/>
    <w:rsid w:val="000B0F53"/>
    <w:rsid w:val="000B1EB8"/>
    <w:rsid w:val="000B22F3"/>
    <w:rsid w:val="000B4A24"/>
    <w:rsid w:val="000B4A82"/>
    <w:rsid w:val="000B4DF8"/>
    <w:rsid w:val="000B4E1B"/>
    <w:rsid w:val="000B522E"/>
    <w:rsid w:val="000B6967"/>
    <w:rsid w:val="000B7DEB"/>
    <w:rsid w:val="000C0A3D"/>
    <w:rsid w:val="000C1654"/>
    <w:rsid w:val="000C1A45"/>
    <w:rsid w:val="000C20A8"/>
    <w:rsid w:val="000C22B2"/>
    <w:rsid w:val="000C2549"/>
    <w:rsid w:val="000C2859"/>
    <w:rsid w:val="000C2D4D"/>
    <w:rsid w:val="000C3A3A"/>
    <w:rsid w:val="000C3E6A"/>
    <w:rsid w:val="000C4228"/>
    <w:rsid w:val="000C4344"/>
    <w:rsid w:val="000C448D"/>
    <w:rsid w:val="000C4854"/>
    <w:rsid w:val="000C4A26"/>
    <w:rsid w:val="000C5612"/>
    <w:rsid w:val="000C596C"/>
    <w:rsid w:val="000D0361"/>
    <w:rsid w:val="000D225B"/>
    <w:rsid w:val="000D2362"/>
    <w:rsid w:val="000D33EB"/>
    <w:rsid w:val="000D373F"/>
    <w:rsid w:val="000D381D"/>
    <w:rsid w:val="000D3AC7"/>
    <w:rsid w:val="000D5374"/>
    <w:rsid w:val="000D5A52"/>
    <w:rsid w:val="000D63D1"/>
    <w:rsid w:val="000D7471"/>
    <w:rsid w:val="000D7AE7"/>
    <w:rsid w:val="000D7E86"/>
    <w:rsid w:val="000E0541"/>
    <w:rsid w:val="000E0EC6"/>
    <w:rsid w:val="000E12D8"/>
    <w:rsid w:val="000E12F0"/>
    <w:rsid w:val="000E2E49"/>
    <w:rsid w:val="000E4525"/>
    <w:rsid w:val="000E486D"/>
    <w:rsid w:val="000E6353"/>
    <w:rsid w:val="000E6FBC"/>
    <w:rsid w:val="000E7A5A"/>
    <w:rsid w:val="000E7B87"/>
    <w:rsid w:val="000F09C7"/>
    <w:rsid w:val="000F3403"/>
    <w:rsid w:val="000F3CFF"/>
    <w:rsid w:val="000F3D3C"/>
    <w:rsid w:val="000F5977"/>
    <w:rsid w:val="000F6518"/>
    <w:rsid w:val="000F68DA"/>
    <w:rsid w:val="000F6B28"/>
    <w:rsid w:val="000F6D72"/>
    <w:rsid w:val="000F70DF"/>
    <w:rsid w:val="00100A05"/>
    <w:rsid w:val="00103D58"/>
    <w:rsid w:val="0010516F"/>
    <w:rsid w:val="00105179"/>
    <w:rsid w:val="001056F5"/>
    <w:rsid w:val="00106A90"/>
    <w:rsid w:val="00107A38"/>
    <w:rsid w:val="00107A64"/>
    <w:rsid w:val="0011149E"/>
    <w:rsid w:val="00111650"/>
    <w:rsid w:val="00112558"/>
    <w:rsid w:val="001149FF"/>
    <w:rsid w:val="0011566A"/>
    <w:rsid w:val="00115697"/>
    <w:rsid w:val="00115D18"/>
    <w:rsid w:val="001169A8"/>
    <w:rsid w:val="00117593"/>
    <w:rsid w:val="00117B27"/>
    <w:rsid w:val="00120170"/>
    <w:rsid w:val="001205FC"/>
    <w:rsid w:val="00121FEA"/>
    <w:rsid w:val="001220A7"/>
    <w:rsid w:val="0012244A"/>
    <w:rsid w:val="0012244C"/>
    <w:rsid w:val="0012276E"/>
    <w:rsid w:val="001233CF"/>
    <w:rsid w:val="0012372E"/>
    <w:rsid w:val="00123AB3"/>
    <w:rsid w:val="00123E01"/>
    <w:rsid w:val="00124EF8"/>
    <w:rsid w:val="00125EF2"/>
    <w:rsid w:val="00126BF2"/>
    <w:rsid w:val="00130DF9"/>
    <w:rsid w:val="00130F16"/>
    <w:rsid w:val="0013162E"/>
    <w:rsid w:val="0013258C"/>
    <w:rsid w:val="00132CF5"/>
    <w:rsid w:val="00133A24"/>
    <w:rsid w:val="00134E0D"/>
    <w:rsid w:val="00134FCE"/>
    <w:rsid w:val="001402AB"/>
    <w:rsid w:val="00141903"/>
    <w:rsid w:val="00142B6E"/>
    <w:rsid w:val="00143A39"/>
    <w:rsid w:val="001451CD"/>
    <w:rsid w:val="001468A6"/>
    <w:rsid w:val="00150165"/>
    <w:rsid w:val="001509F7"/>
    <w:rsid w:val="00151E48"/>
    <w:rsid w:val="00152E79"/>
    <w:rsid w:val="0015353F"/>
    <w:rsid w:val="001551E0"/>
    <w:rsid w:val="00155977"/>
    <w:rsid w:val="001568C8"/>
    <w:rsid w:val="0015737B"/>
    <w:rsid w:val="00157E38"/>
    <w:rsid w:val="001611A9"/>
    <w:rsid w:val="001617B1"/>
    <w:rsid w:val="00162BB8"/>
    <w:rsid w:val="00163620"/>
    <w:rsid w:val="00163A4C"/>
    <w:rsid w:val="00163D37"/>
    <w:rsid w:val="00164752"/>
    <w:rsid w:val="001650A8"/>
    <w:rsid w:val="00165169"/>
    <w:rsid w:val="001667C0"/>
    <w:rsid w:val="0016762E"/>
    <w:rsid w:val="00170BEA"/>
    <w:rsid w:val="00171337"/>
    <w:rsid w:val="001722A0"/>
    <w:rsid w:val="00172D64"/>
    <w:rsid w:val="001749AE"/>
    <w:rsid w:val="00174FBD"/>
    <w:rsid w:val="00176442"/>
    <w:rsid w:val="0017655F"/>
    <w:rsid w:val="00176BC1"/>
    <w:rsid w:val="001771D5"/>
    <w:rsid w:val="001771E7"/>
    <w:rsid w:val="001776B6"/>
    <w:rsid w:val="001779E5"/>
    <w:rsid w:val="00180C04"/>
    <w:rsid w:val="0018154E"/>
    <w:rsid w:val="00181551"/>
    <w:rsid w:val="00181F17"/>
    <w:rsid w:val="00182C9E"/>
    <w:rsid w:val="00183344"/>
    <w:rsid w:val="001838BF"/>
    <w:rsid w:val="00184172"/>
    <w:rsid w:val="00184DBB"/>
    <w:rsid w:val="00184F9C"/>
    <w:rsid w:val="001853A2"/>
    <w:rsid w:val="00185BFA"/>
    <w:rsid w:val="00185D8E"/>
    <w:rsid w:val="001867B7"/>
    <w:rsid w:val="00191659"/>
    <w:rsid w:val="0019208A"/>
    <w:rsid w:val="00193CE0"/>
    <w:rsid w:val="0019452A"/>
    <w:rsid w:val="00194EE7"/>
    <w:rsid w:val="00195936"/>
    <w:rsid w:val="00195E5F"/>
    <w:rsid w:val="001966B1"/>
    <w:rsid w:val="00196E2E"/>
    <w:rsid w:val="001A0478"/>
    <w:rsid w:val="001A0B56"/>
    <w:rsid w:val="001A160D"/>
    <w:rsid w:val="001A2891"/>
    <w:rsid w:val="001A2E61"/>
    <w:rsid w:val="001A3211"/>
    <w:rsid w:val="001A3343"/>
    <w:rsid w:val="001A3623"/>
    <w:rsid w:val="001A36F5"/>
    <w:rsid w:val="001A4401"/>
    <w:rsid w:val="001A48FC"/>
    <w:rsid w:val="001A763B"/>
    <w:rsid w:val="001A766A"/>
    <w:rsid w:val="001B01A1"/>
    <w:rsid w:val="001B04D7"/>
    <w:rsid w:val="001B3736"/>
    <w:rsid w:val="001B41E1"/>
    <w:rsid w:val="001C0982"/>
    <w:rsid w:val="001C10A2"/>
    <w:rsid w:val="001C15C3"/>
    <w:rsid w:val="001C178F"/>
    <w:rsid w:val="001C30E6"/>
    <w:rsid w:val="001C3F61"/>
    <w:rsid w:val="001C4D6F"/>
    <w:rsid w:val="001C5C5F"/>
    <w:rsid w:val="001C5C72"/>
    <w:rsid w:val="001C5F8D"/>
    <w:rsid w:val="001C6710"/>
    <w:rsid w:val="001C7488"/>
    <w:rsid w:val="001D15EC"/>
    <w:rsid w:val="001D195E"/>
    <w:rsid w:val="001D1BD1"/>
    <w:rsid w:val="001D2383"/>
    <w:rsid w:val="001D2EAE"/>
    <w:rsid w:val="001D308F"/>
    <w:rsid w:val="001D35D6"/>
    <w:rsid w:val="001D500D"/>
    <w:rsid w:val="001D5BF4"/>
    <w:rsid w:val="001D658F"/>
    <w:rsid w:val="001D6B20"/>
    <w:rsid w:val="001D7598"/>
    <w:rsid w:val="001D75DA"/>
    <w:rsid w:val="001D7CC6"/>
    <w:rsid w:val="001E0997"/>
    <w:rsid w:val="001E1E89"/>
    <w:rsid w:val="001E1F34"/>
    <w:rsid w:val="001E2516"/>
    <w:rsid w:val="001E286A"/>
    <w:rsid w:val="001E290B"/>
    <w:rsid w:val="001E3D50"/>
    <w:rsid w:val="001E5641"/>
    <w:rsid w:val="001E5EE2"/>
    <w:rsid w:val="001E682E"/>
    <w:rsid w:val="001E6B15"/>
    <w:rsid w:val="001E75FE"/>
    <w:rsid w:val="001F0966"/>
    <w:rsid w:val="001F0CC5"/>
    <w:rsid w:val="001F18FA"/>
    <w:rsid w:val="001F1D8C"/>
    <w:rsid w:val="001F2E63"/>
    <w:rsid w:val="001F31B5"/>
    <w:rsid w:val="001F35D0"/>
    <w:rsid w:val="001F396D"/>
    <w:rsid w:val="001F421E"/>
    <w:rsid w:val="001F4839"/>
    <w:rsid w:val="001F573D"/>
    <w:rsid w:val="001F62E1"/>
    <w:rsid w:val="001F67FB"/>
    <w:rsid w:val="001F680F"/>
    <w:rsid w:val="001F760A"/>
    <w:rsid w:val="001F76F1"/>
    <w:rsid w:val="001F7F5A"/>
    <w:rsid w:val="00200B76"/>
    <w:rsid w:val="00200F20"/>
    <w:rsid w:val="00200F7A"/>
    <w:rsid w:val="0020118E"/>
    <w:rsid w:val="002016E6"/>
    <w:rsid w:val="00201BA4"/>
    <w:rsid w:val="00203B8C"/>
    <w:rsid w:val="00204429"/>
    <w:rsid w:val="0020690E"/>
    <w:rsid w:val="00206CD9"/>
    <w:rsid w:val="0020786B"/>
    <w:rsid w:val="00211E78"/>
    <w:rsid w:val="00212824"/>
    <w:rsid w:val="00212B4A"/>
    <w:rsid w:val="00212C0B"/>
    <w:rsid w:val="00213260"/>
    <w:rsid w:val="002146CD"/>
    <w:rsid w:val="00214B8E"/>
    <w:rsid w:val="00215034"/>
    <w:rsid w:val="0021577E"/>
    <w:rsid w:val="00216CC1"/>
    <w:rsid w:val="00220270"/>
    <w:rsid w:val="002213E0"/>
    <w:rsid w:val="00222379"/>
    <w:rsid w:val="002242DD"/>
    <w:rsid w:val="002250BC"/>
    <w:rsid w:val="00225245"/>
    <w:rsid w:val="0022524F"/>
    <w:rsid w:val="00225D64"/>
    <w:rsid w:val="00226AF0"/>
    <w:rsid w:val="00227790"/>
    <w:rsid w:val="00230A17"/>
    <w:rsid w:val="002317C2"/>
    <w:rsid w:val="002329E4"/>
    <w:rsid w:val="00233640"/>
    <w:rsid w:val="002347E4"/>
    <w:rsid w:val="00234C38"/>
    <w:rsid w:val="00235C73"/>
    <w:rsid w:val="00235CFC"/>
    <w:rsid w:val="0023600F"/>
    <w:rsid w:val="00236170"/>
    <w:rsid w:val="00236D79"/>
    <w:rsid w:val="0023709A"/>
    <w:rsid w:val="00242513"/>
    <w:rsid w:val="00242C1A"/>
    <w:rsid w:val="00242E68"/>
    <w:rsid w:val="00243B60"/>
    <w:rsid w:val="00243CE6"/>
    <w:rsid w:val="00244B88"/>
    <w:rsid w:val="002459DD"/>
    <w:rsid w:val="00245E96"/>
    <w:rsid w:val="002462B8"/>
    <w:rsid w:val="0025033E"/>
    <w:rsid w:val="00251068"/>
    <w:rsid w:val="0025157E"/>
    <w:rsid w:val="00252322"/>
    <w:rsid w:val="00252991"/>
    <w:rsid w:val="00253CF6"/>
    <w:rsid w:val="0025477B"/>
    <w:rsid w:val="00255124"/>
    <w:rsid w:val="00255381"/>
    <w:rsid w:val="00255783"/>
    <w:rsid w:val="00255968"/>
    <w:rsid w:val="00255EB5"/>
    <w:rsid w:val="00256B19"/>
    <w:rsid w:val="00256CAB"/>
    <w:rsid w:val="00257B7F"/>
    <w:rsid w:val="00257FF9"/>
    <w:rsid w:val="00260D30"/>
    <w:rsid w:val="002628D4"/>
    <w:rsid w:val="002630BD"/>
    <w:rsid w:val="00263F6A"/>
    <w:rsid w:val="00265EF3"/>
    <w:rsid w:val="002667F8"/>
    <w:rsid w:val="0026783B"/>
    <w:rsid w:val="0027224E"/>
    <w:rsid w:val="00272E3B"/>
    <w:rsid w:val="002735CF"/>
    <w:rsid w:val="00274B86"/>
    <w:rsid w:val="00274CDB"/>
    <w:rsid w:val="00274CFE"/>
    <w:rsid w:val="00274EF2"/>
    <w:rsid w:val="002750EB"/>
    <w:rsid w:val="00275989"/>
    <w:rsid w:val="002815CC"/>
    <w:rsid w:val="00281D16"/>
    <w:rsid w:val="00281D99"/>
    <w:rsid w:val="00282941"/>
    <w:rsid w:val="00282DDF"/>
    <w:rsid w:val="00282FC1"/>
    <w:rsid w:val="0028341D"/>
    <w:rsid w:val="00283EF0"/>
    <w:rsid w:val="00284B70"/>
    <w:rsid w:val="00284BF3"/>
    <w:rsid w:val="002865CA"/>
    <w:rsid w:val="00286789"/>
    <w:rsid w:val="00287196"/>
    <w:rsid w:val="002874BD"/>
    <w:rsid w:val="00290BB1"/>
    <w:rsid w:val="002930DB"/>
    <w:rsid w:val="002937DA"/>
    <w:rsid w:val="002939AF"/>
    <w:rsid w:val="002941DC"/>
    <w:rsid w:val="0029492A"/>
    <w:rsid w:val="00294AAE"/>
    <w:rsid w:val="00294E2F"/>
    <w:rsid w:val="002966E6"/>
    <w:rsid w:val="00296878"/>
    <w:rsid w:val="00296EA2"/>
    <w:rsid w:val="002A0042"/>
    <w:rsid w:val="002A0BDD"/>
    <w:rsid w:val="002A1D8C"/>
    <w:rsid w:val="002A1F43"/>
    <w:rsid w:val="002A1FCD"/>
    <w:rsid w:val="002A20D0"/>
    <w:rsid w:val="002A2E94"/>
    <w:rsid w:val="002A363F"/>
    <w:rsid w:val="002A4A08"/>
    <w:rsid w:val="002A52B3"/>
    <w:rsid w:val="002A5348"/>
    <w:rsid w:val="002A56AD"/>
    <w:rsid w:val="002A67DF"/>
    <w:rsid w:val="002A6F3C"/>
    <w:rsid w:val="002A73A0"/>
    <w:rsid w:val="002A7D0C"/>
    <w:rsid w:val="002A97B0"/>
    <w:rsid w:val="002B048B"/>
    <w:rsid w:val="002B0D2F"/>
    <w:rsid w:val="002B2290"/>
    <w:rsid w:val="002B309F"/>
    <w:rsid w:val="002B367A"/>
    <w:rsid w:val="002B3A48"/>
    <w:rsid w:val="002B447A"/>
    <w:rsid w:val="002B47E2"/>
    <w:rsid w:val="002B57A2"/>
    <w:rsid w:val="002B5CC4"/>
    <w:rsid w:val="002B5E29"/>
    <w:rsid w:val="002B6052"/>
    <w:rsid w:val="002C02B3"/>
    <w:rsid w:val="002C1696"/>
    <w:rsid w:val="002C2995"/>
    <w:rsid w:val="002C4CE8"/>
    <w:rsid w:val="002C55FB"/>
    <w:rsid w:val="002C5DC1"/>
    <w:rsid w:val="002C6785"/>
    <w:rsid w:val="002C6D64"/>
    <w:rsid w:val="002C7E5A"/>
    <w:rsid w:val="002D03F5"/>
    <w:rsid w:val="002D093E"/>
    <w:rsid w:val="002D0AF9"/>
    <w:rsid w:val="002D10A6"/>
    <w:rsid w:val="002D135D"/>
    <w:rsid w:val="002D1F44"/>
    <w:rsid w:val="002D323D"/>
    <w:rsid w:val="002D33B4"/>
    <w:rsid w:val="002D39D6"/>
    <w:rsid w:val="002D3A01"/>
    <w:rsid w:val="002D5905"/>
    <w:rsid w:val="002D6218"/>
    <w:rsid w:val="002D77DE"/>
    <w:rsid w:val="002D7EE3"/>
    <w:rsid w:val="002D7F06"/>
    <w:rsid w:val="002E004D"/>
    <w:rsid w:val="002E0407"/>
    <w:rsid w:val="002E0DE7"/>
    <w:rsid w:val="002E1169"/>
    <w:rsid w:val="002E1A48"/>
    <w:rsid w:val="002E1C14"/>
    <w:rsid w:val="002E1DEE"/>
    <w:rsid w:val="002E2CA4"/>
    <w:rsid w:val="002E3B66"/>
    <w:rsid w:val="002E3DDE"/>
    <w:rsid w:val="002E4726"/>
    <w:rsid w:val="002E4811"/>
    <w:rsid w:val="002E6213"/>
    <w:rsid w:val="002E6782"/>
    <w:rsid w:val="002E72B3"/>
    <w:rsid w:val="002F1263"/>
    <w:rsid w:val="002F2790"/>
    <w:rsid w:val="002F3D9B"/>
    <w:rsid w:val="002F5246"/>
    <w:rsid w:val="002F6A92"/>
    <w:rsid w:val="00300572"/>
    <w:rsid w:val="003006BF"/>
    <w:rsid w:val="00301FB8"/>
    <w:rsid w:val="0030234B"/>
    <w:rsid w:val="0030337A"/>
    <w:rsid w:val="003037F8"/>
    <w:rsid w:val="00303BA8"/>
    <w:rsid w:val="00303D1B"/>
    <w:rsid w:val="00304115"/>
    <w:rsid w:val="00304F4A"/>
    <w:rsid w:val="00306071"/>
    <w:rsid w:val="0030650C"/>
    <w:rsid w:val="0030659F"/>
    <w:rsid w:val="00306A48"/>
    <w:rsid w:val="00306C0B"/>
    <w:rsid w:val="003070E0"/>
    <w:rsid w:val="003073A3"/>
    <w:rsid w:val="00307848"/>
    <w:rsid w:val="00311FFD"/>
    <w:rsid w:val="00313AF2"/>
    <w:rsid w:val="0031411C"/>
    <w:rsid w:val="00314AD6"/>
    <w:rsid w:val="00314E71"/>
    <w:rsid w:val="00314FBC"/>
    <w:rsid w:val="003151B4"/>
    <w:rsid w:val="00315512"/>
    <w:rsid w:val="00317FC5"/>
    <w:rsid w:val="00320020"/>
    <w:rsid w:val="0032113F"/>
    <w:rsid w:val="0032212A"/>
    <w:rsid w:val="00322147"/>
    <w:rsid w:val="00322841"/>
    <w:rsid w:val="00323D98"/>
    <w:rsid w:val="003244AA"/>
    <w:rsid w:val="00324F20"/>
    <w:rsid w:val="00325351"/>
    <w:rsid w:val="0032574C"/>
    <w:rsid w:val="0032581B"/>
    <w:rsid w:val="00325BAF"/>
    <w:rsid w:val="003260B6"/>
    <w:rsid w:val="003268BD"/>
    <w:rsid w:val="00327FD7"/>
    <w:rsid w:val="003305BF"/>
    <w:rsid w:val="00331F4E"/>
    <w:rsid w:val="00332240"/>
    <w:rsid w:val="003327AF"/>
    <w:rsid w:val="003328D2"/>
    <w:rsid w:val="00332C8C"/>
    <w:rsid w:val="00332EC7"/>
    <w:rsid w:val="00332FE8"/>
    <w:rsid w:val="0033303E"/>
    <w:rsid w:val="00333397"/>
    <w:rsid w:val="00333842"/>
    <w:rsid w:val="00335307"/>
    <w:rsid w:val="003361B4"/>
    <w:rsid w:val="00336333"/>
    <w:rsid w:val="00336B3B"/>
    <w:rsid w:val="0033787B"/>
    <w:rsid w:val="003404F0"/>
    <w:rsid w:val="00340BA7"/>
    <w:rsid w:val="003425D0"/>
    <w:rsid w:val="00342FFA"/>
    <w:rsid w:val="003432D3"/>
    <w:rsid w:val="00343439"/>
    <w:rsid w:val="00343FC1"/>
    <w:rsid w:val="0034457B"/>
    <w:rsid w:val="003445BA"/>
    <w:rsid w:val="00344C9B"/>
    <w:rsid w:val="00345524"/>
    <w:rsid w:val="003457F2"/>
    <w:rsid w:val="00345E32"/>
    <w:rsid w:val="00350EF4"/>
    <w:rsid w:val="003516D9"/>
    <w:rsid w:val="00351B24"/>
    <w:rsid w:val="00352745"/>
    <w:rsid w:val="00353074"/>
    <w:rsid w:val="003533B4"/>
    <w:rsid w:val="003546BD"/>
    <w:rsid w:val="00354B39"/>
    <w:rsid w:val="0035513D"/>
    <w:rsid w:val="00355456"/>
    <w:rsid w:val="0035545F"/>
    <w:rsid w:val="00361024"/>
    <w:rsid w:val="0036158A"/>
    <w:rsid w:val="00362D1F"/>
    <w:rsid w:val="003631ED"/>
    <w:rsid w:val="00363A92"/>
    <w:rsid w:val="00363E91"/>
    <w:rsid w:val="003644FF"/>
    <w:rsid w:val="00367191"/>
    <w:rsid w:val="0036740E"/>
    <w:rsid w:val="00367FBF"/>
    <w:rsid w:val="00370C2A"/>
    <w:rsid w:val="003724ED"/>
    <w:rsid w:val="00372777"/>
    <w:rsid w:val="0037292E"/>
    <w:rsid w:val="00373DFE"/>
    <w:rsid w:val="00374484"/>
    <w:rsid w:val="00374845"/>
    <w:rsid w:val="003749EF"/>
    <w:rsid w:val="00375290"/>
    <w:rsid w:val="003757A0"/>
    <w:rsid w:val="00375855"/>
    <w:rsid w:val="00375998"/>
    <w:rsid w:val="003763DA"/>
    <w:rsid w:val="003772E9"/>
    <w:rsid w:val="00377A2F"/>
    <w:rsid w:val="00377C5A"/>
    <w:rsid w:val="00381867"/>
    <w:rsid w:val="003821BA"/>
    <w:rsid w:val="003847C3"/>
    <w:rsid w:val="003854FF"/>
    <w:rsid w:val="00385C95"/>
    <w:rsid w:val="003909D5"/>
    <w:rsid w:val="00391161"/>
    <w:rsid w:val="00391D77"/>
    <w:rsid w:val="00393024"/>
    <w:rsid w:val="003954EC"/>
    <w:rsid w:val="00396725"/>
    <w:rsid w:val="003974DB"/>
    <w:rsid w:val="003979E5"/>
    <w:rsid w:val="00397EB7"/>
    <w:rsid w:val="003A0A57"/>
    <w:rsid w:val="003A0E62"/>
    <w:rsid w:val="003A1D6E"/>
    <w:rsid w:val="003A44DA"/>
    <w:rsid w:val="003A4CB4"/>
    <w:rsid w:val="003A500C"/>
    <w:rsid w:val="003A50B6"/>
    <w:rsid w:val="003A56B5"/>
    <w:rsid w:val="003A5822"/>
    <w:rsid w:val="003A6485"/>
    <w:rsid w:val="003A79A7"/>
    <w:rsid w:val="003A7C51"/>
    <w:rsid w:val="003B1CCF"/>
    <w:rsid w:val="003B2363"/>
    <w:rsid w:val="003B57B9"/>
    <w:rsid w:val="003B6690"/>
    <w:rsid w:val="003B7A7E"/>
    <w:rsid w:val="003B7B81"/>
    <w:rsid w:val="003C0A5F"/>
    <w:rsid w:val="003C1A88"/>
    <w:rsid w:val="003C2A9A"/>
    <w:rsid w:val="003C4005"/>
    <w:rsid w:val="003C5361"/>
    <w:rsid w:val="003C63E6"/>
    <w:rsid w:val="003C6B92"/>
    <w:rsid w:val="003C7876"/>
    <w:rsid w:val="003C78F3"/>
    <w:rsid w:val="003C7D23"/>
    <w:rsid w:val="003D07FE"/>
    <w:rsid w:val="003D141A"/>
    <w:rsid w:val="003D20CA"/>
    <w:rsid w:val="003D2E6F"/>
    <w:rsid w:val="003D31C0"/>
    <w:rsid w:val="003D5101"/>
    <w:rsid w:val="003D522D"/>
    <w:rsid w:val="003D6D87"/>
    <w:rsid w:val="003D7853"/>
    <w:rsid w:val="003E024D"/>
    <w:rsid w:val="003E51B4"/>
    <w:rsid w:val="003E5733"/>
    <w:rsid w:val="003E5EA4"/>
    <w:rsid w:val="003E6133"/>
    <w:rsid w:val="003E671B"/>
    <w:rsid w:val="003F0692"/>
    <w:rsid w:val="003F164B"/>
    <w:rsid w:val="003F22D3"/>
    <w:rsid w:val="003F2E52"/>
    <w:rsid w:val="003F306C"/>
    <w:rsid w:val="003F3548"/>
    <w:rsid w:val="003F3879"/>
    <w:rsid w:val="003F42B3"/>
    <w:rsid w:val="003F45AC"/>
    <w:rsid w:val="003F49B3"/>
    <w:rsid w:val="003F4CF3"/>
    <w:rsid w:val="003F5A4C"/>
    <w:rsid w:val="003F607B"/>
    <w:rsid w:val="003F61F8"/>
    <w:rsid w:val="003F71F4"/>
    <w:rsid w:val="003F7A93"/>
    <w:rsid w:val="0040167A"/>
    <w:rsid w:val="00401682"/>
    <w:rsid w:val="0040249E"/>
    <w:rsid w:val="00403383"/>
    <w:rsid w:val="0040367A"/>
    <w:rsid w:val="0040429E"/>
    <w:rsid w:val="004044D4"/>
    <w:rsid w:val="00404987"/>
    <w:rsid w:val="00404DBB"/>
    <w:rsid w:val="004052C2"/>
    <w:rsid w:val="004067EF"/>
    <w:rsid w:val="00407516"/>
    <w:rsid w:val="00407F11"/>
    <w:rsid w:val="00410CAC"/>
    <w:rsid w:val="0041157A"/>
    <w:rsid w:val="00411BB5"/>
    <w:rsid w:val="00413765"/>
    <w:rsid w:val="004141D6"/>
    <w:rsid w:val="00415157"/>
    <w:rsid w:val="00415250"/>
    <w:rsid w:val="004154CA"/>
    <w:rsid w:val="0041576B"/>
    <w:rsid w:val="0041659C"/>
    <w:rsid w:val="00416658"/>
    <w:rsid w:val="00416B89"/>
    <w:rsid w:val="00416BBE"/>
    <w:rsid w:val="004208D0"/>
    <w:rsid w:val="00420D28"/>
    <w:rsid w:val="004212AC"/>
    <w:rsid w:val="00422655"/>
    <w:rsid w:val="00423B71"/>
    <w:rsid w:val="00424860"/>
    <w:rsid w:val="00424A32"/>
    <w:rsid w:val="00426909"/>
    <w:rsid w:val="00426DFF"/>
    <w:rsid w:val="004272A2"/>
    <w:rsid w:val="00427FC8"/>
    <w:rsid w:val="004316F6"/>
    <w:rsid w:val="004317A8"/>
    <w:rsid w:val="0043198E"/>
    <w:rsid w:val="00431C37"/>
    <w:rsid w:val="00431D55"/>
    <w:rsid w:val="00432826"/>
    <w:rsid w:val="00432853"/>
    <w:rsid w:val="0043302D"/>
    <w:rsid w:val="00433470"/>
    <w:rsid w:val="00433EB6"/>
    <w:rsid w:val="004352A7"/>
    <w:rsid w:val="004358B5"/>
    <w:rsid w:val="00436604"/>
    <w:rsid w:val="0043695A"/>
    <w:rsid w:val="0043726E"/>
    <w:rsid w:val="00437510"/>
    <w:rsid w:val="004402F0"/>
    <w:rsid w:val="00440A78"/>
    <w:rsid w:val="00440D13"/>
    <w:rsid w:val="00441744"/>
    <w:rsid w:val="0044194A"/>
    <w:rsid w:val="00441E67"/>
    <w:rsid w:val="004420F8"/>
    <w:rsid w:val="0044234F"/>
    <w:rsid w:val="00442391"/>
    <w:rsid w:val="00442485"/>
    <w:rsid w:val="00443398"/>
    <w:rsid w:val="00444166"/>
    <w:rsid w:val="00444550"/>
    <w:rsid w:val="0044472D"/>
    <w:rsid w:val="00445BCF"/>
    <w:rsid w:val="00445E8E"/>
    <w:rsid w:val="00446629"/>
    <w:rsid w:val="00447A85"/>
    <w:rsid w:val="0045006F"/>
    <w:rsid w:val="00450548"/>
    <w:rsid w:val="0045058C"/>
    <w:rsid w:val="00450BC8"/>
    <w:rsid w:val="004525A8"/>
    <w:rsid w:val="00453B2F"/>
    <w:rsid w:val="00453CCF"/>
    <w:rsid w:val="004545E8"/>
    <w:rsid w:val="00455002"/>
    <w:rsid w:val="00455028"/>
    <w:rsid w:val="00455828"/>
    <w:rsid w:val="00456A88"/>
    <w:rsid w:val="00456F0B"/>
    <w:rsid w:val="00457B7F"/>
    <w:rsid w:val="0046370E"/>
    <w:rsid w:val="00463781"/>
    <w:rsid w:val="00463DC3"/>
    <w:rsid w:val="00464971"/>
    <w:rsid w:val="0046506A"/>
    <w:rsid w:val="0046554C"/>
    <w:rsid w:val="004655CD"/>
    <w:rsid w:val="00465F78"/>
    <w:rsid w:val="0046697C"/>
    <w:rsid w:val="00466CC1"/>
    <w:rsid w:val="00466D16"/>
    <w:rsid w:val="00466F9C"/>
    <w:rsid w:val="004674ED"/>
    <w:rsid w:val="00467B4E"/>
    <w:rsid w:val="00470938"/>
    <w:rsid w:val="00471EE0"/>
    <w:rsid w:val="00472E79"/>
    <w:rsid w:val="00472FED"/>
    <w:rsid w:val="004735F7"/>
    <w:rsid w:val="0047530B"/>
    <w:rsid w:val="004758C9"/>
    <w:rsid w:val="00476D26"/>
    <w:rsid w:val="0047722B"/>
    <w:rsid w:val="00477342"/>
    <w:rsid w:val="00477AE0"/>
    <w:rsid w:val="0048103A"/>
    <w:rsid w:val="00481D0B"/>
    <w:rsid w:val="00482B78"/>
    <w:rsid w:val="00482E7D"/>
    <w:rsid w:val="00483E95"/>
    <w:rsid w:val="00484A4F"/>
    <w:rsid w:val="00484F1F"/>
    <w:rsid w:val="004850CF"/>
    <w:rsid w:val="00485169"/>
    <w:rsid w:val="00485654"/>
    <w:rsid w:val="004864C2"/>
    <w:rsid w:val="00487397"/>
    <w:rsid w:val="00491001"/>
    <w:rsid w:val="00491104"/>
    <w:rsid w:val="004917B1"/>
    <w:rsid w:val="0049352F"/>
    <w:rsid w:val="00493DB0"/>
    <w:rsid w:val="00494471"/>
    <w:rsid w:val="00495246"/>
    <w:rsid w:val="00496F8B"/>
    <w:rsid w:val="00496FFE"/>
    <w:rsid w:val="00497254"/>
    <w:rsid w:val="0049778A"/>
    <w:rsid w:val="004A1201"/>
    <w:rsid w:val="004A1534"/>
    <w:rsid w:val="004A160B"/>
    <w:rsid w:val="004A1FF3"/>
    <w:rsid w:val="004A35D0"/>
    <w:rsid w:val="004A3FB5"/>
    <w:rsid w:val="004A4189"/>
    <w:rsid w:val="004A5723"/>
    <w:rsid w:val="004A5A1C"/>
    <w:rsid w:val="004A6ED4"/>
    <w:rsid w:val="004A735C"/>
    <w:rsid w:val="004A76D4"/>
    <w:rsid w:val="004A7E17"/>
    <w:rsid w:val="004B0FFC"/>
    <w:rsid w:val="004B1770"/>
    <w:rsid w:val="004B1BE9"/>
    <w:rsid w:val="004B210D"/>
    <w:rsid w:val="004B3077"/>
    <w:rsid w:val="004B335E"/>
    <w:rsid w:val="004B38FD"/>
    <w:rsid w:val="004B49D4"/>
    <w:rsid w:val="004B4AB6"/>
    <w:rsid w:val="004B4BF6"/>
    <w:rsid w:val="004B6E54"/>
    <w:rsid w:val="004B7D78"/>
    <w:rsid w:val="004C0011"/>
    <w:rsid w:val="004C0630"/>
    <w:rsid w:val="004C110C"/>
    <w:rsid w:val="004C1306"/>
    <w:rsid w:val="004C2725"/>
    <w:rsid w:val="004C2F58"/>
    <w:rsid w:val="004C3ACF"/>
    <w:rsid w:val="004C443C"/>
    <w:rsid w:val="004C52CC"/>
    <w:rsid w:val="004C5629"/>
    <w:rsid w:val="004C6D99"/>
    <w:rsid w:val="004C6F15"/>
    <w:rsid w:val="004C712B"/>
    <w:rsid w:val="004D0934"/>
    <w:rsid w:val="004D0DA2"/>
    <w:rsid w:val="004D1374"/>
    <w:rsid w:val="004D1FC5"/>
    <w:rsid w:val="004D2297"/>
    <w:rsid w:val="004D2384"/>
    <w:rsid w:val="004D2657"/>
    <w:rsid w:val="004D27FB"/>
    <w:rsid w:val="004D2F77"/>
    <w:rsid w:val="004D3775"/>
    <w:rsid w:val="004D3FE4"/>
    <w:rsid w:val="004D41A9"/>
    <w:rsid w:val="004D59D2"/>
    <w:rsid w:val="004D5C6B"/>
    <w:rsid w:val="004D5DEF"/>
    <w:rsid w:val="004D68D8"/>
    <w:rsid w:val="004D6A21"/>
    <w:rsid w:val="004D6CC1"/>
    <w:rsid w:val="004D6DF3"/>
    <w:rsid w:val="004D7568"/>
    <w:rsid w:val="004E0E41"/>
    <w:rsid w:val="004E19DD"/>
    <w:rsid w:val="004E3D12"/>
    <w:rsid w:val="004E3F29"/>
    <w:rsid w:val="004E4AA3"/>
    <w:rsid w:val="004E5706"/>
    <w:rsid w:val="004E6158"/>
    <w:rsid w:val="004E62E1"/>
    <w:rsid w:val="004E77E7"/>
    <w:rsid w:val="004E7EE6"/>
    <w:rsid w:val="004E7FEF"/>
    <w:rsid w:val="004F04EA"/>
    <w:rsid w:val="004F05C8"/>
    <w:rsid w:val="004F0746"/>
    <w:rsid w:val="004F1148"/>
    <w:rsid w:val="004F16E0"/>
    <w:rsid w:val="004F3C58"/>
    <w:rsid w:val="004F4BA7"/>
    <w:rsid w:val="004F5336"/>
    <w:rsid w:val="004F6157"/>
    <w:rsid w:val="004F6DA6"/>
    <w:rsid w:val="004F6FC4"/>
    <w:rsid w:val="004F784B"/>
    <w:rsid w:val="004F7E9B"/>
    <w:rsid w:val="00501192"/>
    <w:rsid w:val="005011D0"/>
    <w:rsid w:val="0050269E"/>
    <w:rsid w:val="00502A88"/>
    <w:rsid w:val="005030BA"/>
    <w:rsid w:val="005038F5"/>
    <w:rsid w:val="005042EA"/>
    <w:rsid w:val="00504A76"/>
    <w:rsid w:val="0050596A"/>
    <w:rsid w:val="00506339"/>
    <w:rsid w:val="00506493"/>
    <w:rsid w:val="00506614"/>
    <w:rsid w:val="0050687B"/>
    <w:rsid w:val="00510022"/>
    <w:rsid w:val="005102F4"/>
    <w:rsid w:val="005115BB"/>
    <w:rsid w:val="0051215F"/>
    <w:rsid w:val="00513526"/>
    <w:rsid w:val="0051449C"/>
    <w:rsid w:val="00516360"/>
    <w:rsid w:val="005166F2"/>
    <w:rsid w:val="00516D90"/>
    <w:rsid w:val="0051733E"/>
    <w:rsid w:val="00520620"/>
    <w:rsid w:val="00520E0B"/>
    <w:rsid w:val="00520F4A"/>
    <w:rsid w:val="00520FDF"/>
    <w:rsid w:val="005215BE"/>
    <w:rsid w:val="005228E3"/>
    <w:rsid w:val="005238CD"/>
    <w:rsid w:val="00524C19"/>
    <w:rsid w:val="00525493"/>
    <w:rsid w:val="005268F5"/>
    <w:rsid w:val="00527376"/>
    <w:rsid w:val="005276A5"/>
    <w:rsid w:val="00530AB6"/>
    <w:rsid w:val="005310D1"/>
    <w:rsid w:val="005312A7"/>
    <w:rsid w:val="005315B8"/>
    <w:rsid w:val="00532027"/>
    <w:rsid w:val="005325DA"/>
    <w:rsid w:val="00532BB3"/>
    <w:rsid w:val="00532D2A"/>
    <w:rsid w:val="005333BA"/>
    <w:rsid w:val="005338AE"/>
    <w:rsid w:val="005339A9"/>
    <w:rsid w:val="005357F3"/>
    <w:rsid w:val="00536400"/>
    <w:rsid w:val="00536416"/>
    <w:rsid w:val="00536844"/>
    <w:rsid w:val="00536BD5"/>
    <w:rsid w:val="00537010"/>
    <w:rsid w:val="00537219"/>
    <w:rsid w:val="0054081D"/>
    <w:rsid w:val="005410F2"/>
    <w:rsid w:val="00541D6B"/>
    <w:rsid w:val="005439A8"/>
    <w:rsid w:val="005441C4"/>
    <w:rsid w:val="00544CCC"/>
    <w:rsid w:val="0054612F"/>
    <w:rsid w:val="005475A4"/>
    <w:rsid w:val="005478D3"/>
    <w:rsid w:val="00547C64"/>
    <w:rsid w:val="00547C7C"/>
    <w:rsid w:val="00550B19"/>
    <w:rsid w:val="00550CFA"/>
    <w:rsid w:val="00551F01"/>
    <w:rsid w:val="00552A36"/>
    <w:rsid w:val="00554C7C"/>
    <w:rsid w:val="00555DCA"/>
    <w:rsid w:val="005561EE"/>
    <w:rsid w:val="005562D5"/>
    <w:rsid w:val="00556FE1"/>
    <w:rsid w:val="00557076"/>
    <w:rsid w:val="0055767F"/>
    <w:rsid w:val="00557F21"/>
    <w:rsid w:val="005606CA"/>
    <w:rsid w:val="005607BD"/>
    <w:rsid w:val="00560B12"/>
    <w:rsid w:val="00561CD2"/>
    <w:rsid w:val="00562C65"/>
    <w:rsid w:val="00562D84"/>
    <w:rsid w:val="00562E35"/>
    <w:rsid w:val="00564143"/>
    <w:rsid w:val="005648EA"/>
    <w:rsid w:val="00564D69"/>
    <w:rsid w:val="005652B2"/>
    <w:rsid w:val="005669E4"/>
    <w:rsid w:val="00567058"/>
    <w:rsid w:val="00567269"/>
    <w:rsid w:val="0057002D"/>
    <w:rsid w:val="0057081A"/>
    <w:rsid w:val="0057211D"/>
    <w:rsid w:val="00572C24"/>
    <w:rsid w:val="00573004"/>
    <w:rsid w:val="00573732"/>
    <w:rsid w:val="00573ABE"/>
    <w:rsid w:val="00575A34"/>
    <w:rsid w:val="00575D2F"/>
    <w:rsid w:val="005763BC"/>
    <w:rsid w:val="00576A54"/>
    <w:rsid w:val="0057753A"/>
    <w:rsid w:val="005779A0"/>
    <w:rsid w:val="00580BA0"/>
    <w:rsid w:val="005811BC"/>
    <w:rsid w:val="00581663"/>
    <w:rsid w:val="0058288A"/>
    <w:rsid w:val="00583216"/>
    <w:rsid w:val="005833BE"/>
    <w:rsid w:val="005838AB"/>
    <w:rsid w:val="00583CBF"/>
    <w:rsid w:val="00584F66"/>
    <w:rsid w:val="005851C1"/>
    <w:rsid w:val="0058590A"/>
    <w:rsid w:val="00585D65"/>
    <w:rsid w:val="00586087"/>
    <w:rsid w:val="005869D3"/>
    <w:rsid w:val="0058700B"/>
    <w:rsid w:val="005875BD"/>
    <w:rsid w:val="00591766"/>
    <w:rsid w:val="00591A84"/>
    <w:rsid w:val="00593632"/>
    <w:rsid w:val="005936F4"/>
    <w:rsid w:val="00593FF2"/>
    <w:rsid w:val="0059433C"/>
    <w:rsid w:val="00594597"/>
    <w:rsid w:val="00595979"/>
    <w:rsid w:val="00595B9E"/>
    <w:rsid w:val="005970A0"/>
    <w:rsid w:val="00597C5B"/>
    <w:rsid w:val="005A0113"/>
    <w:rsid w:val="005A12CC"/>
    <w:rsid w:val="005A1BD0"/>
    <w:rsid w:val="005A33A5"/>
    <w:rsid w:val="005A3DAC"/>
    <w:rsid w:val="005A41AC"/>
    <w:rsid w:val="005A4E18"/>
    <w:rsid w:val="005A4E52"/>
    <w:rsid w:val="005A5940"/>
    <w:rsid w:val="005A6DF8"/>
    <w:rsid w:val="005A7CF3"/>
    <w:rsid w:val="005B0B32"/>
    <w:rsid w:val="005B10EE"/>
    <w:rsid w:val="005B1F3F"/>
    <w:rsid w:val="005B22DC"/>
    <w:rsid w:val="005B250F"/>
    <w:rsid w:val="005B2C1D"/>
    <w:rsid w:val="005B49E0"/>
    <w:rsid w:val="005B4E8F"/>
    <w:rsid w:val="005B5025"/>
    <w:rsid w:val="005B68FB"/>
    <w:rsid w:val="005B6DD0"/>
    <w:rsid w:val="005B77B2"/>
    <w:rsid w:val="005B7AF4"/>
    <w:rsid w:val="005C00CE"/>
    <w:rsid w:val="005C0526"/>
    <w:rsid w:val="005C11AB"/>
    <w:rsid w:val="005C2261"/>
    <w:rsid w:val="005C39FF"/>
    <w:rsid w:val="005C5654"/>
    <w:rsid w:val="005C5BDF"/>
    <w:rsid w:val="005C646F"/>
    <w:rsid w:val="005C6C7A"/>
    <w:rsid w:val="005C7396"/>
    <w:rsid w:val="005C7D90"/>
    <w:rsid w:val="005D032E"/>
    <w:rsid w:val="005D1BEC"/>
    <w:rsid w:val="005D1EC9"/>
    <w:rsid w:val="005D393D"/>
    <w:rsid w:val="005D56F6"/>
    <w:rsid w:val="005E005F"/>
    <w:rsid w:val="005E106C"/>
    <w:rsid w:val="005E24DC"/>
    <w:rsid w:val="005E2C4B"/>
    <w:rsid w:val="005E36F5"/>
    <w:rsid w:val="005E4615"/>
    <w:rsid w:val="005E568D"/>
    <w:rsid w:val="005E5C94"/>
    <w:rsid w:val="005E63D5"/>
    <w:rsid w:val="005E68A4"/>
    <w:rsid w:val="005E7964"/>
    <w:rsid w:val="005F0172"/>
    <w:rsid w:val="005F1E34"/>
    <w:rsid w:val="005F21F5"/>
    <w:rsid w:val="005F276F"/>
    <w:rsid w:val="005F2E2D"/>
    <w:rsid w:val="005F30F1"/>
    <w:rsid w:val="005F3935"/>
    <w:rsid w:val="005F4C31"/>
    <w:rsid w:val="005F5456"/>
    <w:rsid w:val="005F5AD1"/>
    <w:rsid w:val="005F5CBA"/>
    <w:rsid w:val="005F61C9"/>
    <w:rsid w:val="005F66E4"/>
    <w:rsid w:val="005F780E"/>
    <w:rsid w:val="00601DA2"/>
    <w:rsid w:val="00602817"/>
    <w:rsid w:val="00602D53"/>
    <w:rsid w:val="0060305C"/>
    <w:rsid w:val="00603393"/>
    <w:rsid w:val="00604218"/>
    <w:rsid w:val="006043F9"/>
    <w:rsid w:val="00605117"/>
    <w:rsid w:val="00605154"/>
    <w:rsid w:val="00605B55"/>
    <w:rsid w:val="00606920"/>
    <w:rsid w:val="006074FE"/>
    <w:rsid w:val="0060F26E"/>
    <w:rsid w:val="006113EE"/>
    <w:rsid w:val="006114EA"/>
    <w:rsid w:val="006133CB"/>
    <w:rsid w:val="00613F2E"/>
    <w:rsid w:val="006143E2"/>
    <w:rsid w:val="00614D2F"/>
    <w:rsid w:val="00615414"/>
    <w:rsid w:val="006165E7"/>
    <w:rsid w:val="006178BA"/>
    <w:rsid w:val="00620756"/>
    <w:rsid w:val="0062123C"/>
    <w:rsid w:val="00621D14"/>
    <w:rsid w:val="006227A6"/>
    <w:rsid w:val="00623803"/>
    <w:rsid w:val="00624BD0"/>
    <w:rsid w:val="00624D8F"/>
    <w:rsid w:val="006255E6"/>
    <w:rsid w:val="00625C70"/>
    <w:rsid w:val="00625F98"/>
    <w:rsid w:val="006269F4"/>
    <w:rsid w:val="00630560"/>
    <w:rsid w:val="0063071C"/>
    <w:rsid w:val="0063108E"/>
    <w:rsid w:val="00631319"/>
    <w:rsid w:val="00632E8A"/>
    <w:rsid w:val="006338A7"/>
    <w:rsid w:val="00633B6F"/>
    <w:rsid w:val="00633F77"/>
    <w:rsid w:val="0063407D"/>
    <w:rsid w:val="00634504"/>
    <w:rsid w:val="00634FDC"/>
    <w:rsid w:val="00635096"/>
    <w:rsid w:val="00635956"/>
    <w:rsid w:val="00637DE9"/>
    <w:rsid w:val="00640355"/>
    <w:rsid w:val="006410D0"/>
    <w:rsid w:val="00641476"/>
    <w:rsid w:val="006414A9"/>
    <w:rsid w:val="006426A8"/>
    <w:rsid w:val="00643540"/>
    <w:rsid w:val="00643CCE"/>
    <w:rsid w:val="0064402B"/>
    <w:rsid w:val="00644427"/>
    <w:rsid w:val="00644CC3"/>
    <w:rsid w:val="0064583B"/>
    <w:rsid w:val="00645FF3"/>
    <w:rsid w:val="00646B91"/>
    <w:rsid w:val="00646E64"/>
    <w:rsid w:val="006477ED"/>
    <w:rsid w:val="00650037"/>
    <w:rsid w:val="0065044A"/>
    <w:rsid w:val="00650E7A"/>
    <w:rsid w:val="00651A46"/>
    <w:rsid w:val="00651C95"/>
    <w:rsid w:val="0065255E"/>
    <w:rsid w:val="0065302B"/>
    <w:rsid w:val="00653351"/>
    <w:rsid w:val="00653A5A"/>
    <w:rsid w:val="00653B47"/>
    <w:rsid w:val="00654311"/>
    <w:rsid w:val="00654B73"/>
    <w:rsid w:val="00655F96"/>
    <w:rsid w:val="00656317"/>
    <w:rsid w:val="00656F64"/>
    <w:rsid w:val="006609C8"/>
    <w:rsid w:val="00660A12"/>
    <w:rsid w:val="00660AA1"/>
    <w:rsid w:val="006614A2"/>
    <w:rsid w:val="00661F81"/>
    <w:rsid w:val="006620B6"/>
    <w:rsid w:val="00662B17"/>
    <w:rsid w:val="00663390"/>
    <w:rsid w:val="006638F0"/>
    <w:rsid w:val="00663C48"/>
    <w:rsid w:val="00664A34"/>
    <w:rsid w:val="00664B84"/>
    <w:rsid w:val="00664DA4"/>
    <w:rsid w:val="00666B6B"/>
    <w:rsid w:val="00667AA3"/>
    <w:rsid w:val="00670A5E"/>
    <w:rsid w:val="00671DCF"/>
    <w:rsid w:val="006735F5"/>
    <w:rsid w:val="00674008"/>
    <w:rsid w:val="00675A05"/>
    <w:rsid w:val="00675CA7"/>
    <w:rsid w:val="00675CE4"/>
    <w:rsid w:val="00675E1F"/>
    <w:rsid w:val="00677566"/>
    <w:rsid w:val="00677E12"/>
    <w:rsid w:val="0068006E"/>
    <w:rsid w:val="00680FE9"/>
    <w:rsid w:val="00681384"/>
    <w:rsid w:val="00681552"/>
    <w:rsid w:val="00681794"/>
    <w:rsid w:val="00681892"/>
    <w:rsid w:val="0068223B"/>
    <w:rsid w:val="00682584"/>
    <w:rsid w:val="00682A47"/>
    <w:rsid w:val="00683B13"/>
    <w:rsid w:val="00684074"/>
    <w:rsid w:val="00684214"/>
    <w:rsid w:val="006844E9"/>
    <w:rsid w:val="00685C07"/>
    <w:rsid w:val="006876A9"/>
    <w:rsid w:val="00690B57"/>
    <w:rsid w:val="00691E77"/>
    <w:rsid w:val="00692438"/>
    <w:rsid w:val="00692B5A"/>
    <w:rsid w:val="00692D3D"/>
    <w:rsid w:val="006935B2"/>
    <w:rsid w:val="00693EEC"/>
    <w:rsid w:val="0069797B"/>
    <w:rsid w:val="006A0AC2"/>
    <w:rsid w:val="006A20E7"/>
    <w:rsid w:val="006A2509"/>
    <w:rsid w:val="006A4488"/>
    <w:rsid w:val="006A56F5"/>
    <w:rsid w:val="006A57F3"/>
    <w:rsid w:val="006A6D67"/>
    <w:rsid w:val="006A7154"/>
    <w:rsid w:val="006A78E9"/>
    <w:rsid w:val="006B001F"/>
    <w:rsid w:val="006B00CC"/>
    <w:rsid w:val="006B0962"/>
    <w:rsid w:val="006B110C"/>
    <w:rsid w:val="006B1C83"/>
    <w:rsid w:val="006B2D82"/>
    <w:rsid w:val="006B3623"/>
    <w:rsid w:val="006B5267"/>
    <w:rsid w:val="006B591E"/>
    <w:rsid w:val="006B62BF"/>
    <w:rsid w:val="006B78D2"/>
    <w:rsid w:val="006B7A28"/>
    <w:rsid w:val="006C0732"/>
    <w:rsid w:val="006C47B8"/>
    <w:rsid w:val="006C4F4D"/>
    <w:rsid w:val="006C5B15"/>
    <w:rsid w:val="006C5B3F"/>
    <w:rsid w:val="006C7A6F"/>
    <w:rsid w:val="006D11C6"/>
    <w:rsid w:val="006D1251"/>
    <w:rsid w:val="006D161D"/>
    <w:rsid w:val="006D2A50"/>
    <w:rsid w:val="006D2C7B"/>
    <w:rsid w:val="006D3239"/>
    <w:rsid w:val="006D3EA7"/>
    <w:rsid w:val="006D4A31"/>
    <w:rsid w:val="006D4EAD"/>
    <w:rsid w:val="006D614C"/>
    <w:rsid w:val="006D6386"/>
    <w:rsid w:val="006D6687"/>
    <w:rsid w:val="006D7D03"/>
    <w:rsid w:val="006E12C8"/>
    <w:rsid w:val="006E13B6"/>
    <w:rsid w:val="006E19DC"/>
    <w:rsid w:val="006E2CFF"/>
    <w:rsid w:val="006E3417"/>
    <w:rsid w:val="006E5095"/>
    <w:rsid w:val="006E5BBA"/>
    <w:rsid w:val="006E5D17"/>
    <w:rsid w:val="006E7AC4"/>
    <w:rsid w:val="006F0C4F"/>
    <w:rsid w:val="006F1384"/>
    <w:rsid w:val="006F19D6"/>
    <w:rsid w:val="006F248B"/>
    <w:rsid w:val="006F2A1A"/>
    <w:rsid w:val="006F30E0"/>
    <w:rsid w:val="006F3F90"/>
    <w:rsid w:val="006F44D9"/>
    <w:rsid w:val="006F47D2"/>
    <w:rsid w:val="006F51E6"/>
    <w:rsid w:val="006F646D"/>
    <w:rsid w:val="006F6DEF"/>
    <w:rsid w:val="006F7141"/>
    <w:rsid w:val="006F7841"/>
    <w:rsid w:val="006F7CC8"/>
    <w:rsid w:val="007003F9"/>
    <w:rsid w:val="007005AD"/>
    <w:rsid w:val="007006A5"/>
    <w:rsid w:val="00700916"/>
    <w:rsid w:val="00700B10"/>
    <w:rsid w:val="0070511F"/>
    <w:rsid w:val="00705740"/>
    <w:rsid w:val="007060A4"/>
    <w:rsid w:val="00706757"/>
    <w:rsid w:val="00707A2F"/>
    <w:rsid w:val="00707B9F"/>
    <w:rsid w:val="00707CE5"/>
    <w:rsid w:val="00710990"/>
    <w:rsid w:val="00711596"/>
    <w:rsid w:val="00713C7D"/>
    <w:rsid w:val="0071425C"/>
    <w:rsid w:val="00714E08"/>
    <w:rsid w:val="0071687F"/>
    <w:rsid w:val="00716CDC"/>
    <w:rsid w:val="007201F1"/>
    <w:rsid w:val="007202BE"/>
    <w:rsid w:val="007205B5"/>
    <w:rsid w:val="00720984"/>
    <w:rsid w:val="0072108C"/>
    <w:rsid w:val="00722187"/>
    <w:rsid w:val="007225F4"/>
    <w:rsid w:val="00722C36"/>
    <w:rsid w:val="007230CA"/>
    <w:rsid w:val="0072404A"/>
    <w:rsid w:val="00724FB3"/>
    <w:rsid w:val="00725DA5"/>
    <w:rsid w:val="00727B0A"/>
    <w:rsid w:val="00731094"/>
    <w:rsid w:val="00732692"/>
    <w:rsid w:val="00732CEF"/>
    <w:rsid w:val="007337DD"/>
    <w:rsid w:val="007348D6"/>
    <w:rsid w:val="00734F45"/>
    <w:rsid w:val="00734F4C"/>
    <w:rsid w:val="007362B7"/>
    <w:rsid w:val="007363F8"/>
    <w:rsid w:val="00740CF4"/>
    <w:rsid w:val="007410FB"/>
    <w:rsid w:val="0074155C"/>
    <w:rsid w:val="00741BD5"/>
    <w:rsid w:val="00742579"/>
    <w:rsid w:val="00742EDE"/>
    <w:rsid w:val="00743415"/>
    <w:rsid w:val="0074398C"/>
    <w:rsid w:val="007440B4"/>
    <w:rsid w:val="00744D12"/>
    <w:rsid w:val="00746F1B"/>
    <w:rsid w:val="007478ED"/>
    <w:rsid w:val="00747CE5"/>
    <w:rsid w:val="00747CEB"/>
    <w:rsid w:val="00747F07"/>
    <w:rsid w:val="007504BE"/>
    <w:rsid w:val="00750BE7"/>
    <w:rsid w:val="00750C8A"/>
    <w:rsid w:val="0075170F"/>
    <w:rsid w:val="00751E8A"/>
    <w:rsid w:val="0075350B"/>
    <w:rsid w:val="00753864"/>
    <w:rsid w:val="0075451E"/>
    <w:rsid w:val="0075466A"/>
    <w:rsid w:val="00754E6E"/>
    <w:rsid w:val="007557D4"/>
    <w:rsid w:val="007563CB"/>
    <w:rsid w:val="0075670B"/>
    <w:rsid w:val="00756C83"/>
    <w:rsid w:val="00757CE0"/>
    <w:rsid w:val="00760369"/>
    <w:rsid w:val="00760907"/>
    <w:rsid w:val="00760DA8"/>
    <w:rsid w:val="00762793"/>
    <w:rsid w:val="007636CE"/>
    <w:rsid w:val="00764371"/>
    <w:rsid w:val="0076511E"/>
    <w:rsid w:val="00765623"/>
    <w:rsid w:val="007659BE"/>
    <w:rsid w:val="007664ED"/>
    <w:rsid w:val="007665A0"/>
    <w:rsid w:val="0076760D"/>
    <w:rsid w:val="0077098E"/>
    <w:rsid w:val="007714A4"/>
    <w:rsid w:val="00771CB8"/>
    <w:rsid w:val="00772494"/>
    <w:rsid w:val="00773030"/>
    <w:rsid w:val="0077318F"/>
    <w:rsid w:val="00773315"/>
    <w:rsid w:val="007733F8"/>
    <w:rsid w:val="00774285"/>
    <w:rsid w:val="0077471E"/>
    <w:rsid w:val="00775D8F"/>
    <w:rsid w:val="0077603B"/>
    <w:rsid w:val="00776257"/>
    <w:rsid w:val="00776314"/>
    <w:rsid w:val="00776359"/>
    <w:rsid w:val="00780C3E"/>
    <w:rsid w:val="00781295"/>
    <w:rsid w:val="0078132E"/>
    <w:rsid w:val="007817F5"/>
    <w:rsid w:val="007818EF"/>
    <w:rsid w:val="00781ABB"/>
    <w:rsid w:val="007820B6"/>
    <w:rsid w:val="00782C67"/>
    <w:rsid w:val="00784F81"/>
    <w:rsid w:val="00785D13"/>
    <w:rsid w:val="00786EB2"/>
    <w:rsid w:val="00790095"/>
    <w:rsid w:val="007909AE"/>
    <w:rsid w:val="00791734"/>
    <w:rsid w:val="00791B09"/>
    <w:rsid w:val="007921B5"/>
    <w:rsid w:val="0079297A"/>
    <w:rsid w:val="00792D19"/>
    <w:rsid w:val="00792F4C"/>
    <w:rsid w:val="00793C86"/>
    <w:rsid w:val="00793FE3"/>
    <w:rsid w:val="00794152"/>
    <w:rsid w:val="00794A3C"/>
    <w:rsid w:val="007950DE"/>
    <w:rsid w:val="007972B1"/>
    <w:rsid w:val="00797487"/>
    <w:rsid w:val="00797DFD"/>
    <w:rsid w:val="00797F84"/>
    <w:rsid w:val="007A0101"/>
    <w:rsid w:val="007A0B81"/>
    <w:rsid w:val="007A0B95"/>
    <w:rsid w:val="007A0E3C"/>
    <w:rsid w:val="007A1C87"/>
    <w:rsid w:val="007A1D8E"/>
    <w:rsid w:val="007A1F90"/>
    <w:rsid w:val="007A247B"/>
    <w:rsid w:val="007A2CF8"/>
    <w:rsid w:val="007A2FDF"/>
    <w:rsid w:val="007A3258"/>
    <w:rsid w:val="007A3642"/>
    <w:rsid w:val="007A3D20"/>
    <w:rsid w:val="007A40AD"/>
    <w:rsid w:val="007A439B"/>
    <w:rsid w:val="007A4B85"/>
    <w:rsid w:val="007A5BEC"/>
    <w:rsid w:val="007A6EA3"/>
    <w:rsid w:val="007B0F5D"/>
    <w:rsid w:val="007B1191"/>
    <w:rsid w:val="007B1772"/>
    <w:rsid w:val="007B17F6"/>
    <w:rsid w:val="007B1F36"/>
    <w:rsid w:val="007B22DC"/>
    <w:rsid w:val="007B23C3"/>
    <w:rsid w:val="007B2525"/>
    <w:rsid w:val="007B27E3"/>
    <w:rsid w:val="007B50C2"/>
    <w:rsid w:val="007B61B6"/>
    <w:rsid w:val="007B6D90"/>
    <w:rsid w:val="007B6F19"/>
    <w:rsid w:val="007B74D9"/>
    <w:rsid w:val="007B7619"/>
    <w:rsid w:val="007B7844"/>
    <w:rsid w:val="007C1098"/>
    <w:rsid w:val="007C1638"/>
    <w:rsid w:val="007C183D"/>
    <w:rsid w:val="007C26DB"/>
    <w:rsid w:val="007C33E9"/>
    <w:rsid w:val="007C416B"/>
    <w:rsid w:val="007C58DE"/>
    <w:rsid w:val="007C61DD"/>
    <w:rsid w:val="007D0104"/>
    <w:rsid w:val="007D0EED"/>
    <w:rsid w:val="007D134D"/>
    <w:rsid w:val="007D13C4"/>
    <w:rsid w:val="007D22F9"/>
    <w:rsid w:val="007D236F"/>
    <w:rsid w:val="007D23EE"/>
    <w:rsid w:val="007D26FA"/>
    <w:rsid w:val="007D36D6"/>
    <w:rsid w:val="007D3C9B"/>
    <w:rsid w:val="007D43DA"/>
    <w:rsid w:val="007D5ABF"/>
    <w:rsid w:val="007D5FD9"/>
    <w:rsid w:val="007D6484"/>
    <w:rsid w:val="007E0C7A"/>
    <w:rsid w:val="007E1481"/>
    <w:rsid w:val="007E18A1"/>
    <w:rsid w:val="007E2BB6"/>
    <w:rsid w:val="007E37D9"/>
    <w:rsid w:val="007E37F8"/>
    <w:rsid w:val="007E4003"/>
    <w:rsid w:val="007E47E1"/>
    <w:rsid w:val="007E49CD"/>
    <w:rsid w:val="007E4B8B"/>
    <w:rsid w:val="007E5CDB"/>
    <w:rsid w:val="007E5E43"/>
    <w:rsid w:val="007E66C1"/>
    <w:rsid w:val="007E7643"/>
    <w:rsid w:val="007F0457"/>
    <w:rsid w:val="007F04D7"/>
    <w:rsid w:val="007F090B"/>
    <w:rsid w:val="007F1F46"/>
    <w:rsid w:val="007F28E7"/>
    <w:rsid w:val="007F3392"/>
    <w:rsid w:val="007F346F"/>
    <w:rsid w:val="007F3529"/>
    <w:rsid w:val="007F3C78"/>
    <w:rsid w:val="007F40B4"/>
    <w:rsid w:val="007F46A1"/>
    <w:rsid w:val="007F5220"/>
    <w:rsid w:val="007F5487"/>
    <w:rsid w:val="00803C0A"/>
    <w:rsid w:val="008045F8"/>
    <w:rsid w:val="00806393"/>
    <w:rsid w:val="00806769"/>
    <w:rsid w:val="00806D48"/>
    <w:rsid w:val="00806E1B"/>
    <w:rsid w:val="00807768"/>
    <w:rsid w:val="00807827"/>
    <w:rsid w:val="0081120D"/>
    <w:rsid w:val="00811AC8"/>
    <w:rsid w:val="00813711"/>
    <w:rsid w:val="00813DA2"/>
    <w:rsid w:val="00814D06"/>
    <w:rsid w:val="008150B5"/>
    <w:rsid w:val="00815FAE"/>
    <w:rsid w:val="00816EFB"/>
    <w:rsid w:val="00817D85"/>
    <w:rsid w:val="008206BB"/>
    <w:rsid w:val="00820999"/>
    <w:rsid w:val="008212FF"/>
    <w:rsid w:val="00822577"/>
    <w:rsid w:val="008229A2"/>
    <w:rsid w:val="00822A54"/>
    <w:rsid w:val="00823FB8"/>
    <w:rsid w:val="00827304"/>
    <w:rsid w:val="008274DF"/>
    <w:rsid w:val="0082768D"/>
    <w:rsid w:val="00827D5B"/>
    <w:rsid w:val="00827ED7"/>
    <w:rsid w:val="008306F7"/>
    <w:rsid w:val="00830852"/>
    <w:rsid w:val="00831213"/>
    <w:rsid w:val="00832DC5"/>
    <w:rsid w:val="00833E77"/>
    <w:rsid w:val="00834361"/>
    <w:rsid w:val="00835EFF"/>
    <w:rsid w:val="00836943"/>
    <w:rsid w:val="00836C7D"/>
    <w:rsid w:val="008374B5"/>
    <w:rsid w:val="00837977"/>
    <w:rsid w:val="00837F7A"/>
    <w:rsid w:val="008408D4"/>
    <w:rsid w:val="00841D4F"/>
    <w:rsid w:val="00841F90"/>
    <w:rsid w:val="00842EFE"/>
    <w:rsid w:val="00843DFA"/>
    <w:rsid w:val="00843F96"/>
    <w:rsid w:val="00844BCF"/>
    <w:rsid w:val="00845253"/>
    <w:rsid w:val="008456AF"/>
    <w:rsid w:val="00846650"/>
    <w:rsid w:val="0085014A"/>
    <w:rsid w:val="008517F4"/>
    <w:rsid w:val="008524CB"/>
    <w:rsid w:val="00853581"/>
    <w:rsid w:val="00853AAD"/>
    <w:rsid w:val="0085431C"/>
    <w:rsid w:val="00855423"/>
    <w:rsid w:val="008557EF"/>
    <w:rsid w:val="00855EC3"/>
    <w:rsid w:val="00860BA4"/>
    <w:rsid w:val="00860DAF"/>
    <w:rsid w:val="00861AC4"/>
    <w:rsid w:val="00861BBC"/>
    <w:rsid w:val="008628F2"/>
    <w:rsid w:val="00863784"/>
    <w:rsid w:val="0086430B"/>
    <w:rsid w:val="00865F11"/>
    <w:rsid w:val="00866B51"/>
    <w:rsid w:val="00866F1B"/>
    <w:rsid w:val="00866FA1"/>
    <w:rsid w:val="00867250"/>
    <w:rsid w:val="00867F5C"/>
    <w:rsid w:val="008705EE"/>
    <w:rsid w:val="00871221"/>
    <w:rsid w:val="008729AF"/>
    <w:rsid w:val="00873145"/>
    <w:rsid w:val="00873D36"/>
    <w:rsid w:val="0087427D"/>
    <w:rsid w:val="00874B86"/>
    <w:rsid w:val="008756EB"/>
    <w:rsid w:val="008760F3"/>
    <w:rsid w:val="00876298"/>
    <w:rsid w:val="008763BC"/>
    <w:rsid w:val="008766D4"/>
    <w:rsid w:val="0087765F"/>
    <w:rsid w:val="00877C32"/>
    <w:rsid w:val="00880289"/>
    <w:rsid w:val="00880F4C"/>
    <w:rsid w:val="008813A4"/>
    <w:rsid w:val="00882CFE"/>
    <w:rsid w:val="008830F5"/>
    <w:rsid w:val="00885235"/>
    <w:rsid w:val="008853FC"/>
    <w:rsid w:val="008859F8"/>
    <w:rsid w:val="00886286"/>
    <w:rsid w:val="00886545"/>
    <w:rsid w:val="00887BEA"/>
    <w:rsid w:val="0089058B"/>
    <w:rsid w:val="008908E3"/>
    <w:rsid w:val="008913F1"/>
    <w:rsid w:val="008934D5"/>
    <w:rsid w:val="00893947"/>
    <w:rsid w:val="00893A3F"/>
    <w:rsid w:val="00893F24"/>
    <w:rsid w:val="0089450C"/>
    <w:rsid w:val="0089647A"/>
    <w:rsid w:val="00896987"/>
    <w:rsid w:val="00896FE5"/>
    <w:rsid w:val="008A00BC"/>
    <w:rsid w:val="008A1908"/>
    <w:rsid w:val="008A2387"/>
    <w:rsid w:val="008A2837"/>
    <w:rsid w:val="008A4536"/>
    <w:rsid w:val="008A4E51"/>
    <w:rsid w:val="008A5717"/>
    <w:rsid w:val="008A59C6"/>
    <w:rsid w:val="008A5FF1"/>
    <w:rsid w:val="008A690B"/>
    <w:rsid w:val="008A7500"/>
    <w:rsid w:val="008B0C7A"/>
    <w:rsid w:val="008B2089"/>
    <w:rsid w:val="008B222B"/>
    <w:rsid w:val="008B3E66"/>
    <w:rsid w:val="008B3FFC"/>
    <w:rsid w:val="008B4927"/>
    <w:rsid w:val="008B4CC7"/>
    <w:rsid w:val="008B4E09"/>
    <w:rsid w:val="008B5748"/>
    <w:rsid w:val="008B6DF5"/>
    <w:rsid w:val="008B792D"/>
    <w:rsid w:val="008B7FD3"/>
    <w:rsid w:val="008C00AD"/>
    <w:rsid w:val="008C0642"/>
    <w:rsid w:val="008C067F"/>
    <w:rsid w:val="008C09F4"/>
    <w:rsid w:val="008C12DB"/>
    <w:rsid w:val="008C1FF2"/>
    <w:rsid w:val="008C2244"/>
    <w:rsid w:val="008C289E"/>
    <w:rsid w:val="008C3172"/>
    <w:rsid w:val="008C4AEB"/>
    <w:rsid w:val="008C64B0"/>
    <w:rsid w:val="008C6796"/>
    <w:rsid w:val="008C799A"/>
    <w:rsid w:val="008D0471"/>
    <w:rsid w:val="008D08D6"/>
    <w:rsid w:val="008D110B"/>
    <w:rsid w:val="008D159A"/>
    <w:rsid w:val="008D1D7D"/>
    <w:rsid w:val="008D248E"/>
    <w:rsid w:val="008D2EF5"/>
    <w:rsid w:val="008D40ED"/>
    <w:rsid w:val="008D4121"/>
    <w:rsid w:val="008D467B"/>
    <w:rsid w:val="008D50E6"/>
    <w:rsid w:val="008D5D42"/>
    <w:rsid w:val="008D6B60"/>
    <w:rsid w:val="008D728A"/>
    <w:rsid w:val="008D72A2"/>
    <w:rsid w:val="008D7A5D"/>
    <w:rsid w:val="008D7FBC"/>
    <w:rsid w:val="008E1036"/>
    <w:rsid w:val="008E1455"/>
    <w:rsid w:val="008E1586"/>
    <w:rsid w:val="008E1A99"/>
    <w:rsid w:val="008E22BF"/>
    <w:rsid w:val="008E3857"/>
    <w:rsid w:val="008E4AEE"/>
    <w:rsid w:val="008E56C4"/>
    <w:rsid w:val="008E5C0B"/>
    <w:rsid w:val="008E5C24"/>
    <w:rsid w:val="008E6A89"/>
    <w:rsid w:val="008E751E"/>
    <w:rsid w:val="008E77D8"/>
    <w:rsid w:val="008F169F"/>
    <w:rsid w:val="008F1F7E"/>
    <w:rsid w:val="008F2A0C"/>
    <w:rsid w:val="008F5B4D"/>
    <w:rsid w:val="00900345"/>
    <w:rsid w:val="0090083D"/>
    <w:rsid w:val="00900BF6"/>
    <w:rsid w:val="00900FB5"/>
    <w:rsid w:val="0090150F"/>
    <w:rsid w:val="0090167C"/>
    <w:rsid w:val="009028CB"/>
    <w:rsid w:val="00902BEE"/>
    <w:rsid w:val="00902C6C"/>
    <w:rsid w:val="00902E56"/>
    <w:rsid w:val="00903DBF"/>
    <w:rsid w:val="009043B6"/>
    <w:rsid w:val="00905682"/>
    <w:rsid w:val="00907539"/>
    <w:rsid w:val="00910F42"/>
    <w:rsid w:val="00912709"/>
    <w:rsid w:val="00913668"/>
    <w:rsid w:val="009136A2"/>
    <w:rsid w:val="00913CA8"/>
    <w:rsid w:val="009146DF"/>
    <w:rsid w:val="00915F8A"/>
    <w:rsid w:val="00915FC0"/>
    <w:rsid w:val="00916887"/>
    <w:rsid w:val="00916D0A"/>
    <w:rsid w:val="00916F3A"/>
    <w:rsid w:val="009173C9"/>
    <w:rsid w:val="0092086D"/>
    <w:rsid w:val="00921713"/>
    <w:rsid w:val="009217F4"/>
    <w:rsid w:val="0092258C"/>
    <w:rsid w:val="00923359"/>
    <w:rsid w:val="0092358A"/>
    <w:rsid w:val="00923902"/>
    <w:rsid w:val="0092390A"/>
    <w:rsid w:val="009239DA"/>
    <w:rsid w:val="00923FC8"/>
    <w:rsid w:val="00924803"/>
    <w:rsid w:val="00924F77"/>
    <w:rsid w:val="009252F3"/>
    <w:rsid w:val="00926719"/>
    <w:rsid w:val="00926AF1"/>
    <w:rsid w:val="00927572"/>
    <w:rsid w:val="00930027"/>
    <w:rsid w:val="00931B1A"/>
    <w:rsid w:val="009323D6"/>
    <w:rsid w:val="00932621"/>
    <w:rsid w:val="00932A7C"/>
    <w:rsid w:val="009344AA"/>
    <w:rsid w:val="00935F20"/>
    <w:rsid w:val="00936386"/>
    <w:rsid w:val="009365B2"/>
    <w:rsid w:val="009368C6"/>
    <w:rsid w:val="00937139"/>
    <w:rsid w:val="009371A8"/>
    <w:rsid w:val="00937B15"/>
    <w:rsid w:val="00937CB9"/>
    <w:rsid w:val="00940003"/>
    <w:rsid w:val="00941FBB"/>
    <w:rsid w:val="00943144"/>
    <w:rsid w:val="00943497"/>
    <w:rsid w:val="00943814"/>
    <w:rsid w:val="00944A07"/>
    <w:rsid w:val="0094562C"/>
    <w:rsid w:val="009457A0"/>
    <w:rsid w:val="00947572"/>
    <w:rsid w:val="0095030D"/>
    <w:rsid w:val="00951417"/>
    <w:rsid w:val="00951E2B"/>
    <w:rsid w:val="00952538"/>
    <w:rsid w:val="009539F6"/>
    <w:rsid w:val="00954873"/>
    <w:rsid w:val="00954953"/>
    <w:rsid w:val="00954C46"/>
    <w:rsid w:val="00955896"/>
    <w:rsid w:val="00955E83"/>
    <w:rsid w:val="009564E0"/>
    <w:rsid w:val="00957CEC"/>
    <w:rsid w:val="0096063E"/>
    <w:rsid w:val="00961B02"/>
    <w:rsid w:val="0096446C"/>
    <w:rsid w:val="00965AC1"/>
    <w:rsid w:val="00966A16"/>
    <w:rsid w:val="00966D1D"/>
    <w:rsid w:val="009672E1"/>
    <w:rsid w:val="00967D7C"/>
    <w:rsid w:val="00967FB0"/>
    <w:rsid w:val="0097027F"/>
    <w:rsid w:val="00970363"/>
    <w:rsid w:val="00970571"/>
    <w:rsid w:val="009707EF"/>
    <w:rsid w:val="0097081C"/>
    <w:rsid w:val="00971358"/>
    <w:rsid w:val="00971B67"/>
    <w:rsid w:val="00971E29"/>
    <w:rsid w:val="00973EB8"/>
    <w:rsid w:val="009746CD"/>
    <w:rsid w:val="00974FDA"/>
    <w:rsid w:val="0097544C"/>
    <w:rsid w:val="00975538"/>
    <w:rsid w:val="009763A4"/>
    <w:rsid w:val="009763C5"/>
    <w:rsid w:val="009767AA"/>
    <w:rsid w:val="009779A2"/>
    <w:rsid w:val="009811EB"/>
    <w:rsid w:val="00981A5B"/>
    <w:rsid w:val="009821CA"/>
    <w:rsid w:val="00982618"/>
    <w:rsid w:val="00982E0E"/>
    <w:rsid w:val="0098476A"/>
    <w:rsid w:val="00984C5E"/>
    <w:rsid w:val="00984DF5"/>
    <w:rsid w:val="009857F4"/>
    <w:rsid w:val="009864BC"/>
    <w:rsid w:val="00986B05"/>
    <w:rsid w:val="00987872"/>
    <w:rsid w:val="00987A9C"/>
    <w:rsid w:val="00990740"/>
    <w:rsid w:val="00990A0F"/>
    <w:rsid w:val="00991506"/>
    <w:rsid w:val="0099175C"/>
    <w:rsid w:val="009921C9"/>
    <w:rsid w:val="009928CC"/>
    <w:rsid w:val="009931E8"/>
    <w:rsid w:val="00993345"/>
    <w:rsid w:val="009936A7"/>
    <w:rsid w:val="0099589E"/>
    <w:rsid w:val="00995BC1"/>
    <w:rsid w:val="00997AD2"/>
    <w:rsid w:val="0099C826"/>
    <w:rsid w:val="009A059F"/>
    <w:rsid w:val="009A0ADE"/>
    <w:rsid w:val="009A0DFE"/>
    <w:rsid w:val="009A1158"/>
    <w:rsid w:val="009A1D53"/>
    <w:rsid w:val="009A2A59"/>
    <w:rsid w:val="009A2F86"/>
    <w:rsid w:val="009A328E"/>
    <w:rsid w:val="009A3393"/>
    <w:rsid w:val="009A3CC4"/>
    <w:rsid w:val="009A49E2"/>
    <w:rsid w:val="009A617D"/>
    <w:rsid w:val="009A70C4"/>
    <w:rsid w:val="009A78E3"/>
    <w:rsid w:val="009B1179"/>
    <w:rsid w:val="009B1B3C"/>
    <w:rsid w:val="009B39D6"/>
    <w:rsid w:val="009B3A2D"/>
    <w:rsid w:val="009B3B0D"/>
    <w:rsid w:val="009B52C6"/>
    <w:rsid w:val="009B5E26"/>
    <w:rsid w:val="009B6451"/>
    <w:rsid w:val="009B6F0B"/>
    <w:rsid w:val="009C03E1"/>
    <w:rsid w:val="009C15F2"/>
    <w:rsid w:val="009C4258"/>
    <w:rsid w:val="009C4797"/>
    <w:rsid w:val="009C51EA"/>
    <w:rsid w:val="009C5AA3"/>
    <w:rsid w:val="009C5B3C"/>
    <w:rsid w:val="009C6E2F"/>
    <w:rsid w:val="009C77B4"/>
    <w:rsid w:val="009C7925"/>
    <w:rsid w:val="009C7BF2"/>
    <w:rsid w:val="009C7D30"/>
    <w:rsid w:val="009D0193"/>
    <w:rsid w:val="009D046A"/>
    <w:rsid w:val="009D252C"/>
    <w:rsid w:val="009D2597"/>
    <w:rsid w:val="009D2F46"/>
    <w:rsid w:val="009D37B1"/>
    <w:rsid w:val="009D3C8C"/>
    <w:rsid w:val="009D43B7"/>
    <w:rsid w:val="009D493A"/>
    <w:rsid w:val="009D59C1"/>
    <w:rsid w:val="009D5C8C"/>
    <w:rsid w:val="009D5F3F"/>
    <w:rsid w:val="009D68EB"/>
    <w:rsid w:val="009D6990"/>
    <w:rsid w:val="009D7324"/>
    <w:rsid w:val="009E038B"/>
    <w:rsid w:val="009E104D"/>
    <w:rsid w:val="009E2161"/>
    <w:rsid w:val="009E21AD"/>
    <w:rsid w:val="009E224F"/>
    <w:rsid w:val="009E28FA"/>
    <w:rsid w:val="009E2D3F"/>
    <w:rsid w:val="009E4BDD"/>
    <w:rsid w:val="009E4EB9"/>
    <w:rsid w:val="009E68A2"/>
    <w:rsid w:val="009E7777"/>
    <w:rsid w:val="009E7C93"/>
    <w:rsid w:val="009F0E04"/>
    <w:rsid w:val="009F177C"/>
    <w:rsid w:val="009F1D8D"/>
    <w:rsid w:val="009F20B2"/>
    <w:rsid w:val="009F5E61"/>
    <w:rsid w:val="009F65AA"/>
    <w:rsid w:val="009F6B0E"/>
    <w:rsid w:val="009F7163"/>
    <w:rsid w:val="009F78A3"/>
    <w:rsid w:val="00A00A52"/>
    <w:rsid w:val="00A02380"/>
    <w:rsid w:val="00A02F5C"/>
    <w:rsid w:val="00A03408"/>
    <w:rsid w:val="00A03DC1"/>
    <w:rsid w:val="00A04258"/>
    <w:rsid w:val="00A042B2"/>
    <w:rsid w:val="00A043B0"/>
    <w:rsid w:val="00A04924"/>
    <w:rsid w:val="00A04A5F"/>
    <w:rsid w:val="00A04CCE"/>
    <w:rsid w:val="00A051A8"/>
    <w:rsid w:val="00A06B9E"/>
    <w:rsid w:val="00A06C34"/>
    <w:rsid w:val="00A06E54"/>
    <w:rsid w:val="00A07220"/>
    <w:rsid w:val="00A073B9"/>
    <w:rsid w:val="00A0788F"/>
    <w:rsid w:val="00A11A16"/>
    <w:rsid w:val="00A12619"/>
    <w:rsid w:val="00A1317F"/>
    <w:rsid w:val="00A135C5"/>
    <w:rsid w:val="00A13BB3"/>
    <w:rsid w:val="00A13CBA"/>
    <w:rsid w:val="00A13E63"/>
    <w:rsid w:val="00A13E6D"/>
    <w:rsid w:val="00A14E7B"/>
    <w:rsid w:val="00A15156"/>
    <w:rsid w:val="00A16024"/>
    <w:rsid w:val="00A169E8"/>
    <w:rsid w:val="00A20320"/>
    <w:rsid w:val="00A204FF"/>
    <w:rsid w:val="00A2070D"/>
    <w:rsid w:val="00A20750"/>
    <w:rsid w:val="00A2111E"/>
    <w:rsid w:val="00A213BE"/>
    <w:rsid w:val="00A21B87"/>
    <w:rsid w:val="00A225C2"/>
    <w:rsid w:val="00A2320E"/>
    <w:rsid w:val="00A26080"/>
    <w:rsid w:val="00A26743"/>
    <w:rsid w:val="00A27B33"/>
    <w:rsid w:val="00A30C5C"/>
    <w:rsid w:val="00A30D8F"/>
    <w:rsid w:val="00A30FB8"/>
    <w:rsid w:val="00A3284D"/>
    <w:rsid w:val="00A32A8B"/>
    <w:rsid w:val="00A32D85"/>
    <w:rsid w:val="00A3557C"/>
    <w:rsid w:val="00A3593B"/>
    <w:rsid w:val="00A3633E"/>
    <w:rsid w:val="00A369BF"/>
    <w:rsid w:val="00A37AB7"/>
    <w:rsid w:val="00A40153"/>
    <w:rsid w:val="00A4095B"/>
    <w:rsid w:val="00A412B9"/>
    <w:rsid w:val="00A41734"/>
    <w:rsid w:val="00A41957"/>
    <w:rsid w:val="00A41E83"/>
    <w:rsid w:val="00A42477"/>
    <w:rsid w:val="00A43598"/>
    <w:rsid w:val="00A43970"/>
    <w:rsid w:val="00A44063"/>
    <w:rsid w:val="00A44461"/>
    <w:rsid w:val="00A4589D"/>
    <w:rsid w:val="00A45B6C"/>
    <w:rsid w:val="00A45C6C"/>
    <w:rsid w:val="00A463A1"/>
    <w:rsid w:val="00A466C0"/>
    <w:rsid w:val="00A46C09"/>
    <w:rsid w:val="00A46D35"/>
    <w:rsid w:val="00A47300"/>
    <w:rsid w:val="00A47A26"/>
    <w:rsid w:val="00A50C47"/>
    <w:rsid w:val="00A54265"/>
    <w:rsid w:val="00A55110"/>
    <w:rsid w:val="00A5606B"/>
    <w:rsid w:val="00A5702B"/>
    <w:rsid w:val="00A601C7"/>
    <w:rsid w:val="00A60BB8"/>
    <w:rsid w:val="00A637EB"/>
    <w:rsid w:val="00A639B4"/>
    <w:rsid w:val="00A63AD3"/>
    <w:rsid w:val="00A6645F"/>
    <w:rsid w:val="00A669FA"/>
    <w:rsid w:val="00A67B4B"/>
    <w:rsid w:val="00A67D54"/>
    <w:rsid w:val="00A726E1"/>
    <w:rsid w:val="00A736B1"/>
    <w:rsid w:val="00A7396B"/>
    <w:rsid w:val="00A7446A"/>
    <w:rsid w:val="00A752BE"/>
    <w:rsid w:val="00A76390"/>
    <w:rsid w:val="00A7646D"/>
    <w:rsid w:val="00A77088"/>
    <w:rsid w:val="00A81FC0"/>
    <w:rsid w:val="00A82332"/>
    <w:rsid w:val="00A83363"/>
    <w:rsid w:val="00A85656"/>
    <w:rsid w:val="00A87309"/>
    <w:rsid w:val="00A87720"/>
    <w:rsid w:val="00A9006C"/>
    <w:rsid w:val="00A900A2"/>
    <w:rsid w:val="00A907EC"/>
    <w:rsid w:val="00A910CE"/>
    <w:rsid w:val="00A91EAB"/>
    <w:rsid w:val="00A92A24"/>
    <w:rsid w:val="00A92EF0"/>
    <w:rsid w:val="00A93D57"/>
    <w:rsid w:val="00A943F0"/>
    <w:rsid w:val="00A95DE1"/>
    <w:rsid w:val="00A96196"/>
    <w:rsid w:val="00A964FC"/>
    <w:rsid w:val="00A97F12"/>
    <w:rsid w:val="00A97F8B"/>
    <w:rsid w:val="00AA0E53"/>
    <w:rsid w:val="00AA2836"/>
    <w:rsid w:val="00AA2F7F"/>
    <w:rsid w:val="00AA2FF7"/>
    <w:rsid w:val="00AA37D8"/>
    <w:rsid w:val="00AA4695"/>
    <w:rsid w:val="00AA4F5B"/>
    <w:rsid w:val="00AA5070"/>
    <w:rsid w:val="00AA512A"/>
    <w:rsid w:val="00AA5D10"/>
    <w:rsid w:val="00AA6685"/>
    <w:rsid w:val="00AA7A9D"/>
    <w:rsid w:val="00AB007E"/>
    <w:rsid w:val="00AB033D"/>
    <w:rsid w:val="00AB03C7"/>
    <w:rsid w:val="00AB13F1"/>
    <w:rsid w:val="00AB1938"/>
    <w:rsid w:val="00AB1C46"/>
    <w:rsid w:val="00AB1E65"/>
    <w:rsid w:val="00AB233B"/>
    <w:rsid w:val="00AB3A98"/>
    <w:rsid w:val="00AB530F"/>
    <w:rsid w:val="00AB5889"/>
    <w:rsid w:val="00AB5E38"/>
    <w:rsid w:val="00AB5EF9"/>
    <w:rsid w:val="00AB63AA"/>
    <w:rsid w:val="00AC0E5C"/>
    <w:rsid w:val="00AC1B0E"/>
    <w:rsid w:val="00AC207B"/>
    <w:rsid w:val="00AC25B9"/>
    <w:rsid w:val="00AC2F52"/>
    <w:rsid w:val="00AC38F9"/>
    <w:rsid w:val="00AC4579"/>
    <w:rsid w:val="00AC4A2B"/>
    <w:rsid w:val="00AC51AC"/>
    <w:rsid w:val="00AC6142"/>
    <w:rsid w:val="00AC77C3"/>
    <w:rsid w:val="00AD0ACF"/>
    <w:rsid w:val="00AD104E"/>
    <w:rsid w:val="00AD1146"/>
    <w:rsid w:val="00AD1AF8"/>
    <w:rsid w:val="00AD277C"/>
    <w:rsid w:val="00AD2CEF"/>
    <w:rsid w:val="00AD39F5"/>
    <w:rsid w:val="00AD3BD9"/>
    <w:rsid w:val="00AD482D"/>
    <w:rsid w:val="00AD6779"/>
    <w:rsid w:val="00AE059C"/>
    <w:rsid w:val="00AE105E"/>
    <w:rsid w:val="00AE21E6"/>
    <w:rsid w:val="00AE2C9F"/>
    <w:rsid w:val="00AE3348"/>
    <w:rsid w:val="00AE3EBE"/>
    <w:rsid w:val="00AE498D"/>
    <w:rsid w:val="00AE4E3F"/>
    <w:rsid w:val="00AE50C5"/>
    <w:rsid w:val="00AE5B4E"/>
    <w:rsid w:val="00AE5E6C"/>
    <w:rsid w:val="00AE766E"/>
    <w:rsid w:val="00AF1654"/>
    <w:rsid w:val="00AF1C23"/>
    <w:rsid w:val="00AF2339"/>
    <w:rsid w:val="00AF2995"/>
    <w:rsid w:val="00AF576E"/>
    <w:rsid w:val="00AF5AD7"/>
    <w:rsid w:val="00AF5B26"/>
    <w:rsid w:val="00AF5B58"/>
    <w:rsid w:val="00AF5D74"/>
    <w:rsid w:val="00AF67FC"/>
    <w:rsid w:val="00AF79A7"/>
    <w:rsid w:val="00AF7FC1"/>
    <w:rsid w:val="00B02369"/>
    <w:rsid w:val="00B038D1"/>
    <w:rsid w:val="00B03C12"/>
    <w:rsid w:val="00B04820"/>
    <w:rsid w:val="00B051CD"/>
    <w:rsid w:val="00B05431"/>
    <w:rsid w:val="00B05BCA"/>
    <w:rsid w:val="00B05C0F"/>
    <w:rsid w:val="00B05E98"/>
    <w:rsid w:val="00B0660B"/>
    <w:rsid w:val="00B068BD"/>
    <w:rsid w:val="00B06B22"/>
    <w:rsid w:val="00B06BCF"/>
    <w:rsid w:val="00B07406"/>
    <w:rsid w:val="00B07BF6"/>
    <w:rsid w:val="00B106D7"/>
    <w:rsid w:val="00B123C3"/>
    <w:rsid w:val="00B12551"/>
    <w:rsid w:val="00B12FCA"/>
    <w:rsid w:val="00B134BC"/>
    <w:rsid w:val="00B14419"/>
    <w:rsid w:val="00B1453A"/>
    <w:rsid w:val="00B14A3C"/>
    <w:rsid w:val="00B1502A"/>
    <w:rsid w:val="00B15487"/>
    <w:rsid w:val="00B15C23"/>
    <w:rsid w:val="00B17701"/>
    <w:rsid w:val="00B1B27D"/>
    <w:rsid w:val="00B20366"/>
    <w:rsid w:val="00B21BB1"/>
    <w:rsid w:val="00B22258"/>
    <w:rsid w:val="00B22493"/>
    <w:rsid w:val="00B229CB"/>
    <w:rsid w:val="00B2482C"/>
    <w:rsid w:val="00B27B07"/>
    <w:rsid w:val="00B305D7"/>
    <w:rsid w:val="00B30E85"/>
    <w:rsid w:val="00B31515"/>
    <w:rsid w:val="00B32B29"/>
    <w:rsid w:val="00B33761"/>
    <w:rsid w:val="00B33BF0"/>
    <w:rsid w:val="00B3401D"/>
    <w:rsid w:val="00B341FF"/>
    <w:rsid w:val="00B34469"/>
    <w:rsid w:val="00B344EB"/>
    <w:rsid w:val="00B34EB8"/>
    <w:rsid w:val="00B3662C"/>
    <w:rsid w:val="00B3707B"/>
    <w:rsid w:val="00B3709D"/>
    <w:rsid w:val="00B3710A"/>
    <w:rsid w:val="00B40B21"/>
    <w:rsid w:val="00B4314D"/>
    <w:rsid w:val="00B4329C"/>
    <w:rsid w:val="00B438AB"/>
    <w:rsid w:val="00B439CF"/>
    <w:rsid w:val="00B43B0F"/>
    <w:rsid w:val="00B43E90"/>
    <w:rsid w:val="00B44C85"/>
    <w:rsid w:val="00B45272"/>
    <w:rsid w:val="00B45305"/>
    <w:rsid w:val="00B45B48"/>
    <w:rsid w:val="00B45ECE"/>
    <w:rsid w:val="00B47E24"/>
    <w:rsid w:val="00B501D0"/>
    <w:rsid w:val="00B50323"/>
    <w:rsid w:val="00B50566"/>
    <w:rsid w:val="00B51248"/>
    <w:rsid w:val="00B51C6F"/>
    <w:rsid w:val="00B51E50"/>
    <w:rsid w:val="00B52D23"/>
    <w:rsid w:val="00B53156"/>
    <w:rsid w:val="00B544CE"/>
    <w:rsid w:val="00B56232"/>
    <w:rsid w:val="00B56768"/>
    <w:rsid w:val="00B56A66"/>
    <w:rsid w:val="00B57001"/>
    <w:rsid w:val="00B601C4"/>
    <w:rsid w:val="00B61021"/>
    <w:rsid w:val="00B61666"/>
    <w:rsid w:val="00B6179D"/>
    <w:rsid w:val="00B61E7F"/>
    <w:rsid w:val="00B63015"/>
    <w:rsid w:val="00B633FE"/>
    <w:rsid w:val="00B63803"/>
    <w:rsid w:val="00B63906"/>
    <w:rsid w:val="00B646EB"/>
    <w:rsid w:val="00B650D3"/>
    <w:rsid w:val="00B65586"/>
    <w:rsid w:val="00B65E60"/>
    <w:rsid w:val="00B669B4"/>
    <w:rsid w:val="00B66FDC"/>
    <w:rsid w:val="00B678CC"/>
    <w:rsid w:val="00B67E00"/>
    <w:rsid w:val="00B70007"/>
    <w:rsid w:val="00B70EA1"/>
    <w:rsid w:val="00B7112C"/>
    <w:rsid w:val="00B71298"/>
    <w:rsid w:val="00B713DA"/>
    <w:rsid w:val="00B72270"/>
    <w:rsid w:val="00B73F64"/>
    <w:rsid w:val="00B7450C"/>
    <w:rsid w:val="00B74BC3"/>
    <w:rsid w:val="00B75D2A"/>
    <w:rsid w:val="00B766CE"/>
    <w:rsid w:val="00B770FC"/>
    <w:rsid w:val="00B773A5"/>
    <w:rsid w:val="00B808B0"/>
    <w:rsid w:val="00B8128A"/>
    <w:rsid w:val="00B81D9F"/>
    <w:rsid w:val="00B83259"/>
    <w:rsid w:val="00B83FF1"/>
    <w:rsid w:val="00B8423B"/>
    <w:rsid w:val="00B84634"/>
    <w:rsid w:val="00B84B1A"/>
    <w:rsid w:val="00B8520D"/>
    <w:rsid w:val="00B8582C"/>
    <w:rsid w:val="00B85AD2"/>
    <w:rsid w:val="00B905A8"/>
    <w:rsid w:val="00B90C67"/>
    <w:rsid w:val="00B90FEE"/>
    <w:rsid w:val="00B9113E"/>
    <w:rsid w:val="00B918B0"/>
    <w:rsid w:val="00B92C5E"/>
    <w:rsid w:val="00B92FA8"/>
    <w:rsid w:val="00B933E1"/>
    <w:rsid w:val="00B94130"/>
    <w:rsid w:val="00B94192"/>
    <w:rsid w:val="00B94D27"/>
    <w:rsid w:val="00B95A1F"/>
    <w:rsid w:val="00B97093"/>
    <w:rsid w:val="00B9789E"/>
    <w:rsid w:val="00B97D14"/>
    <w:rsid w:val="00BA2083"/>
    <w:rsid w:val="00BA3097"/>
    <w:rsid w:val="00BA36FE"/>
    <w:rsid w:val="00BA38EC"/>
    <w:rsid w:val="00BA4D8B"/>
    <w:rsid w:val="00BA4E86"/>
    <w:rsid w:val="00BA5636"/>
    <w:rsid w:val="00BA65AF"/>
    <w:rsid w:val="00BA6BC1"/>
    <w:rsid w:val="00BA7ADA"/>
    <w:rsid w:val="00BA7BA8"/>
    <w:rsid w:val="00BA7FB4"/>
    <w:rsid w:val="00BB18AC"/>
    <w:rsid w:val="00BB1B56"/>
    <w:rsid w:val="00BB28F3"/>
    <w:rsid w:val="00BB2F35"/>
    <w:rsid w:val="00BB366F"/>
    <w:rsid w:val="00BB70E1"/>
    <w:rsid w:val="00BB7389"/>
    <w:rsid w:val="00BB73C3"/>
    <w:rsid w:val="00BB7836"/>
    <w:rsid w:val="00BC00E2"/>
    <w:rsid w:val="00BC0FF8"/>
    <w:rsid w:val="00BC1D9A"/>
    <w:rsid w:val="00BC2A6C"/>
    <w:rsid w:val="00BC2EFB"/>
    <w:rsid w:val="00BC349B"/>
    <w:rsid w:val="00BC3827"/>
    <w:rsid w:val="00BC3AFA"/>
    <w:rsid w:val="00BC4559"/>
    <w:rsid w:val="00BC4576"/>
    <w:rsid w:val="00BC46BE"/>
    <w:rsid w:val="00BC565E"/>
    <w:rsid w:val="00BC5C25"/>
    <w:rsid w:val="00BC5EB1"/>
    <w:rsid w:val="00BC6427"/>
    <w:rsid w:val="00BC742F"/>
    <w:rsid w:val="00BD22D1"/>
    <w:rsid w:val="00BD2767"/>
    <w:rsid w:val="00BD325F"/>
    <w:rsid w:val="00BD3555"/>
    <w:rsid w:val="00BD3BA9"/>
    <w:rsid w:val="00BD47A1"/>
    <w:rsid w:val="00BD52A7"/>
    <w:rsid w:val="00BD543E"/>
    <w:rsid w:val="00BD5472"/>
    <w:rsid w:val="00BD560F"/>
    <w:rsid w:val="00BD6078"/>
    <w:rsid w:val="00BD680B"/>
    <w:rsid w:val="00BE118F"/>
    <w:rsid w:val="00BE1C24"/>
    <w:rsid w:val="00BE2628"/>
    <w:rsid w:val="00BE2A96"/>
    <w:rsid w:val="00BE2AAE"/>
    <w:rsid w:val="00BE4CC1"/>
    <w:rsid w:val="00BE507E"/>
    <w:rsid w:val="00BE6177"/>
    <w:rsid w:val="00BE6C1E"/>
    <w:rsid w:val="00BF024F"/>
    <w:rsid w:val="00BF2368"/>
    <w:rsid w:val="00BF25B2"/>
    <w:rsid w:val="00BF2EDF"/>
    <w:rsid w:val="00BF35F8"/>
    <w:rsid w:val="00BF4329"/>
    <w:rsid w:val="00BF443B"/>
    <w:rsid w:val="00BF5D26"/>
    <w:rsid w:val="00BF5D8A"/>
    <w:rsid w:val="00BF6847"/>
    <w:rsid w:val="00BF71D9"/>
    <w:rsid w:val="00C00734"/>
    <w:rsid w:val="00C0087A"/>
    <w:rsid w:val="00C00A41"/>
    <w:rsid w:val="00C011C0"/>
    <w:rsid w:val="00C01CEA"/>
    <w:rsid w:val="00C02F5D"/>
    <w:rsid w:val="00C0346A"/>
    <w:rsid w:val="00C03981"/>
    <w:rsid w:val="00C0405F"/>
    <w:rsid w:val="00C0420F"/>
    <w:rsid w:val="00C04CE1"/>
    <w:rsid w:val="00C0654E"/>
    <w:rsid w:val="00C06BD6"/>
    <w:rsid w:val="00C1013B"/>
    <w:rsid w:val="00C101FB"/>
    <w:rsid w:val="00C10F78"/>
    <w:rsid w:val="00C13272"/>
    <w:rsid w:val="00C13805"/>
    <w:rsid w:val="00C1391B"/>
    <w:rsid w:val="00C13ED2"/>
    <w:rsid w:val="00C14342"/>
    <w:rsid w:val="00C144FA"/>
    <w:rsid w:val="00C17284"/>
    <w:rsid w:val="00C17C8A"/>
    <w:rsid w:val="00C17FAE"/>
    <w:rsid w:val="00C216A8"/>
    <w:rsid w:val="00C22116"/>
    <w:rsid w:val="00C22440"/>
    <w:rsid w:val="00C225C8"/>
    <w:rsid w:val="00C22909"/>
    <w:rsid w:val="00C22BB2"/>
    <w:rsid w:val="00C24C82"/>
    <w:rsid w:val="00C25105"/>
    <w:rsid w:val="00C25A45"/>
    <w:rsid w:val="00C25B57"/>
    <w:rsid w:val="00C25C29"/>
    <w:rsid w:val="00C276EB"/>
    <w:rsid w:val="00C27D3F"/>
    <w:rsid w:val="00C30005"/>
    <w:rsid w:val="00C30327"/>
    <w:rsid w:val="00C308A8"/>
    <w:rsid w:val="00C30FB7"/>
    <w:rsid w:val="00C31B1D"/>
    <w:rsid w:val="00C31ECC"/>
    <w:rsid w:val="00C321D3"/>
    <w:rsid w:val="00C3395A"/>
    <w:rsid w:val="00C33B2C"/>
    <w:rsid w:val="00C33D97"/>
    <w:rsid w:val="00C34E56"/>
    <w:rsid w:val="00C35701"/>
    <w:rsid w:val="00C35963"/>
    <w:rsid w:val="00C3744E"/>
    <w:rsid w:val="00C37A6E"/>
    <w:rsid w:val="00C445C3"/>
    <w:rsid w:val="00C455C4"/>
    <w:rsid w:val="00C462D1"/>
    <w:rsid w:val="00C46C9E"/>
    <w:rsid w:val="00C476CA"/>
    <w:rsid w:val="00C50562"/>
    <w:rsid w:val="00C51F22"/>
    <w:rsid w:val="00C52220"/>
    <w:rsid w:val="00C52BC6"/>
    <w:rsid w:val="00C53473"/>
    <w:rsid w:val="00C56002"/>
    <w:rsid w:val="00C56A81"/>
    <w:rsid w:val="00C56C2D"/>
    <w:rsid w:val="00C5763D"/>
    <w:rsid w:val="00C600D6"/>
    <w:rsid w:val="00C601F8"/>
    <w:rsid w:val="00C60751"/>
    <w:rsid w:val="00C63533"/>
    <w:rsid w:val="00C64657"/>
    <w:rsid w:val="00C6540A"/>
    <w:rsid w:val="00C65E45"/>
    <w:rsid w:val="00C6688F"/>
    <w:rsid w:val="00C70F6C"/>
    <w:rsid w:val="00C724AC"/>
    <w:rsid w:val="00C74204"/>
    <w:rsid w:val="00C757FF"/>
    <w:rsid w:val="00C75A21"/>
    <w:rsid w:val="00C762F7"/>
    <w:rsid w:val="00C76A5E"/>
    <w:rsid w:val="00C76B50"/>
    <w:rsid w:val="00C76C7B"/>
    <w:rsid w:val="00C77091"/>
    <w:rsid w:val="00C8003D"/>
    <w:rsid w:val="00C80B8E"/>
    <w:rsid w:val="00C80CBD"/>
    <w:rsid w:val="00C80F55"/>
    <w:rsid w:val="00C8174F"/>
    <w:rsid w:val="00C81DC8"/>
    <w:rsid w:val="00C8280B"/>
    <w:rsid w:val="00C82D29"/>
    <w:rsid w:val="00C858D2"/>
    <w:rsid w:val="00C85B94"/>
    <w:rsid w:val="00C8631A"/>
    <w:rsid w:val="00C863A1"/>
    <w:rsid w:val="00C865DA"/>
    <w:rsid w:val="00C876AD"/>
    <w:rsid w:val="00C9012C"/>
    <w:rsid w:val="00C90BD0"/>
    <w:rsid w:val="00C91D2A"/>
    <w:rsid w:val="00C9375D"/>
    <w:rsid w:val="00C9562B"/>
    <w:rsid w:val="00C956FF"/>
    <w:rsid w:val="00C95945"/>
    <w:rsid w:val="00C95A2A"/>
    <w:rsid w:val="00C96056"/>
    <w:rsid w:val="00C963BC"/>
    <w:rsid w:val="00C96AF8"/>
    <w:rsid w:val="00C96D9B"/>
    <w:rsid w:val="00CA0BF2"/>
    <w:rsid w:val="00CA23B8"/>
    <w:rsid w:val="00CA23C8"/>
    <w:rsid w:val="00CA2638"/>
    <w:rsid w:val="00CA2901"/>
    <w:rsid w:val="00CA2A01"/>
    <w:rsid w:val="00CA2BC6"/>
    <w:rsid w:val="00CA2BE5"/>
    <w:rsid w:val="00CA31B8"/>
    <w:rsid w:val="00CA3AA5"/>
    <w:rsid w:val="00CA3B32"/>
    <w:rsid w:val="00CA4662"/>
    <w:rsid w:val="00CA4C38"/>
    <w:rsid w:val="00CA4DCA"/>
    <w:rsid w:val="00CA5E4D"/>
    <w:rsid w:val="00CA678E"/>
    <w:rsid w:val="00CA6BD7"/>
    <w:rsid w:val="00CA6C0E"/>
    <w:rsid w:val="00CA7B24"/>
    <w:rsid w:val="00CB02CB"/>
    <w:rsid w:val="00CB2156"/>
    <w:rsid w:val="00CB5321"/>
    <w:rsid w:val="00CB5EE7"/>
    <w:rsid w:val="00CB659E"/>
    <w:rsid w:val="00CB7160"/>
    <w:rsid w:val="00CB74FD"/>
    <w:rsid w:val="00CC02FE"/>
    <w:rsid w:val="00CC0E9A"/>
    <w:rsid w:val="00CC2231"/>
    <w:rsid w:val="00CC2FD2"/>
    <w:rsid w:val="00CC3224"/>
    <w:rsid w:val="00CC37C2"/>
    <w:rsid w:val="00CC3948"/>
    <w:rsid w:val="00CC3D9F"/>
    <w:rsid w:val="00CC5430"/>
    <w:rsid w:val="00CC5940"/>
    <w:rsid w:val="00CC6407"/>
    <w:rsid w:val="00CD13DC"/>
    <w:rsid w:val="00CD1442"/>
    <w:rsid w:val="00CD26D6"/>
    <w:rsid w:val="00CD29FD"/>
    <w:rsid w:val="00CD2E61"/>
    <w:rsid w:val="00CD364F"/>
    <w:rsid w:val="00CD393E"/>
    <w:rsid w:val="00CD3F5A"/>
    <w:rsid w:val="00CD40C5"/>
    <w:rsid w:val="00CD42D9"/>
    <w:rsid w:val="00CD445A"/>
    <w:rsid w:val="00CD46DF"/>
    <w:rsid w:val="00CD4E16"/>
    <w:rsid w:val="00CD5326"/>
    <w:rsid w:val="00CD7699"/>
    <w:rsid w:val="00CD775A"/>
    <w:rsid w:val="00CD7CA7"/>
    <w:rsid w:val="00CE07EC"/>
    <w:rsid w:val="00CE096B"/>
    <w:rsid w:val="00CE10A1"/>
    <w:rsid w:val="00CE1D8B"/>
    <w:rsid w:val="00CE258F"/>
    <w:rsid w:val="00CE2C94"/>
    <w:rsid w:val="00CE34D5"/>
    <w:rsid w:val="00CE3B7E"/>
    <w:rsid w:val="00CE4340"/>
    <w:rsid w:val="00CE4848"/>
    <w:rsid w:val="00CE553D"/>
    <w:rsid w:val="00CE58D3"/>
    <w:rsid w:val="00CE72F6"/>
    <w:rsid w:val="00CE731F"/>
    <w:rsid w:val="00CF0B17"/>
    <w:rsid w:val="00CF0C24"/>
    <w:rsid w:val="00CF25CA"/>
    <w:rsid w:val="00CF31A1"/>
    <w:rsid w:val="00CF38F2"/>
    <w:rsid w:val="00CF3973"/>
    <w:rsid w:val="00CF3A4C"/>
    <w:rsid w:val="00CF4E8D"/>
    <w:rsid w:val="00CF6088"/>
    <w:rsid w:val="00CF6438"/>
    <w:rsid w:val="00D009FB"/>
    <w:rsid w:val="00D00B2F"/>
    <w:rsid w:val="00D00DAC"/>
    <w:rsid w:val="00D01B13"/>
    <w:rsid w:val="00D0358D"/>
    <w:rsid w:val="00D045EB"/>
    <w:rsid w:val="00D048A1"/>
    <w:rsid w:val="00D04E91"/>
    <w:rsid w:val="00D051ED"/>
    <w:rsid w:val="00D05A9A"/>
    <w:rsid w:val="00D05D18"/>
    <w:rsid w:val="00D06804"/>
    <w:rsid w:val="00D06B5E"/>
    <w:rsid w:val="00D0709D"/>
    <w:rsid w:val="00D07111"/>
    <w:rsid w:val="00D10422"/>
    <w:rsid w:val="00D1069B"/>
    <w:rsid w:val="00D1126A"/>
    <w:rsid w:val="00D11FD9"/>
    <w:rsid w:val="00D1441B"/>
    <w:rsid w:val="00D15383"/>
    <w:rsid w:val="00D154F5"/>
    <w:rsid w:val="00D15BE6"/>
    <w:rsid w:val="00D15EE8"/>
    <w:rsid w:val="00D160B4"/>
    <w:rsid w:val="00D16242"/>
    <w:rsid w:val="00D16B62"/>
    <w:rsid w:val="00D176A5"/>
    <w:rsid w:val="00D206E8"/>
    <w:rsid w:val="00D21D0E"/>
    <w:rsid w:val="00D226BC"/>
    <w:rsid w:val="00D234A8"/>
    <w:rsid w:val="00D25327"/>
    <w:rsid w:val="00D255A0"/>
    <w:rsid w:val="00D25C12"/>
    <w:rsid w:val="00D27ECD"/>
    <w:rsid w:val="00D27F20"/>
    <w:rsid w:val="00D30267"/>
    <w:rsid w:val="00D30FF6"/>
    <w:rsid w:val="00D3127E"/>
    <w:rsid w:val="00D31587"/>
    <w:rsid w:val="00D315EB"/>
    <w:rsid w:val="00D319A8"/>
    <w:rsid w:val="00D32405"/>
    <w:rsid w:val="00D32E0C"/>
    <w:rsid w:val="00D36E7E"/>
    <w:rsid w:val="00D375F6"/>
    <w:rsid w:val="00D40041"/>
    <w:rsid w:val="00D404AB"/>
    <w:rsid w:val="00D40EBB"/>
    <w:rsid w:val="00D428D0"/>
    <w:rsid w:val="00D45112"/>
    <w:rsid w:val="00D47DA3"/>
    <w:rsid w:val="00D512C6"/>
    <w:rsid w:val="00D52012"/>
    <w:rsid w:val="00D522BF"/>
    <w:rsid w:val="00D522DC"/>
    <w:rsid w:val="00D524E8"/>
    <w:rsid w:val="00D529B0"/>
    <w:rsid w:val="00D52C44"/>
    <w:rsid w:val="00D53AB3"/>
    <w:rsid w:val="00D5493A"/>
    <w:rsid w:val="00D56551"/>
    <w:rsid w:val="00D56ACF"/>
    <w:rsid w:val="00D56F4C"/>
    <w:rsid w:val="00D5B4FA"/>
    <w:rsid w:val="00D60223"/>
    <w:rsid w:val="00D606F1"/>
    <w:rsid w:val="00D60BF3"/>
    <w:rsid w:val="00D60D24"/>
    <w:rsid w:val="00D60E08"/>
    <w:rsid w:val="00D611B4"/>
    <w:rsid w:val="00D63047"/>
    <w:rsid w:val="00D6325E"/>
    <w:rsid w:val="00D63984"/>
    <w:rsid w:val="00D639BC"/>
    <w:rsid w:val="00D645BF"/>
    <w:rsid w:val="00D648EB"/>
    <w:rsid w:val="00D64A0F"/>
    <w:rsid w:val="00D65262"/>
    <w:rsid w:val="00D663EC"/>
    <w:rsid w:val="00D666B4"/>
    <w:rsid w:val="00D676CC"/>
    <w:rsid w:val="00D678CE"/>
    <w:rsid w:val="00D701C8"/>
    <w:rsid w:val="00D7052F"/>
    <w:rsid w:val="00D7117F"/>
    <w:rsid w:val="00D720C2"/>
    <w:rsid w:val="00D726B1"/>
    <w:rsid w:val="00D728EC"/>
    <w:rsid w:val="00D733B3"/>
    <w:rsid w:val="00D73C6C"/>
    <w:rsid w:val="00D74AE3"/>
    <w:rsid w:val="00D74C24"/>
    <w:rsid w:val="00D75D8F"/>
    <w:rsid w:val="00D76028"/>
    <w:rsid w:val="00D76108"/>
    <w:rsid w:val="00D7647F"/>
    <w:rsid w:val="00D76AB1"/>
    <w:rsid w:val="00D7748E"/>
    <w:rsid w:val="00D77908"/>
    <w:rsid w:val="00D8040B"/>
    <w:rsid w:val="00D8089C"/>
    <w:rsid w:val="00D821A0"/>
    <w:rsid w:val="00D835C6"/>
    <w:rsid w:val="00D862A3"/>
    <w:rsid w:val="00D8631D"/>
    <w:rsid w:val="00D86560"/>
    <w:rsid w:val="00D8658E"/>
    <w:rsid w:val="00D86EB0"/>
    <w:rsid w:val="00D8784B"/>
    <w:rsid w:val="00D901BB"/>
    <w:rsid w:val="00D90694"/>
    <w:rsid w:val="00D90E5D"/>
    <w:rsid w:val="00D917F7"/>
    <w:rsid w:val="00D928C9"/>
    <w:rsid w:val="00D92BA5"/>
    <w:rsid w:val="00D9379D"/>
    <w:rsid w:val="00D94D48"/>
    <w:rsid w:val="00D94DF6"/>
    <w:rsid w:val="00D97301"/>
    <w:rsid w:val="00DA02D6"/>
    <w:rsid w:val="00DA06A0"/>
    <w:rsid w:val="00DA0D74"/>
    <w:rsid w:val="00DA14D6"/>
    <w:rsid w:val="00DA1A4E"/>
    <w:rsid w:val="00DA2640"/>
    <w:rsid w:val="00DA3BCF"/>
    <w:rsid w:val="00DA488F"/>
    <w:rsid w:val="00DA6E83"/>
    <w:rsid w:val="00DB00C3"/>
    <w:rsid w:val="00DB05D3"/>
    <w:rsid w:val="00DB07C8"/>
    <w:rsid w:val="00DB0F72"/>
    <w:rsid w:val="00DB1387"/>
    <w:rsid w:val="00DB2BA5"/>
    <w:rsid w:val="00DB320B"/>
    <w:rsid w:val="00DB3587"/>
    <w:rsid w:val="00DB491D"/>
    <w:rsid w:val="00DB5DEB"/>
    <w:rsid w:val="00DC0C82"/>
    <w:rsid w:val="00DC1766"/>
    <w:rsid w:val="00DC1C09"/>
    <w:rsid w:val="00DC1F1E"/>
    <w:rsid w:val="00DC25D9"/>
    <w:rsid w:val="00DC2797"/>
    <w:rsid w:val="00DC28E3"/>
    <w:rsid w:val="00DC2F29"/>
    <w:rsid w:val="00DC38E7"/>
    <w:rsid w:val="00DC4277"/>
    <w:rsid w:val="00DC5B89"/>
    <w:rsid w:val="00DC725C"/>
    <w:rsid w:val="00DC77C6"/>
    <w:rsid w:val="00DD079C"/>
    <w:rsid w:val="00DD084A"/>
    <w:rsid w:val="00DD0AB8"/>
    <w:rsid w:val="00DD0B86"/>
    <w:rsid w:val="00DD0F27"/>
    <w:rsid w:val="00DD15D4"/>
    <w:rsid w:val="00DD1D75"/>
    <w:rsid w:val="00DD2C54"/>
    <w:rsid w:val="00DD4DFA"/>
    <w:rsid w:val="00DD641A"/>
    <w:rsid w:val="00DD79B8"/>
    <w:rsid w:val="00DE0029"/>
    <w:rsid w:val="00DE1306"/>
    <w:rsid w:val="00DE1E20"/>
    <w:rsid w:val="00DE21CC"/>
    <w:rsid w:val="00DE3D01"/>
    <w:rsid w:val="00DE7F9D"/>
    <w:rsid w:val="00DF1B7B"/>
    <w:rsid w:val="00DF1BF5"/>
    <w:rsid w:val="00DF1E4E"/>
    <w:rsid w:val="00DF2914"/>
    <w:rsid w:val="00DF2A6F"/>
    <w:rsid w:val="00DF3A65"/>
    <w:rsid w:val="00DF42BA"/>
    <w:rsid w:val="00DF4432"/>
    <w:rsid w:val="00DF4AFD"/>
    <w:rsid w:val="00DF511D"/>
    <w:rsid w:val="00DF7B30"/>
    <w:rsid w:val="00E00255"/>
    <w:rsid w:val="00E00B98"/>
    <w:rsid w:val="00E00C7E"/>
    <w:rsid w:val="00E03293"/>
    <w:rsid w:val="00E03738"/>
    <w:rsid w:val="00E039F1"/>
    <w:rsid w:val="00E04D7B"/>
    <w:rsid w:val="00E054F9"/>
    <w:rsid w:val="00E055A5"/>
    <w:rsid w:val="00E05CB4"/>
    <w:rsid w:val="00E06B88"/>
    <w:rsid w:val="00E07066"/>
    <w:rsid w:val="00E10DE1"/>
    <w:rsid w:val="00E11400"/>
    <w:rsid w:val="00E116E0"/>
    <w:rsid w:val="00E1183D"/>
    <w:rsid w:val="00E11D33"/>
    <w:rsid w:val="00E125FC"/>
    <w:rsid w:val="00E12A02"/>
    <w:rsid w:val="00E12AE5"/>
    <w:rsid w:val="00E13FA3"/>
    <w:rsid w:val="00E14489"/>
    <w:rsid w:val="00E14709"/>
    <w:rsid w:val="00E14FA7"/>
    <w:rsid w:val="00E153EA"/>
    <w:rsid w:val="00E15DCD"/>
    <w:rsid w:val="00E164C9"/>
    <w:rsid w:val="00E16861"/>
    <w:rsid w:val="00E16F0B"/>
    <w:rsid w:val="00E17193"/>
    <w:rsid w:val="00E173F6"/>
    <w:rsid w:val="00E17FE8"/>
    <w:rsid w:val="00E20419"/>
    <w:rsid w:val="00E20AAB"/>
    <w:rsid w:val="00E20BAC"/>
    <w:rsid w:val="00E214F1"/>
    <w:rsid w:val="00E215A0"/>
    <w:rsid w:val="00E21F19"/>
    <w:rsid w:val="00E237F0"/>
    <w:rsid w:val="00E247FF"/>
    <w:rsid w:val="00E25242"/>
    <w:rsid w:val="00E25B6D"/>
    <w:rsid w:val="00E25BC3"/>
    <w:rsid w:val="00E25EF9"/>
    <w:rsid w:val="00E27C9F"/>
    <w:rsid w:val="00E32AB4"/>
    <w:rsid w:val="00E32CE3"/>
    <w:rsid w:val="00E33E0D"/>
    <w:rsid w:val="00E33F0E"/>
    <w:rsid w:val="00E344DE"/>
    <w:rsid w:val="00E351CE"/>
    <w:rsid w:val="00E35E35"/>
    <w:rsid w:val="00E35E87"/>
    <w:rsid w:val="00E35F2F"/>
    <w:rsid w:val="00E361E2"/>
    <w:rsid w:val="00E36765"/>
    <w:rsid w:val="00E36FD1"/>
    <w:rsid w:val="00E37745"/>
    <w:rsid w:val="00E37796"/>
    <w:rsid w:val="00E4016A"/>
    <w:rsid w:val="00E405EA"/>
    <w:rsid w:val="00E40CF9"/>
    <w:rsid w:val="00E40DC3"/>
    <w:rsid w:val="00E40E05"/>
    <w:rsid w:val="00E41F6C"/>
    <w:rsid w:val="00E42357"/>
    <w:rsid w:val="00E4253E"/>
    <w:rsid w:val="00E4283D"/>
    <w:rsid w:val="00E42893"/>
    <w:rsid w:val="00E437F9"/>
    <w:rsid w:val="00E438D1"/>
    <w:rsid w:val="00E44571"/>
    <w:rsid w:val="00E44933"/>
    <w:rsid w:val="00E44976"/>
    <w:rsid w:val="00E4520F"/>
    <w:rsid w:val="00E46129"/>
    <w:rsid w:val="00E46926"/>
    <w:rsid w:val="00E4767B"/>
    <w:rsid w:val="00E47E9C"/>
    <w:rsid w:val="00E50759"/>
    <w:rsid w:val="00E51452"/>
    <w:rsid w:val="00E52CBE"/>
    <w:rsid w:val="00E5401F"/>
    <w:rsid w:val="00E55CDB"/>
    <w:rsid w:val="00E56307"/>
    <w:rsid w:val="00E5987B"/>
    <w:rsid w:val="00E5C2D1"/>
    <w:rsid w:val="00E60752"/>
    <w:rsid w:val="00E61107"/>
    <w:rsid w:val="00E615E9"/>
    <w:rsid w:val="00E61ABB"/>
    <w:rsid w:val="00E62027"/>
    <w:rsid w:val="00E62981"/>
    <w:rsid w:val="00E64F53"/>
    <w:rsid w:val="00E65AC3"/>
    <w:rsid w:val="00E66525"/>
    <w:rsid w:val="00E66D8A"/>
    <w:rsid w:val="00E67DE3"/>
    <w:rsid w:val="00E71827"/>
    <w:rsid w:val="00E71E5A"/>
    <w:rsid w:val="00E72955"/>
    <w:rsid w:val="00E75C19"/>
    <w:rsid w:val="00E80235"/>
    <w:rsid w:val="00E80248"/>
    <w:rsid w:val="00E80DCE"/>
    <w:rsid w:val="00E813A4"/>
    <w:rsid w:val="00E83AA9"/>
    <w:rsid w:val="00E84FDF"/>
    <w:rsid w:val="00E850F5"/>
    <w:rsid w:val="00E86144"/>
    <w:rsid w:val="00E87F6E"/>
    <w:rsid w:val="00E91782"/>
    <w:rsid w:val="00E921E0"/>
    <w:rsid w:val="00E92DC1"/>
    <w:rsid w:val="00E9386C"/>
    <w:rsid w:val="00E939D1"/>
    <w:rsid w:val="00E94ECC"/>
    <w:rsid w:val="00E94F09"/>
    <w:rsid w:val="00E9688F"/>
    <w:rsid w:val="00E97264"/>
    <w:rsid w:val="00E9789E"/>
    <w:rsid w:val="00EA063A"/>
    <w:rsid w:val="00EA1958"/>
    <w:rsid w:val="00EA199D"/>
    <w:rsid w:val="00EA2F39"/>
    <w:rsid w:val="00EA2FB7"/>
    <w:rsid w:val="00EA38BA"/>
    <w:rsid w:val="00EA3C67"/>
    <w:rsid w:val="00EA4069"/>
    <w:rsid w:val="00EA4649"/>
    <w:rsid w:val="00EA559C"/>
    <w:rsid w:val="00EA5C3B"/>
    <w:rsid w:val="00EA6855"/>
    <w:rsid w:val="00EA7329"/>
    <w:rsid w:val="00EA75AD"/>
    <w:rsid w:val="00EA76E7"/>
    <w:rsid w:val="00EB01C4"/>
    <w:rsid w:val="00EB0CBC"/>
    <w:rsid w:val="00EB1879"/>
    <w:rsid w:val="00EB1DBF"/>
    <w:rsid w:val="00EB2614"/>
    <w:rsid w:val="00EB4F45"/>
    <w:rsid w:val="00EB539A"/>
    <w:rsid w:val="00EB5531"/>
    <w:rsid w:val="00EB5B78"/>
    <w:rsid w:val="00EB6B43"/>
    <w:rsid w:val="00EB6EB7"/>
    <w:rsid w:val="00EC0ABA"/>
    <w:rsid w:val="00EC1CA5"/>
    <w:rsid w:val="00EC28F3"/>
    <w:rsid w:val="00EC3F61"/>
    <w:rsid w:val="00EC4862"/>
    <w:rsid w:val="00EC4F75"/>
    <w:rsid w:val="00EC6F87"/>
    <w:rsid w:val="00EC71DF"/>
    <w:rsid w:val="00EC740F"/>
    <w:rsid w:val="00EC7776"/>
    <w:rsid w:val="00ED1D6C"/>
    <w:rsid w:val="00ED1F84"/>
    <w:rsid w:val="00ED2736"/>
    <w:rsid w:val="00ED3C43"/>
    <w:rsid w:val="00ED4422"/>
    <w:rsid w:val="00ED5381"/>
    <w:rsid w:val="00ED5676"/>
    <w:rsid w:val="00ED5C01"/>
    <w:rsid w:val="00ED6417"/>
    <w:rsid w:val="00ED6775"/>
    <w:rsid w:val="00EE04C9"/>
    <w:rsid w:val="00EE121E"/>
    <w:rsid w:val="00EE1811"/>
    <w:rsid w:val="00EE1DEA"/>
    <w:rsid w:val="00EE3323"/>
    <w:rsid w:val="00EE42B0"/>
    <w:rsid w:val="00EE44CC"/>
    <w:rsid w:val="00EE5788"/>
    <w:rsid w:val="00EE6B49"/>
    <w:rsid w:val="00EE6C70"/>
    <w:rsid w:val="00EE6F4A"/>
    <w:rsid w:val="00EE7758"/>
    <w:rsid w:val="00EE7B63"/>
    <w:rsid w:val="00EF0EA7"/>
    <w:rsid w:val="00EF1E77"/>
    <w:rsid w:val="00EF2F3B"/>
    <w:rsid w:val="00EF37DD"/>
    <w:rsid w:val="00F01590"/>
    <w:rsid w:val="00F03883"/>
    <w:rsid w:val="00F03CA8"/>
    <w:rsid w:val="00F04C69"/>
    <w:rsid w:val="00F066C9"/>
    <w:rsid w:val="00F06BF9"/>
    <w:rsid w:val="00F071E9"/>
    <w:rsid w:val="00F1081C"/>
    <w:rsid w:val="00F10C8E"/>
    <w:rsid w:val="00F124C9"/>
    <w:rsid w:val="00F12629"/>
    <w:rsid w:val="00F12C4E"/>
    <w:rsid w:val="00F17202"/>
    <w:rsid w:val="00F1720B"/>
    <w:rsid w:val="00F174D1"/>
    <w:rsid w:val="00F177E7"/>
    <w:rsid w:val="00F20C98"/>
    <w:rsid w:val="00F21082"/>
    <w:rsid w:val="00F22A5F"/>
    <w:rsid w:val="00F23536"/>
    <w:rsid w:val="00F23539"/>
    <w:rsid w:val="00F235FC"/>
    <w:rsid w:val="00F237E5"/>
    <w:rsid w:val="00F24337"/>
    <w:rsid w:val="00F26F31"/>
    <w:rsid w:val="00F27329"/>
    <w:rsid w:val="00F30919"/>
    <w:rsid w:val="00F30AAE"/>
    <w:rsid w:val="00F32DCD"/>
    <w:rsid w:val="00F3375D"/>
    <w:rsid w:val="00F34244"/>
    <w:rsid w:val="00F34BA7"/>
    <w:rsid w:val="00F358AA"/>
    <w:rsid w:val="00F359F7"/>
    <w:rsid w:val="00F36AB4"/>
    <w:rsid w:val="00F400CD"/>
    <w:rsid w:val="00F40AC1"/>
    <w:rsid w:val="00F41D3F"/>
    <w:rsid w:val="00F41EAA"/>
    <w:rsid w:val="00F42019"/>
    <w:rsid w:val="00F425EA"/>
    <w:rsid w:val="00F42725"/>
    <w:rsid w:val="00F42FA3"/>
    <w:rsid w:val="00F43B10"/>
    <w:rsid w:val="00F44438"/>
    <w:rsid w:val="00F4447F"/>
    <w:rsid w:val="00F44B61"/>
    <w:rsid w:val="00F45564"/>
    <w:rsid w:val="00F459E3"/>
    <w:rsid w:val="00F47D54"/>
    <w:rsid w:val="00F50064"/>
    <w:rsid w:val="00F501A1"/>
    <w:rsid w:val="00F506AC"/>
    <w:rsid w:val="00F50A06"/>
    <w:rsid w:val="00F50CCE"/>
    <w:rsid w:val="00F50DB2"/>
    <w:rsid w:val="00F51085"/>
    <w:rsid w:val="00F51249"/>
    <w:rsid w:val="00F51341"/>
    <w:rsid w:val="00F52CE0"/>
    <w:rsid w:val="00F52D2C"/>
    <w:rsid w:val="00F535C5"/>
    <w:rsid w:val="00F53B17"/>
    <w:rsid w:val="00F53D61"/>
    <w:rsid w:val="00F56ACF"/>
    <w:rsid w:val="00F56F8E"/>
    <w:rsid w:val="00F57329"/>
    <w:rsid w:val="00F574DD"/>
    <w:rsid w:val="00F57AD7"/>
    <w:rsid w:val="00F614D3"/>
    <w:rsid w:val="00F6249F"/>
    <w:rsid w:val="00F65961"/>
    <w:rsid w:val="00F66F31"/>
    <w:rsid w:val="00F67672"/>
    <w:rsid w:val="00F67720"/>
    <w:rsid w:val="00F706A6"/>
    <w:rsid w:val="00F709BD"/>
    <w:rsid w:val="00F719A8"/>
    <w:rsid w:val="00F71FDA"/>
    <w:rsid w:val="00F7204E"/>
    <w:rsid w:val="00F72591"/>
    <w:rsid w:val="00F72FC8"/>
    <w:rsid w:val="00F73006"/>
    <w:rsid w:val="00F731B9"/>
    <w:rsid w:val="00F74321"/>
    <w:rsid w:val="00F745D0"/>
    <w:rsid w:val="00F74606"/>
    <w:rsid w:val="00F7512A"/>
    <w:rsid w:val="00F76565"/>
    <w:rsid w:val="00F774C7"/>
    <w:rsid w:val="00F77CFD"/>
    <w:rsid w:val="00F77DC9"/>
    <w:rsid w:val="00F8039A"/>
    <w:rsid w:val="00F80745"/>
    <w:rsid w:val="00F80C41"/>
    <w:rsid w:val="00F81779"/>
    <w:rsid w:val="00F81E42"/>
    <w:rsid w:val="00F82055"/>
    <w:rsid w:val="00F823F6"/>
    <w:rsid w:val="00F82580"/>
    <w:rsid w:val="00F83FFA"/>
    <w:rsid w:val="00F84877"/>
    <w:rsid w:val="00F86CE6"/>
    <w:rsid w:val="00F877A9"/>
    <w:rsid w:val="00F924BA"/>
    <w:rsid w:val="00F936A9"/>
    <w:rsid w:val="00F9389F"/>
    <w:rsid w:val="00F9412A"/>
    <w:rsid w:val="00F948A7"/>
    <w:rsid w:val="00F94D83"/>
    <w:rsid w:val="00F95B7D"/>
    <w:rsid w:val="00F96A1E"/>
    <w:rsid w:val="00F96F66"/>
    <w:rsid w:val="00F97FB6"/>
    <w:rsid w:val="00FA04BC"/>
    <w:rsid w:val="00FA16C3"/>
    <w:rsid w:val="00FA1A03"/>
    <w:rsid w:val="00FA1F99"/>
    <w:rsid w:val="00FA26F7"/>
    <w:rsid w:val="00FA2DD0"/>
    <w:rsid w:val="00FA590D"/>
    <w:rsid w:val="00FA5C25"/>
    <w:rsid w:val="00FA5D13"/>
    <w:rsid w:val="00FA6994"/>
    <w:rsid w:val="00FA76B8"/>
    <w:rsid w:val="00FA7BC5"/>
    <w:rsid w:val="00FB0945"/>
    <w:rsid w:val="00FB2469"/>
    <w:rsid w:val="00FB25BE"/>
    <w:rsid w:val="00FB3766"/>
    <w:rsid w:val="00FB3E28"/>
    <w:rsid w:val="00FB468B"/>
    <w:rsid w:val="00FB4C55"/>
    <w:rsid w:val="00FB6B47"/>
    <w:rsid w:val="00FB7141"/>
    <w:rsid w:val="00FB7312"/>
    <w:rsid w:val="00FB7520"/>
    <w:rsid w:val="00FC031D"/>
    <w:rsid w:val="00FC0695"/>
    <w:rsid w:val="00FC06CB"/>
    <w:rsid w:val="00FC12B8"/>
    <w:rsid w:val="00FC1BE8"/>
    <w:rsid w:val="00FC221F"/>
    <w:rsid w:val="00FC3604"/>
    <w:rsid w:val="00FC4885"/>
    <w:rsid w:val="00FC535F"/>
    <w:rsid w:val="00FC5EA6"/>
    <w:rsid w:val="00FD0192"/>
    <w:rsid w:val="00FD067B"/>
    <w:rsid w:val="00FD0E83"/>
    <w:rsid w:val="00FD124C"/>
    <w:rsid w:val="00FD3949"/>
    <w:rsid w:val="00FD50BD"/>
    <w:rsid w:val="00FD587D"/>
    <w:rsid w:val="00FD6255"/>
    <w:rsid w:val="00FE1CF3"/>
    <w:rsid w:val="00FE344F"/>
    <w:rsid w:val="00FE364B"/>
    <w:rsid w:val="00FE4126"/>
    <w:rsid w:val="00FE4205"/>
    <w:rsid w:val="00FE4F97"/>
    <w:rsid w:val="00FE6A8D"/>
    <w:rsid w:val="00FF079C"/>
    <w:rsid w:val="00FF1068"/>
    <w:rsid w:val="00FF2616"/>
    <w:rsid w:val="00FF29DD"/>
    <w:rsid w:val="00FF48E3"/>
    <w:rsid w:val="00FF4DA3"/>
    <w:rsid w:val="00FF51F2"/>
    <w:rsid w:val="00FF530B"/>
    <w:rsid w:val="00FF67CE"/>
    <w:rsid w:val="00FF6809"/>
    <w:rsid w:val="0102061A"/>
    <w:rsid w:val="0108E6B5"/>
    <w:rsid w:val="0113026B"/>
    <w:rsid w:val="011AC143"/>
    <w:rsid w:val="01390562"/>
    <w:rsid w:val="01562A39"/>
    <w:rsid w:val="01586BD0"/>
    <w:rsid w:val="01610C98"/>
    <w:rsid w:val="016BCB6B"/>
    <w:rsid w:val="017AA7B4"/>
    <w:rsid w:val="017BDC4D"/>
    <w:rsid w:val="01855BA9"/>
    <w:rsid w:val="0197692B"/>
    <w:rsid w:val="01988C99"/>
    <w:rsid w:val="019E1E2D"/>
    <w:rsid w:val="01A10AF0"/>
    <w:rsid w:val="01A2F98C"/>
    <w:rsid w:val="01A61AC5"/>
    <w:rsid w:val="01EA4BF7"/>
    <w:rsid w:val="01F1102B"/>
    <w:rsid w:val="01FF1377"/>
    <w:rsid w:val="020150D8"/>
    <w:rsid w:val="020AD7FC"/>
    <w:rsid w:val="020C15B5"/>
    <w:rsid w:val="02163637"/>
    <w:rsid w:val="0223DC7F"/>
    <w:rsid w:val="022ED757"/>
    <w:rsid w:val="0231EC3E"/>
    <w:rsid w:val="023E95C0"/>
    <w:rsid w:val="024359D0"/>
    <w:rsid w:val="0268FBE2"/>
    <w:rsid w:val="026F9D8E"/>
    <w:rsid w:val="029611AB"/>
    <w:rsid w:val="02A9617D"/>
    <w:rsid w:val="02B203EB"/>
    <w:rsid w:val="02B4B2D7"/>
    <w:rsid w:val="02BE1163"/>
    <w:rsid w:val="02D2983E"/>
    <w:rsid w:val="02E41EAD"/>
    <w:rsid w:val="031955BC"/>
    <w:rsid w:val="031CCFB5"/>
    <w:rsid w:val="031F7B15"/>
    <w:rsid w:val="032E8728"/>
    <w:rsid w:val="034F5365"/>
    <w:rsid w:val="035945B0"/>
    <w:rsid w:val="0377943D"/>
    <w:rsid w:val="03A5C402"/>
    <w:rsid w:val="03AB7A78"/>
    <w:rsid w:val="03B548F3"/>
    <w:rsid w:val="03D1BFF3"/>
    <w:rsid w:val="03E4E89A"/>
    <w:rsid w:val="03F0DFD0"/>
    <w:rsid w:val="03FE6E93"/>
    <w:rsid w:val="040E4F53"/>
    <w:rsid w:val="04201BD6"/>
    <w:rsid w:val="0441A9CB"/>
    <w:rsid w:val="04579B2A"/>
    <w:rsid w:val="0475CA22"/>
    <w:rsid w:val="04831269"/>
    <w:rsid w:val="04A2797E"/>
    <w:rsid w:val="04C6595D"/>
    <w:rsid w:val="04CDAB9C"/>
    <w:rsid w:val="04D3AC29"/>
    <w:rsid w:val="04DB27B4"/>
    <w:rsid w:val="04DCE90F"/>
    <w:rsid w:val="04DEB629"/>
    <w:rsid w:val="04E845D9"/>
    <w:rsid w:val="04E85FDE"/>
    <w:rsid w:val="04FC7642"/>
    <w:rsid w:val="04FEE441"/>
    <w:rsid w:val="05062EFD"/>
    <w:rsid w:val="050A7BA1"/>
    <w:rsid w:val="0545A023"/>
    <w:rsid w:val="05485620"/>
    <w:rsid w:val="0559077C"/>
    <w:rsid w:val="0560165B"/>
    <w:rsid w:val="05651DEF"/>
    <w:rsid w:val="05674837"/>
    <w:rsid w:val="056CE0C9"/>
    <w:rsid w:val="0577760F"/>
    <w:rsid w:val="057B4701"/>
    <w:rsid w:val="057C742C"/>
    <w:rsid w:val="05836A81"/>
    <w:rsid w:val="0586BED2"/>
    <w:rsid w:val="05877A19"/>
    <w:rsid w:val="058A6026"/>
    <w:rsid w:val="058FAE8A"/>
    <w:rsid w:val="05ACA44E"/>
    <w:rsid w:val="05B92A57"/>
    <w:rsid w:val="05BDB100"/>
    <w:rsid w:val="05C011F9"/>
    <w:rsid w:val="05F128DD"/>
    <w:rsid w:val="05F704B6"/>
    <w:rsid w:val="06006E47"/>
    <w:rsid w:val="0601ECCD"/>
    <w:rsid w:val="06028FB7"/>
    <w:rsid w:val="0622349E"/>
    <w:rsid w:val="0634989B"/>
    <w:rsid w:val="064F67CC"/>
    <w:rsid w:val="065AF190"/>
    <w:rsid w:val="065CD1DC"/>
    <w:rsid w:val="06663D47"/>
    <w:rsid w:val="0667774C"/>
    <w:rsid w:val="066FAEA7"/>
    <w:rsid w:val="069F42E9"/>
    <w:rsid w:val="06AD107A"/>
    <w:rsid w:val="06AD9397"/>
    <w:rsid w:val="06AE902F"/>
    <w:rsid w:val="06BB574C"/>
    <w:rsid w:val="06BE25AA"/>
    <w:rsid w:val="06C6E9A1"/>
    <w:rsid w:val="06C88695"/>
    <w:rsid w:val="06D41E14"/>
    <w:rsid w:val="06DD1F31"/>
    <w:rsid w:val="06DF40DC"/>
    <w:rsid w:val="06E2C48A"/>
    <w:rsid w:val="06E8DEB3"/>
    <w:rsid w:val="06EA2993"/>
    <w:rsid w:val="06FA5704"/>
    <w:rsid w:val="070D90B1"/>
    <w:rsid w:val="070F6347"/>
    <w:rsid w:val="071446A1"/>
    <w:rsid w:val="071B5195"/>
    <w:rsid w:val="072737A8"/>
    <w:rsid w:val="07443E1B"/>
    <w:rsid w:val="0744FB59"/>
    <w:rsid w:val="0753FC4A"/>
    <w:rsid w:val="0757BAEA"/>
    <w:rsid w:val="078EAAE9"/>
    <w:rsid w:val="0790B889"/>
    <w:rsid w:val="07912533"/>
    <w:rsid w:val="0792E7BC"/>
    <w:rsid w:val="0792FCE8"/>
    <w:rsid w:val="07B638AD"/>
    <w:rsid w:val="07C8606A"/>
    <w:rsid w:val="07CBAAEF"/>
    <w:rsid w:val="07CF8851"/>
    <w:rsid w:val="07D8DD6B"/>
    <w:rsid w:val="07DBE356"/>
    <w:rsid w:val="07E8EEE0"/>
    <w:rsid w:val="07E8F223"/>
    <w:rsid w:val="07EA7D47"/>
    <w:rsid w:val="0817333C"/>
    <w:rsid w:val="082CFCDB"/>
    <w:rsid w:val="08357525"/>
    <w:rsid w:val="0835C984"/>
    <w:rsid w:val="08373CF0"/>
    <w:rsid w:val="08482B70"/>
    <w:rsid w:val="0856AA9F"/>
    <w:rsid w:val="087E40D7"/>
    <w:rsid w:val="089DA3D8"/>
    <w:rsid w:val="089EA6A3"/>
    <w:rsid w:val="08A77428"/>
    <w:rsid w:val="08B542BF"/>
    <w:rsid w:val="08C434BD"/>
    <w:rsid w:val="08CB0A29"/>
    <w:rsid w:val="08CEB387"/>
    <w:rsid w:val="08D2FC74"/>
    <w:rsid w:val="08ED2C7F"/>
    <w:rsid w:val="090E4D88"/>
    <w:rsid w:val="09199ECE"/>
    <w:rsid w:val="093BB0B7"/>
    <w:rsid w:val="094014E5"/>
    <w:rsid w:val="09402BD4"/>
    <w:rsid w:val="094AE437"/>
    <w:rsid w:val="09500449"/>
    <w:rsid w:val="0979E214"/>
    <w:rsid w:val="09883515"/>
    <w:rsid w:val="0989A97F"/>
    <w:rsid w:val="09949012"/>
    <w:rsid w:val="099AD74B"/>
    <w:rsid w:val="09A63739"/>
    <w:rsid w:val="09B0F378"/>
    <w:rsid w:val="09B9DD6C"/>
    <w:rsid w:val="09BC2B37"/>
    <w:rsid w:val="09BE7170"/>
    <w:rsid w:val="09BF75C6"/>
    <w:rsid w:val="09CD4576"/>
    <w:rsid w:val="09D0931C"/>
    <w:rsid w:val="09D5FC2C"/>
    <w:rsid w:val="09D8627F"/>
    <w:rsid w:val="09E61BFB"/>
    <w:rsid w:val="0A025030"/>
    <w:rsid w:val="0A0383BE"/>
    <w:rsid w:val="0A04173B"/>
    <w:rsid w:val="0A09E45B"/>
    <w:rsid w:val="0A2E73FB"/>
    <w:rsid w:val="0A41E518"/>
    <w:rsid w:val="0A4EC4BD"/>
    <w:rsid w:val="0A6C3A25"/>
    <w:rsid w:val="0A75313F"/>
    <w:rsid w:val="0A7FFC40"/>
    <w:rsid w:val="0AB9FA99"/>
    <w:rsid w:val="0ABB8E2C"/>
    <w:rsid w:val="0AC47448"/>
    <w:rsid w:val="0AEC134B"/>
    <w:rsid w:val="0AED7B7E"/>
    <w:rsid w:val="0AED7C0A"/>
    <w:rsid w:val="0AF330A3"/>
    <w:rsid w:val="0B114AC7"/>
    <w:rsid w:val="0B1DC498"/>
    <w:rsid w:val="0B21D9EA"/>
    <w:rsid w:val="0B3EE928"/>
    <w:rsid w:val="0B4378DE"/>
    <w:rsid w:val="0B626E35"/>
    <w:rsid w:val="0B77686B"/>
    <w:rsid w:val="0B79D86F"/>
    <w:rsid w:val="0B999FAE"/>
    <w:rsid w:val="0BA2FE23"/>
    <w:rsid w:val="0BB23597"/>
    <w:rsid w:val="0BB4EBA0"/>
    <w:rsid w:val="0BC0E637"/>
    <w:rsid w:val="0BC14DBD"/>
    <w:rsid w:val="0BC843DF"/>
    <w:rsid w:val="0BCC9A92"/>
    <w:rsid w:val="0BDC778D"/>
    <w:rsid w:val="0BF553FA"/>
    <w:rsid w:val="0C02E429"/>
    <w:rsid w:val="0C0D0EDE"/>
    <w:rsid w:val="0C0EE5A7"/>
    <w:rsid w:val="0C1873D8"/>
    <w:rsid w:val="0C19A11D"/>
    <w:rsid w:val="0C1FB413"/>
    <w:rsid w:val="0C2067AA"/>
    <w:rsid w:val="0C24ED8F"/>
    <w:rsid w:val="0C2C023B"/>
    <w:rsid w:val="0C2F9E26"/>
    <w:rsid w:val="0C51EA6D"/>
    <w:rsid w:val="0C59AA56"/>
    <w:rsid w:val="0C84463E"/>
    <w:rsid w:val="0C88B943"/>
    <w:rsid w:val="0C89A4E8"/>
    <w:rsid w:val="0C8A854D"/>
    <w:rsid w:val="0CA26B7D"/>
    <w:rsid w:val="0CB146DE"/>
    <w:rsid w:val="0CC53485"/>
    <w:rsid w:val="0CC79FC3"/>
    <w:rsid w:val="0CCA6F0B"/>
    <w:rsid w:val="0CDEE392"/>
    <w:rsid w:val="0CE98D6D"/>
    <w:rsid w:val="0D0AF656"/>
    <w:rsid w:val="0D1DE6E6"/>
    <w:rsid w:val="0D2E939B"/>
    <w:rsid w:val="0D341BB4"/>
    <w:rsid w:val="0D3D6D4D"/>
    <w:rsid w:val="0D4229A5"/>
    <w:rsid w:val="0D428118"/>
    <w:rsid w:val="0D436EBF"/>
    <w:rsid w:val="0D4A3745"/>
    <w:rsid w:val="0D567B8C"/>
    <w:rsid w:val="0D611EF0"/>
    <w:rsid w:val="0D68D295"/>
    <w:rsid w:val="0D745DBC"/>
    <w:rsid w:val="0D935CED"/>
    <w:rsid w:val="0DB0C13D"/>
    <w:rsid w:val="0DC15F9F"/>
    <w:rsid w:val="0DC3D27F"/>
    <w:rsid w:val="0DC9656F"/>
    <w:rsid w:val="0DCFFFEA"/>
    <w:rsid w:val="0DD54323"/>
    <w:rsid w:val="0DE2FC8D"/>
    <w:rsid w:val="0DFA4ACA"/>
    <w:rsid w:val="0E0A1DB4"/>
    <w:rsid w:val="0E0AAE90"/>
    <w:rsid w:val="0E156708"/>
    <w:rsid w:val="0E1A71AC"/>
    <w:rsid w:val="0E2B38FA"/>
    <w:rsid w:val="0E2F2548"/>
    <w:rsid w:val="0E352CFE"/>
    <w:rsid w:val="0E357BE5"/>
    <w:rsid w:val="0E566075"/>
    <w:rsid w:val="0E6CA549"/>
    <w:rsid w:val="0E726913"/>
    <w:rsid w:val="0E897521"/>
    <w:rsid w:val="0E93C921"/>
    <w:rsid w:val="0EF719FA"/>
    <w:rsid w:val="0EF94676"/>
    <w:rsid w:val="0F04FE99"/>
    <w:rsid w:val="0F067127"/>
    <w:rsid w:val="0F0A398C"/>
    <w:rsid w:val="0F11E6BB"/>
    <w:rsid w:val="0F2C963A"/>
    <w:rsid w:val="0F362B20"/>
    <w:rsid w:val="0F49647D"/>
    <w:rsid w:val="0F4D0F43"/>
    <w:rsid w:val="0F548884"/>
    <w:rsid w:val="0F597608"/>
    <w:rsid w:val="0F5D0C33"/>
    <w:rsid w:val="0F659E45"/>
    <w:rsid w:val="0F6845AC"/>
    <w:rsid w:val="0F688037"/>
    <w:rsid w:val="0F6A1398"/>
    <w:rsid w:val="0F8ABFEE"/>
    <w:rsid w:val="0F8D09C8"/>
    <w:rsid w:val="0F8F64B0"/>
    <w:rsid w:val="0FA09052"/>
    <w:rsid w:val="0FA10EB5"/>
    <w:rsid w:val="0FA41692"/>
    <w:rsid w:val="0FADEB01"/>
    <w:rsid w:val="0FAED5E2"/>
    <w:rsid w:val="0FB016DA"/>
    <w:rsid w:val="0FB919ED"/>
    <w:rsid w:val="0FC41D89"/>
    <w:rsid w:val="0FC4652C"/>
    <w:rsid w:val="0FC7FC8C"/>
    <w:rsid w:val="0FD8F238"/>
    <w:rsid w:val="0FE450A0"/>
    <w:rsid w:val="0FE8A675"/>
    <w:rsid w:val="0FEC509C"/>
    <w:rsid w:val="0FEC6453"/>
    <w:rsid w:val="1006723B"/>
    <w:rsid w:val="100931FE"/>
    <w:rsid w:val="1016A137"/>
    <w:rsid w:val="1019644F"/>
    <w:rsid w:val="102154F1"/>
    <w:rsid w:val="1024B4CE"/>
    <w:rsid w:val="10535083"/>
    <w:rsid w:val="105E2541"/>
    <w:rsid w:val="106FEA24"/>
    <w:rsid w:val="1072296E"/>
    <w:rsid w:val="107AD6AA"/>
    <w:rsid w:val="108FD3AD"/>
    <w:rsid w:val="109879EB"/>
    <w:rsid w:val="109CFA00"/>
    <w:rsid w:val="10B61722"/>
    <w:rsid w:val="10B6BE18"/>
    <w:rsid w:val="10C06223"/>
    <w:rsid w:val="10C1DADF"/>
    <w:rsid w:val="10C48737"/>
    <w:rsid w:val="10C6ED78"/>
    <w:rsid w:val="10D54DEB"/>
    <w:rsid w:val="10D80B99"/>
    <w:rsid w:val="10DCDDEA"/>
    <w:rsid w:val="10DD255F"/>
    <w:rsid w:val="10E3AB9C"/>
    <w:rsid w:val="10EF9515"/>
    <w:rsid w:val="10F37576"/>
    <w:rsid w:val="10F3DFC3"/>
    <w:rsid w:val="10FEB897"/>
    <w:rsid w:val="11077A23"/>
    <w:rsid w:val="112A50C2"/>
    <w:rsid w:val="112F2902"/>
    <w:rsid w:val="113EB83A"/>
    <w:rsid w:val="1147377F"/>
    <w:rsid w:val="11598EEC"/>
    <w:rsid w:val="115FA51D"/>
    <w:rsid w:val="11716B07"/>
    <w:rsid w:val="117C4789"/>
    <w:rsid w:val="11A41422"/>
    <w:rsid w:val="11A4F7CF"/>
    <w:rsid w:val="11A7B1DC"/>
    <w:rsid w:val="11D238A8"/>
    <w:rsid w:val="11D837BE"/>
    <w:rsid w:val="11E447E9"/>
    <w:rsid w:val="11F1B40F"/>
    <w:rsid w:val="1202FB59"/>
    <w:rsid w:val="12045B41"/>
    <w:rsid w:val="1206BEE2"/>
    <w:rsid w:val="121F7C43"/>
    <w:rsid w:val="1221F0B4"/>
    <w:rsid w:val="1222CC36"/>
    <w:rsid w:val="12307BAB"/>
    <w:rsid w:val="12315C61"/>
    <w:rsid w:val="124DB6FD"/>
    <w:rsid w:val="1250D133"/>
    <w:rsid w:val="126ACCE3"/>
    <w:rsid w:val="127EFBDB"/>
    <w:rsid w:val="12936BC3"/>
    <w:rsid w:val="129BDA40"/>
    <w:rsid w:val="129CFEA0"/>
    <w:rsid w:val="12A52C88"/>
    <w:rsid w:val="12ACEB35"/>
    <w:rsid w:val="12B1A89B"/>
    <w:rsid w:val="12BBD8E5"/>
    <w:rsid w:val="12C7D3B4"/>
    <w:rsid w:val="12CCA015"/>
    <w:rsid w:val="12CD098C"/>
    <w:rsid w:val="12F638C8"/>
    <w:rsid w:val="1312E5A8"/>
    <w:rsid w:val="131639DE"/>
    <w:rsid w:val="1321B6A9"/>
    <w:rsid w:val="132758E8"/>
    <w:rsid w:val="13318247"/>
    <w:rsid w:val="133943FD"/>
    <w:rsid w:val="1346267D"/>
    <w:rsid w:val="135329A3"/>
    <w:rsid w:val="136BBE55"/>
    <w:rsid w:val="136C7E2C"/>
    <w:rsid w:val="138E08D5"/>
    <w:rsid w:val="13B304D1"/>
    <w:rsid w:val="13B5E9A1"/>
    <w:rsid w:val="13BA25A0"/>
    <w:rsid w:val="13D573AB"/>
    <w:rsid w:val="14146E26"/>
    <w:rsid w:val="1428D385"/>
    <w:rsid w:val="1431A207"/>
    <w:rsid w:val="1436B2F5"/>
    <w:rsid w:val="143C3A1A"/>
    <w:rsid w:val="143E0A81"/>
    <w:rsid w:val="144C2A02"/>
    <w:rsid w:val="144FCE4C"/>
    <w:rsid w:val="1468CB97"/>
    <w:rsid w:val="1470E0E0"/>
    <w:rsid w:val="14744B81"/>
    <w:rsid w:val="149C08C9"/>
    <w:rsid w:val="14B3AF55"/>
    <w:rsid w:val="14B40346"/>
    <w:rsid w:val="14B996BB"/>
    <w:rsid w:val="14C95A83"/>
    <w:rsid w:val="14D14F0C"/>
    <w:rsid w:val="14D96739"/>
    <w:rsid w:val="14E5F982"/>
    <w:rsid w:val="14EEEB57"/>
    <w:rsid w:val="14F9843F"/>
    <w:rsid w:val="150C1494"/>
    <w:rsid w:val="1521A1A5"/>
    <w:rsid w:val="15273778"/>
    <w:rsid w:val="152A6641"/>
    <w:rsid w:val="152E33C1"/>
    <w:rsid w:val="153C4AAA"/>
    <w:rsid w:val="1541180F"/>
    <w:rsid w:val="154C76F9"/>
    <w:rsid w:val="15527A07"/>
    <w:rsid w:val="156F8B4B"/>
    <w:rsid w:val="156FED91"/>
    <w:rsid w:val="157D93EB"/>
    <w:rsid w:val="15948441"/>
    <w:rsid w:val="159A175D"/>
    <w:rsid w:val="15A4902A"/>
    <w:rsid w:val="15AC7514"/>
    <w:rsid w:val="15ADC275"/>
    <w:rsid w:val="15AE7D59"/>
    <w:rsid w:val="15CA40FC"/>
    <w:rsid w:val="15CCED37"/>
    <w:rsid w:val="15D03163"/>
    <w:rsid w:val="15E519E4"/>
    <w:rsid w:val="15F2C0D7"/>
    <w:rsid w:val="15F5F684"/>
    <w:rsid w:val="15F9EC2D"/>
    <w:rsid w:val="160A1385"/>
    <w:rsid w:val="16127FBE"/>
    <w:rsid w:val="16162CA1"/>
    <w:rsid w:val="161BB150"/>
    <w:rsid w:val="161FEDBF"/>
    <w:rsid w:val="16220343"/>
    <w:rsid w:val="1623EA54"/>
    <w:rsid w:val="162E9C4F"/>
    <w:rsid w:val="16380619"/>
    <w:rsid w:val="163CEA62"/>
    <w:rsid w:val="163F288E"/>
    <w:rsid w:val="16475CD3"/>
    <w:rsid w:val="1652F611"/>
    <w:rsid w:val="165B2FF9"/>
    <w:rsid w:val="166EA1C9"/>
    <w:rsid w:val="168651FE"/>
    <w:rsid w:val="16A372B2"/>
    <w:rsid w:val="16A51908"/>
    <w:rsid w:val="16ACEF4E"/>
    <w:rsid w:val="16D85091"/>
    <w:rsid w:val="16EB54FE"/>
    <w:rsid w:val="16EF5E4D"/>
    <w:rsid w:val="16F00B71"/>
    <w:rsid w:val="16F3D3E2"/>
    <w:rsid w:val="1712AE0E"/>
    <w:rsid w:val="172ABA23"/>
    <w:rsid w:val="173B968B"/>
    <w:rsid w:val="1753B431"/>
    <w:rsid w:val="175FA313"/>
    <w:rsid w:val="176247D2"/>
    <w:rsid w:val="17659D5C"/>
    <w:rsid w:val="1765B8FD"/>
    <w:rsid w:val="176B2814"/>
    <w:rsid w:val="178E8C72"/>
    <w:rsid w:val="1796A98D"/>
    <w:rsid w:val="17A289D3"/>
    <w:rsid w:val="17A719A1"/>
    <w:rsid w:val="17BEBDE2"/>
    <w:rsid w:val="17BFCB1D"/>
    <w:rsid w:val="17C2EE51"/>
    <w:rsid w:val="17E2672A"/>
    <w:rsid w:val="17E3B69D"/>
    <w:rsid w:val="17E4E675"/>
    <w:rsid w:val="17E9AE2D"/>
    <w:rsid w:val="17F3C1A9"/>
    <w:rsid w:val="17F5B9AD"/>
    <w:rsid w:val="182A8C56"/>
    <w:rsid w:val="184F5713"/>
    <w:rsid w:val="185C17BF"/>
    <w:rsid w:val="185ED161"/>
    <w:rsid w:val="186B9EE5"/>
    <w:rsid w:val="186D26FA"/>
    <w:rsid w:val="18812875"/>
    <w:rsid w:val="1884E229"/>
    <w:rsid w:val="18856473"/>
    <w:rsid w:val="188725B2"/>
    <w:rsid w:val="18A01451"/>
    <w:rsid w:val="18A8CD9A"/>
    <w:rsid w:val="18AF9A3E"/>
    <w:rsid w:val="18C4FE00"/>
    <w:rsid w:val="18D77749"/>
    <w:rsid w:val="18DF1F75"/>
    <w:rsid w:val="18E63EE8"/>
    <w:rsid w:val="18EFCF0D"/>
    <w:rsid w:val="18F4FB98"/>
    <w:rsid w:val="1925731B"/>
    <w:rsid w:val="1931F47D"/>
    <w:rsid w:val="19500CF3"/>
    <w:rsid w:val="195787FD"/>
    <w:rsid w:val="196966A2"/>
    <w:rsid w:val="196F70CA"/>
    <w:rsid w:val="197240C7"/>
    <w:rsid w:val="1974391D"/>
    <w:rsid w:val="198585C4"/>
    <w:rsid w:val="19889503"/>
    <w:rsid w:val="1995AE39"/>
    <w:rsid w:val="19C02EAE"/>
    <w:rsid w:val="19C51E8B"/>
    <w:rsid w:val="19C5D425"/>
    <w:rsid w:val="19C67378"/>
    <w:rsid w:val="19CA47CA"/>
    <w:rsid w:val="19D528B3"/>
    <w:rsid w:val="19FC5923"/>
    <w:rsid w:val="1A0B6466"/>
    <w:rsid w:val="1A2328A8"/>
    <w:rsid w:val="1A2E67DD"/>
    <w:rsid w:val="1A380A0C"/>
    <w:rsid w:val="1A39A1E6"/>
    <w:rsid w:val="1A3C03B2"/>
    <w:rsid w:val="1A51BA29"/>
    <w:rsid w:val="1A800A99"/>
    <w:rsid w:val="1A9A2848"/>
    <w:rsid w:val="1AA95EAA"/>
    <w:rsid w:val="1AD2E787"/>
    <w:rsid w:val="1AE49AA4"/>
    <w:rsid w:val="1AED8771"/>
    <w:rsid w:val="1AF48264"/>
    <w:rsid w:val="1AF98553"/>
    <w:rsid w:val="1AFB74DE"/>
    <w:rsid w:val="1B0A2561"/>
    <w:rsid w:val="1B0E67E7"/>
    <w:rsid w:val="1B10E2B3"/>
    <w:rsid w:val="1B2746C7"/>
    <w:rsid w:val="1B3CC374"/>
    <w:rsid w:val="1B3F8443"/>
    <w:rsid w:val="1B46391E"/>
    <w:rsid w:val="1B8A6983"/>
    <w:rsid w:val="1B9EA431"/>
    <w:rsid w:val="1BA794B3"/>
    <w:rsid w:val="1BA85D66"/>
    <w:rsid w:val="1BA88AF8"/>
    <w:rsid w:val="1BAF1F6D"/>
    <w:rsid w:val="1BB16A49"/>
    <w:rsid w:val="1BB9AE0E"/>
    <w:rsid w:val="1BC97101"/>
    <w:rsid w:val="1BD97311"/>
    <w:rsid w:val="1BE776D7"/>
    <w:rsid w:val="1BF6636C"/>
    <w:rsid w:val="1C0994E7"/>
    <w:rsid w:val="1C0F3E94"/>
    <w:rsid w:val="1C178D1F"/>
    <w:rsid w:val="1C2F05CF"/>
    <w:rsid w:val="1C4551E8"/>
    <w:rsid w:val="1C4DA682"/>
    <w:rsid w:val="1C4E959D"/>
    <w:rsid w:val="1C62C195"/>
    <w:rsid w:val="1C67D14C"/>
    <w:rsid w:val="1C7A6BC1"/>
    <w:rsid w:val="1C8E9067"/>
    <w:rsid w:val="1C989D55"/>
    <w:rsid w:val="1CBCE457"/>
    <w:rsid w:val="1CCDF7E0"/>
    <w:rsid w:val="1CD10808"/>
    <w:rsid w:val="1CE4E815"/>
    <w:rsid w:val="1CE6EE35"/>
    <w:rsid w:val="1CF70650"/>
    <w:rsid w:val="1D08B235"/>
    <w:rsid w:val="1D08DEC7"/>
    <w:rsid w:val="1D195FAB"/>
    <w:rsid w:val="1D19DA33"/>
    <w:rsid w:val="1D1A01FE"/>
    <w:rsid w:val="1D2E2DF3"/>
    <w:rsid w:val="1D3455EF"/>
    <w:rsid w:val="1D3A7A39"/>
    <w:rsid w:val="1D520B6F"/>
    <w:rsid w:val="1D62CA5D"/>
    <w:rsid w:val="1D6ADB12"/>
    <w:rsid w:val="1D753E45"/>
    <w:rsid w:val="1D76A8F1"/>
    <w:rsid w:val="1D7A4702"/>
    <w:rsid w:val="1D8ED69C"/>
    <w:rsid w:val="1D903EBF"/>
    <w:rsid w:val="1DA5C36F"/>
    <w:rsid w:val="1DAB698F"/>
    <w:rsid w:val="1DABA206"/>
    <w:rsid w:val="1DBA85B9"/>
    <w:rsid w:val="1DC17A8E"/>
    <w:rsid w:val="1DC6E95C"/>
    <w:rsid w:val="1DCD33E3"/>
    <w:rsid w:val="1E160A0C"/>
    <w:rsid w:val="1E2CFE59"/>
    <w:rsid w:val="1E2E2C12"/>
    <w:rsid w:val="1E325512"/>
    <w:rsid w:val="1E504904"/>
    <w:rsid w:val="1E5E625E"/>
    <w:rsid w:val="1E5FB348"/>
    <w:rsid w:val="1E606C5F"/>
    <w:rsid w:val="1E626B4A"/>
    <w:rsid w:val="1E64A38D"/>
    <w:rsid w:val="1E652406"/>
    <w:rsid w:val="1E66F51E"/>
    <w:rsid w:val="1E7A3944"/>
    <w:rsid w:val="1E85D194"/>
    <w:rsid w:val="1E878344"/>
    <w:rsid w:val="1E91C69E"/>
    <w:rsid w:val="1E97E1B9"/>
    <w:rsid w:val="1EAE97D2"/>
    <w:rsid w:val="1EB0CC35"/>
    <w:rsid w:val="1EBA7BA7"/>
    <w:rsid w:val="1EDB1850"/>
    <w:rsid w:val="1EE042B3"/>
    <w:rsid w:val="1EE71D10"/>
    <w:rsid w:val="1F1B0D79"/>
    <w:rsid w:val="1F1BB302"/>
    <w:rsid w:val="1F1C38C8"/>
    <w:rsid w:val="1F244208"/>
    <w:rsid w:val="1F383DF3"/>
    <w:rsid w:val="1F39A108"/>
    <w:rsid w:val="1F6555CF"/>
    <w:rsid w:val="1F76202B"/>
    <w:rsid w:val="1F83E0CD"/>
    <w:rsid w:val="1F85A419"/>
    <w:rsid w:val="1F867F02"/>
    <w:rsid w:val="1F8C0DF0"/>
    <w:rsid w:val="1F93895A"/>
    <w:rsid w:val="1F995175"/>
    <w:rsid w:val="1FA599B7"/>
    <w:rsid w:val="1FAEEBE7"/>
    <w:rsid w:val="1FBCBDC5"/>
    <w:rsid w:val="1FC1F9FA"/>
    <w:rsid w:val="1FC3BD43"/>
    <w:rsid w:val="1FC53A93"/>
    <w:rsid w:val="1FD3F160"/>
    <w:rsid w:val="1FD48CCF"/>
    <w:rsid w:val="1FD6716D"/>
    <w:rsid w:val="1FFE130B"/>
    <w:rsid w:val="20061F17"/>
    <w:rsid w:val="200ACE47"/>
    <w:rsid w:val="200BA694"/>
    <w:rsid w:val="201A3E50"/>
    <w:rsid w:val="20247812"/>
    <w:rsid w:val="2036EAFE"/>
    <w:rsid w:val="20428F1C"/>
    <w:rsid w:val="2049AE29"/>
    <w:rsid w:val="205C03E7"/>
    <w:rsid w:val="205C0E7B"/>
    <w:rsid w:val="2074E88C"/>
    <w:rsid w:val="2088EB24"/>
    <w:rsid w:val="20AF9CB3"/>
    <w:rsid w:val="20B0426A"/>
    <w:rsid w:val="20C40966"/>
    <w:rsid w:val="20C4D158"/>
    <w:rsid w:val="20D52594"/>
    <w:rsid w:val="20DD0B31"/>
    <w:rsid w:val="20E9DC4C"/>
    <w:rsid w:val="20EF6F45"/>
    <w:rsid w:val="2102365C"/>
    <w:rsid w:val="2104AF91"/>
    <w:rsid w:val="2106C5C1"/>
    <w:rsid w:val="210DC6FF"/>
    <w:rsid w:val="211359C1"/>
    <w:rsid w:val="211DE4B5"/>
    <w:rsid w:val="21285830"/>
    <w:rsid w:val="2133A983"/>
    <w:rsid w:val="21384193"/>
    <w:rsid w:val="213FA10B"/>
    <w:rsid w:val="2141933F"/>
    <w:rsid w:val="21467FC5"/>
    <w:rsid w:val="21679855"/>
    <w:rsid w:val="217D78EE"/>
    <w:rsid w:val="2191FCDC"/>
    <w:rsid w:val="2197C361"/>
    <w:rsid w:val="21993698"/>
    <w:rsid w:val="219B7A60"/>
    <w:rsid w:val="219EB4D4"/>
    <w:rsid w:val="21BC03DB"/>
    <w:rsid w:val="21D7D3D8"/>
    <w:rsid w:val="21DF6B14"/>
    <w:rsid w:val="21E1BFB9"/>
    <w:rsid w:val="21EC2D15"/>
    <w:rsid w:val="21EE660B"/>
    <w:rsid w:val="2205B786"/>
    <w:rsid w:val="221643B8"/>
    <w:rsid w:val="22357F6A"/>
    <w:rsid w:val="223FC9B7"/>
    <w:rsid w:val="227F1DA4"/>
    <w:rsid w:val="2287FA91"/>
    <w:rsid w:val="228C23DB"/>
    <w:rsid w:val="2298A184"/>
    <w:rsid w:val="22D33613"/>
    <w:rsid w:val="22D7FF56"/>
    <w:rsid w:val="22E1F1C8"/>
    <w:rsid w:val="22EEAC55"/>
    <w:rsid w:val="22FA4926"/>
    <w:rsid w:val="2300210C"/>
    <w:rsid w:val="23078C77"/>
    <w:rsid w:val="232A58F9"/>
    <w:rsid w:val="232C5FFB"/>
    <w:rsid w:val="232EFC3E"/>
    <w:rsid w:val="2347B795"/>
    <w:rsid w:val="234D2920"/>
    <w:rsid w:val="234F0B96"/>
    <w:rsid w:val="2354F221"/>
    <w:rsid w:val="23563EB7"/>
    <w:rsid w:val="2397DD4B"/>
    <w:rsid w:val="239AB414"/>
    <w:rsid w:val="239CE4A6"/>
    <w:rsid w:val="239DBE27"/>
    <w:rsid w:val="23A8F0F8"/>
    <w:rsid w:val="23B53FB5"/>
    <w:rsid w:val="23B92D03"/>
    <w:rsid w:val="23CD3D0D"/>
    <w:rsid w:val="23E5181D"/>
    <w:rsid w:val="23E8A935"/>
    <w:rsid w:val="23E9691D"/>
    <w:rsid w:val="23F15276"/>
    <w:rsid w:val="241B781A"/>
    <w:rsid w:val="241C2050"/>
    <w:rsid w:val="242E123C"/>
    <w:rsid w:val="24341F27"/>
    <w:rsid w:val="243AD641"/>
    <w:rsid w:val="243D010D"/>
    <w:rsid w:val="2446E3D2"/>
    <w:rsid w:val="2454F6D9"/>
    <w:rsid w:val="2461AE87"/>
    <w:rsid w:val="246906C7"/>
    <w:rsid w:val="246EE0FE"/>
    <w:rsid w:val="2470C314"/>
    <w:rsid w:val="24715FD0"/>
    <w:rsid w:val="2488B43B"/>
    <w:rsid w:val="24A91634"/>
    <w:rsid w:val="24ACC297"/>
    <w:rsid w:val="24B28940"/>
    <w:rsid w:val="24B7EFE6"/>
    <w:rsid w:val="24CD3E51"/>
    <w:rsid w:val="24CDDF0E"/>
    <w:rsid w:val="24D5DCEF"/>
    <w:rsid w:val="24E0B7F5"/>
    <w:rsid w:val="24E492B9"/>
    <w:rsid w:val="24F2D3AB"/>
    <w:rsid w:val="24F682E9"/>
    <w:rsid w:val="2501E05A"/>
    <w:rsid w:val="250A4CDE"/>
    <w:rsid w:val="25120DC2"/>
    <w:rsid w:val="251283F3"/>
    <w:rsid w:val="251E0435"/>
    <w:rsid w:val="2522CB66"/>
    <w:rsid w:val="2524A6DF"/>
    <w:rsid w:val="252A1333"/>
    <w:rsid w:val="25358E81"/>
    <w:rsid w:val="254663D6"/>
    <w:rsid w:val="254DFECB"/>
    <w:rsid w:val="254EB338"/>
    <w:rsid w:val="255E05F1"/>
    <w:rsid w:val="255E2F33"/>
    <w:rsid w:val="2560F092"/>
    <w:rsid w:val="256AC442"/>
    <w:rsid w:val="256C8C65"/>
    <w:rsid w:val="2590FFCD"/>
    <w:rsid w:val="2591BE14"/>
    <w:rsid w:val="2594A090"/>
    <w:rsid w:val="25AC61FA"/>
    <w:rsid w:val="25C72152"/>
    <w:rsid w:val="25CEB1A8"/>
    <w:rsid w:val="25D26C21"/>
    <w:rsid w:val="25D4BF1B"/>
    <w:rsid w:val="25D82A03"/>
    <w:rsid w:val="25E90A23"/>
    <w:rsid w:val="25E9A5BE"/>
    <w:rsid w:val="25F2F999"/>
    <w:rsid w:val="25FDB7CE"/>
    <w:rsid w:val="2601168F"/>
    <w:rsid w:val="261B4F4F"/>
    <w:rsid w:val="262F4493"/>
    <w:rsid w:val="26457F0D"/>
    <w:rsid w:val="26536538"/>
    <w:rsid w:val="2658F1BD"/>
    <w:rsid w:val="265F14B9"/>
    <w:rsid w:val="26648450"/>
    <w:rsid w:val="2671F428"/>
    <w:rsid w:val="2678D31E"/>
    <w:rsid w:val="268F32A7"/>
    <w:rsid w:val="26980568"/>
    <w:rsid w:val="26A012C3"/>
    <w:rsid w:val="26A7D716"/>
    <w:rsid w:val="26AC7D6C"/>
    <w:rsid w:val="26B64D23"/>
    <w:rsid w:val="26BD9EB6"/>
    <w:rsid w:val="26C589FE"/>
    <w:rsid w:val="271DB8B3"/>
    <w:rsid w:val="271FC4EC"/>
    <w:rsid w:val="27213EDF"/>
    <w:rsid w:val="2727D0FF"/>
    <w:rsid w:val="273115F8"/>
    <w:rsid w:val="2740A4DE"/>
    <w:rsid w:val="2741427A"/>
    <w:rsid w:val="274316AE"/>
    <w:rsid w:val="276B12B1"/>
    <w:rsid w:val="276C3402"/>
    <w:rsid w:val="276D70DB"/>
    <w:rsid w:val="27796327"/>
    <w:rsid w:val="277E6618"/>
    <w:rsid w:val="279263C7"/>
    <w:rsid w:val="279B3BE6"/>
    <w:rsid w:val="27A19C19"/>
    <w:rsid w:val="27A5C4D4"/>
    <w:rsid w:val="27A988F6"/>
    <w:rsid w:val="27C43449"/>
    <w:rsid w:val="27C65CD7"/>
    <w:rsid w:val="27C87369"/>
    <w:rsid w:val="27C99E82"/>
    <w:rsid w:val="27D0E637"/>
    <w:rsid w:val="27EB3099"/>
    <w:rsid w:val="27F59F36"/>
    <w:rsid w:val="280530C8"/>
    <w:rsid w:val="28093E0F"/>
    <w:rsid w:val="280A2B11"/>
    <w:rsid w:val="280F5F10"/>
    <w:rsid w:val="28204BD7"/>
    <w:rsid w:val="28302F93"/>
    <w:rsid w:val="28567393"/>
    <w:rsid w:val="286EBA6E"/>
    <w:rsid w:val="2875FE52"/>
    <w:rsid w:val="287CA0A2"/>
    <w:rsid w:val="288383A7"/>
    <w:rsid w:val="288BB2C4"/>
    <w:rsid w:val="289637DD"/>
    <w:rsid w:val="289897EF"/>
    <w:rsid w:val="289E554B"/>
    <w:rsid w:val="28A0CC16"/>
    <w:rsid w:val="28A3A701"/>
    <w:rsid w:val="28A7011E"/>
    <w:rsid w:val="28B52D7B"/>
    <w:rsid w:val="28B8E2D2"/>
    <w:rsid w:val="28B9BF89"/>
    <w:rsid w:val="28C6ECF8"/>
    <w:rsid w:val="28CA7A1B"/>
    <w:rsid w:val="28D60ACA"/>
    <w:rsid w:val="28DEC1A6"/>
    <w:rsid w:val="28EA3FC1"/>
    <w:rsid w:val="28EC686F"/>
    <w:rsid w:val="28EF330C"/>
    <w:rsid w:val="29073CAF"/>
    <w:rsid w:val="290B2810"/>
    <w:rsid w:val="292C75DE"/>
    <w:rsid w:val="29375B78"/>
    <w:rsid w:val="2945D9D1"/>
    <w:rsid w:val="295690FF"/>
    <w:rsid w:val="2958C43A"/>
    <w:rsid w:val="295A5468"/>
    <w:rsid w:val="2973BCEA"/>
    <w:rsid w:val="2975AC2D"/>
    <w:rsid w:val="29786DAD"/>
    <w:rsid w:val="29791F52"/>
    <w:rsid w:val="297A2E1E"/>
    <w:rsid w:val="297E5416"/>
    <w:rsid w:val="29A506BC"/>
    <w:rsid w:val="29AE0A51"/>
    <w:rsid w:val="29BB5666"/>
    <w:rsid w:val="29C6C4E3"/>
    <w:rsid w:val="29EA67B4"/>
    <w:rsid w:val="29F959FD"/>
    <w:rsid w:val="29FEDB08"/>
    <w:rsid w:val="2A170FA4"/>
    <w:rsid w:val="2A3694A3"/>
    <w:rsid w:val="2A3A833D"/>
    <w:rsid w:val="2A538C5A"/>
    <w:rsid w:val="2A5549A2"/>
    <w:rsid w:val="2A64C60B"/>
    <w:rsid w:val="2A9AFC34"/>
    <w:rsid w:val="2AC36020"/>
    <w:rsid w:val="2AD762AA"/>
    <w:rsid w:val="2AFE904F"/>
    <w:rsid w:val="2B133E6D"/>
    <w:rsid w:val="2B13D872"/>
    <w:rsid w:val="2B1BB349"/>
    <w:rsid w:val="2B1FEED6"/>
    <w:rsid w:val="2B242D10"/>
    <w:rsid w:val="2B3C992F"/>
    <w:rsid w:val="2B431B25"/>
    <w:rsid w:val="2B490127"/>
    <w:rsid w:val="2B52049F"/>
    <w:rsid w:val="2B525E7D"/>
    <w:rsid w:val="2B568A93"/>
    <w:rsid w:val="2B61E91C"/>
    <w:rsid w:val="2B6322D8"/>
    <w:rsid w:val="2B7B9928"/>
    <w:rsid w:val="2B7C6A7C"/>
    <w:rsid w:val="2B7F995D"/>
    <w:rsid w:val="2B83C5EB"/>
    <w:rsid w:val="2B8493ED"/>
    <w:rsid w:val="2B8D5AAA"/>
    <w:rsid w:val="2B935EBD"/>
    <w:rsid w:val="2BA1A986"/>
    <w:rsid w:val="2BC5DBBD"/>
    <w:rsid w:val="2BCB06C8"/>
    <w:rsid w:val="2BCD57F7"/>
    <w:rsid w:val="2BD4162A"/>
    <w:rsid w:val="2BD7FEE7"/>
    <w:rsid w:val="2BDC1C74"/>
    <w:rsid w:val="2BE180EA"/>
    <w:rsid w:val="2BF383B8"/>
    <w:rsid w:val="2C0B6274"/>
    <w:rsid w:val="2C1E46AD"/>
    <w:rsid w:val="2C619F68"/>
    <w:rsid w:val="2C6ADC44"/>
    <w:rsid w:val="2C6C19FA"/>
    <w:rsid w:val="2C731D89"/>
    <w:rsid w:val="2C7C6DB4"/>
    <w:rsid w:val="2C857665"/>
    <w:rsid w:val="2C9E9E6E"/>
    <w:rsid w:val="2CAB4ABE"/>
    <w:rsid w:val="2CAB856B"/>
    <w:rsid w:val="2CB82624"/>
    <w:rsid w:val="2CBAC1DA"/>
    <w:rsid w:val="2CBB86D1"/>
    <w:rsid w:val="2CC05F94"/>
    <w:rsid w:val="2CEA3B1F"/>
    <w:rsid w:val="2CF59947"/>
    <w:rsid w:val="2D30F2BE"/>
    <w:rsid w:val="2D3617AC"/>
    <w:rsid w:val="2D3773A0"/>
    <w:rsid w:val="2D45AF4A"/>
    <w:rsid w:val="2D533A58"/>
    <w:rsid w:val="2D7239CD"/>
    <w:rsid w:val="2D74B9D6"/>
    <w:rsid w:val="2D968C39"/>
    <w:rsid w:val="2DA5E726"/>
    <w:rsid w:val="2DB747E9"/>
    <w:rsid w:val="2DC67FC0"/>
    <w:rsid w:val="2DD4CDBD"/>
    <w:rsid w:val="2DEE9776"/>
    <w:rsid w:val="2DFA8820"/>
    <w:rsid w:val="2E0276FD"/>
    <w:rsid w:val="2E0A616A"/>
    <w:rsid w:val="2E15E965"/>
    <w:rsid w:val="2E2010DC"/>
    <w:rsid w:val="2E3AC3C2"/>
    <w:rsid w:val="2E4C1309"/>
    <w:rsid w:val="2E4FF227"/>
    <w:rsid w:val="2E6D9A68"/>
    <w:rsid w:val="2E77D36C"/>
    <w:rsid w:val="2E822B8F"/>
    <w:rsid w:val="2E83D717"/>
    <w:rsid w:val="2E8976EC"/>
    <w:rsid w:val="2E8CE1AA"/>
    <w:rsid w:val="2E91A401"/>
    <w:rsid w:val="2E9D915C"/>
    <w:rsid w:val="2EA0FACB"/>
    <w:rsid w:val="2EACA3DF"/>
    <w:rsid w:val="2EADFAF3"/>
    <w:rsid w:val="2EBAB338"/>
    <w:rsid w:val="2EC612F1"/>
    <w:rsid w:val="2ED6A75F"/>
    <w:rsid w:val="2EE8499C"/>
    <w:rsid w:val="2EEA0C36"/>
    <w:rsid w:val="2EED5B23"/>
    <w:rsid w:val="2F03A4F8"/>
    <w:rsid w:val="2F0C691D"/>
    <w:rsid w:val="2F1CD35D"/>
    <w:rsid w:val="2F3EC8E3"/>
    <w:rsid w:val="2F477523"/>
    <w:rsid w:val="2F4ACE2F"/>
    <w:rsid w:val="2F4AED78"/>
    <w:rsid w:val="2F51FCC4"/>
    <w:rsid w:val="2F54A9E6"/>
    <w:rsid w:val="2F60F5A0"/>
    <w:rsid w:val="2F6FA17F"/>
    <w:rsid w:val="2F8E598D"/>
    <w:rsid w:val="2F986EC2"/>
    <w:rsid w:val="2F9E1116"/>
    <w:rsid w:val="2F9FA793"/>
    <w:rsid w:val="2FA42E14"/>
    <w:rsid w:val="2FBC1820"/>
    <w:rsid w:val="2FC5A903"/>
    <w:rsid w:val="2FDB55E1"/>
    <w:rsid w:val="2FE3D230"/>
    <w:rsid w:val="2FE40941"/>
    <w:rsid w:val="2FE965F4"/>
    <w:rsid w:val="2FEA6831"/>
    <w:rsid w:val="2FED8694"/>
    <w:rsid w:val="2FFA1618"/>
    <w:rsid w:val="2FFACC2A"/>
    <w:rsid w:val="2FFB118D"/>
    <w:rsid w:val="30058D93"/>
    <w:rsid w:val="300E2024"/>
    <w:rsid w:val="3024C7DD"/>
    <w:rsid w:val="30565DE4"/>
    <w:rsid w:val="305779AF"/>
    <w:rsid w:val="30689C18"/>
    <w:rsid w:val="306A3611"/>
    <w:rsid w:val="30A04736"/>
    <w:rsid w:val="30A2D7BA"/>
    <w:rsid w:val="30AA1D45"/>
    <w:rsid w:val="30B33709"/>
    <w:rsid w:val="30BC8302"/>
    <w:rsid w:val="30DAF857"/>
    <w:rsid w:val="30F7C6C0"/>
    <w:rsid w:val="313C6423"/>
    <w:rsid w:val="314132CA"/>
    <w:rsid w:val="31499D92"/>
    <w:rsid w:val="314F144D"/>
    <w:rsid w:val="3163551D"/>
    <w:rsid w:val="316AEF2C"/>
    <w:rsid w:val="3174685F"/>
    <w:rsid w:val="31854ADC"/>
    <w:rsid w:val="319D4B62"/>
    <w:rsid w:val="31A85D1B"/>
    <w:rsid w:val="31AF651D"/>
    <w:rsid w:val="31BBD943"/>
    <w:rsid w:val="31CC1F69"/>
    <w:rsid w:val="31CD5E0E"/>
    <w:rsid w:val="31DD659E"/>
    <w:rsid w:val="31E4F9F9"/>
    <w:rsid w:val="31E6C4B6"/>
    <w:rsid w:val="31F7D774"/>
    <w:rsid w:val="31FD48C9"/>
    <w:rsid w:val="3201B6C8"/>
    <w:rsid w:val="32223FA8"/>
    <w:rsid w:val="3232A107"/>
    <w:rsid w:val="32388597"/>
    <w:rsid w:val="3240544A"/>
    <w:rsid w:val="324E54B9"/>
    <w:rsid w:val="325CA591"/>
    <w:rsid w:val="326A3E7E"/>
    <w:rsid w:val="3274D248"/>
    <w:rsid w:val="32932175"/>
    <w:rsid w:val="329EBA18"/>
    <w:rsid w:val="32D1B051"/>
    <w:rsid w:val="32EF347A"/>
    <w:rsid w:val="32EF7C5D"/>
    <w:rsid w:val="32FB5A1D"/>
    <w:rsid w:val="330291E0"/>
    <w:rsid w:val="330F722A"/>
    <w:rsid w:val="33155789"/>
    <w:rsid w:val="3341D167"/>
    <w:rsid w:val="334539DA"/>
    <w:rsid w:val="335729D7"/>
    <w:rsid w:val="337735FB"/>
    <w:rsid w:val="337850ED"/>
    <w:rsid w:val="3386DAD7"/>
    <w:rsid w:val="338D93EB"/>
    <w:rsid w:val="33BC99E8"/>
    <w:rsid w:val="33C79E8D"/>
    <w:rsid w:val="33CFB939"/>
    <w:rsid w:val="33DCBEA2"/>
    <w:rsid w:val="33FC0E1D"/>
    <w:rsid w:val="33FCBD9C"/>
    <w:rsid w:val="33FE06AE"/>
    <w:rsid w:val="33FF55BF"/>
    <w:rsid w:val="34061B3A"/>
    <w:rsid w:val="34184A68"/>
    <w:rsid w:val="3422116F"/>
    <w:rsid w:val="342C3743"/>
    <w:rsid w:val="3433942B"/>
    <w:rsid w:val="343CCD30"/>
    <w:rsid w:val="3441D5C8"/>
    <w:rsid w:val="34460B75"/>
    <w:rsid w:val="344C40F3"/>
    <w:rsid w:val="34677E37"/>
    <w:rsid w:val="346B48DF"/>
    <w:rsid w:val="347E8E7E"/>
    <w:rsid w:val="347FF3AE"/>
    <w:rsid w:val="347FFB2C"/>
    <w:rsid w:val="348664A7"/>
    <w:rsid w:val="34880FBE"/>
    <w:rsid w:val="3493A941"/>
    <w:rsid w:val="34994EBC"/>
    <w:rsid w:val="349B8DDF"/>
    <w:rsid w:val="34B1B97C"/>
    <w:rsid w:val="34CC5CC6"/>
    <w:rsid w:val="34D6B7C7"/>
    <w:rsid w:val="34D6DFF0"/>
    <w:rsid w:val="34DCEBC1"/>
    <w:rsid w:val="34DCF0AE"/>
    <w:rsid w:val="34E0F9B6"/>
    <w:rsid w:val="34EABF8A"/>
    <w:rsid w:val="34F26CE7"/>
    <w:rsid w:val="34F44366"/>
    <w:rsid w:val="3506D865"/>
    <w:rsid w:val="3507D76C"/>
    <w:rsid w:val="3508D2AB"/>
    <w:rsid w:val="350BDC2E"/>
    <w:rsid w:val="351F013A"/>
    <w:rsid w:val="35347487"/>
    <w:rsid w:val="35392057"/>
    <w:rsid w:val="353D6334"/>
    <w:rsid w:val="3545E2EE"/>
    <w:rsid w:val="354E3665"/>
    <w:rsid w:val="35530268"/>
    <w:rsid w:val="3579EE93"/>
    <w:rsid w:val="357D88EE"/>
    <w:rsid w:val="3585ABC0"/>
    <w:rsid w:val="35891F1C"/>
    <w:rsid w:val="35960991"/>
    <w:rsid w:val="359C7DE4"/>
    <w:rsid w:val="35B3952F"/>
    <w:rsid w:val="35B71176"/>
    <w:rsid w:val="35CA58E3"/>
    <w:rsid w:val="35D0CD02"/>
    <w:rsid w:val="35DD1593"/>
    <w:rsid w:val="35EFEDBD"/>
    <w:rsid w:val="35F96D08"/>
    <w:rsid w:val="35FCE573"/>
    <w:rsid w:val="36065866"/>
    <w:rsid w:val="360BC5D6"/>
    <w:rsid w:val="361A0C1B"/>
    <w:rsid w:val="362F1B7C"/>
    <w:rsid w:val="3636C310"/>
    <w:rsid w:val="36393A06"/>
    <w:rsid w:val="363A9645"/>
    <w:rsid w:val="363AD439"/>
    <w:rsid w:val="364BA7B5"/>
    <w:rsid w:val="36618CD4"/>
    <w:rsid w:val="36801E24"/>
    <w:rsid w:val="368D274B"/>
    <w:rsid w:val="3699D882"/>
    <w:rsid w:val="36A44257"/>
    <w:rsid w:val="36ADF3FE"/>
    <w:rsid w:val="36B2699B"/>
    <w:rsid w:val="36CC3504"/>
    <w:rsid w:val="36CDCE3F"/>
    <w:rsid w:val="36D5F5D9"/>
    <w:rsid w:val="36D6A499"/>
    <w:rsid w:val="36E58F71"/>
    <w:rsid w:val="36E9DFD7"/>
    <w:rsid w:val="37022F41"/>
    <w:rsid w:val="370AD741"/>
    <w:rsid w:val="370E3699"/>
    <w:rsid w:val="3719637E"/>
    <w:rsid w:val="37209B00"/>
    <w:rsid w:val="37358238"/>
    <w:rsid w:val="375270AE"/>
    <w:rsid w:val="375624DD"/>
    <w:rsid w:val="37685C0F"/>
    <w:rsid w:val="3774ED88"/>
    <w:rsid w:val="377C3659"/>
    <w:rsid w:val="378F8D23"/>
    <w:rsid w:val="37970804"/>
    <w:rsid w:val="37A20435"/>
    <w:rsid w:val="37A4B0C2"/>
    <w:rsid w:val="37A7B67A"/>
    <w:rsid w:val="37B2A116"/>
    <w:rsid w:val="37BA4D59"/>
    <w:rsid w:val="37BB699B"/>
    <w:rsid w:val="37BD18A8"/>
    <w:rsid w:val="37EE7D4C"/>
    <w:rsid w:val="37F38541"/>
    <w:rsid w:val="37FC6662"/>
    <w:rsid w:val="3804C9C6"/>
    <w:rsid w:val="38356076"/>
    <w:rsid w:val="385C762A"/>
    <w:rsid w:val="385F81B7"/>
    <w:rsid w:val="3862509D"/>
    <w:rsid w:val="3868D071"/>
    <w:rsid w:val="38827BC1"/>
    <w:rsid w:val="388C5900"/>
    <w:rsid w:val="388E4AE7"/>
    <w:rsid w:val="38911468"/>
    <w:rsid w:val="38953530"/>
    <w:rsid w:val="389C6BBE"/>
    <w:rsid w:val="389E44FA"/>
    <w:rsid w:val="389EABF3"/>
    <w:rsid w:val="38B4439E"/>
    <w:rsid w:val="38B97659"/>
    <w:rsid w:val="38C8159A"/>
    <w:rsid w:val="38D8C4CF"/>
    <w:rsid w:val="38E36146"/>
    <w:rsid w:val="38F881B8"/>
    <w:rsid w:val="391DCB59"/>
    <w:rsid w:val="391EAEB6"/>
    <w:rsid w:val="392ED13C"/>
    <w:rsid w:val="392F3692"/>
    <w:rsid w:val="393D78D6"/>
    <w:rsid w:val="393E650A"/>
    <w:rsid w:val="396C6257"/>
    <w:rsid w:val="39704F79"/>
    <w:rsid w:val="3979195F"/>
    <w:rsid w:val="398106CD"/>
    <w:rsid w:val="3984CFB0"/>
    <w:rsid w:val="3990C0AF"/>
    <w:rsid w:val="3991D565"/>
    <w:rsid w:val="39975011"/>
    <w:rsid w:val="3998355C"/>
    <w:rsid w:val="39A1DAB3"/>
    <w:rsid w:val="39AD5234"/>
    <w:rsid w:val="39B62E60"/>
    <w:rsid w:val="39BE894D"/>
    <w:rsid w:val="39C1813B"/>
    <w:rsid w:val="39C84C7E"/>
    <w:rsid w:val="39CD0C2D"/>
    <w:rsid w:val="39CDD088"/>
    <w:rsid w:val="39CEB393"/>
    <w:rsid w:val="39D010C7"/>
    <w:rsid w:val="39D30B4C"/>
    <w:rsid w:val="39D5CB5B"/>
    <w:rsid w:val="39E2D2ED"/>
    <w:rsid w:val="39E4929C"/>
    <w:rsid w:val="39E9D8B5"/>
    <w:rsid w:val="39F6FDE6"/>
    <w:rsid w:val="39FD5F8C"/>
    <w:rsid w:val="39FF28C1"/>
    <w:rsid w:val="3A03AFAD"/>
    <w:rsid w:val="3A0E4517"/>
    <w:rsid w:val="3A221E2C"/>
    <w:rsid w:val="3A4A176A"/>
    <w:rsid w:val="3A633BF9"/>
    <w:rsid w:val="3A6937F2"/>
    <w:rsid w:val="3A7351DC"/>
    <w:rsid w:val="3A9E1A6A"/>
    <w:rsid w:val="3A9EB50B"/>
    <w:rsid w:val="3AB1A621"/>
    <w:rsid w:val="3AB862E6"/>
    <w:rsid w:val="3ABD451D"/>
    <w:rsid w:val="3ACAF2FC"/>
    <w:rsid w:val="3B00378D"/>
    <w:rsid w:val="3B04440B"/>
    <w:rsid w:val="3B0625C8"/>
    <w:rsid w:val="3B0EE5B9"/>
    <w:rsid w:val="3B149624"/>
    <w:rsid w:val="3B227E03"/>
    <w:rsid w:val="3B44B092"/>
    <w:rsid w:val="3B56ECEA"/>
    <w:rsid w:val="3B5A6888"/>
    <w:rsid w:val="3B6A2CEB"/>
    <w:rsid w:val="3B7E7EA1"/>
    <w:rsid w:val="3B7E9CDD"/>
    <w:rsid w:val="3B9968E6"/>
    <w:rsid w:val="3BA5DED3"/>
    <w:rsid w:val="3BAE4C7A"/>
    <w:rsid w:val="3BC6B115"/>
    <w:rsid w:val="3BC84F96"/>
    <w:rsid w:val="3BD06A4F"/>
    <w:rsid w:val="3BE22880"/>
    <w:rsid w:val="3BE88EA2"/>
    <w:rsid w:val="3BEFC59D"/>
    <w:rsid w:val="3BF4C659"/>
    <w:rsid w:val="3BF4DBA1"/>
    <w:rsid w:val="3BF60929"/>
    <w:rsid w:val="3C09D393"/>
    <w:rsid w:val="3C1F8D9E"/>
    <w:rsid w:val="3C21C53C"/>
    <w:rsid w:val="3C272062"/>
    <w:rsid w:val="3C510B55"/>
    <w:rsid w:val="3C61EB4D"/>
    <w:rsid w:val="3C626C77"/>
    <w:rsid w:val="3C645F29"/>
    <w:rsid w:val="3C7C928E"/>
    <w:rsid w:val="3C7E4F6F"/>
    <w:rsid w:val="3C924555"/>
    <w:rsid w:val="3C9831FA"/>
    <w:rsid w:val="3CAA7944"/>
    <w:rsid w:val="3CB0E68D"/>
    <w:rsid w:val="3CC6CDCF"/>
    <w:rsid w:val="3CC87117"/>
    <w:rsid w:val="3CD97DC7"/>
    <w:rsid w:val="3CDF399B"/>
    <w:rsid w:val="3CE2D922"/>
    <w:rsid w:val="3CED4490"/>
    <w:rsid w:val="3CF43F6D"/>
    <w:rsid w:val="3D182AE1"/>
    <w:rsid w:val="3D2929A1"/>
    <w:rsid w:val="3D36CF41"/>
    <w:rsid w:val="3D494D7D"/>
    <w:rsid w:val="3D496760"/>
    <w:rsid w:val="3D54146E"/>
    <w:rsid w:val="3D6B9936"/>
    <w:rsid w:val="3DA3A688"/>
    <w:rsid w:val="3DA58347"/>
    <w:rsid w:val="3DA8C73E"/>
    <w:rsid w:val="3DAE6743"/>
    <w:rsid w:val="3DAF5903"/>
    <w:rsid w:val="3DCA59C8"/>
    <w:rsid w:val="3DD2D8A8"/>
    <w:rsid w:val="3DD7E57D"/>
    <w:rsid w:val="3DE18E93"/>
    <w:rsid w:val="3DF3A8C2"/>
    <w:rsid w:val="3E069F71"/>
    <w:rsid w:val="3E0B44A8"/>
    <w:rsid w:val="3E21C2B8"/>
    <w:rsid w:val="3E2BFE79"/>
    <w:rsid w:val="3E34BCED"/>
    <w:rsid w:val="3E597ACA"/>
    <w:rsid w:val="3E66A315"/>
    <w:rsid w:val="3E6D9121"/>
    <w:rsid w:val="3E73FA3F"/>
    <w:rsid w:val="3E80640E"/>
    <w:rsid w:val="3E920386"/>
    <w:rsid w:val="3EA372F5"/>
    <w:rsid w:val="3EC39172"/>
    <w:rsid w:val="3EE7BD93"/>
    <w:rsid w:val="3EF3EC85"/>
    <w:rsid w:val="3F0EB952"/>
    <w:rsid w:val="3F10B1EA"/>
    <w:rsid w:val="3F1C3E0E"/>
    <w:rsid w:val="3F2D3D74"/>
    <w:rsid w:val="3F2EA1E3"/>
    <w:rsid w:val="3F3FB598"/>
    <w:rsid w:val="3F40D86A"/>
    <w:rsid w:val="3F57B317"/>
    <w:rsid w:val="3F6605F3"/>
    <w:rsid w:val="3F6A118F"/>
    <w:rsid w:val="3F73824D"/>
    <w:rsid w:val="3F892206"/>
    <w:rsid w:val="3F8AA7F1"/>
    <w:rsid w:val="3F8CA72E"/>
    <w:rsid w:val="3F907228"/>
    <w:rsid w:val="3F91B31E"/>
    <w:rsid w:val="3FC267EE"/>
    <w:rsid w:val="3FE0571B"/>
    <w:rsid w:val="3FF1E827"/>
    <w:rsid w:val="3FF84C52"/>
    <w:rsid w:val="400B14DD"/>
    <w:rsid w:val="401E84CE"/>
    <w:rsid w:val="402C6DAA"/>
    <w:rsid w:val="4035C5FB"/>
    <w:rsid w:val="4044A2E0"/>
    <w:rsid w:val="4050584D"/>
    <w:rsid w:val="4054C665"/>
    <w:rsid w:val="40566488"/>
    <w:rsid w:val="406BB3AE"/>
    <w:rsid w:val="4070E5B7"/>
    <w:rsid w:val="40815611"/>
    <w:rsid w:val="40914536"/>
    <w:rsid w:val="40982E9A"/>
    <w:rsid w:val="40A8B4F5"/>
    <w:rsid w:val="40BB050A"/>
    <w:rsid w:val="40C59A28"/>
    <w:rsid w:val="40D55002"/>
    <w:rsid w:val="40DEE79B"/>
    <w:rsid w:val="40DFDA3B"/>
    <w:rsid w:val="40F34754"/>
    <w:rsid w:val="40F34A1D"/>
    <w:rsid w:val="41045B82"/>
    <w:rsid w:val="410860A3"/>
    <w:rsid w:val="410B5D9A"/>
    <w:rsid w:val="412AF5BE"/>
    <w:rsid w:val="4131B6C7"/>
    <w:rsid w:val="413E3DC4"/>
    <w:rsid w:val="41478092"/>
    <w:rsid w:val="415279AC"/>
    <w:rsid w:val="4153B09A"/>
    <w:rsid w:val="415BACED"/>
    <w:rsid w:val="415F94CA"/>
    <w:rsid w:val="416CC51F"/>
    <w:rsid w:val="416FF6BE"/>
    <w:rsid w:val="4173A967"/>
    <w:rsid w:val="4182C208"/>
    <w:rsid w:val="419C6937"/>
    <w:rsid w:val="41A88539"/>
    <w:rsid w:val="41B0827F"/>
    <w:rsid w:val="41B4DAC8"/>
    <w:rsid w:val="41D2E973"/>
    <w:rsid w:val="41E5A68D"/>
    <w:rsid w:val="41F5535D"/>
    <w:rsid w:val="41F799C4"/>
    <w:rsid w:val="41F7C73A"/>
    <w:rsid w:val="41FF5F99"/>
    <w:rsid w:val="420A2E53"/>
    <w:rsid w:val="420BBF69"/>
    <w:rsid w:val="420C9C6F"/>
    <w:rsid w:val="424FE7BA"/>
    <w:rsid w:val="426947AB"/>
    <w:rsid w:val="4275FEFD"/>
    <w:rsid w:val="4276623B"/>
    <w:rsid w:val="427D5DC4"/>
    <w:rsid w:val="428C9928"/>
    <w:rsid w:val="428DAF64"/>
    <w:rsid w:val="429131A0"/>
    <w:rsid w:val="42A23700"/>
    <w:rsid w:val="42AA6CD0"/>
    <w:rsid w:val="42AADEBD"/>
    <w:rsid w:val="42B324BA"/>
    <w:rsid w:val="42B470EC"/>
    <w:rsid w:val="42B72D7B"/>
    <w:rsid w:val="42C4B477"/>
    <w:rsid w:val="42C5883C"/>
    <w:rsid w:val="42D1A928"/>
    <w:rsid w:val="42D25E4C"/>
    <w:rsid w:val="42EE7D91"/>
    <w:rsid w:val="42FEA3A3"/>
    <w:rsid w:val="431030B3"/>
    <w:rsid w:val="431CD0C1"/>
    <w:rsid w:val="431CDAD7"/>
    <w:rsid w:val="431DD4AF"/>
    <w:rsid w:val="4328F246"/>
    <w:rsid w:val="432AB643"/>
    <w:rsid w:val="43300DD9"/>
    <w:rsid w:val="4332572A"/>
    <w:rsid w:val="435274C4"/>
    <w:rsid w:val="43553C7F"/>
    <w:rsid w:val="437A7477"/>
    <w:rsid w:val="437AE155"/>
    <w:rsid w:val="438D79D3"/>
    <w:rsid w:val="43986A14"/>
    <w:rsid w:val="43AF026D"/>
    <w:rsid w:val="43BD77A0"/>
    <w:rsid w:val="43E4814D"/>
    <w:rsid w:val="43E5EFE8"/>
    <w:rsid w:val="43E9CD6A"/>
    <w:rsid w:val="43EDA22E"/>
    <w:rsid w:val="43F85506"/>
    <w:rsid w:val="43FA0C7B"/>
    <w:rsid w:val="4408AD46"/>
    <w:rsid w:val="440E6565"/>
    <w:rsid w:val="4418C028"/>
    <w:rsid w:val="442A8749"/>
    <w:rsid w:val="443FE9A5"/>
    <w:rsid w:val="44430A43"/>
    <w:rsid w:val="44435419"/>
    <w:rsid w:val="444F162F"/>
    <w:rsid w:val="445160E9"/>
    <w:rsid w:val="44574193"/>
    <w:rsid w:val="445AA2D4"/>
    <w:rsid w:val="4462BC1F"/>
    <w:rsid w:val="44674FC6"/>
    <w:rsid w:val="446B7E4F"/>
    <w:rsid w:val="44748D62"/>
    <w:rsid w:val="4476BE28"/>
    <w:rsid w:val="4478FD91"/>
    <w:rsid w:val="448C4612"/>
    <w:rsid w:val="448C5F73"/>
    <w:rsid w:val="449FD1D6"/>
    <w:rsid w:val="44A05698"/>
    <w:rsid w:val="44B16AF9"/>
    <w:rsid w:val="44C37E30"/>
    <w:rsid w:val="44D6F4AA"/>
    <w:rsid w:val="44D9DE5B"/>
    <w:rsid w:val="44EE01D7"/>
    <w:rsid w:val="44F1E7E5"/>
    <w:rsid w:val="450964E4"/>
    <w:rsid w:val="450B69D1"/>
    <w:rsid w:val="450B6ED0"/>
    <w:rsid w:val="45182024"/>
    <w:rsid w:val="451A12E0"/>
    <w:rsid w:val="451B3506"/>
    <w:rsid w:val="451F041A"/>
    <w:rsid w:val="452CC1B9"/>
    <w:rsid w:val="45322872"/>
    <w:rsid w:val="453BFA5F"/>
    <w:rsid w:val="45409815"/>
    <w:rsid w:val="4546A2B0"/>
    <w:rsid w:val="4548B6DF"/>
    <w:rsid w:val="455AAC62"/>
    <w:rsid w:val="455E80A7"/>
    <w:rsid w:val="4565CDE2"/>
    <w:rsid w:val="45679924"/>
    <w:rsid w:val="4580A4AB"/>
    <w:rsid w:val="45875BF2"/>
    <w:rsid w:val="45877DFD"/>
    <w:rsid w:val="4593BDA7"/>
    <w:rsid w:val="45B6F075"/>
    <w:rsid w:val="45C83003"/>
    <w:rsid w:val="45E1B978"/>
    <w:rsid w:val="45E6F23C"/>
    <w:rsid w:val="45E99736"/>
    <w:rsid w:val="45F45077"/>
    <w:rsid w:val="460F4D17"/>
    <w:rsid w:val="4611A86A"/>
    <w:rsid w:val="46139C15"/>
    <w:rsid w:val="46296C8E"/>
    <w:rsid w:val="462B74FE"/>
    <w:rsid w:val="4645C114"/>
    <w:rsid w:val="464635AF"/>
    <w:rsid w:val="464C062B"/>
    <w:rsid w:val="465EB23B"/>
    <w:rsid w:val="4662036C"/>
    <w:rsid w:val="46666661"/>
    <w:rsid w:val="466CAFDD"/>
    <w:rsid w:val="4675BE8B"/>
    <w:rsid w:val="4684384F"/>
    <w:rsid w:val="4690E8F7"/>
    <w:rsid w:val="4693C0A1"/>
    <w:rsid w:val="46942D18"/>
    <w:rsid w:val="46990AD2"/>
    <w:rsid w:val="46A1770B"/>
    <w:rsid w:val="46AAC37E"/>
    <w:rsid w:val="46BE6FDE"/>
    <w:rsid w:val="46C9CFBE"/>
    <w:rsid w:val="46D97611"/>
    <w:rsid w:val="46DDF095"/>
    <w:rsid w:val="46E25AB3"/>
    <w:rsid w:val="46E4DB7E"/>
    <w:rsid w:val="46E95ACD"/>
    <w:rsid w:val="46FAADF3"/>
    <w:rsid w:val="4700B2FA"/>
    <w:rsid w:val="4707CEDF"/>
    <w:rsid w:val="471BB01A"/>
    <w:rsid w:val="474ECD0D"/>
    <w:rsid w:val="475154C9"/>
    <w:rsid w:val="475B537E"/>
    <w:rsid w:val="47610FE4"/>
    <w:rsid w:val="477172EA"/>
    <w:rsid w:val="47755E97"/>
    <w:rsid w:val="477EB948"/>
    <w:rsid w:val="479267F5"/>
    <w:rsid w:val="47B49303"/>
    <w:rsid w:val="47B6067D"/>
    <w:rsid w:val="47B88CD4"/>
    <w:rsid w:val="47C42195"/>
    <w:rsid w:val="47C501FE"/>
    <w:rsid w:val="47CA3D11"/>
    <w:rsid w:val="47E0BDC9"/>
    <w:rsid w:val="47E874BB"/>
    <w:rsid w:val="47FEE1A6"/>
    <w:rsid w:val="4801059B"/>
    <w:rsid w:val="48105CE7"/>
    <w:rsid w:val="4812FF1E"/>
    <w:rsid w:val="48135C66"/>
    <w:rsid w:val="4824BD21"/>
    <w:rsid w:val="482943C9"/>
    <w:rsid w:val="48531F1D"/>
    <w:rsid w:val="486348D1"/>
    <w:rsid w:val="4864B3EF"/>
    <w:rsid w:val="4871885D"/>
    <w:rsid w:val="487BBFB3"/>
    <w:rsid w:val="4880CBE8"/>
    <w:rsid w:val="48834F61"/>
    <w:rsid w:val="489AF110"/>
    <w:rsid w:val="48B68E03"/>
    <w:rsid w:val="48BC63B4"/>
    <w:rsid w:val="48BF8FF4"/>
    <w:rsid w:val="48C02326"/>
    <w:rsid w:val="48D9807C"/>
    <w:rsid w:val="48EA0E3B"/>
    <w:rsid w:val="48FCD839"/>
    <w:rsid w:val="49128147"/>
    <w:rsid w:val="491CB694"/>
    <w:rsid w:val="491F0BF4"/>
    <w:rsid w:val="492A280F"/>
    <w:rsid w:val="4939A560"/>
    <w:rsid w:val="4949C203"/>
    <w:rsid w:val="494F1E1F"/>
    <w:rsid w:val="4981A478"/>
    <w:rsid w:val="49859A77"/>
    <w:rsid w:val="49991A01"/>
    <w:rsid w:val="499B6A13"/>
    <w:rsid w:val="499FFCE3"/>
    <w:rsid w:val="49A3AF4B"/>
    <w:rsid w:val="49A65CA8"/>
    <w:rsid w:val="49C45D02"/>
    <w:rsid w:val="49D7CEC3"/>
    <w:rsid w:val="49DD89F0"/>
    <w:rsid w:val="49ECCFCD"/>
    <w:rsid w:val="49F4DC5A"/>
    <w:rsid w:val="49FE583D"/>
    <w:rsid w:val="4A0BD9A5"/>
    <w:rsid w:val="4A175693"/>
    <w:rsid w:val="4A1878D8"/>
    <w:rsid w:val="4A380278"/>
    <w:rsid w:val="4A3FF2EF"/>
    <w:rsid w:val="4A45CA09"/>
    <w:rsid w:val="4A46600A"/>
    <w:rsid w:val="4A51130D"/>
    <w:rsid w:val="4A5FA908"/>
    <w:rsid w:val="4A8150FE"/>
    <w:rsid w:val="4A81E694"/>
    <w:rsid w:val="4A89FCB5"/>
    <w:rsid w:val="4A8B37AD"/>
    <w:rsid w:val="4A987865"/>
    <w:rsid w:val="4A9D3BF5"/>
    <w:rsid w:val="4AA2C959"/>
    <w:rsid w:val="4AA7B248"/>
    <w:rsid w:val="4AA7E8B9"/>
    <w:rsid w:val="4AD4BE04"/>
    <w:rsid w:val="4AF20D3F"/>
    <w:rsid w:val="4B10202C"/>
    <w:rsid w:val="4B10E505"/>
    <w:rsid w:val="4B2F9F3B"/>
    <w:rsid w:val="4B306033"/>
    <w:rsid w:val="4B364886"/>
    <w:rsid w:val="4B5711B4"/>
    <w:rsid w:val="4B5B4624"/>
    <w:rsid w:val="4B675BFB"/>
    <w:rsid w:val="4B685FF8"/>
    <w:rsid w:val="4B6BE97E"/>
    <w:rsid w:val="4B71132B"/>
    <w:rsid w:val="4B764871"/>
    <w:rsid w:val="4B85C217"/>
    <w:rsid w:val="4B9695F0"/>
    <w:rsid w:val="4B98FB4A"/>
    <w:rsid w:val="4BC8601F"/>
    <w:rsid w:val="4BD3E402"/>
    <w:rsid w:val="4BE3D0FF"/>
    <w:rsid w:val="4BEC0757"/>
    <w:rsid w:val="4BF160B6"/>
    <w:rsid w:val="4C051A83"/>
    <w:rsid w:val="4C0C3032"/>
    <w:rsid w:val="4C0C42AA"/>
    <w:rsid w:val="4C11BDB1"/>
    <w:rsid w:val="4C4457CB"/>
    <w:rsid w:val="4C4CFF82"/>
    <w:rsid w:val="4C4ED825"/>
    <w:rsid w:val="4C75BDE6"/>
    <w:rsid w:val="4C78BD12"/>
    <w:rsid w:val="4C85E3E5"/>
    <w:rsid w:val="4C947C2F"/>
    <w:rsid w:val="4CA07156"/>
    <w:rsid w:val="4CA3ECC0"/>
    <w:rsid w:val="4CAFC80C"/>
    <w:rsid w:val="4CB8B0FB"/>
    <w:rsid w:val="4CBBCFEB"/>
    <w:rsid w:val="4CBD7969"/>
    <w:rsid w:val="4CC37323"/>
    <w:rsid w:val="4CC4EEC7"/>
    <w:rsid w:val="4CC901AF"/>
    <w:rsid w:val="4CC9FA99"/>
    <w:rsid w:val="4CCCC6D3"/>
    <w:rsid w:val="4CD2346C"/>
    <w:rsid w:val="4CF1B7A1"/>
    <w:rsid w:val="4D097EEA"/>
    <w:rsid w:val="4D18AD37"/>
    <w:rsid w:val="4D2042B2"/>
    <w:rsid w:val="4D2950B6"/>
    <w:rsid w:val="4D324CC8"/>
    <w:rsid w:val="4D3ED1C5"/>
    <w:rsid w:val="4D414255"/>
    <w:rsid w:val="4D42ED7D"/>
    <w:rsid w:val="4D53B1D5"/>
    <w:rsid w:val="4D53CF89"/>
    <w:rsid w:val="4D60616B"/>
    <w:rsid w:val="4D65D8F7"/>
    <w:rsid w:val="4D8421F5"/>
    <w:rsid w:val="4D8843B6"/>
    <w:rsid w:val="4D92A8FD"/>
    <w:rsid w:val="4D942A8B"/>
    <w:rsid w:val="4D9D4CE6"/>
    <w:rsid w:val="4DA7B60F"/>
    <w:rsid w:val="4DABD45D"/>
    <w:rsid w:val="4DAFD204"/>
    <w:rsid w:val="4DB82C1F"/>
    <w:rsid w:val="4DBE0418"/>
    <w:rsid w:val="4DBFF9C6"/>
    <w:rsid w:val="4DC0EBED"/>
    <w:rsid w:val="4DC72C15"/>
    <w:rsid w:val="4DE41A20"/>
    <w:rsid w:val="4DEC6D2D"/>
    <w:rsid w:val="4DF3804A"/>
    <w:rsid w:val="4DF38658"/>
    <w:rsid w:val="4E0A7A45"/>
    <w:rsid w:val="4E1386FC"/>
    <w:rsid w:val="4E18D8A1"/>
    <w:rsid w:val="4E251ED1"/>
    <w:rsid w:val="4E284E2B"/>
    <w:rsid w:val="4E40DAAC"/>
    <w:rsid w:val="4E42D1B1"/>
    <w:rsid w:val="4E4F09C3"/>
    <w:rsid w:val="4E5B8270"/>
    <w:rsid w:val="4E5D4EF3"/>
    <w:rsid w:val="4E644810"/>
    <w:rsid w:val="4E79BA2E"/>
    <w:rsid w:val="4E8A74F4"/>
    <w:rsid w:val="4EB2905E"/>
    <w:rsid w:val="4EB2C479"/>
    <w:rsid w:val="4EB3DBCC"/>
    <w:rsid w:val="4EC5E744"/>
    <w:rsid w:val="4ECEA4B8"/>
    <w:rsid w:val="4F0FED8B"/>
    <w:rsid w:val="4F1DB612"/>
    <w:rsid w:val="4F2014A6"/>
    <w:rsid w:val="4F3889B5"/>
    <w:rsid w:val="4F469DC4"/>
    <w:rsid w:val="4F58999E"/>
    <w:rsid w:val="4F66CD24"/>
    <w:rsid w:val="4F842647"/>
    <w:rsid w:val="4F84C245"/>
    <w:rsid w:val="4FB20B60"/>
    <w:rsid w:val="4FBB65B5"/>
    <w:rsid w:val="4FBE48A4"/>
    <w:rsid w:val="4FC8505B"/>
    <w:rsid w:val="4FDB0830"/>
    <w:rsid w:val="4FE3D4ED"/>
    <w:rsid w:val="4FE40DEF"/>
    <w:rsid w:val="4FE9CFEE"/>
    <w:rsid w:val="4FFBF77B"/>
    <w:rsid w:val="500F2503"/>
    <w:rsid w:val="501D01D5"/>
    <w:rsid w:val="502339B9"/>
    <w:rsid w:val="502442EF"/>
    <w:rsid w:val="50253749"/>
    <w:rsid w:val="50261088"/>
    <w:rsid w:val="50283A9E"/>
    <w:rsid w:val="5029F42B"/>
    <w:rsid w:val="502BD214"/>
    <w:rsid w:val="50341E80"/>
    <w:rsid w:val="504AD1F3"/>
    <w:rsid w:val="50537041"/>
    <w:rsid w:val="50572081"/>
    <w:rsid w:val="505C18AB"/>
    <w:rsid w:val="50648F1F"/>
    <w:rsid w:val="5067C361"/>
    <w:rsid w:val="507F039C"/>
    <w:rsid w:val="508F8F6A"/>
    <w:rsid w:val="5095D948"/>
    <w:rsid w:val="509E415B"/>
    <w:rsid w:val="50ABD398"/>
    <w:rsid w:val="50B6F2CD"/>
    <w:rsid w:val="50C20113"/>
    <w:rsid w:val="50C75CC8"/>
    <w:rsid w:val="50CB9EAB"/>
    <w:rsid w:val="50E936CC"/>
    <w:rsid w:val="50EC5705"/>
    <w:rsid w:val="50ED2EAA"/>
    <w:rsid w:val="50FDD795"/>
    <w:rsid w:val="50FF6489"/>
    <w:rsid w:val="5103D988"/>
    <w:rsid w:val="5112E96D"/>
    <w:rsid w:val="5125D6A1"/>
    <w:rsid w:val="512B2809"/>
    <w:rsid w:val="512C270B"/>
    <w:rsid w:val="5138B3FF"/>
    <w:rsid w:val="5156F250"/>
    <w:rsid w:val="51A9F097"/>
    <w:rsid w:val="51C491CF"/>
    <w:rsid w:val="51C7631C"/>
    <w:rsid w:val="51EE2988"/>
    <w:rsid w:val="51EE8C33"/>
    <w:rsid w:val="51F44637"/>
    <w:rsid w:val="51F4BAAA"/>
    <w:rsid w:val="51F616EE"/>
    <w:rsid w:val="52134323"/>
    <w:rsid w:val="52304AAE"/>
    <w:rsid w:val="523A2C45"/>
    <w:rsid w:val="523FFCA0"/>
    <w:rsid w:val="5255EC91"/>
    <w:rsid w:val="525B6293"/>
    <w:rsid w:val="52670194"/>
    <w:rsid w:val="526B791B"/>
    <w:rsid w:val="52759075"/>
    <w:rsid w:val="5276B700"/>
    <w:rsid w:val="527BD789"/>
    <w:rsid w:val="528346D7"/>
    <w:rsid w:val="529DD30A"/>
    <w:rsid w:val="52B07322"/>
    <w:rsid w:val="52B98756"/>
    <w:rsid w:val="52C85864"/>
    <w:rsid w:val="52CA1815"/>
    <w:rsid w:val="52D442D7"/>
    <w:rsid w:val="52E6A782"/>
    <w:rsid w:val="530B01D6"/>
    <w:rsid w:val="530DD3BB"/>
    <w:rsid w:val="531CBB35"/>
    <w:rsid w:val="533097F7"/>
    <w:rsid w:val="5331AF0E"/>
    <w:rsid w:val="53492063"/>
    <w:rsid w:val="53700566"/>
    <w:rsid w:val="5375B892"/>
    <w:rsid w:val="537A6635"/>
    <w:rsid w:val="53883447"/>
    <w:rsid w:val="5393904E"/>
    <w:rsid w:val="5394C750"/>
    <w:rsid w:val="53965E03"/>
    <w:rsid w:val="53981501"/>
    <w:rsid w:val="5399D304"/>
    <w:rsid w:val="53A459F1"/>
    <w:rsid w:val="53C34151"/>
    <w:rsid w:val="53C5D220"/>
    <w:rsid w:val="53F02AA1"/>
    <w:rsid w:val="53F63C6C"/>
    <w:rsid w:val="5401D691"/>
    <w:rsid w:val="5424A5B2"/>
    <w:rsid w:val="542CDA7F"/>
    <w:rsid w:val="543A99BA"/>
    <w:rsid w:val="543C99C8"/>
    <w:rsid w:val="543E5DA5"/>
    <w:rsid w:val="5449F100"/>
    <w:rsid w:val="545BA686"/>
    <w:rsid w:val="546D6270"/>
    <w:rsid w:val="547C2176"/>
    <w:rsid w:val="54841A94"/>
    <w:rsid w:val="54848E7D"/>
    <w:rsid w:val="54870EAF"/>
    <w:rsid w:val="5494CEAD"/>
    <w:rsid w:val="54A6DDFA"/>
    <w:rsid w:val="54AB5578"/>
    <w:rsid w:val="54B3FA9C"/>
    <w:rsid w:val="54BC8F38"/>
    <w:rsid w:val="54C04328"/>
    <w:rsid w:val="54D387B4"/>
    <w:rsid w:val="54DB35F9"/>
    <w:rsid w:val="54E0D872"/>
    <w:rsid w:val="54E2479F"/>
    <w:rsid w:val="54E33244"/>
    <w:rsid w:val="54EC82B6"/>
    <w:rsid w:val="54ECB8D9"/>
    <w:rsid w:val="54F40FE6"/>
    <w:rsid w:val="55203089"/>
    <w:rsid w:val="55271FB0"/>
    <w:rsid w:val="5536E482"/>
    <w:rsid w:val="553ABD44"/>
    <w:rsid w:val="553DD783"/>
    <w:rsid w:val="55464EC8"/>
    <w:rsid w:val="55469F37"/>
    <w:rsid w:val="554B7898"/>
    <w:rsid w:val="555162E4"/>
    <w:rsid w:val="5551DB0E"/>
    <w:rsid w:val="556056FE"/>
    <w:rsid w:val="55623184"/>
    <w:rsid w:val="556C041F"/>
    <w:rsid w:val="557AB82C"/>
    <w:rsid w:val="558E355D"/>
    <w:rsid w:val="55A6EC6A"/>
    <w:rsid w:val="55A866AD"/>
    <w:rsid w:val="55D6CBDA"/>
    <w:rsid w:val="55D984C0"/>
    <w:rsid w:val="55E44835"/>
    <w:rsid w:val="55FCBC95"/>
    <w:rsid w:val="5616FA7C"/>
    <w:rsid w:val="56303A66"/>
    <w:rsid w:val="563328A6"/>
    <w:rsid w:val="56372086"/>
    <w:rsid w:val="56447C28"/>
    <w:rsid w:val="5647B55C"/>
    <w:rsid w:val="5649F632"/>
    <w:rsid w:val="5653AE1A"/>
    <w:rsid w:val="5655BD90"/>
    <w:rsid w:val="565947FA"/>
    <w:rsid w:val="565D0CD4"/>
    <w:rsid w:val="5668CC38"/>
    <w:rsid w:val="566FB5AD"/>
    <w:rsid w:val="5680EE07"/>
    <w:rsid w:val="568122C3"/>
    <w:rsid w:val="56837EB5"/>
    <w:rsid w:val="568BE180"/>
    <w:rsid w:val="569D2456"/>
    <w:rsid w:val="56A80950"/>
    <w:rsid w:val="56AA089A"/>
    <w:rsid w:val="56BA5C13"/>
    <w:rsid w:val="56F757EA"/>
    <w:rsid w:val="57074C92"/>
    <w:rsid w:val="572CBEE3"/>
    <w:rsid w:val="573E5039"/>
    <w:rsid w:val="574A91F8"/>
    <w:rsid w:val="574C8AA5"/>
    <w:rsid w:val="57702592"/>
    <w:rsid w:val="57734983"/>
    <w:rsid w:val="5774B65E"/>
    <w:rsid w:val="577B24C3"/>
    <w:rsid w:val="577DA398"/>
    <w:rsid w:val="5780C855"/>
    <w:rsid w:val="5793E7D3"/>
    <w:rsid w:val="579CDA8B"/>
    <w:rsid w:val="57A40EA3"/>
    <w:rsid w:val="57A44524"/>
    <w:rsid w:val="57AA76DC"/>
    <w:rsid w:val="57B0862E"/>
    <w:rsid w:val="57B6189D"/>
    <w:rsid w:val="57B7B3E3"/>
    <w:rsid w:val="57BBAFE5"/>
    <w:rsid w:val="57C81BD4"/>
    <w:rsid w:val="57D32A93"/>
    <w:rsid w:val="57D84746"/>
    <w:rsid w:val="57E08F80"/>
    <w:rsid w:val="57E4D6D2"/>
    <w:rsid w:val="57F2D66C"/>
    <w:rsid w:val="57FDEBCD"/>
    <w:rsid w:val="58063F17"/>
    <w:rsid w:val="5807DD62"/>
    <w:rsid w:val="580C6C44"/>
    <w:rsid w:val="58166471"/>
    <w:rsid w:val="582C0C27"/>
    <w:rsid w:val="58331D3F"/>
    <w:rsid w:val="583EC247"/>
    <w:rsid w:val="5842594C"/>
    <w:rsid w:val="58534A86"/>
    <w:rsid w:val="58620F0C"/>
    <w:rsid w:val="5865187F"/>
    <w:rsid w:val="5877A442"/>
    <w:rsid w:val="5893868F"/>
    <w:rsid w:val="589AF387"/>
    <w:rsid w:val="589EA212"/>
    <w:rsid w:val="58A0861A"/>
    <w:rsid w:val="58ABE827"/>
    <w:rsid w:val="58AD6EF6"/>
    <w:rsid w:val="58AFE4A1"/>
    <w:rsid w:val="58B331A1"/>
    <w:rsid w:val="58C34AA7"/>
    <w:rsid w:val="58C76A7E"/>
    <w:rsid w:val="58CBF522"/>
    <w:rsid w:val="58CE112A"/>
    <w:rsid w:val="58D25D76"/>
    <w:rsid w:val="58FFA554"/>
    <w:rsid w:val="592A84BE"/>
    <w:rsid w:val="5931D2C1"/>
    <w:rsid w:val="5935FF12"/>
    <w:rsid w:val="5952EF11"/>
    <w:rsid w:val="59755C03"/>
    <w:rsid w:val="59775143"/>
    <w:rsid w:val="597BFE63"/>
    <w:rsid w:val="598508E7"/>
    <w:rsid w:val="598936E2"/>
    <w:rsid w:val="599F7E26"/>
    <w:rsid w:val="59A39652"/>
    <w:rsid w:val="59A4FF87"/>
    <w:rsid w:val="59AA68EA"/>
    <w:rsid w:val="59ABDACB"/>
    <w:rsid w:val="59D03BD4"/>
    <w:rsid w:val="59E556DD"/>
    <w:rsid w:val="59F96005"/>
    <w:rsid w:val="5A10E6EB"/>
    <w:rsid w:val="5A215BA8"/>
    <w:rsid w:val="5A302F94"/>
    <w:rsid w:val="5A3500B1"/>
    <w:rsid w:val="5A5C5ABF"/>
    <w:rsid w:val="5A651AF1"/>
    <w:rsid w:val="5A973B57"/>
    <w:rsid w:val="5A9F543E"/>
    <w:rsid w:val="5AAB73BE"/>
    <w:rsid w:val="5ACC4EBC"/>
    <w:rsid w:val="5AD675C8"/>
    <w:rsid w:val="5AE2AD4C"/>
    <w:rsid w:val="5AE8047B"/>
    <w:rsid w:val="5AE8305D"/>
    <w:rsid w:val="5B012284"/>
    <w:rsid w:val="5B08C7BB"/>
    <w:rsid w:val="5B0F61F7"/>
    <w:rsid w:val="5B14B25A"/>
    <w:rsid w:val="5B667A8F"/>
    <w:rsid w:val="5B8DE15B"/>
    <w:rsid w:val="5BB43CEC"/>
    <w:rsid w:val="5BBB2F2C"/>
    <w:rsid w:val="5BBF1603"/>
    <w:rsid w:val="5BCD1D4D"/>
    <w:rsid w:val="5BDB5F60"/>
    <w:rsid w:val="5C1A8936"/>
    <w:rsid w:val="5C2E86BA"/>
    <w:rsid w:val="5C3B6E44"/>
    <w:rsid w:val="5C42B5BE"/>
    <w:rsid w:val="5C46DF74"/>
    <w:rsid w:val="5C4EB63A"/>
    <w:rsid w:val="5C64C14F"/>
    <w:rsid w:val="5C691AEA"/>
    <w:rsid w:val="5C692CFD"/>
    <w:rsid w:val="5C72BB8B"/>
    <w:rsid w:val="5C827185"/>
    <w:rsid w:val="5C8893FC"/>
    <w:rsid w:val="5C8A9E31"/>
    <w:rsid w:val="5C8BABF7"/>
    <w:rsid w:val="5CB07F00"/>
    <w:rsid w:val="5CB1E681"/>
    <w:rsid w:val="5CBFCABC"/>
    <w:rsid w:val="5CC44A8F"/>
    <w:rsid w:val="5CC45679"/>
    <w:rsid w:val="5CC783BF"/>
    <w:rsid w:val="5CCE62D9"/>
    <w:rsid w:val="5CE062F8"/>
    <w:rsid w:val="5CE3372B"/>
    <w:rsid w:val="5CE72C9D"/>
    <w:rsid w:val="5CE8AAD1"/>
    <w:rsid w:val="5CEB2739"/>
    <w:rsid w:val="5CF35F9E"/>
    <w:rsid w:val="5D102D38"/>
    <w:rsid w:val="5D1C94C7"/>
    <w:rsid w:val="5D233AD6"/>
    <w:rsid w:val="5D48CBD7"/>
    <w:rsid w:val="5D4F8F8C"/>
    <w:rsid w:val="5D5C6558"/>
    <w:rsid w:val="5D5E38D8"/>
    <w:rsid w:val="5D613DA9"/>
    <w:rsid w:val="5D672687"/>
    <w:rsid w:val="5D6AD702"/>
    <w:rsid w:val="5D9909D9"/>
    <w:rsid w:val="5D9A557C"/>
    <w:rsid w:val="5D9AC1A0"/>
    <w:rsid w:val="5DA4C6C5"/>
    <w:rsid w:val="5DADA311"/>
    <w:rsid w:val="5DD5AAC4"/>
    <w:rsid w:val="5DEF14A6"/>
    <w:rsid w:val="5DEFD55E"/>
    <w:rsid w:val="5DF6CB37"/>
    <w:rsid w:val="5E072D58"/>
    <w:rsid w:val="5E0EE360"/>
    <w:rsid w:val="5E183339"/>
    <w:rsid w:val="5E1C93E7"/>
    <w:rsid w:val="5E26AD20"/>
    <w:rsid w:val="5E37A88F"/>
    <w:rsid w:val="5E3AD72C"/>
    <w:rsid w:val="5E57528A"/>
    <w:rsid w:val="5E7598DB"/>
    <w:rsid w:val="5E819E66"/>
    <w:rsid w:val="5E8C50DD"/>
    <w:rsid w:val="5E8FAF85"/>
    <w:rsid w:val="5E916F02"/>
    <w:rsid w:val="5EC72CE3"/>
    <w:rsid w:val="5EDE9536"/>
    <w:rsid w:val="5EDFE9EB"/>
    <w:rsid w:val="5EFD9B23"/>
    <w:rsid w:val="5F1C4CA5"/>
    <w:rsid w:val="5F23BD8A"/>
    <w:rsid w:val="5F36344A"/>
    <w:rsid w:val="5F3ACECE"/>
    <w:rsid w:val="5F3F0810"/>
    <w:rsid w:val="5F5184AB"/>
    <w:rsid w:val="5F5A26C4"/>
    <w:rsid w:val="5F6B743B"/>
    <w:rsid w:val="5F78BCB9"/>
    <w:rsid w:val="5F824130"/>
    <w:rsid w:val="5F831AFB"/>
    <w:rsid w:val="5F8986C7"/>
    <w:rsid w:val="5F9F4503"/>
    <w:rsid w:val="5FA7E9A4"/>
    <w:rsid w:val="5FB9904F"/>
    <w:rsid w:val="5FB9FC70"/>
    <w:rsid w:val="5FBA55DC"/>
    <w:rsid w:val="5FD700A6"/>
    <w:rsid w:val="5FDFDC4B"/>
    <w:rsid w:val="5FEC570A"/>
    <w:rsid w:val="5FFCA69C"/>
    <w:rsid w:val="5FFD6150"/>
    <w:rsid w:val="60040738"/>
    <w:rsid w:val="600E0B93"/>
    <w:rsid w:val="6029155F"/>
    <w:rsid w:val="6032EFB9"/>
    <w:rsid w:val="60333DE0"/>
    <w:rsid w:val="60484BA7"/>
    <w:rsid w:val="604C5C66"/>
    <w:rsid w:val="604D585D"/>
    <w:rsid w:val="6055FF83"/>
    <w:rsid w:val="605A27F8"/>
    <w:rsid w:val="605F09B0"/>
    <w:rsid w:val="6065B3C2"/>
    <w:rsid w:val="606A538C"/>
    <w:rsid w:val="6071969C"/>
    <w:rsid w:val="6072D6F9"/>
    <w:rsid w:val="609FE2C9"/>
    <w:rsid w:val="60A0071A"/>
    <w:rsid w:val="60A2D611"/>
    <w:rsid w:val="60A73FB0"/>
    <w:rsid w:val="60D35D67"/>
    <w:rsid w:val="60F0D4ED"/>
    <w:rsid w:val="6114660D"/>
    <w:rsid w:val="6117367A"/>
    <w:rsid w:val="611FCF55"/>
    <w:rsid w:val="6123D3E0"/>
    <w:rsid w:val="6138A13C"/>
    <w:rsid w:val="61393B14"/>
    <w:rsid w:val="616B095F"/>
    <w:rsid w:val="616CBAEE"/>
    <w:rsid w:val="616FB7BE"/>
    <w:rsid w:val="6172F310"/>
    <w:rsid w:val="61812D6E"/>
    <w:rsid w:val="6194D152"/>
    <w:rsid w:val="61A65DD0"/>
    <w:rsid w:val="61A8F249"/>
    <w:rsid w:val="61C43B22"/>
    <w:rsid w:val="61C59924"/>
    <w:rsid w:val="61CA3A73"/>
    <w:rsid w:val="61CDDC81"/>
    <w:rsid w:val="61DD82BC"/>
    <w:rsid w:val="61F76E36"/>
    <w:rsid w:val="61FA881C"/>
    <w:rsid w:val="6213A795"/>
    <w:rsid w:val="6227FEDB"/>
    <w:rsid w:val="622830F8"/>
    <w:rsid w:val="622BC1BC"/>
    <w:rsid w:val="6237161B"/>
    <w:rsid w:val="623E8E20"/>
    <w:rsid w:val="625B5796"/>
    <w:rsid w:val="62619B0C"/>
    <w:rsid w:val="62694837"/>
    <w:rsid w:val="6276558C"/>
    <w:rsid w:val="62778566"/>
    <w:rsid w:val="627E69BF"/>
    <w:rsid w:val="6290D9FA"/>
    <w:rsid w:val="62A399B0"/>
    <w:rsid w:val="62AA6838"/>
    <w:rsid w:val="62B18447"/>
    <w:rsid w:val="62B56560"/>
    <w:rsid w:val="62B9DAA9"/>
    <w:rsid w:val="62C89AD1"/>
    <w:rsid w:val="62CA35BC"/>
    <w:rsid w:val="62CE027F"/>
    <w:rsid w:val="62D26EEC"/>
    <w:rsid w:val="62D79FBC"/>
    <w:rsid w:val="62EF01FC"/>
    <w:rsid w:val="62F3A503"/>
    <w:rsid w:val="630B858C"/>
    <w:rsid w:val="631097BF"/>
    <w:rsid w:val="6313E826"/>
    <w:rsid w:val="631EEA00"/>
    <w:rsid w:val="6323CED3"/>
    <w:rsid w:val="6329134C"/>
    <w:rsid w:val="6329E09B"/>
    <w:rsid w:val="632ED9D3"/>
    <w:rsid w:val="63311F8B"/>
    <w:rsid w:val="63340869"/>
    <w:rsid w:val="6341E48F"/>
    <w:rsid w:val="6342BE46"/>
    <w:rsid w:val="636E3AED"/>
    <w:rsid w:val="6377A88E"/>
    <w:rsid w:val="637A1C01"/>
    <w:rsid w:val="638DFF40"/>
    <w:rsid w:val="63932797"/>
    <w:rsid w:val="639FCA12"/>
    <w:rsid w:val="63B899C8"/>
    <w:rsid w:val="63C57208"/>
    <w:rsid w:val="63D34906"/>
    <w:rsid w:val="63DDB009"/>
    <w:rsid w:val="63E1065A"/>
    <w:rsid w:val="63F86BD8"/>
    <w:rsid w:val="63FDB290"/>
    <w:rsid w:val="642F68A5"/>
    <w:rsid w:val="643C15FF"/>
    <w:rsid w:val="648EE252"/>
    <w:rsid w:val="64914442"/>
    <w:rsid w:val="6492FA2A"/>
    <w:rsid w:val="64A8BF65"/>
    <w:rsid w:val="64D0529C"/>
    <w:rsid w:val="64ECD15B"/>
    <w:rsid w:val="64F5B835"/>
    <w:rsid w:val="6505E61D"/>
    <w:rsid w:val="650B5E04"/>
    <w:rsid w:val="652B23B1"/>
    <w:rsid w:val="653E1757"/>
    <w:rsid w:val="654F6786"/>
    <w:rsid w:val="6556991E"/>
    <w:rsid w:val="655890BF"/>
    <w:rsid w:val="65590C0A"/>
    <w:rsid w:val="65786111"/>
    <w:rsid w:val="658BDF9D"/>
    <w:rsid w:val="658BE635"/>
    <w:rsid w:val="6596C82F"/>
    <w:rsid w:val="65A335FC"/>
    <w:rsid w:val="65A336F2"/>
    <w:rsid w:val="65B8F866"/>
    <w:rsid w:val="65BCFD31"/>
    <w:rsid w:val="65C14C70"/>
    <w:rsid w:val="65C9D1CF"/>
    <w:rsid w:val="65DAB001"/>
    <w:rsid w:val="65DC9AEA"/>
    <w:rsid w:val="65E71E26"/>
    <w:rsid w:val="65EAE09E"/>
    <w:rsid w:val="65ECFF51"/>
    <w:rsid w:val="65ED3597"/>
    <w:rsid w:val="65F58640"/>
    <w:rsid w:val="660148F7"/>
    <w:rsid w:val="66250960"/>
    <w:rsid w:val="6636FCA2"/>
    <w:rsid w:val="66502FDB"/>
    <w:rsid w:val="665BD6AD"/>
    <w:rsid w:val="666120EC"/>
    <w:rsid w:val="666AE2E2"/>
    <w:rsid w:val="66797010"/>
    <w:rsid w:val="667A5431"/>
    <w:rsid w:val="6687D4DA"/>
    <w:rsid w:val="66886FED"/>
    <w:rsid w:val="668B7F7F"/>
    <w:rsid w:val="66A3E4E8"/>
    <w:rsid w:val="66A8C191"/>
    <w:rsid w:val="66B8C846"/>
    <w:rsid w:val="66C40B73"/>
    <w:rsid w:val="66F3BA0E"/>
    <w:rsid w:val="66F81FCD"/>
    <w:rsid w:val="66F82609"/>
    <w:rsid w:val="670255AE"/>
    <w:rsid w:val="670CF34F"/>
    <w:rsid w:val="671E66FE"/>
    <w:rsid w:val="67415F41"/>
    <w:rsid w:val="6754BDDA"/>
    <w:rsid w:val="675C5371"/>
    <w:rsid w:val="675E4171"/>
    <w:rsid w:val="677D7B53"/>
    <w:rsid w:val="6791730C"/>
    <w:rsid w:val="67A565C1"/>
    <w:rsid w:val="67B5A0BF"/>
    <w:rsid w:val="67BA5259"/>
    <w:rsid w:val="67C35F5A"/>
    <w:rsid w:val="67C7F471"/>
    <w:rsid w:val="67C9F63B"/>
    <w:rsid w:val="67CF4DD7"/>
    <w:rsid w:val="67D4D898"/>
    <w:rsid w:val="67E4A031"/>
    <w:rsid w:val="67E7D73B"/>
    <w:rsid w:val="67FF7719"/>
    <w:rsid w:val="682A98D2"/>
    <w:rsid w:val="682A9A1F"/>
    <w:rsid w:val="683C7F03"/>
    <w:rsid w:val="68403E1D"/>
    <w:rsid w:val="684DC7FE"/>
    <w:rsid w:val="6852BE4C"/>
    <w:rsid w:val="685FFDFB"/>
    <w:rsid w:val="6869ED76"/>
    <w:rsid w:val="686ED5FA"/>
    <w:rsid w:val="687892BC"/>
    <w:rsid w:val="68900AA8"/>
    <w:rsid w:val="68985D5C"/>
    <w:rsid w:val="68AA8377"/>
    <w:rsid w:val="68B2EAE9"/>
    <w:rsid w:val="68BBE83E"/>
    <w:rsid w:val="68C6E563"/>
    <w:rsid w:val="68DA8E35"/>
    <w:rsid w:val="68E90D84"/>
    <w:rsid w:val="68EDCA1C"/>
    <w:rsid w:val="68F06E38"/>
    <w:rsid w:val="68F721E2"/>
    <w:rsid w:val="6903ED77"/>
    <w:rsid w:val="692C8C35"/>
    <w:rsid w:val="6953505A"/>
    <w:rsid w:val="6956BD5D"/>
    <w:rsid w:val="6963A7BD"/>
    <w:rsid w:val="69A00537"/>
    <w:rsid w:val="69A66BB2"/>
    <w:rsid w:val="69AADC5C"/>
    <w:rsid w:val="69B3C3A6"/>
    <w:rsid w:val="69BFDDA0"/>
    <w:rsid w:val="69F1ED26"/>
    <w:rsid w:val="69F2C342"/>
    <w:rsid w:val="69F61D60"/>
    <w:rsid w:val="69F69F48"/>
    <w:rsid w:val="69FB40E3"/>
    <w:rsid w:val="69FE9256"/>
    <w:rsid w:val="6A115CCA"/>
    <w:rsid w:val="6A15F5E1"/>
    <w:rsid w:val="6A216576"/>
    <w:rsid w:val="6A217AB9"/>
    <w:rsid w:val="6A34D116"/>
    <w:rsid w:val="6A35DFF5"/>
    <w:rsid w:val="6A532006"/>
    <w:rsid w:val="6A601A2D"/>
    <w:rsid w:val="6A675B1B"/>
    <w:rsid w:val="6A6D3F51"/>
    <w:rsid w:val="6A6DACAA"/>
    <w:rsid w:val="6A7AA369"/>
    <w:rsid w:val="6A7EEF3C"/>
    <w:rsid w:val="6A826448"/>
    <w:rsid w:val="6A865A7C"/>
    <w:rsid w:val="6A8E31FE"/>
    <w:rsid w:val="6A9AFAF8"/>
    <w:rsid w:val="6AA0D8D6"/>
    <w:rsid w:val="6AA182BD"/>
    <w:rsid w:val="6AAB5F61"/>
    <w:rsid w:val="6ACCCB97"/>
    <w:rsid w:val="6ADB4A96"/>
    <w:rsid w:val="6AE2A12A"/>
    <w:rsid w:val="6AE63B8F"/>
    <w:rsid w:val="6AF76180"/>
    <w:rsid w:val="6AF78EFA"/>
    <w:rsid w:val="6B053BF1"/>
    <w:rsid w:val="6B07C2FC"/>
    <w:rsid w:val="6B19DB80"/>
    <w:rsid w:val="6B2794AD"/>
    <w:rsid w:val="6B2E9BA4"/>
    <w:rsid w:val="6B3AD065"/>
    <w:rsid w:val="6B424225"/>
    <w:rsid w:val="6B4A05FA"/>
    <w:rsid w:val="6B727EE6"/>
    <w:rsid w:val="6BB26DAF"/>
    <w:rsid w:val="6BB55400"/>
    <w:rsid w:val="6BBA70E0"/>
    <w:rsid w:val="6BBB7843"/>
    <w:rsid w:val="6BBF94FA"/>
    <w:rsid w:val="6BCB987E"/>
    <w:rsid w:val="6BD9C9D4"/>
    <w:rsid w:val="6BDB6891"/>
    <w:rsid w:val="6BE8E6D9"/>
    <w:rsid w:val="6BF11BCC"/>
    <w:rsid w:val="6C056F77"/>
    <w:rsid w:val="6C188379"/>
    <w:rsid w:val="6C18B553"/>
    <w:rsid w:val="6C24EA86"/>
    <w:rsid w:val="6C26B1D3"/>
    <w:rsid w:val="6C2A6D76"/>
    <w:rsid w:val="6C2C0625"/>
    <w:rsid w:val="6C2EE775"/>
    <w:rsid w:val="6C3F4B9D"/>
    <w:rsid w:val="6C4140D0"/>
    <w:rsid w:val="6C43083B"/>
    <w:rsid w:val="6C4FDEEC"/>
    <w:rsid w:val="6C6EF674"/>
    <w:rsid w:val="6C8E4CC0"/>
    <w:rsid w:val="6C90CA17"/>
    <w:rsid w:val="6CA65056"/>
    <w:rsid w:val="6CA75FD6"/>
    <w:rsid w:val="6CAF5B9C"/>
    <w:rsid w:val="6CCEF00D"/>
    <w:rsid w:val="6CF6DD0B"/>
    <w:rsid w:val="6D0735D0"/>
    <w:rsid w:val="6D0A3C8C"/>
    <w:rsid w:val="6D148AF5"/>
    <w:rsid w:val="6D1DE81B"/>
    <w:rsid w:val="6D22C911"/>
    <w:rsid w:val="6D445E68"/>
    <w:rsid w:val="6D54C041"/>
    <w:rsid w:val="6D596A34"/>
    <w:rsid w:val="6D657E72"/>
    <w:rsid w:val="6D8E9FAC"/>
    <w:rsid w:val="6D902DC1"/>
    <w:rsid w:val="6D958732"/>
    <w:rsid w:val="6D96ABD6"/>
    <w:rsid w:val="6D9B9EAE"/>
    <w:rsid w:val="6DA2A75C"/>
    <w:rsid w:val="6DA6CB04"/>
    <w:rsid w:val="6DB49B57"/>
    <w:rsid w:val="6DB87B4D"/>
    <w:rsid w:val="6DD5B153"/>
    <w:rsid w:val="6DD83569"/>
    <w:rsid w:val="6DD9C616"/>
    <w:rsid w:val="6DF05256"/>
    <w:rsid w:val="6DFA9401"/>
    <w:rsid w:val="6DFBF4D1"/>
    <w:rsid w:val="6E0DE51B"/>
    <w:rsid w:val="6E29C0B0"/>
    <w:rsid w:val="6E321344"/>
    <w:rsid w:val="6E3A70E3"/>
    <w:rsid w:val="6E42B439"/>
    <w:rsid w:val="6E52D434"/>
    <w:rsid w:val="6E5E016F"/>
    <w:rsid w:val="6E63B120"/>
    <w:rsid w:val="6E6EBEA4"/>
    <w:rsid w:val="6E7A147F"/>
    <w:rsid w:val="6E90673C"/>
    <w:rsid w:val="6E956820"/>
    <w:rsid w:val="6EA60592"/>
    <w:rsid w:val="6EADA725"/>
    <w:rsid w:val="6EC5EC45"/>
    <w:rsid w:val="6ED34234"/>
    <w:rsid w:val="6ED471D9"/>
    <w:rsid w:val="6ED4BBEC"/>
    <w:rsid w:val="6EE0379B"/>
    <w:rsid w:val="6EE46C42"/>
    <w:rsid w:val="6EF71745"/>
    <w:rsid w:val="6F15BB93"/>
    <w:rsid w:val="6F1DD2C4"/>
    <w:rsid w:val="6F1EC7E1"/>
    <w:rsid w:val="6F39F887"/>
    <w:rsid w:val="6F429852"/>
    <w:rsid w:val="6F59A345"/>
    <w:rsid w:val="6F61EC66"/>
    <w:rsid w:val="6F638E14"/>
    <w:rsid w:val="6F6FBF1F"/>
    <w:rsid w:val="6F78411B"/>
    <w:rsid w:val="6F8D6DB1"/>
    <w:rsid w:val="6F9A3AAD"/>
    <w:rsid w:val="6FB2116A"/>
    <w:rsid w:val="6FB75E28"/>
    <w:rsid w:val="6FCD24CD"/>
    <w:rsid w:val="6FD6B2F0"/>
    <w:rsid w:val="6FDA1908"/>
    <w:rsid w:val="6FE1CB91"/>
    <w:rsid w:val="6FE77D45"/>
    <w:rsid w:val="6FEAD2F8"/>
    <w:rsid w:val="6FEDED8E"/>
    <w:rsid w:val="6FF31759"/>
    <w:rsid w:val="700607F1"/>
    <w:rsid w:val="700C0791"/>
    <w:rsid w:val="7011E30A"/>
    <w:rsid w:val="70162D9B"/>
    <w:rsid w:val="701FA1D5"/>
    <w:rsid w:val="703984B6"/>
    <w:rsid w:val="703986B9"/>
    <w:rsid w:val="703E1A7B"/>
    <w:rsid w:val="70459CD4"/>
    <w:rsid w:val="70512D4F"/>
    <w:rsid w:val="7059218A"/>
    <w:rsid w:val="705F3599"/>
    <w:rsid w:val="706FC322"/>
    <w:rsid w:val="7075659F"/>
    <w:rsid w:val="707EE995"/>
    <w:rsid w:val="707F5157"/>
    <w:rsid w:val="70809810"/>
    <w:rsid w:val="7091371A"/>
    <w:rsid w:val="70C8855B"/>
    <w:rsid w:val="70DC40D0"/>
    <w:rsid w:val="7117851E"/>
    <w:rsid w:val="71303F74"/>
    <w:rsid w:val="713CE38D"/>
    <w:rsid w:val="71570342"/>
    <w:rsid w:val="7163CFC6"/>
    <w:rsid w:val="717051BC"/>
    <w:rsid w:val="7175DD52"/>
    <w:rsid w:val="717941D6"/>
    <w:rsid w:val="7180C7E4"/>
    <w:rsid w:val="71928EF4"/>
    <w:rsid w:val="71AE4018"/>
    <w:rsid w:val="71AFD429"/>
    <w:rsid w:val="71B1F0F2"/>
    <w:rsid w:val="71B61E24"/>
    <w:rsid w:val="720CA2C9"/>
    <w:rsid w:val="7219004D"/>
    <w:rsid w:val="722349F5"/>
    <w:rsid w:val="7225A215"/>
    <w:rsid w:val="722C00D3"/>
    <w:rsid w:val="723BEEDB"/>
    <w:rsid w:val="724BFEDC"/>
    <w:rsid w:val="725FCCFD"/>
    <w:rsid w:val="7271B6A1"/>
    <w:rsid w:val="7273E19C"/>
    <w:rsid w:val="7278F50D"/>
    <w:rsid w:val="727A664F"/>
    <w:rsid w:val="7293A3AE"/>
    <w:rsid w:val="729517AF"/>
    <w:rsid w:val="72980A80"/>
    <w:rsid w:val="72A3BD0E"/>
    <w:rsid w:val="72A95E9C"/>
    <w:rsid w:val="72C52F11"/>
    <w:rsid w:val="72CB8AF4"/>
    <w:rsid w:val="72E02DBE"/>
    <w:rsid w:val="72E6FFCE"/>
    <w:rsid w:val="7300140D"/>
    <w:rsid w:val="73262ADD"/>
    <w:rsid w:val="73281409"/>
    <w:rsid w:val="734181D3"/>
    <w:rsid w:val="735CFD4D"/>
    <w:rsid w:val="737151DC"/>
    <w:rsid w:val="738C379F"/>
    <w:rsid w:val="739AE1D8"/>
    <w:rsid w:val="73AC4237"/>
    <w:rsid w:val="73BEEE8F"/>
    <w:rsid w:val="73C05622"/>
    <w:rsid w:val="73C2227C"/>
    <w:rsid w:val="73C58D4E"/>
    <w:rsid w:val="73D81C3E"/>
    <w:rsid w:val="73E1E71F"/>
    <w:rsid w:val="73E39BD5"/>
    <w:rsid w:val="73F189D5"/>
    <w:rsid w:val="742F303A"/>
    <w:rsid w:val="7438EE76"/>
    <w:rsid w:val="7446507B"/>
    <w:rsid w:val="745AD1D2"/>
    <w:rsid w:val="74666AF2"/>
    <w:rsid w:val="746CF8F6"/>
    <w:rsid w:val="747D32F8"/>
    <w:rsid w:val="74B28DC6"/>
    <w:rsid w:val="74C1361E"/>
    <w:rsid w:val="74C27331"/>
    <w:rsid w:val="74C78AD6"/>
    <w:rsid w:val="74D1556F"/>
    <w:rsid w:val="74DE4E46"/>
    <w:rsid w:val="74E8D7BE"/>
    <w:rsid w:val="74F41E75"/>
    <w:rsid w:val="752704F9"/>
    <w:rsid w:val="753447EA"/>
    <w:rsid w:val="7536A585"/>
    <w:rsid w:val="75464324"/>
    <w:rsid w:val="754DE95C"/>
    <w:rsid w:val="755B9F0A"/>
    <w:rsid w:val="756899FE"/>
    <w:rsid w:val="756B3B0C"/>
    <w:rsid w:val="75735289"/>
    <w:rsid w:val="757EBF0E"/>
    <w:rsid w:val="757FC070"/>
    <w:rsid w:val="758B920C"/>
    <w:rsid w:val="75944361"/>
    <w:rsid w:val="7596DA32"/>
    <w:rsid w:val="75983F22"/>
    <w:rsid w:val="75A18AD9"/>
    <w:rsid w:val="75B97337"/>
    <w:rsid w:val="75CFCB3C"/>
    <w:rsid w:val="75D5DAA7"/>
    <w:rsid w:val="75D8AD7C"/>
    <w:rsid w:val="75DE9BCC"/>
    <w:rsid w:val="75F548C9"/>
    <w:rsid w:val="75FD59B0"/>
    <w:rsid w:val="75FEB5D3"/>
    <w:rsid w:val="762992CD"/>
    <w:rsid w:val="762A5AA1"/>
    <w:rsid w:val="762F68A8"/>
    <w:rsid w:val="7630B79D"/>
    <w:rsid w:val="76413693"/>
    <w:rsid w:val="765D7676"/>
    <w:rsid w:val="765FA4B8"/>
    <w:rsid w:val="76637041"/>
    <w:rsid w:val="766D6A5F"/>
    <w:rsid w:val="7672A110"/>
    <w:rsid w:val="76812301"/>
    <w:rsid w:val="768A8288"/>
    <w:rsid w:val="768CD5A4"/>
    <w:rsid w:val="76B299A5"/>
    <w:rsid w:val="76BD4ADF"/>
    <w:rsid w:val="76C3BFAC"/>
    <w:rsid w:val="76C529A9"/>
    <w:rsid w:val="76CCFE8C"/>
    <w:rsid w:val="76D056A1"/>
    <w:rsid w:val="76D6ED97"/>
    <w:rsid w:val="76DE11D7"/>
    <w:rsid w:val="76DE697E"/>
    <w:rsid w:val="76E5FA47"/>
    <w:rsid w:val="76EE8A62"/>
    <w:rsid w:val="7713A3DC"/>
    <w:rsid w:val="77158733"/>
    <w:rsid w:val="77202585"/>
    <w:rsid w:val="77351525"/>
    <w:rsid w:val="773588E0"/>
    <w:rsid w:val="77463CFD"/>
    <w:rsid w:val="7760246B"/>
    <w:rsid w:val="77789E0D"/>
    <w:rsid w:val="777C419C"/>
    <w:rsid w:val="7788E3B5"/>
    <w:rsid w:val="778E050E"/>
    <w:rsid w:val="7793B69F"/>
    <w:rsid w:val="7794363D"/>
    <w:rsid w:val="77A12289"/>
    <w:rsid w:val="77A2A559"/>
    <w:rsid w:val="77C6C0B8"/>
    <w:rsid w:val="77CDFA4E"/>
    <w:rsid w:val="77EEC80D"/>
    <w:rsid w:val="78146DCE"/>
    <w:rsid w:val="7818D1F3"/>
    <w:rsid w:val="7832AE20"/>
    <w:rsid w:val="78522336"/>
    <w:rsid w:val="78552F79"/>
    <w:rsid w:val="785560D2"/>
    <w:rsid w:val="78563505"/>
    <w:rsid w:val="786585D6"/>
    <w:rsid w:val="787CF399"/>
    <w:rsid w:val="7896EA8B"/>
    <w:rsid w:val="78A01C9C"/>
    <w:rsid w:val="78A6F75C"/>
    <w:rsid w:val="78B27F99"/>
    <w:rsid w:val="78B76AB9"/>
    <w:rsid w:val="78B98843"/>
    <w:rsid w:val="78C244C6"/>
    <w:rsid w:val="78C30D66"/>
    <w:rsid w:val="78C52747"/>
    <w:rsid w:val="78CED4DE"/>
    <w:rsid w:val="78D8007F"/>
    <w:rsid w:val="78DE0ED0"/>
    <w:rsid w:val="78E38FAF"/>
    <w:rsid w:val="78F11685"/>
    <w:rsid w:val="78FDB032"/>
    <w:rsid w:val="78FE2969"/>
    <w:rsid w:val="790A651C"/>
    <w:rsid w:val="791CDE87"/>
    <w:rsid w:val="792D18AB"/>
    <w:rsid w:val="7932461D"/>
    <w:rsid w:val="793B9601"/>
    <w:rsid w:val="793EA048"/>
    <w:rsid w:val="796202C4"/>
    <w:rsid w:val="79675F08"/>
    <w:rsid w:val="796EBF26"/>
    <w:rsid w:val="79822682"/>
    <w:rsid w:val="798A899E"/>
    <w:rsid w:val="7990A083"/>
    <w:rsid w:val="79A95FD6"/>
    <w:rsid w:val="79B66E6A"/>
    <w:rsid w:val="79CCCF65"/>
    <w:rsid w:val="79CDDBBD"/>
    <w:rsid w:val="79DF4EF8"/>
    <w:rsid w:val="79E0C62C"/>
    <w:rsid w:val="79EACD3E"/>
    <w:rsid w:val="79FABA74"/>
    <w:rsid w:val="7A04C6B5"/>
    <w:rsid w:val="7A0F0EE7"/>
    <w:rsid w:val="7A1650F1"/>
    <w:rsid w:val="7A1B4D9D"/>
    <w:rsid w:val="7A287468"/>
    <w:rsid w:val="7A2CD5AE"/>
    <w:rsid w:val="7A30F493"/>
    <w:rsid w:val="7A3BAB19"/>
    <w:rsid w:val="7A453499"/>
    <w:rsid w:val="7A54343A"/>
    <w:rsid w:val="7A5F4F3D"/>
    <w:rsid w:val="7A65A459"/>
    <w:rsid w:val="7A68EEBA"/>
    <w:rsid w:val="7A6DC031"/>
    <w:rsid w:val="7A787F75"/>
    <w:rsid w:val="7A7A610C"/>
    <w:rsid w:val="7A82D02B"/>
    <w:rsid w:val="7A90293A"/>
    <w:rsid w:val="7AC59401"/>
    <w:rsid w:val="7ACA213C"/>
    <w:rsid w:val="7AD82009"/>
    <w:rsid w:val="7AE65612"/>
    <w:rsid w:val="7AE8F4D9"/>
    <w:rsid w:val="7B1CE6F4"/>
    <w:rsid w:val="7B2D5A32"/>
    <w:rsid w:val="7B49D461"/>
    <w:rsid w:val="7B5C125E"/>
    <w:rsid w:val="7B5CF716"/>
    <w:rsid w:val="7B6B0ECF"/>
    <w:rsid w:val="7B6C3F3A"/>
    <w:rsid w:val="7B6E3FA0"/>
    <w:rsid w:val="7BB087BB"/>
    <w:rsid w:val="7BB3E24A"/>
    <w:rsid w:val="7BBE7A82"/>
    <w:rsid w:val="7BCC4004"/>
    <w:rsid w:val="7BCCD8E8"/>
    <w:rsid w:val="7BE1ED86"/>
    <w:rsid w:val="7BFFF8CE"/>
    <w:rsid w:val="7C25B8C2"/>
    <w:rsid w:val="7C29BD97"/>
    <w:rsid w:val="7C3BE46F"/>
    <w:rsid w:val="7C4B0FAC"/>
    <w:rsid w:val="7C50A524"/>
    <w:rsid w:val="7CCD7D06"/>
    <w:rsid w:val="7CD2313D"/>
    <w:rsid w:val="7CE22821"/>
    <w:rsid w:val="7CE6AB43"/>
    <w:rsid w:val="7CE9357F"/>
    <w:rsid w:val="7CF0E42C"/>
    <w:rsid w:val="7D009B43"/>
    <w:rsid w:val="7D032F8F"/>
    <w:rsid w:val="7D129E89"/>
    <w:rsid w:val="7D15BB45"/>
    <w:rsid w:val="7D1BAFA1"/>
    <w:rsid w:val="7D1C030B"/>
    <w:rsid w:val="7D35320E"/>
    <w:rsid w:val="7D36139B"/>
    <w:rsid w:val="7D3B591F"/>
    <w:rsid w:val="7D40A68D"/>
    <w:rsid w:val="7D44D416"/>
    <w:rsid w:val="7D5A277B"/>
    <w:rsid w:val="7D5DF02A"/>
    <w:rsid w:val="7D68536D"/>
    <w:rsid w:val="7D6B9570"/>
    <w:rsid w:val="7D732181"/>
    <w:rsid w:val="7D7707E5"/>
    <w:rsid w:val="7D8FF518"/>
    <w:rsid w:val="7D930707"/>
    <w:rsid w:val="7D98A1F4"/>
    <w:rsid w:val="7D98F769"/>
    <w:rsid w:val="7DE48EE0"/>
    <w:rsid w:val="7DEB7E7B"/>
    <w:rsid w:val="7DEF75EC"/>
    <w:rsid w:val="7DFA021A"/>
    <w:rsid w:val="7DFCA199"/>
    <w:rsid w:val="7E064717"/>
    <w:rsid w:val="7E196404"/>
    <w:rsid w:val="7E32E97F"/>
    <w:rsid w:val="7E36F073"/>
    <w:rsid w:val="7E3BAF69"/>
    <w:rsid w:val="7E3CFC55"/>
    <w:rsid w:val="7E4CA236"/>
    <w:rsid w:val="7E5C1F3C"/>
    <w:rsid w:val="7E6AF447"/>
    <w:rsid w:val="7E6E2927"/>
    <w:rsid w:val="7E805566"/>
    <w:rsid w:val="7E8803D8"/>
    <w:rsid w:val="7E951DF9"/>
    <w:rsid w:val="7E9993B4"/>
    <w:rsid w:val="7E99CF02"/>
    <w:rsid w:val="7EA75874"/>
    <w:rsid w:val="7EB47E6D"/>
    <w:rsid w:val="7EB5F7CC"/>
    <w:rsid w:val="7EBCE435"/>
    <w:rsid w:val="7F04A0C1"/>
    <w:rsid w:val="7F11DD3D"/>
    <w:rsid w:val="7F21A699"/>
    <w:rsid w:val="7F39B017"/>
    <w:rsid w:val="7F469831"/>
    <w:rsid w:val="7F47E684"/>
    <w:rsid w:val="7F498282"/>
    <w:rsid w:val="7F66BA33"/>
    <w:rsid w:val="7F7042CE"/>
    <w:rsid w:val="7F71653C"/>
    <w:rsid w:val="7F78F998"/>
    <w:rsid w:val="7F7CEC38"/>
    <w:rsid w:val="7F836119"/>
    <w:rsid w:val="7F8379A4"/>
    <w:rsid w:val="7F88CF3F"/>
    <w:rsid w:val="7F8FB0B6"/>
    <w:rsid w:val="7F9432F0"/>
    <w:rsid w:val="7F949017"/>
    <w:rsid w:val="7FBB6AB4"/>
    <w:rsid w:val="7FD6F6CC"/>
    <w:rsid w:val="7FEDE98A"/>
    <w:rsid w:val="7FF037DC"/>
    <w:rsid w:val="7FF65FCF"/>
    <w:rsid w:val="7FF8B99F"/>
    <w:rsid w:val="7FFD4CAB"/>
    <w:rsid w:val="7FFF773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B8D7"/>
  <w15:docId w15:val="{32CB636F-8FC9-414F-B7B4-5A016D2A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7E32E97F"/>
    <w:pPr>
      <w:spacing w:after="120" w:line="264" w:lineRule="auto"/>
    </w:pPr>
    <w:rPr>
      <w:rFonts w:ascii="Arial" w:hAnsi="Arial"/>
      <w:lang w:eastAsia="sl-SI"/>
    </w:rPr>
  </w:style>
  <w:style w:type="paragraph" w:styleId="Naslov10">
    <w:name w:val="heading 1"/>
    <w:basedOn w:val="Navaden"/>
    <w:next w:val="Navaden"/>
    <w:uiPriority w:val="9"/>
    <w:qFormat/>
    <w:rsid w:val="7E32E97F"/>
    <w:pPr>
      <w:keepNext/>
      <w:keepLines/>
      <w:numPr>
        <w:numId w:val="40"/>
      </w:numPr>
      <w:pBdr>
        <w:bottom w:val="single" w:sz="4" w:space="1" w:color="5B9BD5"/>
      </w:pBdr>
      <w:spacing w:before="400" w:after="40"/>
      <w:jc w:val="both"/>
      <w:outlineLvl w:val="0"/>
    </w:pPr>
    <w:rPr>
      <w:rFonts w:eastAsia="SimSun"/>
      <w:b/>
      <w:bCs/>
      <w:caps/>
      <w:color w:val="4472C4" w:themeColor="accent1"/>
      <w:sz w:val="24"/>
      <w:szCs w:val="24"/>
    </w:rPr>
  </w:style>
  <w:style w:type="paragraph" w:styleId="Naslov2">
    <w:name w:val="heading 2"/>
    <w:basedOn w:val="Navaden"/>
    <w:next w:val="Navaden"/>
    <w:uiPriority w:val="9"/>
    <w:unhideWhenUsed/>
    <w:qFormat/>
    <w:rsid w:val="7E32E97F"/>
    <w:pPr>
      <w:keepNext/>
      <w:keepLines/>
      <w:numPr>
        <w:ilvl w:val="1"/>
        <w:numId w:val="40"/>
      </w:numPr>
      <w:spacing w:before="160" w:after="0"/>
      <w:jc w:val="both"/>
      <w:outlineLvl w:val="1"/>
    </w:pPr>
    <w:rPr>
      <w:rFonts w:eastAsia="SimSun"/>
      <w:b/>
      <w:bCs/>
      <w:color w:val="4472C4" w:themeColor="accent1"/>
      <w:sz w:val="24"/>
      <w:szCs w:val="24"/>
    </w:rPr>
  </w:style>
  <w:style w:type="paragraph" w:styleId="Naslov3">
    <w:name w:val="heading 3"/>
    <w:basedOn w:val="Navaden"/>
    <w:next w:val="Navaden"/>
    <w:uiPriority w:val="9"/>
    <w:unhideWhenUsed/>
    <w:qFormat/>
    <w:rsid w:val="7E32E97F"/>
    <w:pPr>
      <w:keepNext/>
      <w:keepLines/>
      <w:numPr>
        <w:ilvl w:val="2"/>
        <w:numId w:val="40"/>
      </w:numPr>
      <w:spacing w:after="0"/>
      <w:jc w:val="both"/>
      <w:outlineLvl w:val="2"/>
    </w:pPr>
    <w:rPr>
      <w:rFonts w:eastAsia="SimSun"/>
      <w:color w:val="4472C4" w:themeColor="accent1"/>
      <w:sz w:val="24"/>
      <w:szCs w:val="24"/>
    </w:rPr>
  </w:style>
  <w:style w:type="paragraph" w:styleId="Naslov4">
    <w:name w:val="heading 4"/>
    <w:basedOn w:val="Navaden"/>
    <w:next w:val="Navaden"/>
    <w:uiPriority w:val="9"/>
    <w:unhideWhenUsed/>
    <w:qFormat/>
    <w:rsid w:val="7E32E97F"/>
    <w:pPr>
      <w:keepNext/>
      <w:keepLines/>
      <w:numPr>
        <w:ilvl w:val="3"/>
        <w:numId w:val="40"/>
      </w:numPr>
      <w:spacing w:before="80" w:after="0"/>
      <w:jc w:val="both"/>
      <w:outlineLvl w:val="3"/>
    </w:pPr>
    <w:rPr>
      <w:rFonts w:eastAsia="SimSun"/>
      <w:i/>
      <w:iCs/>
      <w:color w:val="4472C4" w:themeColor="accent1"/>
      <w:sz w:val="24"/>
      <w:szCs w:val="24"/>
    </w:rPr>
  </w:style>
  <w:style w:type="paragraph" w:styleId="Naslov5">
    <w:name w:val="heading 5"/>
    <w:basedOn w:val="Navaden"/>
    <w:next w:val="Navaden"/>
    <w:uiPriority w:val="9"/>
    <w:unhideWhenUsed/>
    <w:qFormat/>
    <w:rsid w:val="7E32E97F"/>
    <w:pPr>
      <w:keepNext/>
      <w:keepLines/>
      <w:numPr>
        <w:ilvl w:val="4"/>
        <w:numId w:val="40"/>
      </w:numPr>
      <w:spacing w:before="80" w:after="0"/>
      <w:jc w:val="both"/>
      <w:outlineLvl w:val="4"/>
    </w:pPr>
    <w:rPr>
      <w:rFonts w:eastAsia="SimSun"/>
      <w:i/>
      <w:iCs/>
    </w:rPr>
  </w:style>
  <w:style w:type="paragraph" w:styleId="Naslov6">
    <w:name w:val="heading 6"/>
    <w:basedOn w:val="Navaden"/>
    <w:next w:val="Navaden"/>
    <w:uiPriority w:val="9"/>
    <w:semiHidden/>
    <w:unhideWhenUsed/>
    <w:qFormat/>
    <w:rsid w:val="7E32E97F"/>
    <w:pPr>
      <w:keepNext/>
      <w:keepLines/>
      <w:numPr>
        <w:ilvl w:val="5"/>
        <w:numId w:val="40"/>
      </w:numPr>
      <w:spacing w:before="80" w:after="0"/>
      <w:outlineLvl w:val="5"/>
    </w:pPr>
    <w:rPr>
      <w:rFonts w:ascii="Calibri Light" w:eastAsia="SimSun" w:hAnsi="Calibri Light"/>
      <w:color w:val="595959" w:themeColor="text1" w:themeTint="A6"/>
    </w:rPr>
  </w:style>
  <w:style w:type="paragraph" w:styleId="Naslov7">
    <w:name w:val="heading 7"/>
    <w:basedOn w:val="Navaden"/>
    <w:next w:val="Navaden"/>
    <w:uiPriority w:val="1"/>
    <w:rsid w:val="7E32E97F"/>
    <w:pPr>
      <w:keepNext/>
      <w:keepLines/>
      <w:numPr>
        <w:ilvl w:val="6"/>
        <w:numId w:val="40"/>
      </w:numPr>
      <w:spacing w:before="80" w:after="0"/>
      <w:outlineLvl w:val="6"/>
    </w:pPr>
    <w:rPr>
      <w:rFonts w:ascii="Calibri Light" w:eastAsia="SimSun" w:hAnsi="Calibri Light"/>
      <w:i/>
      <w:iCs/>
      <w:color w:val="595959" w:themeColor="text1" w:themeTint="A6"/>
    </w:rPr>
  </w:style>
  <w:style w:type="paragraph" w:styleId="Naslov8">
    <w:name w:val="heading 8"/>
    <w:basedOn w:val="Navaden"/>
    <w:next w:val="Navaden"/>
    <w:uiPriority w:val="1"/>
    <w:rsid w:val="7E32E97F"/>
    <w:pPr>
      <w:keepNext/>
      <w:keepLines/>
      <w:numPr>
        <w:ilvl w:val="7"/>
        <w:numId w:val="40"/>
      </w:numPr>
      <w:spacing w:before="80" w:after="0"/>
      <w:outlineLvl w:val="7"/>
    </w:pPr>
    <w:rPr>
      <w:rFonts w:ascii="Calibri Light" w:eastAsia="SimSun" w:hAnsi="Calibri Light"/>
      <w:smallCaps/>
      <w:color w:val="595959" w:themeColor="text1" w:themeTint="A6"/>
    </w:rPr>
  </w:style>
  <w:style w:type="paragraph" w:styleId="Naslov9">
    <w:name w:val="heading 9"/>
    <w:basedOn w:val="Navaden"/>
    <w:next w:val="Navaden"/>
    <w:uiPriority w:val="1"/>
    <w:rsid w:val="7E32E97F"/>
    <w:pPr>
      <w:keepNext/>
      <w:keepLines/>
      <w:numPr>
        <w:ilvl w:val="8"/>
        <w:numId w:val="40"/>
      </w:numPr>
      <w:spacing w:before="80" w:after="0"/>
      <w:outlineLvl w:val="8"/>
    </w:pPr>
    <w:rPr>
      <w:rFonts w:ascii="Calibri Light" w:eastAsia="SimSun" w:hAnsi="Calibri Light"/>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ek">
    <w:name w:val="Odsek"/>
    <w:basedOn w:val="Navaden"/>
    <w:uiPriority w:val="1"/>
    <w:rsid w:val="7E32E97F"/>
    <w:pPr>
      <w:keepNext/>
      <w:tabs>
        <w:tab w:val="left" w:pos="567"/>
      </w:tabs>
      <w:spacing w:before="240" w:after="60"/>
      <w:jc w:val="both"/>
      <w:outlineLvl w:val="1"/>
    </w:pPr>
    <w:rPr>
      <w:rFonts w:eastAsia="SimSun"/>
      <w:sz w:val="22"/>
      <w:szCs w:val="22"/>
      <w:lang w:eastAsia="zh-CN"/>
    </w:rPr>
  </w:style>
  <w:style w:type="paragraph" w:customStyle="1" w:styleId="Poglavje">
    <w:name w:val="Poglavje"/>
    <w:basedOn w:val="Navaden"/>
    <w:uiPriority w:val="1"/>
    <w:rsid w:val="7E32E97F"/>
    <w:pPr>
      <w:spacing w:before="360" w:after="60" w:line="200" w:lineRule="exact"/>
      <w:jc w:val="center"/>
      <w:outlineLvl w:val="3"/>
    </w:pPr>
    <w:rPr>
      <w:rFonts w:cs="Arial"/>
      <w:b/>
      <w:bCs/>
      <w:sz w:val="22"/>
      <w:szCs w:val="22"/>
    </w:rPr>
  </w:style>
  <w:style w:type="paragraph" w:styleId="Glava">
    <w:name w:val="header"/>
    <w:basedOn w:val="Navaden"/>
    <w:uiPriority w:val="1"/>
    <w:rsid w:val="7E32E97F"/>
    <w:pPr>
      <w:tabs>
        <w:tab w:val="center" w:pos="4320"/>
        <w:tab w:val="right" w:pos="8640"/>
      </w:tabs>
    </w:pPr>
    <w:rPr>
      <w:lang w:val="en-US" w:eastAsia="en-US"/>
    </w:rPr>
  </w:style>
  <w:style w:type="paragraph" w:styleId="Noga">
    <w:name w:val="footer"/>
    <w:basedOn w:val="Navaden"/>
    <w:uiPriority w:val="1"/>
    <w:rsid w:val="7E32E97F"/>
    <w:pPr>
      <w:tabs>
        <w:tab w:val="center" w:pos="4320"/>
        <w:tab w:val="right" w:pos="8640"/>
      </w:tabs>
    </w:pPr>
    <w:rPr>
      <w:lang w:eastAsia="en-US"/>
    </w:rPr>
  </w:style>
  <w:style w:type="paragraph" w:styleId="Zgradbadokumenta">
    <w:name w:val="Document Map"/>
    <w:basedOn w:val="Navaden"/>
    <w:uiPriority w:val="1"/>
    <w:rsid w:val="7E32E97F"/>
    <w:rPr>
      <w:rFonts w:ascii="Tahoma" w:hAnsi="Tahoma"/>
      <w:sz w:val="16"/>
      <w:szCs w:val="16"/>
      <w:lang w:val="en-US" w:eastAsia="en-US"/>
    </w:rPr>
  </w:style>
  <w:style w:type="character" w:customStyle="1" w:styleId="ZgradbadokumentaZnak">
    <w:name w:val="Zgradba dokumenta Znak"/>
    <w:rPr>
      <w:rFonts w:ascii="Tahoma" w:hAnsi="Tahoma" w:cs="Tahoma"/>
      <w:sz w:val="16"/>
      <w:szCs w:val="16"/>
      <w:lang w:val="en-US" w:eastAsia="en-US"/>
    </w:rPr>
  </w:style>
  <w:style w:type="paragraph" w:customStyle="1" w:styleId="datumtevilka">
    <w:name w:val="datum številka"/>
    <w:basedOn w:val="Navaden"/>
    <w:uiPriority w:val="1"/>
    <w:rsid w:val="7E32E97F"/>
    <w:pPr>
      <w:tabs>
        <w:tab w:val="left" w:pos="1701"/>
      </w:tabs>
    </w:pPr>
    <w:rPr>
      <w:lang w:eastAsia="ja-JP"/>
    </w:rPr>
  </w:style>
  <w:style w:type="paragraph" w:customStyle="1" w:styleId="ZADEVA">
    <w:name w:val="ZADEVA"/>
    <w:basedOn w:val="Navaden"/>
    <w:uiPriority w:val="1"/>
    <w:rsid w:val="7E32E97F"/>
    <w:pPr>
      <w:tabs>
        <w:tab w:val="left" w:pos="1701"/>
      </w:tabs>
      <w:ind w:left="1701" w:hanging="1701"/>
    </w:pPr>
    <w:rPr>
      <w:b/>
      <w:bCs/>
      <w:lang w:val="it-IT"/>
    </w:rPr>
  </w:style>
  <w:style w:type="character" w:styleId="Hiperpovezava">
    <w:name w:val="Hyperlink"/>
    <w:uiPriority w:val="99"/>
    <w:rPr>
      <w:color w:val="0000FF"/>
      <w:u w:val="single"/>
    </w:rPr>
  </w:style>
  <w:style w:type="paragraph" w:customStyle="1" w:styleId="podpisi">
    <w:name w:val="podpisi"/>
    <w:basedOn w:val="Navaden"/>
    <w:uiPriority w:val="1"/>
    <w:rsid w:val="7E32E97F"/>
    <w:pPr>
      <w:tabs>
        <w:tab w:val="left" w:pos="3402"/>
      </w:tabs>
    </w:pPr>
    <w:rPr>
      <w:lang w:val="it-IT"/>
    </w:rPr>
  </w:style>
  <w:style w:type="paragraph" w:customStyle="1" w:styleId="Vrstapredpisa">
    <w:name w:val="Vrsta predpisa"/>
    <w:basedOn w:val="Navaden"/>
    <w:uiPriority w:val="1"/>
    <w:rsid w:val="7E32E97F"/>
    <w:pPr>
      <w:spacing w:before="360" w:line="220" w:lineRule="exact"/>
      <w:jc w:val="center"/>
    </w:pPr>
    <w:rPr>
      <w:rFonts w:cs="Arial"/>
      <w:b/>
      <w:bCs/>
      <w:color w:val="000000" w:themeColor="text1"/>
      <w:sz w:val="22"/>
      <w:szCs w:val="22"/>
    </w:rPr>
  </w:style>
  <w:style w:type="character" w:customStyle="1" w:styleId="VrstapredpisaZnak">
    <w:name w:val="Vrsta predpisa Znak"/>
    <w:rPr>
      <w:rFonts w:ascii="Arial" w:hAnsi="Arial" w:cs="Arial"/>
      <w:b/>
      <w:bCs/>
      <w:color w:val="000000"/>
      <w:spacing w:val="40"/>
      <w:sz w:val="22"/>
      <w:szCs w:val="22"/>
      <w:lang w:val="sl-SI" w:eastAsia="sl-SI" w:bidi="ar-SA"/>
    </w:rPr>
  </w:style>
  <w:style w:type="paragraph" w:customStyle="1" w:styleId="Naslovpredpisa">
    <w:name w:val="Naslov_predpisa"/>
    <w:basedOn w:val="Navaden"/>
    <w:uiPriority w:val="1"/>
    <w:rsid w:val="7E32E97F"/>
    <w:pPr>
      <w:spacing w:before="120" w:after="160" w:line="200" w:lineRule="exact"/>
      <w:jc w:val="center"/>
    </w:pPr>
    <w:rPr>
      <w:rFonts w:cs="Arial"/>
      <w:b/>
      <w:bCs/>
      <w:sz w:val="22"/>
      <w:szCs w:val="22"/>
    </w:rPr>
  </w:style>
  <w:style w:type="character" w:customStyle="1" w:styleId="NaslovpredpisaZnak">
    <w:name w:val="Naslov_predpisa Znak"/>
    <w:rPr>
      <w:rFonts w:ascii="Arial" w:hAnsi="Arial" w:cs="Arial"/>
      <w:b/>
      <w:sz w:val="22"/>
      <w:szCs w:val="22"/>
      <w:lang w:val="sl-SI" w:eastAsia="sl-SI" w:bidi="ar-SA"/>
    </w:rPr>
  </w:style>
  <w:style w:type="paragraph" w:customStyle="1" w:styleId="Neotevilenodstavek">
    <w:name w:val="Neoštevilčen odstavek"/>
    <w:basedOn w:val="Navaden"/>
    <w:uiPriority w:val="1"/>
    <w:rsid w:val="7E32E97F"/>
    <w:pPr>
      <w:spacing w:before="60" w:after="60" w:line="200" w:lineRule="exact"/>
      <w:jc w:val="both"/>
    </w:pPr>
    <w:rPr>
      <w:rFonts w:cs="Arial"/>
      <w:sz w:val="22"/>
      <w:szCs w:val="22"/>
    </w:rPr>
  </w:style>
  <w:style w:type="character" w:customStyle="1" w:styleId="NeotevilenodstavekZnak">
    <w:name w:val="Neoštevilčen odstavek Znak"/>
    <w:rPr>
      <w:rFonts w:ascii="Arial" w:hAnsi="Arial" w:cs="Arial"/>
      <w:sz w:val="22"/>
      <w:szCs w:val="22"/>
      <w:lang w:val="sl-SI" w:eastAsia="sl-SI" w:bidi="ar-SA"/>
    </w:rPr>
  </w:style>
  <w:style w:type="paragraph" w:customStyle="1" w:styleId="Oddelek">
    <w:name w:val="Oddelek"/>
    <w:basedOn w:val="Navaden"/>
    <w:uiPriority w:val="1"/>
    <w:rsid w:val="7E32E97F"/>
    <w:pPr>
      <w:numPr>
        <w:numId w:val="10"/>
      </w:numPr>
      <w:spacing w:before="280" w:after="60" w:line="200" w:lineRule="exact"/>
      <w:jc w:val="center"/>
      <w:outlineLvl w:val="3"/>
    </w:pPr>
    <w:rPr>
      <w:b/>
      <w:bCs/>
      <w:sz w:val="22"/>
      <w:szCs w:val="22"/>
    </w:rPr>
  </w:style>
  <w:style w:type="character" w:customStyle="1" w:styleId="OddelekZnak1">
    <w:name w:val="Oddelek Znak1"/>
    <w:rPr>
      <w:b/>
      <w:sz w:val="22"/>
      <w:szCs w:val="22"/>
    </w:rPr>
  </w:style>
  <w:style w:type="paragraph" w:customStyle="1" w:styleId="Alineazaodstavkom">
    <w:name w:val="Alinea za odstavkom"/>
    <w:basedOn w:val="Navaden"/>
    <w:uiPriority w:val="1"/>
    <w:rsid w:val="7E32E97F"/>
    <w:pPr>
      <w:numPr>
        <w:numId w:val="11"/>
      </w:numPr>
      <w:spacing w:line="200" w:lineRule="exact"/>
      <w:jc w:val="both"/>
    </w:pPr>
    <w:rPr>
      <w:sz w:val="22"/>
      <w:szCs w:val="22"/>
    </w:rPr>
  </w:style>
  <w:style w:type="character" w:customStyle="1" w:styleId="AlineazaodstavkomZnak">
    <w:name w:val="Alinea za odstavkom Znak"/>
    <w:rPr>
      <w:sz w:val="22"/>
      <w:szCs w:val="22"/>
    </w:rPr>
  </w:style>
  <w:style w:type="paragraph" w:customStyle="1" w:styleId="Odstavekseznama1">
    <w:name w:val="Odstavek seznama1"/>
    <w:basedOn w:val="Navaden"/>
    <w:uiPriority w:val="1"/>
    <w:rsid w:val="7E32E97F"/>
    <w:pPr>
      <w:ind w:left="720"/>
      <w:contextualSpacing/>
    </w:pPr>
    <w:rPr>
      <w:rFonts w:ascii="Times New Roman" w:hAnsi="Times New Roman"/>
      <w:sz w:val="24"/>
      <w:szCs w:val="24"/>
    </w:rPr>
  </w:style>
  <w:style w:type="paragraph" w:customStyle="1" w:styleId="Alineazatoko">
    <w:name w:val="Alinea za točko"/>
    <w:basedOn w:val="Navaden"/>
    <w:uiPriority w:val="1"/>
    <w:rsid w:val="7E32E97F"/>
    <w:pPr>
      <w:spacing w:line="200" w:lineRule="exact"/>
      <w:ind w:left="1428" w:hanging="360"/>
      <w:jc w:val="both"/>
    </w:pPr>
    <w:rPr>
      <w:sz w:val="22"/>
      <w:szCs w:val="22"/>
    </w:rPr>
  </w:style>
  <w:style w:type="character" w:customStyle="1" w:styleId="AlineazatokoZnak">
    <w:name w:val="Alinea za točko Znak"/>
    <w:rPr>
      <w:rFonts w:ascii="Arial" w:hAnsi="Arial" w:cs="Arial"/>
      <w:sz w:val="22"/>
      <w:szCs w:val="22"/>
    </w:rPr>
  </w:style>
  <w:style w:type="character" w:customStyle="1" w:styleId="rkovnatokazaodstavkomZnak">
    <w:name w:val="Črkovna točka_za odstavkom Znak"/>
    <w:rPr>
      <w:sz w:val="21"/>
      <w:lang w:val="sl-SI"/>
    </w:rPr>
  </w:style>
  <w:style w:type="paragraph" w:customStyle="1" w:styleId="rkovnatokazaodstavkom">
    <w:name w:val="Črkovna točka_za odstavkom"/>
    <w:basedOn w:val="Navaden"/>
    <w:uiPriority w:val="1"/>
    <w:rsid w:val="7E32E97F"/>
    <w:pPr>
      <w:spacing w:line="200" w:lineRule="exact"/>
      <w:jc w:val="both"/>
    </w:pPr>
  </w:style>
  <w:style w:type="character" w:customStyle="1" w:styleId="OdsekZnak">
    <w:name w:val="Odsek Znak"/>
    <w:rPr>
      <w:rFonts w:ascii="Calibri" w:eastAsia="SimSun" w:hAnsi="Calibri" w:cs="Arial"/>
      <w:b w:val="0"/>
      <w:sz w:val="22"/>
      <w:szCs w:val="22"/>
      <w:lang w:eastAsia="zh-CN"/>
    </w:rPr>
  </w:style>
  <w:style w:type="character" w:customStyle="1" w:styleId="GlavaZnak">
    <w:name w:val="Glava Znak"/>
    <w:rPr>
      <w:rFonts w:ascii="Arial" w:hAnsi="Arial"/>
      <w:szCs w:val="24"/>
      <w:lang w:val="en-US" w:eastAsia="en-US"/>
    </w:rPr>
  </w:style>
  <w:style w:type="character" w:customStyle="1" w:styleId="Naslov1Znak">
    <w:name w:val="Naslov 1 Znak"/>
    <w:uiPriority w:val="9"/>
    <w:rPr>
      <w:rFonts w:ascii="Calibri Light" w:eastAsia="SimSun" w:hAnsi="Calibri Light" w:cs="Times New Roman"/>
      <w:color w:val="2E74B5"/>
      <w:sz w:val="36"/>
      <w:szCs w:val="36"/>
    </w:rPr>
  </w:style>
  <w:style w:type="character" w:styleId="Pripombasklic">
    <w:name w:val="annotation reference"/>
    <w:uiPriority w:val="99"/>
    <w:rPr>
      <w:sz w:val="16"/>
      <w:szCs w:val="16"/>
    </w:rPr>
  </w:style>
  <w:style w:type="paragraph" w:styleId="Pripombabesedilo">
    <w:name w:val="annotation text"/>
    <w:basedOn w:val="Navaden"/>
    <w:uiPriority w:val="1"/>
    <w:rsid w:val="7E32E97F"/>
    <w:pPr>
      <w:jc w:val="both"/>
    </w:pPr>
    <w:rPr>
      <w:lang w:eastAsia="en-US"/>
    </w:rPr>
  </w:style>
  <w:style w:type="character" w:customStyle="1" w:styleId="PripombabesediloZnak">
    <w:name w:val="Pripomba – besedilo Znak"/>
    <w:rPr>
      <w:lang w:eastAsia="en-US"/>
    </w:rPr>
  </w:style>
  <w:style w:type="paragraph" w:styleId="Besedilooblaka">
    <w:name w:val="Balloon Text"/>
    <w:basedOn w:val="Navaden"/>
    <w:uiPriority w:val="1"/>
    <w:rsid w:val="7E32E97F"/>
    <w:rPr>
      <w:rFonts w:ascii="Tahoma" w:hAnsi="Tahoma"/>
      <w:sz w:val="16"/>
      <w:szCs w:val="16"/>
      <w:lang w:eastAsia="en-US"/>
    </w:rPr>
  </w:style>
  <w:style w:type="character" w:customStyle="1" w:styleId="BesedilooblakaZnak">
    <w:name w:val="Besedilo oblačka Znak"/>
    <w:rPr>
      <w:rFonts w:ascii="Tahoma" w:hAnsi="Tahoma" w:cs="Tahoma"/>
      <w:sz w:val="16"/>
      <w:szCs w:val="16"/>
      <w:lang w:eastAsia="en-US"/>
    </w:rPr>
  </w:style>
  <w:style w:type="paragraph" w:styleId="Zadevapripombe">
    <w:name w:val="annotation subject"/>
    <w:basedOn w:val="Pripombabesedilo"/>
    <w:next w:val="Pripombabesedilo"/>
    <w:pPr>
      <w:spacing w:line="260" w:lineRule="exact"/>
      <w:jc w:val="left"/>
    </w:pPr>
    <w:rPr>
      <w:b/>
      <w:bCs/>
    </w:rPr>
  </w:style>
  <w:style w:type="character" w:customStyle="1" w:styleId="ZadevapripombeZnak">
    <w:name w:val="Zadeva pripombe Znak"/>
    <w:rPr>
      <w:rFonts w:ascii="Arial" w:hAnsi="Arial"/>
      <w:b/>
      <w:bCs/>
      <w:lang w:eastAsia="en-US"/>
    </w:rPr>
  </w:style>
  <w:style w:type="character" w:customStyle="1" w:styleId="Naslov2Znak">
    <w:name w:val="Naslov 2 Znak"/>
    <w:rPr>
      <w:rFonts w:ascii="Calibri Light" w:eastAsia="SimSun" w:hAnsi="Calibri Light"/>
      <w:color w:val="2E74B5"/>
      <w:sz w:val="28"/>
      <w:szCs w:val="28"/>
    </w:rPr>
  </w:style>
  <w:style w:type="character" w:customStyle="1" w:styleId="Naslov3Znak2">
    <w:name w:val="Naslov 3 Znak2"/>
    <w:rPr>
      <w:rFonts w:ascii="Cambria" w:eastAsia="Times New Roman" w:hAnsi="Cambria" w:cs="Times New Roman"/>
      <w:b/>
      <w:bCs/>
      <w:sz w:val="26"/>
      <w:szCs w:val="26"/>
      <w:lang w:eastAsia="en-US"/>
    </w:rPr>
  </w:style>
  <w:style w:type="character" w:customStyle="1" w:styleId="Naslov4Znak">
    <w:name w:val="Naslov 4 Znak"/>
    <w:rPr>
      <w:rFonts w:ascii="Calibri Light" w:eastAsia="SimSun" w:hAnsi="Calibri Light" w:cs="Times New Roman"/>
      <w:sz w:val="24"/>
      <w:szCs w:val="24"/>
    </w:rPr>
  </w:style>
  <w:style w:type="character" w:customStyle="1" w:styleId="Naslov5Znak">
    <w:name w:val="Naslov 5 Znak"/>
    <w:rPr>
      <w:rFonts w:ascii="Calibri Light" w:eastAsia="SimSun" w:hAnsi="Calibri Light" w:cs="Times New Roman"/>
      <w:i/>
      <w:iCs/>
      <w:sz w:val="22"/>
      <w:szCs w:val="22"/>
    </w:rPr>
  </w:style>
  <w:style w:type="character" w:customStyle="1" w:styleId="Naslov6Znak">
    <w:name w:val="Naslov 6 Znak"/>
    <w:rPr>
      <w:rFonts w:ascii="Calibri Light" w:eastAsia="SimSun" w:hAnsi="Calibri Light" w:cs="Times New Roman"/>
      <w:color w:val="595959"/>
    </w:rPr>
  </w:style>
  <w:style w:type="character" w:customStyle="1" w:styleId="Naslov7Znak">
    <w:name w:val="Naslov 7 Znak"/>
    <w:rPr>
      <w:rFonts w:ascii="Calibri Light" w:eastAsia="SimSun" w:hAnsi="Calibri Light" w:cs="Times New Roman"/>
      <w:i/>
      <w:iCs/>
      <w:color w:val="595959"/>
    </w:rPr>
  </w:style>
  <w:style w:type="character" w:customStyle="1" w:styleId="Naslov8Znak">
    <w:name w:val="Naslov 8 Znak"/>
    <w:rPr>
      <w:rFonts w:ascii="Calibri Light" w:eastAsia="SimSun" w:hAnsi="Calibri Light" w:cs="Times New Roman"/>
      <w:smallCaps/>
      <w:color w:val="595959"/>
    </w:rPr>
  </w:style>
  <w:style w:type="character" w:customStyle="1" w:styleId="Naslov9Znak">
    <w:name w:val="Naslov 9 Znak"/>
    <w:rPr>
      <w:rFonts w:ascii="Calibri Light" w:eastAsia="SimSun" w:hAnsi="Calibri Light" w:cs="Times New Roman"/>
      <w:i/>
      <w:iCs/>
      <w:smallCaps/>
      <w:color w:val="595959"/>
    </w:rPr>
  </w:style>
  <w:style w:type="paragraph" w:customStyle="1" w:styleId="ListParagraph1">
    <w:name w:val="List Paragraph1"/>
    <w:basedOn w:val="Navaden"/>
    <w:uiPriority w:val="1"/>
    <w:rsid w:val="7E32E97F"/>
    <w:pPr>
      <w:ind w:left="720"/>
    </w:pPr>
    <w:rPr>
      <w:rFonts w:eastAsia="Calibri"/>
      <w:lang w:eastAsia="en-US"/>
    </w:rPr>
  </w:style>
  <w:style w:type="character" w:customStyle="1" w:styleId="ListParagraphChar">
    <w:name w:val="List Paragraph Char"/>
    <w:rPr>
      <w:rFonts w:ascii="Calibri" w:eastAsia="Calibri" w:hAnsi="Calibri"/>
      <w:lang w:eastAsia="en-US"/>
    </w:rPr>
  </w:style>
  <w:style w:type="character" w:customStyle="1" w:styleId="OdstavekseznamaZnak">
    <w:name w:val="Odstavek seznama Znak"/>
  </w:style>
  <w:style w:type="paragraph" w:styleId="Odstavekseznama">
    <w:name w:val="List Paragraph"/>
    <w:basedOn w:val="Navaden"/>
    <w:uiPriority w:val="1"/>
    <w:rsid w:val="7E32E97F"/>
    <w:pPr>
      <w:ind w:left="720"/>
      <w:contextualSpacing/>
    </w:pPr>
  </w:style>
  <w:style w:type="paragraph" w:customStyle="1" w:styleId="align-justify">
    <w:name w:val="align-justify"/>
    <w:basedOn w:val="Navaden"/>
    <w:uiPriority w:val="1"/>
    <w:rsid w:val="7E32E97F"/>
    <w:rPr>
      <w:rFonts w:ascii="Times New Roman" w:hAnsi="Times New Roman"/>
      <w:sz w:val="24"/>
      <w:szCs w:val="24"/>
    </w:rPr>
  </w:style>
  <w:style w:type="character" w:styleId="Krepko">
    <w:name w:val="Strong"/>
    <w:uiPriority w:val="22"/>
    <w:qFormat/>
    <w:rPr>
      <w:b/>
      <w:bCs/>
    </w:rPr>
  </w:style>
  <w:style w:type="paragraph" w:styleId="Navadensplet">
    <w:name w:val="Normal (Web)"/>
    <w:basedOn w:val="Navaden"/>
    <w:uiPriority w:val="1"/>
    <w:rsid w:val="7E32E97F"/>
    <w:rPr>
      <w:rFonts w:ascii="Times New Roman" w:hAnsi="Times New Roman"/>
      <w:sz w:val="24"/>
      <w:szCs w:val="24"/>
    </w:rPr>
  </w:style>
  <w:style w:type="paragraph" w:styleId="Sprotnaopomba-besedilo">
    <w:name w:val="footnote text"/>
    <w:basedOn w:val="Navaden"/>
    <w:uiPriority w:val="99"/>
    <w:qFormat/>
    <w:rsid w:val="7E32E97F"/>
    <w:rPr>
      <w:rFonts w:ascii="Times New Roman" w:hAnsi="Times New Roman"/>
    </w:rPr>
  </w:style>
  <w:style w:type="character" w:customStyle="1" w:styleId="Sprotnaopomba-besediloZnak">
    <w:name w:val="Sprotna opomba - besedilo Znak"/>
    <w:basedOn w:val="Privzetapisavaodstavka"/>
    <w:uiPriority w:val="99"/>
  </w:style>
  <w:style w:type="character" w:styleId="Sprotnaopomba-sklic">
    <w:name w:val="footnote reference"/>
    <w:aliases w:val="Footnote symbol,Znak,Footnote reference number,note TESI,SUPERS,EN Footnote Reference,Fussnota,-E Fußnotenzeichen,number,Times 10 Point,Exposant 3 Point,Footnote Reference_LVL6,Footnote Reference_LVL61,Footnote Reference_LVL62,fr"/>
    <w:uiPriority w:val="99"/>
    <w:qFormat/>
    <w:rPr>
      <w:position w:val="0"/>
      <w:vertAlign w:val="superscript"/>
    </w:rPr>
  </w:style>
  <w:style w:type="paragraph" w:styleId="Telobesedila2">
    <w:name w:val="Body Text 2"/>
    <w:basedOn w:val="Navaden"/>
    <w:uiPriority w:val="1"/>
    <w:rsid w:val="7E32E97F"/>
    <w:rPr>
      <w:sz w:val="24"/>
      <w:szCs w:val="24"/>
    </w:rPr>
  </w:style>
  <w:style w:type="character" w:customStyle="1" w:styleId="Telobesedila2Znak">
    <w:name w:val="Telo besedila 2 Znak"/>
    <w:rPr>
      <w:sz w:val="24"/>
      <w:szCs w:val="24"/>
    </w:rPr>
  </w:style>
  <w:style w:type="paragraph" w:customStyle="1" w:styleId="ZnakZnak4ZnakZnak">
    <w:name w:val="Znak Znak4 Znak Znak"/>
    <w:basedOn w:val="Navaden"/>
    <w:uiPriority w:val="1"/>
    <w:rsid w:val="7E32E97F"/>
    <w:pPr>
      <w:spacing w:after="160" w:line="240" w:lineRule="exact"/>
    </w:pPr>
    <w:rPr>
      <w:rFonts w:ascii="Tahoma" w:eastAsia="SimSun" w:hAnsi="Tahoma" w:cs="Tahoma"/>
      <w:lang w:val="en-US"/>
    </w:rPr>
  </w:style>
  <w:style w:type="paragraph" w:customStyle="1" w:styleId="Text3">
    <w:name w:val="Text 3"/>
    <w:basedOn w:val="Navaden"/>
    <w:uiPriority w:val="1"/>
    <w:rsid w:val="7E32E97F"/>
    <w:pPr>
      <w:tabs>
        <w:tab w:val="left" w:pos="2302"/>
      </w:tabs>
      <w:spacing w:after="240"/>
      <w:ind w:left="1202"/>
      <w:jc w:val="both"/>
    </w:pPr>
    <w:rPr>
      <w:rFonts w:ascii="Times New Roman" w:eastAsia="Arial" w:hAnsi="Times New Roman"/>
      <w:sz w:val="24"/>
      <w:szCs w:val="24"/>
      <w:lang w:val="en-GB"/>
    </w:rPr>
  </w:style>
  <w:style w:type="paragraph" w:styleId="Telobesedila">
    <w:name w:val="Body Text"/>
    <w:basedOn w:val="Navaden"/>
    <w:uiPriority w:val="1"/>
    <w:rsid w:val="7E32E97F"/>
    <w:rPr>
      <w:sz w:val="24"/>
      <w:szCs w:val="24"/>
    </w:rPr>
  </w:style>
  <w:style w:type="character" w:customStyle="1" w:styleId="TelobesedilaZnak">
    <w:name w:val="Telo besedila Znak"/>
    <w:rPr>
      <w:sz w:val="24"/>
      <w:szCs w:val="24"/>
    </w:rPr>
  </w:style>
  <w:style w:type="character" w:styleId="Poudarek">
    <w:name w:val="Emphasis"/>
    <w:uiPriority w:val="20"/>
    <w:qFormat/>
    <w:rPr>
      <w:i/>
      <w:iCs/>
    </w:rPr>
  </w:style>
  <w:style w:type="paragraph" w:customStyle="1" w:styleId="documentdescription">
    <w:name w:val="documentdescription"/>
    <w:basedOn w:val="Navaden"/>
    <w:uiPriority w:val="1"/>
    <w:rsid w:val="7E32E97F"/>
    <w:pPr>
      <w:spacing w:after="360" w:line="270" w:lineRule="atLeast"/>
    </w:pPr>
    <w:rPr>
      <w:rFonts w:ascii="Times New Roman" w:hAnsi="Times New Roman"/>
      <w:b/>
      <w:bCs/>
      <w:color w:val="004C83"/>
      <w:sz w:val="24"/>
      <w:szCs w:val="24"/>
    </w:rPr>
  </w:style>
  <w:style w:type="character" w:customStyle="1" w:styleId="apple-style-span">
    <w:name w:val="apple-style-span"/>
  </w:style>
  <w:style w:type="paragraph" w:customStyle="1" w:styleId="CharCharChar1">
    <w:name w:val="Char Char Char1"/>
    <w:basedOn w:val="Navaden"/>
    <w:uiPriority w:val="1"/>
    <w:rsid w:val="7E32E97F"/>
    <w:pPr>
      <w:spacing w:after="160" w:line="240" w:lineRule="exact"/>
    </w:pPr>
    <w:rPr>
      <w:rFonts w:ascii="Times New Roman" w:hAnsi="Times New Roman"/>
      <w:color w:val="000000" w:themeColor="text1"/>
    </w:rPr>
  </w:style>
  <w:style w:type="paragraph" w:customStyle="1" w:styleId="Default">
    <w:name w:val="Default"/>
    <w:pPr>
      <w:suppressAutoHyphens/>
      <w:autoSpaceDE w:val="0"/>
      <w:spacing w:after="120" w:line="264" w:lineRule="auto"/>
    </w:pPr>
    <w:rPr>
      <w:rFonts w:ascii="Trebuchet MS" w:hAnsi="Trebuchet MS" w:cs="Trebuchet MS"/>
      <w:color w:val="000000"/>
      <w:sz w:val="24"/>
      <w:szCs w:val="24"/>
      <w:lang w:eastAsia="sl-SI"/>
    </w:rPr>
  </w:style>
  <w:style w:type="paragraph" w:customStyle="1" w:styleId="BodyText21">
    <w:name w:val="Body Text 21"/>
    <w:basedOn w:val="Navaden"/>
    <w:uiPriority w:val="1"/>
    <w:rsid w:val="7E32E97F"/>
    <w:pPr>
      <w:spacing w:line="313" w:lineRule="atLeast"/>
      <w:jc w:val="both"/>
    </w:pPr>
    <w:rPr>
      <w:rFonts w:ascii="Times New Roman" w:hAnsi="Times New Roman"/>
      <w:sz w:val="24"/>
      <w:szCs w:val="24"/>
    </w:rPr>
  </w:style>
  <w:style w:type="paragraph" w:customStyle="1" w:styleId="ZnakZnak4ZnakZnak0">
    <w:name w:val="Znak Znak4 Znak Znak0"/>
    <w:basedOn w:val="Navaden"/>
    <w:uiPriority w:val="1"/>
    <w:rsid w:val="7E32E97F"/>
    <w:pPr>
      <w:spacing w:after="160" w:line="240" w:lineRule="exact"/>
    </w:pPr>
    <w:rPr>
      <w:rFonts w:ascii="Tahoma" w:eastAsia="SimSun" w:hAnsi="Tahoma" w:cs="Tahoma"/>
      <w:lang w:val="en-US"/>
    </w:rPr>
  </w:style>
  <w:style w:type="character" w:styleId="tevilkastrani">
    <w:name w:val="page number"/>
  </w:style>
  <w:style w:type="paragraph" w:styleId="Telobesedila-zamik">
    <w:name w:val="Body Text Indent"/>
    <w:basedOn w:val="Navaden"/>
    <w:uiPriority w:val="1"/>
    <w:rsid w:val="7E32E97F"/>
    <w:pPr>
      <w:ind w:left="283"/>
    </w:pPr>
    <w:rPr>
      <w:rFonts w:eastAsia="SimSun"/>
      <w:sz w:val="24"/>
      <w:szCs w:val="24"/>
      <w:lang w:eastAsia="zh-CN"/>
    </w:rPr>
  </w:style>
  <w:style w:type="character" w:customStyle="1" w:styleId="Telobesedila-zamikZnak">
    <w:name w:val="Telo besedila - zamik Znak"/>
    <w:rPr>
      <w:rFonts w:ascii="Calibri" w:eastAsia="SimSun" w:hAnsi="Calibri"/>
      <w:sz w:val="24"/>
      <w:szCs w:val="24"/>
      <w:lang w:eastAsia="zh-CN"/>
    </w:rPr>
  </w:style>
  <w:style w:type="paragraph" w:customStyle="1" w:styleId="bodytext">
    <w:name w:val="bodytext"/>
    <w:basedOn w:val="Navaden"/>
    <w:uiPriority w:val="1"/>
    <w:rsid w:val="7E32E97F"/>
    <w:pPr>
      <w:spacing w:line="337" w:lineRule="atLeast"/>
    </w:pPr>
    <w:rPr>
      <w:rFonts w:ascii="Verdana" w:eastAsia="SimSun" w:hAnsi="Verdana"/>
      <w:color w:val="000000" w:themeColor="text1"/>
      <w:sz w:val="22"/>
      <w:szCs w:val="22"/>
      <w:lang w:eastAsia="zh-CN"/>
    </w:rPr>
  </w:style>
  <w:style w:type="paragraph" w:styleId="HTML-oblikovano">
    <w:name w:val="HTML Preformatted"/>
    <w:basedOn w:val="Navaden"/>
    <w:uiPriority w:val="1"/>
    <w:rsid w:val="7E32E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themeColor="text1"/>
      <w:sz w:val="18"/>
      <w:szCs w:val="18"/>
      <w:lang w:eastAsia="zh-CN"/>
    </w:rPr>
  </w:style>
  <w:style w:type="character" w:customStyle="1" w:styleId="HTML-oblikovanoZnak">
    <w:name w:val="HTML-oblikovano Znak"/>
    <w:rPr>
      <w:rFonts w:ascii="Courier New" w:eastAsia="Calibri" w:hAnsi="Courier New" w:cs="Courier New"/>
      <w:color w:val="000000"/>
      <w:sz w:val="18"/>
      <w:szCs w:val="18"/>
      <w:lang w:eastAsia="zh-CN"/>
    </w:rPr>
  </w:style>
  <w:style w:type="paragraph" w:styleId="Napis">
    <w:name w:val="caption"/>
    <w:basedOn w:val="Navaden"/>
    <w:next w:val="Navaden"/>
    <w:uiPriority w:val="1"/>
    <w:rsid w:val="7E32E97F"/>
    <w:rPr>
      <w:b/>
      <w:bCs/>
      <w:color w:val="404040" w:themeColor="text1" w:themeTint="BF"/>
    </w:rPr>
  </w:style>
  <w:style w:type="paragraph" w:styleId="Naslov">
    <w:name w:val="Title"/>
    <w:basedOn w:val="Navaden"/>
    <w:next w:val="Navaden"/>
    <w:uiPriority w:val="10"/>
    <w:qFormat/>
    <w:rsid w:val="7E32E97F"/>
    <w:pPr>
      <w:spacing w:after="0"/>
      <w:contextualSpacing/>
    </w:pPr>
    <w:rPr>
      <w:rFonts w:ascii="Calibri Light" w:eastAsia="SimSun" w:hAnsi="Calibri Light"/>
      <w:color w:val="2E74B5" w:themeColor="accent5" w:themeShade="BF"/>
      <w:sz w:val="80"/>
      <w:szCs w:val="80"/>
    </w:rPr>
  </w:style>
  <w:style w:type="character" w:customStyle="1" w:styleId="NaslovZnak">
    <w:name w:val="Naslov Znak"/>
    <w:rPr>
      <w:rFonts w:ascii="Calibri Light" w:eastAsia="SimSun" w:hAnsi="Calibri Light" w:cs="Times New Roman"/>
      <w:color w:val="2E74B5"/>
      <w:spacing w:val="-7"/>
      <w:sz w:val="80"/>
      <w:szCs w:val="80"/>
    </w:rPr>
  </w:style>
  <w:style w:type="paragraph" w:styleId="Podnaslov">
    <w:name w:val="Subtitle"/>
    <w:basedOn w:val="Navaden"/>
    <w:next w:val="Navaden"/>
    <w:uiPriority w:val="11"/>
    <w:qFormat/>
    <w:rsid w:val="7E32E97F"/>
    <w:pPr>
      <w:spacing w:after="240"/>
    </w:pPr>
    <w:rPr>
      <w:rFonts w:ascii="Calibri Light" w:eastAsia="SimSun" w:hAnsi="Calibri Light"/>
      <w:color w:val="404040" w:themeColor="text1" w:themeTint="BF"/>
      <w:sz w:val="30"/>
      <w:szCs w:val="30"/>
    </w:rPr>
  </w:style>
  <w:style w:type="character" w:customStyle="1" w:styleId="PodnaslovZnak">
    <w:name w:val="Podnaslov Znak"/>
    <w:rPr>
      <w:rFonts w:ascii="Calibri Light" w:eastAsia="SimSun" w:hAnsi="Calibri Light" w:cs="Times New Roman"/>
      <w:color w:val="404040"/>
      <w:sz w:val="30"/>
      <w:szCs w:val="30"/>
    </w:rPr>
  </w:style>
  <w:style w:type="paragraph" w:customStyle="1" w:styleId="NoSpacing1">
    <w:name w:val="No Spacing1"/>
    <w:basedOn w:val="Navaden"/>
    <w:uiPriority w:val="1"/>
    <w:rsid w:val="7E32E97F"/>
    <w:rPr>
      <w:rFonts w:eastAsia="SimSun"/>
      <w:sz w:val="24"/>
      <w:szCs w:val="24"/>
      <w:lang w:eastAsia="zh-CN"/>
    </w:rPr>
  </w:style>
  <w:style w:type="paragraph" w:customStyle="1" w:styleId="Quote1">
    <w:name w:val="Quote1"/>
    <w:basedOn w:val="Navaden"/>
    <w:next w:val="Navaden"/>
    <w:uiPriority w:val="1"/>
    <w:rsid w:val="7E32E97F"/>
    <w:rPr>
      <w:rFonts w:eastAsia="SimSun"/>
      <w:i/>
      <w:iCs/>
      <w:sz w:val="24"/>
      <w:szCs w:val="24"/>
      <w:lang w:eastAsia="zh-CN"/>
    </w:rPr>
  </w:style>
  <w:style w:type="character" w:customStyle="1" w:styleId="QuoteChar">
    <w:name w:val="Quote Char"/>
    <w:rPr>
      <w:rFonts w:ascii="Calibri" w:eastAsia="SimSun" w:hAnsi="Calibri"/>
      <w:i/>
      <w:sz w:val="24"/>
      <w:szCs w:val="24"/>
      <w:lang w:eastAsia="zh-CN"/>
    </w:rPr>
  </w:style>
  <w:style w:type="paragraph" w:customStyle="1" w:styleId="IntenseQuote1">
    <w:name w:val="Intense Quote1"/>
    <w:basedOn w:val="Navaden"/>
    <w:next w:val="Navaden"/>
    <w:uiPriority w:val="1"/>
    <w:rsid w:val="7E32E97F"/>
    <w:pPr>
      <w:ind w:left="720" w:right="720"/>
    </w:pPr>
    <w:rPr>
      <w:rFonts w:eastAsia="SimSun"/>
      <w:b/>
      <w:bCs/>
      <w:i/>
      <w:iCs/>
      <w:sz w:val="24"/>
      <w:szCs w:val="24"/>
      <w:lang w:eastAsia="zh-CN"/>
    </w:rPr>
  </w:style>
  <w:style w:type="character" w:customStyle="1" w:styleId="IntenseQuoteChar">
    <w:name w:val="Intense Quote Char"/>
    <w:rPr>
      <w:rFonts w:ascii="Calibri" w:eastAsia="SimSun" w:hAnsi="Calibri"/>
      <w:b/>
      <w:i/>
      <w:sz w:val="24"/>
      <w:szCs w:val="22"/>
      <w:lang w:eastAsia="zh-CN"/>
    </w:rPr>
  </w:style>
  <w:style w:type="character" w:customStyle="1" w:styleId="SubtleEmphasis1">
    <w:name w:val="Subtle Emphasis1"/>
    <w:rPr>
      <w:i/>
      <w:color w:val="5A5A5A"/>
    </w:rPr>
  </w:style>
  <w:style w:type="character" w:customStyle="1" w:styleId="IntenseEmphasis1">
    <w:name w:val="Intense Emphasis1"/>
    <w:rPr>
      <w:b/>
      <w:i/>
      <w:sz w:val="24"/>
      <w:szCs w:val="24"/>
      <w:u w:val="single"/>
    </w:rPr>
  </w:style>
  <w:style w:type="character" w:customStyle="1" w:styleId="SubtleReference1">
    <w:name w:val="Subtle Reference1"/>
    <w:rPr>
      <w:sz w:val="24"/>
      <w:szCs w:val="24"/>
      <w:u w:val="single"/>
    </w:rPr>
  </w:style>
  <w:style w:type="character" w:customStyle="1" w:styleId="IntenseReference1">
    <w:name w:val="Intense Reference1"/>
    <w:rPr>
      <w:b/>
      <w:sz w:val="24"/>
      <w:u w:val="single"/>
    </w:rPr>
  </w:style>
  <w:style w:type="character" w:customStyle="1" w:styleId="BookTitle1">
    <w:name w:val="Book Title1"/>
    <w:rPr>
      <w:rFonts w:ascii="Cambria" w:eastAsia="SimSun" w:hAnsi="Cambria"/>
      <w:b/>
      <w:i/>
      <w:sz w:val="24"/>
      <w:szCs w:val="24"/>
    </w:rPr>
  </w:style>
  <w:style w:type="paragraph" w:customStyle="1" w:styleId="TOCHeading1">
    <w:name w:val="TOC Heading1"/>
    <w:basedOn w:val="Naslov10"/>
    <w:next w:val="Navaden"/>
    <w:pPr>
      <w:tabs>
        <w:tab w:val="left" w:pos="567"/>
      </w:tabs>
    </w:pPr>
    <w:rPr>
      <w:rFonts w:ascii="Cambria" w:hAnsi="Cambria"/>
      <w:sz w:val="32"/>
      <w:lang w:eastAsia="zh-CN"/>
    </w:rPr>
  </w:style>
  <w:style w:type="paragraph" w:styleId="Kazalovsebine1">
    <w:name w:val="toc 1"/>
    <w:basedOn w:val="Navaden"/>
    <w:next w:val="Navaden"/>
    <w:uiPriority w:val="39"/>
    <w:rsid w:val="7E32E97F"/>
    <w:pPr>
      <w:spacing w:before="120"/>
    </w:pPr>
    <w:rPr>
      <w:rFonts w:asciiTheme="minorHAnsi" w:hAnsiTheme="minorHAnsi" w:cstheme="minorBidi"/>
      <w:b/>
      <w:bCs/>
      <w:caps/>
    </w:rPr>
  </w:style>
  <w:style w:type="paragraph" w:styleId="Kazalovsebine2">
    <w:name w:val="toc 2"/>
    <w:basedOn w:val="Navaden"/>
    <w:next w:val="Navaden"/>
    <w:uiPriority w:val="39"/>
    <w:rsid w:val="7E32E97F"/>
    <w:pPr>
      <w:spacing w:after="0"/>
      <w:ind w:left="200"/>
    </w:pPr>
    <w:rPr>
      <w:rFonts w:asciiTheme="minorHAnsi" w:hAnsiTheme="minorHAnsi" w:cstheme="minorBidi"/>
      <w:smallCaps/>
    </w:rPr>
  </w:style>
  <w:style w:type="paragraph" w:styleId="Kazalovsebine3">
    <w:name w:val="toc 3"/>
    <w:basedOn w:val="Navaden"/>
    <w:next w:val="Navaden"/>
    <w:uiPriority w:val="39"/>
    <w:rsid w:val="7E32E97F"/>
    <w:pPr>
      <w:spacing w:after="0"/>
      <w:ind w:left="400"/>
    </w:pPr>
    <w:rPr>
      <w:rFonts w:asciiTheme="minorHAnsi" w:hAnsiTheme="minorHAnsi" w:cstheme="minorBidi"/>
      <w:i/>
      <w:iCs/>
    </w:rPr>
  </w:style>
  <w:style w:type="paragraph" w:customStyle="1" w:styleId="ZnakZnak1Znak">
    <w:name w:val="Znak Znak1 Znak"/>
    <w:basedOn w:val="Navaden"/>
    <w:uiPriority w:val="1"/>
    <w:rsid w:val="7E32E97F"/>
    <w:pPr>
      <w:spacing w:after="160" w:line="240" w:lineRule="exact"/>
    </w:pPr>
    <w:rPr>
      <w:rFonts w:ascii="Tahoma" w:hAnsi="Tahoma" w:cs="Tahoma"/>
      <w:lang w:val="en-US"/>
    </w:rPr>
  </w:style>
  <w:style w:type="paragraph" w:customStyle="1" w:styleId="ZnakZnak4Znak">
    <w:name w:val="Znak Znak4 Znak"/>
    <w:basedOn w:val="Navaden"/>
    <w:uiPriority w:val="1"/>
    <w:rsid w:val="7E32E97F"/>
    <w:pPr>
      <w:spacing w:after="160" w:line="240" w:lineRule="exact"/>
    </w:pPr>
    <w:rPr>
      <w:rFonts w:ascii="Tahoma" w:eastAsia="SimSun" w:hAnsi="Tahoma" w:cs="Tahoma"/>
      <w:lang w:val="en-US"/>
    </w:rPr>
  </w:style>
  <w:style w:type="character" w:customStyle="1" w:styleId="NogaZnak">
    <w:name w:val="Noga Znak"/>
    <w:rPr>
      <w:rFonts w:ascii="Arial" w:hAnsi="Arial"/>
      <w:szCs w:val="24"/>
      <w:lang w:eastAsia="en-US"/>
    </w:rPr>
  </w:style>
  <w:style w:type="paragraph" w:customStyle="1" w:styleId="Naslov1">
    <w:name w:val="Naslov1"/>
    <w:basedOn w:val="Navaden"/>
    <w:next w:val="Navaden"/>
    <w:uiPriority w:val="1"/>
    <w:rsid w:val="7E32E97F"/>
    <w:pPr>
      <w:numPr>
        <w:numId w:val="13"/>
      </w:numPr>
      <w:spacing w:after="300"/>
      <w:contextualSpacing/>
    </w:pPr>
    <w:rPr>
      <w:rFonts w:eastAsia="HGGothicM"/>
      <w:b/>
      <w:bCs/>
      <w:color w:val="000000" w:themeColor="text1"/>
      <w:sz w:val="28"/>
      <w:szCs w:val="28"/>
      <w:lang w:val="en-US"/>
    </w:rPr>
  </w:style>
  <w:style w:type="character" w:customStyle="1" w:styleId="Naslov1Znak0">
    <w:name w:val="Naslov1 Znak"/>
    <w:rPr>
      <w:rFonts w:eastAsia="HGGothicM"/>
      <w:b/>
      <w:color w:val="000000"/>
      <w:spacing w:val="5"/>
      <w:kern w:val="3"/>
      <w:sz w:val="28"/>
      <w:szCs w:val="56"/>
      <w:lang w:val="en-US"/>
    </w:rPr>
  </w:style>
  <w:style w:type="paragraph" w:styleId="Brezrazmikov">
    <w:name w:val="No Spacing"/>
    <w:uiPriority w:val="1"/>
    <w:qFormat/>
    <w:pPr>
      <w:suppressAutoHyphens/>
    </w:pPr>
    <w:rPr>
      <w:sz w:val="21"/>
      <w:szCs w:val="21"/>
      <w:lang w:eastAsia="sl-SI"/>
    </w:rPr>
  </w:style>
  <w:style w:type="character" w:customStyle="1" w:styleId="BrezrazmikovZnak">
    <w:name w:val="Brez razmikov Znak"/>
    <w:uiPriority w:val="1"/>
    <w:rPr>
      <w:sz w:val="21"/>
      <w:szCs w:val="21"/>
      <w:lang w:val="sl-SI" w:eastAsia="sl-SI" w:bidi="ar-SA"/>
    </w:rPr>
  </w:style>
  <w:style w:type="paragraph" w:styleId="Citat">
    <w:name w:val="Quote"/>
    <w:basedOn w:val="Navaden"/>
    <w:next w:val="Navaden"/>
    <w:uiPriority w:val="1"/>
    <w:rsid w:val="7E32E97F"/>
    <w:pPr>
      <w:spacing w:before="240" w:after="240"/>
      <w:ind w:left="864" w:right="864"/>
      <w:jc w:val="center"/>
    </w:pPr>
    <w:rPr>
      <w:i/>
      <w:iCs/>
    </w:rPr>
  </w:style>
  <w:style w:type="character" w:customStyle="1" w:styleId="CitatZnak">
    <w:name w:val="Citat Znak"/>
    <w:rPr>
      <w:i/>
      <w:iCs/>
    </w:rPr>
  </w:style>
  <w:style w:type="paragraph" w:styleId="Intenzivencitat">
    <w:name w:val="Intense Quote"/>
    <w:basedOn w:val="Navaden"/>
    <w:next w:val="Navaden"/>
    <w:uiPriority w:val="1"/>
    <w:rsid w:val="7E32E97F"/>
    <w:pPr>
      <w:spacing w:after="240"/>
      <w:ind w:left="864" w:right="864"/>
      <w:jc w:val="center"/>
    </w:pPr>
    <w:rPr>
      <w:rFonts w:ascii="Calibri Light" w:eastAsia="SimSun" w:hAnsi="Calibri Light"/>
      <w:color w:val="5B9BD5" w:themeColor="accent5"/>
      <w:sz w:val="28"/>
      <w:szCs w:val="28"/>
    </w:rPr>
  </w:style>
  <w:style w:type="character" w:customStyle="1" w:styleId="IntenzivencitatZnak">
    <w:name w:val="Intenziven citat Znak"/>
    <w:rPr>
      <w:rFonts w:ascii="Calibri Light" w:eastAsia="SimSun" w:hAnsi="Calibri Light" w:cs="Times New Roman"/>
      <w:color w:val="5B9BD5"/>
      <w:sz w:val="28"/>
      <w:szCs w:val="28"/>
    </w:rPr>
  </w:style>
  <w:style w:type="character" w:styleId="Neenpoudarek">
    <w:name w:val="Subtle Emphasis"/>
    <w:rPr>
      <w:i/>
      <w:iCs/>
      <w:color w:val="595959"/>
    </w:rPr>
  </w:style>
  <w:style w:type="character" w:styleId="Intenzivenpoudarek">
    <w:name w:val="Intense Emphasis"/>
    <w:rPr>
      <w:b/>
      <w:bCs/>
      <w:i/>
      <w:iCs/>
    </w:rPr>
  </w:style>
  <w:style w:type="character" w:styleId="Neensklic">
    <w:name w:val="Subtle Reference"/>
    <w:rPr>
      <w:smallCaps/>
      <w:color w:val="404040"/>
    </w:rPr>
  </w:style>
  <w:style w:type="character" w:styleId="Intenzivensklic">
    <w:name w:val="Intense Reference"/>
    <w:rPr>
      <w:b/>
      <w:bCs/>
      <w:smallCaps/>
      <w:u w:val="single"/>
    </w:rPr>
  </w:style>
  <w:style w:type="character" w:styleId="Naslovknjige">
    <w:name w:val="Book Title"/>
    <w:rPr>
      <w:b/>
      <w:bCs/>
      <w:smallCaps/>
    </w:rPr>
  </w:style>
  <w:style w:type="paragraph" w:styleId="NaslovTOC">
    <w:name w:val="TOC Heading"/>
    <w:basedOn w:val="Naslov10"/>
    <w:next w:val="Navaden"/>
    <w:uiPriority w:val="39"/>
    <w:qFormat/>
  </w:style>
  <w:style w:type="character" w:styleId="Besedilooznabemesta">
    <w:name w:val="Placeholder Text"/>
    <w:rPr>
      <w:color w:val="808080"/>
    </w:rPr>
  </w:style>
  <w:style w:type="paragraph" w:styleId="Kazaloslik">
    <w:name w:val="table of figures"/>
    <w:basedOn w:val="Navaden"/>
    <w:next w:val="Navaden"/>
    <w:uiPriority w:val="99"/>
    <w:rsid w:val="7E32E97F"/>
    <w:rPr>
      <w:rFonts w:eastAsia="HGSMinchoE"/>
      <w:sz w:val="22"/>
      <w:szCs w:val="22"/>
      <w:lang w:val="en-US" w:eastAsia="en-US"/>
    </w:rPr>
  </w:style>
  <w:style w:type="paragraph" w:customStyle="1" w:styleId="Znak1ZnakZnak">
    <w:name w:val="Znak1 Znak Znak"/>
    <w:basedOn w:val="Navaden"/>
    <w:uiPriority w:val="1"/>
    <w:rsid w:val="7E32E97F"/>
    <w:pPr>
      <w:spacing w:after="160" w:line="240" w:lineRule="exact"/>
    </w:pPr>
    <w:rPr>
      <w:rFonts w:ascii="Tahoma" w:hAnsi="Tahoma" w:cs="Tahoma"/>
      <w:lang w:val="en-US"/>
    </w:rPr>
  </w:style>
  <w:style w:type="character" w:customStyle="1" w:styleId="NaslovpredpisaZnakZnak">
    <w:name w:val="Naslov_predpisa Znak Znak"/>
    <w:rPr>
      <w:rFonts w:ascii="Arial" w:eastAsia="Times New Roman" w:hAnsi="Arial" w:cs="Arial"/>
      <w:b/>
      <w:sz w:val="24"/>
      <w:szCs w:val="24"/>
      <w:lang w:eastAsia="sl-SI"/>
    </w:rPr>
  </w:style>
  <w:style w:type="paragraph" w:customStyle="1" w:styleId="Prvinivo">
    <w:name w:val="Prvi nivo"/>
    <w:basedOn w:val="Navaden"/>
    <w:uiPriority w:val="1"/>
    <w:rsid w:val="7E32E97F"/>
    <w:pPr>
      <w:tabs>
        <w:tab w:val="left" w:pos="981"/>
      </w:tabs>
    </w:pPr>
    <w:rPr>
      <w:b/>
      <w:bCs/>
      <w:sz w:val="22"/>
      <w:szCs w:val="22"/>
    </w:rPr>
  </w:style>
  <w:style w:type="paragraph" w:customStyle="1" w:styleId="Druginivo">
    <w:name w:val="Drugi nivo"/>
    <w:basedOn w:val="Navaden"/>
    <w:uiPriority w:val="1"/>
    <w:rsid w:val="7E32E97F"/>
    <w:pPr>
      <w:numPr>
        <w:numId w:val="12"/>
      </w:numPr>
      <w:tabs>
        <w:tab w:val="left" w:pos="981"/>
      </w:tabs>
    </w:pPr>
    <w:rPr>
      <w:rFonts w:cs="Arial"/>
      <w:sz w:val="22"/>
      <w:szCs w:val="22"/>
    </w:rPr>
  </w:style>
  <w:style w:type="character" w:customStyle="1" w:styleId="PrvinivoZnak">
    <w:name w:val="Prvi nivo Znak"/>
    <w:rPr>
      <w:b/>
      <w:bCs/>
      <w:sz w:val="22"/>
      <w:szCs w:val="22"/>
    </w:rPr>
  </w:style>
  <w:style w:type="paragraph" w:customStyle="1" w:styleId="3372873BB58A4DED866D2BE34882C06C">
    <w:name w:val="3372873BB58A4DED866D2BE34882C06C"/>
    <w:pPr>
      <w:suppressAutoHyphens/>
      <w:spacing w:after="200" w:line="276" w:lineRule="auto"/>
    </w:pPr>
    <w:rPr>
      <w:sz w:val="22"/>
      <w:szCs w:val="22"/>
      <w:lang w:eastAsia="sl-SI"/>
    </w:rPr>
  </w:style>
  <w:style w:type="paragraph" w:customStyle="1" w:styleId="ZnakZnakZnakZnakZnakZnakZnak">
    <w:name w:val="Znak Znak Znak Znak Znak Znak Znak"/>
    <w:basedOn w:val="Navaden"/>
    <w:uiPriority w:val="1"/>
    <w:rsid w:val="7E32E97F"/>
    <w:pPr>
      <w:spacing w:after="160" w:line="240" w:lineRule="exact"/>
    </w:pPr>
    <w:rPr>
      <w:rFonts w:ascii="Tahoma" w:hAnsi="Tahoma"/>
      <w:lang w:val="en-US"/>
    </w:rPr>
  </w:style>
  <w:style w:type="paragraph" w:customStyle="1" w:styleId="Kazalotabel1">
    <w:name w:val="Kazalo tabel 1"/>
    <w:basedOn w:val="Navaden"/>
    <w:uiPriority w:val="1"/>
    <w:rsid w:val="7E32E97F"/>
    <w:pPr>
      <w:tabs>
        <w:tab w:val="left" w:pos="567"/>
      </w:tabs>
      <w:ind w:left="567" w:hanging="567"/>
    </w:pPr>
    <w:rPr>
      <w:rFonts w:eastAsia="SimSun" w:cs="Arial"/>
      <w:b/>
      <w:bCs/>
      <w:sz w:val="22"/>
      <w:szCs w:val="22"/>
      <w:lang w:eastAsia="zh-CN"/>
    </w:rPr>
  </w:style>
  <w:style w:type="paragraph" w:customStyle="1" w:styleId="KazalotabelTANJA">
    <w:name w:val="Kazalo tabel TANJA"/>
    <w:basedOn w:val="Kazaloslik"/>
    <w:pPr>
      <w:tabs>
        <w:tab w:val="right" w:leader="dot" w:pos="9396"/>
      </w:tabs>
    </w:pPr>
    <w:rPr>
      <w:rFonts w:eastAsia="SimSun"/>
      <w:bCs/>
      <w:lang w:eastAsia="zh-CN"/>
    </w:rPr>
  </w:style>
  <w:style w:type="character" w:customStyle="1" w:styleId="lexitem">
    <w:name w:val="lexitem"/>
  </w:style>
  <w:style w:type="character" w:customStyle="1" w:styleId="KazaloslikZnak">
    <w:name w:val="Kazalo slik Znak"/>
    <w:rPr>
      <w:rFonts w:ascii="Arial" w:eastAsia="HGSMinchoE" w:hAnsi="Arial"/>
      <w:sz w:val="22"/>
      <w:szCs w:val="22"/>
      <w:lang w:val="en-US" w:eastAsia="en-US"/>
    </w:rPr>
  </w:style>
  <w:style w:type="character" w:customStyle="1" w:styleId="KazalotabelTANJAZnak">
    <w:name w:val="Kazalo tabel TANJA Znak"/>
    <w:rPr>
      <w:rFonts w:ascii="Arial" w:eastAsia="SimSun" w:hAnsi="Arial" w:cs="Arial"/>
      <w:bCs/>
      <w:sz w:val="22"/>
      <w:szCs w:val="22"/>
      <w:lang w:eastAsia="zh-CN"/>
    </w:rPr>
  </w:style>
  <w:style w:type="character" w:customStyle="1" w:styleId="apple-converted-space">
    <w:name w:val="apple-converted-space"/>
  </w:style>
  <w:style w:type="paragraph" w:customStyle="1" w:styleId="NaslovTOC1">
    <w:name w:val="Naslov TOC1"/>
    <w:basedOn w:val="Naslov10"/>
    <w:next w:val="Navaden"/>
    <w:pPr>
      <w:tabs>
        <w:tab w:val="left" w:pos="567"/>
      </w:tabs>
      <w:spacing w:before="480" w:after="0" w:line="276" w:lineRule="auto"/>
    </w:pPr>
    <w:rPr>
      <w:rFonts w:ascii="Cambria" w:hAnsi="Cambria"/>
      <w:color w:val="365F91"/>
      <w:szCs w:val="28"/>
      <w:lang w:eastAsia="en-US"/>
    </w:rPr>
  </w:style>
  <w:style w:type="character" w:customStyle="1" w:styleId="Naslov3Znak1">
    <w:name w:val="Naslov 3 Znak1"/>
    <w:rPr>
      <w:rFonts w:ascii="Arial" w:hAnsi="Arial" w:cs="Arial"/>
      <w:bCs/>
      <w:i/>
      <w:sz w:val="24"/>
      <w:szCs w:val="24"/>
      <w:u w:val="single"/>
    </w:rPr>
  </w:style>
  <w:style w:type="paragraph" w:customStyle="1" w:styleId="LPnavaden">
    <w:name w:val="LP_navaden"/>
    <w:basedOn w:val="Navaden"/>
    <w:next w:val="Brezrazmikov"/>
    <w:uiPriority w:val="1"/>
    <w:rsid w:val="7E32E97F"/>
    <w:pPr>
      <w:shd w:val="clear" w:color="auto" w:fill="FFFFFF" w:themeFill="background1"/>
      <w:spacing w:after="200"/>
    </w:pPr>
    <w:rPr>
      <w:rFonts w:eastAsia="Calibri"/>
      <w:color w:val="000000" w:themeColor="text1"/>
      <w:lang w:eastAsia="en-US"/>
    </w:rPr>
  </w:style>
  <w:style w:type="character" w:customStyle="1" w:styleId="LPnavadenZnak">
    <w:name w:val="LP_navaden Znak"/>
    <w:rPr>
      <w:rFonts w:ascii="Arial" w:eastAsia="Calibri" w:hAnsi="Arial" w:cs="Arial"/>
      <w:bCs/>
      <w:color w:val="000000"/>
      <w:shd w:val="clear" w:color="auto" w:fill="FFFFFF"/>
      <w:lang w:eastAsia="en-US"/>
    </w:rPr>
  </w:style>
  <w:style w:type="paragraph" w:customStyle="1" w:styleId="Tabelabesedilo">
    <w:name w:val="Tabela_besedilo"/>
    <w:basedOn w:val="LPnavaden"/>
    <w:pPr>
      <w:shd w:val="clear" w:color="auto" w:fill="auto"/>
      <w:ind w:firstLine="125"/>
    </w:pPr>
    <w:rPr>
      <w:rFonts w:eastAsia="Times New Roman"/>
      <w:b/>
      <w:sz w:val="18"/>
    </w:rPr>
  </w:style>
  <w:style w:type="character" w:customStyle="1" w:styleId="TabelabesediloZnak">
    <w:name w:val="Tabela_besedilo Znak"/>
    <w:rPr>
      <w:rFonts w:ascii="Arial" w:hAnsi="Arial" w:cs="Arial"/>
      <w:b/>
      <w:bCs/>
      <w:color w:val="000000"/>
      <w:sz w:val="18"/>
      <w:lang w:eastAsia="en-US"/>
    </w:rPr>
  </w:style>
  <w:style w:type="paragraph" w:customStyle="1" w:styleId="Pravnapodlaga">
    <w:name w:val="Pravna podlaga"/>
    <w:basedOn w:val="Navaden"/>
    <w:uiPriority w:val="1"/>
    <w:rsid w:val="7E32E97F"/>
    <w:pPr>
      <w:spacing w:before="480"/>
      <w:ind w:firstLine="1021"/>
      <w:jc w:val="both"/>
    </w:pPr>
    <w:rPr>
      <w:sz w:val="22"/>
      <w:szCs w:val="22"/>
    </w:rPr>
  </w:style>
  <w:style w:type="character" w:customStyle="1" w:styleId="PravnapodlagaZnak">
    <w:name w:val="Pravna podlaga Znak"/>
    <w:rPr>
      <w:rFonts w:ascii="Arial" w:hAnsi="Arial" w:cs="Arial"/>
      <w:sz w:val="22"/>
      <w:szCs w:val="22"/>
    </w:rPr>
  </w:style>
  <w:style w:type="paragraph" w:customStyle="1" w:styleId="pravnapodlaga1">
    <w:name w:val="pravnapodlaga1"/>
    <w:basedOn w:val="Navaden"/>
    <w:uiPriority w:val="1"/>
    <w:rsid w:val="7E32E97F"/>
    <w:pPr>
      <w:spacing w:before="480"/>
      <w:ind w:firstLine="1021"/>
      <w:jc w:val="both"/>
    </w:pPr>
    <w:rPr>
      <w:rFonts w:cs="Arial"/>
      <w:sz w:val="22"/>
      <w:szCs w:val="22"/>
    </w:rPr>
  </w:style>
  <w:style w:type="paragraph" w:customStyle="1" w:styleId="alineazaodstavkom1">
    <w:name w:val="alineazaodstavkom1"/>
    <w:basedOn w:val="Navaden"/>
    <w:uiPriority w:val="1"/>
    <w:rsid w:val="7E32E97F"/>
    <w:pPr>
      <w:ind w:left="425" w:hanging="425"/>
      <w:jc w:val="both"/>
    </w:pPr>
    <w:rPr>
      <w:rFonts w:cs="Arial"/>
      <w:sz w:val="22"/>
      <w:szCs w:val="22"/>
    </w:rPr>
  </w:style>
  <w:style w:type="character" w:styleId="SledenaHiperpovezava">
    <w:name w:val="FollowedHyperlink"/>
    <w:rPr>
      <w:color w:val="800080"/>
      <w:u w:val="single"/>
    </w:rPr>
  </w:style>
  <w:style w:type="character" w:customStyle="1" w:styleId="Bodytext2">
    <w:name w:val="Body text (2)"/>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lang w:val="sl-SI" w:eastAsia="sl-SI" w:bidi="sl-SI"/>
    </w:rPr>
  </w:style>
  <w:style w:type="character" w:customStyle="1" w:styleId="Bodytext7">
    <w:name w:val="Body text (7)_"/>
    <w:rPr>
      <w:sz w:val="19"/>
      <w:szCs w:val="19"/>
      <w:shd w:val="clear" w:color="auto" w:fill="FFFFFF"/>
    </w:rPr>
  </w:style>
  <w:style w:type="paragraph" w:customStyle="1" w:styleId="Bodytext70">
    <w:name w:val="Body text (7)"/>
    <w:basedOn w:val="Navaden"/>
    <w:uiPriority w:val="1"/>
    <w:rsid w:val="7E32E97F"/>
    <w:pPr>
      <w:shd w:val="clear" w:color="auto" w:fill="FFFFFF" w:themeFill="background1"/>
      <w:spacing w:line="235" w:lineRule="exact"/>
      <w:jc w:val="both"/>
    </w:pPr>
    <w:rPr>
      <w:sz w:val="19"/>
      <w:szCs w:val="19"/>
    </w:rPr>
  </w:style>
  <w:style w:type="paragraph" w:customStyle="1" w:styleId="Text1">
    <w:name w:val="Text 1"/>
    <w:basedOn w:val="Navaden"/>
    <w:uiPriority w:val="1"/>
    <w:rsid w:val="7E32E97F"/>
    <w:pPr>
      <w:spacing w:after="240"/>
      <w:ind w:left="482"/>
      <w:jc w:val="both"/>
    </w:pPr>
    <w:rPr>
      <w:sz w:val="24"/>
      <w:szCs w:val="24"/>
      <w:lang w:val="en-GB" w:eastAsia="en-US"/>
    </w:rPr>
  </w:style>
  <w:style w:type="character" w:customStyle="1" w:styleId="Text1Char">
    <w:name w:val="Text 1 Char"/>
    <w:rPr>
      <w:sz w:val="24"/>
      <w:lang w:val="en-GB" w:eastAsia="en-US"/>
    </w:rPr>
  </w:style>
  <w:style w:type="paragraph" w:customStyle="1" w:styleId="Odstavekseznama11">
    <w:name w:val="Odstavek seznama11"/>
    <w:basedOn w:val="Navaden"/>
    <w:uiPriority w:val="1"/>
    <w:rsid w:val="7E32E97F"/>
    <w:pPr>
      <w:ind w:left="720"/>
      <w:contextualSpacing/>
    </w:pPr>
    <w:rPr>
      <w:rFonts w:ascii="Times New Roman" w:hAnsi="Times New Roman"/>
      <w:lang w:eastAsia="ar-SA"/>
    </w:rPr>
  </w:style>
  <w:style w:type="paragraph" w:customStyle="1" w:styleId="RStekst">
    <w:name w:val="RS tekst"/>
    <w:pPr>
      <w:widowControl w:val="0"/>
      <w:suppressAutoHyphens/>
      <w:spacing w:before="80" w:after="80" w:line="280" w:lineRule="atLeast"/>
      <w:jc w:val="both"/>
    </w:pPr>
    <w:rPr>
      <w:rFonts w:ascii="Garamond" w:eastAsia="Courier New" w:hAnsi="Garamond"/>
      <w:bCs/>
      <w:sz w:val="22"/>
      <w:lang w:eastAsia="en-US"/>
    </w:rPr>
  </w:style>
  <w:style w:type="character" w:customStyle="1" w:styleId="RStekstZnak">
    <w:name w:val="RS tekst Znak"/>
    <w:rPr>
      <w:rFonts w:ascii="Garamond" w:eastAsia="Courier New" w:hAnsi="Garamond"/>
      <w:bCs/>
      <w:sz w:val="22"/>
      <w:lang w:eastAsia="en-US" w:bidi="ar-SA"/>
    </w:rPr>
  </w:style>
  <w:style w:type="paragraph" w:styleId="Telobesedila3">
    <w:name w:val="Body Text 3"/>
    <w:basedOn w:val="Navaden"/>
    <w:uiPriority w:val="1"/>
    <w:rsid w:val="7E32E97F"/>
    <w:pPr>
      <w:spacing w:line="260" w:lineRule="atLeast"/>
      <w:jc w:val="both"/>
    </w:pPr>
  </w:style>
  <w:style w:type="character" w:customStyle="1" w:styleId="Telobesedila3Znak">
    <w:name w:val="Telo besedila 3 Znak"/>
    <w:rPr>
      <w:rFonts w:ascii="Arial" w:hAnsi="Arial" w:cs="Arial"/>
    </w:rPr>
  </w:style>
  <w:style w:type="character" w:customStyle="1" w:styleId="Naslov3Znak">
    <w:name w:val="Naslov 3 Znak"/>
    <w:rPr>
      <w:rFonts w:ascii="Calibri Light" w:eastAsia="SimSun" w:hAnsi="Calibri Light" w:cs="Times New Roman"/>
      <w:color w:val="404040"/>
      <w:sz w:val="26"/>
      <w:szCs w:val="26"/>
    </w:rPr>
  </w:style>
  <w:style w:type="paragraph" w:styleId="Revizija">
    <w:name w:val="Revision"/>
    <w:pPr>
      <w:suppressAutoHyphens/>
      <w:spacing w:after="120" w:line="264" w:lineRule="auto"/>
    </w:pPr>
    <w:rPr>
      <w:rFonts w:ascii="Arial" w:hAnsi="Arial"/>
      <w:sz w:val="21"/>
      <w:szCs w:val="24"/>
      <w:lang w:eastAsia="en-US"/>
    </w:rPr>
  </w:style>
  <w:style w:type="paragraph" w:customStyle="1" w:styleId="COVERPAGE">
    <w:name w:val="COVERPAGE"/>
    <w:basedOn w:val="Navaden"/>
    <w:uiPriority w:val="1"/>
    <w:rsid w:val="7E32E97F"/>
    <w:rPr>
      <w:rFonts w:ascii="Liberation Sans" w:hAnsi="Liberation Sans" w:cs="CG Times"/>
      <w:sz w:val="22"/>
      <w:szCs w:val="22"/>
      <w:lang w:eastAsia="zh-CN"/>
    </w:rPr>
  </w:style>
  <w:style w:type="character" w:customStyle="1" w:styleId="FontStyle42">
    <w:name w:val="Font Style42"/>
    <w:rPr>
      <w:rFonts w:ascii="Arial" w:hAnsi="Arial" w:cs="Arial"/>
      <w:sz w:val="20"/>
      <w:szCs w:val="20"/>
    </w:rPr>
  </w:style>
  <w:style w:type="paragraph" w:customStyle="1" w:styleId="Style11">
    <w:name w:val="Style11"/>
    <w:basedOn w:val="Navaden"/>
    <w:uiPriority w:val="1"/>
    <w:rsid w:val="7E32E97F"/>
    <w:pPr>
      <w:widowControl w:val="0"/>
    </w:pPr>
    <w:rPr>
      <w:rFonts w:ascii="Franklin Gothic Medium" w:hAnsi="Franklin Gothic Medium"/>
      <w:sz w:val="24"/>
      <w:szCs w:val="24"/>
    </w:rPr>
  </w:style>
  <w:style w:type="paragraph" w:customStyle="1" w:styleId="text-justify">
    <w:name w:val="text-justify"/>
    <w:basedOn w:val="Navaden"/>
    <w:uiPriority w:val="1"/>
    <w:rsid w:val="7E32E97F"/>
    <w:rPr>
      <w:rFonts w:ascii="Times New Roman" w:hAnsi="Times New Roman"/>
      <w:sz w:val="24"/>
      <w:szCs w:val="24"/>
    </w:rPr>
  </w:style>
  <w:style w:type="character" w:customStyle="1" w:styleId="A4">
    <w:name w:val="A4"/>
    <w:rPr>
      <w:rFonts w:cs="Republika"/>
      <w:color w:val="000000"/>
      <w:sz w:val="22"/>
      <w:szCs w:val="22"/>
    </w:rPr>
  </w:style>
  <w:style w:type="character" w:styleId="Nerazreenaomemba">
    <w:name w:val="Unresolved Mention"/>
    <w:uiPriority w:val="99"/>
    <w:rPr>
      <w:color w:val="605E5C"/>
      <w:shd w:val="clear" w:color="auto" w:fill="E1DFDD"/>
    </w:rPr>
  </w:style>
  <w:style w:type="paragraph" w:customStyle="1" w:styleId="Pa3">
    <w:name w:val="Pa3"/>
    <w:basedOn w:val="Navaden"/>
    <w:next w:val="Navaden"/>
    <w:uiPriority w:val="1"/>
    <w:rsid w:val="7E32E97F"/>
    <w:pPr>
      <w:spacing w:line="171" w:lineRule="atLeast"/>
    </w:pPr>
    <w:rPr>
      <w:rFonts w:eastAsia="Calibri" w:cs="Arial"/>
      <w:sz w:val="24"/>
      <w:szCs w:val="24"/>
    </w:rPr>
  </w:style>
  <w:style w:type="paragraph" w:customStyle="1" w:styleId="align-justify1">
    <w:name w:val="align-justify1"/>
    <w:basedOn w:val="Navaden"/>
    <w:uiPriority w:val="1"/>
    <w:rsid w:val="7E32E97F"/>
    <w:pPr>
      <w:spacing w:after="0"/>
      <w:jc w:val="both"/>
    </w:pPr>
    <w:rPr>
      <w:rFonts w:ascii="Times New Roman" w:hAnsi="Times New Roman"/>
      <w:sz w:val="24"/>
      <w:szCs w:val="24"/>
    </w:rPr>
  </w:style>
  <w:style w:type="paragraph" w:customStyle="1" w:styleId="ZnakZnak4ZnakZnak1">
    <w:name w:val="Znak Znak4 Znak Znak1"/>
    <w:basedOn w:val="Navaden"/>
    <w:uiPriority w:val="1"/>
    <w:rsid w:val="7E32E97F"/>
    <w:pPr>
      <w:spacing w:after="160" w:line="240" w:lineRule="exact"/>
    </w:pPr>
    <w:rPr>
      <w:rFonts w:ascii="Tahoma" w:eastAsia="SimSun" w:hAnsi="Tahoma" w:cs="Tahoma"/>
      <w:lang w:val="en-US" w:eastAsia="en-US"/>
    </w:rPr>
  </w:style>
  <w:style w:type="paragraph" w:customStyle="1" w:styleId="ZnakZnak1Znak0">
    <w:name w:val="Znak Znak1 Znak0"/>
    <w:basedOn w:val="Navaden"/>
    <w:uiPriority w:val="1"/>
    <w:rsid w:val="7E32E97F"/>
    <w:pPr>
      <w:spacing w:after="160" w:line="240" w:lineRule="exact"/>
    </w:pPr>
    <w:rPr>
      <w:rFonts w:ascii="Tahoma" w:hAnsi="Tahoma" w:cs="Tahoma"/>
      <w:lang w:val="en-US" w:eastAsia="en-US"/>
    </w:rPr>
  </w:style>
  <w:style w:type="paragraph" w:customStyle="1" w:styleId="ZnakZnak4Znak0">
    <w:name w:val="Znak Znak4 Znak0"/>
    <w:basedOn w:val="Navaden"/>
    <w:uiPriority w:val="1"/>
    <w:rsid w:val="7E32E97F"/>
    <w:pPr>
      <w:spacing w:after="160" w:line="240" w:lineRule="exact"/>
    </w:pPr>
    <w:rPr>
      <w:rFonts w:ascii="Tahoma" w:eastAsia="SimSun" w:hAnsi="Tahoma" w:cs="Tahoma"/>
      <w:lang w:val="en-US" w:eastAsia="en-US"/>
    </w:rPr>
  </w:style>
  <w:style w:type="paragraph" w:customStyle="1" w:styleId="Znak1ZnakZnak0">
    <w:name w:val="Znak1 Znak Znak0"/>
    <w:basedOn w:val="Navaden"/>
    <w:uiPriority w:val="1"/>
    <w:rsid w:val="7E32E97F"/>
    <w:pPr>
      <w:spacing w:after="160" w:line="240" w:lineRule="exact"/>
    </w:pPr>
    <w:rPr>
      <w:rFonts w:ascii="Tahoma" w:hAnsi="Tahoma" w:cs="Tahoma"/>
      <w:lang w:val="en-US" w:eastAsia="en-US"/>
    </w:rPr>
  </w:style>
  <w:style w:type="paragraph" w:customStyle="1" w:styleId="ZnakZnakZnakZnakZnakZnakZnak0">
    <w:name w:val="Znak Znak Znak Znak Znak Znak Znak0"/>
    <w:basedOn w:val="Navaden"/>
    <w:uiPriority w:val="1"/>
    <w:rsid w:val="7E32E97F"/>
    <w:pPr>
      <w:spacing w:after="160" w:line="240" w:lineRule="exact"/>
    </w:pPr>
    <w:rPr>
      <w:rFonts w:ascii="Tahoma" w:hAnsi="Tahoma"/>
      <w:lang w:val="en-US" w:eastAsia="en-US"/>
    </w:rPr>
  </w:style>
  <w:style w:type="paragraph" w:customStyle="1" w:styleId="align-center">
    <w:name w:val="align-center"/>
    <w:basedOn w:val="Navaden"/>
    <w:uiPriority w:val="1"/>
    <w:rsid w:val="7E32E97F"/>
    <w:rPr>
      <w:rFonts w:ascii="Times New Roman" w:hAnsi="Times New Roman"/>
      <w:sz w:val="24"/>
      <w:szCs w:val="24"/>
    </w:rPr>
  </w:style>
  <w:style w:type="paragraph" w:customStyle="1" w:styleId="Text2">
    <w:name w:val="Text 2"/>
    <w:basedOn w:val="Navaden"/>
    <w:uiPriority w:val="1"/>
    <w:rsid w:val="7E32E97F"/>
    <w:pPr>
      <w:spacing w:before="60" w:after="60"/>
      <w:ind w:left="1417"/>
    </w:pPr>
    <w:rPr>
      <w:rFonts w:ascii="Times New Roman" w:hAnsi="Times New Roman"/>
      <w:sz w:val="24"/>
      <w:szCs w:val="24"/>
      <w:lang w:val="en-GB" w:eastAsia="en-US"/>
    </w:rPr>
  </w:style>
  <w:style w:type="paragraph" w:customStyle="1" w:styleId="Style6">
    <w:name w:val="Style6"/>
    <w:basedOn w:val="Navaden"/>
    <w:uiPriority w:val="1"/>
    <w:rsid w:val="7E32E97F"/>
    <w:pPr>
      <w:widowControl w:val="0"/>
      <w:spacing w:after="0" w:line="276" w:lineRule="exact"/>
      <w:ind w:hanging="283"/>
    </w:pPr>
    <w:rPr>
      <w:rFonts w:cs="Arial"/>
      <w:sz w:val="24"/>
      <w:szCs w:val="24"/>
    </w:rPr>
  </w:style>
  <w:style w:type="paragraph" w:customStyle="1" w:styleId="Style4">
    <w:name w:val="Style4"/>
    <w:basedOn w:val="Navaden"/>
    <w:uiPriority w:val="1"/>
    <w:rsid w:val="7E32E97F"/>
    <w:pPr>
      <w:widowControl w:val="0"/>
      <w:spacing w:after="0" w:line="278" w:lineRule="exact"/>
      <w:jc w:val="both"/>
    </w:pPr>
    <w:rPr>
      <w:rFonts w:cs="Arial"/>
      <w:sz w:val="24"/>
      <w:szCs w:val="24"/>
    </w:rPr>
  </w:style>
  <w:style w:type="character" w:customStyle="1" w:styleId="colorlightdark1">
    <w:name w:val="color_lightdark1"/>
  </w:style>
  <w:style w:type="character" w:customStyle="1" w:styleId="fontxlarge2">
    <w:name w:val="font_xlarge2"/>
  </w:style>
  <w:style w:type="character" w:customStyle="1" w:styleId="colordark2">
    <w:name w:val="color_dark2"/>
  </w:style>
  <w:style w:type="character" w:customStyle="1" w:styleId="im">
    <w:name w:val="im"/>
  </w:style>
  <w:style w:type="paragraph" w:styleId="Kazalovsebine4">
    <w:name w:val="toc 4"/>
    <w:basedOn w:val="Navaden"/>
    <w:next w:val="Navaden"/>
    <w:uiPriority w:val="39"/>
    <w:rsid w:val="7E32E97F"/>
    <w:pPr>
      <w:spacing w:after="0"/>
      <w:ind w:left="600"/>
    </w:pPr>
    <w:rPr>
      <w:rFonts w:asciiTheme="minorHAnsi" w:hAnsiTheme="minorHAnsi" w:cstheme="minorBidi"/>
      <w:sz w:val="18"/>
      <w:szCs w:val="18"/>
    </w:rPr>
  </w:style>
  <w:style w:type="paragraph" w:styleId="Kazalovsebine5">
    <w:name w:val="toc 5"/>
    <w:basedOn w:val="Navaden"/>
    <w:next w:val="Navaden"/>
    <w:uiPriority w:val="39"/>
    <w:rsid w:val="7E32E97F"/>
    <w:pPr>
      <w:spacing w:after="0"/>
      <w:ind w:left="800"/>
    </w:pPr>
    <w:rPr>
      <w:rFonts w:asciiTheme="minorHAnsi" w:hAnsiTheme="minorHAnsi" w:cstheme="minorBidi"/>
      <w:sz w:val="18"/>
      <w:szCs w:val="18"/>
    </w:rPr>
  </w:style>
  <w:style w:type="paragraph" w:styleId="Kazalovsebine6">
    <w:name w:val="toc 6"/>
    <w:basedOn w:val="Navaden"/>
    <w:next w:val="Navaden"/>
    <w:uiPriority w:val="39"/>
    <w:rsid w:val="7E32E97F"/>
    <w:pPr>
      <w:spacing w:after="0"/>
      <w:ind w:left="1000"/>
    </w:pPr>
    <w:rPr>
      <w:rFonts w:asciiTheme="minorHAnsi" w:hAnsiTheme="minorHAnsi" w:cstheme="minorBidi"/>
      <w:sz w:val="18"/>
      <w:szCs w:val="18"/>
    </w:rPr>
  </w:style>
  <w:style w:type="paragraph" w:styleId="Kazalovsebine7">
    <w:name w:val="toc 7"/>
    <w:basedOn w:val="Navaden"/>
    <w:next w:val="Navaden"/>
    <w:uiPriority w:val="39"/>
    <w:rsid w:val="7E32E97F"/>
    <w:pPr>
      <w:spacing w:after="0"/>
      <w:ind w:left="1200"/>
    </w:pPr>
    <w:rPr>
      <w:rFonts w:asciiTheme="minorHAnsi" w:hAnsiTheme="minorHAnsi" w:cstheme="minorBidi"/>
      <w:sz w:val="18"/>
      <w:szCs w:val="18"/>
    </w:rPr>
  </w:style>
  <w:style w:type="paragraph" w:styleId="Kazalovsebine8">
    <w:name w:val="toc 8"/>
    <w:basedOn w:val="Navaden"/>
    <w:next w:val="Navaden"/>
    <w:uiPriority w:val="39"/>
    <w:rsid w:val="7E32E97F"/>
    <w:pPr>
      <w:spacing w:after="0"/>
      <w:ind w:left="1400"/>
    </w:pPr>
    <w:rPr>
      <w:rFonts w:asciiTheme="minorHAnsi" w:hAnsiTheme="minorHAnsi" w:cstheme="minorBidi"/>
      <w:sz w:val="18"/>
      <w:szCs w:val="18"/>
    </w:rPr>
  </w:style>
  <w:style w:type="paragraph" w:styleId="Kazalovsebine9">
    <w:name w:val="toc 9"/>
    <w:basedOn w:val="Navaden"/>
    <w:next w:val="Navaden"/>
    <w:uiPriority w:val="39"/>
    <w:rsid w:val="7E32E97F"/>
    <w:pPr>
      <w:spacing w:after="0"/>
      <w:ind w:left="1600"/>
    </w:pPr>
    <w:rPr>
      <w:rFonts w:asciiTheme="minorHAnsi" w:hAnsiTheme="minorHAnsi" w:cstheme="minorBidi"/>
      <w:sz w:val="18"/>
      <w:szCs w:val="18"/>
    </w:rPr>
  </w:style>
  <w:style w:type="paragraph" w:customStyle="1" w:styleId="FootnotesymbolCarZchn">
    <w:name w:val="Footnote symbol Car Zchn"/>
    <w:basedOn w:val="Navaden"/>
    <w:uiPriority w:val="1"/>
    <w:rsid w:val="7E32E97F"/>
    <w:pPr>
      <w:spacing w:before="60" w:after="160" w:line="240" w:lineRule="exact"/>
      <w:ind w:left="357" w:hanging="357"/>
      <w:jc w:val="both"/>
    </w:pPr>
    <w:rPr>
      <w:vertAlign w:val="superscript"/>
    </w:rPr>
  </w:style>
  <w:style w:type="character" w:customStyle="1" w:styleId="cf01">
    <w:name w:val="cf01"/>
    <w:rPr>
      <w:rFonts w:ascii="Segoe UI" w:hAnsi="Segoe UI" w:cs="Segoe UI"/>
      <w:sz w:val="18"/>
      <w:szCs w:val="18"/>
    </w:rPr>
  </w:style>
  <w:style w:type="paragraph" w:customStyle="1" w:styleId="P68B1DB1-Navaden6">
    <w:name w:val="P68B1DB1-Navaden6"/>
    <w:basedOn w:val="Navaden"/>
    <w:uiPriority w:val="1"/>
    <w:rsid w:val="7E32E97F"/>
    <w:pPr>
      <w:spacing w:after="160"/>
    </w:pPr>
    <w:rPr>
      <w:rFonts w:ascii="Times New Roman" w:hAnsi="Times New Roman"/>
      <w:color w:val="000000" w:themeColor="text1"/>
      <w:sz w:val="24"/>
      <w:szCs w:val="24"/>
    </w:rPr>
  </w:style>
  <w:style w:type="character" w:customStyle="1" w:styleId="NapisZnak">
    <w:name w:val="Napis Znak"/>
    <w:rPr>
      <w:b/>
      <w:bCs/>
      <w:color w:val="404040"/>
    </w:rPr>
  </w:style>
  <w:style w:type="paragraph" w:customStyle="1" w:styleId="CaptionSlike">
    <w:name w:val="Caption_Slike"/>
    <w:basedOn w:val="Napis"/>
    <w:next w:val="Telobesedila"/>
    <w:pPr>
      <w:keepNext/>
      <w:tabs>
        <w:tab w:val="left" w:pos="992"/>
        <w:tab w:val="left" w:pos="1701"/>
      </w:tabs>
      <w:spacing w:before="240"/>
      <w:ind w:left="992" w:hanging="992"/>
    </w:pPr>
    <w:rPr>
      <w:rFonts w:ascii="Tahoma" w:hAnsi="Tahoma"/>
      <w:i/>
      <w:color w:val="2F5496"/>
      <w:lang w:eastAsia="en-US"/>
    </w:rPr>
  </w:style>
  <w:style w:type="paragraph" w:customStyle="1" w:styleId="Alinejapika">
    <w:name w:val="Alineja_pika"/>
    <w:next w:val="Telobesedila"/>
    <w:pPr>
      <w:numPr>
        <w:numId w:val="14"/>
      </w:numPr>
      <w:suppressAutoHyphens/>
      <w:spacing w:line="276" w:lineRule="auto"/>
      <w:jc w:val="both"/>
    </w:pPr>
    <w:rPr>
      <w:rFonts w:ascii="Tahoma" w:eastAsia="Palatino Linotype" w:hAnsi="Tahoma" w:cs="Palatino Linotype"/>
      <w:sz w:val="22"/>
      <w:szCs w:val="22"/>
      <w:lang w:eastAsia="en-US"/>
    </w:rPr>
  </w:style>
  <w:style w:type="paragraph" w:customStyle="1" w:styleId="Footnotebesedilo">
    <w:name w:val="Footnote besedilo"/>
    <w:basedOn w:val="Navaden"/>
    <w:uiPriority w:val="1"/>
    <w:rsid w:val="7E32E97F"/>
    <w:pPr>
      <w:spacing w:before="60" w:after="0"/>
      <w:ind w:left="284" w:hanging="284"/>
      <w:jc w:val="both"/>
    </w:pPr>
    <w:rPr>
      <w:rFonts w:ascii="Tahoma" w:eastAsia="Calibri" w:hAnsi="Tahoma"/>
      <w:sz w:val="16"/>
      <w:szCs w:val="16"/>
      <w:lang w:eastAsia="en-US"/>
    </w:rPr>
  </w:style>
  <w:style w:type="paragraph" w:customStyle="1" w:styleId="NEPNtabglava">
    <w:name w:val="NEPN_tab_glava"/>
    <w:basedOn w:val="Navaden"/>
    <w:uiPriority w:val="1"/>
    <w:rsid w:val="7E32E97F"/>
    <w:pPr>
      <w:spacing w:before="40" w:after="40"/>
      <w:jc w:val="center"/>
    </w:pPr>
    <w:rPr>
      <w:rFonts w:ascii="Tahoma" w:eastAsia="Calibri" w:hAnsi="Tahoma" w:cs="Tahoma"/>
      <w:b/>
      <w:bCs/>
      <w:color w:val="FFFFFF" w:themeColor="background1"/>
      <w:sz w:val="16"/>
      <w:szCs w:val="16"/>
      <w:lang w:val="en-GB" w:eastAsia="en-US"/>
    </w:rPr>
  </w:style>
  <w:style w:type="paragraph" w:customStyle="1" w:styleId="NEPNtabstolpec1">
    <w:name w:val="NEPN_tab_stolpec1"/>
    <w:basedOn w:val="NEPNtabglava"/>
    <w:pPr>
      <w:jc w:val="left"/>
    </w:pPr>
    <w:rPr>
      <w:bCs w:val="0"/>
    </w:rPr>
  </w:style>
  <w:style w:type="paragraph" w:customStyle="1" w:styleId="NEPNtabbody">
    <w:name w:val="NEPN_tab_body"/>
    <w:basedOn w:val="NEPNtabstolpec1"/>
    <w:pPr>
      <w:jc w:val="center"/>
    </w:pPr>
    <w:rPr>
      <w:b w:val="0"/>
      <w:color w:val="auto"/>
    </w:rPr>
  </w:style>
  <w:style w:type="paragraph" w:styleId="Konnaopomba-besedilo">
    <w:name w:val="endnote text"/>
    <w:basedOn w:val="Navaden"/>
    <w:uiPriority w:val="1"/>
    <w:rsid w:val="7E32E97F"/>
    <w:pPr>
      <w:spacing w:after="0"/>
    </w:pPr>
  </w:style>
  <w:style w:type="numbering" w:customStyle="1" w:styleId="LFO37">
    <w:name w:val="LFO37"/>
    <w:basedOn w:val="Brezseznama"/>
    <w:pPr>
      <w:numPr>
        <w:numId w:val="10"/>
      </w:numPr>
    </w:pPr>
  </w:style>
  <w:style w:type="numbering" w:customStyle="1" w:styleId="LFO39">
    <w:name w:val="LFO39"/>
    <w:basedOn w:val="Brezseznama"/>
    <w:pPr>
      <w:numPr>
        <w:numId w:val="11"/>
      </w:numPr>
    </w:pPr>
  </w:style>
  <w:style w:type="numbering" w:customStyle="1" w:styleId="LFO40">
    <w:name w:val="LFO40"/>
    <w:basedOn w:val="Brezseznama"/>
    <w:pPr>
      <w:numPr>
        <w:numId w:val="12"/>
      </w:numPr>
    </w:pPr>
  </w:style>
  <w:style w:type="numbering" w:customStyle="1" w:styleId="LFO42">
    <w:name w:val="LFO42"/>
    <w:basedOn w:val="Brezseznama"/>
    <w:pPr>
      <w:numPr>
        <w:numId w:val="13"/>
      </w:numPr>
    </w:pPr>
  </w:style>
  <w:style w:type="numbering" w:customStyle="1" w:styleId="LFO123">
    <w:name w:val="LFO123"/>
    <w:basedOn w:val="Brezseznama"/>
    <w:pPr>
      <w:numPr>
        <w:numId w:val="14"/>
      </w:numPr>
    </w:pPr>
  </w:style>
  <w:style w:type="table" w:styleId="Tabelamrea">
    <w:name w:val="Table Grid"/>
    <w:basedOn w:val="Navadnatabela"/>
    <w:uiPriority w:val="39"/>
    <w:rsid w:val="00CD4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476D26"/>
    <w:pPr>
      <w:autoSpaceDN/>
    </w:pPr>
    <w:rPr>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434">
      <w:bodyDiv w:val="1"/>
      <w:marLeft w:val="0"/>
      <w:marRight w:val="0"/>
      <w:marTop w:val="0"/>
      <w:marBottom w:val="0"/>
      <w:divBdr>
        <w:top w:val="none" w:sz="0" w:space="0" w:color="auto"/>
        <w:left w:val="none" w:sz="0" w:space="0" w:color="auto"/>
        <w:bottom w:val="none" w:sz="0" w:space="0" w:color="auto"/>
        <w:right w:val="none" w:sz="0" w:space="0" w:color="auto"/>
      </w:divBdr>
    </w:div>
    <w:div w:id="35784042">
      <w:bodyDiv w:val="1"/>
      <w:marLeft w:val="0"/>
      <w:marRight w:val="0"/>
      <w:marTop w:val="0"/>
      <w:marBottom w:val="0"/>
      <w:divBdr>
        <w:top w:val="none" w:sz="0" w:space="0" w:color="auto"/>
        <w:left w:val="none" w:sz="0" w:space="0" w:color="auto"/>
        <w:bottom w:val="none" w:sz="0" w:space="0" w:color="auto"/>
        <w:right w:val="none" w:sz="0" w:space="0" w:color="auto"/>
      </w:divBdr>
    </w:div>
    <w:div w:id="167990359">
      <w:bodyDiv w:val="1"/>
      <w:marLeft w:val="0"/>
      <w:marRight w:val="0"/>
      <w:marTop w:val="0"/>
      <w:marBottom w:val="0"/>
      <w:divBdr>
        <w:top w:val="none" w:sz="0" w:space="0" w:color="auto"/>
        <w:left w:val="none" w:sz="0" w:space="0" w:color="auto"/>
        <w:bottom w:val="none" w:sz="0" w:space="0" w:color="auto"/>
        <w:right w:val="none" w:sz="0" w:space="0" w:color="auto"/>
      </w:divBdr>
    </w:div>
    <w:div w:id="292250225">
      <w:bodyDiv w:val="1"/>
      <w:marLeft w:val="0"/>
      <w:marRight w:val="0"/>
      <w:marTop w:val="0"/>
      <w:marBottom w:val="0"/>
      <w:divBdr>
        <w:top w:val="none" w:sz="0" w:space="0" w:color="auto"/>
        <w:left w:val="none" w:sz="0" w:space="0" w:color="auto"/>
        <w:bottom w:val="none" w:sz="0" w:space="0" w:color="auto"/>
        <w:right w:val="none" w:sz="0" w:space="0" w:color="auto"/>
      </w:divBdr>
    </w:div>
    <w:div w:id="672269279">
      <w:bodyDiv w:val="1"/>
      <w:marLeft w:val="0"/>
      <w:marRight w:val="0"/>
      <w:marTop w:val="0"/>
      <w:marBottom w:val="0"/>
      <w:divBdr>
        <w:top w:val="none" w:sz="0" w:space="0" w:color="auto"/>
        <w:left w:val="none" w:sz="0" w:space="0" w:color="auto"/>
        <w:bottom w:val="none" w:sz="0" w:space="0" w:color="auto"/>
        <w:right w:val="none" w:sz="0" w:space="0" w:color="auto"/>
      </w:divBdr>
    </w:div>
    <w:div w:id="733504117">
      <w:bodyDiv w:val="1"/>
      <w:marLeft w:val="0"/>
      <w:marRight w:val="0"/>
      <w:marTop w:val="0"/>
      <w:marBottom w:val="0"/>
      <w:divBdr>
        <w:top w:val="none" w:sz="0" w:space="0" w:color="auto"/>
        <w:left w:val="none" w:sz="0" w:space="0" w:color="auto"/>
        <w:bottom w:val="none" w:sz="0" w:space="0" w:color="auto"/>
        <w:right w:val="none" w:sz="0" w:space="0" w:color="auto"/>
      </w:divBdr>
    </w:div>
    <w:div w:id="871303681">
      <w:bodyDiv w:val="1"/>
      <w:marLeft w:val="0"/>
      <w:marRight w:val="0"/>
      <w:marTop w:val="0"/>
      <w:marBottom w:val="0"/>
      <w:divBdr>
        <w:top w:val="none" w:sz="0" w:space="0" w:color="auto"/>
        <w:left w:val="none" w:sz="0" w:space="0" w:color="auto"/>
        <w:bottom w:val="none" w:sz="0" w:space="0" w:color="auto"/>
        <w:right w:val="none" w:sz="0" w:space="0" w:color="auto"/>
      </w:divBdr>
    </w:div>
    <w:div w:id="890074564">
      <w:bodyDiv w:val="1"/>
      <w:marLeft w:val="0"/>
      <w:marRight w:val="0"/>
      <w:marTop w:val="0"/>
      <w:marBottom w:val="0"/>
      <w:divBdr>
        <w:top w:val="none" w:sz="0" w:space="0" w:color="auto"/>
        <w:left w:val="none" w:sz="0" w:space="0" w:color="auto"/>
        <w:bottom w:val="none" w:sz="0" w:space="0" w:color="auto"/>
        <w:right w:val="none" w:sz="0" w:space="0" w:color="auto"/>
      </w:divBdr>
    </w:div>
    <w:div w:id="1117798335">
      <w:bodyDiv w:val="1"/>
      <w:marLeft w:val="0"/>
      <w:marRight w:val="0"/>
      <w:marTop w:val="0"/>
      <w:marBottom w:val="0"/>
      <w:divBdr>
        <w:top w:val="none" w:sz="0" w:space="0" w:color="auto"/>
        <w:left w:val="none" w:sz="0" w:space="0" w:color="auto"/>
        <w:bottom w:val="none" w:sz="0" w:space="0" w:color="auto"/>
        <w:right w:val="none" w:sz="0" w:space="0" w:color="auto"/>
      </w:divBdr>
    </w:div>
    <w:div w:id="1139032674">
      <w:bodyDiv w:val="1"/>
      <w:marLeft w:val="0"/>
      <w:marRight w:val="0"/>
      <w:marTop w:val="0"/>
      <w:marBottom w:val="0"/>
      <w:divBdr>
        <w:top w:val="none" w:sz="0" w:space="0" w:color="auto"/>
        <w:left w:val="none" w:sz="0" w:space="0" w:color="auto"/>
        <w:bottom w:val="none" w:sz="0" w:space="0" w:color="auto"/>
        <w:right w:val="none" w:sz="0" w:space="0" w:color="auto"/>
      </w:divBdr>
    </w:div>
    <w:div w:id="1284847012">
      <w:bodyDiv w:val="1"/>
      <w:marLeft w:val="0"/>
      <w:marRight w:val="0"/>
      <w:marTop w:val="0"/>
      <w:marBottom w:val="0"/>
      <w:divBdr>
        <w:top w:val="none" w:sz="0" w:space="0" w:color="auto"/>
        <w:left w:val="none" w:sz="0" w:space="0" w:color="auto"/>
        <w:bottom w:val="none" w:sz="0" w:space="0" w:color="auto"/>
        <w:right w:val="none" w:sz="0" w:space="0" w:color="auto"/>
      </w:divBdr>
    </w:div>
    <w:div w:id="1449930043">
      <w:bodyDiv w:val="1"/>
      <w:marLeft w:val="0"/>
      <w:marRight w:val="0"/>
      <w:marTop w:val="0"/>
      <w:marBottom w:val="0"/>
      <w:divBdr>
        <w:top w:val="none" w:sz="0" w:space="0" w:color="auto"/>
        <w:left w:val="none" w:sz="0" w:space="0" w:color="auto"/>
        <w:bottom w:val="none" w:sz="0" w:space="0" w:color="auto"/>
        <w:right w:val="none" w:sz="0" w:space="0" w:color="auto"/>
      </w:divBdr>
    </w:div>
    <w:div w:id="1453749710">
      <w:bodyDiv w:val="1"/>
      <w:marLeft w:val="0"/>
      <w:marRight w:val="0"/>
      <w:marTop w:val="0"/>
      <w:marBottom w:val="0"/>
      <w:divBdr>
        <w:top w:val="none" w:sz="0" w:space="0" w:color="auto"/>
        <w:left w:val="none" w:sz="0" w:space="0" w:color="auto"/>
        <w:bottom w:val="none" w:sz="0" w:space="0" w:color="auto"/>
        <w:right w:val="none" w:sz="0" w:space="0" w:color="auto"/>
      </w:divBdr>
    </w:div>
    <w:div w:id="1572228152">
      <w:bodyDiv w:val="1"/>
      <w:marLeft w:val="0"/>
      <w:marRight w:val="0"/>
      <w:marTop w:val="0"/>
      <w:marBottom w:val="0"/>
      <w:divBdr>
        <w:top w:val="none" w:sz="0" w:space="0" w:color="auto"/>
        <w:left w:val="none" w:sz="0" w:space="0" w:color="auto"/>
        <w:bottom w:val="none" w:sz="0" w:space="0" w:color="auto"/>
        <w:right w:val="none" w:sz="0" w:space="0" w:color="auto"/>
      </w:divBdr>
    </w:div>
    <w:div w:id="1608124662">
      <w:bodyDiv w:val="1"/>
      <w:marLeft w:val="0"/>
      <w:marRight w:val="0"/>
      <w:marTop w:val="0"/>
      <w:marBottom w:val="0"/>
      <w:divBdr>
        <w:top w:val="none" w:sz="0" w:space="0" w:color="auto"/>
        <w:left w:val="none" w:sz="0" w:space="0" w:color="auto"/>
        <w:bottom w:val="none" w:sz="0" w:space="0" w:color="auto"/>
        <w:right w:val="none" w:sz="0" w:space="0" w:color="auto"/>
      </w:divBdr>
    </w:div>
    <w:div w:id="1730153081">
      <w:bodyDiv w:val="1"/>
      <w:marLeft w:val="0"/>
      <w:marRight w:val="0"/>
      <w:marTop w:val="0"/>
      <w:marBottom w:val="0"/>
      <w:divBdr>
        <w:top w:val="none" w:sz="0" w:space="0" w:color="auto"/>
        <w:left w:val="none" w:sz="0" w:space="0" w:color="auto"/>
        <w:bottom w:val="none" w:sz="0" w:space="0" w:color="auto"/>
        <w:right w:val="none" w:sz="0" w:space="0" w:color="auto"/>
      </w:divBdr>
    </w:div>
    <w:div w:id="1875845531">
      <w:bodyDiv w:val="1"/>
      <w:marLeft w:val="0"/>
      <w:marRight w:val="0"/>
      <w:marTop w:val="0"/>
      <w:marBottom w:val="0"/>
      <w:divBdr>
        <w:top w:val="none" w:sz="0" w:space="0" w:color="auto"/>
        <w:left w:val="none" w:sz="0" w:space="0" w:color="auto"/>
        <w:bottom w:val="none" w:sz="0" w:space="0" w:color="auto"/>
        <w:right w:val="none" w:sz="0" w:space="0" w:color="auto"/>
      </w:divBdr>
    </w:div>
    <w:div w:id="1968386186">
      <w:bodyDiv w:val="1"/>
      <w:marLeft w:val="0"/>
      <w:marRight w:val="0"/>
      <w:marTop w:val="0"/>
      <w:marBottom w:val="0"/>
      <w:divBdr>
        <w:top w:val="none" w:sz="0" w:space="0" w:color="auto"/>
        <w:left w:val="none" w:sz="0" w:space="0" w:color="auto"/>
        <w:bottom w:val="none" w:sz="0" w:space="0" w:color="auto"/>
        <w:right w:val="none" w:sz="0" w:space="0" w:color="auto"/>
      </w:divBdr>
    </w:div>
    <w:div w:id="2129229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mailto:s5.mkrr@gov.si" TargetMode="External"/><Relationship Id="rId21" Type="http://schemas.openxmlformats.org/officeDocument/2006/relationships/header" Target="header3.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chart" Target="charts/chart3.xml"/><Relationship Id="rId33" Type="http://schemas.openxmlformats.org/officeDocument/2006/relationships/hyperlink" Target="http://www.uradni-list.si/1/objava.jsp?sop=2018-01-058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29" Type="http://schemas.openxmlformats.org/officeDocument/2006/relationships/hyperlink" Target="https://evropskasredstva.si/as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hyperlink" Target="http://www.uradni-list.si/1/objava.jsp?sop=2015-01-357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1.xml"/><Relationship Id="rId28" Type="http://schemas.openxmlformats.org/officeDocument/2006/relationships/hyperlink" Target="https://evropskasredstva.si/eu-projekt-moj-projekt-2025/.%20" TargetMode="External"/><Relationship Id="rId36"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eader" Target="header2.xml"/><Relationship Id="rId31" Type="http://schemas.openxmlformats.org/officeDocument/2006/relationships/hyperlink" Target="https://evropskasredstva.si/evropska-kohezijska-politika/izvajanje/studije-vrednotenja-in-javnomnenjske-raziskav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evropskasredstva.si/evropska-kohezijska-politika/" TargetMode="External"/><Relationship Id="rId27" Type="http://schemas.openxmlformats.org/officeDocument/2006/relationships/hyperlink" Target="http://www.evropskasredstva.si" TargetMode="External"/><Relationship Id="rId30" Type="http://schemas.openxmlformats.org/officeDocument/2006/relationships/hyperlink" Target="https://evropskasredstva.si/e-novice-vizija-kohezija/"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Arial" panose="020B0604020202020204" pitchFamily="34" charset="0"/>
                <a:ea typeface="+mn-ea"/>
                <a:cs typeface="Arial" panose="020B0604020202020204" pitchFamily="34" charset="0"/>
              </a:defRPr>
            </a:pPr>
            <a:r>
              <a:rPr lang="sl-SI" sz="1000"/>
              <a:t>Višina izplačanih ter certificiranih izdatkov</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'ZzI sum'!$A$6</c:f>
              <c:strCache>
                <c:ptCount val="1"/>
                <c:pt idx="0">
                  <c:v>Plačan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3.1274433150899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95-45AF-B0EF-2E56D27ECE60}"/>
                </c:ext>
              </c:extLst>
            </c:dLbl>
            <c:dLbl>
              <c:idx val="1"/>
              <c:layout>
                <c:manualLayout>
                  <c:x val="-9.4077400042762535E-2"/>
                  <c:y val="-0.10164190774042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95-45AF-B0EF-2E56D27ECE60}"/>
                </c:ext>
              </c:extLst>
            </c:dLbl>
            <c:dLbl>
              <c:idx val="2"/>
              <c:layout>
                <c:manualLayout>
                  <c:x val="-5.1314945477870431E-2"/>
                  <c:y val="-4.6911649726348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95-45AF-B0EF-2E56D27ECE60}"/>
                </c:ext>
              </c:extLst>
            </c:dLbl>
            <c:dLbl>
              <c:idx val="3"/>
              <c:layout>
                <c:manualLayout>
                  <c:x val="-1.9240019240019241E-3"/>
                  <c:y val="-3.1662269129287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95-45AF-B0EF-2E56D27ECE60}"/>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'ZzI sum'!$B$5:$D$5</c:f>
              <c:strCache>
                <c:ptCount val="3"/>
                <c:pt idx="0">
                  <c:v>1.1.2024 - 30.6.2024</c:v>
                </c:pt>
                <c:pt idx="1">
                  <c:v>1.7.2024 - 31.12.2024</c:v>
                </c:pt>
                <c:pt idx="2">
                  <c:v>1.1.2025 - 30.6.2025</c:v>
                </c:pt>
              </c:strCache>
            </c:strRef>
          </c:cat>
          <c:val>
            <c:numRef>
              <c:f>'ZzI sum'!$B$6:$D$6</c:f>
              <c:numCache>
                <c:formatCode>#,##0.00</c:formatCode>
                <c:ptCount val="3"/>
                <c:pt idx="0">
                  <c:v>12363317.000000007</c:v>
                </c:pt>
                <c:pt idx="1">
                  <c:v>32967328.879999995</c:v>
                </c:pt>
                <c:pt idx="2">
                  <c:v>95384823.730000064</c:v>
                </c:pt>
              </c:numCache>
            </c:numRef>
          </c:val>
          <c:extLst>
            <c:ext xmlns:c16="http://schemas.microsoft.com/office/drawing/2014/chart" uri="{C3380CC4-5D6E-409C-BE32-E72D297353CC}">
              <c16:uniqueId val="{00000005-7D95-45AF-B0EF-2E56D27ECE60}"/>
            </c:ext>
          </c:extLst>
        </c:ser>
        <c:ser>
          <c:idx val="1"/>
          <c:order val="1"/>
          <c:tx>
            <c:strRef>
              <c:f>'ZzI sum'!$A$7</c:f>
              <c:strCache>
                <c:ptCount val="1"/>
                <c:pt idx="0">
                  <c:v>Certificiran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layout>
                <c:manualLayout>
                  <c:x val="4.2762454564892029E-3"/>
                  <c:y val="-0.105551211884284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95-45AF-B0EF-2E56D27ECE60}"/>
                </c:ext>
              </c:extLst>
            </c:dLbl>
            <c:dLbl>
              <c:idx val="1"/>
              <c:layout>
                <c:manualLayout>
                  <c:x val="-2.8223893437310073E-2"/>
                  <c:y val="-0.157147870198789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95-45AF-B0EF-2E56D27ECE60}"/>
                </c:ext>
              </c:extLst>
            </c:dLbl>
            <c:dLbl>
              <c:idx val="2"/>
              <c:layout>
                <c:manualLayout>
                  <c:x val="1.9451024362814172E-2"/>
                  <c:y val="-0.159498993431137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D95-45AF-B0EF-2E56D27ECE60}"/>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2"/>
                </a:solidFill>
                <a:prstDash val="sysDash"/>
              </a:ln>
              <a:effectLst/>
            </c:spPr>
            <c:trendlineType val="linear"/>
            <c:dispRSqr val="0"/>
            <c:dispEq val="0"/>
          </c:trendline>
          <c:cat>
            <c:strRef>
              <c:f>'ZzI sum'!$B$5:$D$5</c:f>
              <c:strCache>
                <c:ptCount val="3"/>
                <c:pt idx="0">
                  <c:v>1.1.2024 - 30.6.2024</c:v>
                </c:pt>
                <c:pt idx="1">
                  <c:v>1.7.2024 - 31.12.2024</c:v>
                </c:pt>
                <c:pt idx="2">
                  <c:v>1.1.2025 - 30.6.2025</c:v>
                </c:pt>
              </c:strCache>
            </c:strRef>
          </c:cat>
          <c:val>
            <c:numRef>
              <c:f>'ZzI sum'!$B$7:$D$7</c:f>
              <c:numCache>
                <c:formatCode>#,##0.00</c:formatCode>
                <c:ptCount val="3"/>
                <c:pt idx="0">
                  <c:v>0</c:v>
                </c:pt>
                <c:pt idx="1">
                  <c:v>32841178.629999999</c:v>
                </c:pt>
                <c:pt idx="2">
                  <c:v>75963326.829999998</c:v>
                </c:pt>
              </c:numCache>
            </c:numRef>
          </c:val>
          <c:extLst>
            <c:ext xmlns:c16="http://schemas.microsoft.com/office/drawing/2014/chart" uri="{C3380CC4-5D6E-409C-BE32-E72D297353CC}">
              <c16:uniqueId val="{0000000A-7D95-45AF-B0EF-2E56D27ECE60}"/>
            </c:ext>
          </c:extLst>
        </c:ser>
        <c:dLbls>
          <c:showLegendKey val="0"/>
          <c:showVal val="0"/>
          <c:showCatName val="0"/>
          <c:showSerName val="0"/>
          <c:showPercent val="0"/>
          <c:showBubbleSize val="0"/>
        </c:dLbls>
        <c:gapWidth val="100"/>
        <c:overlap val="-24"/>
        <c:axId val="1663400912"/>
        <c:axId val="1663404272"/>
      </c:barChart>
      <c:catAx>
        <c:axId val="16634009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crossAx val="1663404272"/>
        <c:crosses val="autoZero"/>
        <c:auto val="1"/>
        <c:lblAlgn val="ctr"/>
        <c:lblOffset val="100"/>
        <c:noMultiLvlLbl val="0"/>
      </c:catAx>
      <c:valAx>
        <c:axId val="1663404272"/>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crossAx val="166340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tx>
            <c:strRef>
              <c:f>'Uporabnik sum'!$A$5</c:f>
              <c:strCache>
                <c:ptCount val="1"/>
                <c:pt idx="0">
                  <c:v>Registracija uporabnikov</c:v>
                </c:pt>
              </c:strCache>
            </c:strRef>
          </c:tx>
          <c:spPr>
            <a:ln w="28575" cap="rnd">
              <a:solidFill>
                <a:schemeClr val="accent1"/>
              </a:solidFill>
              <a:round/>
            </a:ln>
            <a:effectLst/>
          </c:spPr>
          <c:marker>
            <c:symbol val="none"/>
          </c:marker>
          <c:dLbls>
            <c:dLbl>
              <c:idx val="0"/>
              <c:layout>
                <c:manualLayout>
                  <c:x val="-0.10000000000000002"/>
                  <c:y val="4.629629629629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F5-405F-9767-BA8CD5EE4A47}"/>
                </c:ext>
              </c:extLst>
            </c:dLbl>
            <c:dLbl>
              <c:idx val="1"/>
              <c:layout>
                <c:manualLayout>
                  <c:x val="-6.3888888888888842E-2"/>
                  <c:y val="-6.9444444444444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F5-405F-9767-BA8CD5EE4A47}"/>
                </c:ext>
              </c:extLst>
            </c:dLbl>
            <c:dLbl>
              <c:idx val="2"/>
              <c:layout>
                <c:manualLayout>
                  <c:x val="-2.5000000000000102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F5-405F-9767-BA8CD5EE4A47}"/>
                </c:ext>
              </c:extLst>
            </c:dLbl>
            <c:dLbl>
              <c:idx val="3"/>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F5-405F-9767-BA8CD5EE4A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'Uporabnik sum'!$B$4:$F$4</c:f>
              <c:strCache>
                <c:ptCount val="5"/>
                <c:pt idx="0">
                  <c:v>pred 1.1.2024</c:v>
                </c:pt>
                <c:pt idx="1">
                  <c:v>1.1.2024 - 30.6.2024</c:v>
                </c:pt>
                <c:pt idx="2">
                  <c:v>1.7.2024 - 31.12.2024</c:v>
                </c:pt>
                <c:pt idx="3">
                  <c:v>1.1.2025 - 30.6.2025</c:v>
                </c:pt>
                <c:pt idx="4">
                  <c:v> 01.07.2025 - 31.12.2025</c:v>
                </c:pt>
              </c:strCache>
            </c:strRef>
          </c:cat>
          <c:val>
            <c:numRef>
              <c:f>'Uporabnik sum'!$B$5:$F$5</c:f>
              <c:numCache>
                <c:formatCode>General</c:formatCode>
                <c:ptCount val="5"/>
                <c:pt idx="0">
                  <c:v>277</c:v>
                </c:pt>
                <c:pt idx="1">
                  <c:v>502</c:v>
                </c:pt>
                <c:pt idx="2">
                  <c:v>476</c:v>
                </c:pt>
                <c:pt idx="3">
                  <c:v>308</c:v>
                </c:pt>
                <c:pt idx="4">
                  <c:v>503</c:v>
                </c:pt>
              </c:numCache>
            </c:numRef>
          </c:val>
          <c:smooth val="0"/>
          <c:extLst>
            <c:ext xmlns:c16="http://schemas.microsoft.com/office/drawing/2014/chart" uri="{C3380CC4-5D6E-409C-BE32-E72D297353CC}">
              <c16:uniqueId val="{00000004-97F5-405F-9767-BA8CD5EE4A47}"/>
            </c:ext>
          </c:extLst>
        </c:ser>
        <c:dLbls>
          <c:showLegendKey val="0"/>
          <c:showVal val="0"/>
          <c:showCatName val="0"/>
          <c:showSerName val="0"/>
          <c:showPercent val="0"/>
          <c:showBubbleSize val="0"/>
        </c:dLbls>
        <c:smooth val="0"/>
        <c:axId val="87964320"/>
        <c:axId val="88951120"/>
      </c:lineChart>
      <c:catAx>
        <c:axId val="8796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8951120"/>
        <c:crosses val="autoZero"/>
        <c:auto val="1"/>
        <c:lblAlgn val="ctr"/>
        <c:lblOffset val="100"/>
        <c:noMultiLvlLbl val="0"/>
      </c:catAx>
      <c:valAx>
        <c:axId val="8895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79643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50" b="0" i="0" u="none" strike="noStrike" baseline="0">
                <a:effectLst/>
                <a:latin typeface="Arial" panose="020B0604020202020204" pitchFamily="34" charset="0"/>
                <a:cs typeface="Arial" panose="020B0604020202020204" pitchFamily="34" charset="0"/>
              </a:rPr>
              <a:t>Število "klicev" po aplikaciji </a:t>
            </a:r>
            <a:endParaRPr lang="sl-SI"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cat>
            <c:strRef>
              <c:f>'Uporaba aplikacije'!$A$1:$E$1</c:f>
              <c:strCache>
                <c:ptCount val="5"/>
                <c:pt idx="0">
                  <c:v>Klici pred 1.1.2024</c:v>
                </c:pt>
                <c:pt idx="1">
                  <c:v>01.01.2024 - 30.06.2024</c:v>
                </c:pt>
                <c:pt idx="2">
                  <c:v>01.07.2024 - 31.12.2024</c:v>
                </c:pt>
                <c:pt idx="3">
                  <c:v>01.01.2025 - 30.06.2025</c:v>
                </c:pt>
                <c:pt idx="4">
                  <c:v>01.07.2025 - 31.12.2025</c:v>
                </c:pt>
              </c:strCache>
            </c:strRef>
          </c:cat>
          <c:val>
            <c:numRef>
              <c:f>'Uporaba aplikacije'!$A$2:$E$2</c:f>
              <c:numCache>
                <c:formatCode>#,##0</c:formatCode>
                <c:ptCount val="5"/>
                <c:pt idx="0">
                  <c:v>334799</c:v>
                </c:pt>
                <c:pt idx="1">
                  <c:v>1823281</c:v>
                </c:pt>
                <c:pt idx="2">
                  <c:v>4397353</c:v>
                </c:pt>
                <c:pt idx="3">
                  <c:v>6118518</c:v>
                </c:pt>
                <c:pt idx="4">
                  <c:v>10193301</c:v>
                </c:pt>
              </c:numCache>
            </c:numRef>
          </c:val>
          <c:extLst>
            <c:ext xmlns:c16="http://schemas.microsoft.com/office/drawing/2014/chart" uri="{C3380CC4-5D6E-409C-BE32-E72D297353CC}">
              <c16:uniqueId val="{00000001-9290-4077-8D4F-37AE8BF7AEA8}"/>
            </c:ext>
          </c:extLst>
        </c:ser>
        <c:dLbls>
          <c:dLblPos val="outEnd"/>
          <c:showLegendKey val="0"/>
          <c:showVal val="1"/>
          <c:showCatName val="0"/>
          <c:showSerName val="0"/>
          <c:showPercent val="0"/>
          <c:showBubbleSize val="0"/>
        </c:dLbls>
        <c:gapWidth val="219"/>
        <c:overlap val="-27"/>
        <c:axId val="1831819631"/>
        <c:axId val="1831817711"/>
      </c:barChart>
      <c:catAx>
        <c:axId val="1831819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831817711"/>
        <c:crosses val="autoZero"/>
        <c:auto val="1"/>
        <c:lblAlgn val="ctr"/>
        <c:lblOffset val="100"/>
        <c:noMultiLvlLbl val="0"/>
      </c:catAx>
      <c:valAx>
        <c:axId val="1831817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831819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7C6A72-D332-4BF2-AA3B-BFC73460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36</Pages>
  <Words>14595</Words>
  <Characters>83194</Characters>
  <Application>Microsoft Office Word</Application>
  <DocSecurity>0</DocSecurity>
  <Lines>693</Lines>
  <Paragraphs>195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Vrtovec</dc:creator>
  <cp:keywords/>
  <dc:description/>
  <cp:lastModifiedBy>Jana Vrtovec</cp:lastModifiedBy>
  <cp:revision>72</cp:revision>
  <cp:lastPrinted>2025-08-04T08:37:00Z</cp:lastPrinted>
  <dcterms:created xsi:type="dcterms:W3CDTF">2026-01-16T08:28:00Z</dcterms:created>
  <dcterms:modified xsi:type="dcterms:W3CDTF">2026-02-20T07:56:00Z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0x0101004809996505DE48418139ECB4A4E22B6D</vt:lpwstr>
  </property>
</Properties>
</file>