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"/>
        <w:gridCol w:w="1407"/>
        <w:gridCol w:w="558"/>
        <w:gridCol w:w="892"/>
        <w:gridCol w:w="1414"/>
        <w:gridCol w:w="417"/>
        <w:gridCol w:w="913"/>
        <w:gridCol w:w="683"/>
        <w:gridCol w:w="385"/>
        <w:gridCol w:w="277"/>
        <w:gridCol w:w="26"/>
        <w:gridCol w:w="1959"/>
        <w:gridCol w:w="169"/>
      </w:tblGrid>
      <w:tr w:rsidR="008650F6" w:rsidRPr="001179D7" w14:paraId="586CE661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51A23F8D" w14:textId="7B0ECDCC" w:rsidR="008650F6" w:rsidRPr="009A7121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A7121">
              <w:rPr>
                <w:rFonts w:ascii="Arial" w:hAnsi="Arial" w:cs="Arial"/>
                <w:sz w:val="20"/>
                <w:szCs w:val="20"/>
                <w:lang w:eastAsia="sl-SI"/>
              </w:rPr>
              <w:t xml:space="preserve">Številka: </w:t>
            </w:r>
            <w:r w:rsidR="00902131" w:rsidRPr="009A712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</w:t>
            </w:r>
            <w:r w:rsidR="00BF08B0" w:rsidRPr="009A7121">
              <w:rPr>
                <w:rFonts w:ascii="Arial" w:hAnsi="Arial" w:cs="Arial"/>
                <w:sz w:val="20"/>
                <w:szCs w:val="20"/>
                <w:lang w:eastAsia="sl-SI"/>
              </w:rPr>
              <w:t>014</w:t>
            </w:r>
            <w:r w:rsidRPr="009A7121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="00A50064" w:rsidRPr="009A7121"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  <w:r w:rsidR="00404754" w:rsidRPr="009A7121">
              <w:rPr>
                <w:rFonts w:ascii="Arial" w:hAnsi="Arial" w:cs="Arial"/>
                <w:sz w:val="20"/>
                <w:szCs w:val="20"/>
                <w:lang w:eastAsia="sl-SI"/>
              </w:rPr>
              <w:t>/2025-2030-</w:t>
            </w:r>
            <w:r w:rsidR="001A0685">
              <w:rPr>
                <w:rFonts w:ascii="Arial" w:hAnsi="Arial" w:cs="Arial"/>
                <w:sz w:val="20"/>
                <w:szCs w:val="20"/>
                <w:lang w:eastAsia="sl-SI"/>
              </w:rPr>
              <w:t>25</w:t>
            </w:r>
          </w:p>
        </w:tc>
      </w:tr>
      <w:tr w:rsidR="008650F6" w:rsidRPr="001179D7" w14:paraId="71B8A14C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64CEEF21" w14:textId="30EDEB9E" w:rsidR="008650F6" w:rsidRPr="009A7121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A7121">
              <w:rPr>
                <w:rFonts w:ascii="Arial" w:hAnsi="Arial" w:cs="Arial"/>
                <w:sz w:val="20"/>
                <w:szCs w:val="20"/>
                <w:lang w:eastAsia="sl-SI"/>
              </w:rPr>
              <w:t>Ljubljana,</w:t>
            </w:r>
            <w:r w:rsidR="005E01A2" w:rsidRPr="009A712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1A0685">
              <w:rPr>
                <w:rFonts w:ascii="Arial" w:hAnsi="Arial" w:cs="Arial"/>
                <w:sz w:val="20"/>
                <w:szCs w:val="20"/>
                <w:lang w:eastAsia="sl-SI"/>
              </w:rPr>
              <w:t>12</w:t>
            </w:r>
            <w:r w:rsidR="00B131E2" w:rsidRPr="009A7121">
              <w:rPr>
                <w:rFonts w:ascii="Arial" w:hAnsi="Arial" w:cs="Arial"/>
                <w:sz w:val="20"/>
                <w:szCs w:val="20"/>
                <w:lang w:eastAsia="sl-SI"/>
              </w:rPr>
              <w:t>. </w:t>
            </w:r>
            <w:r w:rsidR="001A0685"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  <w:r w:rsidR="00B131E2" w:rsidRPr="009A7121">
              <w:rPr>
                <w:rFonts w:ascii="Arial" w:hAnsi="Arial" w:cs="Arial"/>
                <w:sz w:val="20"/>
                <w:szCs w:val="20"/>
                <w:lang w:eastAsia="sl-SI"/>
              </w:rPr>
              <w:t>. </w:t>
            </w:r>
            <w:r w:rsidR="00404754" w:rsidRPr="009A7121">
              <w:rPr>
                <w:rFonts w:ascii="Arial" w:hAnsi="Arial" w:cs="Arial"/>
                <w:sz w:val="20"/>
                <w:szCs w:val="20"/>
                <w:lang w:eastAsia="sl-SI"/>
              </w:rPr>
              <w:t>2025</w:t>
            </w:r>
            <w:r w:rsidRPr="009A712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8650F6" w:rsidRPr="001179D7" w14:paraId="484B6BCB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5310D86B" w14:textId="77777777" w:rsidR="008650F6" w:rsidRPr="001179D7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EVA /</w:t>
            </w:r>
          </w:p>
        </w:tc>
      </w:tr>
      <w:tr w:rsidR="008650F6" w:rsidRPr="001179D7" w14:paraId="7A842E29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10732C4E" w14:textId="77777777" w:rsidR="008650F6" w:rsidRPr="001179D7" w:rsidRDefault="008650F6" w:rsidP="001179D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D7772D8" w14:textId="77777777" w:rsidR="008650F6" w:rsidRPr="001179D7" w:rsidRDefault="008650F6" w:rsidP="001179D7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179D7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5A7D9F62" w14:textId="77777777" w:rsidR="008650F6" w:rsidRPr="001179D7" w:rsidRDefault="001A0685" w:rsidP="001179D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650F6" w:rsidRPr="001179D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2058676B" w14:textId="77777777" w:rsidR="008650F6" w:rsidRPr="001179D7" w:rsidRDefault="008650F6" w:rsidP="001179D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0F6" w:rsidRPr="001179D7" w14:paraId="6412CAE0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33BC64B3" w14:textId="77777777" w:rsidR="008650F6" w:rsidRDefault="008650F6" w:rsidP="00A50064">
            <w:pPr>
              <w:tabs>
                <w:tab w:val="left" w:pos="626"/>
              </w:tabs>
              <w:spacing w:after="0" w:line="260" w:lineRule="atLeast"/>
              <w:ind w:left="909" w:hanging="987"/>
              <w:rPr>
                <w:rFonts w:cs="Arial"/>
                <w:b/>
              </w:rPr>
            </w:pPr>
            <w:r w:rsidRPr="001179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BF76A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0036F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Predlog za sklenitev </w:t>
            </w:r>
            <w:r w:rsidR="0060745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</w:t>
            </w:r>
            <w:r w:rsidR="000036F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neksa</w:t>
            </w:r>
            <w:r w:rsidR="0060745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št. </w:t>
            </w:r>
            <w:r w:rsidR="0040475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2</w:t>
            </w:r>
            <w:r w:rsidR="000036F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k </w:t>
            </w:r>
            <w:r w:rsidR="0060745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</w:t>
            </w:r>
            <w:r w:rsidR="000036F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ogodbi o financiranju Javnega zavoda Študijski center za narodno spravo</w:t>
            </w:r>
            <w:r w:rsidR="00BF08B0" w:rsidRPr="00024CE1">
              <w:rPr>
                <w:rFonts w:eastAsia="Calibri"/>
              </w:rPr>
              <w:t xml:space="preserve"> </w:t>
            </w:r>
            <w:r w:rsidR="00BF08B0" w:rsidRPr="00841B61">
              <w:rPr>
                <w:rFonts w:cs="Arial"/>
                <w:b/>
              </w:rPr>
              <w:t>– predlog za obravnavo</w:t>
            </w:r>
          </w:p>
          <w:p w14:paraId="3BEBE73C" w14:textId="223AAFEE" w:rsidR="00B131E2" w:rsidRPr="001179D7" w:rsidRDefault="00B131E2" w:rsidP="00A50064">
            <w:pPr>
              <w:tabs>
                <w:tab w:val="left" w:pos="626"/>
              </w:tabs>
              <w:spacing w:after="0" w:line="260" w:lineRule="atLeast"/>
              <w:ind w:left="909" w:hanging="987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8650F6" w:rsidRPr="001179D7" w14:paraId="0B2035D5" w14:textId="77777777" w:rsidTr="00F7279F">
        <w:trPr>
          <w:gridBefore w:val="1"/>
          <w:gridAfter w:val="1"/>
          <w:wBefore w:w="100" w:type="dxa"/>
          <w:wAfter w:w="169" w:type="dxa"/>
          <w:trHeight w:val="338"/>
        </w:trPr>
        <w:tc>
          <w:tcPr>
            <w:tcW w:w="8931" w:type="dxa"/>
            <w:gridSpan w:val="11"/>
          </w:tcPr>
          <w:p w14:paraId="3FFDEAA9" w14:textId="77777777" w:rsidR="008650F6" w:rsidRPr="001179D7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8650F6" w:rsidRPr="001179D7" w14:paraId="34A4E2BF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359C5B4F" w14:textId="29128209" w:rsidR="00A50064" w:rsidRDefault="008650F6" w:rsidP="001179D7">
            <w:pPr>
              <w:pStyle w:val="datumtevilka"/>
              <w:jc w:val="both"/>
              <w:rPr>
                <w:rFonts w:cs="Arial"/>
              </w:rPr>
            </w:pPr>
            <w:r w:rsidRPr="001179D7">
              <w:rPr>
                <w:rFonts w:cs="Arial"/>
              </w:rPr>
              <w:t xml:space="preserve">Na podlagi </w:t>
            </w:r>
            <w:r w:rsidRPr="00E800F8">
              <w:rPr>
                <w:rFonts w:cs="Arial"/>
              </w:rPr>
              <w:t>šestega odstavka</w:t>
            </w:r>
            <w:r w:rsidRPr="001179D7">
              <w:rPr>
                <w:rFonts w:cs="Arial"/>
              </w:rPr>
              <w:t xml:space="preserve"> 21. člena Zakona o Vladi Republike Slovenije (</w:t>
            </w:r>
            <w:r w:rsidRPr="001179D7">
              <w:rPr>
                <w:rFonts w:cs="Arial"/>
                <w:shd w:val="clear" w:color="auto" w:fill="FFFFFF"/>
              </w:rPr>
              <w:t>Uradni list RS, št. 24/05 – uradno prečiščeno besedilo, 109/08, 38/10 – ZUKN, 8/12, 21/13, 47/13 – ZDU-1G, 65/14</w:t>
            </w:r>
            <w:r w:rsidR="00A50064">
              <w:rPr>
                <w:rFonts w:cs="Arial"/>
                <w:shd w:val="clear" w:color="auto" w:fill="FFFFFF"/>
              </w:rPr>
              <w:t>,</w:t>
            </w:r>
            <w:r w:rsidRPr="001179D7">
              <w:rPr>
                <w:rFonts w:cs="Arial"/>
                <w:shd w:val="clear" w:color="auto" w:fill="FFFFFF"/>
              </w:rPr>
              <w:t xml:space="preserve"> 55/17</w:t>
            </w:r>
            <w:r w:rsidR="00A50064">
              <w:rPr>
                <w:rFonts w:cs="Arial"/>
                <w:shd w:val="clear" w:color="auto" w:fill="FFFFFF"/>
              </w:rPr>
              <w:t xml:space="preserve"> </w:t>
            </w:r>
            <w:r w:rsidR="00A50064" w:rsidRPr="00A50064">
              <w:rPr>
                <w:rFonts w:cs="Arial"/>
                <w:shd w:val="clear" w:color="auto" w:fill="FFFFFF"/>
              </w:rPr>
              <w:t>in 163/22</w:t>
            </w:r>
            <w:r w:rsidR="00A50064">
              <w:rPr>
                <w:rFonts w:cs="Arial"/>
                <w:shd w:val="clear" w:color="auto" w:fill="FFFFFF"/>
              </w:rPr>
              <w:t xml:space="preserve"> </w:t>
            </w:r>
            <w:r w:rsidRPr="001179D7">
              <w:rPr>
                <w:rFonts w:cs="Arial"/>
              </w:rPr>
              <w:t>)</w:t>
            </w:r>
            <w:r w:rsidR="00752002">
              <w:rPr>
                <w:rFonts w:cs="Arial"/>
              </w:rPr>
              <w:t xml:space="preserve"> in</w:t>
            </w:r>
            <w:r w:rsidRPr="001179D7">
              <w:rPr>
                <w:rFonts w:cs="Arial"/>
              </w:rPr>
              <w:t xml:space="preserve"> </w:t>
            </w:r>
            <w:r w:rsidR="0060745A">
              <w:rPr>
                <w:rFonts w:cs="Arial"/>
              </w:rPr>
              <w:t>20</w:t>
            </w:r>
            <w:r w:rsidR="00752002">
              <w:rPr>
                <w:rFonts w:cs="Arial"/>
              </w:rPr>
              <w:t>. člena Sklepa o</w:t>
            </w:r>
            <w:r w:rsidR="00752002" w:rsidRPr="00DD390A">
              <w:rPr>
                <w:rFonts w:cs="Arial"/>
              </w:rPr>
              <w:t xml:space="preserve"> ustanovitvi javnega zavoda Študijski center za narodno spravo (Uradni list RS, št. </w:t>
            </w:r>
            <w:hyperlink r:id="rId9" w:tgtFrame="_blank" w:tooltip="Sklep o ustanovitvi javnega zavoda Študijski center za narodno spravo" w:history="1">
              <w:r w:rsidR="00752002" w:rsidRPr="00DD390A">
                <w:rPr>
                  <w:rFonts w:cs="Arial"/>
                </w:rPr>
                <w:t>42/08</w:t>
              </w:r>
            </w:hyperlink>
            <w:r w:rsidR="00752002" w:rsidRPr="00DD390A">
              <w:rPr>
                <w:rFonts w:cs="Arial"/>
              </w:rPr>
              <w:t>)</w:t>
            </w:r>
            <w:r w:rsidR="00C557A6">
              <w:t>,</w:t>
            </w:r>
            <w:r w:rsidR="00D52DF1">
              <w:t xml:space="preserve"> v povezavi </w:t>
            </w:r>
            <w:r w:rsidR="00DA23EF">
              <w:t xml:space="preserve">z 12. členom Pogodbe o financiranju </w:t>
            </w:r>
            <w:r w:rsidR="00B131E2">
              <w:t>j</w:t>
            </w:r>
            <w:r w:rsidR="00DA23EF">
              <w:t>avnega zavoda Študijski center za narodno spravo,</w:t>
            </w:r>
            <w:r w:rsidR="00C557A6">
              <w:t xml:space="preserve"> </w:t>
            </w:r>
            <w:r w:rsidRPr="001179D7">
              <w:rPr>
                <w:rFonts w:cs="Arial"/>
              </w:rPr>
              <w:t>je Vlada Republike Slovenije na ____ seji dne ______ pod točko _____ sprejela naslednj</w:t>
            </w:r>
            <w:r w:rsidR="00A50064">
              <w:rPr>
                <w:rFonts w:cs="Arial"/>
              </w:rPr>
              <w:t>i</w:t>
            </w:r>
            <w:r w:rsidRPr="001179D7">
              <w:rPr>
                <w:rFonts w:cs="Arial"/>
              </w:rPr>
              <w:t xml:space="preserve"> </w:t>
            </w:r>
          </w:p>
          <w:p w14:paraId="5D69D374" w14:textId="77777777" w:rsidR="00A50064" w:rsidRDefault="00A50064" w:rsidP="001179D7">
            <w:pPr>
              <w:pStyle w:val="datumtevilka"/>
              <w:jc w:val="both"/>
              <w:rPr>
                <w:rFonts w:cs="Arial"/>
              </w:rPr>
            </w:pPr>
          </w:p>
          <w:p w14:paraId="6DBDD716" w14:textId="69662D7D" w:rsidR="008650F6" w:rsidRPr="001179D7" w:rsidRDefault="00A50064" w:rsidP="00073E3D">
            <w:pPr>
              <w:pStyle w:val="datumtevilka"/>
              <w:jc w:val="center"/>
              <w:rPr>
                <w:rFonts w:cs="Arial"/>
              </w:rPr>
            </w:pPr>
            <w:r w:rsidRPr="001179D7">
              <w:rPr>
                <w:rFonts w:cs="Arial"/>
              </w:rPr>
              <w:t>SKLEP</w:t>
            </w:r>
          </w:p>
          <w:p w14:paraId="136499B2" w14:textId="77777777" w:rsidR="008650F6" w:rsidRPr="001179D7" w:rsidRDefault="008650F6" w:rsidP="001179D7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703390" w14:textId="471C91B7" w:rsidR="0060745A" w:rsidRDefault="00980D23" w:rsidP="009A7121">
            <w:pPr>
              <w:pStyle w:val="podpisi"/>
              <w:numPr>
                <w:ilvl w:val="0"/>
                <w:numId w:val="11"/>
              </w:numPr>
              <w:tabs>
                <w:tab w:val="clear" w:pos="3402"/>
              </w:tabs>
              <w:spacing w:line="260" w:lineRule="exact"/>
              <w:ind w:right="1002"/>
              <w:jc w:val="both"/>
              <w:rPr>
                <w:lang w:val="sl-SI"/>
              </w:rPr>
            </w:pPr>
            <w:bookmarkStart w:id="0" w:name="_Hlk53648222"/>
            <w:r>
              <w:rPr>
                <w:lang w:val="sl-SI"/>
              </w:rPr>
              <w:t>S</w:t>
            </w:r>
            <w:r w:rsidR="00A50064">
              <w:rPr>
                <w:lang w:val="sl-SI"/>
              </w:rPr>
              <w:t xml:space="preserve">klene </w:t>
            </w:r>
            <w:r>
              <w:rPr>
                <w:lang w:val="sl-SI"/>
              </w:rPr>
              <w:t xml:space="preserve">se </w:t>
            </w:r>
            <w:r w:rsidR="0060745A">
              <w:rPr>
                <w:lang w:val="sl-SI"/>
              </w:rPr>
              <w:t xml:space="preserve">Aneks št. </w:t>
            </w:r>
            <w:r w:rsidR="00404754">
              <w:rPr>
                <w:lang w:val="sl-SI"/>
              </w:rPr>
              <w:t>2</w:t>
            </w:r>
            <w:r w:rsidR="004703FA">
              <w:rPr>
                <w:lang w:val="sl-SI"/>
              </w:rPr>
              <w:t xml:space="preserve"> </w:t>
            </w:r>
            <w:r>
              <w:rPr>
                <w:lang w:val="sl-SI"/>
              </w:rPr>
              <w:t>k Pogodbi o financiranju Javnega zavoda Študijski center za narodno spravo.</w:t>
            </w:r>
          </w:p>
          <w:p w14:paraId="18D2A121" w14:textId="77777777" w:rsidR="00B82219" w:rsidRDefault="00B82219" w:rsidP="00B131E2">
            <w:pPr>
              <w:pStyle w:val="podpisi"/>
              <w:tabs>
                <w:tab w:val="clear" w:pos="3402"/>
              </w:tabs>
              <w:spacing w:line="260" w:lineRule="exact"/>
              <w:ind w:left="1627" w:right="1002" w:hanging="425"/>
              <w:jc w:val="both"/>
              <w:rPr>
                <w:lang w:val="sl-SI"/>
              </w:rPr>
            </w:pPr>
          </w:p>
          <w:p w14:paraId="291D3F98" w14:textId="4269CAA3" w:rsidR="0060745A" w:rsidRDefault="0060745A" w:rsidP="009A7121">
            <w:pPr>
              <w:pStyle w:val="podpisi"/>
              <w:numPr>
                <w:ilvl w:val="0"/>
                <w:numId w:val="11"/>
              </w:numPr>
              <w:tabs>
                <w:tab w:val="clear" w:pos="3402"/>
              </w:tabs>
              <w:spacing w:line="260" w:lineRule="exact"/>
              <w:ind w:right="1002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Vlada Republike Slovenije za podpis aneksa pooblašča </w:t>
            </w:r>
            <w:r w:rsidR="00404754">
              <w:rPr>
                <w:lang w:val="sl-SI"/>
              </w:rPr>
              <w:t>Andrejo Katič</w:t>
            </w:r>
            <w:r>
              <w:rPr>
                <w:lang w:val="sl-SI"/>
              </w:rPr>
              <w:t>, ministrico za pravosodje.</w:t>
            </w:r>
          </w:p>
          <w:p w14:paraId="7CD29D63" w14:textId="739AA2FC" w:rsidR="0060745A" w:rsidRDefault="0060745A" w:rsidP="0060745A">
            <w:pPr>
              <w:pStyle w:val="podpisi"/>
              <w:tabs>
                <w:tab w:val="clear" w:pos="3402"/>
                <w:tab w:val="left" w:pos="600"/>
              </w:tabs>
              <w:jc w:val="both"/>
              <w:rPr>
                <w:lang w:val="sl-SI"/>
              </w:rPr>
            </w:pPr>
          </w:p>
          <w:p w14:paraId="0E6B9D01" w14:textId="77777777" w:rsidR="0060745A" w:rsidRDefault="0060745A" w:rsidP="0060745A">
            <w:pPr>
              <w:pStyle w:val="podpisi"/>
              <w:tabs>
                <w:tab w:val="clear" w:pos="3402"/>
                <w:tab w:val="left" w:pos="600"/>
              </w:tabs>
              <w:jc w:val="both"/>
              <w:rPr>
                <w:lang w:val="sl-SI"/>
              </w:rPr>
            </w:pPr>
          </w:p>
          <w:bookmarkEnd w:id="0"/>
          <w:p w14:paraId="5F3DA17F" w14:textId="77777777" w:rsidR="00921576" w:rsidRPr="00C04639" w:rsidRDefault="00921576" w:rsidP="00921576">
            <w:p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A696C3D" w14:textId="01E5DF4D" w:rsidR="00921576" w:rsidRPr="00C04639" w:rsidRDefault="00921576" w:rsidP="00921576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C04639">
              <w:rPr>
                <w:rFonts w:cs="Arial"/>
                <w:szCs w:val="20"/>
                <w:lang w:val="sl-SI"/>
              </w:rPr>
              <w:tab/>
            </w:r>
            <w:r w:rsidR="00404754">
              <w:rPr>
                <w:rFonts w:cs="Arial"/>
                <w:szCs w:val="20"/>
                <w:lang w:val="sl-SI"/>
              </w:rPr>
              <w:t xml:space="preserve">              </w:t>
            </w:r>
            <w:r w:rsidR="00FE635F">
              <w:rPr>
                <w:rFonts w:cs="Arial"/>
                <w:szCs w:val="20"/>
                <w:lang w:val="sl-SI"/>
              </w:rPr>
              <w:t xml:space="preserve"> </w:t>
            </w:r>
            <w:r w:rsidR="00404754">
              <w:rPr>
                <w:rFonts w:cs="Arial"/>
                <w:szCs w:val="20"/>
                <w:lang w:val="sl-SI"/>
              </w:rPr>
              <w:t xml:space="preserve">  Barbara Kolenko </w:t>
            </w:r>
            <w:proofErr w:type="spellStart"/>
            <w:r w:rsidR="00404754">
              <w:rPr>
                <w:rFonts w:cs="Arial"/>
                <w:szCs w:val="20"/>
                <w:lang w:val="sl-SI"/>
              </w:rPr>
              <w:t>Helbl</w:t>
            </w:r>
            <w:proofErr w:type="spellEnd"/>
          </w:p>
          <w:p w14:paraId="196A379B" w14:textId="28FBAFFC" w:rsidR="00921576" w:rsidRDefault="00921576" w:rsidP="00921576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C04639">
              <w:rPr>
                <w:rFonts w:cs="Arial"/>
                <w:szCs w:val="20"/>
                <w:lang w:val="sl-SI"/>
              </w:rPr>
              <w:tab/>
              <w:t xml:space="preserve">                  generaln</w:t>
            </w:r>
            <w:r w:rsidR="00404754">
              <w:rPr>
                <w:rFonts w:cs="Arial"/>
                <w:szCs w:val="20"/>
                <w:lang w:val="sl-SI"/>
              </w:rPr>
              <w:t>a</w:t>
            </w:r>
            <w:r w:rsidRPr="00C04639">
              <w:rPr>
                <w:rFonts w:cs="Arial"/>
                <w:szCs w:val="20"/>
                <w:lang w:val="sl-SI"/>
              </w:rPr>
              <w:t xml:space="preserve"> sekretar</w:t>
            </w:r>
            <w:r w:rsidR="00404754">
              <w:rPr>
                <w:rFonts w:cs="Arial"/>
                <w:szCs w:val="20"/>
                <w:lang w:val="sl-SI"/>
              </w:rPr>
              <w:t>ka</w:t>
            </w:r>
          </w:p>
          <w:p w14:paraId="1AE3E7D0" w14:textId="77777777" w:rsidR="00921576" w:rsidRDefault="00921576" w:rsidP="00921576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14:paraId="3440DA60" w14:textId="77777777" w:rsidR="00921576" w:rsidRDefault="00921576" w:rsidP="00921576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14:paraId="3706571D" w14:textId="77777777" w:rsidR="00921576" w:rsidRPr="00073E3D" w:rsidRDefault="00921576" w:rsidP="00B131E2">
            <w:pPr>
              <w:tabs>
                <w:tab w:val="left" w:pos="340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3E3D">
              <w:rPr>
                <w:rFonts w:ascii="Arial" w:hAnsi="Arial" w:cs="Arial"/>
                <w:sz w:val="20"/>
                <w:szCs w:val="20"/>
              </w:rPr>
              <w:t>Sklep prejmejo:</w:t>
            </w:r>
          </w:p>
          <w:p w14:paraId="5C9C6E55" w14:textId="14E5973B" w:rsidR="0060745A" w:rsidRPr="00073E3D" w:rsidRDefault="0060745A" w:rsidP="00921576">
            <w:pPr>
              <w:numPr>
                <w:ilvl w:val="0"/>
                <w:numId w:val="10"/>
              </w:num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E3D">
              <w:rPr>
                <w:rFonts w:ascii="Arial" w:hAnsi="Arial" w:cs="Arial"/>
                <w:sz w:val="20"/>
                <w:szCs w:val="20"/>
              </w:rPr>
              <w:t>Ministrstvo za pravosodje</w:t>
            </w:r>
          </w:p>
          <w:p w14:paraId="35BAAD4E" w14:textId="1220F1B6" w:rsidR="00921576" w:rsidRPr="00073E3D" w:rsidRDefault="00921576" w:rsidP="0060745A">
            <w:pPr>
              <w:numPr>
                <w:ilvl w:val="0"/>
                <w:numId w:val="10"/>
              </w:num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E3D">
              <w:rPr>
                <w:rFonts w:ascii="Arial" w:hAnsi="Arial" w:cs="Arial"/>
                <w:sz w:val="20"/>
                <w:szCs w:val="20"/>
              </w:rPr>
              <w:t>Študijski center za narodno spravo</w:t>
            </w:r>
            <w:r w:rsidR="00314A9F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0" w:history="1">
              <w:r w:rsidR="00314A9F" w:rsidRPr="00063B95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info@scnr.si</w:t>
              </w:r>
            </w:hyperlink>
            <w:r w:rsidR="00314A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5A1A03" w14:textId="77777777" w:rsidR="008650F6" w:rsidRPr="001179D7" w:rsidRDefault="008650F6" w:rsidP="001179D7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EB" w:rsidRPr="000311EB" w14:paraId="4D32C359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349B8464" w14:textId="77777777" w:rsidR="008650F6" w:rsidRPr="000311EB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</w:pPr>
            <w:r w:rsidRPr="000311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0311EB" w:rsidRPr="000311EB" w14:paraId="6C046395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2F7D1110" w14:textId="77777777" w:rsidR="008650F6" w:rsidRPr="000311EB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0311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0311EB" w:rsidRPr="000311EB" w14:paraId="1DD61A4D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7F6D43FC" w14:textId="77777777" w:rsidR="008650F6" w:rsidRPr="000311EB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</w:pPr>
            <w:r w:rsidRPr="000311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0311EB" w:rsidRPr="000311EB" w14:paraId="346AA983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00530373" w14:textId="77777777" w:rsidR="00670929" w:rsidRDefault="00670929" w:rsidP="00670929">
            <w:pPr>
              <w:tabs>
                <w:tab w:val="left" w:pos="2835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67092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565E" w:rsidRPr="00670929">
              <w:rPr>
                <w:rFonts w:ascii="Arial" w:hAnsi="Arial" w:cs="Arial"/>
                <w:sz w:val="20"/>
                <w:szCs w:val="20"/>
              </w:rPr>
              <w:t>mag. Nina Koželj, generalna direktorica</w:t>
            </w:r>
            <w:r w:rsidR="008613D7" w:rsidRPr="00670929">
              <w:rPr>
                <w:rFonts w:ascii="Arial" w:hAnsi="Arial" w:cs="Arial"/>
                <w:iCs/>
                <w:sz w:val="20"/>
                <w:lang w:eastAsia="sl-SI"/>
              </w:rPr>
              <w:t xml:space="preserve"> Direktorata za kaznovalno pravo in človekove pravice</w:t>
            </w:r>
            <w:r w:rsidR="00073E3D" w:rsidRPr="006709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1E35AFB2" w14:textId="77777777" w:rsidR="00670929" w:rsidRDefault="00670929" w:rsidP="00670929">
            <w:pPr>
              <w:tabs>
                <w:tab w:val="left" w:pos="2835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04754" w:rsidRPr="00670929">
              <w:rPr>
                <w:rFonts w:ascii="Arial" w:hAnsi="Arial" w:cs="Arial"/>
                <w:sz w:val="20"/>
                <w:szCs w:val="20"/>
              </w:rPr>
              <w:t>Miriam Lavrič</w:t>
            </w:r>
            <w:r w:rsidR="0039565E" w:rsidRPr="00670929">
              <w:rPr>
                <w:rFonts w:ascii="Arial" w:hAnsi="Arial" w:cs="Arial"/>
                <w:sz w:val="20"/>
                <w:szCs w:val="20"/>
              </w:rPr>
              <w:t>, vodja sektorja</w:t>
            </w:r>
            <w:r w:rsidR="008613D7" w:rsidRPr="00670929">
              <w:rPr>
                <w:rFonts w:ascii="Arial" w:hAnsi="Arial" w:cs="Arial"/>
                <w:iCs/>
                <w:sz w:val="20"/>
                <w:lang w:eastAsia="sl-SI"/>
              </w:rPr>
              <w:t>, Sektor za podporo žrtvam kaznivih dejanj, Direktorat za kaznovalno pravo in človekove pravice</w:t>
            </w:r>
            <w:r w:rsidR="0039565E" w:rsidRPr="006709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E145F2" w14:textId="4D54073A" w:rsidR="00B131E2" w:rsidRDefault="00670929" w:rsidP="00670929">
            <w:pPr>
              <w:tabs>
                <w:tab w:val="left" w:pos="2835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B131E2">
              <w:rPr>
                <w:rFonts w:ascii="Arial" w:hAnsi="Arial" w:cs="Arial"/>
                <w:sz w:val="20"/>
                <w:szCs w:val="20"/>
              </w:rPr>
              <w:t xml:space="preserve">Andreja Parkelj, sekretarka, </w:t>
            </w:r>
            <w:r w:rsidR="00B131E2" w:rsidRPr="005F13D1">
              <w:rPr>
                <w:rFonts w:ascii="Arial" w:eastAsia="Times New Roman" w:hAnsi="Arial" w:cs="Arial"/>
                <w:iCs/>
                <w:sz w:val="20"/>
                <w:lang w:eastAsia="sl-SI"/>
              </w:rPr>
              <w:t>Sektor za podporo žrtvam kaznivih dejanj, Direktorat za kaznovalno pravo in človekove pravice</w:t>
            </w:r>
          </w:p>
          <w:p w14:paraId="16FE4A07" w14:textId="4A9BDB2A" w:rsidR="008613D7" w:rsidRPr="000311EB" w:rsidRDefault="008613D7" w:rsidP="001179D7">
            <w:pPr>
              <w:tabs>
                <w:tab w:val="left" w:pos="2835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EB" w:rsidRPr="000311EB" w14:paraId="4567D0DE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7AF5DE8D" w14:textId="77777777" w:rsidR="008650F6" w:rsidRPr="000311EB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</w:pPr>
            <w:r w:rsidRPr="000311EB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lastRenderedPageBreak/>
              <w:t xml:space="preserve">3.b Zunanji strokovnjaki, ki so </w:t>
            </w:r>
            <w:r w:rsidRPr="000311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0311EB" w:rsidRPr="000311EB" w14:paraId="2489988D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3AC4A20D" w14:textId="77777777" w:rsidR="008650F6" w:rsidRPr="000311EB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0311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0311EB" w:rsidRPr="000311EB" w14:paraId="2DE14A62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4DAE2C2B" w14:textId="77777777" w:rsidR="008650F6" w:rsidRPr="000311EB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</w:pPr>
            <w:r w:rsidRPr="000311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0311EB" w:rsidRPr="000311EB" w14:paraId="193BE843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36EF667F" w14:textId="77777777" w:rsidR="008650F6" w:rsidRPr="000311EB" w:rsidRDefault="008650F6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0311E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0311EB" w:rsidRPr="000311EB" w14:paraId="32DEABF5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195A28DF" w14:textId="505F858E" w:rsidR="008650F6" w:rsidRPr="000311EB" w:rsidRDefault="008650F6" w:rsidP="001179D7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outlineLvl w:val="3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0311E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0311EB" w:rsidRPr="000311EB" w14:paraId="39175D35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65B426A7" w14:textId="77777777" w:rsidR="001179D7" w:rsidRDefault="001179D7" w:rsidP="001179D7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outlineLvl w:val="3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1687D0B5" w14:textId="289D9691" w:rsidR="00073E3D" w:rsidRDefault="00FB2F09" w:rsidP="00073E3D">
            <w:pPr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Predlaga se sklenitev </w:t>
            </w:r>
            <w:r w:rsidR="00073E3D">
              <w:rPr>
                <w:rFonts w:ascii="Arial" w:hAnsi="Arial" w:cs="Arial"/>
                <w:sz w:val="20"/>
              </w:rPr>
              <w:t>A</w:t>
            </w:r>
            <w:r w:rsidR="00073E3D" w:rsidRPr="00DB49CF">
              <w:rPr>
                <w:rFonts w:ascii="Arial" w:hAnsi="Arial" w:cs="Arial"/>
                <w:sz w:val="20"/>
              </w:rPr>
              <w:t>neks</w:t>
            </w:r>
            <w:r>
              <w:rPr>
                <w:rFonts w:ascii="Arial" w:hAnsi="Arial" w:cs="Arial"/>
                <w:sz w:val="20"/>
              </w:rPr>
              <w:t>a</w:t>
            </w:r>
            <w:r w:rsidR="00073E3D">
              <w:rPr>
                <w:rFonts w:ascii="Arial" w:hAnsi="Arial" w:cs="Arial"/>
                <w:sz w:val="20"/>
              </w:rPr>
              <w:t xml:space="preserve"> št. 2 k pogodbi </w:t>
            </w:r>
            <w:r w:rsidR="00133E4E">
              <w:rPr>
                <w:rFonts w:ascii="Arial" w:hAnsi="Arial" w:cs="Arial"/>
                <w:sz w:val="20"/>
              </w:rPr>
              <w:t>o financiranju javnega zavoda Študijski center za narodno spravo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073E3D" w:rsidRPr="00DB49CF">
              <w:rPr>
                <w:rFonts w:ascii="Arial" w:hAnsi="Arial" w:cs="Arial"/>
                <w:sz w:val="20"/>
              </w:rPr>
              <w:t>z namenom, da se</w:t>
            </w:r>
            <w:r w:rsidR="00073E3D">
              <w:rPr>
                <w:rFonts w:ascii="Arial" w:hAnsi="Arial" w:cs="Arial"/>
                <w:sz w:val="20"/>
              </w:rPr>
              <w:t xml:space="preserve"> </w:t>
            </w:r>
            <w:r w:rsidR="00073E3D" w:rsidRPr="00FE635F">
              <w:rPr>
                <w:rFonts w:ascii="Arial" w:hAnsi="Arial" w:cs="Arial"/>
                <w:sz w:val="20"/>
              </w:rPr>
              <w:t xml:space="preserve">poimenovanje delovnih mest v pogodbi uskladi z novimi  predpisi s področja sistema plač v javnem sektorju, in sicer Aneksom h Kolektivni pogodbi za raziskovalno dejavnost - priloga 6 (Uradni list RS, št. 99/24 in 109/24 – popr.), ki </w:t>
            </w:r>
            <w:r w:rsidR="00073E3D">
              <w:rPr>
                <w:rFonts w:ascii="Arial" w:hAnsi="Arial" w:cs="Arial"/>
                <w:sz w:val="20"/>
              </w:rPr>
              <w:t>je</w:t>
            </w:r>
            <w:r w:rsidR="00073E3D" w:rsidRPr="00FE635F">
              <w:rPr>
                <w:rFonts w:ascii="Arial" w:hAnsi="Arial" w:cs="Arial"/>
                <w:sz w:val="20"/>
              </w:rPr>
              <w:t xml:space="preserve"> bil sprejet na podlagi Zakona o skupnih temeljih sistema plač v javnem sektorju (ZSTSPJS</w:t>
            </w:r>
            <w:r w:rsidR="00073E3D">
              <w:rPr>
                <w:rFonts w:ascii="Arial" w:hAnsi="Arial" w:cs="Arial"/>
                <w:sz w:val="20"/>
              </w:rPr>
              <w:t xml:space="preserve">, </w:t>
            </w:r>
            <w:r w:rsidR="00073E3D" w:rsidRPr="00FE635F">
              <w:rPr>
                <w:rFonts w:ascii="Arial" w:hAnsi="Arial" w:cs="Arial"/>
                <w:sz w:val="20"/>
              </w:rPr>
              <w:t>Uradni list RS, št. 95/24)</w:t>
            </w:r>
            <w:r w:rsidR="00073E3D">
              <w:rPr>
                <w:rFonts w:ascii="Arial" w:hAnsi="Arial" w:cs="Arial"/>
                <w:sz w:val="20"/>
              </w:rPr>
              <w:t>.</w:t>
            </w:r>
          </w:p>
          <w:p w14:paraId="735E64CD" w14:textId="05FF4B0C" w:rsidR="00073E3D" w:rsidRDefault="00073E3D" w:rsidP="00073E3D">
            <w:pPr>
              <w:spacing w:line="260" w:lineRule="atLeast"/>
              <w:jc w:val="both"/>
            </w:pPr>
            <w:r>
              <w:rPr>
                <w:rFonts w:ascii="Arial" w:hAnsi="Arial" w:cs="Arial"/>
                <w:sz w:val="20"/>
              </w:rPr>
              <w:t>Glede na to, da pogodba o financiranju izplačila sredstev za stroške dela javnemu zavodu veže na izrecno določena delovna mesta, opredeljena v 2. členu, ki se ukinjajo oziroma spreminjajo, se predlaga sprememba</w:t>
            </w:r>
            <w:r w:rsidR="00B131E2">
              <w:rPr>
                <w:rFonts w:ascii="Arial" w:hAnsi="Arial" w:cs="Arial"/>
                <w:sz w:val="20"/>
              </w:rPr>
              <w:t xml:space="preserve"> oziroma uskladitev</w:t>
            </w:r>
            <w:r>
              <w:rPr>
                <w:rFonts w:ascii="Arial" w:hAnsi="Arial" w:cs="Arial"/>
                <w:sz w:val="20"/>
              </w:rPr>
              <w:t xml:space="preserve"> pogodbe v tem delu. </w:t>
            </w:r>
          </w:p>
          <w:p w14:paraId="4E5463DC" w14:textId="77777777" w:rsidR="00073E3D" w:rsidRDefault="00073E3D" w:rsidP="001179D7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outlineLvl w:val="3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1628DF9E" w14:textId="1344687F" w:rsidR="00073E3D" w:rsidRPr="000311EB" w:rsidRDefault="00073E3D" w:rsidP="001179D7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outlineLvl w:val="3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1179D7" w:rsidRPr="001179D7" w14:paraId="41E6C009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</w:tcPr>
          <w:p w14:paraId="2377B1A5" w14:textId="77777777" w:rsidR="001179D7" w:rsidRPr="001179D7" w:rsidRDefault="001179D7" w:rsidP="001179D7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outlineLvl w:val="3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1179D7" w:rsidRPr="001179D7" w14:paraId="3EB2A5BA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1407" w:type="dxa"/>
          </w:tcPr>
          <w:p w14:paraId="4C6202D8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ind w:left="36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539" w:type="dxa"/>
            <w:gridSpan w:val="8"/>
          </w:tcPr>
          <w:p w14:paraId="6713EFAF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1985" w:type="dxa"/>
            <w:gridSpan w:val="2"/>
            <w:vAlign w:val="center"/>
          </w:tcPr>
          <w:p w14:paraId="02DEF6E7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179D7" w:rsidRPr="001179D7" w14:paraId="334B98FD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1407" w:type="dxa"/>
          </w:tcPr>
          <w:p w14:paraId="668CB80C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ind w:left="36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539" w:type="dxa"/>
            <w:gridSpan w:val="8"/>
          </w:tcPr>
          <w:p w14:paraId="3F7D8F48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1985" w:type="dxa"/>
            <w:gridSpan w:val="2"/>
            <w:vAlign w:val="center"/>
          </w:tcPr>
          <w:p w14:paraId="4EEE9EB6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179D7" w:rsidRPr="001179D7" w14:paraId="289ACE51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1407" w:type="dxa"/>
          </w:tcPr>
          <w:p w14:paraId="7638F8D3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ind w:left="36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539" w:type="dxa"/>
            <w:gridSpan w:val="8"/>
          </w:tcPr>
          <w:p w14:paraId="02AEAB78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1985" w:type="dxa"/>
            <w:gridSpan w:val="2"/>
            <w:vAlign w:val="center"/>
          </w:tcPr>
          <w:p w14:paraId="01F4D4F8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179D7" w:rsidRPr="001179D7" w14:paraId="12F23472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1407" w:type="dxa"/>
          </w:tcPr>
          <w:p w14:paraId="55E9C7F2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ind w:left="36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539" w:type="dxa"/>
            <w:gridSpan w:val="8"/>
          </w:tcPr>
          <w:p w14:paraId="04A86EE7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gospodarstvo, zlasti</w:t>
            </w:r>
            <w:r w:rsidRPr="001179D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1985" w:type="dxa"/>
            <w:gridSpan w:val="2"/>
            <w:vAlign w:val="center"/>
          </w:tcPr>
          <w:p w14:paraId="4CB33B2E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179D7" w:rsidRPr="001179D7" w14:paraId="1A4F7FA2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1407" w:type="dxa"/>
          </w:tcPr>
          <w:p w14:paraId="70D2BFFE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ind w:left="36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539" w:type="dxa"/>
            <w:gridSpan w:val="8"/>
          </w:tcPr>
          <w:p w14:paraId="601C7785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1985" w:type="dxa"/>
            <w:gridSpan w:val="2"/>
            <w:vAlign w:val="center"/>
          </w:tcPr>
          <w:p w14:paraId="3F221A15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179D7" w:rsidRPr="001179D7" w14:paraId="219BFA26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1407" w:type="dxa"/>
          </w:tcPr>
          <w:p w14:paraId="76E021D2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ind w:left="36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539" w:type="dxa"/>
            <w:gridSpan w:val="8"/>
          </w:tcPr>
          <w:p w14:paraId="0F7E696E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1985" w:type="dxa"/>
            <w:gridSpan w:val="2"/>
            <w:vAlign w:val="center"/>
          </w:tcPr>
          <w:p w14:paraId="7F9F696A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179D7" w:rsidRPr="001179D7" w14:paraId="3473E54D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1407" w:type="dxa"/>
            <w:tcBorders>
              <w:bottom w:val="single" w:sz="4" w:space="0" w:color="auto"/>
            </w:tcBorders>
          </w:tcPr>
          <w:p w14:paraId="77D85A58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ind w:left="36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539" w:type="dxa"/>
            <w:gridSpan w:val="8"/>
            <w:tcBorders>
              <w:bottom w:val="single" w:sz="4" w:space="0" w:color="auto"/>
            </w:tcBorders>
          </w:tcPr>
          <w:p w14:paraId="420EDA4E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4ED9B162" w14:textId="77777777" w:rsidR="001179D7" w:rsidRPr="001179D7" w:rsidRDefault="001179D7" w:rsidP="001179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atLeast"/>
              <w:ind w:left="714" w:hanging="35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1076EEA5" w14:textId="77777777" w:rsidR="001179D7" w:rsidRPr="001179D7" w:rsidRDefault="001179D7" w:rsidP="001179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atLeast"/>
              <w:ind w:left="714" w:hanging="35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3DADF4F3" w14:textId="77777777" w:rsidR="001179D7" w:rsidRPr="001179D7" w:rsidRDefault="001179D7" w:rsidP="001179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atLeast"/>
              <w:ind w:left="714" w:hanging="35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59AF348" w14:textId="77777777" w:rsidR="001179D7" w:rsidRPr="001179D7" w:rsidRDefault="001179D7" w:rsidP="001179D7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179D7" w:rsidRPr="001179D7" w14:paraId="158D3B2C" w14:textId="77777777" w:rsidTr="00F7279F">
        <w:trPr>
          <w:gridBefore w:val="1"/>
          <w:gridAfter w:val="1"/>
          <w:wBefore w:w="100" w:type="dxa"/>
          <w:wAfter w:w="169" w:type="dxa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423" w14:textId="77777777" w:rsidR="001179D7" w:rsidRPr="001179D7" w:rsidRDefault="001179D7" w:rsidP="001179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outlineLvl w:val="3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7.a Predstavitev ocene finančnih posledic nad 40.000 EUR: /</w:t>
            </w:r>
          </w:p>
          <w:p w14:paraId="2BAFE266" w14:textId="77777777" w:rsidR="001179D7" w:rsidRPr="001179D7" w:rsidRDefault="001179D7" w:rsidP="001179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outlineLvl w:val="3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  <w:tr w:rsidR="001179D7" w:rsidRPr="001179D7" w14:paraId="0735EA31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23D1D6" w14:textId="77777777" w:rsidR="001179D7" w:rsidRPr="001179D7" w:rsidRDefault="001179D7" w:rsidP="001179D7">
            <w:pPr>
              <w:pageBreakBefore/>
              <w:widowControl w:val="0"/>
              <w:tabs>
                <w:tab w:val="left" w:pos="2340"/>
              </w:tabs>
              <w:spacing w:after="0" w:line="260" w:lineRule="atLeast"/>
              <w:ind w:left="142" w:hanging="142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1179D7" w:rsidRPr="001179D7" w14:paraId="4BCA0CFC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F69" w14:textId="77777777" w:rsidR="001179D7" w:rsidRPr="001179D7" w:rsidRDefault="001179D7" w:rsidP="001179D7">
            <w:pPr>
              <w:widowControl w:val="0"/>
              <w:spacing w:after="0" w:line="260" w:lineRule="atLeas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F2A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7E2A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C722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2DD5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1179D7" w:rsidRPr="001179D7" w14:paraId="0990D832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F9C3" w14:textId="77777777" w:rsidR="001179D7" w:rsidRPr="001179D7" w:rsidRDefault="001179D7" w:rsidP="001179D7">
            <w:pPr>
              <w:widowControl w:val="0"/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179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179D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BFE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40F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038D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25E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07E5FC5A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9F31" w14:textId="77777777" w:rsidR="001179D7" w:rsidRPr="001179D7" w:rsidRDefault="001179D7" w:rsidP="001179D7">
            <w:pPr>
              <w:widowControl w:val="0"/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179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179D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CC4B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EE5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F784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6D9D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7B5B3437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B3C8" w14:textId="77777777" w:rsidR="001179D7" w:rsidRPr="001179D7" w:rsidRDefault="001179D7" w:rsidP="001179D7">
            <w:pPr>
              <w:widowControl w:val="0"/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179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179D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C424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73AC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31C0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94B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1179D7" w:rsidRPr="001179D7" w14:paraId="26661DC0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173E" w14:textId="77777777" w:rsidR="001179D7" w:rsidRPr="001179D7" w:rsidRDefault="001179D7" w:rsidP="001179D7">
            <w:pPr>
              <w:widowControl w:val="0"/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179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179D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9B5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92B0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2AAD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064A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1179D7" w:rsidRPr="001179D7" w14:paraId="06D1964F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1290" w14:textId="77777777" w:rsidR="001179D7" w:rsidRPr="001179D7" w:rsidRDefault="001179D7" w:rsidP="001179D7">
            <w:pPr>
              <w:widowControl w:val="0"/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179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179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179D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E08C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4A94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2F0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C7E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16C98367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800195" w14:textId="77777777" w:rsidR="001179D7" w:rsidRPr="001179D7" w:rsidRDefault="001179D7" w:rsidP="001179D7">
            <w:pPr>
              <w:widowControl w:val="0"/>
              <w:tabs>
                <w:tab w:val="left" w:pos="2340"/>
              </w:tabs>
              <w:spacing w:after="0" w:line="260" w:lineRule="atLeast"/>
              <w:ind w:left="142" w:hanging="142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1179D7" w:rsidRPr="001179D7" w14:paraId="0AEBFAA4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C2CAD4" w14:textId="77777777" w:rsidR="001179D7" w:rsidRPr="001179D7" w:rsidRDefault="001179D7" w:rsidP="001179D7">
            <w:pPr>
              <w:widowControl w:val="0"/>
              <w:tabs>
                <w:tab w:val="left" w:pos="2340"/>
              </w:tabs>
              <w:spacing w:after="0" w:line="260" w:lineRule="atLeast"/>
              <w:ind w:left="142" w:hanging="142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1179D7" w:rsidRPr="001179D7" w14:paraId="0B9DC0D1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DF8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92E6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70C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ADD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E285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1179D7" w:rsidRPr="001179D7" w14:paraId="39827454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3C1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A06F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B842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86E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48ED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3008B863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9840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B202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9A4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83EC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92D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7944F64F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7D50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D9C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AEC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179D7" w:rsidRPr="001179D7" w14:paraId="4BD0C9B4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AA2816" w14:textId="77777777" w:rsidR="001179D7" w:rsidRPr="001179D7" w:rsidRDefault="001179D7" w:rsidP="001179D7">
            <w:pPr>
              <w:widowControl w:val="0"/>
              <w:tabs>
                <w:tab w:val="left" w:pos="234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1179D7" w:rsidRPr="001179D7" w14:paraId="06414B82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5F2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2971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430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1DC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8864" w14:textId="77777777" w:rsidR="001179D7" w:rsidRPr="001179D7" w:rsidRDefault="001179D7" w:rsidP="001179D7">
            <w:pPr>
              <w:widowControl w:val="0"/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1179D7" w:rsidRPr="001179D7" w14:paraId="6F7C85E2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247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C2C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CE87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C7B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9C3D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6E0DD7CB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1202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A794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8BDE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98D8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E19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6A0243CE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A79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405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944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179D7" w:rsidRPr="001179D7" w14:paraId="5FA102F6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F02AA5" w14:textId="77777777" w:rsidR="001179D7" w:rsidRPr="001179D7" w:rsidRDefault="001179D7" w:rsidP="001179D7">
            <w:pPr>
              <w:widowControl w:val="0"/>
              <w:tabs>
                <w:tab w:val="left" w:pos="234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1179D7" w:rsidRPr="001179D7" w14:paraId="691A3AE3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D7F" w14:textId="77777777" w:rsidR="001179D7" w:rsidRPr="001179D7" w:rsidRDefault="001179D7" w:rsidP="001179D7">
            <w:pPr>
              <w:widowControl w:val="0"/>
              <w:spacing w:after="0" w:line="260" w:lineRule="atLeas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AB7" w14:textId="77777777" w:rsidR="001179D7" w:rsidRPr="001179D7" w:rsidRDefault="001179D7" w:rsidP="001179D7">
            <w:pPr>
              <w:widowControl w:val="0"/>
              <w:spacing w:after="0" w:line="260" w:lineRule="atLeas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68F" w14:textId="77777777" w:rsidR="001179D7" w:rsidRPr="001179D7" w:rsidRDefault="001179D7" w:rsidP="001179D7">
            <w:pPr>
              <w:widowControl w:val="0"/>
              <w:spacing w:after="0" w:line="260" w:lineRule="atLeas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9D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1179D7" w:rsidRPr="001179D7" w14:paraId="4A0A9924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067C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BBB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FC2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5EF0E70B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E59A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186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0D96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318F7E89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9A3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77B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CEA5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179D7" w:rsidRPr="001179D7" w14:paraId="53022C31" w14:textId="77777777" w:rsidTr="00F72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B81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179D7"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D69E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54AB" w14:textId="77777777" w:rsidR="001179D7" w:rsidRPr="001179D7" w:rsidRDefault="001179D7" w:rsidP="001179D7">
            <w:pPr>
              <w:widowControl w:val="0"/>
              <w:tabs>
                <w:tab w:val="left" w:pos="360"/>
              </w:tabs>
              <w:spacing w:after="0" w:line="260" w:lineRule="atLeast"/>
              <w:outlineLvl w:val="0"/>
              <w:rPr>
                <w:rFonts w:ascii="Arial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179D7" w:rsidRPr="001179D7" w14:paraId="17173EAE" w14:textId="77777777" w:rsidTr="00F7279F">
        <w:trPr>
          <w:trHeight w:val="1910"/>
        </w:trPr>
        <w:tc>
          <w:tcPr>
            <w:tcW w:w="9200" w:type="dxa"/>
            <w:gridSpan w:val="13"/>
          </w:tcPr>
          <w:p w14:paraId="1566283F" w14:textId="4F7EE0C2" w:rsidR="001179D7" w:rsidRPr="001179D7" w:rsidRDefault="001179D7" w:rsidP="001179D7">
            <w:pPr>
              <w:widowControl w:val="0"/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179D7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  <w:r w:rsidR="008613D7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14:paraId="2F2E1CE5" w14:textId="51442141" w:rsidR="001179D7" w:rsidRPr="001179D7" w:rsidRDefault="009D5E38" w:rsidP="001179D7">
            <w:pPr>
              <w:widowControl w:val="0"/>
              <w:spacing w:after="0" w:line="260" w:lineRule="atLeas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0B0C">
              <w:rPr>
                <w:rFonts w:ascii="Arial" w:hAnsi="Arial" w:cs="Arial"/>
                <w:sz w:val="20"/>
                <w:szCs w:val="20"/>
                <w:lang w:eastAsia="sl-SI"/>
              </w:rPr>
              <w:t>Finančne posledice bodo le v okviru plačne reforme, drugače pa ne bo nobenih dodatnih finančnih posledic.</w:t>
            </w:r>
          </w:p>
        </w:tc>
      </w:tr>
      <w:tr w:rsidR="00A82CD3" w:rsidRPr="00A82CD3" w14:paraId="277E76F8" w14:textId="77777777" w:rsidTr="00F7279F">
        <w:trPr>
          <w:trHeight w:val="1152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99B" w14:textId="77777777" w:rsidR="001179D7" w:rsidRPr="00A82CD3" w:rsidRDefault="001179D7" w:rsidP="00A82CD3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2CD3">
              <w:rPr>
                <w:rFonts w:ascii="Arial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49FC5BB0" w14:textId="77777777" w:rsidR="001179D7" w:rsidRPr="00A82CD3" w:rsidRDefault="001179D7" w:rsidP="00A82CD3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A82CD3">
              <w:rPr>
                <w:rFonts w:ascii="Arial" w:hAnsi="Arial" w:cs="Arial"/>
                <w:sz w:val="20"/>
                <w:szCs w:val="20"/>
              </w:rPr>
              <w:t>(Samo če izberete NE pod točko 6.a.)</w:t>
            </w:r>
          </w:p>
          <w:p w14:paraId="71565CDB" w14:textId="77777777" w:rsidR="001179D7" w:rsidRPr="00A82CD3" w:rsidRDefault="001179D7" w:rsidP="00A82CD3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2CD3">
              <w:rPr>
                <w:rFonts w:ascii="Arial" w:hAnsi="Arial" w:cs="Arial"/>
                <w:b/>
                <w:sz w:val="20"/>
                <w:szCs w:val="20"/>
              </w:rPr>
              <w:t>Kratka obrazložitev</w:t>
            </w:r>
          </w:p>
          <w:p w14:paraId="1935294F" w14:textId="7BB3730E" w:rsidR="001179D7" w:rsidRPr="00A82CD3" w:rsidRDefault="001179D7" w:rsidP="00A82CD3">
            <w:p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82CD3" w:rsidRPr="00A82CD3" w14:paraId="505C14D6" w14:textId="77777777" w:rsidTr="00F7279F">
        <w:trPr>
          <w:trHeight w:val="371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D3D" w14:textId="77777777" w:rsidR="001179D7" w:rsidRPr="00A82CD3" w:rsidRDefault="001179D7" w:rsidP="00A82CD3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82CD3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  <w:p w14:paraId="39A6D592" w14:textId="2E51CD42" w:rsidR="00A82CD3" w:rsidRPr="00A82CD3" w:rsidRDefault="00A82CD3" w:rsidP="00A82CD3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CD3" w:rsidRPr="00A82CD3" w14:paraId="750B52E6" w14:textId="77777777" w:rsidTr="00F7279F">
        <w:tc>
          <w:tcPr>
            <w:tcW w:w="6769" w:type="dxa"/>
            <w:gridSpan w:val="9"/>
          </w:tcPr>
          <w:p w14:paraId="77982490" w14:textId="77777777" w:rsidR="001179D7" w:rsidRPr="00A82CD3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A82CD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22BFABD0" w14:textId="77777777" w:rsidR="001179D7" w:rsidRPr="00A82CD3" w:rsidRDefault="001179D7" w:rsidP="001179D7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A82CD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2E2F1C03" w14:textId="77777777" w:rsidR="001179D7" w:rsidRPr="00A82CD3" w:rsidRDefault="001179D7" w:rsidP="001179D7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A82CD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60526393" w14:textId="77777777" w:rsidR="001179D7" w:rsidRPr="00A82CD3" w:rsidRDefault="001179D7" w:rsidP="001179D7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A82CD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431" w:type="dxa"/>
            <w:gridSpan w:val="4"/>
          </w:tcPr>
          <w:p w14:paraId="53C2D8FD" w14:textId="77777777" w:rsidR="001179D7" w:rsidRPr="00A82CD3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82CD3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82CD3" w:rsidRPr="00A82CD3" w14:paraId="3BE417CA" w14:textId="77777777" w:rsidTr="00F7279F">
        <w:trPr>
          <w:trHeight w:val="274"/>
        </w:trPr>
        <w:tc>
          <w:tcPr>
            <w:tcW w:w="9200" w:type="dxa"/>
            <w:gridSpan w:val="13"/>
          </w:tcPr>
          <w:p w14:paraId="4E783E76" w14:textId="77777777" w:rsidR="001179D7" w:rsidRPr="00A82CD3" w:rsidRDefault="001179D7" w:rsidP="00A82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A82CD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760106E9" w14:textId="77777777" w:rsidR="001179D7" w:rsidRPr="00A82CD3" w:rsidRDefault="001179D7" w:rsidP="00A82CD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A82CD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207314E1" w14:textId="77777777" w:rsidR="001179D7" w:rsidRPr="00A82CD3" w:rsidRDefault="001179D7" w:rsidP="00A82CD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A82CD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79F4B581" w14:textId="77777777" w:rsidR="001179D7" w:rsidRPr="00A82CD3" w:rsidRDefault="001179D7" w:rsidP="00A82CD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A82CD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</w:tc>
      </w:tr>
      <w:tr w:rsidR="003B71A4" w:rsidRPr="003B71A4" w14:paraId="743CB072" w14:textId="77777777" w:rsidTr="00F7279F">
        <w:tc>
          <w:tcPr>
            <w:tcW w:w="9200" w:type="dxa"/>
            <w:gridSpan w:val="13"/>
            <w:vAlign w:val="center"/>
          </w:tcPr>
          <w:p w14:paraId="38717906" w14:textId="77777777" w:rsidR="001179D7" w:rsidRPr="003B71A4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B71A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3B71A4" w:rsidRPr="003B71A4" w14:paraId="2EBB7033" w14:textId="77777777" w:rsidTr="00F7279F">
        <w:tc>
          <w:tcPr>
            <w:tcW w:w="6769" w:type="dxa"/>
            <w:gridSpan w:val="9"/>
          </w:tcPr>
          <w:p w14:paraId="5749FA60" w14:textId="77777777" w:rsidR="001179D7" w:rsidRPr="003B71A4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B71A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4"/>
          </w:tcPr>
          <w:p w14:paraId="4C17238B" w14:textId="77777777" w:rsidR="001179D7" w:rsidRPr="003B71A4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3B71A4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B363AC" w:rsidRPr="00B363AC" w14:paraId="1FD3958C" w14:textId="77777777" w:rsidTr="00F7279F">
        <w:tc>
          <w:tcPr>
            <w:tcW w:w="9200" w:type="dxa"/>
            <w:gridSpan w:val="13"/>
          </w:tcPr>
          <w:p w14:paraId="67CC3329" w14:textId="724E4F50" w:rsidR="001179D7" w:rsidRPr="00B363AC" w:rsidRDefault="00B363AC" w:rsidP="001179D7">
            <w:pPr>
              <w:tabs>
                <w:tab w:val="left" w:pos="960"/>
              </w:tabs>
              <w:spacing w:after="0" w:line="26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26EC">
              <w:rPr>
                <w:rFonts w:ascii="Arial" w:hAnsi="Arial" w:cs="Arial"/>
                <w:iCs/>
                <w:sz w:val="20"/>
                <w:szCs w:val="20"/>
              </w:rPr>
              <w:t>Gradivo ni takšne narave, da bi bila potrebna predhodna objava.</w:t>
            </w:r>
          </w:p>
        </w:tc>
      </w:tr>
      <w:tr w:rsidR="00B363AC" w:rsidRPr="00B363AC" w14:paraId="62E4A40A" w14:textId="77777777" w:rsidTr="00F7279F">
        <w:tc>
          <w:tcPr>
            <w:tcW w:w="6769" w:type="dxa"/>
            <w:gridSpan w:val="9"/>
            <w:vAlign w:val="center"/>
          </w:tcPr>
          <w:p w14:paraId="131CD3AF" w14:textId="77777777" w:rsidR="001179D7" w:rsidRPr="00B363AC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B363A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  <w:p w14:paraId="53F1A06A" w14:textId="77777777" w:rsidR="001179D7" w:rsidRPr="00B363AC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4"/>
            <w:vAlign w:val="center"/>
          </w:tcPr>
          <w:p w14:paraId="77A3D30D" w14:textId="77777777" w:rsidR="001179D7" w:rsidRPr="00B363AC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B363AC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B363AC" w:rsidRPr="00B363AC" w14:paraId="71078488" w14:textId="77777777" w:rsidTr="00F7279F">
        <w:tc>
          <w:tcPr>
            <w:tcW w:w="6769" w:type="dxa"/>
            <w:gridSpan w:val="9"/>
            <w:vAlign w:val="center"/>
          </w:tcPr>
          <w:p w14:paraId="7875F975" w14:textId="77777777" w:rsidR="001179D7" w:rsidRPr="00B363AC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B363A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4"/>
            <w:vAlign w:val="center"/>
          </w:tcPr>
          <w:p w14:paraId="60EFF7EF" w14:textId="77777777" w:rsidR="001179D7" w:rsidRPr="00B363AC" w:rsidRDefault="001179D7" w:rsidP="00117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363AC"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B363AC" w:rsidRPr="00B363AC" w14:paraId="3E96393F" w14:textId="77777777" w:rsidTr="00F7279F"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4726" w14:textId="77777777" w:rsidR="001179D7" w:rsidRPr="00B363AC" w:rsidRDefault="001179D7" w:rsidP="001179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atLeast"/>
              <w:ind w:left="3400"/>
              <w:textAlignment w:val="baseline"/>
              <w:outlineLvl w:val="3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2FDA4C74" w14:textId="2F453708" w:rsidR="001179D7" w:rsidRPr="00404754" w:rsidRDefault="001179D7" w:rsidP="001179D7">
            <w:pPr>
              <w:tabs>
                <w:tab w:val="left" w:pos="2835"/>
              </w:tabs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B363A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</w:t>
            </w:r>
            <w:r w:rsidR="00404754" w:rsidRPr="0040475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Andreja Katič</w:t>
            </w:r>
            <w:r w:rsidRPr="0040475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  </w:t>
            </w:r>
          </w:p>
          <w:p w14:paraId="64B3DB33" w14:textId="068DA194" w:rsidR="001179D7" w:rsidRPr="00B363AC" w:rsidRDefault="001179D7" w:rsidP="001179D7">
            <w:pPr>
              <w:tabs>
                <w:tab w:val="left" w:pos="2835"/>
              </w:tabs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B363A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</w:t>
            </w:r>
            <w:r w:rsidR="00404754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</w:t>
            </w:r>
            <w:r w:rsidRPr="00B363AC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ministrica</w:t>
            </w:r>
          </w:p>
          <w:p w14:paraId="62ED244B" w14:textId="77777777" w:rsidR="001179D7" w:rsidRPr="00B363AC" w:rsidRDefault="001179D7" w:rsidP="001179D7">
            <w:pPr>
              <w:tabs>
                <w:tab w:val="left" w:pos="2835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241F0439" w14:textId="77777777" w:rsidR="008650F6" w:rsidRPr="00E2599C" w:rsidRDefault="008650F6" w:rsidP="008650F6">
      <w:pPr>
        <w:rPr>
          <w:rFonts w:ascii="Arial" w:hAnsi="Arial" w:cs="Arial"/>
          <w:sz w:val="20"/>
          <w:szCs w:val="20"/>
        </w:rPr>
      </w:pPr>
    </w:p>
    <w:p w14:paraId="54F1CC7B" w14:textId="77777777" w:rsidR="008650F6" w:rsidRPr="008613D7" w:rsidRDefault="008650F6" w:rsidP="008650F6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  <w:bookmarkStart w:id="1" w:name="_Hlk31104075"/>
      <w:r w:rsidRPr="008613D7">
        <w:rPr>
          <w:rFonts w:cs="Arial"/>
          <w:szCs w:val="20"/>
          <w:lang w:val="sl-SI"/>
        </w:rPr>
        <w:t>PRILOGE:</w:t>
      </w:r>
    </w:p>
    <w:p w14:paraId="4F35A8FA" w14:textId="77777777" w:rsidR="00980D23" w:rsidRPr="00980D23" w:rsidRDefault="00980D23" w:rsidP="00980D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80D23">
        <w:rPr>
          <w:rFonts w:ascii="Arial" w:hAnsi="Arial" w:cs="Arial"/>
          <w:sz w:val="20"/>
          <w:szCs w:val="20"/>
        </w:rPr>
        <w:t>Priloga 1: Predlog sklepa vlade</w:t>
      </w:r>
    </w:p>
    <w:p w14:paraId="58A05E0E" w14:textId="77777777" w:rsidR="00980D23" w:rsidRPr="00980D23" w:rsidRDefault="00980D23" w:rsidP="00980D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80D23">
        <w:rPr>
          <w:rFonts w:ascii="Arial" w:hAnsi="Arial" w:cs="Arial"/>
          <w:sz w:val="20"/>
          <w:szCs w:val="20"/>
        </w:rPr>
        <w:t>Priloga 2: Obrazložitev</w:t>
      </w:r>
    </w:p>
    <w:p w14:paraId="4563B223" w14:textId="2F0CB195" w:rsidR="00B363AC" w:rsidRDefault="00980D23" w:rsidP="00980D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980D23">
        <w:rPr>
          <w:rFonts w:ascii="Arial" w:hAnsi="Arial" w:cs="Arial"/>
          <w:sz w:val="20"/>
          <w:szCs w:val="20"/>
        </w:rPr>
        <w:t>Priloga</w:t>
      </w:r>
      <w:r w:rsidR="00FB2F09">
        <w:rPr>
          <w:rFonts w:ascii="Arial" w:hAnsi="Arial" w:cs="Arial"/>
          <w:sz w:val="20"/>
          <w:szCs w:val="20"/>
        </w:rPr>
        <w:t xml:space="preserve"> </w:t>
      </w:r>
      <w:r w:rsidRPr="00980D23">
        <w:rPr>
          <w:rFonts w:ascii="Arial" w:hAnsi="Arial" w:cs="Arial"/>
          <w:sz w:val="20"/>
          <w:szCs w:val="20"/>
        </w:rPr>
        <w:t xml:space="preserve">3: </w:t>
      </w:r>
      <w:r w:rsidR="0060745A" w:rsidRPr="00073E3D">
        <w:rPr>
          <w:rFonts w:ascii="Arial" w:hAnsi="Arial" w:cs="Arial"/>
          <w:sz w:val="20"/>
          <w:szCs w:val="20"/>
        </w:rPr>
        <w:t xml:space="preserve">Aneks št. </w:t>
      </w:r>
      <w:r w:rsidR="00FE635F" w:rsidRPr="00073E3D">
        <w:rPr>
          <w:rFonts w:ascii="Arial" w:hAnsi="Arial" w:cs="Arial"/>
          <w:sz w:val="20"/>
          <w:szCs w:val="20"/>
        </w:rPr>
        <w:t>2</w:t>
      </w:r>
      <w:r w:rsidR="0060745A" w:rsidRPr="00073E3D">
        <w:rPr>
          <w:rFonts w:ascii="Arial" w:hAnsi="Arial" w:cs="Arial"/>
          <w:sz w:val="20"/>
          <w:szCs w:val="20"/>
        </w:rPr>
        <w:t xml:space="preserve"> k Pogodbi o financiranju </w:t>
      </w:r>
      <w:r w:rsidR="00133E4E">
        <w:rPr>
          <w:rFonts w:ascii="Arial" w:hAnsi="Arial" w:cs="Arial"/>
          <w:sz w:val="20"/>
          <w:szCs w:val="20"/>
        </w:rPr>
        <w:t>j</w:t>
      </w:r>
      <w:r w:rsidR="0060745A" w:rsidRPr="00073E3D">
        <w:rPr>
          <w:rFonts w:ascii="Arial" w:hAnsi="Arial" w:cs="Arial"/>
          <w:sz w:val="20"/>
          <w:szCs w:val="20"/>
        </w:rPr>
        <w:t xml:space="preserve">avnega zavoda Študijski center za </w:t>
      </w:r>
      <w:r w:rsidR="00133E4E">
        <w:rPr>
          <w:rFonts w:ascii="Arial" w:hAnsi="Arial" w:cs="Arial"/>
          <w:sz w:val="20"/>
          <w:szCs w:val="20"/>
        </w:rPr>
        <w:t>n</w:t>
      </w:r>
      <w:r w:rsidR="0060745A" w:rsidRPr="00073E3D">
        <w:rPr>
          <w:rFonts w:ascii="Arial" w:hAnsi="Arial" w:cs="Arial"/>
          <w:sz w:val="20"/>
          <w:szCs w:val="20"/>
        </w:rPr>
        <w:t>arodno spravo</w:t>
      </w:r>
    </w:p>
    <w:p w14:paraId="4533BF01" w14:textId="6CA471A2" w:rsidR="000C0438" w:rsidRDefault="000C0438" w:rsidP="000C04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5: Mnenje MJU z dne 4. 2. 2025</w:t>
      </w:r>
    </w:p>
    <w:p w14:paraId="570C15AC" w14:textId="55334FEF" w:rsidR="004B0528" w:rsidRDefault="004B0528" w:rsidP="00980D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4: Mnenje SVZ </w:t>
      </w:r>
      <w:r w:rsidR="000C0438">
        <w:rPr>
          <w:rFonts w:ascii="Arial" w:hAnsi="Arial" w:cs="Arial"/>
          <w:sz w:val="20"/>
          <w:szCs w:val="20"/>
        </w:rPr>
        <w:t>z dne 6. 2. 2025</w:t>
      </w:r>
    </w:p>
    <w:p w14:paraId="31FF6CD2" w14:textId="3AAC208F" w:rsidR="004B0528" w:rsidRDefault="004B0528" w:rsidP="00980D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6: Mnenje MF z dne 11. 2. 2025</w:t>
      </w:r>
    </w:p>
    <w:bookmarkEnd w:id="1"/>
    <w:p w14:paraId="72AD2F2F" w14:textId="77777777" w:rsidR="00B363AC" w:rsidRPr="00073E3D" w:rsidRDefault="00B363AC" w:rsidP="00B363AC">
      <w:pPr>
        <w:tabs>
          <w:tab w:val="left" w:pos="3402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0234E37A" w14:textId="77777777" w:rsidR="00B363AC" w:rsidRPr="00E2599C" w:rsidRDefault="00B363AC" w:rsidP="008650F6">
      <w:pPr>
        <w:pStyle w:val="lv"/>
        <w:spacing w:line="260" w:lineRule="atLeast"/>
        <w:rPr>
          <w:rFonts w:ascii="Arial" w:hAnsi="Arial" w:cs="Arial"/>
          <w:color w:val="000000"/>
          <w:sz w:val="20"/>
        </w:rPr>
      </w:pPr>
    </w:p>
    <w:p w14:paraId="70BE6445" w14:textId="2C8E6AA1" w:rsidR="000C0438" w:rsidRDefault="000C04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D86C37D" w14:textId="7060D196" w:rsidR="00921576" w:rsidRDefault="00980D23" w:rsidP="00073E3D">
      <w:pPr>
        <w:jc w:val="right"/>
      </w:pPr>
      <w:r w:rsidRPr="00BA2874">
        <w:rPr>
          <w:rFonts w:ascii="Arial" w:hAnsi="Arial" w:cs="Arial"/>
          <w:b/>
          <w:color w:val="000000"/>
          <w:sz w:val="20"/>
        </w:rPr>
        <w:lastRenderedPageBreak/>
        <w:t>PRILOGA 1</w:t>
      </w:r>
    </w:p>
    <w:p w14:paraId="388C4109" w14:textId="77777777" w:rsidR="00073E3D" w:rsidRDefault="00921576" w:rsidP="00921576">
      <w:pPr>
        <w:spacing w:line="240" w:lineRule="auto"/>
        <w:jc w:val="both"/>
        <w:rPr>
          <w:rFonts w:ascii="Arial" w:eastAsia="Calibri" w:hAnsi="Arial" w:cs="Arial"/>
          <w:sz w:val="20"/>
          <w:szCs w:val="18"/>
        </w:rPr>
      </w:pPr>
      <w:r w:rsidRPr="00073E3D">
        <w:rPr>
          <w:rFonts w:ascii="Arial" w:eastAsia="Calibri" w:hAnsi="Arial" w:cs="Arial"/>
          <w:sz w:val="20"/>
          <w:szCs w:val="18"/>
        </w:rPr>
        <w:t xml:space="preserve">Številka: </w:t>
      </w:r>
    </w:p>
    <w:p w14:paraId="2A7AF8AD" w14:textId="337C09AF" w:rsidR="00921576" w:rsidRPr="00073E3D" w:rsidRDefault="00921576" w:rsidP="00921576">
      <w:pPr>
        <w:spacing w:line="240" w:lineRule="auto"/>
        <w:jc w:val="both"/>
        <w:rPr>
          <w:rFonts w:ascii="Arial" w:eastAsia="Calibri" w:hAnsi="Arial" w:cs="Arial"/>
          <w:sz w:val="20"/>
          <w:szCs w:val="18"/>
        </w:rPr>
      </w:pPr>
      <w:r w:rsidRPr="00073E3D">
        <w:rPr>
          <w:rFonts w:ascii="Arial" w:eastAsia="Calibri" w:hAnsi="Arial" w:cs="Arial"/>
          <w:sz w:val="20"/>
          <w:szCs w:val="18"/>
        </w:rPr>
        <w:t>Ljubljana,</w:t>
      </w:r>
    </w:p>
    <w:p w14:paraId="4AA2DCBD" w14:textId="77777777" w:rsidR="00921576" w:rsidRPr="00073E3D" w:rsidRDefault="00921576" w:rsidP="00921576">
      <w:pPr>
        <w:jc w:val="both"/>
        <w:rPr>
          <w:rFonts w:ascii="Arial" w:hAnsi="Arial" w:cs="Arial"/>
          <w:sz w:val="20"/>
          <w:szCs w:val="20"/>
        </w:rPr>
      </w:pPr>
    </w:p>
    <w:p w14:paraId="64FB1AF8" w14:textId="77777777" w:rsidR="00921576" w:rsidRPr="00955AAB" w:rsidRDefault="00921576" w:rsidP="00921576">
      <w:pPr>
        <w:jc w:val="both"/>
      </w:pPr>
    </w:p>
    <w:p w14:paraId="1551975A" w14:textId="77777777" w:rsidR="00B131E2" w:rsidRDefault="00B131E2" w:rsidP="00B131E2">
      <w:pPr>
        <w:pStyle w:val="datumtevilka"/>
        <w:jc w:val="both"/>
        <w:rPr>
          <w:rFonts w:cs="Arial"/>
        </w:rPr>
      </w:pPr>
      <w:r w:rsidRPr="001179D7">
        <w:rPr>
          <w:rFonts w:cs="Arial"/>
        </w:rPr>
        <w:t xml:space="preserve">Na podlagi </w:t>
      </w:r>
      <w:r w:rsidRPr="00E800F8">
        <w:rPr>
          <w:rFonts w:cs="Arial"/>
        </w:rPr>
        <w:t>šestega odstavka</w:t>
      </w:r>
      <w:r w:rsidRPr="001179D7">
        <w:rPr>
          <w:rFonts w:cs="Arial"/>
        </w:rPr>
        <w:t xml:space="preserve"> 21. člena Zakona o Vladi Republike Slovenije (</w:t>
      </w:r>
      <w:r w:rsidRPr="001179D7">
        <w:rPr>
          <w:rFonts w:cs="Arial"/>
          <w:shd w:val="clear" w:color="auto" w:fill="FFFFFF"/>
        </w:rPr>
        <w:t>Uradni list RS, št. 24/05 – uradno prečiščeno besedilo, 109/08, 38/10 – ZUKN, 8/12, 21/13, 47/13 – ZDU-1G, 65/14</w:t>
      </w:r>
      <w:r>
        <w:rPr>
          <w:rFonts w:cs="Arial"/>
          <w:shd w:val="clear" w:color="auto" w:fill="FFFFFF"/>
        </w:rPr>
        <w:t>,</w:t>
      </w:r>
      <w:r w:rsidRPr="001179D7">
        <w:rPr>
          <w:rFonts w:cs="Arial"/>
          <w:shd w:val="clear" w:color="auto" w:fill="FFFFFF"/>
        </w:rPr>
        <w:t xml:space="preserve"> 55/17</w:t>
      </w:r>
      <w:r>
        <w:rPr>
          <w:rFonts w:cs="Arial"/>
          <w:shd w:val="clear" w:color="auto" w:fill="FFFFFF"/>
        </w:rPr>
        <w:t xml:space="preserve"> </w:t>
      </w:r>
      <w:r w:rsidRPr="00A50064">
        <w:rPr>
          <w:rFonts w:cs="Arial"/>
          <w:shd w:val="clear" w:color="auto" w:fill="FFFFFF"/>
        </w:rPr>
        <w:t>in 163/22</w:t>
      </w:r>
      <w:r>
        <w:rPr>
          <w:rFonts w:cs="Arial"/>
          <w:shd w:val="clear" w:color="auto" w:fill="FFFFFF"/>
        </w:rPr>
        <w:t xml:space="preserve"> </w:t>
      </w:r>
      <w:r w:rsidRPr="001179D7">
        <w:rPr>
          <w:rFonts w:cs="Arial"/>
        </w:rPr>
        <w:t>)</w:t>
      </w:r>
      <w:r>
        <w:rPr>
          <w:rFonts w:cs="Arial"/>
        </w:rPr>
        <w:t xml:space="preserve"> in</w:t>
      </w:r>
      <w:r w:rsidRPr="001179D7">
        <w:rPr>
          <w:rFonts w:cs="Arial"/>
        </w:rPr>
        <w:t xml:space="preserve"> </w:t>
      </w:r>
      <w:r>
        <w:rPr>
          <w:rFonts w:cs="Arial"/>
        </w:rPr>
        <w:t>20. člena Sklepa o</w:t>
      </w:r>
      <w:r w:rsidRPr="00DD390A">
        <w:rPr>
          <w:rFonts w:cs="Arial"/>
        </w:rPr>
        <w:t xml:space="preserve"> ustanovitvi javnega zavoda Študijski center za narodno spravo (Uradni list RS, št. </w:t>
      </w:r>
      <w:hyperlink r:id="rId11" w:tgtFrame="_blank" w:tooltip="Sklep o ustanovitvi javnega zavoda Študijski center za narodno spravo" w:history="1">
        <w:r w:rsidRPr="00DD390A">
          <w:rPr>
            <w:rFonts w:cs="Arial"/>
          </w:rPr>
          <w:t>42/08</w:t>
        </w:r>
      </w:hyperlink>
      <w:r w:rsidRPr="00DD390A">
        <w:rPr>
          <w:rFonts w:cs="Arial"/>
        </w:rPr>
        <w:t>)</w:t>
      </w:r>
      <w:r>
        <w:t xml:space="preserve">, v povezavi z 12. členom Pogodbe o financiranju javnega zavoda Študijski center za narodno spravo, </w:t>
      </w:r>
      <w:r w:rsidRPr="001179D7">
        <w:rPr>
          <w:rFonts w:cs="Arial"/>
        </w:rPr>
        <w:t>je Vlada Republike Slovenije na ____ seji dne ______ pod točko _____ sprejela naslednj</w:t>
      </w:r>
      <w:r>
        <w:rPr>
          <w:rFonts w:cs="Arial"/>
        </w:rPr>
        <w:t>i</w:t>
      </w:r>
      <w:r w:rsidRPr="001179D7">
        <w:rPr>
          <w:rFonts w:cs="Arial"/>
        </w:rPr>
        <w:t xml:space="preserve"> </w:t>
      </w:r>
    </w:p>
    <w:p w14:paraId="762827A4" w14:textId="77777777" w:rsidR="00B131E2" w:rsidRDefault="00B131E2" w:rsidP="00B131E2">
      <w:pPr>
        <w:pStyle w:val="datumtevilka"/>
        <w:jc w:val="both"/>
        <w:rPr>
          <w:rFonts w:cs="Arial"/>
        </w:rPr>
      </w:pPr>
    </w:p>
    <w:p w14:paraId="7D85B782" w14:textId="77777777" w:rsidR="00B131E2" w:rsidRPr="001179D7" w:rsidRDefault="00B131E2" w:rsidP="00B131E2">
      <w:pPr>
        <w:pStyle w:val="datumtevilka"/>
        <w:jc w:val="center"/>
        <w:rPr>
          <w:rFonts w:cs="Arial"/>
        </w:rPr>
      </w:pPr>
      <w:r w:rsidRPr="001179D7">
        <w:rPr>
          <w:rFonts w:cs="Arial"/>
        </w:rPr>
        <w:t>SKLEP</w:t>
      </w:r>
    </w:p>
    <w:p w14:paraId="0DDDFD07" w14:textId="77777777" w:rsidR="00B131E2" w:rsidRPr="001179D7" w:rsidRDefault="00B131E2" w:rsidP="00B131E2">
      <w:pPr>
        <w:autoSpaceDE w:val="0"/>
        <w:autoSpaceDN w:val="0"/>
        <w:adjustRightInd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840A054" w14:textId="34CC7E64" w:rsidR="00B131E2" w:rsidRDefault="00B131E2" w:rsidP="009A7121">
      <w:pPr>
        <w:pStyle w:val="podpisi"/>
        <w:numPr>
          <w:ilvl w:val="0"/>
          <w:numId w:val="17"/>
        </w:numPr>
        <w:tabs>
          <w:tab w:val="clear" w:pos="3402"/>
        </w:tabs>
        <w:spacing w:line="260" w:lineRule="exact"/>
        <w:ind w:right="1002"/>
        <w:jc w:val="both"/>
        <w:rPr>
          <w:lang w:val="sl-SI"/>
        </w:rPr>
      </w:pPr>
      <w:r>
        <w:rPr>
          <w:lang w:val="sl-SI"/>
        </w:rPr>
        <w:t>Sklene se Aneks št. 2 k Pogodbi o financiranju Javnega zavoda Študijski center za narodno spravo.</w:t>
      </w:r>
    </w:p>
    <w:p w14:paraId="0253857E" w14:textId="77777777" w:rsidR="00B131E2" w:rsidRDefault="00B131E2" w:rsidP="00B131E2">
      <w:pPr>
        <w:pStyle w:val="podpisi"/>
        <w:tabs>
          <w:tab w:val="clear" w:pos="3402"/>
        </w:tabs>
        <w:spacing w:line="260" w:lineRule="exact"/>
        <w:ind w:left="1627" w:right="1002" w:hanging="425"/>
        <w:jc w:val="both"/>
        <w:rPr>
          <w:lang w:val="sl-SI"/>
        </w:rPr>
      </w:pPr>
    </w:p>
    <w:p w14:paraId="5934F77B" w14:textId="574965CC" w:rsidR="00B131E2" w:rsidRDefault="00B131E2" w:rsidP="009A7121">
      <w:pPr>
        <w:pStyle w:val="podpisi"/>
        <w:numPr>
          <w:ilvl w:val="0"/>
          <w:numId w:val="17"/>
        </w:numPr>
        <w:tabs>
          <w:tab w:val="clear" w:pos="3402"/>
        </w:tabs>
        <w:spacing w:line="260" w:lineRule="exact"/>
        <w:ind w:right="1002"/>
        <w:jc w:val="both"/>
        <w:rPr>
          <w:lang w:val="sl-SI"/>
        </w:rPr>
      </w:pPr>
      <w:r>
        <w:rPr>
          <w:lang w:val="sl-SI"/>
        </w:rPr>
        <w:t>Vlada Republike Slovenije za podpis aneksa pooblašča Andrejo Katič, ministrico za pravosodje.</w:t>
      </w:r>
    </w:p>
    <w:p w14:paraId="6007192D" w14:textId="77777777" w:rsidR="00B131E2" w:rsidRDefault="00B131E2" w:rsidP="00B131E2">
      <w:pPr>
        <w:pStyle w:val="podpisi"/>
        <w:tabs>
          <w:tab w:val="clear" w:pos="3402"/>
          <w:tab w:val="left" w:pos="600"/>
        </w:tabs>
        <w:jc w:val="both"/>
        <w:rPr>
          <w:lang w:val="sl-SI"/>
        </w:rPr>
      </w:pPr>
    </w:p>
    <w:p w14:paraId="0B5DCEFC" w14:textId="77777777" w:rsidR="00B131E2" w:rsidRDefault="00B131E2" w:rsidP="00B131E2">
      <w:pPr>
        <w:pStyle w:val="podpisi"/>
        <w:tabs>
          <w:tab w:val="clear" w:pos="3402"/>
          <w:tab w:val="left" w:pos="600"/>
        </w:tabs>
        <w:jc w:val="both"/>
        <w:rPr>
          <w:lang w:val="sl-SI"/>
        </w:rPr>
      </w:pPr>
    </w:p>
    <w:p w14:paraId="28DA41C9" w14:textId="77777777" w:rsidR="00B131E2" w:rsidRPr="00C04639" w:rsidRDefault="00B131E2" w:rsidP="00B131E2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81A8440" w14:textId="77777777" w:rsidR="00B131E2" w:rsidRPr="00C04639" w:rsidRDefault="00B131E2" w:rsidP="00B131E2">
      <w:pPr>
        <w:pStyle w:val="podpisi"/>
        <w:jc w:val="both"/>
        <w:rPr>
          <w:rFonts w:cs="Arial"/>
          <w:szCs w:val="20"/>
          <w:lang w:val="sl-SI"/>
        </w:rPr>
      </w:pPr>
      <w:r w:rsidRPr="00C04639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 xml:space="preserve">                 Barbara Kolenko </w:t>
      </w:r>
      <w:proofErr w:type="spellStart"/>
      <w:r>
        <w:rPr>
          <w:rFonts w:cs="Arial"/>
          <w:szCs w:val="20"/>
          <w:lang w:val="sl-SI"/>
        </w:rPr>
        <w:t>Helbl</w:t>
      </w:r>
      <w:proofErr w:type="spellEnd"/>
    </w:p>
    <w:p w14:paraId="0C5068FD" w14:textId="77777777" w:rsidR="00B131E2" w:rsidRDefault="00B131E2" w:rsidP="00B131E2">
      <w:pPr>
        <w:pStyle w:val="podpisi"/>
        <w:jc w:val="both"/>
        <w:rPr>
          <w:rFonts w:cs="Arial"/>
          <w:szCs w:val="20"/>
          <w:lang w:val="sl-SI"/>
        </w:rPr>
      </w:pPr>
      <w:r w:rsidRPr="00C04639">
        <w:rPr>
          <w:rFonts w:cs="Arial"/>
          <w:szCs w:val="20"/>
          <w:lang w:val="sl-SI"/>
        </w:rPr>
        <w:tab/>
        <w:t xml:space="preserve">                  generaln</w:t>
      </w:r>
      <w:r>
        <w:rPr>
          <w:rFonts w:cs="Arial"/>
          <w:szCs w:val="20"/>
          <w:lang w:val="sl-SI"/>
        </w:rPr>
        <w:t>a</w:t>
      </w:r>
      <w:r w:rsidRPr="00C04639">
        <w:rPr>
          <w:rFonts w:cs="Arial"/>
          <w:szCs w:val="20"/>
          <w:lang w:val="sl-SI"/>
        </w:rPr>
        <w:t xml:space="preserve"> sekretar</w:t>
      </w:r>
      <w:r>
        <w:rPr>
          <w:rFonts w:cs="Arial"/>
          <w:szCs w:val="20"/>
          <w:lang w:val="sl-SI"/>
        </w:rPr>
        <w:t>ka</w:t>
      </w:r>
    </w:p>
    <w:p w14:paraId="03D86E4E" w14:textId="77777777" w:rsidR="00B131E2" w:rsidRDefault="00B131E2" w:rsidP="00B131E2">
      <w:pPr>
        <w:pStyle w:val="podpisi"/>
        <w:jc w:val="both"/>
        <w:rPr>
          <w:rFonts w:cs="Arial"/>
          <w:szCs w:val="20"/>
          <w:lang w:val="sl-SI"/>
        </w:rPr>
      </w:pPr>
    </w:p>
    <w:p w14:paraId="210C6940" w14:textId="77777777" w:rsidR="00B131E2" w:rsidRDefault="00B131E2" w:rsidP="00B131E2">
      <w:pPr>
        <w:pStyle w:val="podpisi"/>
        <w:jc w:val="both"/>
        <w:rPr>
          <w:rFonts w:cs="Arial"/>
          <w:szCs w:val="20"/>
          <w:lang w:val="sl-SI"/>
        </w:rPr>
      </w:pPr>
    </w:p>
    <w:p w14:paraId="742E7797" w14:textId="77777777" w:rsidR="00B131E2" w:rsidRPr="00073E3D" w:rsidRDefault="00B131E2" w:rsidP="00B131E2">
      <w:pPr>
        <w:tabs>
          <w:tab w:val="left" w:pos="3402"/>
        </w:tabs>
        <w:spacing w:after="0"/>
        <w:rPr>
          <w:rFonts w:ascii="Arial" w:hAnsi="Arial" w:cs="Arial"/>
          <w:sz w:val="20"/>
          <w:szCs w:val="20"/>
        </w:rPr>
      </w:pPr>
      <w:r w:rsidRPr="00073E3D">
        <w:rPr>
          <w:rFonts w:ascii="Arial" w:hAnsi="Arial" w:cs="Arial"/>
          <w:sz w:val="20"/>
          <w:szCs w:val="20"/>
        </w:rPr>
        <w:t>Sklep prejmejo:</w:t>
      </w:r>
    </w:p>
    <w:p w14:paraId="35AED6AA" w14:textId="77777777" w:rsidR="00B131E2" w:rsidRPr="00073E3D" w:rsidRDefault="00B131E2" w:rsidP="009A7121">
      <w:pPr>
        <w:numPr>
          <w:ilvl w:val="0"/>
          <w:numId w:val="10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73E3D">
        <w:rPr>
          <w:rFonts w:ascii="Arial" w:hAnsi="Arial" w:cs="Arial"/>
          <w:sz w:val="20"/>
          <w:szCs w:val="20"/>
        </w:rPr>
        <w:t>Ministrstvo za pravosodje</w:t>
      </w:r>
    </w:p>
    <w:p w14:paraId="0F6E0683" w14:textId="77777777" w:rsidR="00B131E2" w:rsidRPr="00073E3D" w:rsidRDefault="00B131E2" w:rsidP="009A7121">
      <w:pPr>
        <w:numPr>
          <w:ilvl w:val="0"/>
          <w:numId w:val="10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73E3D">
        <w:rPr>
          <w:rFonts w:ascii="Arial" w:hAnsi="Arial" w:cs="Arial"/>
          <w:sz w:val="20"/>
          <w:szCs w:val="20"/>
        </w:rPr>
        <w:t>Študijski center za narodno spravo</w:t>
      </w:r>
      <w:r>
        <w:rPr>
          <w:rFonts w:ascii="Arial" w:hAnsi="Arial" w:cs="Arial"/>
          <w:sz w:val="20"/>
          <w:szCs w:val="20"/>
        </w:rPr>
        <w:t xml:space="preserve"> (</w:t>
      </w:r>
      <w:hyperlink r:id="rId12" w:history="1">
        <w:r w:rsidRPr="00063B95">
          <w:rPr>
            <w:rStyle w:val="Hiperpovezava"/>
            <w:rFonts w:ascii="Arial" w:hAnsi="Arial" w:cs="Arial"/>
            <w:sz w:val="20"/>
            <w:szCs w:val="20"/>
          </w:rPr>
          <w:t>info@scnr.si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4A51D63D" w14:textId="77777777" w:rsidR="00921576" w:rsidRDefault="00921576" w:rsidP="00921576">
      <w:pPr>
        <w:rPr>
          <w:rFonts w:cs="Arial"/>
        </w:rPr>
      </w:pPr>
      <w:r>
        <w:rPr>
          <w:rFonts w:cs="Arial"/>
        </w:rPr>
        <w:br w:type="page"/>
      </w:r>
    </w:p>
    <w:p w14:paraId="276FC17B" w14:textId="439486F6" w:rsidR="00921576" w:rsidRDefault="004703FA" w:rsidP="004703FA">
      <w:pPr>
        <w:tabs>
          <w:tab w:val="left" w:pos="3402"/>
        </w:tabs>
        <w:spacing w:line="260" w:lineRule="exact"/>
        <w:jc w:val="right"/>
        <w:rPr>
          <w:rFonts w:ascii="Arial" w:hAnsi="Arial" w:cs="Arial"/>
          <w:b/>
          <w:bCs/>
        </w:rPr>
      </w:pPr>
      <w:r>
        <w:rPr>
          <w:rFonts w:cs="Arial"/>
          <w:b/>
        </w:rPr>
        <w:lastRenderedPageBreak/>
        <w:tab/>
      </w:r>
      <w:r w:rsidRPr="004703FA">
        <w:rPr>
          <w:rFonts w:ascii="Arial" w:hAnsi="Arial" w:cs="Arial"/>
          <w:b/>
          <w:bCs/>
        </w:rPr>
        <w:t>PRILOGA 2</w:t>
      </w:r>
    </w:p>
    <w:p w14:paraId="1F594CD3" w14:textId="4F7E7832" w:rsidR="004703FA" w:rsidRPr="00073E3D" w:rsidRDefault="004703FA" w:rsidP="004703FA">
      <w:pPr>
        <w:tabs>
          <w:tab w:val="left" w:pos="3402"/>
        </w:tabs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073E3D">
        <w:rPr>
          <w:rFonts w:ascii="Arial" w:hAnsi="Arial" w:cs="Arial"/>
          <w:b/>
          <w:sz w:val="20"/>
          <w:szCs w:val="20"/>
        </w:rPr>
        <w:t>OBRAZLOŽITEV</w:t>
      </w:r>
    </w:p>
    <w:p w14:paraId="6CC1AB93" w14:textId="77777777" w:rsidR="004703FA" w:rsidRPr="004703FA" w:rsidRDefault="004703FA" w:rsidP="004703FA">
      <w:pPr>
        <w:tabs>
          <w:tab w:val="left" w:pos="3402"/>
        </w:tabs>
        <w:spacing w:line="260" w:lineRule="exact"/>
        <w:jc w:val="right"/>
        <w:rPr>
          <w:rFonts w:cs="Arial"/>
          <w:b/>
        </w:rPr>
      </w:pPr>
    </w:p>
    <w:p w14:paraId="6ED989AE" w14:textId="0AEFF6C2" w:rsidR="00750781" w:rsidRDefault="00DB49CF" w:rsidP="00750781">
      <w:pPr>
        <w:spacing w:line="276" w:lineRule="auto"/>
        <w:jc w:val="both"/>
        <w:rPr>
          <w:rFonts w:ascii="Arial" w:hAnsi="Arial" w:cs="Arial"/>
          <w:sz w:val="20"/>
        </w:rPr>
      </w:pPr>
      <w:bookmarkStart w:id="2" w:name="_Hlk189145398"/>
      <w:bookmarkStart w:id="3" w:name="_Hlk189145999"/>
      <w:r>
        <w:rPr>
          <w:rFonts w:ascii="Arial" w:hAnsi="Arial" w:cs="Arial"/>
          <w:sz w:val="20"/>
        </w:rPr>
        <w:t xml:space="preserve">Dne </w:t>
      </w:r>
      <w:r w:rsidRPr="00DB49CF">
        <w:rPr>
          <w:rFonts w:ascii="Arial" w:hAnsi="Arial" w:cs="Arial"/>
          <w:sz w:val="20"/>
        </w:rPr>
        <w:t xml:space="preserve">29. 9. 2008 </w:t>
      </w:r>
      <w:r>
        <w:rPr>
          <w:rFonts w:ascii="Arial" w:hAnsi="Arial" w:cs="Arial"/>
          <w:sz w:val="20"/>
        </w:rPr>
        <w:t xml:space="preserve">sta Vlada Republike Slovenije in Javni zavod Študijski center za narodno spravo </w:t>
      </w:r>
      <w:r w:rsidRPr="00DB49CF">
        <w:rPr>
          <w:rFonts w:ascii="Arial" w:hAnsi="Arial" w:cs="Arial"/>
          <w:sz w:val="20"/>
        </w:rPr>
        <w:t>sklenil</w:t>
      </w:r>
      <w:r>
        <w:rPr>
          <w:rFonts w:ascii="Arial" w:hAnsi="Arial" w:cs="Arial"/>
          <w:sz w:val="20"/>
        </w:rPr>
        <w:t>a</w:t>
      </w:r>
      <w:r w:rsidRPr="00DB49CF">
        <w:rPr>
          <w:rFonts w:ascii="Arial" w:hAnsi="Arial" w:cs="Arial"/>
          <w:sz w:val="20"/>
        </w:rPr>
        <w:t xml:space="preserve"> Pogodbo o financiranju javnega zavoda Študijski center za narodno spravo, katere predmet je ureditev medsebojnih pravic, </w:t>
      </w:r>
      <w:r w:rsidRPr="009A7121">
        <w:rPr>
          <w:rFonts w:ascii="Arial" w:hAnsi="Arial" w:cs="Arial"/>
          <w:sz w:val="20"/>
        </w:rPr>
        <w:t>obveznosti in odgovornosti pogodbenih strank glede financiranja in izvajanja dejavnosti javnega zavoda.</w:t>
      </w:r>
      <w:r w:rsidR="00750781" w:rsidRPr="009A7121">
        <w:rPr>
          <w:rFonts w:ascii="Arial" w:hAnsi="Arial" w:cs="Arial"/>
          <w:sz w:val="20"/>
        </w:rPr>
        <w:t xml:space="preserve"> Dne 12. 1. 2021 je bil k pogodbi sklenjen Aneks št. 1, s katerim so se natančneje določili nameni porabe ter pravice in obveznosti pogodbenih strank, vključno s tistimi, ki se nanašajo na izvajanje nadzora nad poslovanjem javnega zavoda.</w:t>
      </w:r>
    </w:p>
    <w:p w14:paraId="234602D6" w14:textId="5BBC7AD1" w:rsidR="00AC3698" w:rsidRDefault="00750781" w:rsidP="00750781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Predlaga se sklenitev </w:t>
      </w:r>
      <w:r w:rsidR="00DB49CF">
        <w:rPr>
          <w:rFonts w:ascii="Arial" w:hAnsi="Arial" w:cs="Arial"/>
          <w:sz w:val="20"/>
        </w:rPr>
        <w:t>A</w:t>
      </w:r>
      <w:r w:rsidR="00DB49CF" w:rsidRPr="00DB49CF">
        <w:rPr>
          <w:rFonts w:ascii="Arial" w:hAnsi="Arial" w:cs="Arial"/>
          <w:sz w:val="20"/>
        </w:rPr>
        <w:t>neks</w:t>
      </w:r>
      <w:r>
        <w:rPr>
          <w:rFonts w:ascii="Arial" w:hAnsi="Arial" w:cs="Arial"/>
          <w:sz w:val="20"/>
        </w:rPr>
        <w:t>a</w:t>
      </w:r>
      <w:r w:rsidR="00FE635F">
        <w:rPr>
          <w:rFonts w:ascii="Arial" w:hAnsi="Arial" w:cs="Arial"/>
          <w:sz w:val="20"/>
        </w:rPr>
        <w:t xml:space="preserve"> št. 2</w:t>
      </w:r>
      <w:r w:rsidR="00DB49CF">
        <w:rPr>
          <w:rFonts w:ascii="Arial" w:hAnsi="Arial" w:cs="Arial"/>
          <w:sz w:val="20"/>
        </w:rPr>
        <w:t xml:space="preserve"> </w:t>
      </w:r>
      <w:r w:rsidR="004703FA">
        <w:rPr>
          <w:rFonts w:ascii="Arial" w:hAnsi="Arial" w:cs="Arial"/>
          <w:sz w:val="20"/>
        </w:rPr>
        <w:t>k tej pogodbi</w:t>
      </w:r>
      <w:r>
        <w:rPr>
          <w:rFonts w:ascii="Arial" w:hAnsi="Arial" w:cs="Arial"/>
          <w:sz w:val="20"/>
        </w:rPr>
        <w:t xml:space="preserve">, </w:t>
      </w:r>
      <w:r w:rsidR="00DB49CF" w:rsidRPr="00DB49CF">
        <w:rPr>
          <w:rFonts w:ascii="Arial" w:hAnsi="Arial" w:cs="Arial"/>
          <w:sz w:val="20"/>
        </w:rPr>
        <w:t>z namenom, da se</w:t>
      </w:r>
      <w:r w:rsidR="00FE635F">
        <w:rPr>
          <w:rFonts w:ascii="Arial" w:hAnsi="Arial" w:cs="Arial"/>
          <w:sz w:val="20"/>
        </w:rPr>
        <w:t xml:space="preserve"> </w:t>
      </w:r>
      <w:r w:rsidR="00FE635F" w:rsidRPr="00FE635F">
        <w:rPr>
          <w:rFonts w:ascii="Arial" w:hAnsi="Arial" w:cs="Arial"/>
          <w:sz w:val="20"/>
        </w:rPr>
        <w:t xml:space="preserve">poimenovanje delovnih mest v pogodbi uskladi z novimi  predpisi s področja sistema plač v javnem sektorju, in sicer Aneksom h Kolektivni pogodbi za raziskovalno dejavnost - </w:t>
      </w:r>
      <w:r>
        <w:rPr>
          <w:rFonts w:ascii="Arial" w:hAnsi="Arial" w:cs="Arial"/>
          <w:sz w:val="20"/>
        </w:rPr>
        <w:t>P</w:t>
      </w:r>
      <w:r w:rsidR="00FE635F" w:rsidRPr="00FE635F">
        <w:rPr>
          <w:rFonts w:ascii="Arial" w:hAnsi="Arial" w:cs="Arial"/>
          <w:sz w:val="20"/>
        </w:rPr>
        <w:t xml:space="preserve">riloga 6 (Uradni list RS, št. 99/24 in 109/24 – popr.), ki </w:t>
      </w:r>
      <w:r w:rsidR="004703FA">
        <w:rPr>
          <w:rFonts w:ascii="Arial" w:hAnsi="Arial" w:cs="Arial"/>
          <w:sz w:val="20"/>
        </w:rPr>
        <w:t>je</w:t>
      </w:r>
      <w:r w:rsidR="004703FA" w:rsidRPr="00FE635F">
        <w:rPr>
          <w:rFonts w:ascii="Arial" w:hAnsi="Arial" w:cs="Arial"/>
          <w:sz w:val="20"/>
        </w:rPr>
        <w:t xml:space="preserve"> </w:t>
      </w:r>
      <w:r w:rsidR="00FE635F" w:rsidRPr="00FE635F">
        <w:rPr>
          <w:rFonts w:ascii="Arial" w:hAnsi="Arial" w:cs="Arial"/>
          <w:sz w:val="20"/>
        </w:rPr>
        <w:t>bil sprejet na podlagi Zakona o skupnih temeljih sistema plač v javnem sektorju (ZSTSPJS</w:t>
      </w:r>
      <w:r w:rsidR="00073E3D">
        <w:rPr>
          <w:rFonts w:ascii="Arial" w:hAnsi="Arial" w:cs="Arial"/>
          <w:sz w:val="20"/>
        </w:rPr>
        <w:t xml:space="preserve">, </w:t>
      </w:r>
      <w:r w:rsidR="00FE635F" w:rsidRPr="00FE635F">
        <w:rPr>
          <w:rFonts w:ascii="Arial" w:hAnsi="Arial" w:cs="Arial"/>
          <w:sz w:val="20"/>
        </w:rPr>
        <w:t>Uradni list RS, št. 95/24)</w:t>
      </w:r>
      <w:r w:rsidR="005C62C4">
        <w:rPr>
          <w:rFonts w:ascii="Arial" w:hAnsi="Arial" w:cs="Arial"/>
          <w:sz w:val="20"/>
        </w:rPr>
        <w:t>.</w:t>
      </w:r>
    </w:p>
    <w:p w14:paraId="143EEBA2" w14:textId="723A34F7" w:rsidR="005C62C4" w:rsidRDefault="005C62C4" w:rsidP="00750781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</w:t>
      </w:r>
      <w:r w:rsidR="00750781">
        <w:rPr>
          <w:rFonts w:ascii="Arial" w:hAnsi="Arial" w:cs="Arial"/>
          <w:sz w:val="20"/>
        </w:rPr>
        <w:t xml:space="preserve"> omenjene</w:t>
      </w:r>
      <w:r>
        <w:rPr>
          <w:rFonts w:ascii="Arial" w:hAnsi="Arial" w:cs="Arial"/>
          <w:sz w:val="20"/>
        </w:rPr>
        <w:t xml:space="preserve"> Priloge 6 </w:t>
      </w:r>
      <w:r w:rsidR="00073E3D">
        <w:rPr>
          <w:rFonts w:ascii="Arial" w:hAnsi="Arial" w:cs="Arial"/>
          <w:sz w:val="20"/>
        </w:rPr>
        <w:t xml:space="preserve">namreč </w:t>
      </w:r>
      <w:r>
        <w:rPr>
          <w:rFonts w:ascii="Arial" w:hAnsi="Arial" w:cs="Arial"/>
          <w:sz w:val="20"/>
        </w:rPr>
        <w:t>izhaja</w:t>
      </w:r>
      <w:r w:rsidR="00BF16DA">
        <w:rPr>
          <w:rFonts w:ascii="Arial" w:hAnsi="Arial" w:cs="Arial"/>
          <w:sz w:val="20"/>
        </w:rPr>
        <w:t>jo naslednja ukinjena in nova delovna mesta</w:t>
      </w:r>
      <w:r>
        <w:rPr>
          <w:rFonts w:ascii="Arial" w:hAnsi="Arial" w:cs="Arial"/>
          <w:sz w:val="20"/>
        </w:rPr>
        <w:t>:</w:t>
      </w:r>
    </w:p>
    <w:p w14:paraId="5D24DA75" w14:textId="23E3A236" w:rsidR="00073E3D" w:rsidRDefault="00691EB5" w:rsidP="00750781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ukinjen</w:t>
      </w:r>
      <w:r w:rsidR="00073E3D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delovn</w:t>
      </w:r>
      <w:r w:rsidR="00073E3D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mest</w:t>
      </w:r>
      <w:r w:rsidR="00073E3D">
        <w:rPr>
          <w:rFonts w:ascii="Arial" w:hAnsi="Arial" w:cs="Arial"/>
          <w:sz w:val="20"/>
        </w:rPr>
        <w:t>i</w:t>
      </w:r>
      <w:r w:rsidR="000D1B00">
        <w:rPr>
          <w:rFonts w:ascii="Arial" w:hAnsi="Arial" w:cs="Arial"/>
          <w:sz w:val="20"/>
        </w:rPr>
        <w:t xml:space="preserve">: </w:t>
      </w:r>
      <w:r w:rsidR="00126613" w:rsidRPr="00126613">
        <w:rPr>
          <w:rFonts w:ascii="Arial" w:hAnsi="Arial" w:cs="Arial"/>
          <w:sz w:val="20"/>
        </w:rPr>
        <w:t>H017007</w:t>
      </w:r>
      <w:r w:rsidR="00126613">
        <w:rPr>
          <w:rFonts w:ascii="Arial" w:hAnsi="Arial" w:cs="Arial"/>
          <w:sz w:val="20"/>
        </w:rPr>
        <w:t xml:space="preserve"> </w:t>
      </w:r>
      <w:r w:rsidR="00AC3698">
        <w:rPr>
          <w:rFonts w:ascii="Arial" w:hAnsi="Arial" w:cs="Arial"/>
          <w:sz w:val="20"/>
        </w:rPr>
        <w:t xml:space="preserve">samostojni raziskovalec in </w:t>
      </w:r>
      <w:r w:rsidR="00126613" w:rsidRPr="00126613">
        <w:rPr>
          <w:rFonts w:ascii="Arial" w:hAnsi="Arial" w:cs="Arial"/>
          <w:sz w:val="20"/>
        </w:rPr>
        <w:t>H017013</w:t>
      </w:r>
      <w:r w:rsidR="00126613">
        <w:rPr>
          <w:rFonts w:ascii="Arial" w:hAnsi="Arial" w:cs="Arial"/>
          <w:sz w:val="20"/>
        </w:rPr>
        <w:t xml:space="preserve"> </w:t>
      </w:r>
      <w:r w:rsidR="00AC3698">
        <w:rPr>
          <w:rFonts w:ascii="Arial" w:hAnsi="Arial" w:cs="Arial"/>
          <w:sz w:val="20"/>
        </w:rPr>
        <w:t>višji raziskovalec</w:t>
      </w:r>
      <w:r w:rsidR="00073E3D">
        <w:rPr>
          <w:rFonts w:ascii="Arial" w:hAnsi="Arial" w:cs="Arial"/>
          <w:sz w:val="20"/>
        </w:rPr>
        <w:t xml:space="preserve"> </w:t>
      </w:r>
    </w:p>
    <w:p w14:paraId="67683BB0" w14:textId="3BF33662" w:rsidR="000D1B00" w:rsidRDefault="00750781" w:rsidP="00750781">
      <w:pPr>
        <w:pStyle w:val="Odstavekseznama"/>
        <w:spacing w:after="60" w:line="276" w:lineRule="auto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&gt;</w:t>
      </w:r>
      <w:r w:rsidR="00691EB5">
        <w:rPr>
          <w:rFonts w:ascii="Arial" w:hAnsi="Arial" w:cs="Arial"/>
          <w:sz w:val="20"/>
        </w:rPr>
        <w:t xml:space="preserve"> novo delovno mesto</w:t>
      </w:r>
      <w:r w:rsidR="000D1B00">
        <w:rPr>
          <w:rFonts w:ascii="Arial" w:hAnsi="Arial" w:cs="Arial"/>
          <w:sz w:val="20"/>
        </w:rPr>
        <w:t xml:space="preserve">: </w:t>
      </w:r>
      <w:r w:rsidR="00126613" w:rsidRPr="00126613">
        <w:rPr>
          <w:rFonts w:ascii="Arial" w:hAnsi="Arial" w:cs="Arial"/>
          <w:sz w:val="20"/>
        </w:rPr>
        <w:t>H017004</w:t>
      </w:r>
      <w:r w:rsidR="00126613">
        <w:rPr>
          <w:rFonts w:ascii="Arial" w:hAnsi="Arial" w:cs="Arial"/>
          <w:sz w:val="20"/>
        </w:rPr>
        <w:t xml:space="preserve"> r</w:t>
      </w:r>
      <w:r w:rsidR="000D1B00">
        <w:rPr>
          <w:rFonts w:ascii="Arial" w:hAnsi="Arial" w:cs="Arial"/>
          <w:sz w:val="20"/>
        </w:rPr>
        <w:t>aziskovalec,</w:t>
      </w:r>
      <w:r w:rsidR="00691EB5">
        <w:rPr>
          <w:rFonts w:ascii="Arial" w:hAnsi="Arial" w:cs="Arial"/>
          <w:sz w:val="20"/>
        </w:rPr>
        <w:t xml:space="preserve"> </w:t>
      </w:r>
    </w:p>
    <w:p w14:paraId="66DC6C61" w14:textId="77777777" w:rsidR="00BF16DA" w:rsidRDefault="00691EB5" w:rsidP="00750781">
      <w:pPr>
        <w:pStyle w:val="Odstavekseznama"/>
        <w:numPr>
          <w:ilvl w:val="0"/>
          <w:numId w:val="6"/>
        </w:numPr>
        <w:spacing w:after="60" w:line="276" w:lineRule="auto"/>
        <w:contextualSpacing w:val="0"/>
        <w:jc w:val="both"/>
        <w:rPr>
          <w:rFonts w:ascii="Arial" w:hAnsi="Arial" w:cs="Arial"/>
          <w:sz w:val="20"/>
        </w:rPr>
      </w:pPr>
      <w:r w:rsidRPr="00BF16DA">
        <w:rPr>
          <w:rFonts w:ascii="Arial" w:hAnsi="Arial" w:cs="Arial"/>
          <w:sz w:val="20"/>
        </w:rPr>
        <w:t>ukinjeno delovno mesto:</w:t>
      </w:r>
      <w:r w:rsidR="00126613">
        <w:t xml:space="preserve"> </w:t>
      </w:r>
      <w:r w:rsidR="00126613" w:rsidRPr="00BF16DA">
        <w:rPr>
          <w:rFonts w:ascii="Arial" w:hAnsi="Arial" w:cs="Arial"/>
          <w:sz w:val="20"/>
        </w:rPr>
        <w:t xml:space="preserve">H017010 </w:t>
      </w:r>
      <w:r w:rsidR="000D1B00" w:rsidRPr="00BF16DA">
        <w:rPr>
          <w:rFonts w:ascii="Arial" w:hAnsi="Arial" w:cs="Arial"/>
          <w:sz w:val="20"/>
        </w:rPr>
        <w:t>samostojni strokovni sodelavec v humanistiki – specialist</w:t>
      </w:r>
      <w:r w:rsidR="00073E3D" w:rsidRPr="00BF16DA">
        <w:rPr>
          <w:rFonts w:ascii="Arial" w:hAnsi="Arial" w:cs="Arial"/>
          <w:sz w:val="20"/>
        </w:rPr>
        <w:t xml:space="preserve"> </w:t>
      </w:r>
    </w:p>
    <w:p w14:paraId="33AACD07" w14:textId="16E83F98" w:rsidR="00073E3D" w:rsidRPr="00BF16DA" w:rsidRDefault="00073E3D" w:rsidP="00750781">
      <w:pPr>
        <w:pStyle w:val="Odstavekseznama"/>
        <w:spacing w:after="60" w:line="276" w:lineRule="auto"/>
        <w:contextualSpacing w:val="0"/>
        <w:jc w:val="both"/>
        <w:rPr>
          <w:rFonts w:ascii="Arial" w:hAnsi="Arial" w:cs="Arial"/>
          <w:sz w:val="20"/>
        </w:rPr>
      </w:pPr>
      <w:r w:rsidRPr="00BF16DA">
        <w:rPr>
          <w:rFonts w:ascii="Arial" w:hAnsi="Arial" w:cs="Arial"/>
          <w:sz w:val="20"/>
        </w:rPr>
        <w:t xml:space="preserve">&gt; </w:t>
      </w:r>
      <w:r w:rsidR="00691EB5" w:rsidRPr="00BF16DA">
        <w:rPr>
          <w:rFonts w:ascii="Arial" w:hAnsi="Arial" w:cs="Arial"/>
          <w:sz w:val="20"/>
        </w:rPr>
        <w:t>novo delovno mesto</w:t>
      </w:r>
      <w:r w:rsidR="000D1B00" w:rsidRPr="00BF16DA">
        <w:rPr>
          <w:rFonts w:ascii="Arial" w:hAnsi="Arial" w:cs="Arial"/>
          <w:sz w:val="20"/>
        </w:rPr>
        <w:t>:</w:t>
      </w:r>
      <w:r w:rsidR="00126613" w:rsidRPr="00BF16DA">
        <w:rPr>
          <w:rFonts w:ascii="Arial" w:hAnsi="Arial" w:cs="Arial"/>
          <w:sz w:val="20"/>
        </w:rPr>
        <w:t xml:space="preserve"> H027018 </w:t>
      </w:r>
      <w:r w:rsidR="000D1B00" w:rsidRPr="00BF16DA">
        <w:rPr>
          <w:rFonts w:ascii="Arial" w:hAnsi="Arial" w:cs="Arial"/>
          <w:sz w:val="20"/>
        </w:rPr>
        <w:t>področni sekretar,</w:t>
      </w:r>
      <w:r w:rsidR="00691EB5" w:rsidRPr="00BF16DA">
        <w:rPr>
          <w:rFonts w:ascii="Arial" w:hAnsi="Arial" w:cs="Arial"/>
          <w:sz w:val="20"/>
        </w:rPr>
        <w:t xml:space="preserve"> </w:t>
      </w:r>
    </w:p>
    <w:p w14:paraId="1FDE63DE" w14:textId="4B2B7CB2" w:rsidR="00073E3D" w:rsidRDefault="00691EB5" w:rsidP="00750781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 w:rsidRPr="00073E3D">
        <w:rPr>
          <w:rFonts w:ascii="Arial" w:hAnsi="Arial" w:cs="Arial"/>
          <w:sz w:val="20"/>
        </w:rPr>
        <w:t>ukinjeno delovno mesto</w:t>
      </w:r>
      <w:r w:rsidR="00126613" w:rsidRPr="00073E3D">
        <w:rPr>
          <w:rFonts w:ascii="Arial" w:hAnsi="Arial" w:cs="Arial"/>
          <w:sz w:val="20"/>
        </w:rPr>
        <w:t>:</w:t>
      </w:r>
      <w:r w:rsidR="00126613" w:rsidRPr="00126613">
        <w:t xml:space="preserve"> </w:t>
      </w:r>
      <w:r w:rsidR="00126613" w:rsidRPr="00073E3D">
        <w:rPr>
          <w:rFonts w:ascii="Arial" w:hAnsi="Arial" w:cs="Arial"/>
          <w:sz w:val="20"/>
          <w:szCs w:val="20"/>
        </w:rPr>
        <w:t>H017011</w:t>
      </w:r>
      <w:r w:rsidR="00073E3D">
        <w:rPr>
          <w:rFonts w:ascii="Arial" w:hAnsi="Arial" w:cs="Arial"/>
          <w:sz w:val="20"/>
          <w:szCs w:val="20"/>
        </w:rPr>
        <w:t xml:space="preserve"> </w:t>
      </w:r>
      <w:r w:rsidR="000D1B00" w:rsidRPr="00073E3D">
        <w:rPr>
          <w:rFonts w:ascii="Arial" w:hAnsi="Arial" w:cs="Arial"/>
          <w:sz w:val="20"/>
        </w:rPr>
        <w:t>strokovni sodelavec v humanistik</w:t>
      </w:r>
      <w:r w:rsidR="005C62C4" w:rsidRPr="00073E3D">
        <w:rPr>
          <w:rFonts w:ascii="Arial" w:hAnsi="Arial" w:cs="Arial"/>
          <w:sz w:val="20"/>
        </w:rPr>
        <w:t>i</w:t>
      </w:r>
      <w:r w:rsidR="00073E3D">
        <w:rPr>
          <w:rFonts w:ascii="Arial" w:hAnsi="Arial" w:cs="Arial"/>
          <w:sz w:val="20"/>
        </w:rPr>
        <w:t xml:space="preserve"> </w:t>
      </w:r>
    </w:p>
    <w:p w14:paraId="4A09155D" w14:textId="72C58DD0" w:rsidR="004703FA" w:rsidRDefault="00073E3D" w:rsidP="00750781">
      <w:pPr>
        <w:pStyle w:val="Odstavekseznama"/>
        <w:spacing w:line="276" w:lineRule="auto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&gt;</w:t>
      </w:r>
      <w:r w:rsidR="005C62C4" w:rsidRPr="00073E3D">
        <w:rPr>
          <w:rFonts w:ascii="Arial" w:hAnsi="Arial" w:cs="Arial"/>
          <w:sz w:val="20"/>
        </w:rPr>
        <w:t xml:space="preserve"> </w:t>
      </w:r>
      <w:r w:rsidR="00691EB5" w:rsidRPr="00073E3D">
        <w:rPr>
          <w:rFonts w:ascii="Arial" w:hAnsi="Arial" w:cs="Arial"/>
          <w:sz w:val="20"/>
        </w:rPr>
        <w:t>novo delovno mesto</w:t>
      </w:r>
      <w:r w:rsidR="000D1B00" w:rsidRPr="00073E3D">
        <w:rPr>
          <w:rFonts w:ascii="Arial" w:hAnsi="Arial" w:cs="Arial"/>
          <w:sz w:val="20"/>
        </w:rPr>
        <w:t xml:space="preserve">: </w:t>
      </w:r>
      <w:r w:rsidR="00126613" w:rsidRPr="00073E3D">
        <w:rPr>
          <w:rFonts w:ascii="Arial" w:hAnsi="Arial" w:cs="Arial"/>
          <w:sz w:val="20"/>
        </w:rPr>
        <w:t xml:space="preserve">H027028 </w:t>
      </w:r>
      <w:r w:rsidR="000D1B00" w:rsidRPr="00073E3D">
        <w:rPr>
          <w:rFonts w:ascii="Arial" w:hAnsi="Arial" w:cs="Arial"/>
          <w:sz w:val="20"/>
        </w:rPr>
        <w:t>višji svetovalec področja III</w:t>
      </w:r>
      <w:r>
        <w:rPr>
          <w:rFonts w:ascii="Arial" w:hAnsi="Arial" w:cs="Arial"/>
          <w:sz w:val="20"/>
        </w:rPr>
        <w:t>.</w:t>
      </w:r>
    </w:p>
    <w:p w14:paraId="7907BC6E" w14:textId="77777777" w:rsidR="00073E3D" w:rsidRDefault="00073E3D" w:rsidP="00750781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A8B2B7C" w14:textId="1E31209C" w:rsidR="00073E3D" w:rsidRDefault="00073E3D" w:rsidP="00750781">
      <w:pPr>
        <w:spacing w:line="276" w:lineRule="auto"/>
        <w:jc w:val="both"/>
      </w:pPr>
      <w:r>
        <w:rPr>
          <w:rFonts w:ascii="Arial" w:hAnsi="Arial" w:cs="Arial"/>
          <w:sz w:val="20"/>
        </w:rPr>
        <w:t>Glede na to, da pogodba o financiranju izplačila sredstev za stroške dela javne</w:t>
      </w:r>
      <w:r w:rsidR="00133E4E">
        <w:rPr>
          <w:rFonts w:ascii="Arial" w:hAnsi="Arial" w:cs="Arial"/>
          <w:sz w:val="20"/>
        </w:rPr>
        <w:t>ga</w:t>
      </w:r>
      <w:r>
        <w:rPr>
          <w:rFonts w:ascii="Arial" w:hAnsi="Arial" w:cs="Arial"/>
          <w:sz w:val="20"/>
        </w:rPr>
        <w:t xml:space="preserve"> zavod</w:t>
      </w:r>
      <w:r w:rsidR="00133E4E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veže na izrecno določena delovna mesta, </w:t>
      </w:r>
      <w:r w:rsidR="00133E4E">
        <w:rPr>
          <w:rFonts w:ascii="Arial" w:hAnsi="Arial" w:cs="Arial"/>
          <w:sz w:val="20"/>
        </w:rPr>
        <w:t>navedena</w:t>
      </w:r>
      <w:r>
        <w:rPr>
          <w:rFonts w:ascii="Arial" w:hAnsi="Arial" w:cs="Arial"/>
          <w:sz w:val="20"/>
        </w:rPr>
        <w:t xml:space="preserve"> v 2. členu, ki se ukinjajo oziroma </w:t>
      </w:r>
      <w:r w:rsidR="00BF16DA">
        <w:rPr>
          <w:rFonts w:ascii="Arial" w:hAnsi="Arial" w:cs="Arial"/>
          <w:sz w:val="20"/>
        </w:rPr>
        <w:t>nadomeščajo z novimi</w:t>
      </w:r>
      <w:r>
        <w:rPr>
          <w:rFonts w:ascii="Arial" w:hAnsi="Arial" w:cs="Arial"/>
          <w:sz w:val="20"/>
        </w:rPr>
        <w:t xml:space="preserve">, se predlaga sprememba pogodbe v tem delu. </w:t>
      </w:r>
    </w:p>
    <w:p w14:paraId="24DF95AE" w14:textId="6B83CE38" w:rsidR="00DB49CF" w:rsidRPr="00073E3D" w:rsidRDefault="00766CAE" w:rsidP="007507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3E3D">
        <w:rPr>
          <w:rFonts w:ascii="Arial" w:hAnsi="Arial" w:cs="Arial"/>
          <w:sz w:val="20"/>
          <w:szCs w:val="20"/>
        </w:rPr>
        <w:t>Predlaga se, da se za podpis a</w:t>
      </w:r>
      <w:r w:rsidR="00DA23EF" w:rsidRPr="00073E3D">
        <w:rPr>
          <w:rFonts w:ascii="Arial" w:hAnsi="Arial" w:cs="Arial"/>
          <w:sz w:val="20"/>
          <w:szCs w:val="20"/>
        </w:rPr>
        <w:t>neks</w:t>
      </w:r>
      <w:r w:rsidRPr="00073E3D">
        <w:rPr>
          <w:rFonts w:ascii="Arial" w:hAnsi="Arial" w:cs="Arial"/>
          <w:sz w:val="20"/>
          <w:szCs w:val="20"/>
        </w:rPr>
        <w:t>a</w:t>
      </w:r>
      <w:r w:rsidR="00DA23EF" w:rsidRPr="00073E3D">
        <w:rPr>
          <w:rFonts w:ascii="Arial" w:hAnsi="Arial" w:cs="Arial"/>
          <w:sz w:val="20"/>
          <w:szCs w:val="20"/>
        </w:rPr>
        <w:t xml:space="preserve"> v imenu ustanovitelja </w:t>
      </w:r>
      <w:r w:rsidRPr="00073E3D">
        <w:rPr>
          <w:rFonts w:ascii="Arial" w:hAnsi="Arial" w:cs="Arial"/>
          <w:sz w:val="20"/>
          <w:szCs w:val="20"/>
        </w:rPr>
        <w:t xml:space="preserve">pooblasti Andrejo </w:t>
      </w:r>
      <w:r w:rsidR="00FE635F" w:rsidRPr="00073E3D">
        <w:rPr>
          <w:rFonts w:ascii="Arial" w:hAnsi="Arial" w:cs="Arial"/>
          <w:sz w:val="20"/>
          <w:szCs w:val="20"/>
        </w:rPr>
        <w:t>Katič</w:t>
      </w:r>
      <w:r w:rsidR="00DA23EF" w:rsidRPr="00073E3D">
        <w:rPr>
          <w:rFonts w:ascii="Arial" w:hAnsi="Arial" w:cs="Arial"/>
          <w:sz w:val="20"/>
          <w:szCs w:val="20"/>
        </w:rPr>
        <w:t>, ministric</w:t>
      </w:r>
      <w:r w:rsidRPr="00073E3D">
        <w:rPr>
          <w:rFonts w:ascii="Arial" w:hAnsi="Arial" w:cs="Arial"/>
          <w:sz w:val="20"/>
          <w:szCs w:val="20"/>
        </w:rPr>
        <w:t>o</w:t>
      </w:r>
      <w:r w:rsidR="00DA23EF" w:rsidRPr="00073E3D">
        <w:rPr>
          <w:rFonts w:ascii="Arial" w:hAnsi="Arial" w:cs="Arial"/>
          <w:sz w:val="20"/>
          <w:szCs w:val="20"/>
        </w:rPr>
        <w:t xml:space="preserve"> za pravosodje. </w:t>
      </w:r>
    </w:p>
    <w:bookmarkEnd w:id="2"/>
    <w:p w14:paraId="7667526F" w14:textId="77777777" w:rsidR="00DB49CF" w:rsidRDefault="00DB49CF" w:rsidP="004A63EE">
      <w:pPr>
        <w:jc w:val="both"/>
      </w:pPr>
    </w:p>
    <w:bookmarkEnd w:id="3"/>
    <w:p w14:paraId="4EC505EB" w14:textId="7D558613" w:rsidR="00921576" w:rsidRPr="00A148A6" w:rsidRDefault="00921576" w:rsidP="00921576">
      <w:pPr>
        <w:tabs>
          <w:tab w:val="left" w:pos="3402"/>
        </w:tabs>
        <w:jc w:val="both"/>
        <w:rPr>
          <w:rFonts w:cs="Arial"/>
        </w:rPr>
      </w:pPr>
    </w:p>
    <w:sectPr w:rsidR="00921576" w:rsidRPr="00A148A6" w:rsidSect="00030F8B">
      <w:headerReference w:type="default" r:id="rId13"/>
      <w:footerReference w:type="default" r:id="rId14"/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0226" w14:textId="77777777" w:rsidR="00DA0F1E" w:rsidRDefault="00DA0F1E" w:rsidP="00BD3986">
      <w:pPr>
        <w:spacing w:after="0" w:line="240" w:lineRule="auto"/>
      </w:pPr>
      <w:r>
        <w:separator/>
      </w:r>
    </w:p>
  </w:endnote>
  <w:endnote w:type="continuationSeparator" w:id="0">
    <w:p w14:paraId="2B65DDE8" w14:textId="77777777" w:rsidR="00DA0F1E" w:rsidRDefault="00DA0F1E" w:rsidP="00BD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2DBB" w14:textId="030E9BA9" w:rsidR="00FE635F" w:rsidRDefault="00D2015E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DA7">
      <w:rPr>
        <w:noProof/>
      </w:rPr>
      <w:t>7</w:t>
    </w:r>
    <w:r>
      <w:rPr>
        <w:noProof/>
      </w:rPr>
      <w:fldChar w:fldCharType="end"/>
    </w:r>
  </w:p>
  <w:p w14:paraId="705C27D6" w14:textId="77777777" w:rsidR="00FE635F" w:rsidRDefault="00FE63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5E44" w14:textId="77777777" w:rsidR="00DA0F1E" w:rsidRDefault="00DA0F1E" w:rsidP="00BD3986">
      <w:pPr>
        <w:spacing w:after="0" w:line="240" w:lineRule="auto"/>
      </w:pPr>
      <w:r>
        <w:separator/>
      </w:r>
    </w:p>
  </w:footnote>
  <w:footnote w:type="continuationSeparator" w:id="0">
    <w:p w14:paraId="0839160F" w14:textId="77777777" w:rsidR="00DA0F1E" w:rsidRDefault="00DA0F1E" w:rsidP="00BD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AFB8" w14:textId="77777777" w:rsidR="00FE635F" w:rsidRPr="00110CBD" w:rsidRDefault="00FE635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D54BC" w:rsidRPr="008F3500" w14:paraId="3E2839A4" w14:textId="77777777">
      <w:trPr>
        <w:cantSplit/>
        <w:trHeight w:hRule="exact" w:val="847"/>
      </w:trPr>
      <w:tc>
        <w:tcPr>
          <w:tcW w:w="567" w:type="dxa"/>
        </w:tcPr>
        <w:p w14:paraId="03B7D30D" w14:textId="77777777" w:rsidR="00FE635F" w:rsidRPr="008F3500" w:rsidRDefault="00D2015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0" allowOverlap="1" wp14:anchorId="684D2D70" wp14:editId="73D5191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Raven puščični povezovalni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69F4E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4" o:spid="_x0000_s1026" type="#_x0000_t32" style="position:absolute;margin-left:2.3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83830F4" w14:textId="77777777" w:rsidR="00FE635F" w:rsidRPr="00C75C44" w:rsidRDefault="00D2015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C75C44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131A8A1" wp14:editId="791F17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Opis: 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Opis: 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C44">
      <w:rPr>
        <w:rFonts w:cs="Arial"/>
        <w:sz w:val="16"/>
      </w:rPr>
      <w:t>Župančičeva cesta 3, 1000 Ljubljana</w:t>
    </w:r>
    <w:r w:rsidRPr="00C75C44">
      <w:rPr>
        <w:rFonts w:cs="Arial"/>
        <w:sz w:val="16"/>
      </w:rPr>
      <w:tab/>
      <w:t>T: 01 369 53 42</w:t>
    </w:r>
  </w:p>
  <w:p w14:paraId="0EBADB75" w14:textId="77777777" w:rsidR="00FE635F" w:rsidRPr="00C75C44" w:rsidRDefault="00D2015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C75C44">
      <w:rPr>
        <w:rFonts w:cs="Arial"/>
        <w:sz w:val="16"/>
      </w:rPr>
      <w:tab/>
      <w:t xml:space="preserve">F: 01 369 57 83 </w:t>
    </w:r>
  </w:p>
  <w:p w14:paraId="3181D0AD" w14:textId="77777777" w:rsidR="00FE635F" w:rsidRPr="00C75C44" w:rsidRDefault="00D2015E" w:rsidP="00CC2598">
    <w:pPr>
      <w:pStyle w:val="Glava"/>
      <w:tabs>
        <w:tab w:val="clear" w:pos="4320"/>
        <w:tab w:val="clear" w:pos="8640"/>
        <w:tab w:val="left" w:pos="5112"/>
        <w:tab w:val="left" w:pos="7427"/>
      </w:tabs>
      <w:spacing w:line="240" w:lineRule="exact"/>
      <w:rPr>
        <w:rFonts w:cs="Arial"/>
        <w:sz w:val="16"/>
      </w:rPr>
    </w:pPr>
    <w:r w:rsidRPr="00C75C44">
      <w:rPr>
        <w:rFonts w:cs="Arial"/>
        <w:sz w:val="16"/>
      </w:rPr>
      <w:tab/>
      <w:t>E: gp.mp@gov.si</w:t>
    </w:r>
    <w:r w:rsidRPr="00C75C44">
      <w:rPr>
        <w:rFonts w:cs="Arial"/>
        <w:sz w:val="16"/>
      </w:rPr>
      <w:tab/>
    </w:r>
  </w:p>
  <w:p w14:paraId="5C2F4706" w14:textId="77777777" w:rsidR="00FE635F" w:rsidRPr="00C75C44" w:rsidRDefault="00D2015E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  <w:r w:rsidRPr="00C75C44">
      <w:rPr>
        <w:rFonts w:cs="Arial"/>
        <w:sz w:val="16"/>
      </w:rPr>
      <w:tab/>
    </w:r>
    <w:r w:rsidRPr="00C75C44">
      <w:rPr>
        <w:rFonts w:cs="Arial"/>
        <w:sz w:val="16"/>
      </w:rPr>
      <w:tab/>
    </w:r>
    <w:hyperlink r:id="rId2" w:history="1">
      <w:r w:rsidRPr="00C75C44">
        <w:rPr>
          <w:rStyle w:val="Hiperpovezava"/>
          <w:rFonts w:cs="Arial"/>
          <w:sz w:val="16"/>
        </w:rPr>
        <w:t>www.mp.gov.si</w:t>
      </w:r>
    </w:hyperlink>
  </w:p>
  <w:p w14:paraId="1CC4AAA4" w14:textId="77777777" w:rsidR="00FE635F" w:rsidRDefault="00FE635F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3FD319EA" w14:textId="77777777" w:rsidR="00FE635F" w:rsidRDefault="00FE635F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2095F2A9" w14:textId="77777777" w:rsidR="00FE635F" w:rsidRDefault="00FE635F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338B1044" w14:textId="77777777" w:rsidR="00FE635F" w:rsidRDefault="00FE635F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78FBD67E" w14:textId="77777777" w:rsidR="00FE635F" w:rsidRDefault="00FE635F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70609F26" w14:textId="77777777" w:rsidR="00FE635F" w:rsidRDefault="00FE635F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A6A"/>
    <w:multiLevelType w:val="hybridMultilevel"/>
    <w:tmpl w:val="8CE48E5A"/>
    <w:lvl w:ilvl="0" w:tplc="68E0AF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2A1"/>
    <w:multiLevelType w:val="hybridMultilevel"/>
    <w:tmpl w:val="003AE73C"/>
    <w:lvl w:ilvl="0" w:tplc="FD9273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62F3"/>
    <w:multiLevelType w:val="hybridMultilevel"/>
    <w:tmpl w:val="0FEE738C"/>
    <w:lvl w:ilvl="0" w:tplc="0BE825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5BBD"/>
    <w:multiLevelType w:val="hybridMultilevel"/>
    <w:tmpl w:val="8CE48E5A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B0D406A"/>
    <w:multiLevelType w:val="hybridMultilevel"/>
    <w:tmpl w:val="A8903512"/>
    <w:lvl w:ilvl="0" w:tplc="8D880D9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F6A29"/>
    <w:multiLevelType w:val="hybridMultilevel"/>
    <w:tmpl w:val="615C76E4"/>
    <w:lvl w:ilvl="0" w:tplc="514AD58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3E57DF"/>
    <w:multiLevelType w:val="hybridMultilevel"/>
    <w:tmpl w:val="AA76FE12"/>
    <w:lvl w:ilvl="0" w:tplc="BEF6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0465B"/>
    <w:multiLevelType w:val="hybridMultilevel"/>
    <w:tmpl w:val="9330107A"/>
    <w:lvl w:ilvl="0" w:tplc="8D880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C3FBE"/>
    <w:multiLevelType w:val="hybridMultilevel"/>
    <w:tmpl w:val="BA0C0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051E4"/>
    <w:multiLevelType w:val="hybridMultilevel"/>
    <w:tmpl w:val="97F4DE72"/>
    <w:lvl w:ilvl="0" w:tplc="76DA1A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03173"/>
    <w:multiLevelType w:val="hybridMultilevel"/>
    <w:tmpl w:val="CEFC4184"/>
    <w:lvl w:ilvl="0" w:tplc="7DFCD3D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902152">
    <w:abstractNumId w:val="1"/>
  </w:num>
  <w:num w:numId="2" w16cid:durableId="441808369">
    <w:abstractNumId w:val="10"/>
  </w:num>
  <w:num w:numId="3" w16cid:durableId="1339769563">
    <w:abstractNumId w:val="13"/>
  </w:num>
  <w:num w:numId="4" w16cid:durableId="1396705603">
    <w:abstractNumId w:val="16"/>
  </w:num>
  <w:num w:numId="5" w16cid:durableId="2051681019">
    <w:abstractNumId w:val="7"/>
  </w:num>
  <w:num w:numId="6" w16cid:durableId="609057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6844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7092642">
    <w:abstractNumId w:val="12"/>
  </w:num>
  <w:num w:numId="9" w16cid:durableId="654991654">
    <w:abstractNumId w:val="5"/>
  </w:num>
  <w:num w:numId="10" w16cid:durableId="1652980222">
    <w:abstractNumId w:val="9"/>
  </w:num>
  <w:num w:numId="11" w16cid:durableId="1821648609">
    <w:abstractNumId w:val="0"/>
  </w:num>
  <w:num w:numId="12" w16cid:durableId="2011180293">
    <w:abstractNumId w:val="3"/>
  </w:num>
  <w:num w:numId="13" w16cid:durableId="750855711">
    <w:abstractNumId w:val="14"/>
  </w:num>
  <w:num w:numId="14" w16cid:durableId="1604608819">
    <w:abstractNumId w:val="8"/>
  </w:num>
  <w:num w:numId="15" w16cid:durableId="380128798">
    <w:abstractNumId w:val="2"/>
  </w:num>
  <w:num w:numId="16" w16cid:durableId="527793158">
    <w:abstractNumId w:val="4"/>
  </w:num>
  <w:num w:numId="17" w16cid:durableId="744179989">
    <w:abstractNumId w:val="11"/>
  </w:num>
  <w:num w:numId="18" w16cid:durableId="1704598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0F"/>
    <w:rsid w:val="000036FF"/>
    <w:rsid w:val="00007660"/>
    <w:rsid w:val="000311EB"/>
    <w:rsid w:val="000526DC"/>
    <w:rsid w:val="00056CC8"/>
    <w:rsid w:val="00073E3D"/>
    <w:rsid w:val="000B30BA"/>
    <w:rsid w:val="000C0438"/>
    <w:rsid w:val="000C5D4E"/>
    <w:rsid w:val="000D1B00"/>
    <w:rsid w:val="000E025E"/>
    <w:rsid w:val="000E5848"/>
    <w:rsid w:val="001179D7"/>
    <w:rsid w:val="00126613"/>
    <w:rsid w:val="00133E4E"/>
    <w:rsid w:val="00155A46"/>
    <w:rsid w:val="00161467"/>
    <w:rsid w:val="00193374"/>
    <w:rsid w:val="001A0685"/>
    <w:rsid w:val="001A1790"/>
    <w:rsid w:val="001A25AF"/>
    <w:rsid w:val="001B3EB9"/>
    <w:rsid w:val="001D538E"/>
    <w:rsid w:val="002327EA"/>
    <w:rsid w:val="0023461C"/>
    <w:rsid w:val="0028025B"/>
    <w:rsid w:val="002B04DC"/>
    <w:rsid w:val="002C088C"/>
    <w:rsid w:val="00300B0C"/>
    <w:rsid w:val="00310E78"/>
    <w:rsid w:val="00314A9F"/>
    <w:rsid w:val="00350EDD"/>
    <w:rsid w:val="0039565E"/>
    <w:rsid w:val="003A2AB9"/>
    <w:rsid w:val="003B71A4"/>
    <w:rsid w:val="003E4FF7"/>
    <w:rsid w:val="00404754"/>
    <w:rsid w:val="004166E9"/>
    <w:rsid w:val="004703FA"/>
    <w:rsid w:val="00486E4D"/>
    <w:rsid w:val="004A63EE"/>
    <w:rsid w:val="004B0528"/>
    <w:rsid w:val="004B2CD2"/>
    <w:rsid w:val="004D46CF"/>
    <w:rsid w:val="004F27BB"/>
    <w:rsid w:val="00544EC2"/>
    <w:rsid w:val="005455A7"/>
    <w:rsid w:val="0054570F"/>
    <w:rsid w:val="005C62C4"/>
    <w:rsid w:val="005E01A2"/>
    <w:rsid w:val="0060466B"/>
    <w:rsid w:val="0060745A"/>
    <w:rsid w:val="00621EB4"/>
    <w:rsid w:val="00634141"/>
    <w:rsid w:val="00642FA6"/>
    <w:rsid w:val="00670929"/>
    <w:rsid w:val="00674B7D"/>
    <w:rsid w:val="00691EB5"/>
    <w:rsid w:val="006C7F8E"/>
    <w:rsid w:val="006D1CCE"/>
    <w:rsid w:val="006E454E"/>
    <w:rsid w:val="00706C15"/>
    <w:rsid w:val="00724B38"/>
    <w:rsid w:val="00750781"/>
    <w:rsid w:val="00752002"/>
    <w:rsid w:val="00766CAE"/>
    <w:rsid w:val="00776319"/>
    <w:rsid w:val="007D46E4"/>
    <w:rsid w:val="007D47F9"/>
    <w:rsid w:val="007E4A62"/>
    <w:rsid w:val="007F47A5"/>
    <w:rsid w:val="00843F08"/>
    <w:rsid w:val="008613D7"/>
    <w:rsid w:val="008650F6"/>
    <w:rsid w:val="008A3A59"/>
    <w:rsid w:val="008C295D"/>
    <w:rsid w:val="008D7EB3"/>
    <w:rsid w:val="008E26EC"/>
    <w:rsid w:val="008E6873"/>
    <w:rsid w:val="00902131"/>
    <w:rsid w:val="00921576"/>
    <w:rsid w:val="00941B45"/>
    <w:rsid w:val="00980D23"/>
    <w:rsid w:val="009A7121"/>
    <w:rsid w:val="009D00B1"/>
    <w:rsid w:val="009D5E38"/>
    <w:rsid w:val="009E09DD"/>
    <w:rsid w:val="009E2A7B"/>
    <w:rsid w:val="009E535B"/>
    <w:rsid w:val="00A50064"/>
    <w:rsid w:val="00A60768"/>
    <w:rsid w:val="00A70041"/>
    <w:rsid w:val="00A82CD3"/>
    <w:rsid w:val="00AB1CA3"/>
    <w:rsid w:val="00AC3698"/>
    <w:rsid w:val="00AD6CB1"/>
    <w:rsid w:val="00B131E2"/>
    <w:rsid w:val="00B34306"/>
    <w:rsid w:val="00B363AC"/>
    <w:rsid w:val="00B82219"/>
    <w:rsid w:val="00BA0AFE"/>
    <w:rsid w:val="00BC2B07"/>
    <w:rsid w:val="00BD3986"/>
    <w:rsid w:val="00BF08B0"/>
    <w:rsid w:val="00BF16DA"/>
    <w:rsid w:val="00BF76A5"/>
    <w:rsid w:val="00C33068"/>
    <w:rsid w:val="00C557A6"/>
    <w:rsid w:val="00C6785F"/>
    <w:rsid w:val="00C7583B"/>
    <w:rsid w:val="00C846BB"/>
    <w:rsid w:val="00C93114"/>
    <w:rsid w:val="00CA73A8"/>
    <w:rsid w:val="00CE08F6"/>
    <w:rsid w:val="00D170E9"/>
    <w:rsid w:val="00D2015E"/>
    <w:rsid w:val="00D52DF1"/>
    <w:rsid w:val="00D82C9D"/>
    <w:rsid w:val="00DA0F1E"/>
    <w:rsid w:val="00DA23EF"/>
    <w:rsid w:val="00DB3E42"/>
    <w:rsid w:val="00DB49CF"/>
    <w:rsid w:val="00DC1DA7"/>
    <w:rsid w:val="00DC40C8"/>
    <w:rsid w:val="00DC7EC5"/>
    <w:rsid w:val="00E17AE9"/>
    <w:rsid w:val="00E75F36"/>
    <w:rsid w:val="00E800F8"/>
    <w:rsid w:val="00EA05F7"/>
    <w:rsid w:val="00ED6580"/>
    <w:rsid w:val="00EE05F8"/>
    <w:rsid w:val="00F5569A"/>
    <w:rsid w:val="00F61AAF"/>
    <w:rsid w:val="00FB2F09"/>
    <w:rsid w:val="00FE635F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AE06"/>
  <w15:chartTrackingRefBased/>
  <w15:docId w15:val="{4FB1373E-9E9C-4C1B-BB06-B2048AA7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1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50F6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8650F6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650F6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650F6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8650F6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Hiperpovezava">
    <w:name w:val="Hyperlink"/>
    <w:rsid w:val="008650F6"/>
    <w:rPr>
      <w:color w:val="0000FF"/>
      <w:u w:val="single"/>
    </w:rPr>
  </w:style>
  <w:style w:type="paragraph" w:customStyle="1" w:styleId="podpisi">
    <w:name w:val="podpisi"/>
    <w:basedOn w:val="Navaden"/>
    <w:qFormat/>
    <w:rsid w:val="008650F6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lv">
    <w:name w:val="lv"/>
    <w:basedOn w:val="Navaden"/>
    <w:rsid w:val="008650F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2AB9"/>
    <w:rPr>
      <w:rFonts w:ascii="Segoe UI" w:hAnsi="Segoe UI" w:cs="Segoe UI"/>
      <w:sz w:val="18"/>
      <w:szCs w:val="18"/>
    </w:rPr>
  </w:style>
  <w:style w:type="paragraph" w:customStyle="1" w:styleId="Neotevilenodstavek">
    <w:name w:val="Neoštevilčen odstavek"/>
    <w:basedOn w:val="Navaden"/>
    <w:link w:val="NeotevilenodstavekZnak"/>
    <w:qFormat/>
    <w:rsid w:val="0092157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921576"/>
    <w:rPr>
      <w:rFonts w:ascii="Arial" w:eastAsia="Times New Roman" w:hAnsi="Arial" w:cs="Arial"/>
      <w:lang w:eastAsia="sl-SI"/>
    </w:rPr>
  </w:style>
  <w:style w:type="character" w:customStyle="1" w:styleId="highlight1">
    <w:name w:val="highlight1"/>
    <w:basedOn w:val="Privzetapisavaodstavka"/>
    <w:rsid w:val="00CA73A8"/>
    <w:rPr>
      <w:shd w:val="clear" w:color="auto" w:fill="FFFF88"/>
    </w:rPr>
  </w:style>
  <w:style w:type="paragraph" w:styleId="Odstavekseznama">
    <w:name w:val="List Paragraph"/>
    <w:basedOn w:val="Navaden"/>
    <w:uiPriority w:val="34"/>
    <w:qFormat/>
    <w:rsid w:val="00DB49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ija">
    <w:name w:val="Revision"/>
    <w:hidden/>
    <w:uiPriority w:val="99"/>
    <w:semiHidden/>
    <w:rsid w:val="00A50064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31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cnr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187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scnr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87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ju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5DBB4C-C08B-4ECA-920A-4E455680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Miriam Lavrič</cp:lastModifiedBy>
  <cp:revision>6</cp:revision>
  <cp:lastPrinted>2020-10-13T09:07:00Z</cp:lastPrinted>
  <dcterms:created xsi:type="dcterms:W3CDTF">2025-01-31T11:42:00Z</dcterms:created>
  <dcterms:modified xsi:type="dcterms:W3CDTF">2025-02-12T12:28:00Z</dcterms:modified>
</cp:coreProperties>
</file>