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spacing w:after="0" w:line="260" w:lineRule="auto"/>
        <w:rPr>
          <w:rFonts w:ascii="Arial" w:hAnsi="Arial" w:cs="Arial"/>
        </w:rPr>
      </w:pPr>
    </w:p>
    <w:p>
      <w:pPr>
        <w:pStyle w:val="SredinskoOdebeljeno"/>
        <w:spacing w:after="0" w:line="260" w:lineRule="auto"/>
      </w:pPr>
      <w:r>
        <w:t>UREDBA O SPREMEMBAH UREDBE O SPREMEMBAH IN DOPOLNITVI UREDBE O PREGLEDIH, ČIŠČENJU IN MERITVAH NA MALIH KURILNIH NAPRAVAH</w:t>
      </w:r>
    </w:p>
    <w:p>
      <w:pPr>
        <w:spacing w:after="0" w:line="260" w:lineRule="auto"/>
        <w:rPr>
          <w:rFonts w:ascii="Arial" w:hAnsi="Arial" w:cs="Arial"/>
        </w:rPr>
      </w:pPr>
    </w:p>
    <w:p>
      <w:pPr>
        <w:pStyle w:val="Sredinsko"/>
        <w:spacing w:after="0" w:line="260" w:lineRule="auto"/>
      </w:pPr>
      <w:r>
        <w:t>PREDLOG</w:t>
      </w:r>
    </w:p>
    <w:p>
      <w:pPr>
        <w:spacing w:after="0" w:line="260" w:lineRule="auto"/>
        <w:rPr>
          <w:rFonts w:ascii="Arial" w:hAnsi="Arial" w:cs="Arial"/>
        </w:rPr>
      </w:pPr>
    </w:p>
    <w:p>
      <w:pPr>
        <w:spacing w:after="0" w:line="260" w:lineRule="auto"/>
        <w:rPr>
          <w:rFonts w:ascii="Arial" w:hAnsi="Arial" w:cs="Arial"/>
        </w:rPr>
      </w:pPr>
    </w:p>
    <w:p>
      <w:pPr>
        <w:pStyle w:val="Sredinsko"/>
        <w:spacing w:after="0" w:line="260" w:lineRule="auto"/>
      </w:pPr>
      <w:r>
        <w:t>EVA: 2026-2570-0024</w:t>
      </w:r>
    </w:p>
    <w:p>
      <w:r>
        <w:br w:type="page"/>
      </w:r>
    </w:p>
    <w:p>
      <w:pPr>
        <w:pStyle w:val="Odebeljeno"/>
        <w:spacing w:after="0" w:line="260" w:lineRule="auto"/>
      </w:pPr>
      <w:r>
        <w:t>I.</w:t>
      </w:r>
      <w:r>
        <w:tab/>
      </w:r>
      <w:r>
        <w:t>UVOD</w:t>
      </w:r>
    </w:p>
    <w:p>
      <w:pPr>
        <w:pStyle w:val="Odebeljeno"/>
        <w:spacing w:after="0" w:line="260" w:lineRule="auto"/>
      </w:pPr>
      <w:r>
        <w:t>1.</w:t>
      </w:r>
      <w:r>
        <w:tab/>
      </w:r>
      <w:r>
        <w:t>Razlogi in podlage za izdajo</w:t>
      </w:r>
    </w:p>
    <w:p>
      <w:pPr>
        <w:spacing w:after="0" w:line="260" w:lineRule="auto"/>
        <w:rPr>
          <w:rFonts w:ascii="Arial" w:hAnsi="Arial" w:cs="Arial"/>
        </w:rPr>
      </w:pPr>
    </w:p>
    <w:p>
      <w:pPr>
        <w:spacing w:after="0" w:line="260" w:lineRule="auto"/>
      </w:pPr>
      <w:r>
        <w:t>Pravna podlaga:</w:t>
      </w:r>
    </w:p>
    <w:p>
      <w:pPr>
        <w:spacing w:after="0" w:line="240" w:lineRule="auto"/>
      </w:pPr>
      <w:r>
        <w:t xml:space="preserve">Pravna podlaga za sprejetje Uredbe o spremembah Uredbe o spremembah in dopolnitvi Uredbe o pregledih, čiščenju in meritvah na malih kurilnih napravah je osmi odstavek 13. člena in peti odstavek 27. člena Zakona o dimnikarskih storitvah (Uradni list RS, št. 68/16) </w:t>
      </w:r>
    </w:p>
    <w:p>
      <w:pPr>
        <w:spacing w:after="0" w:line="240" w:lineRule="auto"/>
      </w:pPr>
      <w:r>
        <w:t>Veljavna Uredba o spremembah in dopolnitvi Uredbe o pregledih, čiščenju in meritvah na malih kurilnih napravah (Uradni list RS, št. 98/24) določa začetek izvajanja meritev emisij snovi z dimnimi plini na malih kurilnih napravah na trdna goriva s 1. novembrom 2026.</w:t>
      </w:r>
    </w:p>
    <w:p>
      <w:pPr>
        <w:spacing w:after="0" w:line="240" w:lineRule="auto"/>
      </w:pPr>
      <w:r>
        <w:t xml:space="preserve"> </w:t>
      </w:r>
    </w:p>
    <w:p>
      <w:pPr>
        <w:spacing w:after="0" w:line="260" w:lineRule="auto"/>
        <w:rPr>
          <w:rFonts w:ascii="Arial" w:hAnsi="Arial" w:cs="Arial"/>
        </w:rPr>
      </w:pPr>
    </w:p>
    <w:p>
      <w:pPr>
        <w:spacing w:after="0" w:line="260" w:lineRule="auto"/>
      </w:pPr>
      <w:r>
        <w:t>Rok za izdajo:</w:t>
      </w:r>
    </w:p>
    <w:p>
      <w:pPr>
        <w:spacing w:after="0" w:line="240" w:lineRule="auto"/>
      </w:pPr>
      <w:r>
        <w:t>Ta uredba začne veljati petnajsti dan po objavi v Uradnem listu Republike Slovenije.</w:t>
      </w:r>
    </w:p>
    <w:p>
      <w:pPr>
        <w:spacing w:after="0" w:line="260" w:lineRule="auto"/>
        <w:rPr>
          <w:rFonts w:ascii="Arial" w:hAnsi="Arial" w:cs="Arial"/>
        </w:rPr>
      </w:pPr>
    </w:p>
    <w:p>
      <w:pPr>
        <w:spacing w:after="0" w:line="260" w:lineRule="auto"/>
      </w:pPr>
      <w:r>
        <w:t>Glavni razlogi za izdajo:</w:t>
      </w:r>
    </w:p>
    <w:p>
      <w:pPr>
        <w:spacing w:after="0" w:line="240" w:lineRule="auto"/>
      </w:pPr>
      <w:r>
        <w:t xml:space="preserve">Glavni razlog sprejetja Uredbe o spremembah Uredbe o spremembah in dopolnitvi Uredbe o pregledih, čiščenju in meritvah na malih kurilnih napravah je 3-letni zamik izvajanja meritev emisij snovi z dimnimi plini na malih kurilnih napravah na trdna goriva. </w:t>
      </w:r>
    </w:p>
    <w:p>
      <w:pPr>
        <w:spacing w:after="0" w:line="240" w:lineRule="auto"/>
      </w:pPr>
      <w:r>
        <w:t>Razlog za sprejetje je tudi zagotovitev časa za pripravo usposabljanja, izvedbo usposabljanja in nakup opreme dimnikarjev za izvajanje storitve meritev na malih kurilnih napravah na trdna goriva v prehodnem obdobju.</w:t>
      </w:r>
    </w:p>
    <w:p>
      <w:pPr>
        <w:spacing w:after="0" w:line="240" w:lineRule="auto"/>
      </w:pPr>
      <w:r>
        <w:t xml:space="preserve"> </w:t>
      </w:r>
    </w:p>
    <w:p>
      <w:pPr>
        <w:spacing w:after="0" w:line="240" w:lineRule="auto"/>
      </w:pPr>
      <w:r>
        <w:t>Pri pripravi izvedbenih aktivnosti za izvajanje navedenih meritev je bilo ugotovljeno, da je za učinkovito, strokovno in enotno izvajanje meritev potrebno zagotoviti dodatno prehodno obdobje. V tem času bo treba pripraviti in izvesti strokovna usposabljanja izvajalcev dimnikarskih storitev, pripraviti enotno metodologijo izvajanja meritev ter zagotoviti ustrezno tehnično opremljenost izvajalcev dimnikarskih storitev z merilno opremo.</w:t>
      </w:r>
    </w:p>
    <w:p>
      <w:pPr>
        <w:spacing w:after="0" w:line="240" w:lineRule="auto"/>
      </w:pPr>
      <w:r>
        <w:t xml:space="preserve"> </w:t>
      </w:r>
    </w:p>
    <w:p>
      <w:pPr>
        <w:spacing w:after="0" w:line="240" w:lineRule="auto"/>
        <w:jc w:val="both"/>
      </w:pPr>
      <w:r>
        <w:rPr>
          <w:b/>
        </w:rPr>
        <w:t xml:space="preserve">Sprejem Uredbe s strani Vlade RS je izrecno naveden v ZDimS, MOPE je pristojno za izvajanje ZDimS, </w:t>
      </w:r>
      <w:r>
        <w:rPr>
          <w:b/>
          <w:u w:val="single"/>
        </w:rPr>
        <w:t>zato menimo, da sprejetje predlaganega Sklepa spada v okvir opravljanja tekočih poslov.</w:t>
      </w:r>
      <w:r>
        <w:rPr>
          <w:b/>
        </w:rPr>
        <w:t xml:space="preserve"> Predlagana sprememba ne uvaja novih politik, novih obveznosti ali novih sistemskih rešitev, temveč zgolj časovno prilagaja začetek izvajanja že predpisane obveznosti izvajanja meritev dimnih plinov na malih kurilnih napravah na trdna goriva. Vsebina obveznosti, način izvajanja in cilji predpisa ostajajo nespremenjeni.</w:t>
      </w:r>
    </w:p>
    <w:p>
      <w:pPr>
        <w:spacing w:after="0" w:line="240" w:lineRule="auto"/>
        <w:jc w:val="both"/>
      </w:pPr>
      <w:r>
        <w:rPr>
          <w:b/>
        </w:rPr>
        <w:t xml:space="preserve"> </w:t>
      </w:r>
    </w:p>
    <w:p>
      <w:pPr>
        <w:spacing w:after="0" w:line="240" w:lineRule="auto"/>
        <w:jc w:val="both"/>
      </w:pPr>
      <w:r>
        <w:rPr>
          <w:b/>
        </w:rPr>
        <w:t>Namen spremembe je zagotoviti nemoteno izvrševanje veljavne zakonodaje in delovanje sistema dimnikarskih storitev v praksi. V postopkih priprave na izvajanje obveznih meritev je bilo ugotovljeno, da izvajalci dimnikarskih storitev za kakovostno in strokovno izvajanje nalog potrebujejo dodatni čas za:</w:t>
      </w:r>
    </w:p>
    <w:p>
      <w:pPr>
        <w:spacing w:after="0" w:line="240" w:lineRule="auto"/>
        <w:jc w:val="both"/>
      </w:pPr>
      <w:r>
        <w:rPr>
          <w:b/>
        </w:rPr>
        <w:t xml:space="preserve"> </w:t>
      </w:r>
    </w:p>
    <w:p>
      <w:pPr>
        <w:spacing w:after="0" w:line="240" w:lineRule="auto"/>
        <w:jc w:val="both"/>
      </w:pPr>
      <w:r>
        <w:rPr>
          <w:b/>
        </w:rPr>
        <w:t>Če predlagana sprememba ne bi bila sprejeta, bi obstajalo tveganje, da se obveznosti iz uredbe v predpisanem roku ne bi mogle izvajati strokovno, enotno in v zadostnem obsegu, kar bi povzročilo težave pri izvajanju zakonodaje in delovanju sistema dimnikarskih storitev.</w:t>
      </w:r>
    </w:p>
    <w:p>
      <w:pPr>
        <w:spacing w:after="0" w:line="240" w:lineRule="auto"/>
        <w:jc w:val="both"/>
      </w:pPr>
      <w:r>
        <w:rPr>
          <w:b/>
        </w:rPr>
        <w:t xml:space="preserve"> </w:t>
      </w:r>
    </w:p>
    <w:p>
      <w:pPr>
        <w:spacing w:after="0" w:line="240" w:lineRule="auto"/>
        <w:jc w:val="both"/>
      </w:pPr>
      <w:r>
        <w:rPr>
          <w:b/>
        </w:rPr>
        <w:t>Predlagana sprememba je zato nujna za zagotovitev pravno in strokovno izvedljivega izvajanja že veljavnih predpisov ter za preprečitev motenj pri izvrševanju zakonodaje na področju dimnikarskih storitev.</w:t>
      </w:r>
    </w:p>
    <w:p>
      <w:pPr>
        <w:spacing w:after="0" w:line="260" w:lineRule="auto"/>
        <w:rPr>
          <w:rFonts w:ascii="Arial" w:hAnsi="Arial" w:cs="Arial"/>
        </w:rPr>
      </w:pPr>
    </w:p>
    <w:p>
      <w:pPr>
        <w:pStyle w:val="Odebeljeno"/>
        <w:spacing w:after="0" w:line="260" w:lineRule="auto"/>
      </w:pPr>
      <w:r>
        <w:t>2.</w:t>
      </w:r>
      <w:r>
        <w:tab/>
      </w:r>
      <w:r>
        <w:t>Ocena finančnih posledic predloga akta za državni proračun in druga javna finančna sredstva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3.</w:t>
      </w:r>
      <w:r>
        <w:tab/>
      </w:r>
      <w:r>
        <w:t>Prikaz ureditve v drugih pravnih sistemih in prilagojenosti predlagane ureditve pravu Evropske unije</w:t>
      </w:r>
    </w:p>
    <w:p>
      <w:pPr>
        <w:spacing w:after="0" w:line="260" w:lineRule="auto"/>
        <w:rPr>
          <w:rFonts w:ascii="Arial" w:hAnsi="Arial" w:cs="Arial"/>
        </w:rPr>
      </w:pPr>
    </w:p>
    <w:p>
      <w:pPr>
        <w:pStyle w:val="Odebeljeno"/>
        <w:spacing w:after="0" w:line="260" w:lineRule="auto"/>
      </w:pPr>
      <w:r>
        <w:t>3.1</w:t>
      </w:r>
      <w:r>
        <w:tab/>
      </w:r>
      <w:r>
        <w:t>Prikaz ureditve v drugih pravnih sistemih</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3.2</w:t>
      </w:r>
      <w:r>
        <w:tab/>
      </w:r>
      <w:r>
        <w:t>Prikaz ureditve v pravnem redu Evropske unije</w:t>
      </w:r>
    </w:p>
    <w:p>
      <w:pPr>
        <w:spacing w:after="0" w:line="260" w:lineRule="auto"/>
        <w:rPr>
          <w:rFonts w:ascii="Arial" w:hAnsi="Arial" w:cs="Arial"/>
        </w:rPr>
      </w:pPr>
    </w:p>
    <w:p>
      <w:pPr>
        <w:spacing w:after="0" w:line="260" w:lineRule="auto"/>
      </w:pPr>
      <w:r>
        <w:t>Predlog ni predmet usklajevanja s pravnim redom EU.</w:t>
      </w:r>
    </w:p>
    <w:p>
      <w:pPr>
        <w:spacing w:after="0" w:line="260" w:lineRule="auto"/>
        <w:rPr>
          <w:rFonts w:ascii="Arial" w:hAnsi="Arial" w:cs="Arial"/>
        </w:rPr>
      </w:pPr>
    </w:p>
    <w:p>
      <w:pPr>
        <w:pStyle w:val="SrajckaNaslovZamik"/>
        <w:spacing w:after="0" w:line="260" w:lineRule="auto"/>
      </w:pPr>
      <w:r>
        <w:t>3.3</w:t>
      </w:r>
      <w:r>
        <w:tab/>
      </w:r>
      <w:r>
        <w:t>Prikaz ureditve v posameznih državah članicah Evropske unije</w:t>
      </w:r>
    </w:p>
    <w:p>
      <w:pPr>
        <w:spacing w:after="0" w:line="260" w:lineRule="auto"/>
        <w:rPr>
          <w:rFonts w:ascii="Arial" w:hAnsi="Arial" w:cs="Arial"/>
        </w:rPr>
      </w:pPr>
    </w:p>
    <w:p>
      <w:pPr>
        <w:spacing w:after="0" w:line="260" w:lineRule="auto"/>
      </w:pPr>
      <w:r>
        <w:t>/</w:t>
      </w:r>
    </w:p>
    <w:p>
      <w:pPr>
        <w:spacing w:after="0" w:line="260" w:lineRule="auto"/>
        <w:rPr>
          <w:rFonts w:ascii="Arial" w:hAnsi="Arial" w:cs="Arial"/>
        </w:rPr>
      </w:pPr>
    </w:p>
    <w:p>
      <w:pPr>
        <w:pStyle w:val="Odebeljeno"/>
        <w:spacing w:after="0" w:line="260" w:lineRule="auto"/>
      </w:pPr>
      <w:r>
        <w:t>4.</w:t>
      </w:r>
      <w:r>
        <w:tab/>
      </w:r>
      <w:r>
        <w:t>Presoja posledic</w:t>
      </w:r>
    </w:p>
    <w:p>
      <w:pPr>
        <w:pStyle w:val="Odebeljeno"/>
        <w:spacing w:after="0" w:line="260" w:lineRule="auto"/>
      </w:pPr>
      <w:r>
        <w:t>4.1</w:t>
      </w:r>
      <w:r>
        <w:tab/>
      </w:r>
      <w:r>
        <w:t>Presoja administrativnih posledic</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4.2</w:t>
      </w:r>
      <w:r>
        <w:tab/>
      </w:r>
      <w:r>
        <w:t>Presoja posledic za okolje, vključno s prostorskimi in varstvenimi vidiki</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4.3</w:t>
      </w:r>
      <w:r>
        <w:tab/>
      </w:r>
      <w:r>
        <w:t>Presoja posledic za gospodarstvo</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4.4</w:t>
      </w:r>
      <w:r>
        <w:tab/>
      </w:r>
      <w:r>
        <w:t>Presoja posledic za socialno področje</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4.5</w:t>
      </w:r>
      <w:r>
        <w:tab/>
      </w:r>
      <w:r>
        <w:t>Presoja posledic za dokumente razvojnega načrtovanja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4.6</w:t>
      </w:r>
      <w:r>
        <w:tab/>
      </w:r>
      <w:r>
        <w:t>Presoja posledic za druga področja</w:t>
      </w:r>
    </w:p>
    <w:p>
      <w:pPr>
        <w:spacing w:after="0" w:line="260" w:lineRule="auto"/>
        <w:rPr>
          <w:rFonts w:ascii="Arial" w:hAnsi="Arial" w:cs="Arial"/>
        </w:rPr>
      </w:pPr>
    </w:p>
    <w:p>
      <w:pPr>
        <w:spacing w:after="0" w:line="260" w:lineRule="auto"/>
      </w:pPr>
      <w:r>
        <w:t>Predpis nima posledic na tem področju.</w:t>
      </w:r>
    </w:p>
    <w:p>
      <w:pPr>
        <w:spacing w:after="0" w:line="260" w:lineRule="auto"/>
        <w:rPr>
          <w:rFonts w:ascii="Arial" w:hAnsi="Arial" w:cs="Arial"/>
        </w:rPr>
      </w:pPr>
    </w:p>
    <w:p>
      <w:pPr>
        <w:spacing w:after="0" w:line="260" w:lineRule="auto"/>
        <w:rPr>
          <w:rFonts w:ascii="Arial" w:hAnsi="Arial" w:cs="Arial"/>
        </w:rPr>
      </w:pPr>
    </w:p>
    <w:p>
      <w:pPr>
        <w:pStyle w:val="Odebeljeno"/>
        <w:spacing w:after="0" w:line="260" w:lineRule="auto"/>
      </w:pPr>
      <w:r>
        <w:t>4.7</w:t>
      </w:r>
      <w:r>
        <w:tab/>
      </w:r>
      <w:r>
        <w:t>Izvajanje sprejetega predpisa</w:t>
      </w:r>
    </w:p>
    <w:p>
      <w:pPr>
        <w:spacing w:after="0" w:line="260" w:lineRule="auto"/>
        <w:rPr>
          <w:rFonts w:ascii="Arial" w:hAnsi="Arial" w:cs="Arial"/>
        </w:rPr>
      </w:pPr>
    </w:p>
    <w:p>
      <w:pPr>
        <w:spacing w:after="0" w:line="240" w:lineRule="auto"/>
      </w:pPr>
      <w:r>
        <w:t>Predpis bomo predstavili ciljnim skupinam, deležnikom preko spletne strani MOPE</w:t>
      </w:r>
    </w:p>
    <w:p>
      <w:pPr>
        <w:spacing w:after="0" w:line="260" w:lineRule="auto"/>
        <w:rPr>
          <w:rFonts w:ascii="Arial" w:hAnsi="Arial" w:cs="Arial"/>
        </w:rPr>
      </w:pPr>
    </w:p>
    <w:p>
      <w:pPr>
        <w:pStyle w:val="Odebeljeno"/>
        <w:spacing w:after="0" w:line="260" w:lineRule="auto"/>
      </w:pPr>
      <w:r>
        <w:t>5.</w:t>
      </w:r>
      <w:r>
        <w:tab/>
      </w:r>
      <w:r>
        <w:t>Prikaz sodelovanja javnosti</w:t>
      </w:r>
    </w:p>
    <w:p>
      <w:pPr>
        <w:spacing w:after="0" w:line="260" w:lineRule="auto"/>
        <w:rPr>
          <w:rFonts w:ascii="Arial" w:hAnsi="Arial" w:cs="Arial"/>
        </w:rPr>
      </w:pPr>
    </w:p>
    <w:p>
      <w:pPr>
        <w:spacing w:after="0" w:line="260" w:lineRule="auto"/>
      </w:pPr>
      <w:r>
        <w:t>Gradivo je bilo predmet sodelovanja z javnostjo.</w:t>
      </w:r>
    </w:p>
    <w:p>
      <w:pPr>
        <w:spacing w:after="0" w:line="260" w:lineRule="auto"/>
        <w:rPr>
          <w:rFonts w:ascii="Arial" w:hAnsi="Arial" w:cs="Arial"/>
        </w:rPr>
      </w:pPr>
    </w:p>
    <w:p>
      <w:pPr>
        <w:spacing w:after="0" w:line="260" w:lineRule="auto"/>
      </w:pPr>
      <w:r>
        <w:t>Datum objave na portalu eDemokracija:</w:t>
      </w:r>
    </w:p>
    <w:p>
      <w:pPr>
        <w:spacing w:after="0" w:line="260" w:lineRule="auto"/>
      </w:pPr>
      <w:r>
        <w:t>15. 4. 2026</w:t>
      </w:r>
    </w:p>
    <w:p>
      <w:pPr>
        <w:spacing w:after="0" w:line="260" w:lineRule="auto"/>
        <w:rPr>
          <w:rFonts w:ascii="Arial" w:hAnsi="Arial" w:cs="Arial"/>
        </w:rPr>
      </w:pPr>
    </w:p>
    <w:p>
      <w:pPr>
        <w:spacing w:after="0" w:line="260" w:lineRule="auto"/>
      </w:pPr>
      <w:r>
        <w:t>Na gradivo so bila podana mnenja, predlogi in pripombe.</w:t>
      </w:r>
    </w:p>
    <w:p>
      <w:pPr>
        <w:spacing w:after="0" w:line="260" w:lineRule="auto"/>
        <w:rPr>
          <w:rFonts w:ascii="Arial" w:hAnsi="Arial" w:cs="Arial"/>
        </w:rPr>
      </w:pPr>
    </w:p>
    <w:p>
      <w:pPr>
        <w:spacing w:after="0" w:line="260" w:lineRule="auto"/>
      </w:pPr>
      <w:r>
        <w:t>V razpravo vključeni subjekti:</w:t>
      </w:r>
    </w:p>
    <w:p>
      <w:pPr>
        <w:spacing w:after="0" w:line="260" w:lineRule="auto"/>
      </w:pPr>
      <w:r>
        <w:t>Ni podatka.</w:t>
      </w:r>
    </w:p>
    <w:p>
      <w:pPr>
        <w:spacing w:after="0" w:line="260" w:lineRule="auto"/>
        <w:rPr>
          <w:rFonts w:ascii="Arial" w:hAnsi="Arial" w:cs="Arial"/>
        </w:rPr>
      </w:pPr>
    </w:p>
    <w:p>
      <w:pPr>
        <w:spacing w:after="0" w:line="260" w:lineRule="auto"/>
      </w:pPr>
      <w:r>
        <w:t>Obrazložitev upoštevanja mnenj, predlogov in pripomb v razpravo vključenih subjektov:</w:t>
      </w:r>
    </w:p>
    <w:p>
      <w:pPr>
        <w:spacing w:after="0" w:line="240" w:lineRule="auto"/>
      </w:pPr>
      <w:r>
        <w:t>Dne 15. 4. 2026 smo prejeli dopis št. 35406-2/2026-2570-41 s strani Borisa Matiča, Komen 52, 6223 Komen. Upoštevali smo njegov predlog, da primanjkuje obrazložitve, zakaj je triletni odlog nujen.  Obrazložitev smo naknadno dodali in sicer je razlog za sprejetje Uredbe o spremembah Uredbe o spremembah in dopolnitvi Uredbe o pregledih, čiščenju in meritvah na malih kurilnih napravah, zagotovitev časa za pripravo usposabljanja, izvedbo usposabljanja in nakup opreme dimnikarjev za izvajanje storitve meritev na malih kurilnih napravah na trdna goriva v prehodnem obdobju.</w:t>
      </w:r>
    </w:p>
    <w:p>
      <w:pPr>
        <w:spacing w:after="0" w:line="260" w:lineRule="auto"/>
        <w:rPr>
          <w:rFonts w:ascii="Arial" w:hAnsi="Arial" w:cs="Arial"/>
        </w:rPr>
      </w:pPr>
    </w:p>
    <w:p>
      <w:pPr>
        <w:spacing w:after="0" w:line="260" w:lineRule="auto"/>
      </w:pPr>
      <w:r>
        <w:t>Poročilo o sodelovanju z javnostjo:</w:t>
      </w:r>
    </w:p>
    <w:p>
      <w:pPr>
        <w:spacing w:after="0" w:line="240" w:lineRule="auto"/>
      </w:pPr>
      <w:r>
        <w:t>Predpis je bil objavljen na e-demokracija</w:t>
      </w:r>
    </w:p>
    <w:p>
      <w:pPr>
        <w:spacing w:after="0" w:line="260" w:lineRule="auto"/>
        <w:rPr>
          <w:rFonts w:ascii="Arial" w:hAnsi="Arial" w:cs="Arial"/>
        </w:rPr>
      </w:pPr>
    </w:p>
    <w:p>
      <w:r>
        <w:br w:type="page"/>
      </w:r>
    </w:p>
    <w:p>
      <w:pPr>
        <w:pStyle w:val="Odebeljeno"/>
        <w:spacing w:after="0" w:line="260" w:lineRule="auto"/>
      </w:pPr>
      <w:r>
        <w:t>II.</w:t>
      </w:r>
      <w:r>
        <w:tab/>
      </w:r>
      <w:r>
        <w:t>BESEDILO ČLENOV</w:t>
      </w:r>
    </w:p>
    <w:p>
      <w:pPr>
        <w:pStyle w:val="Odstavek"/>
        <w:spacing w:after="0" w:line="260" w:lineRule="auto"/>
      </w:pPr>
      <w:r>
        <w:t>Na podlagi osmega odstavka 13. člena in petega odstavka 27. člena Zakona o dimnikarskih storitvah (Uradni list RS, št. 68/16) Vlada Republike Slovenije izdaja </w:t>
      </w:r>
    </w:p>
    <w:p>
      <w:pPr>
        <w:spacing w:after="0" w:line="260" w:lineRule="auto"/>
        <w:rPr>
          <w:rFonts w:ascii="Arial" w:hAnsi="Arial" w:cs="Arial"/>
        </w:rPr>
      </w:pPr>
    </w:p>
    <w:p>
      <w:pPr>
        <w:pStyle w:val="Naslov1"/>
        <w:spacing w:after="0" w:line="260" w:lineRule="auto"/>
      </w:pPr>
      <w:r>
        <w:t>Uredbo o spremembah Uredbe o spremembah in dopolnitvi Uredbe o pregledih, čiščenju in meritvah na malih kurilnih napravah</w:t>
      </w:r>
    </w:p>
    <w:p>
      <w:pPr>
        <w:pStyle w:val="len"/>
        <w:spacing w:after="0" w:line="260" w:lineRule="auto"/>
      </w:pPr>
      <w:r>
        <w:t>1. člen</w:t>
      </w:r>
    </w:p>
    <w:p>
      <w:pPr>
        <w:spacing w:after="0" w:line="260" w:lineRule="auto"/>
        <w:rPr>
          <w:rFonts w:ascii="Arial" w:hAnsi="Arial" w:cs="Arial"/>
        </w:rPr>
      </w:pPr>
    </w:p>
    <w:p>
      <w:pPr>
        <w:spacing w:after="0" w:line="260" w:lineRule="auto"/>
      </w:pPr>
      <w:r>
        <w:tab/>
      </w:r>
      <w:r>
        <w:t>V Uredbi o spremembah in dopolnitvi Uredbe o pregledih, čiščenju in meritvah na malih kurilnih napravah (Uradni list RS, št. 98/24) se v 5. členu v prvem odstavku letnica »2026« nadomesti z letnico »2029«.</w:t>
      </w:r>
    </w:p>
    <w:p>
      <w:pPr>
        <w:spacing w:after="0" w:line="260" w:lineRule="auto"/>
        <w:rPr>
          <w:rFonts w:ascii="Arial" w:hAnsi="Arial" w:cs="Arial"/>
        </w:rPr>
      </w:pPr>
    </w:p>
    <w:p>
      <w:pPr>
        <w:spacing w:after="0" w:line="260" w:lineRule="auto"/>
      </w:pPr>
      <w:r>
        <w:tab/>
      </w:r>
      <w:r>
        <w:t xml:space="preserve">V drugem odstavku se letnica »2026« nadomesti z letnico »2029«, letnica »2027« pa z letnico »2030«.  </w:t>
      </w:r>
    </w:p>
    <w:p>
      <w:pPr>
        <w:spacing w:after="0" w:line="260" w:lineRule="auto"/>
        <w:rPr>
          <w:rFonts w:ascii="Arial" w:hAnsi="Arial" w:cs="Arial"/>
        </w:rPr>
      </w:pPr>
    </w:p>
    <w:p>
      <w:pPr>
        <w:spacing w:after="0" w:line="260" w:lineRule="auto"/>
      </w:pPr>
      <w:r>
        <w:tab/>
      </w:r>
      <w:r>
        <w:t>V tretjem odstavku se v prvi alineji letnica »2028« nadomesti z letnico »2031«.</w:t>
      </w:r>
    </w:p>
    <w:p>
      <w:pPr>
        <w:spacing w:after="0" w:line="260" w:lineRule="auto"/>
        <w:rPr>
          <w:rFonts w:ascii="Arial" w:hAnsi="Arial" w:cs="Arial"/>
        </w:rPr>
      </w:pPr>
    </w:p>
    <w:p>
      <w:pPr>
        <w:spacing w:after="0" w:line="260" w:lineRule="auto"/>
      </w:pPr>
      <w:r>
        <w:tab/>
      </w:r>
      <w:r>
        <w:t xml:space="preserve">V drugi alineji se letnica »2029« nadomesti z letnico »2032«.  </w:t>
      </w:r>
    </w:p>
    <w:p>
      <w:pPr>
        <w:spacing w:after="0" w:line="260" w:lineRule="auto"/>
        <w:rPr>
          <w:rFonts w:ascii="Arial" w:hAnsi="Arial" w:cs="Arial"/>
        </w:rPr>
      </w:pPr>
    </w:p>
    <w:p>
      <w:pPr>
        <w:spacing w:after="0" w:line="260" w:lineRule="auto"/>
      </w:pPr>
      <w:r>
        <w:tab/>
      </w:r>
      <w:r>
        <w:t>V tretji alineji se letnica »2030« nadomesti z letnico »2033«.</w:t>
      </w:r>
    </w:p>
    <w:p>
      <w:pPr>
        <w:spacing w:after="0" w:line="260" w:lineRule="auto"/>
        <w:rPr>
          <w:rFonts w:ascii="Arial" w:hAnsi="Arial" w:cs="Arial"/>
        </w:rPr>
      </w:pPr>
    </w:p>
    <w:p>
      <w:pPr>
        <w:pStyle w:val="Poglavje"/>
        <w:spacing w:after="0" w:line="260" w:lineRule="auto"/>
      </w:pPr>
      <w:r>
        <w:t>KONČNA DOLOČBA</w:t>
      </w:r>
    </w:p>
    <w:p>
      <w:pPr>
        <w:pStyle w:val="len"/>
        <w:spacing w:after="0" w:line="260" w:lineRule="auto"/>
      </w:pPr>
      <w:r>
        <w:t>2. člen</w:t>
      </w:r>
    </w:p>
    <w:p>
      <w:pPr>
        <w:spacing w:after="0" w:line="260" w:lineRule="auto"/>
        <w:rPr>
          <w:rFonts w:ascii="Arial" w:hAnsi="Arial" w:cs="Arial"/>
        </w:rPr>
      </w:pPr>
    </w:p>
    <w:p>
      <w:pPr>
        <w:spacing w:after="0" w:line="260" w:lineRule="auto"/>
      </w:pPr>
      <w:r>
        <w:tab/>
      </w:r>
      <w:r>
        <w:t>(začetek veljavnosti)</w:t>
      </w:r>
    </w:p>
    <w:p>
      <w:pPr>
        <w:spacing w:after="0" w:line="260" w:lineRule="auto"/>
        <w:rPr>
          <w:rFonts w:ascii="Arial" w:hAnsi="Arial" w:cs="Arial"/>
        </w:rPr>
      </w:pPr>
    </w:p>
    <w:p>
      <w:pPr>
        <w:spacing w:after="0" w:line="260" w:lineRule="auto"/>
      </w:pPr>
      <w:r>
        <w:tab/>
      </w:r>
      <w:r>
        <w:t>Ta uredba začne veljati petnajsti dan po objavi v Uradnem listu Republike Slovenije.</w:t>
      </w:r>
    </w:p>
    <w:p>
      <w:pPr>
        <w:spacing w:after="0" w:line="260" w:lineRule="auto"/>
        <w:rPr>
          <w:rFonts w:ascii="Arial" w:hAnsi="Arial" w:cs="Arial"/>
        </w:rPr>
      </w:pPr>
    </w:p>
    <w:p>
      <w:pPr>
        <w:spacing w:after="0" w:line="260" w:lineRule="auto"/>
      </w:pPr>
      <w:r>
        <w:tab/>
      </w:r>
      <w:r>
        <w:t>Št. 024-5/2025-2570</w:t>
      </w:r>
    </w:p>
    <w:p>
      <w:pPr>
        <w:spacing w:after="0" w:line="260" w:lineRule="auto"/>
        <w:rPr>
          <w:rFonts w:ascii="Arial" w:hAnsi="Arial" w:cs="Arial"/>
        </w:rPr>
      </w:pPr>
    </w:p>
    <w:p>
      <w:pPr>
        <w:spacing w:after="0" w:line="260" w:lineRule="auto"/>
      </w:pPr>
      <w:r>
        <w:tab/>
      </w:r>
      <w:r>
        <w:t xml:space="preserve">Ljubljana, dne 15. maja 2026 </w:t>
      </w:r>
    </w:p>
    <w:p>
      <w:pPr>
        <w:spacing w:after="0" w:line="260" w:lineRule="auto"/>
        <w:rPr>
          <w:rFonts w:ascii="Arial" w:hAnsi="Arial" w:cs="Arial"/>
        </w:rPr>
      </w:pPr>
    </w:p>
    <w:p>
      <w:pPr>
        <w:spacing w:after="0" w:line="260" w:lineRule="auto"/>
      </w:pPr>
      <w:r>
        <w:tab/>
      </w:r>
      <w:r>
        <w:t>EVA 2026-2570-0024</w:t>
      </w:r>
    </w:p>
    <w:p>
      <w:pPr>
        <w:spacing w:after="0" w:line="260" w:lineRule="auto"/>
        <w:rPr>
          <w:rFonts w:ascii="Arial" w:hAnsi="Arial" w:cs="Arial"/>
        </w:rPr>
      </w:pPr>
    </w:p>
    <w:p>
      <w:pPr>
        <w:spacing w:after="0" w:line="260" w:lineRule="auto"/>
      </w:pPr>
      <w:r>
        <w:tab/>
      </w:r>
      <w:r>
        <w:t xml:space="preserve">Vlada Republike Slovenije </w:t>
      </w:r>
    </w:p>
    <w:p>
      <w:pPr>
        <w:spacing w:after="0" w:line="260" w:lineRule="auto"/>
        <w:rPr>
          <w:rFonts w:ascii="Arial" w:hAnsi="Arial" w:cs="Arial"/>
        </w:rPr>
      </w:pPr>
    </w:p>
    <w:p>
      <w:pPr>
        <w:spacing w:after="0" w:line="260" w:lineRule="auto"/>
      </w:pPr>
      <w:r>
        <w:tab/>
      </w:r>
      <w:r>
        <w:t xml:space="preserve">dr. Robert Golob </w:t>
      </w:r>
    </w:p>
    <w:p>
      <w:pPr>
        <w:spacing w:after="0" w:line="260" w:lineRule="auto"/>
        <w:rPr>
          <w:rFonts w:ascii="Arial" w:hAnsi="Arial" w:cs="Arial"/>
        </w:rPr>
      </w:pPr>
    </w:p>
    <w:p>
      <w:pPr>
        <w:spacing w:after="0" w:line="260" w:lineRule="auto"/>
      </w:pPr>
      <w:r>
        <w:tab/>
      </w:r>
      <w:r>
        <w:t>predsednik</w:t>
      </w:r>
    </w:p>
    <w:p>
      <w:r>
        <w:br w:type="page"/>
      </w:r>
    </w:p>
    <w:p>
      <w:pPr>
        <w:pStyle w:val="Odebeljeno"/>
        <w:spacing w:after="0" w:line="260" w:lineRule="auto"/>
      </w:pPr>
      <w:r>
        <w:t>III.</w:t>
      </w:r>
      <w:r>
        <w:tab/>
      </w:r>
      <w:r>
        <w:t>OBRAZLOŽITEV</w:t>
      </w:r>
    </w:p>
    <w:p>
      <w:pPr>
        <w:spacing w:after="0" w:line="260" w:lineRule="auto"/>
        <w:rPr>
          <w:rFonts w:ascii="Arial" w:hAnsi="Arial" w:cs="Arial"/>
        </w:rPr>
      </w:pPr>
    </w:p>
    <w:p>
      <w:pPr>
        <w:pStyle w:val="Odebeljeno"/>
        <w:spacing w:after="0" w:line="260" w:lineRule="auto"/>
      </w:pPr>
      <w:r>
        <w:t>K 1. členu:</w:t>
      </w:r>
    </w:p>
    <w:p>
      <w:pPr>
        <w:spacing w:after="0" w:line="240" w:lineRule="auto"/>
      </w:pPr>
      <w:r>
        <w:t xml:space="preserve">Meritve na malih kurilnih napravah na trdna goriva predstavljajo novo vsebino izvajanja dimnikarskih storitev, zato je za njihovo kakovostno in primerljivo izvajanje potrebno zagotoviti ustrezno strokovno pripravo in tehnične pogoje. </w:t>
      </w:r>
    </w:p>
    <w:p>
      <w:pPr>
        <w:spacing w:after="0" w:line="240" w:lineRule="auto"/>
      </w:pPr>
      <w:r>
        <w:t xml:space="preserve">Zaradi navedenega se predlaga zamik začetka izvajanja meritev emisij snovi z dimnimi plini na malih kurilnih napravah na trdna goriva  s 1. novembra 2026 na 1. november 2029. Posledično se tudi vsi datumi začetka izvajanja prvih in občasnih meritev emisij snovi z dimnimi plini na malih kurilnih napravah na trdna goriva, iz drugega in tretjega odstavka, zamaknejo za 3 leta. </w:t>
      </w:r>
    </w:p>
    <w:p>
      <w:pPr>
        <w:spacing w:after="0" w:line="260" w:lineRule="auto"/>
        <w:rPr>
          <w:rFonts w:ascii="Arial" w:hAnsi="Arial" w:cs="Arial"/>
        </w:rPr>
      </w:pPr>
    </w:p>
    <w:p>
      <w:pPr>
        <w:pStyle w:val="Odebeljeno"/>
        <w:spacing w:after="0" w:line="260" w:lineRule="auto"/>
      </w:pPr>
      <w:r>
        <w:t>K 2. členu:</w:t>
      </w:r>
    </w:p>
    <w:p>
      <w:pPr>
        <w:spacing w:after="0" w:line="240" w:lineRule="auto"/>
      </w:pPr>
      <w:r>
        <w:t>/</w:t>
      </w:r>
    </w:p>
    <w:p>
      <w:pPr>
        <w:spacing w:after="0" w:line="260" w:lineRule="auto"/>
        <w:rPr>
          <w:rFonts w:ascii="Arial" w:hAnsi="Arial" w:cs="Arial"/>
        </w:rPr>
      </w:pPr>
    </w:p>
    <w:p>
      <w:r>
        <w:br w:type="page"/>
      </w:r>
    </w:p>
    <w:p>
      <w:pPr>
        <w:pStyle w:val="Odebeljeno"/>
        <w:spacing w:after="0" w:line="260" w:lineRule="auto"/>
      </w:pPr>
      <w:r>
        <w:t>IV.</w:t>
      </w:r>
      <w:r>
        <w:tab/>
      </w:r>
      <w:r>
        <w:t>PRILOGE</w:t>
      </w:r>
    </w:p>
    <w:p>
      <w:pPr>
        <w:spacing w:after="0" w:line="260" w:lineRule="auto"/>
        <w:rPr>
          <w:rFonts w:ascii="Arial" w:hAnsi="Arial" w:cs="Arial"/>
        </w:rPr>
      </w:pPr>
    </w:p>
    <w:p>
      <w:pPr>
        <w:spacing w:after="0" w:line="260" w:lineRule="auto"/>
      </w:pPr>
      <w:r>
        <w:t>Priloge niso priložene.</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i/>
        <w:sz w:val="16"/>
      </w:rPr>
      <w:t>Ustvarjeno v MOPED-DOCS, 25. 05. 2026 12:38:24</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lang w:val="sl-SI"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DefaultParagraphFont"/>
    <w:link w:val="Header"/>
    <w:uiPriority w:val="99"/>
    <w:rsid w:val="00945425"/>
  </w:style>
  <w:style w:type="paragraph" w:styleId="Footer">
    <w:name w:val="footer"/>
    <w:basedOn w:val="Normal"/>
    <w:link w:val="NogaZnak"/>
    <w:uiPriority w:val="99"/>
    <w:unhideWhenUsed/>
    <w:rsid w:val="00945425"/>
    <w:pPr>
      <w:tabs>
        <w:tab w:val="center" w:pos="4536"/>
        <w:tab w:val="right" w:pos="9072"/>
      </w:tabs>
      <w:spacing w:after="0" w:line="240" w:lineRule="auto"/>
    </w:pPr>
  </w:style>
  <w:style w:type="character" w:customStyle="1" w:styleId="NogaZnak">
    <w:name w:val="Noga Znak"/>
    <w:basedOn w:val="DefaultParagraphFont"/>
    <w:link w:val="Footer"/>
    <w:uiPriority w:val="99"/>
    <w:rsid w:val="00945425"/>
  </w:style>
  <w:style w:type="table" w:styleId="TableGrid">
    <w:name w:val="Table Grid"/>
    <w:basedOn w:val="TableNormal"/>
    <w:uiPriority w:val="39"/>
    <w:rsid w:val="000E33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before="0" w:after="0" w:line="260" w:lineRule="exact"/>
      <w:ind w:left="3969"/>
      <w:jc w:val="center"/>
    </w:pPr>
    <w:rPr>
      <w:b w:val="0"/>
    </w:r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4101</Words>
  <Characters>23382</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zorc</cp:lastModifiedBy>
  <cp:revision>3</cp:revision>
  <dcterms:created xsi:type="dcterms:W3CDTF">2019-02-01T07:54:00Z</dcterms:created>
  <dcterms:modified xsi:type="dcterms:W3CDTF">2019-02-01T08:06:00Z</dcterms:modified>
</cp:coreProperties>
</file>