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131B28" w:rsidP="00CB7264" w14:paraId="13AF0792" w14:textId="77777777">
      <w:pPr>
        <w:pStyle w:val="Odstavekseznama1"/>
        <w:spacing w:line="260" w:lineRule="exact"/>
        <w:ind w:left="0"/>
        <w:rPr>
          <w:rFonts w:ascii="Arial" w:hAnsi="Arial" w:cs="Arial"/>
          <w:b/>
          <w:sz w:val="20"/>
          <w:szCs w:val="20"/>
        </w:rPr>
      </w:pPr>
    </w:p>
    <w:tbl>
      <w:tblPr>
        <w:tblW w:w="913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9"/>
        <w:gridCol w:w="506"/>
        <w:gridCol w:w="871"/>
        <w:gridCol w:w="1397"/>
        <w:gridCol w:w="487"/>
        <w:gridCol w:w="940"/>
        <w:gridCol w:w="447"/>
        <w:gridCol w:w="230"/>
        <w:gridCol w:w="381"/>
        <w:gridCol w:w="185"/>
        <w:gridCol w:w="115"/>
        <w:gridCol w:w="2093"/>
        <w:gridCol w:w="63"/>
      </w:tblGrid>
      <w:tr w14:paraId="7E84D985" w14:textId="77777777" w:rsidTr="008F3D80">
        <w:tblPrEx>
          <w:tblW w:w="913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6"/>
          <w:wAfter w:w="3067" w:type="dxa"/>
        </w:trPr>
        <w:tc>
          <w:tcPr>
            <w:tcW w:w="6067" w:type="dxa"/>
            <w:gridSpan w:val="7"/>
          </w:tcPr>
          <w:p w:rsidR="009F1E59" w:rsidRPr="00131B28" w:rsidP="00AB65D9" w14:paraId="3CC22150" w14:textId="77777777">
            <w:pPr>
              <w:pStyle w:val="datumtevilka"/>
            </w:pPr>
            <w:r w:rsidRPr="00131B28">
              <w:t xml:space="preserve">Številka: </w:t>
            </w:r>
            <w:bookmarkStart w:id="0" w:name="Klasifikacija"/>
            <w:r w:rsidRPr="00131B28">
              <w:t>093-17/2025-10</w:t>
            </w:r>
            <w:bookmarkEnd w:id="0"/>
          </w:p>
        </w:tc>
      </w:tr>
      <w:tr w14:paraId="278A7E1F" w14:textId="77777777" w:rsidTr="008F3D80">
        <w:tblPrEx>
          <w:tblW w:w="9134" w:type="dxa"/>
          <w:tblInd w:w="137" w:type="dxa"/>
          <w:tblLook w:val="04A0"/>
        </w:tblPrEx>
        <w:trPr>
          <w:gridAfter w:val="6"/>
          <w:wAfter w:w="3067" w:type="dxa"/>
        </w:trPr>
        <w:tc>
          <w:tcPr>
            <w:tcW w:w="6067" w:type="dxa"/>
            <w:gridSpan w:val="7"/>
          </w:tcPr>
          <w:p w:rsidR="009F1E59" w:rsidRPr="00131B28" w:rsidP="00AB65D9" w14:paraId="4999ACE4" w14:textId="77777777">
            <w:pPr>
              <w:pStyle w:val="datumtevilka"/>
            </w:pPr>
            <w:r w:rsidRPr="00131B28">
              <w:t xml:space="preserve">Ljubljana, dne </w:t>
            </w:r>
            <w:bookmarkStart w:id="1" w:name="DatumDokumenta"/>
            <w:r w:rsidRPr="00131B28">
              <w:t>24. 10. 2025</w:t>
            </w:r>
            <w:bookmarkEnd w:id="1"/>
          </w:p>
        </w:tc>
      </w:tr>
      <w:tr w14:paraId="53CCC1DA" w14:textId="77777777" w:rsidTr="008F3D80">
        <w:tblPrEx>
          <w:tblW w:w="9134" w:type="dxa"/>
          <w:tblInd w:w="137" w:type="dxa"/>
          <w:tblLook w:val="04A0"/>
        </w:tblPrEx>
        <w:trPr>
          <w:gridAfter w:val="6"/>
          <w:wAfter w:w="3067" w:type="dxa"/>
        </w:trPr>
        <w:tc>
          <w:tcPr>
            <w:tcW w:w="6067" w:type="dxa"/>
            <w:gridSpan w:val="7"/>
          </w:tcPr>
          <w:p w:rsidR="00FB3C81" w:rsidRPr="00131B28" w:rsidP="002C278B" w14:paraId="07153632"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04B2F2F1" w14:textId="77777777" w:rsidTr="008F3D80">
        <w:tblPrEx>
          <w:tblW w:w="9134" w:type="dxa"/>
          <w:tblInd w:w="137" w:type="dxa"/>
          <w:tblLook w:val="04A0"/>
        </w:tblPrEx>
        <w:trPr>
          <w:gridAfter w:val="6"/>
          <w:wAfter w:w="3067" w:type="dxa"/>
        </w:trPr>
        <w:tc>
          <w:tcPr>
            <w:tcW w:w="6067" w:type="dxa"/>
            <w:gridSpan w:val="7"/>
          </w:tcPr>
          <w:p w:rsidR="00FB3C81" w:rsidRPr="00131B28" w:rsidP="002C278B" w14:paraId="7135B00B" w14:textId="77777777">
            <w:pPr>
              <w:spacing w:after="0" w:line="260" w:lineRule="exact"/>
              <w:rPr>
                <w:rFonts w:ascii="Arial" w:hAnsi="Arial" w:cs="Arial"/>
                <w:sz w:val="20"/>
                <w:szCs w:val="20"/>
              </w:rPr>
            </w:pPr>
          </w:p>
          <w:p w:rsidR="00FB3C81" w:rsidRPr="00131B28" w:rsidP="002C278B" w14:paraId="33AF8CC2" w14:textId="77777777">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2C278B" w14:paraId="70B7C491" w14:textId="77777777">
            <w:pPr>
              <w:spacing w:after="0" w:line="260" w:lineRule="exact"/>
              <w:rPr>
                <w:rFonts w:ascii="Arial" w:hAnsi="Arial" w:cs="Arial"/>
                <w:b/>
                <w:sz w:val="20"/>
                <w:szCs w:val="20"/>
              </w:rPr>
            </w:pPr>
            <w:hyperlink r:id="rId5" w:history="1">
              <w:r w:rsidRPr="00131B28" w:rsidR="00EC1D65">
                <w:rPr>
                  <w:rStyle w:val="Hyperlink"/>
                  <w:rFonts w:ascii="Arial" w:hAnsi="Arial" w:cs="Arial"/>
                  <w:b/>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172D5F61" w14:textId="77777777" w:rsidTr="008F3D80">
        <w:tblPrEx>
          <w:tblW w:w="9134" w:type="dxa"/>
          <w:tblInd w:w="137" w:type="dxa"/>
          <w:tblLook w:val="04A0"/>
        </w:tblPrEx>
        <w:tc>
          <w:tcPr>
            <w:tcW w:w="9134" w:type="dxa"/>
            <w:gridSpan w:val="13"/>
          </w:tcPr>
          <w:p w:rsidR="00FB3C81" w:rsidRPr="00131B28" w:rsidP="007341C1" w14:paraId="601EC30B" w14:textId="41B8F080">
            <w:pPr>
              <w:pStyle w:val="Naslovpredpisa"/>
              <w:spacing w:before="0" w:after="0" w:line="260" w:lineRule="exact"/>
              <w:jc w:val="both"/>
              <w:rPr>
                <w:sz w:val="20"/>
                <w:szCs w:val="20"/>
              </w:rPr>
            </w:pPr>
            <w:r w:rsidRPr="00131B28">
              <w:rPr>
                <w:sz w:val="20"/>
                <w:szCs w:val="20"/>
              </w:rPr>
              <w:t xml:space="preserve">ZADEVA: </w:t>
            </w:r>
            <w:r w:rsidRPr="007341C1" w:rsidR="007341C1">
              <w:rPr>
                <w:sz w:val="20"/>
                <w:szCs w:val="20"/>
              </w:rPr>
              <w:t>NOVO GRADIVO ŠT. 1 - Informacija o nadaljevanju projekta Poti miru v Posočju za obdobje 2026 – 2030 – predlog za obravnavo</w:t>
            </w:r>
          </w:p>
        </w:tc>
      </w:tr>
      <w:tr w14:paraId="148EE070" w14:textId="77777777" w:rsidTr="008F3D80">
        <w:tblPrEx>
          <w:tblW w:w="9134" w:type="dxa"/>
          <w:tblInd w:w="137" w:type="dxa"/>
          <w:tblLook w:val="04A0"/>
        </w:tblPrEx>
        <w:tc>
          <w:tcPr>
            <w:tcW w:w="9134" w:type="dxa"/>
            <w:gridSpan w:val="13"/>
          </w:tcPr>
          <w:p w:rsidR="00FB3C81" w:rsidRPr="00131B28" w:rsidP="002C278B" w14:paraId="42B0D2AC" w14:textId="77777777">
            <w:pPr>
              <w:pStyle w:val="Poglavje"/>
              <w:spacing w:before="0" w:after="0" w:line="260" w:lineRule="exact"/>
              <w:jc w:val="left"/>
              <w:rPr>
                <w:sz w:val="20"/>
                <w:szCs w:val="20"/>
              </w:rPr>
            </w:pPr>
            <w:r w:rsidRPr="00131B28">
              <w:rPr>
                <w:sz w:val="20"/>
                <w:szCs w:val="20"/>
              </w:rPr>
              <w:t>1. Predlog sklepov vlade:</w:t>
            </w:r>
          </w:p>
        </w:tc>
      </w:tr>
      <w:tr w14:paraId="54193F14" w14:textId="77777777" w:rsidTr="008F3D80">
        <w:tblPrEx>
          <w:tblW w:w="9134" w:type="dxa"/>
          <w:tblInd w:w="137" w:type="dxa"/>
          <w:tblLook w:val="04A0"/>
        </w:tblPrEx>
        <w:tc>
          <w:tcPr>
            <w:tcW w:w="9134" w:type="dxa"/>
            <w:gridSpan w:val="13"/>
            <w:tcBorders>
              <w:top w:val="single" w:sz="4" w:space="0" w:color="000000"/>
              <w:left w:val="single" w:sz="4" w:space="0" w:color="000000"/>
              <w:bottom w:val="single" w:sz="4" w:space="0" w:color="000000"/>
              <w:right w:val="single" w:sz="4" w:space="0" w:color="000000"/>
            </w:tcBorders>
          </w:tcPr>
          <w:p w:rsidR="00A12775" w14:paraId="77F74451" w14:textId="77777777">
            <w:pPr>
              <w:pStyle w:val="Neotevilenodstavek"/>
              <w:spacing w:before="0" w:after="0" w:line="276" w:lineRule="auto"/>
              <w:rPr>
                <w:sz w:val="20"/>
                <w:szCs w:val="20"/>
              </w:rPr>
            </w:pPr>
            <w:r>
              <w:rPr>
                <w:sz w:val="20"/>
                <w:szCs w:val="20"/>
              </w:rPr>
              <w:t>Na podlagi šestega odstavka 21. člena Zakona o Vladi Republike Slovenije (Uradni list RS, št. 24/05 – uradno prečiščeno besedilo, 109/08, 38/10 – ZUKN, 8/12, 21/13, 47/13 – ZDU-1G, 65/14, 55/17, 163/22 in 57/25 – ZF) je Vlada Republike Slovenije na ___ seji dne ___, pod točko ___, sprejela naslednji</w:t>
            </w:r>
          </w:p>
          <w:p w:rsidR="00A12775" w14:paraId="6404BEC0" w14:textId="77777777">
            <w:pPr>
              <w:pStyle w:val="Neotevilenodstavek"/>
              <w:spacing w:before="0" w:after="0" w:line="276" w:lineRule="auto"/>
              <w:rPr>
                <w:iCs/>
                <w:sz w:val="20"/>
                <w:szCs w:val="20"/>
              </w:rPr>
            </w:pPr>
          </w:p>
          <w:p w:rsidR="00A12775" w14:paraId="2516B82C" w14:textId="77777777">
            <w:pPr>
              <w:pStyle w:val="Neotevilenodstavek"/>
              <w:spacing w:before="0" w:after="0" w:line="276" w:lineRule="auto"/>
              <w:jc w:val="center"/>
              <w:rPr>
                <w:iCs/>
                <w:sz w:val="20"/>
                <w:szCs w:val="20"/>
              </w:rPr>
            </w:pPr>
            <w:r>
              <w:rPr>
                <w:iCs/>
                <w:sz w:val="20"/>
                <w:szCs w:val="20"/>
              </w:rPr>
              <w:t>SKLEP</w:t>
            </w:r>
          </w:p>
          <w:p w:rsidR="00A12775" w14:paraId="73A44374" w14:textId="77777777">
            <w:pPr>
              <w:pStyle w:val="Neotevilenodstavek"/>
              <w:spacing w:before="0" w:after="0" w:line="276" w:lineRule="auto"/>
              <w:rPr>
                <w:iCs/>
                <w:sz w:val="20"/>
                <w:szCs w:val="20"/>
              </w:rPr>
            </w:pPr>
          </w:p>
          <w:p w:rsidR="00A12775" w:rsidP="00A12775" w14:paraId="7FBCA050" w14:textId="77777777">
            <w:pPr>
              <w:pStyle w:val="NormalWeb"/>
              <w:numPr>
                <w:ilvl w:val="0"/>
                <w:numId w:val="32"/>
              </w:numPr>
              <w:spacing w:before="0" w:beforeAutospacing="0" w:after="0" w:afterAutospacing="0" w:line="276" w:lineRule="auto"/>
              <w:ind w:left="349" w:hanging="349"/>
              <w:jc w:val="both"/>
              <w:rPr>
                <w:rFonts w:ascii="Arial" w:hAnsi="Arial" w:cs="Arial"/>
                <w:sz w:val="20"/>
                <w:szCs w:val="20"/>
              </w:rPr>
            </w:pPr>
            <w:r>
              <w:rPr>
                <w:rFonts w:ascii="Arial" w:hAnsi="Arial" w:cs="Arial"/>
                <w:sz w:val="20"/>
                <w:szCs w:val="20"/>
              </w:rPr>
              <w:t>Vlada Republike Slovenije se je seznanila z Informacijo o nadaljevanju projekta Poti miru v Posočju za obdobje 2026–2030, ki ga je pripravila Ustanova Fundacija Poti miru v Posočju in projekt podpira.</w:t>
            </w:r>
          </w:p>
          <w:p w:rsidR="00A12775" w14:paraId="025F21EA" w14:textId="77777777">
            <w:pPr>
              <w:pStyle w:val="NormalWeb"/>
              <w:spacing w:before="0" w:beforeAutospacing="0" w:after="0" w:afterAutospacing="0" w:line="276" w:lineRule="auto"/>
              <w:ind w:left="349" w:hanging="349"/>
              <w:jc w:val="both"/>
              <w:rPr>
                <w:rFonts w:ascii="Arial" w:hAnsi="Arial" w:cs="Arial"/>
                <w:sz w:val="20"/>
                <w:szCs w:val="20"/>
              </w:rPr>
            </w:pPr>
          </w:p>
          <w:p w:rsidR="00A12775" w:rsidP="00A12775" w14:paraId="16A4C36F" w14:textId="77777777">
            <w:pPr>
              <w:pStyle w:val="NormalWeb"/>
              <w:numPr>
                <w:ilvl w:val="0"/>
                <w:numId w:val="32"/>
              </w:numPr>
              <w:spacing w:before="0" w:beforeAutospacing="0" w:after="0" w:afterAutospacing="0" w:line="276" w:lineRule="auto"/>
              <w:ind w:left="349" w:hanging="349"/>
              <w:jc w:val="both"/>
              <w:rPr>
                <w:rFonts w:ascii="Arial" w:hAnsi="Arial" w:cs="Arial"/>
                <w:sz w:val="20"/>
                <w:szCs w:val="20"/>
              </w:rPr>
            </w:pPr>
            <w:r>
              <w:rPr>
                <w:rFonts w:ascii="Arial" w:hAnsi="Arial" w:cs="Arial"/>
                <w:sz w:val="20"/>
                <w:szCs w:val="20"/>
              </w:rPr>
              <w:t>Vlada Republike Slovenije nalaga Ministrstvu za obrambo, Ministrstvo za visoko šolstvo, znanost in inovacije, Ministrstvu za gospodarstvo, turizem in šport in Ministrstvu za kulturo, da v okviru razdelilnika iz priloge k temu sklepu sofinancirajo nadaljevanje projekta v obdobju 2026–2030.</w:t>
            </w:r>
          </w:p>
          <w:p w:rsidR="00A12775" w14:paraId="49EA405C" w14:textId="77777777">
            <w:pPr>
              <w:pStyle w:val="ListParagraph"/>
              <w:ind w:left="349" w:hanging="349"/>
              <w:jc w:val="both"/>
              <w:rPr>
                <w:iCs/>
                <w:sz w:val="20"/>
                <w:szCs w:val="20"/>
              </w:rPr>
            </w:pPr>
          </w:p>
          <w:p w:rsidR="00A12775" w14:paraId="3AB3DB65" w14:textId="77777777">
            <w:pPr>
              <w:pStyle w:val="Neotevilenodstavek"/>
              <w:spacing w:before="0" w:after="0" w:line="260" w:lineRule="exact"/>
              <w:rPr>
                <w:iCs/>
                <w:sz w:val="20"/>
                <w:szCs w:val="20"/>
              </w:rPr>
            </w:pPr>
          </w:p>
          <w:p w:rsidR="00A12775" w14:paraId="20F48098" w14:textId="77777777">
            <w:pPr>
              <w:pStyle w:val="Neotevilenodstavek"/>
              <w:spacing w:after="0" w:line="260" w:lineRule="exact"/>
              <w:rPr>
                <w:iCs/>
                <w:sz w:val="20"/>
                <w:szCs w:val="20"/>
              </w:rPr>
            </w:pPr>
            <w:r>
              <w:rPr>
                <w:iCs/>
                <w:sz w:val="20"/>
                <w:szCs w:val="20"/>
              </w:rPr>
              <w:t xml:space="preserve">                                                                                    Barbara Kolenko </w:t>
            </w:r>
            <w:r>
              <w:rPr>
                <w:iCs/>
                <w:sz w:val="20"/>
                <w:szCs w:val="20"/>
              </w:rPr>
              <w:t>Helbl</w:t>
            </w:r>
          </w:p>
          <w:p w:rsidR="00A12775" w14:paraId="5EF604F5" w14:textId="77777777">
            <w:pPr>
              <w:pStyle w:val="Neotevilenodstavek"/>
              <w:spacing w:before="0" w:after="0" w:line="260" w:lineRule="exact"/>
              <w:rPr>
                <w:iCs/>
                <w:sz w:val="20"/>
                <w:szCs w:val="20"/>
              </w:rPr>
            </w:pPr>
            <w:r>
              <w:rPr>
                <w:iCs/>
                <w:sz w:val="20"/>
                <w:szCs w:val="20"/>
              </w:rPr>
              <w:t xml:space="preserve">                                                                             GENERALNA SEKRETARKA</w:t>
            </w:r>
          </w:p>
          <w:p w:rsidR="00A12775" w14:paraId="1F291E9F" w14:textId="77777777">
            <w:pPr>
              <w:pStyle w:val="Neotevilenodstavek"/>
              <w:spacing w:before="0" w:after="0" w:line="260" w:lineRule="exact"/>
              <w:rPr>
                <w:iCs/>
                <w:sz w:val="20"/>
                <w:szCs w:val="20"/>
              </w:rPr>
            </w:pPr>
          </w:p>
          <w:p w:rsidR="00A12775" w14:paraId="078877A8" w14:textId="77777777">
            <w:pPr>
              <w:pStyle w:val="Neotevilenodstavek"/>
              <w:spacing w:before="0" w:after="0" w:line="260" w:lineRule="exact"/>
              <w:rPr>
                <w:iCs/>
                <w:sz w:val="20"/>
                <w:szCs w:val="20"/>
              </w:rPr>
            </w:pPr>
            <w:r>
              <w:rPr>
                <w:iCs/>
                <w:sz w:val="20"/>
                <w:szCs w:val="20"/>
              </w:rPr>
              <w:t xml:space="preserve">Priloga: </w:t>
            </w:r>
          </w:p>
          <w:p w:rsidR="00A12775" w:rsidP="00A12775" w14:paraId="19631CDC" w14:textId="77777777">
            <w:pPr>
              <w:pStyle w:val="Neotevilenodstavek"/>
              <w:numPr>
                <w:ilvl w:val="0"/>
                <w:numId w:val="33"/>
              </w:numPr>
              <w:spacing w:before="0" w:after="0" w:line="260" w:lineRule="exact"/>
              <w:textAlignment w:val="auto"/>
              <w:rPr>
                <w:iCs/>
                <w:sz w:val="20"/>
                <w:szCs w:val="20"/>
              </w:rPr>
            </w:pPr>
            <w:r>
              <w:rPr>
                <w:iCs/>
                <w:sz w:val="20"/>
                <w:szCs w:val="20"/>
              </w:rPr>
              <w:t>Razdelilnik sofinanciranje nadaljevanja projekta »Poti miru v Posočju po ministrstvih za obdobje 2026–2030.</w:t>
            </w:r>
          </w:p>
          <w:p w:rsidR="00A12775" w14:paraId="0A56D993" w14:textId="77777777">
            <w:pPr>
              <w:pStyle w:val="Neotevilenodstavek"/>
              <w:spacing w:before="0" w:after="0" w:line="260" w:lineRule="exact"/>
              <w:rPr>
                <w:iCs/>
                <w:sz w:val="20"/>
                <w:szCs w:val="20"/>
              </w:rPr>
            </w:pPr>
          </w:p>
          <w:p w:rsidR="00A12775" w14:paraId="40E591FA" w14:textId="77777777">
            <w:pPr>
              <w:pStyle w:val="Neotevilenodstavek"/>
              <w:spacing w:before="0" w:after="0" w:line="260" w:lineRule="exact"/>
              <w:rPr>
                <w:iCs/>
                <w:sz w:val="20"/>
                <w:szCs w:val="20"/>
              </w:rPr>
            </w:pPr>
            <w:r>
              <w:rPr>
                <w:iCs/>
                <w:sz w:val="20"/>
                <w:szCs w:val="20"/>
              </w:rPr>
              <w:t>Sklep prejmejo:</w:t>
            </w:r>
          </w:p>
          <w:p w:rsidR="00A12775" w:rsidP="00A12775" w14:paraId="421DF8CA" w14:textId="77777777">
            <w:pPr>
              <w:pStyle w:val="Neotevilenodstavek"/>
              <w:numPr>
                <w:ilvl w:val="0"/>
                <w:numId w:val="34"/>
              </w:numPr>
              <w:spacing w:before="0" w:after="0" w:line="260" w:lineRule="exact"/>
              <w:textAlignment w:val="auto"/>
              <w:rPr>
                <w:iCs/>
                <w:sz w:val="20"/>
                <w:szCs w:val="20"/>
              </w:rPr>
            </w:pPr>
            <w:r>
              <w:rPr>
                <w:iCs/>
                <w:sz w:val="20"/>
                <w:szCs w:val="20"/>
              </w:rPr>
              <w:t>Ustanova Fundacija »Poti miru v Posočju«, Gregorčičeva ulica 8, 5222 Kobarid</w:t>
            </w:r>
          </w:p>
          <w:p w:rsidR="00A12775" w:rsidP="00A12775" w14:paraId="12DE367A" w14:textId="77777777">
            <w:pPr>
              <w:pStyle w:val="Neotevilenodstavek"/>
              <w:numPr>
                <w:ilvl w:val="0"/>
                <w:numId w:val="34"/>
              </w:numPr>
              <w:spacing w:before="0" w:after="0" w:line="260" w:lineRule="exact"/>
              <w:textAlignment w:val="auto"/>
              <w:rPr>
                <w:iCs/>
                <w:sz w:val="20"/>
                <w:szCs w:val="20"/>
              </w:rPr>
            </w:pPr>
            <w:r>
              <w:rPr>
                <w:sz w:val="20"/>
                <w:szCs w:val="20"/>
              </w:rPr>
              <w:t>Ministrstva za obrambo</w:t>
            </w:r>
          </w:p>
          <w:p w:rsidR="00A12775" w:rsidP="00A12775" w14:paraId="71DC98AB" w14:textId="77777777">
            <w:pPr>
              <w:pStyle w:val="Neotevilenodstavek"/>
              <w:numPr>
                <w:ilvl w:val="0"/>
                <w:numId w:val="34"/>
              </w:numPr>
              <w:spacing w:before="0" w:after="0" w:line="260" w:lineRule="exact"/>
              <w:textAlignment w:val="auto"/>
              <w:rPr>
                <w:iCs/>
                <w:sz w:val="20"/>
                <w:szCs w:val="20"/>
              </w:rPr>
            </w:pPr>
            <w:r>
              <w:rPr>
                <w:sz w:val="20"/>
                <w:szCs w:val="20"/>
              </w:rPr>
              <w:t xml:space="preserve">Ministrstvo za visoko šolstvo, znanost in inovacije </w:t>
            </w:r>
          </w:p>
          <w:p w:rsidR="00A12775" w:rsidP="00A12775" w14:paraId="36D9DAB9" w14:textId="77777777">
            <w:pPr>
              <w:pStyle w:val="Neotevilenodstavek"/>
              <w:numPr>
                <w:ilvl w:val="0"/>
                <w:numId w:val="34"/>
              </w:numPr>
              <w:spacing w:before="0" w:after="0" w:line="260" w:lineRule="exact"/>
              <w:textAlignment w:val="auto"/>
              <w:rPr>
                <w:iCs/>
                <w:sz w:val="20"/>
                <w:szCs w:val="20"/>
              </w:rPr>
            </w:pPr>
            <w:r>
              <w:rPr>
                <w:sz w:val="20"/>
                <w:szCs w:val="20"/>
              </w:rPr>
              <w:t xml:space="preserve">Ministrstva za gospodarstvo, turizem in šport </w:t>
            </w:r>
          </w:p>
          <w:p w:rsidR="00A12775" w:rsidP="00A12775" w14:paraId="5EA8B5C2" w14:textId="77777777">
            <w:pPr>
              <w:pStyle w:val="Neotevilenodstavek"/>
              <w:numPr>
                <w:ilvl w:val="0"/>
                <w:numId w:val="34"/>
              </w:numPr>
              <w:spacing w:before="0" w:after="0" w:line="260" w:lineRule="exact"/>
              <w:textAlignment w:val="auto"/>
              <w:rPr>
                <w:iCs/>
                <w:sz w:val="20"/>
                <w:szCs w:val="20"/>
              </w:rPr>
            </w:pPr>
            <w:r>
              <w:rPr>
                <w:sz w:val="20"/>
                <w:szCs w:val="20"/>
              </w:rPr>
              <w:t>Ministrstva za kulturo</w:t>
            </w:r>
          </w:p>
          <w:p w:rsidR="00A12775" w14:paraId="0951C96B" w14:textId="77777777">
            <w:pPr>
              <w:pStyle w:val="Neotevilenodstavek"/>
              <w:spacing w:before="0" w:after="0" w:line="260" w:lineRule="exact"/>
              <w:rPr>
                <w:iCs/>
                <w:sz w:val="20"/>
                <w:szCs w:val="20"/>
              </w:rPr>
            </w:pPr>
          </w:p>
          <w:p w:rsidR="00A12775" w14:paraId="21A8BD9A" w14:textId="77777777">
            <w:pPr>
              <w:pStyle w:val="Neotevilenodstavek"/>
              <w:spacing w:before="0" w:after="0" w:line="260" w:lineRule="exact"/>
              <w:rPr>
                <w:iCs/>
                <w:sz w:val="20"/>
                <w:szCs w:val="20"/>
              </w:rPr>
            </w:pPr>
            <w:r>
              <w:rPr>
                <w:iCs/>
                <w:sz w:val="20"/>
                <w:szCs w:val="20"/>
              </w:rPr>
              <w:t xml:space="preserve">V vednost: </w:t>
            </w:r>
          </w:p>
          <w:p w:rsidR="00A12775" w:rsidP="00A12775" w14:paraId="617E8B78" w14:textId="77777777">
            <w:pPr>
              <w:pStyle w:val="Neotevilenodstavek"/>
              <w:numPr>
                <w:ilvl w:val="0"/>
                <w:numId w:val="34"/>
              </w:numPr>
              <w:spacing w:before="0" w:after="0" w:line="260" w:lineRule="exact"/>
              <w:textAlignment w:val="auto"/>
              <w:rPr>
                <w:iCs/>
                <w:sz w:val="20"/>
                <w:szCs w:val="20"/>
              </w:rPr>
            </w:pPr>
            <w:r>
              <w:rPr>
                <w:iCs/>
                <w:sz w:val="20"/>
                <w:szCs w:val="20"/>
              </w:rPr>
              <w:t>Ministrstvo za finance</w:t>
            </w:r>
          </w:p>
          <w:p w:rsidR="00A12775" w:rsidP="00A12775" w14:paraId="4EB96238" w14:textId="77777777">
            <w:pPr>
              <w:pStyle w:val="Neotevilenodstavek"/>
              <w:numPr>
                <w:ilvl w:val="0"/>
                <w:numId w:val="34"/>
              </w:numPr>
              <w:spacing w:before="0" w:after="0" w:line="260" w:lineRule="exact"/>
              <w:textAlignment w:val="auto"/>
              <w:rPr>
                <w:iCs/>
                <w:sz w:val="20"/>
                <w:szCs w:val="20"/>
              </w:rPr>
            </w:pPr>
            <w:r>
              <w:rPr>
                <w:iCs/>
                <w:sz w:val="20"/>
                <w:szCs w:val="20"/>
              </w:rPr>
              <w:t>Služba Vlade Republike Slovenije za zakonodajo</w:t>
            </w:r>
          </w:p>
          <w:p w:rsidR="00A12775" w:rsidP="00A12775" w14:paraId="38F9E033" w14:textId="77777777">
            <w:pPr>
              <w:pStyle w:val="Neotevilenodstavek"/>
              <w:numPr>
                <w:ilvl w:val="0"/>
                <w:numId w:val="34"/>
              </w:numPr>
              <w:spacing w:before="0" w:after="0" w:line="260" w:lineRule="exact"/>
              <w:textAlignment w:val="auto"/>
              <w:rPr>
                <w:iCs/>
                <w:sz w:val="20"/>
                <w:szCs w:val="20"/>
              </w:rPr>
            </w:pPr>
            <w:r>
              <w:rPr>
                <w:iCs/>
                <w:sz w:val="20"/>
                <w:szCs w:val="20"/>
              </w:rPr>
              <w:t>Urad Vlade Republike Slovenije za komuniciranje</w:t>
            </w:r>
          </w:p>
          <w:p w:rsidR="00A12775" w14:paraId="651AE6E8" w14:textId="77777777">
            <w:pPr>
              <w:pStyle w:val="Neotevilenodstavek"/>
              <w:spacing w:before="0" w:after="0" w:line="260" w:lineRule="exact"/>
              <w:ind w:left="720"/>
              <w:rPr>
                <w:iCs/>
                <w:sz w:val="20"/>
                <w:szCs w:val="20"/>
              </w:rPr>
            </w:pPr>
          </w:p>
        </w:tc>
      </w:tr>
      <w:tr w14:paraId="74E2BA8C" w14:textId="77777777" w:rsidTr="008F3D80">
        <w:tblPrEx>
          <w:tblW w:w="9134" w:type="dxa"/>
          <w:tblInd w:w="137" w:type="dxa"/>
          <w:tblLook w:val="04A0"/>
        </w:tblPrEx>
        <w:tc>
          <w:tcPr>
            <w:tcW w:w="9134" w:type="dxa"/>
            <w:gridSpan w:val="13"/>
            <w:tcBorders>
              <w:top w:val="single" w:sz="4" w:space="0" w:color="000000"/>
              <w:left w:val="single" w:sz="4" w:space="0" w:color="000000"/>
              <w:bottom w:val="single" w:sz="4" w:space="0" w:color="000000"/>
              <w:right w:val="single" w:sz="4" w:space="0" w:color="000000"/>
            </w:tcBorders>
            <w:hideMark/>
          </w:tcPr>
          <w:p w:rsidR="00A12775" w14:paraId="6795B236" w14:textId="77777777">
            <w:pPr>
              <w:pStyle w:val="Neotevilenodstavek"/>
              <w:spacing w:before="0" w:after="0" w:line="260" w:lineRule="exact"/>
              <w:rPr>
                <w:b/>
                <w:iCs/>
                <w:sz w:val="20"/>
                <w:szCs w:val="20"/>
              </w:rPr>
            </w:pPr>
            <w:r>
              <w:rPr>
                <w:b/>
                <w:sz w:val="20"/>
                <w:szCs w:val="20"/>
              </w:rPr>
              <w:t>2. Predlog za obravnavo predloga zakona po nujnem ali skrajšanem postopku v državnem zboru z obrazložitvijo razlogov:</w:t>
            </w:r>
          </w:p>
        </w:tc>
      </w:tr>
      <w:tr w14:paraId="71F6A56F" w14:textId="77777777" w:rsidTr="008F3D80">
        <w:tblPrEx>
          <w:tblW w:w="9134" w:type="dxa"/>
          <w:tblInd w:w="137" w:type="dxa"/>
          <w:tblLook w:val="04A0"/>
        </w:tblPrEx>
        <w:tc>
          <w:tcPr>
            <w:tcW w:w="9134" w:type="dxa"/>
            <w:gridSpan w:val="13"/>
            <w:tcBorders>
              <w:top w:val="single" w:sz="4" w:space="0" w:color="000000"/>
              <w:left w:val="single" w:sz="4" w:space="0" w:color="000000"/>
              <w:bottom w:val="single" w:sz="4" w:space="0" w:color="000000"/>
              <w:right w:val="single" w:sz="4" w:space="0" w:color="000000"/>
            </w:tcBorders>
            <w:hideMark/>
          </w:tcPr>
          <w:p w:rsidR="00A12775" w14:paraId="391B9382" w14:textId="77777777">
            <w:pPr>
              <w:pStyle w:val="Neotevilenodstavek"/>
              <w:spacing w:before="0" w:after="0" w:line="260" w:lineRule="exact"/>
              <w:rPr>
                <w:iCs/>
                <w:sz w:val="20"/>
                <w:szCs w:val="20"/>
              </w:rPr>
            </w:pPr>
            <w:r>
              <w:rPr>
                <w:iCs/>
                <w:sz w:val="20"/>
                <w:szCs w:val="20"/>
              </w:rPr>
              <w:t>/</w:t>
            </w:r>
          </w:p>
        </w:tc>
      </w:tr>
      <w:tr w14:paraId="0804D83F" w14:textId="77777777" w:rsidTr="008F3D80">
        <w:tblPrEx>
          <w:tblW w:w="9134" w:type="dxa"/>
          <w:tblInd w:w="137" w:type="dxa"/>
          <w:tblLook w:val="04A0"/>
        </w:tblPrEx>
        <w:tc>
          <w:tcPr>
            <w:tcW w:w="9134" w:type="dxa"/>
            <w:gridSpan w:val="13"/>
            <w:tcBorders>
              <w:top w:val="single" w:sz="4" w:space="0" w:color="000000"/>
              <w:left w:val="single" w:sz="4" w:space="0" w:color="000000"/>
              <w:bottom w:val="single" w:sz="4" w:space="0" w:color="000000"/>
              <w:right w:val="single" w:sz="4" w:space="0" w:color="000000"/>
            </w:tcBorders>
            <w:hideMark/>
          </w:tcPr>
          <w:p w:rsidR="00A12775" w14:paraId="1E3590E8" w14:textId="77777777">
            <w:pPr>
              <w:pStyle w:val="Neotevilenodstavek"/>
              <w:spacing w:before="0" w:after="0" w:line="260" w:lineRule="exact"/>
              <w:rPr>
                <w:b/>
                <w:iCs/>
                <w:sz w:val="20"/>
                <w:szCs w:val="20"/>
              </w:rPr>
            </w:pPr>
            <w:r>
              <w:rPr>
                <w:b/>
                <w:sz w:val="20"/>
                <w:szCs w:val="20"/>
              </w:rPr>
              <w:t>3.a Osebe, odgovorne za strokovno pripravo in usklajenost gradiva:</w:t>
            </w:r>
          </w:p>
        </w:tc>
      </w:tr>
      <w:tr w14:paraId="41509E24" w14:textId="77777777" w:rsidTr="008F3D80">
        <w:tblPrEx>
          <w:tblW w:w="9134" w:type="dxa"/>
          <w:tblInd w:w="137" w:type="dxa"/>
          <w:tblLook w:val="04A0"/>
        </w:tblPrEx>
        <w:tc>
          <w:tcPr>
            <w:tcW w:w="9134" w:type="dxa"/>
            <w:gridSpan w:val="13"/>
            <w:tcBorders>
              <w:top w:val="single" w:sz="4" w:space="0" w:color="000000"/>
              <w:left w:val="single" w:sz="4" w:space="0" w:color="000000"/>
              <w:bottom w:val="single" w:sz="4" w:space="0" w:color="000000"/>
              <w:right w:val="single" w:sz="4" w:space="0" w:color="000000"/>
            </w:tcBorders>
            <w:hideMark/>
          </w:tcPr>
          <w:p w:rsidR="00A12775" w14:paraId="3CE892B2" w14:textId="77777777">
            <w:pPr>
              <w:pStyle w:val="Neotevilenodstavek"/>
              <w:spacing w:before="0" w:after="0" w:line="260" w:lineRule="exact"/>
              <w:rPr>
                <w:iCs/>
                <w:sz w:val="20"/>
                <w:szCs w:val="20"/>
              </w:rPr>
            </w:pPr>
            <w:r>
              <w:rPr>
                <w:iCs/>
                <w:sz w:val="20"/>
                <w:szCs w:val="20"/>
              </w:rPr>
              <w:t>mag. Matjaž Ravbar, generalni direktor Direktorata za vojne veterane in vojaško dediščino, Ministrstvo za obrambo</w:t>
            </w:r>
          </w:p>
        </w:tc>
      </w:tr>
      <w:tr w14:paraId="54138742" w14:textId="77777777" w:rsidTr="008F3D80">
        <w:tblPrEx>
          <w:tblW w:w="9134" w:type="dxa"/>
          <w:tblInd w:w="137" w:type="dxa"/>
          <w:tblLook w:val="04A0"/>
        </w:tblPrEx>
        <w:tc>
          <w:tcPr>
            <w:tcW w:w="9134" w:type="dxa"/>
            <w:gridSpan w:val="13"/>
            <w:tcBorders>
              <w:top w:val="single" w:sz="4" w:space="0" w:color="000000"/>
              <w:left w:val="single" w:sz="4" w:space="0" w:color="000000"/>
              <w:bottom w:val="single" w:sz="4" w:space="0" w:color="000000"/>
              <w:right w:val="single" w:sz="4" w:space="0" w:color="000000"/>
            </w:tcBorders>
            <w:hideMark/>
          </w:tcPr>
          <w:p w:rsidR="00A12775" w14:paraId="4CCF9EFF" w14:textId="77777777">
            <w:pPr>
              <w:pStyle w:val="Neotevilenodstavek"/>
              <w:spacing w:before="0" w:after="0" w:line="260" w:lineRule="exact"/>
              <w:rPr>
                <w:b/>
                <w:iCs/>
                <w:sz w:val="20"/>
                <w:szCs w:val="20"/>
              </w:rPr>
            </w:pPr>
            <w:r>
              <w:rPr>
                <w:b/>
                <w:iCs/>
                <w:sz w:val="20"/>
                <w:szCs w:val="20"/>
              </w:rPr>
              <w:t xml:space="preserve">3.b Zunanji strokovnjaki, ki so </w:t>
            </w:r>
            <w:r>
              <w:rPr>
                <w:b/>
                <w:sz w:val="20"/>
                <w:szCs w:val="20"/>
              </w:rPr>
              <w:t>sodelovali pri pripravi dela ali celotnega gradiva:</w:t>
            </w:r>
          </w:p>
        </w:tc>
      </w:tr>
      <w:tr w14:paraId="7C374C2B" w14:textId="77777777" w:rsidTr="008F3D80">
        <w:tblPrEx>
          <w:tblW w:w="9134" w:type="dxa"/>
          <w:tblInd w:w="137" w:type="dxa"/>
          <w:tblLook w:val="04A0"/>
        </w:tblPrEx>
        <w:tc>
          <w:tcPr>
            <w:tcW w:w="9134" w:type="dxa"/>
            <w:gridSpan w:val="13"/>
            <w:tcBorders>
              <w:top w:val="single" w:sz="4" w:space="0" w:color="000000"/>
              <w:left w:val="single" w:sz="4" w:space="0" w:color="000000"/>
              <w:bottom w:val="single" w:sz="4" w:space="0" w:color="000000"/>
              <w:right w:val="single" w:sz="4" w:space="0" w:color="000000"/>
            </w:tcBorders>
            <w:hideMark/>
          </w:tcPr>
          <w:p w:rsidR="00A12775" w14:paraId="0C38DB07" w14:textId="77777777">
            <w:pPr>
              <w:pStyle w:val="Neotevilenodstavek"/>
              <w:spacing w:before="0" w:after="0" w:line="260" w:lineRule="exact"/>
              <w:rPr>
                <w:iCs/>
                <w:sz w:val="20"/>
                <w:szCs w:val="20"/>
              </w:rPr>
            </w:pPr>
            <w:r>
              <w:rPr>
                <w:iCs/>
                <w:sz w:val="20"/>
                <w:szCs w:val="20"/>
              </w:rPr>
              <w:t>/</w:t>
            </w:r>
          </w:p>
        </w:tc>
      </w:tr>
      <w:tr w14:paraId="61DF90F4" w14:textId="77777777" w:rsidTr="008F3D80">
        <w:tblPrEx>
          <w:tblW w:w="9134" w:type="dxa"/>
          <w:tblInd w:w="137" w:type="dxa"/>
          <w:tblLook w:val="04A0"/>
        </w:tblPrEx>
        <w:tc>
          <w:tcPr>
            <w:tcW w:w="9134" w:type="dxa"/>
            <w:gridSpan w:val="13"/>
            <w:tcBorders>
              <w:top w:val="single" w:sz="4" w:space="0" w:color="000000"/>
              <w:left w:val="single" w:sz="4" w:space="0" w:color="000000"/>
              <w:bottom w:val="single" w:sz="4" w:space="0" w:color="000000"/>
              <w:right w:val="single" w:sz="4" w:space="0" w:color="000000"/>
            </w:tcBorders>
            <w:hideMark/>
          </w:tcPr>
          <w:p w:rsidR="00A12775" w14:paraId="70720966" w14:textId="77777777">
            <w:pPr>
              <w:pStyle w:val="Neotevilenodstavek"/>
              <w:spacing w:before="0" w:after="0" w:line="260" w:lineRule="exact"/>
              <w:rPr>
                <w:b/>
                <w:iCs/>
                <w:sz w:val="20"/>
                <w:szCs w:val="20"/>
              </w:rPr>
            </w:pPr>
            <w:r>
              <w:rPr>
                <w:b/>
                <w:sz w:val="20"/>
                <w:szCs w:val="20"/>
              </w:rPr>
              <w:t>4. Predstavniki vlade, ki bodo sodelovali pri delu državnega zbora:</w:t>
            </w:r>
          </w:p>
        </w:tc>
      </w:tr>
      <w:tr w14:paraId="2989BCA1" w14:textId="77777777" w:rsidTr="008F3D80">
        <w:tblPrEx>
          <w:tblW w:w="9134" w:type="dxa"/>
          <w:tblInd w:w="137" w:type="dxa"/>
          <w:tblLook w:val="04A0"/>
        </w:tblPrEx>
        <w:tc>
          <w:tcPr>
            <w:tcW w:w="9134" w:type="dxa"/>
            <w:gridSpan w:val="13"/>
            <w:tcBorders>
              <w:top w:val="single" w:sz="4" w:space="0" w:color="000000"/>
              <w:left w:val="single" w:sz="4" w:space="0" w:color="000000"/>
              <w:bottom w:val="single" w:sz="4" w:space="0" w:color="000000"/>
              <w:right w:val="single" w:sz="4" w:space="0" w:color="000000"/>
            </w:tcBorders>
            <w:hideMark/>
          </w:tcPr>
          <w:p w:rsidR="00A12775" w14:paraId="58C8C711" w14:textId="77777777">
            <w:pPr>
              <w:pStyle w:val="Neotevilenodstavek"/>
              <w:spacing w:before="0" w:after="0" w:line="260" w:lineRule="exact"/>
              <w:rPr>
                <w:b/>
                <w:sz w:val="20"/>
                <w:szCs w:val="20"/>
              </w:rPr>
            </w:pPr>
            <w:r>
              <w:rPr>
                <w:iCs/>
                <w:sz w:val="20"/>
                <w:szCs w:val="20"/>
              </w:rPr>
              <w:t>/</w:t>
            </w:r>
          </w:p>
        </w:tc>
      </w:tr>
      <w:tr w14:paraId="053E9A12" w14:textId="77777777" w:rsidTr="008F3D80">
        <w:tblPrEx>
          <w:tblW w:w="9134" w:type="dxa"/>
          <w:tblInd w:w="137" w:type="dxa"/>
          <w:tblLook w:val="04A0"/>
        </w:tblPrEx>
        <w:tc>
          <w:tcPr>
            <w:tcW w:w="9134" w:type="dxa"/>
            <w:gridSpan w:val="13"/>
            <w:tcBorders>
              <w:top w:val="single" w:sz="4" w:space="0" w:color="000000"/>
              <w:left w:val="single" w:sz="4" w:space="0" w:color="000000"/>
              <w:bottom w:val="single" w:sz="4" w:space="0" w:color="000000"/>
              <w:right w:val="single" w:sz="4" w:space="0" w:color="000000"/>
            </w:tcBorders>
            <w:hideMark/>
          </w:tcPr>
          <w:p w:rsidR="00A12775" w14:paraId="24164415" w14:textId="77777777">
            <w:pPr>
              <w:pStyle w:val="Oddelek"/>
              <w:numPr>
                <w:ilvl w:val="0"/>
                <w:numId w:val="0"/>
              </w:numPr>
              <w:spacing w:before="0" w:after="0" w:line="260" w:lineRule="exact"/>
              <w:jc w:val="left"/>
              <w:rPr>
                <w:sz w:val="20"/>
                <w:szCs w:val="20"/>
              </w:rPr>
            </w:pPr>
            <w:r>
              <w:rPr>
                <w:sz w:val="20"/>
                <w:szCs w:val="20"/>
              </w:rPr>
              <w:t>5. Kratek povzetek gradiva:</w:t>
            </w:r>
          </w:p>
        </w:tc>
      </w:tr>
      <w:tr w14:paraId="33014185" w14:textId="77777777" w:rsidTr="008F3D80">
        <w:tblPrEx>
          <w:tblW w:w="9134" w:type="dxa"/>
          <w:tblInd w:w="137" w:type="dxa"/>
          <w:tblLook w:val="04A0"/>
        </w:tblPrEx>
        <w:tc>
          <w:tcPr>
            <w:tcW w:w="9134" w:type="dxa"/>
            <w:gridSpan w:val="13"/>
            <w:tcBorders>
              <w:top w:val="single" w:sz="4" w:space="0" w:color="000000"/>
              <w:left w:val="single" w:sz="4" w:space="0" w:color="000000"/>
              <w:bottom w:val="single" w:sz="4" w:space="0" w:color="000000"/>
              <w:right w:val="single" w:sz="4" w:space="0" w:color="000000"/>
            </w:tcBorders>
          </w:tcPr>
          <w:p w:rsidR="00A12775" w14:paraId="4DA9601B" w14:textId="77777777">
            <w:pPr>
              <w:pStyle w:val="NormalWeb"/>
              <w:spacing w:line="276" w:lineRule="auto"/>
              <w:jc w:val="both"/>
              <w:rPr>
                <w:rFonts w:ascii="Arial" w:hAnsi="Arial" w:cs="Arial"/>
                <w:sz w:val="20"/>
                <w:szCs w:val="20"/>
              </w:rPr>
            </w:pPr>
            <w:r>
              <w:rPr>
                <w:rFonts w:ascii="Arial" w:hAnsi="Arial" w:cs="Arial"/>
                <w:sz w:val="20"/>
                <w:szCs w:val="20"/>
              </w:rPr>
              <w:t>Projekt »Poti miru v Posočju«, ki ga izvaja Ustanova »Fundacija Poti miru v Posočju«, je celostno zastavljen program ohranjanja vojaške dediščine iz obdobja prve svetovne vojne na območju nekdanje soške fronte. Vlada Republike Slovenije ga je prvič podprla s sklepom št. 634-06/2000-2 dne 21. 9. 2000 in zavezala ministrstva k financiranju, Ustanova pa je bila ustanovljena 1. 12. 2000.</w:t>
            </w:r>
          </w:p>
          <w:p w:rsidR="00A12775" w14:paraId="75D8D528" w14:textId="77777777">
            <w:pPr>
              <w:pStyle w:val="NormalWeb"/>
              <w:spacing w:line="276" w:lineRule="auto"/>
              <w:jc w:val="both"/>
              <w:rPr>
                <w:rFonts w:ascii="Arial" w:hAnsi="Arial" w:cs="Arial"/>
                <w:sz w:val="20"/>
                <w:szCs w:val="20"/>
              </w:rPr>
            </w:pPr>
            <w:r>
              <w:rPr>
                <w:rFonts w:ascii="Arial" w:hAnsi="Arial" w:cs="Arial"/>
                <w:sz w:val="20"/>
                <w:szCs w:val="20"/>
              </w:rPr>
              <w:t xml:space="preserve">Ustanova s strokovnim delom povezuje raziskovanje, izobraževanje, ohranjanje dediščine, kulturno sodelovanje in razvoj trajnostnega turizma ter spodbuja čezmejno in evropsko sodelovanje. Čezmejna pot </w:t>
            </w:r>
            <w:r>
              <w:rPr>
                <w:rFonts w:ascii="Arial" w:hAnsi="Arial" w:cs="Arial"/>
                <w:sz w:val="20"/>
                <w:szCs w:val="20"/>
              </w:rPr>
              <w:t>Pot</w:t>
            </w:r>
            <w:r>
              <w:rPr>
                <w:rFonts w:ascii="Arial" w:hAnsi="Arial" w:cs="Arial"/>
                <w:sz w:val="20"/>
                <w:szCs w:val="20"/>
              </w:rPr>
              <w:t xml:space="preserve"> miru od Alp do Jadrana, ki se razteza od Loga pod Mangartom do Trsta, meri 520 km in povezuje več kot 200 spomenikov. V zadnjem obdobju je projekt prerasel v evropsko prepoznavno pobudo </w:t>
            </w:r>
            <w:r>
              <w:rPr>
                <w:rFonts w:ascii="Arial" w:hAnsi="Arial" w:cs="Arial"/>
                <w:sz w:val="20"/>
                <w:szCs w:val="20"/>
              </w:rPr>
              <w:t>Walk</w:t>
            </w:r>
            <w:r>
              <w:rPr>
                <w:rFonts w:ascii="Arial" w:hAnsi="Arial" w:cs="Arial"/>
                <w:sz w:val="20"/>
                <w:szCs w:val="20"/>
              </w:rPr>
              <w:t xml:space="preserve"> </w:t>
            </w:r>
            <w:r>
              <w:rPr>
                <w:rFonts w:ascii="Arial" w:hAnsi="Arial" w:cs="Arial"/>
                <w:sz w:val="20"/>
                <w:szCs w:val="20"/>
              </w:rPr>
              <w:t>of</w:t>
            </w:r>
            <w:r>
              <w:rPr>
                <w:rFonts w:ascii="Arial" w:hAnsi="Arial" w:cs="Arial"/>
                <w:sz w:val="20"/>
                <w:szCs w:val="20"/>
              </w:rPr>
              <w:t xml:space="preserve"> </w:t>
            </w:r>
            <w:r>
              <w:rPr>
                <w:rFonts w:ascii="Arial" w:hAnsi="Arial" w:cs="Arial"/>
                <w:sz w:val="20"/>
                <w:szCs w:val="20"/>
              </w:rPr>
              <w:t>Peace</w:t>
            </w:r>
            <w:r>
              <w:rPr>
                <w:rFonts w:ascii="Arial" w:hAnsi="Arial" w:cs="Arial"/>
                <w:sz w:val="20"/>
                <w:szCs w:val="20"/>
              </w:rPr>
              <w:t xml:space="preserve">, ki povezuje institucije iz 11 držav ter je vključen v mednarodne mreže, kot so </w:t>
            </w:r>
            <w:r>
              <w:rPr>
                <w:rFonts w:ascii="Arial" w:hAnsi="Arial" w:cs="Arial"/>
                <w:sz w:val="20"/>
                <w:szCs w:val="20"/>
              </w:rPr>
              <w:t>Interreg</w:t>
            </w:r>
            <w:r>
              <w:rPr>
                <w:rFonts w:ascii="Arial" w:hAnsi="Arial" w:cs="Arial"/>
                <w:sz w:val="20"/>
                <w:szCs w:val="20"/>
              </w:rPr>
              <w:t xml:space="preserve"> in Svet Evrope. Leta 2016 je bil vpisan tudi na Unescov poskusni seznam.</w:t>
            </w:r>
          </w:p>
          <w:p w:rsidR="00A12775" w14:paraId="1A764835" w14:textId="77777777">
            <w:pPr>
              <w:pStyle w:val="NormalWeb"/>
              <w:spacing w:line="276" w:lineRule="auto"/>
              <w:jc w:val="both"/>
              <w:rPr>
                <w:rFonts w:ascii="Arial" w:hAnsi="Arial" w:cs="Arial"/>
                <w:sz w:val="20"/>
                <w:szCs w:val="20"/>
              </w:rPr>
            </w:pPr>
            <w:r>
              <w:rPr>
                <w:rFonts w:ascii="Arial" w:hAnsi="Arial" w:cs="Arial"/>
                <w:sz w:val="20"/>
                <w:szCs w:val="20"/>
              </w:rPr>
              <w:t xml:space="preserve">Ustanova je s mnogimi slovenskimi institucijami izvedla številne evropske in državne projekte, popisala več kot 50.000 padlih vojakov in vzpostavila Zgodovinsko knjižnico, muzeje na prostem, </w:t>
            </w:r>
            <w:r>
              <w:rPr>
                <w:rFonts w:ascii="Arial" w:hAnsi="Arial" w:cs="Arial"/>
                <w:sz w:val="20"/>
                <w:szCs w:val="20"/>
              </w:rPr>
              <w:t>Info</w:t>
            </w:r>
            <w:r>
              <w:rPr>
                <w:rFonts w:ascii="Arial" w:hAnsi="Arial" w:cs="Arial"/>
                <w:sz w:val="20"/>
                <w:szCs w:val="20"/>
              </w:rPr>
              <w:t xml:space="preserve"> center, obsežno spletno stran ter ustvarila mrežo partnerjev, dediščino soške fronte povezala v enotno pot. Aktivno sodeluje s slovenskimi in tujimi institucijami, izobražuje vodnike in mlade, pripravlja publikacije in razstave ter si prizadeva za vpis Evropske poti miru med Kulturne poti Sveta Evrope.</w:t>
            </w:r>
          </w:p>
          <w:p w:rsidR="00A12775" w14:paraId="46BCE9A7" w14:textId="77777777">
            <w:pPr>
              <w:pStyle w:val="NormalWeb"/>
              <w:spacing w:line="276" w:lineRule="auto"/>
              <w:jc w:val="both"/>
              <w:rPr>
                <w:rFonts w:ascii="Arial" w:hAnsi="Arial" w:cs="Arial"/>
                <w:sz w:val="20"/>
                <w:szCs w:val="20"/>
              </w:rPr>
            </w:pPr>
            <w:r>
              <w:rPr>
                <w:rFonts w:ascii="Arial" w:hAnsi="Arial" w:cs="Arial"/>
                <w:sz w:val="20"/>
                <w:szCs w:val="20"/>
              </w:rPr>
              <w:t>Financiranje temelji na 27. členu Zakona o ustanovah (</w:t>
            </w:r>
            <w:r>
              <w:rPr>
                <w:rFonts w:ascii="Arial" w:hAnsi="Arial" w:cs="Arial"/>
                <w:sz w:val="20"/>
                <w:szCs w:val="20"/>
                <w:shd w:val="clear" w:color="auto" w:fill="FFFFFF"/>
              </w:rPr>
              <w:t>Uradni list RS, št. </w:t>
            </w:r>
            <w:hyperlink r:id="rId6" w:tgtFrame="_blank" w:tooltip="Zakon o ustanovah (uradno prečiščeno besedilo) (ZU-UPB1)" w:history="1">
              <w:r>
                <w:rPr>
                  <w:rStyle w:val="Hyperlink"/>
                  <w:rFonts w:cs="Arial"/>
                  <w:sz w:val="20"/>
                  <w:szCs w:val="20"/>
                  <w:shd w:val="clear" w:color="auto" w:fill="FFFFFF"/>
                </w:rPr>
                <w:t>70/05</w:t>
              </w:r>
            </w:hyperlink>
            <w:r>
              <w:rPr>
                <w:rFonts w:ascii="Arial" w:hAnsi="Arial" w:cs="Arial"/>
                <w:sz w:val="20"/>
                <w:szCs w:val="20"/>
                <w:shd w:val="clear" w:color="auto" w:fill="FFFFFF"/>
              </w:rPr>
              <w:t> – uradno prečiščeno besedilo in </w:t>
            </w:r>
            <w:hyperlink r:id="rId7" w:tgtFrame="_blank" w:tooltip="Popravek Uradnega prečiščenega besedila Zakona o ustanovah" w:history="1">
              <w:r>
                <w:rPr>
                  <w:rStyle w:val="Hyperlink"/>
                  <w:rFonts w:cs="Arial"/>
                  <w:sz w:val="20"/>
                  <w:szCs w:val="20"/>
                  <w:shd w:val="clear" w:color="auto" w:fill="FFFFFF"/>
                </w:rPr>
                <w:t>91/05</w:t>
              </w:r>
            </w:hyperlink>
            <w:r>
              <w:rPr>
                <w:rFonts w:ascii="Arial" w:hAnsi="Arial" w:cs="Arial"/>
                <w:sz w:val="20"/>
                <w:szCs w:val="20"/>
                <w:shd w:val="clear" w:color="auto" w:fill="FFFFFF"/>
              </w:rPr>
              <w:t xml:space="preserve"> – </w:t>
            </w:r>
            <w:r>
              <w:rPr>
                <w:rFonts w:ascii="Arial" w:hAnsi="Arial" w:cs="Arial"/>
                <w:sz w:val="20"/>
                <w:szCs w:val="20"/>
                <w:shd w:val="clear" w:color="auto" w:fill="FFFFFF"/>
              </w:rPr>
              <w:t>popr</w:t>
            </w:r>
            <w:r>
              <w:rPr>
                <w:rFonts w:ascii="Arial" w:hAnsi="Arial" w:cs="Arial"/>
                <w:sz w:val="20"/>
                <w:szCs w:val="20"/>
                <w:shd w:val="clear" w:color="auto" w:fill="FFFFFF"/>
              </w:rPr>
              <w:t>.).</w:t>
            </w:r>
            <w:r>
              <w:rPr>
                <w:rFonts w:ascii="Republika" w:hAnsi="Republika"/>
                <w:sz w:val="20"/>
                <w:szCs w:val="20"/>
                <w:shd w:val="clear" w:color="auto" w:fill="FFFFFF"/>
              </w:rPr>
              <w:t xml:space="preserve"> </w:t>
            </w:r>
            <w:r>
              <w:rPr>
                <w:rFonts w:ascii="Arial" w:hAnsi="Arial" w:cs="Arial"/>
                <w:sz w:val="20"/>
                <w:szCs w:val="20"/>
              </w:rPr>
              <w:t xml:space="preserve">Sredstva ministrstev se namenjajo za izvedbo programa dela 2026–2030 v okviru tekočih transferov, zlasti za raziskovalno, izobraževalno, promocijsko, založniško, dokumentacijsko in obnovitveno dejavnost ter mednarodno dejavnost in pomoč pri urejanju vojnih grobišč. Ustanova ima status nevladne organizacije v javnem interesu na področju kulture. </w:t>
            </w:r>
          </w:p>
          <w:p w:rsidR="00A12775" w14:paraId="585C81AF" w14:textId="77777777">
            <w:pPr>
              <w:pStyle w:val="NormalWeb"/>
              <w:spacing w:line="276" w:lineRule="auto"/>
              <w:jc w:val="both"/>
              <w:rPr>
                <w:rFonts w:ascii="Arial" w:hAnsi="Arial" w:cs="Arial"/>
                <w:sz w:val="20"/>
                <w:szCs w:val="20"/>
              </w:rPr>
            </w:pPr>
            <w:r>
              <w:rPr>
                <w:rFonts w:ascii="Arial" w:hAnsi="Arial" w:cs="Arial"/>
                <w:sz w:val="20"/>
                <w:szCs w:val="20"/>
              </w:rPr>
              <w:t>Ustanova ima velik pomen za lokalno, državno in evropsko okolje ter zagotavlja pomemben javni interes na področju ohranjanja kulturne in vojaške dediščine, zgodovine prve svetovne vojne, vojnih grobišč ter zgodovinsko-mirovnega turizma.</w:t>
            </w:r>
          </w:p>
          <w:p w:rsidR="00A12775" w14:paraId="6FE8047E" w14:textId="77777777">
            <w:pPr>
              <w:pStyle w:val="NormalWeb"/>
              <w:spacing w:line="276" w:lineRule="auto"/>
              <w:jc w:val="both"/>
              <w:rPr>
                <w:rFonts w:ascii="Arial" w:hAnsi="Arial" w:cs="Arial"/>
                <w:sz w:val="20"/>
                <w:szCs w:val="20"/>
              </w:rPr>
            </w:pPr>
          </w:p>
        </w:tc>
      </w:tr>
      <w:tr w14:paraId="4CCF73C1" w14:textId="77777777" w:rsidTr="008F3D80">
        <w:tblPrEx>
          <w:tblW w:w="9134" w:type="dxa"/>
          <w:tblInd w:w="137" w:type="dxa"/>
          <w:tblLook w:val="04A0"/>
        </w:tblPrEx>
        <w:tc>
          <w:tcPr>
            <w:tcW w:w="9134" w:type="dxa"/>
            <w:gridSpan w:val="13"/>
            <w:tcBorders>
              <w:top w:val="single" w:sz="4" w:space="0" w:color="000000"/>
              <w:left w:val="single" w:sz="4" w:space="0" w:color="000000"/>
              <w:bottom w:val="single" w:sz="4" w:space="0" w:color="000000"/>
              <w:right w:val="single" w:sz="4" w:space="0" w:color="000000"/>
            </w:tcBorders>
            <w:hideMark/>
          </w:tcPr>
          <w:p w:rsidR="00A12775" w14:paraId="523B6CF2" w14:textId="77777777">
            <w:pPr>
              <w:pStyle w:val="Oddelek"/>
              <w:numPr>
                <w:ilvl w:val="0"/>
                <w:numId w:val="0"/>
              </w:numPr>
              <w:spacing w:before="0" w:after="0" w:line="260" w:lineRule="exact"/>
              <w:jc w:val="left"/>
              <w:rPr>
                <w:sz w:val="20"/>
                <w:szCs w:val="20"/>
              </w:rPr>
            </w:pPr>
            <w:r>
              <w:rPr>
                <w:sz w:val="20"/>
                <w:szCs w:val="20"/>
              </w:rPr>
              <w:t>6. Presoja posledic za:</w:t>
            </w:r>
          </w:p>
        </w:tc>
      </w:tr>
      <w:tr w14:paraId="6F5D2961" w14:textId="77777777" w:rsidTr="008F3D80">
        <w:tblPrEx>
          <w:tblW w:w="9134" w:type="dxa"/>
          <w:tblInd w:w="137" w:type="dxa"/>
          <w:tblLook w:val="04A0"/>
        </w:tblPrEx>
        <w:tc>
          <w:tcPr>
            <w:tcW w:w="1419" w:type="dxa"/>
            <w:tcBorders>
              <w:top w:val="single" w:sz="4" w:space="0" w:color="000000"/>
              <w:left w:val="single" w:sz="4" w:space="0" w:color="000000"/>
              <w:bottom w:val="single" w:sz="4" w:space="0" w:color="000000"/>
              <w:right w:val="single" w:sz="4" w:space="0" w:color="000000"/>
            </w:tcBorders>
            <w:hideMark/>
          </w:tcPr>
          <w:p w:rsidR="00A12775" w14:paraId="4D9885E9" w14:textId="77777777">
            <w:pPr>
              <w:pStyle w:val="Neotevilenodstavek"/>
              <w:spacing w:before="0" w:after="0" w:line="260" w:lineRule="exact"/>
              <w:ind w:left="360"/>
              <w:rPr>
                <w:iCs/>
                <w:sz w:val="20"/>
                <w:szCs w:val="20"/>
              </w:rPr>
            </w:pPr>
            <w:r>
              <w:rPr>
                <w:iCs/>
                <w:sz w:val="20"/>
                <w:szCs w:val="20"/>
              </w:rPr>
              <w:t>a)</w:t>
            </w:r>
          </w:p>
        </w:tc>
        <w:tc>
          <w:tcPr>
            <w:tcW w:w="5444" w:type="dxa"/>
            <w:gridSpan w:val="9"/>
            <w:tcBorders>
              <w:top w:val="single" w:sz="4" w:space="0" w:color="000000"/>
              <w:left w:val="single" w:sz="4" w:space="0" w:color="000000"/>
              <w:bottom w:val="single" w:sz="4" w:space="0" w:color="000000"/>
              <w:right w:val="single" w:sz="4" w:space="0" w:color="000000"/>
            </w:tcBorders>
            <w:hideMark/>
          </w:tcPr>
          <w:p w:rsidR="00A12775" w14:paraId="6F560A77" w14:textId="77777777">
            <w:pPr>
              <w:pStyle w:val="Neotevilenodstavek"/>
              <w:spacing w:before="0" w:after="0" w:line="260" w:lineRule="exact"/>
              <w:rPr>
                <w:sz w:val="20"/>
                <w:szCs w:val="20"/>
              </w:rPr>
            </w:pPr>
            <w:r>
              <w:rPr>
                <w:sz w:val="20"/>
                <w:szCs w:val="20"/>
              </w:rPr>
              <w:t>javnofinančna sredstva nad 40.000 EUR v tekočem in naslednjih treh letih</w:t>
            </w:r>
          </w:p>
        </w:tc>
        <w:tc>
          <w:tcPr>
            <w:tcW w:w="2271" w:type="dxa"/>
            <w:gridSpan w:val="3"/>
            <w:tcBorders>
              <w:top w:val="single" w:sz="4" w:space="0" w:color="000000"/>
              <w:left w:val="single" w:sz="4" w:space="0" w:color="000000"/>
              <w:bottom w:val="single" w:sz="4" w:space="0" w:color="000000"/>
              <w:right w:val="single" w:sz="4" w:space="0" w:color="000000"/>
            </w:tcBorders>
            <w:vAlign w:val="center"/>
            <w:hideMark/>
          </w:tcPr>
          <w:p w:rsidR="00A12775" w14:paraId="52DC7ABB" w14:textId="77777777">
            <w:pPr>
              <w:pStyle w:val="Neotevilenodstavek"/>
              <w:spacing w:before="0" w:after="0" w:line="260" w:lineRule="exact"/>
              <w:jc w:val="center"/>
              <w:rPr>
                <w:iCs/>
                <w:sz w:val="20"/>
                <w:szCs w:val="20"/>
              </w:rPr>
            </w:pPr>
            <w:r>
              <w:rPr>
                <w:sz w:val="20"/>
                <w:szCs w:val="20"/>
              </w:rPr>
              <w:t>DA</w:t>
            </w:r>
          </w:p>
        </w:tc>
      </w:tr>
      <w:tr w14:paraId="2C5F35CD" w14:textId="77777777" w:rsidTr="008F3D80">
        <w:tblPrEx>
          <w:tblW w:w="9134" w:type="dxa"/>
          <w:tblInd w:w="137" w:type="dxa"/>
          <w:tblLook w:val="04A0"/>
        </w:tblPrEx>
        <w:tc>
          <w:tcPr>
            <w:tcW w:w="1419" w:type="dxa"/>
            <w:tcBorders>
              <w:top w:val="single" w:sz="4" w:space="0" w:color="000000"/>
              <w:left w:val="single" w:sz="4" w:space="0" w:color="000000"/>
              <w:bottom w:val="single" w:sz="4" w:space="0" w:color="000000"/>
              <w:right w:val="single" w:sz="4" w:space="0" w:color="000000"/>
            </w:tcBorders>
            <w:hideMark/>
          </w:tcPr>
          <w:p w:rsidR="00A12775" w14:paraId="64095916" w14:textId="77777777">
            <w:pPr>
              <w:pStyle w:val="Neotevilenodstavek"/>
              <w:spacing w:before="0" w:after="0" w:line="260" w:lineRule="exact"/>
              <w:ind w:left="360"/>
              <w:rPr>
                <w:iCs/>
                <w:sz w:val="20"/>
                <w:szCs w:val="20"/>
              </w:rPr>
            </w:pPr>
            <w:r>
              <w:rPr>
                <w:iCs/>
                <w:sz w:val="20"/>
                <w:szCs w:val="20"/>
              </w:rPr>
              <w:t>b)</w:t>
            </w:r>
          </w:p>
        </w:tc>
        <w:tc>
          <w:tcPr>
            <w:tcW w:w="5444" w:type="dxa"/>
            <w:gridSpan w:val="9"/>
            <w:tcBorders>
              <w:top w:val="single" w:sz="4" w:space="0" w:color="000000"/>
              <w:left w:val="single" w:sz="4" w:space="0" w:color="000000"/>
              <w:bottom w:val="single" w:sz="4" w:space="0" w:color="000000"/>
              <w:right w:val="single" w:sz="4" w:space="0" w:color="000000"/>
            </w:tcBorders>
            <w:hideMark/>
          </w:tcPr>
          <w:p w:rsidR="00A12775" w14:paraId="55AB7BBB" w14:textId="77777777">
            <w:pPr>
              <w:pStyle w:val="Neotevilenodstavek"/>
              <w:spacing w:before="0" w:after="0" w:line="260" w:lineRule="exact"/>
              <w:rPr>
                <w:iCs/>
                <w:sz w:val="20"/>
                <w:szCs w:val="20"/>
              </w:rPr>
            </w:pPr>
            <w:r>
              <w:rPr>
                <w:bCs/>
                <w:sz w:val="20"/>
                <w:szCs w:val="20"/>
              </w:rPr>
              <w:t>usklajenost slovenskega pravnega reda s pravnim redom Evropske unije</w:t>
            </w:r>
          </w:p>
        </w:tc>
        <w:tc>
          <w:tcPr>
            <w:tcW w:w="2271" w:type="dxa"/>
            <w:gridSpan w:val="3"/>
            <w:tcBorders>
              <w:top w:val="single" w:sz="4" w:space="0" w:color="000000"/>
              <w:left w:val="single" w:sz="4" w:space="0" w:color="000000"/>
              <w:bottom w:val="single" w:sz="4" w:space="0" w:color="000000"/>
              <w:right w:val="single" w:sz="4" w:space="0" w:color="000000"/>
            </w:tcBorders>
            <w:vAlign w:val="center"/>
            <w:hideMark/>
          </w:tcPr>
          <w:p w:rsidR="00A12775" w14:paraId="2EB68D80" w14:textId="77777777">
            <w:pPr>
              <w:pStyle w:val="Neotevilenodstavek"/>
              <w:spacing w:before="0" w:after="0" w:line="260" w:lineRule="exact"/>
              <w:jc w:val="center"/>
              <w:rPr>
                <w:iCs/>
                <w:sz w:val="20"/>
                <w:szCs w:val="20"/>
              </w:rPr>
            </w:pPr>
            <w:r>
              <w:rPr>
                <w:sz w:val="20"/>
                <w:szCs w:val="20"/>
              </w:rPr>
              <w:t>NE</w:t>
            </w:r>
          </w:p>
        </w:tc>
      </w:tr>
      <w:tr w14:paraId="2F0118E7" w14:textId="77777777" w:rsidTr="008F3D80">
        <w:tblPrEx>
          <w:tblW w:w="9134" w:type="dxa"/>
          <w:tblInd w:w="137" w:type="dxa"/>
          <w:tblLook w:val="04A0"/>
        </w:tblPrEx>
        <w:tc>
          <w:tcPr>
            <w:tcW w:w="1419" w:type="dxa"/>
            <w:tcBorders>
              <w:top w:val="single" w:sz="4" w:space="0" w:color="000000"/>
              <w:left w:val="single" w:sz="4" w:space="0" w:color="000000"/>
              <w:bottom w:val="single" w:sz="4" w:space="0" w:color="000000"/>
              <w:right w:val="single" w:sz="4" w:space="0" w:color="000000"/>
            </w:tcBorders>
            <w:hideMark/>
          </w:tcPr>
          <w:p w:rsidR="00A12775" w14:paraId="5B9FCC31" w14:textId="77777777">
            <w:pPr>
              <w:pStyle w:val="Neotevilenodstavek"/>
              <w:spacing w:before="0" w:after="0" w:line="260" w:lineRule="exact"/>
              <w:ind w:left="360"/>
              <w:rPr>
                <w:iCs/>
                <w:sz w:val="20"/>
                <w:szCs w:val="20"/>
              </w:rPr>
            </w:pPr>
            <w:r>
              <w:rPr>
                <w:iCs/>
                <w:sz w:val="20"/>
                <w:szCs w:val="20"/>
              </w:rPr>
              <w:t>c)</w:t>
            </w:r>
          </w:p>
        </w:tc>
        <w:tc>
          <w:tcPr>
            <w:tcW w:w="5444" w:type="dxa"/>
            <w:gridSpan w:val="9"/>
            <w:tcBorders>
              <w:top w:val="single" w:sz="4" w:space="0" w:color="000000"/>
              <w:left w:val="single" w:sz="4" w:space="0" w:color="000000"/>
              <w:bottom w:val="single" w:sz="4" w:space="0" w:color="000000"/>
              <w:right w:val="single" w:sz="4" w:space="0" w:color="000000"/>
            </w:tcBorders>
            <w:hideMark/>
          </w:tcPr>
          <w:p w:rsidR="00A12775" w14:paraId="1C696206" w14:textId="77777777">
            <w:pPr>
              <w:pStyle w:val="Neotevilenodstavek"/>
              <w:spacing w:before="0" w:after="0" w:line="260" w:lineRule="exact"/>
              <w:rPr>
                <w:iCs/>
                <w:sz w:val="20"/>
                <w:szCs w:val="20"/>
              </w:rPr>
            </w:pPr>
            <w:r>
              <w:rPr>
                <w:sz w:val="20"/>
                <w:szCs w:val="20"/>
              </w:rPr>
              <w:t>administrativne posledice</w:t>
            </w:r>
          </w:p>
        </w:tc>
        <w:tc>
          <w:tcPr>
            <w:tcW w:w="2271" w:type="dxa"/>
            <w:gridSpan w:val="3"/>
            <w:tcBorders>
              <w:top w:val="single" w:sz="4" w:space="0" w:color="000000"/>
              <w:left w:val="single" w:sz="4" w:space="0" w:color="000000"/>
              <w:bottom w:val="single" w:sz="4" w:space="0" w:color="000000"/>
              <w:right w:val="single" w:sz="4" w:space="0" w:color="000000"/>
            </w:tcBorders>
            <w:vAlign w:val="center"/>
            <w:hideMark/>
          </w:tcPr>
          <w:p w:rsidR="00A12775" w14:paraId="11E23B14" w14:textId="77777777">
            <w:pPr>
              <w:pStyle w:val="Neotevilenodstavek"/>
              <w:spacing w:before="0" w:after="0" w:line="260" w:lineRule="exact"/>
              <w:jc w:val="center"/>
              <w:rPr>
                <w:sz w:val="20"/>
                <w:szCs w:val="20"/>
              </w:rPr>
            </w:pPr>
            <w:r>
              <w:rPr>
                <w:sz w:val="20"/>
                <w:szCs w:val="20"/>
              </w:rPr>
              <w:t>NE</w:t>
            </w:r>
          </w:p>
        </w:tc>
      </w:tr>
      <w:tr w14:paraId="4D710746" w14:textId="77777777" w:rsidTr="008F3D80">
        <w:tblPrEx>
          <w:tblW w:w="9134" w:type="dxa"/>
          <w:tblInd w:w="137" w:type="dxa"/>
          <w:tblLook w:val="04A0"/>
        </w:tblPrEx>
        <w:tc>
          <w:tcPr>
            <w:tcW w:w="1419" w:type="dxa"/>
            <w:tcBorders>
              <w:top w:val="single" w:sz="4" w:space="0" w:color="000000"/>
              <w:left w:val="single" w:sz="4" w:space="0" w:color="000000"/>
              <w:bottom w:val="single" w:sz="4" w:space="0" w:color="000000"/>
              <w:right w:val="single" w:sz="4" w:space="0" w:color="000000"/>
            </w:tcBorders>
            <w:hideMark/>
          </w:tcPr>
          <w:p w:rsidR="00A12775" w14:paraId="582516F4" w14:textId="77777777">
            <w:pPr>
              <w:pStyle w:val="Neotevilenodstavek"/>
              <w:spacing w:before="0" w:after="0" w:line="260" w:lineRule="exact"/>
              <w:ind w:left="360"/>
              <w:rPr>
                <w:iCs/>
                <w:sz w:val="20"/>
                <w:szCs w:val="20"/>
              </w:rPr>
            </w:pPr>
            <w:r>
              <w:rPr>
                <w:iCs/>
                <w:sz w:val="20"/>
                <w:szCs w:val="20"/>
              </w:rPr>
              <w:t>č)</w:t>
            </w:r>
          </w:p>
        </w:tc>
        <w:tc>
          <w:tcPr>
            <w:tcW w:w="5444" w:type="dxa"/>
            <w:gridSpan w:val="9"/>
            <w:tcBorders>
              <w:top w:val="single" w:sz="4" w:space="0" w:color="000000"/>
              <w:left w:val="single" w:sz="4" w:space="0" w:color="000000"/>
              <w:bottom w:val="single" w:sz="4" w:space="0" w:color="000000"/>
              <w:right w:val="single" w:sz="4" w:space="0" w:color="000000"/>
            </w:tcBorders>
            <w:hideMark/>
          </w:tcPr>
          <w:p w:rsidR="00A12775" w14:paraId="21EE81F5" w14:textId="77777777">
            <w:pPr>
              <w:pStyle w:val="Neotevilenodstavek"/>
              <w:spacing w:before="0" w:after="0" w:line="260" w:lineRule="exact"/>
              <w:rPr>
                <w:bCs/>
                <w:sz w:val="20"/>
                <w:szCs w:val="20"/>
              </w:rPr>
            </w:pPr>
            <w:r>
              <w:rPr>
                <w:sz w:val="20"/>
                <w:szCs w:val="20"/>
              </w:rPr>
              <w:t>gospodarstvo, zlasti</w:t>
            </w:r>
            <w:r>
              <w:rPr>
                <w:bCs/>
                <w:sz w:val="20"/>
                <w:szCs w:val="20"/>
              </w:rPr>
              <w:t xml:space="preserve"> mala in srednja podjetja ter konkurenčnost podjetij</w:t>
            </w:r>
          </w:p>
        </w:tc>
        <w:tc>
          <w:tcPr>
            <w:tcW w:w="2271" w:type="dxa"/>
            <w:gridSpan w:val="3"/>
            <w:tcBorders>
              <w:top w:val="single" w:sz="4" w:space="0" w:color="000000"/>
              <w:left w:val="single" w:sz="4" w:space="0" w:color="000000"/>
              <w:bottom w:val="single" w:sz="4" w:space="0" w:color="000000"/>
              <w:right w:val="single" w:sz="4" w:space="0" w:color="000000"/>
            </w:tcBorders>
            <w:vAlign w:val="center"/>
            <w:hideMark/>
          </w:tcPr>
          <w:p w:rsidR="00A12775" w14:paraId="55FC5C62" w14:textId="77777777">
            <w:pPr>
              <w:pStyle w:val="Neotevilenodstavek"/>
              <w:spacing w:before="0" w:after="0" w:line="260" w:lineRule="exact"/>
              <w:jc w:val="center"/>
              <w:rPr>
                <w:iCs/>
                <w:sz w:val="20"/>
                <w:szCs w:val="20"/>
              </w:rPr>
            </w:pPr>
            <w:r>
              <w:rPr>
                <w:sz w:val="20"/>
                <w:szCs w:val="20"/>
              </w:rPr>
              <w:t>NE</w:t>
            </w:r>
          </w:p>
        </w:tc>
      </w:tr>
      <w:tr w14:paraId="747560C5" w14:textId="77777777" w:rsidTr="008F3D80">
        <w:tblPrEx>
          <w:tblW w:w="9134" w:type="dxa"/>
          <w:tblInd w:w="137" w:type="dxa"/>
          <w:tblLook w:val="04A0"/>
        </w:tblPrEx>
        <w:tc>
          <w:tcPr>
            <w:tcW w:w="1419" w:type="dxa"/>
            <w:tcBorders>
              <w:top w:val="single" w:sz="4" w:space="0" w:color="000000"/>
              <w:left w:val="single" w:sz="4" w:space="0" w:color="000000"/>
              <w:bottom w:val="single" w:sz="4" w:space="0" w:color="000000"/>
              <w:right w:val="single" w:sz="4" w:space="0" w:color="000000"/>
            </w:tcBorders>
            <w:hideMark/>
          </w:tcPr>
          <w:p w:rsidR="00A12775" w14:paraId="0430E2F2" w14:textId="77777777">
            <w:pPr>
              <w:pStyle w:val="Neotevilenodstavek"/>
              <w:spacing w:before="0" w:after="0" w:line="260" w:lineRule="exact"/>
              <w:ind w:left="360"/>
              <w:rPr>
                <w:iCs/>
                <w:sz w:val="20"/>
                <w:szCs w:val="20"/>
              </w:rPr>
            </w:pPr>
            <w:r>
              <w:rPr>
                <w:iCs/>
                <w:sz w:val="20"/>
                <w:szCs w:val="20"/>
              </w:rPr>
              <w:t>d)</w:t>
            </w:r>
          </w:p>
        </w:tc>
        <w:tc>
          <w:tcPr>
            <w:tcW w:w="5444" w:type="dxa"/>
            <w:gridSpan w:val="9"/>
            <w:tcBorders>
              <w:top w:val="single" w:sz="4" w:space="0" w:color="000000"/>
              <w:left w:val="single" w:sz="4" w:space="0" w:color="000000"/>
              <w:bottom w:val="single" w:sz="4" w:space="0" w:color="000000"/>
              <w:right w:val="single" w:sz="4" w:space="0" w:color="000000"/>
            </w:tcBorders>
            <w:hideMark/>
          </w:tcPr>
          <w:p w:rsidR="00A12775" w14:paraId="627F2193" w14:textId="77777777">
            <w:pPr>
              <w:pStyle w:val="Neotevilenodstavek"/>
              <w:spacing w:before="0" w:after="0" w:line="260" w:lineRule="exact"/>
              <w:rPr>
                <w:bCs/>
                <w:sz w:val="20"/>
                <w:szCs w:val="20"/>
              </w:rPr>
            </w:pPr>
            <w:r>
              <w:rPr>
                <w:bCs/>
                <w:sz w:val="20"/>
                <w:szCs w:val="20"/>
              </w:rPr>
              <w:t>okolje, vključno s prostorskimi in varstvenimi vidiki</w:t>
            </w:r>
          </w:p>
        </w:tc>
        <w:tc>
          <w:tcPr>
            <w:tcW w:w="2271" w:type="dxa"/>
            <w:gridSpan w:val="3"/>
            <w:tcBorders>
              <w:top w:val="single" w:sz="4" w:space="0" w:color="000000"/>
              <w:left w:val="single" w:sz="4" w:space="0" w:color="000000"/>
              <w:bottom w:val="single" w:sz="4" w:space="0" w:color="000000"/>
              <w:right w:val="single" w:sz="4" w:space="0" w:color="000000"/>
            </w:tcBorders>
            <w:vAlign w:val="center"/>
            <w:hideMark/>
          </w:tcPr>
          <w:p w:rsidR="00A12775" w14:paraId="4237DF11" w14:textId="77777777">
            <w:pPr>
              <w:pStyle w:val="Neotevilenodstavek"/>
              <w:spacing w:before="0" w:after="0" w:line="260" w:lineRule="exact"/>
              <w:jc w:val="center"/>
              <w:rPr>
                <w:iCs/>
                <w:sz w:val="20"/>
                <w:szCs w:val="20"/>
              </w:rPr>
            </w:pPr>
            <w:r>
              <w:rPr>
                <w:sz w:val="20"/>
                <w:szCs w:val="20"/>
              </w:rPr>
              <w:t>NE</w:t>
            </w:r>
          </w:p>
        </w:tc>
      </w:tr>
      <w:tr w14:paraId="1AD31C61" w14:textId="77777777" w:rsidTr="008F3D80">
        <w:tblPrEx>
          <w:tblW w:w="9134" w:type="dxa"/>
          <w:tblInd w:w="137" w:type="dxa"/>
          <w:tblLook w:val="04A0"/>
        </w:tblPrEx>
        <w:tc>
          <w:tcPr>
            <w:tcW w:w="1419" w:type="dxa"/>
            <w:tcBorders>
              <w:top w:val="single" w:sz="4" w:space="0" w:color="000000"/>
              <w:left w:val="single" w:sz="4" w:space="0" w:color="000000"/>
              <w:bottom w:val="single" w:sz="4" w:space="0" w:color="000000"/>
              <w:right w:val="single" w:sz="4" w:space="0" w:color="000000"/>
            </w:tcBorders>
            <w:hideMark/>
          </w:tcPr>
          <w:p w:rsidR="00A12775" w14:paraId="560E5E5A" w14:textId="77777777">
            <w:pPr>
              <w:pStyle w:val="Neotevilenodstavek"/>
              <w:spacing w:before="0" w:after="0" w:line="260" w:lineRule="exact"/>
              <w:ind w:left="360"/>
              <w:rPr>
                <w:iCs/>
                <w:sz w:val="20"/>
                <w:szCs w:val="20"/>
              </w:rPr>
            </w:pPr>
            <w:r>
              <w:rPr>
                <w:iCs/>
                <w:sz w:val="20"/>
                <w:szCs w:val="20"/>
              </w:rPr>
              <w:t>e)</w:t>
            </w:r>
          </w:p>
        </w:tc>
        <w:tc>
          <w:tcPr>
            <w:tcW w:w="5444" w:type="dxa"/>
            <w:gridSpan w:val="9"/>
            <w:tcBorders>
              <w:top w:val="single" w:sz="4" w:space="0" w:color="000000"/>
              <w:left w:val="single" w:sz="4" w:space="0" w:color="000000"/>
              <w:bottom w:val="single" w:sz="4" w:space="0" w:color="000000"/>
              <w:right w:val="single" w:sz="4" w:space="0" w:color="000000"/>
            </w:tcBorders>
            <w:hideMark/>
          </w:tcPr>
          <w:p w:rsidR="00A12775" w14:paraId="0046750C" w14:textId="77777777">
            <w:pPr>
              <w:pStyle w:val="Neotevilenodstavek"/>
              <w:spacing w:before="0" w:after="0" w:line="260" w:lineRule="exact"/>
              <w:rPr>
                <w:bCs/>
                <w:sz w:val="20"/>
                <w:szCs w:val="20"/>
              </w:rPr>
            </w:pPr>
            <w:r>
              <w:rPr>
                <w:bCs/>
                <w:sz w:val="20"/>
                <w:szCs w:val="20"/>
              </w:rPr>
              <w:t>socialno področje</w:t>
            </w:r>
          </w:p>
        </w:tc>
        <w:tc>
          <w:tcPr>
            <w:tcW w:w="2271" w:type="dxa"/>
            <w:gridSpan w:val="3"/>
            <w:tcBorders>
              <w:top w:val="single" w:sz="4" w:space="0" w:color="000000"/>
              <w:left w:val="single" w:sz="4" w:space="0" w:color="000000"/>
              <w:bottom w:val="single" w:sz="4" w:space="0" w:color="000000"/>
              <w:right w:val="single" w:sz="4" w:space="0" w:color="000000"/>
            </w:tcBorders>
            <w:vAlign w:val="center"/>
            <w:hideMark/>
          </w:tcPr>
          <w:p w:rsidR="00A12775" w14:paraId="2A04F260" w14:textId="77777777">
            <w:pPr>
              <w:pStyle w:val="Neotevilenodstavek"/>
              <w:spacing w:before="0" w:after="0" w:line="260" w:lineRule="exact"/>
              <w:jc w:val="center"/>
              <w:rPr>
                <w:iCs/>
                <w:sz w:val="20"/>
                <w:szCs w:val="20"/>
              </w:rPr>
            </w:pPr>
            <w:r>
              <w:rPr>
                <w:sz w:val="20"/>
                <w:szCs w:val="20"/>
              </w:rPr>
              <w:t>NE</w:t>
            </w:r>
          </w:p>
        </w:tc>
      </w:tr>
      <w:tr w14:paraId="39D1B9C3" w14:textId="77777777" w:rsidTr="008F3D80">
        <w:tblPrEx>
          <w:tblW w:w="9134" w:type="dxa"/>
          <w:tblInd w:w="137" w:type="dxa"/>
          <w:tblLook w:val="04A0"/>
        </w:tblPrEx>
        <w:tc>
          <w:tcPr>
            <w:tcW w:w="1419" w:type="dxa"/>
            <w:tcBorders>
              <w:top w:val="single" w:sz="4" w:space="0" w:color="000000"/>
              <w:left w:val="single" w:sz="4" w:space="0" w:color="000000"/>
              <w:bottom w:val="single" w:sz="4" w:space="0" w:color="auto"/>
              <w:right w:val="single" w:sz="4" w:space="0" w:color="000000"/>
            </w:tcBorders>
            <w:hideMark/>
          </w:tcPr>
          <w:p w:rsidR="00A12775" w14:paraId="2FF46C63" w14:textId="77777777">
            <w:pPr>
              <w:pStyle w:val="Neotevilenodstavek"/>
              <w:spacing w:before="0" w:after="0" w:line="260" w:lineRule="exact"/>
              <w:ind w:left="360"/>
              <w:rPr>
                <w:iCs/>
                <w:sz w:val="20"/>
                <w:szCs w:val="20"/>
              </w:rPr>
            </w:pPr>
            <w:r>
              <w:rPr>
                <w:iCs/>
                <w:sz w:val="20"/>
                <w:szCs w:val="20"/>
              </w:rPr>
              <w:t>f)</w:t>
            </w:r>
          </w:p>
        </w:tc>
        <w:tc>
          <w:tcPr>
            <w:tcW w:w="5444" w:type="dxa"/>
            <w:gridSpan w:val="9"/>
            <w:tcBorders>
              <w:top w:val="single" w:sz="4" w:space="0" w:color="000000"/>
              <w:left w:val="single" w:sz="4" w:space="0" w:color="000000"/>
              <w:bottom w:val="single" w:sz="4" w:space="0" w:color="auto"/>
              <w:right w:val="single" w:sz="4" w:space="0" w:color="000000"/>
            </w:tcBorders>
            <w:hideMark/>
          </w:tcPr>
          <w:p w:rsidR="00A12775" w14:paraId="4EEEDFD1" w14:textId="77777777">
            <w:pPr>
              <w:pStyle w:val="Neotevilenodstavek"/>
              <w:spacing w:before="0" w:after="0" w:line="260" w:lineRule="exact"/>
              <w:rPr>
                <w:bCs/>
                <w:sz w:val="20"/>
                <w:szCs w:val="20"/>
              </w:rPr>
            </w:pPr>
            <w:r>
              <w:rPr>
                <w:bCs/>
                <w:sz w:val="20"/>
                <w:szCs w:val="20"/>
              </w:rPr>
              <w:t>dokumente razvojnega načrtovanja:</w:t>
            </w:r>
          </w:p>
          <w:p w:rsidR="00A12775" w:rsidP="00A12775" w14:paraId="3D0D2433" w14:textId="77777777">
            <w:pPr>
              <w:pStyle w:val="Neotevilenodstavek"/>
              <w:numPr>
                <w:ilvl w:val="0"/>
                <w:numId w:val="35"/>
              </w:numPr>
              <w:spacing w:before="0" w:after="0" w:line="260" w:lineRule="exact"/>
              <w:textAlignment w:val="auto"/>
              <w:rPr>
                <w:bCs/>
                <w:sz w:val="20"/>
                <w:szCs w:val="20"/>
              </w:rPr>
            </w:pPr>
            <w:r>
              <w:rPr>
                <w:bCs/>
                <w:sz w:val="20"/>
                <w:szCs w:val="20"/>
              </w:rPr>
              <w:t>nacionalne dokumente razvojnega načrtovanja</w:t>
            </w:r>
          </w:p>
          <w:p w:rsidR="00A12775" w:rsidP="00A12775" w14:paraId="3C32991C" w14:textId="77777777">
            <w:pPr>
              <w:pStyle w:val="Neotevilenodstavek"/>
              <w:numPr>
                <w:ilvl w:val="0"/>
                <w:numId w:val="35"/>
              </w:numPr>
              <w:spacing w:before="0" w:after="0" w:line="260" w:lineRule="exact"/>
              <w:textAlignment w:val="auto"/>
              <w:rPr>
                <w:bCs/>
                <w:sz w:val="20"/>
                <w:szCs w:val="20"/>
              </w:rPr>
            </w:pPr>
            <w:r>
              <w:rPr>
                <w:bCs/>
                <w:sz w:val="20"/>
                <w:szCs w:val="20"/>
              </w:rPr>
              <w:t>razvojne politike na ravni programov po strukturi razvojne klasifikacije programskega proračuna</w:t>
            </w:r>
          </w:p>
          <w:p w:rsidR="00A12775" w:rsidP="00A12775" w14:paraId="7C28A62D" w14:textId="77777777">
            <w:pPr>
              <w:pStyle w:val="Neotevilenodstavek"/>
              <w:numPr>
                <w:ilvl w:val="0"/>
                <w:numId w:val="35"/>
              </w:numPr>
              <w:spacing w:before="0" w:after="0" w:line="260" w:lineRule="exact"/>
              <w:textAlignment w:val="auto"/>
              <w:rPr>
                <w:bCs/>
                <w:sz w:val="20"/>
                <w:szCs w:val="20"/>
              </w:rPr>
            </w:pPr>
            <w:r>
              <w:rPr>
                <w:bCs/>
                <w:sz w:val="20"/>
                <w:szCs w:val="20"/>
              </w:rPr>
              <w:t>razvojne dokumente Evropske unije in mednarodnih organizacij</w:t>
            </w:r>
          </w:p>
        </w:tc>
        <w:tc>
          <w:tcPr>
            <w:tcW w:w="2271" w:type="dxa"/>
            <w:gridSpan w:val="3"/>
            <w:tcBorders>
              <w:top w:val="single" w:sz="4" w:space="0" w:color="000000"/>
              <w:left w:val="single" w:sz="4" w:space="0" w:color="000000"/>
              <w:bottom w:val="single" w:sz="4" w:space="0" w:color="auto"/>
              <w:right w:val="single" w:sz="4" w:space="0" w:color="000000"/>
            </w:tcBorders>
            <w:vAlign w:val="center"/>
            <w:hideMark/>
          </w:tcPr>
          <w:p w:rsidR="00A12775" w14:paraId="3E7C18D7" w14:textId="77777777">
            <w:pPr>
              <w:pStyle w:val="Neotevilenodstavek"/>
              <w:spacing w:before="0" w:after="0" w:line="260" w:lineRule="exact"/>
              <w:jc w:val="center"/>
              <w:rPr>
                <w:iCs/>
                <w:sz w:val="20"/>
                <w:szCs w:val="20"/>
              </w:rPr>
            </w:pPr>
            <w:r>
              <w:rPr>
                <w:sz w:val="20"/>
                <w:szCs w:val="20"/>
              </w:rPr>
              <w:t>NE</w:t>
            </w:r>
          </w:p>
        </w:tc>
      </w:tr>
      <w:tr w14:paraId="13152E41" w14:textId="77777777" w:rsidTr="008F3D80">
        <w:tblPrEx>
          <w:tblW w:w="9134" w:type="dxa"/>
          <w:tblInd w:w="137" w:type="dxa"/>
          <w:tblLook w:val="04A0"/>
        </w:tblPrEx>
        <w:trPr>
          <w:trHeight w:val="568"/>
        </w:trPr>
        <w:tc>
          <w:tcPr>
            <w:tcW w:w="9134" w:type="dxa"/>
            <w:gridSpan w:val="13"/>
            <w:tcBorders>
              <w:top w:val="single" w:sz="4" w:space="0" w:color="auto"/>
              <w:left w:val="single" w:sz="4" w:space="0" w:color="auto"/>
              <w:bottom w:val="single" w:sz="4" w:space="0" w:color="auto"/>
              <w:right w:val="single" w:sz="4" w:space="0" w:color="auto"/>
            </w:tcBorders>
          </w:tcPr>
          <w:p w:rsidR="00A12775" w14:paraId="3DD03685" w14:textId="77777777">
            <w:pPr>
              <w:pStyle w:val="Oddelek"/>
              <w:widowControl w:val="0"/>
              <w:numPr>
                <w:ilvl w:val="0"/>
                <w:numId w:val="0"/>
              </w:numPr>
              <w:spacing w:before="0" w:after="0" w:line="260" w:lineRule="exact"/>
              <w:jc w:val="left"/>
              <w:rPr>
                <w:sz w:val="20"/>
                <w:szCs w:val="20"/>
              </w:rPr>
            </w:pPr>
            <w:r>
              <w:rPr>
                <w:sz w:val="20"/>
                <w:szCs w:val="20"/>
              </w:rPr>
              <w:t>7.a Predstavitev ocene finančnih posledic nad 40.000 EUR:</w:t>
            </w:r>
          </w:p>
          <w:p w:rsidR="00A12775" w14:paraId="77C86D7F" w14:textId="77777777">
            <w:pPr>
              <w:pStyle w:val="NormalWeb"/>
              <w:spacing w:line="276" w:lineRule="auto"/>
              <w:jc w:val="both"/>
              <w:rPr>
                <w:rFonts w:ascii="Arial" w:hAnsi="Arial" w:cs="Arial"/>
                <w:sz w:val="20"/>
                <w:szCs w:val="20"/>
              </w:rPr>
            </w:pPr>
            <w:r>
              <w:rPr>
                <w:rFonts w:ascii="Arial" w:hAnsi="Arial" w:cs="Arial"/>
                <w:sz w:val="20"/>
                <w:szCs w:val="20"/>
              </w:rPr>
              <w:t>Projekt »Poti miru v Posočju« bo, skladno s sklepom Vlade Republike Slovenije, v obdobju 2026–2030 sofinanciran iz proračunskih sredstev državnega proračuna, ki so v posameznih letih (2026, 2027, 2028, 2029 in 2030) zagotovljena pri pristojnih ministrstvih. Ministrstvo za obrambo, Ministrstvo za visoko šolstvo, znanost in inovacije, Ministrstvo za gospodarstvo, turizem in šport in  Ministrstvo za kulturo bodo na podlagi sklepa vlade z Ustanovo »Fundacija Poti miru v Posočju« sklenila pogodbo o sofinanciranju, v kateri bodo natančno opredeljene vse medsebojne pravice in obveznosti, višina finančnih sredstev, način poročanja, nadzora nad namensko porabo sredstev ter pogoji za morebitno prilagoditev ali prekinitev pogodbenega razmerja.</w:t>
            </w:r>
          </w:p>
          <w:p w:rsidR="00A12775" w14:paraId="5F1D9187" w14:textId="77777777">
            <w:pPr>
              <w:pStyle w:val="NormalWeb"/>
              <w:spacing w:line="276" w:lineRule="auto"/>
              <w:jc w:val="both"/>
              <w:rPr>
                <w:rFonts w:ascii="Arial" w:hAnsi="Arial" w:cs="Arial"/>
                <w:sz w:val="20"/>
                <w:szCs w:val="20"/>
              </w:rPr>
            </w:pPr>
            <w:r>
              <w:rPr>
                <w:rFonts w:ascii="Arial" w:hAnsi="Arial" w:cs="Arial"/>
                <w:sz w:val="20"/>
                <w:szCs w:val="20"/>
              </w:rPr>
              <w:t>Pogodbeni okvir bo usklajen s Programom dela Ustanove za obdobje 2026–2030, s poudarkom na zagotavljanju javnega interesa in transparentni porabi sredstev za namen raziskovanja, ohranjanja in predstavljanja dediščine prve svetovne vojne, vključno z razvojem Poti miru kot kulturne poti evropskega pomena.</w:t>
            </w:r>
          </w:p>
          <w:p w:rsidR="00A12775" w14:paraId="0C64D392" w14:textId="77777777">
            <w:pPr>
              <w:pStyle w:val="Oddelek"/>
              <w:widowControl w:val="0"/>
              <w:numPr>
                <w:ilvl w:val="0"/>
                <w:numId w:val="0"/>
              </w:numPr>
              <w:spacing w:before="0" w:after="0" w:line="260" w:lineRule="exact"/>
              <w:jc w:val="left"/>
              <w:rPr>
                <w:b w:val="0"/>
                <w:sz w:val="20"/>
                <w:szCs w:val="20"/>
              </w:rPr>
            </w:pPr>
          </w:p>
        </w:tc>
      </w:tr>
      <w:tr w14:paraId="3B3D84DE" w14:textId="77777777" w:rsidTr="008F3D80">
        <w:tblPrEx>
          <w:tblW w:w="9134" w:type="dxa"/>
          <w:tblInd w:w="137" w:type="dxa"/>
          <w:tblLook w:val="04A0"/>
        </w:tblPrEx>
        <w:trPr>
          <w:gridAfter w:val="1"/>
          <w:wAfter w:w="63" w:type="dxa"/>
          <w:cantSplit/>
          <w:trHeight w:val="35"/>
        </w:trPr>
        <w:tc>
          <w:tcPr>
            <w:tcW w:w="9071"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hideMark/>
          </w:tcPr>
          <w:p w:rsidR="00A12775" w14:paraId="2E9C3F84" w14:textId="77777777">
            <w:pPr>
              <w:pStyle w:val="Heading1"/>
              <w:rPr>
                <w:sz w:val="20"/>
                <w:szCs w:val="20"/>
              </w:rPr>
            </w:pPr>
            <w:r>
              <w:rPr>
                <w:sz w:val="20"/>
                <w:szCs w:val="20"/>
              </w:rPr>
              <w:t>I. Ocena finančnih posledic, ki niso načrtovane v sprejetem proračunu</w:t>
            </w:r>
          </w:p>
        </w:tc>
      </w:tr>
      <w:tr w14:paraId="2D45B03A" w14:textId="77777777" w:rsidTr="008F3D80">
        <w:tblPrEx>
          <w:tblW w:w="9134" w:type="dxa"/>
          <w:tblInd w:w="137" w:type="dxa"/>
          <w:tblLook w:val="04A0"/>
        </w:tblPrEx>
        <w:trPr>
          <w:gridAfter w:val="1"/>
          <w:wAfter w:w="63" w:type="dxa"/>
          <w:cantSplit/>
          <w:trHeight w:val="276"/>
        </w:trPr>
        <w:tc>
          <w:tcPr>
            <w:tcW w:w="2796" w:type="dxa"/>
            <w:gridSpan w:val="3"/>
            <w:tcBorders>
              <w:top w:val="single" w:sz="4" w:space="0" w:color="auto"/>
              <w:left w:val="single" w:sz="4" w:space="0" w:color="auto"/>
              <w:bottom w:val="single" w:sz="4" w:space="0" w:color="auto"/>
              <w:right w:val="single" w:sz="4" w:space="0" w:color="auto"/>
            </w:tcBorders>
            <w:vAlign w:val="center"/>
          </w:tcPr>
          <w:p w:rsidR="00A12775" w14:paraId="421F114A"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hideMark/>
          </w:tcPr>
          <w:p w:rsidR="00A12775" w14:paraId="3CE71927" w14:textId="77777777">
            <w:pPr>
              <w:widowControl w:val="0"/>
              <w:spacing w:after="0" w:line="260" w:lineRule="exact"/>
              <w:jc w:val="center"/>
              <w:rPr>
                <w:rFonts w:ascii="Arial" w:hAnsi="Arial" w:cs="Arial"/>
                <w:sz w:val="20"/>
                <w:szCs w:val="20"/>
              </w:rPr>
            </w:pPr>
            <w:r>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hideMark/>
          </w:tcPr>
          <w:p w:rsidR="00A12775" w14:paraId="08BCBBC5" w14:textId="77777777">
            <w:pPr>
              <w:widowControl w:val="0"/>
              <w:spacing w:after="0" w:line="260" w:lineRule="exact"/>
              <w:jc w:val="center"/>
              <w:rPr>
                <w:rFonts w:ascii="Arial" w:hAnsi="Arial" w:cs="Arial"/>
                <w:sz w:val="20"/>
                <w:szCs w:val="20"/>
              </w:rPr>
            </w:pPr>
            <w:r>
              <w:rPr>
                <w:rFonts w:ascii="Arial" w:hAnsi="Arial" w:cs="Arial"/>
                <w:sz w:val="20"/>
                <w:szCs w:val="20"/>
              </w:rPr>
              <w:t>t + 1</w:t>
            </w:r>
          </w:p>
        </w:tc>
        <w:tc>
          <w:tcPr>
            <w:tcW w:w="1358" w:type="dxa"/>
            <w:gridSpan w:val="5"/>
            <w:tcBorders>
              <w:top w:val="single" w:sz="4" w:space="0" w:color="auto"/>
              <w:left w:val="single" w:sz="4" w:space="0" w:color="auto"/>
              <w:bottom w:val="single" w:sz="4" w:space="0" w:color="auto"/>
              <w:right w:val="single" w:sz="4" w:space="0" w:color="auto"/>
            </w:tcBorders>
            <w:vAlign w:val="center"/>
            <w:hideMark/>
          </w:tcPr>
          <w:p w:rsidR="00A12775" w14:paraId="4B7C3CCC" w14:textId="77777777">
            <w:pPr>
              <w:widowControl w:val="0"/>
              <w:spacing w:after="0" w:line="260" w:lineRule="exact"/>
              <w:jc w:val="center"/>
              <w:rPr>
                <w:rFonts w:ascii="Arial" w:hAnsi="Arial" w:cs="Arial"/>
                <w:sz w:val="20"/>
                <w:szCs w:val="20"/>
              </w:rPr>
            </w:pPr>
            <w:r>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hideMark/>
          </w:tcPr>
          <w:p w:rsidR="00A12775" w14:paraId="78353BD7" w14:textId="77777777">
            <w:pPr>
              <w:widowControl w:val="0"/>
              <w:spacing w:after="0" w:line="260" w:lineRule="exact"/>
              <w:jc w:val="center"/>
              <w:rPr>
                <w:rFonts w:ascii="Arial" w:hAnsi="Arial" w:cs="Arial"/>
                <w:sz w:val="20"/>
                <w:szCs w:val="20"/>
              </w:rPr>
            </w:pPr>
            <w:r>
              <w:rPr>
                <w:rFonts w:ascii="Arial" w:hAnsi="Arial" w:cs="Arial"/>
                <w:sz w:val="20"/>
                <w:szCs w:val="20"/>
              </w:rPr>
              <w:t>t + 3</w:t>
            </w:r>
          </w:p>
        </w:tc>
      </w:tr>
      <w:tr w14:paraId="4553D10B" w14:textId="77777777" w:rsidTr="008F3D80">
        <w:tblPrEx>
          <w:tblW w:w="9134" w:type="dxa"/>
          <w:tblInd w:w="137" w:type="dxa"/>
          <w:tblLook w:val="04A0"/>
        </w:tblPrEx>
        <w:trPr>
          <w:gridAfter w:val="1"/>
          <w:wAfter w:w="63" w:type="dxa"/>
          <w:cantSplit/>
          <w:trHeight w:val="423"/>
        </w:trPr>
        <w:tc>
          <w:tcPr>
            <w:tcW w:w="2796" w:type="dxa"/>
            <w:gridSpan w:val="3"/>
            <w:tcBorders>
              <w:top w:val="single" w:sz="4" w:space="0" w:color="auto"/>
              <w:left w:val="single" w:sz="4" w:space="0" w:color="auto"/>
              <w:bottom w:val="single" w:sz="4" w:space="0" w:color="auto"/>
              <w:right w:val="single" w:sz="4" w:space="0" w:color="auto"/>
            </w:tcBorders>
            <w:vAlign w:val="center"/>
            <w:hideMark/>
          </w:tcPr>
          <w:p w:rsidR="00A12775" w14:paraId="65866421" w14:textId="77777777">
            <w:pPr>
              <w:widowControl w:val="0"/>
              <w:spacing w:after="0" w:line="260" w:lineRule="exact"/>
              <w:rPr>
                <w:rFonts w:ascii="Arial" w:hAnsi="Arial" w:cs="Arial"/>
                <w:bCs/>
                <w:sz w:val="20"/>
                <w:szCs w:val="20"/>
              </w:rPr>
            </w:pPr>
            <w:r>
              <w:rPr>
                <w:rFonts w:ascii="Arial" w:hAnsi="Arial" w:cs="Arial"/>
                <w:bCs/>
                <w:sz w:val="20"/>
                <w:szCs w:val="20"/>
              </w:rPr>
              <w:t>Predvideno povečanje (+) ali zmanjšanje (</w:t>
            </w:r>
            <w:r>
              <w:rPr>
                <w:rFonts w:ascii="Arial" w:hAnsi="Arial" w:cs="Arial"/>
                <w:b/>
                <w:sz w:val="20"/>
                <w:szCs w:val="20"/>
              </w:rPr>
              <w:t>–</w:t>
            </w:r>
            <w:r>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A12775" w14:paraId="6FBC35A1" w14:textId="77777777">
            <w:pPr>
              <w:pStyle w:val="Heading1"/>
              <w:rPr>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A12775" w14:paraId="2262540E" w14:textId="77777777">
            <w:pPr>
              <w:pStyle w:val="Heading1"/>
              <w:rPr>
                <w:sz w:val="20"/>
                <w:szCs w:val="20"/>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rsidR="00A12775" w14:paraId="313F6C96" w14:textId="77777777">
            <w:pPr>
              <w:pStyle w:val="Heading1"/>
              <w:rPr>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A12775" w14:paraId="6935859D" w14:textId="77777777">
            <w:pPr>
              <w:pStyle w:val="Heading1"/>
              <w:rPr>
                <w:sz w:val="20"/>
                <w:szCs w:val="20"/>
              </w:rPr>
            </w:pPr>
          </w:p>
        </w:tc>
      </w:tr>
      <w:tr w14:paraId="5C9DA760" w14:textId="77777777" w:rsidTr="008F3D80">
        <w:tblPrEx>
          <w:tblW w:w="9134" w:type="dxa"/>
          <w:tblInd w:w="137" w:type="dxa"/>
          <w:tblLook w:val="04A0"/>
        </w:tblPrEx>
        <w:trPr>
          <w:gridAfter w:val="1"/>
          <w:wAfter w:w="63" w:type="dxa"/>
          <w:cantSplit/>
          <w:trHeight w:val="423"/>
        </w:trPr>
        <w:tc>
          <w:tcPr>
            <w:tcW w:w="2796" w:type="dxa"/>
            <w:gridSpan w:val="3"/>
            <w:tcBorders>
              <w:top w:val="single" w:sz="4" w:space="0" w:color="auto"/>
              <w:left w:val="single" w:sz="4" w:space="0" w:color="auto"/>
              <w:bottom w:val="single" w:sz="4" w:space="0" w:color="auto"/>
              <w:right w:val="single" w:sz="4" w:space="0" w:color="auto"/>
            </w:tcBorders>
            <w:vAlign w:val="center"/>
            <w:hideMark/>
          </w:tcPr>
          <w:p w:rsidR="00A12775" w14:paraId="3B877A3F" w14:textId="77777777">
            <w:pPr>
              <w:widowControl w:val="0"/>
              <w:spacing w:after="0" w:line="260" w:lineRule="exact"/>
              <w:rPr>
                <w:rFonts w:ascii="Arial" w:hAnsi="Arial" w:cs="Arial"/>
                <w:bCs/>
                <w:sz w:val="20"/>
                <w:szCs w:val="20"/>
              </w:rPr>
            </w:pPr>
            <w:r>
              <w:rPr>
                <w:rFonts w:ascii="Arial" w:hAnsi="Arial" w:cs="Arial"/>
                <w:bCs/>
                <w:sz w:val="20"/>
                <w:szCs w:val="20"/>
              </w:rPr>
              <w:t>Predvideno povečanje (+) ali zmanjšanje (</w:t>
            </w:r>
            <w:r>
              <w:rPr>
                <w:rFonts w:ascii="Arial" w:hAnsi="Arial" w:cs="Arial"/>
                <w:b/>
                <w:sz w:val="20"/>
                <w:szCs w:val="20"/>
              </w:rPr>
              <w:t>–</w:t>
            </w:r>
            <w:r>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A12775" w14:paraId="5769A843" w14:textId="77777777">
            <w:pPr>
              <w:pStyle w:val="Heading1"/>
              <w:rPr>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A12775" w14:paraId="0B690954" w14:textId="77777777">
            <w:pPr>
              <w:pStyle w:val="Heading1"/>
              <w:rPr>
                <w:sz w:val="20"/>
                <w:szCs w:val="20"/>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rsidR="00A12775" w14:paraId="5797A013" w14:textId="77777777">
            <w:pPr>
              <w:pStyle w:val="Heading1"/>
              <w:rPr>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A12775" w14:paraId="6EE4DA75" w14:textId="77777777">
            <w:pPr>
              <w:pStyle w:val="Heading1"/>
              <w:rPr>
                <w:sz w:val="20"/>
                <w:szCs w:val="20"/>
              </w:rPr>
            </w:pPr>
          </w:p>
        </w:tc>
      </w:tr>
      <w:tr w14:paraId="5872EEFA" w14:textId="77777777" w:rsidTr="008F3D80">
        <w:tblPrEx>
          <w:tblW w:w="9134" w:type="dxa"/>
          <w:tblInd w:w="137" w:type="dxa"/>
          <w:tblLook w:val="04A0"/>
        </w:tblPrEx>
        <w:trPr>
          <w:gridAfter w:val="1"/>
          <w:wAfter w:w="63" w:type="dxa"/>
          <w:cantSplit/>
          <w:trHeight w:val="423"/>
        </w:trPr>
        <w:tc>
          <w:tcPr>
            <w:tcW w:w="2796" w:type="dxa"/>
            <w:gridSpan w:val="3"/>
            <w:tcBorders>
              <w:top w:val="single" w:sz="4" w:space="0" w:color="auto"/>
              <w:left w:val="single" w:sz="4" w:space="0" w:color="auto"/>
              <w:bottom w:val="single" w:sz="4" w:space="0" w:color="auto"/>
              <w:right w:val="single" w:sz="4" w:space="0" w:color="auto"/>
            </w:tcBorders>
            <w:vAlign w:val="center"/>
            <w:hideMark/>
          </w:tcPr>
          <w:p w:rsidR="00A12775" w14:paraId="272AE4DE" w14:textId="77777777">
            <w:pPr>
              <w:widowControl w:val="0"/>
              <w:spacing w:after="0" w:line="260" w:lineRule="exact"/>
              <w:rPr>
                <w:rFonts w:ascii="Arial" w:hAnsi="Arial" w:cs="Arial"/>
                <w:bCs/>
                <w:sz w:val="20"/>
                <w:szCs w:val="20"/>
              </w:rPr>
            </w:pPr>
            <w:r>
              <w:rPr>
                <w:rFonts w:ascii="Arial" w:hAnsi="Arial" w:cs="Arial"/>
                <w:bCs/>
                <w:sz w:val="20"/>
                <w:szCs w:val="20"/>
              </w:rPr>
              <w:t>Predvideno povečanje (+) ali zmanjšanje (</w:t>
            </w:r>
            <w:r>
              <w:rPr>
                <w:rFonts w:ascii="Arial" w:hAnsi="Arial" w:cs="Arial"/>
                <w:b/>
                <w:sz w:val="20"/>
                <w:szCs w:val="20"/>
              </w:rPr>
              <w:t>–</w:t>
            </w:r>
            <w:r>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A12775" w14:paraId="339AEE11"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A12775" w14:paraId="59ABDEB6" w14:textId="77777777">
            <w:pPr>
              <w:widowControl w:val="0"/>
              <w:spacing w:after="0" w:line="260" w:lineRule="exact"/>
              <w:jc w:val="center"/>
              <w:rPr>
                <w:rFonts w:ascii="Arial" w:hAnsi="Arial" w:cs="Arial"/>
                <w:sz w:val="20"/>
                <w:szCs w:val="20"/>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rsidR="00A12775" w14:paraId="318BD278"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A12775" w14:paraId="5C162414" w14:textId="77777777">
            <w:pPr>
              <w:widowControl w:val="0"/>
              <w:spacing w:after="0" w:line="260" w:lineRule="exact"/>
              <w:jc w:val="center"/>
              <w:rPr>
                <w:rFonts w:ascii="Arial" w:hAnsi="Arial" w:cs="Arial"/>
                <w:sz w:val="20"/>
                <w:szCs w:val="20"/>
              </w:rPr>
            </w:pPr>
          </w:p>
        </w:tc>
      </w:tr>
      <w:tr w14:paraId="67BFE3D1" w14:textId="77777777" w:rsidTr="008F3D80">
        <w:tblPrEx>
          <w:tblW w:w="9134" w:type="dxa"/>
          <w:tblInd w:w="137" w:type="dxa"/>
          <w:tblLook w:val="04A0"/>
        </w:tblPrEx>
        <w:trPr>
          <w:gridAfter w:val="1"/>
          <w:wAfter w:w="63" w:type="dxa"/>
          <w:cantSplit/>
          <w:trHeight w:val="623"/>
        </w:trPr>
        <w:tc>
          <w:tcPr>
            <w:tcW w:w="2796" w:type="dxa"/>
            <w:gridSpan w:val="3"/>
            <w:tcBorders>
              <w:top w:val="single" w:sz="4" w:space="0" w:color="auto"/>
              <w:left w:val="single" w:sz="4" w:space="0" w:color="auto"/>
              <w:bottom w:val="single" w:sz="4" w:space="0" w:color="auto"/>
              <w:right w:val="single" w:sz="4" w:space="0" w:color="auto"/>
            </w:tcBorders>
            <w:vAlign w:val="center"/>
            <w:hideMark/>
          </w:tcPr>
          <w:p w:rsidR="00A12775" w14:paraId="4C46D33F" w14:textId="77777777">
            <w:pPr>
              <w:widowControl w:val="0"/>
              <w:spacing w:after="0" w:line="260" w:lineRule="exact"/>
              <w:rPr>
                <w:rFonts w:ascii="Arial" w:hAnsi="Arial" w:cs="Arial"/>
                <w:bCs/>
                <w:sz w:val="20"/>
                <w:szCs w:val="20"/>
              </w:rPr>
            </w:pPr>
            <w:r>
              <w:rPr>
                <w:rFonts w:ascii="Arial" w:hAnsi="Arial" w:cs="Arial"/>
                <w:bCs/>
                <w:sz w:val="20"/>
                <w:szCs w:val="20"/>
              </w:rPr>
              <w:t>Predvideno povečanje (+) ali zmanjšanje (</w:t>
            </w:r>
            <w:r>
              <w:rPr>
                <w:rFonts w:ascii="Arial" w:hAnsi="Arial" w:cs="Arial"/>
                <w:b/>
                <w:sz w:val="20"/>
                <w:szCs w:val="20"/>
              </w:rPr>
              <w:t>–</w:t>
            </w:r>
            <w:r>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A12775" w14:paraId="5422FD57"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A12775" w14:paraId="5D5DCA32" w14:textId="77777777">
            <w:pPr>
              <w:widowControl w:val="0"/>
              <w:spacing w:after="0" w:line="260" w:lineRule="exact"/>
              <w:jc w:val="center"/>
              <w:rPr>
                <w:rFonts w:ascii="Arial" w:hAnsi="Arial" w:cs="Arial"/>
                <w:sz w:val="20"/>
                <w:szCs w:val="20"/>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rsidR="00A12775" w14:paraId="7222C6F7"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A12775" w14:paraId="3B37D3AA" w14:textId="77777777">
            <w:pPr>
              <w:widowControl w:val="0"/>
              <w:spacing w:after="0" w:line="260" w:lineRule="exact"/>
              <w:jc w:val="center"/>
              <w:rPr>
                <w:rFonts w:ascii="Arial" w:hAnsi="Arial" w:cs="Arial"/>
                <w:sz w:val="20"/>
                <w:szCs w:val="20"/>
              </w:rPr>
            </w:pPr>
          </w:p>
        </w:tc>
      </w:tr>
      <w:tr w14:paraId="3E07A23C" w14:textId="77777777" w:rsidTr="008F3D80">
        <w:tblPrEx>
          <w:tblW w:w="9134" w:type="dxa"/>
          <w:tblInd w:w="137" w:type="dxa"/>
          <w:tblLook w:val="04A0"/>
        </w:tblPrEx>
        <w:trPr>
          <w:gridAfter w:val="1"/>
          <w:wAfter w:w="63" w:type="dxa"/>
          <w:cantSplit/>
          <w:trHeight w:val="423"/>
        </w:trPr>
        <w:tc>
          <w:tcPr>
            <w:tcW w:w="2796" w:type="dxa"/>
            <w:gridSpan w:val="3"/>
            <w:tcBorders>
              <w:top w:val="single" w:sz="4" w:space="0" w:color="auto"/>
              <w:left w:val="single" w:sz="4" w:space="0" w:color="auto"/>
              <w:bottom w:val="single" w:sz="4" w:space="0" w:color="auto"/>
              <w:right w:val="single" w:sz="4" w:space="0" w:color="auto"/>
            </w:tcBorders>
            <w:vAlign w:val="center"/>
            <w:hideMark/>
          </w:tcPr>
          <w:p w:rsidR="00A12775" w14:paraId="4793B892" w14:textId="77777777">
            <w:pPr>
              <w:widowControl w:val="0"/>
              <w:spacing w:after="0" w:line="260" w:lineRule="exact"/>
              <w:rPr>
                <w:rFonts w:ascii="Arial" w:hAnsi="Arial" w:cs="Arial"/>
                <w:bCs/>
                <w:sz w:val="20"/>
                <w:szCs w:val="20"/>
              </w:rPr>
            </w:pPr>
            <w:r>
              <w:rPr>
                <w:rFonts w:ascii="Arial" w:hAnsi="Arial" w:cs="Arial"/>
                <w:bCs/>
                <w:sz w:val="20"/>
                <w:szCs w:val="20"/>
              </w:rPr>
              <w:t>Predvideno povečanje (+) ali zmanjšanje (</w:t>
            </w:r>
            <w:r>
              <w:rPr>
                <w:rFonts w:ascii="Arial" w:hAnsi="Arial" w:cs="Arial"/>
                <w:b/>
                <w:sz w:val="20"/>
                <w:szCs w:val="20"/>
              </w:rPr>
              <w:t>–</w:t>
            </w:r>
            <w:r>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A12775" w14:paraId="091C853F" w14:textId="77777777">
            <w:pPr>
              <w:pStyle w:val="Heading1"/>
              <w:rPr>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A12775" w14:paraId="26306AF3" w14:textId="77777777">
            <w:pPr>
              <w:pStyle w:val="Heading1"/>
              <w:rPr>
                <w:sz w:val="20"/>
                <w:szCs w:val="20"/>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rsidR="00A12775" w14:paraId="2A83B46F" w14:textId="77777777">
            <w:pPr>
              <w:pStyle w:val="Heading1"/>
              <w:rPr>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A12775" w14:paraId="19ADDD18" w14:textId="77777777">
            <w:pPr>
              <w:pStyle w:val="Heading1"/>
              <w:rPr>
                <w:sz w:val="20"/>
                <w:szCs w:val="20"/>
              </w:rPr>
            </w:pPr>
          </w:p>
        </w:tc>
      </w:tr>
      <w:tr w14:paraId="6118941B" w14:textId="77777777" w:rsidTr="008F3D80">
        <w:tblPrEx>
          <w:tblW w:w="9134" w:type="dxa"/>
          <w:tblInd w:w="137" w:type="dxa"/>
          <w:tblLook w:val="04A0"/>
        </w:tblPrEx>
        <w:trPr>
          <w:gridAfter w:val="1"/>
          <w:wAfter w:w="63" w:type="dxa"/>
          <w:cantSplit/>
          <w:trHeight w:val="257"/>
        </w:trPr>
        <w:tc>
          <w:tcPr>
            <w:tcW w:w="907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rsidR="00A12775" w14:paraId="45E79A55" w14:textId="77777777">
            <w:pPr>
              <w:pStyle w:val="Heading1"/>
              <w:rPr>
                <w:sz w:val="20"/>
                <w:szCs w:val="20"/>
              </w:rPr>
            </w:pPr>
            <w:r>
              <w:rPr>
                <w:sz w:val="20"/>
                <w:szCs w:val="20"/>
              </w:rPr>
              <w:t>II. Finančne posledice za državni proračun</w:t>
            </w:r>
          </w:p>
        </w:tc>
      </w:tr>
      <w:tr w14:paraId="421E9CB9" w14:textId="77777777" w:rsidTr="008F3D80">
        <w:tblPrEx>
          <w:tblW w:w="9134" w:type="dxa"/>
          <w:tblInd w:w="137" w:type="dxa"/>
          <w:tblLook w:val="04A0"/>
        </w:tblPrEx>
        <w:trPr>
          <w:gridAfter w:val="1"/>
          <w:wAfter w:w="63" w:type="dxa"/>
          <w:cantSplit/>
          <w:trHeight w:val="257"/>
        </w:trPr>
        <w:tc>
          <w:tcPr>
            <w:tcW w:w="907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rsidR="00A12775" w14:paraId="06F6B8DD" w14:textId="77777777">
            <w:pPr>
              <w:pStyle w:val="Heading1"/>
              <w:rPr>
                <w:sz w:val="20"/>
                <w:szCs w:val="20"/>
              </w:rPr>
            </w:pPr>
            <w:r>
              <w:rPr>
                <w:sz w:val="20"/>
                <w:szCs w:val="20"/>
              </w:rPr>
              <w:t>II.a</w:t>
            </w:r>
            <w:r>
              <w:rPr>
                <w:sz w:val="20"/>
                <w:szCs w:val="20"/>
              </w:rPr>
              <w:t xml:space="preserve"> Pravice porabe za izvedbo predlaganih rešitev so zagotovljene:</w:t>
            </w:r>
          </w:p>
        </w:tc>
      </w:tr>
      <w:tr w14:paraId="78F47169" w14:textId="77777777" w:rsidTr="008F3D80">
        <w:tblPrEx>
          <w:tblW w:w="9134" w:type="dxa"/>
          <w:tblInd w:w="137" w:type="dxa"/>
          <w:tblLook w:val="04A0"/>
        </w:tblPrEx>
        <w:trPr>
          <w:gridAfter w:val="1"/>
          <w:wAfter w:w="63" w:type="dxa"/>
          <w:cantSplit/>
          <w:trHeight w:val="100"/>
        </w:trPr>
        <w:tc>
          <w:tcPr>
            <w:tcW w:w="1925" w:type="dxa"/>
            <w:gridSpan w:val="2"/>
            <w:tcBorders>
              <w:top w:val="single" w:sz="4" w:space="0" w:color="auto"/>
              <w:left w:val="single" w:sz="4" w:space="0" w:color="auto"/>
              <w:bottom w:val="single" w:sz="4" w:space="0" w:color="auto"/>
              <w:right w:val="single" w:sz="4" w:space="0" w:color="auto"/>
            </w:tcBorders>
            <w:vAlign w:val="center"/>
            <w:hideMark/>
          </w:tcPr>
          <w:p w:rsidR="00A12775" w14:paraId="2B6F4604" w14:textId="77777777">
            <w:pPr>
              <w:widowControl w:val="0"/>
              <w:spacing w:after="0" w:line="260" w:lineRule="exact"/>
              <w:jc w:val="center"/>
              <w:rPr>
                <w:rFonts w:ascii="Arial" w:hAnsi="Arial" w:cs="Arial"/>
                <w:sz w:val="20"/>
                <w:szCs w:val="20"/>
              </w:rPr>
            </w:pPr>
            <w:bookmarkStart w:id="2" w:name="_Hlk204145249"/>
            <w:r>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12775" w14:paraId="66DDD500" w14:textId="77777777">
            <w:pPr>
              <w:widowControl w:val="0"/>
              <w:spacing w:after="0" w:line="260" w:lineRule="exact"/>
              <w:jc w:val="center"/>
              <w:rPr>
                <w:rFonts w:ascii="Arial" w:hAnsi="Arial" w:cs="Arial"/>
                <w:sz w:val="20"/>
                <w:szCs w:val="20"/>
              </w:rPr>
            </w:pPr>
            <w:r>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hideMark/>
          </w:tcPr>
          <w:p w:rsidR="00A12775" w14:paraId="67416120" w14:textId="77777777">
            <w:pPr>
              <w:widowControl w:val="0"/>
              <w:spacing w:after="0" w:line="260" w:lineRule="exact"/>
              <w:jc w:val="center"/>
              <w:rPr>
                <w:rFonts w:ascii="Arial" w:hAnsi="Arial" w:cs="Arial"/>
                <w:sz w:val="20"/>
                <w:szCs w:val="20"/>
              </w:rPr>
            </w:pPr>
            <w:r>
              <w:rPr>
                <w:rFonts w:ascii="Arial" w:hAnsi="Arial" w:cs="Arial"/>
                <w:sz w:val="20"/>
                <w:szCs w:val="20"/>
              </w:rPr>
              <w:t>Šifra in naziv proračunske postavke</w:t>
            </w:r>
          </w:p>
        </w:tc>
        <w:tc>
          <w:tcPr>
            <w:tcW w:w="1358" w:type="dxa"/>
            <w:gridSpan w:val="5"/>
            <w:tcBorders>
              <w:top w:val="single" w:sz="4" w:space="0" w:color="auto"/>
              <w:left w:val="single" w:sz="4" w:space="0" w:color="auto"/>
              <w:bottom w:val="single" w:sz="4" w:space="0" w:color="auto"/>
              <w:right w:val="single" w:sz="4" w:space="0" w:color="auto"/>
            </w:tcBorders>
            <w:vAlign w:val="center"/>
            <w:hideMark/>
          </w:tcPr>
          <w:p w:rsidR="00A12775" w14:paraId="5237F9B1" w14:textId="77777777">
            <w:pPr>
              <w:widowControl w:val="0"/>
              <w:spacing w:after="0" w:line="260" w:lineRule="exact"/>
              <w:jc w:val="center"/>
              <w:rPr>
                <w:rFonts w:ascii="Arial" w:hAnsi="Arial" w:cs="Arial"/>
                <w:sz w:val="20"/>
                <w:szCs w:val="20"/>
              </w:rPr>
            </w:pPr>
            <w:r>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hideMark/>
          </w:tcPr>
          <w:p w:rsidR="00A12775" w14:paraId="4872D8D0" w14:textId="77777777">
            <w:pPr>
              <w:widowControl w:val="0"/>
              <w:spacing w:after="0" w:line="260" w:lineRule="exact"/>
              <w:jc w:val="center"/>
              <w:rPr>
                <w:rFonts w:ascii="Arial" w:hAnsi="Arial" w:cs="Arial"/>
                <w:sz w:val="20"/>
                <w:szCs w:val="20"/>
              </w:rPr>
            </w:pPr>
            <w:r>
              <w:rPr>
                <w:rFonts w:ascii="Arial" w:hAnsi="Arial" w:cs="Arial"/>
                <w:sz w:val="20"/>
                <w:szCs w:val="20"/>
              </w:rPr>
              <w:t>Znesek za t + 1</w:t>
            </w:r>
          </w:p>
        </w:tc>
      </w:tr>
      <w:tr w14:paraId="58F06142" w14:textId="77777777" w:rsidTr="008F3D80">
        <w:tblPrEx>
          <w:tblW w:w="9134" w:type="dxa"/>
          <w:tblInd w:w="137" w:type="dxa"/>
          <w:tblLook w:val="04A0"/>
        </w:tblPrEx>
        <w:trPr>
          <w:gridAfter w:val="1"/>
          <w:wAfter w:w="63" w:type="dxa"/>
          <w:cantSplit/>
          <w:trHeight w:val="328"/>
        </w:trPr>
        <w:tc>
          <w:tcPr>
            <w:tcW w:w="1925" w:type="dxa"/>
            <w:gridSpan w:val="2"/>
            <w:tcBorders>
              <w:top w:val="single" w:sz="4" w:space="0" w:color="auto"/>
              <w:left w:val="single" w:sz="4" w:space="0" w:color="auto"/>
              <w:bottom w:val="single" w:sz="4" w:space="0" w:color="auto"/>
              <w:right w:val="single" w:sz="4" w:space="0" w:color="auto"/>
            </w:tcBorders>
            <w:vAlign w:val="center"/>
            <w:hideMark/>
          </w:tcPr>
          <w:p w:rsidR="00A12775" w14:paraId="54AFBEC8" w14:textId="77777777">
            <w:pPr>
              <w:pStyle w:val="Heading1"/>
              <w:rPr>
                <w:b w:val="0"/>
                <w:bCs/>
                <w:sz w:val="20"/>
                <w:szCs w:val="20"/>
              </w:rPr>
            </w:pPr>
            <w:r>
              <w:rPr>
                <w:b w:val="0"/>
                <w:bCs/>
                <w:sz w:val="20"/>
                <w:szCs w:val="20"/>
              </w:rPr>
              <w:t xml:space="preserve">Ministrstvo za obrambo </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12775" w14:paraId="7536DF63" w14:textId="77777777">
            <w:pPr>
              <w:pStyle w:val="Heading1"/>
              <w:rPr>
                <w:b w:val="0"/>
                <w:bCs/>
                <w:sz w:val="20"/>
                <w:szCs w:val="20"/>
              </w:rPr>
            </w:pPr>
            <w:r>
              <w:rPr>
                <w:b w:val="0"/>
                <w:bCs/>
                <w:sz w:val="20"/>
                <w:szCs w:val="20"/>
              </w:rPr>
              <w:t>1911-25-0010 – Vojna grobišča in spominska obeležja</w:t>
            </w:r>
          </w:p>
        </w:tc>
        <w:tc>
          <w:tcPr>
            <w:tcW w:w="1427" w:type="dxa"/>
            <w:gridSpan w:val="2"/>
            <w:tcBorders>
              <w:top w:val="single" w:sz="4" w:space="0" w:color="auto"/>
              <w:left w:val="single" w:sz="4" w:space="0" w:color="auto"/>
              <w:bottom w:val="single" w:sz="4" w:space="0" w:color="auto"/>
              <w:right w:val="single" w:sz="4" w:space="0" w:color="auto"/>
            </w:tcBorders>
            <w:vAlign w:val="center"/>
            <w:hideMark/>
          </w:tcPr>
          <w:p w:rsidR="00A12775" w14:paraId="5524C5E9" w14:textId="77777777">
            <w:pPr>
              <w:pStyle w:val="Heading1"/>
              <w:rPr>
                <w:b w:val="0"/>
                <w:bCs/>
                <w:sz w:val="20"/>
                <w:szCs w:val="20"/>
              </w:rPr>
            </w:pPr>
            <w:r>
              <w:rPr>
                <w:b w:val="0"/>
                <w:bCs/>
                <w:sz w:val="20"/>
                <w:szCs w:val="20"/>
              </w:rPr>
              <w:t>230549 – Urejanje vojnih grobišč in spominskih obeležij</w:t>
            </w:r>
          </w:p>
        </w:tc>
        <w:tc>
          <w:tcPr>
            <w:tcW w:w="1358" w:type="dxa"/>
            <w:gridSpan w:val="5"/>
            <w:tcBorders>
              <w:top w:val="single" w:sz="4" w:space="0" w:color="auto"/>
              <w:left w:val="single" w:sz="4" w:space="0" w:color="auto"/>
              <w:bottom w:val="single" w:sz="4" w:space="0" w:color="auto"/>
              <w:right w:val="single" w:sz="4" w:space="0" w:color="auto"/>
            </w:tcBorders>
            <w:vAlign w:val="center"/>
          </w:tcPr>
          <w:p w:rsidR="00A12775" w14:paraId="7EC959AD" w14:textId="77777777">
            <w:pPr>
              <w:pStyle w:val="Heading1"/>
              <w:rPr>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hideMark/>
          </w:tcPr>
          <w:p w:rsidR="00A12775" w14:paraId="0D82407B" w14:textId="77777777">
            <w:pPr>
              <w:pStyle w:val="Heading1"/>
              <w:rPr>
                <w:sz w:val="20"/>
                <w:szCs w:val="20"/>
              </w:rPr>
            </w:pPr>
            <w:r>
              <w:rPr>
                <w:b w:val="0"/>
                <w:bCs/>
                <w:sz w:val="20"/>
                <w:szCs w:val="20"/>
              </w:rPr>
              <w:t>80.000,00 EUR</w:t>
            </w:r>
          </w:p>
        </w:tc>
      </w:tr>
      <w:tr w14:paraId="56C70007" w14:textId="77777777" w:rsidTr="008F3D80">
        <w:tblPrEx>
          <w:tblW w:w="9134" w:type="dxa"/>
          <w:tblInd w:w="137" w:type="dxa"/>
          <w:tblLook w:val="04A0"/>
        </w:tblPrEx>
        <w:trPr>
          <w:gridAfter w:val="1"/>
          <w:wAfter w:w="63" w:type="dxa"/>
          <w:cantSplit/>
          <w:trHeight w:val="95"/>
        </w:trPr>
        <w:tc>
          <w:tcPr>
            <w:tcW w:w="1925" w:type="dxa"/>
            <w:gridSpan w:val="2"/>
            <w:tcBorders>
              <w:top w:val="single" w:sz="4" w:space="0" w:color="auto"/>
              <w:left w:val="single" w:sz="4" w:space="0" w:color="auto"/>
              <w:bottom w:val="single" w:sz="4" w:space="0" w:color="auto"/>
              <w:right w:val="single" w:sz="4" w:space="0" w:color="auto"/>
            </w:tcBorders>
            <w:vAlign w:val="center"/>
            <w:hideMark/>
          </w:tcPr>
          <w:p w:rsidR="00A12775" w14:paraId="18D0121F" w14:textId="77777777">
            <w:pPr>
              <w:pStyle w:val="xxxmsonormal"/>
              <w:rPr>
                <w:rFonts w:ascii="Arial" w:hAnsi="Arial" w:cs="Arial"/>
                <w:bCs/>
                <w:sz w:val="20"/>
                <w:szCs w:val="20"/>
              </w:rPr>
            </w:pPr>
            <w:r>
              <w:rPr>
                <w:rFonts w:ascii="Arial" w:hAnsi="Arial" w:cs="Arial"/>
                <w:bCs/>
                <w:sz w:val="20"/>
                <w:szCs w:val="20"/>
              </w:rPr>
              <w:t>Ministrstvo za visoko šolstvo, znanost in inovacije</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12775" w14:paraId="0153ED62" w14:textId="77777777">
            <w:pPr>
              <w:pStyle w:val="xxxmsonormal"/>
              <w:rPr>
                <w:rFonts w:ascii="Arial" w:hAnsi="Arial" w:cs="Arial"/>
                <w:bCs/>
                <w:sz w:val="20"/>
                <w:szCs w:val="20"/>
              </w:rPr>
            </w:pPr>
            <w:r>
              <w:rPr>
                <w:rFonts w:ascii="Arial" w:hAnsi="Arial" w:cs="Arial"/>
                <w:bCs/>
                <w:sz w:val="20"/>
                <w:szCs w:val="20"/>
              </w:rPr>
              <w:t>3360-26-0003 – Izvajanje ciljnih raziskav, recenzij in študij</w:t>
            </w:r>
          </w:p>
          <w:p w:rsidR="00A12775" w14:paraId="0BC66BF9" w14:textId="77777777">
            <w:pPr>
              <w:pStyle w:val="Heading1"/>
              <w:rPr>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A12775" w14:paraId="5628D8BE" w14:textId="77777777">
            <w:pPr>
              <w:pStyle w:val="xxxmsonormal"/>
              <w:rPr>
                <w:rFonts w:ascii="Arial" w:hAnsi="Arial" w:cs="Arial"/>
                <w:bCs/>
                <w:sz w:val="20"/>
                <w:szCs w:val="20"/>
              </w:rPr>
            </w:pPr>
          </w:p>
          <w:p w:rsidR="00A12775" w14:paraId="780FD995" w14:textId="77777777">
            <w:pPr>
              <w:pStyle w:val="xxxmsonormal"/>
              <w:rPr>
                <w:rFonts w:ascii="Arial" w:hAnsi="Arial" w:cs="Arial"/>
                <w:bCs/>
                <w:sz w:val="20"/>
                <w:szCs w:val="20"/>
              </w:rPr>
            </w:pPr>
            <w:r>
              <w:rPr>
                <w:rFonts w:ascii="Arial" w:hAnsi="Arial" w:cs="Arial"/>
                <w:bCs/>
                <w:sz w:val="20"/>
                <w:szCs w:val="20"/>
              </w:rPr>
              <w:t xml:space="preserve">231779 -Promocija programov, financiranje recenzij in ekspertiz </w:t>
            </w:r>
          </w:p>
          <w:p w:rsidR="00A12775" w14:paraId="131B2883" w14:textId="77777777">
            <w:pPr>
              <w:pStyle w:val="Heading1"/>
              <w:rPr>
                <w:b w:val="0"/>
                <w:bCs/>
                <w:sz w:val="20"/>
                <w:szCs w:val="20"/>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rsidR="00A12775" w14:paraId="13EDD4FA" w14:textId="77777777">
            <w:pPr>
              <w:pStyle w:val="Heading1"/>
              <w:rPr>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hideMark/>
          </w:tcPr>
          <w:p w:rsidR="00A12775" w14:paraId="261034D1" w14:textId="77777777">
            <w:pPr>
              <w:pStyle w:val="Heading1"/>
              <w:rPr>
                <w:sz w:val="20"/>
                <w:szCs w:val="20"/>
              </w:rPr>
            </w:pPr>
            <w:r>
              <w:rPr>
                <w:b w:val="0"/>
                <w:bCs/>
                <w:sz w:val="20"/>
                <w:szCs w:val="20"/>
              </w:rPr>
              <w:t>70.000,00 EUR</w:t>
            </w:r>
          </w:p>
        </w:tc>
      </w:tr>
      <w:tr w14:paraId="6712156E" w14:textId="77777777" w:rsidTr="008F3D80">
        <w:tblPrEx>
          <w:tblW w:w="9134" w:type="dxa"/>
          <w:tblInd w:w="137" w:type="dxa"/>
          <w:tblLook w:val="04A0"/>
        </w:tblPrEx>
        <w:trPr>
          <w:gridAfter w:val="1"/>
          <w:wAfter w:w="63" w:type="dxa"/>
          <w:cantSplit/>
          <w:trHeight w:val="95"/>
        </w:trPr>
        <w:tc>
          <w:tcPr>
            <w:tcW w:w="19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2775" w14:paraId="2B58FF09" w14:textId="77777777">
            <w:pPr>
              <w:pStyle w:val="xxxmsonormal"/>
              <w:rPr>
                <w:rFonts w:ascii="Arial" w:hAnsi="Arial" w:cs="Arial"/>
                <w:bCs/>
                <w:sz w:val="20"/>
                <w:szCs w:val="20"/>
              </w:rPr>
            </w:pPr>
            <w:r>
              <w:rPr>
                <w:rFonts w:ascii="Arial" w:hAnsi="Arial" w:cs="Arial"/>
                <w:bCs/>
                <w:sz w:val="20"/>
                <w:szCs w:val="20"/>
              </w:rPr>
              <w:t>Ministrstvo za gospodarstvo, turizem in šport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2775" w14:paraId="103CC4BA" w14:textId="77777777">
            <w:pPr>
              <w:rPr>
                <w:rFonts w:ascii="Arial" w:hAnsi="Arial" w:cs="Arial"/>
                <w:bCs/>
                <w:sz w:val="20"/>
                <w:szCs w:val="20"/>
              </w:rPr>
            </w:pPr>
            <w:r>
              <w:rPr>
                <w:rFonts w:ascii="Arial" w:hAnsi="Arial" w:cs="Arial"/>
                <w:bCs/>
                <w:sz w:val="20"/>
                <w:szCs w:val="20"/>
              </w:rPr>
              <w:t>2130-20-0008 - Dvig konkurenčnosti in prepoznavnosti slovenskega turizma</w:t>
            </w:r>
          </w:p>
          <w:p w:rsidR="00A12775" w14:paraId="0653DFDA" w14:textId="77777777">
            <w:pPr>
              <w:pStyle w:val="xxxmsonormal"/>
              <w:rPr>
                <w:rFonts w:ascii="Arial" w:hAnsi="Arial" w:cs="Arial"/>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2775" w14:paraId="5ABF5E39" w14:textId="77777777">
            <w:pPr>
              <w:rPr>
                <w:rFonts w:ascii="Arial" w:hAnsi="Arial" w:cs="Arial"/>
                <w:bCs/>
                <w:sz w:val="20"/>
                <w:szCs w:val="20"/>
              </w:rPr>
            </w:pPr>
          </w:p>
          <w:p w:rsidR="00A12775" w14:paraId="7A8E9B1A" w14:textId="77777777">
            <w:pPr>
              <w:rPr>
                <w:rFonts w:ascii="Arial" w:hAnsi="Arial" w:cs="Arial"/>
                <w:bCs/>
                <w:sz w:val="20"/>
                <w:szCs w:val="20"/>
              </w:rPr>
            </w:pPr>
            <w:r>
              <w:rPr>
                <w:rFonts w:ascii="Arial" w:hAnsi="Arial" w:cs="Arial"/>
                <w:bCs/>
                <w:sz w:val="20"/>
                <w:szCs w:val="20"/>
              </w:rPr>
              <w:t>231552 – Trženje in razvoj turizma</w:t>
            </w:r>
          </w:p>
          <w:p w:rsidR="00A12775" w14:paraId="4BE131F3" w14:textId="77777777">
            <w:pPr>
              <w:pStyle w:val="xxxmsonormal"/>
              <w:rPr>
                <w:rFonts w:ascii="Arial" w:hAnsi="Arial" w:cs="Arial"/>
                <w:bCs/>
                <w:sz w:val="20"/>
                <w:szCs w:val="20"/>
              </w:rPr>
            </w:pPr>
          </w:p>
        </w:tc>
        <w:tc>
          <w:tcPr>
            <w:tcW w:w="135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2775" w14:paraId="19461AB6" w14:textId="77777777">
            <w:pPr>
              <w:pStyle w:val="Heading1"/>
              <w:rPr>
                <w:b w:val="0"/>
                <w:bCs/>
                <w:sz w:val="20"/>
                <w:szCs w:val="20"/>
              </w:rPr>
            </w:pPr>
          </w:p>
        </w:tc>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2775" w14:paraId="317B6D05" w14:textId="77777777">
            <w:pPr>
              <w:pStyle w:val="Heading1"/>
              <w:rPr>
                <w:sz w:val="20"/>
                <w:szCs w:val="20"/>
              </w:rPr>
            </w:pPr>
            <w:r>
              <w:rPr>
                <w:b w:val="0"/>
                <w:bCs/>
                <w:sz w:val="20"/>
                <w:szCs w:val="20"/>
              </w:rPr>
              <w:t>35.000,00 EUR</w:t>
            </w:r>
          </w:p>
        </w:tc>
      </w:tr>
      <w:tr w14:paraId="30B9B930" w14:textId="77777777" w:rsidTr="008F3D80">
        <w:tblPrEx>
          <w:tblW w:w="9134" w:type="dxa"/>
          <w:tblInd w:w="137" w:type="dxa"/>
          <w:tblLook w:val="04A0"/>
        </w:tblPrEx>
        <w:trPr>
          <w:gridAfter w:val="1"/>
          <w:wAfter w:w="63" w:type="dxa"/>
          <w:cantSplit/>
          <w:trHeight w:val="95"/>
        </w:trPr>
        <w:tc>
          <w:tcPr>
            <w:tcW w:w="19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2775" w14:paraId="3BCD1B24" w14:textId="77777777">
            <w:pPr>
              <w:pStyle w:val="xxxmsonormal"/>
              <w:rPr>
                <w:rFonts w:ascii="Arial" w:hAnsi="Arial" w:cs="Arial"/>
                <w:bCs/>
                <w:sz w:val="20"/>
                <w:szCs w:val="20"/>
              </w:rPr>
            </w:pPr>
            <w:r>
              <w:rPr>
                <w:rFonts w:ascii="Arial" w:hAnsi="Arial" w:cs="Arial"/>
                <w:bCs/>
                <w:sz w:val="20"/>
                <w:szCs w:val="20"/>
              </w:rPr>
              <w:t>Ministrstvo za kulturo</w:t>
            </w:r>
          </w:p>
          <w:p w:rsidR="00A12775" w14:paraId="4697096C" w14:textId="77777777">
            <w:pPr>
              <w:pStyle w:val="xxxmsonormal"/>
              <w:rPr>
                <w:rFonts w:ascii="Arial" w:hAnsi="Arial" w:cs="Arial"/>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2775" w14:paraId="2B5149CE" w14:textId="77777777">
            <w:pPr>
              <w:pStyle w:val="xxxmsonormal"/>
              <w:rPr>
                <w:rFonts w:ascii="Arial" w:hAnsi="Arial" w:cs="Arial"/>
                <w:bCs/>
                <w:sz w:val="20"/>
                <w:szCs w:val="20"/>
              </w:rPr>
            </w:pPr>
            <w:r>
              <w:rPr>
                <w:rFonts w:ascii="Arial" w:hAnsi="Arial" w:cs="Arial"/>
                <w:bCs/>
                <w:sz w:val="20"/>
                <w:szCs w:val="20"/>
              </w:rPr>
              <w:t>3340-24-0028 – Varstvo kulturne dediščine</w:t>
            </w:r>
          </w:p>
        </w:tc>
        <w:tc>
          <w:tcPr>
            <w:tcW w:w="14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2775" w14:paraId="688927F2" w14:textId="77777777">
            <w:pPr>
              <w:rPr>
                <w:rFonts w:ascii="Arial" w:hAnsi="Arial" w:cs="Arial"/>
                <w:bCs/>
                <w:sz w:val="20"/>
                <w:szCs w:val="20"/>
                <w:lang w:eastAsia="sl-SI"/>
              </w:rPr>
            </w:pPr>
          </w:p>
          <w:p w:rsidR="00A12775" w14:paraId="70CE4D05" w14:textId="77777777">
            <w:pPr>
              <w:rPr>
                <w:rFonts w:ascii="Arial" w:hAnsi="Arial" w:cs="Arial"/>
                <w:bCs/>
                <w:sz w:val="20"/>
                <w:szCs w:val="20"/>
                <w:lang w:eastAsia="sl-SI"/>
              </w:rPr>
            </w:pPr>
            <w:r>
              <w:rPr>
                <w:rFonts w:ascii="Arial" w:hAnsi="Arial" w:cs="Arial"/>
                <w:bCs/>
                <w:sz w:val="20"/>
                <w:szCs w:val="20"/>
                <w:lang w:eastAsia="sl-SI"/>
              </w:rPr>
              <w:t>131140 - Izvajanje Zakona o varstvu kulturne dediščine</w:t>
            </w:r>
          </w:p>
          <w:p w:rsidR="00A12775" w14:paraId="356DBE6A" w14:textId="77777777">
            <w:pPr>
              <w:pStyle w:val="xxxmsonormal"/>
              <w:rPr>
                <w:rFonts w:ascii="Arial" w:hAnsi="Arial" w:cs="Arial"/>
                <w:bCs/>
                <w:sz w:val="20"/>
                <w:szCs w:val="20"/>
              </w:rPr>
            </w:pPr>
          </w:p>
        </w:tc>
        <w:tc>
          <w:tcPr>
            <w:tcW w:w="135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2775" w14:paraId="4E2EBD40" w14:textId="77777777">
            <w:pPr>
              <w:pStyle w:val="Heading1"/>
              <w:rPr>
                <w:b w:val="0"/>
                <w:bCs/>
                <w:sz w:val="20"/>
                <w:szCs w:val="20"/>
              </w:rPr>
            </w:pPr>
          </w:p>
        </w:tc>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2775" w14:paraId="721F2ACC" w14:textId="77777777">
            <w:pPr>
              <w:pStyle w:val="Heading1"/>
              <w:rPr>
                <w:sz w:val="20"/>
                <w:szCs w:val="20"/>
              </w:rPr>
            </w:pPr>
            <w:r>
              <w:rPr>
                <w:b w:val="0"/>
                <w:bCs/>
                <w:sz w:val="20"/>
                <w:szCs w:val="20"/>
              </w:rPr>
              <w:t>15.000,00 EUR</w:t>
            </w:r>
          </w:p>
        </w:tc>
        <w:bookmarkEnd w:id="2"/>
      </w:tr>
      <w:tr w14:paraId="025298A4" w14:textId="77777777" w:rsidTr="008F3D80">
        <w:tblPrEx>
          <w:tblW w:w="9134" w:type="dxa"/>
          <w:tblInd w:w="137" w:type="dxa"/>
          <w:tblLook w:val="04A0"/>
        </w:tblPrEx>
        <w:trPr>
          <w:gridAfter w:val="1"/>
          <w:wAfter w:w="63" w:type="dxa"/>
          <w:cantSplit/>
          <w:trHeight w:val="95"/>
        </w:trPr>
        <w:tc>
          <w:tcPr>
            <w:tcW w:w="5620" w:type="dxa"/>
            <w:gridSpan w:val="6"/>
            <w:tcBorders>
              <w:top w:val="single" w:sz="4" w:space="0" w:color="auto"/>
              <w:left w:val="single" w:sz="4" w:space="0" w:color="auto"/>
              <w:bottom w:val="single" w:sz="4" w:space="0" w:color="auto"/>
              <w:right w:val="single" w:sz="4" w:space="0" w:color="auto"/>
            </w:tcBorders>
            <w:vAlign w:val="center"/>
            <w:hideMark/>
          </w:tcPr>
          <w:p w:rsidR="00A12775" w14:paraId="600241A0" w14:textId="77777777">
            <w:pPr>
              <w:pStyle w:val="Heading1"/>
              <w:rPr>
                <w:sz w:val="20"/>
                <w:szCs w:val="20"/>
              </w:rPr>
            </w:pPr>
            <w:r>
              <w:rPr>
                <w:sz w:val="20"/>
                <w:szCs w:val="20"/>
              </w:rPr>
              <w:t>SKUPAJ</w:t>
            </w:r>
          </w:p>
        </w:tc>
        <w:tc>
          <w:tcPr>
            <w:tcW w:w="1358" w:type="dxa"/>
            <w:gridSpan w:val="5"/>
            <w:tcBorders>
              <w:top w:val="single" w:sz="4" w:space="0" w:color="auto"/>
              <w:left w:val="single" w:sz="4" w:space="0" w:color="auto"/>
              <w:bottom w:val="single" w:sz="4" w:space="0" w:color="auto"/>
              <w:right w:val="single" w:sz="4" w:space="0" w:color="auto"/>
            </w:tcBorders>
            <w:vAlign w:val="center"/>
          </w:tcPr>
          <w:p w:rsidR="00A12775" w14:paraId="519C7323" w14:textId="77777777">
            <w:pPr>
              <w:widowControl w:val="0"/>
              <w:spacing w:after="0" w:line="260" w:lineRule="exact"/>
              <w:jc w:val="center"/>
              <w:rPr>
                <w:rFonts w:ascii="Arial" w:hAnsi="Arial" w:cs="Arial"/>
                <w:b/>
                <w:color w:val="FF000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hideMark/>
          </w:tcPr>
          <w:p w:rsidR="00A12775" w14:paraId="79F9E1A6" w14:textId="77777777">
            <w:pPr>
              <w:pStyle w:val="Heading1"/>
              <w:rPr>
                <w:sz w:val="20"/>
                <w:szCs w:val="20"/>
              </w:rPr>
            </w:pPr>
            <w:r>
              <w:rPr>
                <w:rFonts w:cs="Arial"/>
                <w:color w:val="000000" w:themeColor="text1"/>
                <w:sz w:val="20"/>
                <w:szCs w:val="20"/>
              </w:rPr>
              <w:t>200.000 EUR</w:t>
            </w:r>
          </w:p>
        </w:tc>
      </w:tr>
      <w:tr w14:paraId="351E0ECC" w14:textId="77777777" w:rsidTr="008F3D80">
        <w:tblPrEx>
          <w:tblW w:w="9134" w:type="dxa"/>
          <w:tblInd w:w="137" w:type="dxa"/>
          <w:tblLook w:val="04A0"/>
        </w:tblPrEx>
        <w:trPr>
          <w:gridAfter w:val="1"/>
          <w:wAfter w:w="63" w:type="dxa"/>
          <w:cantSplit/>
          <w:trHeight w:val="294"/>
        </w:trPr>
        <w:tc>
          <w:tcPr>
            <w:tcW w:w="907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rsidR="00A12775" w14:paraId="35B67E75" w14:textId="77777777">
            <w:pPr>
              <w:pStyle w:val="Heading1"/>
              <w:rPr>
                <w:sz w:val="20"/>
                <w:szCs w:val="20"/>
              </w:rPr>
            </w:pPr>
            <w:r>
              <w:rPr>
                <w:sz w:val="20"/>
                <w:szCs w:val="20"/>
              </w:rPr>
              <w:t>II.b</w:t>
            </w:r>
            <w:r>
              <w:rPr>
                <w:sz w:val="20"/>
                <w:szCs w:val="20"/>
              </w:rPr>
              <w:t xml:space="preserve"> Manjkajoče pravice porabe bodo zagotovljene s prerazporeditvijo:</w:t>
            </w:r>
          </w:p>
        </w:tc>
      </w:tr>
      <w:tr w14:paraId="5242C072" w14:textId="77777777" w:rsidTr="008F3D80">
        <w:tblPrEx>
          <w:tblW w:w="9134" w:type="dxa"/>
          <w:tblInd w:w="137" w:type="dxa"/>
          <w:tblLook w:val="04A0"/>
        </w:tblPrEx>
        <w:trPr>
          <w:gridAfter w:val="1"/>
          <w:wAfter w:w="63" w:type="dxa"/>
          <w:cantSplit/>
          <w:trHeight w:val="100"/>
        </w:trPr>
        <w:tc>
          <w:tcPr>
            <w:tcW w:w="1925" w:type="dxa"/>
            <w:gridSpan w:val="2"/>
            <w:tcBorders>
              <w:top w:val="single" w:sz="4" w:space="0" w:color="auto"/>
              <w:left w:val="single" w:sz="4" w:space="0" w:color="auto"/>
              <w:bottom w:val="single" w:sz="4" w:space="0" w:color="auto"/>
              <w:right w:val="single" w:sz="4" w:space="0" w:color="auto"/>
            </w:tcBorders>
            <w:vAlign w:val="center"/>
            <w:hideMark/>
          </w:tcPr>
          <w:p w:rsidR="00A12775" w14:paraId="5D2A6CBE" w14:textId="77777777">
            <w:pPr>
              <w:widowControl w:val="0"/>
              <w:spacing w:after="0" w:line="260" w:lineRule="exact"/>
              <w:jc w:val="center"/>
              <w:rPr>
                <w:rFonts w:ascii="Arial" w:hAnsi="Arial" w:cs="Arial"/>
                <w:sz w:val="20"/>
                <w:szCs w:val="20"/>
              </w:rPr>
            </w:pPr>
            <w:r>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A12775" w14:paraId="3F9A9D8C" w14:textId="77777777">
            <w:pPr>
              <w:widowControl w:val="0"/>
              <w:spacing w:after="0" w:line="260" w:lineRule="exact"/>
              <w:jc w:val="center"/>
              <w:rPr>
                <w:rFonts w:ascii="Arial" w:hAnsi="Arial" w:cs="Arial"/>
                <w:sz w:val="20"/>
                <w:szCs w:val="20"/>
              </w:rPr>
            </w:pPr>
            <w:r>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hideMark/>
          </w:tcPr>
          <w:p w:rsidR="00A12775" w14:paraId="299AEC9C" w14:textId="77777777">
            <w:pPr>
              <w:widowControl w:val="0"/>
              <w:spacing w:after="0" w:line="260" w:lineRule="exact"/>
              <w:jc w:val="center"/>
              <w:rPr>
                <w:rFonts w:ascii="Arial" w:hAnsi="Arial" w:cs="Arial"/>
                <w:sz w:val="20"/>
                <w:szCs w:val="20"/>
              </w:rPr>
            </w:pPr>
            <w:r>
              <w:rPr>
                <w:rFonts w:ascii="Arial" w:hAnsi="Arial" w:cs="Arial"/>
                <w:sz w:val="20"/>
                <w:szCs w:val="20"/>
              </w:rPr>
              <w:t xml:space="preserve">Šifra in naziv proračunske postavke </w:t>
            </w:r>
          </w:p>
        </w:tc>
        <w:tc>
          <w:tcPr>
            <w:tcW w:w="1358" w:type="dxa"/>
            <w:gridSpan w:val="5"/>
            <w:tcBorders>
              <w:top w:val="single" w:sz="4" w:space="0" w:color="auto"/>
              <w:left w:val="single" w:sz="4" w:space="0" w:color="auto"/>
              <w:bottom w:val="single" w:sz="4" w:space="0" w:color="auto"/>
              <w:right w:val="single" w:sz="4" w:space="0" w:color="auto"/>
            </w:tcBorders>
            <w:vAlign w:val="center"/>
            <w:hideMark/>
          </w:tcPr>
          <w:p w:rsidR="00A12775" w14:paraId="3773F3F7" w14:textId="77777777">
            <w:pPr>
              <w:widowControl w:val="0"/>
              <w:spacing w:after="0" w:line="260" w:lineRule="exact"/>
              <w:jc w:val="center"/>
              <w:rPr>
                <w:rFonts w:ascii="Arial" w:hAnsi="Arial" w:cs="Arial"/>
                <w:sz w:val="20"/>
                <w:szCs w:val="20"/>
              </w:rPr>
            </w:pPr>
            <w:r>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hideMark/>
          </w:tcPr>
          <w:p w:rsidR="00A12775" w14:paraId="766315A8" w14:textId="77777777">
            <w:pPr>
              <w:widowControl w:val="0"/>
              <w:spacing w:after="0" w:line="260" w:lineRule="exact"/>
              <w:jc w:val="center"/>
              <w:rPr>
                <w:rFonts w:ascii="Arial" w:hAnsi="Arial" w:cs="Arial"/>
                <w:sz w:val="20"/>
                <w:szCs w:val="20"/>
              </w:rPr>
            </w:pPr>
            <w:r>
              <w:rPr>
                <w:rFonts w:ascii="Arial" w:hAnsi="Arial" w:cs="Arial"/>
                <w:sz w:val="20"/>
                <w:szCs w:val="20"/>
              </w:rPr>
              <w:t xml:space="preserve">Znesek za t + 1 </w:t>
            </w:r>
          </w:p>
        </w:tc>
      </w:tr>
      <w:tr w14:paraId="429212AB" w14:textId="77777777" w:rsidTr="008F3D80">
        <w:tblPrEx>
          <w:tblW w:w="9134" w:type="dxa"/>
          <w:tblInd w:w="137" w:type="dxa"/>
          <w:tblLook w:val="04A0"/>
        </w:tblPrEx>
        <w:trPr>
          <w:gridAfter w:val="1"/>
          <w:wAfter w:w="63" w:type="dxa"/>
          <w:cantSplit/>
          <w:trHeight w:val="95"/>
        </w:trPr>
        <w:tc>
          <w:tcPr>
            <w:tcW w:w="1925" w:type="dxa"/>
            <w:gridSpan w:val="2"/>
            <w:tcBorders>
              <w:top w:val="single" w:sz="4" w:space="0" w:color="auto"/>
              <w:left w:val="single" w:sz="4" w:space="0" w:color="auto"/>
              <w:bottom w:val="single" w:sz="4" w:space="0" w:color="auto"/>
              <w:right w:val="single" w:sz="4" w:space="0" w:color="auto"/>
            </w:tcBorders>
            <w:vAlign w:val="center"/>
          </w:tcPr>
          <w:p w:rsidR="00A12775" w14:paraId="65DDBD56" w14:textId="77777777">
            <w:pPr>
              <w:pStyle w:val="Heading1"/>
              <w:rPr>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12775" w14:paraId="06B589FA" w14:textId="77777777">
            <w:pPr>
              <w:pStyle w:val="Heading1"/>
              <w:rPr>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A12775" w14:paraId="7D7AE75A" w14:textId="77777777">
            <w:pPr>
              <w:pStyle w:val="Heading1"/>
              <w:rPr>
                <w:sz w:val="20"/>
                <w:szCs w:val="20"/>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rsidR="00A12775" w14:paraId="6F0A55FD" w14:textId="77777777">
            <w:pPr>
              <w:pStyle w:val="Heading1"/>
              <w:rPr>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A12775" w14:paraId="7A91B322" w14:textId="77777777">
            <w:pPr>
              <w:pStyle w:val="Heading1"/>
              <w:rPr>
                <w:sz w:val="20"/>
                <w:szCs w:val="20"/>
              </w:rPr>
            </w:pPr>
          </w:p>
        </w:tc>
      </w:tr>
      <w:tr w14:paraId="0F8F45DD" w14:textId="77777777" w:rsidTr="008F3D80">
        <w:tblPrEx>
          <w:tblW w:w="9134" w:type="dxa"/>
          <w:tblInd w:w="137" w:type="dxa"/>
          <w:tblLook w:val="04A0"/>
        </w:tblPrEx>
        <w:trPr>
          <w:gridAfter w:val="1"/>
          <w:wAfter w:w="63" w:type="dxa"/>
          <w:cantSplit/>
          <w:trHeight w:val="95"/>
        </w:trPr>
        <w:tc>
          <w:tcPr>
            <w:tcW w:w="1925" w:type="dxa"/>
            <w:gridSpan w:val="2"/>
            <w:tcBorders>
              <w:top w:val="single" w:sz="4" w:space="0" w:color="auto"/>
              <w:left w:val="single" w:sz="4" w:space="0" w:color="auto"/>
              <w:bottom w:val="single" w:sz="4" w:space="0" w:color="auto"/>
              <w:right w:val="single" w:sz="4" w:space="0" w:color="auto"/>
            </w:tcBorders>
            <w:vAlign w:val="center"/>
          </w:tcPr>
          <w:p w:rsidR="00A12775" w14:paraId="78E2F293" w14:textId="77777777">
            <w:pPr>
              <w:pStyle w:val="Heading1"/>
              <w:rPr>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A12775" w14:paraId="3580E40B" w14:textId="77777777">
            <w:pPr>
              <w:pStyle w:val="Heading1"/>
              <w:rPr>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A12775" w14:paraId="2CB9508A" w14:textId="77777777">
            <w:pPr>
              <w:pStyle w:val="Heading1"/>
              <w:rPr>
                <w:sz w:val="20"/>
                <w:szCs w:val="20"/>
              </w:rPr>
            </w:pPr>
          </w:p>
        </w:tc>
        <w:tc>
          <w:tcPr>
            <w:tcW w:w="1358" w:type="dxa"/>
            <w:gridSpan w:val="5"/>
            <w:tcBorders>
              <w:top w:val="single" w:sz="4" w:space="0" w:color="auto"/>
              <w:left w:val="single" w:sz="4" w:space="0" w:color="auto"/>
              <w:bottom w:val="single" w:sz="4" w:space="0" w:color="auto"/>
              <w:right w:val="single" w:sz="4" w:space="0" w:color="auto"/>
            </w:tcBorders>
            <w:vAlign w:val="center"/>
          </w:tcPr>
          <w:p w:rsidR="00A12775" w14:paraId="5C53901A" w14:textId="77777777">
            <w:pPr>
              <w:pStyle w:val="Heading1"/>
              <w:rPr>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A12775" w14:paraId="0CCC2AB6" w14:textId="77777777">
            <w:pPr>
              <w:pStyle w:val="Heading1"/>
              <w:rPr>
                <w:sz w:val="20"/>
                <w:szCs w:val="20"/>
              </w:rPr>
            </w:pPr>
          </w:p>
        </w:tc>
      </w:tr>
      <w:tr w14:paraId="00515F59" w14:textId="77777777" w:rsidTr="008F3D80">
        <w:tblPrEx>
          <w:tblW w:w="9134" w:type="dxa"/>
          <w:tblInd w:w="137" w:type="dxa"/>
          <w:tblLook w:val="04A0"/>
        </w:tblPrEx>
        <w:trPr>
          <w:gridAfter w:val="1"/>
          <w:wAfter w:w="63" w:type="dxa"/>
          <w:cantSplit/>
          <w:trHeight w:val="95"/>
        </w:trPr>
        <w:tc>
          <w:tcPr>
            <w:tcW w:w="5620" w:type="dxa"/>
            <w:gridSpan w:val="6"/>
            <w:tcBorders>
              <w:top w:val="single" w:sz="4" w:space="0" w:color="auto"/>
              <w:left w:val="single" w:sz="4" w:space="0" w:color="auto"/>
              <w:bottom w:val="single" w:sz="4" w:space="0" w:color="auto"/>
              <w:right w:val="single" w:sz="4" w:space="0" w:color="auto"/>
            </w:tcBorders>
            <w:vAlign w:val="center"/>
            <w:hideMark/>
          </w:tcPr>
          <w:p w:rsidR="00A12775" w14:paraId="0677D62D" w14:textId="77777777">
            <w:pPr>
              <w:pStyle w:val="Heading1"/>
              <w:rPr>
                <w:sz w:val="20"/>
                <w:szCs w:val="20"/>
              </w:rPr>
            </w:pPr>
            <w:r>
              <w:rPr>
                <w:sz w:val="20"/>
                <w:szCs w:val="20"/>
              </w:rPr>
              <w:t>SKUPAJ</w:t>
            </w:r>
          </w:p>
        </w:tc>
        <w:tc>
          <w:tcPr>
            <w:tcW w:w="1358" w:type="dxa"/>
            <w:gridSpan w:val="5"/>
            <w:tcBorders>
              <w:top w:val="single" w:sz="4" w:space="0" w:color="auto"/>
              <w:left w:val="single" w:sz="4" w:space="0" w:color="auto"/>
              <w:bottom w:val="single" w:sz="4" w:space="0" w:color="auto"/>
              <w:right w:val="single" w:sz="4" w:space="0" w:color="auto"/>
            </w:tcBorders>
            <w:vAlign w:val="center"/>
          </w:tcPr>
          <w:p w:rsidR="00A12775" w14:paraId="3E603A3D" w14:textId="77777777">
            <w:pPr>
              <w:pStyle w:val="Heading1"/>
              <w:rPr>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A12775" w14:paraId="0CA7115A" w14:textId="77777777">
            <w:pPr>
              <w:pStyle w:val="Heading1"/>
              <w:rPr>
                <w:sz w:val="20"/>
                <w:szCs w:val="20"/>
              </w:rPr>
            </w:pPr>
          </w:p>
        </w:tc>
      </w:tr>
      <w:tr w14:paraId="054E2F41" w14:textId="77777777" w:rsidTr="008F3D80">
        <w:tblPrEx>
          <w:tblW w:w="9134" w:type="dxa"/>
          <w:tblInd w:w="137" w:type="dxa"/>
          <w:tblLook w:val="04A0"/>
        </w:tblPrEx>
        <w:trPr>
          <w:gridAfter w:val="1"/>
          <w:wAfter w:w="63" w:type="dxa"/>
          <w:cantSplit/>
          <w:trHeight w:val="207"/>
        </w:trPr>
        <w:tc>
          <w:tcPr>
            <w:tcW w:w="9071"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hideMark/>
          </w:tcPr>
          <w:p w:rsidR="00A12775" w14:paraId="4CC38EE8" w14:textId="77777777">
            <w:pPr>
              <w:pStyle w:val="Heading1"/>
              <w:rPr>
                <w:sz w:val="20"/>
                <w:szCs w:val="20"/>
              </w:rPr>
            </w:pPr>
            <w:r>
              <w:rPr>
                <w:sz w:val="20"/>
                <w:szCs w:val="20"/>
              </w:rPr>
              <w:t>II.c</w:t>
            </w:r>
            <w:r>
              <w:rPr>
                <w:sz w:val="20"/>
                <w:szCs w:val="20"/>
              </w:rPr>
              <w:t xml:space="preserve"> Načrtovana nadomestitev zmanjšanih prihodkov in povečanih odhodkov proračuna:</w:t>
            </w:r>
          </w:p>
        </w:tc>
      </w:tr>
      <w:tr w14:paraId="31EACCF4" w14:textId="77777777" w:rsidTr="008F3D80">
        <w:tblPrEx>
          <w:tblW w:w="9134" w:type="dxa"/>
          <w:tblInd w:w="137" w:type="dxa"/>
          <w:tblLook w:val="04A0"/>
        </w:tblPrEx>
        <w:trPr>
          <w:gridAfter w:val="1"/>
          <w:wAfter w:w="63" w:type="dxa"/>
          <w:cantSplit/>
          <w:trHeight w:val="100"/>
        </w:trPr>
        <w:tc>
          <w:tcPr>
            <w:tcW w:w="4193" w:type="dxa"/>
            <w:gridSpan w:val="4"/>
            <w:tcBorders>
              <w:top w:val="single" w:sz="4" w:space="0" w:color="auto"/>
              <w:left w:val="single" w:sz="4" w:space="0" w:color="auto"/>
              <w:bottom w:val="single" w:sz="4" w:space="0" w:color="auto"/>
              <w:right w:val="single" w:sz="4" w:space="0" w:color="auto"/>
            </w:tcBorders>
            <w:vAlign w:val="center"/>
            <w:hideMark/>
          </w:tcPr>
          <w:p w:rsidR="00A12775" w14:paraId="237791BA" w14:textId="77777777">
            <w:pPr>
              <w:widowControl w:val="0"/>
              <w:spacing w:after="0" w:line="260" w:lineRule="exact"/>
              <w:ind w:left="-122" w:right="-112"/>
              <w:jc w:val="center"/>
              <w:rPr>
                <w:rFonts w:ascii="Arial" w:hAnsi="Arial" w:cs="Arial"/>
                <w:sz w:val="20"/>
                <w:szCs w:val="20"/>
              </w:rPr>
            </w:pPr>
            <w:r>
              <w:rPr>
                <w:rFonts w:ascii="Arial" w:hAnsi="Arial" w:cs="Arial"/>
                <w:sz w:val="20"/>
                <w:szCs w:val="20"/>
              </w:rPr>
              <w:t>Novi prihodki</w:t>
            </w:r>
          </w:p>
        </w:tc>
        <w:tc>
          <w:tcPr>
            <w:tcW w:w="2104" w:type="dxa"/>
            <w:gridSpan w:val="4"/>
            <w:tcBorders>
              <w:top w:val="single" w:sz="4" w:space="0" w:color="auto"/>
              <w:left w:val="single" w:sz="4" w:space="0" w:color="auto"/>
              <w:bottom w:val="single" w:sz="4" w:space="0" w:color="auto"/>
              <w:right w:val="single" w:sz="4" w:space="0" w:color="auto"/>
            </w:tcBorders>
            <w:vAlign w:val="center"/>
            <w:hideMark/>
          </w:tcPr>
          <w:p w:rsidR="00A12775" w14:paraId="3D1E607E" w14:textId="77777777">
            <w:pPr>
              <w:widowControl w:val="0"/>
              <w:spacing w:after="0" w:line="260" w:lineRule="exact"/>
              <w:ind w:left="-122" w:right="-112"/>
              <w:jc w:val="center"/>
              <w:rPr>
                <w:rFonts w:ascii="Arial" w:hAnsi="Arial" w:cs="Arial"/>
                <w:sz w:val="20"/>
                <w:szCs w:val="20"/>
              </w:rPr>
            </w:pPr>
            <w:r>
              <w:rPr>
                <w:rFonts w:ascii="Arial" w:hAnsi="Arial" w:cs="Arial"/>
                <w:sz w:val="20"/>
                <w:szCs w:val="20"/>
              </w:rPr>
              <w:t>Znesek za tekoče leto (t)</w:t>
            </w:r>
          </w:p>
        </w:tc>
        <w:tc>
          <w:tcPr>
            <w:tcW w:w="2774" w:type="dxa"/>
            <w:gridSpan w:val="4"/>
            <w:tcBorders>
              <w:top w:val="single" w:sz="4" w:space="0" w:color="auto"/>
              <w:left w:val="single" w:sz="4" w:space="0" w:color="auto"/>
              <w:bottom w:val="single" w:sz="4" w:space="0" w:color="auto"/>
              <w:right w:val="single" w:sz="4" w:space="0" w:color="auto"/>
            </w:tcBorders>
            <w:vAlign w:val="center"/>
            <w:hideMark/>
          </w:tcPr>
          <w:p w:rsidR="00A12775" w14:paraId="51688608" w14:textId="77777777">
            <w:pPr>
              <w:widowControl w:val="0"/>
              <w:spacing w:after="0" w:line="260" w:lineRule="exact"/>
              <w:ind w:left="-122" w:right="-112"/>
              <w:jc w:val="center"/>
              <w:rPr>
                <w:rFonts w:ascii="Arial" w:hAnsi="Arial" w:cs="Arial"/>
                <w:sz w:val="20"/>
                <w:szCs w:val="20"/>
              </w:rPr>
            </w:pPr>
            <w:r>
              <w:rPr>
                <w:rFonts w:ascii="Arial" w:hAnsi="Arial" w:cs="Arial"/>
                <w:sz w:val="20"/>
                <w:szCs w:val="20"/>
              </w:rPr>
              <w:t>Znesek za t + 1</w:t>
            </w:r>
          </w:p>
        </w:tc>
      </w:tr>
      <w:tr w14:paraId="3C260C4C" w14:textId="77777777" w:rsidTr="008F3D80">
        <w:tblPrEx>
          <w:tblW w:w="9134" w:type="dxa"/>
          <w:tblInd w:w="137" w:type="dxa"/>
          <w:tblLook w:val="04A0"/>
        </w:tblPrEx>
        <w:trPr>
          <w:gridAfter w:val="1"/>
          <w:wAfter w:w="63" w:type="dxa"/>
          <w:cantSplit/>
          <w:trHeight w:val="95"/>
        </w:trPr>
        <w:tc>
          <w:tcPr>
            <w:tcW w:w="4193" w:type="dxa"/>
            <w:gridSpan w:val="4"/>
            <w:tcBorders>
              <w:top w:val="single" w:sz="4" w:space="0" w:color="auto"/>
              <w:left w:val="single" w:sz="4" w:space="0" w:color="auto"/>
              <w:bottom w:val="single" w:sz="4" w:space="0" w:color="auto"/>
              <w:right w:val="single" w:sz="4" w:space="0" w:color="auto"/>
            </w:tcBorders>
            <w:vAlign w:val="center"/>
          </w:tcPr>
          <w:p w:rsidR="00A12775" w14:paraId="17C583A3" w14:textId="77777777">
            <w:pPr>
              <w:pStyle w:val="Heading1"/>
              <w:rPr>
                <w:sz w:val="20"/>
                <w:szCs w:val="20"/>
              </w:rPr>
            </w:pPr>
          </w:p>
        </w:tc>
        <w:tc>
          <w:tcPr>
            <w:tcW w:w="2104" w:type="dxa"/>
            <w:gridSpan w:val="4"/>
            <w:tcBorders>
              <w:top w:val="single" w:sz="4" w:space="0" w:color="auto"/>
              <w:left w:val="single" w:sz="4" w:space="0" w:color="auto"/>
              <w:bottom w:val="single" w:sz="4" w:space="0" w:color="auto"/>
              <w:right w:val="single" w:sz="4" w:space="0" w:color="auto"/>
            </w:tcBorders>
            <w:vAlign w:val="center"/>
          </w:tcPr>
          <w:p w:rsidR="00A12775" w14:paraId="0F57B346" w14:textId="77777777">
            <w:pPr>
              <w:pStyle w:val="Heading1"/>
              <w:rPr>
                <w:sz w:val="20"/>
                <w:szCs w:val="20"/>
              </w:rPr>
            </w:pPr>
          </w:p>
        </w:tc>
        <w:tc>
          <w:tcPr>
            <w:tcW w:w="2774" w:type="dxa"/>
            <w:gridSpan w:val="4"/>
            <w:tcBorders>
              <w:top w:val="single" w:sz="4" w:space="0" w:color="auto"/>
              <w:left w:val="single" w:sz="4" w:space="0" w:color="auto"/>
              <w:bottom w:val="single" w:sz="4" w:space="0" w:color="auto"/>
              <w:right w:val="single" w:sz="4" w:space="0" w:color="auto"/>
            </w:tcBorders>
            <w:vAlign w:val="center"/>
          </w:tcPr>
          <w:p w:rsidR="00A12775" w14:paraId="32853A9B" w14:textId="77777777">
            <w:pPr>
              <w:pStyle w:val="Heading1"/>
              <w:rPr>
                <w:sz w:val="20"/>
                <w:szCs w:val="20"/>
              </w:rPr>
            </w:pPr>
          </w:p>
        </w:tc>
      </w:tr>
      <w:tr w14:paraId="0DD07F6C" w14:textId="77777777" w:rsidTr="008F3D80">
        <w:tblPrEx>
          <w:tblW w:w="9134" w:type="dxa"/>
          <w:tblInd w:w="137" w:type="dxa"/>
          <w:tblLook w:val="04A0"/>
        </w:tblPrEx>
        <w:trPr>
          <w:gridAfter w:val="1"/>
          <w:wAfter w:w="63" w:type="dxa"/>
          <w:cantSplit/>
          <w:trHeight w:val="95"/>
        </w:trPr>
        <w:tc>
          <w:tcPr>
            <w:tcW w:w="4193" w:type="dxa"/>
            <w:gridSpan w:val="4"/>
            <w:tcBorders>
              <w:top w:val="single" w:sz="4" w:space="0" w:color="auto"/>
              <w:left w:val="single" w:sz="4" w:space="0" w:color="auto"/>
              <w:bottom w:val="single" w:sz="4" w:space="0" w:color="auto"/>
              <w:right w:val="single" w:sz="4" w:space="0" w:color="auto"/>
            </w:tcBorders>
            <w:vAlign w:val="center"/>
            <w:hideMark/>
          </w:tcPr>
          <w:p w:rsidR="00A12775" w14:paraId="1AB29E19" w14:textId="77777777">
            <w:pPr>
              <w:pStyle w:val="Heading1"/>
              <w:rPr>
                <w:sz w:val="20"/>
                <w:szCs w:val="20"/>
              </w:rPr>
            </w:pPr>
            <w:r>
              <w:rPr>
                <w:sz w:val="20"/>
                <w:szCs w:val="20"/>
              </w:rPr>
              <w:t>SKUPAJ</w:t>
            </w:r>
          </w:p>
        </w:tc>
        <w:tc>
          <w:tcPr>
            <w:tcW w:w="2104" w:type="dxa"/>
            <w:gridSpan w:val="4"/>
            <w:tcBorders>
              <w:top w:val="single" w:sz="4" w:space="0" w:color="auto"/>
              <w:left w:val="single" w:sz="4" w:space="0" w:color="auto"/>
              <w:bottom w:val="single" w:sz="4" w:space="0" w:color="auto"/>
              <w:right w:val="single" w:sz="4" w:space="0" w:color="auto"/>
            </w:tcBorders>
            <w:vAlign w:val="center"/>
          </w:tcPr>
          <w:p w:rsidR="00A12775" w14:paraId="5167DA6E" w14:textId="77777777">
            <w:pPr>
              <w:pStyle w:val="Heading1"/>
              <w:rPr>
                <w:sz w:val="20"/>
                <w:szCs w:val="20"/>
              </w:rPr>
            </w:pPr>
          </w:p>
        </w:tc>
        <w:tc>
          <w:tcPr>
            <w:tcW w:w="2774" w:type="dxa"/>
            <w:gridSpan w:val="4"/>
            <w:tcBorders>
              <w:top w:val="single" w:sz="4" w:space="0" w:color="auto"/>
              <w:left w:val="single" w:sz="4" w:space="0" w:color="auto"/>
              <w:bottom w:val="single" w:sz="4" w:space="0" w:color="auto"/>
              <w:right w:val="single" w:sz="4" w:space="0" w:color="auto"/>
            </w:tcBorders>
            <w:vAlign w:val="center"/>
          </w:tcPr>
          <w:p w:rsidR="00A12775" w14:paraId="18339464" w14:textId="77777777">
            <w:pPr>
              <w:pStyle w:val="Heading1"/>
              <w:rPr>
                <w:sz w:val="20"/>
                <w:szCs w:val="20"/>
              </w:rPr>
            </w:pPr>
          </w:p>
        </w:tc>
      </w:tr>
      <w:tr w14:paraId="7A3D2212" w14:textId="77777777" w:rsidTr="008F3D80">
        <w:tblPrEx>
          <w:tblW w:w="9134" w:type="dxa"/>
          <w:tblInd w:w="137" w:type="dxa"/>
          <w:tblLook w:val="04A0"/>
        </w:tblPrEx>
        <w:trPr>
          <w:gridAfter w:val="1"/>
          <w:wAfter w:w="63" w:type="dxa"/>
        </w:trPr>
        <w:tc>
          <w:tcPr>
            <w:tcW w:w="9071" w:type="dxa"/>
            <w:gridSpan w:val="12"/>
            <w:tcBorders>
              <w:top w:val="single" w:sz="4" w:space="0" w:color="000000"/>
              <w:left w:val="single" w:sz="4" w:space="0" w:color="000000"/>
              <w:bottom w:val="single" w:sz="4" w:space="0" w:color="000000"/>
              <w:right w:val="single" w:sz="4" w:space="0" w:color="000000"/>
            </w:tcBorders>
            <w:hideMark/>
          </w:tcPr>
          <w:p w:rsidR="00A12775" w14:paraId="12B50377" w14:textId="77777777">
            <w:pPr>
              <w:pStyle w:val="Oddelek"/>
              <w:widowControl w:val="0"/>
              <w:numPr>
                <w:ilvl w:val="0"/>
                <w:numId w:val="0"/>
              </w:numPr>
              <w:spacing w:before="0" w:after="0" w:line="260" w:lineRule="exact"/>
              <w:jc w:val="left"/>
              <w:rPr>
                <w:sz w:val="20"/>
                <w:szCs w:val="20"/>
              </w:rPr>
            </w:pPr>
            <w:r>
              <w:rPr>
                <w:sz w:val="20"/>
                <w:szCs w:val="20"/>
              </w:rPr>
              <w:t>7.b Predstavitev ocene finančnih posledic pod 40.000 EUR:</w:t>
            </w:r>
          </w:p>
          <w:p w:rsidR="00A12775" w14:paraId="4552ACAB" w14:textId="77777777">
            <w:pPr>
              <w:pStyle w:val="Oddelek"/>
              <w:widowControl w:val="0"/>
              <w:numPr>
                <w:ilvl w:val="0"/>
                <w:numId w:val="0"/>
              </w:numPr>
              <w:spacing w:before="0" w:after="0" w:line="260" w:lineRule="exact"/>
              <w:jc w:val="left"/>
              <w:rPr>
                <w:b w:val="0"/>
                <w:sz w:val="20"/>
                <w:szCs w:val="20"/>
              </w:rPr>
            </w:pPr>
            <w:r>
              <w:rPr>
                <w:b w:val="0"/>
                <w:sz w:val="20"/>
                <w:szCs w:val="20"/>
              </w:rPr>
              <w:t>(Samo če izberete NE pod točko 6.a.)</w:t>
            </w:r>
          </w:p>
          <w:p w:rsidR="00A12775" w14:paraId="0FB6FE0E" w14:textId="77777777">
            <w:pPr>
              <w:pStyle w:val="Oddelek"/>
              <w:widowControl w:val="0"/>
              <w:numPr>
                <w:ilvl w:val="0"/>
                <w:numId w:val="0"/>
              </w:numPr>
              <w:spacing w:before="0" w:after="0" w:line="260" w:lineRule="exact"/>
              <w:jc w:val="left"/>
              <w:rPr>
                <w:b w:val="0"/>
                <w:sz w:val="20"/>
                <w:szCs w:val="20"/>
              </w:rPr>
            </w:pPr>
            <w:r>
              <w:rPr>
                <w:b w:val="0"/>
                <w:sz w:val="20"/>
                <w:szCs w:val="20"/>
              </w:rPr>
              <w:t>/</w:t>
            </w:r>
          </w:p>
        </w:tc>
      </w:tr>
      <w:tr w14:paraId="3ADC0F61" w14:textId="77777777" w:rsidTr="008F3D80">
        <w:tblPrEx>
          <w:tblW w:w="9134" w:type="dxa"/>
          <w:tblInd w:w="137" w:type="dxa"/>
          <w:tblLook w:val="04A0"/>
        </w:tblPrEx>
        <w:trPr>
          <w:gridAfter w:val="1"/>
          <w:wAfter w:w="63" w:type="dxa"/>
        </w:trPr>
        <w:tc>
          <w:tcPr>
            <w:tcW w:w="9071" w:type="dxa"/>
            <w:gridSpan w:val="12"/>
            <w:tcBorders>
              <w:top w:val="single" w:sz="4" w:space="0" w:color="000000"/>
              <w:left w:val="single" w:sz="4" w:space="0" w:color="000000"/>
              <w:bottom w:val="single" w:sz="4" w:space="0" w:color="000000"/>
              <w:right w:val="single" w:sz="4" w:space="0" w:color="000000"/>
            </w:tcBorders>
            <w:hideMark/>
          </w:tcPr>
          <w:p w:rsidR="00A12775" w14:paraId="1650F537" w14:textId="77777777">
            <w:pPr>
              <w:spacing w:after="0" w:line="240" w:lineRule="auto"/>
              <w:rPr>
                <w:rFonts w:ascii="Arial" w:eastAsia="Times New Roman" w:hAnsi="Arial" w:cs="Arial"/>
                <w:b/>
                <w:sz w:val="20"/>
                <w:szCs w:val="20"/>
                <w:lang w:eastAsia="sl-SI"/>
              </w:rPr>
            </w:pPr>
            <w:r>
              <w:rPr>
                <w:rFonts w:ascii="Arial" w:eastAsia="Times New Roman" w:hAnsi="Arial" w:cs="Arial"/>
                <w:b/>
                <w:sz w:val="20"/>
                <w:szCs w:val="20"/>
                <w:lang w:eastAsia="sl-SI"/>
              </w:rPr>
              <w:t>8. Predstavitev sodelovanja z združenji občin:</w:t>
            </w:r>
          </w:p>
        </w:tc>
      </w:tr>
      <w:tr w14:paraId="685F814A" w14:textId="77777777" w:rsidTr="008F3D80">
        <w:tblPrEx>
          <w:tblW w:w="9134" w:type="dxa"/>
          <w:tblInd w:w="137" w:type="dxa"/>
          <w:tblLook w:val="04A0"/>
        </w:tblPrEx>
        <w:trPr>
          <w:gridAfter w:val="1"/>
          <w:wAfter w:w="63" w:type="dxa"/>
        </w:trPr>
        <w:tc>
          <w:tcPr>
            <w:tcW w:w="6297" w:type="dxa"/>
            <w:gridSpan w:val="8"/>
            <w:tcBorders>
              <w:top w:val="single" w:sz="4" w:space="0" w:color="000000"/>
              <w:left w:val="single" w:sz="4" w:space="0" w:color="000000"/>
              <w:bottom w:val="single" w:sz="4" w:space="0" w:color="000000"/>
              <w:right w:val="single" w:sz="4" w:space="0" w:color="000000"/>
            </w:tcBorders>
            <w:hideMark/>
          </w:tcPr>
          <w:p w:rsidR="00A12775" w14:paraId="2746D242" w14:textId="77777777">
            <w:pPr>
              <w:pStyle w:val="Neotevilenodstavek"/>
              <w:widowControl w:val="0"/>
              <w:spacing w:before="0" w:after="0" w:line="260" w:lineRule="exact"/>
              <w:rPr>
                <w:iCs/>
                <w:sz w:val="20"/>
                <w:szCs w:val="20"/>
              </w:rPr>
            </w:pPr>
            <w:r>
              <w:rPr>
                <w:iCs/>
                <w:sz w:val="20"/>
                <w:szCs w:val="20"/>
              </w:rPr>
              <w:t>Vsebina predloženega gradiva (predpisa) vpliva na:</w:t>
            </w:r>
          </w:p>
          <w:p w:rsidR="00A12775" w:rsidP="00A12775" w14:paraId="62FCF588" w14:textId="77777777">
            <w:pPr>
              <w:pStyle w:val="Neotevilenodstavek"/>
              <w:widowControl w:val="0"/>
              <w:numPr>
                <w:ilvl w:val="1"/>
                <w:numId w:val="36"/>
              </w:numPr>
              <w:spacing w:before="0" w:after="0" w:line="260" w:lineRule="exact"/>
              <w:textAlignment w:val="auto"/>
              <w:rPr>
                <w:iCs/>
                <w:sz w:val="20"/>
                <w:szCs w:val="20"/>
              </w:rPr>
            </w:pPr>
            <w:r>
              <w:rPr>
                <w:iCs/>
                <w:sz w:val="20"/>
                <w:szCs w:val="20"/>
              </w:rPr>
              <w:t>pristojnosti občin,</w:t>
            </w:r>
          </w:p>
          <w:p w:rsidR="00A12775" w:rsidP="00A12775" w14:paraId="1D644E28" w14:textId="77777777">
            <w:pPr>
              <w:pStyle w:val="Neotevilenodstavek"/>
              <w:widowControl w:val="0"/>
              <w:numPr>
                <w:ilvl w:val="1"/>
                <w:numId w:val="36"/>
              </w:numPr>
              <w:spacing w:before="0" w:after="0" w:line="260" w:lineRule="exact"/>
              <w:textAlignment w:val="auto"/>
              <w:rPr>
                <w:iCs/>
                <w:sz w:val="20"/>
                <w:szCs w:val="20"/>
              </w:rPr>
            </w:pPr>
            <w:r>
              <w:rPr>
                <w:iCs/>
                <w:sz w:val="20"/>
                <w:szCs w:val="20"/>
              </w:rPr>
              <w:t>delovanje občin,</w:t>
            </w:r>
          </w:p>
          <w:p w:rsidR="00A12775" w:rsidP="00A12775" w14:paraId="2C170FA7" w14:textId="77777777">
            <w:pPr>
              <w:pStyle w:val="Neotevilenodstavek"/>
              <w:widowControl w:val="0"/>
              <w:numPr>
                <w:ilvl w:val="1"/>
                <w:numId w:val="36"/>
              </w:numPr>
              <w:spacing w:before="0" w:after="0" w:line="260" w:lineRule="exact"/>
              <w:textAlignment w:val="auto"/>
              <w:rPr>
                <w:iCs/>
                <w:sz w:val="20"/>
                <w:szCs w:val="20"/>
              </w:rPr>
            </w:pPr>
            <w:r>
              <w:rPr>
                <w:iCs/>
                <w:sz w:val="20"/>
                <w:szCs w:val="20"/>
              </w:rPr>
              <w:t>financiranje občin.</w:t>
            </w:r>
          </w:p>
        </w:tc>
        <w:tc>
          <w:tcPr>
            <w:tcW w:w="2774" w:type="dxa"/>
            <w:gridSpan w:val="4"/>
            <w:tcBorders>
              <w:top w:val="single" w:sz="4" w:space="0" w:color="000000"/>
              <w:left w:val="single" w:sz="4" w:space="0" w:color="000000"/>
              <w:bottom w:val="single" w:sz="4" w:space="0" w:color="000000"/>
              <w:right w:val="single" w:sz="4" w:space="0" w:color="000000"/>
            </w:tcBorders>
            <w:hideMark/>
          </w:tcPr>
          <w:p w:rsidR="00A12775" w14:paraId="0BC03936" w14:textId="77777777">
            <w:pPr>
              <w:pStyle w:val="Neotevilenodstavek"/>
              <w:widowControl w:val="0"/>
              <w:spacing w:before="0" w:after="0" w:line="260" w:lineRule="exact"/>
              <w:jc w:val="center"/>
              <w:rPr>
                <w:sz w:val="20"/>
                <w:szCs w:val="20"/>
              </w:rPr>
            </w:pPr>
            <w:r>
              <w:rPr>
                <w:sz w:val="20"/>
                <w:szCs w:val="20"/>
              </w:rPr>
              <w:t>NE</w:t>
            </w:r>
          </w:p>
        </w:tc>
      </w:tr>
      <w:tr w14:paraId="6DAC1BD2" w14:textId="77777777" w:rsidTr="008F3D80">
        <w:tblPrEx>
          <w:tblW w:w="9134" w:type="dxa"/>
          <w:tblInd w:w="137" w:type="dxa"/>
          <w:tblLook w:val="04A0"/>
        </w:tblPrEx>
        <w:trPr>
          <w:gridAfter w:val="1"/>
          <w:wAfter w:w="63" w:type="dxa"/>
        </w:trPr>
        <w:tc>
          <w:tcPr>
            <w:tcW w:w="9071" w:type="dxa"/>
            <w:gridSpan w:val="12"/>
            <w:tcBorders>
              <w:top w:val="single" w:sz="4" w:space="0" w:color="000000"/>
              <w:left w:val="single" w:sz="4" w:space="0" w:color="000000"/>
              <w:bottom w:val="single" w:sz="4" w:space="0" w:color="000000"/>
              <w:right w:val="single" w:sz="4" w:space="0" w:color="000000"/>
            </w:tcBorders>
          </w:tcPr>
          <w:p w:rsidR="00A12775" w14:paraId="32EFE853" w14:textId="77777777">
            <w:pPr>
              <w:pStyle w:val="Neotevilenodstavek"/>
              <w:widowControl w:val="0"/>
              <w:spacing w:before="0" w:after="0" w:line="260" w:lineRule="exact"/>
              <w:rPr>
                <w:iCs/>
                <w:sz w:val="20"/>
                <w:szCs w:val="20"/>
              </w:rPr>
            </w:pPr>
            <w:r>
              <w:rPr>
                <w:iCs/>
                <w:sz w:val="20"/>
                <w:szCs w:val="20"/>
              </w:rPr>
              <w:t xml:space="preserve">Gradivo (predpis) je bilo poslano v mnenje: </w:t>
            </w:r>
          </w:p>
          <w:p w:rsidR="00A12775" w:rsidP="00A12775" w14:paraId="38B075F8" w14:textId="77777777">
            <w:pPr>
              <w:pStyle w:val="Neotevilenodstavek"/>
              <w:widowControl w:val="0"/>
              <w:numPr>
                <w:ilvl w:val="0"/>
                <w:numId w:val="37"/>
              </w:numPr>
              <w:spacing w:before="0" w:after="0" w:line="260" w:lineRule="exact"/>
              <w:textAlignment w:val="auto"/>
              <w:rPr>
                <w:iCs/>
                <w:sz w:val="20"/>
                <w:szCs w:val="20"/>
              </w:rPr>
            </w:pPr>
            <w:r>
              <w:rPr>
                <w:iCs/>
                <w:sz w:val="20"/>
                <w:szCs w:val="20"/>
              </w:rPr>
              <w:t>Skupnosti občin Slovenije SOS: DA/NE</w:t>
            </w:r>
          </w:p>
          <w:p w:rsidR="00A12775" w:rsidP="00A12775" w14:paraId="64AA7F50" w14:textId="77777777">
            <w:pPr>
              <w:pStyle w:val="Neotevilenodstavek"/>
              <w:widowControl w:val="0"/>
              <w:numPr>
                <w:ilvl w:val="0"/>
                <w:numId w:val="37"/>
              </w:numPr>
              <w:spacing w:before="0" w:after="0" w:line="260" w:lineRule="exact"/>
              <w:textAlignment w:val="auto"/>
              <w:rPr>
                <w:iCs/>
                <w:sz w:val="20"/>
                <w:szCs w:val="20"/>
              </w:rPr>
            </w:pPr>
            <w:r>
              <w:rPr>
                <w:iCs/>
                <w:sz w:val="20"/>
                <w:szCs w:val="20"/>
              </w:rPr>
              <w:t>Združenju občin Slovenije ZOS: DA/NE</w:t>
            </w:r>
          </w:p>
          <w:p w:rsidR="00A12775" w:rsidP="00A12775" w14:paraId="7BE30031" w14:textId="77777777">
            <w:pPr>
              <w:pStyle w:val="Neotevilenodstavek"/>
              <w:widowControl w:val="0"/>
              <w:numPr>
                <w:ilvl w:val="0"/>
                <w:numId w:val="37"/>
              </w:numPr>
              <w:spacing w:before="0" w:after="0" w:line="260" w:lineRule="exact"/>
              <w:textAlignment w:val="auto"/>
              <w:rPr>
                <w:iCs/>
                <w:sz w:val="20"/>
                <w:szCs w:val="20"/>
              </w:rPr>
            </w:pPr>
            <w:r>
              <w:rPr>
                <w:iCs/>
                <w:sz w:val="20"/>
                <w:szCs w:val="20"/>
              </w:rPr>
              <w:t>Združenju mestnih občin Slovenije ZMOS: DA/NE</w:t>
            </w:r>
          </w:p>
          <w:p w:rsidR="00A12775" w14:paraId="4E8B59BA" w14:textId="77777777">
            <w:pPr>
              <w:pStyle w:val="Neotevilenodstavek"/>
              <w:widowControl w:val="0"/>
              <w:spacing w:before="0" w:after="0" w:line="260" w:lineRule="exact"/>
              <w:rPr>
                <w:iCs/>
                <w:sz w:val="20"/>
                <w:szCs w:val="20"/>
              </w:rPr>
            </w:pPr>
          </w:p>
          <w:p w:rsidR="00A12775" w14:paraId="52FE0D36" w14:textId="77777777">
            <w:pPr>
              <w:pStyle w:val="Neotevilenodstavek"/>
              <w:widowControl w:val="0"/>
              <w:spacing w:before="0" w:after="0" w:line="260" w:lineRule="exact"/>
              <w:rPr>
                <w:iCs/>
                <w:sz w:val="20"/>
                <w:szCs w:val="20"/>
              </w:rPr>
            </w:pPr>
            <w:r>
              <w:rPr>
                <w:iCs/>
                <w:sz w:val="20"/>
                <w:szCs w:val="20"/>
              </w:rPr>
              <w:t>Predlogi in pripombe združenj so bili upoštevani:</w:t>
            </w:r>
          </w:p>
          <w:p w:rsidR="00A12775" w:rsidP="00A12775" w14:paraId="774DA5E2" w14:textId="77777777">
            <w:pPr>
              <w:pStyle w:val="Neotevilenodstavek"/>
              <w:widowControl w:val="0"/>
              <w:numPr>
                <w:ilvl w:val="0"/>
                <w:numId w:val="38"/>
              </w:numPr>
              <w:spacing w:before="0" w:after="0" w:line="260" w:lineRule="exact"/>
              <w:textAlignment w:val="auto"/>
              <w:rPr>
                <w:iCs/>
                <w:sz w:val="20"/>
                <w:szCs w:val="20"/>
              </w:rPr>
            </w:pPr>
            <w:r>
              <w:rPr>
                <w:iCs/>
                <w:sz w:val="20"/>
                <w:szCs w:val="20"/>
              </w:rPr>
              <w:t>v celoti,</w:t>
            </w:r>
          </w:p>
          <w:p w:rsidR="00A12775" w:rsidP="00A12775" w14:paraId="78E1C410" w14:textId="77777777">
            <w:pPr>
              <w:pStyle w:val="Neotevilenodstavek"/>
              <w:widowControl w:val="0"/>
              <w:numPr>
                <w:ilvl w:val="0"/>
                <w:numId w:val="38"/>
              </w:numPr>
              <w:spacing w:before="0" w:after="0" w:line="260" w:lineRule="exact"/>
              <w:textAlignment w:val="auto"/>
              <w:rPr>
                <w:iCs/>
                <w:sz w:val="20"/>
                <w:szCs w:val="20"/>
              </w:rPr>
            </w:pPr>
            <w:r>
              <w:rPr>
                <w:iCs/>
                <w:sz w:val="20"/>
                <w:szCs w:val="20"/>
              </w:rPr>
              <w:t>večinoma,</w:t>
            </w:r>
          </w:p>
          <w:p w:rsidR="00A12775" w:rsidP="00A12775" w14:paraId="082B887C" w14:textId="77777777">
            <w:pPr>
              <w:pStyle w:val="Neotevilenodstavek"/>
              <w:widowControl w:val="0"/>
              <w:numPr>
                <w:ilvl w:val="0"/>
                <w:numId w:val="38"/>
              </w:numPr>
              <w:spacing w:before="0" w:after="0" w:line="260" w:lineRule="exact"/>
              <w:textAlignment w:val="auto"/>
              <w:rPr>
                <w:iCs/>
                <w:sz w:val="20"/>
                <w:szCs w:val="20"/>
              </w:rPr>
            </w:pPr>
            <w:r>
              <w:rPr>
                <w:iCs/>
                <w:sz w:val="20"/>
                <w:szCs w:val="20"/>
              </w:rPr>
              <w:t>delno,</w:t>
            </w:r>
          </w:p>
          <w:p w:rsidR="00A12775" w:rsidP="00A12775" w14:paraId="091FBB77" w14:textId="77777777">
            <w:pPr>
              <w:pStyle w:val="Neotevilenodstavek"/>
              <w:widowControl w:val="0"/>
              <w:numPr>
                <w:ilvl w:val="0"/>
                <w:numId w:val="38"/>
              </w:numPr>
              <w:spacing w:before="0" w:after="0" w:line="260" w:lineRule="exact"/>
              <w:textAlignment w:val="auto"/>
              <w:rPr>
                <w:iCs/>
                <w:sz w:val="20"/>
                <w:szCs w:val="20"/>
              </w:rPr>
            </w:pPr>
            <w:r>
              <w:rPr>
                <w:iCs/>
                <w:sz w:val="20"/>
                <w:szCs w:val="20"/>
              </w:rPr>
              <w:t>niso bili upoštevani.</w:t>
            </w:r>
          </w:p>
          <w:p w:rsidR="00A12775" w14:paraId="21678379" w14:textId="77777777">
            <w:pPr>
              <w:pStyle w:val="Neotevilenodstavek"/>
              <w:widowControl w:val="0"/>
              <w:spacing w:before="0" w:after="0" w:line="260" w:lineRule="exact"/>
              <w:ind w:left="360"/>
              <w:rPr>
                <w:iCs/>
                <w:sz w:val="20"/>
                <w:szCs w:val="20"/>
              </w:rPr>
            </w:pPr>
          </w:p>
          <w:p w:rsidR="00A12775" w14:paraId="1B2B7820" w14:textId="77777777">
            <w:pPr>
              <w:pStyle w:val="Neotevilenodstavek"/>
              <w:widowControl w:val="0"/>
              <w:spacing w:before="0" w:after="0" w:line="260" w:lineRule="exact"/>
              <w:rPr>
                <w:iCs/>
                <w:sz w:val="20"/>
                <w:szCs w:val="20"/>
              </w:rPr>
            </w:pPr>
            <w:r>
              <w:rPr>
                <w:iCs/>
                <w:sz w:val="20"/>
                <w:szCs w:val="20"/>
              </w:rPr>
              <w:t>Bistveni predlogi in pripombe, ki niso bili upoštevani.</w:t>
            </w:r>
          </w:p>
        </w:tc>
      </w:tr>
      <w:tr w14:paraId="60BAF179" w14:textId="77777777" w:rsidTr="008F3D80">
        <w:tblPrEx>
          <w:tblW w:w="9134" w:type="dxa"/>
          <w:tblInd w:w="137" w:type="dxa"/>
          <w:tblLook w:val="04A0"/>
        </w:tblPrEx>
        <w:trPr>
          <w:gridAfter w:val="1"/>
          <w:wAfter w:w="63" w:type="dxa"/>
        </w:trPr>
        <w:tc>
          <w:tcPr>
            <w:tcW w:w="9071" w:type="dxa"/>
            <w:gridSpan w:val="12"/>
            <w:tcBorders>
              <w:top w:val="single" w:sz="4" w:space="0" w:color="000000"/>
              <w:left w:val="single" w:sz="4" w:space="0" w:color="000000"/>
              <w:bottom w:val="single" w:sz="4" w:space="0" w:color="000000"/>
              <w:right w:val="single" w:sz="4" w:space="0" w:color="000000"/>
            </w:tcBorders>
            <w:hideMark/>
          </w:tcPr>
          <w:p w:rsidR="00A12775" w14:paraId="7EB429F7" w14:textId="77777777">
            <w:pPr>
              <w:pStyle w:val="Oddelek"/>
              <w:widowControl w:val="0"/>
              <w:numPr>
                <w:ilvl w:val="0"/>
                <w:numId w:val="0"/>
              </w:numPr>
              <w:spacing w:before="0" w:after="0" w:line="260" w:lineRule="exact"/>
              <w:jc w:val="left"/>
              <w:rPr>
                <w:sz w:val="20"/>
                <w:szCs w:val="20"/>
              </w:rPr>
            </w:pPr>
            <w:r>
              <w:rPr>
                <w:sz w:val="20"/>
                <w:szCs w:val="20"/>
              </w:rPr>
              <w:t>9. Predstavitev sodelovanja javnosti:</w:t>
            </w:r>
          </w:p>
        </w:tc>
      </w:tr>
      <w:tr w14:paraId="570DA146" w14:textId="77777777" w:rsidTr="008F3D80">
        <w:tblPrEx>
          <w:tblW w:w="9134" w:type="dxa"/>
          <w:tblInd w:w="137" w:type="dxa"/>
          <w:tblLook w:val="04A0"/>
        </w:tblPrEx>
        <w:trPr>
          <w:gridAfter w:val="1"/>
          <w:wAfter w:w="63" w:type="dxa"/>
        </w:trPr>
        <w:tc>
          <w:tcPr>
            <w:tcW w:w="6678" w:type="dxa"/>
            <w:gridSpan w:val="9"/>
            <w:tcBorders>
              <w:top w:val="single" w:sz="4" w:space="0" w:color="000000"/>
              <w:left w:val="single" w:sz="4" w:space="0" w:color="000000"/>
              <w:bottom w:val="single" w:sz="4" w:space="0" w:color="000000"/>
              <w:right w:val="single" w:sz="4" w:space="0" w:color="000000"/>
            </w:tcBorders>
            <w:hideMark/>
          </w:tcPr>
          <w:p w:rsidR="00A12775" w14:paraId="7ECE9BD3" w14:textId="77777777">
            <w:pPr>
              <w:pStyle w:val="Neotevilenodstavek"/>
              <w:widowControl w:val="0"/>
              <w:spacing w:before="0" w:after="0" w:line="260" w:lineRule="exact"/>
              <w:rPr>
                <w:sz w:val="20"/>
                <w:szCs w:val="20"/>
              </w:rPr>
            </w:pPr>
            <w:r>
              <w:rPr>
                <w:iCs/>
                <w:sz w:val="20"/>
                <w:szCs w:val="20"/>
              </w:rPr>
              <w:t>Gradivo je bilo predhodno objavljeno na spletni strani predlagatelja:</w:t>
            </w:r>
          </w:p>
        </w:tc>
        <w:tc>
          <w:tcPr>
            <w:tcW w:w="2393" w:type="dxa"/>
            <w:gridSpan w:val="3"/>
            <w:tcBorders>
              <w:top w:val="single" w:sz="4" w:space="0" w:color="000000"/>
              <w:left w:val="single" w:sz="4" w:space="0" w:color="000000"/>
              <w:bottom w:val="single" w:sz="4" w:space="0" w:color="000000"/>
              <w:right w:val="single" w:sz="4" w:space="0" w:color="000000"/>
            </w:tcBorders>
            <w:hideMark/>
          </w:tcPr>
          <w:p w:rsidR="00A12775" w14:paraId="573CEAEE" w14:textId="77777777">
            <w:pPr>
              <w:pStyle w:val="Neotevilenodstavek"/>
              <w:widowControl w:val="0"/>
              <w:spacing w:before="0" w:after="0" w:line="260" w:lineRule="exact"/>
              <w:jc w:val="center"/>
              <w:rPr>
                <w:iCs/>
                <w:sz w:val="20"/>
                <w:szCs w:val="20"/>
              </w:rPr>
            </w:pPr>
            <w:r>
              <w:rPr>
                <w:sz w:val="20"/>
                <w:szCs w:val="20"/>
              </w:rPr>
              <w:t>NE</w:t>
            </w:r>
          </w:p>
        </w:tc>
      </w:tr>
      <w:tr w14:paraId="7311C0F8" w14:textId="77777777" w:rsidTr="008F3D80">
        <w:tblPrEx>
          <w:tblW w:w="9134" w:type="dxa"/>
          <w:tblInd w:w="137" w:type="dxa"/>
          <w:tblLook w:val="04A0"/>
        </w:tblPrEx>
        <w:trPr>
          <w:gridAfter w:val="1"/>
          <w:wAfter w:w="63" w:type="dxa"/>
          <w:trHeight w:val="274"/>
        </w:trPr>
        <w:tc>
          <w:tcPr>
            <w:tcW w:w="9071" w:type="dxa"/>
            <w:gridSpan w:val="12"/>
            <w:tcBorders>
              <w:top w:val="single" w:sz="4" w:space="0" w:color="000000"/>
              <w:left w:val="single" w:sz="4" w:space="0" w:color="000000"/>
              <w:bottom w:val="single" w:sz="4" w:space="0" w:color="000000"/>
              <w:right w:val="single" w:sz="4" w:space="0" w:color="000000"/>
            </w:tcBorders>
            <w:hideMark/>
          </w:tcPr>
          <w:p w:rsidR="00A12775" w14:paraId="40F0DB16" w14:textId="77777777">
            <w:pPr>
              <w:pStyle w:val="Neotevilenodstavek"/>
              <w:widowControl w:val="0"/>
              <w:spacing w:before="0" w:after="0" w:line="260" w:lineRule="exact"/>
              <w:rPr>
                <w:iCs/>
                <w:sz w:val="20"/>
                <w:szCs w:val="20"/>
              </w:rPr>
            </w:pPr>
            <w:r>
              <w:rPr>
                <w:iCs/>
                <w:sz w:val="20"/>
                <w:szCs w:val="20"/>
              </w:rPr>
              <w:t xml:space="preserve">Pri obravnavi gradiva sodelovanje javnosti ni bilo potrebno. V skladu s 9. členom Poslovnika Vlade Republike Slovenije (Uradni list RS, št. 43/01, 23/02 – </w:t>
            </w:r>
            <w:r>
              <w:rPr>
                <w:iCs/>
                <w:sz w:val="20"/>
                <w:szCs w:val="20"/>
              </w:rPr>
              <w:t>popr</w:t>
            </w:r>
            <w:r>
              <w:rPr>
                <w:iCs/>
                <w:sz w:val="20"/>
                <w:szCs w:val="20"/>
              </w:rPr>
              <w:t xml:space="preserve">., 54/03, 103/03, 114/04, 26/06, 21/07, 32/10, 73/10, 95/11, 64/12, 10/14, 164/20, 35/21, 51/21 in 114/21) se javnosti ni povabilo k sodelovanju, ker gre za predlog sklepa vlade. </w:t>
            </w:r>
          </w:p>
        </w:tc>
      </w:tr>
      <w:tr w14:paraId="1DB6CB67" w14:textId="77777777" w:rsidTr="008F3D80">
        <w:tblPrEx>
          <w:tblW w:w="9134" w:type="dxa"/>
          <w:tblInd w:w="137" w:type="dxa"/>
          <w:tblLook w:val="04A0"/>
        </w:tblPrEx>
        <w:trPr>
          <w:gridAfter w:val="1"/>
          <w:wAfter w:w="63" w:type="dxa"/>
          <w:trHeight w:val="274"/>
        </w:trPr>
        <w:tc>
          <w:tcPr>
            <w:tcW w:w="9071" w:type="dxa"/>
            <w:gridSpan w:val="12"/>
            <w:tcBorders>
              <w:top w:val="single" w:sz="4" w:space="0" w:color="000000"/>
              <w:left w:val="single" w:sz="4" w:space="0" w:color="000000"/>
              <w:bottom w:val="single" w:sz="4" w:space="0" w:color="000000"/>
              <w:right w:val="single" w:sz="4" w:space="0" w:color="000000"/>
            </w:tcBorders>
          </w:tcPr>
          <w:p w:rsidR="00A12775" w14:paraId="0B24CC1A" w14:textId="77777777">
            <w:pPr>
              <w:pStyle w:val="Neotevilenodstavek"/>
              <w:widowControl w:val="0"/>
              <w:spacing w:before="0" w:after="0" w:line="260" w:lineRule="exact"/>
              <w:rPr>
                <w:iCs/>
                <w:sz w:val="20"/>
                <w:szCs w:val="20"/>
              </w:rPr>
            </w:pPr>
          </w:p>
        </w:tc>
      </w:tr>
      <w:tr w14:paraId="3409210A" w14:textId="77777777" w:rsidTr="008F3D80">
        <w:tblPrEx>
          <w:tblW w:w="9134" w:type="dxa"/>
          <w:tblInd w:w="137" w:type="dxa"/>
          <w:tblLook w:val="04A0"/>
        </w:tblPrEx>
        <w:trPr>
          <w:gridAfter w:val="1"/>
          <w:wAfter w:w="63" w:type="dxa"/>
        </w:trPr>
        <w:tc>
          <w:tcPr>
            <w:tcW w:w="6678" w:type="dxa"/>
            <w:gridSpan w:val="9"/>
            <w:tcBorders>
              <w:top w:val="single" w:sz="4" w:space="0" w:color="000000"/>
              <w:left w:val="single" w:sz="4" w:space="0" w:color="000000"/>
              <w:bottom w:val="single" w:sz="4" w:space="0" w:color="000000"/>
              <w:right w:val="single" w:sz="4" w:space="0" w:color="000000"/>
            </w:tcBorders>
            <w:vAlign w:val="center"/>
            <w:hideMark/>
          </w:tcPr>
          <w:p w:rsidR="00A12775" w14:paraId="08A5EC9D" w14:textId="77777777">
            <w:pPr>
              <w:pStyle w:val="Neotevilenodstavek"/>
              <w:widowControl w:val="0"/>
              <w:spacing w:before="0" w:after="0" w:line="260" w:lineRule="exact"/>
              <w:jc w:val="left"/>
              <w:rPr>
                <w:sz w:val="20"/>
                <w:szCs w:val="20"/>
              </w:rPr>
            </w:pPr>
            <w:r>
              <w:rPr>
                <w:b/>
                <w:sz w:val="20"/>
                <w:szCs w:val="20"/>
              </w:rPr>
              <w:t>10. Pri pripravi gradiva so bile upoštevane zahteve iz Resolucije o normativni dejavnosti:</w:t>
            </w:r>
          </w:p>
        </w:tc>
        <w:tc>
          <w:tcPr>
            <w:tcW w:w="2393" w:type="dxa"/>
            <w:gridSpan w:val="3"/>
            <w:tcBorders>
              <w:top w:val="single" w:sz="4" w:space="0" w:color="000000"/>
              <w:left w:val="single" w:sz="4" w:space="0" w:color="000000"/>
              <w:bottom w:val="single" w:sz="4" w:space="0" w:color="000000"/>
              <w:right w:val="single" w:sz="4" w:space="0" w:color="000000"/>
            </w:tcBorders>
            <w:vAlign w:val="center"/>
            <w:hideMark/>
          </w:tcPr>
          <w:p w:rsidR="00A12775" w14:paraId="6072ED5E" w14:textId="77777777">
            <w:pPr>
              <w:pStyle w:val="Neotevilenodstavek"/>
              <w:widowControl w:val="0"/>
              <w:spacing w:before="0" w:after="0" w:line="260" w:lineRule="exact"/>
              <w:jc w:val="center"/>
              <w:rPr>
                <w:iCs/>
                <w:sz w:val="20"/>
                <w:szCs w:val="20"/>
              </w:rPr>
            </w:pPr>
            <w:r>
              <w:rPr>
                <w:sz w:val="20"/>
                <w:szCs w:val="20"/>
              </w:rPr>
              <w:t>NE</w:t>
            </w:r>
          </w:p>
        </w:tc>
      </w:tr>
      <w:tr w14:paraId="5097A1A1" w14:textId="77777777" w:rsidTr="008F3D80">
        <w:tblPrEx>
          <w:tblW w:w="9134" w:type="dxa"/>
          <w:tblInd w:w="137" w:type="dxa"/>
          <w:tblLook w:val="04A0"/>
        </w:tblPrEx>
        <w:trPr>
          <w:gridAfter w:val="1"/>
          <w:wAfter w:w="63" w:type="dxa"/>
        </w:trPr>
        <w:tc>
          <w:tcPr>
            <w:tcW w:w="6678" w:type="dxa"/>
            <w:gridSpan w:val="9"/>
            <w:tcBorders>
              <w:top w:val="single" w:sz="4" w:space="0" w:color="000000"/>
              <w:left w:val="single" w:sz="4" w:space="0" w:color="000000"/>
              <w:bottom w:val="single" w:sz="4" w:space="0" w:color="000000"/>
              <w:right w:val="single" w:sz="4" w:space="0" w:color="000000"/>
            </w:tcBorders>
            <w:vAlign w:val="center"/>
            <w:hideMark/>
          </w:tcPr>
          <w:p w:rsidR="00A12775" w14:paraId="5D455A11" w14:textId="77777777">
            <w:pPr>
              <w:pStyle w:val="Neotevilenodstavek"/>
              <w:widowControl w:val="0"/>
              <w:spacing w:before="0" w:after="0" w:line="260" w:lineRule="exact"/>
              <w:jc w:val="left"/>
              <w:rPr>
                <w:b/>
                <w:sz w:val="20"/>
                <w:szCs w:val="20"/>
              </w:rPr>
            </w:pPr>
            <w:r>
              <w:rPr>
                <w:b/>
                <w:sz w:val="20"/>
                <w:szCs w:val="20"/>
              </w:rPr>
              <w:t>11. Gradivo je uvrščeno v delovni program vlade:</w:t>
            </w:r>
          </w:p>
        </w:tc>
        <w:tc>
          <w:tcPr>
            <w:tcW w:w="2393" w:type="dxa"/>
            <w:gridSpan w:val="3"/>
            <w:tcBorders>
              <w:top w:val="single" w:sz="4" w:space="0" w:color="000000"/>
              <w:left w:val="single" w:sz="4" w:space="0" w:color="000000"/>
              <w:bottom w:val="single" w:sz="4" w:space="0" w:color="000000"/>
              <w:right w:val="single" w:sz="4" w:space="0" w:color="000000"/>
            </w:tcBorders>
            <w:vAlign w:val="center"/>
            <w:hideMark/>
          </w:tcPr>
          <w:p w:rsidR="00A12775" w14:paraId="489D2B6C" w14:textId="77777777">
            <w:pPr>
              <w:pStyle w:val="Neotevilenodstavek"/>
              <w:widowControl w:val="0"/>
              <w:spacing w:before="0" w:after="0" w:line="260" w:lineRule="exact"/>
              <w:jc w:val="center"/>
              <w:rPr>
                <w:sz w:val="20"/>
                <w:szCs w:val="20"/>
              </w:rPr>
            </w:pPr>
            <w:r>
              <w:rPr>
                <w:sz w:val="20"/>
                <w:szCs w:val="20"/>
              </w:rPr>
              <w:t>NE</w:t>
            </w:r>
          </w:p>
        </w:tc>
      </w:tr>
      <w:tr w14:paraId="16C008A5" w14:textId="77777777" w:rsidTr="008F3D80">
        <w:tblPrEx>
          <w:tblW w:w="9134" w:type="dxa"/>
          <w:tblInd w:w="137" w:type="dxa"/>
          <w:tblLook w:val="04A0"/>
        </w:tblPrEx>
        <w:trPr>
          <w:gridAfter w:val="1"/>
          <w:wAfter w:w="63" w:type="dxa"/>
        </w:trPr>
        <w:tc>
          <w:tcPr>
            <w:tcW w:w="9071" w:type="dxa"/>
            <w:gridSpan w:val="12"/>
            <w:tcBorders>
              <w:top w:val="single" w:sz="4" w:space="0" w:color="000000"/>
              <w:left w:val="single" w:sz="4" w:space="0" w:color="000000"/>
              <w:bottom w:val="single" w:sz="4" w:space="0" w:color="000000"/>
              <w:right w:val="single" w:sz="4" w:space="0" w:color="000000"/>
            </w:tcBorders>
          </w:tcPr>
          <w:p w:rsidR="00A12775" w14:paraId="64207DB2" w14:textId="77777777">
            <w:pPr>
              <w:pStyle w:val="Poglavje"/>
              <w:widowControl w:val="0"/>
              <w:spacing w:before="0" w:after="0" w:line="260" w:lineRule="exact"/>
              <w:ind w:left="3400"/>
              <w:jc w:val="left"/>
              <w:rPr>
                <w:sz w:val="20"/>
                <w:szCs w:val="20"/>
              </w:rPr>
            </w:pPr>
          </w:p>
          <w:p w:rsidR="00A12775" w14:paraId="4D82F832" w14:textId="77777777">
            <w:pPr>
              <w:pStyle w:val="Poglavje"/>
              <w:widowControl w:val="0"/>
              <w:spacing w:before="0" w:after="0" w:line="260" w:lineRule="exact"/>
              <w:ind w:left="3400"/>
              <w:jc w:val="left"/>
              <w:rPr>
                <w:b w:val="0"/>
                <w:bCs/>
                <w:sz w:val="20"/>
                <w:szCs w:val="20"/>
              </w:rPr>
            </w:pPr>
            <w:r>
              <w:rPr>
                <w:sz w:val="20"/>
                <w:szCs w:val="20"/>
              </w:rPr>
              <w:t xml:space="preserve">                                    </w:t>
            </w:r>
            <w:r>
              <w:rPr>
                <w:b w:val="0"/>
                <w:bCs/>
                <w:sz w:val="20"/>
                <w:szCs w:val="20"/>
              </w:rPr>
              <w:t>mag. Marko Lovše</w:t>
            </w:r>
          </w:p>
          <w:p w:rsidR="00A12775" w14:paraId="34786A89" w14:textId="77777777">
            <w:pPr>
              <w:pStyle w:val="Poglavje"/>
              <w:widowControl w:val="0"/>
              <w:spacing w:before="0" w:after="0" w:line="260" w:lineRule="exact"/>
              <w:ind w:left="3400"/>
              <w:jc w:val="left"/>
              <w:rPr>
                <w:b w:val="0"/>
                <w:bCs/>
                <w:sz w:val="20"/>
                <w:szCs w:val="20"/>
              </w:rPr>
            </w:pPr>
            <w:r>
              <w:rPr>
                <w:b w:val="0"/>
                <w:bCs/>
                <w:sz w:val="20"/>
                <w:szCs w:val="20"/>
              </w:rPr>
              <w:t xml:space="preserve">                                       državni sekretar</w:t>
            </w:r>
          </w:p>
          <w:p w:rsidR="00A12775" w14:paraId="0A9BD17B" w14:textId="77777777">
            <w:pPr>
              <w:pStyle w:val="Poglavje"/>
              <w:widowControl w:val="0"/>
              <w:spacing w:before="0" w:after="0" w:line="260" w:lineRule="exact"/>
              <w:ind w:left="3400"/>
              <w:jc w:val="left"/>
              <w:rPr>
                <w:sz w:val="20"/>
                <w:szCs w:val="20"/>
              </w:rPr>
            </w:pPr>
          </w:p>
        </w:tc>
      </w:tr>
    </w:tbl>
    <w:p w:rsidR="00A12775" w:rsidP="00A12775" w14:paraId="601854D1" w14:textId="77777777">
      <w:pPr>
        <w:pStyle w:val="podpisi"/>
        <w:tabs>
          <w:tab w:val="left" w:pos="708"/>
        </w:tabs>
        <w:rPr>
          <w:rFonts w:cs="Arial"/>
          <w:b/>
          <w:szCs w:val="20"/>
          <w:lang w:val="sl-SI"/>
        </w:rPr>
      </w:pPr>
    </w:p>
    <w:p w:rsidR="00A12775" w:rsidP="00A12775" w14:paraId="207ABC94" w14:textId="77777777">
      <w:pPr>
        <w:pStyle w:val="podpisi"/>
        <w:tabs>
          <w:tab w:val="left" w:pos="708"/>
        </w:tabs>
        <w:rPr>
          <w:rFonts w:cs="Arial"/>
          <w:szCs w:val="20"/>
          <w:lang w:val="sl-SI"/>
        </w:rPr>
      </w:pPr>
      <w:r>
        <w:rPr>
          <w:rFonts w:cs="Arial"/>
          <w:szCs w:val="20"/>
          <w:lang w:val="sl-SI"/>
        </w:rPr>
        <w:t>Priloge:</w:t>
      </w:r>
    </w:p>
    <w:p w:rsidR="00A12775" w:rsidP="00A12775" w14:paraId="1FA14DC3" w14:textId="77777777">
      <w:pPr>
        <w:pStyle w:val="podpisi"/>
        <w:tabs>
          <w:tab w:val="left" w:pos="708"/>
        </w:tabs>
        <w:ind w:left="360"/>
        <w:rPr>
          <w:rFonts w:cs="Arial"/>
          <w:szCs w:val="20"/>
          <w:lang w:val="sl-SI"/>
        </w:rPr>
      </w:pPr>
    </w:p>
    <w:p w:rsidR="00A12775" w:rsidP="00A12775" w14:paraId="0A30FD12" w14:textId="77777777">
      <w:pPr>
        <w:pStyle w:val="podpisi"/>
        <w:numPr>
          <w:ilvl w:val="0"/>
          <w:numId w:val="36"/>
        </w:numPr>
        <w:tabs>
          <w:tab w:val="left" w:pos="708"/>
        </w:tabs>
        <w:rPr>
          <w:rFonts w:cs="Arial"/>
          <w:szCs w:val="20"/>
          <w:lang w:val="sl-SI"/>
        </w:rPr>
      </w:pPr>
      <w:r>
        <w:rPr>
          <w:rFonts w:cs="Arial"/>
          <w:szCs w:val="20"/>
          <w:lang w:val="sl-SI"/>
        </w:rPr>
        <w:t xml:space="preserve">Razdelilnik sofinanciranja »Fundacije Poti miru v Posočju« po ministrstvih v obdobju od 2026 do 2030. </w:t>
      </w:r>
    </w:p>
    <w:p w:rsidR="00A12775" w:rsidP="00A12775" w14:paraId="14695D1B" w14:textId="77777777">
      <w:pPr>
        <w:pStyle w:val="Naslovpredpisa"/>
        <w:spacing w:before="0" w:after="0" w:line="260" w:lineRule="exact"/>
        <w:jc w:val="both"/>
        <w:rPr>
          <w:sz w:val="20"/>
          <w:szCs w:val="20"/>
        </w:rPr>
      </w:pPr>
    </w:p>
    <w:p w:rsidR="00A12775" w:rsidP="00A12775" w14:paraId="292585D0" w14:textId="77777777">
      <w:pPr>
        <w:pStyle w:val="Naslovpredpisa"/>
        <w:spacing w:before="0" w:after="0" w:line="260" w:lineRule="exact"/>
        <w:jc w:val="both"/>
        <w:rPr>
          <w:sz w:val="20"/>
          <w:szCs w:val="20"/>
        </w:rPr>
      </w:pPr>
    </w:p>
    <w:p w:rsidR="00A12775" w:rsidP="00A12775" w14:paraId="1F8B4E76" w14:textId="77777777">
      <w:pPr>
        <w:pStyle w:val="Naslovpredpisa"/>
        <w:spacing w:before="0" w:after="0" w:line="260" w:lineRule="exact"/>
        <w:jc w:val="both"/>
        <w:rPr>
          <w:sz w:val="20"/>
          <w:szCs w:val="20"/>
        </w:rPr>
      </w:pPr>
    </w:p>
    <w:p w:rsidR="00A12775" w:rsidP="00A12775" w14:paraId="3E4DCCCC" w14:textId="77777777">
      <w:pPr>
        <w:pStyle w:val="Naslovpredpisa"/>
        <w:spacing w:before="0" w:after="0" w:line="260" w:lineRule="exact"/>
        <w:jc w:val="both"/>
        <w:rPr>
          <w:sz w:val="20"/>
          <w:szCs w:val="20"/>
        </w:rPr>
      </w:pPr>
    </w:p>
    <w:p w:rsidR="00A12775" w:rsidP="00A12775" w14:paraId="49B69656" w14:textId="77777777">
      <w:pPr>
        <w:pStyle w:val="Naslovpredpisa"/>
        <w:spacing w:before="0" w:after="0" w:line="260" w:lineRule="exact"/>
        <w:jc w:val="both"/>
        <w:rPr>
          <w:sz w:val="20"/>
          <w:szCs w:val="20"/>
        </w:rPr>
      </w:pPr>
    </w:p>
    <w:p w:rsidR="00A12775" w:rsidP="00A12775" w14:paraId="7CB22E1E" w14:textId="77777777">
      <w:pPr>
        <w:pStyle w:val="Naslovpredpisa"/>
        <w:spacing w:before="0" w:after="0" w:line="260" w:lineRule="exact"/>
        <w:jc w:val="both"/>
        <w:rPr>
          <w:sz w:val="20"/>
          <w:szCs w:val="20"/>
        </w:rPr>
      </w:pPr>
    </w:p>
    <w:p w:rsidR="00A12775" w:rsidP="00A12775" w14:paraId="5AA01CAC" w14:textId="77777777">
      <w:pPr>
        <w:pStyle w:val="Naslovpredpisa"/>
        <w:spacing w:before="0" w:after="0" w:line="260" w:lineRule="exact"/>
        <w:jc w:val="both"/>
        <w:rPr>
          <w:sz w:val="20"/>
          <w:szCs w:val="20"/>
        </w:rPr>
      </w:pPr>
      <w:r>
        <w:rPr>
          <w:b w:val="0"/>
          <w:sz w:val="20"/>
          <w:szCs w:val="20"/>
        </w:rPr>
        <w:br w:type="page"/>
      </w:r>
    </w:p>
    <w:p w:rsidR="007D2790" w:rsidP="007D2790" w14:paraId="58E9AD4A" w14:textId="77777777">
      <w:pPr>
        <w:spacing w:after="0"/>
        <w:jc w:val="center"/>
        <w:rPr>
          <w:rFonts w:ascii="Arial" w:hAnsi="Arial" w:cs="Arial"/>
          <w:b/>
          <w:bCs/>
          <w:sz w:val="20"/>
          <w:szCs w:val="20"/>
        </w:rPr>
      </w:pPr>
      <w:r w:rsidRPr="00CC64EE">
        <w:rPr>
          <w:rFonts w:ascii="Arial" w:hAnsi="Arial" w:cs="Arial"/>
          <w:b/>
          <w:bCs/>
          <w:sz w:val="20"/>
          <w:szCs w:val="20"/>
        </w:rPr>
        <w:t xml:space="preserve">Informacija </w:t>
      </w:r>
      <w:bookmarkStart w:id="3" w:name="_GoBack"/>
      <w:bookmarkEnd w:id="3"/>
    </w:p>
    <w:p w:rsidR="00A12775" w:rsidP="00CC64EE" w14:paraId="779077CD" w14:textId="4D47DCAD">
      <w:pPr>
        <w:jc w:val="center"/>
        <w:rPr>
          <w:rFonts w:ascii="Arial" w:hAnsi="Arial" w:cs="Arial"/>
          <w:b/>
          <w:bCs/>
          <w:sz w:val="20"/>
          <w:szCs w:val="20"/>
        </w:rPr>
      </w:pPr>
      <w:r w:rsidRPr="00CC64EE">
        <w:rPr>
          <w:rFonts w:ascii="Arial" w:hAnsi="Arial" w:cs="Arial"/>
          <w:b/>
          <w:bCs/>
          <w:sz w:val="20"/>
          <w:szCs w:val="20"/>
        </w:rPr>
        <w:t>o nadaljevanju projekta Poti miru v Posočju za obdobje 2026 – 2030</w:t>
      </w:r>
    </w:p>
    <w:p w:rsidR="00CC64EE" w:rsidP="00CC64EE" w14:paraId="5B8660D5" w14:textId="77777777">
      <w:pPr>
        <w:jc w:val="center"/>
        <w:rPr>
          <w:rFonts w:ascii="Arial" w:hAnsi="Arial" w:cs="Arial"/>
          <w:b/>
          <w:bCs/>
          <w:sz w:val="20"/>
          <w:szCs w:val="20"/>
        </w:rPr>
      </w:pPr>
    </w:p>
    <w:p w:rsidR="00A12775" w:rsidP="00A12775" w14:paraId="7C50DCE5" w14:textId="77777777">
      <w:pPr>
        <w:jc w:val="both"/>
        <w:rPr>
          <w:rFonts w:ascii="Arial" w:hAnsi="Arial" w:cs="Arial"/>
          <w:sz w:val="20"/>
          <w:szCs w:val="20"/>
        </w:rPr>
      </w:pPr>
      <w:r>
        <w:rPr>
          <w:rFonts w:ascii="Arial" w:hAnsi="Arial" w:cs="Arial"/>
          <w:sz w:val="20"/>
          <w:szCs w:val="20"/>
        </w:rPr>
        <w:t xml:space="preserve">Projekt »Poti miru v Posočju«, ki ga izvaja Ustanova »Fundacija Poti miru v Posočju«, predstavlja enega ključnih primerov celostnega in strokovno vodenega ohranjanja vojaške dediščine iz obdobja prve svetovne vojne v Sloveniji in širšem evropskem prostoru. Zasnovan je bil kot nacionalni in mednarodni projekt, ki združuje vrednote miru, spomina, raziskovanja, izobraževanja, kulturnega sodelovanja in trajnostnega turizma. V več kot dveh desetletjih delovanja je projekt izkazal vrhunske rezultate na strokovnem, kulturnem, raziskovalnem, promocijskem in povezovalnem področju. </w:t>
      </w:r>
    </w:p>
    <w:p w:rsidR="00A12775" w:rsidP="00A12775" w14:paraId="45372CE9" w14:textId="77777777">
      <w:pPr>
        <w:pStyle w:val="NormalWeb"/>
        <w:spacing w:before="0" w:beforeAutospacing="0" w:after="200" w:afterAutospacing="0" w:line="276" w:lineRule="auto"/>
        <w:jc w:val="both"/>
        <w:rPr>
          <w:rFonts w:ascii="Arial" w:hAnsi="Arial" w:cs="Arial"/>
          <w:sz w:val="20"/>
          <w:szCs w:val="20"/>
        </w:rPr>
      </w:pPr>
      <w:r>
        <w:rPr>
          <w:rFonts w:ascii="Arial" w:hAnsi="Arial" w:cs="Arial"/>
          <w:sz w:val="20"/>
          <w:szCs w:val="20"/>
        </w:rPr>
        <w:t>Vlada Republike Slovenije (v nadaljnjem besedilu: Vlada RS) je na 17. seji dne 21. 9. 2000 s sklepom št. 634-06/2000-2 podprla pobudo za oblikovanje desetletnega nacionalnega in mednarodnega projekta »Posočje – Pot miru«. Ob tem je predlagala ustanovitev posebne fundacije, ki bo projekt izvajala, ter zavezala pristojna ministrstva k zagotavljanju financiranja. Na tej podlagi je bila 1. 12. 2000 ustanovljena neprofitna Ustanova »Fundacija Poti miru v Posočju«. Namen Ustanove je splošno koristen. Njeno delovanje je usmerjeno v obnovo, ohranjanje in predstavitev nacionalno in mednarodno pomembne zgodovinske dediščine iz obdobja prve svetovne vojne na območju soške fronte v študijske, izobraževalne in turistične namene.</w:t>
      </w:r>
    </w:p>
    <w:p w:rsidR="00A12775" w:rsidP="00A12775" w14:paraId="70C2B9E3" w14:textId="77777777">
      <w:pPr>
        <w:pStyle w:val="NormalWeb"/>
        <w:spacing w:before="0" w:beforeAutospacing="0" w:after="200" w:afterAutospacing="0" w:line="276" w:lineRule="auto"/>
        <w:jc w:val="both"/>
        <w:rPr>
          <w:rFonts w:ascii="Arial" w:hAnsi="Arial" w:cs="Arial"/>
          <w:sz w:val="20"/>
          <w:szCs w:val="20"/>
        </w:rPr>
      </w:pPr>
      <w:r>
        <w:rPr>
          <w:rFonts w:ascii="Arial" w:hAnsi="Arial" w:cs="Arial"/>
          <w:sz w:val="20"/>
          <w:szCs w:val="20"/>
        </w:rPr>
        <w:t>Zaradi uspešnega izvajanja projekta v prvem desetletju je Vlada RS na 115. seji dne 6. 1. 2011 s sklepom št. 30301-6/2010/4 potrdila nadaljevanje projekta za obdobje 1. 1. 2011 do 31. 12. 2015. Za njegovo sofinanciranje so bila zadolžena: Ministrstvo za šolstvo, znanost in tehnologijo, Ministrstvo za obrambo in Ministrstvo za delo, družino, socialne zadeve in enake možnosti. Na 67. redni seji dne 16. 12. 2015 je Vlada RS s sklepom št. 30301-4/2015/5 potrdila nadaljnje izvajanje projekta v obdobju 1. 1. 2016 do 31. 12. 2020. Za sofinanciranje so bila zadolžena: Ministrstvo za visoko šolstvo, znanost in tehnologijo, Ministrstvo za obrambo in Ministrstvo za delo, družino, socialne zadeve in enake možnosti. Za obdobje 2021–2025 se je obstoječim sofinancerjem pridružilo še Ministrstvo za gospodarski razvoj in tehnologijo. Zaradi prenosa določenih nalog z Ministrstva za delo, družino, socialne zadeve in enake možnosti na Ministrstvo za obrambo to ministrstvo od leta 2023 ni več med sofinancerji. Ministrstvo za kulturo je leta 2020 na podlagi vloge Ustanove izdalo odločbo, s katero je Ustanova »Fundacija Poti miru v Posočju« pridobila status nevladne organizacije v javnem interesu na področju kulture.</w:t>
      </w:r>
    </w:p>
    <w:p w:rsidR="00A12775" w:rsidP="00A12775" w14:paraId="79623219" w14:textId="77777777">
      <w:pPr>
        <w:jc w:val="both"/>
        <w:rPr>
          <w:rFonts w:ascii="Arial" w:hAnsi="Arial" w:cs="Arial"/>
          <w:sz w:val="20"/>
          <w:szCs w:val="20"/>
        </w:rPr>
      </w:pPr>
      <w:r>
        <w:rPr>
          <w:rFonts w:ascii="Arial" w:hAnsi="Arial" w:cs="Arial"/>
          <w:sz w:val="20"/>
          <w:szCs w:val="20"/>
        </w:rPr>
        <w:t xml:space="preserve">Rezultati izvajanja projekta »Pot miru v Posočju« so izjemni in imajo pomemben učinek na območju Republike Slovenije, v čezmejnem prostoru in širše po Evropi. V zadnjih petih letih je projekt presegel lokalne in državne okvire ter postal primer dobre prakse v evropskem prostoru. Ustanova »Fundacija Poti miru v Posočju« skupaj z drugimi slovenskimi partnerji, zlasti Posoškim razvojnim centrom in ZRC SAZU, koordinira mrežo institucij, ki se ukvarjajo z dediščino prve svetovne vojne iz 11 držav (Slovenije, Italije, Avstrije, Madžarske, Slovaške, Poljske, Belgije, Češke, Bolgarije, Ukrajine in Francije). S podporo evropskih programov </w:t>
      </w:r>
      <w:r>
        <w:rPr>
          <w:rFonts w:ascii="Arial" w:hAnsi="Arial" w:cs="Arial"/>
          <w:sz w:val="20"/>
          <w:szCs w:val="20"/>
        </w:rPr>
        <w:t>Interreg</w:t>
      </w:r>
      <w:r>
        <w:rPr>
          <w:rFonts w:ascii="Arial" w:hAnsi="Arial" w:cs="Arial"/>
          <w:sz w:val="20"/>
          <w:szCs w:val="20"/>
        </w:rPr>
        <w:t xml:space="preserve"> in v zadnjih dveh letih tudi znotraj pobude Evropske prestolnice kulture Nova Gorica–Gorica 2025, se čezmejna Pot miru intenzivno krepi, ob tem pa se razvija tudi širša Evropska pot miru. Ustanova je leta 2007 vzpostavila 100 km dolgo Pot miru v Zgornjem Posočju, nato pa skupaj z občinami in drugimi lokalnimi institucijami povezala posamezne zgodovinske poti na Sabotinu in Krasu v enotno regijsko pot. Leta 2015 je v okviru čezmejnega </w:t>
      </w:r>
      <w:r>
        <w:rPr>
          <w:rFonts w:ascii="Arial" w:hAnsi="Arial" w:cs="Arial"/>
          <w:sz w:val="20"/>
          <w:szCs w:val="20"/>
        </w:rPr>
        <w:t>Interreg</w:t>
      </w:r>
      <w:r>
        <w:rPr>
          <w:rFonts w:ascii="Arial" w:hAnsi="Arial" w:cs="Arial"/>
          <w:sz w:val="20"/>
          <w:szCs w:val="20"/>
        </w:rPr>
        <w:t xml:space="preserve"> projekta </w:t>
      </w:r>
      <w:r>
        <w:rPr>
          <w:rStyle w:val="Emphasis"/>
          <w:rFonts w:ascii="Arial" w:hAnsi="Arial" w:cs="Arial"/>
          <w:sz w:val="20"/>
          <w:szCs w:val="20"/>
        </w:rPr>
        <w:t>Pot miru / Via di pace</w:t>
      </w:r>
      <w:r>
        <w:rPr>
          <w:rFonts w:ascii="Arial" w:hAnsi="Arial" w:cs="Arial"/>
          <w:sz w:val="20"/>
          <w:szCs w:val="20"/>
        </w:rPr>
        <w:t xml:space="preserve">, na skupnem trgu med Novo Gorico in Gorico ter ob častnem pokroviteljstvu obeh predsednikov držav in prisotnosti slovenskega predsednika, odprla prvo čezmejno traso Poti miru od Alp do Jadrana, dolgo 370 km. Ta povezava nekoč razdeljenega obmejnega prostora Slovenije in Italije danes ponuja številne priložnosti za skupni raziskovalni in turistični razvoj. Trasa se je v naslednjih letih nadgrajevala; danes Pot miru, ki se začne v Logu pod Mangartom in konča v Trstu, meri 520 km. Poleg te poti je v idejo Poti miru vključenih še okoli 200 drugih spomenikov iz časa prve svetovne vojne, razpršenih med Ljubljano, Kranjsko Goro, Bohinjem, Logatcem in Pivko ter </w:t>
      </w:r>
      <w:r>
        <w:rPr>
          <w:rFonts w:ascii="Arial" w:hAnsi="Arial" w:cs="Arial"/>
          <w:sz w:val="20"/>
          <w:szCs w:val="20"/>
        </w:rPr>
        <w:t>Ragogno</w:t>
      </w:r>
      <w:r>
        <w:rPr>
          <w:rFonts w:ascii="Arial" w:hAnsi="Arial" w:cs="Arial"/>
          <w:sz w:val="20"/>
          <w:szCs w:val="20"/>
        </w:rPr>
        <w:t xml:space="preserve"> in Benetkami.</w:t>
      </w:r>
    </w:p>
    <w:p w:rsidR="00A12775" w:rsidP="00A12775" w14:paraId="4728D401" w14:textId="77777777">
      <w:pPr>
        <w:pStyle w:val="NormalWeb"/>
        <w:spacing w:before="0" w:beforeAutospacing="0" w:after="200" w:afterAutospacing="0" w:line="276" w:lineRule="auto"/>
        <w:jc w:val="both"/>
        <w:rPr>
          <w:rFonts w:ascii="Arial" w:hAnsi="Arial" w:cs="Arial"/>
          <w:sz w:val="20"/>
          <w:szCs w:val="20"/>
        </w:rPr>
      </w:pPr>
      <w:r>
        <w:rPr>
          <w:rFonts w:ascii="Arial" w:hAnsi="Arial" w:cs="Arial"/>
          <w:sz w:val="20"/>
          <w:szCs w:val="20"/>
        </w:rPr>
        <w:t>Dediščina soške fronte in Pot miru v Sloveniji sta bili leta 2016 vpisani na Unesco poskusni seznam (</w:t>
      </w:r>
      <w:hyperlink r:id="rId8" w:tgtFrame="_new" w:history="1">
        <w:r>
          <w:rPr>
            <w:rStyle w:val="Hyperlink"/>
            <w:rFonts w:cs="Arial"/>
            <w:sz w:val="20"/>
            <w:szCs w:val="20"/>
          </w:rPr>
          <w:t>https://whc.unesco.org/en/tentativelists/6077/</w:t>
        </w:r>
      </w:hyperlink>
      <w:r>
        <w:rPr>
          <w:rFonts w:ascii="Arial" w:hAnsi="Arial" w:cs="Arial"/>
          <w:sz w:val="20"/>
          <w:szCs w:val="20"/>
        </w:rPr>
        <w:t xml:space="preserve">). Pripravljen je bil tudi obsežen tehnični del </w:t>
      </w:r>
      <w:r>
        <w:rPr>
          <w:rFonts w:ascii="Arial" w:hAnsi="Arial" w:cs="Arial"/>
          <w:sz w:val="20"/>
          <w:szCs w:val="20"/>
        </w:rPr>
        <w:t>nominacijskega</w:t>
      </w:r>
      <w:r>
        <w:rPr>
          <w:rFonts w:ascii="Arial" w:hAnsi="Arial" w:cs="Arial"/>
          <w:sz w:val="20"/>
          <w:szCs w:val="20"/>
        </w:rPr>
        <w:t xml:space="preserve"> dosjeja, ki bo služil nadaljnjemu razvoju za uvrstitev na Unescov seznam svetovne dediščine.</w:t>
      </w:r>
    </w:p>
    <w:p w:rsidR="00A12775" w:rsidP="00A12775" w14:paraId="045A0C00" w14:textId="77777777">
      <w:pPr>
        <w:pStyle w:val="NormalWeb"/>
        <w:spacing w:before="0" w:beforeAutospacing="0" w:after="200" w:afterAutospacing="0" w:line="276" w:lineRule="auto"/>
        <w:jc w:val="both"/>
        <w:rPr>
          <w:rFonts w:ascii="Arial" w:hAnsi="Arial" w:cs="Arial"/>
          <w:sz w:val="20"/>
          <w:szCs w:val="20"/>
        </w:rPr>
      </w:pPr>
      <w:r>
        <w:rPr>
          <w:rFonts w:ascii="Arial" w:hAnsi="Arial" w:cs="Arial"/>
          <w:sz w:val="20"/>
          <w:szCs w:val="20"/>
        </w:rPr>
        <w:t xml:space="preserve">V času obeleževanja stoletnice prve svetovne vojne (2014–2018) je bila Ustanova ena izmed najbolj aktivnih članic Nacionalnega odbora za obeleževanje 100-letnic prve svetovne vojne ter koordinatorka in izvajalka številnih dogodkov in pobud. V letih 2018 in 2019 so bili na državni ravni postavljeni spomeniki padlim slovenskim vojakom v Ukrajini, Rusiji in na Poljskem, leta 2024 pa še na Slovaškem. Ustanova je bila v vse te aktivnosti intenzivno vključena. Kot projektni partner in pogosto tudi kot idejni vodja je Ustanova v prvih 20 letih delovanja izvedla 16 evropskih in državnih projektov. V zadnjem petletnem obdobju je leta 2022 uspešno zaključila strateški čezmejni projekt </w:t>
      </w:r>
      <w:r>
        <w:rPr>
          <w:rStyle w:val="Emphasis"/>
          <w:rFonts w:ascii="Arial" w:hAnsi="Arial" w:cs="Arial"/>
          <w:sz w:val="20"/>
          <w:szCs w:val="20"/>
        </w:rPr>
        <w:t>WALKofPEACE</w:t>
      </w:r>
      <w:r>
        <w:rPr>
          <w:rFonts w:ascii="Arial" w:hAnsi="Arial" w:cs="Arial"/>
          <w:sz w:val="20"/>
          <w:szCs w:val="20"/>
        </w:rPr>
        <w:t xml:space="preserve">, ki je zaradi pandemije covida trajal do leta 2022, bil pa je že leta 2020 razglašen za najboljši </w:t>
      </w:r>
      <w:r>
        <w:rPr>
          <w:rFonts w:ascii="Arial" w:hAnsi="Arial" w:cs="Arial"/>
          <w:sz w:val="20"/>
          <w:szCs w:val="20"/>
        </w:rPr>
        <w:t>Interreg</w:t>
      </w:r>
      <w:r>
        <w:rPr>
          <w:rFonts w:ascii="Arial" w:hAnsi="Arial" w:cs="Arial"/>
          <w:sz w:val="20"/>
          <w:szCs w:val="20"/>
        </w:rPr>
        <w:t xml:space="preserve"> projekt v Evropi. V novi finančni perspektivi Ustanova v sodelovanju s slovenskimi partnerji (ZRC SAZU, Posoški razvojni center in Občina Miren - Kostanjevica) izvaja dva projekta v okviru Programa </w:t>
      </w:r>
      <w:r>
        <w:rPr>
          <w:rFonts w:ascii="Arial" w:hAnsi="Arial" w:cs="Arial"/>
          <w:sz w:val="20"/>
          <w:szCs w:val="20"/>
        </w:rPr>
        <w:t>Interreg</w:t>
      </w:r>
      <w:r>
        <w:rPr>
          <w:rFonts w:ascii="Arial" w:hAnsi="Arial" w:cs="Arial"/>
          <w:sz w:val="20"/>
          <w:szCs w:val="20"/>
        </w:rPr>
        <w:t xml:space="preserve"> Italija–Slovenija (</w:t>
      </w:r>
      <w:r>
        <w:rPr>
          <w:rStyle w:val="Emphasis"/>
          <w:rFonts w:ascii="Arial" w:hAnsi="Arial" w:cs="Arial"/>
          <w:sz w:val="20"/>
          <w:szCs w:val="20"/>
        </w:rPr>
        <w:t>Walk</w:t>
      </w:r>
      <w:r>
        <w:rPr>
          <w:rStyle w:val="Emphasis"/>
          <w:rFonts w:ascii="Arial" w:hAnsi="Arial" w:cs="Arial"/>
          <w:sz w:val="20"/>
          <w:szCs w:val="20"/>
        </w:rPr>
        <w:t xml:space="preserve"> </w:t>
      </w:r>
      <w:r>
        <w:rPr>
          <w:rStyle w:val="Emphasis"/>
          <w:rFonts w:ascii="Arial" w:hAnsi="Arial" w:cs="Arial"/>
          <w:sz w:val="20"/>
          <w:szCs w:val="20"/>
        </w:rPr>
        <w:t>of</w:t>
      </w:r>
      <w:r>
        <w:rPr>
          <w:rStyle w:val="Emphasis"/>
          <w:rFonts w:ascii="Arial" w:hAnsi="Arial" w:cs="Arial"/>
          <w:sz w:val="20"/>
          <w:szCs w:val="20"/>
        </w:rPr>
        <w:t xml:space="preserve"> </w:t>
      </w:r>
      <w:r>
        <w:rPr>
          <w:rStyle w:val="Emphasis"/>
          <w:rFonts w:ascii="Arial" w:hAnsi="Arial" w:cs="Arial"/>
          <w:sz w:val="20"/>
          <w:szCs w:val="20"/>
        </w:rPr>
        <w:t>Peace</w:t>
      </w:r>
      <w:r>
        <w:rPr>
          <w:rStyle w:val="Emphasis"/>
          <w:rFonts w:ascii="Arial" w:hAnsi="Arial" w:cs="Arial"/>
          <w:sz w:val="20"/>
          <w:szCs w:val="20"/>
        </w:rPr>
        <w:t>+</w:t>
      </w:r>
      <w:r>
        <w:rPr>
          <w:rFonts w:ascii="Arial" w:hAnsi="Arial" w:cs="Arial"/>
          <w:sz w:val="20"/>
          <w:szCs w:val="20"/>
        </w:rPr>
        <w:t xml:space="preserve">, do februarja 2026, in </w:t>
      </w:r>
      <w:r>
        <w:rPr>
          <w:rStyle w:val="Emphasis"/>
          <w:rFonts w:ascii="Arial" w:hAnsi="Arial" w:cs="Arial"/>
          <w:sz w:val="20"/>
          <w:szCs w:val="20"/>
        </w:rPr>
        <w:t>BeWoP</w:t>
      </w:r>
      <w:r>
        <w:rPr>
          <w:rFonts w:ascii="Arial" w:hAnsi="Arial" w:cs="Arial"/>
          <w:sz w:val="20"/>
          <w:szCs w:val="20"/>
        </w:rPr>
        <w:t xml:space="preserve">, do oktobra 2026, kjer nastopa kot vodilni partner) ter projekt </w:t>
      </w:r>
      <w:r>
        <w:rPr>
          <w:rStyle w:val="Emphasis"/>
          <w:rFonts w:ascii="Arial" w:hAnsi="Arial" w:cs="Arial"/>
          <w:sz w:val="20"/>
          <w:szCs w:val="20"/>
        </w:rPr>
        <w:t>GOV4PeaCE</w:t>
      </w:r>
      <w:r>
        <w:rPr>
          <w:rFonts w:ascii="Arial" w:hAnsi="Arial" w:cs="Arial"/>
          <w:sz w:val="20"/>
          <w:szCs w:val="20"/>
        </w:rPr>
        <w:t xml:space="preserve"> v okviru programa </w:t>
      </w:r>
      <w:r>
        <w:rPr>
          <w:rFonts w:ascii="Arial" w:hAnsi="Arial" w:cs="Arial"/>
          <w:sz w:val="20"/>
          <w:szCs w:val="20"/>
        </w:rPr>
        <w:t>Interreg</w:t>
      </w:r>
      <w:r>
        <w:rPr>
          <w:rFonts w:ascii="Arial" w:hAnsi="Arial" w:cs="Arial"/>
          <w:sz w:val="20"/>
          <w:szCs w:val="20"/>
        </w:rPr>
        <w:t xml:space="preserve"> Centralna Evropa (od maja 2024 do oktobra 2026).</w:t>
      </w:r>
    </w:p>
    <w:p w:rsidR="00A12775" w:rsidP="00A12775" w14:paraId="0D8B031E" w14:textId="77777777">
      <w:pPr>
        <w:pStyle w:val="NormalWeb"/>
        <w:spacing w:before="0" w:beforeAutospacing="0" w:after="200" w:afterAutospacing="0" w:line="276" w:lineRule="auto"/>
        <w:jc w:val="both"/>
        <w:rPr>
          <w:rFonts w:ascii="Arial" w:hAnsi="Arial" w:cs="Arial"/>
          <w:sz w:val="20"/>
          <w:szCs w:val="20"/>
        </w:rPr>
      </w:pPr>
      <w:r>
        <w:rPr>
          <w:rFonts w:ascii="Arial" w:hAnsi="Arial" w:cs="Arial"/>
          <w:sz w:val="20"/>
          <w:szCs w:val="20"/>
        </w:rPr>
        <w:t>Ob investicijah, raziskovalnih in promocijskih dejavnostih, knjigi in filmu o Poti miru ter številnih kulturnih in strokovnih dogodkih, nastaja tudi dokumentacija ter mreža dobrih partnerjev za vpis Evropske poti miru med Kulturne poti Sveta Evrope ter nadaljnjega sodelovanja s spominskimi kraji prve svetovne vojne v Franciji in Belgiji, ki so že vpisani na Unesco seznam. Od ustanovitve naprej je Ustanova izvedla številne študijsko-izobraževalne aktivnosti: popis padlih vojakov, izdajanje publikacij, zbiranje gradiva v Zgodovinski knjižnici, pripravo razstav, organizacijo simpozijev in usposabljanje različnih ciljnih skupin. V prvem desetletju je Ustanova skupaj s Tolminskim muzejem in raziskovalcem Lovrom Galićem raziskala vojaška pokopališča v Zgornjem Posočju (9 pokopališč, približno 21.000 vojakov). V zadnjih 10 letih se osredotoča na območje Goriške in Krasa, v sodelovanju z ZRC SAZU je evidentiranih že 40 pokopališč s približno 50.000 pokopanimi. Nove raziskave in spletna stran bodo predstavljene javnosti jeseni letos.</w:t>
      </w:r>
    </w:p>
    <w:p w:rsidR="00A12775" w:rsidP="00A12775" w14:paraId="29034255" w14:textId="77777777">
      <w:pPr>
        <w:pStyle w:val="NormalWeb"/>
        <w:spacing w:before="0" w:beforeAutospacing="0" w:after="200" w:afterAutospacing="0" w:line="276" w:lineRule="auto"/>
        <w:jc w:val="both"/>
        <w:rPr>
          <w:rFonts w:ascii="Arial" w:hAnsi="Arial" w:cs="Arial"/>
          <w:sz w:val="20"/>
          <w:szCs w:val="20"/>
        </w:rPr>
      </w:pPr>
      <w:r>
        <w:rPr>
          <w:rFonts w:ascii="Arial" w:hAnsi="Arial" w:cs="Arial"/>
          <w:sz w:val="20"/>
          <w:szCs w:val="20"/>
        </w:rPr>
        <w:t xml:space="preserve">V prvih letih so nastali večjezični vodniki in zgibanke za Zgornje Posočje, v zadnjem desetletju pa promocijski materiali za celotno traso od Alp do Jadrana. Pripravljene so bile razstave o soški fronti, vlogi žensk, letalstvu, dediščini ipd. V zadnjih letih Ustanova z znanjem in gradivom podpira razstave drugih institucij. Aktivno sodeluje na domačih in tujih strokovnih konferencah ter organizira številne predstavitve projekta za različne ciljne skupine v Sloveniji, Italiji in širše. V sodelovanju s Kobariškim muzejem in ZRC SAZU je izšla dvojezična knjiga »Zgodbe na Poti miru«, s spomini vojakov. V Zgodovinski knjižnici je zbranih okoli 3.390 knjig; letos je v pripravi nov prostor za knjižnico in dokumentacijski center. Ustanova redno organizira konference, v zadnjih letih predvsem o raziskovanju vojaških pokopališč. Izvaja izobraževanja za mlade, turistične vodnike, strokovno javnost doma in v tujini (v letu 2024 tudi za Unesco strokovnjake iz Francije in Belgije). Ob koncu letošnjega leta bo izdala knjigo »Dolga je pot do miru« (v slovenščini in italijanščini), nastalo v sodelovanju z novinarjema iz obeh držav. V sodelovanju z Občino Kobarid nastaja tudi »Kobariški zbornik«, ki bo predstavljen ob 30-letnici občine oktobra letos. Do danes je bilo obnovljenih 45 spomenikov in obeležij, urejeni so bili muzeji na prostem, postavljene informativne table, v obnovljeni spomeniško zaščiteni stavbi v Kobaridu pa deluje Informacijski center Poti miru. Ustanova pri vzdrževanju sodeluje z občinami, lastniki in Zavodom za varstvo kulturne dediščine. Vzpostavljena je celostna grafična in komunikacijska podoba projekta, ki jo uporabljajo tudi partnerji iz Furlanije - Julijske krajine. Realiziranih je bilo več deset dogodkov letno; v letih 2014–2018 tudi do 35 letno. Posneti so številni promocijski filmi, aktivni so profili na družbenih omrežjih (YouTube, Facebook, </w:t>
      </w:r>
      <w:r>
        <w:rPr>
          <w:rFonts w:ascii="Arial" w:hAnsi="Arial" w:cs="Arial"/>
          <w:sz w:val="20"/>
          <w:szCs w:val="20"/>
        </w:rPr>
        <w:t>Instagram</w:t>
      </w:r>
      <w:r>
        <w:rPr>
          <w:rFonts w:ascii="Arial" w:hAnsi="Arial" w:cs="Arial"/>
          <w:sz w:val="20"/>
          <w:szCs w:val="20"/>
        </w:rPr>
        <w:t xml:space="preserve">, </w:t>
      </w:r>
      <w:r>
        <w:rPr>
          <w:rFonts w:ascii="Arial" w:hAnsi="Arial" w:cs="Arial"/>
          <w:sz w:val="20"/>
          <w:szCs w:val="20"/>
        </w:rPr>
        <w:t>LinkedIn</w:t>
      </w:r>
      <w:r>
        <w:rPr>
          <w:rFonts w:ascii="Arial" w:hAnsi="Arial" w:cs="Arial"/>
          <w:sz w:val="20"/>
          <w:szCs w:val="20"/>
        </w:rPr>
        <w:t xml:space="preserve">). Projekt redno predstavljajo slovenski in tuji mediji. Letos je projekt </w:t>
      </w:r>
      <w:r>
        <w:rPr>
          <w:rFonts w:ascii="Arial" w:hAnsi="Arial" w:cs="Arial"/>
          <w:sz w:val="20"/>
          <w:szCs w:val="20"/>
        </w:rPr>
        <w:t>Walk</w:t>
      </w:r>
      <w:r>
        <w:rPr>
          <w:rFonts w:ascii="Arial" w:hAnsi="Arial" w:cs="Arial"/>
          <w:sz w:val="20"/>
          <w:szCs w:val="20"/>
        </w:rPr>
        <w:t xml:space="preserve"> </w:t>
      </w:r>
      <w:r>
        <w:rPr>
          <w:rFonts w:ascii="Arial" w:hAnsi="Arial" w:cs="Arial"/>
          <w:sz w:val="20"/>
          <w:szCs w:val="20"/>
        </w:rPr>
        <w:t>of</w:t>
      </w:r>
      <w:r>
        <w:rPr>
          <w:rFonts w:ascii="Arial" w:hAnsi="Arial" w:cs="Arial"/>
          <w:sz w:val="20"/>
          <w:szCs w:val="20"/>
        </w:rPr>
        <w:t xml:space="preserve"> </w:t>
      </w:r>
      <w:r>
        <w:rPr>
          <w:rFonts w:ascii="Arial" w:hAnsi="Arial" w:cs="Arial"/>
          <w:sz w:val="20"/>
          <w:szCs w:val="20"/>
        </w:rPr>
        <w:t>Peace</w:t>
      </w:r>
      <w:r>
        <w:rPr>
          <w:rFonts w:ascii="Arial" w:hAnsi="Arial" w:cs="Arial"/>
          <w:sz w:val="20"/>
          <w:szCs w:val="20"/>
        </w:rPr>
        <w:t xml:space="preserve"> prejel priznanje »</w:t>
      </w:r>
      <w:r>
        <w:rPr>
          <w:rFonts w:ascii="Arial" w:hAnsi="Arial" w:cs="Arial"/>
          <w:sz w:val="20"/>
          <w:szCs w:val="20"/>
        </w:rPr>
        <w:t>Connecting</w:t>
      </w:r>
      <w:r>
        <w:rPr>
          <w:rFonts w:ascii="Arial" w:hAnsi="Arial" w:cs="Arial"/>
          <w:sz w:val="20"/>
          <w:szCs w:val="20"/>
        </w:rPr>
        <w:t xml:space="preserve"> </w:t>
      </w:r>
      <w:r>
        <w:rPr>
          <w:rFonts w:ascii="Arial" w:hAnsi="Arial" w:cs="Arial"/>
          <w:sz w:val="20"/>
          <w:szCs w:val="20"/>
        </w:rPr>
        <w:t>Cultures</w:t>
      </w:r>
      <w:r>
        <w:rPr>
          <w:rFonts w:ascii="Arial" w:hAnsi="Arial" w:cs="Arial"/>
          <w:sz w:val="20"/>
          <w:szCs w:val="20"/>
        </w:rPr>
        <w:t>« na sejmu v Stuttgartu, predstavljen je bil tudi na berlinski borzi ITB, objavljen pa je bil tudi intervju za FAZ. Projekt raziskujejo študentje in strokovnjaki, zabeležen je tudi interes nemško-avstralske ekipe, ki pripravlja dokumentarni film o evropskih kulturnih poteh do leta 2028.</w:t>
      </w:r>
    </w:p>
    <w:p w:rsidR="00A12775" w:rsidP="00A12775" w14:paraId="7D1485B3" w14:textId="77777777">
      <w:pPr>
        <w:pStyle w:val="NormalWeb"/>
        <w:spacing w:before="0" w:beforeAutospacing="0" w:after="200" w:afterAutospacing="0" w:line="276" w:lineRule="auto"/>
        <w:jc w:val="both"/>
        <w:rPr>
          <w:rFonts w:ascii="Arial" w:hAnsi="Arial" w:cs="Arial"/>
          <w:sz w:val="20"/>
          <w:szCs w:val="20"/>
        </w:rPr>
      </w:pPr>
      <w:r>
        <w:rPr>
          <w:rFonts w:ascii="Arial" w:hAnsi="Arial" w:cs="Arial"/>
          <w:sz w:val="20"/>
          <w:szCs w:val="20"/>
        </w:rPr>
        <w:t xml:space="preserve">Vzpostavljena je čezmejna mreža vodnikov in ponudnikov, razvita je sodobna spletna stran </w:t>
      </w:r>
      <w:hyperlink r:id="rId9" w:tgtFrame="_new" w:history="1">
        <w:r>
          <w:rPr>
            <w:rStyle w:val="Hyperlink"/>
            <w:rFonts w:cs="Arial"/>
            <w:sz w:val="20"/>
            <w:szCs w:val="20"/>
          </w:rPr>
          <w:t>www.thewalkofpeace.com</w:t>
        </w:r>
      </w:hyperlink>
      <w:r>
        <w:rPr>
          <w:rFonts w:ascii="Arial" w:hAnsi="Arial" w:cs="Arial"/>
          <w:sz w:val="20"/>
          <w:szCs w:val="20"/>
        </w:rPr>
        <w:t xml:space="preserve"> v treh jezikih, pripravljena aplikacija »Kobarid med prvo svetovno vojno« ter v razvoju aplikacija za celotno traso. Vzpostavljajo se dodatni </w:t>
      </w:r>
      <w:r>
        <w:rPr>
          <w:rFonts w:ascii="Arial" w:hAnsi="Arial" w:cs="Arial"/>
          <w:sz w:val="20"/>
          <w:szCs w:val="20"/>
        </w:rPr>
        <w:t>info</w:t>
      </w:r>
      <w:r>
        <w:rPr>
          <w:rFonts w:ascii="Arial" w:hAnsi="Arial" w:cs="Arial"/>
          <w:sz w:val="20"/>
          <w:szCs w:val="20"/>
        </w:rPr>
        <w:t xml:space="preserve"> centri in mobilne informacijske točke. V letu 2025 bo Ustanova sodelovala na pomembnih dogodkih v Parizu, Verdunu, </w:t>
      </w:r>
      <w:r>
        <w:rPr>
          <w:rFonts w:ascii="Arial" w:hAnsi="Arial" w:cs="Arial"/>
          <w:sz w:val="20"/>
          <w:szCs w:val="20"/>
        </w:rPr>
        <w:t>Roveretu</w:t>
      </w:r>
      <w:r>
        <w:rPr>
          <w:rFonts w:ascii="Arial" w:hAnsi="Arial" w:cs="Arial"/>
          <w:sz w:val="20"/>
          <w:szCs w:val="20"/>
        </w:rPr>
        <w:t xml:space="preserve"> in drugod, prav tako pa bo na Poti miru gostila predstavnike iz različnih držav, ki bodo razpravljali o vojni, miru, zgodovini in evropski prihodnosti. Ustanova sodeluje z raznovrstnimi organizacijami iz Slovenije, Italije (FJK, </w:t>
      </w:r>
      <w:r>
        <w:rPr>
          <w:rFonts w:ascii="Arial" w:hAnsi="Arial" w:cs="Arial"/>
          <w:sz w:val="20"/>
          <w:szCs w:val="20"/>
        </w:rPr>
        <w:t>Veneto</w:t>
      </w:r>
      <w:r>
        <w:rPr>
          <w:rFonts w:ascii="Arial" w:hAnsi="Arial" w:cs="Arial"/>
          <w:sz w:val="20"/>
          <w:szCs w:val="20"/>
        </w:rPr>
        <w:t xml:space="preserve">, </w:t>
      </w:r>
      <w:r>
        <w:rPr>
          <w:rFonts w:ascii="Arial" w:hAnsi="Arial" w:cs="Arial"/>
          <w:sz w:val="20"/>
          <w:szCs w:val="20"/>
        </w:rPr>
        <w:t>Trentino-Alto</w:t>
      </w:r>
      <w:r>
        <w:rPr>
          <w:rFonts w:ascii="Arial" w:hAnsi="Arial" w:cs="Arial"/>
          <w:sz w:val="20"/>
          <w:szCs w:val="20"/>
        </w:rPr>
        <w:t xml:space="preserve"> </w:t>
      </w:r>
      <w:r>
        <w:rPr>
          <w:rFonts w:ascii="Arial" w:hAnsi="Arial" w:cs="Arial"/>
          <w:sz w:val="20"/>
          <w:szCs w:val="20"/>
        </w:rPr>
        <w:t>Adige</w:t>
      </w:r>
      <w:r>
        <w:rPr>
          <w:rFonts w:ascii="Arial" w:hAnsi="Arial" w:cs="Arial"/>
          <w:sz w:val="20"/>
          <w:szCs w:val="20"/>
        </w:rPr>
        <w:t xml:space="preserve">, Lombardije), Avstrije, Madžarske, Slovaške, Poljske, Bolgarije, Ukrajine, Belgije, Francije, Hrvaške in s Slovenci v Italiji. Zaradi uspešno izvedenih projektov in terenskih rezultatov je bila Pot miru vključena v program Letnega srečanja vseh </w:t>
      </w:r>
      <w:r>
        <w:rPr>
          <w:rFonts w:ascii="Arial" w:hAnsi="Arial" w:cs="Arial"/>
          <w:sz w:val="20"/>
          <w:szCs w:val="20"/>
        </w:rPr>
        <w:t>Interreg</w:t>
      </w:r>
      <w:r>
        <w:rPr>
          <w:rFonts w:ascii="Arial" w:hAnsi="Arial" w:cs="Arial"/>
          <w:sz w:val="20"/>
          <w:szCs w:val="20"/>
        </w:rPr>
        <w:t xml:space="preserve"> programov, ki je marca potekal v sklopu GO!2025 v Novi Gorici in Gorici. Dediščino prve svetovne vojne ter čezmejno Pot miru od Alp do Jadrana, vključno z evropsko idejo </w:t>
      </w:r>
      <w:r>
        <w:rPr>
          <w:rStyle w:val="Emphasis"/>
          <w:rFonts w:ascii="Arial" w:hAnsi="Arial" w:cs="Arial"/>
          <w:sz w:val="20"/>
          <w:szCs w:val="20"/>
        </w:rPr>
        <w:t>Walk</w:t>
      </w:r>
      <w:r>
        <w:rPr>
          <w:rStyle w:val="Emphasis"/>
          <w:rFonts w:ascii="Arial" w:hAnsi="Arial" w:cs="Arial"/>
          <w:sz w:val="20"/>
          <w:szCs w:val="20"/>
        </w:rPr>
        <w:t xml:space="preserve"> </w:t>
      </w:r>
      <w:r>
        <w:rPr>
          <w:rStyle w:val="Emphasis"/>
          <w:rFonts w:ascii="Arial" w:hAnsi="Arial" w:cs="Arial"/>
          <w:sz w:val="20"/>
          <w:szCs w:val="20"/>
        </w:rPr>
        <w:t>of</w:t>
      </w:r>
      <w:r>
        <w:rPr>
          <w:rStyle w:val="Emphasis"/>
          <w:rFonts w:ascii="Arial" w:hAnsi="Arial" w:cs="Arial"/>
          <w:sz w:val="20"/>
          <w:szCs w:val="20"/>
        </w:rPr>
        <w:t xml:space="preserve"> </w:t>
      </w:r>
      <w:r>
        <w:rPr>
          <w:rStyle w:val="Emphasis"/>
          <w:rFonts w:ascii="Arial" w:hAnsi="Arial" w:cs="Arial"/>
          <w:sz w:val="20"/>
          <w:szCs w:val="20"/>
        </w:rPr>
        <w:t>Peace</w:t>
      </w:r>
      <w:r>
        <w:rPr>
          <w:rFonts w:ascii="Arial" w:hAnsi="Arial" w:cs="Arial"/>
          <w:sz w:val="20"/>
          <w:szCs w:val="20"/>
        </w:rPr>
        <w:t>, je treba ne le ohranjati, temveč tudi nadgrajevati. Dosedanje zavzeto delo in doseženi rezultati Ustanove »Fundacija Poti miru v Posočju« ustvarjajo trdno podlago za nadaljnji razvoj na področju dediščinskih ved, čezmejnega sodelovanja in kulturnega turizma.</w:t>
      </w:r>
    </w:p>
    <w:p w:rsidR="00A12775" w:rsidP="00A12775" w14:paraId="175A2788" w14:textId="77777777">
      <w:pPr>
        <w:pStyle w:val="NormalWeb"/>
        <w:spacing w:before="0" w:beforeAutospacing="0" w:after="200" w:afterAutospacing="0" w:line="276" w:lineRule="auto"/>
        <w:jc w:val="both"/>
        <w:rPr>
          <w:rFonts w:ascii="Arial" w:hAnsi="Arial" w:cs="Arial"/>
          <w:sz w:val="20"/>
          <w:szCs w:val="20"/>
        </w:rPr>
      </w:pPr>
      <w:r>
        <w:rPr>
          <w:rFonts w:ascii="Arial" w:hAnsi="Arial" w:cs="Arial"/>
          <w:sz w:val="20"/>
          <w:szCs w:val="20"/>
        </w:rPr>
        <w:t xml:space="preserve">Sredstva, prejeta s strani ministrstev, sme Ustanova uporabiti izključno za izvajanje projekta, ki je predmet sofinanciranja, in sicer v okviru </w:t>
      </w:r>
      <w:r>
        <w:rPr>
          <w:rFonts w:ascii="Arial" w:hAnsi="Arial" w:cs="Arial"/>
          <w:sz w:val="20"/>
          <w:szCs w:val="20"/>
        </w:rPr>
        <w:t>neinvesticijskih</w:t>
      </w:r>
      <w:r>
        <w:rPr>
          <w:rFonts w:ascii="Arial" w:hAnsi="Arial" w:cs="Arial"/>
          <w:sz w:val="20"/>
          <w:szCs w:val="20"/>
        </w:rPr>
        <w:t>, torej tekočih transferov, skladno s Programom dela 2026–2030. Sofinanciranje je predvideno za naslednje vsebine:</w:t>
      </w:r>
    </w:p>
    <w:p w:rsidR="00A12775" w:rsidP="00A12775" w14:paraId="78AB377D"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pridobivanje primarnega in sekundarnega arhivskega gradiva iz evropskih ustanov ter strokovno dokumentiranje, oblikovanje in proučevanje zgodovinskih virov iz obdobja prve svetovne vojne,</w:t>
      </w:r>
    </w:p>
    <w:p w:rsidR="00A12775" w:rsidP="00A12775" w14:paraId="5B7CA142"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delovanje Zgodovinske knjižnice z zbiranjem in hranjenjem gradiva o soški fronti, prvi svetovni vojni, vojnah nasploh ter domoznanstvu in zamejstvu,</w:t>
      </w:r>
    </w:p>
    <w:p w:rsidR="00A12775" w:rsidP="00A12775" w14:paraId="57433BB7"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sodelovanje z izobraževalnimi in znanstvenimi ustanovami ter mediji doma in v tujini, izmenjava strokovnjakov in študentov, reprezentanca,</w:t>
      </w:r>
    </w:p>
    <w:p w:rsidR="00A12775" w:rsidP="00A12775" w14:paraId="4956B40C"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upravljanje s projekti,</w:t>
      </w:r>
    </w:p>
    <w:p w:rsidR="00A12775" w:rsidP="00A12775" w14:paraId="1E45FEA9"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organizacija in sodelovanje na znanstvenih in zgodovinskih simpozijih, posvetih in razstavah,</w:t>
      </w:r>
    </w:p>
    <w:p w:rsidR="00A12775" w:rsidP="00A12775" w14:paraId="7E476C1D"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izobraževanje in usposabljanje kadrov, ki delujejo v okviru Ustanove, ter usposabljanje vodnikov in drugih ciljnih skupin,</w:t>
      </w:r>
    </w:p>
    <w:p w:rsidR="00A12775" w:rsidP="00A12775" w14:paraId="150B82C2"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aktivnosti za vpis dediščine prve svetovne vojne in Poti miru med Kulturne poti Sveta Evrope ter na Unescov seznam svetovne dediščine in druge evropske sezname,</w:t>
      </w:r>
    </w:p>
    <w:p w:rsidR="00A12775" w:rsidP="00A12775" w14:paraId="75A40771"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 xml:space="preserve">razvoj evropske znamke </w:t>
      </w:r>
      <w:r>
        <w:rPr>
          <w:rStyle w:val="Emphasis"/>
          <w:rFonts w:ascii="Arial" w:hAnsi="Arial" w:cs="Arial"/>
          <w:sz w:val="20"/>
          <w:szCs w:val="20"/>
        </w:rPr>
        <w:t xml:space="preserve">Pot miru / </w:t>
      </w:r>
      <w:r>
        <w:rPr>
          <w:rStyle w:val="Emphasis"/>
          <w:rFonts w:ascii="Arial" w:hAnsi="Arial" w:cs="Arial"/>
          <w:sz w:val="20"/>
          <w:szCs w:val="20"/>
        </w:rPr>
        <w:t>Walk</w:t>
      </w:r>
      <w:r>
        <w:rPr>
          <w:rStyle w:val="Emphasis"/>
          <w:rFonts w:ascii="Arial" w:hAnsi="Arial" w:cs="Arial"/>
          <w:sz w:val="20"/>
          <w:szCs w:val="20"/>
        </w:rPr>
        <w:t xml:space="preserve"> </w:t>
      </w:r>
      <w:r>
        <w:rPr>
          <w:rStyle w:val="Emphasis"/>
          <w:rFonts w:ascii="Arial" w:hAnsi="Arial" w:cs="Arial"/>
          <w:sz w:val="20"/>
          <w:szCs w:val="20"/>
        </w:rPr>
        <w:t>of</w:t>
      </w:r>
      <w:r>
        <w:rPr>
          <w:rStyle w:val="Emphasis"/>
          <w:rFonts w:ascii="Arial" w:hAnsi="Arial" w:cs="Arial"/>
          <w:sz w:val="20"/>
          <w:szCs w:val="20"/>
        </w:rPr>
        <w:t xml:space="preserve"> </w:t>
      </w:r>
      <w:r>
        <w:rPr>
          <w:rStyle w:val="Emphasis"/>
          <w:rFonts w:ascii="Arial" w:hAnsi="Arial" w:cs="Arial"/>
          <w:sz w:val="20"/>
          <w:szCs w:val="20"/>
        </w:rPr>
        <w:t>Peace</w:t>
      </w:r>
      <w:r>
        <w:rPr>
          <w:rFonts w:ascii="Arial" w:hAnsi="Arial" w:cs="Arial"/>
          <w:sz w:val="20"/>
          <w:szCs w:val="20"/>
        </w:rPr>
        <w:t xml:space="preserve"> z namenom povezovanja vseh nekdanjih bojišč prve svetovne vojne od zahoda do vzhoda Evrope,</w:t>
      </w:r>
    </w:p>
    <w:p w:rsidR="00A12775" w:rsidP="00A12775" w14:paraId="30BE7862"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razvijanje založniške dejavnosti v tiskani in avdiovizualni obliki,</w:t>
      </w:r>
    </w:p>
    <w:p w:rsidR="00A12775" w:rsidP="00A12775" w14:paraId="161D04AC"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vzpostavitev, vzdrževanje in promocija Poti miru od Alp do Jadrana,</w:t>
      </w:r>
    </w:p>
    <w:p w:rsidR="00A12775" w:rsidP="00A12775" w14:paraId="7248EF62"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prenova in vzdrževanje interaktivne razstave o soški fronti ter Informacijskega centra Pot miru,</w:t>
      </w:r>
    </w:p>
    <w:p w:rsidR="00A12775" w:rsidP="00A12775" w14:paraId="73146594"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aktivnosti mednarodnega sodelovanja pri umestitvi in uveljavljanju sodobnih spominskih obeležij in krajin,</w:t>
      </w:r>
    </w:p>
    <w:p w:rsidR="00A12775" w:rsidP="00A12775" w14:paraId="7089DD04"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pridobivanje podatkov o vseh padlih vojakih na soški fronti in slovenskih vojakih na drugih frontah, priprava in vnos podatkov,</w:t>
      </w:r>
    </w:p>
    <w:p w:rsidR="00A12775" w:rsidP="00A12775" w14:paraId="73F0E533"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obdelava ter posredovanje podatkov ministrstvom in drugim zainteresiranim deležnikom,</w:t>
      </w:r>
    </w:p>
    <w:p w:rsidR="00A12775" w:rsidP="00A12775" w14:paraId="7B95D461"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promocija in druge aktivnosti za nadaljnji razvoj kulturnega turizma,</w:t>
      </w:r>
    </w:p>
    <w:p w:rsidR="00A12775" w:rsidP="00A12775" w14:paraId="3E017B02" w14:textId="77777777">
      <w:pPr>
        <w:pStyle w:val="NormalWeb"/>
        <w:numPr>
          <w:ilvl w:val="0"/>
          <w:numId w:val="39"/>
        </w:numPr>
        <w:tabs>
          <w:tab w:val="num" w:pos="284"/>
        </w:tabs>
        <w:spacing w:before="0" w:beforeAutospacing="0" w:after="60" w:afterAutospacing="0" w:line="276" w:lineRule="auto"/>
        <w:ind w:left="284" w:hanging="284"/>
        <w:jc w:val="both"/>
        <w:rPr>
          <w:rFonts w:ascii="Arial" w:hAnsi="Arial" w:cs="Arial"/>
          <w:sz w:val="20"/>
          <w:szCs w:val="20"/>
        </w:rPr>
      </w:pPr>
      <w:r>
        <w:rPr>
          <w:rFonts w:ascii="Arial" w:hAnsi="Arial" w:cs="Arial"/>
          <w:sz w:val="20"/>
          <w:szCs w:val="20"/>
        </w:rPr>
        <w:t>pomoč pri urejanju vojnih grobišč in druge dediščine soške fronte.</w:t>
      </w:r>
    </w:p>
    <w:p w:rsidR="00A12775" w:rsidP="00A12775" w14:paraId="59D8D99C" w14:textId="77777777">
      <w:pPr>
        <w:pStyle w:val="NormalWeb"/>
        <w:spacing w:before="0" w:beforeAutospacing="0" w:after="60" w:afterAutospacing="0" w:line="276" w:lineRule="auto"/>
        <w:ind w:left="303"/>
        <w:jc w:val="both"/>
        <w:rPr>
          <w:rFonts w:ascii="Arial" w:hAnsi="Arial" w:cs="Arial"/>
          <w:sz w:val="20"/>
          <w:szCs w:val="20"/>
        </w:rPr>
      </w:pPr>
    </w:p>
    <w:p w:rsidR="00A12775" w:rsidP="00A12775" w14:paraId="6F21265D" w14:textId="77777777">
      <w:pPr>
        <w:jc w:val="both"/>
        <w:rPr>
          <w:rFonts w:ascii="Arial" w:hAnsi="Arial" w:cs="Arial"/>
          <w:sz w:val="20"/>
          <w:szCs w:val="20"/>
        </w:rPr>
      </w:pPr>
      <w:r>
        <w:rPr>
          <w:rFonts w:ascii="Arial" w:hAnsi="Arial" w:cs="Arial"/>
          <w:sz w:val="20"/>
          <w:szCs w:val="20"/>
        </w:rPr>
        <w:t xml:space="preserve">Ustanova »Fundacija Poti miru v Posočju« ima izjemen pomen tako za lokalno okolje in regijo kot tudi za državo in širši evropski prostor. Njeno delovanje predstavlja pomemben javni interes na področju ohranjanja in predstavljanja vojaške dediščine, zgodovine prve svetovne vojne, vojnih grobišč ter zgodovinsko-mirovnega in trajnostnega kulturnega turizma. S povezovanjem znanstvene, </w:t>
      </w:r>
      <w:r>
        <w:rPr>
          <w:rFonts w:ascii="Arial" w:hAnsi="Arial" w:cs="Arial"/>
          <w:sz w:val="20"/>
          <w:szCs w:val="20"/>
        </w:rPr>
        <w:t>izobraževalne, muzejske, promocijske, lokalne in mednarodne sfere zagotavlja dolgoročen razvoj tega področja ter utrjuje prepoznavnost Slovenije kot države, ki zavzeto varuje in vrednoti spomin na prelomna zgodovinska obdobja v evropskem duhu miru in sodelovanja.</w:t>
      </w:r>
    </w:p>
    <w:p w:rsidR="00A12775" w:rsidP="00A12775" w14:paraId="65C99ED1" w14:textId="77777777">
      <w:pPr>
        <w:rPr>
          <w:rFonts w:ascii="Arial" w:hAnsi="Arial" w:cs="Arial"/>
          <w:sz w:val="20"/>
          <w:szCs w:val="20"/>
        </w:rPr>
      </w:pPr>
    </w:p>
    <w:p w:rsidR="00A12775" w:rsidP="00A12775" w14:paraId="02DE9A76" w14:textId="77777777">
      <w:pPr>
        <w:jc w:val="right"/>
        <w:rPr>
          <w:rFonts w:ascii="Arial" w:hAnsi="Arial" w:cs="Arial"/>
          <w:sz w:val="20"/>
          <w:szCs w:val="20"/>
        </w:rPr>
      </w:pPr>
      <w:r>
        <w:rPr>
          <w:rFonts w:ascii="Arial" w:hAnsi="Arial" w:cs="Arial"/>
          <w:sz w:val="20"/>
          <w:szCs w:val="20"/>
        </w:rPr>
        <w:t xml:space="preserve">MINISTRSTVO ZA OBRAMBO </w:t>
      </w:r>
    </w:p>
    <w:p w:rsidR="00723116" w:rsidRPr="00131B28" w14:paraId="196DF000" w14:textId="77777777">
      <w:pPr>
        <w:rPr>
          <w:rFonts w:ascii="Arial" w:hAnsi="Arial" w:cs="Arial"/>
          <w:sz w:val="20"/>
          <w:szCs w:val="20"/>
        </w:rPr>
      </w:pPr>
    </w:p>
    <w:sectPr w:rsidSect="009E10A8">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76361D3A">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D2790">
      <w:rPr>
        <w:rFonts w:ascii="Arial" w:hAnsi="Arial" w:cs="Arial"/>
        <w:noProof/>
      </w:rPr>
      <w:t>9</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D2790">
      <w:rPr>
        <w:rFonts w:ascii="Arial" w:hAnsi="Arial" w:cs="Arial"/>
        <w:noProof/>
      </w:rPr>
      <w:t>9</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183A816E">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D2790">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D2790">
      <w:rPr>
        <w:rFonts w:ascii="Arial" w:hAnsi="Arial" w:cs="Arial"/>
        <w:noProof/>
      </w:rPr>
      <w:t>9</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0">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D666F09"/>
    <w:multiLevelType w:val="multilevel"/>
    <w:tmpl w:val="1C52BF56"/>
    <w:lvl w:ilvl="0">
      <w:start w:val="49"/>
      <w:numFmt w:val="bullet"/>
      <w:lvlText w:val=""/>
      <w:lvlJc w:val="left"/>
      <w:pPr>
        <w:tabs>
          <w:tab w:val="num" w:pos="720"/>
        </w:tabs>
        <w:ind w:left="720" w:hanging="360"/>
      </w:pPr>
      <w:rPr>
        <w:rFonts w:ascii="Symbol" w:eastAsia="Times New Roman" w:hAnsi="Symbol"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4">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5">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E7F5586"/>
    <w:multiLevelType w:val="hybridMultilevel"/>
    <w:tmpl w:val="A0989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E9A41FB"/>
    <w:multiLevelType w:val="hybridMultilevel"/>
    <w:tmpl w:val="59348FD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5">
    <w:nsid w:val="56096376"/>
    <w:multiLevelType w:val="hybridMultilevel"/>
    <w:tmpl w:val="8CEE032A"/>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3"/>
  </w:num>
  <w:num w:numId="4">
    <w:abstractNumId w:val="26"/>
  </w:num>
  <w:num w:numId="5">
    <w:abstractNumId w:val="1"/>
  </w:num>
  <w:num w:numId="6">
    <w:abstractNumId w:val="8"/>
  </w:num>
  <w:num w:numId="7">
    <w:abstractNumId w:val="0"/>
  </w:num>
  <w:num w:numId="8">
    <w:abstractNumId w:val="22"/>
  </w:num>
  <w:num w:numId="9">
    <w:abstractNumId w:val="28"/>
  </w:num>
  <w:num w:numId="10">
    <w:abstractNumId w:val="14"/>
    <w:lvlOverride w:ilvl="0">
      <w:startOverride w:val="1"/>
    </w:lvlOverride>
  </w:num>
  <w:num w:numId="11">
    <w:abstractNumId w:val="15"/>
  </w:num>
  <w:num w:numId="12">
    <w:abstractNumId w:val="9"/>
  </w:num>
  <w:num w:numId="13">
    <w:abstractNumId w:val="23"/>
  </w:num>
  <w:num w:numId="14">
    <w:abstractNumId w:val="4"/>
  </w:num>
  <w:num w:numId="15">
    <w:abstractNumId w:val="18"/>
  </w:num>
  <w:num w:numId="16">
    <w:abstractNumId w:val="30"/>
  </w:num>
  <w:num w:numId="17">
    <w:abstractNumId w:val="27"/>
  </w:num>
  <w:num w:numId="18">
    <w:abstractNumId w:val="31"/>
  </w:num>
  <w:num w:numId="19">
    <w:abstractNumId w:val="32"/>
  </w:num>
  <w:num w:numId="20">
    <w:abstractNumId w:val="17"/>
  </w:num>
  <w:num w:numId="21">
    <w:abstractNumId w:val="10"/>
  </w:num>
  <w:num w:numId="22">
    <w:abstractNumId w:val="20"/>
  </w:num>
  <w:num w:numId="23">
    <w:abstractNumId w:val="6"/>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1"/>
  </w:num>
  <w:num w:numId="35">
    <w:abstractNumId w:val="27"/>
  </w:num>
  <w:num w:numId="36">
    <w:abstractNumId w:val="31"/>
  </w:num>
  <w:num w:numId="37">
    <w:abstractNumId w:val="17"/>
  </w:num>
  <w:num w:numId="38">
    <w:abstractNumId w:val="1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4BA7"/>
    <w:rsid w:val="000C0B87"/>
    <w:rsid w:val="000F18DE"/>
    <w:rsid w:val="00131B28"/>
    <w:rsid w:val="001D4854"/>
    <w:rsid w:val="00220B63"/>
    <w:rsid w:val="002C278B"/>
    <w:rsid w:val="002E081E"/>
    <w:rsid w:val="002F78E3"/>
    <w:rsid w:val="00305C84"/>
    <w:rsid w:val="003A3B1D"/>
    <w:rsid w:val="003D556F"/>
    <w:rsid w:val="003E035F"/>
    <w:rsid w:val="00464982"/>
    <w:rsid w:val="004B08C2"/>
    <w:rsid w:val="004E293C"/>
    <w:rsid w:val="004F6962"/>
    <w:rsid w:val="005433B5"/>
    <w:rsid w:val="00580548"/>
    <w:rsid w:val="00597C12"/>
    <w:rsid w:val="005E38E2"/>
    <w:rsid w:val="005E6A88"/>
    <w:rsid w:val="00623F16"/>
    <w:rsid w:val="00695AEF"/>
    <w:rsid w:val="006E30C0"/>
    <w:rsid w:val="007123B4"/>
    <w:rsid w:val="00715D72"/>
    <w:rsid w:val="00723116"/>
    <w:rsid w:val="007341C1"/>
    <w:rsid w:val="007578AE"/>
    <w:rsid w:val="007851AF"/>
    <w:rsid w:val="007B1642"/>
    <w:rsid w:val="007B4C47"/>
    <w:rsid w:val="007D2790"/>
    <w:rsid w:val="00821419"/>
    <w:rsid w:val="008941CD"/>
    <w:rsid w:val="008B4243"/>
    <w:rsid w:val="008B734D"/>
    <w:rsid w:val="008F3D80"/>
    <w:rsid w:val="00913E94"/>
    <w:rsid w:val="00950971"/>
    <w:rsid w:val="009E10A8"/>
    <w:rsid w:val="009F1E59"/>
    <w:rsid w:val="009F77C7"/>
    <w:rsid w:val="00A12775"/>
    <w:rsid w:val="00A452FF"/>
    <w:rsid w:val="00A701F9"/>
    <w:rsid w:val="00AB65D9"/>
    <w:rsid w:val="00AE3A35"/>
    <w:rsid w:val="00B27A2C"/>
    <w:rsid w:val="00B35734"/>
    <w:rsid w:val="00C10360"/>
    <w:rsid w:val="00C14725"/>
    <w:rsid w:val="00C57CFB"/>
    <w:rsid w:val="00CB7264"/>
    <w:rsid w:val="00CC64EE"/>
    <w:rsid w:val="00D61DC2"/>
    <w:rsid w:val="00D86976"/>
    <w:rsid w:val="00DF18E9"/>
    <w:rsid w:val="00E50831"/>
    <w:rsid w:val="00EA539F"/>
    <w:rsid w:val="00EB0D83"/>
    <w:rsid w:val="00EC1D65"/>
    <w:rsid w:val="00F65221"/>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uiPriority w:val="99"/>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uiPriority w:val="99"/>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 w:type="paragraph" w:styleId="NormalWeb">
    <w:name w:val="Normal (Web)"/>
    <w:basedOn w:val="Normal"/>
    <w:uiPriority w:val="99"/>
    <w:unhideWhenUsed/>
    <w:rsid w:val="00A12775"/>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xxmsonormal">
    <w:name w:val="x_x_xmsonormal"/>
    <w:basedOn w:val="Normal"/>
    <w:uiPriority w:val="99"/>
    <w:rsid w:val="00A12775"/>
    <w:pPr>
      <w:spacing w:after="0" w:line="240" w:lineRule="auto"/>
    </w:pPr>
    <w:rPr>
      <w:rFonts w:ascii="Aptos" w:hAnsi="Aptos" w:eastAsiaTheme="minorHAnsi" w:cs="Aptos"/>
      <w:lang w:eastAsia="sl-SI"/>
    </w:rPr>
  </w:style>
  <w:style w:type="character" w:styleId="Emphasis">
    <w:name w:val="Emphasis"/>
    <w:basedOn w:val="DefaultParagraphFont"/>
    <w:uiPriority w:val="20"/>
    <w:qFormat/>
    <w:rsid w:val="00A127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hyperlink" Target="https://www.uradni-list.si/glasilo-uradni-list-rs/vsebina/2005-01-3116" TargetMode="External" /><Relationship Id="rId7" Type="http://schemas.openxmlformats.org/officeDocument/2006/relationships/hyperlink" Target="https://www.uradni-list.si/glasilo-uradni-list-rs/vsebina/2005-21-0103" TargetMode="External" /><Relationship Id="rId8" Type="http://schemas.openxmlformats.org/officeDocument/2006/relationships/hyperlink" Target="https://whc.unesco.org/en/tentativelists/6077/" TargetMode="External" /><Relationship Id="rId9" Type="http://schemas.openxmlformats.org/officeDocument/2006/relationships/hyperlink" Target="http://www.thewalkofpeace.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4720F-117A-412B-A51E-C34FE410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3229</Words>
  <Characters>20121</Characters>
  <Application>Microsoft Office Word</Application>
  <DocSecurity>0</DocSecurity>
  <Lines>167</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14</cp:revision>
  <dcterms:created xsi:type="dcterms:W3CDTF">2024-11-29T10:46:00Z</dcterms:created>
  <dcterms:modified xsi:type="dcterms:W3CDTF">2025-10-24T10:16:00Z</dcterms:modified>
</cp:coreProperties>
</file>