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508"/>
        <w:gridCol w:w="870"/>
        <w:gridCol w:w="1384"/>
        <w:gridCol w:w="469"/>
        <w:gridCol w:w="1031"/>
        <w:gridCol w:w="486"/>
        <w:gridCol w:w="184"/>
        <w:gridCol w:w="377"/>
        <w:gridCol w:w="218"/>
        <w:gridCol w:w="78"/>
        <w:gridCol w:w="2063"/>
      </w:tblGrid>
      <w:tr w:rsidR="002236BA" w:rsidRPr="00C71DBC" w14:paraId="794237A7" w14:textId="77777777" w:rsidTr="00260BA0">
        <w:trPr>
          <w:gridAfter w:val="5"/>
          <w:wAfter w:w="2920" w:type="dxa"/>
        </w:trPr>
        <w:tc>
          <w:tcPr>
            <w:tcW w:w="6180" w:type="dxa"/>
            <w:gridSpan w:val="7"/>
          </w:tcPr>
          <w:p w14:paraId="11C2CD14" w14:textId="09879020" w:rsidR="002236BA" w:rsidRPr="00C71DBC" w:rsidRDefault="002236BA" w:rsidP="00260BA0">
            <w:pPr>
              <w:pStyle w:val="Neotevilenodstavek"/>
              <w:spacing w:before="0" w:after="0" w:line="260" w:lineRule="exact"/>
              <w:jc w:val="left"/>
              <w:rPr>
                <w:sz w:val="20"/>
                <w:szCs w:val="20"/>
              </w:rPr>
            </w:pPr>
            <w:bookmarkStart w:id="0" w:name="_Hlk157681848"/>
            <w:bookmarkStart w:id="1" w:name="_Hlk157681766"/>
            <w:r w:rsidRPr="00C71DBC">
              <w:rPr>
                <w:sz w:val="20"/>
                <w:szCs w:val="20"/>
              </w:rPr>
              <w:t>Številka: 544-</w:t>
            </w:r>
            <w:r w:rsidR="00C71DBC" w:rsidRPr="00C71DBC">
              <w:rPr>
                <w:sz w:val="20"/>
                <w:szCs w:val="20"/>
              </w:rPr>
              <w:t>1/2023</w:t>
            </w:r>
            <w:r w:rsidR="003E4547">
              <w:rPr>
                <w:sz w:val="20"/>
                <w:szCs w:val="20"/>
              </w:rPr>
              <w:t xml:space="preserve"> (zveza 004-14/2024-2560-6)</w:t>
            </w:r>
          </w:p>
        </w:tc>
      </w:tr>
      <w:tr w:rsidR="002236BA" w:rsidRPr="00D00322" w14:paraId="3B91EFBF" w14:textId="77777777" w:rsidTr="00260BA0">
        <w:trPr>
          <w:gridAfter w:val="5"/>
          <w:wAfter w:w="2920" w:type="dxa"/>
        </w:trPr>
        <w:tc>
          <w:tcPr>
            <w:tcW w:w="6180" w:type="dxa"/>
            <w:gridSpan w:val="7"/>
          </w:tcPr>
          <w:p w14:paraId="7C5DF521" w14:textId="5379F033" w:rsidR="002236BA" w:rsidRPr="00D00322" w:rsidRDefault="002236BA" w:rsidP="00260BA0">
            <w:pPr>
              <w:pStyle w:val="Neotevilenodstavek"/>
              <w:spacing w:before="0" w:after="0" w:line="260" w:lineRule="exact"/>
              <w:jc w:val="left"/>
              <w:rPr>
                <w:sz w:val="20"/>
                <w:szCs w:val="20"/>
              </w:rPr>
            </w:pPr>
            <w:r w:rsidRPr="00D00322">
              <w:rPr>
                <w:sz w:val="20"/>
                <w:szCs w:val="20"/>
              </w:rPr>
              <w:t xml:space="preserve">Ljubljana, dne </w:t>
            </w:r>
            <w:r w:rsidR="00A43ACE">
              <w:rPr>
                <w:sz w:val="20"/>
                <w:szCs w:val="20"/>
              </w:rPr>
              <w:t>13</w:t>
            </w:r>
            <w:r w:rsidR="00406ACF" w:rsidRPr="00D00322">
              <w:rPr>
                <w:sz w:val="20"/>
                <w:szCs w:val="20"/>
              </w:rPr>
              <w:t xml:space="preserve">. </w:t>
            </w:r>
            <w:r w:rsidR="00A43ACE">
              <w:rPr>
                <w:sz w:val="20"/>
                <w:szCs w:val="20"/>
              </w:rPr>
              <w:t>9</w:t>
            </w:r>
            <w:r w:rsidR="00406ACF" w:rsidRPr="00D00322">
              <w:rPr>
                <w:sz w:val="20"/>
                <w:szCs w:val="20"/>
              </w:rPr>
              <w:t xml:space="preserve">. </w:t>
            </w:r>
            <w:r w:rsidRPr="00D00322">
              <w:rPr>
                <w:sz w:val="20"/>
                <w:szCs w:val="20"/>
              </w:rPr>
              <w:t>2024</w:t>
            </w:r>
          </w:p>
        </w:tc>
      </w:tr>
      <w:tr w:rsidR="002236BA" w:rsidRPr="00D00322" w14:paraId="71E2843E" w14:textId="77777777" w:rsidTr="00260BA0">
        <w:trPr>
          <w:gridAfter w:val="5"/>
          <w:wAfter w:w="2920" w:type="dxa"/>
        </w:trPr>
        <w:tc>
          <w:tcPr>
            <w:tcW w:w="6180" w:type="dxa"/>
            <w:gridSpan w:val="7"/>
          </w:tcPr>
          <w:p w14:paraId="68A7367F" w14:textId="77777777" w:rsidR="002236BA" w:rsidRPr="00D00322" w:rsidRDefault="002236BA" w:rsidP="00260BA0">
            <w:pPr>
              <w:pStyle w:val="Neotevilenodstavek"/>
              <w:spacing w:before="0" w:after="0" w:line="260" w:lineRule="exact"/>
              <w:jc w:val="left"/>
              <w:rPr>
                <w:sz w:val="20"/>
                <w:szCs w:val="20"/>
              </w:rPr>
            </w:pPr>
          </w:p>
        </w:tc>
      </w:tr>
      <w:tr w:rsidR="002236BA" w:rsidRPr="00D00322" w14:paraId="3A053D65" w14:textId="77777777" w:rsidTr="00260BA0">
        <w:trPr>
          <w:gridAfter w:val="5"/>
          <w:wAfter w:w="2920" w:type="dxa"/>
        </w:trPr>
        <w:tc>
          <w:tcPr>
            <w:tcW w:w="6180" w:type="dxa"/>
            <w:gridSpan w:val="7"/>
          </w:tcPr>
          <w:p w14:paraId="19F84420" w14:textId="77777777" w:rsidR="002236BA" w:rsidRPr="00D00322" w:rsidRDefault="002236BA" w:rsidP="00260BA0">
            <w:pPr>
              <w:rPr>
                <w:rFonts w:cs="Arial"/>
                <w:szCs w:val="20"/>
                <w:lang w:val="sl-SI"/>
              </w:rPr>
            </w:pPr>
          </w:p>
          <w:p w14:paraId="645A2E01" w14:textId="77777777" w:rsidR="002236BA" w:rsidRPr="00D00322" w:rsidRDefault="002236BA" w:rsidP="00260BA0">
            <w:pPr>
              <w:rPr>
                <w:rFonts w:cs="Arial"/>
                <w:szCs w:val="20"/>
                <w:lang w:val="sl-SI"/>
              </w:rPr>
            </w:pPr>
            <w:r w:rsidRPr="00D00322">
              <w:rPr>
                <w:rFonts w:cs="Arial"/>
                <w:szCs w:val="20"/>
                <w:lang w:val="sl-SI"/>
              </w:rPr>
              <w:t>GENERALNI SEKRETARIAT VLADE REPUBLIKE SLOVENIJE</w:t>
            </w:r>
          </w:p>
          <w:p w14:paraId="72A3C6E9" w14:textId="77777777" w:rsidR="002236BA" w:rsidRPr="00D00322" w:rsidRDefault="003E4547" w:rsidP="00260BA0">
            <w:pPr>
              <w:rPr>
                <w:rFonts w:cs="Arial"/>
                <w:szCs w:val="20"/>
                <w:lang w:val="sl-SI"/>
              </w:rPr>
            </w:pPr>
            <w:hyperlink r:id="rId7" w:history="1">
              <w:r w:rsidR="002236BA" w:rsidRPr="00D00322">
                <w:rPr>
                  <w:rStyle w:val="Hiperpovezava"/>
                  <w:szCs w:val="20"/>
                  <w:lang w:val="sl-SI"/>
                </w:rPr>
                <w:t>Gp.gs@gov.si</w:t>
              </w:r>
            </w:hyperlink>
          </w:p>
          <w:p w14:paraId="1012BDBA" w14:textId="77777777" w:rsidR="002236BA" w:rsidRPr="00D00322" w:rsidRDefault="002236BA" w:rsidP="00260BA0">
            <w:pPr>
              <w:rPr>
                <w:rFonts w:cs="Arial"/>
                <w:szCs w:val="20"/>
                <w:lang w:val="sl-SI"/>
              </w:rPr>
            </w:pPr>
          </w:p>
        </w:tc>
      </w:tr>
      <w:tr w:rsidR="002236BA" w:rsidRPr="00C71DBC" w14:paraId="0B2D0055" w14:textId="77777777" w:rsidTr="007E30B3">
        <w:tc>
          <w:tcPr>
            <w:tcW w:w="9100" w:type="dxa"/>
            <w:gridSpan w:val="12"/>
            <w:shd w:val="clear" w:color="auto" w:fill="auto"/>
          </w:tcPr>
          <w:p w14:paraId="761127B3" w14:textId="7C40D939" w:rsidR="002236BA" w:rsidRPr="00D00322" w:rsidRDefault="002236BA" w:rsidP="00F25717">
            <w:pPr>
              <w:pStyle w:val="Naslovpredpisa"/>
              <w:spacing w:before="0" w:after="0" w:line="260" w:lineRule="exact"/>
              <w:jc w:val="both"/>
              <w:rPr>
                <w:sz w:val="20"/>
                <w:szCs w:val="20"/>
              </w:rPr>
            </w:pPr>
            <w:r w:rsidRPr="00D00322">
              <w:rPr>
                <w:sz w:val="20"/>
                <w:szCs w:val="20"/>
              </w:rPr>
              <w:t xml:space="preserve">ZADEVA: Uvrstitev </w:t>
            </w:r>
            <w:r w:rsidR="009F0B23" w:rsidRPr="00D00322">
              <w:rPr>
                <w:sz w:val="20"/>
                <w:szCs w:val="20"/>
              </w:rPr>
              <w:t xml:space="preserve">novega </w:t>
            </w:r>
            <w:r w:rsidRPr="00D00322">
              <w:rPr>
                <w:sz w:val="20"/>
                <w:szCs w:val="20"/>
              </w:rPr>
              <w:t>proje</w:t>
            </w:r>
            <w:r w:rsidR="00B05063" w:rsidRPr="00D00322">
              <w:rPr>
                <w:sz w:val="20"/>
                <w:szCs w:val="20"/>
              </w:rPr>
              <w:t xml:space="preserve">kta: </w:t>
            </w:r>
            <w:r w:rsidR="00E7091D" w:rsidRPr="00D00322">
              <w:rPr>
                <w:sz w:val="20"/>
                <w:szCs w:val="20"/>
              </w:rPr>
              <w:t>K</w:t>
            </w:r>
            <w:r w:rsidR="00F27CE7" w:rsidRPr="00D00322">
              <w:rPr>
                <w:sz w:val="20"/>
                <w:szCs w:val="20"/>
              </w:rPr>
              <w:t xml:space="preserve">repitev </w:t>
            </w:r>
            <w:r w:rsidR="00E7091D" w:rsidRPr="00D00322">
              <w:rPr>
                <w:sz w:val="20"/>
                <w:szCs w:val="20"/>
              </w:rPr>
              <w:t xml:space="preserve">turškega </w:t>
            </w:r>
            <w:r w:rsidR="00D00322" w:rsidRPr="00D00322">
              <w:rPr>
                <w:sz w:val="20"/>
                <w:szCs w:val="20"/>
              </w:rPr>
              <w:t xml:space="preserve">jedrskega </w:t>
            </w:r>
            <w:r w:rsidR="00F27CE7" w:rsidRPr="00D00322">
              <w:rPr>
                <w:sz w:val="20"/>
                <w:szCs w:val="20"/>
              </w:rPr>
              <w:t xml:space="preserve">upravnega organa, </w:t>
            </w:r>
            <w:r w:rsidR="00570E95" w:rsidRPr="00D00322">
              <w:rPr>
                <w:sz w:val="20"/>
                <w:szCs w:val="20"/>
              </w:rPr>
              <w:t>NRP2563-24-000</w:t>
            </w:r>
            <w:r w:rsidR="00F27CE7" w:rsidRPr="00D00322">
              <w:rPr>
                <w:sz w:val="20"/>
                <w:szCs w:val="20"/>
              </w:rPr>
              <w:t>2</w:t>
            </w:r>
            <w:r w:rsidR="00570E95" w:rsidRPr="00D00322">
              <w:rPr>
                <w:sz w:val="20"/>
                <w:szCs w:val="20"/>
              </w:rPr>
              <w:t xml:space="preserve">, </w:t>
            </w:r>
            <w:r w:rsidRPr="00D00322">
              <w:rPr>
                <w:sz w:val="20"/>
                <w:szCs w:val="20"/>
              </w:rPr>
              <w:t xml:space="preserve">za obdobje 2024-2027 – predlog za obravnavo </w:t>
            </w:r>
          </w:p>
        </w:tc>
      </w:tr>
      <w:tr w:rsidR="002236BA" w:rsidRPr="00C71DBC" w14:paraId="38952D02" w14:textId="77777777" w:rsidTr="007E30B3">
        <w:tc>
          <w:tcPr>
            <w:tcW w:w="9100" w:type="dxa"/>
            <w:gridSpan w:val="12"/>
            <w:shd w:val="clear" w:color="auto" w:fill="auto"/>
          </w:tcPr>
          <w:p w14:paraId="58726B8F" w14:textId="77777777" w:rsidR="002236BA" w:rsidRPr="00D00322" w:rsidRDefault="002236BA" w:rsidP="00260BA0">
            <w:pPr>
              <w:pStyle w:val="Poglavje"/>
              <w:spacing w:before="0" w:after="0" w:line="260" w:lineRule="exact"/>
              <w:jc w:val="left"/>
              <w:rPr>
                <w:sz w:val="20"/>
                <w:szCs w:val="20"/>
              </w:rPr>
            </w:pPr>
            <w:r w:rsidRPr="00D00322">
              <w:rPr>
                <w:sz w:val="20"/>
                <w:szCs w:val="20"/>
              </w:rPr>
              <w:t>1. Predlog sklepov vlade:</w:t>
            </w:r>
          </w:p>
        </w:tc>
      </w:tr>
      <w:tr w:rsidR="002236BA" w:rsidRPr="00C71DBC" w14:paraId="71A3C4B5" w14:textId="77777777" w:rsidTr="007E30B3">
        <w:tc>
          <w:tcPr>
            <w:tcW w:w="9100" w:type="dxa"/>
            <w:gridSpan w:val="12"/>
            <w:shd w:val="clear" w:color="auto" w:fill="auto"/>
          </w:tcPr>
          <w:p w14:paraId="291A133E" w14:textId="2419D994" w:rsidR="002236BA" w:rsidRPr="00D00322" w:rsidRDefault="00D13CD8" w:rsidP="00C71DBC">
            <w:pPr>
              <w:pStyle w:val="Naslov1"/>
              <w:shd w:val="clear" w:color="auto" w:fill="FFFFFF"/>
              <w:spacing w:before="0" w:after="0"/>
              <w:rPr>
                <w:rFonts w:cs="Arial"/>
                <w:iCs/>
                <w:lang w:eastAsia="x-none"/>
              </w:rPr>
            </w:pPr>
            <w:r w:rsidRPr="00D00322">
              <w:rPr>
                <w:rFonts w:cs="Arial"/>
                <w:iCs/>
                <w:lang w:eastAsia="x-none"/>
              </w:rPr>
              <w:t>N</w:t>
            </w:r>
            <w:r w:rsidR="002236BA" w:rsidRPr="00D00322">
              <w:rPr>
                <w:rFonts w:cs="Arial"/>
                <w:iCs/>
                <w:lang w:eastAsia="x-none"/>
              </w:rPr>
              <w:t xml:space="preserve">a podlagi petega odstavka 31. </w:t>
            </w:r>
            <w:r w:rsidR="00C71DBC" w:rsidRPr="00D00322">
              <w:rPr>
                <w:rFonts w:cs="Arial"/>
                <w:iCs/>
                <w:lang w:eastAsia="x-none"/>
              </w:rPr>
              <w:t>č</w:t>
            </w:r>
            <w:r w:rsidR="002236BA" w:rsidRPr="00D00322">
              <w:rPr>
                <w:rFonts w:cs="Arial"/>
                <w:iCs/>
                <w:lang w:eastAsia="x-none"/>
              </w:rPr>
              <w:t>lena</w:t>
            </w:r>
            <w:r w:rsidR="00C71DBC" w:rsidRPr="00D00322">
              <w:rPr>
                <w:rFonts w:cs="Arial"/>
                <w:iCs/>
                <w:lang w:eastAsia="x-none"/>
              </w:rPr>
              <w:t xml:space="preserve"> Zakona o izvrševanju proračunov Republike Slovenije za leti 2024 in 2025 (ZIPRS2425, </w:t>
            </w:r>
            <w:r w:rsidR="002236BA" w:rsidRPr="00D00322">
              <w:rPr>
                <w:rFonts w:cs="Arial"/>
                <w:iCs/>
                <w:lang w:eastAsia="x-none"/>
              </w:rPr>
              <w:t>Uradni list RS, št. </w:t>
            </w:r>
            <w:r w:rsidRPr="00D00322">
              <w:rPr>
                <w:rFonts w:cs="Arial"/>
                <w:iCs/>
                <w:lang w:eastAsia="x-none"/>
              </w:rPr>
              <w:t>123/23</w:t>
            </w:r>
            <w:r w:rsidR="00C71DBC" w:rsidRPr="00D00322">
              <w:rPr>
                <w:rFonts w:cs="Arial"/>
                <w:iCs/>
                <w:lang w:eastAsia="x-none"/>
              </w:rPr>
              <w:t xml:space="preserve"> in 12/24</w:t>
            </w:r>
            <w:r w:rsidR="002236BA" w:rsidRPr="00D00322">
              <w:rPr>
                <w:rFonts w:cs="Arial"/>
                <w:iCs/>
                <w:lang w:eastAsia="x-none"/>
              </w:rPr>
              <w:t>)</w:t>
            </w:r>
            <w:r w:rsidRPr="00D00322">
              <w:rPr>
                <w:rFonts w:cs="Arial"/>
                <w:iCs/>
                <w:lang w:eastAsia="x-none"/>
              </w:rPr>
              <w:t xml:space="preserve"> </w:t>
            </w:r>
            <w:r w:rsidR="002236BA" w:rsidRPr="00D00322">
              <w:rPr>
                <w:rFonts w:cs="Arial"/>
                <w:iCs/>
                <w:lang w:eastAsia="x-none"/>
              </w:rPr>
              <w:t>je Vlada Republike Slovenije na …. ……………..redni seji dne ……… pod točko … sprejela naslednji</w:t>
            </w:r>
          </w:p>
          <w:p w14:paraId="76C6965F" w14:textId="77777777" w:rsidR="002236BA" w:rsidRPr="00D00322" w:rsidRDefault="002236BA" w:rsidP="00260BA0">
            <w:pPr>
              <w:autoSpaceDE w:val="0"/>
              <w:autoSpaceDN w:val="0"/>
              <w:adjustRightInd w:val="0"/>
              <w:spacing w:line="240" w:lineRule="auto"/>
              <w:jc w:val="both"/>
              <w:rPr>
                <w:rFonts w:cs="Arial"/>
                <w:b/>
                <w:iCs/>
                <w:szCs w:val="20"/>
                <w:lang w:val="sl-SI" w:eastAsia="x-none"/>
              </w:rPr>
            </w:pPr>
          </w:p>
          <w:p w14:paraId="78F2F6D4" w14:textId="09F11423" w:rsidR="00C71DBC" w:rsidRPr="00D00322" w:rsidRDefault="00C71DBC" w:rsidP="00C71DBC">
            <w:pPr>
              <w:autoSpaceDE w:val="0"/>
              <w:autoSpaceDN w:val="0"/>
              <w:adjustRightInd w:val="0"/>
              <w:spacing w:line="240" w:lineRule="auto"/>
              <w:jc w:val="center"/>
              <w:rPr>
                <w:rFonts w:cs="Arial"/>
                <w:bCs/>
                <w:iCs/>
                <w:szCs w:val="20"/>
                <w:lang w:val="sl-SI" w:eastAsia="x-none"/>
              </w:rPr>
            </w:pPr>
            <w:r w:rsidRPr="00D00322">
              <w:rPr>
                <w:rFonts w:cs="Arial"/>
                <w:bCs/>
                <w:iCs/>
                <w:szCs w:val="20"/>
                <w:lang w:val="sl-SI" w:eastAsia="x-none"/>
              </w:rPr>
              <w:t>SKLEP</w:t>
            </w:r>
          </w:p>
          <w:p w14:paraId="3B83BB17" w14:textId="77777777" w:rsidR="002236BA" w:rsidRPr="00D00322" w:rsidRDefault="002236BA" w:rsidP="00260BA0">
            <w:pPr>
              <w:autoSpaceDE w:val="0"/>
              <w:autoSpaceDN w:val="0"/>
              <w:adjustRightInd w:val="0"/>
              <w:spacing w:line="240" w:lineRule="auto"/>
              <w:jc w:val="both"/>
              <w:rPr>
                <w:rFonts w:cs="Arial"/>
                <w:bCs/>
                <w:iCs/>
                <w:szCs w:val="20"/>
                <w:lang w:val="sl-SI" w:eastAsia="x-none"/>
              </w:rPr>
            </w:pPr>
          </w:p>
          <w:p w14:paraId="47AD2F81" w14:textId="76AF7789" w:rsidR="002236BA" w:rsidRPr="00D00322" w:rsidRDefault="002236BA" w:rsidP="00260BA0">
            <w:pPr>
              <w:autoSpaceDE w:val="0"/>
              <w:autoSpaceDN w:val="0"/>
              <w:adjustRightInd w:val="0"/>
              <w:spacing w:line="240" w:lineRule="auto"/>
              <w:jc w:val="both"/>
              <w:rPr>
                <w:bCs/>
                <w:i/>
                <w:iCs/>
                <w:szCs w:val="20"/>
                <w:lang w:val="sl-SI"/>
              </w:rPr>
            </w:pPr>
            <w:r w:rsidRPr="00D00322">
              <w:rPr>
                <w:bCs/>
                <w:szCs w:val="20"/>
                <w:lang w:val="sl-SI"/>
              </w:rPr>
              <w:t xml:space="preserve">V </w:t>
            </w:r>
            <w:r w:rsidRPr="00D00322">
              <w:rPr>
                <w:bCs/>
                <w:i/>
                <w:iCs/>
                <w:szCs w:val="20"/>
                <w:lang w:val="sl-SI"/>
              </w:rPr>
              <w:t xml:space="preserve">veljavni Načrt razvojnih programov 2024-2027 se skladno s prilogo uvrsti nov </w:t>
            </w:r>
            <w:r w:rsidR="00C71DBC" w:rsidRPr="00D00322">
              <w:rPr>
                <w:bCs/>
                <w:i/>
                <w:iCs/>
                <w:szCs w:val="20"/>
                <w:lang w:val="sl-SI"/>
              </w:rPr>
              <w:t>projekt</w:t>
            </w:r>
          </w:p>
          <w:p w14:paraId="7780281F" w14:textId="77777777" w:rsidR="002236BA" w:rsidRPr="00D00322" w:rsidRDefault="002236BA" w:rsidP="00260BA0">
            <w:pPr>
              <w:autoSpaceDE w:val="0"/>
              <w:autoSpaceDN w:val="0"/>
              <w:adjustRightInd w:val="0"/>
              <w:spacing w:line="240" w:lineRule="auto"/>
              <w:jc w:val="both"/>
              <w:rPr>
                <w:bCs/>
                <w:i/>
                <w:iCs/>
                <w:szCs w:val="20"/>
                <w:lang w:val="sl-SI"/>
              </w:rPr>
            </w:pPr>
          </w:p>
          <w:p w14:paraId="5A045302" w14:textId="249EC7A6" w:rsidR="002236BA" w:rsidRPr="00FE7A64" w:rsidRDefault="00C71DBC" w:rsidP="00E7091D">
            <w:pPr>
              <w:jc w:val="center"/>
              <w:rPr>
                <w:b/>
                <w:i/>
                <w:iCs/>
                <w:szCs w:val="20"/>
                <w:lang w:val="sl-SI"/>
              </w:rPr>
            </w:pPr>
            <w:r w:rsidRPr="00FE7A64">
              <w:rPr>
                <w:b/>
                <w:i/>
                <w:iCs/>
                <w:szCs w:val="20"/>
                <w:lang w:val="sl-SI"/>
              </w:rPr>
              <w:t>»</w:t>
            </w:r>
            <w:r w:rsidR="002236BA" w:rsidRPr="00FE7A64">
              <w:rPr>
                <w:b/>
                <w:i/>
                <w:iCs/>
                <w:szCs w:val="20"/>
                <w:lang w:val="sl-SI"/>
              </w:rPr>
              <w:t>2563-24-000</w:t>
            </w:r>
            <w:r w:rsidRPr="00FE7A64">
              <w:rPr>
                <w:b/>
                <w:i/>
                <w:iCs/>
                <w:szCs w:val="20"/>
                <w:lang w:val="sl-SI"/>
              </w:rPr>
              <w:t>2</w:t>
            </w:r>
            <w:r w:rsidR="00F94B50" w:rsidRPr="00FE7A64">
              <w:rPr>
                <w:b/>
                <w:i/>
                <w:iCs/>
                <w:szCs w:val="20"/>
                <w:lang w:val="sl-SI"/>
              </w:rPr>
              <w:t>»</w:t>
            </w:r>
            <w:r w:rsidR="00FE7A64" w:rsidRPr="00FE7A64">
              <w:rPr>
                <w:b/>
                <w:i/>
                <w:iCs/>
                <w:szCs w:val="20"/>
                <w:lang w:val="sl-SI"/>
              </w:rPr>
              <w:t xml:space="preserve"> </w:t>
            </w:r>
            <w:r w:rsidR="00BE57D9" w:rsidRPr="00FE7A64">
              <w:rPr>
                <w:b/>
                <w:i/>
                <w:iCs/>
                <w:szCs w:val="20"/>
                <w:lang w:val="sl-SI"/>
              </w:rPr>
              <w:t xml:space="preserve"> </w:t>
            </w:r>
            <w:r w:rsidR="00F94B50" w:rsidRPr="00FE7A64">
              <w:rPr>
                <w:rFonts w:ascii="Roboto" w:hAnsi="Roboto"/>
                <w:b/>
                <w:i/>
                <w:iCs/>
                <w:color w:val="545454"/>
                <w:szCs w:val="20"/>
                <w:shd w:val="clear" w:color="auto" w:fill="FFFFFF"/>
              </w:rPr>
              <w:t>Krepitev turškega jedrskega upravnega organa</w:t>
            </w:r>
          </w:p>
          <w:p w14:paraId="72F16A2F" w14:textId="77777777" w:rsidR="002236BA" w:rsidRPr="00D00322" w:rsidRDefault="002236BA" w:rsidP="00260BA0">
            <w:pPr>
              <w:pStyle w:val="Neotevilenodstavek"/>
              <w:rPr>
                <w:iCs/>
                <w:sz w:val="20"/>
                <w:szCs w:val="20"/>
                <w:lang w:eastAsia="en-US"/>
              </w:rPr>
            </w:pPr>
          </w:p>
          <w:p w14:paraId="328393F2" w14:textId="77777777" w:rsidR="002236BA" w:rsidRPr="00D00322" w:rsidRDefault="002236BA" w:rsidP="00260BA0">
            <w:pPr>
              <w:pStyle w:val="Neotevilenodstavek"/>
              <w:rPr>
                <w:iCs/>
                <w:strike/>
                <w:sz w:val="20"/>
                <w:szCs w:val="20"/>
                <w:lang w:eastAsia="en-US"/>
              </w:rPr>
            </w:pPr>
          </w:p>
          <w:p w14:paraId="042B5830" w14:textId="77777777" w:rsidR="002236BA" w:rsidRPr="00D00322" w:rsidRDefault="002236BA" w:rsidP="00260BA0">
            <w:pPr>
              <w:pStyle w:val="Neotevilenodstavek"/>
              <w:rPr>
                <w:iCs/>
                <w:strike/>
                <w:sz w:val="20"/>
                <w:szCs w:val="20"/>
                <w:lang w:eastAsia="en-US"/>
              </w:rPr>
            </w:pPr>
          </w:p>
          <w:p w14:paraId="58CE7F17" w14:textId="77777777" w:rsidR="007E30B3" w:rsidRPr="00D00322" w:rsidRDefault="002236BA" w:rsidP="007E30B3">
            <w:pPr>
              <w:pStyle w:val="Neotevilenodstavek"/>
              <w:ind w:firstLine="4314"/>
              <w:jc w:val="center"/>
              <w:rPr>
                <w:sz w:val="20"/>
                <w:szCs w:val="20"/>
              </w:rPr>
            </w:pPr>
            <w:r w:rsidRPr="00D00322">
              <w:rPr>
                <w:iCs/>
                <w:sz w:val="20"/>
                <w:szCs w:val="20"/>
                <w:lang w:eastAsia="en-US"/>
              </w:rPr>
              <w:t xml:space="preserve"> </w:t>
            </w:r>
            <w:r w:rsidR="007E30B3" w:rsidRPr="00D00322">
              <w:rPr>
                <w:sz w:val="20"/>
                <w:szCs w:val="20"/>
              </w:rPr>
              <w:t xml:space="preserve">Barbara Kolenko Helbl </w:t>
            </w:r>
          </w:p>
          <w:p w14:paraId="04EE7079" w14:textId="77777777" w:rsidR="007E30B3" w:rsidRPr="00D00322" w:rsidRDefault="007E30B3" w:rsidP="007E30B3">
            <w:pPr>
              <w:pStyle w:val="Neotevilenodstavek"/>
              <w:ind w:firstLine="4314"/>
              <w:jc w:val="center"/>
              <w:rPr>
                <w:sz w:val="20"/>
                <w:szCs w:val="20"/>
              </w:rPr>
            </w:pPr>
            <w:r w:rsidRPr="00D00322">
              <w:rPr>
                <w:sz w:val="20"/>
                <w:szCs w:val="20"/>
              </w:rPr>
              <w:t>generalna sekretarka</w:t>
            </w:r>
          </w:p>
          <w:p w14:paraId="3F887A20" w14:textId="4A5D80A3" w:rsidR="002236BA" w:rsidRPr="00D00322" w:rsidRDefault="002236BA" w:rsidP="00260BA0">
            <w:pPr>
              <w:pStyle w:val="NeotevilenodstavekZnakZnakZnakZnak"/>
              <w:ind w:left="720"/>
              <w:rPr>
                <w:b/>
                <w:sz w:val="20"/>
                <w:szCs w:val="20"/>
              </w:rPr>
            </w:pPr>
          </w:p>
          <w:p w14:paraId="71C1EFE5" w14:textId="77777777" w:rsidR="002236BA" w:rsidRPr="00D00322" w:rsidRDefault="002236BA" w:rsidP="00260BA0">
            <w:pPr>
              <w:shd w:val="clear" w:color="auto" w:fill="FFFFFF" w:themeFill="background1"/>
              <w:autoSpaceDE w:val="0"/>
              <w:autoSpaceDN w:val="0"/>
              <w:adjustRightInd w:val="0"/>
              <w:spacing w:line="240" w:lineRule="atLeast"/>
              <w:jc w:val="both"/>
              <w:rPr>
                <w:rFonts w:cs="Arial"/>
                <w:lang w:val="sl-SI" w:eastAsia="sl-SI"/>
              </w:rPr>
            </w:pPr>
            <w:r w:rsidRPr="00D00322">
              <w:rPr>
                <w:rFonts w:cs="Arial"/>
                <w:lang w:val="sl-SI" w:eastAsia="sl-SI"/>
              </w:rPr>
              <w:t xml:space="preserve">      </w:t>
            </w:r>
          </w:p>
          <w:p w14:paraId="381D0EF7" w14:textId="77777777" w:rsidR="002236BA" w:rsidRPr="00D00322" w:rsidRDefault="002236BA" w:rsidP="00260BA0">
            <w:pPr>
              <w:shd w:val="clear" w:color="auto" w:fill="FFFFFF" w:themeFill="background1"/>
              <w:autoSpaceDE w:val="0"/>
              <w:autoSpaceDN w:val="0"/>
              <w:adjustRightInd w:val="0"/>
              <w:spacing w:line="240" w:lineRule="atLeast"/>
              <w:jc w:val="both"/>
              <w:rPr>
                <w:rFonts w:cs="Arial"/>
                <w:lang w:val="sl-SI" w:eastAsia="sl-SI"/>
              </w:rPr>
            </w:pPr>
            <w:r w:rsidRPr="00D00322">
              <w:rPr>
                <w:rFonts w:cs="Arial"/>
                <w:lang w:val="sl-SI" w:eastAsia="sl-SI"/>
              </w:rPr>
              <w:t xml:space="preserve">         Priloga: Tabela 1 (Obrazec 3)</w:t>
            </w:r>
          </w:p>
          <w:p w14:paraId="4DD3ED6D" w14:textId="77777777" w:rsidR="002236BA" w:rsidRPr="00D00322" w:rsidRDefault="002236BA" w:rsidP="00260BA0">
            <w:pPr>
              <w:shd w:val="clear" w:color="auto" w:fill="FFFFFF" w:themeFill="background1"/>
              <w:autoSpaceDE w:val="0"/>
              <w:autoSpaceDN w:val="0"/>
              <w:adjustRightInd w:val="0"/>
              <w:spacing w:line="240" w:lineRule="atLeast"/>
              <w:ind w:firstLine="540"/>
              <w:jc w:val="both"/>
              <w:rPr>
                <w:rFonts w:cs="Arial"/>
                <w:iCs/>
                <w:lang w:val="sl-SI"/>
              </w:rPr>
            </w:pPr>
          </w:p>
          <w:p w14:paraId="56484451" w14:textId="77777777" w:rsidR="002236BA" w:rsidRPr="00D00322" w:rsidRDefault="002236BA" w:rsidP="00260BA0">
            <w:pPr>
              <w:shd w:val="clear" w:color="auto" w:fill="FFFFFF" w:themeFill="background1"/>
              <w:autoSpaceDE w:val="0"/>
              <w:autoSpaceDN w:val="0"/>
              <w:adjustRightInd w:val="0"/>
              <w:spacing w:line="240" w:lineRule="atLeast"/>
              <w:ind w:firstLine="540"/>
              <w:jc w:val="both"/>
              <w:rPr>
                <w:rFonts w:cs="Arial"/>
                <w:iCs/>
                <w:lang w:val="sl-SI"/>
              </w:rPr>
            </w:pPr>
            <w:r w:rsidRPr="00D00322">
              <w:rPr>
                <w:rFonts w:cs="Arial"/>
                <w:iCs/>
                <w:lang w:val="sl-SI"/>
              </w:rPr>
              <w:t>Sklep prejmejo:</w:t>
            </w:r>
          </w:p>
          <w:p w14:paraId="2D71A979" w14:textId="31C7578F" w:rsidR="002236BA" w:rsidRPr="00D00322" w:rsidRDefault="002236BA" w:rsidP="002236BA">
            <w:pPr>
              <w:numPr>
                <w:ilvl w:val="0"/>
                <w:numId w:val="14"/>
              </w:numPr>
              <w:shd w:val="clear" w:color="auto" w:fill="FFFFFF" w:themeFill="background1"/>
              <w:autoSpaceDE w:val="0"/>
              <w:autoSpaceDN w:val="0"/>
              <w:adjustRightInd w:val="0"/>
              <w:spacing w:line="240" w:lineRule="atLeast"/>
              <w:jc w:val="both"/>
              <w:rPr>
                <w:rFonts w:cs="Arial"/>
                <w:iCs/>
                <w:lang w:val="sl-SI"/>
              </w:rPr>
            </w:pPr>
            <w:r w:rsidRPr="00D00322">
              <w:rPr>
                <w:rFonts w:cs="Arial"/>
                <w:iCs/>
                <w:lang w:val="sl-SI"/>
              </w:rPr>
              <w:t>Ministrstvo za narav</w:t>
            </w:r>
            <w:r w:rsidR="00C71DBC" w:rsidRPr="00D00322">
              <w:rPr>
                <w:rFonts w:cs="Arial"/>
                <w:iCs/>
                <w:lang w:val="sl-SI"/>
              </w:rPr>
              <w:t>ne</w:t>
            </w:r>
            <w:r w:rsidRPr="00D00322">
              <w:rPr>
                <w:rFonts w:cs="Arial"/>
                <w:iCs/>
                <w:lang w:val="sl-SI"/>
              </w:rPr>
              <w:t xml:space="preserve"> vire in prostor (URSJV)</w:t>
            </w:r>
          </w:p>
          <w:p w14:paraId="7C7F5CD2" w14:textId="77777777" w:rsidR="002236BA" w:rsidRPr="00D00322" w:rsidRDefault="002236BA" w:rsidP="002236BA">
            <w:pPr>
              <w:numPr>
                <w:ilvl w:val="0"/>
                <w:numId w:val="14"/>
              </w:numPr>
              <w:shd w:val="clear" w:color="auto" w:fill="FFFFFF" w:themeFill="background1"/>
              <w:autoSpaceDE w:val="0"/>
              <w:autoSpaceDN w:val="0"/>
              <w:adjustRightInd w:val="0"/>
              <w:spacing w:line="240" w:lineRule="atLeast"/>
              <w:jc w:val="both"/>
              <w:rPr>
                <w:rFonts w:cs="Arial"/>
                <w:iCs/>
                <w:lang w:val="sl-SI"/>
              </w:rPr>
            </w:pPr>
            <w:r w:rsidRPr="00D00322">
              <w:rPr>
                <w:rFonts w:cs="Arial"/>
                <w:iCs/>
                <w:lang w:val="sl-SI"/>
              </w:rPr>
              <w:t>Ministrstvo za finance,</w:t>
            </w:r>
          </w:p>
          <w:p w14:paraId="3D18EAA3" w14:textId="77777777" w:rsidR="002236BA" w:rsidRPr="00D00322" w:rsidRDefault="002236BA" w:rsidP="002236BA">
            <w:pPr>
              <w:numPr>
                <w:ilvl w:val="0"/>
                <w:numId w:val="14"/>
              </w:numPr>
              <w:shd w:val="clear" w:color="auto" w:fill="FFFFFF" w:themeFill="background1"/>
              <w:autoSpaceDE w:val="0"/>
              <w:autoSpaceDN w:val="0"/>
              <w:adjustRightInd w:val="0"/>
              <w:spacing w:line="240" w:lineRule="atLeast"/>
              <w:jc w:val="both"/>
              <w:rPr>
                <w:rFonts w:cs="Arial"/>
                <w:iCs/>
                <w:lang w:val="sl-SI"/>
              </w:rPr>
            </w:pPr>
            <w:r w:rsidRPr="00D00322">
              <w:rPr>
                <w:rFonts w:cs="Arial"/>
                <w:iCs/>
                <w:lang w:val="sl-SI"/>
              </w:rPr>
              <w:t>Generalni sekretariat Vlade RS.</w:t>
            </w:r>
          </w:p>
          <w:p w14:paraId="7FEE3CE9" w14:textId="77777777" w:rsidR="002236BA" w:rsidRPr="00D00322" w:rsidRDefault="002236BA" w:rsidP="00260BA0">
            <w:pPr>
              <w:pStyle w:val="Neotevilenodstavek"/>
              <w:spacing w:before="0" w:after="0" w:line="260" w:lineRule="exact"/>
              <w:rPr>
                <w:iCs/>
                <w:sz w:val="20"/>
                <w:szCs w:val="20"/>
              </w:rPr>
            </w:pPr>
          </w:p>
        </w:tc>
      </w:tr>
      <w:tr w:rsidR="002236BA" w:rsidRPr="00C71DBC" w14:paraId="4726D81A" w14:textId="77777777" w:rsidTr="00260BA0">
        <w:tc>
          <w:tcPr>
            <w:tcW w:w="9100" w:type="dxa"/>
            <w:gridSpan w:val="12"/>
          </w:tcPr>
          <w:p w14:paraId="32BE3C94" w14:textId="77777777" w:rsidR="002236BA" w:rsidRPr="00C71DBC" w:rsidRDefault="002236BA" w:rsidP="00260BA0">
            <w:pPr>
              <w:pStyle w:val="Neotevilenodstavek"/>
              <w:spacing w:before="0" w:after="0" w:line="260" w:lineRule="exact"/>
              <w:rPr>
                <w:b/>
                <w:iCs/>
                <w:sz w:val="20"/>
                <w:szCs w:val="20"/>
              </w:rPr>
            </w:pPr>
            <w:r w:rsidRPr="00C71DBC">
              <w:rPr>
                <w:b/>
                <w:sz w:val="20"/>
                <w:szCs w:val="20"/>
              </w:rPr>
              <w:t>2. Predlog za obravnavo predloga zakona po nujnem ali skrajšanem postopku v državnem zboru z obrazložitvijo razlogov:</w:t>
            </w:r>
          </w:p>
        </w:tc>
      </w:tr>
      <w:tr w:rsidR="002236BA" w:rsidRPr="00C71DBC" w14:paraId="1DAFF204" w14:textId="77777777" w:rsidTr="00260BA0">
        <w:tc>
          <w:tcPr>
            <w:tcW w:w="9100" w:type="dxa"/>
            <w:gridSpan w:val="12"/>
          </w:tcPr>
          <w:p w14:paraId="383D2B39" w14:textId="77777777" w:rsidR="002236BA" w:rsidRPr="00C71DBC" w:rsidRDefault="002236BA" w:rsidP="00260BA0">
            <w:pPr>
              <w:pStyle w:val="Neotevilenodstavek"/>
              <w:spacing w:before="0" w:after="0" w:line="260" w:lineRule="exact"/>
              <w:rPr>
                <w:iCs/>
                <w:sz w:val="20"/>
                <w:szCs w:val="20"/>
              </w:rPr>
            </w:pPr>
            <w:r w:rsidRPr="00C71DBC">
              <w:rPr>
                <w:iCs/>
                <w:sz w:val="20"/>
                <w:szCs w:val="20"/>
              </w:rPr>
              <w:t>(Navedite razloge, razen za predlog zakona o ratifikaciji mednarodne pogodbe, ki se obravnava po nujnem postopku – 169. člen Poslovnika državnega zbora.)</w:t>
            </w:r>
          </w:p>
        </w:tc>
      </w:tr>
      <w:tr w:rsidR="002236BA" w:rsidRPr="00C71DBC" w14:paraId="2CBCE762" w14:textId="77777777" w:rsidTr="00260BA0">
        <w:tc>
          <w:tcPr>
            <w:tcW w:w="9100" w:type="dxa"/>
            <w:gridSpan w:val="12"/>
          </w:tcPr>
          <w:p w14:paraId="01E441CC" w14:textId="77777777" w:rsidR="002236BA" w:rsidRPr="00C71DBC" w:rsidRDefault="002236BA" w:rsidP="00260BA0">
            <w:pPr>
              <w:pStyle w:val="Neotevilenodstavek"/>
              <w:spacing w:before="0" w:after="0" w:line="260" w:lineRule="exact"/>
              <w:rPr>
                <w:b/>
                <w:iCs/>
                <w:sz w:val="20"/>
                <w:szCs w:val="20"/>
              </w:rPr>
            </w:pPr>
            <w:r w:rsidRPr="00C71DBC">
              <w:rPr>
                <w:b/>
                <w:sz w:val="20"/>
                <w:szCs w:val="20"/>
              </w:rPr>
              <w:t>3.a Osebe, odgovorne za strokovno pripravo in usklajenost gradiva:</w:t>
            </w:r>
          </w:p>
        </w:tc>
      </w:tr>
      <w:tr w:rsidR="002236BA" w:rsidRPr="00C71DBC" w14:paraId="670B5DCD" w14:textId="77777777" w:rsidTr="00260BA0">
        <w:tc>
          <w:tcPr>
            <w:tcW w:w="9100" w:type="dxa"/>
            <w:gridSpan w:val="12"/>
          </w:tcPr>
          <w:p w14:paraId="35E57F91" w14:textId="0C5AB94C" w:rsidR="007E30B3" w:rsidRPr="00C71DBC" w:rsidRDefault="002236BA" w:rsidP="00260BA0">
            <w:pPr>
              <w:pStyle w:val="NeotevilenodstavekZnakZnakZnakZnak"/>
              <w:rPr>
                <w:iCs/>
                <w:sz w:val="20"/>
                <w:szCs w:val="20"/>
              </w:rPr>
            </w:pPr>
            <w:r w:rsidRPr="00C71DBC">
              <w:rPr>
                <w:iCs/>
                <w:sz w:val="20"/>
                <w:szCs w:val="20"/>
              </w:rPr>
              <w:t>Igor Sirc, direktor, Uprava R</w:t>
            </w:r>
            <w:r w:rsidR="00C71DBC" w:rsidRPr="00C71DBC">
              <w:rPr>
                <w:iCs/>
                <w:sz w:val="20"/>
                <w:szCs w:val="20"/>
              </w:rPr>
              <w:t xml:space="preserve">epublike </w:t>
            </w:r>
            <w:r w:rsidRPr="00C71DBC">
              <w:rPr>
                <w:iCs/>
                <w:sz w:val="20"/>
                <w:szCs w:val="20"/>
              </w:rPr>
              <w:t>S</w:t>
            </w:r>
            <w:r w:rsidR="00C71DBC" w:rsidRPr="00C71DBC">
              <w:rPr>
                <w:iCs/>
                <w:sz w:val="20"/>
                <w:szCs w:val="20"/>
              </w:rPr>
              <w:t>lovenije</w:t>
            </w:r>
            <w:r w:rsidRPr="00C71DBC">
              <w:rPr>
                <w:iCs/>
                <w:sz w:val="20"/>
                <w:szCs w:val="20"/>
              </w:rPr>
              <w:t xml:space="preserve"> za jedrsko varnost</w:t>
            </w:r>
          </w:p>
          <w:p w14:paraId="76EFC2A6" w14:textId="2C28B779" w:rsidR="002236BA" w:rsidRPr="00C71DBC" w:rsidRDefault="002236BA" w:rsidP="00260BA0">
            <w:pPr>
              <w:pStyle w:val="NeotevilenodstavekZnakZnakZnakZnak"/>
              <w:rPr>
                <w:iCs/>
                <w:sz w:val="20"/>
                <w:szCs w:val="20"/>
              </w:rPr>
            </w:pPr>
            <w:r w:rsidRPr="00C71DBC">
              <w:rPr>
                <w:iCs/>
                <w:sz w:val="20"/>
                <w:szCs w:val="20"/>
              </w:rPr>
              <w:t>Jure Škodlar</w:t>
            </w:r>
            <w:r w:rsidR="00FD5197">
              <w:rPr>
                <w:iCs/>
                <w:sz w:val="20"/>
                <w:szCs w:val="20"/>
              </w:rPr>
              <w:t>,</w:t>
            </w:r>
            <w:r w:rsidRPr="00C71DBC">
              <w:rPr>
                <w:iCs/>
                <w:sz w:val="20"/>
                <w:szCs w:val="20"/>
              </w:rPr>
              <w:t xml:space="preserve"> sekretar, Uprava </w:t>
            </w:r>
            <w:r w:rsidR="00C71DBC" w:rsidRPr="00C71DBC">
              <w:rPr>
                <w:iCs/>
                <w:sz w:val="20"/>
                <w:szCs w:val="20"/>
              </w:rPr>
              <w:t>Republike Slovenije</w:t>
            </w:r>
            <w:r w:rsidRPr="00C71DBC">
              <w:rPr>
                <w:iCs/>
                <w:sz w:val="20"/>
                <w:szCs w:val="20"/>
              </w:rPr>
              <w:t xml:space="preserve"> za jedrsko varnost</w:t>
            </w:r>
          </w:p>
        </w:tc>
      </w:tr>
      <w:tr w:rsidR="002236BA" w:rsidRPr="00C71DBC" w14:paraId="24ABAA02" w14:textId="77777777" w:rsidTr="00260BA0">
        <w:tc>
          <w:tcPr>
            <w:tcW w:w="9100" w:type="dxa"/>
            <w:gridSpan w:val="12"/>
          </w:tcPr>
          <w:p w14:paraId="3A1A7949" w14:textId="77777777" w:rsidR="002236BA" w:rsidRPr="00C71DBC" w:rsidRDefault="002236BA" w:rsidP="00260BA0">
            <w:pPr>
              <w:pStyle w:val="Neotevilenodstavek"/>
              <w:spacing w:before="0" w:after="0" w:line="260" w:lineRule="exact"/>
              <w:rPr>
                <w:b/>
                <w:iCs/>
                <w:sz w:val="20"/>
                <w:szCs w:val="20"/>
              </w:rPr>
            </w:pPr>
            <w:r w:rsidRPr="00C71DBC">
              <w:rPr>
                <w:b/>
                <w:iCs/>
                <w:sz w:val="20"/>
                <w:szCs w:val="20"/>
              </w:rPr>
              <w:t xml:space="preserve">3.b Zunanji strokovnjaki, ki so </w:t>
            </w:r>
            <w:r w:rsidRPr="00C71DBC">
              <w:rPr>
                <w:b/>
                <w:sz w:val="20"/>
                <w:szCs w:val="20"/>
              </w:rPr>
              <w:t>sodelovali pri pripravi dela ali celotnega gradiva:</w:t>
            </w:r>
          </w:p>
        </w:tc>
      </w:tr>
      <w:tr w:rsidR="002236BA" w:rsidRPr="00C71DBC" w14:paraId="17E68E9D" w14:textId="77777777" w:rsidTr="00260BA0">
        <w:tc>
          <w:tcPr>
            <w:tcW w:w="9100" w:type="dxa"/>
            <w:gridSpan w:val="12"/>
          </w:tcPr>
          <w:p w14:paraId="68A5C2F3" w14:textId="77777777" w:rsidR="002236BA" w:rsidRPr="00C71DBC" w:rsidRDefault="002236BA" w:rsidP="00260BA0">
            <w:pPr>
              <w:pStyle w:val="Neotevilenodstavek"/>
              <w:spacing w:before="0" w:after="0" w:line="260" w:lineRule="exact"/>
              <w:rPr>
                <w:iCs/>
                <w:sz w:val="20"/>
                <w:szCs w:val="20"/>
              </w:rPr>
            </w:pPr>
            <w:r w:rsidRPr="00C71DBC">
              <w:rPr>
                <w:iCs/>
                <w:sz w:val="20"/>
                <w:szCs w:val="20"/>
              </w:rPr>
              <w:t>/</w:t>
            </w:r>
          </w:p>
          <w:p w14:paraId="3A34D545" w14:textId="77777777" w:rsidR="002236BA" w:rsidRPr="00C71DBC" w:rsidRDefault="002236BA" w:rsidP="00260BA0">
            <w:pPr>
              <w:pStyle w:val="Neotevilenodstavek"/>
              <w:spacing w:before="0" w:after="0" w:line="260" w:lineRule="exact"/>
              <w:rPr>
                <w:iCs/>
                <w:sz w:val="20"/>
                <w:szCs w:val="20"/>
              </w:rPr>
            </w:pPr>
          </w:p>
        </w:tc>
      </w:tr>
      <w:tr w:rsidR="002236BA" w:rsidRPr="00C71DBC" w14:paraId="439330D7" w14:textId="77777777" w:rsidTr="00260BA0">
        <w:tc>
          <w:tcPr>
            <w:tcW w:w="9100" w:type="dxa"/>
            <w:gridSpan w:val="12"/>
          </w:tcPr>
          <w:p w14:paraId="02F9C8A6" w14:textId="77777777" w:rsidR="002236BA" w:rsidRPr="00C71DBC" w:rsidRDefault="002236BA" w:rsidP="00260BA0">
            <w:pPr>
              <w:pStyle w:val="Neotevilenodstavek"/>
              <w:spacing w:before="0" w:after="0" w:line="260" w:lineRule="exact"/>
              <w:rPr>
                <w:b/>
                <w:iCs/>
                <w:sz w:val="20"/>
                <w:szCs w:val="20"/>
              </w:rPr>
            </w:pPr>
            <w:r w:rsidRPr="00C71DBC">
              <w:rPr>
                <w:b/>
                <w:sz w:val="20"/>
                <w:szCs w:val="20"/>
              </w:rPr>
              <w:t>4. Predstavniki vlade, ki bodo sodelovali pri delu državnega zbora:</w:t>
            </w:r>
          </w:p>
        </w:tc>
      </w:tr>
      <w:tr w:rsidR="002236BA" w:rsidRPr="00C71DBC" w14:paraId="35A0D7DF" w14:textId="77777777" w:rsidTr="00260BA0">
        <w:tc>
          <w:tcPr>
            <w:tcW w:w="9100" w:type="dxa"/>
            <w:gridSpan w:val="12"/>
          </w:tcPr>
          <w:p w14:paraId="00C58C37" w14:textId="77777777" w:rsidR="002236BA" w:rsidRPr="00C71DBC" w:rsidRDefault="002236BA" w:rsidP="00260BA0">
            <w:pPr>
              <w:pStyle w:val="Neotevilenodstavek"/>
              <w:spacing w:before="0" w:after="0" w:line="260" w:lineRule="exact"/>
              <w:rPr>
                <w:b/>
                <w:sz w:val="20"/>
                <w:szCs w:val="20"/>
              </w:rPr>
            </w:pPr>
            <w:r w:rsidRPr="00C71DBC">
              <w:rPr>
                <w:iCs/>
                <w:sz w:val="20"/>
                <w:szCs w:val="20"/>
              </w:rPr>
              <w:t>/</w:t>
            </w:r>
          </w:p>
        </w:tc>
      </w:tr>
      <w:tr w:rsidR="002236BA" w:rsidRPr="008B02B9" w14:paraId="2CC3579C" w14:textId="77777777" w:rsidTr="00260BA0">
        <w:tc>
          <w:tcPr>
            <w:tcW w:w="9100" w:type="dxa"/>
            <w:gridSpan w:val="12"/>
          </w:tcPr>
          <w:p w14:paraId="76866133" w14:textId="77777777" w:rsidR="002236BA" w:rsidRPr="00C71DBC" w:rsidRDefault="002236BA" w:rsidP="007E30B3">
            <w:pPr>
              <w:pStyle w:val="Oddelek"/>
              <w:numPr>
                <w:ilvl w:val="0"/>
                <w:numId w:val="0"/>
              </w:numPr>
              <w:spacing w:before="0" w:after="0" w:line="260" w:lineRule="exact"/>
              <w:jc w:val="both"/>
              <w:rPr>
                <w:sz w:val="20"/>
                <w:szCs w:val="20"/>
              </w:rPr>
            </w:pPr>
            <w:r w:rsidRPr="00C71DBC">
              <w:rPr>
                <w:sz w:val="20"/>
                <w:szCs w:val="20"/>
              </w:rPr>
              <w:t>5. Kratek povzetek gradiva:</w:t>
            </w:r>
          </w:p>
          <w:p w14:paraId="3B877B41" w14:textId="77777777" w:rsidR="00C71DBC" w:rsidRDefault="00C71DBC" w:rsidP="00C71DBC">
            <w:pPr>
              <w:jc w:val="both"/>
              <w:rPr>
                <w:rFonts w:cs="Arial"/>
                <w:color w:val="000000"/>
                <w:szCs w:val="20"/>
                <w:lang w:val="sl-SI" w:eastAsia="sl-SI"/>
              </w:rPr>
            </w:pPr>
            <w:r w:rsidRPr="00C71DBC">
              <w:rPr>
                <w:rFonts w:cs="Arial"/>
                <w:color w:val="000000"/>
                <w:szCs w:val="20"/>
                <w:lang w:val="sl-SI" w:eastAsia="sl-SI"/>
              </w:rPr>
              <w:t xml:space="preserve">Namen tega projekta je pomagati upravnemu organu za jedrsko varnost Republike Turčije in njegovi tehnični podporni organizaciji, da bi še dodatno okrepila znanje, strokovnost in vodstvene sposobnosti </w:t>
            </w:r>
            <w:r w:rsidRPr="00C71DBC">
              <w:rPr>
                <w:rFonts w:cs="Arial"/>
                <w:color w:val="000000"/>
                <w:szCs w:val="20"/>
                <w:lang w:val="sl-SI" w:eastAsia="sl-SI"/>
              </w:rPr>
              <w:lastRenderedPageBreak/>
              <w:t xml:space="preserve">svojih sodelavcev, med drugim iz področij krepitve upravnega in zakonodajnega okvira ter upravnega nadzora na področju jedrske in sevalne varnosti, pripravljenosti na izredne dogodke ter z usposabljanji s specifičnih področij dela upravnega organa in podporne organizacije. </w:t>
            </w:r>
          </w:p>
          <w:p w14:paraId="590A1443" w14:textId="77777777" w:rsidR="00C47B70" w:rsidRPr="00C71DBC" w:rsidRDefault="00C47B70" w:rsidP="00C71DBC">
            <w:pPr>
              <w:jc w:val="both"/>
              <w:rPr>
                <w:rFonts w:cs="Arial"/>
                <w:color w:val="000000"/>
                <w:szCs w:val="20"/>
                <w:lang w:val="sl-SI" w:eastAsia="sl-SI"/>
              </w:rPr>
            </w:pPr>
          </w:p>
          <w:p w14:paraId="54B7E424" w14:textId="6A0EB753" w:rsidR="00C71DBC" w:rsidRDefault="00C71DBC" w:rsidP="00C71DBC">
            <w:pPr>
              <w:jc w:val="both"/>
              <w:rPr>
                <w:rFonts w:cs="Arial"/>
                <w:szCs w:val="20"/>
                <w:lang w:val="sl-SI"/>
              </w:rPr>
            </w:pPr>
            <w:r w:rsidRPr="00C71DBC">
              <w:rPr>
                <w:rFonts w:cs="Arial"/>
                <w:szCs w:val="20"/>
                <w:lang w:val="sl-SI"/>
              </w:rPr>
              <w:t xml:space="preserve">Cilj projekta je izvedba delavnic s ciljem predstavitve najboljših evropskih praks pri vzpostavljanju celovitega upravnega okvira in sistemov nadzora, obiski turških predstavnikov in usposabljanja na delovnem mestu na </w:t>
            </w:r>
            <w:r w:rsidR="00C47B70">
              <w:rPr>
                <w:rFonts w:cs="Arial"/>
                <w:szCs w:val="20"/>
                <w:lang w:val="sl-SI"/>
              </w:rPr>
              <w:t xml:space="preserve">Upravi za jedrsko varnost (v nadaljevanju </w:t>
            </w:r>
            <w:r w:rsidRPr="00C71DBC">
              <w:rPr>
                <w:rFonts w:cs="Arial"/>
                <w:szCs w:val="20"/>
                <w:lang w:val="sl-SI"/>
              </w:rPr>
              <w:t>URSJV</w:t>
            </w:r>
            <w:r w:rsidR="00C47B70">
              <w:rPr>
                <w:rFonts w:cs="Arial"/>
                <w:szCs w:val="20"/>
                <w:lang w:val="sl-SI"/>
              </w:rPr>
              <w:t>)</w:t>
            </w:r>
            <w:r w:rsidRPr="00C71DBC">
              <w:rPr>
                <w:rFonts w:cs="Arial"/>
                <w:szCs w:val="20"/>
                <w:lang w:val="sl-SI"/>
              </w:rPr>
              <w:t>.</w:t>
            </w:r>
          </w:p>
          <w:p w14:paraId="21BB926A" w14:textId="77777777" w:rsidR="00C47B70" w:rsidRPr="00C71DBC" w:rsidRDefault="00C47B70" w:rsidP="00C71DBC">
            <w:pPr>
              <w:jc w:val="both"/>
              <w:rPr>
                <w:rFonts w:cs="Arial"/>
                <w:szCs w:val="20"/>
                <w:lang w:val="sl-SI"/>
              </w:rPr>
            </w:pPr>
          </w:p>
          <w:p w14:paraId="09479838" w14:textId="77777777" w:rsidR="00C71DBC" w:rsidRDefault="00C71DBC" w:rsidP="00C71DBC">
            <w:pPr>
              <w:suppressAutoHyphens/>
              <w:spacing w:line="240" w:lineRule="auto"/>
              <w:jc w:val="both"/>
              <w:rPr>
                <w:rFonts w:cs="Arial"/>
                <w:color w:val="000000"/>
                <w:szCs w:val="20"/>
                <w:lang w:val="sl-SI" w:eastAsia="sl-SI"/>
              </w:rPr>
            </w:pPr>
            <w:r w:rsidRPr="00C71DBC">
              <w:rPr>
                <w:rFonts w:cs="Arial"/>
                <w:color w:val="000000"/>
                <w:szCs w:val="20"/>
                <w:lang w:val="sl-SI" w:eastAsia="sl-SI"/>
              </w:rPr>
              <w:t>Projekt je sestavljen iz sedmih vsebinskih sklopov (»Tasks«), in sicer: 1. Podpora pri razvoju upravnega okvira za razgradnjo raziskovalnih reaktorjev in sevalnih objektov; 2. Podpora pri nadgradnji upravnega okvira za varnost jedrskih elektrarn; 3. Podpora pri nadgradnji sistema upravnega nadzora nad izgradnjo in poskusnim obratovanjem jedrskih elektrarn; 4. Podpora pri nadgradnji inšpekcijskega programa za jedrske elektrarne in transport jedrskega materiala; 5. Podpora pri nadgradnji pregledov in ocen za varnostne analize transporta jedrskega materiala; 6. Podpora pri nadgradnji pripravljenosti na izredne dogodke; 7. Podpora pri nadgradnji upravnega okvira za sevalno varnost.</w:t>
            </w:r>
          </w:p>
          <w:p w14:paraId="63A40A9F" w14:textId="77777777" w:rsidR="00C47B70" w:rsidRPr="00C71DBC" w:rsidRDefault="00C47B70" w:rsidP="00C71DBC">
            <w:pPr>
              <w:suppressAutoHyphens/>
              <w:spacing w:line="240" w:lineRule="auto"/>
              <w:jc w:val="both"/>
              <w:rPr>
                <w:rFonts w:cs="Arial"/>
                <w:color w:val="000000"/>
                <w:szCs w:val="20"/>
                <w:lang w:val="sl-SI" w:eastAsia="sl-SI"/>
              </w:rPr>
            </w:pPr>
          </w:p>
          <w:p w14:paraId="49CF3223" w14:textId="2BA2606B" w:rsidR="002236BA" w:rsidRPr="00C71DBC" w:rsidRDefault="00C71DBC" w:rsidP="00C71DBC">
            <w:pPr>
              <w:suppressAutoHyphens/>
              <w:spacing w:line="240" w:lineRule="auto"/>
              <w:jc w:val="both"/>
              <w:rPr>
                <w:rFonts w:asciiTheme="minorHAnsi" w:hAnsiTheme="minorHAnsi" w:cstheme="minorHAnsi"/>
                <w:bCs/>
                <w:sz w:val="22"/>
                <w:szCs w:val="22"/>
                <w:lang w:val="sl-SI" w:eastAsia="sl-SI"/>
              </w:rPr>
            </w:pPr>
            <w:r w:rsidRPr="00C71DBC">
              <w:rPr>
                <w:rFonts w:cs="Arial"/>
                <w:color w:val="000000"/>
                <w:szCs w:val="20"/>
                <w:lang w:val="sl-SI" w:eastAsia="sl-SI"/>
              </w:rPr>
              <w:t>Celotna vrednost projekta znaša 3.117.400,00 EUR, ocenjen delež URSJV znaša 203.150,00 EUR (po izdani naročilnici glavnega konzorcijskega partnerja: »Purchase Order«).</w:t>
            </w:r>
          </w:p>
        </w:tc>
      </w:tr>
      <w:tr w:rsidR="002236BA" w:rsidRPr="00C71DBC" w14:paraId="1C82DFA5" w14:textId="77777777" w:rsidTr="00260BA0">
        <w:tc>
          <w:tcPr>
            <w:tcW w:w="9100" w:type="dxa"/>
            <w:gridSpan w:val="12"/>
          </w:tcPr>
          <w:p w14:paraId="5D04CEEA" w14:textId="77777777" w:rsidR="002236BA" w:rsidRPr="00C71DBC" w:rsidRDefault="002236BA" w:rsidP="00260BA0">
            <w:pPr>
              <w:pStyle w:val="Neotevilenodstavek"/>
              <w:spacing w:before="0" w:after="0" w:line="260" w:lineRule="exact"/>
              <w:rPr>
                <w:iCs/>
                <w:sz w:val="20"/>
                <w:szCs w:val="20"/>
              </w:rPr>
            </w:pPr>
            <w:r w:rsidRPr="00C71DBC">
              <w:rPr>
                <w:iCs/>
                <w:sz w:val="20"/>
                <w:szCs w:val="20"/>
              </w:rPr>
              <w:lastRenderedPageBreak/>
              <w:t>(Izpolnite samo, če ima gradivo več kakor pet strani.)</w:t>
            </w:r>
          </w:p>
        </w:tc>
      </w:tr>
      <w:tr w:rsidR="002236BA" w:rsidRPr="00C71DBC" w14:paraId="6AD12D50" w14:textId="77777777" w:rsidTr="00260BA0">
        <w:tc>
          <w:tcPr>
            <w:tcW w:w="9100" w:type="dxa"/>
            <w:gridSpan w:val="12"/>
          </w:tcPr>
          <w:p w14:paraId="63CA8159" w14:textId="77777777" w:rsidR="002236BA" w:rsidRPr="00C71DBC" w:rsidRDefault="002236BA" w:rsidP="00260BA0">
            <w:pPr>
              <w:pStyle w:val="Oddelek"/>
              <w:numPr>
                <w:ilvl w:val="0"/>
                <w:numId w:val="0"/>
              </w:numPr>
              <w:spacing w:before="0" w:after="0" w:line="260" w:lineRule="exact"/>
              <w:jc w:val="left"/>
              <w:rPr>
                <w:sz w:val="20"/>
                <w:szCs w:val="20"/>
              </w:rPr>
            </w:pPr>
            <w:r w:rsidRPr="00C71DBC">
              <w:rPr>
                <w:sz w:val="20"/>
                <w:szCs w:val="20"/>
              </w:rPr>
              <w:t>6. Presoja posledic za:</w:t>
            </w:r>
          </w:p>
        </w:tc>
      </w:tr>
      <w:tr w:rsidR="002236BA" w:rsidRPr="00C71DBC" w14:paraId="569EF6AE" w14:textId="77777777" w:rsidTr="00260BA0">
        <w:tc>
          <w:tcPr>
            <w:tcW w:w="1432" w:type="dxa"/>
          </w:tcPr>
          <w:p w14:paraId="75C44B2C"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a)</w:t>
            </w:r>
          </w:p>
        </w:tc>
        <w:tc>
          <w:tcPr>
            <w:tcW w:w="5527" w:type="dxa"/>
            <w:gridSpan w:val="9"/>
          </w:tcPr>
          <w:p w14:paraId="0684D398" w14:textId="77777777" w:rsidR="002236BA" w:rsidRPr="00C71DBC" w:rsidRDefault="002236BA" w:rsidP="00260BA0">
            <w:pPr>
              <w:pStyle w:val="Neotevilenodstavek"/>
              <w:spacing w:before="0" w:after="0" w:line="260" w:lineRule="exact"/>
              <w:rPr>
                <w:sz w:val="20"/>
                <w:szCs w:val="20"/>
              </w:rPr>
            </w:pPr>
            <w:r w:rsidRPr="00C71DBC">
              <w:rPr>
                <w:sz w:val="20"/>
                <w:szCs w:val="20"/>
              </w:rPr>
              <w:t>javnofinančna sredstva nad 40.000 EUR v tekočem in naslednjih treh letih</w:t>
            </w:r>
          </w:p>
        </w:tc>
        <w:tc>
          <w:tcPr>
            <w:tcW w:w="2141" w:type="dxa"/>
            <w:gridSpan w:val="2"/>
            <w:vAlign w:val="center"/>
          </w:tcPr>
          <w:p w14:paraId="30B62465" w14:textId="77777777" w:rsidR="002236BA" w:rsidRPr="00C71DBC" w:rsidRDefault="002236BA" w:rsidP="00260BA0">
            <w:pPr>
              <w:pStyle w:val="Neotevilenodstavek"/>
              <w:spacing w:before="0" w:after="0" w:line="260" w:lineRule="exact"/>
              <w:jc w:val="center"/>
              <w:rPr>
                <w:iCs/>
                <w:sz w:val="20"/>
                <w:szCs w:val="20"/>
              </w:rPr>
            </w:pPr>
            <w:r w:rsidRPr="00C71DBC">
              <w:rPr>
                <w:b/>
                <w:sz w:val="20"/>
                <w:szCs w:val="20"/>
              </w:rPr>
              <w:t>DA</w:t>
            </w:r>
          </w:p>
        </w:tc>
      </w:tr>
      <w:tr w:rsidR="002236BA" w:rsidRPr="00C71DBC" w14:paraId="7E15476C" w14:textId="77777777" w:rsidTr="00260BA0">
        <w:tc>
          <w:tcPr>
            <w:tcW w:w="1432" w:type="dxa"/>
          </w:tcPr>
          <w:p w14:paraId="2B6A4FB2"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b)</w:t>
            </w:r>
          </w:p>
        </w:tc>
        <w:tc>
          <w:tcPr>
            <w:tcW w:w="5527" w:type="dxa"/>
            <w:gridSpan w:val="9"/>
          </w:tcPr>
          <w:p w14:paraId="28803B61" w14:textId="77777777" w:rsidR="002236BA" w:rsidRPr="00C71DBC" w:rsidRDefault="002236BA" w:rsidP="00260BA0">
            <w:pPr>
              <w:pStyle w:val="Neotevilenodstavek"/>
              <w:spacing w:before="0" w:after="0" w:line="260" w:lineRule="exact"/>
              <w:rPr>
                <w:iCs/>
                <w:sz w:val="20"/>
                <w:szCs w:val="20"/>
              </w:rPr>
            </w:pPr>
            <w:r w:rsidRPr="00C71DBC">
              <w:rPr>
                <w:bCs/>
                <w:sz w:val="20"/>
                <w:szCs w:val="20"/>
              </w:rPr>
              <w:t>usklajenost slovenskega pravnega reda s pravnim redom Evropske unije</w:t>
            </w:r>
          </w:p>
        </w:tc>
        <w:tc>
          <w:tcPr>
            <w:tcW w:w="2141" w:type="dxa"/>
            <w:gridSpan w:val="2"/>
            <w:vAlign w:val="center"/>
          </w:tcPr>
          <w:p w14:paraId="5A72B84D" w14:textId="77777777" w:rsidR="002236BA" w:rsidRPr="00C71DBC" w:rsidRDefault="002236BA" w:rsidP="00260BA0">
            <w:pPr>
              <w:pStyle w:val="Neotevilenodstavek"/>
              <w:spacing w:before="0" w:after="0" w:line="260" w:lineRule="exact"/>
              <w:jc w:val="center"/>
              <w:rPr>
                <w:b/>
                <w:iCs/>
                <w:sz w:val="20"/>
                <w:szCs w:val="20"/>
              </w:rPr>
            </w:pPr>
            <w:r w:rsidRPr="00C71DBC">
              <w:rPr>
                <w:b/>
                <w:sz w:val="20"/>
                <w:szCs w:val="20"/>
              </w:rPr>
              <w:t>DA</w:t>
            </w:r>
          </w:p>
        </w:tc>
      </w:tr>
      <w:tr w:rsidR="002236BA" w:rsidRPr="00C71DBC" w14:paraId="6E63A398" w14:textId="77777777" w:rsidTr="00260BA0">
        <w:tc>
          <w:tcPr>
            <w:tcW w:w="1432" w:type="dxa"/>
          </w:tcPr>
          <w:p w14:paraId="1161F831"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c)</w:t>
            </w:r>
          </w:p>
        </w:tc>
        <w:tc>
          <w:tcPr>
            <w:tcW w:w="5527" w:type="dxa"/>
            <w:gridSpan w:val="9"/>
          </w:tcPr>
          <w:p w14:paraId="767B3050" w14:textId="77777777" w:rsidR="002236BA" w:rsidRPr="00C71DBC" w:rsidRDefault="002236BA" w:rsidP="00260BA0">
            <w:pPr>
              <w:pStyle w:val="Neotevilenodstavek"/>
              <w:spacing w:before="0" w:after="0" w:line="260" w:lineRule="exact"/>
              <w:rPr>
                <w:iCs/>
                <w:sz w:val="20"/>
                <w:szCs w:val="20"/>
              </w:rPr>
            </w:pPr>
            <w:r w:rsidRPr="00C71DBC">
              <w:rPr>
                <w:sz w:val="20"/>
                <w:szCs w:val="20"/>
              </w:rPr>
              <w:t>administrativne posledice</w:t>
            </w:r>
          </w:p>
        </w:tc>
        <w:tc>
          <w:tcPr>
            <w:tcW w:w="2141" w:type="dxa"/>
            <w:gridSpan w:val="2"/>
            <w:vAlign w:val="center"/>
          </w:tcPr>
          <w:p w14:paraId="6EF955F6" w14:textId="77777777" w:rsidR="002236BA" w:rsidRPr="00C71DBC" w:rsidRDefault="002236BA" w:rsidP="00260BA0">
            <w:pPr>
              <w:pStyle w:val="Neotevilenodstavek"/>
              <w:spacing w:before="0" w:after="0" w:line="260" w:lineRule="exact"/>
              <w:jc w:val="center"/>
              <w:rPr>
                <w:b/>
                <w:sz w:val="20"/>
                <w:szCs w:val="20"/>
              </w:rPr>
            </w:pPr>
            <w:r w:rsidRPr="00C71DBC">
              <w:rPr>
                <w:b/>
                <w:sz w:val="20"/>
                <w:szCs w:val="20"/>
              </w:rPr>
              <w:t>NE</w:t>
            </w:r>
          </w:p>
        </w:tc>
      </w:tr>
      <w:tr w:rsidR="002236BA" w:rsidRPr="00C71DBC" w14:paraId="4C165F05" w14:textId="77777777" w:rsidTr="00260BA0">
        <w:tc>
          <w:tcPr>
            <w:tcW w:w="1432" w:type="dxa"/>
          </w:tcPr>
          <w:p w14:paraId="7F87E757"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č)</w:t>
            </w:r>
          </w:p>
        </w:tc>
        <w:tc>
          <w:tcPr>
            <w:tcW w:w="5527" w:type="dxa"/>
            <w:gridSpan w:val="9"/>
          </w:tcPr>
          <w:p w14:paraId="1BC2EED1" w14:textId="77777777" w:rsidR="002236BA" w:rsidRPr="00C71DBC" w:rsidRDefault="002236BA" w:rsidP="00260BA0">
            <w:pPr>
              <w:pStyle w:val="Neotevilenodstavek"/>
              <w:spacing w:before="0" w:after="0" w:line="260" w:lineRule="exact"/>
              <w:rPr>
                <w:bCs/>
                <w:sz w:val="20"/>
                <w:szCs w:val="20"/>
              </w:rPr>
            </w:pPr>
            <w:r w:rsidRPr="00C71DBC">
              <w:rPr>
                <w:sz w:val="20"/>
                <w:szCs w:val="20"/>
              </w:rPr>
              <w:t>gospodarstvo, zlasti</w:t>
            </w:r>
            <w:r w:rsidRPr="00C71DBC">
              <w:rPr>
                <w:bCs/>
                <w:sz w:val="20"/>
                <w:szCs w:val="20"/>
              </w:rPr>
              <w:t xml:space="preserve"> mala in srednja podjetja ter konkurenčnost podjetij</w:t>
            </w:r>
          </w:p>
        </w:tc>
        <w:tc>
          <w:tcPr>
            <w:tcW w:w="2141" w:type="dxa"/>
            <w:gridSpan w:val="2"/>
            <w:vAlign w:val="center"/>
          </w:tcPr>
          <w:p w14:paraId="2050854B" w14:textId="77777777" w:rsidR="002236BA" w:rsidRPr="00C71DBC" w:rsidRDefault="002236BA" w:rsidP="00260BA0">
            <w:pPr>
              <w:pStyle w:val="Neotevilenodstavek"/>
              <w:spacing w:before="0" w:after="0" w:line="260" w:lineRule="exact"/>
              <w:jc w:val="center"/>
              <w:rPr>
                <w:b/>
                <w:iCs/>
                <w:sz w:val="20"/>
                <w:szCs w:val="20"/>
              </w:rPr>
            </w:pPr>
            <w:r w:rsidRPr="00C71DBC">
              <w:rPr>
                <w:b/>
                <w:sz w:val="20"/>
                <w:szCs w:val="20"/>
              </w:rPr>
              <w:t>NE</w:t>
            </w:r>
          </w:p>
        </w:tc>
      </w:tr>
      <w:tr w:rsidR="002236BA" w:rsidRPr="00C71DBC" w14:paraId="3E3A5703" w14:textId="77777777" w:rsidTr="00260BA0">
        <w:tc>
          <w:tcPr>
            <w:tcW w:w="1432" w:type="dxa"/>
          </w:tcPr>
          <w:p w14:paraId="11481551"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d)</w:t>
            </w:r>
          </w:p>
        </w:tc>
        <w:tc>
          <w:tcPr>
            <w:tcW w:w="5527" w:type="dxa"/>
            <w:gridSpan w:val="9"/>
          </w:tcPr>
          <w:p w14:paraId="15667761" w14:textId="77777777" w:rsidR="002236BA" w:rsidRPr="00C71DBC" w:rsidRDefault="002236BA" w:rsidP="00260BA0">
            <w:pPr>
              <w:pStyle w:val="Neotevilenodstavek"/>
              <w:spacing w:before="0" w:after="0" w:line="260" w:lineRule="exact"/>
              <w:rPr>
                <w:bCs/>
                <w:sz w:val="20"/>
                <w:szCs w:val="20"/>
              </w:rPr>
            </w:pPr>
            <w:r w:rsidRPr="00C71DBC">
              <w:rPr>
                <w:bCs/>
                <w:sz w:val="20"/>
                <w:szCs w:val="20"/>
              </w:rPr>
              <w:t>okolje, vključno s prostorskimi in varstvenimi vidiki</w:t>
            </w:r>
          </w:p>
        </w:tc>
        <w:tc>
          <w:tcPr>
            <w:tcW w:w="2141" w:type="dxa"/>
            <w:gridSpan w:val="2"/>
            <w:vAlign w:val="center"/>
          </w:tcPr>
          <w:p w14:paraId="16FE8B7F" w14:textId="77777777" w:rsidR="002236BA" w:rsidRPr="00C71DBC" w:rsidRDefault="002236BA" w:rsidP="00260BA0">
            <w:pPr>
              <w:pStyle w:val="Neotevilenodstavek"/>
              <w:spacing w:before="0" w:after="0" w:line="260" w:lineRule="exact"/>
              <w:jc w:val="center"/>
              <w:rPr>
                <w:b/>
                <w:iCs/>
                <w:sz w:val="20"/>
                <w:szCs w:val="20"/>
              </w:rPr>
            </w:pPr>
            <w:r w:rsidRPr="00C71DBC">
              <w:rPr>
                <w:b/>
                <w:sz w:val="20"/>
                <w:szCs w:val="20"/>
              </w:rPr>
              <w:t>NE</w:t>
            </w:r>
          </w:p>
        </w:tc>
      </w:tr>
      <w:tr w:rsidR="002236BA" w:rsidRPr="00C71DBC" w14:paraId="05B22CBA" w14:textId="77777777" w:rsidTr="00260BA0">
        <w:tc>
          <w:tcPr>
            <w:tcW w:w="1432" w:type="dxa"/>
          </w:tcPr>
          <w:p w14:paraId="5F28D9B1"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e)</w:t>
            </w:r>
          </w:p>
        </w:tc>
        <w:tc>
          <w:tcPr>
            <w:tcW w:w="5527" w:type="dxa"/>
            <w:gridSpan w:val="9"/>
          </w:tcPr>
          <w:p w14:paraId="3D343FB5" w14:textId="77777777" w:rsidR="002236BA" w:rsidRPr="00C71DBC" w:rsidRDefault="002236BA" w:rsidP="00260BA0">
            <w:pPr>
              <w:pStyle w:val="Neotevilenodstavek"/>
              <w:spacing w:before="0" w:after="0" w:line="260" w:lineRule="exact"/>
              <w:rPr>
                <w:bCs/>
                <w:sz w:val="20"/>
                <w:szCs w:val="20"/>
              </w:rPr>
            </w:pPr>
            <w:r w:rsidRPr="00C71DBC">
              <w:rPr>
                <w:bCs/>
                <w:sz w:val="20"/>
                <w:szCs w:val="20"/>
              </w:rPr>
              <w:t>socialno področje</w:t>
            </w:r>
          </w:p>
        </w:tc>
        <w:tc>
          <w:tcPr>
            <w:tcW w:w="2141" w:type="dxa"/>
            <w:gridSpan w:val="2"/>
            <w:vAlign w:val="center"/>
          </w:tcPr>
          <w:p w14:paraId="187CC585" w14:textId="77777777" w:rsidR="002236BA" w:rsidRPr="00C71DBC" w:rsidRDefault="002236BA" w:rsidP="00260BA0">
            <w:pPr>
              <w:pStyle w:val="Neotevilenodstavek"/>
              <w:spacing w:before="0" w:after="0" w:line="260" w:lineRule="exact"/>
              <w:jc w:val="center"/>
              <w:rPr>
                <w:b/>
                <w:iCs/>
                <w:sz w:val="20"/>
                <w:szCs w:val="20"/>
              </w:rPr>
            </w:pPr>
            <w:r w:rsidRPr="00C71DBC">
              <w:rPr>
                <w:b/>
                <w:sz w:val="20"/>
                <w:szCs w:val="20"/>
              </w:rPr>
              <w:t>NE</w:t>
            </w:r>
          </w:p>
        </w:tc>
      </w:tr>
      <w:tr w:rsidR="002236BA" w:rsidRPr="00C71DBC" w14:paraId="797E826F" w14:textId="77777777" w:rsidTr="00260BA0">
        <w:tc>
          <w:tcPr>
            <w:tcW w:w="1432" w:type="dxa"/>
            <w:tcBorders>
              <w:bottom w:val="single" w:sz="4" w:space="0" w:color="auto"/>
            </w:tcBorders>
          </w:tcPr>
          <w:p w14:paraId="1F6A91E5" w14:textId="77777777" w:rsidR="002236BA" w:rsidRPr="00C71DBC" w:rsidRDefault="002236BA" w:rsidP="00260BA0">
            <w:pPr>
              <w:pStyle w:val="Neotevilenodstavek"/>
              <w:spacing w:before="0" w:after="0" w:line="260" w:lineRule="exact"/>
              <w:ind w:left="360"/>
              <w:rPr>
                <w:iCs/>
                <w:sz w:val="20"/>
                <w:szCs w:val="20"/>
              </w:rPr>
            </w:pPr>
            <w:r w:rsidRPr="00C71DBC">
              <w:rPr>
                <w:iCs/>
                <w:sz w:val="20"/>
                <w:szCs w:val="20"/>
              </w:rPr>
              <w:t>f)</w:t>
            </w:r>
          </w:p>
        </w:tc>
        <w:tc>
          <w:tcPr>
            <w:tcW w:w="5527" w:type="dxa"/>
            <w:gridSpan w:val="9"/>
            <w:tcBorders>
              <w:bottom w:val="single" w:sz="4" w:space="0" w:color="auto"/>
            </w:tcBorders>
          </w:tcPr>
          <w:p w14:paraId="566BCC1E" w14:textId="77777777" w:rsidR="002236BA" w:rsidRPr="00C71DBC" w:rsidRDefault="002236BA" w:rsidP="00260BA0">
            <w:pPr>
              <w:pStyle w:val="Neotevilenodstavek"/>
              <w:spacing w:before="0" w:after="0" w:line="260" w:lineRule="exact"/>
              <w:rPr>
                <w:bCs/>
                <w:sz w:val="20"/>
                <w:szCs w:val="20"/>
              </w:rPr>
            </w:pPr>
            <w:r w:rsidRPr="00C71DBC">
              <w:rPr>
                <w:bCs/>
                <w:sz w:val="20"/>
                <w:szCs w:val="20"/>
              </w:rPr>
              <w:t>dokumente razvojnega načrtovanja:</w:t>
            </w:r>
          </w:p>
          <w:p w14:paraId="00827125" w14:textId="77777777" w:rsidR="002236BA" w:rsidRPr="00C71DBC" w:rsidRDefault="002236BA" w:rsidP="002236BA">
            <w:pPr>
              <w:pStyle w:val="Neotevilenodstavek"/>
              <w:numPr>
                <w:ilvl w:val="0"/>
                <w:numId w:val="7"/>
              </w:numPr>
              <w:spacing w:before="0" w:after="0" w:line="260" w:lineRule="exact"/>
              <w:rPr>
                <w:bCs/>
                <w:sz w:val="20"/>
                <w:szCs w:val="20"/>
              </w:rPr>
            </w:pPr>
            <w:r w:rsidRPr="00C71DBC">
              <w:rPr>
                <w:bCs/>
                <w:sz w:val="20"/>
                <w:szCs w:val="20"/>
              </w:rPr>
              <w:t>nacionalne dokumente razvojnega načrtovanja</w:t>
            </w:r>
          </w:p>
          <w:p w14:paraId="273B4E8B" w14:textId="77777777" w:rsidR="002236BA" w:rsidRPr="00C71DBC" w:rsidRDefault="002236BA" w:rsidP="002236BA">
            <w:pPr>
              <w:pStyle w:val="Neotevilenodstavek"/>
              <w:numPr>
                <w:ilvl w:val="0"/>
                <w:numId w:val="7"/>
              </w:numPr>
              <w:spacing w:before="0" w:after="0" w:line="260" w:lineRule="exact"/>
              <w:rPr>
                <w:bCs/>
                <w:sz w:val="20"/>
                <w:szCs w:val="20"/>
              </w:rPr>
            </w:pPr>
            <w:r w:rsidRPr="00C71DBC">
              <w:rPr>
                <w:bCs/>
                <w:sz w:val="20"/>
                <w:szCs w:val="20"/>
              </w:rPr>
              <w:t>razvojne politike na ravni programov po strukturi razvojne klasifikacije programskega proračuna</w:t>
            </w:r>
          </w:p>
          <w:p w14:paraId="2940E385" w14:textId="77777777" w:rsidR="002236BA" w:rsidRPr="00C71DBC" w:rsidRDefault="002236BA" w:rsidP="002236BA">
            <w:pPr>
              <w:pStyle w:val="Neotevilenodstavek"/>
              <w:numPr>
                <w:ilvl w:val="0"/>
                <w:numId w:val="7"/>
              </w:numPr>
              <w:spacing w:before="0" w:after="0" w:line="260" w:lineRule="exact"/>
              <w:rPr>
                <w:bCs/>
                <w:sz w:val="20"/>
                <w:szCs w:val="20"/>
              </w:rPr>
            </w:pPr>
            <w:r w:rsidRPr="00C71DBC">
              <w:rPr>
                <w:bCs/>
                <w:sz w:val="20"/>
                <w:szCs w:val="20"/>
              </w:rPr>
              <w:t>razvojne dokumente Evropske unije in mednarodnih organizacij</w:t>
            </w:r>
          </w:p>
        </w:tc>
        <w:tc>
          <w:tcPr>
            <w:tcW w:w="2141" w:type="dxa"/>
            <w:gridSpan w:val="2"/>
            <w:tcBorders>
              <w:bottom w:val="single" w:sz="4" w:space="0" w:color="auto"/>
            </w:tcBorders>
            <w:vAlign w:val="center"/>
          </w:tcPr>
          <w:p w14:paraId="39652D10" w14:textId="77777777" w:rsidR="002236BA" w:rsidRPr="00C71DBC" w:rsidRDefault="002236BA" w:rsidP="00260BA0">
            <w:pPr>
              <w:pStyle w:val="Neotevilenodstavek"/>
              <w:spacing w:before="0" w:after="0" w:line="260" w:lineRule="exact"/>
              <w:jc w:val="center"/>
              <w:rPr>
                <w:b/>
                <w:iCs/>
                <w:sz w:val="20"/>
                <w:szCs w:val="20"/>
              </w:rPr>
            </w:pPr>
            <w:r w:rsidRPr="00C71DBC">
              <w:rPr>
                <w:b/>
                <w:sz w:val="20"/>
                <w:szCs w:val="20"/>
              </w:rPr>
              <w:t>DA</w:t>
            </w:r>
          </w:p>
        </w:tc>
      </w:tr>
      <w:tr w:rsidR="002236BA" w:rsidRPr="008B02B9" w14:paraId="313914F9" w14:textId="77777777" w:rsidTr="007E30B3">
        <w:tc>
          <w:tcPr>
            <w:tcW w:w="910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55EC6BA" w14:textId="77777777" w:rsidR="002236BA" w:rsidRPr="00905D8B" w:rsidRDefault="002236BA" w:rsidP="00260BA0">
            <w:pPr>
              <w:pStyle w:val="Oddelek"/>
              <w:widowControl w:val="0"/>
              <w:numPr>
                <w:ilvl w:val="0"/>
                <w:numId w:val="0"/>
              </w:numPr>
              <w:spacing w:before="0" w:after="0" w:line="260" w:lineRule="exact"/>
              <w:jc w:val="left"/>
              <w:rPr>
                <w:sz w:val="20"/>
                <w:szCs w:val="20"/>
              </w:rPr>
            </w:pPr>
            <w:r w:rsidRPr="00905D8B">
              <w:rPr>
                <w:sz w:val="20"/>
                <w:szCs w:val="20"/>
              </w:rPr>
              <w:t>7.a Predstavitev ocene finančnih posledic nad 40.000 EUR:</w:t>
            </w:r>
          </w:p>
          <w:p w14:paraId="1FFA7E5A" w14:textId="77777777" w:rsidR="002236BA" w:rsidRPr="00905D8B" w:rsidRDefault="002236BA" w:rsidP="007E30B3">
            <w:pPr>
              <w:pStyle w:val="Oddelek"/>
              <w:widowControl w:val="0"/>
              <w:numPr>
                <w:ilvl w:val="0"/>
                <w:numId w:val="0"/>
              </w:numPr>
              <w:spacing w:before="0" w:after="0" w:line="260" w:lineRule="exact"/>
              <w:jc w:val="both"/>
              <w:rPr>
                <w:b w:val="0"/>
                <w:sz w:val="20"/>
                <w:szCs w:val="20"/>
              </w:rPr>
            </w:pPr>
            <w:r w:rsidRPr="00905D8B">
              <w:rPr>
                <w:b w:val="0"/>
                <w:sz w:val="20"/>
                <w:szCs w:val="20"/>
              </w:rPr>
              <w:t>Načrt financiranja projekta po letih:</w:t>
            </w:r>
          </w:p>
          <w:p w14:paraId="78CB8BFE" w14:textId="77777777" w:rsidR="00FD5197" w:rsidRPr="00905D8B" w:rsidRDefault="00FD5197" w:rsidP="00FD5197">
            <w:pPr>
              <w:suppressAutoHyphens/>
              <w:spacing w:line="240" w:lineRule="auto"/>
              <w:jc w:val="both"/>
              <w:rPr>
                <w:rFonts w:asciiTheme="minorHAnsi" w:hAnsiTheme="minorHAnsi" w:cstheme="minorHAnsi"/>
                <w:iCs/>
                <w:color w:val="000000"/>
                <w:sz w:val="22"/>
                <w:szCs w:val="22"/>
                <w:lang w:val="sl-SI" w:eastAsia="sl-SI"/>
              </w:rPr>
            </w:pPr>
            <w:r w:rsidRPr="00905D8B">
              <w:rPr>
                <w:rFonts w:asciiTheme="minorHAnsi" w:hAnsiTheme="minorHAnsi" w:cstheme="minorHAnsi"/>
                <w:iCs/>
                <w:color w:val="000000"/>
                <w:sz w:val="22"/>
                <w:szCs w:val="22"/>
                <w:lang w:val="sl-SI" w:eastAsia="sl-SI"/>
              </w:rPr>
              <w:t>-  v letu 2024, proračunska postavka 231569, v višini 27.600 EUR,</w:t>
            </w:r>
          </w:p>
          <w:p w14:paraId="33C691E0" w14:textId="2B0CDEE8" w:rsidR="00FD5197" w:rsidRPr="00905D8B" w:rsidRDefault="00FD5197" w:rsidP="00FD5197">
            <w:pPr>
              <w:suppressAutoHyphens/>
              <w:spacing w:line="240" w:lineRule="auto"/>
              <w:jc w:val="both"/>
              <w:rPr>
                <w:rFonts w:asciiTheme="minorHAnsi" w:hAnsiTheme="minorHAnsi" w:cstheme="minorHAnsi"/>
                <w:iCs/>
                <w:color w:val="000000"/>
                <w:sz w:val="22"/>
                <w:szCs w:val="22"/>
                <w:lang w:val="sl-SI" w:eastAsia="sl-SI"/>
              </w:rPr>
            </w:pPr>
            <w:r w:rsidRPr="00905D8B">
              <w:rPr>
                <w:rFonts w:asciiTheme="minorHAnsi" w:hAnsiTheme="minorHAnsi" w:cstheme="minorHAnsi"/>
                <w:iCs/>
                <w:color w:val="000000"/>
                <w:sz w:val="22"/>
                <w:szCs w:val="22"/>
                <w:lang w:val="sl-SI" w:eastAsia="sl-SI"/>
              </w:rPr>
              <w:t xml:space="preserve">-  v letu 2025, proračunska postavka 231569, v višini </w:t>
            </w:r>
            <w:r w:rsidR="00C31C2F">
              <w:rPr>
                <w:rFonts w:asciiTheme="minorHAnsi" w:hAnsiTheme="minorHAnsi" w:cstheme="minorHAnsi"/>
                <w:iCs/>
                <w:color w:val="000000"/>
                <w:sz w:val="22"/>
                <w:szCs w:val="22"/>
                <w:lang w:val="sl-SI" w:eastAsia="sl-SI"/>
              </w:rPr>
              <w:t>5</w:t>
            </w:r>
            <w:r w:rsidRPr="00905D8B">
              <w:rPr>
                <w:rFonts w:asciiTheme="minorHAnsi" w:hAnsiTheme="minorHAnsi" w:cstheme="minorHAnsi"/>
                <w:iCs/>
                <w:color w:val="000000"/>
                <w:sz w:val="22"/>
                <w:szCs w:val="22"/>
                <w:lang w:val="sl-SI" w:eastAsia="sl-SI"/>
              </w:rPr>
              <w:t>0.000 EUR,</w:t>
            </w:r>
          </w:p>
          <w:p w14:paraId="63D708ED" w14:textId="7814F5FF" w:rsidR="00FD5197" w:rsidRPr="00905D8B" w:rsidRDefault="00FD5197" w:rsidP="00FD5197">
            <w:pPr>
              <w:suppressAutoHyphens/>
              <w:spacing w:line="240" w:lineRule="auto"/>
              <w:jc w:val="both"/>
              <w:rPr>
                <w:rFonts w:asciiTheme="minorHAnsi" w:hAnsiTheme="minorHAnsi" w:cstheme="minorHAnsi"/>
                <w:iCs/>
                <w:color w:val="000000"/>
                <w:sz w:val="22"/>
                <w:szCs w:val="22"/>
                <w:lang w:val="sl-SI" w:eastAsia="sl-SI"/>
              </w:rPr>
            </w:pPr>
            <w:r w:rsidRPr="00905D8B">
              <w:rPr>
                <w:rFonts w:asciiTheme="minorHAnsi" w:hAnsiTheme="minorHAnsi" w:cstheme="minorHAnsi"/>
                <w:iCs/>
                <w:color w:val="000000"/>
                <w:sz w:val="22"/>
                <w:szCs w:val="22"/>
                <w:lang w:val="sl-SI" w:eastAsia="sl-SI"/>
              </w:rPr>
              <w:t xml:space="preserve">-  v letu 2026, proračunska postavka 231569, v višini </w:t>
            </w:r>
            <w:r w:rsidR="00C31C2F">
              <w:rPr>
                <w:rFonts w:asciiTheme="minorHAnsi" w:hAnsiTheme="minorHAnsi" w:cstheme="minorHAnsi"/>
                <w:iCs/>
                <w:color w:val="000000"/>
                <w:sz w:val="22"/>
                <w:szCs w:val="22"/>
                <w:lang w:val="sl-SI" w:eastAsia="sl-SI"/>
              </w:rPr>
              <w:t>6</w:t>
            </w:r>
            <w:r w:rsidRPr="00905D8B">
              <w:rPr>
                <w:rFonts w:asciiTheme="minorHAnsi" w:hAnsiTheme="minorHAnsi" w:cstheme="minorHAnsi"/>
                <w:iCs/>
                <w:color w:val="000000"/>
                <w:sz w:val="22"/>
                <w:szCs w:val="22"/>
                <w:lang w:val="sl-SI" w:eastAsia="sl-SI"/>
              </w:rPr>
              <w:t>0.000  EUR,</w:t>
            </w:r>
          </w:p>
          <w:p w14:paraId="4B7E6209" w14:textId="2B02676D" w:rsidR="00FD5197" w:rsidRPr="00905D8B" w:rsidRDefault="00FD5197" w:rsidP="00FD5197">
            <w:pPr>
              <w:suppressAutoHyphens/>
              <w:spacing w:line="240" w:lineRule="auto"/>
              <w:jc w:val="both"/>
              <w:rPr>
                <w:rFonts w:asciiTheme="minorHAnsi" w:hAnsiTheme="minorHAnsi" w:cstheme="minorHAnsi"/>
                <w:iCs/>
                <w:color w:val="000000"/>
                <w:sz w:val="22"/>
                <w:szCs w:val="22"/>
                <w:lang w:val="sl-SI" w:eastAsia="sl-SI"/>
              </w:rPr>
            </w:pPr>
            <w:r w:rsidRPr="00905D8B">
              <w:rPr>
                <w:rFonts w:asciiTheme="minorHAnsi" w:hAnsiTheme="minorHAnsi" w:cstheme="minorHAnsi"/>
                <w:iCs/>
                <w:color w:val="000000"/>
                <w:sz w:val="22"/>
                <w:szCs w:val="22"/>
                <w:lang w:val="sl-SI" w:eastAsia="sl-SI"/>
              </w:rPr>
              <w:t>-  v letu 2027, proračunska postavka 231569, v višini 65.5</w:t>
            </w:r>
            <w:r w:rsidR="00DC6E40" w:rsidRPr="00905D8B">
              <w:rPr>
                <w:rFonts w:asciiTheme="minorHAnsi" w:hAnsiTheme="minorHAnsi" w:cstheme="minorHAnsi"/>
                <w:iCs/>
                <w:color w:val="000000"/>
                <w:sz w:val="22"/>
                <w:szCs w:val="22"/>
                <w:lang w:val="sl-SI" w:eastAsia="sl-SI"/>
              </w:rPr>
              <w:t>5</w:t>
            </w:r>
            <w:r w:rsidRPr="00905D8B">
              <w:rPr>
                <w:rFonts w:asciiTheme="minorHAnsi" w:hAnsiTheme="minorHAnsi" w:cstheme="minorHAnsi"/>
                <w:iCs/>
                <w:color w:val="000000"/>
                <w:sz w:val="22"/>
                <w:szCs w:val="22"/>
                <w:lang w:val="sl-SI" w:eastAsia="sl-SI"/>
              </w:rPr>
              <w:t>0  EUR.</w:t>
            </w:r>
          </w:p>
          <w:p w14:paraId="28C644D6" w14:textId="77777777" w:rsidR="00C71DBC" w:rsidRPr="00905D8B" w:rsidRDefault="00C71DBC" w:rsidP="00C71DBC">
            <w:pPr>
              <w:jc w:val="both"/>
              <w:rPr>
                <w:rFonts w:cs="Arial"/>
                <w:iCs/>
                <w:color w:val="000000"/>
                <w:szCs w:val="20"/>
                <w:lang w:val="sl-SI" w:eastAsia="sl-SI"/>
              </w:rPr>
            </w:pPr>
            <w:r w:rsidRPr="00905D8B">
              <w:rPr>
                <w:rFonts w:cs="Arial"/>
                <w:iCs/>
                <w:color w:val="000000"/>
                <w:szCs w:val="20"/>
                <w:lang w:val="sl-SI" w:eastAsia="sl-SI"/>
              </w:rPr>
              <w:t xml:space="preserve">Skupna vrednost projekta (delež URSJV) je </w:t>
            </w:r>
            <w:r w:rsidRPr="00905D8B">
              <w:rPr>
                <w:rFonts w:cs="Arial"/>
                <w:bCs/>
                <w:szCs w:val="20"/>
                <w:lang w:val="sl-SI" w:eastAsia="sl-SI"/>
              </w:rPr>
              <w:t>203.150,00</w:t>
            </w:r>
            <w:r w:rsidRPr="00905D8B">
              <w:rPr>
                <w:rFonts w:cs="Arial"/>
                <w:b/>
                <w:szCs w:val="20"/>
                <w:lang w:val="sl-SI" w:eastAsia="sl-SI"/>
              </w:rPr>
              <w:t xml:space="preserve"> </w:t>
            </w:r>
            <w:r w:rsidRPr="00905D8B">
              <w:rPr>
                <w:rFonts w:cs="Arial"/>
                <w:iCs/>
                <w:color w:val="000000"/>
                <w:szCs w:val="20"/>
                <w:lang w:val="sl-SI" w:eastAsia="sl-SI"/>
              </w:rPr>
              <w:t>EUR.</w:t>
            </w:r>
          </w:p>
          <w:p w14:paraId="594B8295" w14:textId="77777777" w:rsidR="00C71DBC" w:rsidRPr="00905D8B" w:rsidRDefault="00C71DBC" w:rsidP="00C71DBC">
            <w:pPr>
              <w:shd w:val="clear" w:color="auto" w:fill="FFFFFF" w:themeFill="background1"/>
              <w:spacing w:line="276" w:lineRule="auto"/>
              <w:jc w:val="both"/>
              <w:rPr>
                <w:rFonts w:cs="Arial"/>
                <w:b/>
                <w:color w:val="000000"/>
                <w:szCs w:val="20"/>
                <w:lang w:val="sl-SI" w:eastAsia="sl-SI"/>
              </w:rPr>
            </w:pPr>
          </w:p>
          <w:p w14:paraId="40DD7ADA" w14:textId="470DBAE0" w:rsidR="00C71DBC" w:rsidRPr="00905D8B" w:rsidRDefault="00C71DBC" w:rsidP="00C71DBC">
            <w:pPr>
              <w:jc w:val="both"/>
              <w:rPr>
                <w:rFonts w:cs="Arial"/>
                <w:iCs/>
                <w:color w:val="000000"/>
                <w:szCs w:val="20"/>
                <w:lang w:val="sl-SI" w:eastAsia="sl-SI"/>
              </w:rPr>
            </w:pPr>
            <w:r w:rsidRPr="00905D8B">
              <w:rPr>
                <w:rFonts w:cs="Arial"/>
                <w:iCs/>
                <w:color w:val="000000"/>
                <w:szCs w:val="20"/>
                <w:lang w:val="sl-SI" w:eastAsia="sl-SI"/>
              </w:rPr>
              <w:t>Za leto 2024 se sredstva za namen projekta zagotavljajo s prerazporeditvijo znotraj veljavnega proračuna  oziroma znotraj planov projektov URSJV - tipa 801 s prerazporeditvijo znotraj planov projektov za  leto 2024 v okviru projektov URSJV - tipa 801, p</w:t>
            </w:r>
            <w:r w:rsidR="00EF52A7" w:rsidRPr="00905D8B">
              <w:rPr>
                <w:rFonts w:cs="Arial"/>
                <w:iCs/>
                <w:color w:val="000000"/>
                <w:szCs w:val="20"/>
                <w:lang w:val="sl-SI" w:eastAsia="sl-SI"/>
              </w:rPr>
              <w:t xml:space="preserve"> </w:t>
            </w:r>
            <w:r w:rsidRPr="00905D8B">
              <w:rPr>
                <w:rFonts w:cs="Arial"/>
                <w:iCs/>
                <w:color w:val="000000"/>
                <w:szCs w:val="20"/>
                <w:lang w:val="sl-SI" w:eastAsia="sl-SI"/>
              </w:rPr>
              <w:t>.p. 231569  (Pomoč pri krepitvi tujih UO za jedrsko in sevalno varnost), NRP 2553-21-0004 - Krepitev iranskega UO za jedrsko varnost-IRAN3</w:t>
            </w:r>
            <w:r w:rsidR="00C31C2F">
              <w:rPr>
                <w:rFonts w:cs="Arial"/>
                <w:iCs/>
                <w:color w:val="000000"/>
                <w:szCs w:val="20"/>
                <w:lang w:val="sl-SI" w:eastAsia="sl-SI"/>
              </w:rPr>
              <w:t xml:space="preserve"> ter za leto 2025 vključno še iz NRP 2563-24-0001 - Krepitev nigerijskega jedrskega upravnega programa.</w:t>
            </w:r>
          </w:p>
          <w:p w14:paraId="0BBEC62E" w14:textId="77777777" w:rsidR="00C71DBC" w:rsidRPr="00905D8B" w:rsidRDefault="00C71DBC" w:rsidP="00C71DBC">
            <w:pPr>
              <w:jc w:val="both"/>
              <w:rPr>
                <w:rFonts w:cs="Arial"/>
                <w:iCs/>
                <w:color w:val="000000"/>
                <w:szCs w:val="20"/>
                <w:lang w:val="sl-SI" w:eastAsia="sl-SI"/>
              </w:rPr>
            </w:pPr>
          </w:p>
          <w:p w14:paraId="30C5830A" w14:textId="77520D30" w:rsidR="00C71DBC" w:rsidRPr="00905D8B" w:rsidRDefault="00C71DBC" w:rsidP="00C71DBC">
            <w:pPr>
              <w:jc w:val="both"/>
              <w:rPr>
                <w:rFonts w:cs="Arial"/>
                <w:iCs/>
                <w:color w:val="000000"/>
                <w:szCs w:val="20"/>
                <w:lang w:val="sl-SI" w:eastAsia="sl-SI"/>
              </w:rPr>
            </w:pPr>
            <w:r w:rsidRPr="00905D8B">
              <w:rPr>
                <w:rFonts w:cs="Arial"/>
                <w:iCs/>
                <w:color w:val="000000"/>
                <w:szCs w:val="20"/>
                <w:lang w:val="sl-SI" w:eastAsia="sl-SI"/>
              </w:rPr>
              <w:t xml:space="preserve">Sredstva za namen izvajanja projekta za leto 2025, 2026 in 2027 so sredstva </w:t>
            </w:r>
            <w:r w:rsidR="00EF52A7" w:rsidRPr="00905D8B">
              <w:rPr>
                <w:rFonts w:cs="Arial"/>
                <w:iCs/>
                <w:color w:val="000000"/>
                <w:szCs w:val="20"/>
                <w:lang w:val="sl-SI" w:eastAsia="sl-SI"/>
              </w:rPr>
              <w:t>načrtovana</w:t>
            </w:r>
            <w:r w:rsidRPr="00905D8B">
              <w:rPr>
                <w:rFonts w:cs="Arial"/>
                <w:iCs/>
                <w:color w:val="000000"/>
                <w:szCs w:val="20"/>
                <w:lang w:val="sl-SI" w:eastAsia="sl-SI"/>
              </w:rPr>
              <w:t xml:space="preserve"> v okviru   evidenčnega projekta 2550-18-0004 </w:t>
            </w:r>
            <w:r w:rsidR="00EF52A7" w:rsidRPr="00905D8B">
              <w:rPr>
                <w:rFonts w:cs="Arial"/>
                <w:iCs/>
                <w:color w:val="000000"/>
                <w:szCs w:val="20"/>
                <w:lang w:val="sl-SI" w:eastAsia="sl-SI"/>
              </w:rPr>
              <w:t xml:space="preserve">EU centralizirani programi in teritorialno sodelovanje in bodo zagotovljena s </w:t>
            </w:r>
            <w:r w:rsidRPr="00905D8B">
              <w:rPr>
                <w:rFonts w:cs="Arial"/>
                <w:iCs/>
                <w:color w:val="000000"/>
                <w:szCs w:val="20"/>
                <w:lang w:val="sl-SI" w:eastAsia="sl-SI"/>
              </w:rPr>
              <w:t>prerazpo</w:t>
            </w:r>
            <w:r w:rsidR="00EF52A7" w:rsidRPr="00905D8B">
              <w:rPr>
                <w:rFonts w:cs="Arial"/>
                <w:iCs/>
                <w:color w:val="000000"/>
                <w:szCs w:val="20"/>
                <w:lang w:val="sl-SI" w:eastAsia="sl-SI"/>
              </w:rPr>
              <w:t>reditvijo</w:t>
            </w:r>
            <w:r w:rsidRPr="00905D8B">
              <w:rPr>
                <w:rFonts w:cs="Arial"/>
                <w:iCs/>
                <w:color w:val="000000"/>
                <w:szCs w:val="20"/>
                <w:lang w:val="sl-SI" w:eastAsia="sl-SI"/>
              </w:rPr>
              <w:t xml:space="preserve"> </w:t>
            </w:r>
            <w:r w:rsidR="00EF52A7" w:rsidRPr="00905D8B">
              <w:rPr>
                <w:rFonts w:cs="Arial"/>
                <w:iCs/>
                <w:color w:val="000000"/>
                <w:szCs w:val="20"/>
                <w:lang w:val="sl-SI" w:eastAsia="sl-SI"/>
              </w:rPr>
              <w:t>načrtovanih sredstev.</w:t>
            </w:r>
          </w:p>
          <w:p w14:paraId="5210AF2B" w14:textId="77777777" w:rsidR="00892C16" w:rsidRPr="00905D8B" w:rsidRDefault="00892C16" w:rsidP="00C71DBC">
            <w:pPr>
              <w:jc w:val="both"/>
              <w:rPr>
                <w:rFonts w:cs="Arial"/>
                <w:iCs/>
                <w:color w:val="000000"/>
                <w:szCs w:val="20"/>
                <w:lang w:val="sl-SI" w:eastAsia="sl-SI"/>
              </w:rPr>
            </w:pPr>
          </w:p>
          <w:p w14:paraId="011C2EB9" w14:textId="2440F68B" w:rsidR="002236BA" w:rsidRPr="00905D8B" w:rsidRDefault="002236BA" w:rsidP="006A1A2D">
            <w:pPr>
              <w:pStyle w:val="Oddelek"/>
              <w:widowControl w:val="0"/>
              <w:numPr>
                <w:ilvl w:val="0"/>
                <w:numId w:val="0"/>
              </w:numPr>
              <w:spacing w:before="0" w:after="0" w:line="260" w:lineRule="exact"/>
              <w:jc w:val="both"/>
              <w:rPr>
                <w:rFonts w:ascii="Calibri" w:hAnsi="Calibri"/>
              </w:rPr>
            </w:pPr>
          </w:p>
        </w:tc>
      </w:tr>
      <w:tr w:rsidR="002236BA" w:rsidRPr="008B02B9" w14:paraId="218754CA" w14:textId="77777777" w:rsidTr="00260BA0">
        <w:tc>
          <w:tcPr>
            <w:tcW w:w="9100" w:type="dxa"/>
            <w:gridSpan w:val="12"/>
            <w:tcBorders>
              <w:top w:val="single" w:sz="4" w:space="0" w:color="auto"/>
              <w:left w:val="single" w:sz="4" w:space="0" w:color="auto"/>
              <w:bottom w:val="single" w:sz="4" w:space="0" w:color="auto"/>
              <w:right w:val="single" w:sz="4" w:space="0" w:color="auto"/>
            </w:tcBorders>
          </w:tcPr>
          <w:p w14:paraId="75E65CE9" w14:textId="77777777" w:rsidR="002236BA" w:rsidRPr="00C71DBC" w:rsidRDefault="002236BA" w:rsidP="00260BA0">
            <w:pPr>
              <w:pStyle w:val="Oddelek"/>
              <w:spacing w:line="260" w:lineRule="exact"/>
              <w:rPr>
                <w:sz w:val="20"/>
                <w:szCs w:val="20"/>
              </w:rPr>
            </w:pPr>
            <w:r w:rsidRPr="00C71DBC">
              <w:rPr>
                <w:sz w:val="20"/>
                <w:szCs w:val="20"/>
              </w:rPr>
              <w:lastRenderedPageBreak/>
              <w:t>I. Ocena finančnih posledic, ki niso načrtovane v sprejetem proračunu</w:t>
            </w:r>
          </w:p>
        </w:tc>
      </w:tr>
      <w:tr w:rsidR="002236BA" w:rsidRPr="00C71DBC" w14:paraId="5ED050A4"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0" w:type="dxa"/>
            <w:gridSpan w:val="3"/>
            <w:tcBorders>
              <w:top w:val="single" w:sz="4" w:space="0" w:color="auto"/>
              <w:left w:val="single" w:sz="4" w:space="0" w:color="auto"/>
              <w:bottom w:val="single" w:sz="4" w:space="0" w:color="auto"/>
              <w:right w:val="single" w:sz="4" w:space="0" w:color="auto"/>
            </w:tcBorders>
            <w:vAlign w:val="center"/>
          </w:tcPr>
          <w:p w14:paraId="5FCC8819" w14:textId="77777777" w:rsidR="002236BA" w:rsidRPr="00C71DBC" w:rsidRDefault="002236BA" w:rsidP="00260BA0">
            <w:pPr>
              <w:widowControl w:val="0"/>
              <w:ind w:left="-122" w:right="-112"/>
              <w:jc w:val="center"/>
              <w:rPr>
                <w:rFonts w:cs="Arial"/>
                <w:szCs w:val="20"/>
                <w:lang w:val="sl-SI"/>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448E0232" w14:textId="77777777" w:rsidR="002236BA" w:rsidRPr="00C71DBC" w:rsidRDefault="002236BA" w:rsidP="00260BA0">
            <w:pPr>
              <w:widowControl w:val="0"/>
              <w:jc w:val="center"/>
              <w:rPr>
                <w:rFonts w:cs="Arial"/>
                <w:szCs w:val="20"/>
                <w:lang w:val="sl-SI"/>
              </w:rPr>
            </w:pPr>
            <w:r w:rsidRPr="00C71DBC">
              <w:rPr>
                <w:rFonts w:cs="Arial"/>
                <w:szCs w:val="20"/>
                <w:lang w:val="sl-SI"/>
              </w:rPr>
              <w:t>Tekoče leto (t)</w:t>
            </w:r>
          </w:p>
        </w:tc>
        <w:tc>
          <w:tcPr>
            <w:tcW w:w="1031" w:type="dxa"/>
            <w:tcBorders>
              <w:top w:val="single" w:sz="4" w:space="0" w:color="auto"/>
              <w:left w:val="single" w:sz="4" w:space="0" w:color="auto"/>
              <w:bottom w:val="single" w:sz="4" w:space="0" w:color="auto"/>
              <w:right w:val="single" w:sz="4" w:space="0" w:color="auto"/>
            </w:tcBorders>
            <w:vAlign w:val="center"/>
          </w:tcPr>
          <w:p w14:paraId="16F70D36" w14:textId="77777777" w:rsidR="002236BA" w:rsidRPr="00C71DBC" w:rsidRDefault="002236BA" w:rsidP="00260BA0">
            <w:pPr>
              <w:widowControl w:val="0"/>
              <w:jc w:val="center"/>
              <w:rPr>
                <w:rFonts w:cs="Arial"/>
                <w:szCs w:val="20"/>
                <w:lang w:val="sl-SI"/>
              </w:rPr>
            </w:pPr>
            <w:r w:rsidRPr="00C71DBC">
              <w:rPr>
                <w:rFonts w:cs="Arial"/>
                <w:szCs w:val="20"/>
                <w:lang w:val="sl-SI"/>
              </w:rPr>
              <w:t>t + 1</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1EC28A50" w14:textId="77777777" w:rsidR="002236BA" w:rsidRPr="00C71DBC" w:rsidRDefault="002236BA" w:rsidP="00260BA0">
            <w:pPr>
              <w:widowControl w:val="0"/>
              <w:jc w:val="center"/>
              <w:rPr>
                <w:rFonts w:cs="Arial"/>
                <w:szCs w:val="20"/>
                <w:lang w:val="sl-SI"/>
              </w:rPr>
            </w:pPr>
            <w:r w:rsidRPr="00C71DBC">
              <w:rPr>
                <w:rFonts w:cs="Arial"/>
                <w:szCs w:val="20"/>
                <w:lang w:val="sl-SI"/>
              </w:rPr>
              <w:t>t + 2</w:t>
            </w:r>
          </w:p>
        </w:tc>
        <w:tc>
          <w:tcPr>
            <w:tcW w:w="2063" w:type="dxa"/>
            <w:tcBorders>
              <w:top w:val="single" w:sz="4" w:space="0" w:color="auto"/>
              <w:left w:val="single" w:sz="4" w:space="0" w:color="auto"/>
              <w:bottom w:val="single" w:sz="4" w:space="0" w:color="auto"/>
              <w:right w:val="single" w:sz="4" w:space="0" w:color="auto"/>
            </w:tcBorders>
            <w:vAlign w:val="center"/>
          </w:tcPr>
          <w:p w14:paraId="2840F3A9" w14:textId="77777777" w:rsidR="002236BA" w:rsidRPr="00C71DBC" w:rsidRDefault="002236BA" w:rsidP="00260BA0">
            <w:pPr>
              <w:widowControl w:val="0"/>
              <w:jc w:val="center"/>
              <w:rPr>
                <w:rFonts w:cs="Arial"/>
                <w:szCs w:val="20"/>
                <w:lang w:val="sl-SI"/>
              </w:rPr>
            </w:pPr>
            <w:r w:rsidRPr="00C71DBC">
              <w:rPr>
                <w:rFonts w:cs="Arial"/>
                <w:szCs w:val="20"/>
                <w:lang w:val="sl-SI"/>
              </w:rPr>
              <w:t>t + 3</w:t>
            </w:r>
          </w:p>
        </w:tc>
      </w:tr>
      <w:tr w:rsidR="002236BA" w:rsidRPr="00C71DBC" w14:paraId="1529A30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78B290E5" w14:textId="77777777" w:rsidR="002236BA" w:rsidRPr="00C71DBC" w:rsidRDefault="002236BA" w:rsidP="00260BA0">
            <w:pPr>
              <w:widowControl w:val="0"/>
              <w:rPr>
                <w:rFonts w:cs="Arial"/>
                <w:bCs/>
                <w:szCs w:val="20"/>
                <w:lang w:val="sl-SI"/>
              </w:rPr>
            </w:pPr>
            <w:r w:rsidRPr="00C71DBC">
              <w:rPr>
                <w:rFonts w:cs="Arial"/>
                <w:bCs/>
                <w:szCs w:val="20"/>
                <w:lang w:val="sl-SI"/>
              </w:rPr>
              <w:t>Predvideno povečanje (+) ali zmanjšanje (</w:t>
            </w:r>
            <w:r w:rsidRPr="00C71DBC">
              <w:rPr>
                <w:b/>
                <w:szCs w:val="20"/>
                <w:lang w:val="sl-SI"/>
              </w:rPr>
              <w:t>–</w:t>
            </w:r>
            <w:r w:rsidRPr="00C71DBC">
              <w:rPr>
                <w:rFonts w:cs="Arial"/>
                <w:bCs/>
                <w:szCs w:val="20"/>
                <w:lang w:val="sl-SI"/>
              </w:rPr>
              <w:t xml:space="preserve">) prihodkov državnega proračuna </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756DA1EA" w14:textId="77777777" w:rsidR="002236BA" w:rsidRPr="00C71DBC" w:rsidRDefault="002236BA" w:rsidP="00C13786">
            <w:pPr>
              <w:pStyle w:val="Naslov1"/>
            </w:pPr>
          </w:p>
        </w:tc>
        <w:tc>
          <w:tcPr>
            <w:tcW w:w="1031" w:type="dxa"/>
            <w:tcBorders>
              <w:top w:val="single" w:sz="4" w:space="0" w:color="auto"/>
              <w:left w:val="single" w:sz="4" w:space="0" w:color="auto"/>
              <w:bottom w:val="single" w:sz="4" w:space="0" w:color="auto"/>
              <w:right w:val="single" w:sz="4" w:space="0" w:color="auto"/>
            </w:tcBorders>
            <w:vAlign w:val="center"/>
          </w:tcPr>
          <w:p w14:paraId="09E9909D" w14:textId="77777777" w:rsidR="002236BA" w:rsidRPr="00C71DBC" w:rsidRDefault="002236BA" w:rsidP="00C1378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605D7B39" w14:textId="77777777" w:rsidR="002236BA" w:rsidRPr="00C71DBC" w:rsidRDefault="002236BA" w:rsidP="00C13786">
            <w:pPr>
              <w:pStyle w:val="Naslov1"/>
            </w:pPr>
          </w:p>
        </w:tc>
        <w:tc>
          <w:tcPr>
            <w:tcW w:w="2063" w:type="dxa"/>
            <w:tcBorders>
              <w:top w:val="single" w:sz="4" w:space="0" w:color="auto"/>
              <w:left w:val="single" w:sz="4" w:space="0" w:color="auto"/>
              <w:bottom w:val="single" w:sz="4" w:space="0" w:color="auto"/>
              <w:right w:val="single" w:sz="4" w:space="0" w:color="auto"/>
            </w:tcBorders>
            <w:vAlign w:val="center"/>
          </w:tcPr>
          <w:p w14:paraId="7D4D2FA4" w14:textId="77777777" w:rsidR="002236BA" w:rsidRPr="00C71DBC" w:rsidRDefault="002236BA" w:rsidP="00C13786">
            <w:pPr>
              <w:pStyle w:val="Naslov1"/>
            </w:pPr>
          </w:p>
        </w:tc>
      </w:tr>
      <w:tr w:rsidR="002236BA" w:rsidRPr="00C71DBC" w14:paraId="5A5F592C"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79605EDE" w14:textId="77777777" w:rsidR="002236BA" w:rsidRPr="00C71DBC" w:rsidRDefault="002236BA" w:rsidP="00260BA0">
            <w:pPr>
              <w:widowControl w:val="0"/>
              <w:rPr>
                <w:rFonts w:cs="Arial"/>
                <w:bCs/>
                <w:szCs w:val="20"/>
                <w:lang w:val="sl-SI"/>
              </w:rPr>
            </w:pPr>
            <w:r w:rsidRPr="00C71DBC">
              <w:rPr>
                <w:rFonts w:cs="Arial"/>
                <w:bCs/>
                <w:szCs w:val="20"/>
                <w:lang w:val="sl-SI"/>
              </w:rPr>
              <w:t>Predvideno povečanje (+) ali zmanjšanje (</w:t>
            </w:r>
            <w:r w:rsidRPr="00C71DBC">
              <w:rPr>
                <w:b/>
                <w:szCs w:val="20"/>
                <w:lang w:val="sl-SI"/>
              </w:rPr>
              <w:t>–</w:t>
            </w:r>
            <w:r w:rsidRPr="00C71DBC">
              <w:rPr>
                <w:rFonts w:cs="Arial"/>
                <w:bCs/>
                <w:szCs w:val="20"/>
                <w:lang w:val="sl-SI"/>
              </w:rPr>
              <w:t xml:space="preserve">) prihodkov občinskih proračunov </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124593F" w14:textId="77777777" w:rsidR="002236BA" w:rsidRPr="00C71DBC" w:rsidRDefault="002236BA" w:rsidP="00C13786">
            <w:pPr>
              <w:pStyle w:val="Naslov1"/>
            </w:pPr>
          </w:p>
        </w:tc>
        <w:tc>
          <w:tcPr>
            <w:tcW w:w="1031" w:type="dxa"/>
            <w:tcBorders>
              <w:top w:val="single" w:sz="4" w:space="0" w:color="auto"/>
              <w:left w:val="single" w:sz="4" w:space="0" w:color="auto"/>
              <w:bottom w:val="single" w:sz="4" w:space="0" w:color="auto"/>
              <w:right w:val="single" w:sz="4" w:space="0" w:color="auto"/>
            </w:tcBorders>
            <w:vAlign w:val="center"/>
          </w:tcPr>
          <w:p w14:paraId="6A807D42" w14:textId="77777777" w:rsidR="002236BA" w:rsidRPr="00C71DBC" w:rsidRDefault="002236BA" w:rsidP="00C1378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5E522FBB" w14:textId="77777777" w:rsidR="002236BA" w:rsidRPr="00C71DBC" w:rsidRDefault="002236BA" w:rsidP="00C13786">
            <w:pPr>
              <w:pStyle w:val="Naslov1"/>
            </w:pPr>
          </w:p>
        </w:tc>
        <w:tc>
          <w:tcPr>
            <w:tcW w:w="2063" w:type="dxa"/>
            <w:tcBorders>
              <w:top w:val="single" w:sz="4" w:space="0" w:color="auto"/>
              <w:left w:val="single" w:sz="4" w:space="0" w:color="auto"/>
              <w:bottom w:val="single" w:sz="4" w:space="0" w:color="auto"/>
              <w:right w:val="single" w:sz="4" w:space="0" w:color="auto"/>
            </w:tcBorders>
            <w:vAlign w:val="center"/>
          </w:tcPr>
          <w:p w14:paraId="11FE0DAD" w14:textId="77777777" w:rsidR="002236BA" w:rsidRPr="00C71DBC" w:rsidRDefault="002236BA" w:rsidP="00C13786">
            <w:pPr>
              <w:pStyle w:val="Naslov1"/>
            </w:pPr>
          </w:p>
        </w:tc>
      </w:tr>
      <w:tr w:rsidR="002236BA" w:rsidRPr="00C71DBC" w14:paraId="0DABB10C"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16ECD716" w14:textId="77777777" w:rsidR="002236BA" w:rsidRPr="00C71DBC" w:rsidRDefault="002236BA" w:rsidP="00260BA0">
            <w:pPr>
              <w:widowControl w:val="0"/>
              <w:rPr>
                <w:rFonts w:cs="Arial"/>
                <w:bCs/>
                <w:szCs w:val="20"/>
                <w:lang w:val="sl-SI"/>
              </w:rPr>
            </w:pPr>
            <w:r w:rsidRPr="00C71DBC">
              <w:rPr>
                <w:rFonts w:cs="Arial"/>
                <w:bCs/>
                <w:szCs w:val="20"/>
                <w:lang w:val="sl-SI"/>
              </w:rPr>
              <w:t>Predvideno povečanje (+) ali zmanjšanje (</w:t>
            </w:r>
            <w:r w:rsidRPr="00C71DBC">
              <w:rPr>
                <w:b/>
                <w:szCs w:val="20"/>
                <w:lang w:val="sl-SI"/>
              </w:rPr>
              <w:t>–</w:t>
            </w:r>
            <w:r w:rsidRPr="00C71DBC">
              <w:rPr>
                <w:rFonts w:cs="Arial"/>
                <w:bCs/>
                <w:szCs w:val="20"/>
                <w:lang w:val="sl-SI"/>
              </w:rPr>
              <w:t xml:space="preserve">) odhodkov državnega proračuna </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17042243" w14:textId="77777777" w:rsidR="002236BA" w:rsidRPr="00C71DBC" w:rsidRDefault="002236BA" w:rsidP="00260BA0">
            <w:pPr>
              <w:widowControl w:val="0"/>
              <w:jc w:val="center"/>
              <w:rPr>
                <w:rFonts w:cs="Arial"/>
                <w:szCs w:val="20"/>
                <w:lang w:val="sl-SI"/>
              </w:rPr>
            </w:pPr>
          </w:p>
        </w:tc>
        <w:tc>
          <w:tcPr>
            <w:tcW w:w="1031" w:type="dxa"/>
            <w:tcBorders>
              <w:top w:val="single" w:sz="4" w:space="0" w:color="auto"/>
              <w:left w:val="single" w:sz="4" w:space="0" w:color="auto"/>
              <w:bottom w:val="single" w:sz="4" w:space="0" w:color="auto"/>
              <w:right w:val="single" w:sz="4" w:space="0" w:color="auto"/>
            </w:tcBorders>
            <w:vAlign w:val="center"/>
          </w:tcPr>
          <w:p w14:paraId="14A331D2" w14:textId="77777777" w:rsidR="002236BA" w:rsidRPr="00C71DBC" w:rsidRDefault="002236BA" w:rsidP="00260BA0">
            <w:pPr>
              <w:widowControl w:val="0"/>
              <w:jc w:val="center"/>
              <w:rPr>
                <w:rFonts w:cs="Arial"/>
                <w:szCs w:val="20"/>
                <w:lang w:val="sl-SI"/>
              </w:rPr>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53BAF1B8" w14:textId="77777777" w:rsidR="002236BA" w:rsidRPr="00C71DBC" w:rsidRDefault="002236BA" w:rsidP="00260BA0">
            <w:pPr>
              <w:widowControl w:val="0"/>
              <w:jc w:val="center"/>
              <w:rPr>
                <w:rFonts w:cs="Arial"/>
                <w:szCs w:val="20"/>
                <w:lang w:val="sl-SI"/>
              </w:rPr>
            </w:pPr>
          </w:p>
        </w:tc>
        <w:tc>
          <w:tcPr>
            <w:tcW w:w="2063" w:type="dxa"/>
            <w:tcBorders>
              <w:top w:val="single" w:sz="4" w:space="0" w:color="auto"/>
              <w:left w:val="single" w:sz="4" w:space="0" w:color="auto"/>
              <w:bottom w:val="single" w:sz="4" w:space="0" w:color="auto"/>
              <w:right w:val="single" w:sz="4" w:space="0" w:color="auto"/>
            </w:tcBorders>
            <w:vAlign w:val="center"/>
          </w:tcPr>
          <w:p w14:paraId="45D81508" w14:textId="77777777" w:rsidR="002236BA" w:rsidRPr="00C71DBC" w:rsidRDefault="002236BA" w:rsidP="00260BA0">
            <w:pPr>
              <w:widowControl w:val="0"/>
              <w:jc w:val="center"/>
              <w:rPr>
                <w:rFonts w:cs="Arial"/>
                <w:szCs w:val="20"/>
                <w:lang w:val="sl-SI"/>
              </w:rPr>
            </w:pPr>
          </w:p>
        </w:tc>
      </w:tr>
      <w:tr w:rsidR="002236BA" w:rsidRPr="00C71DBC" w14:paraId="1E9116A4"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0EB3C45F" w14:textId="77777777" w:rsidR="002236BA" w:rsidRPr="00C71DBC" w:rsidRDefault="002236BA" w:rsidP="00260BA0">
            <w:pPr>
              <w:widowControl w:val="0"/>
              <w:rPr>
                <w:rFonts w:cs="Arial"/>
                <w:bCs/>
                <w:szCs w:val="20"/>
                <w:lang w:val="sl-SI"/>
              </w:rPr>
            </w:pPr>
            <w:r w:rsidRPr="00C71DBC">
              <w:rPr>
                <w:rFonts w:cs="Arial"/>
                <w:bCs/>
                <w:szCs w:val="20"/>
                <w:lang w:val="sl-SI"/>
              </w:rPr>
              <w:t>Predvideno povečanje (+) ali zmanjšanje (</w:t>
            </w:r>
            <w:r w:rsidRPr="00C71DBC">
              <w:rPr>
                <w:b/>
                <w:szCs w:val="20"/>
                <w:lang w:val="sl-SI"/>
              </w:rPr>
              <w:t>–</w:t>
            </w:r>
            <w:r w:rsidRPr="00C71DBC">
              <w:rPr>
                <w:rFonts w:cs="Arial"/>
                <w:bCs/>
                <w:szCs w:val="20"/>
                <w:lang w:val="sl-SI"/>
              </w:rPr>
              <w:t>) odhodkov občinskih proračunov</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21812E08" w14:textId="77777777" w:rsidR="002236BA" w:rsidRPr="00C71DBC" w:rsidRDefault="002236BA" w:rsidP="00260BA0">
            <w:pPr>
              <w:widowControl w:val="0"/>
              <w:jc w:val="center"/>
              <w:rPr>
                <w:rFonts w:cs="Arial"/>
                <w:szCs w:val="20"/>
                <w:lang w:val="sl-SI"/>
              </w:rPr>
            </w:pPr>
          </w:p>
        </w:tc>
        <w:tc>
          <w:tcPr>
            <w:tcW w:w="1031" w:type="dxa"/>
            <w:tcBorders>
              <w:top w:val="single" w:sz="4" w:space="0" w:color="auto"/>
              <w:left w:val="single" w:sz="4" w:space="0" w:color="auto"/>
              <w:bottom w:val="single" w:sz="4" w:space="0" w:color="auto"/>
              <w:right w:val="single" w:sz="4" w:space="0" w:color="auto"/>
            </w:tcBorders>
            <w:vAlign w:val="center"/>
          </w:tcPr>
          <w:p w14:paraId="73CFA140" w14:textId="77777777" w:rsidR="002236BA" w:rsidRPr="00C71DBC" w:rsidRDefault="002236BA" w:rsidP="00260BA0">
            <w:pPr>
              <w:widowControl w:val="0"/>
              <w:jc w:val="center"/>
              <w:rPr>
                <w:rFonts w:cs="Arial"/>
                <w:szCs w:val="20"/>
                <w:lang w:val="sl-SI"/>
              </w:rPr>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7F6A04DD" w14:textId="77777777" w:rsidR="002236BA" w:rsidRPr="00C71DBC" w:rsidRDefault="002236BA" w:rsidP="00260BA0">
            <w:pPr>
              <w:widowControl w:val="0"/>
              <w:jc w:val="center"/>
              <w:rPr>
                <w:rFonts w:cs="Arial"/>
                <w:szCs w:val="20"/>
                <w:lang w:val="sl-SI"/>
              </w:rPr>
            </w:pPr>
          </w:p>
        </w:tc>
        <w:tc>
          <w:tcPr>
            <w:tcW w:w="2063" w:type="dxa"/>
            <w:tcBorders>
              <w:top w:val="single" w:sz="4" w:space="0" w:color="auto"/>
              <w:left w:val="single" w:sz="4" w:space="0" w:color="auto"/>
              <w:bottom w:val="single" w:sz="4" w:space="0" w:color="auto"/>
              <w:right w:val="single" w:sz="4" w:space="0" w:color="auto"/>
            </w:tcBorders>
            <w:vAlign w:val="center"/>
          </w:tcPr>
          <w:p w14:paraId="214992CA" w14:textId="77777777" w:rsidR="002236BA" w:rsidRPr="00C71DBC" w:rsidRDefault="002236BA" w:rsidP="00260BA0">
            <w:pPr>
              <w:widowControl w:val="0"/>
              <w:jc w:val="center"/>
              <w:rPr>
                <w:rFonts w:cs="Arial"/>
                <w:szCs w:val="20"/>
                <w:lang w:val="sl-SI"/>
              </w:rPr>
            </w:pPr>
          </w:p>
        </w:tc>
      </w:tr>
      <w:tr w:rsidR="002236BA" w:rsidRPr="00C71DBC" w14:paraId="34013882"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F1E6174" w14:textId="77777777" w:rsidR="002236BA" w:rsidRPr="00C71DBC" w:rsidRDefault="002236BA" w:rsidP="00260BA0">
            <w:pPr>
              <w:widowControl w:val="0"/>
              <w:rPr>
                <w:rFonts w:cs="Arial"/>
                <w:bCs/>
                <w:szCs w:val="20"/>
                <w:lang w:val="sl-SI"/>
              </w:rPr>
            </w:pPr>
            <w:r w:rsidRPr="00C71DBC">
              <w:rPr>
                <w:rFonts w:cs="Arial"/>
                <w:bCs/>
                <w:szCs w:val="20"/>
                <w:lang w:val="sl-SI"/>
              </w:rPr>
              <w:t>Predvideno povečanje (+) ali zmanjšanje (</w:t>
            </w:r>
            <w:r w:rsidRPr="00C71DBC">
              <w:rPr>
                <w:b/>
                <w:szCs w:val="20"/>
                <w:lang w:val="sl-SI"/>
              </w:rPr>
              <w:t>–</w:t>
            </w:r>
            <w:r w:rsidRPr="00C71DBC">
              <w:rPr>
                <w:rFonts w:cs="Arial"/>
                <w:bCs/>
                <w:szCs w:val="20"/>
                <w:lang w:val="sl-SI"/>
              </w:rPr>
              <w:t>) obveznosti za druga javnofinančna sredstva</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B8D6ABF" w14:textId="77777777" w:rsidR="002236BA" w:rsidRPr="00C71DBC" w:rsidRDefault="002236BA" w:rsidP="00C13786">
            <w:pPr>
              <w:pStyle w:val="Naslov1"/>
            </w:pPr>
          </w:p>
        </w:tc>
        <w:tc>
          <w:tcPr>
            <w:tcW w:w="1031" w:type="dxa"/>
            <w:tcBorders>
              <w:top w:val="single" w:sz="4" w:space="0" w:color="auto"/>
              <w:left w:val="single" w:sz="4" w:space="0" w:color="auto"/>
              <w:bottom w:val="single" w:sz="4" w:space="0" w:color="auto"/>
              <w:right w:val="single" w:sz="4" w:space="0" w:color="auto"/>
            </w:tcBorders>
            <w:vAlign w:val="center"/>
          </w:tcPr>
          <w:p w14:paraId="4B44DF6D" w14:textId="77777777" w:rsidR="002236BA" w:rsidRPr="00C71DBC" w:rsidRDefault="002236BA" w:rsidP="00C1378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2C3C41B9" w14:textId="77777777" w:rsidR="002236BA" w:rsidRPr="00C71DBC" w:rsidRDefault="002236BA" w:rsidP="00C13786">
            <w:pPr>
              <w:pStyle w:val="Naslov1"/>
            </w:pPr>
          </w:p>
        </w:tc>
        <w:tc>
          <w:tcPr>
            <w:tcW w:w="2063" w:type="dxa"/>
            <w:tcBorders>
              <w:top w:val="single" w:sz="4" w:space="0" w:color="auto"/>
              <w:left w:val="single" w:sz="4" w:space="0" w:color="auto"/>
              <w:bottom w:val="single" w:sz="4" w:space="0" w:color="auto"/>
              <w:right w:val="single" w:sz="4" w:space="0" w:color="auto"/>
            </w:tcBorders>
            <w:vAlign w:val="center"/>
          </w:tcPr>
          <w:p w14:paraId="1EB229FB" w14:textId="77777777" w:rsidR="002236BA" w:rsidRPr="00C71DBC" w:rsidRDefault="002236BA" w:rsidP="00C13786">
            <w:pPr>
              <w:pStyle w:val="Naslov1"/>
            </w:pPr>
          </w:p>
        </w:tc>
      </w:tr>
      <w:tr w:rsidR="002236BA" w:rsidRPr="00C71DBC" w14:paraId="43F02B6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E1A127" w14:textId="77777777" w:rsidR="002236BA" w:rsidRPr="00C71DBC" w:rsidRDefault="002236BA" w:rsidP="00C13786">
            <w:pPr>
              <w:pStyle w:val="Naslov1"/>
            </w:pPr>
            <w:r w:rsidRPr="00C71DBC">
              <w:t>II. Finančne posledice za državni proračun</w:t>
            </w:r>
          </w:p>
        </w:tc>
      </w:tr>
      <w:tr w:rsidR="002236BA" w:rsidRPr="00C71DBC" w14:paraId="6F6814B1"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BE379A" w14:textId="77777777" w:rsidR="002236BA" w:rsidRPr="00C71DBC" w:rsidRDefault="002236BA" w:rsidP="00C13786">
            <w:pPr>
              <w:pStyle w:val="Naslov1"/>
            </w:pPr>
            <w:r w:rsidRPr="00C71DBC">
              <w:t>II.a Pravice porabe za izvedbo predlaganih rešitev so zagotovljene:</w:t>
            </w:r>
          </w:p>
        </w:tc>
      </w:tr>
      <w:tr w:rsidR="002236BA" w:rsidRPr="00C71DBC" w14:paraId="2312E88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0" w:type="dxa"/>
            <w:gridSpan w:val="2"/>
            <w:tcBorders>
              <w:top w:val="single" w:sz="4" w:space="0" w:color="auto"/>
              <w:left w:val="single" w:sz="4" w:space="0" w:color="auto"/>
              <w:bottom w:val="single" w:sz="4" w:space="0" w:color="auto"/>
              <w:right w:val="single" w:sz="4" w:space="0" w:color="auto"/>
            </w:tcBorders>
            <w:vAlign w:val="center"/>
          </w:tcPr>
          <w:p w14:paraId="06EEACFC" w14:textId="77777777" w:rsidR="002236BA" w:rsidRPr="00C71DBC" w:rsidRDefault="002236BA" w:rsidP="00260BA0">
            <w:pPr>
              <w:widowControl w:val="0"/>
              <w:jc w:val="center"/>
              <w:rPr>
                <w:rFonts w:cs="Arial"/>
                <w:szCs w:val="20"/>
                <w:lang w:val="sl-SI"/>
              </w:rPr>
            </w:pPr>
            <w:r w:rsidRPr="00C71DBC">
              <w:rPr>
                <w:rFonts w:cs="Arial"/>
                <w:szCs w:val="20"/>
                <w:lang w:val="sl-SI"/>
              </w:rPr>
              <w:t xml:space="preserve">Ime proračunskega uporabnika </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D6EFB91" w14:textId="77777777" w:rsidR="002236BA" w:rsidRPr="00C71DBC" w:rsidRDefault="002236BA" w:rsidP="00260BA0">
            <w:pPr>
              <w:widowControl w:val="0"/>
              <w:jc w:val="center"/>
              <w:rPr>
                <w:rFonts w:cs="Arial"/>
                <w:szCs w:val="20"/>
                <w:lang w:val="sl-SI"/>
              </w:rPr>
            </w:pPr>
            <w:r w:rsidRPr="00C71DBC">
              <w:rPr>
                <w:rFonts w:cs="Arial"/>
                <w:szCs w:val="20"/>
                <w:lang w:val="sl-SI"/>
              </w:rPr>
              <w:t>Šifra in naziv ukrepa, projekta</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75B5B01B" w14:textId="77777777" w:rsidR="002236BA" w:rsidRPr="00C71DBC" w:rsidRDefault="002236BA" w:rsidP="00260BA0">
            <w:pPr>
              <w:widowControl w:val="0"/>
              <w:jc w:val="center"/>
              <w:rPr>
                <w:rFonts w:cs="Arial"/>
                <w:szCs w:val="20"/>
                <w:lang w:val="sl-SI"/>
              </w:rPr>
            </w:pPr>
            <w:r w:rsidRPr="00C71DBC">
              <w:rPr>
                <w:rFonts w:cs="Arial"/>
                <w:szCs w:val="20"/>
                <w:lang w:val="sl-SI"/>
              </w:rPr>
              <w:t>Šifra in naziv proračunske postavke</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5631F21F" w14:textId="77777777" w:rsidR="002236BA" w:rsidRPr="00C71DBC" w:rsidRDefault="002236BA" w:rsidP="00260BA0">
            <w:pPr>
              <w:widowControl w:val="0"/>
              <w:jc w:val="center"/>
              <w:rPr>
                <w:rFonts w:cs="Arial"/>
                <w:szCs w:val="20"/>
                <w:lang w:val="sl-SI"/>
              </w:rPr>
            </w:pPr>
            <w:r w:rsidRPr="00C71DBC">
              <w:rPr>
                <w:rFonts w:cs="Arial"/>
                <w:szCs w:val="20"/>
                <w:lang w:val="sl-SI"/>
              </w:rPr>
              <w:t>Znesek za tekoče leto (t)</w:t>
            </w:r>
          </w:p>
        </w:tc>
        <w:tc>
          <w:tcPr>
            <w:tcW w:w="2063" w:type="dxa"/>
            <w:tcBorders>
              <w:top w:val="single" w:sz="4" w:space="0" w:color="auto"/>
              <w:left w:val="single" w:sz="4" w:space="0" w:color="auto"/>
              <w:bottom w:val="single" w:sz="4" w:space="0" w:color="auto"/>
              <w:right w:val="single" w:sz="4" w:space="0" w:color="auto"/>
            </w:tcBorders>
            <w:vAlign w:val="center"/>
          </w:tcPr>
          <w:p w14:paraId="552261E8" w14:textId="77777777" w:rsidR="002236BA" w:rsidRPr="00C71DBC" w:rsidRDefault="002236BA" w:rsidP="00260BA0">
            <w:pPr>
              <w:widowControl w:val="0"/>
              <w:jc w:val="center"/>
              <w:rPr>
                <w:rFonts w:cs="Arial"/>
                <w:szCs w:val="20"/>
                <w:lang w:val="sl-SI"/>
              </w:rPr>
            </w:pPr>
            <w:r w:rsidRPr="00C71DBC">
              <w:rPr>
                <w:rFonts w:cs="Arial"/>
                <w:szCs w:val="20"/>
                <w:lang w:val="sl-SI"/>
              </w:rPr>
              <w:t>Znesek za t + 1</w:t>
            </w:r>
          </w:p>
        </w:tc>
      </w:tr>
      <w:tr w:rsidR="002236BA" w:rsidRPr="00C71DBC" w14:paraId="6425401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0" w:type="dxa"/>
            <w:gridSpan w:val="2"/>
            <w:tcBorders>
              <w:top w:val="single" w:sz="4" w:space="0" w:color="auto"/>
              <w:left w:val="single" w:sz="4" w:space="0" w:color="auto"/>
              <w:bottom w:val="single" w:sz="4" w:space="0" w:color="auto"/>
              <w:right w:val="single" w:sz="4" w:space="0" w:color="auto"/>
            </w:tcBorders>
            <w:vAlign w:val="center"/>
          </w:tcPr>
          <w:p w14:paraId="276F8EC9" w14:textId="3EF89D77" w:rsidR="002236BA" w:rsidRPr="00C71DBC" w:rsidRDefault="002236BA" w:rsidP="00905D8B">
            <w:pPr>
              <w:pStyle w:val="Naslov1"/>
              <w:jc w:val="center"/>
            </w:pPr>
            <w:r w:rsidRPr="00C71DBC">
              <w:t>MNVP (Uprava RS za jedrsko varnost – 25</w:t>
            </w:r>
            <w:r w:rsidR="007E30B3" w:rsidRPr="00C71DBC">
              <w:t>6</w:t>
            </w:r>
            <w:r w:rsidRPr="00C71DBC">
              <w:t>3)</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7DC585A4" w14:textId="3963515A" w:rsidR="002236BA" w:rsidRPr="00C71DBC" w:rsidRDefault="00932161" w:rsidP="00905D8B">
            <w:pPr>
              <w:pStyle w:val="Naslov1"/>
              <w:jc w:val="center"/>
            </w:pPr>
            <w:r w:rsidRPr="00C71DBC">
              <w:t>2563-24-000</w:t>
            </w:r>
            <w:r w:rsidR="00FB6B36">
              <w:t>2</w:t>
            </w:r>
          </w:p>
          <w:p w14:paraId="2B5FF048" w14:textId="1E163C0E" w:rsidR="00932161" w:rsidRPr="00C71DBC" w:rsidRDefault="00932161" w:rsidP="00905D8B">
            <w:pPr>
              <w:jc w:val="center"/>
              <w:rPr>
                <w:rFonts w:cs="Arial"/>
                <w:bCs/>
                <w:i/>
                <w:iCs/>
                <w:sz w:val="18"/>
                <w:szCs w:val="18"/>
                <w:lang w:val="sl-SI"/>
              </w:rPr>
            </w:pPr>
            <w:r w:rsidRPr="00C71DBC">
              <w:rPr>
                <w:rFonts w:cs="Arial"/>
                <w:bCs/>
                <w:i/>
                <w:iCs/>
                <w:sz w:val="18"/>
                <w:szCs w:val="18"/>
                <w:lang w:val="sl-SI"/>
              </w:rPr>
              <w:t>“</w:t>
            </w:r>
            <w:r w:rsidR="0044591A" w:rsidRPr="00C71DBC">
              <w:rPr>
                <w:rFonts w:cs="Arial"/>
                <w:bCs/>
                <w:i/>
                <w:iCs/>
                <w:sz w:val="18"/>
                <w:szCs w:val="18"/>
                <w:lang w:val="sl-SI"/>
              </w:rPr>
              <w:t>Krepitev</w:t>
            </w:r>
            <w:r w:rsidR="00E7091D">
              <w:rPr>
                <w:rFonts w:cs="Arial"/>
                <w:bCs/>
                <w:i/>
                <w:iCs/>
                <w:sz w:val="18"/>
                <w:szCs w:val="18"/>
                <w:lang w:val="sl-SI"/>
              </w:rPr>
              <w:t xml:space="preserve"> turškega</w:t>
            </w:r>
            <w:r w:rsidRPr="00C71DBC">
              <w:rPr>
                <w:rFonts w:cs="Arial"/>
                <w:bCs/>
                <w:i/>
                <w:iCs/>
                <w:sz w:val="18"/>
                <w:szCs w:val="18"/>
                <w:lang w:val="sl-SI"/>
              </w:rPr>
              <w:t xml:space="preserve"> jedrskega </w:t>
            </w:r>
            <w:r w:rsidR="0044591A" w:rsidRPr="00C71DBC">
              <w:rPr>
                <w:rFonts w:cs="Arial"/>
                <w:bCs/>
                <w:i/>
                <w:iCs/>
                <w:sz w:val="18"/>
                <w:szCs w:val="18"/>
                <w:lang w:val="sl-SI"/>
              </w:rPr>
              <w:t>upravnega organa”</w:t>
            </w:r>
          </w:p>
          <w:p w14:paraId="1DA4CF81" w14:textId="7A055B8B" w:rsidR="002236BA" w:rsidRPr="00C71DBC" w:rsidRDefault="002236BA" w:rsidP="00905D8B">
            <w:pPr>
              <w:jc w:val="center"/>
              <w:rPr>
                <w:rFonts w:cs="Arial"/>
                <w:i/>
                <w:szCs w:val="20"/>
                <w:lang w:val="sl-SI" w:eastAsia="sl-SI"/>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56B94321" w14:textId="4BDE3F94" w:rsidR="002236BA" w:rsidRPr="00C71DBC" w:rsidRDefault="002236BA" w:rsidP="00905D8B">
            <w:pPr>
              <w:pStyle w:val="Naslov1"/>
              <w:jc w:val="center"/>
            </w:pPr>
            <w:r w:rsidRPr="00C71DBC">
              <w:t>231569</w:t>
            </w:r>
          </w:p>
          <w:p w14:paraId="1C513CD4" w14:textId="77777777" w:rsidR="002236BA" w:rsidRPr="00C71DBC" w:rsidRDefault="002236BA" w:rsidP="00905D8B">
            <w:pPr>
              <w:jc w:val="center"/>
              <w:rPr>
                <w:rFonts w:cs="Arial"/>
                <w:i/>
                <w:iCs/>
                <w:sz w:val="18"/>
                <w:szCs w:val="18"/>
                <w:lang w:val="sl-SI" w:eastAsia="sl-SI"/>
              </w:rPr>
            </w:pPr>
            <w:r w:rsidRPr="00C71DBC">
              <w:rPr>
                <w:i/>
                <w:iCs/>
                <w:sz w:val="18"/>
                <w:szCs w:val="18"/>
                <w:lang w:val="sl-SI"/>
              </w:rPr>
              <w:t>Pomoč pri krepitvi tujih UO za jedrsko in sevalno varnost</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739763CF" w14:textId="200E474C" w:rsidR="002236BA" w:rsidRPr="00C71DBC" w:rsidRDefault="00B50D03" w:rsidP="00905D8B">
            <w:pPr>
              <w:pStyle w:val="Naslov1"/>
              <w:jc w:val="center"/>
            </w:pPr>
            <w:r w:rsidRPr="00C71DBC">
              <w:t>0</w:t>
            </w:r>
          </w:p>
        </w:tc>
        <w:tc>
          <w:tcPr>
            <w:tcW w:w="2063" w:type="dxa"/>
            <w:tcBorders>
              <w:top w:val="single" w:sz="4" w:space="0" w:color="auto"/>
              <w:left w:val="single" w:sz="4" w:space="0" w:color="auto"/>
              <w:bottom w:val="single" w:sz="4" w:space="0" w:color="auto"/>
              <w:right w:val="single" w:sz="4" w:space="0" w:color="auto"/>
            </w:tcBorders>
            <w:vAlign w:val="center"/>
          </w:tcPr>
          <w:p w14:paraId="11DCF164" w14:textId="77777777" w:rsidR="002236BA" w:rsidRPr="00C71DBC" w:rsidRDefault="002236BA" w:rsidP="00905D8B">
            <w:pPr>
              <w:pStyle w:val="Naslov1"/>
              <w:jc w:val="center"/>
            </w:pPr>
            <w:r w:rsidRPr="00C71DBC">
              <w:t>0,00</w:t>
            </w:r>
          </w:p>
        </w:tc>
      </w:tr>
      <w:tr w:rsidR="002236BA" w:rsidRPr="00C71DBC" w14:paraId="5296D91D"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4" w:type="dxa"/>
            <w:gridSpan w:val="6"/>
            <w:tcBorders>
              <w:top w:val="single" w:sz="4" w:space="0" w:color="auto"/>
              <w:left w:val="single" w:sz="4" w:space="0" w:color="auto"/>
              <w:bottom w:val="single" w:sz="4" w:space="0" w:color="auto"/>
              <w:right w:val="single" w:sz="4" w:space="0" w:color="auto"/>
            </w:tcBorders>
            <w:vAlign w:val="center"/>
          </w:tcPr>
          <w:p w14:paraId="0418F6D2" w14:textId="77777777" w:rsidR="002236BA" w:rsidRPr="00C71DBC" w:rsidRDefault="002236BA" w:rsidP="00C13786">
            <w:pPr>
              <w:pStyle w:val="Naslov1"/>
            </w:pPr>
            <w:r w:rsidRPr="00C71DBC">
              <w:t>SKUPAJ</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CC193CE" w14:textId="77777777" w:rsidR="002236BA" w:rsidRPr="00C71DBC" w:rsidRDefault="002236BA" w:rsidP="003710AE">
            <w:pPr>
              <w:pStyle w:val="Naslov1"/>
              <w:jc w:val="center"/>
            </w:pPr>
            <w:r w:rsidRPr="00C71DBC">
              <w:t>0,00</w:t>
            </w:r>
          </w:p>
        </w:tc>
        <w:tc>
          <w:tcPr>
            <w:tcW w:w="2063" w:type="dxa"/>
            <w:tcBorders>
              <w:top w:val="single" w:sz="4" w:space="0" w:color="auto"/>
              <w:left w:val="single" w:sz="4" w:space="0" w:color="auto"/>
              <w:bottom w:val="single" w:sz="4" w:space="0" w:color="auto"/>
              <w:right w:val="single" w:sz="4" w:space="0" w:color="auto"/>
            </w:tcBorders>
            <w:vAlign w:val="center"/>
          </w:tcPr>
          <w:p w14:paraId="3950248C" w14:textId="77777777" w:rsidR="002236BA" w:rsidRPr="00C71DBC" w:rsidRDefault="002236BA" w:rsidP="003710AE">
            <w:pPr>
              <w:pStyle w:val="Naslov1"/>
              <w:jc w:val="center"/>
            </w:pPr>
            <w:r w:rsidRPr="00C71DBC">
              <w:t>0,00</w:t>
            </w:r>
          </w:p>
        </w:tc>
      </w:tr>
      <w:tr w:rsidR="002236BA" w:rsidRPr="00C71DBC" w14:paraId="1B745F2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14079A" w14:textId="4861C25B" w:rsidR="002236BA" w:rsidRPr="00C71DBC" w:rsidRDefault="002236BA" w:rsidP="00C13786">
            <w:pPr>
              <w:pStyle w:val="Naslov1"/>
            </w:pPr>
            <w:r w:rsidRPr="00C71DBC">
              <w:t>II.b Manjkajoče pravice porabe bodo zagotovljene s prerazporeditvijo:</w:t>
            </w:r>
          </w:p>
        </w:tc>
      </w:tr>
      <w:tr w:rsidR="002236BA" w:rsidRPr="00C71DBC" w14:paraId="31666C14"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0" w:type="dxa"/>
            <w:gridSpan w:val="2"/>
            <w:tcBorders>
              <w:top w:val="single" w:sz="4" w:space="0" w:color="auto"/>
              <w:left w:val="single" w:sz="4" w:space="0" w:color="auto"/>
              <w:bottom w:val="single" w:sz="4" w:space="0" w:color="auto"/>
              <w:right w:val="single" w:sz="4" w:space="0" w:color="auto"/>
            </w:tcBorders>
            <w:vAlign w:val="center"/>
          </w:tcPr>
          <w:p w14:paraId="5A7374EC" w14:textId="77777777" w:rsidR="002236BA" w:rsidRPr="00C71DBC" w:rsidRDefault="002236BA" w:rsidP="00260BA0">
            <w:pPr>
              <w:widowControl w:val="0"/>
              <w:jc w:val="center"/>
              <w:rPr>
                <w:rFonts w:cs="Arial"/>
                <w:szCs w:val="20"/>
                <w:lang w:val="sl-SI"/>
              </w:rPr>
            </w:pPr>
            <w:r w:rsidRPr="00C71DBC">
              <w:rPr>
                <w:rFonts w:cs="Arial"/>
                <w:szCs w:val="20"/>
                <w:lang w:val="sl-SI"/>
              </w:rPr>
              <w:t xml:space="preserve">Ime proračunskega uporabnika </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1A595EB9" w14:textId="77777777" w:rsidR="002236BA" w:rsidRPr="00C71DBC" w:rsidRDefault="002236BA" w:rsidP="00260BA0">
            <w:pPr>
              <w:widowControl w:val="0"/>
              <w:jc w:val="center"/>
              <w:rPr>
                <w:rFonts w:cs="Arial"/>
                <w:szCs w:val="20"/>
                <w:lang w:val="sl-SI"/>
              </w:rPr>
            </w:pPr>
            <w:r w:rsidRPr="00C71DBC">
              <w:rPr>
                <w:rFonts w:cs="Arial"/>
                <w:szCs w:val="20"/>
                <w:lang w:val="sl-SI"/>
              </w:rPr>
              <w:t>Šifra in naziv ukrepa, projekta</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7193A2A4" w14:textId="77777777" w:rsidR="002236BA" w:rsidRPr="00C71DBC" w:rsidRDefault="002236BA" w:rsidP="00260BA0">
            <w:pPr>
              <w:widowControl w:val="0"/>
              <w:jc w:val="center"/>
              <w:rPr>
                <w:rFonts w:cs="Arial"/>
                <w:szCs w:val="20"/>
                <w:lang w:val="sl-SI"/>
              </w:rPr>
            </w:pPr>
            <w:r w:rsidRPr="00C71DBC">
              <w:rPr>
                <w:rFonts w:cs="Arial"/>
                <w:szCs w:val="20"/>
                <w:lang w:val="sl-SI"/>
              </w:rPr>
              <w:t xml:space="preserve">Šifra in naziv proračunske postavke </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7D359B3" w14:textId="77777777" w:rsidR="002236BA" w:rsidRPr="00C71DBC" w:rsidRDefault="002236BA" w:rsidP="00260BA0">
            <w:pPr>
              <w:widowControl w:val="0"/>
              <w:jc w:val="center"/>
              <w:rPr>
                <w:rFonts w:cs="Arial"/>
                <w:szCs w:val="20"/>
                <w:lang w:val="sl-SI"/>
              </w:rPr>
            </w:pPr>
            <w:r w:rsidRPr="00C71DBC">
              <w:rPr>
                <w:rFonts w:cs="Arial"/>
                <w:szCs w:val="20"/>
                <w:lang w:val="sl-SI"/>
              </w:rPr>
              <w:t>Znesek za tekoče leto (t)</w:t>
            </w:r>
          </w:p>
        </w:tc>
        <w:tc>
          <w:tcPr>
            <w:tcW w:w="2063" w:type="dxa"/>
            <w:tcBorders>
              <w:top w:val="single" w:sz="4" w:space="0" w:color="auto"/>
              <w:left w:val="single" w:sz="4" w:space="0" w:color="auto"/>
              <w:bottom w:val="single" w:sz="4" w:space="0" w:color="auto"/>
              <w:right w:val="single" w:sz="4" w:space="0" w:color="auto"/>
            </w:tcBorders>
            <w:vAlign w:val="center"/>
          </w:tcPr>
          <w:p w14:paraId="12250611" w14:textId="77777777" w:rsidR="002236BA" w:rsidRPr="00C71DBC" w:rsidRDefault="002236BA" w:rsidP="00260BA0">
            <w:pPr>
              <w:widowControl w:val="0"/>
              <w:jc w:val="center"/>
              <w:rPr>
                <w:rFonts w:cs="Arial"/>
                <w:szCs w:val="20"/>
                <w:lang w:val="sl-SI"/>
              </w:rPr>
            </w:pPr>
            <w:r w:rsidRPr="00C71DBC">
              <w:rPr>
                <w:rFonts w:cs="Arial"/>
                <w:szCs w:val="20"/>
                <w:lang w:val="sl-SI"/>
              </w:rPr>
              <w:t xml:space="preserve">Znesek za t + 1 </w:t>
            </w:r>
          </w:p>
        </w:tc>
      </w:tr>
      <w:tr w:rsidR="000F2A3A" w:rsidRPr="00C71DBC" w14:paraId="446AC8B3"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0" w:type="dxa"/>
            <w:gridSpan w:val="2"/>
            <w:tcBorders>
              <w:top w:val="single" w:sz="4" w:space="0" w:color="auto"/>
              <w:left w:val="single" w:sz="4" w:space="0" w:color="auto"/>
              <w:bottom w:val="single" w:sz="4" w:space="0" w:color="auto"/>
              <w:right w:val="single" w:sz="4" w:space="0" w:color="auto"/>
            </w:tcBorders>
            <w:vAlign w:val="center"/>
          </w:tcPr>
          <w:p w14:paraId="414D140E" w14:textId="77777777" w:rsidR="000F2A3A" w:rsidRPr="00905D8B" w:rsidRDefault="000F2A3A" w:rsidP="00905D8B">
            <w:pPr>
              <w:pStyle w:val="Naslov1"/>
              <w:jc w:val="center"/>
            </w:pPr>
            <w:r w:rsidRPr="00905D8B">
              <w:lastRenderedPageBreak/>
              <w:t>MNVP (Uprava RS za jedrsko varnost – 2563)</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2343860D" w14:textId="77777777" w:rsidR="000F2A3A" w:rsidRPr="00905D8B" w:rsidRDefault="000F2A3A" w:rsidP="00905D8B">
            <w:pPr>
              <w:pStyle w:val="Naslov1"/>
              <w:jc w:val="center"/>
              <w:rPr>
                <w:i/>
                <w:iCs/>
                <w:sz w:val="18"/>
                <w:szCs w:val="18"/>
              </w:rPr>
            </w:pPr>
            <w:r w:rsidRPr="00905D8B">
              <w:rPr>
                <w:i/>
                <w:iCs/>
                <w:sz w:val="18"/>
                <w:szCs w:val="18"/>
              </w:rPr>
              <w:t>2553-21-0004</w:t>
            </w:r>
          </w:p>
          <w:p w14:paraId="743B8520" w14:textId="5403C8C2" w:rsidR="0044591A" w:rsidRPr="00905D8B" w:rsidRDefault="0044591A" w:rsidP="00905D8B">
            <w:pPr>
              <w:pStyle w:val="Oddelek"/>
              <w:widowControl w:val="0"/>
              <w:numPr>
                <w:ilvl w:val="0"/>
                <w:numId w:val="0"/>
              </w:numPr>
              <w:spacing w:before="0" w:after="0" w:line="260" w:lineRule="exact"/>
              <w:rPr>
                <w:b w:val="0"/>
                <w:i/>
                <w:iCs/>
                <w:sz w:val="18"/>
                <w:szCs w:val="18"/>
              </w:rPr>
            </w:pPr>
            <w:r w:rsidRPr="00905D8B">
              <w:rPr>
                <w:b w:val="0"/>
                <w:i/>
                <w:iCs/>
                <w:sz w:val="18"/>
                <w:szCs w:val="18"/>
              </w:rPr>
              <w:t>»Krepitev iranskega UO za jedrsko varnost-IRAN3«</w:t>
            </w:r>
          </w:p>
          <w:p w14:paraId="2A6F17F5" w14:textId="77777777" w:rsidR="0044591A" w:rsidRPr="00905D8B" w:rsidRDefault="0044591A" w:rsidP="00905D8B">
            <w:pPr>
              <w:pStyle w:val="Oddelek"/>
              <w:widowControl w:val="0"/>
              <w:numPr>
                <w:ilvl w:val="0"/>
                <w:numId w:val="0"/>
              </w:numPr>
              <w:spacing w:before="0" w:after="0" w:line="260" w:lineRule="exact"/>
              <w:rPr>
                <w:b w:val="0"/>
                <w:i/>
                <w:iCs/>
                <w:sz w:val="18"/>
                <w:szCs w:val="18"/>
              </w:rPr>
            </w:pPr>
          </w:p>
          <w:p w14:paraId="423A439B" w14:textId="38C838E5" w:rsidR="000F2A3A" w:rsidRPr="00905D8B" w:rsidRDefault="000F2A3A" w:rsidP="00905D8B">
            <w:pPr>
              <w:jc w:val="center"/>
              <w:rPr>
                <w:rFonts w:cs="Arial"/>
                <w:i/>
                <w:iCs/>
                <w:sz w:val="18"/>
                <w:szCs w:val="18"/>
                <w:lang w:val="sl-SI" w:eastAsia="sl-SI"/>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5A26360E" w14:textId="2839DB65" w:rsidR="000F2A3A" w:rsidRPr="00905D8B" w:rsidRDefault="000F2A3A" w:rsidP="00905D8B">
            <w:pPr>
              <w:pStyle w:val="Naslov1"/>
              <w:jc w:val="center"/>
              <w:rPr>
                <w:i/>
                <w:iCs/>
                <w:sz w:val="18"/>
                <w:szCs w:val="18"/>
              </w:rPr>
            </w:pPr>
            <w:r w:rsidRPr="00905D8B">
              <w:rPr>
                <w:i/>
                <w:iCs/>
                <w:sz w:val="18"/>
                <w:szCs w:val="18"/>
              </w:rPr>
              <w:t>231569</w:t>
            </w:r>
          </w:p>
          <w:p w14:paraId="4FD49F93" w14:textId="06F48BD5" w:rsidR="000F2A3A" w:rsidRPr="00905D8B" w:rsidRDefault="000F2A3A" w:rsidP="00905D8B">
            <w:pPr>
              <w:jc w:val="center"/>
              <w:rPr>
                <w:rFonts w:cs="Arial"/>
                <w:i/>
                <w:iCs/>
                <w:sz w:val="18"/>
                <w:szCs w:val="18"/>
                <w:lang w:val="sl-SI" w:eastAsia="sl-SI"/>
              </w:rPr>
            </w:pPr>
            <w:r w:rsidRPr="00905D8B">
              <w:rPr>
                <w:i/>
                <w:iCs/>
                <w:sz w:val="18"/>
                <w:szCs w:val="18"/>
                <w:lang w:val="sl-SI"/>
              </w:rPr>
              <w:t>Pomoč pri krepitvi tujih UO za jedrsko in sevalno varnost</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2AFAAA50" w14:textId="12406A19" w:rsidR="000F2A3A" w:rsidRPr="00905D8B" w:rsidRDefault="00FB6B36" w:rsidP="00905D8B">
            <w:pPr>
              <w:pStyle w:val="Naslov1"/>
              <w:jc w:val="center"/>
            </w:pPr>
            <w:r w:rsidRPr="00905D8B">
              <w:t>27.600</w:t>
            </w:r>
          </w:p>
        </w:tc>
        <w:tc>
          <w:tcPr>
            <w:tcW w:w="2063" w:type="dxa"/>
            <w:tcBorders>
              <w:top w:val="single" w:sz="4" w:space="0" w:color="auto"/>
              <w:left w:val="single" w:sz="4" w:space="0" w:color="auto"/>
              <w:bottom w:val="single" w:sz="4" w:space="0" w:color="auto"/>
              <w:right w:val="single" w:sz="4" w:space="0" w:color="auto"/>
            </w:tcBorders>
            <w:vAlign w:val="center"/>
          </w:tcPr>
          <w:p w14:paraId="6D6485B8" w14:textId="0F82C8F3" w:rsidR="000F2A3A" w:rsidRPr="00905D8B" w:rsidRDefault="00C31C2F" w:rsidP="00905D8B">
            <w:pPr>
              <w:pStyle w:val="Naslov1"/>
              <w:jc w:val="center"/>
            </w:pPr>
            <w:r>
              <w:t>5</w:t>
            </w:r>
            <w:r w:rsidR="00FB6B36" w:rsidRPr="00905D8B">
              <w:t>0.000</w:t>
            </w:r>
          </w:p>
        </w:tc>
      </w:tr>
      <w:tr w:rsidR="000F2A3A" w:rsidRPr="00C71DBC" w14:paraId="0E441AF3"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4" w:type="dxa"/>
            <w:gridSpan w:val="6"/>
            <w:tcBorders>
              <w:top w:val="single" w:sz="4" w:space="0" w:color="auto"/>
              <w:left w:val="single" w:sz="4" w:space="0" w:color="auto"/>
              <w:bottom w:val="single" w:sz="4" w:space="0" w:color="auto"/>
              <w:right w:val="single" w:sz="4" w:space="0" w:color="auto"/>
            </w:tcBorders>
            <w:vAlign w:val="center"/>
          </w:tcPr>
          <w:p w14:paraId="1F92109C" w14:textId="77777777" w:rsidR="000F2A3A" w:rsidRPr="00905D8B" w:rsidRDefault="000F2A3A" w:rsidP="00C13786">
            <w:pPr>
              <w:pStyle w:val="Naslov1"/>
            </w:pPr>
            <w:r w:rsidRPr="00905D8B">
              <w:t>SKUPAJ</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193E978" w14:textId="6C2ED7ED" w:rsidR="000F2A3A" w:rsidRPr="00905D8B" w:rsidRDefault="00FB6B36" w:rsidP="000E4374">
            <w:pPr>
              <w:pStyle w:val="Naslov1"/>
              <w:jc w:val="center"/>
            </w:pPr>
            <w:r w:rsidRPr="00905D8B">
              <w:t>27.600</w:t>
            </w:r>
          </w:p>
        </w:tc>
        <w:tc>
          <w:tcPr>
            <w:tcW w:w="2063" w:type="dxa"/>
            <w:tcBorders>
              <w:top w:val="single" w:sz="4" w:space="0" w:color="auto"/>
              <w:left w:val="single" w:sz="4" w:space="0" w:color="auto"/>
              <w:bottom w:val="single" w:sz="4" w:space="0" w:color="auto"/>
              <w:right w:val="single" w:sz="4" w:space="0" w:color="auto"/>
            </w:tcBorders>
            <w:vAlign w:val="center"/>
          </w:tcPr>
          <w:p w14:paraId="62706E4B" w14:textId="3CA8AC20" w:rsidR="000F2A3A" w:rsidRPr="00905D8B" w:rsidRDefault="00C31C2F" w:rsidP="000E4374">
            <w:pPr>
              <w:pStyle w:val="Naslov1"/>
              <w:jc w:val="center"/>
            </w:pPr>
            <w:r>
              <w:t>5</w:t>
            </w:r>
            <w:r w:rsidR="00FB6B36" w:rsidRPr="00905D8B">
              <w:t>0.000</w:t>
            </w:r>
          </w:p>
        </w:tc>
      </w:tr>
      <w:tr w:rsidR="000F2A3A" w:rsidRPr="00C71DBC" w14:paraId="293896EC"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5CA9EBD" w14:textId="77777777" w:rsidR="000F2A3A" w:rsidRPr="00905D8B" w:rsidRDefault="000F2A3A" w:rsidP="00C13786">
            <w:pPr>
              <w:pStyle w:val="Naslov1"/>
            </w:pPr>
            <w:r w:rsidRPr="00905D8B">
              <w:t>II.c Načrtovana nadomestitev zmanjšanih prihodkov in povečanih odhodkov proračuna:</w:t>
            </w:r>
          </w:p>
        </w:tc>
      </w:tr>
      <w:tr w:rsidR="000F2A3A" w:rsidRPr="00C71DBC" w14:paraId="21870BF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94" w:type="dxa"/>
            <w:gridSpan w:val="4"/>
            <w:tcBorders>
              <w:top w:val="single" w:sz="4" w:space="0" w:color="auto"/>
              <w:left w:val="single" w:sz="4" w:space="0" w:color="auto"/>
              <w:bottom w:val="single" w:sz="4" w:space="0" w:color="auto"/>
              <w:right w:val="single" w:sz="4" w:space="0" w:color="auto"/>
            </w:tcBorders>
            <w:vAlign w:val="center"/>
          </w:tcPr>
          <w:p w14:paraId="7B02A28A" w14:textId="77777777" w:rsidR="000F2A3A" w:rsidRPr="00C71DBC" w:rsidRDefault="000F2A3A" w:rsidP="000F2A3A">
            <w:pPr>
              <w:widowControl w:val="0"/>
              <w:ind w:left="-122" w:right="-112"/>
              <w:jc w:val="center"/>
              <w:rPr>
                <w:rFonts w:cs="Arial"/>
                <w:szCs w:val="20"/>
                <w:lang w:val="sl-SI"/>
              </w:rPr>
            </w:pPr>
            <w:r w:rsidRPr="00C71DBC">
              <w:rPr>
                <w:rFonts w:cs="Arial"/>
                <w:szCs w:val="20"/>
                <w:lang w:val="sl-SI"/>
              </w:rPr>
              <w:t>Novi prihodki</w:t>
            </w:r>
          </w:p>
        </w:tc>
        <w:tc>
          <w:tcPr>
            <w:tcW w:w="2170" w:type="dxa"/>
            <w:gridSpan w:val="4"/>
            <w:tcBorders>
              <w:top w:val="single" w:sz="4" w:space="0" w:color="auto"/>
              <w:left w:val="single" w:sz="4" w:space="0" w:color="auto"/>
              <w:bottom w:val="single" w:sz="4" w:space="0" w:color="auto"/>
              <w:right w:val="single" w:sz="4" w:space="0" w:color="auto"/>
            </w:tcBorders>
            <w:vAlign w:val="center"/>
          </w:tcPr>
          <w:p w14:paraId="2F227AED" w14:textId="77777777" w:rsidR="000F2A3A" w:rsidRPr="00C71DBC" w:rsidRDefault="000F2A3A" w:rsidP="000F2A3A">
            <w:pPr>
              <w:widowControl w:val="0"/>
              <w:ind w:left="-122" w:right="-112"/>
              <w:jc w:val="center"/>
              <w:rPr>
                <w:rFonts w:cs="Arial"/>
                <w:szCs w:val="20"/>
                <w:lang w:val="sl-SI"/>
              </w:rPr>
            </w:pPr>
            <w:r w:rsidRPr="00C71DBC">
              <w:rPr>
                <w:rFonts w:cs="Arial"/>
                <w:szCs w:val="20"/>
                <w:lang w:val="sl-SI"/>
              </w:rPr>
              <w:t>Znesek za tekoče leto (t)</w:t>
            </w:r>
          </w:p>
        </w:tc>
        <w:tc>
          <w:tcPr>
            <w:tcW w:w="2736" w:type="dxa"/>
            <w:gridSpan w:val="4"/>
            <w:tcBorders>
              <w:top w:val="single" w:sz="4" w:space="0" w:color="auto"/>
              <w:left w:val="single" w:sz="4" w:space="0" w:color="auto"/>
              <w:bottom w:val="single" w:sz="4" w:space="0" w:color="auto"/>
              <w:right w:val="single" w:sz="4" w:space="0" w:color="auto"/>
            </w:tcBorders>
            <w:vAlign w:val="center"/>
          </w:tcPr>
          <w:p w14:paraId="58D29410" w14:textId="77777777" w:rsidR="000F2A3A" w:rsidRPr="00C71DBC" w:rsidRDefault="000F2A3A" w:rsidP="000F2A3A">
            <w:pPr>
              <w:widowControl w:val="0"/>
              <w:ind w:left="-122" w:right="-112"/>
              <w:jc w:val="center"/>
              <w:rPr>
                <w:rFonts w:cs="Arial"/>
                <w:szCs w:val="20"/>
                <w:lang w:val="sl-SI"/>
              </w:rPr>
            </w:pPr>
            <w:r w:rsidRPr="00C71DBC">
              <w:rPr>
                <w:rFonts w:cs="Arial"/>
                <w:szCs w:val="20"/>
                <w:lang w:val="sl-SI"/>
              </w:rPr>
              <w:t>Znesek za t + 1</w:t>
            </w:r>
          </w:p>
        </w:tc>
      </w:tr>
      <w:tr w:rsidR="000F2A3A" w:rsidRPr="00C71DBC" w14:paraId="54E1FD39"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4" w:type="dxa"/>
            <w:gridSpan w:val="4"/>
            <w:tcBorders>
              <w:top w:val="single" w:sz="4" w:space="0" w:color="auto"/>
              <w:left w:val="single" w:sz="4" w:space="0" w:color="auto"/>
              <w:bottom w:val="single" w:sz="4" w:space="0" w:color="auto"/>
              <w:right w:val="single" w:sz="4" w:space="0" w:color="auto"/>
            </w:tcBorders>
            <w:vAlign w:val="center"/>
          </w:tcPr>
          <w:p w14:paraId="54E300FC" w14:textId="77777777" w:rsidR="000F2A3A" w:rsidRPr="00C71DBC" w:rsidRDefault="000F2A3A" w:rsidP="000F2A3A">
            <w:pPr>
              <w:rPr>
                <w:lang w:val="sl-SI" w:eastAsia="sl-SI"/>
              </w:rPr>
            </w:pPr>
          </w:p>
          <w:p w14:paraId="23A99FDC" w14:textId="77777777" w:rsidR="000F2A3A" w:rsidRPr="00C71DBC" w:rsidRDefault="000F2A3A" w:rsidP="000F2A3A">
            <w:pPr>
              <w:rPr>
                <w:lang w:val="sl-SI" w:eastAsia="sl-SI"/>
              </w:rPr>
            </w:pPr>
          </w:p>
        </w:tc>
        <w:tc>
          <w:tcPr>
            <w:tcW w:w="2170" w:type="dxa"/>
            <w:gridSpan w:val="4"/>
            <w:tcBorders>
              <w:top w:val="single" w:sz="4" w:space="0" w:color="auto"/>
              <w:left w:val="single" w:sz="4" w:space="0" w:color="auto"/>
              <w:bottom w:val="single" w:sz="4" w:space="0" w:color="auto"/>
              <w:right w:val="single" w:sz="4" w:space="0" w:color="auto"/>
            </w:tcBorders>
            <w:vAlign w:val="center"/>
          </w:tcPr>
          <w:p w14:paraId="3D668C5F" w14:textId="77777777" w:rsidR="000F2A3A" w:rsidRPr="00C71DBC" w:rsidRDefault="000F2A3A" w:rsidP="00C13786">
            <w:pPr>
              <w:pStyle w:val="Naslov1"/>
            </w:pPr>
          </w:p>
        </w:tc>
        <w:tc>
          <w:tcPr>
            <w:tcW w:w="2736" w:type="dxa"/>
            <w:gridSpan w:val="4"/>
            <w:tcBorders>
              <w:top w:val="single" w:sz="4" w:space="0" w:color="auto"/>
              <w:left w:val="single" w:sz="4" w:space="0" w:color="auto"/>
              <w:bottom w:val="single" w:sz="4" w:space="0" w:color="auto"/>
              <w:right w:val="single" w:sz="4" w:space="0" w:color="auto"/>
            </w:tcBorders>
            <w:vAlign w:val="center"/>
          </w:tcPr>
          <w:p w14:paraId="2223DD00" w14:textId="77777777" w:rsidR="000F2A3A" w:rsidRPr="00C71DBC" w:rsidRDefault="000F2A3A" w:rsidP="00C13786">
            <w:pPr>
              <w:pStyle w:val="Naslov1"/>
            </w:pPr>
          </w:p>
        </w:tc>
      </w:tr>
      <w:tr w:rsidR="000F2A3A" w:rsidRPr="00C71DBC" w14:paraId="57F3CDDC" w14:textId="77777777" w:rsidTr="00260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4" w:type="dxa"/>
            <w:gridSpan w:val="4"/>
            <w:tcBorders>
              <w:top w:val="single" w:sz="4" w:space="0" w:color="auto"/>
              <w:left w:val="single" w:sz="4" w:space="0" w:color="auto"/>
              <w:bottom w:val="single" w:sz="4" w:space="0" w:color="auto"/>
              <w:right w:val="single" w:sz="4" w:space="0" w:color="auto"/>
            </w:tcBorders>
            <w:vAlign w:val="center"/>
          </w:tcPr>
          <w:p w14:paraId="7CBC64B2" w14:textId="77777777" w:rsidR="000F2A3A" w:rsidRPr="00C71DBC" w:rsidRDefault="000F2A3A" w:rsidP="00C13786">
            <w:pPr>
              <w:pStyle w:val="Naslov1"/>
            </w:pPr>
            <w:r w:rsidRPr="00C71DBC">
              <w:t>SKUPAJ</w:t>
            </w:r>
          </w:p>
        </w:tc>
        <w:tc>
          <w:tcPr>
            <w:tcW w:w="2170" w:type="dxa"/>
            <w:gridSpan w:val="4"/>
            <w:tcBorders>
              <w:top w:val="single" w:sz="4" w:space="0" w:color="auto"/>
              <w:left w:val="single" w:sz="4" w:space="0" w:color="auto"/>
              <w:bottom w:val="single" w:sz="4" w:space="0" w:color="auto"/>
              <w:right w:val="single" w:sz="4" w:space="0" w:color="auto"/>
            </w:tcBorders>
            <w:vAlign w:val="center"/>
          </w:tcPr>
          <w:p w14:paraId="626FFD91" w14:textId="77777777" w:rsidR="000F2A3A" w:rsidRPr="00C71DBC" w:rsidRDefault="000F2A3A" w:rsidP="00C13786">
            <w:pPr>
              <w:pStyle w:val="Naslov1"/>
            </w:pPr>
          </w:p>
        </w:tc>
        <w:tc>
          <w:tcPr>
            <w:tcW w:w="2736" w:type="dxa"/>
            <w:gridSpan w:val="4"/>
            <w:tcBorders>
              <w:top w:val="single" w:sz="4" w:space="0" w:color="auto"/>
              <w:left w:val="single" w:sz="4" w:space="0" w:color="auto"/>
              <w:bottom w:val="single" w:sz="4" w:space="0" w:color="auto"/>
              <w:right w:val="single" w:sz="4" w:space="0" w:color="auto"/>
            </w:tcBorders>
            <w:vAlign w:val="center"/>
          </w:tcPr>
          <w:p w14:paraId="7D5F9C15" w14:textId="77777777" w:rsidR="000F2A3A" w:rsidRPr="00C71DBC" w:rsidRDefault="000F2A3A" w:rsidP="00C13786">
            <w:pPr>
              <w:pStyle w:val="Naslov1"/>
            </w:pPr>
          </w:p>
        </w:tc>
      </w:tr>
      <w:tr w:rsidR="000F2A3A" w:rsidRPr="008B02B9" w14:paraId="6219C8C1" w14:textId="77777777" w:rsidTr="00C71DBC">
        <w:trPr>
          <w:trHeight w:val="1124"/>
        </w:trPr>
        <w:tc>
          <w:tcPr>
            <w:tcW w:w="9100" w:type="dxa"/>
            <w:gridSpan w:val="12"/>
          </w:tcPr>
          <w:p w14:paraId="488B61A6" w14:textId="77777777" w:rsidR="000F2A3A" w:rsidRPr="00C71DBC" w:rsidRDefault="000F2A3A" w:rsidP="000F2A3A">
            <w:pPr>
              <w:widowControl w:val="0"/>
              <w:rPr>
                <w:rFonts w:cs="Arial"/>
                <w:b/>
                <w:szCs w:val="20"/>
                <w:lang w:val="sl-SI"/>
              </w:rPr>
            </w:pPr>
            <w:r w:rsidRPr="00C71DBC">
              <w:rPr>
                <w:rFonts w:cs="Arial"/>
                <w:b/>
                <w:szCs w:val="20"/>
                <w:lang w:val="sl-SI"/>
              </w:rPr>
              <w:t>OBRAZLOŽITEV:</w:t>
            </w:r>
          </w:p>
          <w:p w14:paraId="262DF5CC" w14:textId="77777777" w:rsidR="000F2A3A" w:rsidRPr="00C71DBC" w:rsidRDefault="000F2A3A" w:rsidP="000F2A3A">
            <w:pPr>
              <w:widowControl w:val="0"/>
              <w:numPr>
                <w:ilvl w:val="0"/>
                <w:numId w:val="8"/>
              </w:numPr>
              <w:suppressAutoHyphens/>
              <w:spacing w:line="260" w:lineRule="exact"/>
              <w:ind w:left="284" w:hanging="284"/>
              <w:jc w:val="both"/>
              <w:rPr>
                <w:rFonts w:cs="Arial"/>
                <w:b/>
                <w:szCs w:val="20"/>
                <w:lang w:val="sl-SI" w:eastAsia="sl-SI"/>
              </w:rPr>
            </w:pPr>
            <w:r w:rsidRPr="00C71DBC">
              <w:rPr>
                <w:rFonts w:cs="Arial"/>
                <w:b/>
                <w:szCs w:val="20"/>
                <w:lang w:val="sl-SI" w:eastAsia="sl-SI"/>
              </w:rPr>
              <w:t>Ocena finančnih posledic, ki niso načrtovane v sprejetem proračunu</w:t>
            </w:r>
          </w:p>
          <w:p w14:paraId="4C3B5A71" w14:textId="77777777" w:rsidR="000F2A3A" w:rsidRPr="00C71DBC" w:rsidRDefault="000F2A3A" w:rsidP="000F2A3A">
            <w:pPr>
              <w:widowControl w:val="0"/>
              <w:ind w:left="360" w:hanging="76"/>
              <w:jc w:val="both"/>
              <w:rPr>
                <w:rFonts w:cs="Arial"/>
                <w:szCs w:val="20"/>
                <w:lang w:val="sl-SI" w:eastAsia="sl-SI"/>
              </w:rPr>
            </w:pPr>
            <w:r w:rsidRPr="00C71DBC">
              <w:rPr>
                <w:rFonts w:cs="Arial"/>
                <w:szCs w:val="20"/>
                <w:lang w:val="sl-SI" w:eastAsia="sl-SI"/>
              </w:rPr>
              <w:t>V zvezi s predlaganim vladnim gradivom se navedejo predvidene spremembe (povečanje, zmanjšanje):</w:t>
            </w:r>
          </w:p>
          <w:p w14:paraId="1C0977E5" w14:textId="77777777" w:rsidR="000F2A3A" w:rsidRPr="00C71DBC" w:rsidRDefault="000F2A3A" w:rsidP="000F2A3A">
            <w:pPr>
              <w:widowControl w:val="0"/>
              <w:numPr>
                <w:ilvl w:val="0"/>
                <w:numId w:val="9"/>
              </w:numPr>
              <w:suppressAutoHyphens/>
              <w:spacing w:line="260" w:lineRule="exact"/>
              <w:jc w:val="both"/>
              <w:rPr>
                <w:rFonts w:cs="Arial"/>
                <w:szCs w:val="20"/>
                <w:lang w:val="sl-SI"/>
              </w:rPr>
            </w:pPr>
            <w:r w:rsidRPr="00C71DBC">
              <w:rPr>
                <w:rFonts w:cs="Arial"/>
                <w:szCs w:val="20"/>
                <w:lang w:val="sl-SI" w:eastAsia="sl-SI"/>
              </w:rPr>
              <w:t>prihodkov državnega proračuna in občinskih proračunov,</w:t>
            </w:r>
          </w:p>
          <w:p w14:paraId="324953AD" w14:textId="77777777" w:rsidR="000F2A3A" w:rsidRPr="00C71DBC" w:rsidRDefault="000F2A3A" w:rsidP="000F2A3A">
            <w:pPr>
              <w:widowControl w:val="0"/>
              <w:numPr>
                <w:ilvl w:val="0"/>
                <w:numId w:val="9"/>
              </w:numPr>
              <w:suppressAutoHyphens/>
              <w:spacing w:line="260" w:lineRule="exact"/>
              <w:jc w:val="both"/>
              <w:rPr>
                <w:rFonts w:cs="Arial"/>
                <w:szCs w:val="20"/>
                <w:lang w:val="sl-SI"/>
              </w:rPr>
            </w:pPr>
            <w:r w:rsidRPr="00C71DBC">
              <w:rPr>
                <w:rFonts w:cs="Arial"/>
                <w:szCs w:val="20"/>
                <w:lang w:val="sl-SI" w:eastAsia="sl-SI"/>
              </w:rPr>
              <w:t>odhodkov državnega proračuna, ki niso načrtovani na ukrepih oziroma projektih sprejetih proračunov,</w:t>
            </w:r>
          </w:p>
          <w:p w14:paraId="421BD243" w14:textId="77777777" w:rsidR="000F2A3A" w:rsidRPr="00C71DBC" w:rsidRDefault="000F2A3A" w:rsidP="000F2A3A">
            <w:pPr>
              <w:widowControl w:val="0"/>
              <w:numPr>
                <w:ilvl w:val="0"/>
                <w:numId w:val="9"/>
              </w:numPr>
              <w:suppressAutoHyphens/>
              <w:spacing w:line="260" w:lineRule="exact"/>
              <w:jc w:val="both"/>
              <w:rPr>
                <w:rFonts w:cs="Arial"/>
                <w:szCs w:val="20"/>
                <w:lang w:val="sl-SI"/>
              </w:rPr>
            </w:pPr>
            <w:r w:rsidRPr="00C71DBC">
              <w:rPr>
                <w:rFonts w:cs="Arial"/>
                <w:szCs w:val="20"/>
                <w:lang w:val="sl-SI" w:eastAsia="sl-SI"/>
              </w:rPr>
              <w:t>obveznosti za druga javnofinančna sredstva (drugi viri), ki niso načrtovana na ukrepih oziroma projektih sprejetih proračunov.</w:t>
            </w:r>
          </w:p>
          <w:p w14:paraId="405E39F1" w14:textId="77777777" w:rsidR="000F2A3A" w:rsidRPr="00C71DBC" w:rsidRDefault="000F2A3A" w:rsidP="000F2A3A">
            <w:pPr>
              <w:widowControl w:val="0"/>
              <w:ind w:left="284"/>
              <w:rPr>
                <w:rFonts w:cs="Arial"/>
                <w:szCs w:val="20"/>
                <w:lang w:val="sl-SI" w:eastAsia="sl-SI"/>
              </w:rPr>
            </w:pPr>
          </w:p>
          <w:p w14:paraId="79E1B813" w14:textId="77777777" w:rsidR="000F2A3A" w:rsidRPr="00C71DBC" w:rsidRDefault="000F2A3A" w:rsidP="000F2A3A">
            <w:pPr>
              <w:widowControl w:val="0"/>
              <w:numPr>
                <w:ilvl w:val="0"/>
                <w:numId w:val="8"/>
              </w:numPr>
              <w:suppressAutoHyphens/>
              <w:spacing w:line="260" w:lineRule="exact"/>
              <w:ind w:left="284" w:hanging="284"/>
              <w:jc w:val="both"/>
              <w:rPr>
                <w:rFonts w:cs="Arial"/>
                <w:b/>
                <w:szCs w:val="20"/>
                <w:lang w:val="sl-SI" w:eastAsia="sl-SI"/>
              </w:rPr>
            </w:pPr>
            <w:r w:rsidRPr="00C71DBC">
              <w:rPr>
                <w:rFonts w:cs="Arial"/>
                <w:b/>
                <w:szCs w:val="20"/>
                <w:lang w:val="sl-SI" w:eastAsia="sl-SI"/>
              </w:rPr>
              <w:t>Finančne posledice za državni proračun</w:t>
            </w:r>
          </w:p>
          <w:p w14:paraId="635FB5D3" w14:textId="77777777" w:rsidR="000F2A3A" w:rsidRPr="00C71DBC" w:rsidRDefault="000F2A3A" w:rsidP="000F2A3A">
            <w:pPr>
              <w:widowControl w:val="0"/>
              <w:ind w:left="284"/>
              <w:jc w:val="both"/>
              <w:rPr>
                <w:rFonts w:cs="Arial"/>
                <w:szCs w:val="20"/>
                <w:lang w:val="sl-SI" w:eastAsia="sl-SI"/>
              </w:rPr>
            </w:pPr>
            <w:r w:rsidRPr="00C71DBC">
              <w:rPr>
                <w:rFonts w:cs="Arial"/>
                <w:szCs w:val="20"/>
                <w:lang w:val="sl-SI" w:eastAsia="sl-SI"/>
              </w:rPr>
              <w:t>Prikazane morajo biti finančne posledice za državni proračun, ki so na proračunskih postavkah načrtovane v dinamiki projektov oziroma ukrepov:</w:t>
            </w:r>
          </w:p>
          <w:p w14:paraId="69CF427B" w14:textId="6A380889" w:rsidR="000F2A3A" w:rsidRPr="00C71DBC" w:rsidRDefault="000F2A3A" w:rsidP="00FC6FB0">
            <w:pPr>
              <w:widowControl w:val="0"/>
              <w:suppressAutoHyphens/>
              <w:jc w:val="both"/>
              <w:rPr>
                <w:rFonts w:cs="Arial"/>
                <w:b/>
                <w:szCs w:val="20"/>
                <w:lang w:val="sl-SI" w:eastAsia="sl-SI"/>
              </w:rPr>
            </w:pPr>
            <w:r w:rsidRPr="00C71DBC">
              <w:rPr>
                <w:rFonts w:cs="Arial"/>
                <w:b/>
                <w:szCs w:val="20"/>
                <w:lang w:val="sl-SI" w:eastAsia="sl-SI"/>
              </w:rPr>
              <w:t>II.</w:t>
            </w:r>
            <w:r w:rsidR="000E4374">
              <w:rPr>
                <w:rFonts w:cs="Arial"/>
                <w:b/>
                <w:szCs w:val="20"/>
                <w:lang w:val="sl-SI" w:eastAsia="sl-SI"/>
              </w:rPr>
              <w:t xml:space="preserve"> </w:t>
            </w:r>
            <w:r w:rsidRPr="00C71DBC">
              <w:rPr>
                <w:rFonts w:cs="Arial"/>
                <w:b/>
                <w:szCs w:val="20"/>
                <w:lang w:val="sl-SI" w:eastAsia="sl-SI"/>
              </w:rPr>
              <w:t>a Pravice porabe za izvedbo predlaganih rešitev so zagotovljene:</w:t>
            </w:r>
          </w:p>
          <w:p w14:paraId="4F3658ED" w14:textId="0C887688" w:rsidR="000F2A3A" w:rsidRPr="00C71DBC" w:rsidRDefault="000F2A3A" w:rsidP="000F2A3A">
            <w:pPr>
              <w:widowControl w:val="0"/>
              <w:ind w:left="284"/>
              <w:jc w:val="both"/>
              <w:rPr>
                <w:rFonts w:cs="Arial"/>
                <w:szCs w:val="20"/>
                <w:lang w:val="sl-SI" w:eastAsia="sl-SI"/>
              </w:rPr>
            </w:pPr>
            <w:r w:rsidRPr="00C71DBC">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w:t>
            </w:r>
            <w:r w:rsidR="000E4374">
              <w:rPr>
                <w:rFonts w:cs="Arial"/>
                <w:szCs w:val="20"/>
                <w:lang w:val="sl-SI" w:eastAsia="sl-SI"/>
              </w:rPr>
              <w:t xml:space="preserve"> </w:t>
            </w:r>
            <w:r w:rsidRPr="00C71DBC">
              <w:rPr>
                <w:rFonts w:cs="Arial"/>
                <w:szCs w:val="20"/>
                <w:lang w:val="sl-SI" w:eastAsia="sl-SI"/>
              </w:rPr>
              <w:t>b). Pri uvrstitvi novega projekta oziroma ukrepa v načrt razvojnih programov se navedejo:</w:t>
            </w:r>
          </w:p>
          <w:p w14:paraId="72FE59AE" w14:textId="77777777" w:rsidR="000F2A3A" w:rsidRPr="00C71DBC" w:rsidRDefault="000F2A3A" w:rsidP="000F2A3A">
            <w:pPr>
              <w:widowControl w:val="0"/>
              <w:numPr>
                <w:ilvl w:val="0"/>
                <w:numId w:val="10"/>
              </w:numPr>
              <w:suppressAutoHyphens/>
              <w:spacing w:line="260" w:lineRule="exact"/>
              <w:jc w:val="both"/>
              <w:rPr>
                <w:rFonts w:cs="Arial"/>
                <w:szCs w:val="20"/>
                <w:lang w:val="sl-SI" w:eastAsia="sl-SI"/>
              </w:rPr>
            </w:pPr>
            <w:r w:rsidRPr="00C71DBC">
              <w:rPr>
                <w:rFonts w:cs="Arial"/>
                <w:szCs w:val="20"/>
                <w:lang w:val="sl-SI" w:eastAsia="sl-SI"/>
              </w:rPr>
              <w:t>proračunski uporabnik, ki bo financiral novi projekt oziroma ukrep,</w:t>
            </w:r>
          </w:p>
          <w:p w14:paraId="22C36365" w14:textId="77777777" w:rsidR="000F2A3A" w:rsidRPr="00C71DBC" w:rsidRDefault="000F2A3A" w:rsidP="000F2A3A">
            <w:pPr>
              <w:widowControl w:val="0"/>
              <w:numPr>
                <w:ilvl w:val="0"/>
                <w:numId w:val="10"/>
              </w:numPr>
              <w:suppressAutoHyphens/>
              <w:spacing w:line="260" w:lineRule="exact"/>
              <w:jc w:val="both"/>
              <w:rPr>
                <w:rFonts w:cs="Arial"/>
                <w:szCs w:val="20"/>
                <w:lang w:val="sl-SI" w:eastAsia="sl-SI"/>
              </w:rPr>
            </w:pPr>
            <w:r w:rsidRPr="00C71DBC">
              <w:rPr>
                <w:rFonts w:cs="Arial"/>
                <w:szCs w:val="20"/>
                <w:lang w:val="sl-SI" w:eastAsia="sl-SI"/>
              </w:rPr>
              <w:t xml:space="preserve">projekt oziroma ukrep, s katerim se bodo dosegli cilji vladnega gradiva, in </w:t>
            </w:r>
          </w:p>
          <w:p w14:paraId="3CC8E4D8" w14:textId="77777777" w:rsidR="000F2A3A" w:rsidRPr="00C71DBC" w:rsidRDefault="000F2A3A" w:rsidP="000F2A3A">
            <w:pPr>
              <w:widowControl w:val="0"/>
              <w:numPr>
                <w:ilvl w:val="0"/>
                <w:numId w:val="10"/>
              </w:numPr>
              <w:suppressAutoHyphens/>
              <w:spacing w:line="260" w:lineRule="exact"/>
              <w:jc w:val="both"/>
              <w:rPr>
                <w:rFonts w:cs="Arial"/>
                <w:szCs w:val="20"/>
                <w:lang w:val="sl-SI" w:eastAsia="sl-SI"/>
              </w:rPr>
            </w:pPr>
            <w:r w:rsidRPr="00C71DBC">
              <w:rPr>
                <w:rFonts w:cs="Arial"/>
                <w:szCs w:val="20"/>
                <w:lang w:val="sl-SI" w:eastAsia="sl-SI"/>
              </w:rPr>
              <w:t>proračunske postavke.</w:t>
            </w:r>
          </w:p>
          <w:p w14:paraId="0200136E" w14:textId="77777777" w:rsidR="000F2A3A" w:rsidRPr="00C71DBC" w:rsidRDefault="000F2A3A" w:rsidP="000F2A3A">
            <w:pPr>
              <w:widowControl w:val="0"/>
              <w:ind w:left="284"/>
              <w:jc w:val="both"/>
              <w:rPr>
                <w:rFonts w:cs="Arial"/>
                <w:szCs w:val="20"/>
                <w:lang w:val="sl-SI" w:eastAsia="sl-SI"/>
              </w:rPr>
            </w:pPr>
            <w:r w:rsidRPr="00C71DBC">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7F61815" w14:textId="77777777" w:rsidR="000F2A3A" w:rsidRPr="00C71DBC" w:rsidRDefault="000F2A3A" w:rsidP="000F2A3A">
            <w:pPr>
              <w:widowControl w:val="0"/>
              <w:suppressAutoHyphens/>
              <w:jc w:val="both"/>
              <w:rPr>
                <w:rFonts w:cs="Arial"/>
                <w:b/>
                <w:szCs w:val="20"/>
                <w:lang w:val="sl-SI" w:eastAsia="sl-SI"/>
              </w:rPr>
            </w:pPr>
            <w:r w:rsidRPr="00C71DBC">
              <w:rPr>
                <w:rFonts w:cs="Arial"/>
                <w:b/>
                <w:szCs w:val="20"/>
                <w:lang w:val="sl-SI" w:eastAsia="sl-SI"/>
              </w:rPr>
              <w:t>II.b Manjkajoče pravice porabe bodo zagotovljene s prerazporeditvijo:</w:t>
            </w:r>
          </w:p>
          <w:p w14:paraId="1706D585" w14:textId="77777777" w:rsidR="000F2A3A" w:rsidRPr="00C71DBC" w:rsidRDefault="000F2A3A" w:rsidP="000F2A3A">
            <w:pPr>
              <w:widowControl w:val="0"/>
              <w:ind w:left="284"/>
              <w:jc w:val="both"/>
              <w:rPr>
                <w:rFonts w:cs="Arial"/>
                <w:szCs w:val="20"/>
                <w:lang w:val="sl-SI" w:eastAsia="sl-SI"/>
              </w:rPr>
            </w:pPr>
            <w:r w:rsidRPr="00C71DBC">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C3A0B68" w14:textId="77777777" w:rsidR="000F2A3A" w:rsidRPr="00C71DBC" w:rsidRDefault="000F2A3A" w:rsidP="00FC6FB0">
            <w:pPr>
              <w:widowControl w:val="0"/>
              <w:suppressAutoHyphens/>
              <w:jc w:val="both"/>
              <w:rPr>
                <w:rFonts w:cs="Arial"/>
                <w:b/>
                <w:szCs w:val="20"/>
                <w:lang w:val="sl-SI" w:eastAsia="sl-SI"/>
              </w:rPr>
            </w:pPr>
            <w:r w:rsidRPr="00C71DBC">
              <w:rPr>
                <w:rFonts w:cs="Arial"/>
                <w:b/>
                <w:szCs w:val="20"/>
                <w:lang w:val="sl-SI" w:eastAsia="sl-SI"/>
              </w:rPr>
              <w:t>II.c Načrtovana nadomestitev zmanjšanih prihodkov in povečanih odhodkov proračuna:</w:t>
            </w:r>
          </w:p>
          <w:p w14:paraId="49872EC3" w14:textId="56E2D3A9" w:rsidR="000F2A3A" w:rsidRPr="00C71DBC" w:rsidRDefault="000F2A3A" w:rsidP="00DE74F0">
            <w:pPr>
              <w:widowControl w:val="0"/>
              <w:ind w:left="284"/>
              <w:jc w:val="both"/>
              <w:rPr>
                <w:rFonts w:cs="Arial"/>
                <w:szCs w:val="20"/>
                <w:lang w:val="sl-SI" w:eastAsia="sl-SI"/>
              </w:rPr>
            </w:pPr>
            <w:r w:rsidRPr="00C71DBC">
              <w:rPr>
                <w:rFonts w:cs="Arial"/>
                <w:szCs w:val="20"/>
                <w:lang w:val="sl-SI" w:eastAsia="sl-SI"/>
              </w:rPr>
              <w:t xml:space="preserve">Če se povečani odhodki (pravice porabe) ne bodo zagotovili tako, kot je določeno v točkah II.a in II.b, je povečanje odhodkov in izdatkov proračuna mogoče na podlagi zakona, ki ureja izvrševanje </w:t>
            </w:r>
            <w:r w:rsidRPr="00C71DBC">
              <w:rPr>
                <w:rFonts w:cs="Arial"/>
                <w:szCs w:val="20"/>
                <w:lang w:val="sl-SI" w:eastAsia="sl-SI"/>
              </w:rPr>
              <w:lastRenderedPageBreak/>
              <w:t>državnega proračuna (npr. priliv namenskih sredstev EU). Ukrepanje ob zmanjšanju prihodkov in prejemkov proračuna je določeno z zakonom, ki ureja javne finance, in zakonom, ki ureja izvrševanje državnega proračuna.</w:t>
            </w:r>
          </w:p>
        </w:tc>
      </w:tr>
      <w:tr w:rsidR="000F2A3A" w:rsidRPr="00C71DBC" w14:paraId="7B47A8F0" w14:textId="77777777" w:rsidTr="00260BA0">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2376CC2" w14:textId="77777777" w:rsidR="000F2A3A" w:rsidRPr="00C71DBC" w:rsidRDefault="000F2A3A" w:rsidP="000F2A3A">
            <w:pPr>
              <w:rPr>
                <w:rFonts w:cs="Arial"/>
                <w:b/>
                <w:szCs w:val="20"/>
                <w:lang w:val="sl-SI"/>
              </w:rPr>
            </w:pPr>
            <w:r w:rsidRPr="00C71DBC">
              <w:rPr>
                <w:rFonts w:cs="Arial"/>
                <w:b/>
                <w:szCs w:val="20"/>
                <w:lang w:val="sl-SI"/>
              </w:rPr>
              <w:lastRenderedPageBreak/>
              <w:t>7.b Predstavitev ocene finančnih posledic pod 40.000 EUR:</w:t>
            </w:r>
          </w:p>
          <w:p w14:paraId="7353FD61" w14:textId="77777777" w:rsidR="000F2A3A" w:rsidRPr="00C71DBC" w:rsidRDefault="000F2A3A" w:rsidP="000F2A3A">
            <w:pPr>
              <w:rPr>
                <w:rFonts w:cs="Arial"/>
                <w:szCs w:val="20"/>
                <w:lang w:val="sl-SI"/>
              </w:rPr>
            </w:pPr>
            <w:r w:rsidRPr="00C71DBC">
              <w:rPr>
                <w:rFonts w:cs="Arial"/>
                <w:szCs w:val="20"/>
                <w:lang w:val="sl-SI"/>
              </w:rPr>
              <w:t>(Samo če izberete NE pod točko 6.a.)</w:t>
            </w:r>
          </w:p>
          <w:p w14:paraId="5A7FFE32" w14:textId="607DD860" w:rsidR="000F2A3A" w:rsidRPr="00FC6FB0" w:rsidRDefault="000F2A3A" w:rsidP="000F2A3A">
            <w:pPr>
              <w:rPr>
                <w:rFonts w:cs="Arial"/>
                <w:bCs/>
                <w:szCs w:val="20"/>
                <w:lang w:val="sl-SI"/>
              </w:rPr>
            </w:pPr>
            <w:r w:rsidRPr="00FC6FB0">
              <w:rPr>
                <w:rFonts w:cs="Arial"/>
                <w:bCs/>
                <w:szCs w:val="20"/>
                <w:lang w:val="sl-SI"/>
              </w:rPr>
              <w:t>Kratka obrazložite</w:t>
            </w:r>
            <w:r w:rsidR="00DE74F0" w:rsidRPr="00FC6FB0">
              <w:rPr>
                <w:rFonts w:cs="Arial"/>
                <w:bCs/>
                <w:szCs w:val="20"/>
                <w:lang w:val="sl-SI"/>
              </w:rPr>
              <w:t>v</w:t>
            </w:r>
          </w:p>
        </w:tc>
      </w:tr>
      <w:tr w:rsidR="000F2A3A" w:rsidRPr="00C71DBC" w14:paraId="4C9DBCB2" w14:textId="77777777" w:rsidTr="00260BA0">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7290B28" w14:textId="77777777" w:rsidR="000F2A3A" w:rsidRPr="00C71DBC" w:rsidRDefault="000F2A3A" w:rsidP="000F2A3A">
            <w:pPr>
              <w:rPr>
                <w:rFonts w:cs="Arial"/>
                <w:b/>
                <w:szCs w:val="20"/>
                <w:lang w:val="sl-SI"/>
              </w:rPr>
            </w:pPr>
            <w:r w:rsidRPr="00C71DBC">
              <w:rPr>
                <w:rFonts w:cs="Arial"/>
                <w:b/>
                <w:szCs w:val="20"/>
                <w:lang w:val="sl-SI"/>
              </w:rPr>
              <w:t>8. Predstavitev sodelovanja z združenji občin:</w:t>
            </w:r>
          </w:p>
        </w:tc>
      </w:tr>
      <w:tr w:rsidR="000F2A3A" w:rsidRPr="00C71DBC" w14:paraId="5D127050" w14:textId="77777777" w:rsidTr="00260BA0">
        <w:tc>
          <w:tcPr>
            <w:tcW w:w="6741" w:type="dxa"/>
            <w:gridSpan w:val="9"/>
          </w:tcPr>
          <w:p w14:paraId="5A5CD739" w14:textId="77777777" w:rsidR="000F2A3A" w:rsidRPr="00C71DBC" w:rsidRDefault="000F2A3A" w:rsidP="000F2A3A">
            <w:pPr>
              <w:pStyle w:val="Neotevilenodstavek"/>
              <w:widowControl w:val="0"/>
              <w:spacing w:before="0" w:after="0" w:line="260" w:lineRule="exact"/>
              <w:rPr>
                <w:iCs/>
                <w:sz w:val="20"/>
                <w:szCs w:val="20"/>
              </w:rPr>
            </w:pPr>
            <w:r w:rsidRPr="00C71DBC">
              <w:rPr>
                <w:iCs/>
                <w:sz w:val="20"/>
                <w:szCs w:val="20"/>
              </w:rPr>
              <w:t>Vsebina predloženega gradiva (predpisa) vpliva na:</w:t>
            </w:r>
          </w:p>
          <w:p w14:paraId="36B98863" w14:textId="77777777" w:rsidR="000F2A3A" w:rsidRPr="00C71DBC" w:rsidRDefault="000F2A3A" w:rsidP="000F2A3A">
            <w:pPr>
              <w:pStyle w:val="Neotevilenodstavek"/>
              <w:widowControl w:val="0"/>
              <w:numPr>
                <w:ilvl w:val="1"/>
                <w:numId w:val="9"/>
              </w:numPr>
              <w:spacing w:before="0" w:after="0" w:line="260" w:lineRule="exact"/>
              <w:rPr>
                <w:iCs/>
                <w:sz w:val="20"/>
                <w:szCs w:val="20"/>
              </w:rPr>
            </w:pPr>
            <w:r w:rsidRPr="00C71DBC">
              <w:rPr>
                <w:iCs/>
                <w:sz w:val="20"/>
                <w:szCs w:val="20"/>
              </w:rPr>
              <w:t>pristojnosti občin,</w:t>
            </w:r>
          </w:p>
          <w:p w14:paraId="06B22046" w14:textId="77777777" w:rsidR="000F2A3A" w:rsidRPr="00C71DBC" w:rsidRDefault="000F2A3A" w:rsidP="000F2A3A">
            <w:pPr>
              <w:pStyle w:val="Neotevilenodstavek"/>
              <w:widowControl w:val="0"/>
              <w:numPr>
                <w:ilvl w:val="1"/>
                <w:numId w:val="9"/>
              </w:numPr>
              <w:spacing w:before="0" w:after="0" w:line="260" w:lineRule="exact"/>
              <w:rPr>
                <w:iCs/>
                <w:sz w:val="20"/>
                <w:szCs w:val="20"/>
              </w:rPr>
            </w:pPr>
            <w:r w:rsidRPr="00C71DBC">
              <w:rPr>
                <w:iCs/>
                <w:sz w:val="20"/>
                <w:szCs w:val="20"/>
              </w:rPr>
              <w:t>delovanje občin,</w:t>
            </w:r>
          </w:p>
          <w:p w14:paraId="09031144" w14:textId="0166CA67" w:rsidR="000F2A3A" w:rsidRPr="00C71DBC" w:rsidRDefault="000F2A3A" w:rsidP="00DE74F0">
            <w:pPr>
              <w:pStyle w:val="Neotevilenodstavek"/>
              <w:widowControl w:val="0"/>
              <w:numPr>
                <w:ilvl w:val="1"/>
                <w:numId w:val="9"/>
              </w:numPr>
              <w:spacing w:before="0" w:after="0" w:line="260" w:lineRule="exact"/>
              <w:rPr>
                <w:iCs/>
                <w:sz w:val="20"/>
                <w:szCs w:val="20"/>
              </w:rPr>
            </w:pPr>
            <w:r w:rsidRPr="00C71DBC">
              <w:rPr>
                <w:iCs/>
                <w:sz w:val="20"/>
                <w:szCs w:val="20"/>
              </w:rPr>
              <w:t>financiranje občin</w:t>
            </w:r>
          </w:p>
        </w:tc>
        <w:tc>
          <w:tcPr>
            <w:tcW w:w="2359" w:type="dxa"/>
            <w:gridSpan w:val="3"/>
          </w:tcPr>
          <w:p w14:paraId="55BA09AF" w14:textId="77777777" w:rsidR="000F2A3A" w:rsidRPr="00C71DBC" w:rsidRDefault="000F2A3A" w:rsidP="000F2A3A">
            <w:pPr>
              <w:pStyle w:val="Neotevilenodstavek"/>
              <w:widowControl w:val="0"/>
              <w:spacing w:before="0" w:after="0" w:line="260" w:lineRule="exact"/>
              <w:jc w:val="center"/>
              <w:rPr>
                <w:sz w:val="20"/>
                <w:szCs w:val="20"/>
              </w:rPr>
            </w:pPr>
            <w:r w:rsidRPr="00C71DBC">
              <w:rPr>
                <w:sz w:val="20"/>
                <w:szCs w:val="20"/>
              </w:rPr>
              <w:t>NE</w:t>
            </w:r>
          </w:p>
        </w:tc>
      </w:tr>
      <w:tr w:rsidR="000F2A3A" w:rsidRPr="008B02B9" w14:paraId="010FAD64" w14:textId="77777777" w:rsidTr="00260BA0">
        <w:trPr>
          <w:trHeight w:val="274"/>
        </w:trPr>
        <w:tc>
          <w:tcPr>
            <w:tcW w:w="9100" w:type="dxa"/>
            <w:gridSpan w:val="12"/>
          </w:tcPr>
          <w:p w14:paraId="276BA2ED" w14:textId="77777777" w:rsidR="000F2A3A" w:rsidRPr="00C71DBC" w:rsidRDefault="000F2A3A" w:rsidP="000F2A3A">
            <w:pPr>
              <w:pStyle w:val="Neotevilenodstavek"/>
              <w:widowControl w:val="0"/>
              <w:spacing w:before="0" w:after="0" w:line="260" w:lineRule="exact"/>
              <w:rPr>
                <w:iCs/>
                <w:sz w:val="20"/>
                <w:szCs w:val="20"/>
              </w:rPr>
            </w:pPr>
            <w:r w:rsidRPr="00C71DBC">
              <w:rPr>
                <w:iCs/>
                <w:sz w:val="20"/>
                <w:szCs w:val="20"/>
              </w:rPr>
              <w:t xml:space="preserve">Gradivo (predpis) je bilo poslano v mnenje: </w:t>
            </w:r>
          </w:p>
          <w:p w14:paraId="67562D38" w14:textId="77777777" w:rsidR="000F2A3A" w:rsidRPr="00C71DBC" w:rsidRDefault="000F2A3A" w:rsidP="000F2A3A">
            <w:pPr>
              <w:pStyle w:val="Neotevilenodstavek"/>
              <w:widowControl w:val="0"/>
              <w:numPr>
                <w:ilvl w:val="0"/>
                <w:numId w:val="11"/>
              </w:numPr>
              <w:spacing w:before="0" w:after="0" w:line="260" w:lineRule="exact"/>
              <w:rPr>
                <w:iCs/>
                <w:sz w:val="20"/>
                <w:szCs w:val="20"/>
              </w:rPr>
            </w:pPr>
            <w:r w:rsidRPr="00C71DBC">
              <w:rPr>
                <w:iCs/>
                <w:sz w:val="20"/>
                <w:szCs w:val="20"/>
              </w:rPr>
              <w:t>Skupnosti občin Slovenije SOS: DA/NE</w:t>
            </w:r>
          </w:p>
          <w:p w14:paraId="7011B65A" w14:textId="77777777" w:rsidR="000F2A3A" w:rsidRPr="00C71DBC" w:rsidRDefault="000F2A3A" w:rsidP="000F2A3A">
            <w:pPr>
              <w:pStyle w:val="Neotevilenodstavek"/>
              <w:widowControl w:val="0"/>
              <w:numPr>
                <w:ilvl w:val="0"/>
                <w:numId w:val="11"/>
              </w:numPr>
              <w:spacing w:before="0" w:after="0" w:line="260" w:lineRule="exact"/>
              <w:rPr>
                <w:iCs/>
                <w:sz w:val="20"/>
                <w:szCs w:val="20"/>
              </w:rPr>
            </w:pPr>
            <w:r w:rsidRPr="00C71DBC">
              <w:rPr>
                <w:iCs/>
                <w:sz w:val="20"/>
                <w:szCs w:val="20"/>
              </w:rPr>
              <w:t>Združenju občin Slovenije ZOS: DA/NE</w:t>
            </w:r>
          </w:p>
          <w:p w14:paraId="728D81F2" w14:textId="77777777" w:rsidR="000F2A3A" w:rsidRPr="00C71DBC" w:rsidRDefault="000F2A3A" w:rsidP="000F2A3A">
            <w:pPr>
              <w:pStyle w:val="Neotevilenodstavek"/>
              <w:widowControl w:val="0"/>
              <w:numPr>
                <w:ilvl w:val="0"/>
                <w:numId w:val="11"/>
              </w:numPr>
              <w:spacing w:before="0" w:after="0" w:line="260" w:lineRule="exact"/>
              <w:rPr>
                <w:iCs/>
                <w:sz w:val="20"/>
                <w:szCs w:val="20"/>
              </w:rPr>
            </w:pPr>
            <w:r w:rsidRPr="00C71DBC">
              <w:rPr>
                <w:iCs/>
                <w:sz w:val="20"/>
                <w:szCs w:val="20"/>
              </w:rPr>
              <w:t>Združenju mestnih občin Slovenije ZMOS: DA/NE</w:t>
            </w:r>
          </w:p>
          <w:p w14:paraId="39BF0671" w14:textId="77777777" w:rsidR="000F2A3A" w:rsidRPr="00C71DBC" w:rsidRDefault="000F2A3A" w:rsidP="000F2A3A">
            <w:pPr>
              <w:pStyle w:val="Neotevilenodstavek"/>
              <w:widowControl w:val="0"/>
              <w:spacing w:before="0" w:after="0" w:line="260" w:lineRule="exact"/>
              <w:rPr>
                <w:iCs/>
                <w:sz w:val="20"/>
                <w:szCs w:val="20"/>
              </w:rPr>
            </w:pPr>
          </w:p>
          <w:p w14:paraId="7066FBAF" w14:textId="77777777" w:rsidR="000F2A3A" w:rsidRPr="00C71DBC" w:rsidRDefault="000F2A3A" w:rsidP="000F2A3A">
            <w:pPr>
              <w:pStyle w:val="Neotevilenodstavek"/>
              <w:widowControl w:val="0"/>
              <w:spacing w:before="0" w:after="0" w:line="260" w:lineRule="exact"/>
              <w:rPr>
                <w:iCs/>
                <w:sz w:val="20"/>
                <w:szCs w:val="20"/>
              </w:rPr>
            </w:pPr>
            <w:r w:rsidRPr="00C71DBC">
              <w:rPr>
                <w:iCs/>
                <w:sz w:val="20"/>
                <w:szCs w:val="20"/>
              </w:rPr>
              <w:t>Predlogi in pripombe združenj so bili upoštevani:</w:t>
            </w:r>
          </w:p>
          <w:p w14:paraId="39D25239" w14:textId="77777777" w:rsidR="000F2A3A" w:rsidRPr="00C71DBC" w:rsidRDefault="000F2A3A" w:rsidP="000F2A3A">
            <w:pPr>
              <w:pStyle w:val="Neotevilenodstavek"/>
              <w:widowControl w:val="0"/>
              <w:numPr>
                <w:ilvl w:val="0"/>
                <w:numId w:val="12"/>
              </w:numPr>
              <w:spacing w:before="0" w:after="0" w:line="260" w:lineRule="exact"/>
              <w:rPr>
                <w:iCs/>
                <w:sz w:val="20"/>
                <w:szCs w:val="20"/>
              </w:rPr>
            </w:pPr>
            <w:r w:rsidRPr="00C71DBC">
              <w:rPr>
                <w:iCs/>
                <w:sz w:val="20"/>
                <w:szCs w:val="20"/>
              </w:rPr>
              <w:t>v celoti</w:t>
            </w:r>
          </w:p>
          <w:p w14:paraId="54A9330A" w14:textId="77777777" w:rsidR="000F2A3A" w:rsidRPr="00C71DBC" w:rsidRDefault="000F2A3A" w:rsidP="000F2A3A">
            <w:pPr>
              <w:pStyle w:val="Neotevilenodstavek"/>
              <w:widowControl w:val="0"/>
              <w:numPr>
                <w:ilvl w:val="0"/>
                <w:numId w:val="12"/>
              </w:numPr>
              <w:spacing w:before="0" w:after="0" w:line="260" w:lineRule="exact"/>
              <w:rPr>
                <w:iCs/>
                <w:sz w:val="20"/>
                <w:szCs w:val="20"/>
              </w:rPr>
            </w:pPr>
            <w:r w:rsidRPr="00C71DBC">
              <w:rPr>
                <w:iCs/>
                <w:sz w:val="20"/>
                <w:szCs w:val="20"/>
              </w:rPr>
              <w:t>večinoma,</w:t>
            </w:r>
          </w:p>
          <w:p w14:paraId="7A17FAC5" w14:textId="77777777" w:rsidR="000F2A3A" w:rsidRPr="00C71DBC" w:rsidRDefault="000F2A3A" w:rsidP="000F2A3A">
            <w:pPr>
              <w:pStyle w:val="Neotevilenodstavek"/>
              <w:widowControl w:val="0"/>
              <w:numPr>
                <w:ilvl w:val="0"/>
                <w:numId w:val="12"/>
              </w:numPr>
              <w:spacing w:before="0" w:after="0" w:line="260" w:lineRule="exact"/>
              <w:rPr>
                <w:iCs/>
                <w:sz w:val="20"/>
                <w:szCs w:val="20"/>
              </w:rPr>
            </w:pPr>
            <w:r w:rsidRPr="00C71DBC">
              <w:rPr>
                <w:iCs/>
                <w:sz w:val="20"/>
                <w:szCs w:val="20"/>
              </w:rPr>
              <w:t>delno,</w:t>
            </w:r>
          </w:p>
          <w:p w14:paraId="04FC463D" w14:textId="77777777" w:rsidR="000F2A3A" w:rsidRPr="00C71DBC" w:rsidRDefault="000F2A3A" w:rsidP="000F2A3A">
            <w:pPr>
              <w:pStyle w:val="Neotevilenodstavek"/>
              <w:widowControl w:val="0"/>
              <w:numPr>
                <w:ilvl w:val="0"/>
                <w:numId w:val="12"/>
              </w:numPr>
              <w:spacing w:before="0" w:after="0" w:line="260" w:lineRule="exact"/>
              <w:rPr>
                <w:iCs/>
                <w:sz w:val="20"/>
                <w:szCs w:val="20"/>
              </w:rPr>
            </w:pPr>
            <w:r w:rsidRPr="00C71DBC">
              <w:rPr>
                <w:iCs/>
                <w:sz w:val="20"/>
                <w:szCs w:val="20"/>
              </w:rPr>
              <w:t>niso bili upoštevani.</w:t>
            </w:r>
          </w:p>
          <w:p w14:paraId="5D1F5093" w14:textId="77777777" w:rsidR="000F2A3A" w:rsidRPr="00C71DBC" w:rsidRDefault="000F2A3A" w:rsidP="000F2A3A">
            <w:pPr>
              <w:pStyle w:val="Neotevilenodstavek"/>
              <w:widowControl w:val="0"/>
              <w:spacing w:before="0" w:after="0" w:line="260" w:lineRule="exact"/>
              <w:ind w:left="360"/>
              <w:rPr>
                <w:iCs/>
                <w:sz w:val="20"/>
                <w:szCs w:val="20"/>
              </w:rPr>
            </w:pPr>
          </w:p>
          <w:p w14:paraId="1190F4E5" w14:textId="5A0E8F6C" w:rsidR="000F2A3A" w:rsidRPr="00C71DBC" w:rsidRDefault="000F2A3A" w:rsidP="000F2A3A">
            <w:pPr>
              <w:pStyle w:val="Neotevilenodstavek"/>
              <w:widowControl w:val="0"/>
              <w:spacing w:before="0" w:after="0" w:line="260" w:lineRule="exact"/>
              <w:rPr>
                <w:iCs/>
                <w:sz w:val="20"/>
                <w:szCs w:val="20"/>
              </w:rPr>
            </w:pPr>
            <w:r w:rsidRPr="00C71DBC">
              <w:rPr>
                <w:iCs/>
                <w:sz w:val="20"/>
                <w:szCs w:val="20"/>
              </w:rPr>
              <w:t>Bistveni predlogi in pripombe, ki niso bili upoštevani.</w:t>
            </w:r>
          </w:p>
        </w:tc>
      </w:tr>
      <w:tr w:rsidR="000F2A3A" w:rsidRPr="00C71DBC" w14:paraId="0C8F4941" w14:textId="77777777" w:rsidTr="00260BA0">
        <w:tc>
          <w:tcPr>
            <w:tcW w:w="9100" w:type="dxa"/>
            <w:gridSpan w:val="12"/>
            <w:vAlign w:val="center"/>
          </w:tcPr>
          <w:p w14:paraId="517B91A5" w14:textId="77777777" w:rsidR="000F2A3A" w:rsidRPr="00C71DBC" w:rsidRDefault="000F2A3A" w:rsidP="000F2A3A">
            <w:pPr>
              <w:pStyle w:val="Neotevilenodstavek"/>
              <w:widowControl w:val="0"/>
              <w:spacing w:before="0" w:after="0" w:line="260" w:lineRule="exact"/>
              <w:jc w:val="left"/>
              <w:rPr>
                <w:b/>
                <w:sz w:val="20"/>
                <w:szCs w:val="20"/>
              </w:rPr>
            </w:pPr>
            <w:r w:rsidRPr="00C71DBC">
              <w:rPr>
                <w:b/>
                <w:sz w:val="20"/>
                <w:szCs w:val="20"/>
              </w:rPr>
              <w:t>9. Predstavitev sodelovanja javnosti:</w:t>
            </w:r>
          </w:p>
        </w:tc>
      </w:tr>
      <w:tr w:rsidR="000F2A3A" w:rsidRPr="00C71DBC" w14:paraId="21326FC5" w14:textId="77777777" w:rsidTr="00260BA0">
        <w:tc>
          <w:tcPr>
            <w:tcW w:w="6741" w:type="dxa"/>
            <w:gridSpan w:val="9"/>
          </w:tcPr>
          <w:p w14:paraId="6FF9E72D" w14:textId="77777777" w:rsidR="000F2A3A" w:rsidRPr="00C71DBC" w:rsidRDefault="000F2A3A" w:rsidP="000F2A3A">
            <w:pPr>
              <w:pStyle w:val="Neotevilenodstavek"/>
              <w:widowControl w:val="0"/>
              <w:spacing w:before="0" w:after="0" w:line="260" w:lineRule="exact"/>
              <w:rPr>
                <w:sz w:val="20"/>
                <w:szCs w:val="20"/>
              </w:rPr>
            </w:pPr>
            <w:r w:rsidRPr="00C71DBC">
              <w:rPr>
                <w:iCs/>
                <w:sz w:val="20"/>
                <w:szCs w:val="20"/>
              </w:rPr>
              <w:t>Gradivo je bilo predhodno objavljeno na spletni strani predlagatelja:</w:t>
            </w:r>
          </w:p>
        </w:tc>
        <w:tc>
          <w:tcPr>
            <w:tcW w:w="2359" w:type="dxa"/>
            <w:gridSpan w:val="3"/>
          </w:tcPr>
          <w:p w14:paraId="61269BC3" w14:textId="77777777" w:rsidR="000F2A3A" w:rsidRPr="00C71DBC" w:rsidRDefault="000F2A3A" w:rsidP="000F2A3A">
            <w:pPr>
              <w:pStyle w:val="Neotevilenodstavek"/>
              <w:widowControl w:val="0"/>
              <w:spacing w:before="0" w:after="0" w:line="260" w:lineRule="exact"/>
              <w:jc w:val="center"/>
              <w:rPr>
                <w:iCs/>
                <w:sz w:val="20"/>
                <w:szCs w:val="20"/>
              </w:rPr>
            </w:pPr>
            <w:r w:rsidRPr="00C71DBC">
              <w:rPr>
                <w:sz w:val="20"/>
                <w:szCs w:val="20"/>
              </w:rPr>
              <w:t>NE</w:t>
            </w:r>
          </w:p>
        </w:tc>
      </w:tr>
      <w:tr w:rsidR="000F2A3A" w:rsidRPr="00C71DBC" w14:paraId="5B0877EF" w14:textId="77777777" w:rsidTr="00260BA0">
        <w:tc>
          <w:tcPr>
            <w:tcW w:w="9100" w:type="dxa"/>
            <w:gridSpan w:val="12"/>
          </w:tcPr>
          <w:p w14:paraId="26F68992" w14:textId="77777777" w:rsidR="000F2A3A" w:rsidRPr="00C71DBC" w:rsidRDefault="000F2A3A" w:rsidP="000F2A3A">
            <w:pPr>
              <w:pStyle w:val="Neotevilenodstavek"/>
              <w:widowControl w:val="0"/>
              <w:spacing w:before="0" w:after="0" w:line="260" w:lineRule="exact"/>
              <w:rPr>
                <w:iCs/>
                <w:sz w:val="20"/>
                <w:szCs w:val="20"/>
              </w:rPr>
            </w:pPr>
            <w:r w:rsidRPr="00C71DBC">
              <w:rPr>
                <w:iCs/>
                <w:sz w:val="20"/>
                <w:szCs w:val="20"/>
              </w:rPr>
              <w:t>Glede na vsebino ni potrebno predhodno obveščanje javnosti.</w:t>
            </w:r>
          </w:p>
        </w:tc>
      </w:tr>
      <w:tr w:rsidR="000F2A3A" w:rsidRPr="00C71DBC" w14:paraId="56194D93" w14:textId="77777777" w:rsidTr="00260BA0">
        <w:tc>
          <w:tcPr>
            <w:tcW w:w="6741" w:type="dxa"/>
            <w:gridSpan w:val="9"/>
            <w:vAlign w:val="center"/>
          </w:tcPr>
          <w:p w14:paraId="6EEDFA1E" w14:textId="77777777" w:rsidR="000F2A3A" w:rsidRPr="00C71DBC" w:rsidRDefault="000F2A3A" w:rsidP="000F2A3A">
            <w:pPr>
              <w:pStyle w:val="Neotevilenodstavek"/>
              <w:widowControl w:val="0"/>
              <w:spacing w:before="0" w:after="0" w:line="260" w:lineRule="exact"/>
              <w:jc w:val="left"/>
              <w:rPr>
                <w:sz w:val="20"/>
                <w:szCs w:val="20"/>
              </w:rPr>
            </w:pPr>
            <w:r w:rsidRPr="00C71DBC">
              <w:rPr>
                <w:b/>
                <w:sz w:val="20"/>
                <w:szCs w:val="20"/>
              </w:rPr>
              <w:t>10. Pri pripravi gradiva so bile upoštevane zahteve iz Resolucije o normativni dejavnosti:</w:t>
            </w:r>
          </w:p>
        </w:tc>
        <w:tc>
          <w:tcPr>
            <w:tcW w:w="2359" w:type="dxa"/>
            <w:gridSpan w:val="3"/>
            <w:vAlign w:val="center"/>
          </w:tcPr>
          <w:p w14:paraId="3AA13920" w14:textId="77777777" w:rsidR="000F2A3A" w:rsidRPr="00C71DBC" w:rsidRDefault="000F2A3A" w:rsidP="000F2A3A">
            <w:pPr>
              <w:pStyle w:val="Neotevilenodstavek"/>
              <w:widowControl w:val="0"/>
              <w:spacing w:before="0" w:after="0" w:line="260" w:lineRule="exact"/>
              <w:jc w:val="center"/>
              <w:rPr>
                <w:iCs/>
                <w:sz w:val="20"/>
                <w:szCs w:val="20"/>
              </w:rPr>
            </w:pPr>
            <w:r w:rsidRPr="00C71DBC">
              <w:rPr>
                <w:sz w:val="20"/>
                <w:szCs w:val="20"/>
              </w:rPr>
              <w:t>NE</w:t>
            </w:r>
          </w:p>
        </w:tc>
      </w:tr>
      <w:tr w:rsidR="000F2A3A" w:rsidRPr="00C71DBC" w14:paraId="4028150D" w14:textId="77777777" w:rsidTr="00260BA0">
        <w:tc>
          <w:tcPr>
            <w:tcW w:w="6741" w:type="dxa"/>
            <w:gridSpan w:val="9"/>
            <w:vAlign w:val="center"/>
          </w:tcPr>
          <w:p w14:paraId="23C1EF26" w14:textId="77777777" w:rsidR="000F2A3A" w:rsidRPr="00C71DBC" w:rsidRDefault="000F2A3A" w:rsidP="000F2A3A">
            <w:pPr>
              <w:pStyle w:val="Neotevilenodstavek"/>
              <w:widowControl w:val="0"/>
              <w:spacing w:before="0" w:after="0" w:line="260" w:lineRule="exact"/>
              <w:jc w:val="left"/>
              <w:rPr>
                <w:b/>
                <w:sz w:val="20"/>
                <w:szCs w:val="20"/>
              </w:rPr>
            </w:pPr>
            <w:r w:rsidRPr="00C71DBC">
              <w:rPr>
                <w:b/>
                <w:sz w:val="20"/>
                <w:szCs w:val="20"/>
              </w:rPr>
              <w:t>11. Gradivo je uvrščeno v delovni program vlade</w:t>
            </w:r>
          </w:p>
        </w:tc>
        <w:tc>
          <w:tcPr>
            <w:tcW w:w="2359" w:type="dxa"/>
            <w:gridSpan w:val="3"/>
            <w:vAlign w:val="center"/>
          </w:tcPr>
          <w:p w14:paraId="62004A1D" w14:textId="77777777" w:rsidR="000F2A3A" w:rsidRPr="00C71DBC" w:rsidRDefault="000F2A3A" w:rsidP="000F2A3A">
            <w:pPr>
              <w:pStyle w:val="Neotevilenodstavek"/>
              <w:widowControl w:val="0"/>
              <w:spacing w:before="0" w:after="0" w:line="260" w:lineRule="exact"/>
              <w:jc w:val="center"/>
              <w:rPr>
                <w:sz w:val="20"/>
                <w:szCs w:val="20"/>
              </w:rPr>
            </w:pPr>
            <w:r w:rsidRPr="00C71DBC">
              <w:rPr>
                <w:sz w:val="20"/>
                <w:szCs w:val="20"/>
              </w:rPr>
              <w:t>NE</w:t>
            </w:r>
          </w:p>
        </w:tc>
      </w:tr>
      <w:tr w:rsidR="000F2A3A" w:rsidRPr="00C71DBC" w14:paraId="7645AC09" w14:textId="77777777" w:rsidTr="00260BA0">
        <w:tc>
          <w:tcPr>
            <w:tcW w:w="9100" w:type="dxa"/>
            <w:gridSpan w:val="12"/>
            <w:tcBorders>
              <w:top w:val="single" w:sz="4" w:space="0" w:color="000000"/>
              <w:left w:val="single" w:sz="4" w:space="0" w:color="000000"/>
              <w:bottom w:val="single" w:sz="4" w:space="0" w:color="000000"/>
              <w:right w:val="single" w:sz="4" w:space="0" w:color="000000"/>
            </w:tcBorders>
          </w:tcPr>
          <w:p w14:paraId="5CBC5762" w14:textId="77777777" w:rsidR="000F2A3A" w:rsidRPr="00C71DBC" w:rsidRDefault="000F2A3A" w:rsidP="00DE74F0">
            <w:pPr>
              <w:pStyle w:val="Poglavje"/>
              <w:widowControl w:val="0"/>
              <w:spacing w:before="0" w:after="0" w:line="260" w:lineRule="exact"/>
              <w:jc w:val="left"/>
              <w:rPr>
                <w:sz w:val="20"/>
                <w:szCs w:val="20"/>
              </w:rPr>
            </w:pPr>
          </w:p>
          <w:p w14:paraId="40712544" w14:textId="77777777" w:rsidR="000F2A3A" w:rsidRPr="00C71DBC" w:rsidRDefault="000F2A3A" w:rsidP="000F2A3A">
            <w:pPr>
              <w:pStyle w:val="Poglavje"/>
              <w:widowControl w:val="0"/>
              <w:spacing w:before="0" w:after="0" w:line="260" w:lineRule="exact"/>
              <w:ind w:left="3400"/>
              <w:jc w:val="left"/>
              <w:rPr>
                <w:b w:val="0"/>
                <w:sz w:val="20"/>
                <w:szCs w:val="20"/>
              </w:rPr>
            </w:pPr>
            <w:r w:rsidRPr="00C71DBC">
              <w:rPr>
                <w:b w:val="0"/>
                <w:sz w:val="20"/>
                <w:szCs w:val="20"/>
              </w:rPr>
              <w:t xml:space="preserve">                                                          Jože NOVAK</w:t>
            </w:r>
          </w:p>
          <w:p w14:paraId="4FAF734D" w14:textId="3E9340D9" w:rsidR="000F2A3A" w:rsidRPr="00C71DBC" w:rsidRDefault="000F2A3A" w:rsidP="000F2A3A">
            <w:pPr>
              <w:pStyle w:val="Poglavje"/>
              <w:widowControl w:val="0"/>
              <w:spacing w:before="0" w:after="0" w:line="260" w:lineRule="exact"/>
              <w:ind w:left="3400"/>
              <w:jc w:val="left"/>
              <w:rPr>
                <w:b w:val="0"/>
                <w:sz w:val="20"/>
                <w:szCs w:val="20"/>
              </w:rPr>
            </w:pPr>
            <w:r w:rsidRPr="00C71DBC">
              <w:rPr>
                <w:b w:val="0"/>
                <w:sz w:val="20"/>
                <w:szCs w:val="20"/>
              </w:rPr>
              <w:t xml:space="preserve">                                                             MINISTER</w:t>
            </w:r>
          </w:p>
          <w:p w14:paraId="18E72366" w14:textId="77777777" w:rsidR="000F2A3A" w:rsidRPr="00C71DBC" w:rsidRDefault="000F2A3A" w:rsidP="000F2A3A">
            <w:pPr>
              <w:pStyle w:val="Poglavje"/>
              <w:widowControl w:val="0"/>
              <w:spacing w:before="0" w:after="0" w:line="260" w:lineRule="exact"/>
              <w:ind w:left="3400"/>
              <w:jc w:val="left"/>
              <w:rPr>
                <w:sz w:val="20"/>
                <w:szCs w:val="20"/>
              </w:rPr>
            </w:pPr>
          </w:p>
        </w:tc>
      </w:tr>
      <w:bookmarkEnd w:id="0"/>
    </w:tbl>
    <w:p w14:paraId="69E5C702" w14:textId="77777777" w:rsidR="002236BA" w:rsidRPr="00C71DBC" w:rsidRDefault="002236BA" w:rsidP="002236BA">
      <w:pPr>
        <w:pStyle w:val="Telobesedila2"/>
        <w:ind w:left="4956" w:firstLine="708"/>
        <w:rPr>
          <w:rFonts w:ascii="Arial" w:hAnsi="Arial"/>
          <w:b w:val="0"/>
          <w:sz w:val="20"/>
        </w:rPr>
      </w:pPr>
    </w:p>
    <w:p w14:paraId="19E18B3A" w14:textId="77777777" w:rsidR="009419FC" w:rsidRPr="00C71DBC" w:rsidRDefault="009419FC" w:rsidP="002236BA">
      <w:pPr>
        <w:jc w:val="both"/>
        <w:rPr>
          <w:rFonts w:cs="Arial"/>
          <w:iCs/>
          <w:szCs w:val="20"/>
          <w:lang w:val="sl-SI" w:eastAsia="sl-SI"/>
        </w:rPr>
      </w:pPr>
    </w:p>
    <w:p w14:paraId="291A68B9" w14:textId="7CFD3B86" w:rsidR="002236BA" w:rsidRPr="00C47B70" w:rsidRDefault="002236BA" w:rsidP="002236BA">
      <w:pPr>
        <w:jc w:val="both"/>
        <w:rPr>
          <w:rFonts w:cs="Arial"/>
          <w:iCs/>
          <w:szCs w:val="20"/>
          <w:lang w:val="sl-SI" w:eastAsia="sl-SI"/>
        </w:rPr>
      </w:pPr>
      <w:r w:rsidRPr="00C47B70">
        <w:rPr>
          <w:rFonts w:cs="Arial"/>
          <w:iCs/>
          <w:szCs w:val="20"/>
          <w:lang w:val="sl-SI" w:eastAsia="sl-SI"/>
        </w:rPr>
        <w:t>Priloge 1: Obrazložitev gradiva</w:t>
      </w:r>
    </w:p>
    <w:p w14:paraId="75304B9C" w14:textId="77777777" w:rsidR="002236BA" w:rsidRPr="00C47B70" w:rsidRDefault="002236BA" w:rsidP="002236BA">
      <w:pPr>
        <w:jc w:val="both"/>
        <w:rPr>
          <w:rFonts w:cs="Arial"/>
          <w:iCs/>
          <w:szCs w:val="20"/>
          <w:lang w:val="sl-SI" w:eastAsia="sl-SI"/>
        </w:rPr>
      </w:pPr>
      <w:r w:rsidRPr="00C47B70">
        <w:rPr>
          <w:rFonts w:cs="Arial"/>
          <w:iCs/>
          <w:szCs w:val="20"/>
          <w:lang w:val="sl-SI" w:eastAsia="sl-SI"/>
        </w:rPr>
        <w:t>Priloga 2: Obrazec 3</w:t>
      </w:r>
    </w:p>
    <w:p w14:paraId="02959CDD" w14:textId="3C4B3B86" w:rsidR="00C47B70" w:rsidRDefault="002236BA" w:rsidP="006A675C">
      <w:pPr>
        <w:jc w:val="both"/>
        <w:rPr>
          <w:rFonts w:cs="Arial"/>
          <w:iCs/>
          <w:szCs w:val="20"/>
          <w:lang w:val="sl-SI" w:eastAsia="sl-SI"/>
        </w:rPr>
      </w:pPr>
      <w:r w:rsidRPr="00C47B70">
        <w:rPr>
          <w:rFonts w:cs="Arial"/>
          <w:iCs/>
          <w:szCs w:val="20"/>
          <w:lang w:val="sl-SI" w:eastAsia="sl-SI"/>
        </w:rPr>
        <w:t xml:space="preserve">Priloga 3: Pogodba – </w:t>
      </w:r>
      <w:r w:rsidR="00FB6B36" w:rsidRPr="00FE4E7B">
        <w:rPr>
          <w:rFonts w:cs="Arial"/>
          <w:szCs w:val="20"/>
          <w:shd w:val="clear" w:color="auto" w:fill="FFFFFF"/>
          <w:lang w:val="sl-SI"/>
        </w:rPr>
        <w:t>ENCO</w:t>
      </w:r>
      <w:r w:rsidR="00E7091D">
        <w:rPr>
          <w:rFonts w:cs="Arial"/>
          <w:szCs w:val="20"/>
          <w:shd w:val="clear" w:color="auto" w:fill="FFFFFF"/>
          <w:lang w:val="sl-SI"/>
        </w:rPr>
        <w:t>-</w:t>
      </w:r>
      <w:r w:rsidR="00FB6B36">
        <w:rPr>
          <w:rFonts w:cs="Arial"/>
          <w:szCs w:val="20"/>
          <w:shd w:val="clear" w:color="auto" w:fill="FFFFFF"/>
          <w:lang w:val="sl-SI"/>
        </w:rPr>
        <w:t>TÜRK</w:t>
      </w:r>
      <w:r w:rsidR="00E7091D">
        <w:rPr>
          <w:rFonts w:cs="Arial"/>
          <w:szCs w:val="20"/>
          <w:shd w:val="clear" w:color="auto" w:fill="FFFFFF"/>
          <w:lang w:val="sl-SI"/>
        </w:rPr>
        <w:t>I</w:t>
      </w:r>
      <w:r w:rsidR="00FB6B36">
        <w:rPr>
          <w:rFonts w:cs="Arial"/>
          <w:szCs w:val="20"/>
          <w:shd w:val="clear" w:color="auto" w:fill="FFFFFF"/>
          <w:lang w:val="sl-SI"/>
        </w:rPr>
        <w:t>YE</w:t>
      </w:r>
      <w:r w:rsidR="00FB6B36" w:rsidRPr="00FE4E7B">
        <w:rPr>
          <w:rFonts w:cs="Arial"/>
          <w:szCs w:val="20"/>
          <w:shd w:val="clear" w:color="auto" w:fill="FFFFFF"/>
          <w:lang w:val="sl-SI"/>
        </w:rPr>
        <w:t>-01/23</w:t>
      </w:r>
      <w:r w:rsidR="00EF74EA">
        <w:rPr>
          <w:rFonts w:cs="Arial"/>
          <w:szCs w:val="20"/>
          <w:shd w:val="clear" w:color="auto" w:fill="FFFFFF"/>
          <w:lang w:val="sl-SI"/>
        </w:rPr>
        <w:t xml:space="preserve"> z dne 26.</w:t>
      </w:r>
      <w:r w:rsidR="00E7091D">
        <w:rPr>
          <w:rFonts w:cs="Arial"/>
          <w:szCs w:val="20"/>
          <w:shd w:val="clear" w:color="auto" w:fill="FFFFFF"/>
          <w:lang w:val="sl-SI"/>
        </w:rPr>
        <w:t xml:space="preserve"> </w:t>
      </w:r>
      <w:r w:rsidR="00EF74EA">
        <w:rPr>
          <w:rFonts w:cs="Arial"/>
          <w:szCs w:val="20"/>
          <w:shd w:val="clear" w:color="auto" w:fill="FFFFFF"/>
          <w:lang w:val="sl-SI"/>
        </w:rPr>
        <w:t>2.</w:t>
      </w:r>
      <w:r w:rsidR="00E7091D">
        <w:rPr>
          <w:rFonts w:cs="Arial"/>
          <w:szCs w:val="20"/>
          <w:shd w:val="clear" w:color="auto" w:fill="FFFFFF"/>
          <w:lang w:val="sl-SI"/>
        </w:rPr>
        <w:t xml:space="preserve"> </w:t>
      </w:r>
      <w:r w:rsidR="00EF74EA">
        <w:rPr>
          <w:rFonts w:cs="Arial"/>
          <w:szCs w:val="20"/>
          <w:shd w:val="clear" w:color="auto" w:fill="FFFFFF"/>
          <w:lang w:val="sl-SI"/>
        </w:rPr>
        <w:t>2024</w:t>
      </w:r>
    </w:p>
    <w:p w14:paraId="267B7EE6" w14:textId="77777777" w:rsidR="00C47B70" w:rsidRDefault="00C47B70" w:rsidP="006A675C">
      <w:pPr>
        <w:jc w:val="both"/>
        <w:rPr>
          <w:rFonts w:cs="Arial"/>
          <w:iCs/>
          <w:szCs w:val="20"/>
          <w:lang w:val="sl-SI" w:eastAsia="sl-SI"/>
        </w:rPr>
      </w:pPr>
    </w:p>
    <w:p w14:paraId="60CAEEDC" w14:textId="77777777" w:rsidR="00C47B70" w:rsidRDefault="00C47B70" w:rsidP="006A675C">
      <w:pPr>
        <w:jc w:val="both"/>
        <w:rPr>
          <w:rFonts w:cs="Arial"/>
          <w:iCs/>
          <w:szCs w:val="20"/>
          <w:lang w:val="sl-SI" w:eastAsia="sl-SI"/>
        </w:rPr>
      </w:pPr>
    </w:p>
    <w:p w14:paraId="2F15C504" w14:textId="77777777" w:rsidR="00C47B70" w:rsidRDefault="00C47B70" w:rsidP="006A675C">
      <w:pPr>
        <w:jc w:val="both"/>
        <w:rPr>
          <w:rFonts w:cs="Arial"/>
          <w:iCs/>
          <w:szCs w:val="20"/>
          <w:lang w:val="sl-SI" w:eastAsia="sl-SI"/>
        </w:rPr>
      </w:pPr>
    </w:p>
    <w:p w14:paraId="71E37672" w14:textId="77777777" w:rsidR="00C47B70" w:rsidRDefault="00C47B70" w:rsidP="006A675C">
      <w:pPr>
        <w:jc w:val="both"/>
        <w:rPr>
          <w:rFonts w:cs="Arial"/>
          <w:iCs/>
          <w:szCs w:val="20"/>
          <w:lang w:val="sl-SI" w:eastAsia="sl-SI"/>
        </w:rPr>
      </w:pPr>
    </w:p>
    <w:p w14:paraId="1057FC6C" w14:textId="77777777" w:rsidR="00FB6B36" w:rsidRDefault="00FB6B36" w:rsidP="006A675C">
      <w:pPr>
        <w:jc w:val="both"/>
        <w:rPr>
          <w:rFonts w:cs="Arial"/>
          <w:iCs/>
          <w:szCs w:val="20"/>
          <w:lang w:val="sl-SI" w:eastAsia="sl-SI"/>
        </w:rPr>
      </w:pPr>
    </w:p>
    <w:p w14:paraId="4B5C7A64" w14:textId="77777777" w:rsidR="00C47B70" w:rsidRDefault="00C47B70" w:rsidP="006A675C">
      <w:pPr>
        <w:jc w:val="both"/>
        <w:rPr>
          <w:rFonts w:cs="Arial"/>
          <w:iCs/>
          <w:szCs w:val="20"/>
          <w:lang w:val="sl-SI" w:eastAsia="sl-SI"/>
        </w:rPr>
      </w:pPr>
    </w:p>
    <w:p w14:paraId="10E645AA" w14:textId="77777777" w:rsidR="00C47B70" w:rsidRDefault="00C47B70" w:rsidP="006A675C">
      <w:pPr>
        <w:jc w:val="both"/>
        <w:rPr>
          <w:rFonts w:cs="Arial"/>
          <w:iCs/>
          <w:szCs w:val="20"/>
          <w:lang w:val="sl-SI" w:eastAsia="sl-SI"/>
        </w:rPr>
      </w:pPr>
    </w:p>
    <w:p w14:paraId="61CFC771" w14:textId="77777777" w:rsidR="00C47B70" w:rsidRDefault="00C47B70" w:rsidP="006A675C">
      <w:pPr>
        <w:jc w:val="both"/>
        <w:rPr>
          <w:rFonts w:cs="Arial"/>
          <w:iCs/>
          <w:szCs w:val="20"/>
          <w:lang w:val="sl-SI" w:eastAsia="sl-SI"/>
        </w:rPr>
      </w:pPr>
    </w:p>
    <w:p w14:paraId="110BA676" w14:textId="77777777" w:rsidR="00C47B70" w:rsidRPr="00C47B70" w:rsidRDefault="00C47B70" w:rsidP="006A675C">
      <w:pPr>
        <w:jc w:val="both"/>
        <w:rPr>
          <w:rFonts w:cs="Arial"/>
          <w:iCs/>
          <w:szCs w:val="20"/>
          <w:lang w:val="sl-SI" w:eastAsia="sl-SI"/>
        </w:rPr>
      </w:pPr>
    </w:p>
    <w:p w14:paraId="31FA7A26" w14:textId="712CC8A9" w:rsidR="00E008C0" w:rsidRPr="00C71DBC" w:rsidRDefault="00E008C0" w:rsidP="007E30B3">
      <w:pPr>
        <w:shd w:val="clear" w:color="auto" w:fill="FFFFFF" w:themeFill="background1"/>
        <w:tabs>
          <w:tab w:val="left" w:pos="708"/>
        </w:tabs>
        <w:spacing w:line="240" w:lineRule="auto"/>
        <w:rPr>
          <w:rFonts w:cs="Arial"/>
          <w:b/>
          <w:bCs/>
          <w:szCs w:val="20"/>
          <w:lang w:val="sl-SI"/>
        </w:rPr>
      </w:pPr>
    </w:p>
    <w:p w14:paraId="5E1AF8D3" w14:textId="4BC89330" w:rsidR="00E008C0" w:rsidRPr="00C71DBC" w:rsidRDefault="00E008C0" w:rsidP="007E30B3">
      <w:pPr>
        <w:shd w:val="clear" w:color="auto" w:fill="FFFFFF" w:themeFill="background1"/>
        <w:tabs>
          <w:tab w:val="left" w:pos="708"/>
        </w:tabs>
        <w:spacing w:line="240" w:lineRule="auto"/>
        <w:rPr>
          <w:rFonts w:cs="Arial"/>
          <w:b/>
          <w:bCs/>
          <w:szCs w:val="20"/>
          <w:lang w:val="sl-SI"/>
        </w:rPr>
      </w:pPr>
    </w:p>
    <w:p w14:paraId="68C37ECA" w14:textId="77777777" w:rsidR="00E008C0" w:rsidRPr="00C71DBC" w:rsidRDefault="00E008C0" w:rsidP="007E30B3">
      <w:pPr>
        <w:shd w:val="clear" w:color="auto" w:fill="FFFFFF" w:themeFill="background1"/>
        <w:tabs>
          <w:tab w:val="left" w:pos="708"/>
        </w:tabs>
        <w:spacing w:line="240" w:lineRule="auto"/>
        <w:rPr>
          <w:rFonts w:cs="Arial"/>
          <w:b/>
          <w:bCs/>
          <w:szCs w:val="20"/>
          <w:lang w:val="sl-SI"/>
        </w:rPr>
      </w:pPr>
    </w:p>
    <w:p w14:paraId="366F78AB" w14:textId="77777777" w:rsidR="00D94800" w:rsidRPr="00C71DBC" w:rsidRDefault="00D94800" w:rsidP="00E008C0">
      <w:pPr>
        <w:shd w:val="clear" w:color="auto" w:fill="FFFFFF" w:themeFill="background1"/>
        <w:tabs>
          <w:tab w:val="left" w:pos="708"/>
        </w:tabs>
        <w:spacing w:line="240" w:lineRule="auto"/>
        <w:jc w:val="center"/>
        <w:rPr>
          <w:rFonts w:cs="Arial"/>
          <w:b/>
          <w:bCs/>
          <w:szCs w:val="20"/>
          <w:lang w:val="sl-SI"/>
        </w:rPr>
      </w:pPr>
      <w:r w:rsidRPr="00C71DBC">
        <w:rPr>
          <w:rFonts w:cs="Arial"/>
          <w:b/>
          <w:bCs/>
          <w:szCs w:val="20"/>
          <w:lang w:val="sl-SI"/>
        </w:rPr>
        <w:lastRenderedPageBreak/>
        <w:t>OBRAZLOŽITEV</w:t>
      </w:r>
    </w:p>
    <w:p w14:paraId="359ADB6E" w14:textId="77777777" w:rsidR="00C47B70" w:rsidRPr="00C47B70" w:rsidRDefault="00C47B70" w:rsidP="003501DC">
      <w:pPr>
        <w:shd w:val="clear" w:color="auto" w:fill="FFFFFF" w:themeFill="background1"/>
        <w:spacing w:line="276" w:lineRule="auto"/>
        <w:jc w:val="both"/>
        <w:rPr>
          <w:rFonts w:cs="Arial"/>
          <w:szCs w:val="20"/>
          <w:lang w:val="sl-SI"/>
        </w:rPr>
      </w:pPr>
    </w:p>
    <w:p w14:paraId="4E6BF122" w14:textId="529613DB" w:rsidR="00D94800" w:rsidRDefault="00D94800" w:rsidP="003501DC">
      <w:pPr>
        <w:shd w:val="clear" w:color="auto" w:fill="FFFFFF" w:themeFill="background1"/>
        <w:spacing w:line="276" w:lineRule="auto"/>
        <w:jc w:val="both"/>
        <w:rPr>
          <w:rFonts w:cs="Arial"/>
          <w:color w:val="000000"/>
          <w:szCs w:val="20"/>
          <w:lang w:val="sl-SI" w:eastAsia="sl-SI"/>
        </w:rPr>
      </w:pPr>
      <w:r w:rsidRPr="00C47B70">
        <w:rPr>
          <w:rFonts w:cs="Arial"/>
          <w:szCs w:val="20"/>
          <w:lang w:val="sl-SI"/>
        </w:rPr>
        <w:t>U</w:t>
      </w:r>
      <w:r w:rsidR="00F56A1F">
        <w:rPr>
          <w:rFonts w:cs="Arial"/>
          <w:szCs w:val="20"/>
          <w:lang w:val="sl-SI"/>
        </w:rPr>
        <w:t>prava RS za jedrsko varnost</w:t>
      </w:r>
      <w:r w:rsidRPr="00C47B70">
        <w:rPr>
          <w:rFonts w:cs="Arial"/>
          <w:szCs w:val="20"/>
          <w:lang w:val="sl-SI"/>
        </w:rPr>
        <w:t xml:space="preserve"> </w:t>
      </w:r>
      <w:r w:rsidR="0004457B">
        <w:rPr>
          <w:rFonts w:cs="Arial"/>
          <w:szCs w:val="20"/>
          <w:lang w:val="sl-SI"/>
        </w:rPr>
        <w:t xml:space="preserve">v projektu </w:t>
      </w:r>
      <w:r w:rsidRPr="00C47B70">
        <w:rPr>
          <w:rFonts w:cs="Arial"/>
          <w:szCs w:val="20"/>
          <w:lang w:val="sl-SI"/>
        </w:rPr>
        <w:t xml:space="preserve">sodeluje pri nalogah, ki se nanašajo na podporo </w:t>
      </w:r>
      <w:r w:rsidR="00C47B70">
        <w:rPr>
          <w:rFonts w:cs="Arial"/>
          <w:szCs w:val="20"/>
          <w:lang w:val="sl-SI"/>
        </w:rPr>
        <w:t>turškemu</w:t>
      </w:r>
      <w:r w:rsidRPr="00C47B70">
        <w:rPr>
          <w:rFonts w:cs="Arial"/>
          <w:szCs w:val="20"/>
          <w:lang w:val="sl-SI"/>
        </w:rPr>
        <w:t xml:space="preserve"> upravnemu organu</w:t>
      </w:r>
      <w:r w:rsidR="00C47B70">
        <w:rPr>
          <w:rFonts w:cs="Arial"/>
          <w:szCs w:val="20"/>
          <w:lang w:val="sl-SI"/>
        </w:rPr>
        <w:t xml:space="preserve"> in njegovi podporni organizaciji</w:t>
      </w:r>
      <w:r w:rsidR="00FE4E7B">
        <w:rPr>
          <w:rFonts w:cs="Arial"/>
          <w:szCs w:val="20"/>
          <w:lang w:val="sl-SI"/>
        </w:rPr>
        <w:t xml:space="preserve"> predvsem</w:t>
      </w:r>
      <w:r w:rsidRPr="00C47B70">
        <w:rPr>
          <w:rFonts w:cs="Arial"/>
          <w:szCs w:val="20"/>
          <w:lang w:val="sl-SI"/>
        </w:rPr>
        <w:t xml:space="preserve"> pri</w:t>
      </w:r>
      <w:r w:rsidR="00FE4E7B">
        <w:rPr>
          <w:rFonts w:cs="Arial"/>
          <w:szCs w:val="20"/>
          <w:lang w:val="sl-SI"/>
        </w:rPr>
        <w:t>: razvoju upravnega okvira za razgradnjo sevalnih objektov, nadzoru obratovanja jedrskih elektrarn in usposabljanju osebja, pripravljenosti na izredne dogodke ter razvoju upravnega okvira za varstvo pred sevanji</w:t>
      </w:r>
      <w:r w:rsidRPr="00C47B70">
        <w:rPr>
          <w:rFonts w:cs="Arial"/>
          <w:szCs w:val="20"/>
          <w:lang w:val="sl-SI"/>
        </w:rPr>
        <w:t xml:space="preserve">. Sodelavci URSJV sodelujejo tudi pri organizaciji in izvedbi usposabljanj predstavnikov upravnega organa, delavnic, sestankov in znanstvenih obiskov. </w:t>
      </w:r>
      <w:r w:rsidRPr="00C47B70">
        <w:rPr>
          <w:rFonts w:cs="Arial"/>
          <w:color w:val="000000"/>
          <w:szCs w:val="20"/>
          <w:lang w:val="sl-SI" w:eastAsia="sl-SI"/>
        </w:rPr>
        <w:t>V projektu bodo sodelovali strokovnjaki URSJV, ki imajo na navedenih področjih neposredne praktične izkušnje. Tu gre predvsem za strokovnjake s področ</w:t>
      </w:r>
      <w:r w:rsidR="00443889">
        <w:rPr>
          <w:rFonts w:cs="Arial"/>
          <w:color w:val="000000"/>
          <w:szCs w:val="20"/>
          <w:lang w:val="sl-SI" w:eastAsia="sl-SI"/>
        </w:rPr>
        <w:t>ij</w:t>
      </w:r>
      <w:r w:rsidRPr="00C47B70">
        <w:rPr>
          <w:rFonts w:cs="Arial"/>
          <w:color w:val="000000"/>
          <w:szCs w:val="20"/>
          <w:lang w:val="sl-SI" w:eastAsia="sl-SI"/>
        </w:rPr>
        <w:t xml:space="preserve"> </w:t>
      </w:r>
      <w:r w:rsidR="00443889">
        <w:rPr>
          <w:rFonts w:cs="Arial"/>
          <w:color w:val="000000"/>
          <w:szCs w:val="20"/>
          <w:lang w:val="sl-SI" w:eastAsia="sl-SI"/>
        </w:rPr>
        <w:t>jedrske varnosti, varstva pred sevanji in izrednih dogodkov</w:t>
      </w:r>
      <w:r w:rsidRPr="00C47B70">
        <w:rPr>
          <w:rFonts w:cs="Arial"/>
          <w:color w:val="000000"/>
          <w:szCs w:val="20"/>
          <w:lang w:val="sl-SI" w:eastAsia="sl-SI"/>
        </w:rPr>
        <w:t xml:space="preserve"> ter </w:t>
      </w:r>
      <w:r w:rsidR="00443889">
        <w:rPr>
          <w:rFonts w:cs="Arial"/>
          <w:color w:val="000000"/>
          <w:szCs w:val="20"/>
          <w:lang w:val="sl-SI" w:eastAsia="sl-SI"/>
        </w:rPr>
        <w:t xml:space="preserve">strokovnjakov </w:t>
      </w:r>
      <w:r w:rsidRPr="00C47B70">
        <w:rPr>
          <w:rFonts w:cs="Arial"/>
          <w:color w:val="000000"/>
          <w:szCs w:val="20"/>
          <w:lang w:val="sl-SI" w:eastAsia="sl-SI"/>
        </w:rPr>
        <w:t xml:space="preserve">s splošnim znanjem iz področij sevalne in jedrske varnosti. </w:t>
      </w:r>
    </w:p>
    <w:p w14:paraId="4D91DD4C" w14:textId="77777777" w:rsidR="00FC6FB0" w:rsidRPr="00C47B70" w:rsidRDefault="00FC6FB0" w:rsidP="003501DC">
      <w:pPr>
        <w:shd w:val="clear" w:color="auto" w:fill="FFFFFF" w:themeFill="background1"/>
        <w:spacing w:line="276" w:lineRule="auto"/>
        <w:jc w:val="both"/>
        <w:rPr>
          <w:rFonts w:cs="Arial"/>
          <w:color w:val="000000"/>
          <w:szCs w:val="20"/>
          <w:lang w:val="sl-SI" w:eastAsia="sl-SI"/>
        </w:rPr>
      </w:pPr>
    </w:p>
    <w:p w14:paraId="3079A6B6" w14:textId="2520100C" w:rsidR="00D94800" w:rsidRDefault="00FC6FB0" w:rsidP="003501DC">
      <w:pPr>
        <w:shd w:val="clear" w:color="auto" w:fill="FFFFFF" w:themeFill="background1"/>
        <w:spacing w:line="276" w:lineRule="auto"/>
        <w:jc w:val="both"/>
        <w:rPr>
          <w:rFonts w:cs="Arial"/>
          <w:color w:val="000000"/>
          <w:szCs w:val="20"/>
          <w:lang w:val="sl-SI" w:eastAsia="sl-SI"/>
        </w:rPr>
      </w:pPr>
      <w:r w:rsidRPr="00C47B70">
        <w:rPr>
          <w:rFonts w:cs="Arial"/>
          <w:szCs w:val="20"/>
          <w:lang w:val="sl-SI"/>
        </w:rPr>
        <w:t xml:space="preserve">Ostali konzorcijski partnerji v projektu so </w:t>
      </w:r>
      <w:r w:rsidRPr="00C47B70">
        <w:rPr>
          <w:rFonts w:cs="Arial"/>
          <w:iCs/>
          <w:color w:val="000000"/>
          <w:szCs w:val="20"/>
          <w:lang w:val="sl-SI" w:eastAsia="sl-SI"/>
        </w:rPr>
        <w:t xml:space="preserve">STUK International (finski upravni organ), UJD SR (slovaški upravni organ), HAEA (madžarski upravni organ), </w:t>
      </w:r>
      <w:r w:rsidR="00FE4E7B" w:rsidRPr="00FE4E7B">
        <w:rPr>
          <w:rFonts w:cs="Arial"/>
          <w:iCs/>
          <w:color w:val="000000"/>
          <w:szCs w:val="20"/>
          <w:lang w:val="sl-SI" w:eastAsia="sl-SI"/>
        </w:rPr>
        <w:t>SURO (češki državni inštitut za varstvo pred sevanji</w:t>
      </w:r>
      <w:r w:rsidR="00DC6E40">
        <w:rPr>
          <w:rFonts w:cs="Arial"/>
          <w:iCs/>
          <w:color w:val="000000"/>
          <w:szCs w:val="20"/>
          <w:lang w:val="sl-SI" w:eastAsia="sl-SI"/>
        </w:rPr>
        <w:t>)</w:t>
      </w:r>
      <w:r w:rsidR="00FE4E7B">
        <w:rPr>
          <w:rFonts w:cs="Arial"/>
          <w:iCs/>
          <w:color w:val="000000"/>
          <w:szCs w:val="20"/>
          <w:lang w:val="sl-SI" w:eastAsia="sl-SI"/>
        </w:rPr>
        <w:t>,</w:t>
      </w:r>
      <w:r w:rsidR="00DC6E40">
        <w:rPr>
          <w:rFonts w:cs="Arial"/>
          <w:iCs/>
          <w:color w:val="000000"/>
          <w:szCs w:val="20"/>
          <w:lang w:val="sl-SI" w:eastAsia="sl-SI"/>
        </w:rPr>
        <w:t xml:space="preserve"> </w:t>
      </w:r>
      <w:r w:rsidR="00DC6E40" w:rsidRPr="00DC6E40">
        <w:rPr>
          <w:rFonts w:cs="Arial"/>
          <w:iCs/>
          <w:color w:val="000000"/>
          <w:szCs w:val="20"/>
          <w:lang w:val="sl-SI" w:eastAsia="sl-SI"/>
        </w:rPr>
        <w:t>TÜV NORD (nemški inštitut), ÚJV ŘEŽ (češki raziskovalni inštitut)</w:t>
      </w:r>
      <w:r w:rsidR="00FE4E7B">
        <w:rPr>
          <w:rFonts w:cs="Arial"/>
          <w:iCs/>
          <w:color w:val="000000"/>
          <w:szCs w:val="20"/>
          <w:lang w:val="sl-SI" w:eastAsia="sl-SI"/>
        </w:rPr>
        <w:t xml:space="preserve"> ter</w:t>
      </w:r>
      <w:r w:rsidR="00FE4E7B" w:rsidRPr="00FE4E7B">
        <w:rPr>
          <w:rFonts w:cs="Arial"/>
          <w:iCs/>
          <w:color w:val="000000"/>
          <w:szCs w:val="20"/>
          <w:lang w:val="sl-SI" w:eastAsia="sl-SI"/>
        </w:rPr>
        <w:t xml:space="preserve"> </w:t>
      </w:r>
      <w:r w:rsidRPr="00FE4E7B">
        <w:rPr>
          <w:rFonts w:cs="Arial"/>
          <w:iCs/>
          <w:color w:val="000000"/>
          <w:szCs w:val="20"/>
          <w:lang w:val="sl-SI" w:eastAsia="sl-SI"/>
        </w:rPr>
        <w:t>ENCONET Consulting</w:t>
      </w:r>
      <w:r w:rsidRPr="00C47B70">
        <w:rPr>
          <w:rFonts w:cs="Arial"/>
          <w:szCs w:val="20"/>
          <w:lang w:val="sl-SI"/>
        </w:rPr>
        <w:t xml:space="preserve"> G.m.b.H</w:t>
      </w:r>
      <w:r w:rsidRPr="00C47B70">
        <w:rPr>
          <w:rFonts w:cs="Arial"/>
          <w:iCs/>
          <w:color w:val="000000"/>
          <w:szCs w:val="20"/>
          <w:lang w:val="sl-SI" w:eastAsia="sl-SI"/>
        </w:rPr>
        <w:t xml:space="preserve"> (glavni konzorcijski partner</w:t>
      </w:r>
      <w:r>
        <w:rPr>
          <w:rFonts w:cs="Arial"/>
          <w:iCs/>
          <w:color w:val="000000"/>
          <w:szCs w:val="20"/>
          <w:lang w:val="sl-SI" w:eastAsia="sl-SI"/>
        </w:rPr>
        <w:t>)</w:t>
      </w:r>
      <w:r w:rsidRPr="00C47B70">
        <w:rPr>
          <w:rFonts w:cs="Arial"/>
          <w:iCs/>
          <w:color w:val="000000"/>
          <w:szCs w:val="20"/>
          <w:lang w:val="sl-SI" w:eastAsia="sl-SI"/>
        </w:rPr>
        <w:t xml:space="preserve">. </w:t>
      </w:r>
      <w:r w:rsidRPr="00C47B70">
        <w:rPr>
          <w:rFonts w:cs="Arial"/>
          <w:szCs w:val="20"/>
          <w:lang w:val="sl-SI"/>
        </w:rPr>
        <w:t>Uprava Republike Slovenije za jedrsko varnost (URSJV) ima z glavnim konzorcijskim partnerjem, družbo ENCONET Consulting G.m.b.H. razvito večletno sodelovanje na področju projektov pomoči manj razvitim državam</w:t>
      </w:r>
      <w:r>
        <w:rPr>
          <w:rFonts w:cs="Arial"/>
          <w:szCs w:val="20"/>
          <w:lang w:val="sl-SI"/>
        </w:rPr>
        <w:t xml:space="preserve">, s finskim, slovaškim in madžarskim upravnim organom pa </w:t>
      </w:r>
      <w:r w:rsidRPr="00C47B70">
        <w:rPr>
          <w:rFonts w:cs="Arial"/>
          <w:color w:val="000000"/>
          <w:szCs w:val="20"/>
          <w:lang w:val="sl-SI" w:eastAsia="sl-SI"/>
        </w:rPr>
        <w:t>tesno medsebojno sodelovanje na vseh področjih</w:t>
      </w:r>
      <w:r>
        <w:rPr>
          <w:rFonts w:cs="Arial"/>
          <w:color w:val="000000"/>
          <w:szCs w:val="20"/>
          <w:lang w:val="sl-SI" w:eastAsia="sl-SI"/>
        </w:rPr>
        <w:t>.</w:t>
      </w:r>
      <w:r>
        <w:rPr>
          <w:rFonts w:cs="Arial"/>
          <w:iCs/>
          <w:color w:val="000000"/>
          <w:szCs w:val="20"/>
          <w:lang w:val="sl-SI" w:eastAsia="sl-SI"/>
        </w:rPr>
        <w:t xml:space="preserve"> </w:t>
      </w:r>
      <w:r w:rsidR="00D94800" w:rsidRPr="00C47B70">
        <w:rPr>
          <w:rFonts w:cs="Arial"/>
          <w:color w:val="000000"/>
          <w:szCs w:val="20"/>
          <w:lang w:val="sl-SI" w:eastAsia="sl-SI"/>
        </w:rPr>
        <w:t xml:space="preserve">Iz tega izhaja, da se lahko pričakuje uspešno sodelovanje tudi v novem projektu. Pomen projektov pomoči se kaže tudi v dejstvu, da je nujno zagotavljati in spodbujati doseganje mednarodnih in evropskih standardov v vseh državah, ne glede na geografsko lokacijo, saj morebitne nesreče ne poznajo meja. Tovrstna pomoč pomeni hitrejšo prilagoditev teh držav mednarodnim standardom in tudi predpisom Evropske unije na področju jedrske in sevalne varnosti, obenem pa se zmanjšuje možnost, da bi prišlo do izrednih dogodkov zaradi pomanjkljivega upravnega nadzora. </w:t>
      </w:r>
    </w:p>
    <w:p w14:paraId="50D7B537" w14:textId="77777777" w:rsidR="00FE4E7B" w:rsidRPr="00FE4E7B" w:rsidRDefault="00FE4E7B" w:rsidP="003501DC">
      <w:pPr>
        <w:shd w:val="clear" w:color="auto" w:fill="FFFFFF" w:themeFill="background1"/>
        <w:spacing w:line="276" w:lineRule="auto"/>
        <w:jc w:val="both"/>
        <w:rPr>
          <w:rFonts w:cs="Arial"/>
          <w:iCs/>
          <w:szCs w:val="20"/>
          <w:lang w:val="sl-SI" w:eastAsia="sl-SI"/>
        </w:rPr>
      </w:pPr>
    </w:p>
    <w:p w14:paraId="3773C181" w14:textId="28653705" w:rsidR="00763BAE" w:rsidRPr="00443889" w:rsidRDefault="00795995" w:rsidP="00443889">
      <w:pPr>
        <w:jc w:val="both"/>
        <w:rPr>
          <w:rFonts w:cs="Arial"/>
          <w:szCs w:val="20"/>
          <w:shd w:val="clear" w:color="auto" w:fill="FFFFFF"/>
          <w:lang w:val="sl-SI"/>
        </w:rPr>
      </w:pPr>
      <w:r w:rsidRPr="00FE4E7B">
        <w:rPr>
          <w:rFonts w:cs="Arial"/>
          <w:szCs w:val="20"/>
          <w:lang w:val="sl-SI" w:eastAsia="sl-SI"/>
        </w:rPr>
        <w:t>Z</w:t>
      </w:r>
      <w:r w:rsidR="0045716D" w:rsidRPr="00FE4E7B">
        <w:rPr>
          <w:rFonts w:cs="Arial"/>
          <w:szCs w:val="20"/>
          <w:lang w:val="sl-SI"/>
        </w:rPr>
        <w:t xml:space="preserve"> </w:t>
      </w:r>
      <w:r w:rsidR="0045716D" w:rsidRPr="00FE4E7B">
        <w:rPr>
          <w:rFonts w:cs="Arial"/>
          <w:szCs w:val="20"/>
          <w:shd w:val="clear" w:color="auto" w:fill="FFFFFF"/>
          <w:lang w:val="sl-SI"/>
        </w:rPr>
        <w:t xml:space="preserve">družbo ENCONET Consulting G.m.b.H. </w:t>
      </w:r>
      <w:r w:rsidRPr="00FE4E7B">
        <w:rPr>
          <w:rFonts w:cs="Arial"/>
          <w:szCs w:val="20"/>
          <w:shd w:val="clear" w:color="auto" w:fill="FFFFFF"/>
          <w:lang w:val="sl-SI"/>
        </w:rPr>
        <w:t>–</w:t>
      </w:r>
      <w:r w:rsidR="0045716D" w:rsidRPr="00FE4E7B">
        <w:rPr>
          <w:rFonts w:cs="Arial"/>
          <w:szCs w:val="20"/>
          <w:shd w:val="clear" w:color="auto" w:fill="FFFFFF"/>
          <w:lang w:val="sl-SI"/>
        </w:rPr>
        <w:t xml:space="preserve"> </w:t>
      </w:r>
      <w:r w:rsidRPr="00FE4E7B">
        <w:rPr>
          <w:rFonts w:cs="Arial"/>
          <w:szCs w:val="20"/>
          <w:shd w:val="clear" w:color="auto" w:fill="FFFFFF"/>
          <w:lang w:val="sl-SI"/>
        </w:rPr>
        <w:t xml:space="preserve">ima </w:t>
      </w:r>
      <w:r w:rsidR="00FE4E7B">
        <w:rPr>
          <w:rFonts w:cs="Arial"/>
          <w:szCs w:val="20"/>
          <w:shd w:val="clear" w:color="auto" w:fill="FFFFFF"/>
          <w:lang w:val="sl-SI"/>
        </w:rPr>
        <w:t>URSJV</w:t>
      </w:r>
      <w:r w:rsidR="00443889">
        <w:rPr>
          <w:rFonts w:cs="Arial"/>
          <w:szCs w:val="20"/>
          <w:shd w:val="clear" w:color="auto" w:fill="FFFFFF"/>
          <w:lang w:val="sl-SI"/>
        </w:rPr>
        <w:t xml:space="preserve"> (skupaj še s konzorcijskimi partnerji UJD, HAEA in SURO)</w:t>
      </w:r>
      <w:r w:rsidRPr="00FE4E7B">
        <w:rPr>
          <w:rFonts w:cs="Arial"/>
          <w:szCs w:val="20"/>
          <w:shd w:val="clear" w:color="auto" w:fill="FFFFFF"/>
          <w:lang w:val="sl-SI"/>
        </w:rPr>
        <w:t xml:space="preserve"> </w:t>
      </w:r>
      <w:r w:rsidRPr="007D0EE5">
        <w:rPr>
          <w:rFonts w:cs="Arial"/>
          <w:b/>
          <w:bCs/>
          <w:szCs w:val="20"/>
          <w:shd w:val="clear" w:color="auto" w:fill="FFFFFF"/>
          <w:lang w:val="sl-SI"/>
        </w:rPr>
        <w:t>sklenjeno</w:t>
      </w:r>
      <w:r w:rsidR="00FE4E7B" w:rsidRPr="007D0EE5">
        <w:rPr>
          <w:rFonts w:cs="Arial"/>
          <w:b/>
          <w:bCs/>
          <w:szCs w:val="20"/>
          <w:shd w:val="clear" w:color="auto" w:fill="FFFFFF"/>
          <w:lang w:val="sl-SI"/>
        </w:rPr>
        <w:t xml:space="preserve"> pogodbo</w:t>
      </w:r>
      <w:r w:rsidRPr="007D0EE5">
        <w:rPr>
          <w:rFonts w:cs="Arial"/>
          <w:b/>
          <w:bCs/>
          <w:szCs w:val="20"/>
          <w:shd w:val="clear" w:color="auto" w:fill="FFFFFF"/>
          <w:lang w:val="sl-SI"/>
        </w:rPr>
        <w:t xml:space="preserve"> </w:t>
      </w:r>
      <w:r w:rsidR="00443889" w:rsidRPr="007D0EE5">
        <w:rPr>
          <w:rFonts w:cs="Arial"/>
          <w:b/>
          <w:bCs/>
          <w:szCs w:val="20"/>
          <w:shd w:val="clear" w:color="auto" w:fill="FFFFFF"/>
          <w:lang w:val="sl-SI"/>
        </w:rPr>
        <w:t>»</w:t>
      </w:r>
      <w:r w:rsidR="0045716D" w:rsidRPr="007D0EE5">
        <w:rPr>
          <w:rFonts w:cs="Arial"/>
          <w:b/>
          <w:bCs/>
          <w:szCs w:val="20"/>
          <w:shd w:val="clear" w:color="auto" w:fill="FFFFFF"/>
          <w:lang w:val="sl-SI"/>
        </w:rPr>
        <w:t>Consortium Agreement, Contract Number: ENCO_</w:t>
      </w:r>
      <w:r w:rsidR="00443889" w:rsidRPr="007D0EE5">
        <w:rPr>
          <w:rFonts w:cs="Arial"/>
          <w:b/>
          <w:bCs/>
          <w:szCs w:val="20"/>
          <w:shd w:val="clear" w:color="auto" w:fill="FFFFFF"/>
          <w:lang w:val="sl-SI"/>
        </w:rPr>
        <w:t>TÜRKYE</w:t>
      </w:r>
      <w:r w:rsidR="0045716D" w:rsidRPr="007D0EE5">
        <w:rPr>
          <w:rFonts w:cs="Arial"/>
          <w:b/>
          <w:bCs/>
          <w:szCs w:val="20"/>
          <w:shd w:val="clear" w:color="auto" w:fill="FFFFFF"/>
          <w:lang w:val="sl-SI"/>
        </w:rPr>
        <w:t>-01/23</w:t>
      </w:r>
      <w:r w:rsidR="00443889">
        <w:rPr>
          <w:rFonts w:cs="Arial"/>
          <w:szCs w:val="20"/>
          <w:shd w:val="clear" w:color="auto" w:fill="FFFFFF"/>
          <w:lang w:val="sl-SI"/>
        </w:rPr>
        <w:t>.</w:t>
      </w:r>
      <w:r w:rsidR="0045716D" w:rsidRPr="00FE4E7B">
        <w:rPr>
          <w:rFonts w:cs="Arial"/>
          <w:szCs w:val="20"/>
          <w:shd w:val="clear" w:color="auto" w:fill="FFFFFF"/>
          <w:lang w:val="sl-SI"/>
        </w:rPr>
        <w:t xml:space="preserve"> </w:t>
      </w:r>
      <w:r w:rsidRPr="00443889">
        <w:rPr>
          <w:rFonts w:cs="Arial"/>
          <w:szCs w:val="20"/>
          <w:shd w:val="clear" w:color="auto" w:fill="FFFFFF"/>
          <w:lang w:val="sl-SI"/>
        </w:rPr>
        <w:t>V</w:t>
      </w:r>
      <w:r w:rsidR="00D94800" w:rsidRPr="00443889">
        <w:rPr>
          <w:rFonts w:cs="Arial"/>
          <w:szCs w:val="20"/>
          <w:shd w:val="clear" w:color="auto" w:fill="FFFFFF"/>
          <w:lang w:val="sl-SI"/>
        </w:rPr>
        <w:t>ključeni so tudi posamezni deleži tujih partnerje</w:t>
      </w:r>
      <w:r w:rsidRPr="00443889">
        <w:rPr>
          <w:rFonts w:cs="Arial"/>
          <w:szCs w:val="20"/>
          <w:shd w:val="clear" w:color="auto" w:fill="FFFFFF"/>
          <w:lang w:val="sl-SI"/>
        </w:rPr>
        <w:t>v</w:t>
      </w:r>
      <w:r w:rsidR="0045716D" w:rsidRPr="00443889">
        <w:rPr>
          <w:rFonts w:cs="Arial"/>
          <w:szCs w:val="20"/>
          <w:shd w:val="clear" w:color="auto" w:fill="FFFFFF"/>
          <w:lang w:val="sl-SI"/>
        </w:rPr>
        <w:t xml:space="preserve">, </w:t>
      </w:r>
      <w:r w:rsidR="00D94800" w:rsidRPr="00443889">
        <w:rPr>
          <w:rFonts w:cs="Arial"/>
          <w:szCs w:val="20"/>
          <w:shd w:val="clear" w:color="auto" w:fill="FFFFFF"/>
          <w:lang w:val="sl-SI"/>
        </w:rPr>
        <w:t xml:space="preserve">celotna vrednost projekta znaša </w:t>
      </w:r>
      <w:r w:rsidR="00443889" w:rsidRPr="00443889">
        <w:rPr>
          <w:rFonts w:cs="Arial"/>
          <w:szCs w:val="20"/>
          <w:shd w:val="clear" w:color="auto" w:fill="FFFFFF"/>
          <w:lang w:val="sl-SI"/>
        </w:rPr>
        <w:t xml:space="preserve">3.117.400,00 </w:t>
      </w:r>
      <w:r w:rsidR="00D94800" w:rsidRPr="00443889">
        <w:rPr>
          <w:rFonts w:cs="Arial"/>
          <w:szCs w:val="20"/>
          <w:shd w:val="clear" w:color="auto" w:fill="FFFFFF"/>
          <w:lang w:val="sl-SI"/>
        </w:rPr>
        <w:t xml:space="preserve">EUR, ocenjen delež </w:t>
      </w:r>
      <w:r w:rsidR="00443889" w:rsidRPr="00443889">
        <w:rPr>
          <w:rFonts w:cs="Arial"/>
          <w:szCs w:val="20"/>
          <w:shd w:val="clear" w:color="auto" w:fill="FFFFFF"/>
          <w:lang w:val="sl-SI"/>
        </w:rPr>
        <w:t>URSJV</w:t>
      </w:r>
      <w:r w:rsidR="00D94800" w:rsidRPr="00443889">
        <w:rPr>
          <w:rFonts w:cs="Arial"/>
          <w:szCs w:val="20"/>
          <w:shd w:val="clear" w:color="auto" w:fill="FFFFFF"/>
          <w:lang w:val="sl-SI"/>
        </w:rPr>
        <w:t xml:space="preserve"> znaša </w:t>
      </w:r>
      <w:r w:rsidR="00443889" w:rsidRPr="00443889">
        <w:rPr>
          <w:rFonts w:cs="Arial"/>
          <w:szCs w:val="20"/>
          <w:u w:val="single"/>
          <w:shd w:val="clear" w:color="auto" w:fill="FFFFFF"/>
          <w:lang w:val="sl-SI"/>
        </w:rPr>
        <w:t>203.150,00 EUR</w:t>
      </w:r>
      <w:r w:rsidR="00443889" w:rsidRPr="00443889">
        <w:rPr>
          <w:rFonts w:cs="Arial"/>
          <w:szCs w:val="20"/>
          <w:shd w:val="clear" w:color="auto" w:fill="FFFFFF"/>
          <w:lang w:val="sl-SI"/>
        </w:rPr>
        <w:t xml:space="preserve"> (po izdani naročilnici glavnega konzorcijskega partnerja: »Purchase Order No. 03-2024«).</w:t>
      </w:r>
    </w:p>
    <w:p w14:paraId="7058E482" w14:textId="77777777" w:rsidR="00763BAE" w:rsidRPr="00C71DBC" w:rsidRDefault="00763BAE" w:rsidP="003501DC">
      <w:pPr>
        <w:shd w:val="clear" w:color="auto" w:fill="FFFFFF" w:themeFill="background1"/>
        <w:spacing w:line="276" w:lineRule="auto"/>
        <w:jc w:val="both"/>
        <w:rPr>
          <w:rFonts w:cs="Arial"/>
          <w:szCs w:val="20"/>
          <w:u w:val="single"/>
          <w:lang w:val="sl-SI"/>
        </w:rPr>
      </w:pPr>
    </w:p>
    <w:p w14:paraId="256C8473" w14:textId="6904997F" w:rsidR="00D94800" w:rsidRPr="002C1BEC" w:rsidRDefault="00D94800" w:rsidP="003501DC">
      <w:pPr>
        <w:pStyle w:val="Neotevilenodstavek"/>
        <w:shd w:val="clear" w:color="auto" w:fill="FFFFFF" w:themeFill="background1"/>
        <w:spacing w:before="0" w:after="0" w:line="276" w:lineRule="auto"/>
        <w:rPr>
          <w:b/>
          <w:bCs/>
          <w:color w:val="FF0000"/>
          <w:sz w:val="20"/>
          <w:szCs w:val="20"/>
          <w:lang w:eastAsia="en-US"/>
        </w:rPr>
      </w:pPr>
      <w:r w:rsidRPr="002C1BEC">
        <w:rPr>
          <w:b/>
          <w:bCs/>
          <w:sz w:val="20"/>
          <w:szCs w:val="20"/>
          <w:lang w:eastAsia="en-US"/>
        </w:rPr>
        <w:t xml:space="preserve">Dinamika projekta </w:t>
      </w:r>
      <w:r w:rsidR="00EA5954" w:rsidRPr="002C1BEC">
        <w:rPr>
          <w:b/>
          <w:bCs/>
          <w:sz w:val="20"/>
          <w:szCs w:val="20"/>
          <w:lang w:eastAsia="en-US"/>
        </w:rPr>
        <w:t>NRP</w:t>
      </w:r>
      <w:r w:rsidRPr="002C1BEC">
        <w:rPr>
          <w:b/>
          <w:bCs/>
          <w:sz w:val="20"/>
          <w:szCs w:val="20"/>
          <w:lang w:eastAsia="en-US"/>
        </w:rPr>
        <w:t>2563-24-000</w:t>
      </w:r>
      <w:r w:rsidR="0004457B" w:rsidRPr="002C1BEC">
        <w:rPr>
          <w:b/>
          <w:bCs/>
          <w:sz w:val="20"/>
          <w:szCs w:val="20"/>
          <w:lang w:eastAsia="en-US"/>
        </w:rPr>
        <w:t>2</w:t>
      </w:r>
      <w:r w:rsidRPr="002C1BEC">
        <w:rPr>
          <w:b/>
          <w:bCs/>
          <w:sz w:val="20"/>
          <w:szCs w:val="20"/>
          <w:lang w:eastAsia="en-US"/>
        </w:rPr>
        <w:t xml:space="preserve"> po letih</w:t>
      </w:r>
      <w:r w:rsidR="00EA5954" w:rsidRPr="002C1BEC">
        <w:rPr>
          <w:b/>
          <w:bCs/>
          <w:sz w:val="20"/>
          <w:szCs w:val="20"/>
          <w:lang w:eastAsia="en-US"/>
        </w:rPr>
        <w:t xml:space="preserve"> (delež </w:t>
      </w:r>
      <w:r w:rsidR="00054864" w:rsidRPr="002C1BEC">
        <w:rPr>
          <w:b/>
          <w:bCs/>
          <w:sz w:val="20"/>
          <w:szCs w:val="20"/>
          <w:lang w:eastAsia="en-US"/>
        </w:rPr>
        <w:t>URSJV</w:t>
      </w:r>
      <w:r w:rsidR="00EA5954" w:rsidRPr="002C1BEC">
        <w:rPr>
          <w:b/>
          <w:bCs/>
          <w:sz w:val="20"/>
          <w:szCs w:val="20"/>
          <w:lang w:eastAsia="en-US"/>
        </w:rPr>
        <w:t>):</w:t>
      </w:r>
    </w:p>
    <w:p w14:paraId="4F22020C" w14:textId="77777777" w:rsidR="00D94800" w:rsidRPr="002C1BEC" w:rsidRDefault="00D94800" w:rsidP="003501DC">
      <w:pPr>
        <w:pStyle w:val="Neotevilenodstavek"/>
        <w:shd w:val="clear" w:color="auto" w:fill="FFFFFF" w:themeFill="background1"/>
        <w:spacing w:before="0" w:after="0" w:line="276" w:lineRule="auto"/>
        <w:jc w:val="center"/>
        <w:rPr>
          <w:color w:val="FF0000"/>
          <w:sz w:val="20"/>
          <w:szCs w:val="20"/>
          <w:lang w:eastAsia="en-US"/>
        </w:rPr>
      </w:pPr>
    </w:p>
    <w:tbl>
      <w:tblPr>
        <w:tblStyle w:val="Tabelamrea"/>
        <w:tblW w:w="0" w:type="auto"/>
        <w:tblInd w:w="108" w:type="dxa"/>
        <w:tblLook w:val="04A0" w:firstRow="1" w:lastRow="0" w:firstColumn="1" w:lastColumn="0" w:noHBand="0" w:noVBand="1"/>
      </w:tblPr>
      <w:tblGrid>
        <w:gridCol w:w="3490"/>
        <w:gridCol w:w="3911"/>
      </w:tblGrid>
      <w:tr w:rsidR="00D94800" w:rsidRPr="002C1BEC" w14:paraId="2247C26C" w14:textId="77777777" w:rsidTr="007B76FA">
        <w:trPr>
          <w:trHeight w:val="457"/>
        </w:trPr>
        <w:tc>
          <w:tcPr>
            <w:tcW w:w="3490" w:type="dxa"/>
          </w:tcPr>
          <w:p w14:paraId="66B57121" w14:textId="08880473"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Leto</w:t>
            </w:r>
          </w:p>
        </w:tc>
        <w:tc>
          <w:tcPr>
            <w:tcW w:w="3911" w:type="dxa"/>
          </w:tcPr>
          <w:p w14:paraId="59C1F8F8" w14:textId="651F686C"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Znesek</w:t>
            </w:r>
            <w:r w:rsidR="007E30B3" w:rsidRPr="002C1BEC">
              <w:rPr>
                <w:sz w:val="20"/>
                <w:szCs w:val="20"/>
                <w:lang w:eastAsia="en-US"/>
              </w:rPr>
              <w:t xml:space="preserve"> v EUR</w:t>
            </w:r>
            <w:r w:rsidRPr="002C1BEC">
              <w:rPr>
                <w:sz w:val="20"/>
                <w:szCs w:val="20"/>
                <w:lang w:eastAsia="en-US"/>
              </w:rPr>
              <w:t>/letno</w:t>
            </w:r>
          </w:p>
          <w:p w14:paraId="01793736" w14:textId="77777777"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p>
        </w:tc>
      </w:tr>
      <w:tr w:rsidR="00D94800" w:rsidRPr="002C1BEC" w14:paraId="5A3CBC3E" w14:textId="77777777" w:rsidTr="007B76FA">
        <w:trPr>
          <w:trHeight w:val="50"/>
        </w:trPr>
        <w:tc>
          <w:tcPr>
            <w:tcW w:w="3490" w:type="dxa"/>
          </w:tcPr>
          <w:p w14:paraId="35FA7EBB" w14:textId="3286EF2C"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2024</w:t>
            </w:r>
          </w:p>
        </w:tc>
        <w:tc>
          <w:tcPr>
            <w:tcW w:w="3911" w:type="dxa"/>
          </w:tcPr>
          <w:p w14:paraId="65DC9493" w14:textId="3F4E5976" w:rsidR="00D94800" w:rsidRPr="002C1BEC" w:rsidRDefault="00DC6E4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27.600 EUR</w:t>
            </w:r>
          </w:p>
        </w:tc>
      </w:tr>
      <w:tr w:rsidR="00D94800" w:rsidRPr="002C1BEC" w14:paraId="09131410" w14:textId="77777777" w:rsidTr="007B76FA">
        <w:trPr>
          <w:trHeight w:val="35"/>
        </w:trPr>
        <w:tc>
          <w:tcPr>
            <w:tcW w:w="3490" w:type="dxa"/>
          </w:tcPr>
          <w:p w14:paraId="670E857D" w14:textId="00F5DD5E"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2025</w:t>
            </w:r>
          </w:p>
        </w:tc>
        <w:tc>
          <w:tcPr>
            <w:tcW w:w="3911" w:type="dxa"/>
          </w:tcPr>
          <w:p w14:paraId="33240CFD" w14:textId="0B95D6B7" w:rsidR="00D94800" w:rsidRPr="002C1BEC" w:rsidRDefault="00C31C2F" w:rsidP="003501DC">
            <w:pPr>
              <w:pStyle w:val="Neotevilenodstavek"/>
              <w:shd w:val="clear" w:color="auto" w:fill="FFFFFF" w:themeFill="background1"/>
              <w:spacing w:before="0" w:after="0" w:line="276" w:lineRule="auto"/>
              <w:jc w:val="center"/>
              <w:rPr>
                <w:sz w:val="20"/>
                <w:szCs w:val="20"/>
                <w:lang w:eastAsia="en-US"/>
              </w:rPr>
            </w:pPr>
            <w:r>
              <w:rPr>
                <w:sz w:val="20"/>
                <w:szCs w:val="20"/>
                <w:lang w:eastAsia="en-US"/>
              </w:rPr>
              <w:t>5</w:t>
            </w:r>
            <w:r w:rsidR="00DC6E40" w:rsidRPr="002C1BEC">
              <w:rPr>
                <w:sz w:val="20"/>
                <w:szCs w:val="20"/>
                <w:lang w:eastAsia="en-US"/>
              </w:rPr>
              <w:t>0.000 EUR</w:t>
            </w:r>
          </w:p>
        </w:tc>
      </w:tr>
      <w:tr w:rsidR="00D94800" w:rsidRPr="002C1BEC" w14:paraId="1D19FAB9" w14:textId="77777777" w:rsidTr="007B76FA">
        <w:trPr>
          <w:trHeight w:val="8"/>
        </w:trPr>
        <w:tc>
          <w:tcPr>
            <w:tcW w:w="3490" w:type="dxa"/>
          </w:tcPr>
          <w:p w14:paraId="3BF56E99" w14:textId="733A025D" w:rsidR="00D94800" w:rsidRPr="002C1BEC" w:rsidRDefault="00D9480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2026</w:t>
            </w:r>
          </w:p>
        </w:tc>
        <w:tc>
          <w:tcPr>
            <w:tcW w:w="3911" w:type="dxa"/>
          </w:tcPr>
          <w:p w14:paraId="51A0B3AE" w14:textId="4F2FCF9B" w:rsidR="00D94800" w:rsidRPr="002C1BEC" w:rsidRDefault="00C31C2F" w:rsidP="003501DC">
            <w:pPr>
              <w:pStyle w:val="Neotevilenodstavek"/>
              <w:shd w:val="clear" w:color="auto" w:fill="FFFFFF" w:themeFill="background1"/>
              <w:spacing w:before="0" w:after="0" w:line="276" w:lineRule="auto"/>
              <w:jc w:val="center"/>
              <w:rPr>
                <w:sz w:val="20"/>
                <w:szCs w:val="20"/>
                <w:lang w:eastAsia="en-US"/>
              </w:rPr>
            </w:pPr>
            <w:r>
              <w:rPr>
                <w:sz w:val="20"/>
                <w:szCs w:val="20"/>
                <w:lang w:eastAsia="en-US"/>
              </w:rPr>
              <w:t>6</w:t>
            </w:r>
            <w:r w:rsidR="00DC6E40" w:rsidRPr="002C1BEC">
              <w:rPr>
                <w:sz w:val="20"/>
                <w:szCs w:val="20"/>
                <w:lang w:eastAsia="en-US"/>
              </w:rPr>
              <w:t>0.000 EUR</w:t>
            </w:r>
          </w:p>
        </w:tc>
      </w:tr>
      <w:tr w:rsidR="0004457B" w:rsidRPr="002C1BEC" w14:paraId="1812D11B" w14:textId="77777777" w:rsidTr="007B76FA">
        <w:trPr>
          <w:trHeight w:val="8"/>
        </w:trPr>
        <w:tc>
          <w:tcPr>
            <w:tcW w:w="3490" w:type="dxa"/>
          </w:tcPr>
          <w:p w14:paraId="0537057E" w14:textId="661D610B" w:rsidR="0004457B" w:rsidRPr="002C1BEC" w:rsidRDefault="0004457B"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2027</w:t>
            </w:r>
          </w:p>
        </w:tc>
        <w:tc>
          <w:tcPr>
            <w:tcW w:w="3911" w:type="dxa"/>
          </w:tcPr>
          <w:p w14:paraId="2ADA699F" w14:textId="5C862587" w:rsidR="0004457B" w:rsidRPr="002C1BEC" w:rsidRDefault="00DC6E40" w:rsidP="003501DC">
            <w:pPr>
              <w:pStyle w:val="Neotevilenodstavek"/>
              <w:shd w:val="clear" w:color="auto" w:fill="FFFFFF" w:themeFill="background1"/>
              <w:spacing w:before="0" w:after="0" w:line="276" w:lineRule="auto"/>
              <w:jc w:val="center"/>
              <w:rPr>
                <w:sz w:val="20"/>
                <w:szCs w:val="20"/>
                <w:lang w:eastAsia="en-US"/>
              </w:rPr>
            </w:pPr>
            <w:r w:rsidRPr="002C1BEC">
              <w:rPr>
                <w:sz w:val="20"/>
                <w:szCs w:val="20"/>
                <w:lang w:eastAsia="en-US"/>
              </w:rPr>
              <w:t>65.550 EUR</w:t>
            </w:r>
          </w:p>
        </w:tc>
      </w:tr>
      <w:tr w:rsidR="00D94800" w:rsidRPr="002C1BEC" w14:paraId="169809E7" w14:textId="77777777" w:rsidTr="007B76FA">
        <w:trPr>
          <w:trHeight w:val="8"/>
        </w:trPr>
        <w:tc>
          <w:tcPr>
            <w:tcW w:w="3490" w:type="dxa"/>
          </w:tcPr>
          <w:p w14:paraId="08B43CE3" w14:textId="77777777" w:rsidR="00D94800" w:rsidRPr="002C1BEC" w:rsidRDefault="00D94800" w:rsidP="003501DC">
            <w:pPr>
              <w:pStyle w:val="Neotevilenodstavek"/>
              <w:shd w:val="clear" w:color="auto" w:fill="FFFFFF" w:themeFill="background1"/>
              <w:spacing w:before="0" w:after="0" w:line="276" w:lineRule="auto"/>
              <w:jc w:val="center"/>
              <w:rPr>
                <w:b/>
                <w:bCs/>
                <w:sz w:val="20"/>
                <w:szCs w:val="20"/>
                <w:lang w:eastAsia="en-US"/>
              </w:rPr>
            </w:pPr>
            <w:r w:rsidRPr="002C1BEC">
              <w:rPr>
                <w:b/>
                <w:bCs/>
                <w:sz w:val="20"/>
                <w:szCs w:val="20"/>
                <w:lang w:eastAsia="en-US"/>
              </w:rPr>
              <w:t>Skupaj (delež URSJV)</w:t>
            </w:r>
          </w:p>
        </w:tc>
        <w:tc>
          <w:tcPr>
            <w:tcW w:w="3911" w:type="dxa"/>
          </w:tcPr>
          <w:p w14:paraId="0590945B" w14:textId="18FB2631" w:rsidR="00D94800" w:rsidRPr="002C1BEC" w:rsidRDefault="0004457B" w:rsidP="003501DC">
            <w:pPr>
              <w:pStyle w:val="Neotevilenodstavek"/>
              <w:shd w:val="clear" w:color="auto" w:fill="FFFFFF" w:themeFill="background1"/>
              <w:spacing w:before="0" w:after="0" w:line="276" w:lineRule="auto"/>
              <w:jc w:val="center"/>
              <w:rPr>
                <w:b/>
                <w:bCs/>
                <w:sz w:val="20"/>
                <w:szCs w:val="20"/>
                <w:lang w:eastAsia="en-US"/>
              </w:rPr>
            </w:pPr>
            <w:r w:rsidRPr="002C1BEC">
              <w:rPr>
                <w:b/>
                <w:bCs/>
                <w:sz w:val="20"/>
                <w:szCs w:val="20"/>
                <w:lang w:eastAsia="en-US"/>
              </w:rPr>
              <w:t>203</w:t>
            </w:r>
            <w:r w:rsidR="00D94800" w:rsidRPr="002C1BEC">
              <w:rPr>
                <w:b/>
                <w:bCs/>
                <w:sz w:val="20"/>
                <w:szCs w:val="20"/>
                <w:lang w:eastAsia="en-US"/>
              </w:rPr>
              <w:t>.</w:t>
            </w:r>
            <w:r w:rsidRPr="002C1BEC">
              <w:rPr>
                <w:b/>
                <w:bCs/>
                <w:sz w:val="20"/>
                <w:szCs w:val="20"/>
                <w:lang w:eastAsia="en-US"/>
              </w:rPr>
              <w:t>15</w:t>
            </w:r>
            <w:r w:rsidR="00D94800" w:rsidRPr="002C1BEC">
              <w:rPr>
                <w:b/>
                <w:bCs/>
                <w:sz w:val="20"/>
                <w:szCs w:val="20"/>
                <w:lang w:eastAsia="en-US"/>
              </w:rPr>
              <w:t>0</w:t>
            </w:r>
            <w:r w:rsidR="003179AE">
              <w:rPr>
                <w:b/>
                <w:bCs/>
                <w:sz w:val="20"/>
                <w:szCs w:val="20"/>
                <w:lang w:eastAsia="en-US"/>
              </w:rPr>
              <w:t xml:space="preserve"> EUR </w:t>
            </w:r>
          </w:p>
        </w:tc>
      </w:tr>
    </w:tbl>
    <w:p w14:paraId="7B7975B8" w14:textId="77777777" w:rsidR="002236BA" w:rsidRPr="002C1BEC" w:rsidRDefault="002236BA" w:rsidP="003501DC">
      <w:pPr>
        <w:tabs>
          <w:tab w:val="left" w:pos="708"/>
        </w:tabs>
        <w:spacing w:line="276" w:lineRule="auto"/>
        <w:jc w:val="center"/>
        <w:rPr>
          <w:rFonts w:cs="Arial"/>
          <w:szCs w:val="20"/>
          <w:lang w:val="sl-SI"/>
        </w:rPr>
      </w:pPr>
    </w:p>
    <w:tbl>
      <w:tblPr>
        <w:tblW w:w="0" w:type="auto"/>
        <w:tblLook w:val="04A0" w:firstRow="1" w:lastRow="0" w:firstColumn="1" w:lastColumn="0" w:noHBand="0" w:noVBand="1"/>
      </w:tblPr>
      <w:tblGrid>
        <w:gridCol w:w="8498"/>
      </w:tblGrid>
      <w:tr w:rsidR="002236BA" w:rsidRPr="008B02B9" w14:paraId="516ABA5E" w14:textId="77777777" w:rsidTr="00E008C0">
        <w:tc>
          <w:tcPr>
            <w:tcW w:w="8498" w:type="dxa"/>
          </w:tcPr>
          <w:p w14:paraId="3C5C3E0C" w14:textId="1F9E09C8" w:rsidR="00795995" w:rsidRPr="002C1BEC" w:rsidRDefault="00B103A3" w:rsidP="00443889">
            <w:pPr>
              <w:shd w:val="clear" w:color="auto" w:fill="FFFFFF" w:themeFill="background1"/>
              <w:spacing w:line="276" w:lineRule="auto"/>
              <w:jc w:val="both"/>
              <w:rPr>
                <w:rFonts w:cs="Arial"/>
                <w:color w:val="000000"/>
                <w:szCs w:val="20"/>
                <w:lang w:val="sl-SI" w:eastAsia="sl-SI"/>
              </w:rPr>
            </w:pPr>
            <w:r w:rsidRPr="002C1BEC">
              <w:rPr>
                <w:rFonts w:cs="Arial"/>
                <w:color w:val="000000"/>
                <w:szCs w:val="20"/>
                <w:lang w:val="sl-SI" w:eastAsia="sl-SI"/>
              </w:rPr>
              <w:t>Datum konca financiranja projekta</w:t>
            </w:r>
            <w:r w:rsidR="00382A11" w:rsidRPr="002C1BEC">
              <w:rPr>
                <w:rFonts w:cs="Arial"/>
                <w:color w:val="000000"/>
                <w:szCs w:val="20"/>
                <w:lang w:val="sl-SI" w:eastAsia="sl-SI"/>
              </w:rPr>
              <w:t xml:space="preserve"> </w:t>
            </w:r>
            <w:r w:rsidRPr="002C1BEC">
              <w:rPr>
                <w:rFonts w:cs="Arial"/>
                <w:i/>
                <w:iCs/>
                <w:color w:val="000000"/>
                <w:szCs w:val="20"/>
                <w:lang w:val="sl-SI" w:eastAsia="sl-SI"/>
              </w:rPr>
              <w:t>2563-24-000</w:t>
            </w:r>
            <w:r w:rsidR="00443889" w:rsidRPr="002C1BEC">
              <w:rPr>
                <w:rFonts w:cs="Arial"/>
                <w:i/>
                <w:iCs/>
                <w:color w:val="000000"/>
                <w:szCs w:val="20"/>
                <w:lang w:val="sl-SI" w:eastAsia="sl-SI"/>
              </w:rPr>
              <w:t>2</w:t>
            </w:r>
            <w:r w:rsidRPr="002C1BEC">
              <w:rPr>
                <w:rFonts w:cs="Arial"/>
                <w:i/>
                <w:iCs/>
                <w:color w:val="000000"/>
                <w:szCs w:val="20"/>
                <w:lang w:val="sl-SI" w:eastAsia="sl-SI"/>
              </w:rPr>
              <w:t xml:space="preserve"> »</w:t>
            </w:r>
            <w:r w:rsidR="00F56A1F">
              <w:rPr>
                <w:rFonts w:cs="Arial"/>
                <w:i/>
                <w:iCs/>
                <w:color w:val="000000"/>
                <w:szCs w:val="20"/>
                <w:lang w:val="sl-SI" w:eastAsia="sl-SI"/>
              </w:rPr>
              <w:t>K</w:t>
            </w:r>
            <w:r w:rsidR="00443889" w:rsidRPr="002C1BEC">
              <w:rPr>
                <w:rFonts w:cs="Arial"/>
                <w:i/>
                <w:iCs/>
                <w:color w:val="000000"/>
                <w:szCs w:val="20"/>
                <w:lang w:val="sl-SI" w:eastAsia="sl-SI"/>
              </w:rPr>
              <w:t>repitev</w:t>
            </w:r>
            <w:r w:rsidR="00F56A1F">
              <w:rPr>
                <w:rFonts w:cs="Arial"/>
                <w:i/>
                <w:iCs/>
                <w:color w:val="000000"/>
                <w:szCs w:val="20"/>
                <w:lang w:val="sl-SI" w:eastAsia="sl-SI"/>
              </w:rPr>
              <w:t xml:space="preserve"> turškega jedrskega</w:t>
            </w:r>
            <w:r w:rsidR="00443889" w:rsidRPr="002C1BEC">
              <w:rPr>
                <w:rFonts w:cs="Arial"/>
                <w:i/>
                <w:iCs/>
                <w:color w:val="000000"/>
                <w:szCs w:val="20"/>
                <w:lang w:val="sl-SI" w:eastAsia="sl-SI"/>
              </w:rPr>
              <w:t xml:space="preserve"> upravnega organa«</w:t>
            </w:r>
            <w:r w:rsidRPr="002C1BEC">
              <w:rPr>
                <w:rFonts w:cs="Arial"/>
                <w:color w:val="000000"/>
                <w:szCs w:val="20"/>
                <w:lang w:val="sl-SI" w:eastAsia="sl-SI"/>
              </w:rPr>
              <w:t xml:space="preserve"> je 31. 12. 202</w:t>
            </w:r>
            <w:r w:rsidR="00443889" w:rsidRPr="002C1BEC">
              <w:rPr>
                <w:rFonts w:cs="Arial"/>
                <w:color w:val="000000"/>
                <w:szCs w:val="20"/>
                <w:lang w:val="sl-SI" w:eastAsia="sl-SI"/>
              </w:rPr>
              <w:t>7</w:t>
            </w:r>
            <w:r w:rsidRPr="002C1BEC">
              <w:rPr>
                <w:rFonts w:cs="Arial"/>
                <w:color w:val="000000"/>
                <w:szCs w:val="20"/>
                <w:lang w:val="sl-SI" w:eastAsia="sl-SI"/>
              </w:rPr>
              <w:t xml:space="preserve">. </w:t>
            </w:r>
          </w:p>
          <w:p w14:paraId="5D84A0E5" w14:textId="77777777" w:rsidR="00F56A1F" w:rsidRPr="00EB0546" w:rsidRDefault="00F56A1F" w:rsidP="00F56A1F">
            <w:pPr>
              <w:pStyle w:val="Oddelek"/>
              <w:widowControl w:val="0"/>
              <w:numPr>
                <w:ilvl w:val="0"/>
                <w:numId w:val="0"/>
              </w:numPr>
              <w:spacing w:before="0" w:after="0" w:line="276" w:lineRule="auto"/>
              <w:jc w:val="both"/>
              <w:rPr>
                <w:b w:val="0"/>
                <w:bCs/>
                <w:i/>
                <w:iCs/>
                <w:sz w:val="20"/>
                <w:szCs w:val="20"/>
              </w:rPr>
            </w:pPr>
            <w:r w:rsidRPr="006575C1">
              <w:rPr>
                <w:b w:val="0"/>
                <w:bCs/>
                <w:sz w:val="20"/>
                <w:szCs w:val="20"/>
              </w:rPr>
              <w:t>Sredstva za namen  izvajanje projekta so v letu 2024 predvidena na proračunski postavki 231569, tip 801 - Pomoč pri krepitvi tujih upravnih organov za jedrsko in sevalno varnost. Sredstva za namen izvajanja se zagotavljajo s prerazporeditvijo znotraj planov projektov URSJV s prerazporeditvijo pravic porabe</w:t>
            </w:r>
            <w:r>
              <w:rPr>
                <w:b w:val="0"/>
                <w:bCs/>
                <w:sz w:val="20"/>
                <w:szCs w:val="20"/>
              </w:rPr>
              <w:t>.</w:t>
            </w:r>
          </w:p>
          <w:p w14:paraId="50C62BA1" w14:textId="77777777" w:rsidR="00F56A1F" w:rsidRPr="002C1BEC" w:rsidRDefault="00F56A1F" w:rsidP="00443889">
            <w:pPr>
              <w:shd w:val="clear" w:color="auto" w:fill="FFFFFF" w:themeFill="background1"/>
              <w:spacing w:line="276" w:lineRule="auto"/>
              <w:jc w:val="both"/>
              <w:rPr>
                <w:rFonts w:cs="Arial"/>
                <w:color w:val="000000"/>
                <w:szCs w:val="20"/>
                <w:lang w:val="sl-SI" w:eastAsia="sl-SI"/>
              </w:rPr>
            </w:pPr>
          </w:p>
          <w:p w14:paraId="4F79612C" w14:textId="570D1636" w:rsidR="00FB6B36" w:rsidRPr="00C71DBC" w:rsidRDefault="00443889" w:rsidP="003179AE">
            <w:pPr>
              <w:rPr>
                <w:rFonts w:cs="Arial"/>
                <w:iCs/>
                <w:color w:val="000000"/>
                <w:szCs w:val="20"/>
                <w:lang w:val="sl-SI" w:eastAsia="sl-SI"/>
              </w:rPr>
            </w:pPr>
            <w:r w:rsidRPr="002C1BEC">
              <w:rPr>
                <w:rFonts w:cs="Arial"/>
                <w:color w:val="000000"/>
                <w:szCs w:val="20"/>
                <w:lang w:val="sl-SI" w:eastAsia="sl-SI"/>
              </w:rPr>
              <w:t xml:space="preserve">Sredstva za namen izvajanja projekta za leto 2025, 2026 in 2027 so sredstva zagotovljena v okviru  evidenčnega projekta 2550-18-0004 </w:t>
            </w:r>
            <w:r w:rsidR="00FB6B36" w:rsidRPr="002C1BEC">
              <w:rPr>
                <w:rFonts w:cs="Arial"/>
                <w:iCs/>
                <w:color w:val="000000"/>
                <w:szCs w:val="20"/>
                <w:lang w:val="sl-SI" w:eastAsia="sl-SI"/>
              </w:rPr>
              <w:t>0004 - EU centralizirani programi in teritorialno sodelovanje in bodo zagotovljena s prerazporeditvijo načrtovanih sredstev.</w:t>
            </w:r>
          </w:p>
          <w:p w14:paraId="33BF6AA3" w14:textId="7E91C201" w:rsidR="002236BA" w:rsidRPr="00443889" w:rsidRDefault="002236BA" w:rsidP="00FB6B36">
            <w:pPr>
              <w:shd w:val="clear" w:color="auto" w:fill="FFFFFF" w:themeFill="background1"/>
              <w:spacing w:line="276" w:lineRule="auto"/>
              <w:jc w:val="both"/>
              <w:rPr>
                <w:rFonts w:cs="Arial"/>
                <w:color w:val="000000"/>
                <w:szCs w:val="20"/>
                <w:lang w:val="sl-SI" w:eastAsia="sl-SI"/>
              </w:rPr>
            </w:pPr>
          </w:p>
        </w:tc>
      </w:tr>
      <w:tr w:rsidR="002236BA" w:rsidRPr="008B02B9" w14:paraId="72A4AC4B" w14:textId="77777777" w:rsidTr="00E008C0">
        <w:tc>
          <w:tcPr>
            <w:tcW w:w="8498" w:type="dxa"/>
          </w:tcPr>
          <w:p w14:paraId="067C891C" w14:textId="77777777" w:rsidR="002236BA" w:rsidRPr="00C71DBC" w:rsidRDefault="002236BA" w:rsidP="003501DC">
            <w:pPr>
              <w:pStyle w:val="Alineazaodstavkom"/>
              <w:tabs>
                <w:tab w:val="clear" w:pos="360"/>
              </w:tabs>
              <w:spacing w:line="276" w:lineRule="auto"/>
              <w:ind w:firstLine="0"/>
              <w:rPr>
                <w:sz w:val="20"/>
                <w:szCs w:val="20"/>
              </w:rPr>
            </w:pPr>
          </w:p>
        </w:tc>
      </w:tr>
      <w:tr w:rsidR="002236BA" w:rsidRPr="008B02B9" w14:paraId="750230CD" w14:textId="77777777" w:rsidTr="00E008C0">
        <w:tc>
          <w:tcPr>
            <w:tcW w:w="8498" w:type="dxa"/>
          </w:tcPr>
          <w:p w14:paraId="3272B122" w14:textId="77777777" w:rsidR="002236BA" w:rsidRPr="00C71DBC" w:rsidRDefault="002236BA" w:rsidP="003501DC">
            <w:pPr>
              <w:pStyle w:val="Alineazaodstavkom"/>
              <w:tabs>
                <w:tab w:val="clear" w:pos="360"/>
              </w:tabs>
              <w:spacing w:line="276" w:lineRule="auto"/>
              <w:ind w:firstLine="0"/>
              <w:rPr>
                <w:sz w:val="20"/>
                <w:szCs w:val="20"/>
              </w:rPr>
            </w:pPr>
          </w:p>
        </w:tc>
      </w:tr>
      <w:bookmarkEnd w:id="1"/>
    </w:tbl>
    <w:p w14:paraId="404880FE" w14:textId="395DFC10" w:rsidR="007D75CF" w:rsidRPr="00C71DBC" w:rsidRDefault="007D75CF" w:rsidP="003501DC">
      <w:pPr>
        <w:tabs>
          <w:tab w:val="left" w:pos="6154"/>
        </w:tabs>
        <w:spacing w:line="276" w:lineRule="auto"/>
        <w:rPr>
          <w:rFonts w:cs="Arial"/>
          <w:szCs w:val="20"/>
          <w:lang w:val="sl-SI"/>
        </w:rPr>
      </w:pPr>
    </w:p>
    <w:sectPr w:rsidR="007D75CF" w:rsidRPr="00C71DBC"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1665" w14:textId="77777777" w:rsidR="0003749C" w:rsidRDefault="0003749C">
      <w:r>
        <w:separator/>
      </w:r>
    </w:p>
  </w:endnote>
  <w:endnote w:type="continuationSeparator" w:id="0">
    <w:p w14:paraId="69AA294A" w14:textId="77777777" w:rsidR="0003749C" w:rsidRDefault="0003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1B6"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3821"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40DF"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6D81" w14:textId="77777777" w:rsidR="0003749C" w:rsidRDefault="0003749C">
      <w:r>
        <w:separator/>
      </w:r>
    </w:p>
  </w:footnote>
  <w:footnote w:type="continuationSeparator" w:id="0">
    <w:p w14:paraId="2C4C8922" w14:textId="77777777" w:rsidR="0003749C" w:rsidRDefault="0003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8DF8"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579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2854"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4D14119E" wp14:editId="15F4BA76">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68A1EF19" wp14:editId="275E6EB2">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5EDD9"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F73FCD9" w14:textId="77777777" w:rsidR="0080686A" w:rsidRDefault="0080686A" w:rsidP="0080686A">
    <w:pPr>
      <w:pStyle w:val="Glava"/>
      <w:tabs>
        <w:tab w:val="clear" w:pos="4320"/>
        <w:tab w:val="left" w:pos="5112"/>
      </w:tabs>
      <w:spacing w:line="240" w:lineRule="exact"/>
      <w:rPr>
        <w:rFonts w:cs="Arial"/>
        <w:sz w:val="16"/>
        <w:lang w:val="sl-SI"/>
      </w:rPr>
    </w:pPr>
  </w:p>
  <w:p w14:paraId="1FB804F9" w14:textId="77777777" w:rsidR="0080686A" w:rsidRDefault="0080686A" w:rsidP="0080686A">
    <w:pPr>
      <w:pStyle w:val="Glava"/>
      <w:tabs>
        <w:tab w:val="clear" w:pos="4320"/>
        <w:tab w:val="left" w:pos="5112"/>
      </w:tabs>
      <w:spacing w:line="240" w:lineRule="exact"/>
      <w:rPr>
        <w:rFonts w:cs="Arial"/>
        <w:sz w:val="16"/>
        <w:lang w:val="sl-SI"/>
      </w:rPr>
    </w:pPr>
  </w:p>
  <w:p w14:paraId="71A38CE9"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2A61B949"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020DFC11"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6D8BC3C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25E2C4EC"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E97"/>
    <w:multiLevelType w:val="hybridMultilevel"/>
    <w:tmpl w:val="461C08F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FC3A07"/>
    <w:multiLevelType w:val="hybridMultilevel"/>
    <w:tmpl w:val="461C08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050C0A"/>
    <w:multiLevelType w:val="hybridMultilevel"/>
    <w:tmpl w:val="26D072E0"/>
    <w:lvl w:ilvl="0" w:tplc="76AC1A70">
      <w:start w:val="49"/>
      <w:numFmt w:val="bullet"/>
      <w:pStyle w:val="Ods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8A32EA"/>
    <w:multiLevelType w:val="hybridMultilevel"/>
    <w:tmpl w:val="DB3E9A1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6518012">
    <w:abstractNumId w:val="13"/>
  </w:num>
  <w:num w:numId="2" w16cid:durableId="567961143">
    <w:abstractNumId w:val="5"/>
  </w:num>
  <w:num w:numId="3" w16cid:durableId="265161519">
    <w:abstractNumId w:val="10"/>
  </w:num>
  <w:num w:numId="4" w16cid:durableId="237987302">
    <w:abstractNumId w:val="1"/>
  </w:num>
  <w:num w:numId="5" w16cid:durableId="374043446">
    <w:abstractNumId w:val="2"/>
  </w:num>
  <w:num w:numId="6" w16cid:durableId="1048917949">
    <w:abstractNumId w:val="7"/>
  </w:num>
  <w:num w:numId="7" w16cid:durableId="157623185">
    <w:abstractNumId w:val="11"/>
  </w:num>
  <w:num w:numId="8" w16cid:durableId="685399778">
    <w:abstractNumId w:val="3"/>
  </w:num>
  <w:num w:numId="9" w16cid:durableId="1454446574">
    <w:abstractNumId w:val="14"/>
  </w:num>
  <w:num w:numId="10" w16cid:durableId="780954168">
    <w:abstractNumId w:val="15"/>
  </w:num>
  <w:num w:numId="11" w16cid:durableId="665669721">
    <w:abstractNumId w:val="9"/>
  </w:num>
  <w:num w:numId="12" w16cid:durableId="1010184450">
    <w:abstractNumId w:val="4"/>
  </w:num>
  <w:num w:numId="13" w16cid:durableId="153689356">
    <w:abstractNumId w:val="8"/>
    <w:lvlOverride w:ilvl="0">
      <w:startOverride w:val="1"/>
    </w:lvlOverride>
  </w:num>
  <w:num w:numId="14" w16cid:durableId="2107770891">
    <w:abstractNumId w:val="12"/>
  </w:num>
  <w:num w:numId="15" w16cid:durableId="1074205868">
    <w:abstractNumId w:val="0"/>
  </w:num>
  <w:num w:numId="16" w16cid:durableId="986401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BA"/>
    <w:rsid w:val="0001550E"/>
    <w:rsid w:val="00023A88"/>
    <w:rsid w:val="00027744"/>
    <w:rsid w:val="0003749C"/>
    <w:rsid w:val="0004457B"/>
    <w:rsid w:val="00054864"/>
    <w:rsid w:val="000A5663"/>
    <w:rsid w:val="000A7238"/>
    <w:rsid w:val="000E1264"/>
    <w:rsid w:val="000E4374"/>
    <w:rsid w:val="000E4E63"/>
    <w:rsid w:val="000F080C"/>
    <w:rsid w:val="000F2A3A"/>
    <w:rsid w:val="00124BA7"/>
    <w:rsid w:val="00127077"/>
    <w:rsid w:val="001357B2"/>
    <w:rsid w:val="001438EB"/>
    <w:rsid w:val="00155A15"/>
    <w:rsid w:val="00164277"/>
    <w:rsid w:val="00164BE3"/>
    <w:rsid w:val="001837CC"/>
    <w:rsid w:val="00202A77"/>
    <w:rsid w:val="002236BA"/>
    <w:rsid w:val="00241018"/>
    <w:rsid w:val="00252E33"/>
    <w:rsid w:val="00253F34"/>
    <w:rsid w:val="00271CE5"/>
    <w:rsid w:val="00282020"/>
    <w:rsid w:val="002B7A82"/>
    <w:rsid w:val="002C1BEC"/>
    <w:rsid w:val="002D1010"/>
    <w:rsid w:val="002F6DF5"/>
    <w:rsid w:val="00300324"/>
    <w:rsid w:val="003138CE"/>
    <w:rsid w:val="003179AE"/>
    <w:rsid w:val="003501DC"/>
    <w:rsid w:val="003636BF"/>
    <w:rsid w:val="003710AE"/>
    <w:rsid w:val="0037479F"/>
    <w:rsid w:val="00382A11"/>
    <w:rsid w:val="003845B4"/>
    <w:rsid w:val="00387B1A"/>
    <w:rsid w:val="003E1C74"/>
    <w:rsid w:val="003E207A"/>
    <w:rsid w:val="003E4547"/>
    <w:rsid w:val="00406ACF"/>
    <w:rsid w:val="00430083"/>
    <w:rsid w:val="00432A62"/>
    <w:rsid w:val="00437140"/>
    <w:rsid w:val="00442DE2"/>
    <w:rsid w:val="00443889"/>
    <w:rsid w:val="0044591A"/>
    <w:rsid w:val="00446386"/>
    <w:rsid w:val="0045716D"/>
    <w:rsid w:val="004746D7"/>
    <w:rsid w:val="0048055B"/>
    <w:rsid w:val="0049432A"/>
    <w:rsid w:val="004B5530"/>
    <w:rsid w:val="005245C9"/>
    <w:rsid w:val="00526246"/>
    <w:rsid w:val="00560431"/>
    <w:rsid w:val="00567106"/>
    <w:rsid w:val="00570E95"/>
    <w:rsid w:val="00593FC6"/>
    <w:rsid w:val="005A07E9"/>
    <w:rsid w:val="005A1DFC"/>
    <w:rsid w:val="005A4C6F"/>
    <w:rsid w:val="005E1D3C"/>
    <w:rsid w:val="0062057D"/>
    <w:rsid w:val="00632253"/>
    <w:rsid w:val="00642714"/>
    <w:rsid w:val="006455CE"/>
    <w:rsid w:val="006575C1"/>
    <w:rsid w:val="00677197"/>
    <w:rsid w:val="006A1A2D"/>
    <w:rsid w:val="006A675C"/>
    <w:rsid w:val="006B3746"/>
    <w:rsid w:val="006D42D9"/>
    <w:rsid w:val="006F4A0D"/>
    <w:rsid w:val="00707289"/>
    <w:rsid w:val="007265C0"/>
    <w:rsid w:val="00733017"/>
    <w:rsid w:val="00742284"/>
    <w:rsid w:val="00746BBD"/>
    <w:rsid w:val="00763BAE"/>
    <w:rsid w:val="00783310"/>
    <w:rsid w:val="00795995"/>
    <w:rsid w:val="007A4A6D"/>
    <w:rsid w:val="007B76FA"/>
    <w:rsid w:val="007C48CA"/>
    <w:rsid w:val="007D0EE5"/>
    <w:rsid w:val="007D1BCF"/>
    <w:rsid w:val="007D75CF"/>
    <w:rsid w:val="007E30B3"/>
    <w:rsid w:val="007E6DC5"/>
    <w:rsid w:val="00805AA7"/>
    <w:rsid w:val="00806007"/>
    <w:rsid w:val="0080686A"/>
    <w:rsid w:val="00844C6A"/>
    <w:rsid w:val="00861912"/>
    <w:rsid w:val="0088043C"/>
    <w:rsid w:val="0088411C"/>
    <w:rsid w:val="008906C9"/>
    <w:rsid w:val="00892C16"/>
    <w:rsid w:val="008A7ECA"/>
    <w:rsid w:val="008B02B9"/>
    <w:rsid w:val="008B1FCF"/>
    <w:rsid w:val="008B3FE1"/>
    <w:rsid w:val="008C5738"/>
    <w:rsid w:val="008D04F0"/>
    <w:rsid w:val="008D7188"/>
    <w:rsid w:val="008F3500"/>
    <w:rsid w:val="00905D8B"/>
    <w:rsid w:val="00924E3C"/>
    <w:rsid w:val="0092509A"/>
    <w:rsid w:val="00932161"/>
    <w:rsid w:val="0093382D"/>
    <w:rsid w:val="009419FC"/>
    <w:rsid w:val="009612BB"/>
    <w:rsid w:val="00994953"/>
    <w:rsid w:val="00996FDC"/>
    <w:rsid w:val="009A20ED"/>
    <w:rsid w:val="009B663F"/>
    <w:rsid w:val="009B706D"/>
    <w:rsid w:val="009F0B23"/>
    <w:rsid w:val="009F6F89"/>
    <w:rsid w:val="00A0060E"/>
    <w:rsid w:val="00A125C5"/>
    <w:rsid w:val="00A14DF9"/>
    <w:rsid w:val="00A423AA"/>
    <w:rsid w:val="00A43ACE"/>
    <w:rsid w:val="00A5039D"/>
    <w:rsid w:val="00A65EE7"/>
    <w:rsid w:val="00A70133"/>
    <w:rsid w:val="00AA1841"/>
    <w:rsid w:val="00AC2465"/>
    <w:rsid w:val="00B05063"/>
    <w:rsid w:val="00B103A3"/>
    <w:rsid w:val="00B17141"/>
    <w:rsid w:val="00B31575"/>
    <w:rsid w:val="00B50D03"/>
    <w:rsid w:val="00B53EEE"/>
    <w:rsid w:val="00B66CA1"/>
    <w:rsid w:val="00B8547D"/>
    <w:rsid w:val="00B95595"/>
    <w:rsid w:val="00BC4E24"/>
    <w:rsid w:val="00BE3297"/>
    <w:rsid w:val="00BE57D9"/>
    <w:rsid w:val="00C00FDC"/>
    <w:rsid w:val="00C13786"/>
    <w:rsid w:val="00C250D5"/>
    <w:rsid w:val="00C31C2F"/>
    <w:rsid w:val="00C47425"/>
    <w:rsid w:val="00C47B70"/>
    <w:rsid w:val="00C63643"/>
    <w:rsid w:val="00C71DBC"/>
    <w:rsid w:val="00C92898"/>
    <w:rsid w:val="00CC5BE7"/>
    <w:rsid w:val="00CE7514"/>
    <w:rsid w:val="00D00322"/>
    <w:rsid w:val="00D13CD8"/>
    <w:rsid w:val="00D248DE"/>
    <w:rsid w:val="00D522FF"/>
    <w:rsid w:val="00D71EEC"/>
    <w:rsid w:val="00D8542D"/>
    <w:rsid w:val="00D870FC"/>
    <w:rsid w:val="00D94800"/>
    <w:rsid w:val="00DC6A71"/>
    <w:rsid w:val="00DC6E40"/>
    <w:rsid w:val="00DE5B46"/>
    <w:rsid w:val="00DE74F0"/>
    <w:rsid w:val="00E008C0"/>
    <w:rsid w:val="00E0357D"/>
    <w:rsid w:val="00E24EC2"/>
    <w:rsid w:val="00E45B17"/>
    <w:rsid w:val="00E65327"/>
    <w:rsid w:val="00E7091D"/>
    <w:rsid w:val="00E907F8"/>
    <w:rsid w:val="00E96041"/>
    <w:rsid w:val="00EA5954"/>
    <w:rsid w:val="00EB0368"/>
    <w:rsid w:val="00EB2E02"/>
    <w:rsid w:val="00ED4239"/>
    <w:rsid w:val="00ED4D02"/>
    <w:rsid w:val="00EF52A7"/>
    <w:rsid w:val="00EF74EA"/>
    <w:rsid w:val="00F23209"/>
    <w:rsid w:val="00F240BB"/>
    <w:rsid w:val="00F25603"/>
    <w:rsid w:val="00F25717"/>
    <w:rsid w:val="00F27CE7"/>
    <w:rsid w:val="00F42FA9"/>
    <w:rsid w:val="00F46724"/>
    <w:rsid w:val="00F56A1F"/>
    <w:rsid w:val="00F56A9A"/>
    <w:rsid w:val="00F57FED"/>
    <w:rsid w:val="00F82921"/>
    <w:rsid w:val="00F84DDB"/>
    <w:rsid w:val="00F94B50"/>
    <w:rsid w:val="00FB6B36"/>
    <w:rsid w:val="00FC6FB0"/>
    <w:rsid w:val="00FD5197"/>
    <w:rsid w:val="00FE4E7B"/>
    <w:rsid w:val="00FE7A64"/>
    <w:rsid w:val="00FF17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0C3ADCF"/>
  <w15:chartTrackingRefBased/>
  <w15:docId w15:val="{F18B8A80-1F8C-4924-8E01-DBCD18D0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236BA"/>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C13786"/>
    <w:pPr>
      <w:keepNext/>
      <w:spacing w:before="240" w:after="60"/>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customStyle="1" w:styleId="Naslov1Znak">
    <w:name w:val="Naslov 1 Znak"/>
    <w:aliases w:val="NASLOV Znak"/>
    <w:basedOn w:val="Privzetapisavaodstavka"/>
    <w:link w:val="Naslov1"/>
    <w:rsid w:val="00C13786"/>
    <w:rPr>
      <w:rFonts w:ascii="Arial" w:hAnsi="Arial"/>
      <w:bCs/>
      <w:kern w:val="32"/>
    </w:rPr>
  </w:style>
  <w:style w:type="paragraph" w:styleId="Telobesedila2">
    <w:name w:val="Body Text 2"/>
    <w:basedOn w:val="Navaden"/>
    <w:link w:val="Telobesedila2Znak"/>
    <w:rsid w:val="002236BA"/>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2236BA"/>
    <w:rPr>
      <w:b/>
      <w:bCs/>
      <w:sz w:val="24"/>
      <w:szCs w:val="24"/>
      <w:lang w:eastAsia="en-US"/>
    </w:rPr>
  </w:style>
  <w:style w:type="paragraph" w:customStyle="1" w:styleId="Naslovpredpisa">
    <w:name w:val="Naslov_predpisa"/>
    <w:basedOn w:val="Navaden"/>
    <w:link w:val="NaslovpredpisaZnak"/>
    <w:qFormat/>
    <w:rsid w:val="002236BA"/>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2236BA"/>
    <w:rPr>
      <w:rFonts w:ascii="Arial" w:hAnsi="Arial" w:cs="Arial"/>
      <w:b/>
      <w:sz w:val="22"/>
      <w:szCs w:val="22"/>
    </w:rPr>
  </w:style>
  <w:style w:type="paragraph" w:customStyle="1" w:styleId="Poglavje">
    <w:name w:val="Poglavje"/>
    <w:basedOn w:val="Navaden"/>
    <w:qFormat/>
    <w:rsid w:val="002236B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2236BA"/>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2236BA"/>
    <w:rPr>
      <w:rFonts w:ascii="Arial" w:hAnsi="Arial" w:cs="Arial"/>
      <w:sz w:val="22"/>
      <w:szCs w:val="22"/>
    </w:rPr>
  </w:style>
  <w:style w:type="paragraph" w:customStyle="1" w:styleId="Oddelek">
    <w:name w:val="Oddelek"/>
    <w:basedOn w:val="Navaden"/>
    <w:link w:val="OddelekZnak1"/>
    <w:qFormat/>
    <w:rsid w:val="002236BA"/>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2236BA"/>
    <w:rPr>
      <w:rFonts w:ascii="Arial" w:hAnsi="Arial" w:cs="Arial"/>
      <w:b/>
      <w:sz w:val="22"/>
      <w:szCs w:val="22"/>
    </w:rPr>
  </w:style>
  <w:style w:type="paragraph" w:customStyle="1" w:styleId="Vrstapredpisa">
    <w:name w:val="Vrsta predpisa"/>
    <w:basedOn w:val="Navaden"/>
    <w:link w:val="VrstapredpisaZnak"/>
    <w:qFormat/>
    <w:rsid w:val="002236BA"/>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2236BA"/>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2236BA"/>
    <w:pPr>
      <w:tabs>
        <w:tab w:val="num" w:pos="360"/>
      </w:tabs>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2236BA"/>
    <w:rPr>
      <w:rFonts w:ascii="Arial" w:hAnsi="Arial" w:cs="Arial"/>
      <w:sz w:val="22"/>
      <w:szCs w:val="22"/>
    </w:rPr>
  </w:style>
  <w:style w:type="paragraph" w:customStyle="1" w:styleId="Alineazatoko">
    <w:name w:val="Alinea za točko"/>
    <w:basedOn w:val="Navaden"/>
    <w:link w:val="AlineazatokoZnak"/>
    <w:qFormat/>
    <w:rsid w:val="002236BA"/>
    <w:pPr>
      <w:tabs>
        <w:tab w:val="num" w:pos="360"/>
      </w:tabs>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2236BA"/>
    <w:rPr>
      <w:rFonts w:ascii="Arial" w:hAnsi="Arial" w:cs="Arial"/>
      <w:sz w:val="22"/>
      <w:szCs w:val="22"/>
    </w:rPr>
  </w:style>
  <w:style w:type="character" w:customStyle="1" w:styleId="rkovnatokazaodstavkomZnak">
    <w:name w:val="Črkovna točka_za odstavkom Znak"/>
    <w:link w:val="rkovnatokazaodstavkom"/>
    <w:rsid w:val="002236BA"/>
    <w:rPr>
      <w:rFonts w:ascii="Arial" w:hAnsi="Arial"/>
    </w:rPr>
  </w:style>
  <w:style w:type="paragraph" w:customStyle="1" w:styleId="rkovnatokazaodstavkom">
    <w:name w:val="Črkovna točka_za odstavkom"/>
    <w:basedOn w:val="Navaden"/>
    <w:link w:val="rkovnatokazaodstavkomZnak"/>
    <w:qFormat/>
    <w:rsid w:val="002236BA"/>
    <w:pPr>
      <w:numPr>
        <w:numId w:val="13"/>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2236BA"/>
    <w:pPr>
      <w:numPr>
        <w:numId w:val="7"/>
      </w:numPr>
      <w:ind w:left="0" w:firstLine="0"/>
    </w:pPr>
  </w:style>
  <w:style w:type="character" w:customStyle="1" w:styleId="OdsekZnak">
    <w:name w:val="Odsek Znak"/>
    <w:link w:val="Odsek"/>
    <w:rsid w:val="002236BA"/>
    <w:rPr>
      <w:rFonts w:ascii="Arial" w:hAnsi="Arial" w:cs="Arial"/>
      <w:b/>
      <w:sz w:val="22"/>
      <w:szCs w:val="22"/>
    </w:rPr>
  </w:style>
  <w:style w:type="paragraph" w:customStyle="1" w:styleId="NeotevilenodstavekZnakZnakZnakZnak">
    <w:name w:val="Neoštevilčen odstavek Znak Znak Znak Znak"/>
    <w:basedOn w:val="Navaden"/>
    <w:link w:val="NeotevilenodstavekZnakZnakZnakZnakZnak"/>
    <w:qFormat/>
    <w:rsid w:val="002236BA"/>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ZnakZnakZnakZnak">
    <w:name w:val="Neoštevilčen odstavek Znak Znak Znak Znak Znak"/>
    <w:link w:val="NeotevilenodstavekZnakZnakZnakZnak"/>
    <w:rsid w:val="002236BA"/>
    <w:rPr>
      <w:rFonts w:ascii="Arial" w:hAnsi="Arial" w:cs="Arial"/>
      <w:sz w:val="22"/>
      <w:szCs w:val="22"/>
    </w:rPr>
  </w:style>
  <w:style w:type="character" w:customStyle="1" w:styleId="hps">
    <w:name w:val="hps"/>
    <w:rsid w:val="002236BA"/>
  </w:style>
  <w:style w:type="paragraph" w:styleId="Odstavekseznama">
    <w:name w:val="List Paragraph"/>
    <w:basedOn w:val="Navaden"/>
    <w:uiPriority w:val="34"/>
    <w:qFormat/>
    <w:rsid w:val="000E4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3211">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6676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11873</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Jakopič ((MNVP)</dc:creator>
  <cp:keywords/>
  <cp:lastModifiedBy>Meta Majes Škufca</cp:lastModifiedBy>
  <cp:revision>4</cp:revision>
  <cp:lastPrinted>2024-07-03T13:45:00Z</cp:lastPrinted>
  <dcterms:created xsi:type="dcterms:W3CDTF">2024-09-13T13:49:00Z</dcterms:created>
  <dcterms:modified xsi:type="dcterms:W3CDTF">2024-09-18T07:32:00Z</dcterms:modified>
</cp:coreProperties>
</file>