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BCBA" w14:textId="77777777" w:rsidR="00BE3A18" w:rsidRPr="00BE3A18" w:rsidRDefault="00BE3A18" w:rsidP="00BE3A18">
      <w:pPr>
        <w:spacing w:line="240" w:lineRule="exact"/>
        <w:jc w:val="right"/>
        <w:rPr>
          <w:rFonts w:ascii="Arial" w:hAnsi="Arial" w:cs="Arial"/>
          <w:sz w:val="20"/>
          <w:szCs w:val="20"/>
        </w:rPr>
      </w:pPr>
      <w:r w:rsidRPr="00BE3A18">
        <w:rPr>
          <w:rFonts w:ascii="Arial" w:hAnsi="Arial" w:cs="Arial"/>
          <w:sz w:val="20"/>
          <w:szCs w:val="20"/>
        </w:rPr>
        <w:t>PREDLOG</w:t>
      </w:r>
    </w:p>
    <w:p w14:paraId="1958F4B4" w14:textId="77777777" w:rsidR="00BE3A18" w:rsidRPr="00BE3A18" w:rsidRDefault="00BE3A18" w:rsidP="00BE3A18">
      <w:pPr>
        <w:pStyle w:val="PlainText"/>
        <w:jc w:val="right"/>
        <w:rPr>
          <w:rFonts w:ascii="Arial" w:hAnsi="Arial" w:cs="Arial"/>
        </w:rPr>
      </w:pPr>
    </w:p>
    <w:p w14:paraId="04B05BA9" w14:textId="7E44F838" w:rsidR="00BE3A18" w:rsidRPr="00BE3A18" w:rsidRDefault="00BE3A18" w:rsidP="00BE3A18">
      <w:pPr>
        <w:pStyle w:val="PlainText"/>
        <w:jc w:val="right"/>
        <w:rPr>
          <w:rFonts w:ascii="Arial" w:hAnsi="Arial" w:cs="Arial"/>
          <w:lang w:val="sl-SI"/>
        </w:rPr>
      </w:pPr>
      <w:r w:rsidRPr="00BE3A18">
        <w:rPr>
          <w:rFonts w:ascii="Arial" w:hAnsi="Arial" w:cs="Arial"/>
        </w:rPr>
        <w:t>EVA 2023-1811-0</w:t>
      </w:r>
      <w:r w:rsidR="00162C3F">
        <w:rPr>
          <w:rFonts w:ascii="Arial" w:hAnsi="Arial" w:cs="Arial"/>
          <w:lang w:val="sl-SI"/>
        </w:rPr>
        <w:t>032</w:t>
      </w:r>
    </w:p>
    <w:p w14:paraId="7CB913B2" w14:textId="77777777" w:rsidR="00BE3A18" w:rsidRPr="00BE3A18" w:rsidRDefault="00BE3A18" w:rsidP="00BE3A18">
      <w:pPr>
        <w:jc w:val="right"/>
        <w:rPr>
          <w:rFonts w:ascii="Arial" w:hAnsi="Arial" w:cs="Arial"/>
          <w:sz w:val="20"/>
          <w:szCs w:val="20"/>
          <w:u w:val="single"/>
        </w:rPr>
      </w:pPr>
    </w:p>
    <w:p w14:paraId="6335816F" w14:textId="77777777" w:rsidR="00BE3A18" w:rsidRPr="00BE3A18" w:rsidRDefault="00BE3A18" w:rsidP="00BE3A18">
      <w:pPr>
        <w:jc w:val="right"/>
        <w:rPr>
          <w:rFonts w:ascii="Arial" w:hAnsi="Arial" w:cs="Arial"/>
          <w:sz w:val="20"/>
          <w:szCs w:val="20"/>
          <w:u w:val="single"/>
        </w:rPr>
      </w:pPr>
    </w:p>
    <w:p w14:paraId="16B35D36" w14:textId="77777777" w:rsidR="00BE3A18" w:rsidRPr="00BE3A18" w:rsidRDefault="00BE3A18" w:rsidP="00BE3A18">
      <w:pPr>
        <w:pStyle w:val="PlainText"/>
        <w:jc w:val="center"/>
        <w:rPr>
          <w:rFonts w:ascii="Arial" w:hAnsi="Arial" w:cs="Arial"/>
          <w:b/>
        </w:rPr>
      </w:pPr>
    </w:p>
    <w:p w14:paraId="7A0BAAF1" w14:textId="77777777" w:rsidR="00BE3A18" w:rsidRPr="00BE3A18" w:rsidRDefault="00BE3A18" w:rsidP="00BE3A18">
      <w:pPr>
        <w:pStyle w:val="PlainText"/>
        <w:jc w:val="center"/>
        <w:rPr>
          <w:rFonts w:ascii="Arial" w:hAnsi="Arial" w:cs="Arial"/>
          <w:b/>
        </w:rPr>
      </w:pPr>
    </w:p>
    <w:p w14:paraId="2CA9E6F3" w14:textId="77777777" w:rsidR="00BE3A18" w:rsidRPr="00BE3A18" w:rsidRDefault="00BE3A18" w:rsidP="00BE3A18">
      <w:pPr>
        <w:pStyle w:val="PlainText"/>
        <w:jc w:val="center"/>
        <w:rPr>
          <w:rFonts w:ascii="Arial" w:hAnsi="Arial" w:cs="Arial"/>
          <w:b/>
        </w:rPr>
      </w:pPr>
    </w:p>
    <w:p w14:paraId="1DDF7AAD" w14:textId="77777777" w:rsidR="00860136" w:rsidRDefault="00BE3A18" w:rsidP="00BE3A18">
      <w:pPr>
        <w:pStyle w:val="PlainText"/>
        <w:jc w:val="center"/>
        <w:rPr>
          <w:rFonts w:ascii="Arial" w:hAnsi="Arial" w:cs="Arial"/>
          <w:b/>
        </w:rPr>
      </w:pPr>
      <w:r w:rsidRPr="00BE3A18">
        <w:rPr>
          <w:rFonts w:ascii="Arial" w:hAnsi="Arial" w:cs="Arial"/>
          <w:b/>
        </w:rPr>
        <w:t>ZAKON O RATIFIKACIJI</w:t>
      </w:r>
      <w:r w:rsidR="00860136">
        <w:rPr>
          <w:rFonts w:ascii="Arial" w:hAnsi="Arial" w:cs="Arial"/>
          <w:b/>
        </w:rPr>
        <w:t xml:space="preserve"> </w:t>
      </w:r>
    </w:p>
    <w:p w14:paraId="2E8947DF" w14:textId="23DF16A3" w:rsidR="00860136" w:rsidRDefault="00860136" w:rsidP="00BE3A18">
      <w:pPr>
        <w:pStyle w:val="PlainText"/>
        <w:jc w:val="center"/>
        <w:rPr>
          <w:rFonts w:ascii="Arial" w:hAnsi="Arial" w:cs="Arial"/>
          <w:b/>
          <w:lang w:val="sl-SI"/>
        </w:rPr>
      </w:pPr>
      <w:r>
        <w:rPr>
          <w:rFonts w:ascii="Arial" w:hAnsi="Arial" w:cs="Arial"/>
          <w:b/>
          <w:lang w:val="sl-SI"/>
        </w:rPr>
        <w:t xml:space="preserve">PRILOGE G IN SPREMEMB </w:t>
      </w:r>
      <w:r w:rsidR="000D7AE3">
        <w:rPr>
          <w:rFonts w:ascii="Arial" w:hAnsi="Arial" w:cs="Arial"/>
          <w:b/>
          <w:lang w:val="sl-SI"/>
        </w:rPr>
        <w:t xml:space="preserve">PRILOG A, B IN C </w:t>
      </w:r>
      <w:r w:rsidR="006D47BB">
        <w:rPr>
          <w:rFonts w:ascii="Arial" w:hAnsi="Arial" w:cs="Arial"/>
          <w:b/>
          <w:lang w:val="sl-SI"/>
        </w:rPr>
        <w:t xml:space="preserve">K </w:t>
      </w:r>
      <w:r>
        <w:rPr>
          <w:rFonts w:ascii="Arial" w:hAnsi="Arial" w:cs="Arial"/>
          <w:b/>
          <w:lang w:val="sl-SI"/>
        </w:rPr>
        <w:t>STOCKHOLMSK</w:t>
      </w:r>
      <w:r w:rsidR="006D47BB">
        <w:rPr>
          <w:rFonts w:ascii="Arial" w:hAnsi="Arial" w:cs="Arial"/>
          <w:b/>
          <w:lang w:val="sl-SI"/>
        </w:rPr>
        <w:t>I</w:t>
      </w:r>
      <w:r>
        <w:rPr>
          <w:rFonts w:ascii="Arial" w:hAnsi="Arial" w:cs="Arial"/>
          <w:b/>
          <w:lang w:val="sl-SI"/>
        </w:rPr>
        <w:t xml:space="preserve"> KONVENCIJ</w:t>
      </w:r>
      <w:r w:rsidR="006D47BB">
        <w:rPr>
          <w:rFonts w:ascii="Arial" w:hAnsi="Arial" w:cs="Arial"/>
          <w:b/>
          <w:lang w:val="sl-SI"/>
        </w:rPr>
        <w:t>I</w:t>
      </w:r>
      <w:r>
        <w:rPr>
          <w:rFonts w:ascii="Arial" w:hAnsi="Arial" w:cs="Arial"/>
          <w:b/>
          <w:lang w:val="sl-SI"/>
        </w:rPr>
        <w:t xml:space="preserve"> </w:t>
      </w:r>
    </w:p>
    <w:p w14:paraId="0D0DB473" w14:textId="21720728" w:rsidR="00BE3A18" w:rsidRPr="00860136" w:rsidRDefault="00860136" w:rsidP="00BE3A18">
      <w:pPr>
        <w:pStyle w:val="PlainText"/>
        <w:jc w:val="center"/>
        <w:rPr>
          <w:rFonts w:ascii="Arial" w:hAnsi="Arial" w:cs="Arial"/>
          <w:b/>
          <w:lang w:val="sl-SI"/>
        </w:rPr>
      </w:pPr>
      <w:r>
        <w:rPr>
          <w:rFonts w:ascii="Arial" w:hAnsi="Arial" w:cs="Arial"/>
          <w:b/>
          <w:lang w:val="sl-SI"/>
        </w:rPr>
        <w:t>O OBSTOJNIH ORGANSKIH ONESNAŽEVALIH</w:t>
      </w:r>
    </w:p>
    <w:p w14:paraId="0F44DFBB" w14:textId="3A071E2E" w:rsidR="00BE3A18" w:rsidRPr="00BE3A18" w:rsidRDefault="00BE3A18" w:rsidP="00BE3A18">
      <w:pPr>
        <w:pStyle w:val="PlainText"/>
        <w:jc w:val="center"/>
        <w:rPr>
          <w:rFonts w:ascii="Arial" w:hAnsi="Arial" w:cs="Arial"/>
          <w:b/>
          <w:lang w:val="sl-SI"/>
        </w:rPr>
      </w:pPr>
    </w:p>
    <w:p w14:paraId="6047B5E4" w14:textId="77777777" w:rsidR="00BE3A18" w:rsidRPr="00BE3A18" w:rsidRDefault="00BE3A18" w:rsidP="00BE3A18">
      <w:pPr>
        <w:pStyle w:val="PlainText"/>
        <w:jc w:val="center"/>
        <w:rPr>
          <w:rFonts w:ascii="Arial" w:hAnsi="Arial" w:cs="Arial"/>
          <w:b/>
          <w:lang w:val="sl-SI"/>
        </w:rPr>
      </w:pPr>
    </w:p>
    <w:p w14:paraId="3A19C512" w14:textId="77777777" w:rsidR="00BE3A18" w:rsidRPr="00BE3A18" w:rsidRDefault="00BE3A18" w:rsidP="00BE3A18">
      <w:pPr>
        <w:pStyle w:val="PlainText"/>
        <w:jc w:val="center"/>
        <w:rPr>
          <w:rFonts w:ascii="Arial" w:hAnsi="Arial" w:cs="Arial"/>
          <w:b/>
          <w:lang w:val="sl-SI"/>
        </w:rPr>
      </w:pPr>
    </w:p>
    <w:p w14:paraId="09AA03D5" w14:textId="77777777" w:rsidR="00BE3A18" w:rsidRPr="00BE3A18" w:rsidRDefault="00BE3A18" w:rsidP="00BE3A18">
      <w:pPr>
        <w:pStyle w:val="PlainText"/>
        <w:jc w:val="center"/>
        <w:rPr>
          <w:rFonts w:ascii="Arial" w:hAnsi="Arial" w:cs="Arial"/>
          <w:b/>
          <w:lang w:val="sl-SI"/>
        </w:rPr>
      </w:pPr>
    </w:p>
    <w:p w14:paraId="5A61B002" w14:textId="77777777" w:rsidR="00BE3A18" w:rsidRPr="00BE3A18" w:rsidRDefault="00BE3A18" w:rsidP="00BE3A18">
      <w:pPr>
        <w:pStyle w:val="PlainText"/>
        <w:jc w:val="center"/>
        <w:rPr>
          <w:rFonts w:ascii="Arial" w:hAnsi="Arial" w:cs="Arial"/>
        </w:rPr>
      </w:pPr>
      <w:r w:rsidRPr="00BE3A18">
        <w:rPr>
          <w:rFonts w:ascii="Arial" w:hAnsi="Arial" w:cs="Arial"/>
          <w:lang w:val="sl-SI"/>
        </w:rPr>
        <w:t xml:space="preserve">1. </w:t>
      </w:r>
      <w:r w:rsidRPr="00BE3A18">
        <w:rPr>
          <w:rFonts w:ascii="Arial" w:hAnsi="Arial" w:cs="Arial"/>
        </w:rPr>
        <w:t>člen</w:t>
      </w:r>
    </w:p>
    <w:p w14:paraId="70AA2E51" w14:textId="77777777" w:rsidR="00BE3A18" w:rsidRPr="00BE3A18" w:rsidRDefault="00BE3A18" w:rsidP="00BE3A18">
      <w:pPr>
        <w:pStyle w:val="PlainText"/>
        <w:rPr>
          <w:rFonts w:ascii="Arial" w:hAnsi="Arial" w:cs="Arial"/>
        </w:rPr>
      </w:pPr>
    </w:p>
    <w:p w14:paraId="16697124" w14:textId="386D208B" w:rsidR="00BE3A18" w:rsidRPr="00BE3A18" w:rsidRDefault="00BE3A18" w:rsidP="000D7AE3">
      <w:pPr>
        <w:spacing w:before="20" w:after="20"/>
        <w:jc w:val="both"/>
        <w:rPr>
          <w:rFonts w:ascii="Arial" w:hAnsi="Arial" w:cs="Arial"/>
          <w:b/>
        </w:rPr>
      </w:pPr>
      <w:r w:rsidRPr="00BE3A18">
        <w:rPr>
          <w:rFonts w:ascii="Arial" w:hAnsi="Arial" w:cs="Arial"/>
          <w:sz w:val="20"/>
          <w:szCs w:val="20"/>
        </w:rPr>
        <w:t>Ratificira</w:t>
      </w:r>
      <w:r>
        <w:rPr>
          <w:rFonts w:ascii="Arial" w:hAnsi="Arial" w:cs="Arial"/>
          <w:sz w:val="20"/>
          <w:szCs w:val="20"/>
        </w:rPr>
        <w:t xml:space="preserve">jo se </w:t>
      </w:r>
      <w:r w:rsidR="000D7AE3">
        <w:rPr>
          <w:rFonts w:ascii="Arial" w:hAnsi="Arial" w:cs="Arial"/>
          <w:sz w:val="20"/>
          <w:szCs w:val="20"/>
        </w:rPr>
        <w:t>P</w:t>
      </w:r>
      <w:r w:rsidR="000D7AE3" w:rsidRPr="005F1AA9">
        <w:rPr>
          <w:rFonts w:ascii="Arial" w:hAnsi="Arial" w:cs="Arial"/>
          <w:sz w:val="20"/>
          <w:szCs w:val="20"/>
          <w:lang w:eastAsia="sl-SI"/>
        </w:rPr>
        <w:t>rilog</w:t>
      </w:r>
      <w:r w:rsidR="000D7AE3">
        <w:rPr>
          <w:rFonts w:ascii="Arial" w:hAnsi="Arial" w:cs="Arial"/>
          <w:sz w:val="20"/>
          <w:szCs w:val="20"/>
          <w:lang w:eastAsia="sl-SI"/>
        </w:rPr>
        <w:t>a</w:t>
      </w:r>
      <w:r w:rsidR="000D7AE3" w:rsidRPr="005F1AA9">
        <w:rPr>
          <w:rFonts w:ascii="Arial" w:hAnsi="Arial" w:cs="Arial"/>
          <w:sz w:val="20"/>
          <w:szCs w:val="20"/>
          <w:lang w:eastAsia="sl-SI"/>
        </w:rPr>
        <w:t xml:space="preserve"> G </w:t>
      </w:r>
      <w:r w:rsidR="000D7AE3">
        <w:rPr>
          <w:rFonts w:ascii="Arial" w:hAnsi="Arial" w:cs="Arial"/>
          <w:sz w:val="20"/>
          <w:szCs w:val="20"/>
          <w:lang w:eastAsia="sl-SI"/>
        </w:rPr>
        <w:t xml:space="preserve">k Stockholmski konvenciji o obstojnih organskih onesnaževalih, sprejeta na </w:t>
      </w:r>
      <w:r w:rsidR="000D7AE3">
        <w:rPr>
          <w:rFonts w:ascii="Arial" w:hAnsi="Arial" w:cs="Arial"/>
          <w:sz w:val="20"/>
          <w:szCs w:val="20"/>
        </w:rPr>
        <w:t>zasedanju Konference pogodbenic</w:t>
      </w:r>
      <w:r w:rsidR="000D7AE3">
        <w:rPr>
          <w:rFonts w:ascii="Arial" w:hAnsi="Arial" w:cs="Arial"/>
          <w:sz w:val="20"/>
          <w:szCs w:val="20"/>
          <w:lang w:eastAsia="sl-SI"/>
        </w:rPr>
        <w:t xml:space="preserve"> v Punti del Este, Urugvaju, 6. maja 2005</w:t>
      </w:r>
      <w:r w:rsidR="0057258C">
        <w:rPr>
          <w:rFonts w:ascii="Arial" w:hAnsi="Arial" w:cs="Arial"/>
          <w:sz w:val="20"/>
          <w:szCs w:val="20"/>
          <w:lang w:eastAsia="sl-SI"/>
        </w:rPr>
        <w:t>,</w:t>
      </w:r>
      <w:r w:rsidR="000D7AE3">
        <w:rPr>
          <w:rFonts w:ascii="Arial" w:hAnsi="Arial" w:cs="Arial"/>
          <w:sz w:val="20"/>
          <w:szCs w:val="20"/>
          <w:lang w:eastAsia="sl-SI"/>
        </w:rPr>
        <w:t xml:space="preserve"> in spremembe </w:t>
      </w:r>
      <w:r w:rsidR="00761607">
        <w:rPr>
          <w:rFonts w:ascii="Arial" w:hAnsi="Arial" w:cs="Arial"/>
          <w:sz w:val="20"/>
          <w:szCs w:val="20"/>
          <w:lang w:eastAsia="sl-SI"/>
        </w:rPr>
        <w:t>P</w:t>
      </w:r>
      <w:r w:rsidR="000D7AE3" w:rsidRPr="005F1AA9">
        <w:rPr>
          <w:rFonts w:ascii="Arial" w:hAnsi="Arial" w:cs="Arial"/>
          <w:sz w:val="20"/>
          <w:szCs w:val="20"/>
          <w:lang w:eastAsia="sl-SI"/>
        </w:rPr>
        <w:t xml:space="preserve">rilog </w:t>
      </w:r>
      <w:r w:rsidR="000D7AE3">
        <w:rPr>
          <w:rFonts w:ascii="Arial" w:hAnsi="Arial" w:cs="Arial"/>
          <w:sz w:val="20"/>
          <w:szCs w:val="20"/>
          <w:lang w:eastAsia="sl-SI"/>
        </w:rPr>
        <w:t xml:space="preserve">A, B in C </w:t>
      </w:r>
      <w:r w:rsidR="005F6050">
        <w:rPr>
          <w:rFonts w:ascii="Arial" w:hAnsi="Arial" w:cs="Arial"/>
          <w:sz w:val="20"/>
          <w:szCs w:val="20"/>
          <w:lang w:eastAsia="sl-SI"/>
        </w:rPr>
        <w:t>h</w:t>
      </w:r>
      <w:r w:rsidR="001377F7">
        <w:rPr>
          <w:rFonts w:ascii="Arial" w:hAnsi="Arial" w:cs="Arial"/>
          <w:sz w:val="20"/>
          <w:szCs w:val="20"/>
          <w:lang w:eastAsia="sl-SI"/>
        </w:rPr>
        <w:t xml:space="preserve"> konvenciji</w:t>
      </w:r>
      <w:r w:rsidR="000D7AE3" w:rsidRPr="00AF5C32">
        <w:rPr>
          <w:rFonts w:ascii="Arial" w:hAnsi="Arial" w:cs="Arial"/>
          <w:sz w:val="20"/>
          <w:szCs w:val="20"/>
        </w:rPr>
        <w:t>,</w:t>
      </w:r>
      <w:r w:rsidR="000D7AE3" w:rsidRPr="003C398C">
        <w:rPr>
          <w:rFonts w:ascii="Arial" w:hAnsi="Arial" w:cs="Arial"/>
          <w:sz w:val="20"/>
          <w:szCs w:val="20"/>
        </w:rPr>
        <w:t xml:space="preserve"> </w:t>
      </w:r>
      <w:r w:rsidR="000D7AE3">
        <w:rPr>
          <w:rFonts w:ascii="Arial" w:hAnsi="Arial" w:cs="Arial"/>
          <w:sz w:val="20"/>
          <w:szCs w:val="20"/>
        </w:rPr>
        <w:t>sprejete na zasedanjih Konference pogodbenic v Ženevi 8. maja 2009, 29. aprila 2011</w:t>
      </w:r>
      <w:r w:rsidR="000D7AE3">
        <w:rPr>
          <w:rFonts w:ascii="Arial" w:hAnsi="Arial" w:cs="Arial"/>
          <w:sz w:val="20"/>
          <w:szCs w:val="20"/>
          <w:lang w:eastAsia="sl-SI"/>
        </w:rPr>
        <w:t>, 10. maja 2013, 15. maja 2015, 5. maja 2017, 10. maja 2019 in 17. junija 2022</w:t>
      </w:r>
      <w:r w:rsidR="007545DA">
        <w:rPr>
          <w:rFonts w:ascii="Arial" w:hAnsi="Arial" w:cs="Arial"/>
          <w:sz w:val="20"/>
          <w:szCs w:val="20"/>
          <w:lang w:eastAsia="sl-SI"/>
        </w:rPr>
        <w:t>.</w:t>
      </w:r>
    </w:p>
    <w:p w14:paraId="66262494" w14:textId="77777777" w:rsidR="00BE3A18" w:rsidRPr="00BE3A18" w:rsidRDefault="00BE3A18" w:rsidP="00BE3A18">
      <w:pPr>
        <w:pStyle w:val="PlainText"/>
        <w:rPr>
          <w:rFonts w:ascii="Arial" w:hAnsi="Arial" w:cs="Arial"/>
          <w:b/>
        </w:rPr>
      </w:pPr>
    </w:p>
    <w:p w14:paraId="60562BF0" w14:textId="77777777" w:rsidR="00BE3A18" w:rsidRPr="00BE3A18" w:rsidRDefault="00BE3A18" w:rsidP="00BE3A18">
      <w:pPr>
        <w:pStyle w:val="PlainText"/>
        <w:jc w:val="center"/>
        <w:rPr>
          <w:rFonts w:ascii="Arial" w:hAnsi="Arial" w:cs="Arial"/>
        </w:rPr>
      </w:pPr>
      <w:r w:rsidRPr="00BE3A18">
        <w:rPr>
          <w:rFonts w:ascii="Arial" w:hAnsi="Arial" w:cs="Arial"/>
          <w:lang w:val="sl-SI"/>
        </w:rPr>
        <w:t xml:space="preserve">2. </w:t>
      </w:r>
      <w:r w:rsidRPr="00BE3A18">
        <w:rPr>
          <w:rFonts w:ascii="Arial" w:hAnsi="Arial" w:cs="Arial"/>
        </w:rPr>
        <w:t>člen</w:t>
      </w:r>
    </w:p>
    <w:p w14:paraId="64E07EC9" w14:textId="77777777" w:rsidR="00BE3A18" w:rsidRPr="00BE3A18" w:rsidRDefault="00BE3A18" w:rsidP="00BE3A18">
      <w:pPr>
        <w:pStyle w:val="PlainText"/>
        <w:rPr>
          <w:rFonts w:ascii="Arial" w:hAnsi="Arial" w:cs="Arial"/>
        </w:rPr>
      </w:pPr>
    </w:p>
    <w:p w14:paraId="136CD4BE" w14:textId="5F75C09C" w:rsidR="00BE3A18" w:rsidRPr="00BE3A18" w:rsidRDefault="00BE3A18" w:rsidP="00BE3A18">
      <w:pPr>
        <w:rPr>
          <w:rFonts w:ascii="Arial" w:hAnsi="Arial" w:cs="Arial"/>
          <w:sz w:val="20"/>
          <w:szCs w:val="20"/>
        </w:rPr>
      </w:pPr>
      <w:r>
        <w:rPr>
          <w:rFonts w:ascii="Arial" w:hAnsi="Arial" w:cs="Arial"/>
          <w:sz w:val="20"/>
          <w:szCs w:val="20"/>
        </w:rPr>
        <w:t xml:space="preserve">Priloga G in spremembe </w:t>
      </w:r>
      <w:r w:rsidR="00D974DD">
        <w:rPr>
          <w:rFonts w:ascii="Arial" w:hAnsi="Arial" w:cs="Arial"/>
          <w:sz w:val="20"/>
          <w:szCs w:val="20"/>
        </w:rPr>
        <w:t>P</w:t>
      </w:r>
      <w:r w:rsidR="000D7AE3">
        <w:rPr>
          <w:rFonts w:ascii="Arial" w:hAnsi="Arial" w:cs="Arial"/>
          <w:sz w:val="20"/>
          <w:szCs w:val="20"/>
        </w:rPr>
        <w:t xml:space="preserve">rilog A, B in C h </w:t>
      </w:r>
      <w:r>
        <w:rPr>
          <w:rFonts w:ascii="Arial" w:hAnsi="Arial" w:cs="Arial"/>
          <w:sz w:val="20"/>
          <w:szCs w:val="20"/>
        </w:rPr>
        <w:t>konvencij</w:t>
      </w:r>
      <w:r w:rsidR="000D7AE3">
        <w:rPr>
          <w:rFonts w:ascii="Arial" w:hAnsi="Arial" w:cs="Arial"/>
          <w:sz w:val="20"/>
          <w:szCs w:val="20"/>
        </w:rPr>
        <w:t>i</w:t>
      </w:r>
      <w:r w:rsidRPr="00BE3A18">
        <w:rPr>
          <w:rFonts w:ascii="Arial" w:hAnsi="Arial" w:cs="Arial"/>
          <w:sz w:val="20"/>
          <w:szCs w:val="20"/>
        </w:rPr>
        <w:t xml:space="preserve"> se v izvirniku v </w:t>
      </w:r>
      <w:r>
        <w:rPr>
          <w:rFonts w:ascii="Arial" w:hAnsi="Arial" w:cs="Arial"/>
          <w:sz w:val="20"/>
          <w:szCs w:val="20"/>
        </w:rPr>
        <w:t>angleškem</w:t>
      </w:r>
      <w:r w:rsidR="0096066E">
        <w:rPr>
          <w:rFonts w:ascii="Arial" w:hAnsi="Arial" w:cs="Arial"/>
          <w:sz w:val="20"/>
          <w:szCs w:val="20"/>
        </w:rPr>
        <w:t xml:space="preserve"> jeziku</w:t>
      </w:r>
      <w:r>
        <w:rPr>
          <w:rFonts w:ascii="Arial" w:hAnsi="Arial" w:cs="Arial"/>
          <w:sz w:val="20"/>
          <w:szCs w:val="20"/>
        </w:rPr>
        <w:t xml:space="preserve"> in prevodu v </w:t>
      </w:r>
      <w:r w:rsidRPr="00BE3A18">
        <w:rPr>
          <w:rFonts w:ascii="Arial" w:hAnsi="Arial" w:cs="Arial"/>
          <w:sz w:val="20"/>
          <w:szCs w:val="20"/>
        </w:rPr>
        <w:t>slovenskem jeziku glasi</w:t>
      </w:r>
      <w:r w:rsidR="0096066E">
        <w:rPr>
          <w:rFonts w:ascii="Arial" w:hAnsi="Arial" w:cs="Arial"/>
          <w:sz w:val="20"/>
          <w:szCs w:val="20"/>
        </w:rPr>
        <w:t>jo</w:t>
      </w:r>
      <w:r w:rsidRPr="00BE3A18">
        <w:rPr>
          <w:rFonts w:ascii="Arial" w:hAnsi="Arial" w:cs="Arial"/>
          <w:sz w:val="20"/>
          <w:szCs w:val="20"/>
        </w:rPr>
        <w:t>:</w:t>
      </w:r>
    </w:p>
    <w:p w14:paraId="512A29D4" w14:textId="77777777" w:rsidR="00BE3A18" w:rsidRPr="00BE3A18" w:rsidRDefault="00BE3A18" w:rsidP="00BE3A18">
      <w:pPr>
        <w:rPr>
          <w:rFonts w:ascii="Arial" w:hAnsi="Arial" w:cs="Arial"/>
          <w:sz w:val="20"/>
          <w:szCs w:val="20"/>
        </w:rPr>
      </w:pPr>
    </w:p>
    <w:p w14:paraId="59939BAE" w14:textId="77777777" w:rsidR="00BE3A18" w:rsidRDefault="00BE3A18" w:rsidP="00BE3A18">
      <w:pPr>
        <w:jc w:val="both"/>
        <w:rPr>
          <w:szCs w:val="20"/>
          <w:u w:val="single"/>
        </w:rPr>
      </w:pPr>
    </w:p>
    <w:p w14:paraId="7722E0C6" w14:textId="77777777" w:rsidR="00BE3A18" w:rsidRDefault="00BE3A18" w:rsidP="00BE3A18">
      <w:pPr>
        <w:spacing w:after="0" w:line="240" w:lineRule="auto"/>
        <w:outlineLvl w:val="1"/>
        <w:rPr>
          <w:rFonts w:ascii="Times New Roman" w:eastAsia="Times New Roman" w:hAnsi="Times New Roman"/>
          <w:b/>
          <w:sz w:val="24"/>
          <w:szCs w:val="24"/>
          <w:lang w:val="en-GB"/>
        </w:rPr>
      </w:pPr>
    </w:p>
    <w:p w14:paraId="37C572B8" w14:textId="77777777" w:rsidR="00BE3A18" w:rsidRDefault="00BE3A18" w:rsidP="00BE3A18">
      <w:pPr>
        <w:spacing w:after="0" w:line="240" w:lineRule="auto"/>
        <w:ind w:left="1247"/>
        <w:outlineLvl w:val="1"/>
        <w:rPr>
          <w:rFonts w:ascii="Times New Roman" w:eastAsia="Times New Roman" w:hAnsi="Times New Roman"/>
          <w:b/>
          <w:sz w:val="24"/>
          <w:szCs w:val="24"/>
          <w:lang w:val="en-GB"/>
        </w:rPr>
      </w:pPr>
    </w:p>
    <w:p w14:paraId="14BE7861" w14:textId="6A1CEA11" w:rsidR="00BE3A18" w:rsidRDefault="00BE3A18">
      <w:pPr>
        <w:spacing w:after="0" w:line="240" w:lineRule="auto"/>
        <w:rPr>
          <w:rFonts w:ascii="Times New Roman" w:eastAsia="Times New Roman" w:hAnsi="Times New Roman"/>
          <w:b/>
          <w:sz w:val="24"/>
          <w:szCs w:val="24"/>
          <w:lang w:val="en-GB"/>
        </w:rPr>
      </w:pPr>
      <w:r>
        <w:rPr>
          <w:rFonts w:ascii="Times New Roman" w:eastAsia="Times New Roman" w:hAnsi="Times New Roman"/>
          <w:b/>
          <w:sz w:val="24"/>
          <w:szCs w:val="24"/>
          <w:lang w:val="en-GB"/>
        </w:rPr>
        <w:br w:type="page"/>
      </w:r>
    </w:p>
    <w:p w14:paraId="724C7D4B" w14:textId="77777777" w:rsidR="00BE3A18" w:rsidRDefault="00BE3A18" w:rsidP="00BE3A18">
      <w:pPr>
        <w:spacing w:after="0" w:line="240" w:lineRule="auto"/>
        <w:ind w:left="1247"/>
        <w:outlineLvl w:val="1"/>
        <w:rPr>
          <w:rFonts w:ascii="Times New Roman" w:eastAsia="Times New Roman" w:hAnsi="Times New Roman"/>
          <w:b/>
          <w:sz w:val="24"/>
          <w:szCs w:val="24"/>
          <w:lang w:val="en-GB"/>
        </w:rPr>
      </w:pPr>
    </w:p>
    <w:p w14:paraId="2A08BD4C" w14:textId="2CCECDEB" w:rsidR="00BE3A18" w:rsidRPr="003548EE" w:rsidRDefault="00BE3A18" w:rsidP="00BE3A18">
      <w:pPr>
        <w:spacing w:after="0" w:line="240" w:lineRule="auto"/>
        <w:ind w:left="1247"/>
        <w:outlineLvl w:val="1"/>
        <w:rPr>
          <w:rFonts w:ascii="Arial" w:eastAsia="Times New Roman" w:hAnsi="Arial" w:cs="Arial"/>
          <w:b/>
          <w:sz w:val="24"/>
          <w:szCs w:val="24"/>
          <w:lang w:val="en-GB"/>
        </w:rPr>
      </w:pPr>
      <w:r w:rsidRPr="003548EE">
        <w:rPr>
          <w:rFonts w:ascii="Arial" w:eastAsia="Times New Roman" w:hAnsi="Arial" w:cs="Arial"/>
          <w:b/>
          <w:sz w:val="24"/>
          <w:szCs w:val="24"/>
          <w:lang w:val="en-GB"/>
        </w:rPr>
        <w:t>SC-1/2: Settlement of disputes</w:t>
      </w:r>
    </w:p>
    <w:p w14:paraId="2C52C69B" w14:textId="77777777" w:rsidR="00BE3A18" w:rsidRPr="009E5E1D" w:rsidRDefault="00BE3A18" w:rsidP="00BE3A18">
      <w:pPr>
        <w:spacing w:after="0" w:line="240" w:lineRule="auto"/>
        <w:ind w:left="1248" w:hanging="624"/>
        <w:rPr>
          <w:rFonts w:ascii="Arial" w:eastAsia="Times New Roman" w:hAnsi="Arial" w:cs="Arial"/>
          <w:sz w:val="20"/>
          <w:szCs w:val="20"/>
          <w:lang w:val="en-GB"/>
        </w:rPr>
      </w:pPr>
    </w:p>
    <w:p w14:paraId="7E99F269" w14:textId="77777777" w:rsidR="00BE3A18" w:rsidRPr="009E5E1D" w:rsidRDefault="00BE3A18" w:rsidP="00BE3A18">
      <w:pPr>
        <w:spacing w:after="0" w:line="240" w:lineRule="auto"/>
        <w:ind w:left="1247" w:firstLine="624"/>
        <w:rPr>
          <w:rFonts w:ascii="Arial" w:eastAsia="Times New Roman" w:hAnsi="Arial" w:cs="Arial"/>
          <w:i/>
          <w:sz w:val="20"/>
          <w:szCs w:val="20"/>
          <w:lang w:val="en-GB"/>
        </w:rPr>
      </w:pPr>
      <w:r w:rsidRPr="009E5E1D">
        <w:rPr>
          <w:rFonts w:ascii="Arial" w:eastAsia="Times New Roman" w:hAnsi="Arial" w:cs="Arial"/>
          <w:sz w:val="20"/>
          <w:szCs w:val="20"/>
          <w:lang w:val="en-GB"/>
        </w:rPr>
        <w:tab/>
      </w:r>
      <w:r w:rsidRPr="009E5E1D">
        <w:rPr>
          <w:rFonts w:ascii="Arial" w:eastAsia="Times New Roman" w:hAnsi="Arial" w:cs="Arial"/>
          <w:i/>
          <w:sz w:val="20"/>
          <w:szCs w:val="20"/>
          <w:lang w:val="en-GB"/>
        </w:rPr>
        <w:t>The Conference of the Parties,</w:t>
      </w:r>
    </w:p>
    <w:p w14:paraId="72F598A2"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52ED6DAB"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i/>
          <w:sz w:val="20"/>
          <w:szCs w:val="20"/>
          <w:lang w:val="en-GB"/>
        </w:rPr>
        <w:t>Adopts,</w:t>
      </w:r>
      <w:r w:rsidRPr="009E5E1D">
        <w:rPr>
          <w:rFonts w:ascii="Arial" w:eastAsia="Times New Roman" w:hAnsi="Arial" w:cs="Arial"/>
          <w:sz w:val="20"/>
          <w:szCs w:val="20"/>
          <w:lang w:val="en-GB"/>
        </w:rPr>
        <w:t xml:space="preserve"> as Annex G to the Convention, the following arbitration procedure for purposes of paragraph 2 (a) of Article 18 of the Convention and conciliation procedure for purposes of paragraph 6 of Article 18 of the Convention.</w:t>
      </w:r>
    </w:p>
    <w:p w14:paraId="79952BD5" w14:textId="77777777" w:rsidR="00BE3A18" w:rsidRPr="009E5E1D" w:rsidRDefault="00BE3A18" w:rsidP="0096066E">
      <w:pPr>
        <w:spacing w:after="240" w:line="240" w:lineRule="auto"/>
        <w:rPr>
          <w:rFonts w:ascii="Arial" w:eastAsia="Times New Roman" w:hAnsi="Arial" w:cs="Arial"/>
          <w:b/>
          <w:bCs/>
          <w:sz w:val="20"/>
          <w:szCs w:val="20"/>
          <w:lang w:val="en-GB"/>
        </w:rPr>
      </w:pPr>
    </w:p>
    <w:p w14:paraId="6ABF8E1A" w14:textId="77777777" w:rsidR="00BE3A18" w:rsidRPr="003548EE" w:rsidRDefault="00BE3A18" w:rsidP="00BE3A18">
      <w:pPr>
        <w:spacing w:after="0" w:line="240" w:lineRule="auto"/>
        <w:ind w:left="1247"/>
        <w:rPr>
          <w:rFonts w:ascii="Arial" w:eastAsia="Times New Roman" w:hAnsi="Arial" w:cs="Arial"/>
          <w:b/>
          <w:bCs/>
          <w:sz w:val="28"/>
          <w:szCs w:val="28"/>
          <w:lang w:val="en-GB"/>
        </w:rPr>
      </w:pPr>
      <w:r w:rsidRPr="003548EE">
        <w:rPr>
          <w:rFonts w:ascii="Arial" w:eastAsia="Times New Roman" w:hAnsi="Arial" w:cs="Arial"/>
          <w:b/>
          <w:bCs/>
          <w:sz w:val="28"/>
          <w:szCs w:val="28"/>
          <w:lang w:val="en-GB"/>
        </w:rPr>
        <w:t>Annex G</w:t>
      </w:r>
    </w:p>
    <w:p w14:paraId="51BB61DF" w14:textId="77777777" w:rsidR="00BE3A18" w:rsidRPr="009E5E1D" w:rsidRDefault="00BE3A18" w:rsidP="00BE3A18">
      <w:pPr>
        <w:spacing w:after="0" w:line="240" w:lineRule="auto"/>
        <w:ind w:left="1247" w:hanging="624"/>
        <w:rPr>
          <w:rFonts w:ascii="Arial" w:eastAsia="Times New Roman" w:hAnsi="Arial" w:cs="Arial"/>
          <w:bCs/>
          <w:sz w:val="20"/>
          <w:szCs w:val="20"/>
          <w:lang w:val="en-GB"/>
        </w:rPr>
      </w:pPr>
    </w:p>
    <w:p w14:paraId="1CA68D78" w14:textId="77777777" w:rsidR="00BE3A18" w:rsidRPr="003548EE" w:rsidRDefault="00BE3A18" w:rsidP="00BE3A18">
      <w:pPr>
        <w:spacing w:after="240" w:line="240" w:lineRule="auto"/>
        <w:ind w:left="624"/>
        <w:rPr>
          <w:rFonts w:ascii="Arial" w:eastAsia="Times New Roman" w:hAnsi="Arial" w:cs="Arial"/>
          <w:b/>
          <w:bCs/>
          <w:caps/>
          <w:sz w:val="28"/>
          <w:szCs w:val="28"/>
          <w:lang w:val="en-GB"/>
        </w:rPr>
      </w:pPr>
      <w:r w:rsidRPr="003548EE">
        <w:rPr>
          <w:rFonts w:ascii="Arial" w:eastAsia="Times New Roman" w:hAnsi="Arial" w:cs="Arial"/>
          <w:b/>
          <w:bCs/>
          <w:sz w:val="28"/>
          <w:szCs w:val="28"/>
          <w:lang w:val="en-GB"/>
        </w:rPr>
        <w:t>I.</w:t>
      </w:r>
      <w:r w:rsidRPr="003548EE">
        <w:rPr>
          <w:rFonts w:ascii="Arial" w:eastAsia="Times New Roman" w:hAnsi="Arial" w:cs="Arial"/>
          <w:b/>
          <w:bCs/>
          <w:sz w:val="28"/>
          <w:szCs w:val="28"/>
          <w:lang w:val="en-GB"/>
        </w:rPr>
        <w:tab/>
        <w:t>Arbitration procedure</w:t>
      </w:r>
    </w:p>
    <w:p w14:paraId="3C8DE5D2" w14:textId="77777777" w:rsidR="00BE3A18" w:rsidRPr="009E5E1D" w:rsidRDefault="00BE3A18" w:rsidP="00BE3A18">
      <w:pPr>
        <w:spacing w:after="0" w:line="240" w:lineRule="auto"/>
        <w:ind w:left="1247" w:firstLine="624"/>
        <w:outlineLvl w:val="0"/>
        <w:rPr>
          <w:rFonts w:ascii="Arial" w:eastAsia="Times New Roman" w:hAnsi="Arial" w:cs="Arial"/>
          <w:sz w:val="20"/>
          <w:szCs w:val="20"/>
          <w:lang w:val="en-GB"/>
        </w:rPr>
      </w:pPr>
      <w:r w:rsidRPr="009E5E1D">
        <w:rPr>
          <w:rFonts w:ascii="Arial" w:eastAsia="Times New Roman" w:hAnsi="Arial" w:cs="Arial"/>
          <w:sz w:val="20"/>
          <w:szCs w:val="20"/>
          <w:lang w:val="en-GB"/>
        </w:rPr>
        <w:tab/>
        <w:t>The arbitration procedure for purposes of paragraph 2 (a) of Article 18 of the Convention shall be as follows:</w:t>
      </w:r>
    </w:p>
    <w:p w14:paraId="2AB69018" w14:textId="77777777" w:rsidR="00BE3A18" w:rsidRPr="009E5E1D" w:rsidRDefault="00BE3A18" w:rsidP="00BE3A18">
      <w:pPr>
        <w:keepNext/>
        <w:spacing w:after="0" w:line="240" w:lineRule="auto"/>
        <w:ind w:left="1247"/>
        <w:outlineLvl w:val="3"/>
        <w:rPr>
          <w:rFonts w:ascii="Arial" w:eastAsia="MS Mincho" w:hAnsi="Arial" w:cs="Arial"/>
          <w:b/>
          <w:sz w:val="20"/>
          <w:szCs w:val="20"/>
          <w:lang w:val="en-GB"/>
        </w:rPr>
      </w:pPr>
    </w:p>
    <w:p w14:paraId="38C2A44A"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w:t>
      </w:r>
    </w:p>
    <w:p w14:paraId="1E256DDF" w14:textId="77777777" w:rsidR="00BE3A18" w:rsidRPr="009E5E1D" w:rsidRDefault="00BE3A18" w:rsidP="00BE3A18">
      <w:pPr>
        <w:spacing w:after="0" w:line="240" w:lineRule="auto"/>
        <w:ind w:left="1248" w:hanging="624"/>
        <w:rPr>
          <w:rFonts w:ascii="Arial" w:eastAsia="Times New Roman" w:hAnsi="Arial" w:cs="Arial"/>
          <w:sz w:val="20"/>
          <w:szCs w:val="20"/>
          <w:lang w:val="en-GB"/>
        </w:rPr>
      </w:pPr>
    </w:p>
    <w:p w14:paraId="1CF4C653"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A Party may initiate recourse to arbitration in accordance with Article 18 of the Convention by written notification addressed to the other party to the dispute. The notification shall be accompanied by a statement of the claim, together with any supporting documents, and state the subject-matter of arbitration and include, in particular, the articles of the Convention the interpretation or application of which are at issue.</w:t>
      </w:r>
    </w:p>
    <w:p w14:paraId="75692E79"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5F28CD5E"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The claimant party shall notify the Secretariat that the parties are referring a dispute to arbitration pursuant to Article 18. The notification shall be accompanied by the written notification of the claimant party, the statement of claim and the supporting documents referred to in paragraph 1 above. The Secretariat shall forward the information thus received to all Parties.</w:t>
      </w:r>
    </w:p>
    <w:p w14:paraId="3B5B8144" w14:textId="77777777" w:rsidR="00BE3A18" w:rsidRPr="009E5E1D" w:rsidRDefault="00BE3A18" w:rsidP="00BE3A18">
      <w:pPr>
        <w:spacing w:after="0" w:line="240" w:lineRule="auto"/>
        <w:ind w:left="1247"/>
        <w:rPr>
          <w:rFonts w:ascii="Arial" w:eastAsia="Times New Roman" w:hAnsi="Arial" w:cs="Arial"/>
          <w:sz w:val="20"/>
          <w:szCs w:val="20"/>
          <w:lang w:val="en-GB"/>
        </w:rPr>
      </w:pPr>
    </w:p>
    <w:p w14:paraId="407AD9AE" w14:textId="77777777" w:rsidR="00BE3A18" w:rsidRPr="009E5E1D" w:rsidRDefault="00BE3A18" w:rsidP="00BE3A18">
      <w:pPr>
        <w:keepNext/>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2</w:t>
      </w:r>
    </w:p>
    <w:p w14:paraId="43FDC918"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7A18723C"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 xml:space="preserve">If a dispute is referred to arbitration in accordance with Article 1 above, an arbitral tribunal shall be established. It shall consist of three members. </w:t>
      </w:r>
    </w:p>
    <w:p w14:paraId="16E363CE"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2C78A0FE"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Each of the parties to the dispute shall appoint an arbitrator and the two arbitrators so appointed shall designate by common agreement the third arbitrator, who shall be the President of the tribunal. The President of the tribunal shall not be a national of one of the parties to the dispute, nor have his or her usual place of residence in the territory of one of those parties, nor be employed by any of them, nor have dealt with the case in any other capacity.</w:t>
      </w:r>
    </w:p>
    <w:p w14:paraId="2AC4EADE"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5F732222"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3.</w:t>
      </w:r>
      <w:r w:rsidRPr="009E5E1D">
        <w:rPr>
          <w:rFonts w:ascii="Arial" w:eastAsia="Times New Roman" w:hAnsi="Arial" w:cs="Arial"/>
          <w:sz w:val="20"/>
          <w:szCs w:val="20"/>
          <w:lang w:val="en-GB"/>
        </w:rPr>
        <w:tab/>
        <w:t>In disputes between more than two parties, parties in the same interest shall appoint one arbitrator jointly by agreement.</w:t>
      </w:r>
    </w:p>
    <w:p w14:paraId="5EF16A3C"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6E85719C"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4.</w:t>
      </w:r>
      <w:r w:rsidRPr="009E5E1D">
        <w:rPr>
          <w:rFonts w:ascii="Arial" w:eastAsia="Times New Roman" w:hAnsi="Arial" w:cs="Arial"/>
          <w:sz w:val="20"/>
          <w:szCs w:val="20"/>
          <w:lang w:val="en-GB"/>
        </w:rPr>
        <w:tab/>
        <w:t>Any vacancy shall be filled in the manner prescribed for the initial appointment.</w:t>
      </w:r>
    </w:p>
    <w:p w14:paraId="10646A81"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7756A203"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5.</w:t>
      </w:r>
      <w:r w:rsidRPr="009E5E1D">
        <w:rPr>
          <w:rFonts w:ascii="Arial" w:eastAsia="Times New Roman" w:hAnsi="Arial" w:cs="Arial"/>
          <w:sz w:val="20"/>
          <w:szCs w:val="20"/>
          <w:lang w:val="en-GB"/>
        </w:rPr>
        <w:tab/>
        <w:t>If the parties do not agree on the subject-matter of the dispute before the President of the arbitral tribunal is designated, the arbitral tribunal shall determine the subject-matter.</w:t>
      </w:r>
    </w:p>
    <w:p w14:paraId="51925469"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75BD1BC7" w14:textId="77777777" w:rsidR="00BE3A18" w:rsidRPr="009E5E1D" w:rsidRDefault="00BE3A18" w:rsidP="00BE3A18">
      <w:pPr>
        <w:keepNext/>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3</w:t>
      </w:r>
    </w:p>
    <w:p w14:paraId="72DFA71D"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091AED43"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 xml:space="preserve">If one of the parties to the dispute does not appoint an arbitrator within two months of the date on which the respondent party receives the notification of the </w:t>
      </w:r>
      <w:r w:rsidRPr="009E5E1D">
        <w:rPr>
          <w:rFonts w:ascii="Arial" w:eastAsia="Times New Roman" w:hAnsi="Arial" w:cs="Arial"/>
          <w:sz w:val="20"/>
          <w:szCs w:val="20"/>
          <w:lang w:val="en-GB"/>
        </w:rPr>
        <w:lastRenderedPageBreak/>
        <w:t>arbitration, the other party may inform the Secretary-General of the United Nations, who shall make the designation within a further two-month period.</w:t>
      </w:r>
    </w:p>
    <w:p w14:paraId="690CE234"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2E4ECDF1"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 xml:space="preserve">If the President of the arbitral tribunal has not been designated within two months of the date of the appointment of the second arbitrator, the Secretary-General of the United Nations shall, at the request of a party, designate the President within a further two-month period. </w:t>
      </w:r>
    </w:p>
    <w:p w14:paraId="203F635B"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3AD35481" w14:textId="77777777" w:rsidR="00BE3A18" w:rsidRPr="009E5E1D" w:rsidRDefault="00BE3A18" w:rsidP="00BE3A18">
      <w:pPr>
        <w:keepNext/>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4</w:t>
      </w:r>
    </w:p>
    <w:p w14:paraId="585DA66A"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1BC60A46"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arbitral tribunal shall render its decisions in accordance with the provisions of the Convention and international law.</w:t>
      </w:r>
    </w:p>
    <w:p w14:paraId="1784EA23" w14:textId="77777777" w:rsidR="00BE3A18" w:rsidRPr="009E5E1D" w:rsidRDefault="00BE3A18" w:rsidP="00BE3A18">
      <w:pPr>
        <w:spacing w:after="0" w:line="240" w:lineRule="auto"/>
        <w:ind w:left="624"/>
        <w:rPr>
          <w:rFonts w:ascii="Arial" w:eastAsia="Times New Roman" w:hAnsi="Arial" w:cs="Arial"/>
          <w:sz w:val="20"/>
          <w:szCs w:val="20"/>
          <w:lang w:val="en-GB"/>
        </w:rPr>
      </w:pPr>
    </w:p>
    <w:p w14:paraId="6116F7DC" w14:textId="77777777" w:rsidR="00BE3A18" w:rsidRPr="009E5E1D" w:rsidRDefault="00BE3A18" w:rsidP="00BE3A18">
      <w:pPr>
        <w:keepNext/>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5</w:t>
      </w:r>
    </w:p>
    <w:p w14:paraId="492FA723"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p>
    <w:p w14:paraId="442BB8FD"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Unless the parties to the dispute otherwise agree, the arbitral tribunal shall determine its own rules of procedure.</w:t>
      </w:r>
    </w:p>
    <w:p w14:paraId="5C64A27E"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1BBA9AC9"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6</w:t>
      </w:r>
    </w:p>
    <w:p w14:paraId="60D0D0C8"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45E67899"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arbitral tribunal may, at the request of one of the parties, indicate essential interim measures of protection.</w:t>
      </w:r>
    </w:p>
    <w:p w14:paraId="35AD6DA9"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5954AB55"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7</w:t>
      </w:r>
    </w:p>
    <w:p w14:paraId="203DCBE6"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7DC3FF3B"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parties to the dispute shall facilitate the work of the arbitral tribunal and, in particular, using all means at their disposal, shall:</w:t>
      </w:r>
    </w:p>
    <w:p w14:paraId="632381FA" w14:textId="77777777" w:rsidR="00BE3A18" w:rsidRPr="009E5E1D" w:rsidRDefault="00BE3A18" w:rsidP="00BE3A18">
      <w:pPr>
        <w:spacing w:after="0" w:line="240" w:lineRule="auto"/>
        <w:ind w:left="1247"/>
        <w:rPr>
          <w:rFonts w:ascii="Arial" w:eastAsia="Times New Roman" w:hAnsi="Arial" w:cs="Arial"/>
          <w:sz w:val="20"/>
          <w:szCs w:val="20"/>
          <w:lang w:val="en-GB"/>
        </w:rPr>
      </w:pPr>
    </w:p>
    <w:p w14:paraId="643E4449"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(a)</w:t>
      </w:r>
      <w:r w:rsidRPr="009E5E1D">
        <w:rPr>
          <w:rFonts w:ascii="Arial" w:eastAsia="Times New Roman" w:hAnsi="Arial" w:cs="Arial"/>
          <w:sz w:val="20"/>
          <w:szCs w:val="20"/>
          <w:lang w:val="en-GB"/>
        </w:rPr>
        <w:tab/>
        <w:t>Provide it with all relevant documents, information and facilities; and</w:t>
      </w:r>
    </w:p>
    <w:p w14:paraId="43CE9703"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6784168B"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(b)</w:t>
      </w:r>
      <w:r w:rsidRPr="009E5E1D">
        <w:rPr>
          <w:rFonts w:ascii="Arial" w:eastAsia="Times New Roman" w:hAnsi="Arial" w:cs="Arial"/>
          <w:sz w:val="20"/>
          <w:szCs w:val="20"/>
          <w:lang w:val="en-GB"/>
        </w:rPr>
        <w:tab/>
        <w:t>Enable it, when necessary, to call witnesses or experts and receive their evidence.</w:t>
      </w:r>
    </w:p>
    <w:p w14:paraId="5161C523"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2ED4A61C"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8</w:t>
      </w:r>
    </w:p>
    <w:p w14:paraId="2EF54435"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12467C66"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parties and the arbitrators are under an obligation to protect the confidentiality of any information they receive in confidence during the proceedings of the arbitral tribunal.</w:t>
      </w:r>
    </w:p>
    <w:p w14:paraId="351F120C"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04042AA8" w14:textId="77777777" w:rsidR="00BE3A18" w:rsidRPr="009E5E1D" w:rsidRDefault="00BE3A18" w:rsidP="00BE3A18">
      <w:pPr>
        <w:keepNext/>
        <w:keepLines/>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9</w:t>
      </w:r>
    </w:p>
    <w:p w14:paraId="2EE52FC5" w14:textId="77777777" w:rsidR="00BE3A18" w:rsidRPr="009E5E1D" w:rsidRDefault="00BE3A18" w:rsidP="00BE3A18">
      <w:pPr>
        <w:keepNext/>
        <w:keepLines/>
        <w:spacing w:after="0" w:line="240" w:lineRule="auto"/>
        <w:ind w:left="1247" w:hanging="624"/>
        <w:rPr>
          <w:rFonts w:ascii="Arial" w:eastAsia="Times New Roman" w:hAnsi="Arial" w:cs="Arial"/>
          <w:sz w:val="20"/>
          <w:szCs w:val="20"/>
          <w:lang w:val="en-GB"/>
        </w:rPr>
      </w:pPr>
    </w:p>
    <w:p w14:paraId="29667002" w14:textId="77777777" w:rsidR="00BE3A18" w:rsidRPr="009E5E1D" w:rsidRDefault="00BE3A18" w:rsidP="00BE3A18">
      <w:pPr>
        <w:keepNext/>
        <w:keepLines/>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Unless the arbitral tribunal determines otherwise because of the particular circumstances of the case, the costs of the tribunal shall be borne by the parties to the dispute in equal shares. The tribunal shall keep a record of all its costs, and shall furnish a final statement thereof to the parties.</w:t>
      </w:r>
    </w:p>
    <w:p w14:paraId="59E3D597"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1485EC08" w14:textId="77777777" w:rsidR="00BE3A18" w:rsidRPr="009E5E1D" w:rsidRDefault="00BE3A18" w:rsidP="00BE3A18">
      <w:pPr>
        <w:keepNext/>
        <w:keepLines/>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10</w:t>
      </w:r>
    </w:p>
    <w:p w14:paraId="70BCB124" w14:textId="77777777" w:rsidR="00BE3A18" w:rsidRPr="009E5E1D" w:rsidRDefault="00BE3A18" w:rsidP="00BE3A18">
      <w:pPr>
        <w:keepNext/>
        <w:keepLines/>
        <w:spacing w:after="0" w:line="240" w:lineRule="auto"/>
        <w:ind w:left="1247" w:hanging="624"/>
        <w:rPr>
          <w:rFonts w:ascii="Arial" w:eastAsia="Times New Roman" w:hAnsi="Arial" w:cs="Arial"/>
          <w:sz w:val="20"/>
          <w:szCs w:val="20"/>
          <w:lang w:val="en-GB"/>
        </w:rPr>
      </w:pPr>
    </w:p>
    <w:p w14:paraId="11E4A1CD" w14:textId="77777777" w:rsidR="00BE3A18" w:rsidRPr="009E5E1D" w:rsidRDefault="00BE3A18" w:rsidP="00BE3A18">
      <w:pPr>
        <w:keepNext/>
        <w:keepLines/>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A party that has an interest of a legal nature in the subject matter of the dispute which may be affected by the decision in the case may intervene in the proceedings with the consent of the tribunal.</w:t>
      </w:r>
    </w:p>
    <w:p w14:paraId="0B1FE25C"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613B8F54"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11</w:t>
      </w:r>
    </w:p>
    <w:p w14:paraId="44F6744A"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3DD80E81"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tribunal may hear and determine counterclaims arising directly out of the subject matter of the dispute.</w:t>
      </w:r>
    </w:p>
    <w:p w14:paraId="24B1399D"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3DFC1234"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12</w:t>
      </w:r>
    </w:p>
    <w:p w14:paraId="0A532A63" w14:textId="77777777" w:rsidR="00BE3A18" w:rsidRPr="009E5E1D" w:rsidRDefault="00BE3A18" w:rsidP="00BE3A18">
      <w:pPr>
        <w:spacing w:after="0" w:line="240" w:lineRule="auto"/>
        <w:ind w:left="1247"/>
        <w:rPr>
          <w:rFonts w:ascii="Arial" w:eastAsia="Times New Roman" w:hAnsi="Arial" w:cs="Arial"/>
          <w:sz w:val="20"/>
          <w:szCs w:val="20"/>
          <w:lang w:val="en-GB"/>
        </w:rPr>
      </w:pPr>
    </w:p>
    <w:p w14:paraId="338DD51B"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lastRenderedPageBreak/>
        <w:tab/>
        <w:t>Decisions both on procedure and substance of the arbitral tribunal shall be taken by a majority vote of its members.</w:t>
      </w:r>
    </w:p>
    <w:p w14:paraId="63354F0A" w14:textId="77777777" w:rsidR="00BE3A18" w:rsidRPr="009E5E1D" w:rsidRDefault="00BE3A18" w:rsidP="00BE3A18">
      <w:pPr>
        <w:spacing w:after="0" w:line="240" w:lineRule="auto"/>
        <w:ind w:left="1247" w:hanging="624"/>
        <w:rPr>
          <w:rFonts w:ascii="Arial" w:eastAsia="Times New Roman" w:hAnsi="Arial" w:cs="Arial"/>
          <w:sz w:val="20"/>
          <w:szCs w:val="20"/>
          <w:lang w:val="en-GB"/>
        </w:rPr>
      </w:pPr>
    </w:p>
    <w:p w14:paraId="0F26117F"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13</w:t>
      </w:r>
    </w:p>
    <w:p w14:paraId="4279E6F7"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p>
    <w:p w14:paraId="599E638D"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If one of the parties to the dispute does not appear before the arbitral tribunal or fails to defend its case, the other party may request the tribunal to continue the proceedings and to make its award. Absence of a party or a failure of a party to defend its case shall not constitute a bar to the proceedings.</w:t>
      </w:r>
    </w:p>
    <w:p w14:paraId="2C5DFF8D" w14:textId="77777777" w:rsidR="00BE3A18" w:rsidRPr="009E5E1D" w:rsidRDefault="00BE3A18" w:rsidP="00BE3A18">
      <w:pPr>
        <w:spacing w:after="0" w:line="240" w:lineRule="auto"/>
        <w:ind w:left="1247" w:firstLine="624"/>
        <w:rPr>
          <w:rFonts w:ascii="Arial" w:eastAsia="Times New Roman" w:hAnsi="Arial" w:cs="Arial"/>
          <w:sz w:val="20"/>
          <w:szCs w:val="20"/>
          <w:lang w:val="en-GB"/>
        </w:rPr>
      </w:pPr>
    </w:p>
    <w:p w14:paraId="2D218A35" w14:textId="77777777" w:rsidR="00BE3A18" w:rsidRPr="009E5E1D" w:rsidRDefault="00BE3A18" w:rsidP="00BE3A18">
      <w:pPr>
        <w:spacing w:after="12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Before rendering its final decision, the arbitral tribunal must satisfy itself that the claim is well founded in fact and law.</w:t>
      </w:r>
    </w:p>
    <w:p w14:paraId="7ABFDFC1"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14</w:t>
      </w:r>
    </w:p>
    <w:p w14:paraId="2DF7DA69" w14:textId="77777777" w:rsidR="00BE3A18" w:rsidRPr="009E5E1D" w:rsidRDefault="00BE3A18" w:rsidP="00BE3A18">
      <w:pPr>
        <w:keepNext/>
        <w:suppressAutoHyphens/>
        <w:spacing w:after="0" w:line="240" w:lineRule="auto"/>
        <w:ind w:left="1247" w:hanging="624"/>
        <w:rPr>
          <w:rFonts w:ascii="Arial" w:eastAsia="Times New Roman" w:hAnsi="Arial" w:cs="Arial"/>
          <w:sz w:val="20"/>
          <w:szCs w:val="20"/>
          <w:lang w:val="en-GB"/>
        </w:rPr>
      </w:pPr>
    </w:p>
    <w:p w14:paraId="1882CC2F"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tribunal shall render its final decision within five months of the date on which it is fully constituted unless it finds it necessary to extend the time limit for a period which should not exceed five more months.</w:t>
      </w:r>
    </w:p>
    <w:p w14:paraId="6CDFD8F9"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6293C79C"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15</w:t>
      </w:r>
    </w:p>
    <w:p w14:paraId="5A5D8EF3"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5241F3F7"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final decision of the arbitral tribunal shall be confined to the subject matter of the dispute and shall state the reasons on which it is based. It shall contain the names of the members who have participated and the date of the final decision. Any member of the tribunal may attach a separate or dissenting opinion to the final decision.</w:t>
      </w:r>
    </w:p>
    <w:p w14:paraId="473935F4"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78D7A8B4"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16</w:t>
      </w:r>
    </w:p>
    <w:p w14:paraId="04700425" w14:textId="77777777" w:rsidR="00BE3A18" w:rsidRPr="009E5E1D" w:rsidRDefault="00BE3A18" w:rsidP="00BE3A18">
      <w:pPr>
        <w:spacing w:after="0" w:line="240" w:lineRule="auto"/>
        <w:ind w:left="1247"/>
        <w:rPr>
          <w:rFonts w:ascii="Arial" w:eastAsia="Times New Roman" w:hAnsi="Arial" w:cs="Arial"/>
          <w:sz w:val="20"/>
          <w:szCs w:val="20"/>
          <w:lang w:val="en-GB"/>
        </w:rPr>
      </w:pPr>
    </w:p>
    <w:p w14:paraId="585BB191"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award shall be binding on the parties to the dispute. The interpretation of the Convention given by the award shall also be binding upon a Party intervening under Article 10 above insofar as it relates to matters in respect of which that Party intervened. The award shall be without appeal unless the parties to the dispute have agreed in advance to an appellate procedure.</w:t>
      </w:r>
    </w:p>
    <w:p w14:paraId="50B7F55F" w14:textId="77777777" w:rsidR="00BE3A18" w:rsidRPr="009E5E1D" w:rsidRDefault="00BE3A18" w:rsidP="00BE3A18">
      <w:pPr>
        <w:keepNext/>
        <w:suppressAutoHyphens/>
        <w:spacing w:after="0" w:line="240" w:lineRule="auto"/>
        <w:ind w:left="1247" w:hanging="624"/>
        <w:rPr>
          <w:rFonts w:ascii="Arial" w:eastAsia="Times New Roman" w:hAnsi="Arial" w:cs="Arial"/>
          <w:sz w:val="20"/>
          <w:szCs w:val="20"/>
          <w:lang w:val="en-GB"/>
        </w:rPr>
      </w:pPr>
    </w:p>
    <w:p w14:paraId="3C4D145B"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17</w:t>
      </w:r>
    </w:p>
    <w:p w14:paraId="7412AE8A" w14:textId="77777777" w:rsidR="00BE3A18" w:rsidRPr="009E5E1D" w:rsidRDefault="00BE3A18" w:rsidP="00BE3A18">
      <w:pPr>
        <w:keepNext/>
        <w:suppressAutoHyphens/>
        <w:spacing w:after="0" w:line="240" w:lineRule="auto"/>
        <w:ind w:left="1247" w:hanging="624"/>
        <w:rPr>
          <w:rFonts w:ascii="Arial" w:eastAsia="Times New Roman" w:hAnsi="Arial" w:cs="Arial"/>
          <w:sz w:val="20"/>
          <w:szCs w:val="20"/>
          <w:lang w:val="en-GB"/>
        </w:rPr>
      </w:pPr>
    </w:p>
    <w:p w14:paraId="0BBEC8EA"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Any controversy which may arise between those bound by the final decision in accordance with Article 16 above, as regards the interpretation or manner of implementation of that decision, may be submitted by any of them for decision to the arbitral tribunal which rendered it.</w:t>
      </w:r>
    </w:p>
    <w:p w14:paraId="312E7853" w14:textId="77777777" w:rsidR="00BE3A18" w:rsidRPr="009E5E1D" w:rsidRDefault="00BE3A18" w:rsidP="00BE3A18">
      <w:pPr>
        <w:spacing w:after="0" w:line="240" w:lineRule="auto"/>
        <w:ind w:left="1248" w:hanging="624"/>
        <w:rPr>
          <w:rFonts w:ascii="Arial" w:eastAsia="Times New Roman" w:hAnsi="Arial" w:cs="Arial"/>
          <w:sz w:val="20"/>
          <w:szCs w:val="20"/>
          <w:lang w:val="en-GB"/>
        </w:rPr>
      </w:pPr>
    </w:p>
    <w:p w14:paraId="5ECACE49" w14:textId="77777777" w:rsidR="00BE3A18" w:rsidRPr="003548EE" w:rsidRDefault="00BE3A18" w:rsidP="00BE3A18">
      <w:pPr>
        <w:keepNext/>
        <w:keepLines/>
        <w:spacing w:after="0" w:line="240" w:lineRule="auto"/>
        <w:ind w:left="624"/>
        <w:rPr>
          <w:rFonts w:ascii="Arial" w:eastAsia="Times New Roman" w:hAnsi="Arial" w:cs="Arial"/>
          <w:b/>
          <w:caps/>
          <w:sz w:val="28"/>
          <w:szCs w:val="28"/>
          <w:lang w:val="en-GB"/>
        </w:rPr>
      </w:pPr>
      <w:r w:rsidRPr="003548EE">
        <w:rPr>
          <w:rFonts w:ascii="Arial" w:eastAsia="Times New Roman" w:hAnsi="Arial" w:cs="Arial"/>
          <w:b/>
          <w:sz w:val="28"/>
          <w:szCs w:val="28"/>
          <w:lang w:val="en-GB"/>
        </w:rPr>
        <w:t>II.</w:t>
      </w:r>
      <w:r w:rsidRPr="003548EE">
        <w:rPr>
          <w:rFonts w:ascii="Arial" w:eastAsia="Times New Roman" w:hAnsi="Arial" w:cs="Arial"/>
          <w:b/>
          <w:sz w:val="28"/>
          <w:szCs w:val="28"/>
          <w:lang w:val="en-GB"/>
        </w:rPr>
        <w:tab/>
        <w:t>Conciliation procedure</w:t>
      </w:r>
    </w:p>
    <w:p w14:paraId="2558A0F6" w14:textId="77777777" w:rsidR="00BE3A18" w:rsidRPr="009E5E1D" w:rsidRDefault="00BE3A18" w:rsidP="00BE3A18">
      <w:pPr>
        <w:keepNext/>
        <w:keepLines/>
        <w:spacing w:after="0" w:line="240" w:lineRule="auto"/>
        <w:ind w:left="1248" w:hanging="624"/>
        <w:jc w:val="center"/>
        <w:rPr>
          <w:rFonts w:ascii="Arial" w:eastAsia="Times New Roman" w:hAnsi="Arial" w:cs="Arial"/>
          <w:sz w:val="20"/>
          <w:szCs w:val="20"/>
          <w:u w:val="single"/>
          <w:lang w:val="en-GB"/>
        </w:rPr>
      </w:pPr>
    </w:p>
    <w:p w14:paraId="5423BA0F" w14:textId="77777777" w:rsidR="00BE3A18" w:rsidRPr="009E5E1D" w:rsidRDefault="00BE3A18" w:rsidP="00BE3A18">
      <w:pPr>
        <w:keepNext/>
        <w:keepLines/>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conciliation procedure for purposes of paragraph 6 of Article 18 of the Convention shall be as follows:</w:t>
      </w:r>
    </w:p>
    <w:p w14:paraId="79A5B03B" w14:textId="77777777" w:rsidR="00BE3A18" w:rsidRPr="009E5E1D" w:rsidRDefault="00BE3A18" w:rsidP="00BE3A18">
      <w:pPr>
        <w:spacing w:after="0" w:line="240" w:lineRule="auto"/>
        <w:ind w:left="1157" w:hanging="624"/>
        <w:rPr>
          <w:rFonts w:ascii="Arial" w:eastAsia="Times New Roman" w:hAnsi="Arial" w:cs="Arial"/>
          <w:sz w:val="20"/>
          <w:szCs w:val="20"/>
          <w:u w:val="single"/>
          <w:lang w:val="en-GB"/>
        </w:rPr>
      </w:pPr>
    </w:p>
    <w:p w14:paraId="6466BF04" w14:textId="77777777" w:rsidR="00BE3A18" w:rsidRPr="009E5E1D" w:rsidRDefault="00BE3A18" w:rsidP="00BE3A18">
      <w:pPr>
        <w:keepNext/>
        <w:keepLines/>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1</w:t>
      </w:r>
    </w:p>
    <w:p w14:paraId="54BAF8C2" w14:textId="77777777" w:rsidR="00BE3A18" w:rsidRPr="009E5E1D" w:rsidRDefault="00BE3A18" w:rsidP="00BE3A18">
      <w:pPr>
        <w:keepNext/>
        <w:keepLines/>
        <w:suppressAutoHyphens/>
        <w:spacing w:after="0" w:line="240" w:lineRule="auto"/>
        <w:ind w:left="1247" w:hanging="624"/>
        <w:rPr>
          <w:rFonts w:ascii="Arial" w:eastAsia="Times New Roman" w:hAnsi="Arial" w:cs="Arial"/>
          <w:sz w:val="20"/>
          <w:szCs w:val="20"/>
          <w:lang w:val="en-GB"/>
        </w:rPr>
      </w:pPr>
    </w:p>
    <w:p w14:paraId="23E6116E" w14:textId="77777777" w:rsidR="00BE3A18" w:rsidRPr="009E5E1D" w:rsidRDefault="00BE3A18" w:rsidP="00BE3A18">
      <w:pPr>
        <w:keepNext/>
        <w:keepLines/>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A request by a party to a dispute to establish a conciliation commission in consequence of paragraph 6 of Article 18 shall be addressed in writing to the Secretariat. The Secretariat shall forthwith inform all Parties to the Convention accordingly.</w:t>
      </w:r>
    </w:p>
    <w:p w14:paraId="4C377277"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p>
    <w:p w14:paraId="062F2057"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The conciliation commission shall, unless the parties otherwise agree, be composed of three members, one appointed by each party concerned and a President chosen jointly by those members.</w:t>
      </w:r>
    </w:p>
    <w:p w14:paraId="58F86CAA" w14:textId="77777777" w:rsidR="00BE3A18" w:rsidRPr="009E5E1D" w:rsidRDefault="00BE3A18" w:rsidP="00BE3A18">
      <w:pPr>
        <w:spacing w:after="0" w:line="240" w:lineRule="auto"/>
        <w:ind w:left="1247" w:hanging="624"/>
        <w:rPr>
          <w:rFonts w:ascii="Arial" w:eastAsia="Times New Roman" w:hAnsi="Arial" w:cs="Arial"/>
          <w:b/>
          <w:sz w:val="20"/>
          <w:szCs w:val="20"/>
          <w:lang w:val="en-GB"/>
        </w:rPr>
      </w:pPr>
    </w:p>
    <w:p w14:paraId="4D6DA567"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2</w:t>
      </w:r>
    </w:p>
    <w:p w14:paraId="026F2CA0"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7E0F9F2F"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lastRenderedPageBreak/>
        <w:tab/>
        <w:t>In disputes between more than two parties, parties in the same interest shall appoint their members of the commission jointly by agreement.</w:t>
      </w:r>
    </w:p>
    <w:p w14:paraId="385ABC99"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p>
    <w:p w14:paraId="0C0200FE"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3</w:t>
      </w:r>
    </w:p>
    <w:p w14:paraId="43ECC7B8"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6DB6C791"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If any appointments by the parties are not made within two months of the date of receipt by the Secretariat of the written request referred to in Article 1, the Secretary-General of the United Nations shall, upon request by a party, make those appointments within a further two-month period.</w:t>
      </w:r>
    </w:p>
    <w:p w14:paraId="1812EAD5" w14:textId="77777777" w:rsidR="00BE3A18" w:rsidRPr="009E5E1D" w:rsidRDefault="00BE3A18" w:rsidP="00BE3A18">
      <w:pPr>
        <w:spacing w:after="0" w:line="240" w:lineRule="auto"/>
        <w:ind w:left="1247"/>
        <w:rPr>
          <w:rFonts w:ascii="Arial" w:eastAsia="Times New Roman" w:hAnsi="Arial" w:cs="Arial"/>
          <w:sz w:val="20"/>
          <w:szCs w:val="20"/>
          <w:lang w:val="en-GB"/>
        </w:rPr>
      </w:pPr>
    </w:p>
    <w:p w14:paraId="28C7A940"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4</w:t>
      </w:r>
    </w:p>
    <w:p w14:paraId="0EB4B4C0"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4586DB94"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If the President of the conciliation commission has not been chosen within two months of the second member of the commission being appointed, the Secretary-General of the United Nations shall, upon request by a party, designate the President within a further two-month period.</w:t>
      </w:r>
    </w:p>
    <w:p w14:paraId="61A28E96" w14:textId="77777777" w:rsidR="00BE3A18" w:rsidRPr="009E5E1D" w:rsidRDefault="00BE3A18" w:rsidP="00BE3A18">
      <w:pPr>
        <w:suppressAutoHyphens/>
        <w:spacing w:after="0" w:line="240" w:lineRule="auto"/>
        <w:ind w:left="1247" w:hanging="624"/>
        <w:jc w:val="center"/>
        <w:rPr>
          <w:rFonts w:ascii="Arial" w:eastAsia="Times New Roman" w:hAnsi="Arial" w:cs="Arial"/>
          <w:sz w:val="20"/>
          <w:szCs w:val="20"/>
          <w:u w:val="single"/>
          <w:lang w:val="en-GB"/>
        </w:rPr>
      </w:pPr>
    </w:p>
    <w:p w14:paraId="3444F7D2"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5</w:t>
      </w:r>
    </w:p>
    <w:p w14:paraId="54E3F945"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48DEBEEE"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1.</w:t>
      </w:r>
      <w:r w:rsidRPr="009E5E1D">
        <w:rPr>
          <w:rFonts w:ascii="Arial" w:eastAsia="Times New Roman" w:hAnsi="Arial" w:cs="Arial"/>
          <w:sz w:val="20"/>
          <w:szCs w:val="20"/>
          <w:lang w:val="en-GB"/>
        </w:rPr>
        <w:tab/>
        <w:t>The conciliation commission shall, unless the parties to the dispute otherwise agree, determine its own rules of procedure.</w:t>
      </w:r>
    </w:p>
    <w:p w14:paraId="244F9BC3"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p>
    <w:p w14:paraId="1D173F84"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2.</w:t>
      </w:r>
      <w:r w:rsidRPr="009E5E1D">
        <w:rPr>
          <w:rFonts w:ascii="Arial" w:eastAsia="Times New Roman" w:hAnsi="Arial" w:cs="Arial"/>
          <w:sz w:val="20"/>
          <w:szCs w:val="20"/>
          <w:lang w:val="en-GB"/>
        </w:rPr>
        <w:tab/>
        <w:t>The parties and members of the commission are under an obligation to protect the confidentiality of any information they receive in confidence during the proceedings of the commission.</w:t>
      </w:r>
    </w:p>
    <w:p w14:paraId="1FEC5CDC" w14:textId="77777777" w:rsidR="00BE3A18" w:rsidRPr="009E5E1D" w:rsidRDefault="00BE3A18" w:rsidP="00BE3A18">
      <w:pPr>
        <w:suppressAutoHyphens/>
        <w:spacing w:after="0" w:line="240" w:lineRule="auto"/>
        <w:ind w:left="1247"/>
        <w:rPr>
          <w:rFonts w:ascii="Arial" w:eastAsia="Times New Roman" w:hAnsi="Arial" w:cs="Arial"/>
          <w:sz w:val="20"/>
          <w:szCs w:val="20"/>
          <w:u w:val="single"/>
          <w:lang w:val="en-GB"/>
        </w:rPr>
      </w:pPr>
    </w:p>
    <w:p w14:paraId="49B31659"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6</w:t>
      </w:r>
    </w:p>
    <w:p w14:paraId="766D3789"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56F86F7D"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 xml:space="preserve">The conciliation commission shall take its decisions by a majority vote of its members. </w:t>
      </w:r>
    </w:p>
    <w:p w14:paraId="13D9FDD5"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2CEB8BAD"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7</w:t>
      </w:r>
    </w:p>
    <w:p w14:paraId="635A47A2" w14:textId="77777777" w:rsidR="00BE3A18" w:rsidRPr="009E5E1D" w:rsidRDefault="00BE3A18" w:rsidP="00BE3A18">
      <w:pPr>
        <w:suppressAutoHyphens/>
        <w:spacing w:after="0" w:line="240" w:lineRule="auto"/>
        <w:ind w:left="1247" w:hanging="624"/>
        <w:rPr>
          <w:rFonts w:ascii="Arial" w:eastAsia="Times New Roman" w:hAnsi="Arial" w:cs="Arial"/>
          <w:b/>
          <w:sz w:val="20"/>
          <w:szCs w:val="20"/>
          <w:lang w:val="en-GB"/>
        </w:rPr>
      </w:pPr>
    </w:p>
    <w:p w14:paraId="197AFF40" w14:textId="77777777" w:rsidR="00BE3A18" w:rsidRPr="009E5E1D" w:rsidRDefault="00BE3A18" w:rsidP="00BE3A18">
      <w:pPr>
        <w:spacing w:after="0" w:line="240" w:lineRule="auto"/>
        <w:ind w:left="1247"/>
        <w:rPr>
          <w:rFonts w:ascii="Arial" w:eastAsia="Times New Roman" w:hAnsi="Arial" w:cs="Arial"/>
          <w:sz w:val="20"/>
          <w:szCs w:val="20"/>
          <w:lang w:val="en-GB"/>
        </w:rPr>
      </w:pPr>
      <w:r w:rsidRPr="009E5E1D">
        <w:rPr>
          <w:rFonts w:ascii="Arial" w:eastAsia="Times New Roman" w:hAnsi="Arial" w:cs="Arial"/>
          <w:sz w:val="20"/>
          <w:szCs w:val="20"/>
          <w:lang w:val="en-GB"/>
        </w:rPr>
        <w:tab/>
      </w:r>
      <w:r w:rsidRPr="009E5E1D">
        <w:rPr>
          <w:rFonts w:ascii="Arial" w:eastAsia="Times New Roman" w:hAnsi="Arial" w:cs="Arial"/>
          <w:sz w:val="20"/>
          <w:szCs w:val="20"/>
          <w:lang w:val="en-GB"/>
        </w:rPr>
        <w:tab/>
        <w:t>The conciliation commission shall render a report with recommendations for resolution of the dispute within twelve months of being established, which the parties shall consider in good faith.</w:t>
      </w:r>
    </w:p>
    <w:p w14:paraId="1E9EF539" w14:textId="77777777" w:rsidR="00BE3A18" w:rsidRPr="009E5E1D" w:rsidRDefault="00BE3A18" w:rsidP="00BE3A18">
      <w:pPr>
        <w:suppressAutoHyphens/>
        <w:spacing w:after="0" w:line="240" w:lineRule="auto"/>
        <w:ind w:left="1247" w:hanging="624"/>
        <w:rPr>
          <w:rFonts w:ascii="Arial" w:eastAsia="Times New Roman" w:hAnsi="Arial" w:cs="Arial"/>
          <w:sz w:val="20"/>
          <w:szCs w:val="20"/>
          <w:lang w:val="en-GB"/>
        </w:rPr>
      </w:pPr>
    </w:p>
    <w:p w14:paraId="53323D4F" w14:textId="77777777" w:rsidR="00BE3A18" w:rsidRPr="009E5E1D" w:rsidRDefault="00BE3A18" w:rsidP="00BE3A18">
      <w:pPr>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8</w:t>
      </w:r>
    </w:p>
    <w:p w14:paraId="4966E2FB" w14:textId="77777777" w:rsidR="00BE3A18" w:rsidRPr="009E5E1D" w:rsidRDefault="00BE3A18" w:rsidP="00BE3A18">
      <w:pPr>
        <w:keepNext/>
        <w:suppressAutoHyphens/>
        <w:spacing w:after="0" w:line="240" w:lineRule="auto"/>
        <w:ind w:left="1247" w:hanging="624"/>
        <w:rPr>
          <w:rFonts w:ascii="Arial" w:eastAsia="Times New Roman" w:hAnsi="Arial" w:cs="Arial"/>
          <w:sz w:val="20"/>
          <w:szCs w:val="20"/>
          <w:lang w:val="en-GB"/>
        </w:rPr>
      </w:pPr>
    </w:p>
    <w:p w14:paraId="0B1E8483" w14:textId="77777777" w:rsidR="00BE3A18" w:rsidRPr="009E5E1D" w:rsidRDefault="00BE3A18" w:rsidP="00BE3A18">
      <w:pPr>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Any disagreement as to whether the conciliation commission has competence to consider a matter referred to it shall be decided by the commission.</w:t>
      </w:r>
    </w:p>
    <w:p w14:paraId="2CCE5A73" w14:textId="77777777" w:rsidR="00BE3A18" w:rsidRPr="009E5E1D" w:rsidRDefault="00BE3A18" w:rsidP="00BE3A18">
      <w:pPr>
        <w:suppressAutoHyphens/>
        <w:spacing w:after="0" w:line="288" w:lineRule="auto"/>
        <w:ind w:left="1247" w:hanging="624"/>
        <w:rPr>
          <w:rFonts w:ascii="Arial" w:eastAsia="Times New Roman" w:hAnsi="Arial" w:cs="Arial"/>
          <w:sz w:val="20"/>
          <w:szCs w:val="20"/>
          <w:lang w:val="en-GB"/>
        </w:rPr>
      </w:pPr>
    </w:p>
    <w:p w14:paraId="0370C4D9" w14:textId="77777777" w:rsidR="00BE3A18" w:rsidRPr="009E5E1D" w:rsidRDefault="00BE3A18" w:rsidP="00BE3A18">
      <w:pPr>
        <w:keepNext/>
        <w:keepLines/>
        <w:spacing w:after="0" w:line="240" w:lineRule="auto"/>
        <w:ind w:left="1247"/>
        <w:outlineLvl w:val="3"/>
        <w:rPr>
          <w:rFonts w:ascii="Arial" w:eastAsia="MS Mincho" w:hAnsi="Arial" w:cs="Arial"/>
          <w:b/>
          <w:sz w:val="20"/>
          <w:szCs w:val="20"/>
          <w:lang w:val="en-GB"/>
        </w:rPr>
      </w:pPr>
      <w:r w:rsidRPr="009E5E1D">
        <w:rPr>
          <w:rFonts w:ascii="Arial" w:eastAsia="MS Mincho" w:hAnsi="Arial" w:cs="Arial"/>
          <w:b/>
          <w:sz w:val="20"/>
          <w:szCs w:val="20"/>
          <w:lang w:val="en-GB"/>
        </w:rPr>
        <w:t>Article 9</w:t>
      </w:r>
    </w:p>
    <w:p w14:paraId="183C6EDC" w14:textId="77777777" w:rsidR="00BE3A18" w:rsidRPr="009E5E1D" w:rsidRDefault="00BE3A18" w:rsidP="00BE3A18">
      <w:pPr>
        <w:keepNext/>
        <w:keepLines/>
        <w:suppressAutoHyphens/>
        <w:spacing w:after="0" w:line="288" w:lineRule="auto"/>
        <w:ind w:left="1247" w:hanging="624"/>
        <w:rPr>
          <w:rFonts w:ascii="Arial" w:eastAsia="Times New Roman" w:hAnsi="Arial" w:cs="Arial"/>
          <w:sz w:val="20"/>
          <w:szCs w:val="20"/>
          <w:lang w:val="en-GB"/>
        </w:rPr>
      </w:pPr>
    </w:p>
    <w:p w14:paraId="61759FF9" w14:textId="77777777" w:rsidR="00BE3A18" w:rsidRPr="009E5E1D" w:rsidRDefault="00BE3A18" w:rsidP="00BE3A18">
      <w:pPr>
        <w:keepNext/>
        <w:keepLines/>
        <w:suppressAutoHyphens/>
        <w:spacing w:after="0" w:line="240" w:lineRule="auto"/>
        <w:ind w:left="1247" w:firstLine="624"/>
        <w:rPr>
          <w:rFonts w:ascii="Arial" w:eastAsia="Times New Roman" w:hAnsi="Arial" w:cs="Arial"/>
          <w:sz w:val="20"/>
          <w:szCs w:val="20"/>
          <w:lang w:val="en-GB"/>
        </w:rPr>
      </w:pPr>
      <w:r w:rsidRPr="009E5E1D">
        <w:rPr>
          <w:rFonts w:ascii="Arial" w:eastAsia="Times New Roman" w:hAnsi="Arial" w:cs="Arial"/>
          <w:sz w:val="20"/>
          <w:szCs w:val="20"/>
          <w:lang w:val="en-GB"/>
        </w:rPr>
        <w:tab/>
        <w:t>The costs of the commission shall be borne by the parties to the dispute in shares agreed by them. The commission shall keep the record of all its costs and shall furnish a final statement thereof to the parties.</w:t>
      </w:r>
    </w:p>
    <w:p w14:paraId="7886FA2E" w14:textId="77777777" w:rsidR="00BE3A18" w:rsidRPr="0068478D" w:rsidRDefault="00BE3A18" w:rsidP="00BE3A18">
      <w:pPr>
        <w:keepNext/>
        <w:keepLines/>
        <w:suppressAutoHyphens/>
        <w:spacing w:after="0" w:line="240" w:lineRule="auto"/>
        <w:ind w:firstLine="624"/>
        <w:rPr>
          <w:rFonts w:ascii="Arial" w:eastAsia="Times New Roman" w:hAnsi="Arial" w:cs="Arial"/>
          <w:sz w:val="20"/>
          <w:szCs w:val="20"/>
          <w:lang w:val="en-GB"/>
        </w:rPr>
      </w:pPr>
    </w:p>
    <w:p w14:paraId="6D38B809" w14:textId="77777777" w:rsidR="00BE3A18" w:rsidRPr="009E5E1D" w:rsidRDefault="00BE3A18" w:rsidP="00BE3A18">
      <w:pPr>
        <w:rPr>
          <w:rFonts w:ascii="Arial" w:hAnsi="Arial" w:cs="Arial"/>
          <w:sz w:val="20"/>
          <w:szCs w:val="20"/>
          <w:lang w:val="sl"/>
        </w:rPr>
      </w:pPr>
    </w:p>
    <w:p w14:paraId="1F68B6F8" w14:textId="0F4003D1" w:rsidR="000C3BCD" w:rsidRDefault="000C3BCD" w:rsidP="00C216DE">
      <w:pPr>
        <w:rPr>
          <w:b/>
          <w:bCs/>
        </w:rPr>
      </w:pPr>
    </w:p>
    <w:p w14:paraId="25DF137D" w14:textId="79FB5C7A" w:rsidR="000C3BCD" w:rsidRDefault="000C3BCD" w:rsidP="00C216DE">
      <w:pPr>
        <w:rPr>
          <w:b/>
          <w:bCs/>
        </w:rPr>
      </w:pPr>
    </w:p>
    <w:p w14:paraId="3B17ABC2" w14:textId="1624F9A3" w:rsidR="000C3BCD" w:rsidRDefault="000C3BCD" w:rsidP="00C216DE">
      <w:pPr>
        <w:rPr>
          <w:b/>
          <w:bCs/>
        </w:rPr>
      </w:pPr>
    </w:p>
    <w:p w14:paraId="2389929F" w14:textId="6FCA9E46" w:rsidR="000C3BCD" w:rsidRDefault="000C3BCD" w:rsidP="00C216DE">
      <w:pPr>
        <w:rPr>
          <w:b/>
          <w:bCs/>
        </w:rPr>
      </w:pPr>
    </w:p>
    <w:p w14:paraId="4B26CC54" w14:textId="2A7997BF" w:rsidR="000C3BCD" w:rsidRDefault="000C3BCD" w:rsidP="00C216DE">
      <w:pPr>
        <w:rPr>
          <w:b/>
          <w:bCs/>
        </w:rPr>
      </w:pPr>
    </w:p>
    <w:p w14:paraId="45043959" w14:textId="77777777" w:rsidR="00EE5643" w:rsidRDefault="00EE5643" w:rsidP="00C216DE">
      <w:pPr>
        <w:rPr>
          <w:b/>
          <w:bCs/>
        </w:rPr>
        <w:sectPr w:rsidR="00EE5643" w:rsidSect="00D66C83">
          <w:footnotePr>
            <w:numRestart w:val="eachSect"/>
          </w:footnotePr>
          <w:pgSz w:w="11906" w:h="16838"/>
          <w:pgMar w:top="1417" w:right="1417" w:bottom="1417" w:left="1417" w:header="708" w:footer="708" w:gutter="0"/>
          <w:cols w:space="708"/>
          <w:docGrid w:linePitch="360"/>
        </w:sectPr>
      </w:pPr>
    </w:p>
    <w:p w14:paraId="780F684A" w14:textId="77777777" w:rsidR="00580F32" w:rsidRPr="00D548CF" w:rsidRDefault="00580F32" w:rsidP="00580F32">
      <w:pPr>
        <w:spacing w:before="120" w:after="120"/>
        <w:ind w:left="1247"/>
        <w:rPr>
          <w:rFonts w:ascii="Arial" w:hAnsi="Arial" w:cs="Arial"/>
          <w:b/>
          <w:sz w:val="28"/>
        </w:rPr>
      </w:pPr>
      <w:r w:rsidRPr="00D548CF">
        <w:rPr>
          <w:rFonts w:ascii="Arial" w:hAnsi="Arial" w:cs="Arial"/>
          <w:b/>
          <w:sz w:val="28"/>
        </w:rPr>
        <w:lastRenderedPageBreak/>
        <w:t>SC-4/10: Listing of alpha hexachlorocyclohexane</w:t>
      </w:r>
    </w:p>
    <w:p w14:paraId="0220D50D" w14:textId="77777777" w:rsidR="00580F32" w:rsidRPr="00D548CF" w:rsidRDefault="00580F32" w:rsidP="00580F32">
      <w:pPr>
        <w:pStyle w:val="Paralevel1"/>
        <w:numPr>
          <w:ilvl w:val="0"/>
          <w:numId w:val="0"/>
        </w:numPr>
        <w:ind w:left="1247" w:firstLine="624"/>
        <w:rPr>
          <w:rFonts w:ascii="Arial" w:hAnsi="Arial" w:cs="Arial"/>
        </w:rPr>
      </w:pPr>
      <w:r w:rsidRPr="00D548CF">
        <w:rPr>
          <w:rFonts w:ascii="Arial" w:hAnsi="Arial" w:cs="Arial"/>
          <w:i/>
        </w:rPr>
        <w:t>The Conference of the Parties</w:t>
      </w:r>
      <w:r w:rsidRPr="00D548CF">
        <w:rPr>
          <w:rFonts w:ascii="Arial" w:hAnsi="Arial" w:cs="Arial"/>
        </w:rPr>
        <w:t>,</w:t>
      </w:r>
    </w:p>
    <w:p w14:paraId="4099F212" w14:textId="77777777" w:rsidR="00580F32" w:rsidRPr="00D548CF" w:rsidRDefault="00580F32" w:rsidP="00580F32">
      <w:pPr>
        <w:keepNext/>
        <w:keepLines/>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alpha hexachlorocyclohexane as transmitted by the Persistent Organic Pollutants Review Committee,</w:t>
      </w:r>
      <w:r w:rsidRPr="00D548CF">
        <w:rPr>
          <w:rStyle w:val="FootnoteReference"/>
          <w:rFonts w:ascii="Arial" w:hAnsi="Arial" w:cs="Arial"/>
          <w:sz w:val="20"/>
        </w:rPr>
        <w:footnoteReference w:id="1"/>
      </w:r>
    </w:p>
    <w:p w14:paraId="6CE865AB"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alpha hexachlorocyclohexane in Annex A of the Convention,</w:t>
      </w:r>
      <w:r w:rsidRPr="00D548CF">
        <w:rPr>
          <w:rStyle w:val="FootnoteReference"/>
          <w:rFonts w:ascii="Arial" w:hAnsi="Arial" w:cs="Arial"/>
          <w:sz w:val="20"/>
        </w:rPr>
        <w:footnoteReference w:id="2"/>
      </w:r>
    </w:p>
    <w:p w14:paraId="2A914CC1"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of the Convention to list alpha hexachlorocyclohexane therein by inserting the following row:</w:t>
      </w:r>
    </w:p>
    <w:p w14:paraId="233A56DD" w14:textId="77777777" w:rsidR="00580F32" w:rsidRPr="00D548CF" w:rsidRDefault="00580F32" w:rsidP="00580F32">
      <w:pPr>
        <w:keepNext/>
        <w:ind w:left="1276"/>
        <w:rPr>
          <w:rFonts w:ascii="Arial" w:hAnsi="Arial" w:cs="Arial"/>
          <w:sz w:val="20"/>
        </w:rPr>
      </w:pPr>
      <w:r w:rsidRPr="00D548CF">
        <w:rPr>
          <w:rFonts w:ascii="Arial" w:hAnsi="Arial" w:cs="Arial"/>
          <w:sz w:val="20"/>
        </w:rPr>
        <w:t> </w:t>
      </w:r>
    </w:p>
    <w:tbl>
      <w:tblPr>
        <w:tblW w:w="0" w:type="auto"/>
        <w:tblInd w:w="13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6"/>
        <w:gridCol w:w="1407"/>
        <w:gridCol w:w="3265"/>
      </w:tblGrid>
      <w:tr w:rsidR="00580F32" w:rsidRPr="00D548CF" w14:paraId="23EAF04B" w14:textId="77777777" w:rsidTr="00443B8B">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33275"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 xml:space="preserve">Chemical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61A3"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Activity</w:t>
            </w:r>
          </w:p>
        </w:tc>
        <w:tc>
          <w:tcPr>
            <w:tcW w:w="3769" w:type="dxa"/>
            <w:tcBorders>
              <w:top w:val="single" w:sz="4" w:space="0" w:color="auto"/>
              <w:left w:val="single" w:sz="4" w:space="0" w:color="auto"/>
              <w:bottom w:val="single" w:sz="4" w:space="0" w:color="auto"/>
              <w:right w:val="single" w:sz="4" w:space="0" w:color="auto"/>
            </w:tcBorders>
            <w:shd w:val="clear" w:color="auto" w:fill="FFFFFF" w:themeFill="background1"/>
          </w:tcPr>
          <w:p w14:paraId="66D5675B"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Specific exemption</w:t>
            </w:r>
          </w:p>
        </w:tc>
      </w:tr>
      <w:tr w:rsidR="00580F32" w:rsidRPr="00D548CF" w14:paraId="5C8764CC" w14:textId="77777777" w:rsidTr="00BE3A18">
        <w:tc>
          <w:tcPr>
            <w:tcW w:w="3197" w:type="dxa"/>
            <w:vMerge w:val="restart"/>
            <w:tcBorders>
              <w:top w:val="single" w:sz="4" w:space="0" w:color="auto"/>
              <w:left w:val="single" w:sz="4" w:space="0" w:color="auto"/>
              <w:bottom w:val="single" w:sz="4" w:space="0" w:color="auto"/>
              <w:right w:val="single" w:sz="4" w:space="0" w:color="auto"/>
            </w:tcBorders>
            <w:shd w:val="clear" w:color="auto" w:fill="auto"/>
          </w:tcPr>
          <w:p w14:paraId="071125BF"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Alpha hexachlorocyclohexane*</w:t>
            </w:r>
            <w:r w:rsidRPr="00FE4033">
              <w:rPr>
                <w:rFonts w:ascii="Arial" w:hAnsi="Arial" w:cs="Arial"/>
                <w:sz w:val="18"/>
              </w:rPr>
              <w:br/>
              <w:t>CAS No: 319-84-6</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37E1C237"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 xml:space="preserve">Production </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6AE489CD"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r w:rsidR="00580F32" w:rsidRPr="00D548CF" w14:paraId="5D5785A1" w14:textId="77777777" w:rsidTr="00BE3A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132D288" w14:textId="77777777" w:rsidR="00580F32" w:rsidRPr="00FE4033" w:rsidRDefault="00580F32" w:rsidP="00BE3A18">
            <w:pPr>
              <w:rPr>
                <w:rFonts w:ascii="Arial" w:hAnsi="Arial" w:cs="Arial"/>
                <w:b/>
                <w:sz w:val="18"/>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25C37EE1"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Use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57E73E8D"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bl>
    <w:p w14:paraId="01AE6C99" w14:textId="77777777" w:rsidR="00580F32" w:rsidRPr="00D548CF" w:rsidRDefault="00580F32" w:rsidP="00580F32">
      <w:pPr>
        <w:spacing w:before="240" w:after="120"/>
        <w:ind w:left="1247"/>
        <w:rPr>
          <w:rFonts w:ascii="Arial" w:hAnsi="Arial" w:cs="Arial"/>
        </w:rPr>
      </w:pPr>
    </w:p>
    <w:p w14:paraId="014527A3" w14:textId="77777777" w:rsidR="00580F32" w:rsidRPr="00D548CF" w:rsidRDefault="00580F32" w:rsidP="00580F32">
      <w:pPr>
        <w:spacing w:before="240" w:after="120"/>
        <w:ind w:left="1247"/>
        <w:rPr>
          <w:rFonts w:ascii="Arial" w:hAnsi="Arial" w:cs="Arial"/>
          <w:b/>
          <w:sz w:val="28"/>
        </w:rPr>
      </w:pPr>
      <w:r w:rsidRPr="00D548CF">
        <w:rPr>
          <w:rFonts w:ascii="Arial" w:hAnsi="Arial" w:cs="Arial"/>
          <w:b/>
          <w:sz w:val="28"/>
        </w:rPr>
        <w:t>SC-4/11: Listing of beta hexachlorocyclohexane</w:t>
      </w:r>
    </w:p>
    <w:p w14:paraId="550E458C" w14:textId="77777777" w:rsidR="00580F32" w:rsidRPr="00D548CF" w:rsidRDefault="00580F32" w:rsidP="00580F32">
      <w:pPr>
        <w:pStyle w:val="Paralevel1"/>
        <w:numPr>
          <w:ilvl w:val="0"/>
          <w:numId w:val="0"/>
        </w:numPr>
        <w:ind w:left="1247" w:firstLine="624"/>
        <w:rPr>
          <w:rFonts w:ascii="Arial" w:hAnsi="Arial" w:cs="Arial"/>
        </w:rPr>
      </w:pPr>
      <w:r w:rsidRPr="00D548CF">
        <w:rPr>
          <w:rFonts w:ascii="Arial" w:hAnsi="Arial" w:cs="Arial"/>
          <w:i/>
        </w:rPr>
        <w:t>The Conference of the Parties</w:t>
      </w:r>
      <w:r w:rsidRPr="00D548CF">
        <w:rPr>
          <w:rFonts w:ascii="Arial" w:hAnsi="Arial" w:cs="Arial"/>
        </w:rPr>
        <w:t>,</w:t>
      </w:r>
    </w:p>
    <w:p w14:paraId="1F8EE195"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beta hexachlorocyclohexane transmitted by the Persistent Organic Pollutants Review Committee,</w:t>
      </w:r>
      <w:r w:rsidRPr="00D548CF">
        <w:rPr>
          <w:rStyle w:val="FootnoteReference"/>
          <w:rFonts w:ascii="Arial" w:hAnsi="Arial" w:cs="Arial"/>
          <w:sz w:val="20"/>
        </w:rPr>
        <w:footnoteReference w:id="3"/>
      </w:r>
      <w:r w:rsidRPr="00D548CF">
        <w:rPr>
          <w:rFonts w:ascii="Arial" w:hAnsi="Arial" w:cs="Arial"/>
          <w:sz w:val="20"/>
        </w:rPr>
        <w:t xml:space="preserve"> </w:t>
      </w:r>
    </w:p>
    <w:p w14:paraId="4770C847"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beta hexachlorocyclohexane in Annex A of the Convention,</w:t>
      </w:r>
      <w:r w:rsidRPr="00D548CF">
        <w:rPr>
          <w:rStyle w:val="FootnoteReference"/>
          <w:rFonts w:ascii="Arial" w:hAnsi="Arial" w:cs="Arial"/>
          <w:sz w:val="20"/>
        </w:rPr>
        <w:footnoteReference w:id="4"/>
      </w:r>
    </w:p>
    <w:p w14:paraId="4CC019A5" w14:textId="77777777" w:rsidR="00580F32" w:rsidRPr="00D548CF" w:rsidRDefault="00580F32" w:rsidP="00580F32">
      <w:pPr>
        <w:spacing w:after="120"/>
        <w:ind w:left="1248" w:firstLine="623"/>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of the Convention to list beta hexachlorocyclohexane therein by inserting the following row:</w:t>
      </w:r>
    </w:p>
    <w:p w14:paraId="00A49E38" w14:textId="77777777" w:rsidR="00580F32" w:rsidRPr="00D548CF" w:rsidRDefault="00580F32" w:rsidP="00580F32">
      <w:pPr>
        <w:keepNext/>
        <w:ind w:left="1276"/>
        <w:rPr>
          <w:rFonts w:ascii="Arial" w:hAnsi="Arial" w:cs="Arial"/>
          <w:sz w:val="20"/>
        </w:rPr>
      </w:pPr>
      <w:r w:rsidRPr="00D548CF">
        <w:rPr>
          <w:rFonts w:ascii="Arial" w:hAnsi="Arial" w:cs="Arial"/>
          <w:sz w:val="20"/>
        </w:rPr>
        <w:t> </w:t>
      </w:r>
    </w:p>
    <w:tbl>
      <w:tblPr>
        <w:tblW w:w="0" w:type="auto"/>
        <w:tblInd w:w="13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06"/>
        <w:gridCol w:w="1407"/>
        <w:gridCol w:w="3265"/>
      </w:tblGrid>
      <w:tr w:rsidR="00580F32" w:rsidRPr="00D548CF" w14:paraId="7ECBBF29" w14:textId="77777777" w:rsidTr="00443B8B">
        <w:tc>
          <w:tcPr>
            <w:tcW w:w="3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6568490"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 xml:space="preserve">Chemical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tcPr>
          <w:p w14:paraId="00286754"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Activity</w:t>
            </w:r>
          </w:p>
        </w:tc>
        <w:tc>
          <w:tcPr>
            <w:tcW w:w="3769" w:type="dxa"/>
            <w:tcBorders>
              <w:top w:val="single" w:sz="4" w:space="0" w:color="auto"/>
              <w:left w:val="single" w:sz="4" w:space="0" w:color="auto"/>
              <w:bottom w:val="single" w:sz="4" w:space="0" w:color="auto"/>
              <w:right w:val="single" w:sz="4" w:space="0" w:color="auto"/>
            </w:tcBorders>
            <w:shd w:val="clear" w:color="auto" w:fill="FFFFFF" w:themeFill="background1"/>
          </w:tcPr>
          <w:p w14:paraId="2910A662" w14:textId="77777777" w:rsidR="00580F32" w:rsidRPr="00FE4033" w:rsidRDefault="00580F32" w:rsidP="00BE3A18">
            <w:pPr>
              <w:keepNext/>
              <w:rPr>
                <w:rFonts w:ascii="Arial" w:hAnsi="Arial" w:cs="Arial"/>
                <w:sz w:val="18"/>
                <w:szCs w:val="20"/>
              </w:rPr>
            </w:pPr>
            <w:r w:rsidRPr="00FE4033">
              <w:rPr>
                <w:rFonts w:ascii="Arial" w:hAnsi="Arial" w:cs="Arial"/>
                <w:sz w:val="18"/>
                <w:szCs w:val="20"/>
              </w:rPr>
              <w:t>Specific exemption</w:t>
            </w:r>
          </w:p>
        </w:tc>
      </w:tr>
      <w:tr w:rsidR="00580F32" w:rsidRPr="00D548CF" w14:paraId="5946101C" w14:textId="77777777" w:rsidTr="00BE3A18">
        <w:tc>
          <w:tcPr>
            <w:tcW w:w="3197" w:type="dxa"/>
            <w:vMerge w:val="restart"/>
            <w:tcBorders>
              <w:top w:val="single" w:sz="4" w:space="0" w:color="auto"/>
              <w:left w:val="single" w:sz="4" w:space="0" w:color="auto"/>
              <w:bottom w:val="single" w:sz="4" w:space="0" w:color="auto"/>
              <w:right w:val="single" w:sz="4" w:space="0" w:color="auto"/>
            </w:tcBorders>
            <w:shd w:val="clear" w:color="auto" w:fill="auto"/>
          </w:tcPr>
          <w:p w14:paraId="69719402"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Beta hexachlorocyclohexane*</w:t>
            </w:r>
            <w:r w:rsidRPr="00FE4033">
              <w:rPr>
                <w:rFonts w:ascii="Arial" w:hAnsi="Arial" w:cs="Arial"/>
                <w:sz w:val="18"/>
              </w:rPr>
              <w:br/>
              <w:t>CAS No: 319-85-7</w:t>
            </w: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45480457"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 xml:space="preserve">Production </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76DB61DB"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r w:rsidR="00580F32" w:rsidRPr="00D548CF" w14:paraId="2EF245BE" w14:textId="77777777" w:rsidTr="00BE3A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E4DE42" w14:textId="77777777" w:rsidR="00580F32" w:rsidRPr="00FE4033" w:rsidRDefault="00580F32" w:rsidP="00BE3A18">
            <w:pPr>
              <w:rPr>
                <w:rFonts w:ascii="Arial" w:hAnsi="Arial" w:cs="Arial"/>
                <w:b/>
                <w:sz w:val="18"/>
                <w:szCs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14:paraId="3A2F6CE2"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Use</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4870EAF3"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bl>
    <w:p w14:paraId="1F6A5F38" w14:textId="77777777" w:rsidR="00580F32" w:rsidRPr="00D548CF" w:rsidRDefault="00580F32" w:rsidP="00580F32">
      <w:pPr>
        <w:keepNext/>
        <w:spacing w:before="240" w:after="120"/>
        <w:ind w:left="1247"/>
        <w:rPr>
          <w:rFonts w:ascii="Arial" w:hAnsi="Arial" w:cs="Arial"/>
        </w:rPr>
      </w:pPr>
    </w:p>
    <w:p w14:paraId="5E8F84F0" w14:textId="77777777" w:rsidR="00580F32" w:rsidRPr="00D548CF" w:rsidRDefault="00580F32" w:rsidP="00580F32">
      <w:pPr>
        <w:keepNext/>
        <w:spacing w:before="240" w:after="120"/>
        <w:ind w:left="1247"/>
        <w:rPr>
          <w:rFonts w:ascii="Arial" w:hAnsi="Arial" w:cs="Arial"/>
          <w:b/>
          <w:sz w:val="28"/>
          <w:szCs w:val="20"/>
        </w:rPr>
      </w:pPr>
      <w:r w:rsidRPr="00D548CF">
        <w:rPr>
          <w:rFonts w:ascii="Arial" w:hAnsi="Arial" w:cs="Arial"/>
          <w:b/>
          <w:sz w:val="28"/>
        </w:rPr>
        <w:t>SC-4/12: Listing of chlordecone</w:t>
      </w:r>
    </w:p>
    <w:p w14:paraId="42EBC853" w14:textId="77777777" w:rsidR="00580F32" w:rsidRPr="00D548CF" w:rsidRDefault="00580F32" w:rsidP="00580F32">
      <w:pPr>
        <w:pStyle w:val="Paralevel1"/>
        <w:numPr>
          <w:ilvl w:val="0"/>
          <w:numId w:val="0"/>
        </w:numPr>
        <w:tabs>
          <w:tab w:val="left" w:pos="708"/>
        </w:tabs>
        <w:ind w:left="1247" w:firstLine="624"/>
        <w:rPr>
          <w:rFonts w:ascii="Arial" w:hAnsi="Arial" w:cs="Arial"/>
        </w:rPr>
      </w:pPr>
      <w:r w:rsidRPr="00D548CF">
        <w:rPr>
          <w:rFonts w:ascii="Arial" w:hAnsi="Arial" w:cs="Arial"/>
          <w:i/>
        </w:rPr>
        <w:t>The Conference of the Parties</w:t>
      </w:r>
      <w:r w:rsidRPr="00D548CF">
        <w:rPr>
          <w:rFonts w:ascii="Arial" w:hAnsi="Arial" w:cs="Arial"/>
        </w:rPr>
        <w:t>,</w:t>
      </w:r>
    </w:p>
    <w:p w14:paraId="6A70E986" w14:textId="77777777" w:rsidR="00580F32" w:rsidRPr="00D548CF" w:rsidRDefault="00580F32" w:rsidP="00580F32">
      <w:pPr>
        <w:keepNext/>
        <w:keepLines/>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chlordecone transmitted by the Persistent Organic Pollutants Review Committee,</w:t>
      </w:r>
      <w:r w:rsidRPr="00D548CF">
        <w:rPr>
          <w:rStyle w:val="FootnoteReference"/>
          <w:rFonts w:ascii="Arial" w:hAnsi="Arial" w:cs="Arial"/>
        </w:rPr>
        <w:footnoteReference w:id="5"/>
      </w:r>
    </w:p>
    <w:p w14:paraId="08BB9D90" w14:textId="77777777" w:rsidR="00580F32" w:rsidRPr="00D548CF" w:rsidRDefault="00580F32" w:rsidP="00580F32">
      <w:pPr>
        <w:spacing w:after="120"/>
        <w:ind w:left="1247" w:firstLine="624"/>
        <w:rPr>
          <w:rFonts w:ascii="Arial" w:hAnsi="Arial" w:cs="Arial"/>
          <w:i/>
          <w:sz w:val="20"/>
        </w:rPr>
      </w:pPr>
    </w:p>
    <w:p w14:paraId="209855A9" w14:textId="77777777" w:rsidR="00580F32" w:rsidRPr="00D548CF" w:rsidRDefault="00580F32" w:rsidP="00580F32">
      <w:pPr>
        <w:spacing w:after="120"/>
        <w:ind w:left="1247" w:firstLine="624"/>
        <w:rPr>
          <w:rFonts w:ascii="Arial" w:hAnsi="Arial" w:cs="Arial"/>
          <w:i/>
          <w:sz w:val="20"/>
        </w:rPr>
      </w:pPr>
    </w:p>
    <w:p w14:paraId="0F1AFEA7"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chlordecone in Annex A of the Convention without specific exemptions,</w:t>
      </w:r>
      <w:r w:rsidRPr="00D548CF">
        <w:rPr>
          <w:rStyle w:val="FootnoteReference"/>
          <w:rFonts w:ascii="Arial" w:hAnsi="Arial" w:cs="Arial"/>
        </w:rPr>
        <w:footnoteReference w:id="6"/>
      </w:r>
      <w:r w:rsidRPr="00D548CF">
        <w:rPr>
          <w:rFonts w:ascii="Arial" w:hAnsi="Arial" w:cs="Arial"/>
          <w:sz w:val="20"/>
        </w:rPr>
        <w:t xml:space="preserve"> </w:t>
      </w:r>
    </w:p>
    <w:p w14:paraId="19A8005F" w14:textId="77777777" w:rsidR="00580F32" w:rsidRPr="00D548CF" w:rsidRDefault="00580F32" w:rsidP="00580F32">
      <w:pPr>
        <w:spacing w:after="120"/>
        <w:ind w:left="1247"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of the Convention to list chlordecone therein without specific exemptions by inserting the following row:</w:t>
      </w:r>
    </w:p>
    <w:p w14:paraId="5D22FCB9" w14:textId="77777777" w:rsidR="00580F32" w:rsidRPr="00D548CF" w:rsidRDefault="00580F32" w:rsidP="00580F32">
      <w:pPr>
        <w:spacing w:after="120"/>
        <w:ind w:left="1247" w:firstLine="624"/>
        <w:rPr>
          <w:rFonts w:ascii="Arial" w:hAnsi="Arial" w:cs="Arial"/>
          <w:sz w:val="20"/>
        </w:rPr>
      </w:pPr>
    </w:p>
    <w:tbl>
      <w:tblPr>
        <w:tblW w:w="8379" w:type="dxa"/>
        <w:tblInd w:w="13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5"/>
        <w:gridCol w:w="1418"/>
        <w:gridCol w:w="2976"/>
      </w:tblGrid>
      <w:tr w:rsidR="00580F32" w:rsidRPr="00D548CF" w14:paraId="55580C20" w14:textId="77777777" w:rsidTr="00443B8B">
        <w:tc>
          <w:tcPr>
            <w:tcW w:w="3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63899" w14:textId="77777777" w:rsidR="00580F32" w:rsidRPr="00FE4033" w:rsidRDefault="00580F32">
            <w:pPr>
              <w:rPr>
                <w:rFonts w:ascii="Arial" w:hAnsi="Arial" w:cs="Arial"/>
                <w:sz w:val="18"/>
                <w:szCs w:val="20"/>
              </w:rPr>
            </w:pPr>
            <w:r w:rsidRPr="00FE4033">
              <w:rPr>
                <w:rFonts w:ascii="Arial" w:hAnsi="Arial" w:cs="Arial"/>
                <w:sz w:val="18"/>
                <w:szCs w:val="20"/>
              </w:rPr>
              <w:t>Chemical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614EE" w14:textId="77777777" w:rsidR="00580F32" w:rsidRPr="00FE4033" w:rsidRDefault="00580F32">
            <w:pPr>
              <w:rPr>
                <w:rFonts w:ascii="Arial" w:hAnsi="Arial" w:cs="Arial"/>
                <w:sz w:val="18"/>
                <w:szCs w:val="20"/>
              </w:rPr>
            </w:pPr>
            <w:r w:rsidRPr="00FE4033">
              <w:rPr>
                <w:rFonts w:ascii="Arial" w:hAnsi="Arial" w:cs="Arial"/>
                <w:sz w:val="18"/>
                <w:szCs w:val="20"/>
              </w:rPr>
              <w:t>Activity</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DD603" w14:textId="77777777" w:rsidR="00580F32" w:rsidRPr="00FE4033" w:rsidRDefault="00580F32">
            <w:pPr>
              <w:rPr>
                <w:rFonts w:ascii="Arial" w:hAnsi="Arial" w:cs="Arial"/>
                <w:sz w:val="18"/>
                <w:szCs w:val="20"/>
              </w:rPr>
            </w:pPr>
            <w:r w:rsidRPr="00FE4033">
              <w:rPr>
                <w:rFonts w:ascii="Arial" w:hAnsi="Arial" w:cs="Arial"/>
                <w:sz w:val="18"/>
                <w:szCs w:val="20"/>
              </w:rPr>
              <w:t>Specific exemption</w:t>
            </w:r>
          </w:p>
        </w:tc>
      </w:tr>
      <w:tr w:rsidR="00580F32" w:rsidRPr="00D548CF" w14:paraId="486872E8" w14:textId="77777777" w:rsidTr="00580F32">
        <w:tc>
          <w:tcPr>
            <w:tcW w:w="3985" w:type="dxa"/>
            <w:vMerge w:val="restart"/>
            <w:tcBorders>
              <w:top w:val="single" w:sz="4" w:space="0" w:color="auto"/>
              <w:left w:val="single" w:sz="4" w:space="0" w:color="auto"/>
              <w:bottom w:val="single" w:sz="4" w:space="0" w:color="auto"/>
              <w:right w:val="single" w:sz="4" w:space="0" w:color="auto"/>
            </w:tcBorders>
            <w:hideMark/>
          </w:tcPr>
          <w:p w14:paraId="2DD61C11" w14:textId="77777777" w:rsidR="00580F32" w:rsidRPr="00FE4033" w:rsidRDefault="00580F32">
            <w:pPr>
              <w:pStyle w:val="Paralevel1"/>
              <w:numPr>
                <w:ilvl w:val="0"/>
                <w:numId w:val="0"/>
              </w:numPr>
              <w:tabs>
                <w:tab w:val="left" w:pos="708"/>
              </w:tabs>
              <w:rPr>
                <w:rFonts w:ascii="Arial" w:hAnsi="Arial" w:cs="Arial"/>
                <w:sz w:val="18"/>
              </w:rPr>
            </w:pPr>
            <w:r w:rsidRPr="00FE4033">
              <w:rPr>
                <w:rFonts w:ascii="Arial" w:hAnsi="Arial" w:cs="Arial"/>
                <w:sz w:val="18"/>
              </w:rPr>
              <w:t>Chlordecone*</w:t>
            </w:r>
            <w:r w:rsidRPr="00FE4033">
              <w:rPr>
                <w:rFonts w:ascii="Arial" w:hAnsi="Arial" w:cs="Arial"/>
                <w:sz w:val="18"/>
              </w:rPr>
              <w:br/>
              <w:t xml:space="preserve">CAS No: 143-50-0 </w:t>
            </w:r>
          </w:p>
        </w:tc>
        <w:tc>
          <w:tcPr>
            <w:tcW w:w="1418" w:type="dxa"/>
            <w:tcBorders>
              <w:top w:val="single" w:sz="4" w:space="0" w:color="auto"/>
              <w:left w:val="single" w:sz="4" w:space="0" w:color="auto"/>
              <w:bottom w:val="single" w:sz="4" w:space="0" w:color="auto"/>
              <w:right w:val="single" w:sz="4" w:space="0" w:color="auto"/>
            </w:tcBorders>
            <w:hideMark/>
          </w:tcPr>
          <w:p w14:paraId="09FF75FF" w14:textId="77777777" w:rsidR="00580F32" w:rsidRPr="00FE4033" w:rsidRDefault="00580F32">
            <w:pPr>
              <w:pStyle w:val="Paralevel1"/>
              <w:numPr>
                <w:ilvl w:val="0"/>
                <w:numId w:val="0"/>
              </w:numPr>
              <w:tabs>
                <w:tab w:val="left" w:pos="708"/>
              </w:tabs>
              <w:rPr>
                <w:rFonts w:ascii="Arial" w:hAnsi="Arial" w:cs="Arial"/>
                <w:sz w:val="18"/>
              </w:rPr>
            </w:pPr>
            <w:r w:rsidRPr="00FE4033">
              <w:rPr>
                <w:rFonts w:ascii="Arial" w:hAnsi="Arial" w:cs="Arial"/>
                <w:sz w:val="18"/>
              </w:rPr>
              <w:t xml:space="preserve">Production </w:t>
            </w:r>
          </w:p>
        </w:tc>
        <w:tc>
          <w:tcPr>
            <w:tcW w:w="2976" w:type="dxa"/>
            <w:tcBorders>
              <w:top w:val="single" w:sz="4" w:space="0" w:color="auto"/>
              <w:left w:val="single" w:sz="4" w:space="0" w:color="auto"/>
              <w:bottom w:val="single" w:sz="4" w:space="0" w:color="auto"/>
              <w:right w:val="single" w:sz="4" w:space="0" w:color="auto"/>
            </w:tcBorders>
            <w:hideMark/>
          </w:tcPr>
          <w:p w14:paraId="285E657F" w14:textId="77777777" w:rsidR="00580F32" w:rsidRPr="00FE4033" w:rsidRDefault="00580F32">
            <w:pPr>
              <w:pStyle w:val="Paralevel1"/>
              <w:numPr>
                <w:ilvl w:val="0"/>
                <w:numId w:val="0"/>
              </w:numPr>
              <w:tabs>
                <w:tab w:val="left" w:pos="708"/>
              </w:tabs>
              <w:rPr>
                <w:rFonts w:ascii="Arial" w:hAnsi="Arial" w:cs="Arial"/>
                <w:sz w:val="18"/>
              </w:rPr>
            </w:pPr>
            <w:r w:rsidRPr="00FE4033">
              <w:rPr>
                <w:rFonts w:ascii="Arial" w:hAnsi="Arial" w:cs="Arial"/>
                <w:sz w:val="18"/>
              </w:rPr>
              <w:t>None</w:t>
            </w:r>
          </w:p>
        </w:tc>
      </w:tr>
      <w:tr w:rsidR="00580F32" w:rsidRPr="00D548CF" w14:paraId="082ED0DF" w14:textId="77777777" w:rsidTr="00580F32">
        <w:tc>
          <w:tcPr>
            <w:tcW w:w="0" w:type="auto"/>
            <w:vMerge/>
            <w:tcBorders>
              <w:top w:val="single" w:sz="4" w:space="0" w:color="auto"/>
              <w:left w:val="single" w:sz="4" w:space="0" w:color="auto"/>
              <w:bottom w:val="single" w:sz="4" w:space="0" w:color="auto"/>
              <w:right w:val="single" w:sz="4" w:space="0" w:color="auto"/>
            </w:tcBorders>
            <w:vAlign w:val="center"/>
            <w:hideMark/>
          </w:tcPr>
          <w:p w14:paraId="6A0D09D7" w14:textId="77777777" w:rsidR="00580F32" w:rsidRPr="00FE4033" w:rsidRDefault="00580F32">
            <w:pPr>
              <w:rPr>
                <w:rFonts w:ascii="Arial" w:hAnsi="Arial" w:cs="Arial"/>
                <w:sz w:val="18"/>
                <w:szCs w:val="20"/>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113F7BF6" w14:textId="77777777" w:rsidR="00580F32" w:rsidRPr="00FE4033" w:rsidRDefault="00580F32">
            <w:pPr>
              <w:pStyle w:val="Paralevel1"/>
              <w:numPr>
                <w:ilvl w:val="0"/>
                <w:numId w:val="0"/>
              </w:numPr>
              <w:tabs>
                <w:tab w:val="left" w:pos="708"/>
              </w:tabs>
              <w:rPr>
                <w:rFonts w:ascii="Arial" w:hAnsi="Arial" w:cs="Arial"/>
                <w:sz w:val="18"/>
              </w:rPr>
            </w:pPr>
            <w:r w:rsidRPr="00FE4033">
              <w:rPr>
                <w:rFonts w:ascii="Arial" w:hAnsi="Arial" w:cs="Arial"/>
                <w:sz w:val="18"/>
              </w:rPr>
              <w:t>Use</w:t>
            </w:r>
          </w:p>
        </w:tc>
        <w:tc>
          <w:tcPr>
            <w:tcW w:w="2976" w:type="dxa"/>
            <w:tcBorders>
              <w:top w:val="single" w:sz="4" w:space="0" w:color="auto"/>
              <w:left w:val="single" w:sz="4" w:space="0" w:color="auto"/>
              <w:bottom w:val="single" w:sz="4" w:space="0" w:color="auto"/>
              <w:right w:val="single" w:sz="4" w:space="0" w:color="auto"/>
            </w:tcBorders>
            <w:hideMark/>
          </w:tcPr>
          <w:p w14:paraId="4B8353B3" w14:textId="77777777" w:rsidR="00580F32" w:rsidRPr="00FE4033" w:rsidRDefault="00580F32">
            <w:pPr>
              <w:pStyle w:val="Paralevel1"/>
              <w:numPr>
                <w:ilvl w:val="0"/>
                <w:numId w:val="0"/>
              </w:numPr>
              <w:tabs>
                <w:tab w:val="left" w:pos="708"/>
              </w:tabs>
              <w:rPr>
                <w:rFonts w:ascii="Arial" w:hAnsi="Arial" w:cs="Arial"/>
                <w:sz w:val="18"/>
              </w:rPr>
            </w:pPr>
            <w:r w:rsidRPr="00FE4033">
              <w:rPr>
                <w:rFonts w:ascii="Arial" w:hAnsi="Arial" w:cs="Arial"/>
                <w:sz w:val="18"/>
              </w:rPr>
              <w:t>None</w:t>
            </w:r>
          </w:p>
        </w:tc>
      </w:tr>
    </w:tbl>
    <w:p w14:paraId="070FC27F" w14:textId="77777777" w:rsidR="00580F32" w:rsidRPr="00D548CF" w:rsidRDefault="00580F32" w:rsidP="00580F32">
      <w:pPr>
        <w:spacing w:before="240" w:after="120"/>
        <w:ind w:left="1247"/>
        <w:rPr>
          <w:rFonts w:ascii="Arial" w:hAnsi="Arial" w:cs="Arial"/>
          <w:szCs w:val="20"/>
          <w:lang w:val="en-GB"/>
        </w:rPr>
      </w:pPr>
    </w:p>
    <w:p w14:paraId="32953212" w14:textId="77777777" w:rsidR="00580F32" w:rsidRPr="00D548CF" w:rsidRDefault="00580F32" w:rsidP="00580F32">
      <w:pPr>
        <w:spacing w:before="240" w:after="120"/>
        <w:ind w:left="1247"/>
        <w:rPr>
          <w:rFonts w:ascii="Arial" w:hAnsi="Arial" w:cs="Arial"/>
          <w:b/>
          <w:sz w:val="28"/>
        </w:rPr>
      </w:pPr>
      <w:r w:rsidRPr="00D548CF">
        <w:rPr>
          <w:rFonts w:ascii="Arial" w:hAnsi="Arial" w:cs="Arial"/>
          <w:b/>
          <w:sz w:val="28"/>
        </w:rPr>
        <w:t>SC-4/13: Listing of hexabromobiphenyl</w:t>
      </w:r>
    </w:p>
    <w:p w14:paraId="20AEA18D" w14:textId="77777777" w:rsidR="00580F32" w:rsidRPr="00D548CF" w:rsidRDefault="00580F32" w:rsidP="00580F32">
      <w:pPr>
        <w:pStyle w:val="Paralevel1"/>
        <w:numPr>
          <w:ilvl w:val="0"/>
          <w:numId w:val="0"/>
        </w:numPr>
        <w:ind w:left="1247" w:firstLine="624"/>
        <w:rPr>
          <w:rFonts w:ascii="Arial" w:hAnsi="Arial" w:cs="Arial"/>
          <w:i/>
        </w:rPr>
      </w:pPr>
      <w:r w:rsidRPr="00D548CF">
        <w:rPr>
          <w:rFonts w:ascii="Arial" w:hAnsi="Arial" w:cs="Arial"/>
          <w:i/>
        </w:rPr>
        <w:t>The Conference of the Parties,</w:t>
      </w:r>
    </w:p>
    <w:p w14:paraId="66785CDC" w14:textId="77777777" w:rsidR="00580F32" w:rsidRPr="00D548CF" w:rsidRDefault="00580F32" w:rsidP="00580F32">
      <w:pPr>
        <w:keepNext/>
        <w:keepLines/>
        <w:spacing w:after="120"/>
        <w:ind w:left="1247" w:firstLine="623"/>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hexabromobiphenyl transmitted by the Persistent Organic Pollutants Review Committee,</w:t>
      </w:r>
      <w:r w:rsidRPr="00D548CF">
        <w:rPr>
          <w:rStyle w:val="FootnoteReference"/>
          <w:rFonts w:ascii="Arial" w:hAnsi="Arial" w:cs="Arial"/>
          <w:sz w:val="20"/>
        </w:rPr>
        <w:footnoteReference w:id="7"/>
      </w:r>
    </w:p>
    <w:p w14:paraId="328F5E6E" w14:textId="77777777" w:rsidR="00580F32" w:rsidRPr="00D548CF" w:rsidRDefault="00580F32" w:rsidP="00580F32">
      <w:pPr>
        <w:keepNext/>
        <w:keepLines/>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hexabromobiphenyl in Annex A of the Convention without specific exemptions,</w:t>
      </w:r>
      <w:r w:rsidRPr="00D548CF">
        <w:rPr>
          <w:rStyle w:val="FootnoteReference"/>
          <w:rFonts w:ascii="Arial" w:hAnsi="Arial" w:cs="Arial"/>
          <w:sz w:val="20"/>
        </w:rPr>
        <w:footnoteReference w:id="8"/>
      </w:r>
      <w:r w:rsidRPr="00D548CF">
        <w:rPr>
          <w:rFonts w:ascii="Arial" w:hAnsi="Arial" w:cs="Arial"/>
          <w:sz w:val="20"/>
        </w:rPr>
        <w:t xml:space="preserve"> </w:t>
      </w:r>
    </w:p>
    <w:p w14:paraId="41267B20" w14:textId="77777777" w:rsidR="00580F32" w:rsidRPr="00D548CF" w:rsidDel="00A47E52" w:rsidRDefault="00580F32" w:rsidP="00580F32">
      <w:pPr>
        <w:keepNext/>
        <w:keepLines/>
        <w:spacing w:after="120"/>
        <w:ind w:left="1247" w:firstLine="624"/>
        <w:rPr>
          <w:rFonts w:ascii="Arial" w:hAnsi="Arial" w:cs="Arial"/>
          <w:sz w:val="20"/>
        </w:rPr>
      </w:pPr>
      <w:r w:rsidRPr="00D548CF">
        <w:rPr>
          <w:rFonts w:ascii="Arial" w:hAnsi="Arial" w:cs="Arial"/>
          <w:i/>
          <w:sz w:val="20"/>
        </w:rPr>
        <w:t xml:space="preserve">Decides </w:t>
      </w:r>
      <w:r w:rsidRPr="00D548CF">
        <w:rPr>
          <w:rFonts w:ascii="Arial" w:hAnsi="Arial" w:cs="Arial"/>
          <w:sz w:val="20"/>
        </w:rPr>
        <w:t>to amend part I of Annex A of the Convention</w:t>
      </w:r>
      <w:r w:rsidRPr="00D548CF">
        <w:rPr>
          <w:rFonts w:ascii="Arial" w:hAnsi="Arial" w:cs="Arial"/>
          <w:i/>
          <w:sz w:val="20"/>
        </w:rPr>
        <w:t xml:space="preserve"> </w:t>
      </w:r>
      <w:r w:rsidRPr="00D548CF">
        <w:rPr>
          <w:rFonts w:ascii="Arial" w:hAnsi="Arial" w:cs="Arial"/>
          <w:sz w:val="20"/>
        </w:rPr>
        <w:t>to list hexabromobiphenyl therein without specific exemptions by inserting the row below:</w:t>
      </w:r>
    </w:p>
    <w:p w14:paraId="7C4E5A4E" w14:textId="77777777" w:rsidR="00580F32" w:rsidRPr="00D548CF" w:rsidRDefault="00580F32" w:rsidP="00580F32">
      <w:pPr>
        <w:keepNext/>
        <w:keepLines/>
        <w:spacing w:after="120"/>
        <w:ind w:left="1247" w:firstLine="624"/>
        <w:rPr>
          <w:rFonts w:ascii="Arial" w:hAnsi="Arial" w:cs="Arial"/>
          <w:sz w:val="20"/>
        </w:rPr>
      </w:pPr>
    </w:p>
    <w:tbl>
      <w:tblPr>
        <w:tblW w:w="0" w:type="auto"/>
        <w:tblInd w:w="1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22"/>
        <w:gridCol w:w="1359"/>
        <w:gridCol w:w="2713"/>
      </w:tblGrid>
      <w:tr w:rsidR="00580F32" w:rsidRPr="00D548CF" w14:paraId="17A4C3A2" w14:textId="77777777" w:rsidTr="00443B8B">
        <w:tc>
          <w:tcPr>
            <w:tcW w:w="3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4EB60D0" w14:textId="77777777" w:rsidR="00580F32" w:rsidRPr="00FE4033" w:rsidRDefault="00580F32" w:rsidP="00BE3A18">
            <w:pPr>
              <w:rPr>
                <w:rFonts w:ascii="Arial" w:hAnsi="Arial" w:cs="Arial"/>
                <w:sz w:val="18"/>
                <w:szCs w:val="20"/>
              </w:rPr>
            </w:pPr>
            <w:r w:rsidRPr="00FE4033">
              <w:rPr>
                <w:rFonts w:ascii="Arial" w:hAnsi="Arial" w:cs="Arial"/>
                <w:sz w:val="18"/>
                <w:szCs w:val="20"/>
              </w:rPr>
              <w:t>Chemical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EDFCC8" w14:textId="77777777" w:rsidR="00580F32" w:rsidRPr="00FE4033" w:rsidRDefault="00580F32" w:rsidP="00BE3A18">
            <w:pPr>
              <w:rPr>
                <w:rFonts w:ascii="Arial" w:hAnsi="Arial" w:cs="Arial"/>
                <w:sz w:val="18"/>
                <w:szCs w:val="20"/>
              </w:rPr>
            </w:pPr>
            <w:r w:rsidRPr="00FE4033">
              <w:rPr>
                <w:rFonts w:ascii="Arial" w:hAnsi="Arial" w:cs="Arial"/>
                <w:sz w:val="18"/>
                <w:szCs w:val="20"/>
              </w:rPr>
              <w:t>Activity</w:t>
            </w: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90749BE" w14:textId="77777777" w:rsidR="00580F32" w:rsidRPr="00FE4033" w:rsidRDefault="00580F32" w:rsidP="00BE3A18">
            <w:pPr>
              <w:rPr>
                <w:rFonts w:ascii="Arial" w:hAnsi="Arial" w:cs="Arial"/>
                <w:sz w:val="18"/>
                <w:szCs w:val="20"/>
              </w:rPr>
            </w:pPr>
            <w:r w:rsidRPr="00FE4033">
              <w:rPr>
                <w:rFonts w:ascii="Arial" w:hAnsi="Arial" w:cs="Arial"/>
                <w:sz w:val="18"/>
                <w:szCs w:val="20"/>
              </w:rPr>
              <w:t>Specific exemption</w:t>
            </w:r>
          </w:p>
        </w:tc>
      </w:tr>
      <w:tr w:rsidR="00580F32" w:rsidRPr="00D548CF" w14:paraId="653F4F7E" w14:textId="77777777" w:rsidTr="00BE3A18">
        <w:tc>
          <w:tcPr>
            <w:tcW w:w="3985" w:type="dxa"/>
            <w:vMerge w:val="restart"/>
            <w:tcBorders>
              <w:top w:val="single" w:sz="4" w:space="0" w:color="auto"/>
              <w:left w:val="single" w:sz="4" w:space="0" w:color="auto"/>
              <w:bottom w:val="single" w:sz="4" w:space="0" w:color="auto"/>
              <w:right w:val="single" w:sz="4" w:space="0" w:color="auto"/>
            </w:tcBorders>
            <w:shd w:val="clear" w:color="auto" w:fill="auto"/>
          </w:tcPr>
          <w:p w14:paraId="26F1EDE0"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Hexabromobiphenyl*</w:t>
            </w:r>
            <w:r w:rsidRPr="00FE4033">
              <w:rPr>
                <w:rFonts w:ascii="Arial" w:hAnsi="Arial" w:cs="Arial"/>
                <w:sz w:val="18"/>
              </w:rPr>
              <w:br/>
              <w:t>CAS No: 36355-01-8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F83EA"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 xml:space="preserve">Production </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61B4842B"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r w:rsidR="00580F32" w:rsidRPr="00D548CF" w14:paraId="7FB3A0FF" w14:textId="77777777" w:rsidTr="00BE3A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8D987DD" w14:textId="77777777" w:rsidR="00580F32" w:rsidRPr="00FE4033" w:rsidRDefault="00580F32" w:rsidP="00BE3A18">
            <w:pPr>
              <w:rPr>
                <w:rFonts w:ascii="Arial" w:hAnsi="Arial" w:cs="Arial"/>
                <w:b/>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3E031F"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Use</w:t>
            </w:r>
          </w:p>
        </w:tc>
        <w:tc>
          <w:tcPr>
            <w:tcW w:w="3061" w:type="dxa"/>
            <w:tcBorders>
              <w:top w:val="single" w:sz="4" w:space="0" w:color="auto"/>
              <w:left w:val="single" w:sz="4" w:space="0" w:color="auto"/>
              <w:bottom w:val="single" w:sz="4" w:space="0" w:color="auto"/>
              <w:right w:val="single" w:sz="4" w:space="0" w:color="auto"/>
            </w:tcBorders>
            <w:shd w:val="clear" w:color="auto" w:fill="auto"/>
          </w:tcPr>
          <w:p w14:paraId="520AB44C" w14:textId="77777777" w:rsidR="00580F32" w:rsidRPr="00FE4033" w:rsidRDefault="00580F32" w:rsidP="00BE3A18">
            <w:pPr>
              <w:pStyle w:val="Paralevel1"/>
              <w:numPr>
                <w:ilvl w:val="0"/>
                <w:numId w:val="0"/>
              </w:numPr>
              <w:rPr>
                <w:rFonts w:ascii="Arial" w:hAnsi="Arial" w:cs="Arial"/>
                <w:sz w:val="18"/>
              </w:rPr>
            </w:pPr>
            <w:r w:rsidRPr="00FE4033">
              <w:rPr>
                <w:rFonts w:ascii="Arial" w:hAnsi="Arial" w:cs="Arial"/>
                <w:sz w:val="18"/>
              </w:rPr>
              <w:t>None</w:t>
            </w:r>
          </w:p>
        </w:tc>
      </w:tr>
    </w:tbl>
    <w:p w14:paraId="29344B3A" w14:textId="77777777" w:rsidR="00580F32" w:rsidRPr="00D548CF" w:rsidRDefault="00580F32" w:rsidP="00580F32">
      <w:pPr>
        <w:spacing w:before="240" w:after="120"/>
        <w:ind w:left="1247"/>
        <w:rPr>
          <w:rFonts w:ascii="Arial" w:hAnsi="Arial" w:cs="Arial"/>
        </w:rPr>
      </w:pPr>
    </w:p>
    <w:p w14:paraId="0B92A347" w14:textId="77777777" w:rsidR="0042751E" w:rsidRPr="00D548CF" w:rsidRDefault="0042751E" w:rsidP="0042751E">
      <w:pPr>
        <w:spacing w:before="240" w:after="120"/>
        <w:ind w:left="1247"/>
        <w:rPr>
          <w:rFonts w:ascii="Arial" w:hAnsi="Arial" w:cs="Arial"/>
          <w:b/>
        </w:rPr>
      </w:pPr>
      <w:r w:rsidRPr="00D548CF">
        <w:rPr>
          <w:rFonts w:ascii="Arial" w:hAnsi="Arial" w:cs="Arial"/>
          <w:b/>
          <w:sz w:val="28"/>
        </w:rPr>
        <w:t>SC-4/14: Listing of hexabromodiphenyl ether and heptabromodiphenyl ether</w:t>
      </w:r>
    </w:p>
    <w:p w14:paraId="138E9B29" w14:textId="77777777" w:rsidR="0042751E" w:rsidRPr="00D548CF" w:rsidRDefault="0042751E" w:rsidP="0042751E">
      <w:pPr>
        <w:pStyle w:val="Paralevel1"/>
        <w:numPr>
          <w:ilvl w:val="0"/>
          <w:numId w:val="0"/>
        </w:numPr>
        <w:ind w:left="1247" w:firstLine="624"/>
        <w:rPr>
          <w:rFonts w:ascii="Arial" w:hAnsi="Arial" w:cs="Arial"/>
          <w:u w:val="single"/>
        </w:rPr>
      </w:pPr>
      <w:r w:rsidRPr="00D548CF">
        <w:rPr>
          <w:rFonts w:ascii="Arial" w:hAnsi="Arial" w:cs="Arial"/>
          <w:i/>
        </w:rPr>
        <w:t>The Conference of the Parties</w:t>
      </w:r>
      <w:r w:rsidRPr="00D548CF">
        <w:rPr>
          <w:rFonts w:ascii="Arial" w:hAnsi="Arial" w:cs="Arial"/>
        </w:rPr>
        <w:t>,</w:t>
      </w:r>
    </w:p>
    <w:p w14:paraId="60E3287E"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commercial octabromodiphenyl ether transmitted by the Persistent Organic Pollutants Review Committee,</w:t>
      </w:r>
      <w:r w:rsidRPr="00D548CF">
        <w:rPr>
          <w:rStyle w:val="FootnoteReference"/>
          <w:rFonts w:ascii="Arial" w:hAnsi="Arial" w:cs="Arial"/>
          <w:sz w:val="20"/>
        </w:rPr>
        <w:footnoteReference w:id="9"/>
      </w:r>
    </w:p>
    <w:p w14:paraId="0595573F"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hexabromodiphenyl ether and heptabromodiphenyl ether in Annex A of the Convention,</w:t>
      </w:r>
      <w:r w:rsidRPr="00D548CF">
        <w:rPr>
          <w:rStyle w:val="FootnoteReference"/>
          <w:rFonts w:ascii="Arial" w:hAnsi="Arial" w:cs="Arial"/>
          <w:sz w:val="20"/>
        </w:rPr>
        <w:footnoteReference w:id="10"/>
      </w:r>
    </w:p>
    <w:p w14:paraId="4D40CDD3"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lastRenderedPageBreak/>
        <w:t>1.</w:t>
      </w:r>
      <w:r w:rsidRPr="00D548CF">
        <w:rPr>
          <w:rFonts w:ascii="Arial" w:hAnsi="Arial" w:cs="Arial"/>
          <w:sz w:val="20"/>
        </w:rPr>
        <w:tab/>
      </w:r>
      <w:r w:rsidRPr="00D548CF">
        <w:rPr>
          <w:rFonts w:ascii="Arial" w:hAnsi="Arial" w:cs="Arial"/>
          <w:i/>
          <w:sz w:val="20"/>
        </w:rPr>
        <w:t xml:space="preserve">Decides </w:t>
      </w:r>
      <w:r w:rsidRPr="00D548CF">
        <w:rPr>
          <w:rFonts w:ascii="Arial" w:hAnsi="Arial" w:cs="Arial"/>
          <w:sz w:val="20"/>
        </w:rPr>
        <w:t>to amend part I of Annex A of the Convention to list therein hexabromodiphenyl ether and heptabromodiphenyl ether, as defined in paragraph 2 of the present decision, with a specific exemption for articles containing hexabromodiphenyl ether and heptabromodiphenyl ether in accordance with the provisions of part IV of the Annex, as follows:</w:t>
      </w:r>
    </w:p>
    <w:p w14:paraId="4A24EB7F" w14:textId="77777777" w:rsidR="0042751E" w:rsidRPr="00D548CF" w:rsidRDefault="0042751E" w:rsidP="0042751E">
      <w:pPr>
        <w:ind w:left="1260"/>
        <w:rPr>
          <w:rFonts w:ascii="Arial" w:hAnsi="Arial" w:cs="Arial"/>
          <w:sz w:val="20"/>
        </w:rPr>
      </w:pPr>
      <w:r w:rsidRPr="00D548CF">
        <w:rPr>
          <w:rFonts w:ascii="Arial" w:hAnsi="Arial" w:cs="Arial"/>
          <w:sz w:val="20"/>
        </w:rPr>
        <w:t> </w:t>
      </w:r>
    </w:p>
    <w:tbl>
      <w:tblPr>
        <w:tblW w:w="0" w:type="auto"/>
        <w:tblInd w:w="1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61"/>
        <w:gridCol w:w="1223"/>
        <w:gridCol w:w="3310"/>
      </w:tblGrid>
      <w:tr w:rsidR="0042751E" w:rsidRPr="00D548CF" w14:paraId="3223DB0C" w14:textId="77777777" w:rsidTr="00443B8B">
        <w:tc>
          <w:tcPr>
            <w:tcW w:w="3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6B4ACC" w14:textId="77777777" w:rsidR="0042751E" w:rsidRPr="00FE4033" w:rsidRDefault="0042751E" w:rsidP="00BE3A18">
            <w:pPr>
              <w:keepNext/>
              <w:rPr>
                <w:rFonts w:ascii="Arial" w:hAnsi="Arial" w:cs="Arial"/>
                <w:sz w:val="18"/>
                <w:szCs w:val="20"/>
              </w:rPr>
            </w:pPr>
            <w:r w:rsidRPr="00FE4033">
              <w:rPr>
                <w:rFonts w:ascii="Arial" w:hAnsi="Arial" w:cs="Arial"/>
                <w:sz w:val="18"/>
                <w:szCs w:val="20"/>
              </w:rPr>
              <w:t xml:space="preserve">Chemical </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1178E" w14:textId="77777777" w:rsidR="0042751E" w:rsidRPr="00FE4033" w:rsidRDefault="0042751E" w:rsidP="00BE3A18">
            <w:pPr>
              <w:keepNext/>
              <w:rPr>
                <w:rFonts w:ascii="Arial" w:hAnsi="Arial" w:cs="Arial"/>
                <w:sz w:val="18"/>
                <w:szCs w:val="20"/>
              </w:rPr>
            </w:pPr>
            <w:r w:rsidRPr="00FE4033">
              <w:rPr>
                <w:rFonts w:ascii="Arial" w:hAnsi="Arial" w:cs="Arial"/>
                <w:sz w:val="18"/>
                <w:szCs w:val="20"/>
              </w:rPr>
              <w:t>Activity</w:t>
            </w:r>
          </w:p>
        </w:tc>
        <w:tc>
          <w:tcPr>
            <w:tcW w:w="3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152D8" w14:textId="77777777" w:rsidR="0042751E" w:rsidRPr="00FE4033" w:rsidRDefault="0042751E" w:rsidP="00BE3A18">
            <w:pPr>
              <w:keepNext/>
              <w:rPr>
                <w:rFonts w:ascii="Arial" w:hAnsi="Arial" w:cs="Arial"/>
                <w:sz w:val="18"/>
                <w:szCs w:val="20"/>
              </w:rPr>
            </w:pPr>
            <w:r w:rsidRPr="00FE4033">
              <w:rPr>
                <w:rFonts w:ascii="Arial" w:hAnsi="Arial" w:cs="Arial"/>
                <w:sz w:val="18"/>
                <w:szCs w:val="20"/>
              </w:rPr>
              <w:t>Specific exemption</w:t>
            </w:r>
          </w:p>
        </w:tc>
      </w:tr>
      <w:tr w:rsidR="0042751E" w:rsidRPr="00D548CF" w14:paraId="48C9D231" w14:textId="77777777" w:rsidTr="00BE3A18">
        <w:tc>
          <w:tcPr>
            <w:tcW w:w="3440" w:type="dxa"/>
            <w:vMerge w:val="restart"/>
            <w:tcBorders>
              <w:top w:val="single" w:sz="4" w:space="0" w:color="auto"/>
              <w:left w:val="single" w:sz="4" w:space="0" w:color="auto"/>
              <w:bottom w:val="single" w:sz="4" w:space="0" w:color="auto"/>
              <w:right w:val="single" w:sz="4" w:space="0" w:color="auto"/>
            </w:tcBorders>
            <w:shd w:val="clear" w:color="auto" w:fill="auto"/>
          </w:tcPr>
          <w:p w14:paraId="24973482"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Hexabromodiphenyl ether* and heptabromodiphenyl ether*</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7C6206A"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 xml:space="preserve">Production </w:t>
            </w:r>
          </w:p>
        </w:tc>
        <w:tc>
          <w:tcPr>
            <w:tcW w:w="3770" w:type="dxa"/>
            <w:tcBorders>
              <w:top w:val="single" w:sz="4" w:space="0" w:color="auto"/>
              <w:left w:val="single" w:sz="4" w:space="0" w:color="auto"/>
              <w:bottom w:val="single" w:sz="4" w:space="0" w:color="auto"/>
              <w:right w:val="single" w:sz="4" w:space="0" w:color="auto"/>
            </w:tcBorders>
            <w:shd w:val="clear" w:color="auto" w:fill="auto"/>
          </w:tcPr>
          <w:p w14:paraId="66D65D65"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None</w:t>
            </w:r>
          </w:p>
        </w:tc>
      </w:tr>
      <w:tr w:rsidR="0042751E" w:rsidRPr="00D548CF" w14:paraId="04E1AB51" w14:textId="77777777" w:rsidTr="00BE3A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918E3A" w14:textId="77777777" w:rsidR="0042751E" w:rsidRPr="00FE4033" w:rsidRDefault="0042751E" w:rsidP="00BE3A18">
            <w:pPr>
              <w:rPr>
                <w:rFonts w:ascii="Arial" w:hAnsi="Arial" w:cs="Arial"/>
                <w:b/>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4809F42D"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Use</w:t>
            </w:r>
          </w:p>
        </w:tc>
        <w:tc>
          <w:tcPr>
            <w:tcW w:w="3770" w:type="dxa"/>
            <w:tcBorders>
              <w:top w:val="single" w:sz="4" w:space="0" w:color="auto"/>
              <w:left w:val="single" w:sz="4" w:space="0" w:color="auto"/>
              <w:bottom w:val="single" w:sz="4" w:space="0" w:color="auto"/>
              <w:right w:val="single" w:sz="4" w:space="0" w:color="auto"/>
            </w:tcBorders>
            <w:shd w:val="clear" w:color="auto" w:fill="auto"/>
          </w:tcPr>
          <w:p w14:paraId="40E94986" w14:textId="77777777" w:rsidR="0042751E" w:rsidRPr="00FE4033" w:rsidRDefault="0042751E" w:rsidP="00BE3A18">
            <w:pPr>
              <w:outlineLvl w:val="0"/>
              <w:rPr>
                <w:rFonts w:ascii="Arial" w:hAnsi="Arial" w:cs="Arial"/>
                <w:sz w:val="18"/>
                <w:szCs w:val="20"/>
              </w:rPr>
            </w:pPr>
            <w:r w:rsidRPr="00FE4033">
              <w:rPr>
                <w:rFonts w:ascii="Arial" w:hAnsi="Arial" w:cs="Arial"/>
                <w:sz w:val="18"/>
                <w:szCs w:val="20"/>
              </w:rPr>
              <w:t>Articles in accordance with provisions of part IV of this Annex</w:t>
            </w:r>
          </w:p>
          <w:p w14:paraId="50B6838D" w14:textId="77777777" w:rsidR="0042751E" w:rsidRPr="00FE4033" w:rsidRDefault="0042751E" w:rsidP="00BE3A18">
            <w:pPr>
              <w:pStyle w:val="Paralevel1"/>
              <w:numPr>
                <w:ilvl w:val="0"/>
                <w:numId w:val="0"/>
              </w:numPr>
              <w:rPr>
                <w:rFonts w:ascii="Arial" w:hAnsi="Arial" w:cs="Arial"/>
                <w:sz w:val="18"/>
              </w:rPr>
            </w:pPr>
          </w:p>
        </w:tc>
      </w:tr>
    </w:tbl>
    <w:p w14:paraId="6075F5E6" w14:textId="77777777" w:rsidR="0042751E" w:rsidRPr="00D548CF" w:rsidRDefault="0042751E" w:rsidP="0042751E">
      <w:pPr>
        <w:rPr>
          <w:rFonts w:ascii="Arial" w:hAnsi="Arial" w:cs="Arial"/>
          <w:sz w:val="20"/>
        </w:rPr>
      </w:pPr>
      <w:r w:rsidRPr="00D548CF">
        <w:rPr>
          <w:rFonts w:ascii="Arial" w:hAnsi="Arial" w:cs="Arial"/>
          <w:sz w:val="20"/>
        </w:rPr>
        <w:t> </w:t>
      </w:r>
    </w:p>
    <w:p w14:paraId="28677097"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t>2.</w:t>
      </w:r>
      <w:r w:rsidRPr="00D548CF">
        <w:rPr>
          <w:rFonts w:ascii="Arial" w:hAnsi="Arial" w:cs="Arial"/>
          <w:sz w:val="20"/>
        </w:rPr>
        <w:tab/>
      </w:r>
      <w:r w:rsidRPr="00D548CF">
        <w:rPr>
          <w:rFonts w:ascii="Arial" w:hAnsi="Arial" w:cs="Arial"/>
          <w:i/>
          <w:sz w:val="20"/>
        </w:rPr>
        <w:t xml:space="preserve">Also decides </w:t>
      </w:r>
      <w:r w:rsidRPr="00D548CF">
        <w:rPr>
          <w:rFonts w:ascii="Arial" w:hAnsi="Arial" w:cs="Arial"/>
          <w:sz w:val="20"/>
        </w:rPr>
        <w:t xml:space="preserve">to insert a definition for hexabromodiphenyl ether and heptabromodiphenyl ether in a new part III of Annex A called “Definitions” as follows: </w:t>
      </w:r>
    </w:p>
    <w:p w14:paraId="23572A3F" w14:textId="77777777" w:rsidR="0042751E" w:rsidRPr="00D548CF" w:rsidRDefault="0042751E" w:rsidP="0042751E">
      <w:pPr>
        <w:keepNext/>
        <w:keepLines/>
        <w:spacing w:after="120"/>
        <w:ind w:left="1247" w:firstLine="624"/>
        <w:rPr>
          <w:rFonts w:ascii="Arial" w:hAnsi="Arial" w:cs="Arial"/>
          <w:sz w:val="20"/>
        </w:rPr>
      </w:pPr>
      <w:r w:rsidRPr="00D548CF">
        <w:rPr>
          <w:rFonts w:ascii="Arial" w:hAnsi="Arial" w:cs="Arial"/>
          <w:sz w:val="20"/>
        </w:rPr>
        <w:t xml:space="preserve">For the purpose of this Annex: </w:t>
      </w:r>
    </w:p>
    <w:p w14:paraId="61FC811C" w14:textId="77777777" w:rsidR="0042751E" w:rsidRPr="00D548CF" w:rsidRDefault="0042751E" w:rsidP="0042751E">
      <w:pPr>
        <w:keepNext/>
        <w:keepLines/>
        <w:ind w:left="2496" w:right="1247"/>
        <w:rPr>
          <w:rFonts w:ascii="Arial" w:hAnsi="Arial" w:cs="Arial"/>
          <w:sz w:val="20"/>
        </w:rPr>
      </w:pPr>
      <w:r w:rsidRPr="00D548CF">
        <w:rPr>
          <w:rFonts w:ascii="Arial" w:hAnsi="Arial" w:cs="Arial"/>
          <w:sz w:val="20"/>
        </w:rPr>
        <w:t>“Hexabromodiphenyl ether and heptabromodiphenyl ether” means 2,2',4,4',5,5'-hexabromodiphenyl ether (BDE-153, CAS No: 68631-49-2), 2,2',4,4',5,6'-hexabromodiphenyl ether (BDE-154, CAS No: 207122-15-4), 2,2',3,3',4,5',6-heptabromodiphenyl ether (BDE-175, CAS No: 446255-22-7), 2,2',3,4,4',5',6-heptabromodiphenyl ether (BDE-183, CAS No: 207122-16-5) and other hexa- and heptabromodiphenyl ethers present in commercial octabromodiphenyl ether.</w:t>
      </w:r>
    </w:p>
    <w:p w14:paraId="2EF2014A" w14:textId="77777777" w:rsidR="0042751E" w:rsidRPr="00D548CF" w:rsidRDefault="0042751E" w:rsidP="0042751E">
      <w:pPr>
        <w:spacing w:after="120"/>
        <w:rPr>
          <w:rFonts w:ascii="Arial" w:hAnsi="Arial" w:cs="Arial"/>
          <w:sz w:val="20"/>
        </w:rPr>
      </w:pPr>
    </w:p>
    <w:p w14:paraId="15283FDD"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t>3.</w:t>
      </w:r>
      <w:r w:rsidRPr="00D548CF">
        <w:rPr>
          <w:rFonts w:ascii="Arial" w:hAnsi="Arial" w:cs="Arial"/>
          <w:i/>
          <w:sz w:val="20"/>
        </w:rPr>
        <w:t xml:space="preserve"> </w:t>
      </w:r>
      <w:r w:rsidRPr="00D548CF">
        <w:rPr>
          <w:rFonts w:ascii="Arial" w:hAnsi="Arial" w:cs="Arial"/>
          <w:i/>
          <w:sz w:val="20"/>
        </w:rPr>
        <w:tab/>
        <w:t xml:space="preserve">Decides </w:t>
      </w:r>
      <w:r w:rsidRPr="00D548CF">
        <w:rPr>
          <w:rFonts w:ascii="Arial" w:hAnsi="Arial" w:cs="Arial"/>
          <w:sz w:val="20"/>
        </w:rPr>
        <w:t>to insert a new part IV in Annex A as follows:</w:t>
      </w:r>
    </w:p>
    <w:p w14:paraId="4426BBCE" w14:textId="77777777" w:rsidR="0042751E" w:rsidRPr="00D548CF" w:rsidRDefault="0042751E" w:rsidP="0042751E">
      <w:pPr>
        <w:jc w:val="center"/>
        <w:rPr>
          <w:rFonts w:ascii="Arial" w:hAnsi="Arial" w:cs="Arial"/>
          <w:sz w:val="20"/>
        </w:rPr>
      </w:pPr>
      <w:r w:rsidRPr="00D548CF">
        <w:rPr>
          <w:rFonts w:ascii="Arial" w:hAnsi="Arial" w:cs="Arial"/>
          <w:sz w:val="20"/>
        </w:rPr>
        <w:t> </w:t>
      </w:r>
    </w:p>
    <w:p w14:paraId="1CFFA25C" w14:textId="77777777" w:rsidR="0042751E" w:rsidRPr="00D548CF" w:rsidRDefault="0042751E" w:rsidP="0042751E">
      <w:pPr>
        <w:jc w:val="center"/>
        <w:rPr>
          <w:rFonts w:ascii="Arial" w:hAnsi="Arial" w:cs="Arial"/>
          <w:b/>
          <w:sz w:val="20"/>
        </w:rPr>
      </w:pPr>
      <w:r w:rsidRPr="00D548CF">
        <w:rPr>
          <w:rFonts w:ascii="Arial" w:hAnsi="Arial" w:cs="Arial"/>
          <w:b/>
          <w:sz w:val="20"/>
        </w:rPr>
        <w:t>Part IV</w:t>
      </w:r>
    </w:p>
    <w:p w14:paraId="160452B4" w14:textId="77777777" w:rsidR="0042751E" w:rsidRPr="00D548CF" w:rsidRDefault="0042751E" w:rsidP="0042751E">
      <w:pPr>
        <w:jc w:val="center"/>
        <w:rPr>
          <w:rFonts w:ascii="Arial" w:hAnsi="Arial" w:cs="Arial"/>
          <w:sz w:val="20"/>
        </w:rPr>
      </w:pPr>
    </w:p>
    <w:p w14:paraId="3EE58E78" w14:textId="77777777" w:rsidR="0042751E" w:rsidRPr="00D548CF" w:rsidRDefault="0042751E" w:rsidP="0042751E">
      <w:pPr>
        <w:spacing w:after="120"/>
        <w:ind w:left="3119" w:right="1247"/>
        <w:rPr>
          <w:rFonts w:ascii="Arial" w:hAnsi="Arial" w:cs="Arial"/>
          <w:b/>
          <w:sz w:val="20"/>
        </w:rPr>
      </w:pPr>
      <w:r w:rsidRPr="00D548CF">
        <w:rPr>
          <w:rFonts w:ascii="Arial" w:hAnsi="Arial" w:cs="Arial"/>
          <w:b/>
          <w:sz w:val="20"/>
        </w:rPr>
        <w:t>Hexabromodiphenyl ether and heptabromodiphenyl ether</w:t>
      </w:r>
    </w:p>
    <w:p w14:paraId="07976B96" w14:textId="77777777" w:rsidR="0042751E" w:rsidRPr="00D548CF" w:rsidRDefault="0042751E" w:rsidP="0042751E">
      <w:pPr>
        <w:jc w:val="center"/>
        <w:rPr>
          <w:rFonts w:ascii="Arial" w:hAnsi="Arial" w:cs="Arial"/>
          <w:sz w:val="20"/>
        </w:rPr>
      </w:pPr>
      <w:r w:rsidRPr="00D548CF">
        <w:rPr>
          <w:rFonts w:ascii="Arial" w:hAnsi="Arial" w:cs="Arial"/>
          <w:sz w:val="20"/>
        </w:rPr>
        <w:t> </w:t>
      </w:r>
    </w:p>
    <w:p w14:paraId="570712BC"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1.</w:t>
      </w:r>
      <w:r w:rsidRPr="00D548CF">
        <w:rPr>
          <w:rFonts w:ascii="Arial" w:hAnsi="Arial" w:cs="Arial"/>
          <w:sz w:val="20"/>
        </w:rPr>
        <w:tab/>
        <w:t>A Party may allow recycling of articles that contain or may contain hexabromodiphenyl ether and heptabromodiphenyl ether, and the use and final disposal of articles manufactured from recycled materials that contain or may contain hexabromodiphenyl ether and heptabromodiphenyl ether, provided that:</w:t>
      </w:r>
    </w:p>
    <w:p w14:paraId="4566ADCF" w14:textId="77777777" w:rsidR="0042751E" w:rsidRPr="00D548CF" w:rsidRDefault="0042751E" w:rsidP="0042751E">
      <w:pPr>
        <w:spacing w:after="120"/>
        <w:ind w:left="2517" w:right="1247" w:firstLine="624"/>
        <w:rPr>
          <w:rFonts w:ascii="Arial" w:hAnsi="Arial" w:cs="Arial"/>
          <w:sz w:val="20"/>
        </w:rPr>
      </w:pPr>
      <w:r w:rsidRPr="00D548CF">
        <w:rPr>
          <w:rFonts w:ascii="Arial" w:hAnsi="Arial" w:cs="Arial"/>
          <w:sz w:val="20"/>
        </w:rPr>
        <w:t xml:space="preserve">(a) </w:t>
      </w:r>
      <w:r w:rsidRPr="00D548CF">
        <w:rPr>
          <w:rFonts w:ascii="Arial" w:hAnsi="Arial" w:cs="Arial"/>
          <w:sz w:val="20"/>
        </w:rPr>
        <w:tab/>
        <w:t>The recycling and final disposal is carried out in an environmentally sound manner and does not lead to recovery of hexabromodiphenyl ether and heptabromodiphenyl ether for the purpose of their reuse;</w:t>
      </w:r>
    </w:p>
    <w:p w14:paraId="0F26AD2D" w14:textId="77777777" w:rsidR="0042751E" w:rsidRPr="00D548CF" w:rsidRDefault="0042751E" w:rsidP="0042751E">
      <w:pPr>
        <w:spacing w:after="120"/>
        <w:ind w:left="2520" w:right="1247" w:firstLine="720"/>
        <w:rPr>
          <w:rFonts w:ascii="Arial" w:hAnsi="Arial" w:cs="Arial"/>
          <w:sz w:val="20"/>
        </w:rPr>
      </w:pPr>
      <w:r w:rsidRPr="00D548CF">
        <w:rPr>
          <w:rFonts w:ascii="Arial" w:hAnsi="Arial" w:cs="Arial"/>
          <w:sz w:val="20"/>
        </w:rPr>
        <w:t>(b)</w:t>
      </w:r>
      <w:r w:rsidRPr="00D548CF">
        <w:rPr>
          <w:rFonts w:ascii="Arial" w:hAnsi="Arial" w:cs="Arial"/>
          <w:sz w:val="20"/>
        </w:rPr>
        <w:tab/>
        <w:t xml:space="preserve">The Party takes steps to prevent exports of such articles that contain levels/concentrations of hexabromodiphenyl ether and heptabromodiphenyl ether exceeding those permitted for the sale, use, import or </w:t>
      </w:r>
      <w:r w:rsidRPr="00D548CF">
        <w:rPr>
          <w:rFonts w:ascii="Arial" w:hAnsi="Arial" w:cs="Arial"/>
          <w:sz w:val="20"/>
        </w:rPr>
        <w:lastRenderedPageBreak/>
        <w:t>manufacture of those articles within the territory of the Party; and</w:t>
      </w:r>
    </w:p>
    <w:p w14:paraId="59CE5C0E" w14:textId="77777777" w:rsidR="0042751E" w:rsidRPr="00D548CF" w:rsidRDefault="0042751E" w:rsidP="0042751E">
      <w:pPr>
        <w:spacing w:after="120"/>
        <w:ind w:left="2520" w:right="1247" w:firstLine="720"/>
        <w:rPr>
          <w:rFonts w:ascii="Arial" w:hAnsi="Arial" w:cs="Arial"/>
          <w:sz w:val="20"/>
        </w:rPr>
      </w:pPr>
      <w:r w:rsidRPr="00D548CF">
        <w:rPr>
          <w:rFonts w:ascii="Arial" w:hAnsi="Arial" w:cs="Arial"/>
          <w:sz w:val="20"/>
        </w:rPr>
        <w:t>(c)</w:t>
      </w:r>
      <w:r w:rsidRPr="00D548CF">
        <w:rPr>
          <w:rFonts w:ascii="Arial" w:hAnsi="Arial" w:cs="Arial"/>
          <w:sz w:val="20"/>
        </w:rPr>
        <w:tab/>
        <w:t>The Party has notified the Secretariat of its intention to make use of this exemption.</w:t>
      </w:r>
    </w:p>
    <w:p w14:paraId="5CAE7494" w14:textId="77777777" w:rsidR="0042751E" w:rsidRPr="00D548CF" w:rsidRDefault="0042751E" w:rsidP="0042751E">
      <w:pPr>
        <w:spacing w:after="120"/>
        <w:ind w:left="2520" w:right="1247" w:firstLine="720"/>
        <w:rPr>
          <w:rFonts w:ascii="Arial" w:hAnsi="Arial" w:cs="Arial"/>
          <w:sz w:val="20"/>
        </w:rPr>
      </w:pPr>
      <w:r w:rsidRPr="00D548CF">
        <w:rPr>
          <w:rFonts w:ascii="Arial" w:hAnsi="Arial" w:cs="Arial"/>
          <w:sz w:val="20"/>
        </w:rPr>
        <w:t xml:space="preserve">2. </w:t>
      </w:r>
      <w:r w:rsidRPr="00D548CF">
        <w:rPr>
          <w:rFonts w:ascii="Arial" w:hAnsi="Arial" w:cs="Arial"/>
          <w:sz w:val="20"/>
        </w:rPr>
        <w:tab/>
        <w:t>At its sixth ordinary meeting and at every second ordinary meeting thereafter the Conference of the Parties shall evaluate the progress that Parties have made towards achieving their ultimate objective of elimination of hexabromodiphenyl ether and heptabromodiphenyl ether contained in articles and review the continued need for this specific exemption. This specific exemption shall in any case expire at the latest in 2030.</w:t>
      </w:r>
    </w:p>
    <w:p w14:paraId="2BBB3665"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t>4</w:t>
      </w:r>
      <w:r w:rsidRPr="00D548CF">
        <w:rPr>
          <w:rFonts w:ascii="Arial" w:hAnsi="Arial" w:cs="Arial"/>
          <w:i/>
          <w:sz w:val="20"/>
        </w:rPr>
        <w:t xml:space="preserve">. </w:t>
      </w:r>
      <w:r w:rsidRPr="00D548CF">
        <w:rPr>
          <w:rFonts w:ascii="Arial" w:hAnsi="Arial" w:cs="Arial"/>
          <w:i/>
          <w:sz w:val="20"/>
        </w:rPr>
        <w:tab/>
        <w:t>Decides</w:t>
      </w:r>
      <w:r w:rsidRPr="00D548CF">
        <w:rPr>
          <w:rFonts w:ascii="Arial" w:hAnsi="Arial" w:cs="Arial"/>
          <w:sz w:val="20"/>
        </w:rPr>
        <w:t xml:space="preserve"> to amend part I of Annex A of the Convention by inserting in note (iv), after the words “polychlorinated biphenyls in articles in use in accordance with the provisions of Part II”, a comma and the words “the use of hexabromodiphenyl ether and heptabromodiphenyl ether in accordance with the provisions of Part IV”.</w:t>
      </w:r>
    </w:p>
    <w:p w14:paraId="4822985B" w14:textId="77777777" w:rsidR="0042751E" w:rsidRPr="00D548CF" w:rsidRDefault="0042751E" w:rsidP="0042751E">
      <w:pPr>
        <w:tabs>
          <w:tab w:val="left" w:pos="624"/>
          <w:tab w:val="left" w:pos="1247"/>
          <w:tab w:val="left" w:pos="1871"/>
        </w:tabs>
        <w:jc w:val="center"/>
        <w:rPr>
          <w:rFonts w:ascii="Arial" w:hAnsi="Arial" w:cs="Arial"/>
        </w:rPr>
      </w:pPr>
    </w:p>
    <w:p w14:paraId="7FBDB975" w14:textId="77777777" w:rsidR="0042751E" w:rsidRPr="00D548CF" w:rsidRDefault="0042751E" w:rsidP="0042751E">
      <w:pPr>
        <w:keepNext/>
        <w:keepLines/>
        <w:spacing w:before="120" w:after="120"/>
        <w:ind w:left="1247"/>
        <w:rPr>
          <w:rFonts w:ascii="Arial" w:hAnsi="Arial" w:cs="Arial"/>
          <w:b/>
          <w:sz w:val="28"/>
          <w:szCs w:val="20"/>
        </w:rPr>
      </w:pPr>
      <w:r w:rsidRPr="00D548CF">
        <w:rPr>
          <w:rFonts w:ascii="Arial" w:hAnsi="Arial" w:cs="Arial"/>
          <w:b/>
          <w:sz w:val="28"/>
        </w:rPr>
        <w:t>SC-4/15:</w:t>
      </w:r>
      <w:r w:rsidRPr="00D548CF">
        <w:rPr>
          <w:rFonts w:ascii="Arial" w:hAnsi="Arial" w:cs="Arial"/>
          <w:sz w:val="20"/>
        </w:rPr>
        <w:t xml:space="preserve"> </w:t>
      </w:r>
      <w:r w:rsidRPr="00D548CF">
        <w:rPr>
          <w:rFonts w:ascii="Arial" w:hAnsi="Arial" w:cs="Arial"/>
          <w:b/>
          <w:sz w:val="28"/>
        </w:rPr>
        <w:t>Listing of lindane</w:t>
      </w:r>
    </w:p>
    <w:p w14:paraId="2C80AAFA" w14:textId="77777777" w:rsidR="0042751E" w:rsidRPr="00D548CF" w:rsidRDefault="0042751E" w:rsidP="0042751E">
      <w:pPr>
        <w:keepNext/>
        <w:keepLines/>
        <w:spacing w:after="120"/>
        <w:ind w:left="1247" w:firstLine="624"/>
        <w:rPr>
          <w:rFonts w:ascii="Arial" w:hAnsi="Arial" w:cs="Arial"/>
          <w:sz w:val="20"/>
          <w:u w:val="single"/>
        </w:rPr>
      </w:pPr>
      <w:r w:rsidRPr="00D548CF">
        <w:rPr>
          <w:rFonts w:ascii="Arial" w:hAnsi="Arial" w:cs="Arial"/>
          <w:i/>
          <w:sz w:val="20"/>
        </w:rPr>
        <w:t>The Conference of the Parties</w:t>
      </w:r>
      <w:r w:rsidRPr="00D548CF">
        <w:rPr>
          <w:rFonts w:ascii="Arial" w:hAnsi="Arial" w:cs="Arial"/>
          <w:sz w:val="20"/>
        </w:rPr>
        <w:t>,</w:t>
      </w:r>
    </w:p>
    <w:p w14:paraId="5F2BFAD5" w14:textId="77777777" w:rsidR="0042751E" w:rsidRPr="00D548CF" w:rsidRDefault="0042751E" w:rsidP="0042751E">
      <w:pPr>
        <w:keepNext/>
        <w:keepLines/>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lindane transmitted by the Persistent Organic Pollutants Review Committee,</w:t>
      </w:r>
      <w:r w:rsidRPr="00D548CF">
        <w:rPr>
          <w:rStyle w:val="FootnoteReference"/>
          <w:rFonts w:ascii="Arial" w:hAnsi="Arial" w:cs="Arial"/>
        </w:rPr>
        <w:footnoteReference w:id="11"/>
      </w:r>
    </w:p>
    <w:p w14:paraId="35429831"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lindane in Annex A of the Convention,</w:t>
      </w:r>
      <w:r w:rsidRPr="00D548CF">
        <w:rPr>
          <w:rStyle w:val="FootnoteReference"/>
          <w:rFonts w:ascii="Arial" w:hAnsi="Arial" w:cs="Arial"/>
        </w:rPr>
        <w:footnoteReference w:id="12"/>
      </w:r>
    </w:p>
    <w:p w14:paraId="56D56F55"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t>1.</w:t>
      </w:r>
      <w:r w:rsidRPr="00D548CF">
        <w:rPr>
          <w:rFonts w:ascii="Arial" w:hAnsi="Arial" w:cs="Arial"/>
          <w:sz w:val="20"/>
        </w:rPr>
        <w:tab/>
      </w:r>
      <w:r w:rsidRPr="00D548CF">
        <w:rPr>
          <w:rFonts w:ascii="Arial" w:hAnsi="Arial" w:cs="Arial"/>
          <w:i/>
          <w:sz w:val="20"/>
        </w:rPr>
        <w:t>Decides</w:t>
      </w:r>
      <w:r w:rsidRPr="00D548CF">
        <w:rPr>
          <w:rFonts w:ascii="Arial" w:hAnsi="Arial" w:cs="Arial"/>
          <w:sz w:val="20"/>
        </w:rPr>
        <w:t xml:space="preserve"> to amend part I of Annex A of the Convention</w:t>
      </w:r>
      <w:r w:rsidRPr="00D548CF">
        <w:rPr>
          <w:rFonts w:ascii="Arial" w:hAnsi="Arial" w:cs="Arial"/>
          <w:i/>
          <w:sz w:val="20"/>
        </w:rPr>
        <w:t xml:space="preserve"> </w:t>
      </w:r>
      <w:r w:rsidRPr="00D548CF">
        <w:rPr>
          <w:rFonts w:ascii="Arial" w:hAnsi="Arial" w:cs="Arial"/>
          <w:sz w:val="20"/>
        </w:rPr>
        <w:t xml:space="preserve">to list lindane therein with a specific exemption for the use of lindane as a human health pharmaceutical for the control of head lice and scabies as second line treatment by inserting the following row: </w:t>
      </w:r>
    </w:p>
    <w:p w14:paraId="551D006C" w14:textId="77777777" w:rsidR="0042751E" w:rsidRPr="00D548CF" w:rsidRDefault="0042751E" w:rsidP="0042751E">
      <w:pPr>
        <w:ind w:left="1260"/>
        <w:rPr>
          <w:rFonts w:ascii="Arial" w:hAnsi="Arial" w:cs="Arial"/>
          <w:sz w:val="20"/>
        </w:rPr>
      </w:pPr>
      <w:r w:rsidRPr="00D548CF">
        <w:rPr>
          <w:rFonts w:ascii="Arial" w:hAnsi="Arial" w:cs="Arial"/>
          <w:sz w:val="20"/>
        </w:rPr>
        <w:t> </w:t>
      </w:r>
    </w:p>
    <w:tbl>
      <w:tblPr>
        <w:tblW w:w="0" w:type="auto"/>
        <w:tblInd w:w="14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80"/>
        <w:gridCol w:w="1418"/>
        <w:gridCol w:w="3039"/>
      </w:tblGrid>
      <w:tr w:rsidR="0042751E" w:rsidRPr="00D548CF" w14:paraId="6A570ECC" w14:textId="77777777" w:rsidTr="00443B8B">
        <w:tc>
          <w:tcPr>
            <w:tcW w:w="3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60254" w14:textId="77777777" w:rsidR="0042751E" w:rsidRPr="00FE4033" w:rsidRDefault="0042751E">
            <w:pPr>
              <w:keepNext/>
              <w:rPr>
                <w:rFonts w:ascii="Arial" w:hAnsi="Arial" w:cs="Arial"/>
                <w:sz w:val="18"/>
                <w:szCs w:val="20"/>
              </w:rPr>
            </w:pPr>
            <w:r w:rsidRPr="00FE4033">
              <w:rPr>
                <w:rFonts w:ascii="Arial" w:hAnsi="Arial" w:cs="Arial"/>
                <w:sz w:val="18"/>
                <w:szCs w:val="20"/>
              </w:rPr>
              <w:t>Chemical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43B36" w14:textId="77777777" w:rsidR="0042751E" w:rsidRPr="00FE4033" w:rsidRDefault="0042751E">
            <w:pPr>
              <w:keepNext/>
              <w:rPr>
                <w:rFonts w:ascii="Arial" w:hAnsi="Arial" w:cs="Arial"/>
                <w:sz w:val="18"/>
                <w:szCs w:val="20"/>
              </w:rPr>
            </w:pPr>
            <w:r w:rsidRPr="00FE4033">
              <w:rPr>
                <w:rFonts w:ascii="Arial" w:hAnsi="Arial" w:cs="Arial"/>
                <w:sz w:val="18"/>
                <w:szCs w:val="20"/>
              </w:rPr>
              <w:t>Activity</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079A2" w14:textId="77777777" w:rsidR="0042751E" w:rsidRPr="00FE4033" w:rsidRDefault="0042751E">
            <w:pPr>
              <w:keepNext/>
              <w:rPr>
                <w:rFonts w:ascii="Arial" w:hAnsi="Arial" w:cs="Arial"/>
                <w:sz w:val="18"/>
                <w:szCs w:val="20"/>
              </w:rPr>
            </w:pPr>
            <w:r w:rsidRPr="00FE4033">
              <w:rPr>
                <w:rFonts w:ascii="Arial" w:hAnsi="Arial" w:cs="Arial"/>
                <w:sz w:val="18"/>
                <w:szCs w:val="20"/>
              </w:rPr>
              <w:t>Specific exemption</w:t>
            </w:r>
          </w:p>
        </w:tc>
      </w:tr>
      <w:tr w:rsidR="0042751E" w:rsidRPr="00D548CF" w14:paraId="3FF9D541" w14:textId="77777777" w:rsidTr="0042751E">
        <w:tc>
          <w:tcPr>
            <w:tcW w:w="3180" w:type="dxa"/>
            <w:vMerge w:val="restart"/>
            <w:tcBorders>
              <w:top w:val="single" w:sz="4" w:space="0" w:color="auto"/>
              <w:left w:val="single" w:sz="4" w:space="0" w:color="auto"/>
              <w:bottom w:val="single" w:sz="4" w:space="0" w:color="auto"/>
              <w:right w:val="single" w:sz="4" w:space="0" w:color="auto"/>
            </w:tcBorders>
            <w:hideMark/>
          </w:tcPr>
          <w:p w14:paraId="28DF84DF" w14:textId="77777777" w:rsidR="0042751E" w:rsidRPr="00FE4033" w:rsidRDefault="0042751E">
            <w:pPr>
              <w:keepNext/>
              <w:rPr>
                <w:rFonts w:ascii="Arial" w:hAnsi="Arial" w:cs="Arial"/>
                <w:sz w:val="18"/>
                <w:szCs w:val="20"/>
              </w:rPr>
            </w:pPr>
            <w:r w:rsidRPr="00FE4033">
              <w:rPr>
                <w:rFonts w:ascii="Arial" w:hAnsi="Arial" w:cs="Arial"/>
                <w:sz w:val="18"/>
                <w:szCs w:val="20"/>
              </w:rPr>
              <w:t>Lindane*</w:t>
            </w:r>
            <w:r w:rsidRPr="00FE4033">
              <w:rPr>
                <w:rFonts w:ascii="Arial" w:hAnsi="Arial" w:cs="Arial"/>
                <w:sz w:val="18"/>
                <w:szCs w:val="20"/>
              </w:rPr>
              <w:br/>
              <w:t>CAS No: 58-89-9</w:t>
            </w:r>
          </w:p>
        </w:tc>
        <w:tc>
          <w:tcPr>
            <w:tcW w:w="1418" w:type="dxa"/>
            <w:tcBorders>
              <w:top w:val="single" w:sz="4" w:space="0" w:color="auto"/>
              <w:left w:val="single" w:sz="4" w:space="0" w:color="auto"/>
              <w:bottom w:val="single" w:sz="4" w:space="0" w:color="auto"/>
              <w:right w:val="single" w:sz="4" w:space="0" w:color="auto"/>
            </w:tcBorders>
            <w:hideMark/>
          </w:tcPr>
          <w:p w14:paraId="21F933E8" w14:textId="77777777" w:rsidR="0042751E" w:rsidRPr="00FE4033" w:rsidRDefault="0042751E">
            <w:pPr>
              <w:pStyle w:val="Paralevel1"/>
              <w:numPr>
                <w:ilvl w:val="0"/>
                <w:numId w:val="0"/>
              </w:numPr>
              <w:tabs>
                <w:tab w:val="left" w:pos="708"/>
              </w:tabs>
              <w:rPr>
                <w:rFonts w:ascii="Arial" w:hAnsi="Arial" w:cs="Arial"/>
                <w:sz w:val="18"/>
              </w:rPr>
            </w:pPr>
            <w:r w:rsidRPr="00FE4033">
              <w:rPr>
                <w:rFonts w:ascii="Arial" w:hAnsi="Arial" w:cs="Arial"/>
                <w:sz w:val="18"/>
              </w:rPr>
              <w:t>Production</w:t>
            </w:r>
          </w:p>
        </w:tc>
        <w:tc>
          <w:tcPr>
            <w:tcW w:w="3039" w:type="dxa"/>
            <w:tcBorders>
              <w:top w:val="single" w:sz="4" w:space="0" w:color="auto"/>
              <w:left w:val="single" w:sz="4" w:space="0" w:color="auto"/>
              <w:bottom w:val="single" w:sz="4" w:space="0" w:color="auto"/>
              <w:right w:val="single" w:sz="4" w:space="0" w:color="auto"/>
            </w:tcBorders>
            <w:hideMark/>
          </w:tcPr>
          <w:p w14:paraId="70491D66" w14:textId="77777777" w:rsidR="0042751E" w:rsidRPr="00FE4033" w:rsidRDefault="0042751E">
            <w:pPr>
              <w:pStyle w:val="Paralevel1"/>
              <w:numPr>
                <w:ilvl w:val="0"/>
                <w:numId w:val="0"/>
              </w:numPr>
              <w:tabs>
                <w:tab w:val="left" w:pos="708"/>
              </w:tabs>
              <w:rPr>
                <w:rFonts w:ascii="Arial" w:hAnsi="Arial" w:cs="Arial"/>
                <w:sz w:val="18"/>
              </w:rPr>
            </w:pPr>
            <w:r w:rsidRPr="00FE4033">
              <w:rPr>
                <w:rFonts w:ascii="Arial" w:hAnsi="Arial" w:cs="Arial"/>
                <w:sz w:val="18"/>
              </w:rPr>
              <w:t>None</w:t>
            </w:r>
          </w:p>
        </w:tc>
      </w:tr>
      <w:tr w:rsidR="0042751E" w:rsidRPr="00D548CF" w14:paraId="04953B4A" w14:textId="77777777" w:rsidTr="0042751E">
        <w:tc>
          <w:tcPr>
            <w:tcW w:w="0" w:type="auto"/>
            <w:vMerge/>
            <w:tcBorders>
              <w:top w:val="single" w:sz="4" w:space="0" w:color="auto"/>
              <w:left w:val="single" w:sz="4" w:space="0" w:color="auto"/>
              <w:bottom w:val="single" w:sz="4" w:space="0" w:color="auto"/>
              <w:right w:val="single" w:sz="4" w:space="0" w:color="auto"/>
            </w:tcBorders>
            <w:vAlign w:val="center"/>
            <w:hideMark/>
          </w:tcPr>
          <w:p w14:paraId="6E76FA8C" w14:textId="77777777" w:rsidR="0042751E" w:rsidRPr="00FE4033" w:rsidRDefault="0042751E">
            <w:pPr>
              <w:rPr>
                <w:rFonts w:ascii="Arial" w:hAnsi="Arial" w:cs="Arial"/>
                <w:sz w:val="18"/>
                <w:szCs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6576C830" w14:textId="77777777" w:rsidR="0042751E" w:rsidRPr="00FE4033" w:rsidRDefault="0042751E">
            <w:pPr>
              <w:pStyle w:val="Paralevel1"/>
              <w:numPr>
                <w:ilvl w:val="0"/>
                <w:numId w:val="0"/>
              </w:numPr>
              <w:tabs>
                <w:tab w:val="left" w:pos="708"/>
              </w:tabs>
              <w:rPr>
                <w:rFonts w:ascii="Arial" w:hAnsi="Arial" w:cs="Arial"/>
                <w:sz w:val="18"/>
              </w:rPr>
            </w:pPr>
            <w:r w:rsidRPr="00FE4033">
              <w:rPr>
                <w:rFonts w:ascii="Arial" w:hAnsi="Arial" w:cs="Arial"/>
                <w:sz w:val="18"/>
              </w:rPr>
              <w:t>Use</w:t>
            </w:r>
          </w:p>
        </w:tc>
        <w:tc>
          <w:tcPr>
            <w:tcW w:w="3039" w:type="dxa"/>
            <w:tcBorders>
              <w:top w:val="single" w:sz="4" w:space="0" w:color="auto"/>
              <w:left w:val="single" w:sz="4" w:space="0" w:color="auto"/>
              <w:bottom w:val="single" w:sz="4" w:space="0" w:color="auto"/>
              <w:right w:val="single" w:sz="4" w:space="0" w:color="auto"/>
            </w:tcBorders>
            <w:hideMark/>
          </w:tcPr>
          <w:p w14:paraId="18EAD90B" w14:textId="77777777" w:rsidR="0042751E" w:rsidRPr="00FE4033" w:rsidRDefault="0042751E">
            <w:pPr>
              <w:pStyle w:val="Paralevel1"/>
              <w:numPr>
                <w:ilvl w:val="0"/>
                <w:numId w:val="0"/>
              </w:numPr>
              <w:tabs>
                <w:tab w:val="left" w:pos="708"/>
              </w:tabs>
              <w:rPr>
                <w:rFonts w:ascii="Arial" w:hAnsi="Arial" w:cs="Arial"/>
                <w:sz w:val="18"/>
              </w:rPr>
            </w:pPr>
            <w:r w:rsidRPr="00FE4033">
              <w:rPr>
                <w:rFonts w:ascii="Arial" w:hAnsi="Arial" w:cs="Arial"/>
                <w:sz w:val="18"/>
              </w:rPr>
              <w:t>Human health pharmaceutical for control of head lice and scabies as second line treatment</w:t>
            </w:r>
          </w:p>
        </w:tc>
      </w:tr>
    </w:tbl>
    <w:p w14:paraId="6C103383" w14:textId="77777777" w:rsidR="0042751E" w:rsidRPr="00D548CF" w:rsidRDefault="0042751E" w:rsidP="0042751E">
      <w:pPr>
        <w:spacing w:after="120"/>
        <w:ind w:left="1247" w:firstLine="624"/>
        <w:rPr>
          <w:rFonts w:ascii="Arial" w:hAnsi="Arial" w:cs="Arial"/>
          <w:sz w:val="20"/>
          <w:szCs w:val="20"/>
          <w:lang w:val="en-GB"/>
        </w:rPr>
      </w:pPr>
    </w:p>
    <w:p w14:paraId="44951A2E" w14:textId="57B1CB44" w:rsidR="0042751E" w:rsidRPr="00D548CF" w:rsidRDefault="0042751E" w:rsidP="00090036">
      <w:pPr>
        <w:pStyle w:val="ListParagraph"/>
        <w:numPr>
          <w:ilvl w:val="0"/>
          <w:numId w:val="11"/>
        </w:numPr>
        <w:spacing w:after="120"/>
        <w:rPr>
          <w:rFonts w:ascii="Arial" w:hAnsi="Arial" w:cs="Arial"/>
          <w:sz w:val="20"/>
        </w:rPr>
      </w:pPr>
      <w:r w:rsidRPr="00D548CF">
        <w:rPr>
          <w:rFonts w:ascii="Arial" w:hAnsi="Arial" w:cs="Arial"/>
          <w:i/>
          <w:sz w:val="20"/>
        </w:rPr>
        <w:t>Requests</w:t>
      </w:r>
      <w:r w:rsidRPr="00D548CF">
        <w:rPr>
          <w:rFonts w:ascii="Arial" w:hAnsi="Arial" w:cs="Arial"/>
          <w:sz w:val="20"/>
        </w:rPr>
        <w:t xml:space="preserve"> the Secretariat to cooperate with the World Health Organization in developing reporting and reviewing requirements for the use of lindane as a human health pharmaceutical for the control of head lice and scabies, taking into consideration the concluding statement in the Persistent Organic Pollutants Review Committee’s risk management evaluation on lindane, and to report on that cooperation to the Conference of the Parties at its fifth meeting.</w:t>
      </w:r>
    </w:p>
    <w:p w14:paraId="4201BCB9" w14:textId="6210A9B0" w:rsidR="0042751E" w:rsidRPr="00D548CF" w:rsidRDefault="0042751E" w:rsidP="0042751E">
      <w:pPr>
        <w:pStyle w:val="ListParagraph"/>
        <w:spacing w:after="120"/>
        <w:ind w:left="360"/>
        <w:rPr>
          <w:rFonts w:ascii="Arial" w:hAnsi="Arial" w:cs="Arial"/>
          <w:i/>
          <w:sz w:val="20"/>
        </w:rPr>
      </w:pPr>
    </w:p>
    <w:p w14:paraId="344AAFDC" w14:textId="77777777" w:rsidR="0042751E" w:rsidRPr="00D548CF" w:rsidRDefault="0042751E" w:rsidP="0042751E">
      <w:pPr>
        <w:pStyle w:val="ListParagraph"/>
        <w:spacing w:after="120"/>
        <w:ind w:left="360"/>
        <w:rPr>
          <w:rFonts w:ascii="Arial" w:hAnsi="Arial" w:cs="Arial"/>
          <w:iCs/>
          <w:sz w:val="24"/>
        </w:rPr>
      </w:pPr>
    </w:p>
    <w:p w14:paraId="30A2B64A" w14:textId="77777777" w:rsidR="0042751E" w:rsidRPr="00D548CF" w:rsidRDefault="0042751E" w:rsidP="0042751E">
      <w:pPr>
        <w:spacing w:before="120" w:after="120"/>
        <w:ind w:left="1247"/>
        <w:rPr>
          <w:rFonts w:ascii="Arial" w:hAnsi="Arial" w:cs="Arial"/>
          <w:b/>
          <w:sz w:val="28"/>
          <w:szCs w:val="20"/>
        </w:rPr>
      </w:pPr>
      <w:r w:rsidRPr="00D548CF">
        <w:rPr>
          <w:rFonts w:ascii="Arial" w:hAnsi="Arial" w:cs="Arial"/>
          <w:b/>
          <w:sz w:val="28"/>
        </w:rPr>
        <w:t>SC-4/16: Listing of pentachlorobenzene</w:t>
      </w:r>
    </w:p>
    <w:p w14:paraId="6D38092D" w14:textId="77777777" w:rsidR="0042751E" w:rsidRPr="00D548CF" w:rsidRDefault="0042751E" w:rsidP="0042751E">
      <w:pPr>
        <w:spacing w:after="120"/>
        <w:ind w:left="1247" w:firstLine="624"/>
        <w:rPr>
          <w:rFonts w:ascii="Arial" w:hAnsi="Arial" w:cs="Arial"/>
          <w:sz w:val="20"/>
          <w:u w:val="single"/>
        </w:rPr>
      </w:pPr>
      <w:r w:rsidRPr="00D548CF">
        <w:rPr>
          <w:rFonts w:ascii="Arial" w:hAnsi="Arial" w:cs="Arial"/>
          <w:i/>
          <w:sz w:val="20"/>
        </w:rPr>
        <w:t>The Conference of the Parties</w:t>
      </w:r>
      <w:r w:rsidRPr="00D548CF">
        <w:rPr>
          <w:rFonts w:ascii="Arial" w:hAnsi="Arial" w:cs="Arial"/>
          <w:sz w:val="20"/>
        </w:rPr>
        <w:t>,</w:t>
      </w:r>
    </w:p>
    <w:p w14:paraId="19C4EA74"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lastRenderedPageBreak/>
        <w:t xml:space="preserve">Having considered </w:t>
      </w:r>
      <w:r w:rsidRPr="00D548CF">
        <w:rPr>
          <w:rFonts w:ascii="Arial" w:hAnsi="Arial" w:cs="Arial"/>
          <w:sz w:val="20"/>
        </w:rPr>
        <w:t>the risk profile, addendum to the risk profile and risk management evaluation for pentachlorobenzene transmitted by the Persistent Organic Pollutants Review Committee,</w:t>
      </w:r>
      <w:r w:rsidRPr="00D548CF">
        <w:rPr>
          <w:rStyle w:val="FootnoteReference"/>
          <w:rFonts w:ascii="Arial" w:hAnsi="Arial" w:cs="Arial"/>
        </w:rPr>
        <w:footnoteReference w:id="13"/>
      </w:r>
    </w:p>
    <w:p w14:paraId="32631538"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pentachlorobenzene in Annex A of the Convention without specific exemptions and in Annex C of the Convention,</w:t>
      </w:r>
      <w:r w:rsidRPr="00D548CF">
        <w:rPr>
          <w:rStyle w:val="FootnoteReference"/>
          <w:rFonts w:ascii="Arial" w:hAnsi="Arial" w:cs="Arial"/>
        </w:rPr>
        <w:footnoteReference w:id="14"/>
      </w:r>
      <w:r w:rsidRPr="00D548CF">
        <w:rPr>
          <w:rFonts w:ascii="Arial" w:hAnsi="Arial" w:cs="Arial"/>
          <w:sz w:val="20"/>
        </w:rPr>
        <w:t xml:space="preserve"> </w:t>
      </w:r>
    </w:p>
    <w:p w14:paraId="1E31DE36" w14:textId="77777777" w:rsidR="0042751E" w:rsidRPr="00D548CF" w:rsidRDefault="0042751E" w:rsidP="0042751E">
      <w:pPr>
        <w:keepNext/>
        <w:keepLines/>
        <w:spacing w:after="120"/>
        <w:ind w:left="1247" w:firstLine="624"/>
        <w:rPr>
          <w:rFonts w:ascii="Arial" w:hAnsi="Arial" w:cs="Arial"/>
          <w:sz w:val="20"/>
        </w:rPr>
      </w:pPr>
      <w:r w:rsidRPr="00D548CF">
        <w:rPr>
          <w:rFonts w:ascii="Arial" w:hAnsi="Arial" w:cs="Arial"/>
          <w:sz w:val="20"/>
        </w:rPr>
        <w:t>1.</w:t>
      </w:r>
      <w:r w:rsidRPr="00D548CF">
        <w:rPr>
          <w:rFonts w:ascii="Arial" w:hAnsi="Arial" w:cs="Arial"/>
          <w:sz w:val="20"/>
        </w:rPr>
        <w:tab/>
      </w:r>
      <w:r w:rsidRPr="00D548CF">
        <w:rPr>
          <w:rFonts w:ascii="Arial" w:hAnsi="Arial" w:cs="Arial"/>
          <w:i/>
          <w:sz w:val="20"/>
        </w:rPr>
        <w:t>Decides</w:t>
      </w:r>
      <w:r w:rsidRPr="00D548CF">
        <w:rPr>
          <w:rFonts w:ascii="Arial" w:hAnsi="Arial" w:cs="Arial"/>
          <w:sz w:val="20"/>
        </w:rPr>
        <w:t xml:space="preserve"> to amend part I of Annex A of the Convention to list pentachlorobenzene therein without specific exemptions by inserting the following row:</w:t>
      </w:r>
    </w:p>
    <w:tbl>
      <w:tblPr>
        <w:tblW w:w="8379" w:type="dxa"/>
        <w:tblInd w:w="13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5"/>
        <w:gridCol w:w="1418"/>
        <w:gridCol w:w="2976"/>
      </w:tblGrid>
      <w:tr w:rsidR="0042751E" w:rsidRPr="00D548CF" w14:paraId="670C7D45" w14:textId="77777777" w:rsidTr="00443B8B">
        <w:tc>
          <w:tcPr>
            <w:tcW w:w="3985" w:type="dxa"/>
            <w:tcBorders>
              <w:top w:val="single" w:sz="4" w:space="0" w:color="auto"/>
              <w:left w:val="single" w:sz="4" w:space="0" w:color="auto"/>
              <w:bottom w:val="single" w:sz="4" w:space="0" w:color="auto"/>
              <w:right w:val="single" w:sz="4" w:space="0" w:color="auto"/>
            </w:tcBorders>
            <w:shd w:val="clear" w:color="E7E6E6" w:themeColor="background2" w:fill="FFFFFF" w:themeFill="background1"/>
            <w:hideMark/>
          </w:tcPr>
          <w:p w14:paraId="7A26816D" w14:textId="77777777" w:rsidR="0042751E" w:rsidRPr="00FE4033" w:rsidRDefault="0042751E">
            <w:pPr>
              <w:keepNext/>
              <w:keepLines/>
              <w:rPr>
                <w:rFonts w:ascii="Arial" w:hAnsi="Arial" w:cs="Arial"/>
                <w:sz w:val="18"/>
                <w:szCs w:val="20"/>
              </w:rPr>
            </w:pPr>
            <w:r w:rsidRPr="00FE4033">
              <w:rPr>
                <w:rFonts w:ascii="Arial" w:hAnsi="Arial" w:cs="Arial"/>
                <w:sz w:val="18"/>
                <w:szCs w:val="20"/>
              </w:rPr>
              <w:t>Chemical</w:t>
            </w:r>
          </w:p>
        </w:tc>
        <w:tc>
          <w:tcPr>
            <w:tcW w:w="1418" w:type="dxa"/>
            <w:tcBorders>
              <w:top w:val="single" w:sz="4" w:space="0" w:color="auto"/>
              <w:left w:val="single" w:sz="4" w:space="0" w:color="auto"/>
              <w:bottom w:val="single" w:sz="4" w:space="0" w:color="auto"/>
              <w:right w:val="single" w:sz="4" w:space="0" w:color="auto"/>
            </w:tcBorders>
            <w:shd w:val="clear" w:color="E7E6E6" w:themeColor="background2" w:fill="FFFFFF" w:themeFill="background1"/>
            <w:hideMark/>
          </w:tcPr>
          <w:p w14:paraId="32401B33" w14:textId="77777777" w:rsidR="0042751E" w:rsidRPr="00FE4033" w:rsidRDefault="0042751E">
            <w:pPr>
              <w:keepNext/>
              <w:keepLines/>
              <w:rPr>
                <w:rFonts w:ascii="Arial" w:hAnsi="Arial" w:cs="Arial"/>
                <w:sz w:val="18"/>
                <w:szCs w:val="20"/>
              </w:rPr>
            </w:pPr>
            <w:r w:rsidRPr="00FE4033">
              <w:rPr>
                <w:rFonts w:ascii="Arial" w:hAnsi="Arial" w:cs="Arial"/>
                <w:sz w:val="18"/>
                <w:szCs w:val="20"/>
              </w:rPr>
              <w:t>Activity</w:t>
            </w:r>
          </w:p>
        </w:tc>
        <w:tc>
          <w:tcPr>
            <w:tcW w:w="2976" w:type="dxa"/>
            <w:tcBorders>
              <w:top w:val="single" w:sz="4" w:space="0" w:color="auto"/>
              <w:left w:val="single" w:sz="4" w:space="0" w:color="auto"/>
              <w:bottom w:val="single" w:sz="4" w:space="0" w:color="auto"/>
              <w:right w:val="single" w:sz="4" w:space="0" w:color="auto"/>
            </w:tcBorders>
            <w:shd w:val="clear" w:color="E7E6E6" w:themeColor="background2" w:fill="FFFFFF" w:themeFill="background1"/>
            <w:hideMark/>
          </w:tcPr>
          <w:p w14:paraId="60603CE1" w14:textId="77777777" w:rsidR="0042751E" w:rsidRPr="00FE4033" w:rsidRDefault="0042751E">
            <w:pPr>
              <w:keepNext/>
              <w:keepLines/>
              <w:rPr>
                <w:rFonts w:ascii="Arial" w:hAnsi="Arial" w:cs="Arial"/>
                <w:sz w:val="18"/>
                <w:szCs w:val="20"/>
              </w:rPr>
            </w:pPr>
            <w:r w:rsidRPr="00FE4033">
              <w:rPr>
                <w:rFonts w:ascii="Arial" w:hAnsi="Arial" w:cs="Arial"/>
                <w:sz w:val="18"/>
                <w:szCs w:val="20"/>
              </w:rPr>
              <w:t>Specific exemption</w:t>
            </w:r>
          </w:p>
        </w:tc>
      </w:tr>
      <w:tr w:rsidR="0042751E" w:rsidRPr="00D548CF" w14:paraId="0B571D9D" w14:textId="77777777" w:rsidTr="0042751E">
        <w:tc>
          <w:tcPr>
            <w:tcW w:w="3985" w:type="dxa"/>
            <w:vMerge w:val="restart"/>
            <w:tcBorders>
              <w:top w:val="single" w:sz="4" w:space="0" w:color="auto"/>
              <w:left w:val="single" w:sz="4" w:space="0" w:color="auto"/>
              <w:bottom w:val="single" w:sz="4" w:space="0" w:color="auto"/>
              <w:right w:val="single" w:sz="4" w:space="0" w:color="auto"/>
            </w:tcBorders>
            <w:hideMark/>
          </w:tcPr>
          <w:p w14:paraId="652EB1BB" w14:textId="77777777" w:rsidR="0042751E" w:rsidRPr="00FE4033" w:rsidRDefault="0042751E">
            <w:pPr>
              <w:pStyle w:val="Paralevel1"/>
              <w:keepNext/>
              <w:keepLines/>
              <w:numPr>
                <w:ilvl w:val="0"/>
                <w:numId w:val="0"/>
              </w:numPr>
              <w:tabs>
                <w:tab w:val="left" w:pos="708"/>
              </w:tabs>
              <w:rPr>
                <w:rFonts w:ascii="Arial" w:hAnsi="Arial" w:cs="Arial"/>
                <w:sz w:val="18"/>
              </w:rPr>
            </w:pPr>
            <w:r w:rsidRPr="00FE4033">
              <w:rPr>
                <w:rFonts w:ascii="Arial" w:hAnsi="Arial" w:cs="Arial"/>
                <w:sz w:val="18"/>
              </w:rPr>
              <w:t>Pentachlorobenzene*</w:t>
            </w:r>
            <w:r w:rsidRPr="00FE4033">
              <w:rPr>
                <w:rFonts w:ascii="Arial" w:hAnsi="Arial" w:cs="Arial"/>
                <w:sz w:val="18"/>
              </w:rPr>
              <w:br/>
              <w:t xml:space="preserve">CAS No: 608-93-5 </w:t>
            </w:r>
          </w:p>
        </w:tc>
        <w:tc>
          <w:tcPr>
            <w:tcW w:w="1418" w:type="dxa"/>
            <w:tcBorders>
              <w:top w:val="single" w:sz="4" w:space="0" w:color="auto"/>
              <w:left w:val="single" w:sz="4" w:space="0" w:color="auto"/>
              <w:bottom w:val="single" w:sz="4" w:space="0" w:color="auto"/>
              <w:right w:val="single" w:sz="4" w:space="0" w:color="auto"/>
            </w:tcBorders>
            <w:hideMark/>
          </w:tcPr>
          <w:p w14:paraId="4B6541D4" w14:textId="77777777" w:rsidR="0042751E" w:rsidRPr="00FE4033" w:rsidRDefault="0042751E">
            <w:pPr>
              <w:pStyle w:val="Paralevel1"/>
              <w:keepNext/>
              <w:keepLines/>
              <w:numPr>
                <w:ilvl w:val="0"/>
                <w:numId w:val="0"/>
              </w:numPr>
              <w:tabs>
                <w:tab w:val="left" w:pos="708"/>
              </w:tabs>
              <w:rPr>
                <w:rFonts w:ascii="Arial" w:hAnsi="Arial" w:cs="Arial"/>
                <w:sz w:val="18"/>
              </w:rPr>
            </w:pPr>
            <w:r w:rsidRPr="00FE4033">
              <w:rPr>
                <w:rFonts w:ascii="Arial" w:hAnsi="Arial" w:cs="Arial"/>
                <w:sz w:val="18"/>
              </w:rPr>
              <w:t xml:space="preserve">Production </w:t>
            </w:r>
          </w:p>
        </w:tc>
        <w:tc>
          <w:tcPr>
            <w:tcW w:w="2976" w:type="dxa"/>
            <w:tcBorders>
              <w:top w:val="single" w:sz="4" w:space="0" w:color="auto"/>
              <w:left w:val="single" w:sz="4" w:space="0" w:color="auto"/>
              <w:bottom w:val="single" w:sz="4" w:space="0" w:color="auto"/>
              <w:right w:val="single" w:sz="4" w:space="0" w:color="auto"/>
            </w:tcBorders>
            <w:hideMark/>
          </w:tcPr>
          <w:p w14:paraId="069B3544" w14:textId="77777777" w:rsidR="0042751E" w:rsidRPr="00FE4033" w:rsidRDefault="0042751E">
            <w:pPr>
              <w:pStyle w:val="Paralevel1"/>
              <w:keepNext/>
              <w:keepLines/>
              <w:numPr>
                <w:ilvl w:val="0"/>
                <w:numId w:val="0"/>
              </w:numPr>
              <w:tabs>
                <w:tab w:val="left" w:pos="708"/>
              </w:tabs>
              <w:rPr>
                <w:rFonts w:ascii="Arial" w:hAnsi="Arial" w:cs="Arial"/>
                <w:sz w:val="18"/>
              </w:rPr>
            </w:pPr>
            <w:r w:rsidRPr="00FE4033">
              <w:rPr>
                <w:rFonts w:ascii="Arial" w:hAnsi="Arial" w:cs="Arial"/>
                <w:sz w:val="18"/>
              </w:rPr>
              <w:t>None</w:t>
            </w:r>
          </w:p>
        </w:tc>
      </w:tr>
      <w:tr w:rsidR="0042751E" w:rsidRPr="00D548CF" w14:paraId="61BA32FB" w14:textId="77777777" w:rsidTr="0042751E">
        <w:tc>
          <w:tcPr>
            <w:tcW w:w="0" w:type="auto"/>
            <w:vMerge/>
            <w:tcBorders>
              <w:top w:val="single" w:sz="4" w:space="0" w:color="auto"/>
              <w:left w:val="single" w:sz="4" w:space="0" w:color="auto"/>
              <w:bottom w:val="single" w:sz="4" w:space="0" w:color="auto"/>
              <w:right w:val="single" w:sz="4" w:space="0" w:color="auto"/>
            </w:tcBorders>
            <w:vAlign w:val="center"/>
            <w:hideMark/>
          </w:tcPr>
          <w:p w14:paraId="2817D472" w14:textId="77777777" w:rsidR="0042751E" w:rsidRPr="00FE4033" w:rsidRDefault="0042751E">
            <w:pPr>
              <w:rPr>
                <w:rFonts w:ascii="Arial" w:hAnsi="Arial" w:cs="Arial"/>
                <w:sz w:val="18"/>
                <w:szCs w:val="20"/>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53DED09" w14:textId="77777777" w:rsidR="0042751E" w:rsidRPr="00FE4033" w:rsidRDefault="0042751E">
            <w:pPr>
              <w:pStyle w:val="Paralevel1"/>
              <w:keepNext/>
              <w:keepLines/>
              <w:numPr>
                <w:ilvl w:val="0"/>
                <w:numId w:val="0"/>
              </w:numPr>
              <w:tabs>
                <w:tab w:val="left" w:pos="708"/>
              </w:tabs>
              <w:rPr>
                <w:rFonts w:ascii="Arial" w:hAnsi="Arial" w:cs="Arial"/>
                <w:sz w:val="18"/>
              </w:rPr>
            </w:pPr>
            <w:r w:rsidRPr="00FE4033">
              <w:rPr>
                <w:rFonts w:ascii="Arial" w:hAnsi="Arial" w:cs="Arial"/>
                <w:sz w:val="18"/>
              </w:rPr>
              <w:t>Use</w:t>
            </w:r>
          </w:p>
        </w:tc>
        <w:tc>
          <w:tcPr>
            <w:tcW w:w="2976" w:type="dxa"/>
            <w:tcBorders>
              <w:top w:val="single" w:sz="4" w:space="0" w:color="auto"/>
              <w:left w:val="single" w:sz="4" w:space="0" w:color="auto"/>
              <w:bottom w:val="single" w:sz="4" w:space="0" w:color="auto"/>
              <w:right w:val="single" w:sz="4" w:space="0" w:color="auto"/>
            </w:tcBorders>
            <w:hideMark/>
          </w:tcPr>
          <w:p w14:paraId="23BB4105" w14:textId="77777777" w:rsidR="0042751E" w:rsidRPr="00FE4033" w:rsidRDefault="0042751E">
            <w:pPr>
              <w:pStyle w:val="Paralevel1"/>
              <w:keepNext/>
              <w:keepLines/>
              <w:numPr>
                <w:ilvl w:val="0"/>
                <w:numId w:val="0"/>
              </w:numPr>
              <w:tabs>
                <w:tab w:val="left" w:pos="708"/>
              </w:tabs>
              <w:rPr>
                <w:rFonts w:ascii="Arial" w:hAnsi="Arial" w:cs="Arial"/>
                <w:sz w:val="18"/>
              </w:rPr>
            </w:pPr>
            <w:r w:rsidRPr="00FE4033">
              <w:rPr>
                <w:rFonts w:ascii="Arial" w:hAnsi="Arial" w:cs="Arial"/>
                <w:sz w:val="18"/>
              </w:rPr>
              <w:t>None</w:t>
            </w:r>
          </w:p>
        </w:tc>
      </w:tr>
    </w:tbl>
    <w:p w14:paraId="3F42C30A" w14:textId="77777777" w:rsidR="0042751E" w:rsidRPr="00D548CF" w:rsidRDefault="0042751E" w:rsidP="0042751E">
      <w:pPr>
        <w:spacing w:after="120"/>
        <w:jc w:val="right"/>
        <w:rPr>
          <w:rFonts w:ascii="Arial" w:hAnsi="Arial" w:cs="Arial"/>
          <w:sz w:val="20"/>
          <w:szCs w:val="20"/>
          <w:lang w:val="en-GB"/>
        </w:rPr>
      </w:pPr>
      <w:r w:rsidRPr="00D548CF">
        <w:rPr>
          <w:rFonts w:ascii="Arial" w:hAnsi="Arial" w:cs="Arial"/>
          <w:sz w:val="20"/>
        </w:rPr>
        <w:t> </w:t>
      </w:r>
    </w:p>
    <w:p w14:paraId="7F413A22" w14:textId="77777777" w:rsidR="0042751E" w:rsidRPr="00D548CF" w:rsidRDefault="0042751E" w:rsidP="0042751E">
      <w:pPr>
        <w:spacing w:after="120"/>
        <w:ind w:left="1247" w:firstLine="624"/>
        <w:rPr>
          <w:rFonts w:ascii="Arial" w:hAnsi="Arial" w:cs="Arial"/>
          <w:sz w:val="24"/>
        </w:rPr>
      </w:pPr>
      <w:r w:rsidRPr="00D548CF">
        <w:rPr>
          <w:rFonts w:ascii="Arial" w:hAnsi="Arial" w:cs="Arial"/>
          <w:sz w:val="20"/>
        </w:rPr>
        <w:t>2.</w:t>
      </w:r>
      <w:r w:rsidRPr="00D548CF">
        <w:rPr>
          <w:rFonts w:ascii="Arial" w:hAnsi="Arial" w:cs="Arial"/>
          <w:sz w:val="20"/>
        </w:rPr>
        <w:tab/>
      </w:r>
      <w:r w:rsidRPr="00D548CF">
        <w:rPr>
          <w:rFonts w:ascii="Arial" w:hAnsi="Arial" w:cs="Arial"/>
          <w:i/>
          <w:iCs/>
          <w:sz w:val="20"/>
        </w:rPr>
        <w:t>Also d</w:t>
      </w:r>
      <w:r w:rsidRPr="00D548CF">
        <w:rPr>
          <w:rFonts w:ascii="Arial" w:hAnsi="Arial" w:cs="Arial"/>
          <w:i/>
          <w:sz w:val="20"/>
        </w:rPr>
        <w:t>ecides</w:t>
      </w:r>
      <w:r w:rsidRPr="00D548CF">
        <w:rPr>
          <w:rFonts w:ascii="Arial" w:hAnsi="Arial" w:cs="Arial"/>
          <w:sz w:val="20"/>
        </w:rPr>
        <w:t xml:space="preserve"> to amend part I of Annex C of the Convention to list pentachlorobenzene therein by inserting pentachlorobenzene (PeCB) (CAS No: 608-93-5) in the “Chemical” table after “Polychlorinated dibenzo-p-dioxin and dibenzofurans (PCDD/PCDF)” and by inserting “pentachlorobenzene” into the first paragraph of part II and part III of Annex C after “Polychlorinated dibenzo-p-dioxin and dibenzofurans”.</w:t>
      </w:r>
    </w:p>
    <w:p w14:paraId="2FA5FA9F" w14:textId="30496C7B" w:rsidR="00580F32" w:rsidRPr="00D548CF" w:rsidRDefault="00580F32" w:rsidP="00580F32">
      <w:pPr>
        <w:rPr>
          <w:rFonts w:ascii="Arial" w:hAnsi="Arial" w:cs="Arial"/>
          <w:b/>
          <w:bCs/>
        </w:rPr>
      </w:pPr>
    </w:p>
    <w:p w14:paraId="0553FF27" w14:textId="77777777" w:rsidR="0042751E" w:rsidRPr="00D548CF" w:rsidRDefault="0042751E" w:rsidP="0042751E">
      <w:pPr>
        <w:keepNext/>
        <w:keepLines/>
        <w:tabs>
          <w:tab w:val="left" w:pos="624"/>
          <w:tab w:val="left" w:pos="1247"/>
          <w:tab w:val="left" w:pos="1871"/>
        </w:tabs>
        <w:spacing w:before="120" w:after="120"/>
        <w:ind w:left="1247"/>
        <w:rPr>
          <w:rFonts w:ascii="Arial" w:hAnsi="Arial" w:cs="Arial"/>
          <w:b/>
          <w:sz w:val="28"/>
        </w:rPr>
      </w:pPr>
      <w:r w:rsidRPr="00D548CF">
        <w:rPr>
          <w:rFonts w:ascii="Arial" w:hAnsi="Arial" w:cs="Arial"/>
          <w:b/>
          <w:sz w:val="28"/>
        </w:rPr>
        <w:t xml:space="preserve">SC-4/17: Listing of perfluorooctane sulfonic acid, its salts and perfluorooctane sulfonyl fluoride </w:t>
      </w:r>
    </w:p>
    <w:p w14:paraId="02703AF0" w14:textId="77777777" w:rsidR="0042751E" w:rsidRPr="00D548CF" w:rsidRDefault="0042751E" w:rsidP="0042751E">
      <w:pPr>
        <w:keepNext/>
        <w:keepLines/>
        <w:spacing w:after="120"/>
        <w:ind w:left="1247" w:firstLine="624"/>
        <w:rPr>
          <w:rFonts w:ascii="Arial" w:hAnsi="Arial" w:cs="Arial"/>
          <w:i/>
          <w:sz w:val="20"/>
        </w:rPr>
      </w:pPr>
      <w:r w:rsidRPr="00D548CF">
        <w:rPr>
          <w:rFonts w:ascii="Arial" w:hAnsi="Arial" w:cs="Arial"/>
          <w:i/>
          <w:sz w:val="20"/>
        </w:rPr>
        <w:t>The Conference of the Parties,</w:t>
      </w:r>
    </w:p>
    <w:p w14:paraId="2691AC68" w14:textId="77777777" w:rsidR="0042751E" w:rsidRPr="00D548CF" w:rsidRDefault="0042751E" w:rsidP="0042751E">
      <w:pPr>
        <w:keepNext/>
        <w:keepLines/>
        <w:spacing w:after="120"/>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risk management evaluation and addendum to the risk management evaluation for perfluorooctane sulfonate transmitted by the Persistent Organic Pollutants Review Committee,</w:t>
      </w:r>
      <w:r w:rsidRPr="00D548CF">
        <w:rPr>
          <w:rStyle w:val="FootnoteReference"/>
          <w:rFonts w:ascii="Arial" w:hAnsi="Arial" w:cs="Arial"/>
          <w:sz w:val="20"/>
        </w:rPr>
        <w:footnoteReference w:id="15"/>
      </w:r>
    </w:p>
    <w:p w14:paraId="3D8FD37F"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perfluorooctane sulfonic acid, its salts and perfluorooctane sulfonyl fluoride in Annex A or Annex B of the Convention,</w:t>
      </w:r>
      <w:r w:rsidRPr="00D548CF">
        <w:rPr>
          <w:rStyle w:val="FootnoteReference"/>
          <w:rFonts w:ascii="Arial" w:hAnsi="Arial" w:cs="Arial"/>
          <w:sz w:val="20"/>
        </w:rPr>
        <w:footnoteReference w:id="16"/>
      </w:r>
    </w:p>
    <w:p w14:paraId="51B18514" w14:textId="19BAF38A" w:rsidR="0042751E" w:rsidRPr="00D548CF" w:rsidRDefault="0042751E" w:rsidP="00090036">
      <w:pPr>
        <w:numPr>
          <w:ilvl w:val="0"/>
          <w:numId w:val="14"/>
        </w:numPr>
        <w:spacing w:after="120" w:line="240" w:lineRule="auto"/>
        <w:ind w:left="1247"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B of the Convention to list perfluorooctane sulfonic acid, its salts and perfluorooctane sulfonyl fluoride therein by inserting the following row, with the acceptable purposes and specific exemptions specified in the row:</w:t>
      </w:r>
    </w:p>
    <w:p w14:paraId="5B7536E3" w14:textId="77777777" w:rsidR="0042751E" w:rsidRPr="00D548CF" w:rsidRDefault="0042751E" w:rsidP="0042751E">
      <w:pPr>
        <w:tabs>
          <w:tab w:val="left" w:pos="1260"/>
        </w:tabs>
        <w:rPr>
          <w:rFonts w:ascii="Arial" w:hAnsi="Arial" w:cs="Arial"/>
        </w:rPr>
      </w:pPr>
    </w:p>
    <w:tbl>
      <w:tblPr>
        <w:tblW w:w="8460" w:type="dxa"/>
        <w:tblInd w:w="1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080"/>
        <w:gridCol w:w="4860"/>
      </w:tblGrid>
      <w:tr w:rsidR="0042751E" w:rsidRPr="00D548CF" w14:paraId="336FDD2E" w14:textId="77777777" w:rsidTr="00443B8B">
        <w:trPr>
          <w:trHeight w:val="313"/>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C77DCE" w14:textId="77777777" w:rsidR="0042751E" w:rsidRPr="00D548CF" w:rsidRDefault="0042751E" w:rsidP="00BE3A18">
            <w:pPr>
              <w:rPr>
                <w:rFonts w:ascii="Arial" w:hAnsi="Arial" w:cs="Arial"/>
                <w:b/>
                <w:sz w:val="18"/>
                <w:szCs w:val="18"/>
              </w:rPr>
            </w:pPr>
            <w:r w:rsidRPr="00D548CF">
              <w:rPr>
                <w:rFonts w:ascii="Arial" w:hAnsi="Arial" w:cs="Arial"/>
                <w:b/>
                <w:sz w:val="18"/>
                <w:szCs w:val="18"/>
              </w:rPr>
              <w:t xml:space="preserve">Chemical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320B6D" w14:textId="77777777" w:rsidR="0042751E" w:rsidRPr="00D548CF" w:rsidRDefault="0042751E" w:rsidP="00BE3A18">
            <w:pPr>
              <w:rPr>
                <w:rFonts w:ascii="Arial" w:hAnsi="Arial" w:cs="Arial"/>
                <w:b/>
                <w:sz w:val="18"/>
                <w:szCs w:val="18"/>
              </w:rPr>
            </w:pPr>
            <w:r w:rsidRPr="00D548CF">
              <w:rPr>
                <w:rFonts w:ascii="Arial" w:hAnsi="Arial" w:cs="Arial"/>
                <w:b/>
                <w:sz w:val="18"/>
                <w:szCs w:val="18"/>
              </w:rPr>
              <w:t>Activity</w:t>
            </w:r>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D01EE" w14:textId="77777777" w:rsidR="0042751E" w:rsidRPr="00D548CF" w:rsidRDefault="0042751E" w:rsidP="00BE3A18">
            <w:pPr>
              <w:rPr>
                <w:rFonts w:ascii="Arial" w:hAnsi="Arial" w:cs="Arial"/>
                <w:b/>
                <w:sz w:val="18"/>
                <w:szCs w:val="18"/>
              </w:rPr>
            </w:pPr>
            <w:r w:rsidRPr="00D548CF">
              <w:rPr>
                <w:rFonts w:ascii="Arial" w:hAnsi="Arial" w:cs="Arial"/>
                <w:b/>
                <w:sz w:val="18"/>
                <w:szCs w:val="18"/>
              </w:rPr>
              <w:t>Acceptable purpose or specific exemption</w:t>
            </w:r>
          </w:p>
        </w:tc>
      </w:tr>
      <w:tr w:rsidR="0042751E" w:rsidRPr="00D548CF" w14:paraId="525B2120" w14:textId="77777777" w:rsidTr="00BE3A18">
        <w:trPr>
          <w:trHeight w:val="1394"/>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tcPr>
          <w:p w14:paraId="6584FFC1"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t>Perfluorooctane sulfonic acid (CAS No: 1763-23-1), its salts</w:t>
            </w:r>
            <w:r w:rsidRPr="00D548CF">
              <w:rPr>
                <w:rFonts w:ascii="Arial" w:hAnsi="Arial" w:cs="Arial"/>
                <w:sz w:val="18"/>
                <w:szCs w:val="18"/>
                <w:vertAlign w:val="superscript"/>
              </w:rPr>
              <w:t>a</w:t>
            </w:r>
            <w:r w:rsidRPr="00D548CF">
              <w:rPr>
                <w:rFonts w:ascii="Arial" w:hAnsi="Arial" w:cs="Arial"/>
                <w:sz w:val="18"/>
                <w:szCs w:val="18"/>
              </w:rPr>
              <w:t xml:space="preserve"> and perfluorooctane sulfonyl fluoride (CAS No: 307-35-7)</w:t>
            </w:r>
          </w:p>
          <w:p w14:paraId="3A548B58"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t> </w:t>
            </w:r>
          </w:p>
          <w:p w14:paraId="58728EF3"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vertAlign w:val="superscript"/>
              </w:rPr>
              <w:lastRenderedPageBreak/>
              <w:t>a</w:t>
            </w:r>
            <w:r w:rsidRPr="00D548CF">
              <w:rPr>
                <w:rFonts w:ascii="Arial" w:hAnsi="Arial" w:cs="Arial"/>
                <w:sz w:val="18"/>
                <w:szCs w:val="18"/>
              </w:rPr>
              <w:t xml:space="preserve"> For example: potassium perfluorooctane sulfonate (CAS No: 2795-39-3); </w:t>
            </w:r>
            <w:r w:rsidRPr="00D548CF">
              <w:rPr>
                <w:rFonts w:ascii="Arial" w:hAnsi="Arial" w:cs="Arial"/>
                <w:sz w:val="18"/>
                <w:szCs w:val="18"/>
              </w:rPr>
              <w:br/>
              <w:t xml:space="preserve">lithium perfluorooctane sulfonate </w:t>
            </w:r>
            <w:r w:rsidRPr="00D548CF">
              <w:rPr>
                <w:rFonts w:ascii="Arial" w:hAnsi="Arial" w:cs="Arial"/>
                <w:sz w:val="18"/>
                <w:szCs w:val="18"/>
              </w:rPr>
              <w:br/>
              <w:t xml:space="preserve">(CAS No: 29457-72-5);  </w:t>
            </w:r>
            <w:r w:rsidRPr="00D548CF">
              <w:rPr>
                <w:rFonts w:ascii="Arial" w:hAnsi="Arial" w:cs="Arial"/>
                <w:sz w:val="18"/>
                <w:szCs w:val="18"/>
              </w:rPr>
              <w:br/>
              <w:t xml:space="preserve">ammonium perfluorooctane sulfonate </w:t>
            </w:r>
            <w:r w:rsidRPr="00D548CF">
              <w:rPr>
                <w:rFonts w:ascii="Arial" w:hAnsi="Arial" w:cs="Arial"/>
                <w:sz w:val="18"/>
                <w:szCs w:val="18"/>
              </w:rPr>
              <w:br/>
              <w:t>(CAS No: 29081-56-9);  diethanolammonium perfluorooctane sulfonate (CAS No: 70225-14-8);  tetraethylammonium perfluorooctane sulfonate (CAS No: 56773-42-3);  didecyldimethylammonium perfluorooctane sulfonate (CAS No: 251099-16-8)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E2F444"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lastRenderedPageBreak/>
              <w:t>Production</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6C1B56F"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b/>
                <w:sz w:val="18"/>
                <w:szCs w:val="18"/>
              </w:rPr>
              <w:t>Acceptable purpose</w:t>
            </w:r>
            <w:r w:rsidRPr="00D548CF">
              <w:rPr>
                <w:rFonts w:ascii="Arial" w:hAnsi="Arial" w:cs="Arial"/>
                <w:sz w:val="18"/>
                <w:szCs w:val="18"/>
              </w:rPr>
              <w:t>:</w:t>
            </w:r>
          </w:p>
          <w:p w14:paraId="105A5046"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br/>
              <w:t>In accordance with part III of this Annex, production of other chemicals to be used solely for the uses below. Production for uses listed below.</w:t>
            </w:r>
          </w:p>
          <w:p w14:paraId="73C644F3"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b/>
                <w:sz w:val="18"/>
                <w:szCs w:val="18"/>
              </w:rPr>
              <w:t>Specific exemption</w:t>
            </w:r>
            <w:r w:rsidRPr="00D548CF">
              <w:rPr>
                <w:rFonts w:ascii="Arial" w:hAnsi="Arial" w:cs="Arial"/>
                <w:sz w:val="18"/>
                <w:szCs w:val="18"/>
              </w:rPr>
              <w:t>:</w:t>
            </w:r>
          </w:p>
          <w:p w14:paraId="18500EF9"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lastRenderedPageBreak/>
              <w:br/>
              <w:t>As allowed for Parties listed in the Register.</w:t>
            </w:r>
          </w:p>
        </w:tc>
      </w:tr>
      <w:tr w:rsidR="0042751E" w:rsidRPr="00D548CF" w14:paraId="18861F02" w14:textId="77777777" w:rsidTr="00BE3A18">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2AB16" w14:textId="77777777" w:rsidR="0042751E" w:rsidRPr="00D548CF" w:rsidRDefault="0042751E" w:rsidP="00BE3A18">
            <w:pPr>
              <w:rPr>
                <w:rFonts w:ascii="Arial" w:hAnsi="Arial" w:cs="Arial"/>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3A1208"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t>Use</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ED288BB"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b/>
                <w:sz w:val="18"/>
                <w:szCs w:val="18"/>
              </w:rPr>
              <w:t>Acceptable purpose</w:t>
            </w:r>
            <w:r w:rsidRPr="00D548CF">
              <w:rPr>
                <w:rFonts w:ascii="Arial" w:hAnsi="Arial" w:cs="Arial"/>
                <w:sz w:val="18"/>
                <w:szCs w:val="18"/>
              </w:rPr>
              <w:t>:</w:t>
            </w:r>
          </w:p>
          <w:p w14:paraId="1DD4673F" w14:textId="77777777" w:rsidR="0042751E" w:rsidRPr="00D548CF" w:rsidRDefault="0042751E" w:rsidP="00BE3A18">
            <w:pPr>
              <w:pStyle w:val="Paralevel1"/>
              <w:numPr>
                <w:ilvl w:val="0"/>
                <w:numId w:val="0"/>
              </w:numPr>
              <w:rPr>
                <w:rFonts w:ascii="Arial" w:hAnsi="Arial" w:cs="Arial"/>
                <w:strike/>
                <w:sz w:val="18"/>
                <w:szCs w:val="18"/>
              </w:rPr>
            </w:pPr>
            <w:bookmarkStart w:id="0" w:name="OLE_LINK2"/>
            <w:bookmarkStart w:id="1" w:name="OLE_LINK1"/>
            <w:r w:rsidRPr="00D548CF">
              <w:rPr>
                <w:rFonts w:ascii="Arial" w:hAnsi="Arial" w:cs="Arial"/>
                <w:sz w:val="18"/>
                <w:szCs w:val="18"/>
              </w:rPr>
              <w:t>In accordance with part III of this Annex for the following acceptable purposes, or as an intermediate in the production of chemicals with the following acceptable purposes:</w:t>
            </w:r>
            <w:bookmarkEnd w:id="0"/>
            <w:bookmarkEnd w:id="1"/>
          </w:p>
          <w:p w14:paraId="7889925B"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Photo</w:t>
            </w:r>
            <w:r w:rsidRPr="00D548CF">
              <w:rPr>
                <w:rFonts w:ascii="Arial" w:hAnsi="Arial" w:cs="Arial"/>
                <w:sz w:val="18"/>
                <w:szCs w:val="18"/>
              </w:rPr>
              <w:noBreakHyphen/>
              <w:t>imaging</w:t>
            </w:r>
          </w:p>
          <w:p w14:paraId="50C0AF49"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Photo</w:t>
            </w:r>
            <w:r w:rsidRPr="00D548CF">
              <w:rPr>
                <w:rFonts w:ascii="Arial" w:hAnsi="Arial" w:cs="Arial"/>
                <w:sz w:val="18"/>
                <w:szCs w:val="18"/>
              </w:rPr>
              <w:noBreakHyphen/>
              <w:t>resist and anti-reflective coatings for semi-conductors</w:t>
            </w:r>
          </w:p>
          <w:p w14:paraId="0B1151AC"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Etching agent for compound semi-conductors and ceramic filters </w:t>
            </w:r>
          </w:p>
          <w:p w14:paraId="3276F845"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Aviation hydraulic fluids</w:t>
            </w:r>
          </w:p>
          <w:p w14:paraId="191F3F2B"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Metal plating (hard metal plating) only in closed-loop systems</w:t>
            </w:r>
          </w:p>
          <w:p w14:paraId="5EC70EC4"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Certain medical devices (such as ethylene tetrafluoroethylene copolymer (ETFE) layers and radio-opaque ETFE production, in</w:t>
            </w:r>
            <w:r w:rsidRPr="00D548CF">
              <w:rPr>
                <w:rFonts w:ascii="Arial" w:hAnsi="Arial" w:cs="Arial"/>
                <w:sz w:val="18"/>
                <w:szCs w:val="18"/>
              </w:rPr>
              <w:noBreakHyphen/>
              <w:t>vitro diagnostic medical devices, and CCD colour filters)</w:t>
            </w:r>
          </w:p>
          <w:p w14:paraId="158E4D3F"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Fire</w:t>
            </w:r>
            <w:r w:rsidRPr="00D548CF">
              <w:rPr>
                <w:rFonts w:ascii="Arial" w:hAnsi="Arial" w:cs="Arial"/>
                <w:sz w:val="18"/>
                <w:szCs w:val="18"/>
              </w:rPr>
              <w:noBreakHyphen/>
              <w:t>fighting foam</w:t>
            </w:r>
          </w:p>
          <w:p w14:paraId="0F362DC6" w14:textId="77777777" w:rsidR="0042751E" w:rsidRPr="00D548CF" w:rsidRDefault="0042751E" w:rsidP="00BE3A18">
            <w:pPr>
              <w:pStyle w:val="Paralevel1"/>
              <w:numPr>
                <w:ilvl w:val="0"/>
                <w:numId w:val="0"/>
              </w:numPr>
              <w:rPr>
                <w:rFonts w:ascii="Arial" w:hAnsi="Arial" w:cs="Arial"/>
                <w:strike/>
                <w:sz w:val="18"/>
                <w:szCs w:val="18"/>
              </w:rPr>
            </w:pPr>
            <w:r w:rsidRPr="00D548CF">
              <w:rPr>
                <w:rFonts w:ascii="Arial" w:hAnsi="Arial" w:cs="Arial"/>
                <w:sz w:val="18"/>
                <w:szCs w:val="18"/>
              </w:rPr>
              <w:sym w:font="Symbol" w:char="F0B7"/>
            </w:r>
            <w:r w:rsidRPr="00D548CF">
              <w:rPr>
                <w:rFonts w:ascii="Arial" w:hAnsi="Arial" w:cs="Arial"/>
                <w:sz w:val="18"/>
                <w:szCs w:val="18"/>
              </w:rPr>
              <w:t xml:space="preserve"> Insect baits for control of leaf-cutting ants from </w:t>
            </w:r>
            <w:r w:rsidRPr="00D548CF">
              <w:rPr>
                <w:rFonts w:ascii="Arial" w:hAnsi="Arial" w:cs="Arial"/>
                <w:i/>
                <w:sz w:val="18"/>
                <w:szCs w:val="18"/>
              </w:rPr>
              <w:t>Atta spp.</w:t>
            </w:r>
            <w:r w:rsidRPr="00D548CF">
              <w:rPr>
                <w:rFonts w:ascii="Arial" w:hAnsi="Arial" w:cs="Arial"/>
                <w:sz w:val="18"/>
                <w:szCs w:val="18"/>
              </w:rPr>
              <w:t xml:space="preserve"> and </w:t>
            </w:r>
            <w:r w:rsidRPr="00D548CF">
              <w:rPr>
                <w:rFonts w:ascii="Arial" w:hAnsi="Arial" w:cs="Arial"/>
                <w:i/>
                <w:sz w:val="18"/>
                <w:szCs w:val="18"/>
              </w:rPr>
              <w:t>Acromyrmex spp.</w:t>
            </w:r>
          </w:p>
          <w:p w14:paraId="2C86CE23"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b/>
                <w:sz w:val="18"/>
                <w:szCs w:val="18"/>
              </w:rPr>
              <w:t>Specific exemption</w:t>
            </w:r>
            <w:r w:rsidRPr="00D548CF">
              <w:rPr>
                <w:rFonts w:ascii="Arial" w:hAnsi="Arial" w:cs="Arial"/>
                <w:sz w:val="18"/>
                <w:szCs w:val="18"/>
              </w:rPr>
              <w:t>:</w:t>
            </w:r>
          </w:p>
          <w:p w14:paraId="4A9ED9F3"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t>For the following specific uses, or as an intermediate in the production of chemicals with the following specific uses:</w:t>
            </w:r>
          </w:p>
          <w:p w14:paraId="4B1C12D2"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Photo masks in the semiconductor and liquid crystal display (LCD) industries</w:t>
            </w:r>
          </w:p>
          <w:p w14:paraId="0F0AF070"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Metal plating (hard metal plating)</w:t>
            </w:r>
          </w:p>
          <w:p w14:paraId="31B6AC9D"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Metal plating (decorative plating)</w:t>
            </w:r>
          </w:p>
          <w:p w14:paraId="4808D827"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Electric and electronic parts for some colour printers and colour copy machines </w:t>
            </w:r>
          </w:p>
          <w:p w14:paraId="16593732"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Insecticides for control of red imported fire ants and termites</w:t>
            </w:r>
          </w:p>
          <w:p w14:paraId="77A749A2"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Chemically driven oil production</w:t>
            </w:r>
          </w:p>
          <w:p w14:paraId="67C0CF33"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Carpets  </w:t>
            </w:r>
          </w:p>
          <w:p w14:paraId="6AD9C166"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Leather and apparel</w:t>
            </w:r>
          </w:p>
          <w:p w14:paraId="3EDD5925"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Textiles and upholstery</w:t>
            </w:r>
          </w:p>
          <w:p w14:paraId="4CB1BA48"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Paper and packaging</w:t>
            </w:r>
          </w:p>
          <w:p w14:paraId="59442DD4"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Coatings and coating additives</w:t>
            </w:r>
          </w:p>
          <w:p w14:paraId="279EF768" w14:textId="77777777" w:rsidR="0042751E" w:rsidRPr="00D548CF" w:rsidRDefault="0042751E" w:rsidP="00BE3A18">
            <w:pPr>
              <w:pStyle w:val="Paralevel1"/>
              <w:numPr>
                <w:ilvl w:val="0"/>
                <w:numId w:val="0"/>
              </w:numPr>
              <w:rPr>
                <w:rFonts w:ascii="Arial" w:hAnsi="Arial" w:cs="Arial"/>
                <w:sz w:val="18"/>
                <w:szCs w:val="18"/>
              </w:rPr>
            </w:pPr>
            <w:r w:rsidRPr="00D548CF">
              <w:rPr>
                <w:rFonts w:ascii="Arial" w:hAnsi="Arial" w:cs="Arial"/>
                <w:sz w:val="18"/>
                <w:szCs w:val="18"/>
              </w:rPr>
              <w:sym w:font="Symbol" w:char="F0B7"/>
            </w:r>
            <w:r w:rsidRPr="00D548CF">
              <w:rPr>
                <w:rFonts w:ascii="Arial" w:hAnsi="Arial" w:cs="Arial"/>
                <w:sz w:val="18"/>
                <w:szCs w:val="18"/>
              </w:rPr>
              <w:t xml:space="preserve"> Rubber and plastics</w:t>
            </w:r>
          </w:p>
        </w:tc>
      </w:tr>
    </w:tbl>
    <w:p w14:paraId="6C605B7A" w14:textId="77777777" w:rsidR="0042751E" w:rsidRPr="00D548CF" w:rsidRDefault="0042751E" w:rsidP="0042751E">
      <w:pPr>
        <w:rPr>
          <w:rFonts w:ascii="Arial" w:hAnsi="Arial" w:cs="Arial"/>
        </w:rPr>
      </w:pPr>
      <w:r w:rsidRPr="00D548CF">
        <w:rPr>
          <w:rFonts w:ascii="Arial" w:hAnsi="Arial" w:cs="Arial"/>
          <w:sz w:val="18"/>
        </w:rPr>
        <w:t>.</w:t>
      </w:r>
    </w:p>
    <w:p w14:paraId="47A249A9" w14:textId="77777777" w:rsidR="0042751E" w:rsidRPr="00D548CF" w:rsidRDefault="0042751E" w:rsidP="00090036">
      <w:pPr>
        <w:keepNext/>
        <w:keepLines/>
        <w:numPr>
          <w:ilvl w:val="0"/>
          <w:numId w:val="15"/>
        </w:numPr>
        <w:spacing w:after="120" w:line="240" w:lineRule="auto"/>
        <w:rPr>
          <w:rFonts w:ascii="Arial" w:hAnsi="Arial" w:cs="Arial"/>
          <w:sz w:val="20"/>
        </w:rPr>
      </w:pPr>
      <w:r w:rsidRPr="00D548CF">
        <w:rPr>
          <w:rFonts w:ascii="Arial" w:hAnsi="Arial" w:cs="Arial"/>
          <w:i/>
          <w:sz w:val="20"/>
        </w:rPr>
        <w:lastRenderedPageBreak/>
        <w:t xml:space="preserve">Also decides </w:t>
      </w:r>
      <w:r w:rsidRPr="00D548CF">
        <w:rPr>
          <w:rFonts w:ascii="Arial" w:hAnsi="Arial" w:cs="Arial"/>
          <w:sz w:val="20"/>
        </w:rPr>
        <w:t>to create a new part III in Annex B called “Perfluorooctane sulfonic acid (PFOS), its salts, and perfluorooctane sulfonyl fluoride (PFOSF)”, which reads:</w:t>
      </w:r>
    </w:p>
    <w:p w14:paraId="37F0B96D" w14:textId="77777777" w:rsidR="0042751E" w:rsidRPr="00D548CF" w:rsidRDefault="0042751E" w:rsidP="0042751E">
      <w:pPr>
        <w:keepNext/>
        <w:keepLines/>
        <w:spacing w:after="120"/>
        <w:ind w:left="1871" w:right="1247"/>
        <w:jc w:val="center"/>
        <w:rPr>
          <w:rFonts w:ascii="Arial" w:hAnsi="Arial" w:cs="Arial"/>
          <w:b/>
          <w:sz w:val="20"/>
        </w:rPr>
      </w:pPr>
      <w:r w:rsidRPr="00D548CF">
        <w:rPr>
          <w:rFonts w:ascii="Arial" w:hAnsi="Arial" w:cs="Arial"/>
          <w:b/>
          <w:sz w:val="20"/>
        </w:rPr>
        <w:t>Part III</w:t>
      </w:r>
    </w:p>
    <w:p w14:paraId="29066D0E" w14:textId="77777777" w:rsidR="0042751E" w:rsidRPr="00D548CF" w:rsidRDefault="0042751E" w:rsidP="0042751E">
      <w:pPr>
        <w:keepNext/>
        <w:keepLines/>
        <w:spacing w:after="120"/>
        <w:ind w:left="1871" w:right="1247"/>
        <w:jc w:val="center"/>
        <w:rPr>
          <w:rFonts w:ascii="Arial" w:hAnsi="Arial" w:cs="Arial"/>
          <w:sz w:val="20"/>
        </w:rPr>
      </w:pPr>
      <w:r w:rsidRPr="00D548CF">
        <w:rPr>
          <w:rFonts w:ascii="Arial" w:hAnsi="Arial" w:cs="Arial"/>
          <w:b/>
          <w:sz w:val="20"/>
        </w:rPr>
        <w:t xml:space="preserve">Perfluorooctane sulfonic acid, its salts </w:t>
      </w:r>
      <w:r w:rsidRPr="00D548CF">
        <w:rPr>
          <w:rFonts w:ascii="Arial" w:hAnsi="Arial" w:cs="Arial"/>
          <w:b/>
          <w:sz w:val="20"/>
        </w:rPr>
        <w:br/>
        <w:t>and perfluorooctane sulfonyl fluoride</w:t>
      </w:r>
    </w:p>
    <w:p w14:paraId="76927F7C" w14:textId="77777777" w:rsidR="0042751E" w:rsidRPr="00D548CF" w:rsidRDefault="0042751E" w:rsidP="0042751E">
      <w:pPr>
        <w:spacing w:after="120"/>
        <w:ind w:left="2495" w:right="1304"/>
        <w:rPr>
          <w:rFonts w:ascii="Arial" w:hAnsi="Arial" w:cs="Arial"/>
          <w:sz w:val="20"/>
        </w:rPr>
      </w:pPr>
      <w:r w:rsidRPr="00D548CF">
        <w:rPr>
          <w:rFonts w:ascii="Arial" w:hAnsi="Arial" w:cs="Arial"/>
          <w:sz w:val="20"/>
        </w:rPr>
        <w:t>1</w:t>
      </w:r>
      <w:r w:rsidRPr="00D548CF">
        <w:rPr>
          <w:rFonts w:ascii="Arial" w:hAnsi="Arial" w:cs="Arial"/>
          <w:i/>
          <w:sz w:val="20"/>
        </w:rPr>
        <w:t>.</w:t>
      </w:r>
      <w:r w:rsidRPr="00D548CF">
        <w:rPr>
          <w:rFonts w:ascii="Arial" w:hAnsi="Arial" w:cs="Arial"/>
          <w:i/>
          <w:sz w:val="20"/>
        </w:rPr>
        <w:tab/>
      </w:r>
      <w:r w:rsidRPr="00D548CF">
        <w:rPr>
          <w:rFonts w:ascii="Arial" w:hAnsi="Arial" w:cs="Arial"/>
          <w:sz w:val="20"/>
        </w:rPr>
        <w:t>The production and use of perfluorooctane sulfonic acid (PFOS), its salts and perfluorooctane sulfonyl fluoride (PFOSF) shall be eliminated by all Parties except as provided in part I of this Annex for Parties that have notified the Secretariat of their intention to produce and/or use them for acceptable purposes. A Register of Acceptable Purposes is hereby established and shall be available to the public. The Secretariat shall maintain the Register of Acceptable Purposes. In the event that a Party not listed in the Register determines that it requires the use of PFOS, its salts or PFOSF for the acceptable purposes listed in part I of this Annex it shall notify the Secretariat as soon as possible in order to have its name added forthwith to the Register.</w:t>
      </w:r>
    </w:p>
    <w:p w14:paraId="6D31AA3C"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2</w:t>
      </w:r>
      <w:r w:rsidRPr="00D548CF">
        <w:rPr>
          <w:rFonts w:ascii="Arial" w:hAnsi="Arial" w:cs="Arial"/>
          <w:i/>
          <w:sz w:val="20"/>
        </w:rPr>
        <w:t>.</w:t>
      </w:r>
      <w:r w:rsidRPr="00D548CF">
        <w:rPr>
          <w:rFonts w:ascii="Arial" w:hAnsi="Arial" w:cs="Arial"/>
          <w:sz w:val="20"/>
        </w:rPr>
        <w:tab/>
        <w:t>Parties that produce and/or use these chemicals shall take into account, as appropriate, guidance such as that given in the relevant parts of the general guidance on best available techniques and best environmental practices given in part V of Annex C of the Convention.</w:t>
      </w:r>
    </w:p>
    <w:p w14:paraId="255CB91C"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3</w:t>
      </w:r>
      <w:r w:rsidRPr="00D548CF">
        <w:rPr>
          <w:rFonts w:ascii="Arial" w:hAnsi="Arial" w:cs="Arial"/>
          <w:i/>
          <w:sz w:val="20"/>
        </w:rPr>
        <w:t>.</w:t>
      </w:r>
      <w:r w:rsidRPr="00D548CF">
        <w:rPr>
          <w:rFonts w:ascii="Arial" w:hAnsi="Arial" w:cs="Arial"/>
          <w:sz w:val="20"/>
        </w:rPr>
        <w:tab/>
        <w:t>Every four years, each Party that uses and/or produces these chemicals shall report on progress made to eliminate PFOS, its salts and PFOSF and submit information on such progress to the Conference of the Parties pursuant to and in the process of reporting under Article 15 of the Convention.</w:t>
      </w:r>
    </w:p>
    <w:p w14:paraId="71361DA4"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4</w:t>
      </w:r>
      <w:r w:rsidRPr="00D548CF">
        <w:rPr>
          <w:rFonts w:ascii="Arial" w:hAnsi="Arial" w:cs="Arial"/>
          <w:i/>
          <w:sz w:val="20"/>
        </w:rPr>
        <w:t>.</w:t>
      </w:r>
      <w:r w:rsidRPr="00D548CF">
        <w:rPr>
          <w:rFonts w:ascii="Arial" w:hAnsi="Arial" w:cs="Arial"/>
          <w:sz w:val="20"/>
        </w:rPr>
        <w:tab/>
        <w:t>With the goal of reducing and ultimately eliminating the production and/or use of these chemicals, the Conference of the Parties shall encourage:</w:t>
      </w:r>
    </w:p>
    <w:p w14:paraId="441C1ECE"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(a)</w:t>
      </w:r>
      <w:r w:rsidRPr="00D548CF">
        <w:rPr>
          <w:rFonts w:ascii="Arial" w:hAnsi="Arial" w:cs="Arial"/>
          <w:sz w:val="20"/>
        </w:rPr>
        <w:tab/>
        <w:t>Each Party using these chemicals to take action to phase out uses when suitable alternatives substances or methods are available;</w:t>
      </w:r>
    </w:p>
    <w:p w14:paraId="05D692FD"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(b)</w:t>
      </w:r>
      <w:r w:rsidRPr="00D548CF">
        <w:rPr>
          <w:rFonts w:ascii="Arial" w:hAnsi="Arial" w:cs="Arial"/>
          <w:sz w:val="20"/>
        </w:rPr>
        <w:tab/>
        <w:t>Each Party using and/or producing these chemicals to develop and implement an action plan as part of the implementation plan specified in Article 7 of the Convention;</w:t>
      </w:r>
    </w:p>
    <w:p w14:paraId="13D1B8B3"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(c)</w:t>
      </w:r>
      <w:r w:rsidRPr="00D548CF">
        <w:rPr>
          <w:rFonts w:ascii="Arial" w:hAnsi="Arial" w:cs="Arial"/>
          <w:sz w:val="20"/>
        </w:rPr>
        <w:tab/>
        <w:t>The Parties, within their capabilities, to promote research on and development of safe alternative chemical and non</w:t>
      </w:r>
      <w:r w:rsidRPr="00D548CF">
        <w:rPr>
          <w:rFonts w:ascii="Arial" w:hAnsi="Arial" w:cs="Arial"/>
          <w:sz w:val="20"/>
        </w:rPr>
        <w:noBreakHyphen/>
        <w:t>chemical products and processes, methods and strategies for Parties using these chemicals, relevant to the conditions of those Parties. Factors to be promoted when considering alternatives or combinations of alternatives shall include the human health risks and environmental implications of such alternatives.</w:t>
      </w:r>
    </w:p>
    <w:p w14:paraId="6FA754C3"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5.</w:t>
      </w:r>
      <w:r w:rsidRPr="00D548CF">
        <w:rPr>
          <w:rFonts w:ascii="Arial" w:hAnsi="Arial" w:cs="Arial"/>
          <w:sz w:val="20"/>
        </w:rPr>
        <w:tab/>
        <w:t xml:space="preserve">The Conference of the Parties shall evaluate the continued need for these chemicals for the various acceptable purposes and specific exemptions on the basis </w:t>
      </w:r>
      <w:r w:rsidRPr="00D548CF">
        <w:rPr>
          <w:rFonts w:ascii="Arial" w:hAnsi="Arial" w:cs="Arial"/>
          <w:sz w:val="20"/>
        </w:rPr>
        <w:lastRenderedPageBreak/>
        <w:t>of available scientific, technical, environmental and economic information, including:</w:t>
      </w:r>
    </w:p>
    <w:p w14:paraId="016B9D5A"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(a)</w:t>
      </w:r>
      <w:r w:rsidRPr="00D548CF">
        <w:rPr>
          <w:rFonts w:ascii="Arial" w:hAnsi="Arial" w:cs="Arial"/>
          <w:sz w:val="20"/>
        </w:rPr>
        <w:tab/>
        <w:t>Information provided in the reports described in paragraph 3;</w:t>
      </w:r>
    </w:p>
    <w:p w14:paraId="18803760"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(b)</w:t>
      </w:r>
      <w:r w:rsidRPr="00D548CF">
        <w:rPr>
          <w:rFonts w:ascii="Arial" w:hAnsi="Arial" w:cs="Arial"/>
          <w:sz w:val="20"/>
        </w:rPr>
        <w:tab/>
        <w:t>Information on the production and use of these chemicals;</w:t>
      </w:r>
    </w:p>
    <w:p w14:paraId="09D921C4"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(c)</w:t>
      </w:r>
      <w:r w:rsidRPr="00D548CF">
        <w:rPr>
          <w:rFonts w:ascii="Arial" w:hAnsi="Arial" w:cs="Arial"/>
          <w:sz w:val="20"/>
        </w:rPr>
        <w:tab/>
        <w:t>Information on the availability, suitability and implementation of alternatives to these chemicals;</w:t>
      </w:r>
    </w:p>
    <w:p w14:paraId="69F10A8B"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(d)</w:t>
      </w:r>
      <w:r w:rsidRPr="00D548CF">
        <w:rPr>
          <w:rFonts w:ascii="Arial" w:hAnsi="Arial" w:cs="Arial"/>
          <w:sz w:val="20"/>
        </w:rPr>
        <w:tab/>
        <w:t>Information on progress in building the capacity of countries to transfer safely to reliance on such alternatives.</w:t>
      </w:r>
    </w:p>
    <w:p w14:paraId="5F2E70BD"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6.</w:t>
      </w:r>
      <w:r w:rsidRPr="00D548CF">
        <w:rPr>
          <w:rFonts w:ascii="Arial" w:hAnsi="Arial" w:cs="Arial"/>
          <w:sz w:val="20"/>
        </w:rPr>
        <w:tab/>
        <w:t>The evaluation referred to in the preceding paragraph shall take place no later than in 2015 and every four years thereafter, in conjunction with a regular meeting of the Conference of the Parties.</w:t>
      </w:r>
    </w:p>
    <w:p w14:paraId="13A7FCF2"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7.</w:t>
      </w:r>
      <w:r w:rsidRPr="00D548CF">
        <w:rPr>
          <w:rFonts w:ascii="Arial" w:hAnsi="Arial" w:cs="Arial"/>
          <w:sz w:val="20"/>
        </w:rPr>
        <w:tab/>
        <w:t xml:space="preserve">Due to the complexity of the use and the many sectors of society involved in the use of these chemicals, there might be other uses of these chemicals of which countries are not presently aware. Parties which become aware of other uses are encouraged to inform the Secretariat as soon as possible. </w:t>
      </w:r>
    </w:p>
    <w:p w14:paraId="2E9F942D"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8.</w:t>
      </w:r>
      <w:r w:rsidRPr="00D548CF">
        <w:rPr>
          <w:rFonts w:ascii="Arial" w:hAnsi="Arial" w:cs="Arial"/>
          <w:sz w:val="20"/>
        </w:rPr>
        <w:tab/>
        <w:t>A Party may, at any time, withdraw its name from the Register of acceptable purposes upon written notification to the Secretariat. The withdrawal shall take effect on the date specified in the notification.</w:t>
      </w:r>
    </w:p>
    <w:p w14:paraId="3B044808" w14:textId="77777777" w:rsidR="0042751E" w:rsidRPr="00D548CF" w:rsidRDefault="0042751E" w:rsidP="0042751E">
      <w:pPr>
        <w:spacing w:after="120"/>
        <w:ind w:left="2495" w:right="1247"/>
        <w:rPr>
          <w:rFonts w:ascii="Arial" w:hAnsi="Arial" w:cs="Arial"/>
        </w:rPr>
      </w:pPr>
      <w:r w:rsidRPr="00D548CF">
        <w:rPr>
          <w:rFonts w:ascii="Arial" w:hAnsi="Arial" w:cs="Arial"/>
          <w:sz w:val="20"/>
        </w:rPr>
        <w:t>9.</w:t>
      </w:r>
      <w:r w:rsidRPr="00D548CF">
        <w:rPr>
          <w:rFonts w:ascii="Arial" w:hAnsi="Arial" w:cs="Arial"/>
          <w:sz w:val="20"/>
        </w:rPr>
        <w:tab/>
        <w:t>The provisions of note (iii) of part I of Annex B shall not apply to these chemicals.</w:t>
      </w:r>
    </w:p>
    <w:p w14:paraId="7CB8DFF8" w14:textId="39C2BC49" w:rsidR="0042751E" w:rsidRPr="00D548CF" w:rsidRDefault="0042751E" w:rsidP="0042751E">
      <w:pPr>
        <w:spacing w:after="120" w:line="240" w:lineRule="auto"/>
        <w:rPr>
          <w:rFonts w:ascii="Arial" w:hAnsi="Arial" w:cs="Arial"/>
          <w:iCs/>
          <w:sz w:val="20"/>
        </w:rPr>
      </w:pPr>
    </w:p>
    <w:p w14:paraId="28C189C4" w14:textId="77777777" w:rsidR="0042751E" w:rsidRPr="00D548CF" w:rsidRDefault="0042751E" w:rsidP="0042751E">
      <w:pPr>
        <w:spacing w:before="120" w:after="120"/>
        <w:ind w:left="1247"/>
        <w:rPr>
          <w:rFonts w:ascii="Arial" w:hAnsi="Arial" w:cs="Arial"/>
          <w:b/>
          <w:sz w:val="28"/>
          <w:szCs w:val="28"/>
        </w:rPr>
      </w:pPr>
      <w:r w:rsidRPr="00D548CF">
        <w:rPr>
          <w:rFonts w:ascii="Arial" w:hAnsi="Arial" w:cs="Arial"/>
          <w:b/>
          <w:sz w:val="28"/>
          <w:szCs w:val="28"/>
        </w:rPr>
        <w:t>SC-4/18: Listing of tetrabromodiphenyl ether and pentabromodiphenyl ether</w:t>
      </w:r>
    </w:p>
    <w:p w14:paraId="23CEE924" w14:textId="77777777" w:rsidR="0042751E" w:rsidRPr="00D548CF" w:rsidRDefault="0042751E" w:rsidP="0042751E">
      <w:pPr>
        <w:spacing w:after="120"/>
        <w:ind w:left="1247" w:firstLine="624"/>
        <w:rPr>
          <w:rFonts w:ascii="Arial" w:hAnsi="Arial" w:cs="Arial"/>
          <w:sz w:val="20"/>
        </w:rPr>
      </w:pPr>
      <w:r w:rsidRPr="00D548CF">
        <w:rPr>
          <w:rFonts w:ascii="Arial" w:hAnsi="Arial" w:cs="Arial"/>
          <w:i/>
          <w:sz w:val="20"/>
        </w:rPr>
        <w:t>The Conference of the Parties</w:t>
      </w:r>
      <w:r w:rsidRPr="00D548CF">
        <w:rPr>
          <w:rFonts w:ascii="Arial" w:hAnsi="Arial" w:cs="Arial"/>
          <w:sz w:val="20"/>
        </w:rPr>
        <w:t>,</w:t>
      </w:r>
    </w:p>
    <w:p w14:paraId="53D2C1C0" w14:textId="77777777" w:rsidR="0042751E" w:rsidRPr="00D548CF" w:rsidRDefault="0042751E" w:rsidP="0042751E">
      <w:pPr>
        <w:spacing w:after="120"/>
        <w:ind w:left="1247" w:firstLine="596"/>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commercial pentabromodiphenyl ether transmitted by the Persistent Organic Pollutants Review Committee,</w:t>
      </w:r>
      <w:r w:rsidRPr="00D548CF">
        <w:rPr>
          <w:rStyle w:val="FootnoteReference"/>
          <w:rFonts w:ascii="Arial" w:hAnsi="Arial" w:cs="Arial"/>
          <w:sz w:val="20"/>
        </w:rPr>
        <w:footnoteReference w:id="17"/>
      </w:r>
      <w:r w:rsidRPr="00D548CF">
        <w:rPr>
          <w:rFonts w:ascii="Arial" w:hAnsi="Arial" w:cs="Arial"/>
          <w:sz w:val="20"/>
        </w:rPr>
        <w:t xml:space="preserve"> </w:t>
      </w:r>
    </w:p>
    <w:p w14:paraId="575FBB04" w14:textId="77777777" w:rsidR="0042751E" w:rsidRPr="00D548CF" w:rsidRDefault="0042751E" w:rsidP="0042751E">
      <w:pPr>
        <w:spacing w:after="120"/>
        <w:ind w:left="1247" w:firstLine="596"/>
        <w:rPr>
          <w:rFonts w:ascii="Arial" w:hAnsi="Arial" w:cs="Arial"/>
          <w:sz w:val="20"/>
        </w:rPr>
      </w:pPr>
      <w:r w:rsidRPr="00D548CF">
        <w:rPr>
          <w:rFonts w:ascii="Arial" w:hAnsi="Arial" w:cs="Arial"/>
          <w:i/>
          <w:sz w:val="20"/>
        </w:rPr>
        <w:t xml:space="preserve">Taking note </w:t>
      </w:r>
      <w:r w:rsidRPr="00D548CF">
        <w:rPr>
          <w:rFonts w:ascii="Arial" w:hAnsi="Arial" w:cs="Arial"/>
          <w:sz w:val="20"/>
        </w:rPr>
        <w:t xml:space="preserve">of the recommendation by the Persistent Organic Pollutants Review Committee to list tetrabromodiphenyl ether and pentabromodiphenyl ether in Annex A of the Convention, </w:t>
      </w:r>
      <w:r w:rsidRPr="00D548CF">
        <w:rPr>
          <w:rStyle w:val="FootnoteReference"/>
          <w:rFonts w:ascii="Arial" w:hAnsi="Arial" w:cs="Arial"/>
          <w:sz w:val="20"/>
        </w:rPr>
        <w:footnoteReference w:id="18"/>
      </w:r>
    </w:p>
    <w:p w14:paraId="0E96613F" w14:textId="77777777" w:rsidR="0042751E" w:rsidRPr="00D548CF" w:rsidRDefault="0042751E" w:rsidP="00090036">
      <w:pPr>
        <w:numPr>
          <w:ilvl w:val="0"/>
          <w:numId w:val="16"/>
        </w:numPr>
        <w:spacing w:after="120" w:line="240" w:lineRule="auto"/>
        <w:ind w:left="1247"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of the Convention to list therein tetrabromodiphenyl ether and pentabromodiphenyl ether, as defined in paragraph 2 of the present decision, with a specific exemption for articles containing tetrabromodiphenyl ether and pentabromodiphenyl ether in accordance with the provisions of part V of the Annex, by inserting the following row:</w:t>
      </w:r>
    </w:p>
    <w:p w14:paraId="3A1D6ABB" w14:textId="77777777" w:rsidR="0042751E" w:rsidRPr="00D548CF" w:rsidRDefault="0042751E" w:rsidP="0042751E">
      <w:pPr>
        <w:spacing w:after="120"/>
        <w:rPr>
          <w:rFonts w:ascii="Arial" w:hAnsi="Arial" w:cs="Arial"/>
        </w:rPr>
      </w:pPr>
      <w:r w:rsidRPr="00D548CF">
        <w:rPr>
          <w:rFonts w:ascii="Arial" w:hAnsi="Arial" w:cs="Arial"/>
        </w:rPr>
        <w:lastRenderedPageBreak/>
        <w:t> </w:t>
      </w:r>
    </w:p>
    <w:tbl>
      <w:tblPr>
        <w:tblW w:w="8379" w:type="dxa"/>
        <w:tblInd w:w="1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5"/>
        <w:gridCol w:w="1418"/>
        <w:gridCol w:w="2976"/>
      </w:tblGrid>
      <w:tr w:rsidR="0042751E" w:rsidRPr="00D548CF" w14:paraId="33265FD3" w14:textId="77777777" w:rsidTr="00443B8B">
        <w:tc>
          <w:tcPr>
            <w:tcW w:w="3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4E4B" w14:textId="77777777" w:rsidR="0042751E" w:rsidRPr="00FE4033" w:rsidRDefault="0042751E" w:rsidP="00BE3A18">
            <w:pPr>
              <w:rPr>
                <w:rFonts w:ascii="Arial" w:hAnsi="Arial" w:cs="Arial"/>
                <w:sz w:val="18"/>
                <w:szCs w:val="20"/>
              </w:rPr>
            </w:pPr>
            <w:r w:rsidRPr="00FE4033">
              <w:rPr>
                <w:rFonts w:ascii="Arial" w:hAnsi="Arial" w:cs="Arial"/>
                <w:sz w:val="18"/>
                <w:szCs w:val="20"/>
              </w:rPr>
              <w:t>Chemical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C5C39" w14:textId="77777777" w:rsidR="0042751E" w:rsidRPr="00FE4033" w:rsidRDefault="0042751E" w:rsidP="00BE3A18">
            <w:pPr>
              <w:rPr>
                <w:rFonts w:ascii="Arial" w:hAnsi="Arial" w:cs="Arial"/>
                <w:sz w:val="18"/>
                <w:szCs w:val="20"/>
              </w:rPr>
            </w:pPr>
            <w:r w:rsidRPr="00FE4033">
              <w:rPr>
                <w:rFonts w:ascii="Arial" w:hAnsi="Arial" w:cs="Arial"/>
                <w:sz w:val="18"/>
                <w:szCs w:val="20"/>
              </w:rPr>
              <w:t>Activity</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F3C4" w14:textId="77777777" w:rsidR="0042751E" w:rsidRPr="00FE4033" w:rsidRDefault="0042751E" w:rsidP="00BE3A18">
            <w:pPr>
              <w:rPr>
                <w:rFonts w:ascii="Arial" w:hAnsi="Arial" w:cs="Arial"/>
                <w:sz w:val="18"/>
                <w:szCs w:val="20"/>
              </w:rPr>
            </w:pPr>
            <w:r w:rsidRPr="00FE4033">
              <w:rPr>
                <w:rFonts w:ascii="Arial" w:hAnsi="Arial" w:cs="Arial"/>
                <w:sz w:val="18"/>
                <w:szCs w:val="20"/>
              </w:rPr>
              <w:t>Specific exemption</w:t>
            </w:r>
          </w:p>
        </w:tc>
      </w:tr>
      <w:tr w:rsidR="0042751E" w:rsidRPr="00D548CF" w14:paraId="4CFD8429" w14:textId="77777777" w:rsidTr="00BE3A18">
        <w:tc>
          <w:tcPr>
            <w:tcW w:w="3985" w:type="dxa"/>
            <w:vMerge w:val="restart"/>
            <w:tcBorders>
              <w:top w:val="single" w:sz="4" w:space="0" w:color="auto"/>
              <w:left w:val="single" w:sz="4" w:space="0" w:color="auto"/>
              <w:bottom w:val="single" w:sz="4" w:space="0" w:color="auto"/>
              <w:right w:val="single" w:sz="4" w:space="0" w:color="auto"/>
            </w:tcBorders>
            <w:shd w:val="clear" w:color="auto" w:fill="auto"/>
          </w:tcPr>
          <w:p w14:paraId="6236EF47"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Tetrabromodiphenyl ether* and pentabromodiphenyl ether*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865786"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 xml:space="preserve">Production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D89C9F"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None</w:t>
            </w:r>
          </w:p>
        </w:tc>
      </w:tr>
      <w:tr w:rsidR="0042751E" w:rsidRPr="00D548CF" w14:paraId="12A19538" w14:textId="77777777" w:rsidTr="00BE3A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4C3F13C" w14:textId="77777777" w:rsidR="0042751E" w:rsidRPr="00FE4033" w:rsidRDefault="0042751E" w:rsidP="00BE3A18">
            <w:pPr>
              <w:rPr>
                <w:rFonts w:ascii="Arial" w:hAnsi="Arial" w:cs="Arial"/>
                <w:b/>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0A6A8E" w14:textId="77777777" w:rsidR="0042751E" w:rsidRPr="00FE4033" w:rsidRDefault="0042751E" w:rsidP="00BE3A18">
            <w:pPr>
              <w:pStyle w:val="Paralevel1"/>
              <w:numPr>
                <w:ilvl w:val="0"/>
                <w:numId w:val="0"/>
              </w:numPr>
              <w:rPr>
                <w:rFonts w:ascii="Arial" w:hAnsi="Arial" w:cs="Arial"/>
                <w:sz w:val="18"/>
              </w:rPr>
            </w:pPr>
            <w:r w:rsidRPr="00FE4033">
              <w:rPr>
                <w:rFonts w:ascii="Arial" w:hAnsi="Arial" w:cs="Arial"/>
                <w:sz w:val="18"/>
              </w:rPr>
              <w:t>Use</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6A6A8AC" w14:textId="77777777" w:rsidR="0042751E" w:rsidRPr="00FE4033" w:rsidRDefault="0042751E" w:rsidP="00BE3A18">
            <w:pPr>
              <w:outlineLvl w:val="0"/>
              <w:rPr>
                <w:rFonts w:ascii="Arial" w:hAnsi="Arial" w:cs="Arial"/>
                <w:sz w:val="18"/>
                <w:szCs w:val="20"/>
              </w:rPr>
            </w:pPr>
            <w:r w:rsidRPr="00FE4033">
              <w:rPr>
                <w:rFonts w:ascii="Arial" w:hAnsi="Arial" w:cs="Arial"/>
                <w:sz w:val="18"/>
                <w:szCs w:val="20"/>
              </w:rPr>
              <w:t>Articles in accordance with the provisions of Part V of this Annex</w:t>
            </w:r>
          </w:p>
        </w:tc>
      </w:tr>
    </w:tbl>
    <w:p w14:paraId="5BE64ACD" w14:textId="77777777" w:rsidR="0042751E" w:rsidRPr="00D548CF" w:rsidRDefault="0042751E" w:rsidP="0042751E">
      <w:pPr>
        <w:spacing w:after="120"/>
        <w:rPr>
          <w:rFonts w:ascii="Arial" w:hAnsi="Arial" w:cs="Arial"/>
          <w:sz w:val="20"/>
        </w:rPr>
      </w:pPr>
      <w:r w:rsidRPr="00D548CF">
        <w:rPr>
          <w:rFonts w:ascii="Arial" w:hAnsi="Arial" w:cs="Arial"/>
          <w:sz w:val="20"/>
        </w:rPr>
        <w:t> </w:t>
      </w:r>
    </w:p>
    <w:p w14:paraId="2CD082ED" w14:textId="77777777" w:rsidR="0042751E" w:rsidRPr="00D548CF" w:rsidRDefault="0042751E" w:rsidP="00090036">
      <w:pPr>
        <w:numPr>
          <w:ilvl w:val="0"/>
          <w:numId w:val="16"/>
        </w:numPr>
        <w:spacing w:after="120" w:line="240" w:lineRule="auto"/>
        <w:ind w:left="1247" w:firstLine="624"/>
        <w:rPr>
          <w:rFonts w:ascii="Arial" w:hAnsi="Arial" w:cs="Arial"/>
          <w:sz w:val="20"/>
        </w:rPr>
      </w:pPr>
      <w:r w:rsidRPr="00D548CF">
        <w:rPr>
          <w:rFonts w:ascii="Arial" w:hAnsi="Arial" w:cs="Arial"/>
          <w:i/>
          <w:sz w:val="20"/>
        </w:rPr>
        <w:t xml:space="preserve">Also decides </w:t>
      </w:r>
      <w:r w:rsidRPr="00D548CF">
        <w:rPr>
          <w:rFonts w:ascii="Arial" w:hAnsi="Arial" w:cs="Arial"/>
          <w:sz w:val="20"/>
        </w:rPr>
        <w:t xml:space="preserve">to insert a definition for tetrabromodiphenyl ether and pentabromodiphenyl ether in a new part III of Annex A called “Definitions” as follows: </w:t>
      </w:r>
    </w:p>
    <w:p w14:paraId="563B7984"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 xml:space="preserve">For the purpose of this Annex: </w:t>
      </w:r>
    </w:p>
    <w:p w14:paraId="42B1985E"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“Tetrabromodiphenyl ether and pentabromodiphenyl ether” means 2,2',4,4'-tetrabromodiphenyl ether (BDE-47, CAS No: 5436-43-1) and 2,2',4,4',5-pentabromodiphenyl ether (BDE-99, CAS No: 60348-60-9) and other tetra- and pentabromodiphenyl ethers present in commercial pentabromodiphenyl ether.</w:t>
      </w:r>
    </w:p>
    <w:p w14:paraId="322F18B4" w14:textId="77777777" w:rsidR="0042751E" w:rsidRPr="00D548CF" w:rsidRDefault="0042751E" w:rsidP="00090036">
      <w:pPr>
        <w:keepNext/>
        <w:numPr>
          <w:ilvl w:val="0"/>
          <w:numId w:val="16"/>
        </w:numPr>
        <w:spacing w:after="120" w:line="240" w:lineRule="auto"/>
        <w:ind w:left="1247" w:firstLine="624"/>
        <w:rPr>
          <w:rFonts w:ascii="Arial" w:hAnsi="Arial" w:cs="Arial"/>
          <w:sz w:val="20"/>
        </w:rPr>
      </w:pPr>
      <w:r w:rsidRPr="00D548CF">
        <w:rPr>
          <w:rFonts w:ascii="Arial" w:hAnsi="Arial" w:cs="Arial"/>
          <w:i/>
          <w:sz w:val="20"/>
        </w:rPr>
        <w:t xml:space="preserve">Decides </w:t>
      </w:r>
      <w:r w:rsidRPr="00D548CF">
        <w:rPr>
          <w:rFonts w:ascii="Arial" w:hAnsi="Arial" w:cs="Arial"/>
          <w:sz w:val="20"/>
        </w:rPr>
        <w:t>to insert a new part V to Annex A as follows:</w:t>
      </w:r>
    </w:p>
    <w:p w14:paraId="53D380F7" w14:textId="77777777" w:rsidR="0042751E" w:rsidRPr="00D548CF" w:rsidRDefault="0042751E" w:rsidP="0042751E">
      <w:pPr>
        <w:keepNext/>
        <w:jc w:val="center"/>
        <w:rPr>
          <w:rFonts w:ascii="Arial" w:hAnsi="Arial" w:cs="Arial"/>
          <w:sz w:val="20"/>
        </w:rPr>
      </w:pPr>
      <w:r w:rsidRPr="00D548CF">
        <w:rPr>
          <w:rFonts w:ascii="Arial" w:hAnsi="Arial" w:cs="Arial"/>
          <w:sz w:val="20"/>
        </w:rPr>
        <w:t> </w:t>
      </w:r>
    </w:p>
    <w:p w14:paraId="740759D2" w14:textId="77777777" w:rsidR="0042751E" w:rsidRPr="00D548CF" w:rsidRDefault="0042751E" w:rsidP="0042751E">
      <w:pPr>
        <w:keepNext/>
        <w:ind w:left="1871" w:right="1247"/>
        <w:jc w:val="center"/>
        <w:rPr>
          <w:rFonts w:ascii="Arial" w:hAnsi="Arial" w:cs="Arial"/>
          <w:b/>
          <w:sz w:val="20"/>
        </w:rPr>
      </w:pPr>
      <w:r w:rsidRPr="00D548CF">
        <w:rPr>
          <w:rFonts w:ascii="Arial" w:hAnsi="Arial" w:cs="Arial"/>
          <w:b/>
          <w:sz w:val="20"/>
        </w:rPr>
        <w:t>Part V</w:t>
      </w:r>
    </w:p>
    <w:p w14:paraId="590DC22D" w14:textId="77777777" w:rsidR="0042751E" w:rsidRPr="00D548CF" w:rsidRDefault="0042751E" w:rsidP="0042751E">
      <w:pPr>
        <w:keepNext/>
        <w:ind w:left="1871" w:right="1247"/>
        <w:jc w:val="center"/>
        <w:rPr>
          <w:rFonts w:ascii="Arial" w:hAnsi="Arial" w:cs="Arial"/>
          <w:sz w:val="20"/>
        </w:rPr>
      </w:pPr>
      <w:r w:rsidRPr="00D548CF">
        <w:rPr>
          <w:rFonts w:ascii="Arial" w:hAnsi="Arial" w:cs="Arial"/>
          <w:sz w:val="20"/>
        </w:rPr>
        <w:t> </w:t>
      </w:r>
    </w:p>
    <w:p w14:paraId="7FDF1FF8" w14:textId="77777777" w:rsidR="0042751E" w:rsidRPr="00D548CF" w:rsidRDefault="0042751E" w:rsidP="0042751E">
      <w:pPr>
        <w:keepNext/>
        <w:ind w:left="1871" w:right="1247"/>
        <w:jc w:val="center"/>
        <w:rPr>
          <w:rFonts w:ascii="Arial" w:hAnsi="Arial" w:cs="Arial"/>
          <w:b/>
          <w:sz w:val="20"/>
        </w:rPr>
      </w:pPr>
      <w:r w:rsidRPr="00D548CF">
        <w:rPr>
          <w:rFonts w:ascii="Arial" w:hAnsi="Arial" w:cs="Arial"/>
          <w:b/>
          <w:sz w:val="20"/>
        </w:rPr>
        <w:t>Tetrabromodiphenyl ether and pentabromodiphenyl ether</w:t>
      </w:r>
    </w:p>
    <w:p w14:paraId="2DDA7551" w14:textId="77777777" w:rsidR="0042751E" w:rsidRPr="00D548CF" w:rsidRDefault="0042751E" w:rsidP="0042751E">
      <w:pPr>
        <w:keepNext/>
        <w:ind w:left="1871" w:right="1247"/>
        <w:jc w:val="center"/>
        <w:rPr>
          <w:rFonts w:ascii="Arial" w:hAnsi="Arial" w:cs="Arial"/>
          <w:sz w:val="20"/>
        </w:rPr>
      </w:pPr>
    </w:p>
    <w:p w14:paraId="30D36098"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 xml:space="preserve">1. </w:t>
      </w:r>
      <w:r w:rsidRPr="00D548CF">
        <w:rPr>
          <w:rFonts w:ascii="Arial" w:hAnsi="Arial" w:cs="Arial"/>
          <w:sz w:val="20"/>
        </w:rPr>
        <w:tab/>
        <w:t>A Party may allow recycling of articles that contain or may contain tetrabromodiphenyl ether and pentabromodiphenyl ether, and the use and final disposal of articles manufactured from recycled materials that contain or may contain tetrabromodiphenyl ether and pentabromodiphenyl ether, provided that:</w:t>
      </w:r>
    </w:p>
    <w:p w14:paraId="382D7B97"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(a)</w:t>
      </w:r>
      <w:r w:rsidRPr="00D548CF">
        <w:rPr>
          <w:rFonts w:ascii="Arial" w:hAnsi="Arial" w:cs="Arial"/>
          <w:sz w:val="20"/>
        </w:rPr>
        <w:tab/>
        <w:t>The recycling and final disposal is carried out in an environmentally sound manner and does not lead to recovery of tetrabromodiphenyl ether and pentabromodiphenyl ether for the purpose of their reuse;</w:t>
      </w:r>
    </w:p>
    <w:p w14:paraId="43EB1790"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 xml:space="preserve">(b) </w:t>
      </w:r>
      <w:r w:rsidRPr="00D548CF">
        <w:rPr>
          <w:rFonts w:ascii="Arial" w:hAnsi="Arial" w:cs="Arial"/>
          <w:sz w:val="20"/>
        </w:rPr>
        <w:tab/>
        <w:t>The Party does not allow this exemption to lead to the export of articles containing levels/concentrations of tetrabromodiphenyl ether and pentabromodiphenyl ether that exceed those permitted to be sold within the territory of the Party; and</w:t>
      </w:r>
    </w:p>
    <w:p w14:paraId="2CF3C2A2" w14:textId="77777777" w:rsidR="0042751E" w:rsidRPr="00D548CF" w:rsidRDefault="0042751E" w:rsidP="0042751E">
      <w:pPr>
        <w:spacing w:after="120"/>
        <w:ind w:left="2495" w:right="1247" w:firstLine="624"/>
        <w:rPr>
          <w:rFonts w:ascii="Arial" w:hAnsi="Arial" w:cs="Arial"/>
          <w:sz w:val="20"/>
        </w:rPr>
      </w:pPr>
      <w:r w:rsidRPr="00D548CF">
        <w:rPr>
          <w:rFonts w:ascii="Arial" w:hAnsi="Arial" w:cs="Arial"/>
          <w:sz w:val="20"/>
        </w:rPr>
        <w:t>(c)</w:t>
      </w:r>
      <w:r w:rsidRPr="00D548CF">
        <w:rPr>
          <w:rFonts w:ascii="Arial" w:hAnsi="Arial" w:cs="Arial"/>
          <w:sz w:val="20"/>
        </w:rPr>
        <w:tab/>
        <w:t>The Party has notified the Secretariat of its intention to make use of this exemption.</w:t>
      </w:r>
    </w:p>
    <w:p w14:paraId="1E7E9A18" w14:textId="77777777" w:rsidR="0042751E" w:rsidRPr="00D548CF" w:rsidRDefault="0042751E" w:rsidP="0042751E">
      <w:pPr>
        <w:spacing w:after="120"/>
        <w:ind w:left="2495" w:right="1247"/>
        <w:rPr>
          <w:rFonts w:ascii="Arial" w:hAnsi="Arial" w:cs="Arial"/>
          <w:sz w:val="20"/>
        </w:rPr>
      </w:pPr>
      <w:r w:rsidRPr="00D548CF">
        <w:rPr>
          <w:rFonts w:ascii="Arial" w:hAnsi="Arial" w:cs="Arial"/>
          <w:sz w:val="20"/>
        </w:rPr>
        <w:t xml:space="preserve">2. </w:t>
      </w:r>
      <w:r w:rsidRPr="00D548CF">
        <w:rPr>
          <w:rFonts w:ascii="Arial" w:hAnsi="Arial" w:cs="Arial"/>
          <w:sz w:val="20"/>
        </w:rPr>
        <w:tab/>
        <w:t>At its sixth ordinary meeting and at every second ordinary meeting thereafter the Conference of the Parties shall evaluate the progress that Parties have made towards achieving their ultimate objective of elimination of tetrabromodiphenyl ether and pentabromodiphenyl ether contained in articles and review the continued need for this specific exemption. This specific exemption shall in any case expire at the latest in 2030.</w:t>
      </w:r>
    </w:p>
    <w:p w14:paraId="79EA4B01" w14:textId="77777777" w:rsidR="0042751E" w:rsidRPr="00D548CF" w:rsidRDefault="0042751E" w:rsidP="0042751E">
      <w:pPr>
        <w:spacing w:after="120"/>
        <w:ind w:left="1247" w:firstLine="624"/>
        <w:rPr>
          <w:rFonts w:ascii="Arial" w:hAnsi="Arial" w:cs="Arial"/>
          <w:sz w:val="20"/>
        </w:rPr>
      </w:pPr>
      <w:r w:rsidRPr="00D548CF">
        <w:rPr>
          <w:rFonts w:ascii="Arial" w:hAnsi="Arial" w:cs="Arial"/>
          <w:sz w:val="20"/>
        </w:rPr>
        <w:lastRenderedPageBreak/>
        <w:t>4.</w:t>
      </w:r>
      <w:r w:rsidRPr="00D548CF">
        <w:rPr>
          <w:rFonts w:ascii="Arial" w:hAnsi="Arial" w:cs="Arial"/>
          <w:i/>
          <w:sz w:val="20"/>
        </w:rPr>
        <w:tab/>
        <w:t xml:space="preserve"> Decides</w:t>
      </w:r>
      <w:r w:rsidRPr="00D548CF">
        <w:rPr>
          <w:rFonts w:ascii="Arial" w:hAnsi="Arial" w:cs="Arial"/>
          <w:sz w:val="20"/>
        </w:rPr>
        <w:t xml:space="preserve"> to amend part I of Annex A of the Convention by inserting in note (iv), after the words “polychlorinated biphenyls in articles in use in accordance with the provisions of Part II”, a comma and the words “and the use of tetrabromodiphenyl ether and pentabromodiphenyl ether in accordance with the provisions of Part V of this Annex”.</w:t>
      </w:r>
    </w:p>
    <w:p w14:paraId="7EBE0964" w14:textId="3ADBCCA9" w:rsidR="0042751E" w:rsidRDefault="0042751E" w:rsidP="0042751E">
      <w:pPr>
        <w:spacing w:after="120" w:line="240" w:lineRule="auto"/>
        <w:rPr>
          <w:rFonts w:ascii="Arial" w:hAnsi="Arial" w:cs="Arial"/>
          <w:iCs/>
          <w:sz w:val="20"/>
        </w:rPr>
      </w:pPr>
    </w:p>
    <w:p w14:paraId="630982DC" w14:textId="77777777" w:rsidR="00EE5643" w:rsidRDefault="00EE5643" w:rsidP="0042751E">
      <w:pPr>
        <w:spacing w:after="120" w:line="240" w:lineRule="auto"/>
        <w:rPr>
          <w:rFonts w:ascii="Arial" w:hAnsi="Arial" w:cs="Arial"/>
          <w:iCs/>
          <w:sz w:val="20"/>
        </w:rPr>
        <w:sectPr w:rsidR="00EE5643" w:rsidSect="00D66C83">
          <w:footnotePr>
            <w:numRestart w:val="eachSect"/>
          </w:footnotePr>
          <w:pgSz w:w="11906" w:h="16838"/>
          <w:pgMar w:top="1417" w:right="1417" w:bottom="1417" w:left="1417" w:header="708" w:footer="708" w:gutter="0"/>
          <w:cols w:space="708"/>
          <w:docGrid w:linePitch="360"/>
        </w:sectPr>
      </w:pPr>
    </w:p>
    <w:p w14:paraId="1D474D6F" w14:textId="53724D3A" w:rsidR="00EE5643" w:rsidRPr="00D548CF" w:rsidRDefault="00EE5643" w:rsidP="0042751E">
      <w:pPr>
        <w:spacing w:after="120" w:line="240" w:lineRule="auto"/>
        <w:rPr>
          <w:rFonts w:ascii="Arial" w:hAnsi="Arial" w:cs="Arial"/>
          <w:iCs/>
          <w:sz w:val="20"/>
        </w:rPr>
      </w:pPr>
    </w:p>
    <w:p w14:paraId="3E315D0E" w14:textId="77777777" w:rsidR="0042751E" w:rsidRPr="00D548CF" w:rsidRDefault="0042751E" w:rsidP="0042751E">
      <w:pPr>
        <w:widowControl w:val="0"/>
        <w:spacing w:before="240" w:after="120" w:line="240" w:lineRule="exact"/>
        <w:ind w:left="1247"/>
        <w:rPr>
          <w:rFonts w:ascii="Arial" w:hAnsi="Arial" w:cs="Arial"/>
          <w:b/>
          <w:sz w:val="28"/>
          <w:szCs w:val="28"/>
        </w:rPr>
      </w:pPr>
      <w:r w:rsidRPr="00D548CF">
        <w:rPr>
          <w:rFonts w:ascii="Arial" w:hAnsi="Arial" w:cs="Arial"/>
          <w:b/>
          <w:sz w:val="28"/>
          <w:szCs w:val="28"/>
        </w:rPr>
        <w:t>SC-5/3: Listing of technical endosulfan and its related isomers</w:t>
      </w:r>
    </w:p>
    <w:p w14:paraId="06CBAC92" w14:textId="77777777" w:rsidR="0042751E" w:rsidRPr="00D548CF" w:rsidRDefault="0042751E" w:rsidP="0042751E">
      <w:pPr>
        <w:suppressAutoHyphens/>
        <w:spacing w:after="120" w:line="240" w:lineRule="exact"/>
        <w:ind w:left="1247" w:firstLine="624"/>
        <w:rPr>
          <w:rFonts w:ascii="Arial" w:hAnsi="Arial" w:cs="Arial"/>
          <w:sz w:val="20"/>
          <w:szCs w:val="24"/>
        </w:rPr>
      </w:pPr>
      <w:r w:rsidRPr="00D548CF">
        <w:rPr>
          <w:rFonts w:ascii="Arial" w:hAnsi="Arial" w:cs="Arial"/>
          <w:i/>
          <w:sz w:val="20"/>
          <w:szCs w:val="24"/>
        </w:rPr>
        <w:t>The Conference of the Parties</w:t>
      </w:r>
      <w:r w:rsidRPr="00D548CF">
        <w:rPr>
          <w:rFonts w:ascii="Arial" w:hAnsi="Arial" w:cs="Arial"/>
          <w:sz w:val="20"/>
          <w:szCs w:val="24"/>
        </w:rPr>
        <w:t>,</w:t>
      </w:r>
    </w:p>
    <w:p w14:paraId="4EA7FF48" w14:textId="77777777" w:rsidR="0042751E" w:rsidRPr="00D548CF" w:rsidRDefault="0042751E" w:rsidP="0042751E">
      <w:pPr>
        <w:keepNext/>
        <w:keepLines/>
        <w:spacing w:after="120" w:line="240" w:lineRule="exact"/>
        <w:ind w:left="1247" w:firstLine="624"/>
        <w:rPr>
          <w:rFonts w:ascii="Arial" w:hAnsi="Arial" w:cs="Arial"/>
          <w:sz w:val="20"/>
        </w:rPr>
      </w:pPr>
      <w:r w:rsidRPr="00D548CF">
        <w:rPr>
          <w:rFonts w:ascii="Arial" w:hAnsi="Arial" w:cs="Arial"/>
          <w:i/>
          <w:sz w:val="20"/>
        </w:rPr>
        <w:t xml:space="preserve">Having considered </w:t>
      </w:r>
      <w:r w:rsidRPr="00D548CF">
        <w:rPr>
          <w:rFonts w:ascii="Arial" w:hAnsi="Arial" w:cs="Arial"/>
          <w:sz w:val="20"/>
        </w:rPr>
        <w:t>the risk profile and risk management evaluation for endosulfan (technical endosulfan, its related isomers and endosulfan sulfate) as transmitted by the Persistent Organic Pollutants Review Committee,</w:t>
      </w:r>
      <w:r w:rsidRPr="00D548CF">
        <w:rPr>
          <w:rFonts w:ascii="Arial" w:hAnsi="Arial" w:cs="Arial"/>
          <w:sz w:val="20"/>
          <w:szCs w:val="18"/>
          <w:vertAlign w:val="superscript"/>
        </w:rPr>
        <w:footnoteReference w:id="19"/>
      </w:r>
    </w:p>
    <w:p w14:paraId="1DF9475F" w14:textId="77777777" w:rsidR="0042751E" w:rsidRPr="00D548CF" w:rsidRDefault="0042751E" w:rsidP="0042751E">
      <w:pPr>
        <w:spacing w:after="120" w:line="240" w:lineRule="exact"/>
        <w:ind w:left="1247" w:firstLine="624"/>
        <w:rPr>
          <w:rFonts w:ascii="Arial" w:hAnsi="Arial" w:cs="Arial"/>
          <w:sz w:val="20"/>
        </w:rPr>
      </w:pPr>
      <w:r w:rsidRPr="00D548CF">
        <w:rPr>
          <w:rFonts w:ascii="Arial" w:hAnsi="Arial" w:cs="Arial"/>
          <w:i/>
          <w:sz w:val="20"/>
        </w:rPr>
        <w:t xml:space="preserve">Taking note </w:t>
      </w:r>
      <w:r w:rsidRPr="00D548CF">
        <w:rPr>
          <w:rFonts w:ascii="Arial" w:hAnsi="Arial" w:cs="Arial"/>
          <w:sz w:val="20"/>
        </w:rPr>
        <w:t>of the recommendation by the Persistent Organic Pollutants Review Committee to list technical endosulfan, its related isomers and endosulfan sulfate in Annex A to the Convention, with specific exemptions,</w:t>
      </w:r>
      <w:r w:rsidRPr="00D548CF">
        <w:rPr>
          <w:rFonts w:ascii="Arial" w:hAnsi="Arial" w:cs="Arial"/>
          <w:sz w:val="20"/>
          <w:szCs w:val="18"/>
          <w:vertAlign w:val="superscript"/>
        </w:rPr>
        <w:footnoteReference w:id="20"/>
      </w:r>
    </w:p>
    <w:p w14:paraId="7F33D5A9" w14:textId="77777777" w:rsidR="0042751E" w:rsidRPr="00D548CF" w:rsidRDefault="0042751E" w:rsidP="00090036">
      <w:pPr>
        <w:numPr>
          <w:ilvl w:val="0"/>
          <w:numId w:val="17"/>
        </w:numPr>
        <w:tabs>
          <w:tab w:val="left" w:pos="624"/>
        </w:tabs>
        <w:spacing w:after="120" w:line="240" w:lineRule="exact"/>
        <w:ind w:left="1247" w:firstLine="624"/>
        <w:contextualSpacing/>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to the Stockholm Convention on Persistent Organic Pollutants to list therein technical endosulfan and its related isomers, with specific exemptions </w:t>
      </w:r>
      <w:r w:rsidRPr="00D548CF">
        <w:rPr>
          <w:rFonts w:ascii="Arial" w:hAnsi="Arial" w:cs="Arial"/>
          <w:sz w:val="20"/>
          <w:szCs w:val="24"/>
        </w:rPr>
        <w:t xml:space="preserve">for production as allowed for the parties listed in the Register of Specific Exemptions and/or for use on crop-pest complexes as listed in accordance with the provisions of a new part VI of the annex </w:t>
      </w:r>
      <w:r w:rsidRPr="00D548CF">
        <w:rPr>
          <w:rFonts w:ascii="Arial" w:hAnsi="Arial" w:cs="Arial"/>
          <w:sz w:val="20"/>
        </w:rPr>
        <w:t>by inserting the following row:</w:t>
      </w:r>
    </w:p>
    <w:p w14:paraId="02989F8C" w14:textId="77777777" w:rsidR="0042751E" w:rsidRPr="00D548CF" w:rsidRDefault="0042751E" w:rsidP="0042751E">
      <w:pPr>
        <w:tabs>
          <w:tab w:val="left" w:pos="2410"/>
        </w:tabs>
        <w:spacing w:after="120" w:line="240" w:lineRule="exact"/>
        <w:ind w:left="1843"/>
        <w:contextualSpacing/>
        <w:rPr>
          <w:rFonts w:ascii="Arial" w:hAnsi="Arial" w:cs="Arial"/>
          <w:sz w:val="20"/>
        </w:rPr>
      </w:pPr>
    </w:p>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276"/>
        <w:gridCol w:w="2425"/>
      </w:tblGrid>
      <w:tr w:rsidR="0042751E" w:rsidRPr="00D548CF" w14:paraId="2AC800A0" w14:textId="77777777" w:rsidTr="00BE3A18">
        <w:tc>
          <w:tcPr>
            <w:tcW w:w="3969" w:type="dxa"/>
            <w:tcBorders>
              <w:top w:val="single" w:sz="4" w:space="0" w:color="auto"/>
              <w:left w:val="single" w:sz="4" w:space="0" w:color="auto"/>
              <w:bottom w:val="single" w:sz="4" w:space="0" w:color="auto"/>
              <w:right w:val="single" w:sz="4" w:space="0" w:color="auto"/>
            </w:tcBorders>
            <w:shd w:val="clear" w:color="auto" w:fill="E6E6E6"/>
          </w:tcPr>
          <w:p w14:paraId="342D67BF"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 xml:space="preserve"> Chemical </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14:paraId="4CF1D278"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Activity</w:t>
            </w:r>
          </w:p>
        </w:tc>
        <w:tc>
          <w:tcPr>
            <w:tcW w:w="2425" w:type="dxa"/>
            <w:tcBorders>
              <w:top w:val="single" w:sz="4" w:space="0" w:color="auto"/>
              <w:left w:val="single" w:sz="4" w:space="0" w:color="auto"/>
              <w:bottom w:val="single" w:sz="4" w:space="0" w:color="auto"/>
              <w:right w:val="single" w:sz="4" w:space="0" w:color="auto"/>
            </w:tcBorders>
            <w:shd w:val="clear" w:color="auto" w:fill="E6E6E6"/>
          </w:tcPr>
          <w:p w14:paraId="74242C64"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Specific exemption</w:t>
            </w:r>
          </w:p>
        </w:tc>
      </w:tr>
      <w:tr w:rsidR="0042751E" w:rsidRPr="00D548CF" w14:paraId="0718211E" w14:textId="77777777" w:rsidTr="00BE3A18">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14:paraId="55CCBD2F"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Technical endosulfan* (CAS No: 115-29-7) and its related isomers* (CAS No: 959-98-8 and CAS No: 33213-65-9)</w:t>
            </w:r>
          </w:p>
          <w:p w14:paraId="2A82A3B8" w14:textId="77777777" w:rsidR="0042751E" w:rsidRPr="00FE4033" w:rsidRDefault="0042751E" w:rsidP="00BE3A18">
            <w:pPr>
              <w:suppressAutoHyphens/>
              <w:spacing w:after="120" w:line="240" w:lineRule="exact"/>
              <w:rPr>
                <w:rFonts w:ascii="Arial" w:hAnsi="Arial" w:cs="Arial"/>
                <w:sz w:val="18"/>
                <w:szCs w:val="20"/>
              </w:rPr>
            </w:pPr>
          </w:p>
          <w:p w14:paraId="70CF960B" w14:textId="77777777" w:rsidR="0042751E" w:rsidRPr="00FE4033" w:rsidRDefault="0042751E" w:rsidP="00BE3A18">
            <w:pPr>
              <w:suppressAutoHyphens/>
              <w:spacing w:after="120" w:line="240" w:lineRule="exact"/>
              <w:rPr>
                <w:rFonts w:ascii="Arial" w:hAnsi="Arial" w:cs="Arial"/>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C19C8"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Production </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935FC2D"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As allowed for the parties listed in the Register </w:t>
            </w:r>
          </w:p>
        </w:tc>
      </w:tr>
      <w:tr w:rsidR="0042751E" w:rsidRPr="00D548CF" w14:paraId="2FD6ABC2" w14:textId="77777777" w:rsidTr="00BE3A18">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B3C69" w14:textId="77777777" w:rsidR="0042751E" w:rsidRPr="00FE4033" w:rsidRDefault="0042751E" w:rsidP="00BE3A18">
            <w:pPr>
              <w:spacing w:line="240" w:lineRule="exact"/>
              <w:rPr>
                <w:rFonts w:ascii="Arial" w:hAnsi="Arial" w:cs="Arial"/>
                <w:b/>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9710C"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Use</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2429839"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Crop-pest complexes as listed in accordance with the provisions of part VI of this Annex</w:t>
            </w:r>
          </w:p>
        </w:tc>
      </w:tr>
    </w:tbl>
    <w:p w14:paraId="598809BE" w14:textId="77777777" w:rsidR="0042751E" w:rsidRPr="00D548CF" w:rsidRDefault="0042751E" w:rsidP="0042751E">
      <w:pPr>
        <w:tabs>
          <w:tab w:val="left" w:pos="624"/>
        </w:tabs>
        <w:spacing w:line="240" w:lineRule="exact"/>
        <w:ind w:left="1247"/>
        <w:contextualSpacing/>
        <w:rPr>
          <w:rFonts w:ascii="Arial" w:hAnsi="Arial" w:cs="Arial"/>
          <w:sz w:val="20"/>
        </w:rPr>
      </w:pPr>
    </w:p>
    <w:p w14:paraId="52EA96D0" w14:textId="77777777" w:rsidR="0042751E" w:rsidRPr="00D548CF" w:rsidRDefault="0042751E" w:rsidP="00090036">
      <w:pPr>
        <w:numPr>
          <w:ilvl w:val="0"/>
          <w:numId w:val="17"/>
        </w:numPr>
        <w:tabs>
          <w:tab w:val="left" w:pos="624"/>
        </w:tabs>
        <w:spacing w:after="120" w:line="240" w:lineRule="exact"/>
        <w:ind w:left="1247" w:firstLine="624"/>
        <w:contextualSpacing/>
        <w:rPr>
          <w:rFonts w:ascii="Arial" w:hAnsi="Arial" w:cs="Arial"/>
          <w:sz w:val="20"/>
        </w:rPr>
      </w:pPr>
      <w:r w:rsidRPr="00D548CF">
        <w:rPr>
          <w:rFonts w:ascii="Arial" w:hAnsi="Arial" w:cs="Arial"/>
          <w:i/>
          <w:sz w:val="20"/>
        </w:rPr>
        <w:t xml:space="preserve">Decides </w:t>
      </w:r>
      <w:r w:rsidRPr="00D548CF">
        <w:rPr>
          <w:rFonts w:ascii="Arial" w:hAnsi="Arial" w:cs="Arial"/>
          <w:sz w:val="20"/>
        </w:rPr>
        <w:t>to insert a new note (v) in part I of Annex A as follows:</w:t>
      </w:r>
    </w:p>
    <w:p w14:paraId="0CA88CC5" w14:textId="77777777" w:rsidR="0042751E" w:rsidRPr="00D548CF" w:rsidRDefault="0042751E" w:rsidP="0042751E">
      <w:pPr>
        <w:tabs>
          <w:tab w:val="left" w:pos="624"/>
        </w:tabs>
        <w:spacing w:after="120" w:line="240" w:lineRule="exact"/>
        <w:ind w:left="1871"/>
        <w:contextualSpacing/>
        <w:rPr>
          <w:rFonts w:ascii="Arial" w:hAnsi="Arial" w:cs="Arial"/>
          <w:b/>
          <w:sz w:val="20"/>
        </w:rPr>
      </w:pPr>
      <w:r w:rsidRPr="00D548CF">
        <w:rPr>
          <w:rFonts w:ascii="Arial" w:hAnsi="Arial" w:cs="Arial"/>
          <w:sz w:val="20"/>
        </w:rPr>
        <w:t xml:space="preserve">Technical endosulfan (CAS No: 115-29-7), its related isomers (CAS No: 959-98-8 and CAS No: 33213-65-9) and endosulfan sulfate (CAS No: 1031-07-8) were assessed and identified as persistent organic pollutants. </w:t>
      </w:r>
    </w:p>
    <w:p w14:paraId="392D27ED" w14:textId="77777777" w:rsidR="0042751E" w:rsidRPr="00D548CF" w:rsidRDefault="0042751E" w:rsidP="0042751E">
      <w:pPr>
        <w:tabs>
          <w:tab w:val="left" w:pos="624"/>
        </w:tabs>
        <w:spacing w:line="240" w:lineRule="exact"/>
        <w:ind w:left="1247"/>
        <w:contextualSpacing/>
        <w:rPr>
          <w:rFonts w:ascii="Arial" w:hAnsi="Arial" w:cs="Arial"/>
          <w:sz w:val="20"/>
        </w:rPr>
      </w:pPr>
    </w:p>
    <w:p w14:paraId="14617815" w14:textId="77777777" w:rsidR="0042751E" w:rsidRPr="00D548CF" w:rsidRDefault="0042751E" w:rsidP="00090036">
      <w:pPr>
        <w:numPr>
          <w:ilvl w:val="0"/>
          <w:numId w:val="17"/>
        </w:numPr>
        <w:tabs>
          <w:tab w:val="left" w:pos="624"/>
        </w:tabs>
        <w:spacing w:after="120" w:line="240" w:lineRule="exact"/>
        <w:ind w:left="1247" w:firstLine="624"/>
        <w:contextualSpacing/>
        <w:rPr>
          <w:rFonts w:ascii="Arial" w:hAnsi="Arial" w:cs="Arial"/>
          <w:sz w:val="20"/>
        </w:rPr>
      </w:pPr>
      <w:r w:rsidRPr="00D548CF">
        <w:rPr>
          <w:rFonts w:ascii="Arial" w:hAnsi="Arial" w:cs="Arial"/>
          <w:i/>
          <w:sz w:val="20"/>
        </w:rPr>
        <w:t>Decides</w:t>
      </w:r>
      <w:r w:rsidRPr="00D548CF">
        <w:rPr>
          <w:rFonts w:ascii="Arial" w:hAnsi="Arial" w:cs="Arial"/>
          <w:sz w:val="20"/>
        </w:rPr>
        <w:t xml:space="preserve"> to insert a new Part VI in Annex A as follows:</w:t>
      </w:r>
    </w:p>
    <w:p w14:paraId="7A486DF4" w14:textId="77777777" w:rsidR="0042751E" w:rsidRPr="00D548CF" w:rsidRDefault="0042751E" w:rsidP="0042751E">
      <w:pPr>
        <w:spacing w:line="240" w:lineRule="exact"/>
        <w:rPr>
          <w:rFonts w:ascii="Arial" w:hAnsi="Arial" w:cs="Arial"/>
          <w:sz w:val="20"/>
        </w:rPr>
      </w:pPr>
    </w:p>
    <w:p w14:paraId="47AF2FE9" w14:textId="77777777" w:rsidR="0042751E" w:rsidRPr="00D548CF" w:rsidRDefault="0042751E" w:rsidP="0042751E">
      <w:pPr>
        <w:spacing w:after="120" w:line="240" w:lineRule="exact"/>
        <w:ind w:left="1247"/>
        <w:jc w:val="center"/>
        <w:rPr>
          <w:rFonts w:ascii="Arial" w:hAnsi="Arial" w:cs="Arial"/>
          <w:b/>
          <w:szCs w:val="24"/>
        </w:rPr>
      </w:pPr>
      <w:r w:rsidRPr="00D548CF">
        <w:rPr>
          <w:rFonts w:ascii="Arial" w:hAnsi="Arial" w:cs="Arial"/>
          <w:b/>
          <w:szCs w:val="24"/>
        </w:rPr>
        <w:t>Part VI</w:t>
      </w:r>
    </w:p>
    <w:p w14:paraId="26CDEAAB" w14:textId="77777777" w:rsidR="0042751E" w:rsidRPr="00D548CF" w:rsidRDefault="0042751E" w:rsidP="0042751E">
      <w:pPr>
        <w:spacing w:after="120" w:line="240" w:lineRule="exact"/>
        <w:ind w:left="1247"/>
        <w:jc w:val="center"/>
        <w:rPr>
          <w:rFonts w:ascii="Arial" w:hAnsi="Arial" w:cs="Arial"/>
          <w:b/>
          <w:szCs w:val="24"/>
        </w:rPr>
      </w:pPr>
      <w:r w:rsidRPr="00D548CF">
        <w:rPr>
          <w:rFonts w:ascii="Arial" w:hAnsi="Arial" w:cs="Arial"/>
          <w:b/>
          <w:szCs w:val="24"/>
        </w:rPr>
        <w:t>Technical endosulfan and its related isomers (endosulfan)</w:t>
      </w:r>
    </w:p>
    <w:p w14:paraId="44B0609D" w14:textId="77777777" w:rsidR="0042751E" w:rsidRPr="00D548CF" w:rsidRDefault="0042751E" w:rsidP="0042751E">
      <w:pPr>
        <w:tabs>
          <w:tab w:val="left" w:pos="624"/>
        </w:tabs>
        <w:spacing w:after="120" w:line="240" w:lineRule="exact"/>
        <w:ind w:left="1247"/>
        <w:rPr>
          <w:rFonts w:ascii="Arial" w:hAnsi="Arial" w:cs="Arial"/>
          <w:b/>
          <w:sz w:val="20"/>
        </w:rPr>
      </w:pPr>
      <w:r w:rsidRPr="00D548CF">
        <w:rPr>
          <w:rFonts w:ascii="Arial" w:hAnsi="Arial" w:cs="Arial"/>
          <w:sz w:val="20"/>
        </w:rPr>
        <w:tab/>
      </w:r>
      <w:r w:rsidRPr="00D548CF">
        <w:rPr>
          <w:rFonts w:ascii="Arial" w:hAnsi="Arial" w:cs="Arial"/>
          <w:sz w:val="20"/>
        </w:rPr>
        <w:tab/>
        <w:t>The production and use of endosulfan shall be eliminated except for parties that have notified the Secretariat of their intention to produce and/or use it in accordance with Article 4 of the Convention. Specific exemptions may be available for the use of endosulfan for the following crop</w:t>
      </w:r>
      <w:r w:rsidRPr="00D548CF">
        <w:rPr>
          <w:rFonts w:ascii="Arial" w:hAnsi="Arial" w:cs="Arial"/>
          <w:sz w:val="20"/>
        </w:rPr>
        <w:noBreakHyphen/>
        <w:t xml:space="preserve">pest complexes: </w:t>
      </w:r>
    </w:p>
    <w:p w14:paraId="3D772D3E" w14:textId="77777777" w:rsidR="0042751E" w:rsidRPr="00D548CF" w:rsidRDefault="0042751E" w:rsidP="0042751E">
      <w:pPr>
        <w:spacing w:line="240" w:lineRule="exact"/>
        <w:rPr>
          <w:rFonts w:ascii="Arial" w:hAnsi="Arial" w:cs="Arial"/>
          <w:sz w:val="20"/>
        </w:rPr>
      </w:pPr>
    </w:p>
    <w:tbl>
      <w:tblPr>
        <w:tblW w:w="832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6017"/>
      </w:tblGrid>
      <w:tr w:rsidR="0042751E" w:rsidRPr="00D548CF" w14:paraId="4CB66ADA" w14:textId="77777777" w:rsidTr="00BE3A18">
        <w:trPr>
          <w:trHeight w:val="323"/>
          <w:tblHeader/>
        </w:trPr>
        <w:tc>
          <w:tcPr>
            <w:tcW w:w="2311" w:type="dxa"/>
            <w:shd w:val="pct10" w:color="auto" w:fill="auto"/>
          </w:tcPr>
          <w:p w14:paraId="200F84EF" w14:textId="77777777" w:rsidR="0042751E" w:rsidRPr="00FE4033" w:rsidRDefault="0042751E" w:rsidP="00BE3A18">
            <w:pPr>
              <w:spacing w:line="240" w:lineRule="exact"/>
              <w:rPr>
                <w:rFonts w:ascii="Arial" w:hAnsi="Arial" w:cs="Arial"/>
                <w:b/>
                <w:sz w:val="18"/>
                <w:szCs w:val="20"/>
              </w:rPr>
            </w:pPr>
            <w:r w:rsidRPr="00FE4033">
              <w:rPr>
                <w:rFonts w:ascii="Arial" w:hAnsi="Arial" w:cs="Arial"/>
                <w:b/>
                <w:sz w:val="18"/>
                <w:szCs w:val="20"/>
              </w:rPr>
              <w:t>Crop</w:t>
            </w:r>
          </w:p>
        </w:tc>
        <w:tc>
          <w:tcPr>
            <w:tcW w:w="6017" w:type="dxa"/>
            <w:shd w:val="pct10" w:color="auto" w:fill="auto"/>
          </w:tcPr>
          <w:p w14:paraId="0E6B7D66" w14:textId="77777777" w:rsidR="0042751E" w:rsidRPr="00FE4033" w:rsidRDefault="0042751E" w:rsidP="00BE3A18">
            <w:pPr>
              <w:spacing w:line="240" w:lineRule="exact"/>
              <w:rPr>
                <w:rFonts w:ascii="Arial" w:hAnsi="Arial" w:cs="Arial"/>
                <w:b/>
                <w:sz w:val="18"/>
                <w:szCs w:val="20"/>
              </w:rPr>
            </w:pPr>
            <w:r w:rsidRPr="00FE4033">
              <w:rPr>
                <w:rFonts w:ascii="Arial" w:hAnsi="Arial" w:cs="Arial"/>
                <w:b/>
                <w:sz w:val="18"/>
                <w:szCs w:val="20"/>
              </w:rPr>
              <w:t>Pest</w:t>
            </w:r>
          </w:p>
        </w:tc>
      </w:tr>
      <w:tr w:rsidR="0042751E" w:rsidRPr="00D548CF" w14:paraId="4E51B5A7" w14:textId="77777777" w:rsidTr="00BE3A18">
        <w:tc>
          <w:tcPr>
            <w:tcW w:w="2311" w:type="dxa"/>
          </w:tcPr>
          <w:p w14:paraId="0D2DFAE6"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Apple</w:t>
            </w:r>
          </w:p>
        </w:tc>
        <w:tc>
          <w:tcPr>
            <w:tcW w:w="6017" w:type="dxa"/>
          </w:tcPr>
          <w:p w14:paraId="37FF0AE5"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w:t>
            </w:r>
          </w:p>
        </w:tc>
      </w:tr>
      <w:tr w:rsidR="0042751E" w:rsidRPr="00D548CF" w14:paraId="1E8ABD7F" w14:textId="77777777" w:rsidTr="00BE3A18">
        <w:tc>
          <w:tcPr>
            <w:tcW w:w="2311" w:type="dxa"/>
          </w:tcPr>
          <w:p w14:paraId="2FB2A5EE"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Arhar, gram </w:t>
            </w:r>
          </w:p>
        </w:tc>
        <w:tc>
          <w:tcPr>
            <w:tcW w:w="6017" w:type="dxa"/>
          </w:tcPr>
          <w:p w14:paraId="73946244"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 caterpillars, pea semilooper, pod borer</w:t>
            </w:r>
          </w:p>
        </w:tc>
      </w:tr>
      <w:tr w:rsidR="0042751E" w:rsidRPr="00D548CF" w14:paraId="2C445DD6" w14:textId="77777777" w:rsidTr="00BE3A18">
        <w:tc>
          <w:tcPr>
            <w:tcW w:w="2311" w:type="dxa"/>
          </w:tcPr>
          <w:p w14:paraId="4B946F1A"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Bean, cowpea </w:t>
            </w:r>
          </w:p>
        </w:tc>
        <w:tc>
          <w:tcPr>
            <w:tcW w:w="6017" w:type="dxa"/>
          </w:tcPr>
          <w:p w14:paraId="18771A9B"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leaf miner, whiteflies </w:t>
            </w:r>
          </w:p>
        </w:tc>
      </w:tr>
      <w:tr w:rsidR="0042751E" w:rsidRPr="00D548CF" w14:paraId="2742FD41" w14:textId="77777777" w:rsidTr="00BE3A18">
        <w:tc>
          <w:tcPr>
            <w:tcW w:w="2311" w:type="dxa"/>
          </w:tcPr>
          <w:p w14:paraId="55D0B70E"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Chilli, onion, potato </w:t>
            </w:r>
          </w:p>
        </w:tc>
        <w:tc>
          <w:tcPr>
            <w:tcW w:w="6017" w:type="dxa"/>
          </w:tcPr>
          <w:p w14:paraId="430B6588"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 jassids</w:t>
            </w:r>
          </w:p>
        </w:tc>
      </w:tr>
      <w:tr w:rsidR="0042751E" w:rsidRPr="00D548CF" w14:paraId="7BA52EDB" w14:textId="77777777" w:rsidTr="00BE3A18">
        <w:tc>
          <w:tcPr>
            <w:tcW w:w="2311" w:type="dxa"/>
          </w:tcPr>
          <w:p w14:paraId="4FFA8133"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lastRenderedPageBreak/>
              <w:t>Coffee</w:t>
            </w:r>
          </w:p>
        </w:tc>
        <w:tc>
          <w:tcPr>
            <w:tcW w:w="6017" w:type="dxa"/>
          </w:tcPr>
          <w:p w14:paraId="583B7285"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Berry borer, stem borers</w:t>
            </w:r>
          </w:p>
        </w:tc>
      </w:tr>
      <w:tr w:rsidR="0042751E" w:rsidRPr="00D548CF" w14:paraId="75766D33" w14:textId="77777777" w:rsidTr="00BE3A18">
        <w:tc>
          <w:tcPr>
            <w:tcW w:w="2311" w:type="dxa"/>
          </w:tcPr>
          <w:p w14:paraId="0B037FE6"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Cotton</w:t>
            </w:r>
          </w:p>
        </w:tc>
        <w:tc>
          <w:tcPr>
            <w:tcW w:w="6017" w:type="dxa"/>
          </w:tcPr>
          <w:p w14:paraId="204E433E"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 cotton bollworm, jassids, leaf rollers, pink bollworm, thrips, whiteflies</w:t>
            </w:r>
          </w:p>
        </w:tc>
      </w:tr>
      <w:tr w:rsidR="0042751E" w:rsidRPr="00D548CF" w14:paraId="4C30F5F7" w14:textId="77777777" w:rsidTr="00BE3A18">
        <w:tc>
          <w:tcPr>
            <w:tcW w:w="2311" w:type="dxa"/>
          </w:tcPr>
          <w:p w14:paraId="5B4828E6"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Eggplant, okra </w:t>
            </w:r>
          </w:p>
        </w:tc>
        <w:tc>
          <w:tcPr>
            <w:tcW w:w="6017" w:type="dxa"/>
          </w:tcPr>
          <w:p w14:paraId="7A55E4A1"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 diamondback moth, jassids, shoot and fruit borer</w:t>
            </w:r>
          </w:p>
        </w:tc>
      </w:tr>
      <w:tr w:rsidR="0042751E" w:rsidRPr="00D548CF" w14:paraId="44409E81" w14:textId="77777777" w:rsidTr="00BE3A18">
        <w:tc>
          <w:tcPr>
            <w:tcW w:w="2311" w:type="dxa"/>
          </w:tcPr>
          <w:p w14:paraId="0D58D9C7"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Groundnut</w:t>
            </w:r>
          </w:p>
        </w:tc>
        <w:tc>
          <w:tcPr>
            <w:tcW w:w="6017" w:type="dxa"/>
          </w:tcPr>
          <w:p w14:paraId="24A760FD"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w:t>
            </w:r>
          </w:p>
        </w:tc>
      </w:tr>
      <w:tr w:rsidR="0042751E" w:rsidRPr="00D548CF" w14:paraId="3BC0803B" w14:textId="77777777" w:rsidTr="00BE3A18">
        <w:tc>
          <w:tcPr>
            <w:tcW w:w="2311" w:type="dxa"/>
          </w:tcPr>
          <w:p w14:paraId="7E0D9779"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Jute</w:t>
            </w:r>
          </w:p>
        </w:tc>
        <w:tc>
          <w:tcPr>
            <w:tcW w:w="6017" w:type="dxa"/>
          </w:tcPr>
          <w:p w14:paraId="6A78EA46"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Bihar hairy caterpillar, yellow mite</w:t>
            </w:r>
          </w:p>
        </w:tc>
      </w:tr>
      <w:tr w:rsidR="0042751E" w:rsidRPr="00D548CF" w14:paraId="498ECB63" w14:textId="77777777" w:rsidTr="00BE3A18">
        <w:tc>
          <w:tcPr>
            <w:tcW w:w="2311" w:type="dxa"/>
          </w:tcPr>
          <w:p w14:paraId="63043A7D"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Maize</w:t>
            </w:r>
          </w:p>
        </w:tc>
        <w:tc>
          <w:tcPr>
            <w:tcW w:w="6017" w:type="dxa"/>
          </w:tcPr>
          <w:p w14:paraId="3444AC32"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pink borer, stem borers </w:t>
            </w:r>
          </w:p>
        </w:tc>
      </w:tr>
      <w:tr w:rsidR="0042751E" w:rsidRPr="00D548CF" w14:paraId="2923204E" w14:textId="77777777" w:rsidTr="00BE3A18">
        <w:tc>
          <w:tcPr>
            <w:tcW w:w="2311" w:type="dxa"/>
          </w:tcPr>
          <w:p w14:paraId="061D6AE9"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Mango</w:t>
            </w:r>
          </w:p>
        </w:tc>
        <w:tc>
          <w:tcPr>
            <w:tcW w:w="6017" w:type="dxa"/>
          </w:tcPr>
          <w:p w14:paraId="319B2D3C"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Fruit flies, hoppers </w:t>
            </w:r>
          </w:p>
        </w:tc>
      </w:tr>
      <w:tr w:rsidR="0042751E" w:rsidRPr="00D548CF" w14:paraId="0D393A96" w14:textId="77777777" w:rsidTr="00BE3A18">
        <w:tc>
          <w:tcPr>
            <w:tcW w:w="2311" w:type="dxa"/>
          </w:tcPr>
          <w:p w14:paraId="439B0B14"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Mustard</w:t>
            </w:r>
          </w:p>
        </w:tc>
        <w:tc>
          <w:tcPr>
            <w:tcW w:w="6017" w:type="dxa"/>
          </w:tcPr>
          <w:p w14:paraId="2E04E7B1"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gall midges </w:t>
            </w:r>
          </w:p>
        </w:tc>
      </w:tr>
      <w:tr w:rsidR="0042751E" w:rsidRPr="00D548CF" w14:paraId="20CA967E" w14:textId="77777777" w:rsidTr="00BE3A18">
        <w:tc>
          <w:tcPr>
            <w:tcW w:w="2311" w:type="dxa"/>
          </w:tcPr>
          <w:p w14:paraId="67893254"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Rice</w:t>
            </w:r>
          </w:p>
        </w:tc>
        <w:tc>
          <w:tcPr>
            <w:tcW w:w="6017" w:type="dxa"/>
          </w:tcPr>
          <w:p w14:paraId="155CB64E"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Gall midges, rice hispa, stem borers, white jassid </w:t>
            </w:r>
          </w:p>
        </w:tc>
      </w:tr>
      <w:tr w:rsidR="0042751E" w:rsidRPr="00D548CF" w14:paraId="7C42BC9F" w14:textId="77777777" w:rsidTr="00BE3A18">
        <w:tc>
          <w:tcPr>
            <w:tcW w:w="2311" w:type="dxa"/>
          </w:tcPr>
          <w:p w14:paraId="16FC368B"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Tea</w:t>
            </w:r>
          </w:p>
        </w:tc>
        <w:tc>
          <w:tcPr>
            <w:tcW w:w="6017" w:type="dxa"/>
          </w:tcPr>
          <w:p w14:paraId="64C53302"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caterpillars, flushworm, mealybugs, scale insects, smaller green leafhopper, tea geometrid, tea mosquito bug, thrips </w:t>
            </w:r>
          </w:p>
        </w:tc>
      </w:tr>
      <w:tr w:rsidR="0042751E" w:rsidRPr="00D548CF" w14:paraId="4C84C00F" w14:textId="77777777" w:rsidTr="00BE3A18">
        <w:tc>
          <w:tcPr>
            <w:tcW w:w="2311" w:type="dxa"/>
          </w:tcPr>
          <w:p w14:paraId="274B2B5B"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Tobacco</w:t>
            </w:r>
          </w:p>
        </w:tc>
        <w:tc>
          <w:tcPr>
            <w:tcW w:w="6017" w:type="dxa"/>
            <w:shd w:val="clear" w:color="auto" w:fill="auto"/>
          </w:tcPr>
          <w:p w14:paraId="09CB04D3"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oriental tobacco budworm </w:t>
            </w:r>
          </w:p>
        </w:tc>
      </w:tr>
      <w:tr w:rsidR="0042751E" w:rsidRPr="00D548CF" w14:paraId="5D9C81D2" w14:textId="77777777" w:rsidTr="00BE3A18">
        <w:tc>
          <w:tcPr>
            <w:tcW w:w="2311" w:type="dxa"/>
          </w:tcPr>
          <w:p w14:paraId="1BC8DC23"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Tomato</w:t>
            </w:r>
          </w:p>
        </w:tc>
        <w:tc>
          <w:tcPr>
            <w:tcW w:w="6017" w:type="dxa"/>
          </w:tcPr>
          <w:p w14:paraId="03B1F8A5"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Aphids, diamondback moth, jassids, leaf miner, shoot and fruit borer, whiteflies</w:t>
            </w:r>
          </w:p>
        </w:tc>
      </w:tr>
      <w:tr w:rsidR="0042751E" w:rsidRPr="00D548CF" w14:paraId="4F5964F5" w14:textId="77777777" w:rsidTr="00BE3A18">
        <w:tc>
          <w:tcPr>
            <w:tcW w:w="2311" w:type="dxa"/>
          </w:tcPr>
          <w:p w14:paraId="582D31C0"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Wheat</w:t>
            </w:r>
          </w:p>
        </w:tc>
        <w:tc>
          <w:tcPr>
            <w:tcW w:w="6017" w:type="dxa"/>
          </w:tcPr>
          <w:p w14:paraId="58DA7222" w14:textId="77777777" w:rsidR="0042751E" w:rsidRPr="00FE4033" w:rsidRDefault="0042751E" w:rsidP="00BE3A18">
            <w:pPr>
              <w:spacing w:line="240" w:lineRule="exact"/>
              <w:rPr>
                <w:rFonts w:ascii="Arial" w:hAnsi="Arial" w:cs="Arial"/>
                <w:sz w:val="18"/>
                <w:szCs w:val="20"/>
              </w:rPr>
            </w:pPr>
            <w:r w:rsidRPr="00FE4033">
              <w:rPr>
                <w:rFonts w:ascii="Arial" w:hAnsi="Arial" w:cs="Arial"/>
                <w:sz w:val="18"/>
                <w:szCs w:val="20"/>
              </w:rPr>
              <w:t xml:space="preserve">Aphids, pink borer, termites </w:t>
            </w:r>
          </w:p>
        </w:tc>
      </w:tr>
    </w:tbl>
    <w:p w14:paraId="3382E658" w14:textId="77777777" w:rsidR="0042751E" w:rsidRPr="00D548CF" w:rsidRDefault="0042751E" w:rsidP="0042751E">
      <w:pPr>
        <w:spacing w:line="240" w:lineRule="exact"/>
        <w:rPr>
          <w:rFonts w:ascii="Arial" w:hAnsi="Arial" w:cs="Arial"/>
          <w:sz w:val="20"/>
        </w:rPr>
      </w:pPr>
    </w:p>
    <w:p w14:paraId="3FCB818E" w14:textId="78DAB796" w:rsidR="0042751E" w:rsidRPr="00D548CF" w:rsidRDefault="0042751E" w:rsidP="0042751E">
      <w:pPr>
        <w:pStyle w:val="Paralevel1"/>
        <w:numPr>
          <w:ilvl w:val="0"/>
          <w:numId w:val="0"/>
        </w:numPr>
        <w:rPr>
          <w:rFonts w:ascii="Arial" w:hAnsi="Arial" w:cs="Arial"/>
          <w:lang w:val="en-GB"/>
        </w:rPr>
      </w:pPr>
    </w:p>
    <w:p w14:paraId="68ABA987" w14:textId="77777777" w:rsidR="004D60B5" w:rsidRDefault="004D60B5" w:rsidP="0042751E">
      <w:pPr>
        <w:pStyle w:val="Paralevel1"/>
        <w:numPr>
          <w:ilvl w:val="0"/>
          <w:numId w:val="0"/>
        </w:numPr>
        <w:rPr>
          <w:rFonts w:ascii="Arial" w:hAnsi="Arial" w:cs="Arial"/>
          <w:lang w:val="en-GB"/>
        </w:rPr>
        <w:sectPr w:rsidR="004D60B5" w:rsidSect="00D66C83">
          <w:footnotePr>
            <w:numRestart w:val="eachSect"/>
          </w:footnotePr>
          <w:pgSz w:w="11906" w:h="16838"/>
          <w:pgMar w:top="1417" w:right="1417" w:bottom="1417" w:left="1417" w:header="708" w:footer="708" w:gutter="0"/>
          <w:cols w:space="708"/>
          <w:docGrid w:linePitch="360"/>
        </w:sectPr>
      </w:pPr>
    </w:p>
    <w:p w14:paraId="66C2FDE5" w14:textId="77777777" w:rsidR="0042751E" w:rsidRPr="00D548CF" w:rsidRDefault="0042751E" w:rsidP="0042751E">
      <w:pPr>
        <w:keepNext/>
        <w:widowControl w:val="0"/>
        <w:spacing w:before="240" w:after="120"/>
        <w:ind w:left="1134"/>
        <w:rPr>
          <w:rFonts w:ascii="Arial" w:hAnsi="Arial" w:cs="Arial"/>
          <w:b/>
          <w:sz w:val="28"/>
          <w:szCs w:val="28"/>
        </w:rPr>
      </w:pPr>
      <w:r w:rsidRPr="00D548CF">
        <w:rPr>
          <w:rFonts w:ascii="Arial" w:hAnsi="Arial" w:cs="Arial"/>
          <w:b/>
          <w:sz w:val="28"/>
          <w:szCs w:val="28"/>
        </w:rPr>
        <w:lastRenderedPageBreak/>
        <w:t xml:space="preserve">SC-6/13: Listing of hexabromocyclododecane </w:t>
      </w:r>
    </w:p>
    <w:p w14:paraId="6193378C" w14:textId="77777777" w:rsidR="0042751E" w:rsidRPr="00D548CF" w:rsidRDefault="0042751E" w:rsidP="0042751E">
      <w:pPr>
        <w:pStyle w:val="NormalNonumber"/>
        <w:keepNext/>
        <w:tabs>
          <w:tab w:val="clear" w:pos="1247"/>
          <w:tab w:val="clear" w:pos="1814"/>
          <w:tab w:val="clear" w:pos="2381"/>
          <w:tab w:val="clear" w:pos="2948"/>
          <w:tab w:val="clear" w:pos="3515"/>
          <w:tab w:val="left" w:pos="624"/>
        </w:tabs>
        <w:ind w:firstLine="624"/>
        <w:rPr>
          <w:rFonts w:ascii="Arial" w:hAnsi="Arial" w:cs="Arial"/>
          <w:i/>
        </w:rPr>
      </w:pPr>
      <w:r w:rsidRPr="00D548CF">
        <w:rPr>
          <w:rFonts w:ascii="Arial" w:hAnsi="Arial" w:cs="Arial"/>
          <w:i/>
        </w:rPr>
        <w:t>The Conference of the Parties,</w:t>
      </w:r>
    </w:p>
    <w:p w14:paraId="67C6D6BD" w14:textId="77777777" w:rsidR="0042751E" w:rsidRPr="00D548CF" w:rsidRDefault="0042751E" w:rsidP="0042751E">
      <w:pPr>
        <w:pStyle w:val="NormalNonumber"/>
        <w:keepNext/>
        <w:tabs>
          <w:tab w:val="clear" w:pos="1247"/>
          <w:tab w:val="clear" w:pos="1814"/>
          <w:tab w:val="clear" w:pos="2381"/>
          <w:tab w:val="clear" w:pos="2948"/>
          <w:tab w:val="clear" w:pos="3515"/>
          <w:tab w:val="left" w:pos="624"/>
        </w:tabs>
        <w:ind w:firstLine="624"/>
        <w:rPr>
          <w:rFonts w:ascii="Arial" w:hAnsi="Arial" w:cs="Arial"/>
        </w:rPr>
      </w:pPr>
      <w:r w:rsidRPr="00D548CF">
        <w:rPr>
          <w:rFonts w:ascii="Arial" w:hAnsi="Arial" w:cs="Arial"/>
          <w:i/>
        </w:rPr>
        <w:t xml:space="preserve">Having considered </w:t>
      </w:r>
      <w:r w:rsidRPr="00D548CF">
        <w:rPr>
          <w:rFonts w:ascii="Arial" w:hAnsi="Arial" w:cs="Arial"/>
        </w:rPr>
        <w:t>the risk profile and the risk management evaluation and its addendum for hexabromocyclododecane as transmitted by the Persistent Organic Pollutants Review Committee,</w:t>
      </w:r>
      <w:r w:rsidRPr="00D548CF">
        <w:rPr>
          <w:rFonts w:ascii="Arial" w:hAnsi="Arial" w:cs="Arial"/>
          <w:vertAlign w:val="superscript"/>
        </w:rPr>
        <w:footnoteReference w:id="21"/>
      </w:r>
    </w:p>
    <w:p w14:paraId="52290B8B" w14:textId="77777777" w:rsidR="0042751E" w:rsidRPr="00D548CF" w:rsidRDefault="0042751E" w:rsidP="0042751E">
      <w:pPr>
        <w:pStyle w:val="NormalNonumber"/>
        <w:tabs>
          <w:tab w:val="clear" w:pos="1247"/>
          <w:tab w:val="clear" w:pos="1814"/>
          <w:tab w:val="clear" w:pos="2381"/>
          <w:tab w:val="clear" w:pos="2948"/>
          <w:tab w:val="clear" w:pos="3515"/>
          <w:tab w:val="left" w:pos="624"/>
        </w:tabs>
        <w:ind w:firstLine="624"/>
        <w:rPr>
          <w:rFonts w:ascii="Arial" w:hAnsi="Arial" w:cs="Arial"/>
        </w:rPr>
      </w:pPr>
      <w:r w:rsidRPr="00D548CF">
        <w:rPr>
          <w:rFonts w:ascii="Arial" w:hAnsi="Arial" w:cs="Arial"/>
          <w:i/>
        </w:rPr>
        <w:t xml:space="preserve">Taking note </w:t>
      </w:r>
      <w:r w:rsidRPr="00D548CF">
        <w:rPr>
          <w:rFonts w:ascii="Arial" w:hAnsi="Arial" w:cs="Arial"/>
        </w:rPr>
        <w:t xml:space="preserve">of the recommendation by the Persistent Organic Pollutants Review Committee to list </w:t>
      </w:r>
      <w:r w:rsidRPr="00D548CF">
        <w:rPr>
          <w:rFonts w:ascii="Arial" w:hAnsi="Arial" w:cs="Arial"/>
          <w:iCs/>
        </w:rPr>
        <w:t>hexabromocyclododecane</w:t>
      </w:r>
      <w:r w:rsidRPr="00D548CF">
        <w:rPr>
          <w:rFonts w:ascii="Arial" w:hAnsi="Arial" w:cs="Arial"/>
          <w:iCs/>
          <w:vertAlign w:val="superscript"/>
        </w:rPr>
        <w:t xml:space="preserve"> </w:t>
      </w:r>
      <w:r w:rsidRPr="00D548CF">
        <w:rPr>
          <w:rFonts w:ascii="Arial" w:hAnsi="Arial" w:cs="Arial"/>
          <w:iCs/>
        </w:rPr>
        <w:t>in Annex A to the Convention with specific exemptions for production and use in expanded polystyrene and extruded polystyrene in buildings</w:t>
      </w:r>
      <w:r w:rsidRPr="00D548CF">
        <w:rPr>
          <w:rFonts w:ascii="Arial" w:hAnsi="Arial" w:cs="Arial"/>
        </w:rPr>
        <w:t>,</w:t>
      </w:r>
      <w:r w:rsidRPr="00D548CF">
        <w:rPr>
          <w:rFonts w:ascii="Arial" w:hAnsi="Arial" w:cs="Arial"/>
          <w:vertAlign w:val="superscript"/>
        </w:rPr>
        <w:footnoteReference w:id="22"/>
      </w:r>
    </w:p>
    <w:p w14:paraId="0BACA925" w14:textId="77777777" w:rsidR="0042751E" w:rsidRPr="00D548CF" w:rsidRDefault="0042751E" w:rsidP="00090036">
      <w:pPr>
        <w:pStyle w:val="Normalnumber"/>
        <w:numPr>
          <w:ilvl w:val="0"/>
          <w:numId w:val="19"/>
        </w:numPr>
        <w:tabs>
          <w:tab w:val="clear" w:pos="1247"/>
          <w:tab w:val="clear" w:pos="1814"/>
          <w:tab w:val="clear" w:pos="2381"/>
          <w:tab w:val="clear" w:pos="2948"/>
          <w:tab w:val="clear" w:pos="3515"/>
          <w:tab w:val="clear" w:pos="4082"/>
        </w:tabs>
        <w:rPr>
          <w:rFonts w:ascii="Arial" w:hAnsi="Arial" w:cs="Arial"/>
          <w:lang w:val="en-GB"/>
        </w:rPr>
      </w:pPr>
      <w:r w:rsidRPr="00D548CF">
        <w:rPr>
          <w:rFonts w:ascii="Arial" w:hAnsi="Arial" w:cs="Arial"/>
          <w:i/>
          <w:lang w:val="en-GB"/>
        </w:rPr>
        <w:t>Decides</w:t>
      </w:r>
      <w:r w:rsidRPr="00D548CF">
        <w:rPr>
          <w:rFonts w:ascii="Arial" w:hAnsi="Arial" w:cs="Arial"/>
          <w:lang w:val="en-GB"/>
        </w:rPr>
        <w:t xml:space="preserve"> to amend part I of Annex A to the Stockholm Convention on Persistent Organic Pollutants to list therein hexabromocyclododecane, with specific exemptions for production as allowed for the parties listed in the register of specific exemptions and for use in expanded polystyrene and extruded polystyrene in buildings by inserting the following row:</w:t>
      </w:r>
    </w:p>
    <w:p w14:paraId="79E19527" w14:textId="77777777" w:rsidR="0042751E" w:rsidRPr="00D548CF" w:rsidRDefault="0042751E" w:rsidP="0042751E">
      <w:pPr>
        <w:pStyle w:val="Normal-pool"/>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4"/>
        <w:gridCol w:w="1620"/>
        <w:gridCol w:w="3366"/>
      </w:tblGrid>
      <w:tr w:rsidR="0042751E" w:rsidRPr="00D548CF" w14:paraId="39DF5CC1" w14:textId="77777777" w:rsidTr="00BE3A18">
        <w:trPr>
          <w:cantSplit/>
        </w:trPr>
        <w:tc>
          <w:tcPr>
            <w:tcW w:w="2684" w:type="dxa"/>
            <w:tcBorders>
              <w:top w:val="single" w:sz="4" w:space="0" w:color="auto"/>
              <w:bottom w:val="single" w:sz="4" w:space="0" w:color="auto"/>
              <w:right w:val="single" w:sz="4" w:space="0" w:color="auto"/>
            </w:tcBorders>
            <w:shd w:val="clear" w:color="auto" w:fill="E6E6E6"/>
          </w:tcPr>
          <w:p w14:paraId="5E23F985"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 xml:space="preserve">Chemical </w:t>
            </w:r>
          </w:p>
        </w:tc>
        <w:tc>
          <w:tcPr>
            <w:tcW w:w="1620" w:type="dxa"/>
            <w:tcBorders>
              <w:top w:val="single" w:sz="4" w:space="0" w:color="auto"/>
              <w:left w:val="single" w:sz="4" w:space="0" w:color="auto"/>
              <w:bottom w:val="single" w:sz="4" w:space="0" w:color="auto"/>
              <w:right w:val="single" w:sz="4" w:space="0" w:color="auto"/>
            </w:tcBorders>
            <w:shd w:val="clear" w:color="auto" w:fill="E6E6E6"/>
          </w:tcPr>
          <w:p w14:paraId="25284300"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Activity</w:t>
            </w:r>
          </w:p>
        </w:tc>
        <w:tc>
          <w:tcPr>
            <w:tcW w:w="3366" w:type="dxa"/>
            <w:tcBorders>
              <w:top w:val="single" w:sz="4" w:space="0" w:color="auto"/>
              <w:left w:val="single" w:sz="4" w:space="0" w:color="auto"/>
              <w:bottom w:val="single" w:sz="4" w:space="0" w:color="auto"/>
            </w:tcBorders>
            <w:shd w:val="clear" w:color="auto" w:fill="E6E6E6"/>
          </w:tcPr>
          <w:p w14:paraId="149F2F1E"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Specific exemption</w:t>
            </w:r>
          </w:p>
        </w:tc>
      </w:tr>
      <w:tr w:rsidR="0042751E" w:rsidRPr="00D548CF" w14:paraId="248C0D34" w14:textId="77777777" w:rsidTr="00BE3A18">
        <w:trPr>
          <w:cantSplit/>
        </w:trPr>
        <w:tc>
          <w:tcPr>
            <w:tcW w:w="2684" w:type="dxa"/>
            <w:vMerge w:val="restart"/>
            <w:tcBorders>
              <w:top w:val="single" w:sz="4" w:space="0" w:color="auto"/>
              <w:bottom w:val="single" w:sz="4" w:space="0" w:color="auto"/>
              <w:right w:val="single" w:sz="4" w:space="0" w:color="auto"/>
            </w:tcBorders>
          </w:tcPr>
          <w:p w14:paraId="48F61D32"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 xml:space="preserve">Hexabromocyclododecane </w:t>
            </w:r>
          </w:p>
        </w:tc>
        <w:tc>
          <w:tcPr>
            <w:tcW w:w="1620" w:type="dxa"/>
            <w:tcBorders>
              <w:top w:val="single" w:sz="4" w:space="0" w:color="auto"/>
              <w:left w:val="single" w:sz="4" w:space="0" w:color="auto"/>
              <w:bottom w:val="single" w:sz="4" w:space="0" w:color="auto"/>
              <w:right w:val="single" w:sz="4" w:space="0" w:color="auto"/>
            </w:tcBorders>
          </w:tcPr>
          <w:p w14:paraId="24CAF323"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 xml:space="preserve">Production </w:t>
            </w:r>
          </w:p>
        </w:tc>
        <w:tc>
          <w:tcPr>
            <w:tcW w:w="3366" w:type="dxa"/>
            <w:tcBorders>
              <w:top w:val="single" w:sz="4" w:space="0" w:color="auto"/>
              <w:left w:val="single" w:sz="4" w:space="0" w:color="auto"/>
              <w:bottom w:val="single" w:sz="4" w:space="0" w:color="auto"/>
            </w:tcBorders>
          </w:tcPr>
          <w:p w14:paraId="18DE55BE"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As allowed for the parties listed in the Register in accordance with the provisions of Part VII of this Annex</w:t>
            </w:r>
          </w:p>
        </w:tc>
      </w:tr>
      <w:tr w:rsidR="0042751E" w:rsidRPr="00D548CF" w14:paraId="259676B9" w14:textId="77777777" w:rsidTr="00BE3A18">
        <w:trPr>
          <w:cantSplit/>
        </w:trPr>
        <w:tc>
          <w:tcPr>
            <w:tcW w:w="2684" w:type="dxa"/>
            <w:vMerge/>
            <w:tcBorders>
              <w:top w:val="single" w:sz="4" w:space="0" w:color="auto"/>
              <w:bottom w:val="single" w:sz="4" w:space="0" w:color="auto"/>
              <w:right w:val="single" w:sz="4" w:space="0" w:color="auto"/>
            </w:tcBorders>
            <w:vAlign w:val="center"/>
          </w:tcPr>
          <w:p w14:paraId="2BE339B1" w14:textId="77777777" w:rsidR="0042751E" w:rsidRPr="00FE4033" w:rsidRDefault="0042751E" w:rsidP="00BE3A18">
            <w:pPr>
              <w:keepNext/>
              <w:spacing w:line="240" w:lineRule="exact"/>
              <w:rPr>
                <w:rFonts w:ascii="Arial" w:hAnsi="Arial" w:cs="Arial"/>
                <w:b/>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728FED0"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Use</w:t>
            </w:r>
          </w:p>
        </w:tc>
        <w:tc>
          <w:tcPr>
            <w:tcW w:w="3366" w:type="dxa"/>
            <w:tcBorders>
              <w:top w:val="single" w:sz="4" w:space="0" w:color="auto"/>
              <w:left w:val="single" w:sz="4" w:space="0" w:color="auto"/>
              <w:bottom w:val="single" w:sz="4" w:space="0" w:color="auto"/>
            </w:tcBorders>
          </w:tcPr>
          <w:p w14:paraId="0AC43E4B" w14:textId="77777777" w:rsidR="0042751E" w:rsidRPr="00FE4033" w:rsidRDefault="0042751E" w:rsidP="00BE3A18">
            <w:pPr>
              <w:pStyle w:val="Normal-pool"/>
              <w:keepNext/>
              <w:rPr>
                <w:rFonts w:ascii="Arial" w:hAnsi="Arial" w:cs="Arial"/>
                <w:sz w:val="18"/>
                <w:szCs w:val="18"/>
              </w:rPr>
            </w:pPr>
            <w:r w:rsidRPr="00FE4033">
              <w:rPr>
                <w:rFonts w:ascii="Arial" w:hAnsi="Arial" w:cs="Arial"/>
                <w:sz w:val="18"/>
                <w:szCs w:val="18"/>
              </w:rPr>
              <w:t>Expanded polystyrene and extruded polystyrene in buildings in accordance with the provisions of Part VII of this Annex</w:t>
            </w:r>
          </w:p>
        </w:tc>
      </w:tr>
    </w:tbl>
    <w:p w14:paraId="185568E2" w14:textId="77777777" w:rsidR="0042751E" w:rsidRPr="00D548CF" w:rsidRDefault="0042751E" w:rsidP="0042751E">
      <w:pPr>
        <w:pStyle w:val="Normal-pool"/>
        <w:rPr>
          <w:rFonts w:ascii="Arial" w:hAnsi="Arial" w:cs="Arial"/>
        </w:rPr>
      </w:pPr>
    </w:p>
    <w:p w14:paraId="1FA55921" w14:textId="77777777" w:rsidR="0042751E" w:rsidRPr="00D548CF" w:rsidRDefault="0042751E" w:rsidP="00090036">
      <w:pPr>
        <w:pStyle w:val="Normalnumber"/>
        <w:numPr>
          <w:ilvl w:val="0"/>
          <w:numId w:val="19"/>
        </w:numPr>
        <w:tabs>
          <w:tab w:val="clear" w:pos="1247"/>
          <w:tab w:val="clear" w:pos="1814"/>
          <w:tab w:val="clear" w:pos="2381"/>
          <w:tab w:val="clear" w:pos="2948"/>
          <w:tab w:val="clear" w:pos="3515"/>
          <w:tab w:val="clear" w:pos="4082"/>
        </w:tabs>
        <w:rPr>
          <w:rFonts w:ascii="Arial" w:hAnsi="Arial" w:cs="Arial"/>
          <w:lang w:val="en-GB"/>
        </w:rPr>
      </w:pPr>
      <w:r w:rsidRPr="00D548CF">
        <w:rPr>
          <w:rFonts w:ascii="Arial" w:hAnsi="Arial" w:cs="Arial"/>
          <w:i/>
          <w:lang w:val="en-GB"/>
        </w:rPr>
        <w:t xml:space="preserve">Also decides </w:t>
      </w:r>
      <w:r w:rsidRPr="00D548CF">
        <w:rPr>
          <w:rFonts w:ascii="Arial" w:hAnsi="Arial" w:cs="Arial"/>
          <w:lang w:val="en-GB"/>
        </w:rPr>
        <w:t xml:space="preserve">to insert a definition for hexabromocyclododecane in part III of Annex A as follows: </w:t>
      </w:r>
    </w:p>
    <w:p w14:paraId="25591537" w14:textId="77777777" w:rsidR="0042751E" w:rsidRPr="00D548CF" w:rsidRDefault="0042751E" w:rsidP="0042751E">
      <w:pPr>
        <w:pStyle w:val="Normal-pool"/>
        <w:spacing w:after="120"/>
        <w:ind w:left="2495"/>
        <w:rPr>
          <w:rFonts w:ascii="Arial" w:hAnsi="Arial" w:cs="Arial"/>
        </w:rPr>
      </w:pPr>
      <w:r w:rsidRPr="00D548CF">
        <w:rPr>
          <w:rFonts w:ascii="Arial" w:hAnsi="Arial" w:cs="Arial"/>
        </w:rPr>
        <w:t xml:space="preserve"> “(c)</w:t>
      </w:r>
      <w:r w:rsidRPr="00D548CF">
        <w:rPr>
          <w:rFonts w:ascii="Arial" w:hAnsi="Arial" w:cs="Arial"/>
        </w:rPr>
        <w:tab/>
        <w:t>“Hexabromocyclododecane” means hexabromocyclododecane (CAS No: 25637</w:t>
      </w:r>
      <w:r w:rsidRPr="00D548CF">
        <w:rPr>
          <w:rFonts w:ascii="Arial" w:hAnsi="Arial" w:cs="Arial"/>
        </w:rPr>
        <w:noBreakHyphen/>
        <w:t>99-4), 1,2,5,6,9,10-hexabromocyclododecane (CAS No: 3194-55-6) and its main diastereoisomers: alpha- hexabromocyclododecane (CAS No: 134237</w:t>
      </w:r>
      <w:r w:rsidRPr="00D548CF">
        <w:rPr>
          <w:rFonts w:ascii="Arial" w:hAnsi="Arial" w:cs="Arial"/>
        </w:rPr>
        <w:noBreakHyphen/>
        <w:t>50</w:t>
      </w:r>
      <w:r w:rsidRPr="00D548CF">
        <w:rPr>
          <w:rFonts w:ascii="Arial" w:hAnsi="Arial" w:cs="Arial"/>
        </w:rPr>
        <w:noBreakHyphen/>
        <w:t>6); beta-hexabromocyclododecane (CAS No: 134237-51-7); and gamma</w:t>
      </w:r>
      <w:r w:rsidRPr="00D548CF">
        <w:rPr>
          <w:rFonts w:ascii="Arial" w:hAnsi="Arial" w:cs="Arial"/>
        </w:rPr>
        <w:noBreakHyphen/>
        <w:t>hexabromocyclododecane (CAS No: 134237-52-8).”</w:t>
      </w:r>
    </w:p>
    <w:p w14:paraId="658FAABB" w14:textId="77777777" w:rsidR="0042751E" w:rsidRPr="00D548CF" w:rsidRDefault="0042751E" w:rsidP="00090036">
      <w:pPr>
        <w:pStyle w:val="Normalnumber"/>
        <w:numPr>
          <w:ilvl w:val="0"/>
          <w:numId w:val="19"/>
        </w:numPr>
        <w:tabs>
          <w:tab w:val="clear" w:pos="1247"/>
          <w:tab w:val="clear" w:pos="1814"/>
          <w:tab w:val="clear" w:pos="2381"/>
          <w:tab w:val="clear" w:pos="2948"/>
          <w:tab w:val="clear" w:pos="3515"/>
          <w:tab w:val="clear" w:pos="4082"/>
        </w:tabs>
        <w:rPr>
          <w:rFonts w:ascii="Arial" w:hAnsi="Arial" w:cs="Arial"/>
          <w:i/>
          <w:lang w:val="en-GB"/>
        </w:rPr>
      </w:pPr>
      <w:r w:rsidRPr="00D548CF">
        <w:rPr>
          <w:rFonts w:ascii="Arial" w:hAnsi="Arial" w:cs="Arial"/>
          <w:i/>
          <w:lang w:val="en-GB"/>
        </w:rPr>
        <w:t>Further decides</w:t>
      </w:r>
      <w:r w:rsidRPr="00D548CF">
        <w:rPr>
          <w:rFonts w:ascii="Arial" w:hAnsi="Arial" w:cs="Arial"/>
          <w:lang w:val="en-GB"/>
        </w:rPr>
        <w:t xml:space="preserve"> to insert a new part VII in Annex A as follows:</w:t>
      </w:r>
      <w:r w:rsidRPr="00D548CF">
        <w:rPr>
          <w:rFonts w:ascii="Arial" w:hAnsi="Arial" w:cs="Arial"/>
          <w:i/>
          <w:lang w:val="en-GB"/>
        </w:rPr>
        <w:t xml:space="preserve"> </w:t>
      </w:r>
    </w:p>
    <w:p w14:paraId="5395BA46" w14:textId="77777777" w:rsidR="0042751E" w:rsidRPr="00D548CF" w:rsidRDefault="0042751E" w:rsidP="0042751E">
      <w:pPr>
        <w:pStyle w:val="Normal-pool"/>
        <w:keepNext/>
        <w:keepLines/>
        <w:tabs>
          <w:tab w:val="clear" w:pos="1814"/>
          <w:tab w:val="left" w:pos="1276"/>
        </w:tabs>
        <w:spacing w:after="120"/>
        <w:ind w:left="1276"/>
        <w:jc w:val="center"/>
        <w:rPr>
          <w:rFonts w:ascii="Arial" w:hAnsi="Arial" w:cs="Arial"/>
          <w:b/>
        </w:rPr>
      </w:pPr>
      <w:r w:rsidRPr="00D548CF">
        <w:rPr>
          <w:rFonts w:ascii="Arial" w:hAnsi="Arial" w:cs="Arial"/>
          <w:b/>
        </w:rPr>
        <w:t>Part VII</w:t>
      </w:r>
    </w:p>
    <w:p w14:paraId="3217F050" w14:textId="77777777" w:rsidR="0042751E" w:rsidRPr="00D548CF" w:rsidRDefault="0042751E" w:rsidP="0042751E">
      <w:pPr>
        <w:pStyle w:val="Normal-pool"/>
        <w:keepNext/>
        <w:keepLines/>
        <w:spacing w:after="120"/>
        <w:ind w:left="1276"/>
        <w:jc w:val="center"/>
        <w:rPr>
          <w:rFonts w:ascii="Arial" w:hAnsi="Arial" w:cs="Arial"/>
          <w:b/>
        </w:rPr>
      </w:pPr>
      <w:r w:rsidRPr="00D548CF">
        <w:rPr>
          <w:rFonts w:ascii="Arial" w:hAnsi="Arial" w:cs="Arial"/>
          <w:b/>
        </w:rPr>
        <w:t>Hexabromocyclododecane</w:t>
      </w:r>
    </w:p>
    <w:p w14:paraId="5B6B0195" w14:textId="77777777" w:rsidR="0042751E" w:rsidRPr="00D548CF" w:rsidRDefault="0042751E" w:rsidP="0042751E">
      <w:pPr>
        <w:pStyle w:val="NormalNonumber"/>
        <w:tabs>
          <w:tab w:val="clear" w:pos="1247"/>
          <w:tab w:val="clear" w:pos="1814"/>
          <w:tab w:val="clear" w:pos="2381"/>
          <w:tab w:val="clear" w:pos="2948"/>
          <w:tab w:val="clear" w:pos="3515"/>
          <w:tab w:val="left" w:pos="624"/>
        </w:tabs>
        <w:ind w:left="1871" w:firstLine="624"/>
        <w:rPr>
          <w:rFonts w:ascii="Arial" w:hAnsi="Arial" w:cs="Arial"/>
        </w:rPr>
      </w:pPr>
      <w:r w:rsidRPr="00D548CF">
        <w:rPr>
          <w:rFonts w:ascii="Arial" w:hAnsi="Arial" w:cs="Arial"/>
        </w:rPr>
        <w:t>Each Party that has registered for the exemption pursuant to Article 4 for the production and use of hexabromocyclododecane for expanded polystyrene and extruded polystyrene in buildings shall take necessary measures to ensure that expanded polystyrene and extruded polystyrene</w:t>
      </w:r>
      <w:r w:rsidRPr="00D548CF" w:rsidDel="00DB5318">
        <w:rPr>
          <w:rFonts w:ascii="Arial" w:hAnsi="Arial" w:cs="Arial"/>
        </w:rPr>
        <w:t xml:space="preserve"> </w:t>
      </w:r>
      <w:r w:rsidRPr="00D548CF">
        <w:rPr>
          <w:rFonts w:ascii="Arial" w:hAnsi="Arial" w:cs="Arial"/>
        </w:rPr>
        <w:t>containing hexabromocyclododecane can be easily identified by labelling or other means throughout its life cycle.</w:t>
      </w:r>
    </w:p>
    <w:p w14:paraId="332886C6" w14:textId="77777777" w:rsidR="0042751E" w:rsidRPr="00D548CF" w:rsidRDefault="0042751E" w:rsidP="0042751E">
      <w:pPr>
        <w:rPr>
          <w:rFonts w:ascii="Arial" w:hAnsi="Arial" w:cs="Arial"/>
          <w:lang w:val="x-none"/>
        </w:rPr>
      </w:pPr>
    </w:p>
    <w:p w14:paraId="632768B5" w14:textId="77777777" w:rsidR="004D60B5" w:rsidRDefault="004D60B5" w:rsidP="0042751E">
      <w:pPr>
        <w:pStyle w:val="Paralevel1"/>
        <w:numPr>
          <w:ilvl w:val="0"/>
          <w:numId w:val="0"/>
        </w:numPr>
        <w:rPr>
          <w:rFonts w:ascii="Arial" w:hAnsi="Arial" w:cs="Arial"/>
          <w:lang w:val="sl-SI"/>
        </w:rPr>
        <w:sectPr w:rsidR="004D60B5" w:rsidSect="00D66C83">
          <w:footnotePr>
            <w:numRestart w:val="eachSect"/>
          </w:footnotePr>
          <w:pgSz w:w="11906" w:h="16838"/>
          <w:pgMar w:top="1417" w:right="1417" w:bottom="1417" w:left="1417" w:header="708" w:footer="708" w:gutter="0"/>
          <w:cols w:space="708"/>
          <w:docGrid w:linePitch="360"/>
        </w:sectPr>
      </w:pPr>
    </w:p>
    <w:p w14:paraId="346AC815" w14:textId="1C938A25" w:rsidR="0042751E" w:rsidRPr="00D548CF" w:rsidRDefault="0042751E" w:rsidP="0042751E">
      <w:pPr>
        <w:pStyle w:val="Paralevel1"/>
        <w:numPr>
          <w:ilvl w:val="0"/>
          <w:numId w:val="0"/>
        </w:numPr>
        <w:rPr>
          <w:rFonts w:ascii="Arial" w:hAnsi="Arial" w:cs="Arial"/>
          <w:lang w:val="sl-SI"/>
        </w:rPr>
      </w:pPr>
    </w:p>
    <w:p w14:paraId="6D4C714C" w14:textId="77777777" w:rsidR="0042751E" w:rsidRPr="00D548CF" w:rsidRDefault="0042751E" w:rsidP="0042751E">
      <w:pPr>
        <w:spacing w:after="120"/>
        <w:ind w:left="1247"/>
        <w:rPr>
          <w:rFonts w:ascii="Arial" w:hAnsi="Arial" w:cs="Arial"/>
          <w:b/>
          <w:sz w:val="28"/>
          <w:szCs w:val="28"/>
        </w:rPr>
      </w:pPr>
      <w:r w:rsidRPr="00D548CF">
        <w:rPr>
          <w:rFonts w:ascii="Arial" w:hAnsi="Arial" w:cs="Arial"/>
          <w:b/>
          <w:sz w:val="28"/>
          <w:szCs w:val="28"/>
        </w:rPr>
        <w:t>SC-7/12: Listing of hexachlorobutadiene</w:t>
      </w:r>
    </w:p>
    <w:p w14:paraId="28A35FA8" w14:textId="77777777" w:rsidR="0042751E" w:rsidRPr="00D548CF" w:rsidRDefault="0042751E" w:rsidP="0042751E">
      <w:pPr>
        <w:tabs>
          <w:tab w:val="left" w:pos="624"/>
        </w:tabs>
        <w:autoSpaceDE w:val="0"/>
        <w:autoSpaceDN w:val="0"/>
        <w:adjustRightInd w:val="0"/>
        <w:spacing w:after="120"/>
        <w:ind w:left="1247" w:firstLine="624"/>
        <w:rPr>
          <w:rFonts w:ascii="Arial" w:hAnsi="Arial" w:cs="Arial"/>
          <w:i/>
          <w:iCs/>
          <w:sz w:val="20"/>
          <w:lang w:val="en-US"/>
        </w:rPr>
      </w:pPr>
      <w:r w:rsidRPr="00D548CF">
        <w:rPr>
          <w:rFonts w:ascii="Arial" w:hAnsi="Arial" w:cs="Arial"/>
          <w:i/>
          <w:iCs/>
          <w:sz w:val="20"/>
          <w:lang w:val="en-US"/>
        </w:rPr>
        <w:t xml:space="preserve">The </w:t>
      </w:r>
      <w:r w:rsidRPr="00D548CF">
        <w:rPr>
          <w:rFonts w:ascii="Arial" w:hAnsi="Arial" w:cs="Arial"/>
          <w:i/>
          <w:sz w:val="20"/>
          <w:lang w:val="en-US"/>
        </w:rPr>
        <w:t>Conference</w:t>
      </w:r>
      <w:r w:rsidRPr="00D548CF">
        <w:rPr>
          <w:rFonts w:ascii="Arial" w:hAnsi="Arial" w:cs="Arial"/>
          <w:i/>
          <w:iCs/>
          <w:sz w:val="20"/>
          <w:lang w:val="en-US"/>
        </w:rPr>
        <w:t xml:space="preserve"> of the Parties,</w:t>
      </w:r>
    </w:p>
    <w:p w14:paraId="1E997664" w14:textId="77777777" w:rsidR="0042751E" w:rsidRPr="00D548CF" w:rsidRDefault="0042751E" w:rsidP="0042751E">
      <w:pPr>
        <w:tabs>
          <w:tab w:val="left" w:pos="624"/>
        </w:tabs>
        <w:autoSpaceDE w:val="0"/>
        <w:autoSpaceDN w:val="0"/>
        <w:adjustRightInd w:val="0"/>
        <w:spacing w:after="120"/>
        <w:ind w:left="1247" w:firstLine="624"/>
        <w:rPr>
          <w:rFonts w:ascii="Arial" w:hAnsi="Arial" w:cs="Arial"/>
          <w:sz w:val="20"/>
          <w:lang w:val="en-US"/>
        </w:rPr>
      </w:pPr>
      <w:r w:rsidRPr="00D548CF">
        <w:rPr>
          <w:rFonts w:ascii="Arial" w:hAnsi="Arial" w:cs="Arial"/>
          <w:i/>
          <w:sz w:val="20"/>
          <w:lang w:val="en-US"/>
        </w:rPr>
        <w:t>Having considered</w:t>
      </w:r>
      <w:r w:rsidRPr="00D548CF">
        <w:rPr>
          <w:rFonts w:ascii="Arial" w:hAnsi="Arial" w:cs="Arial"/>
          <w:sz w:val="20"/>
          <w:lang w:val="en-US"/>
        </w:rPr>
        <w:t xml:space="preserve"> the risk profile and the risk management evaluation for hexachlorobutadiene as transmitted by the Persistent Organic Pollutants Review Committee,</w:t>
      </w:r>
      <w:r w:rsidRPr="00D548CF">
        <w:rPr>
          <w:rFonts w:ascii="Arial" w:hAnsi="Arial" w:cs="Arial"/>
          <w:sz w:val="20"/>
          <w:szCs w:val="18"/>
          <w:vertAlign w:val="superscript"/>
          <w:lang w:val="en-US"/>
        </w:rPr>
        <w:footnoteReference w:id="23"/>
      </w:r>
    </w:p>
    <w:p w14:paraId="005FA350" w14:textId="77777777" w:rsidR="0042751E" w:rsidRPr="00D548CF" w:rsidRDefault="0042751E" w:rsidP="0042751E">
      <w:pPr>
        <w:tabs>
          <w:tab w:val="left" w:pos="624"/>
        </w:tabs>
        <w:autoSpaceDE w:val="0"/>
        <w:autoSpaceDN w:val="0"/>
        <w:adjustRightInd w:val="0"/>
        <w:spacing w:after="120"/>
        <w:ind w:left="1247" w:firstLine="624"/>
        <w:rPr>
          <w:rFonts w:ascii="Arial" w:hAnsi="Arial" w:cs="Arial"/>
          <w:sz w:val="20"/>
          <w:lang w:val="en-US"/>
        </w:rPr>
      </w:pPr>
      <w:r w:rsidRPr="00D548CF">
        <w:rPr>
          <w:rFonts w:ascii="Arial" w:hAnsi="Arial" w:cs="Arial"/>
          <w:i/>
          <w:sz w:val="20"/>
          <w:lang w:val="en-US"/>
        </w:rPr>
        <w:t>Taking note</w:t>
      </w:r>
      <w:r w:rsidRPr="00D548CF">
        <w:rPr>
          <w:rFonts w:ascii="Arial" w:hAnsi="Arial" w:cs="Arial"/>
          <w:sz w:val="20"/>
          <w:lang w:val="en-US"/>
        </w:rPr>
        <w:t xml:space="preserve"> of the recommendation by the Persistent Organic Pollutants Review Committee to list hexachlorobutadiene in Annexes A and C to the Convention,</w:t>
      </w:r>
      <w:r w:rsidRPr="00D548CF">
        <w:rPr>
          <w:rFonts w:ascii="Arial" w:hAnsi="Arial" w:cs="Arial"/>
          <w:sz w:val="20"/>
          <w:vertAlign w:val="superscript"/>
          <w:lang w:val="en-US"/>
        </w:rPr>
        <w:footnoteReference w:id="24"/>
      </w:r>
    </w:p>
    <w:p w14:paraId="7008E463" w14:textId="77777777" w:rsidR="0042751E" w:rsidRPr="00D548CF" w:rsidRDefault="0042751E" w:rsidP="0042751E">
      <w:pPr>
        <w:tabs>
          <w:tab w:val="left" w:pos="624"/>
        </w:tabs>
        <w:autoSpaceDE w:val="0"/>
        <w:autoSpaceDN w:val="0"/>
        <w:adjustRightInd w:val="0"/>
        <w:spacing w:after="120"/>
        <w:ind w:left="1247"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to the Stockholm Convention on Persistent Organic Pollutants to list hexachlorobutadiene therein without specific exemptions by inserting the following row:</w:t>
      </w:r>
    </w:p>
    <w:tbl>
      <w:tblPr>
        <w:tblW w:w="8222" w:type="dxa"/>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0"/>
        <w:gridCol w:w="2091"/>
        <w:gridCol w:w="1951"/>
      </w:tblGrid>
      <w:tr w:rsidR="0042751E" w:rsidRPr="00D548CF" w14:paraId="716DF1DE" w14:textId="77777777" w:rsidTr="00BE3A18">
        <w:tc>
          <w:tcPr>
            <w:tcW w:w="4180" w:type="dxa"/>
            <w:tcBorders>
              <w:top w:val="single" w:sz="4" w:space="0" w:color="auto"/>
              <w:left w:val="single" w:sz="4" w:space="0" w:color="auto"/>
              <w:bottom w:val="single" w:sz="4" w:space="0" w:color="auto"/>
              <w:right w:val="single" w:sz="4" w:space="0" w:color="auto"/>
            </w:tcBorders>
            <w:shd w:val="clear" w:color="auto" w:fill="auto"/>
          </w:tcPr>
          <w:p w14:paraId="202EB03D"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 xml:space="preserve"> Chemical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A2BE934"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Activity</w:t>
            </w: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419E4FF3"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Specific exemption</w:t>
            </w:r>
          </w:p>
        </w:tc>
      </w:tr>
      <w:tr w:rsidR="0042751E" w:rsidRPr="00D548CF" w14:paraId="6A117853" w14:textId="77777777" w:rsidTr="00BE3A18">
        <w:tc>
          <w:tcPr>
            <w:tcW w:w="4180" w:type="dxa"/>
            <w:vMerge w:val="restart"/>
            <w:tcBorders>
              <w:top w:val="single" w:sz="4" w:space="0" w:color="auto"/>
              <w:left w:val="single" w:sz="4" w:space="0" w:color="auto"/>
              <w:bottom w:val="single" w:sz="4" w:space="0" w:color="auto"/>
              <w:right w:val="single" w:sz="4" w:space="0" w:color="auto"/>
            </w:tcBorders>
            <w:shd w:val="clear" w:color="auto" w:fill="auto"/>
          </w:tcPr>
          <w:p w14:paraId="21E4D4A0" w14:textId="77777777" w:rsidR="0042751E" w:rsidRPr="00FE4033" w:rsidRDefault="0042751E" w:rsidP="00BE3A18">
            <w:pPr>
              <w:suppressAutoHyphens/>
              <w:rPr>
                <w:rFonts w:ascii="Arial" w:hAnsi="Arial" w:cs="Arial"/>
                <w:sz w:val="18"/>
                <w:szCs w:val="20"/>
              </w:rPr>
            </w:pPr>
            <w:r w:rsidRPr="00FE4033">
              <w:rPr>
                <w:rFonts w:ascii="Arial" w:hAnsi="Arial" w:cs="Arial"/>
                <w:sz w:val="18"/>
                <w:szCs w:val="20"/>
              </w:rPr>
              <w:t>Hexachlorobutadiene</w:t>
            </w:r>
          </w:p>
          <w:p w14:paraId="62BDC515" w14:textId="77777777" w:rsidR="0042751E" w:rsidRPr="00FE4033" w:rsidRDefault="0042751E" w:rsidP="00BE3A18">
            <w:pPr>
              <w:suppressAutoHyphens/>
              <w:rPr>
                <w:rFonts w:ascii="Arial" w:hAnsi="Arial" w:cs="Arial"/>
                <w:sz w:val="18"/>
                <w:szCs w:val="20"/>
              </w:rPr>
            </w:pPr>
            <w:r w:rsidRPr="00FE4033">
              <w:rPr>
                <w:rFonts w:ascii="Arial" w:hAnsi="Arial" w:cs="Arial"/>
                <w:sz w:val="18"/>
                <w:szCs w:val="20"/>
              </w:rPr>
              <w:t>(CAS No: 87-68-3)</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3E90FF"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Production </w:t>
            </w: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6C4D3C5C"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None </w:t>
            </w:r>
          </w:p>
        </w:tc>
      </w:tr>
      <w:tr w:rsidR="0042751E" w:rsidRPr="00D548CF" w14:paraId="3039E51F" w14:textId="77777777" w:rsidTr="00BE3A18">
        <w:tc>
          <w:tcPr>
            <w:tcW w:w="41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1FF5D" w14:textId="77777777" w:rsidR="0042751E" w:rsidRPr="00FE4033" w:rsidRDefault="0042751E" w:rsidP="00BE3A18">
            <w:pPr>
              <w:spacing w:line="240" w:lineRule="exact"/>
              <w:rPr>
                <w:rFonts w:ascii="Arial" w:hAnsi="Arial" w:cs="Arial"/>
                <w:b/>
                <w:sz w:val="18"/>
                <w:szCs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EE6C3F"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Use</w:t>
            </w:r>
          </w:p>
        </w:tc>
        <w:tc>
          <w:tcPr>
            <w:tcW w:w="1951" w:type="dxa"/>
            <w:tcBorders>
              <w:top w:val="single" w:sz="4" w:space="0" w:color="auto"/>
              <w:left w:val="single" w:sz="4" w:space="0" w:color="auto"/>
              <w:bottom w:val="single" w:sz="4" w:space="0" w:color="auto"/>
              <w:right w:val="single" w:sz="4" w:space="0" w:color="auto"/>
            </w:tcBorders>
            <w:shd w:val="clear" w:color="auto" w:fill="auto"/>
          </w:tcPr>
          <w:p w14:paraId="6EBBA871"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None</w:t>
            </w:r>
          </w:p>
        </w:tc>
      </w:tr>
    </w:tbl>
    <w:p w14:paraId="3817A9A8" w14:textId="77777777" w:rsidR="0042751E" w:rsidRPr="00D548CF" w:rsidRDefault="0042751E" w:rsidP="0042751E">
      <w:pPr>
        <w:pStyle w:val="Normal-pool"/>
        <w:rPr>
          <w:rFonts w:ascii="Arial" w:hAnsi="Arial" w:cs="Arial"/>
        </w:rPr>
      </w:pPr>
    </w:p>
    <w:p w14:paraId="7ED4723C" w14:textId="77777777" w:rsidR="0042751E" w:rsidRPr="00D548CF" w:rsidRDefault="0042751E" w:rsidP="0042751E">
      <w:pPr>
        <w:rPr>
          <w:rFonts w:ascii="Arial" w:hAnsi="Arial" w:cs="Arial"/>
        </w:rPr>
      </w:pPr>
    </w:p>
    <w:p w14:paraId="05C2449F" w14:textId="77777777" w:rsidR="0042751E" w:rsidRPr="00D548CF" w:rsidRDefault="0042751E" w:rsidP="0042751E">
      <w:pPr>
        <w:tabs>
          <w:tab w:val="left" w:pos="624"/>
        </w:tabs>
        <w:spacing w:after="120"/>
        <w:ind w:left="1247"/>
        <w:rPr>
          <w:rFonts w:ascii="Arial" w:hAnsi="Arial" w:cs="Arial"/>
          <w:b/>
          <w:sz w:val="28"/>
          <w:szCs w:val="28"/>
        </w:rPr>
      </w:pPr>
      <w:r w:rsidRPr="00D548CF">
        <w:rPr>
          <w:rFonts w:ascii="Arial" w:hAnsi="Arial" w:cs="Arial"/>
          <w:b/>
          <w:sz w:val="28"/>
          <w:szCs w:val="28"/>
        </w:rPr>
        <w:t xml:space="preserve">SC-7/13: Listing of pentachlorophenol and its salts and esters </w:t>
      </w:r>
    </w:p>
    <w:p w14:paraId="08CF49B4" w14:textId="77777777" w:rsidR="0042751E" w:rsidRPr="00D548CF" w:rsidRDefault="0042751E" w:rsidP="0042751E">
      <w:pPr>
        <w:autoSpaceDE w:val="0"/>
        <w:autoSpaceDN w:val="0"/>
        <w:adjustRightInd w:val="0"/>
        <w:spacing w:after="120"/>
        <w:ind w:left="1247" w:firstLine="624"/>
        <w:rPr>
          <w:rFonts w:ascii="Arial" w:hAnsi="Arial" w:cs="Arial"/>
          <w:i/>
          <w:iCs/>
          <w:sz w:val="20"/>
          <w:lang w:val="en-US"/>
        </w:rPr>
      </w:pPr>
      <w:r w:rsidRPr="00D548CF">
        <w:rPr>
          <w:rFonts w:ascii="Arial" w:hAnsi="Arial" w:cs="Arial"/>
          <w:i/>
          <w:iCs/>
          <w:sz w:val="20"/>
          <w:lang w:val="en-US"/>
        </w:rPr>
        <w:t>The Conference of the Parties,</w:t>
      </w:r>
    </w:p>
    <w:p w14:paraId="134B2BE0" w14:textId="77777777" w:rsidR="0042751E" w:rsidRPr="00D548CF" w:rsidRDefault="0042751E" w:rsidP="0042751E">
      <w:pPr>
        <w:autoSpaceDE w:val="0"/>
        <w:autoSpaceDN w:val="0"/>
        <w:adjustRightInd w:val="0"/>
        <w:spacing w:after="120"/>
        <w:ind w:left="1247" w:firstLine="624"/>
        <w:rPr>
          <w:rFonts w:ascii="Arial" w:hAnsi="Arial" w:cs="Arial"/>
          <w:sz w:val="20"/>
          <w:lang w:val="en-US"/>
        </w:rPr>
      </w:pPr>
      <w:r w:rsidRPr="00D548CF">
        <w:rPr>
          <w:rFonts w:ascii="Arial" w:hAnsi="Arial" w:cs="Arial"/>
          <w:i/>
          <w:sz w:val="20"/>
          <w:lang w:val="en-US"/>
        </w:rPr>
        <w:t>Having considered</w:t>
      </w:r>
      <w:r w:rsidRPr="00D548CF">
        <w:rPr>
          <w:rFonts w:ascii="Arial" w:hAnsi="Arial" w:cs="Arial"/>
          <w:sz w:val="20"/>
          <w:lang w:val="en-US"/>
        </w:rPr>
        <w:t xml:space="preserve"> the risk profile and the risk management evaluation for </w:t>
      </w:r>
      <w:r w:rsidRPr="00D548CF">
        <w:rPr>
          <w:rFonts w:ascii="Arial" w:hAnsi="Arial" w:cs="Arial"/>
          <w:sz w:val="20"/>
        </w:rPr>
        <w:t>pentachlorophenol and its salts and esters</w:t>
      </w:r>
      <w:r w:rsidRPr="00D548CF">
        <w:rPr>
          <w:rFonts w:ascii="Arial" w:hAnsi="Arial" w:cs="Arial"/>
          <w:sz w:val="20"/>
          <w:lang w:val="en-US"/>
        </w:rPr>
        <w:t xml:space="preserve"> as transmitted by the Persistent Organic Pollutants Review Committee,</w:t>
      </w:r>
      <w:r w:rsidRPr="00D548CF">
        <w:rPr>
          <w:rFonts w:ascii="Arial" w:hAnsi="Arial" w:cs="Arial"/>
          <w:sz w:val="20"/>
          <w:szCs w:val="18"/>
          <w:vertAlign w:val="superscript"/>
          <w:lang w:val="en-US"/>
        </w:rPr>
        <w:footnoteReference w:id="25"/>
      </w:r>
    </w:p>
    <w:p w14:paraId="45DEEDAB" w14:textId="77777777" w:rsidR="0042751E" w:rsidRPr="00D548CF" w:rsidRDefault="0042751E" w:rsidP="0042751E">
      <w:pPr>
        <w:autoSpaceDE w:val="0"/>
        <w:autoSpaceDN w:val="0"/>
        <w:adjustRightInd w:val="0"/>
        <w:spacing w:after="120"/>
        <w:ind w:left="1247" w:firstLine="624"/>
        <w:rPr>
          <w:rFonts w:ascii="Arial" w:hAnsi="Arial" w:cs="Arial"/>
          <w:sz w:val="20"/>
          <w:lang w:val="en-US"/>
        </w:rPr>
      </w:pPr>
      <w:r w:rsidRPr="00D548CF">
        <w:rPr>
          <w:rFonts w:ascii="Arial" w:hAnsi="Arial" w:cs="Arial"/>
          <w:i/>
          <w:sz w:val="20"/>
          <w:lang w:val="en-US"/>
        </w:rPr>
        <w:t>Taking note</w:t>
      </w:r>
      <w:r w:rsidRPr="00D548CF">
        <w:rPr>
          <w:rFonts w:ascii="Arial" w:hAnsi="Arial" w:cs="Arial"/>
          <w:sz w:val="20"/>
          <w:lang w:val="en-US"/>
        </w:rPr>
        <w:t xml:space="preserve"> of the recommendation by the Persistent Organic Pollutants Review Committee to list pentachlorophenol</w:t>
      </w:r>
      <w:r w:rsidRPr="00D548CF">
        <w:rPr>
          <w:rFonts w:ascii="Arial" w:hAnsi="Arial" w:cs="Arial"/>
          <w:sz w:val="20"/>
        </w:rPr>
        <w:t xml:space="preserve"> and its </w:t>
      </w:r>
      <w:r w:rsidRPr="00D548CF">
        <w:rPr>
          <w:rFonts w:ascii="Arial" w:hAnsi="Arial" w:cs="Arial"/>
          <w:sz w:val="20"/>
          <w:lang w:val="en-US"/>
        </w:rPr>
        <w:t>salts</w:t>
      </w:r>
      <w:r w:rsidRPr="00D548CF">
        <w:rPr>
          <w:rFonts w:ascii="Arial" w:hAnsi="Arial" w:cs="Arial"/>
          <w:sz w:val="20"/>
        </w:rPr>
        <w:t xml:space="preserve"> and esters</w:t>
      </w:r>
      <w:r w:rsidRPr="00D548CF">
        <w:rPr>
          <w:rFonts w:ascii="Arial" w:hAnsi="Arial" w:cs="Arial"/>
        </w:rPr>
        <w:t xml:space="preserve"> </w:t>
      </w:r>
      <w:r w:rsidRPr="00D548CF">
        <w:rPr>
          <w:rFonts w:ascii="Arial" w:hAnsi="Arial" w:cs="Arial"/>
          <w:sz w:val="20"/>
          <w:lang w:val="en-US"/>
        </w:rPr>
        <w:t>in Annex A to the Convention with specific exemptions for the production and use of pentachlorophenol for utility poles and cross-arms,</w:t>
      </w:r>
      <w:r w:rsidRPr="00D548CF">
        <w:rPr>
          <w:rFonts w:ascii="Arial" w:hAnsi="Arial" w:cs="Arial"/>
          <w:sz w:val="20"/>
          <w:szCs w:val="18"/>
          <w:vertAlign w:val="superscript"/>
          <w:lang w:val="en-US"/>
        </w:rPr>
        <w:footnoteReference w:id="26"/>
      </w:r>
      <w:r w:rsidRPr="00D548CF">
        <w:rPr>
          <w:rFonts w:ascii="Arial" w:hAnsi="Arial" w:cs="Arial"/>
          <w:sz w:val="20"/>
          <w:lang w:val="en-US"/>
        </w:rPr>
        <w:t xml:space="preserve"> </w:t>
      </w:r>
    </w:p>
    <w:p w14:paraId="145082EE" w14:textId="77777777" w:rsidR="0042751E" w:rsidRPr="00D548CF" w:rsidRDefault="0042751E" w:rsidP="00090036">
      <w:pPr>
        <w:numPr>
          <w:ilvl w:val="0"/>
          <w:numId w:val="20"/>
        </w:numPr>
        <w:spacing w:after="120" w:line="240" w:lineRule="auto"/>
        <w:ind w:firstLine="624"/>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to the Stockholm Convention on Persistent Organic Pollutants to list pentachlorophenol and its salts and esters therein with specific exemptions for production as allowed for the parties listed in the </w:t>
      </w:r>
      <w:r w:rsidRPr="00D548CF">
        <w:rPr>
          <w:rFonts w:ascii="Arial" w:hAnsi="Arial" w:cs="Arial"/>
          <w:color w:val="000000"/>
          <w:sz w:val="20"/>
        </w:rPr>
        <w:t>register</w:t>
      </w:r>
      <w:r w:rsidRPr="00D548CF">
        <w:rPr>
          <w:rFonts w:ascii="Arial" w:hAnsi="Arial" w:cs="Arial"/>
          <w:sz w:val="20"/>
        </w:rPr>
        <w:t xml:space="preserve"> of specific exemptions and for the use of pentachlorophenol for utility poles and cross-arms by inserting the following row:</w:t>
      </w:r>
    </w:p>
    <w:tbl>
      <w:tblPr>
        <w:tblW w:w="0" w:type="auto"/>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276"/>
        <w:gridCol w:w="2977"/>
      </w:tblGrid>
      <w:tr w:rsidR="0042751E" w:rsidRPr="00D548CF" w14:paraId="008C1A72" w14:textId="77777777" w:rsidTr="00BE3A18">
        <w:tc>
          <w:tcPr>
            <w:tcW w:w="3969" w:type="dxa"/>
            <w:tcBorders>
              <w:top w:val="single" w:sz="4" w:space="0" w:color="auto"/>
              <w:left w:val="single" w:sz="4" w:space="0" w:color="auto"/>
              <w:bottom w:val="single" w:sz="4" w:space="0" w:color="auto"/>
              <w:right w:val="single" w:sz="4" w:space="0" w:color="auto"/>
            </w:tcBorders>
            <w:shd w:val="clear" w:color="auto" w:fill="FFFFFF"/>
          </w:tcPr>
          <w:p w14:paraId="6FBB94B6"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 xml:space="preserve"> Chemical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45096D"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Activity</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5873F17" w14:textId="77777777" w:rsidR="0042751E" w:rsidRPr="00FE4033" w:rsidRDefault="0042751E" w:rsidP="00BE3A18">
            <w:pPr>
              <w:keepNext/>
              <w:spacing w:line="240" w:lineRule="exact"/>
              <w:rPr>
                <w:rFonts w:ascii="Arial" w:hAnsi="Arial" w:cs="Arial"/>
                <w:sz w:val="18"/>
                <w:szCs w:val="20"/>
              </w:rPr>
            </w:pPr>
            <w:r w:rsidRPr="00FE4033">
              <w:rPr>
                <w:rFonts w:ascii="Arial" w:hAnsi="Arial" w:cs="Arial"/>
                <w:sz w:val="18"/>
                <w:szCs w:val="20"/>
              </w:rPr>
              <w:t>Specific exemption</w:t>
            </w:r>
          </w:p>
        </w:tc>
      </w:tr>
      <w:tr w:rsidR="0042751E" w:rsidRPr="00D548CF" w14:paraId="7EB42774" w14:textId="77777777" w:rsidTr="00BE3A18">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14:paraId="19DF26A9"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Pentachlorophenol and its salts and esters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0DAF16C"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 xml:space="preserve">Production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A6C7AEA"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As allowed for the parties listed in the Register in accordance with the provisions of part VIII of this Annex</w:t>
            </w:r>
          </w:p>
        </w:tc>
      </w:tr>
      <w:tr w:rsidR="0042751E" w:rsidRPr="00D548CF" w14:paraId="369EB9D9" w14:textId="77777777" w:rsidTr="00BE3A18">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5A776D" w14:textId="77777777" w:rsidR="0042751E" w:rsidRPr="00FE4033" w:rsidRDefault="0042751E" w:rsidP="00BE3A18">
            <w:pPr>
              <w:spacing w:line="240" w:lineRule="exact"/>
              <w:rPr>
                <w:rFonts w:ascii="Arial" w:hAnsi="Arial" w:cs="Arial"/>
                <w:b/>
                <w:sz w:val="18"/>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47096"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7FD1C2" w14:textId="77777777" w:rsidR="0042751E" w:rsidRPr="00FE4033" w:rsidRDefault="0042751E" w:rsidP="00BE3A18">
            <w:pPr>
              <w:suppressAutoHyphens/>
              <w:spacing w:after="120" w:line="240" w:lineRule="exact"/>
              <w:rPr>
                <w:rFonts w:ascii="Arial" w:hAnsi="Arial" w:cs="Arial"/>
                <w:sz w:val="18"/>
                <w:szCs w:val="20"/>
              </w:rPr>
            </w:pPr>
            <w:r w:rsidRPr="00FE4033">
              <w:rPr>
                <w:rFonts w:ascii="Arial" w:hAnsi="Arial" w:cs="Arial"/>
                <w:sz w:val="18"/>
                <w:szCs w:val="20"/>
              </w:rPr>
              <w:t>Pentachlorophenol for utility poles and cross-arms in accordance with the provisions of part VIII of this Annex</w:t>
            </w:r>
          </w:p>
        </w:tc>
      </w:tr>
    </w:tbl>
    <w:p w14:paraId="024C806B" w14:textId="77777777" w:rsidR="0042751E" w:rsidRPr="00D548CF" w:rsidRDefault="0042751E" w:rsidP="00090036">
      <w:pPr>
        <w:numPr>
          <w:ilvl w:val="0"/>
          <w:numId w:val="20"/>
        </w:numPr>
        <w:spacing w:before="120" w:after="120" w:line="240" w:lineRule="auto"/>
        <w:ind w:firstLine="624"/>
        <w:rPr>
          <w:rFonts w:ascii="Arial" w:hAnsi="Arial" w:cs="Arial"/>
          <w:color w:val="000000"/>
          <w:sz w:val="20"/>
        </w:rPr>
      </w:pPr>
      <w:r w:rsidRPr="00D548CF">
        <w:rPr>
          <w:rFonts w:ascii="Arial" w:hAnsi="Arial" w:cs="Arial"/>
          <w:i/>
          <w:color w:val="000000"/>
          <w:sz w:val="20"/>
        </w:rPr>
        <w:lastRenderedPageBreak/>
        <w:t>Also decides</w:t>
      </w:r>
      <w:r w:rsidRPr="00D548CF">
        <w:rPr>
          <w:rFonts w:ascii="Arial" w:hAnsi="Arial" w:cs="Arial"/>
          <w:color w:val="000000"/>
          <w:sz w:val="20"/>
        </w:rPr>
        <w:t xml:space="preserve"> to insert</w:t>
      </w:r>
      <w:r w:rsidRPr="00D548CF">
        <w:rPr>
          <w:rFonts w:ascii="Arial" w:hAnsi="Arial" w:cs="Arial"/>
          <w:sz w:val="20"/>
        </w:rPr>
        <w:t xml:space="preserve"> </w:t>
      </w:r>
      <w:r w:rsidRPr="00D548CF">
        <w:rPr>
          <w:rFonts w:ascii="Arial" w:hAnsi="Arial" w:cs="Arial"/>
          <w:color w:val="000000"/>
          <w:sz w:val="20"/>
        </w:rPr>
        <w:t xml:space="preserve">a </w:t>
      </w:r>
      <w:r w:rsidRPr="00D548CF">
        <w:rPr>
          <w:rFonts w:ascii="Arial" w:hAnsi="Arial" w:cs="Arial"/>
          <w:sz w:val="20"/>
        </w:rPr>
        <w:t>new note</w:t>
      </w:r>
      <w:r w:rsidRPr="00D548CF">
        <w:rPr>
          <w:rFonts w:ascii="Arial" w:hAnsi="Arial" w:cs="Arial"/>
          <w:color w:val="000000"/>
          <w:sz w:val="20"/>
        </w:rPr>
        <w:t xml:space="preserve"> (vi) in part I of Annex A, as follows: </w:t>
      </w:r>
    </w:p>
    <w:p w14:paraId="4BE74064" w14:textId="77777777" w:rsidR="0042751E" w:rsidRPr="00D548CF" w:rsidRDefault="0042751E" w:rsidP="0042751E">
      <w:pPr>
        <w:autoSpaceDE w:val="0"/>
        <w:autoSpaceDN w:val="0"/>
        <w:adjustRightInd w:val="0"/>
        <w:spacing w:after="120"/>
        <w:ind w:left="2495"/>
        <w:rPr>
          <w:rFonts w:ascii="Arial" w:hAnsi="Arial" w:cs="Arial"/>
          <w:color w:val="000000"/>
          <w:sz w:val="20"/>
        </w:rPr>
      </w:pPr>
      <w:r w:rsidRPr="00D548CF">
        <w:rPr>
          <w:rFonts w:ascii="Arial" w:hAnsi="Arial" w:cs="Arial"/>
          <w:color w:val="000000"/>
          <w:sz w:val="20"/>
        </w:rPr>
        <w:t xml:space="preserve">(vi) </w:t>
      </w:r>
      <w:r w:rsidRPr="00D548CF">
        <w:rPr>
          <w:rFonts w:ascii="Arial" w:hAnsi="Arial" w:cs="Arial"/>
          <w:color w:val="000000"/>
          <w:sz w:val="20"/>
        </w:rPr>
        <w:tab/>
        <w:t>Pentachlorophenol (CAS No: 87-86-5), sodium pentachlorophenate (CAS No: 131-52-2 and 27735-64-4 (as monohydrate)) and pentachlorophenyl laurate (CAS No: 3772-94-9), when considered together with their transformation product pentachloroanisole (CAS No: 1825-21-4), were identified as persistent organic pollutants;</w:t>
      </w:r>
    </w:p>
    <w:p w14:paraId="019E2D07" w14:textId="77777777" w:rsidR="0042751E" w:rsidRPr="00D548CF" w:rsidRDefault="0042751E" w:rsidP="00090036">
      <w:pPr>
        <w:numPr>
          <w:ilvl w:val="0"/>
          <w:numId w:val="20"/>
        </w:numPr>
        <w:spacing w:after="120" w:line="240" w:lineRule="auto"/>
        <w:ind w:firstLine="624"/>
        <w:rPr>
          <w:rFonts w:ascii="Arial" w:hAnsi="Arial" w:cs="Arial"/>
          <w:color w:val="000000"/>
          <w:sz w:val="20"/>
        </w:rPr>
      </w:pPr>
      <w:r w:rsidRPr="00D548CF">
        <w:rPr>
          <w:rFonts w:ascii="Arial" w:hAnsi="Arial" w:cs="Arial"/>
          <w:i/>
          <w:color w:val="000000"/>
          <w:sz w:val="20"/>
        </w:rPr>
        <w:t>Further decides</w:t>
      </w:r>
      <w:r w:rsidRPr="00D548CF">
        <w:rPr>
          <w:rFonts w:ascii="Arial" w:hAnsi="Arial" w:cs="Arial"/>
          <w:color w:val="000000"/>
          <w:sz w:val="20"/>
        </w:rPr>
        <w:t xml:space="preserve"> to insert a </w:t>
      </w:r>
      <w:r w:rsidRPr="00D548CF">
        <w:rPr>
          <w:rFonts w:ascii="Arial" w:hAnsi="Arial" w:cs="Arial"/>
          <w:sz w:val="20"/>
        </w:rPr>
        <w:t>new</w:t>
      </w:r>
      <w:r w:rsidRPr="00D548CF">
        <w:rPr>
          <w:rFonts w:ascii="Arial" w:hAnsi="Arial" w:cs="Arial"/>
          <w:color w:val="000000"/>
          <w:sz w:val="20"/>
        </w:rPr>
        <w:t xml:space="preserve"> part VIII in Annex A as follows:</w:t>
      </w:r>
    </w:p>
    <w:p w14:paraId="2C3210DA" w14:textId="77777777" w:rsidR="0042751E" w:rsidRPr="00D548CF" w:rsidRDefault="0042751E" w:rsidP="0042751E">
      <w:pPr>
        <w:tabs>
          <w:tab w:val="left" w:pos="624"/>
        </w:tabs>
        <w:autoSpaceDE w:val="0"/>
        <w:autoSpaceDN w:val="0"/>
        <w:adjustRightInd w:val="0"/>
        <w:spacing w:before="240" w:after="120"/>
        <w:ind w:left="1247"/>
        <w:jc w:val="center"/>
        <w:rPr>
          <w:rFonts w:ascii="Arial" w:hAnsi="Arial" w:cs="Arial"/>
          <w:b/>
          <w:color w:val="000000"/>
          <w:sz w:val="20"/>
        </w:rPr>
      </w:pPr>
      <w:r w:rsidRPr="00D548CF">
        <w:rPr>
          <w:rFonts w:ascii="Arial" w:hAnsi="Arial" w:cs="Arial"/>
          <w:b/>
          <w:color w:val="000000"/>
          <w:sz w:val="20"/>
        </w:rPr>
        <w:t>Part VIII</w:t>
      </w:r>
    </w:p>
    <w:p w14:paraId="17BD5497" w14:textId="77777777" w:rsidR="0042751E" w:rsidRPr="00D548CF" w:rsidRDefault="0042751E" w:rsidP="0042751E">
      <w:pPr>
        <w:tabs>
          <w:tab w:val="left" w:pos="624"/>
        </w:tabs>
        <w:autoSpaceDE w:val="0"/>
        <w:autoSpaceDN w:val="0"/>
        <w:adjustRightInd w:val="0"/>
        <w:spacing w:after="120"/>
        <w:ind w:left="3935"/>
        <w:rPr>
          <w:rFonts w:ascii="Arial" w:hAnsi="Arial" w:cs="Arial"/>
          <w:b/>
          <w:color w:val="000000"/>
          <w:sz w:val="20"/>
        </w:rPr>
      </w:pPr>
      <w:r w:rsidRPr="00D548CF">
        <w:rPr>
          <w:rFonts w:ascii="Arial" w:hAnsi="Arial" w:cs="Arial"/>
          <w:b/>
          <w:color w:val="000000"/>
          <w:sz w:val="20"/>
        </w:rPr>
        <w:t>Pentachlorophenol and its salts and esters</w:t>
      </w:r>
    </w:p>
    <w:p w14:paraId="5562D838" w14:textId="77777777" w:rsidR="0042751E" w:rsidRPr="00D548CF" w:rsidRDefault="0042751E" w:rsidP="0042751E">
      <w:pPr>
        <w:tabs>
          <w:tab w:val="left" w:pos="624"/>
        </w:tabs>
        <w:autoSpaceDE w:val="0"/>
        <w:autoSpaceDN w:val="0"/>
        <w:adjustRightInd w:val="0"/>
        <w:spacing w:after="120"/>
        <w:ind w:left="2495" w:firstLine="624"/>
        <w:rPr>
          <w:rFonts w:ascii="Arial" w:hAnsi="Arial" w:cs="Arial"/>
          <w:color w:val="000000"/>
          <w:sz w:val="20"/>
        </w:rPr>
      </w:pPr>
      <w:r w:rsidRPr="00D548CF">
        <w:rPr>
          <w:rFonts w:ascii="Arial" w:hAnsi="Arial" w:cs="Arial"/>
          <w:color w:val="000000"/>
          <w:sz w:val="20"/>
        </w:rPr>
        <w:t>Each Party that has registered for the exemption pursuant to Article 4 for the production and use of pentachlorophenol for utility poles and cross-arms shall take the necessary measures to ensure that utility poles and cross-arms containing pentachlorophenol can be easily identified by labelling or other means throughout their life cycles. Articles treated with pentachlorophenol should not be reused for purposes other than those exempted.</w:t>
      </w:r>
    </w:p>
    <w:p w14:paraId="4C0DB6BF" w14:textId="0C0C2BD1" w:rsidR="0042751E" w:rsidRPr="00D548CF" w:rsidRDefault="0042751E" w:rsidP="0042751E">
      <w:pPr>
        <w:rPr>
          <w:rFonts w:ascii="Arial" w:hAnsi="Arial" w:cs="Arial"/>
        </w:rPr>
      </w:pPr>
    </w:p>
    <w:p w14:paraId="49F9B9E8" w14:textId="0C5DCFFA" w:rsidR="0042751E" w:rsidRPr="00D548CF" w:rsidRDefault="0042751E" w:rsidP="0042751E">
      <w:pPr>
        <w:rPr>
          <w:rFonts w:ascii="Arial" w:hAnsi="Arial" w:cs="Arial"/>
        </w:rPr>
      </w:pPr>
    </w:p>
    <w:p w14:paraId="2B116DAB" w14:textId="77777777" w:rsidR="0042751E" w:rsidRPr="00D548CF" w:rsidRDefault="0042751E" w:rsidP="0042751E">
      <w:pPr>
        <w:spacing w:after="120"/>
        <w:ind w:left="1247"/>
        <w:rPr>
          <w:rFonts w:ascii="Arial" w:hAnsi="Arial" w:cs="Arial"/>
          <w:b/>
          <w:sz w:val="28"/>
          <w:szCs w:val="28"/>
        </w:rPr>
      </w:pPr>
      <w:r w:rsidRPr="00D548CF">
        <w:rPr>
          <w:rFonts w:ascii="Arial" w:hAnsi="Arial" w:cs="Arial"/>
          <w:b/>
          <w:sz w:val="28"/>
          <w:szCs w:val="28"/>
        </w:rPr>
        <w:t>SC-7/14: Listing of polychlorinated naphthalenes</w:t>
      </w:r>
    </w:p>
    <w:p w14:paraId="56A8FE6E" w14:textId="77777777" w:rsidR="0042751E" w:rsidRPr="00D548CF" w:rsidRDefault="0042751E" w:rsidP="0042751E">
      <w:pPr>
        <w:suppressAutoHyphens/>
        <w:spacing w:after="120"/>
        <w:ind w:left="1247" w:right="284" w:firstLine="624"/>
        <w:rPr>
          <w:rFonts w:ascii="Arial" w:hAnsi="Arial" w:cs="Arial"/>
          <w:i/>
          <w:iCs/>
          <w:sz w:val="20"/>
          <w:szCs w:val="24"/>
        </w:rPr>
      </w:pPr>
      <w:r w:rsidRPr="00D548CF">
        <w:rPr>
          <w:rFonts w:ascii="Arial" w:hAnsi="Arial" w:cs="Arial"/>
          <w:i/>
          <w:iCs/>
          <w:sz w:val="20"/>
          <w:szCs w:val="24"/>
        </w:rPr>
        <w:t>The Conference of the Parties,</w:t>
      </w:r>
    </w:p>
    <w:p w14:paraId="2C359C7A" w14:textId="77777777" w:rsidR="0042751E" w:rsidRPr="00D548CF" w:rsidRDefault="0042751E" w:rsidP="0042751E">
      <w:pPr>
        <w:tabs>
          <w:tab w:val="left" w:pos="624"/>
          <w:tab w:val="left" w:pos="1276"/>
        </w:tabs>
        <w:autoSpaceDE w:val="0"/>
        <w:autoSpaceDN w:val="0"/>
        <w:adjustRightInd w:val="0"/>
        <w:spacing w:after="120"/>
        <w:ind w:left="1276" w:firstLine="567"/>
        <w:rPr>
          <w:rFonts w:ascii="Arial" w:hAnsi="Arial" w:cs="Arial"/>
          <w:sz w:val="20"/>
        </w:rPr>
      </w:pPr>
      <w:r w:rsidRPr="00D548CF">
        <w:rPr>
          <w:rFonts w:ascii="Arial" w:hAnsi="Arial" w:cs="Arial"/>
          <w:i/>
          <w:sz w:val="20"/>
        </w:rPr>
        <w:t xml:space="preserve">Having </w:t>
      </w:r>
      <w:r w:rsidRPr="00D548CF">
        <w:rPr>
          <w:rFonts w:ascii="Arial" w:hAnsi="Arial" w:cs="Arial"/>
          <w:i/>
          <w:iCs/>
          <w:sz w:val="20"/>
        </w:rPr>
        <w:t>considered</w:t>
      </w:r>
      <w:r w:rsidRPr="00D548CF">
        <w:rPr>
          <w:rFonts w:ascii="Arial" w:hAnsi="Arial" w:cs="Arial"/>
          <w:sz w:val="20"/>
        </w:rPr>
        <w:t xml:space="preserve"> the risk profile and the risk management evaluation for chlorinated naphthalenes as transmitted by the Persistent Organic Pollutants Review Committee,</w:t>
      </w:r>
      <w:r w:rsidRPr="00D548CF">
        <w:rPr>
          <w:rFonts w:ascii="Arial" w:hAnsi="Arial" w:cs="Arial"/>
          <w:sz w:val="20"/>
          <w:szCs w:val="18"/>
          <w:vertAlign w:val="superscript"/>
          <w:lang w:val="fr-CH"/>
        </w:rPr>
        <w:footnoteReference w:id="27"/>
      </w:r>
    </w:p>
    <w:p w14:paraId="1FC0B7FC" w14:textId="77777777" w:rsidR="0042751E" w:rsidRPr="00D548CF" w:rsidRDefault="0042751E" w:rsidP="0042751E">
      <w:pPr>
        <w:tabs>
          <w:tab w:val="left" w:pos="624"/>
          <w:tab w:val="left" w:pos="1276"/>
          <w:tab w:val="left" w:pos="2410"/>
        </w:tabs>
        <w:autoSpaceDE w:val="0"/>
        <w:autoSpaceDN w:val="0"/>
        <w:adjustRightInd w:val="0"/>
        <w:spacing w:after="120"/>
        <w:ind w:left="1276" w:firstLine="567"/>
        <w:rPr>
          <w:rFonts w:ascii="Arial" w:hAnsi="Arial" w:cs="Arial"/>
          <w:sz w:val="20"/>
        </w:rPr>
      </w:pPr>
      <w:r w:rsidRPr="00D548CF">
        <w:rPr>
          <w:rFonts w:ascii="Arial" w:hAnsi="Arial" w:cs="Arial"/>
          <w:i/>
          <w:iCs/>
          <w:sz w:val="20"/>
        </w:rPr>
        <w:t>Taking</w:t>
      </w:r>
      <w:r w:rsidRPr="00D548CF">
        <w:rPr>
          <w:rFonts w:ascii="Arial" w:hAnsi="Arial" w:cs="Arial"/>
          <w:i/>
          <w:sz w:val="20"/>
        </w:rPr>
        <w:t xml:space="preserve"> note</w:t>
      </w:r>
      <w:r w:rsidRPr="00D548CF">
        <w:rPr>
          <w:rFonts w:ascii="Arial" w:hAnsi="Arial" w:cs="Arial"/>
          <w:sz w:val="20"/>
        </w:rPr>
        <w:t xml:space="preserve"> of the recommendation by the Persistent Organic Pollutants Review Committee to list dichlorinated naphthalenes, trichlorinated naphthalenes, tetrachlorinated naphthalenes, pentachlorinated naphthalenes, hexachlorinated naphthalenes, heptachlorinated naphthalenes and octachlorinated naphthalene in Annexes A and C to the Convention,</w:t>
      </w:r>
      <w:r w:rsidRPr="00D548CF">
        <w:rPr>
          <w:rFonts w:ascii="Arial" w:hAnsi="Arial" w:cs="Arial"/>
          <w:sz w:val="20"/>
          <w:szCs w:val="18"/>
          <w:vertAlign w:val="superscript"/>
          <w:lang w:val="fr-CH"/>
        </w:rPr>
        <w:footnoteReference w:id="28"/>
      </w:r>
    </w:p>
    <w:p w14:paraId="3F5EF2D9" w14:textId="77777777" w:rsidR="0042751E" w:rsidRPr="00D548CF" w:rsidRDefault="0042751E" w:rsidP="00090036">
      <w:pPr>
        <w:numPr>
          <w:ilvl w:val="0"/>
          <w:numId w:val="21"/>
        </w:numPr>
        <w:tabs>
          <w:tab w:val="left" w:pos="624"/>
          <w:tab w:val="num" w:pos="1276"/>
          <w:tab w:val="left" w:pos="1843"/>
          <w:tab w:val="num" w:pos="1985"/>
          <w:tab w:val="left" w:pos="2410"/>
        </w:tabs>
        <w:autoSpaceDE w:val="0"/>
        <w:autoSpaceDN w:val="0"/>
        <w:adjustRightInd w:val="0"/>
        <w:spacing w:before="120" w:after="240" w:line="240" w:lineRule="auto"/>
        <w:ind w:left="1276" w:firstLine="567"/>
        <w:rPr>
          <w:rFonts w:ascii="Arial" w:hAnsi="Arial" w:cs="Arial"/>
          <w:sz w:val="20"/>
        </w:rPr>
      </w:pPr>
      <w:r w:rsidRPr="00D548CF">
        <w:rPr>
          <w:rFonts w:ascii="Arial" w:hAnsi="Arial" w:cs="Arial"/>
          <w:i/>
          <w:sz w:val="20"/>
        </w:rPr>
        <w:t>Decides</w:t>
      </w:r>
      <w:r w:rsidRPr="00D548CF">
        <w:rPr>
          <w:rFonts w:ascii="Arial" w:hAnsi="Arial" w:cs="Arial"/>
          <w:sz w:val="20"/>
        </w:rPr>
        <w:t xml:space="preserve"> to amend part I of Annex A to the Stockholm Convention on Persistent Organic Pollutants to list therein polychlorinated naphthalenes, including dichlorinated naphthalenes, trichlorinated naphthalenes, tetrachlorinated naphthalenes, pentachlorinated naphthalenes, hexachlorinated naphthalenes, heptachlorinated naphthalenes, octachlorinated naphthalene, with specific exemptions for production of those chemicals as intermediates in production of </w:t>
      </w:r>
      <w:r w:rsidRPr="00D548CF">
        <w:rPr>
          <w:rFonts w:ascii="Arial" w:hAnsi="Arial" w:cs="Arial"/>
          <w:sz w:val="20"/>
          <w:szCs w:val="24"/>
          <w:lang w:val="en-US"/>
        </w:rPr>
        <w:t xml:space="preserve">polyfluorinated naphthalenes, including </w:t>
      </w:r>
      <w:r w:rsidRPr="00D548CF">
        <w:rPr>
          <w:rFonts w:ascii="Arial" w:hAnsi="Arial" w:cs="Arial"/>
          <w:sz w:val="20"/>
        </w:rPr>
        <w:t xml:space="preserve">octafluoronaphthalene, and the use of those chemicals for the production of </w:t>
      </w:r>
      <w:r w:rsidRPr="00D548CF">
        <w:rPr>
          <w:rFonts w:ascii="Arial" w:hAnsi="Arial" w:cs="Arial"/>
          <w:sz w:val="20"/>
          <w:szCs w:val="24"/>
          <w:lang w:val="en-US"/>
        </w:rPr>
        <w:t xml:space="preserve">polyfluorinated naphthalenes, including </w:t>
      </w:r>
      <w:r w:rsidRPr="00D548CF">
        <w:rPr>
          <w:rFonts w:ascii="Arial" w:hAnsi="Arial" w:cs="Arial"/>
          <w:sz w:val="20"/>
        </w:rPr>
        <w:t xml:space="preserve">octafluoronaphthalene, by inserting the following row: </w:t>
      </w:r>
    </w:p>
    <w:tbl>
      <w:tblPr>
        <w:tblW w:w="8144" w:type="dxa"/>
        <w:tblInd w:w="16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6"/>
        <w:gridCol w:w="1260"/>
        <w:gridCol w:w="2698"/>
      </w:tblGrid>
      <w:tr w:rsidR="0042751E" w:rsidRPr="00D548CF" w14:paraId="2CE190A8" w14:textId="77777777" w:rsidTr="00BE3A18">
        <w:trPr>
          <w:trHeight w:val="336"/>
        </w:trPr>
        <w:tc>
          <w:tcPr>
            <w:tcW w:w="4186" w:type="dxa"/>
            <w:tcBorders>
              <w:top w:val="single" w:sz="4" w:space="0" w:color="auto"/>
              <w:left w:val="single" w:sz="4" w:space="0" w:color="auto"/>
              <w:bottom w:val="single" w:sz="4" w:space="0" w:color="auto"/>
              <w:right w:val="single" w:sz="4" w:space="0" w:color="auto"/>
            </w:tcBorders>
            <w:shd w:val="clear" w:color="auto" w:fill="FFFFFF"/>
          </w:tcPr>
          <w:p w14:paraId="3897406E" w14:textId="77777777" w:rsidR="0042751E" w:rsidRPr="00FE4033" w:rsidRDefault="0042751E" w:rsidP="00BE3A18">
            <w:pPr>
              <w:keepNext/>
              <w:tabs>
                <w:tab w:val="left" w:pos="1843"/>
              </w:tabs>
              <w:spacing w:after="200" w:line="240" w:lineRule="exact"/>
              <w:rPr>
                <w:rFonts w:ascii="Arial" w:hAnsi="Arial" w:cs="Arial"/>
                <w:sz w:val="18"/>
                <w:szCs w:val="20"/>
                <w:lang w:val="fr-CH"/>
              </w:rPr>
            </w:pPr>
            <w:r w:rsidRPr="00FE4033">
              <w:rPr>
                <w:rFonts w:ascii="Arial" w:hAnsi="Arial" w:cs="Arial"/>
                <w:sz w:val="18"/>
                <w:szCs w:val="20"/>
              </w:rPr>
              <w:t> </w:t>
            </w:r>
            <w:r w:rsidRPr="00FE4033">
              <w:rPr>
                <w:rFonts w:ascii="Arial" w:hAnsi="Arial" w:cs="Arial"/>
                <w:sz w:val="18"/>
                <w:szCs w:val="20"/>
                <w:lang w:val="fr-CH"/>
              </w:rPr>
              <w:t xml:space="preserve">Chemical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F8E62" w14:textId="77777777" w:rsidR="0042751E" w:rsidRPr="00FE4033" w:rsidRDefault="0042751E" w:rsidP="00BE3A18">
            <w:pPr>
              <w:keepNext/>
              <w:tabs>
                <w:tab w:val="left" w:pos="1843"/>
              </w:tabs>
              <w:spacing w:after="200" w:line="240" w:lineRule="exact"/>
              <w:rPr>
                <w:rFonts w:ascii="Arial" w:hAnsi="Arial" w:cs="Arial"/>
                <w:sz w:val="18"/>
                <w:szCs w:val="20"/>
                <w:lang w:val="fr-CH"/>
              </w:rPr>
            </w:pPr>
            <w:r w:rsidRPr="00FE4033">
              <w:rPr>
                <w:rFonts w:ascii="Arial" w:hAnsi="Arial" w:cs="Arial"/>
                <w:sz w:val="18"/>
                <w:szCs w:val="20"/>
                <w:lang w:val="fr-CH"/>
              </w:rPr>
              <w:t>Activity</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275617F3" w14:textId="77777777" w:rsidR="0042751E" w:rsidRPr="00FE4033" w:rsidRDefault="0042751E" w:rsidP="00BE3A18">
            <w:pPr>
              <w:keepNext/>
              <w:tabs>
                <w:tab w:val="left" w:pos="1843"/>
              </w:tabs>
              <w:spacing w:after="200" w:line="240" w:lineRule="exact"/>
              <w:rPr>
                <w:rFonts w:ascii="Arial" w:hAnsi="Arial" w:cs="Arial"/>
                <w:sz w:val="18"/>
                <w:szCs w:val="20"/>
                <w:lang w:val="fr-CH"/>
              </w:rPr>
            </w:pPr>
            <w:r w:rsidRPr="00FE4033">
              <w:rPr>
                <w:rFonts w:ascii="Arial" w:hAnsi="Arial" w:cs="Arial"/>
                <w:sz w:val="18"/>
                <w:szCs w:val="20"/>
                <w:lang w:val="fr-CH"/>
              </w:rPr>
              <w:t>Specific exemption</w:t>
            </w:r>
          </w:p>
        </w:tc>
      </w:tr>
      <w:tr w:rsidR="0042751E" w:rsidRPr="00D548CF" w14:paraId="4F09E9F9" w14:textId="77777777" w:rsidTr="00BE3A18">
        <w:trPr>
          <w:trHeight w:val="413"/>
        </w:trPr>
        <w:tc>
          <w:tcPr>
            <w:tcW w:w="4186" w:type="dxa"/>
            <w:vMerge w:val="restart"/>
            <w:tcBorders>
              <w:top w:val="single" w:sz="4" w:space="0" w:color="auto"/>
              <w:left w:val="single" w:sz="4" w:space="0" w:color="auto"/>
              <w:bottom w:val="single" w:sz="4" w:space="0" w:color="auto"/>
              <w:right w:val="single" w:sz="4" w:space="0" w:color="auto"/>
            </w:tcBorders>
            <w:shd w:val="clear" w:color="auto" w:fill="auto"/>
          </w:tcPr>
          <w:p w14:paraId="64774C87" w14:textId="77777777" w:rsidR="0042751E" w:rsidRPr="00FE4033" w:rsidRDefault="0042751E" w:rsidP="00BE3A18">
            <w:pPr>
              <w:tabs>
                <w:tab w:val="left" w:pos="1843"/>
              </w:tabs>
              <w:spacing w:after="200" w:line="276" w:lineRule="auto"/>
              <w:rPr>
                <w:rFonts w:ascii="Arial" w:hAnsi="Arial" w:cs="Arial"/>
                <w:sz w:val="18"/>
                <w:szCs w:val="20"/>
              </w:rPr>
            </w:pPr>
            <w:r w:rsidRPr="00FE4033">
              <w:rPr>
                <w:rFonts w:ascii="Arial" w:hAnsi="Arial" w:cs="Arial"/>
                <w:sz w:val="18"/>
                <w:szCs w:val="20"/>
              </w:rPr>
              <w:t xml:space="preserve">Polychlorinated naphthalenes, including dichlorinated naphthalenes, trichlorinated naphthalenes, tetrachlorinated naphthalenes, pentachlorinated naphthalenes, hexachlorinated </w:t>
            </w:r>
            <w:r w:rsidRPr="00FE4033">
              <w:rPr>
                <w:rFonts w:ascii="Arial" w:hAnsi="Arial" w:cs="Arial"/>
                <w:sz w:val="18"/>
                <w:szCs w:val="20"/>
              </w:rPr>
              <w:lastRenderedPageBreak/>
              <w:t>naphthalenes, heptachlorinated naphthalenes, octachlorinated naphthalene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BFCC88" w14:textId="77777777" w:rsidR="0042751E" w:rsidRPr="00FE4033" w:rsidRDefault="0042751E" w:rsidP="00BE3A18">
            <w:pPr>
              <w:tabs>
                <w:tab w:val="left" w:pos="1843"/>
              </w:tabs>
              <w:suppressAutoHyphens/>
              <w:spacing w:after="120" w:line="240" w:lineRule="exact"/>
              <w:rPr>
                <w:rFonts w:ascii="Arial" w:hAnsi="Arial" w:cs="Arial"/>
                <w:sz w:val="18"/>
                <w:szCs w:val="20"/>
                <w:lang w:val="fr-CH"/>
              </w:rPr>
            </w:pPr>
            <w:r w:rsidRPr="00FE4033">
              <w:rPr>
                <w:rFonts w:ascii="Arial" w:hAnsi="Arial" w:cs="Arial"/>
                <w:sz w:val="18"/>
                <w:szCs w:val="20"/>
                <w:lang w:val="fr-CH"/>
              </w:rPr>
              <w:lastRenderedPageBreak/>
              <w:t xml:space="preserve">Production </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0C16500E" w14:textId="77777777" w:rsidR="0042751E" w:rsidRPr="00FE4033" w:rsidRDefault="0042751E" w:rsidP="00BE3A18">
            <w:pPr>
              <w:tabs>
                <w:tab w:val="left" w:pos="1843"/>
              </w:tabs>
              <w:suppressAutoHyphens/>
              <w:spacing w:after="120" w:line="240" w:lineRule="exact"/>
              <w:rPr>
                <w:rFonts w:ascii="Arial" w:hAnsi="Arial" w:cs="Arial"/>
                <w:sz w:val="18"/>
                <w:szCs w:val="20"/>
              </w:rPr>
            </w:pPr>
            <w:r w:rsidRPr="00FE4033">
              <w:rPr>
                <w:rFonts w:ascii="Arial" w:hAnsi="Arial" w:cs="Arial"/>
                <w:sz w:val="18"/>
                <w:szCs w:val="20"/>
              </w:rPr>
              <w:t xml:space="preserve">Intermediates in production of </w:t>
            </w:r>
            <w:r w:rsidRPr="00FE4033">
              <w:rPr>
                <w:rFonts w:ascii="Arial" w:hAnsi="Arial" w:cs="Arial"/>
                <w:sz w:val="18"/>
                <w:szCs w:val="20"/>
                <w:lang w:val="en-US"/>
              </w:rPr>
              <w:t xml:space="preserve">polyfluorinated naphthalenes, including </w:t>
            </w:r>
            <w:r w:rsidRPr="00FE4033">
              <w:rPr>
                <w:rFonts w:ascii="Arial" w:hAnsi="Arial" w:cs="Arial"/>
                <w:sz w:val="18"/>
                <w:szCs w:val="20"/>
              </w:rPr>
              <w:t>octafluoronaphthalene</w:t>
            </w:r>
          </w:p>
        </w:tc>
      </w:tr>
      <w:tr w:rsidR="0042751E" w:rsidRPr="00D548CF" w14:paraId="1B95E750" w14:textId="77777777" w:rsidTr="00BE3A18">
        <w:tc>
          <w:tcPr>
            <w:tcW w:w="41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61DAD6" w14:textId="77777777" w:rsidR="0042751E" w:rsidRPr="00FE4033" w:rsidRDefault="0042751E" w:rsidP="00BE3A18">
            <w:pPr>
              <w:tabs>
                <w:tab w:val="left" w:pos="1843"/>
              </w:tabs>
              <w:spacing w:after="200" w:line="240" w:lineRule="exact"/>
              <w:rPr>
                <w:rFonts w:ascii="Arial" w:hAnsi="Arial" w:cs="Arial"/>
                <w:b/>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15145E" w14:textId="77777777" w:rsidR="0042751E" w:rsidRPr="00FE4033" w:rsidRDefault="0042751E" w:rsidP="00BE3A18">
            <w:pPr>
              <w:tabs>
                <w:tab w:val="left" w:pos="1843"/>
              </w:tabs>
              <w:suppressAutoHyphens/>
              <w:spacing w:after="120" w:line="240" w:lineRule="exact"/>
              <w:rPr>
                <w:rFonts w:ascii="Arial" w:hAnsi="Arial" w:cs="Arial"/>
                <w:sz w:val="18"/>
                <w:szCs w:val="20"/>
                <w:lang w:val="fr-CH"/>
              </w:rPr>
            </w:pPr>
            <w:r w:rsidRPr="00FE4033">
              <w:rPr>
                <w:rFonts w:ascii="Arial" w:hAnsi="Arial" w:cs="Arial"/>
                <w:sz w:val="18"/>
                <w:szCs w:val="20"/>
                <w:lang w:val="fr-CH"/>
              </w:rPr>
              <w:t>Use</w:t>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6EBB1EB5" w14:textId="77777777" w:rsidR="0042751E" w:rsidRPr="00FE4033" w:rsidRDefault="0042751E" w:rsidP="00BE3A18">
            <w:pPr>
              <w:tabs>
                <w:tab w:val="left" w:pos="1843"/>
              </w:tabs>
              <w:suppressAutoHyphens/>
              <w:spacing w:after="120" w:line="240" w:lineRule="exact"/>
              <w:rPr>
                <w:rFonts w:ascii="Arial" w:hAnsi="Arial" w:cs="Arial"/>
                <w:sz w:val="18"/>
                <w:szCs w:val="20"/>
              </w:rPr>
            </w:pPr>
            <w:r w:rsidRPr="00FE4033">
              <w:rPr>
                <w:rFonts w:ascii="Arial" w:hAnsi="Arial" w:cs="Arial"/>
                <w:sz w:val="18"/>
                <w:szCs w:val="20"/>
              </w:rPr>
              <w:t>Production of polyfluorinated naphthalenes, including octafluoronaphthalene</w:t>
            </w:r>
          </w:p>
        </w:tc>
      </w:tr>
    </w:tbl>
    <w:p w14:paraId="60D7AEB8" w14:textId="77777777" w:rsidR="0042751E" w:rsidRPr="00D548CF" w:rsidRDefault="0042751E" w:rsidP="00090036">
      <w:pPr>
        <w:numPr>
          <w:ilvl w:val="0"/>
          <w:numId w:val="21"/>
        </w:numPr>
        <w:tabs>
          <w:tab w:val="left" w:pos="624"/>
          <w:tab w:val="num" w:pos="1276"/>
          <w:tab w:val="left" w:pos="1843"/>
          <w:tab w:val="num" w:pos="1985"/>
          <w:tab w:val="left" w:pos="2410"/>
        </w:tabs>
        <w:autoSpaceDE w:val="0"/>
        <w:autoSpaceDN w:val="0"/>
        <w:adjustRightInd w:val="0"/>
        <w:spacing w:before="120" w:after="240" w:line="240" w:lineRule="auto"/>
        <w:ind w:left="1276" w:firstLine="567"/>
        <w:rPr>
          <w:rFonts w:ascii="Arial" w:hAnsi="Arial" w:cs="Arial"/>
          <w:sz w:val="20"/>
        </w:rPr>
      </w:pPr>
      <w:r w:rsidRPr="00D548CF">
        <w:rPr>
          <w:rFonts w:ascii="Arial" w:hAnsi="Arial" w:cs="Arial"/>
          <w:i/>
          <w:sz w:val="20"/>
        </w:rPr>
        <w:t>Also decides</w:t>
      </w:r>
      <w:r w:rsidRPr="00D548CF">
        <w:rPr>
          <w:rFonts w:ascii="Arial" w:hAnsi="Arial" w:cs="Arial"/>
          <w:sz w:val="20"/>
        </w:rPr>
        <w:t xml:space="preserve"> to amend part I of Annex C to the Convention to list therein polychlorinated naphthalenes, including dichlorinated naphthalenes, trichlorinated naphthalenes, tetrachlorinated naphthalenes, pentachlorinated naphthalenes, hexachlorinated naphthalenes, heptachlorinated naphthalenes, octachlorinated naphthalene, by inserting “Polychlorinated naphthalenes, including dichlorinated naphthalenes, trichlorinated naphthalenes, tetrachlorinated naphthalenes, pentachlorinated naphthalenes, hexachlorinated naphthalenes, heptachlorinated naphthalenes, octachlorinated naphthalene” in the “Chemical” table in a new line below “polychlorinated dibenzo-p-dioxins and dibenzofurans (PCDD/PCDF)” and by inserting “polychlorinated naphthalenes, including dichlorinated naphthalenes, trichlorinated naphthalenes, tetrachlorinated naphthalenes, pentachlorinated naphthalenes, hexachlorinated naphthalenes, heptachlorinated naphthalenes, octachlorinated naphthalene,” after “polychlorinated dibenzo-p-dioxins and dibenzofurans” in the first paragraph of parts II and III of Annex C.</w:t>
      </w:r>
    </w:p>
    <w:p w14:paraId="4D56ADB2" w14:textId="77777777" w:rsidR="0042751E" w:rsidRPr="00D548CF" w:rsidRDefault="0042751E" w:rsidP="0042751E">
      <w:pPr>
        <w:rPr>
          <w:rFonts w:ascii="Arial" w:hAnsi="Arial" w:cs="Arial"/>
        </w:rPr>
      </w:pPr>
    </w:p>
    <w:p w14:paraId="753D2903" w14:textId="77777777" w:rsidR="004D60B5" w:rsidRDefault="004D60B5" w:rsidP="00120F3F">
      <w:pPr>
        <w:rPr>
          <w:rFonts w:ascii="Arial" w:hAnsi="Arial" w:cs="Arial"/>
          <w:highlight w:val="cyan"/>
        </w:rPr>
        <w:sectPr w:rsidR="004D60B5" w:rsidSect="00D66C83">
          <w:footnotePr>
            <w:numRestart w:val="eachSect"/>
          </w:footnotePr>
          <w:pgSz w:w="11906" w:h="16838"/>
          <w:pgMar w:top="1417" w:right="1417" w:bottom="1417" w:left="1417" w:header="708" w:footer="708" w:gutter="0"/>
          <w:cols w:space="708"/>
          <w:docGrid w:linePitch="360"/>
        </w:sectPr>
      </w:pPr>
    </w:p>
    <w:p w14:paraId="3BAC5B6C" w14:textId="77777777" w:rsidR="00120F3F" w:rsidRPr="00D548CF" w:rsidRDefault="00120F3F" w:rsidP="00120F3F">
      <w:pPr>
        <w:pStyle w:val="Normalnumber"/>
        <w:keepLines/>
        <w:ind w:left="1276"/>
        <w:rPr>
          <w:rFonts w:ascii="Arial" w:hAnsi="Arial" w:cs="Arial"/>
          <w:b/>
          <w:sz w:val="28"/>
          <w:szCs w:val="28"/>
          <w:lang w:val="en-GB"/>
        </w:rPr>
      </w:pPr>
      <w:r w:rsidRPr="00D548CF">
        <w:rPr>
          <w:rFonts w:ascii="Arial" w:hAnsi="Arial" w:cs="Arial"/>
          <w:b/>
          <w:sz w:val="28"/>
          <w:szCs w:val="28"/>
          <w:lang w:val="en-GB"/>
        </w:rPr>
        <w:lastRenderedPageBreak/>
        <w:t xml:space="preserve">SC-8/10: Listing of decabromodiphenyl ether </w:t>
      </w:r>
    </w:p>
    <w:p w14:paraId="5E3C2196" w14:textId="77777777" w:rsidR="00120F3F" w:rsidRPr="00D548CF" w:rsidRDefault="00120F3F" w:rsidP="00120F3F">
      <w:pPr>
        <w:tabs>
          <w:tab w:val="left" w:pos="624"/>
        </w:tabs>
        <w:autoSpaceDE w:val="0"/>
        <w:autoSpaceDN w:val="0"/>
        <w:adjustRightInd w:val="0"/>
        <w:spacing w:after="120"/>
        <w:ind w:left="1276" w:firstLine="567"/>
        <w:rPr>
          <w:rFonts w:ascii="Arial" w:hAnsi="Arial" w:cs="Arial"/>
          <w:i/>
          <w:iCs/>
          <w:sz w:val="20"/>
        </w:rPr>
      </w:pPr>
      <w:r w:rsidRPr="00D548CF">
        <w:rPr>
          <w:rFonts w:ascii="Arial" w:hAnsi="Arial" w:cs="Arial"/>
          <w:i/>
          <w:iCs/>
          <w:sz w:val="20"/>
        </w:rPr>
        <w:t xml:space="preserve">The </w:t>
      </w:r>
      <w:r w:rsidRPr="00D548CF">
        <w:rPr>
          <w:rFonts w:ascii="Arial" w:hAnsi="Arial" w:cs="Arial"/>
          <w:i/>
          <w:sz w:val="20"/>
        </w:rPr>
        <w:t>Conference</w:t>
      </w:r>
      <w:r w:rsidRPr="00D548CF">
        <w:rPr>
          <w:rFonts w:ascii="Arial" w:hAnsi="Arial" w:cs="Arial"/>
          <w:i/>
          <w:iCs/>
          <w:sz w:val="20"/>
        </w:rPr>
        <w:t xml:space="preserve"> of the Parties,</w:t>
      </w:r>
    </w:p>
    <w:p w14:paraId="43E17226"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1247" w:firstLine="624"/>
        <w:rPr>
          <w:rFonts w:ascii="Arial" w:hAnsi="Arial" w:cs="Arial"/>
        </w:rPr>
      </w:pPr>
      <w:r w:rsidRPr="00D548CF">
        <w:rPr>
          <w:rFonts w:ascii="Arial" w:hAnsi="Arial" w:cs="Arial"/>
          <w:i/>
        </w:rPr>
        <w:t>Having considered</w:t>
      </w:r>
      <w:r w:rsidRPr="00D548CF">
        <w:rPr>
          <w:rFonts w:ascii="Arial" w:hAnsi="Arial" w:cs="Arial"/>
        </w:rPr>
        <w:t xml:space="preserve"> the risk profile, the risk management evaluation and the addendum to the risk management evaluation for decabromodiphenyl ether (commercial mixture, c</w:t>
      </w:r>
      <w:r w:rsidRPr="00D548CF">
        <w:rPr>
          <w:rFonts w:ascii="Arial" w:hAnsi="Arial" w:cs="Arial"/>
        </w:rPr>
        <w:noBreakHyphen/>
        <w:t>decaBDE) as transmitted by the Persistent Organic Pollutants Review Committee,</w:t>
      </w:r>
      <w:r w:rsidRPr="00D548CF">
        <w:rPr>
          <w:rStyle w:val="FootnoteReference"/>
          <w:rFonts w:ascii="Arial" w:hAnsi="Arial" w:cs="Arial"/>
        </w:rPr>
        <w:footnoteReference w:id="29"/>
      </w:r>
    </w:p>
    <w:p w14:paraId="3AE502E8"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1247" w:firstLine="624"/>
        <w:rPr>
          <w:rFonts w:ascii="Arial" w:hAnsi="Arial" w:cs="Arial"/>
          <w:b/>
        </w:rPr>
      </w:pPr>
      <w:r w:rsidRPr="00D548CF">
        <w:rPr>
          <w:rFonts w:ascii="Arial" w:hAnsi="Arial" w:cs="Arial"/>
          <w:i/>
        </w:rPr>
        <w:t>Taking note</w:t>
      </w:r>
      <w:r w:rsidRPr="00D548CF">
        <w:rPr>
          <w:rFonts w:ascii="Arial" w:hAnsi="Arial" w:cs="Arial"/>
        </w:rPr>
        <w:t xml:space="preserve"> of the recommendation by the Persistent Organic Pollutants Review Committee that decabromodiphenyl ether (BDE-209) of c-decaBDE be listed in Annex A to the Convention with specific exemptions,</w:t>
      </w:r>
      <w:r w:rsidRPr="00D548CF">
        <w:rPr>
          <w:rStyle w:val="FootnoteReference"/>
          <w:rFonts w:ascii="Arial" w:hAnsi="Arial" w:cs="Arial"/>
        </w:rPr>
        <w:footnoteReference w:id="30"/>
      </w:r>
      <w:r w:rsidRPr="00D548CF">
        <w:rPr>
          <w:rFonts w:ascii="Arial" w:hAnsi="Arial" w:cs="Arial"/>
        </w:rPr>
        <w:t xml:space="preserve"> </w:t>
      </w:r>
    </w:p>
    <w:p w14:paraId="7EAD55B8" w14:textId="77777777" w:rsidR="00120F3F" w:rsidRPr="00D548CF" w:rsidRDefault="00120F3F" w:rsidP="00090036">
      <w:pPr>
        <w:pStyle w:val="Normal-pool"/>
        <w:keepNext/>
        <w:keepLines/>
        <w:numPr>
          <w:ilvl w:val="0"/>
          <w:numId w:val="22"/>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i/>
        </w:rPr>
        <w:t>Decides</w:t>
      </w:r>
      <w:r w:rsidRPr="00D548CF">
        <w:rPr>
          <w:rFonts w:ascii="Arial" w:hAnsi="Arial" w:cs="Arial"/>
        </w:rPr>
        <w:t xml:space="preserve"> to amend part I of Annex A to the Stockholm Convention on Persistent Organic Pollutants to list decabromodiphenyl ether (BDE-209) present in </w:t>
      </w:r>
      <w:r w:rsidRPr="00D548CF">
        <w:rPr>
          <w:rFonts w:ascii="Arial" w:hAnsi="Arial" w:cs="Arial"/>
          <w:szCs w:val="24"/>
        </w:rPr>
        <w:t>commercial decabromodiphenyl ether</w:t>
      </w:r>
      <w:r w:rsidRPr="00D548CF">
        <w:rPr>
          <w:rFonts w:ascii="Arial" w:hAnsi="Arial" w:cs="Arial"/>
        </w:rPr>
        <w:t xml:space="preserve"> therein, with specific exemptions for the production and use of </w:t>
      </w:r>
      <w:r w:rsidRPr="00D548CF">
        <w:rPr>
          <w:rFonts w:ascii="Arial" w:hAnsi="Arial" w:cs="Arial"/>
          <w:szCs w:val="24"/>
        </w:rPr>
        <w:t>commercial decabromodiphenyl ether,</w:t>
      </w:r>
      <w:r w:rsidRPr="00D548CF">
        <w:rPr>
          <w:rFonts w:ascii="Arial" w:hAnsi="Arial" w:cs="Arial"/>
        </w:rPr>
        <w:t xml:space="preserve"> by inserting the following row:</w:t>
      </w:r>
    </w:p>
    <w:tbl>
      <w:tblPr>
        <w:tblW w:w="0" w:type="auto"/>
        <w:tblInd w:w="1384" w:type="dxa"/>
        <w:tblLook w:val="0000" w:firstRow="0" w:lastRow="0" w:firstColumn="0" w:lastColumn="0" w:noHBand="0" w:noVBand="0"/>
      </w:tblPr>
      <w:tblGrid>
        <w:gridCol w:w="2388"/>
        <w:gridCol w:w="1077"/>
        <w:gridCol w:w="4223"/>
      </w:tblGrid>
      <w:tr w:rsidR="00120F3F" w:rsidRPr="00D548CF" w14:paraId="4E1FA0FB" w14:textId="77777777" w:rsidTr="00443B8B">
        <w:trPr>
          <w:trHeight w:val="369"/>
          <w:tblHeader/>
        </w:trPr>
        <w:tc>
          <w:tcPr>
            <w:tcW w:w="0" w:type="auto"/>
            <w:tcBorders>
              <w:top w:val="single" w:sz="4" w:space="0" w:color="auto"/>
              <w:bottom w:val="single" w:sz="12" w:space="0" w:color="auto"/>
            </w:tcBorders>
            <w:shd w:val="clear" w:color="D0CECE" w:themeColor="background2" w:themeShade="E6" w:fill="FFFFFF"/>
          </w:tcPr>
          <w:p w14:paraId="5ABE7312" w14:textId="77777777" w:rsidR="00120F3F" w:rsidRPr="00D548CF" w:rsidRDefault="00120F3F" w:rsidP="00BE3A18">
            <w:pPr>
              <w:keepNext/>
              <w:spacing w:line="240" w:lineRule="exact"/>
              <w:rPr>
                <w:rFonts w:ascii="Arial" w:hAnsi="Arial" w:cs="Arial"/>
                <w:b/>
                <w:sz w:val="18"/>
                <w:szCs w:val="18"/>
              </w:rPr>
            </w:pPr>
            <w:r w:rsidRPr="00D548CF">
              <w:rPr>
                <w:rFonts w:ascii="Arial" w:hAnsi="Arial" w:cs="Arial"/>
                <w:b/>
                <w:sz w:val="18"/>
                <w:szCs w:val="18"/>
              </w:rPr>
              <w:t xml:space="preserve">Chemical </w:t>
            </w:r>
          </w:p>
        </w:tc>
        <w:tc>
          <w:tcPr>
            <w:tcW w:w="0" w:type="auto"/>
            <w:tcBorders>
              <w:top w:val="single" w:sz="4" w:space="0" w:color="auto"/>
              <w:bottom w:val="single" w:sz="12" w:space="0" w:color="auto"/>
            </w:tcBorders>
            <w:shd w:val="clear" w:color="D0CECE" w:themeColor="background2" w:themeShade="E6" w:fill="FFFFFF"/>
          </w:tcPr>
          <w:p w14:paraId="575163DC" w14:textId="77777777" w:rsidR="00120F3F" w:rsidRPr="00D548CF" w:rsidRDefault="00120F3F" w:rsidP="00BE3A18">
            <w:pPr>
              <w:keepNext/>
              <w:spacing w:line="240" w:lineRule="exact"/>
              <w:rPr>
                <w:rFonts w:ascii="Arial" w:hAnsi="Arial" w:cs="Arial"/>
                <w:b/>
                <w:sz w:val="18"/>
                <w:szCs w:val="18"/>
              </w:rPr>
            </w:pPr>
            <w:r w:rsidRPr="00D548CF">
              <w:rPr>
                <w:rFonts w:ascii="Arial" w:hAnsi="Arial" w:cs="Arial"/>
                <w:b/>
                <w:sz w:val="18"/>
                <w:szCs w:val="18"/>
              </w:rPr>
              <w:t>Activity</w:t>
            </w:r>
          </w:p>
        </w:tc>
        <w:tc>
          <w:tcPr>
            <w:tcW w:w="0" w:type="auto"/>
            <w:tcBorders>
              <w:top w:val="single" w:sz="4" w:space="0" w:color="auto"/>
              <w:bottom w:val="single" w:sz="12" w:space="0" w:color="auto"/>
            </w:tcBorders>
            <w:shd w:val="clear" w:color="D0CECE" w:themeColor="background2" w:themeShade="E6" w:fill="FFFFFF"/>
          </w:tcPr>
          <w:p w14:paraId="6870E575" w14:textId="77777777" w:rsidR="00120F3F" w:rsidRPr="00D548CF" w:rsidRDefault="00120F3F" w:rsidP="00BE3A18">
            <w:pPr>
              <w:keepNext/>
              <w:spacing w:line="240" w:lineRule="exact"/>
              <w:rPr>
                <w:rFonts w:ascii="Arial" w:hAnsi="Arial" w:cs="Arial"/>
                <w:b/>
                <w:sz w:val="18"/>
                <w:szCs w:val="18"/>
              </w:rPr>
            </w:pPr>
            <w:r w:rsidRPr="00D548CF">
              <w:rPr>
                <w:rFonts w:ascii="Arial" w:hAnsi="Arial" w:cs="Arial"/>
                <w:b/>
                <w:sz w:val="18"/>
                <w:szCs w:val="18"/>
              </w:rPr>
              <w:t>Specific exemption</w:t>
            </w:r>
          </w:p>
        </w:tc>
      </w:tr>
      <w:tr w:rsidR="00120F3F" w:rsidRPr="00D548CF" w14:paraId="29BD1EB3" w14:textId="77777777" w:rsidTr="00BE3A18">
        <w:tc>
          <w:tcPr>
            <w:tcW w:w="0" w:type="auto"/>
            <w:vMerge w:val="restart"/>
            <w:tcBorders>
              <w:top w:val="single" w:sz="12" w:space="0" w:color="auto"/>
            </w:tcBorders>
            <w:shd w:val="clear" w:color="auto" w:fill="auto"/>
          </w:tcPr>
          <w:p w14:paraId="2E6F911B" w14:textId="77777777" w:rsidR="00120F3F" w:rsidRPr="00D548CF" w:rsidRDefault="00120F3F" w:rsidP="00BE3A18">
            <w:pPr>
              <w:suppressAutoHyphens/>
              <w:spacing w:after="120" w:line="240" w:lineRule="exact"/>
              <w:rPr>
                <w:rFonts w:ascii="Arial" w:hAnsi="Arial" w:cs="Arial"/>
                <w:sz w:val="18"/>
                <w:szCs w:val="18"/>
              </w:rPr>
            </w:pPr>
            <w:r w:rsidRPr="00D548CF">
              <w:rPr>
                <w:rFonts w:ascii="Arial" w:hAnsi="Arial" w:cs="Arial"/>
                <w:sz w:val="18"/>
                <w:szCs w:val="18"/>
              </w:rPr>
              <w:t xml:space="preserve">Decabromodiphenyl ether </w:t>
            </w:r>
            <w:r w:rsidRPr="00D548CF">
              <w:rPr>
                <w:rFonts w:ascii="Arial" w:hAnsi="Arial" w:cs="Arial"/>
                <w:sz w:val="18"/>
                <w:szCs w:val="18"/>
              </w:rPr>
              <w:br/>
              <w:t>(BDE-209) present in commercial decabromodiphenyl ether (CAS No: 1163-19-5)</w:t>
            </w:r>
          </w:p>
        </w:tc>
        <w:tc>
          <w:tcPr>
            <w:tcW w:w="0" w:type="auto"/>
            <w:tcBorders>
              <w:top w:val="single" w:sz="12" w:space="0" w:color="auto"/>
              <w:bottom w:val="single" w:sz="4" w:space="0" w:color="auto"/>
            </w:tcBorders>
            <w:shd w:val="clear" w:color="auto" w:fill="FFFFFF"/>
          </w:tcPr>
          <w:p w14:paraId="091E7D12" w14:textId="77777777" w:rsidR="00120F3F" w:rsidRPr="00D548CF" w:rsidRDefault="00120F3F" w:rsidP="00BE3A18">
            <w:pPr>
              <w:suppressAutoHyphens/>
              <w:spacing w:after="100"/>
              <w:rPr>
                <w:rFonts w:ascii="Arial" w:hAnsi="Arial" w:cs="Arial"/>
                <w:sz w:val="18"/>
                <w:szCs w:val="18"/>
              </w:rPr>
            </w:pPr>
            <w:r w:rsidRPr="00D548CF">
              <w:rPr>
                <w:rFonts w:ascii="Arial" w:hAnsi="Arial" w:cs="Arial"/>
                <w:sz w:val="18"/>
                <w:szCs w:val="18"/>
              </w:rPr>
              <w:t xml:space="preserve">Production </w:t>
            </w:r>
          </w:p>
        </w:tc>
        <w:tc>
          <w:tcPr>
            <w:tcW w:w="0" w:type="auto"/>
            <w:tcBorders>
              <w:top w:val="single" w:sz="12" w:space="0" w:color="auto"/>
              <w:bottom w:val="single" w:sz="4" w:space="0" w:color="auto"/>
            </w:tcBorders>
            <w:shd w:val="clear" w:color="auto" w:fill="FFFFFF"/>
          </w:tcPr>
          <w:p w14:paraId="71B0E138" w14:textId="77777777" w:rsidR="00120F3F" w:rsidRPr="00D548CF" w:rsidRDefault="00120F3F" w:rsidP="00BE3A18">
            <w:pPr>
              <w:suppressAutoHyphens/>
              <w:spacing w:after="100"/>
              <w:rPr>
                <w:rFonts w:ascii="Arial" w:hAnsi="Arial" w:cs="Arial"/>
                <w:sz w:val="18"/>
                <w:szCs w:val="18"/>
              </w:rPr>
            </w:pPr>
            <w:r w:rsidRPr="00D548CF">
              <w:rPr>
                <w:rFonts w:ascii="Arial" w:hAnsi="Arial" w:cs="Arial"/>
                <w:sz w:val="18"/>
                <w:szCs w:val="18"/>
              </w:rPr>
              <w:t>As allowed for the Parties listed in the Register</w:t>
            </w:r>
          </w:p>
        </w:tc>
      </w:tr>
      <w:tr w:rsidR="00120F3F" w:rsidRPr="00D548CF" w14:paraId="6A6FB1F8" w14:textId="77777777" w:rsidTr="00BE3A18">
        <w:trPr>
          <w:trHeight w:val="62"/>
        </w:trPr>
        <w:tc>
          <w:tcPr>
            <w:tcW w:w="0" w:type="auto"/>
            <w:vMerge/>
            <w:tcBorders>
              <w:bottom w:val="single" w:sz="12" w:space="0" w:color="auto"/>
            </w:tcBorders>
            <w:shd w:val="clear" w:color="auto" w:fill="auto"/>
            <w:vAlign w:val="center"/>
          </w:tcPr>
          <w:p w14:paraId="574F8E85" w14:textId="77777777" w:rsidR="00120F3F" w:rsidRPr="00D548CF" w:rsidRDefault="00120F3F" w:rsidP="00BE3A18">
            <w:pPr>
              <w:spacing w:line="240" w:lineRule="exact"/>
              <w:rPr>
                <w:rFonts w:ascii="Arial" w:hAnsi="Arial" w:cs="Arial"/>
                <w:b/>
                <w:sz w:val="18"/>
                <w:szCs w:val="18"/>
              </w:rPr>
            </w:pPr>
          </w:p>
        </w:tc>
        <w:tc>
          <w:tcPr>
            <w:tcW w:w="0" w:type="auto"/>
            <w:tcBorders>
              <w:top w:val="single" w:sz="4" w:space="0" w:color="auto"/>
              <w:bottom w:val="single" w:sz="12" w:space="0" w:color="auto"/>
            </w:tcBorders>
            <w:shd w:val="clear" w:color="auto" w:fill="auto"/>
          </w:tcPr>
          <w:p w14:paraId="221B67D3" w14:textId="77777777" w:rsidR="00120F3F" w:rsidRPr="00D548CF" w:rsidRDefault="00120F3F" w:rsidP="00BE3A18">
            <w:pPr>
              <w:suppressAutoHyphens/>
              <w:spacing w:after="120" w:line="240" w:lineRule="exact"/>
              <w:rPr>
                <w:rFonts w:ascii="Arial" w:hAnsi="Arial" w:cs="Arial"/>
                <w:sz w:val="18"/>
                <w:szCs w:val="18"/>
              </w:rPr>
            </w:pPr>
            <w:r w:rsidRPr="00D548CF">
              <w:rPr>
                <w:rFonts w:ascii="Arial" w:hAnsi="Arial" w:cs="Arial"/>
                <w:sz w:val="18"/>
                <w:szCs w:val="18"/>
              </w:rPr>
              <w:t>Use</w:t>
            </w:r>
          </w:p>
        </w:tc>
        <w:tc>
          <w:tcPr>
            <w:tcW w:w="0" w:type="auto"/>
            <w:tcBorders>
              <w:top w:val="single" w:sz="4" w:space="0" w:color="auto"/>
              <w:bottom w:val="single" w:sz="12" w:space="0" w:color="auto"/>
            </w:tcBorders>
            <w:shd w:val="clear" w:color="auto" w:fill="auto"/>
          </w:tcPr>
          <w:p w14:paraId="106AC586" w14:textId="77777777" w:rsidR="00120F3F" w:rsidRPr="00D548CF" w:rsidRDefault="00120F3F" w:rsidP="00BE3A18">
            <w:pPr>
              <w:suppressAutoHyphens/>
              <w:spacing w:before="40" w:after="120" w:line="240" w:lineRule="exact"/>
              <w:rPr>
                <w:rFonts w:ascii="Arial" w:hAnsi="Arial" w:cs="Arial"/>
                <w:sz w:val="18"/>
                <w:szCs w:val="18"/>
              </w:rPr>
            </w:pPr>
            <w:r w:rsidRPr="00D548CF">
              <w:rPr>
                <w:rFonts w:ascii="Arial" w:hAnsi="Arial" w:cs="Arial"/>
                <w:sz w:val="18"/>
                <w:szCs w:val="18"/>
              </w:rPr>
              <w:t>In accordance with Part IX of this Annex:</w:t>
            </w:r>
          </w:p>
          <w:p w14:paraId="6B285E2C" w14:textId="77777777" w:rsidR="00120F3F" w:rsidRPr="00D548CF" w:rsidRDefault="00120F3F" w:rsidP="00090036">
            <w:pPr>
              <w:pStyle w:val="ListParagraph"/>
              <w:numPr>
                <w:ilvl w:val="0"/>
                <w:numId w:val="25"/>
              </w:numPr>
              <w:suppressAutoHyphens/>
              <w:snapToGrid w:val="0"/>
              <w:spacing w:after="100" w:line="240" w:lineRule="auto"/>
              <w:ind w:left="357" w:hanging="357"/>
              <w:contextualSpacing w:val="0"/>
              <w:rPr>
                <w:rFonts w:ascii="Arial" w:hAnsi="Arial" w:cs="Arial"/>
                <w:sz w:val="18"/>
                <w:szCs w:val="18"/>
                <w:lang w:val="en-GB"/>
              </w:rPr>
            </w:pPr>
            <w:r w:rsidRPr="00D548CF">
              <w:rPr>
                <w:rFonts w:ascii="Arial" w:hAnsi="Arial" w:cs="Arial"/>
                <w:sz w:val="18"/>
                <w:szCs w:val="18"/>
                <w:lang w:val="en-GB"/>
              </w:rPr>
              <w:t>Parts for use in vehicles specified in paragraph 2 of Part IX of this Annex</w:t>
            </w:r>
          </w:p>
          <w:p w14:paraId="06B1BC8B" w14:textId="77777777" w:rsidR="00120F3F" w:rsidRPr="00D548CF" w:rsidRDefault="00120F3F" w:rsidP="00090036">
            <w:pPr>
              <w:pStyle w:val="ListParagraph"/>
              <w:numPr>
                <w:ilvl w:val="0"/>
                <w:numId w:val="25"/>
              </w:numPr>
              <w:suppressAutoHyphens/>
              <w:snapToGrid w:val="0"/>
              <w:spacing w:after="100" w:line="240" w:lineRule="auto"/>
              <w:ind w:left="357" w:hanging="357"/>
              <w:contextualSpacing w:val="0"/>
              <w:rPr>
                <w:rFonts w:ascii="Arial" w:hAnsi="Arial" w:cs="Arial"/>
                <w:sz w:val="18"/>
                <w:szCs w:val="18"/>
                <w:lang w:val="en-GB"/>
              </w:rPr>
            </w:pPr>
            <w:r w:rsidRPr="00D548CF">
              <w:rPr>
                <w:rFonts w:ascii="Arial" w:hAnsi="Arial" w:cs="Arial"/>
                <w:sz w:val="18"/>
                <w:szCs w:val="18"/>
                <w:lang w:val="en-GB"/>
              </w:rPr>
              <w:t>Aircraft for which type approval has been applied for before December 2018 and has been received before December 2022 and spare parts for those aircraft</w:t>
            </w:r>
          </w:p>
          <w:p w14:paraId="6B9ACC07" w14:textId="77777777" w:rsidR="00120F3F" w:rsidRPr="00D548CF" w:rsidRDefault="00120F3F" w:rsidP="00090036">
            <w:pPr>
              <w:pStyle w:val="ListParagraph"/>
              <w:numPr>
                <w:ilvl w:val="0"/>
                <w:numId w:val="25"/>
              </w:numPr>
              <w:suppressAutoHyphens/>
              <w:snapToGrid w:val="0"/>
              <w:spacing w:after="100" w:line="240" w:lineRule="auto"/>
              <w:ind w:left="357" w:hanging="357"/>
              <w:contextualSpacing w:val="0"/>
              <w:rPr>
                <w:rFonts w:ascii="Arial" w:hAnsi="Arial" w:cs="Arial"/>
                <w:sz w:val="18"/>
                <w:szCs w:val="18"/>
                <w:lang w:val="en-GB"/>
              </w:rPr>
            </w:pPr>
            <w:r w:rsidRPr="00D548CF">
              <w:rPr>
                <w:rFonts w:ascii="Arial" w:hAnsi="Arial" w:cs="Arial"/>
                <w:sz w:val="18"/>
                <w:szCs w:val="18"/>
                <w:lang w:val="en-GB"/>
              </w:rPr>
              <w:t xml:space="preserve">Textile products that require anti-flammable characteristics, excluding clothing and toys </w:t>
            </w:r>
          </w:p>
          <w:p w14:paraId="2C9216D7" w14:textId="77777777" w:rsidR="00120F3F" w:rsidRPr="00D548CF" w:rsidRDefault="00120F3F" w:rsidP="00090036">
            <w:pPr>
              <w:pStyle w:val="ListParagraph"/>
              <w:numPr>
                <w:ilvl w:val="0"/>
                <w:numId w:val="25"/>
              </w:numPr>
              <w:suppressAutoHyphens/>
              <w:snapToGrid w:val="0"/>
              <w:spacing w:after="100" w:line="240" w:lineRule="auto"/>
              <w:ind w:left="357" w:hanging="357"/>
              <w:contextualSpacing w:val="0"/>
              <w:rPr>
                <w:rFonts w:ascii="Arial" w:hAnsi="Arial" w:cs="Arial"/>
                <w:sz w:val="18"/>
                <w:szCs w:val="18"/>
                <w:lang w:val="en-GB"/>
              </w:rPr>
            </w:pPr>
            <w:r w:rsidRPr="00D548CF">
              <w:rPr>
                <w:rFonts w:ascii="Arial" w:hAnsi="Arial" w:cs="Arial"/>
                <w:sz w:val="18"/>
                <w:szCs w:val="18"/>
                <w:lang w:val="en-GB"/>
              </w:rPr>
              <w:t>Additives in plastic housings and parts used for heating home appliances, irons, fans, immersion heaters that contain or are in direct contact with electrical parts or are required to comply with fire retardancy standards, at concentrations lower than 10 per cent by weight of the part</w:t>
            </w:r>
          </w:p>
          <w:p w14:paraId="7B82F7F7" w14:textId="77777777" w:rsidR="00120F3F" w:rsidRPr="00D548CF" w:rsidRDefault="00120F3F" w:rsidP="00090036">
            <w:pPr>
              <w:pStyle w:val="ListParagraph"/>
              <w:numPr>
                <w:ilvl w:val="0"/>
                <w:numId w:val="25"/>
              </w:numPr>
              <w:suppressAutoHyphens/>
              <w:snapToGrid w:val="0"/>
              <w:spacing w:after="100" w:line="240" w:lineRule="auto"/>
              <w:ind w:left="357" w:hanging="357"/>
              <w:contextualSpacing w:val="0"/>
              <w:rPr>
                <w:rFonts w:ascii="Arial" w:hAnsi="Arial" w:cs="Arial"/>
                <w:sz w:val="18"/>
                <w:szCs w:val="18"/>
                <w:lang w:val="en-GB"/>
              </w:rPr>
            </w:pPr>
            <w:r w:rsidRPr="00D548CF">
              <w:rPr>
                <w:rFonts w:ascii="Arial" w:hAnsi="Arial" w:cs="Arial"/>
                <w:sz w:val="18"/>
                <w:szCs w:val="18"/>
                <w:lang w:val="en-GB"/>
              </w:rPr>
              <w:t>Polyurethane foam for building insulation</w:t>
            </w:r>
          </w:p>
        </w:tc>
      </w:tr>
    </w:tbl>
    <w:p w14:paraId="5A0B5F05" w14:textId="77777777" w:rsidR="00120F3F" w:rsidRPr="00D548CF" w:rsidRDefault="00120F3F" w:rsidP="00090036">
      <w:pPr>
        <w:pStyle w:val="Normal-pool"/>
        <w:keepNext/>
        <w:keepLines/>
        <w:numPr>
          <w:ilvl w:val="0"/>
          <w:numId w:val="22"/>
        </w:numPr>
        <w:tabs>
          <w:tab w:val="clear" w:pos="1247"/>
          <w:tab w:val="clear" w:pos="1814"/>
          <w:tab w:val="clear" w:pos="2381"/>
          <w:tab w:val="clear" w:pos="2948"/>
          <w:tab w:val="clear" w:pos="3515"/>
          <w:tab w:val="clear" w:pos="4082"/>
          <w:tab w:val="left" w:pos="2410"/>
        </w:tabs>
        <w:spacing w:before="120" w:after="120"/>
        <w:ind w:left="1247" w:firstLine="624"/>
        <w:rPr>
          <w:rFonts w:ascii="Arial" w:hAnsi="Arial" w:cs="Arial"/>
        </w:rPr>
      </w:pPr>
      <w:r w:rsidRPr="00D548CF">
        <w:rPr>
          <w:rFonts w:ascii="Arial" w:hAnsi="Arial" w:cs="Arial"/>
          <w:i/>
        </w:rPr>
        <w:t>Also decides</w:t>
      </w:r>
      <w:r w:rsidRPr="00D548CF">
        <w:rPr>
          <w:rFonts w:ascii="Arial" w:hAnsi="Arial" w:cs="Arial"/>
        </w:rPr>
        <w:t xml:space="preserve"> to insert a new part IX in Annex A, as follows:</w:t>
      </w:r>
    </w:p>
    <w:p w14:paraId="01491A30" w14:textId="77777777" w:rsidR="00120F3F" w:rsidRPr="00D548CF" w:rsidRDefault="00120F3F" w:rsidP="00120F3F">
      <w:pPr>
        <w:pStyle w:val="CH3"/>
        <w:spacing w:before="240"/>
        <w:ind w:left="0" w:right="0" w:firstLine="0"/>
        <w:jc w:val="center"/>
        <w:rPr>
          <w:rFonts w:ascii="Arial" w:hAnsi="Arial" w:cs="Arial"/>
        </w:rPr>
      </w:pPr>
      <w:r w:rsidRPr="00D548CF">
        <w:rPr>
          <w:rFonts w:ascii="Arial" w:hAnsi="Arial" w:cs="Arial"/>
        </w:rPr>
        <w:t>Part IX</w:t>
      </w:r>
    </w:p>
    <w:p w14:paraId="6C7E4EF8" w14:textId="77777777" w:rsidR="00120F3F" w:rsidRPr="00D548CF" w:rsidRDefault="00120F3F" w:rsidP="00120F3F">
      <w:pPr>
        <w:pStyle w:val="CH3"/>
        <w:ind w:left="0" w:right="0" w:firstLine="0"/>
        <w:jc w:val="center"/>
        <w:rPr>
          <w:rFonts w:ascii="Arial" w:hAnsi="Arial" w:cs="Arial"/>
        </w:rPr>
      </w:pPr>
      <w:r w:rsidRPr="00D548CF">
        <w:rPr>
          <w:rFonts w:ascii="Arial" w:hAnsi="Arial" w:cs="Arial"/>
        </w:rPr>
        <w:t>Decabromodiphenyl ether</w:t>
      </w:r>
    </w:p>
    <w:p w14:paraId="44A86E64" w14:textId="77777777" w:rsidR="00120F3F" w:rsidRPr="00D548CF" w:rsidRDefault="00120F3F" w:rsidP="00090036">
      <w:pPr>
        <w:pStyle w:val="Normal-pool"/>
        <w:numPr>
          <w:ilvl w:val="0"/>
          <w:numId w:val="23"/>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rPr>
        <w:t xml:space="preserve">The production and use of decabromodiphenyl ether shall be eliminated except for Parties that have notified the Secretariat of their intention to produce and/or use it in accordance with Article 4. </w:t>
      </w:r>
    </w:p>
    <w:p w14:paraId="0C9FBFBC" w14:textId="77777777" w:rsidR="00120F3F" w:rsidRPr="00D548CF" w:rsidRDefault="00120F3F" w:rsidP="00090036">
      <w:pPr>
        <w:pStyle w:val="Normal-pool"/>
        <w:numPr>
          <w:ilvl w:val="0"/>
          <w:numId w:val="23"/>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rPr>
        <w:t>Specific exemptions for parts for use in vehicles may be available for the production and use of commercial decabromodiphenyl ether limited to the following:</w:t>
      </w:r>
    </w:p>
    <w:p w14:paraId="678B34C2" w14:textId="77777777" w:rsidR="00120F3F" w:rsidRPr="00D548CF" w:rsidRDefault="00120F3F" w:rsidP="00090036">
      <w:pPr>
        <w:pStyle w:val="Normal-pool"/>
        <w:numPr>
          <w:ilvl w:val="0"/>
          <w:numId w:val="24"/>
        </w:numPr>
        <w:tabs>
          <w:tab w:val="clear" w:pos="1247"/>
          <w:tab w:val="clear" w:pos="1814"/>
          <w:tab w:val="clear" w:pos="2381"/>
          <w:tab w:val="clear" w:pos="2948"/>
          <w:tab w:val="clear" w:pos="3515"/>
          <w:tab w:val="clear" w:pos="4082"/>
          <w:tab w:val="left" w:pos="624"/>
          <w:tab w:val="left" w:pos="2340"/>
        </w:tabs>
        <w:spacing w:after="120"/>
        <w:ind w:left="1800" w:firstLine="540"/>
        <w:rPr>
          <w:rFonts w:ascii="Arial" w:hAnsi="Arial" w:cs="Arial"/>
        </w:rPr>
      </w:pPr>
      <w:r w:rsidRPr="00D548CF">
        <w:rPr>
          <w:rFonts w:ascii="Arial" w:hAnsi="Arial" w:cs="Arial"/>
        </w:rPr>
        <w:t>Parts for use in legacy vehicles, defined as vehicles that have ceased mass production, and with such parts falling into one or more of the following categories:</w:t>
      </w:r>
    </w:p>
    <w:p w14:paraId="6273EFC9"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3420" w:hanging="540"/>
        <w:rPr>
          <w:rFonts w:ascii="Arial" w:hAnsi="Arial" w:cs="Arial"/>
        </w:rPr>
      </w:pPr>
      <w:r w:rsidRPr="00D548CF">
        <w:rPr>
          <w:rFonts w:ascii="Arial" w:hAnsi="Arial" w:cs="Arial"/>
        </w:rPr>
        <w:t>(i)</w:t>
      </w:r>
      <w:r w:rsidRPr="00D548CF">
        <w:rPr>
          <w:rFonts w:ascii="Arial" w:hAnsi="Arial" w:cs="Arial"/>
        </w:rPr>
        <w:tab/>
        <w:t xml:space="preserve">Powertrain and under-hood applications such as battery mass wires, battery interconnection wires, mobile air-conditioning </w:t>
      </w:r>
      <w:r w:rsidRPr="00D548CF">
        <w:rPr>
          <w:rFonts w:ascii="Arial" w:hAnsi="Arial" w:cs="Arial"/>
        </w:rPr>
        <w:lastRenderedPageBreak/>
        <w:t>(MAC) pipes, powertrains, exhaust manifold bushings, under-hood insulation, wiring and harness under hood (engine wiring, etc.), speed sensors, hoses, fan modules and knock sensors;</w:t>
      </w:r>
    </w:p>
    <w:p w14:paraId="14C2CEC9"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3420" w:hanging="540"/>
        <w:rPr>
          <w:rFonts w:ascii="Arial" w:hAnsi="Arial" w:cs="Arial"/>
        </w:rPr>
      </w:pPr>
      <w:r w:rsidRPr="00D548CF">
        <w:rPr>
          <w:rFonts w:ascii="Arial" w:hAnsi="Arial" w:cs="Arial"/>
        </w:rPr>
        <w:t>(ii)</w:t>
      </w:r>
      <w:r w:rsidRPr="00D548CF">
        <w:rPr>
          <w:rFonts w:ascii="Arial" w:hAnsi="Arial" w:cs="Arial"/>
        </w:rPr>
        <w:tab/>
        <w:t>Fuel system applications such as fuel hoses, fuel tanks and fuel tanks under body;</w:t>
      </w:r>
    </w:p>
    <w:p w14:paraId="1083A38E"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3420" w:hanging="540"/>
        <w:rPr>
          <w:rFonts w:ascii="Arial" w:hAnsi="Arial" w:cs="Arial"/>
        </w:rPr>
      </w:pPr>
      <w:r w:rsidRPr="00D548CF">
        <w:rPr>
          <w:rFonts w:ascii="Arial" w:hAnsi="Arial" w:cs="Arial"/>
        </w:rPr>
        <w:t>(iii)</w:t>
      </w:r>
      <w:r w:rsidRPr="00D548CF">
        <w:rPr>
          <w:rFonts w:ascii="Arial" w:hAnsi="Arial" w:cs="Arial"/>
        </w:rPr>
        <w:tab/>
        <w:t>Pyrotechnical devices and applications affected by pyrotechnical devices such as air bag ignition cables, seat covers/fabrics (only if airbag relevant) and airbags (front and side);</w:t>
      </w:r>
    </w:p>
    <w:p w14:paraId="25262A59" w14:textId="77777777" w:rsidR="00120F3F" w:rsidRPr="00D548CF" w:rsidRDefault="00120F3F" w:rsidP="00120F3F">
      <w:pPr>
        <w:pStyle w:val="Normal-pool"/>
        <w:tabs>
          <w:tab w:val="clear" w:pos="1247"/>
          <w:tab w:val="clear" w:pos="1814"/>
          <w:tab w:val="clear" w:pos="2381"/>
          <w:tab w:val="clear" w:pos="2948"/>
          <w:tab w:val="clear" w:pos="3515"/>
          <w:tab w:val="left" w:pos="624"/>
        </w:tabs>
        <w:spacing w:after="120"/>
        <w:ind w:left="3420" w:hanging="540"/>
        <w:rPr>
          <w:rFonts w:ascii="Arial" w:hAnsi="Arial" w:cs="Arial"/>
        </w:rPr>
      </w:pPr>
      <w:r w:rsidRPr="00D548CF">
        <w:rPr>
          <w:rFonts w:ascii="Arial" w:hAnsi="Arial" w:cs="Arial"/>
        </w:rPr>
        <w:t>(iv)</w:t>
      </w:r>
      <w:r w:rsidRPr="00D548CF">
        <w:rPr>
          <w:rFonts w:ascii="Arial" w:hAnsi="Arial" w:cs="Arial"/>
        </w:rPr>
        <w:tab/>
        <w:t>Suspension and interior applications such as trim components, acoustic material and seat belts.</w:t>
      </w:r>
    </w:p>
    <w:p w14:paraId="44334ECE" w14:textId="77777777" w:rsidR="00120F3F" w:rsidRPr="00D548CF" w:rsidRDefault="00120F3F" w:rsidP="00090036">
      <w:pPr>
        <w:pStyle w:val="Normal-pool"/>
        <w:numPr>
          <w:ilvl w:val="0"/>
          <w:numId w:val="24"/>
        </w:numPr>
        <w:tabs>
          <w:tab w:val="clear" w:pos="1247"/>
          <w:tab w:val="clear" w:pos="1814"/>
          <w:tab w:val="clear" w:pos="2381"/>
          <w:tab w:val="clear" w:pos="2948"/>
          <w:tab w:val="clear" w:pos="3515"/>
          <w:tab w:val="clear" w:pos="4082"/>
          <w:tab w:val="left" w:pos="624"/>
        </w:tabs>
        <w:spacing w:after="120"/>
        <w:ind w:left="1800" w:firstLine="540"/>
        <w:rPr>
          <w:rFonts w:ascii="Arial" w:hAnsi="Arial" w:cs="Arial"/>
        </w:rPr>
      </w:pPr>
      <w:r w:rsidRPr="00D548CF">
        <w:rPr>
          <w:rFonts w:ascii="Arial" w:hAnsi="Arial" w:cs="Arial"/>
        </w:rPr>
        <w:t>Parts in vehicles specified in paragraphs 2 (a) (i)–(iv) above and those falling into one or more of the following categories:</w:t>
      </w:r>
    </w:p>
    <w:p w14:paraId="7F6310B2" w14:textId="77777777" w:rsidR="00120F3F" w:rsidRPr="00D548CF" w:rsidRDefault="00120F3F" w:rsidP="00090036">
      <w:pPr>
        <w:pStyle w:val="Normal-pool"/>
        <w:numPr>
          <w:ilvl w:val="0"/>
          <w:numId w:val="26"/>
        </w:numPr>
        <w:tabs>
          <w:tab w:val="clear" w:pos="1247"/>
          <w:tab w:val="clear" w:pos="1814"/>
          <w:tab w:val="clear" w:pos="2381"/>
          <w:tab w:val="clear" w:pos="2948"/>
          <w:tab w:val="clear" w:pos="3515"/>
          <w:tab w:val="clear" w:pos="4082"/>
          <w:tab w:val="left" w:pos="624"/>
        </w:tabs>
        <w:spacing w:after="120"/>
        <w:ind w:left="3510" w:hanging="270"/>
        <w:rPr>
          <w:rFonts w:ascii="Arial" w:hAnsi="Arial" w:cs="Arial"/>
        </w:rPr>
      </w:pPr>
      <w:r w:rsidRPr="00D548CF">
        <w:rPr>
          <w:rFonts w:ascii="Arial" w:hAnsi="Arial" w:cs="Arial"/>
        </w:rPr>
        <w:t>Reinforced plastics (instrument panels and interior trim);</w:t>
      </w:r>
    </w:p>
    <w:p w14:paraId="16847108" w14:textId="77777777" w:rsidR="00120F3F" w:rsidRPr="00D548CF" w:rsidRDefault="00120F3F" w:rsidP="00090036">
      <w:pPr>
        <w:pStyle w:val="Normal-pool"/>
        <w:numPr>
          <w:ilvl w:val="0"/>
          <w:numId w:val="26"/>
        </w:numPr>
        <w:tabs>
          <w:tab w:val="clear" w:pos="1247"/>
          <w:tab w:val="clear" w:pos="1814"/>
          <w:tab w:val="clear" w:pos="2381"/>
          <w:tab w:val="clear" w:pos="2948"/>
          <w:tab w:val="clear" w:pos="3515"/>
          <w:tab w:val="clear" w:pos="4082"/>
          <w:tab w:val="left" w:pos="624"/>
        </w:tabs>
        <w:spacing w:after="120"/>
        <w:ind w:left="3510" w:hanging="270"/>
        <w:rPr>
          <w:rFonts w:ascii="Arial" w:hAnsi="Arial" w:cs="Arial"/>
        </w:rPr>
      </w:pPr>
      <w:r w:rsidRPr="00D548CF">
        <w:rPr>
          <w:rFonts w:ascii="Arial" w:hAnsi="Arial" w:cs="Arial"/>
        </w:rPr>
        <w:t>Under the hood or dash (terminal/fuse blocks, higher-amperage wires and cable jacketing (spark plug wires));</w:t>
      </w:r>
    </w:p>
    <w:p w14:paraId="71F0F6D3" w14:textId="77777777" w:rsidR="00120F3F" w:rsidRPr="00D548CF" w:rsidRDefault="00120F3F" w:rsidP="00090036">
      <w:pPr>
        <w:pStyle w:val="Normal-pool"/>
        <w:numPr>
          <w:ilvl w:val="0"/>
          <w:numId w:val="26"/>
        </w:numPr>
        <w:tabs>
          <w:tab w:val="clear" w:pos="1247"/>
          <w:tab w:val="clear" w:pos="1814"/>
          <w:tab w:val="clear" w:pos="2381"/>
          <w:tab w:val="clear" w:pos="2948"/>
          <w:tab w:val="clear" w:pos="3515"/>
          <w:tab w:val="clear" w:pos="4082"/>
          <w:tab w:val="left" w:pos="624"/>
        </w:tabs>
        <w:spacing w:after="120"/>
        <w:ind w:left="3510" w:hanging="270"/>
        <w:rPr>
          <w:rFonts w:ascii="Arial" w:hAnsi="Arial" w:cs="Arial"/>
        </w:rPr>
      </w:pPr>
      <w:r w:rsidRPr="00D548CF">
        <w:rPr>
          <w:rFonts w:ascii="Arial" w:hAnsi="Arial" w:cs="Arial"/>
        </w:rPr>
        <w:t>Electric and electronic equipment (battery cases and battery trays, engine control electrical connectors, components of radio disks, navigation satellite systems, global positioning systems and computer systems);</w:t>
      </w:r>
    </w:p>
    <w:p w14:paraId="443A0253" w14:textId="77777777" w:rsidR="00120F3F" w:rsidRPr="00D548CF" w:rsidRDefault="00120F3F" w:rsidP="00090036">
      <w:pPr>
        <w:pStyle w:val="Normal-pool"/>
        <w:numPr>
          <w:ilvl w:val="0"/>
          <w:numId w:val="26"/>
        </w:numPr>
        <w:tabs>
          <w:tab w:val="clear" w:pos="1247"/>
          <w:tab w:val="clear" w:pos="1814"/>
          <w:tab w:val="clear" w:pos="2381"/>
          <w:tab w:val="clear" w:pos="2948"/>
          <w:tab w:val="clear" w:pos="3515"/>
          <w:tab w:val="clear" w:pos="4082"/>
          <w:tab w:val="left" w:pos="624"/>
        </w:tabs>
        <w:spacing w:after="120"/>
        <w:ind w:left="3510" w:hanging="270"/>
        <w:rPr>
          <w:rFonts w:ascii="Arial" w:hAnsi="Arial" w:cs="Arial"/>
        </w:rPr>
      </w:pPr>
      <w:r w:rsidRPr="00D548CF">
        <w:rPr>
          <w:rFonts w:ascii="Arial" w:hAnsi="Arial" w:cs="Arial"/>
        </w:rPr>
        <w:t>Fabric such as rear decks, upholstery, headliners, automobile seats, head rests, sun visors, trim panels, carpets.</w:t>
      </w:r>
    </w:p>
    <w:p w14:paraId="007805CB" w14:textId="77777777" w:rsidR="00120F3F" w:rsidRPr="00D548CF" w:rsidRDefault="00120F3F" w:rsidP="00090036">
      <w:pPr>
        <w:pStyle w:val="Normal-pool"/>
        <w:numPr>
          <w:ilvl w:val="0"/>
          <w:numId w:val="23"/>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rPr>
        <w:t>The specific exemptions for parts specified in paragraph 2 (a) above shall expire at the end of the service life of legacy vehicles or in 2036, whichever comes earlier.</w:t>
      </w:r>
    </w:p>
    <w:p w14:paraId="1782F5D8" w14:textId="77777777" w:rsidR="00120F3F" w:rsidRPr="00D548CF" w:rsidRDefault="00120F3F" w:rsidP="00090036">
      <w:pPr>
        <w:pStyle w:val="Normal-pool"/>
        <w:numPr>
          <w:ilvl w:val="0"/>
          <w:numId w:val="23"/>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rPr>
        <w:t>The specific exemptions for parts specified in paragraph 2 (b) above shall expire at the end of the service life of vehicles or in 2036, whichever comes earlier.</w:t>
      </w:r>
    </w:p>
    <w:p w14:paraId="161E22AF" w14:textId="77777777" w:rsidR="00120F3F" w:rsidRPr="00D548CF" w:rsidRDefault="00120F3F" w:rsidP="00090036">
      <w:pPr>
        <w:pStyle w:val="Normal-pool"/>
        <w:numPr>
          <w:ilvl w:val="0"/>
          <w:numId w:val="23"/>
        </w:numPr>
        <w:tabs>
          <w:tab w:val="clear" w:pos="1247"/>
          <w:tab w:val="clear" w:pos="1814"/>
          <w:tab w:val="clear" w:pos="2381"/>
          <w:tab w:val="clear" w:pos="2948"/>
          <w:tab w:val="clear" w:pos="3515"/>
          <w:tab w:val="clear" w:pos="4082"/>
          <w:tab w:val="left" w:pos="2410"/>
        </w:tabs>
        <w:spacing w:after="120"/>
        <w:ind w:left="1247" w:firstLine="624"/>
        <w:rPr>
          <w:rFonts w:ascii="Arial" w:hAnsi="Arial" w:cs="Arial"/>
        </w:rPr>
      </w:pPr>
      <w:r w:rsidRPr="00D548CF">
        <w:rPr>
          <w:rFonts w:ascii="Arial" w:hAnsi="Arial" w:cs="Arial"/>
        </w:rPr>
        <w:t>The specific exemptions for spare parts for aircraft for which type approval has been applied for before December 2018 and has been received before December 2022 shall expire at the end of the service life of those aircraft.</w:t>
      </w:r>
    </w:p>
    <w:p w14:paraId="743DC23A" w14:textId="77777777" w:rsidR="00F70C60" w:rsidRDefault="00F70C60" w:rsidP="00120F3F">
      <w:pPr>
        <w:rPr>
          <w:rFonts w:ascii="Arial" w:hAnsi="Arial" w:cs="Arial"/>
        </w:rPr>
        <w:sectPr w:rsidR="00F70C60" w:rsidSect="00D66C83">
          <w:footnotePr>
            <w:numRestart w:val="eachSect"/>
          </w:footnotePr>
          <w:pgSz w:w="11906" w:h="16838"/>
          <w:pgMar w:top="1417" w:right="1417" w:bottom="1417" w:left="1417" w:header="708" w:footer="708" w:gutter="0"/>
          <w:cols w:space="708"/>
          <w:docGrid w:linePitch="360"/>
        </w:sectPr>
      </w:pPr>
    </w:p>
    <w:p w14:paraId="1DC6B55E" w14:textId="77777777" w:rsidR="00120F3F" w:rsidRPr="00D548CF" w:rsidRDefault="00120F3F" w:rsidP="00120F3F">
      <w:pPr>
        <w:keepNext/>
        <w:keepLines/>
        <w:suppressAutoHyphens/>
        <w:spacing w:before="320" w:after="240" w:line="240" w:lineRule="auto"/>
        <w:ind w:left="1247" w:right="567"/>
        <w:rPr>
          <w:rFonts w:ascii="Arial" w:eastAsia="Times New Roman" w:hAnsi="Arial" w:cs="Arial"/>
          <w:sz w:val="24"/>
          <w:szCs w:val="20"/>
          <w:lang w:val="en-GB"/>
        </w:rPr>
      </w:pPr>
      <w:r w:rsidRPr="00D548CF">
        <w:rPr>
          <w:rFonts w:ascii="Arial" w:eastAsia="Times New Roman" w:hAnsi="Arial" w:cs="Arial"/>
          <w:b/>
          <w:sz w:val="28"/>
          <w:szCs w:val="28"/>
          <w:lang w:val="en-GB"/>
        </w:rPr>
        <w:lastRenderedPageBreak/>
        <w:t>SC-8/11: Listing of short-chain chlorinated paraffins</w:t>
      </w:r>
    </w:p>
    <w:p w14:paraId="6B288A3F" w14:textId="77777777" w:rsidR="00120F3F" w:rsidRPr="00D548CF" w:rsidRDefault="00120F3F" w:rsidP="00120F3F">
      <w:pPr>
        <w:tabs>
          <w:tab w:val="left" w:pos="624"/>
          <w:tab w:val="left" w:pos="4082"/>
        </w:tabs>
        <w:spacing w:after="120" w:line="240" w:lineRule="auto"/>
        <w:ind w:left="1247" w:firstLine="624"/>
        <w:rPr>
          <w:rFonts w:ascii="Arial" w:eastAsia="Times New Roman" w:hAnsi="Arial" w:cs="Arial"/>
          <w:i/>
          <w:sz w:val="20"/>
          <w:szCs w:val="20"/>
          <w:lang w:val="en-GB"/>
        </w:rPr>
      </w:pPr>
      <w:r w:rsidRPr="00D548CF">
        <w:rPr>
          <w:rFonts w:ascii="Arial" w:eastAsia="Times New Roman" w:hAnsi="Arial" w:cs="Arial"/>
          <w:i/>
          <w:sz w:val="20"/>
          <w:szCs w:val="20"/>
          <w:lang w:val="en-GB"/>
        </w:rPr>
        <w:t>The Conference of the Parties,</w:t>
      </w:r>
    </w:p>
    <w:p w14:paraId="0D4C8E72" w14:textId="77777777" w:rsidR="00120F3F" w:rsidRPr="00D548CF" w:rsidRDefault="00120F3F" w:rsidP="00120F3F">
      <w:pPr>
        <w:tabs>
          <w:tab w:val="left" w:pos="624"/>
          <w:tab w:val="left" w:pos="4082"/>
        </w:tabs>
        <w:spacing w:after="120" w:line="240" w:lineRule="auto"/>
        <w:ind w:left="1247" w:firstLine="624"/>
        <w:rPr>
          <w:rFonts w:ascii="Arial" w:eastAsia="Times New Roman" w:hAnsi="Arial" w:cs="Arial"/>
          <w:sz w:val="20"/>
          <w:szCs w:val="20"/>
          <w:lang w:val="en-GB"/>
        </w:rPr>
      </w:pPr>
      <w:r w:rsidRPr="00D548CF">
        <w:rPr>
          <w:rFonts w:ascii="Arial" w:eastAsia="Times New Roman" w:hAnsi="Arial" w:cs="Arial"/>
          <w:i/>
          <w:sz w:val="20"/>
          <w:szCs w:val="20"/>
          <w:lang w:val="en-GB"/>
        </w:rPr>
        <w:t>Having considered</w:t>
      </w:r>
      <w:r w:rsidRPr="00D548CF">
        <w:rPr>
          <w:rFonts w:ascii="Arial" w:eastAsia="Times New Roman" w:hAnsi="Arial" w:cs="Arial"/>
          <w:sz w:val="20"/>
          <w:szCs w:val="20"/>
          <w:lang w:val="en-GB"/>
        </w:rPr>
        <w:t xml:space="preserve"> the risk profile and the risk management evaluation for short-chain chlorinated paraffins as transmitted by the Persistent Organic Pollutants Review Committee,</w:t>
      </w:r>
      <w:r w:rsidRPr="00D548CF">
        <w:rPr>
          <w:rFonts w:ascii="Arial" w:eastAsia="Times New Roman" w:hAnsi="Arial" w:cs="Arial"/>
          <w:sz w:val="18"/>
          <w:szCs w:val="20"/>
          <w:vertAlign w:val="superscript"/>
          <w:lang w:val="en-GB"/>
        </w:rPr>
        <w:footnoteReference w:id="31"/>
      </w:r>
    </w:p>
    <w:p w14:paraId="4D01731F" w14:textId="77777777" w:rsidR="00120F3F" w:rsidRPr="00D548CF" w:rsidRDefault="00120F3F" w:rsidP="00120F3F">
      <w:pPr>
        <w:tabs>
          <w:tab w:val="left" w:pos="624"/>
          <w:tab w:val="left" w:pos="4082"/>
        </w:tabs>
        <w:spacing w:after="120" w:line="240" w:lineRule="auto"/>
        <w:ind w:left="1247" w:firstLine="624"/>
        <w:rPr>
          <w:rFonts w:ascii="Arial" w:eastAsia="Times New Roman" w:hAnsi="Arial" w:cs="Arial"/>
          <w:sz w:val="20"/>
          <w:szCs w:val="20"/>
          <w:lang w:val="en-GB"/>
        </w:rPr>
      </w:pPr>
      <w:r w:rsidRPr="00D548CF">
        <w:rPr>
          <w:rFonts w:ascii="Arial" w:eastAsia="Times New Roman" w:hAnsi="Arial" w:cs="Arial"/>
          <w:i/>
          <w:sz w:val="20"/>
          <w:szCs w:val="20"/>
          <w:lang w:val="en-GB"/>
        </w:rPr>
        <w:t>Taking note</w:t>
      </w:r>
      <w:r w:rsidRPr="00D548CF">
        <w:rPr>
          <w:rFonts w:ascii="Arial" w:eastAsia="Times New Roman" w:hAnsi="Arial" w:cs="Arial"/>
          <w:sz w:val="20"/>
          <w:szCs w:val="20"/>
          <w:lang w:val="en-GB"/>
        </w:rPr>
        <w:t xml:space="preserve"> of the recommendation by the Persistent Organic Pollutants Review Committee that short-chain chlorinated paraffins be listed in Annex A to the Convention with controls to limit the presence of short-chain chlorinated paraffins in other chlorinated paraffin mixtures, with or without specific exemptions,</w:t>
      </w:r>
      <w:r w:rsidRPr="00D548CF">
        <w:rPr>
          <w:rFonts w:ascii="Arial" w:eastAsia="Times New Roman" w:hAnsi="Arial" w:cs="Arial"/>
          <w:sz w:val="18"/>
          <w:szCs w:val="20"/>
          <w:vertAlign w:val="superscript"/>
          <w:lang w:val="en-GB"/>
        </w:rPr>
        <w:footnoteReference w:id="32"/>
      </w:r>
      <w:r w:rsidRPr="00D548CF">
        <w:rPr>
          <w:rFonts w:ascii="Arial" w:eastAsia="Times New Roman" w:hAnsi="Arial" w:cs="Arial"/>
          <w:sz w:val="20"/>
          <w:szCs w:val="20"/>
          <w:lang w:val="en-GB"/>
        </w:rPr>
        <w:t xml:space="preserve"> </w:t>
      </w:r>
    </w:p>
    <w:p w14:paraId="4BAA3F95" w14:textId="77777777" w:rsidR="00120F3F" w:rsidRPr="00D548CF" w:rsidRDefault="00120F3F" w:rsidP="00090036">
      <w:pPr>
        <w:numPr>
          <w:ilvl w:val="0"/>
          <w:numId w:val="29"/>
        </w:numPr>
        <w:tabs>
          <w:tab w:val="left" w:pos="2410"/>
        </w:tabs>
        <w:spacing w:after="120" w:line="240" w:lineRule="auto"/>
        <w:ind w:left="1247" w:firstLine="624"/>
        <w:rPr>
          <w:rFonts w:ascii="Arial" w:eastAsia="Times New Roman" w:hAnsi="Arial" w:cs="Arial"/>
          <w:sz w:val="20"/>
          <w:szCs w:val="20"/>
          <w:lang w:val="en-GB"/>
        </w:rPr>
      </w:pPr>
      <w:r w:rsidRPr="00D548CF">
        <w:rPr>
          <w:rFonts w:ascii="Arial" w:eastAsia="Times New Roman" w:hAnsi="Arial" w:cs="Arial"/>
          <w:i/>
          <w:sz w:val="20"/>
          <w:szCs w:val="20"/>
          <w:lang w:val="en-GB"/>
        </w:rPr>
        <w:t>Decides</w:t>
      </w:r>
      <w:r w:rsidRPr="00D548CF">
        <w:rPr>
          <w:rFonts w:ascii="Arial" w:eastAsia="Times New Roman" w:hAnsi="Arial" w:cs="Arial"/>
          <w:sz w:val="20"/>
          <w:szCs w:val="20"/>
          <w:lang w:val="en-GB"/>
        </w:rPr>
        <w:t xml:space="preserve"> to amend part I of Annex A to the Stockholm Convention on Persistent Organic Pollutants to list short-chain chlorinated paraffins therein, with specific exemptions, by inserting the following </w:t>
      </w:r>
      <w:r w:rsidRPr="00D548CF">
        <w:rPr>
          <w:rFonts w:ascii="Arial" w:eastAsia="Times New Roman" w:hAnsi="Arial" w:cs="Arial"/>
          <w:iCs/>
          <w:color w:val="000000"/>
          <w:sz w:val="20"/>
          <w:szCs w:val="20"/>
          <w:lang w:val="en-GB"/>
        </w:rPr>
        <w:t>row</w:t>
      </w:r>
      <w:r w:rsidRPr="00D548CF">
        <w:rPr>
          <w:rFonts w:ascii="Arial" w:eastAsia="Times New Roman" w:hAnsi="Arial" w:cs="Arial"/>
          <w:sz w:val="20"/>
          <w:szCs w:val="20"/>
          <w:lang w:val="en-GB"/>
        </w:rPr>
        <w:t>:</w:t>
      </w:r>
    </w:p>
    <w:tbl>
      <w:tblPr>
        <w:tblW w:w="8222" w:type="dxa"/>
        <w:tblInd w:w="1384" w:type="dxa"/>
        <w:tblLayout w:type="fixed"/>
        <w:tblLook w:val="0000" w:firstRow="0" w:lastRow="0" w:firstColumn="0" w:lastColumn="0" w:noHBand="0" w:noVBand="0"/>
      </w:tblPr>
      <w:tblGrid>
        <w:gridCol w:w="3827"/>
        <w:gridCol w:w="1280"/>
        <w:gridCol w:w="3115"/>
      </w:tblGrid>
      <w:tr w:rsidR="00120F3F" w:rsidRPr="00D548CF" w14:paraId="6822CED2" w14:textId="77777777" w:rsidTr="00443B8B">
        <w:trPr>
          <w:trHeight w:val="489"/>
          <w:tblHeader/>
        </w:trPr>
        <w:tc>
          <w:tcPr>
            <w:tcW w:w="3827" w:type="dxa"/>
            <w:tcBorders>
              <w:top w:val="single" w:sz="4" w:space="0" w:color="auto"/>
              <w:bottom w:val="single" w:sz="12" w:space="0" w:color="auto"/>
            </w:tcBorders>
            <w:shd w:val="clear" w:color="E7E6E6" w:themeColor="background2" w:fill="FFFFFF"/>
          </w:tcPr>
          <w:p w14:paraId="5D56105E" w14:textId="77777777" w:rsidR="00120F3F" w:rsidRPr="00D548CF" w:rsidRDefault="00120F3F" w:rsidP="00BE3A18">
            <w:pPr>
              <w:keepNext/>
              <w:spacing w:before="40" w:after="40" w:line="240" w:lineRule="auto"/>
              <w:rPr>
                <w:rFonts w:ascii="Arial" w:eastAsia="Times New Roman" w:hAnsi="Arial" w:cs="Arial"/>
                <w:b/>
                <w:sz w:val="18"/>
                <w:szCs w:val="18"/>
                <w:lang w:val="en-GB"/>
              </w:rPr>
            </w:pPr>
            <w:r w:rsidRPr="00D548CF">
              <w:rPr>
                <w:rFonts w:ascii="Arial" w:eastAsia="Times New Roman" w:hAnsi="Arial" w:cs="Arial"/>
                <w:b/>
                <w:sz w:val="18"/>
                <w:szCs w:val="18"/>
                <w:lang w:val="en-GB"/>
              </w:rPr>
              <w:t xml:space="preserve"> Chemical </w:t>
            </w:r>
          </w:p>
        </w:tc>
        <w:tc>
          <w:tcPr>
            <w:tcW w:w="1280" w:type="dxa"/>
            <w:tcBorders>
              <w:top w:val="single" w:sz="4" w:space="0" w:color="auto"/>
              <w:bottom w:val="single" w:sz="12" w:space="0" w:color="auto"/>
            </w:tcBorders>
            <w:shd w:val="clear" w:color="E7E6E6" w:themeColor="background2" w:fill="FFFFFF"/>
          </w:tcPr>
          <w:p w14:paraId="49BECCCD" w14:textId="77777777" w:rsidR="00120F3F" w:rsidRPr="00D548CF" w:rsidRDefault="00120F3F" w:rsidP="00BE3A18">
            <w:pPr>
              <w:keepNext/>
              <w:spacing w:before="40" w:after="40" w:line="240" w:lineRule="auto"/>
              <w:rPr>
                <w:rFonts w:ascii="Arial" w:eastAsia="Times New Roman" w:hAnsi="Arial" w:cs="Arial"/>
                <w:b/>
                <w:sz w:val="18"/>
                <w:szCs w:val="18"/>
                <w:lang w:val="en-GB"/>
              </w:rPr>
            </w:pPr>
            <w:r w:rsidRPr="00D548CF">
              <w:rPr>
                <w:rFonts w:ascii="Arial" w:eastAsia="Times New Roman" w:hAnsi="Arial" w:cs="Arial"/>
                <w:b/>
                <w:sz w:val="18"/>
                <w:szCs w:val="18"/>
                <w:lang w:val="en-GB"/>
              </w:rPr>
              <w:t>Activity</w:t>
            </w:r>
          </w:p>
        </w:tc>
        <w:tc>
          <w:tcPr>
            <w:tcW w:w="3115" w:type="dxa"/>
            <w:tcBorders>
              <w:top w:val="single" w:sz="4" w:space="0" w:color="auto"/>
              <w:bottom w:val="single" w:sz="12" w:space="0" w:color="auto"/>
            </w:tcBorders>
            <w:shd w:val="clear" w:color="E7E6E6" w:themeColor="background2" w:fill="FFFFFF"/>
          </w:tcPr>
          <w:p w14:paraId="37C3A878" w14:textId="77777777" w:rsidR="00120F3F" w:rsidRPr="00D548CF" w:rsidRDefault="00120F3F" w:rsidP="00BE3A18">
            <w:pPr>
              <w:keepNext/>
              <w:spacing w:before="40" w:after="40" w:line="240" w:lineRule="auto"/>
              <w:rPr>
                <w:rFonts w:ascii="Arial" w:eastAsia="Times New Roman" w:hAnsi="Arial" w:cs="Arial"/>
                <w:b/>
                <w:sz w:val="18"/>
                <w:szCs w:val="18"/>
                <w:lang w:val="en-GB"/>
              </w:rPr>
            </w:pPr>
            <w:r w:rsidRPr="00D548CF">
              <w:rPr>
                <w:rFonts w:ascii="Arial" w:eastAsia="Times New Roman" w:hAnsi="Arial" w:cs="Arial"/>
                <w:b/>
                <w:sz w:val="18"/>
                <w:szCs w:val="18"/>
                <w:lang w:val="en-GB"/>
              </w:rPr>
              <w:t>Specific exemption</w:t>
            </w:r>
          </w:p>
        </w:tc>
      </w:tr>
      <w:tr w:rsidR="00120F3F" w:rsidRPr="00D548CF" w14:paraId="094E5E3D" w14:textId="77777777" w:rsidTr="00BE3A18">
        <w:trPr>
          <w:trHeight w:val="533"/>
        </w:trPr>
        <w:tc>
          <w:tcPr>
            <w:tcW w:w="3827" w:type="dxa"/>
            <w:vMerge w:val="restart"/>
            <w:tcBorders>
              <w:top w:val="single" w:sz="12" w:space="0" w:color="auto"/>
            </w:tcBorders>
            <w:shd w:val="clear" w:color="auto" w:fill="auto"/>
          </w:tcPr>
          <w:p w14:paraId="1A653638"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bookmarkStart w:id="2" w:name="_Hlk499211623"/>
            <w:r w:rsidRPr="00D548CF">
              <w:rPr>
                <w:rFonts w:ascii="Arial" w:eastAsia="Times New Roman" w:hAnsi="Arial" w:cs="Arial"/>
                <w:sz w:val="18"/>
                <w:szCs w:val="18"/>
                <w:lang w:val="en-GB"/>
              </w:rPr>
              <w:t>Short-chain chlorinated paraffins (Alkanes, C</w:t>
            </w:r>
            <w:r w:rsidRPr="00D548CF">
              <w:rPr>
                <w:rFonts w:ascii="Arial" w:eastAsia="Times New Roman" w:hAnsi="Arial" w:cs="Arial"/>
                <w:sz w:val="18"/>
                <w:szCs w:val="18"/>
                <w:vertAlign w:val="subscript"/>
                <w:lang w:val="en-GB"/>
              </w:rPr>
              <w:t>10-13</w:t>
            </w:r>
            <w:r w:rsidRPr="00D548CF">
              <w:rPr>
                <w:rFonts w:ascii="Arial" w:eastAsia="Times New Roman" w:hAnsi="Arial" w:cs="Arial"/>
                <w:sz w:val="18"/>
                <w:szCs w:val="18"/>
                <w:lang w:val="en-GB"/>
              </w:rPr>
              <w:t>, chloro)</w:t>
            </w:r>
            <w:r w:rsidRPr="00D548CF">
              <w:rPr>
                <w:rFonts w:ascii="Arial" w:eastAsia="Times New Roman" w:hAnsi="Arial" w:cs="Arial"/>
                <w:sz w:val="18"/>
                <w:szCs w:val="18"/>
                <w:vertAlign w:val="superscript"/>
                <w:lang w:val="en-GB"/>
              </w:rPr>
              <w:t>+</w:t>
            </w:r>
            <w:r w:rsidRPr="00D548CF">
              <w:rPr>
                <w:rFonts w:ascii="Arial" w:eastAsia="Times New Roman" w:hAnsi="Arial" w:cs="Arial"/>
                <w:sz w:val="18"/>
                <w:szCs w:val="18"/>
                <w:lang w:val="en-GB"/>
              </w:rPr>
              <w:t>:</w:t>
            </w:r>
            <w:bookmarkEnd w:id="2"/>
            <w:r w:rsidRPr="00D548CF">
              <w:rPr>
                <w:rFonts w:ascii="Arial" w:eastAsia="Times New Roman" w:hAnsi="Arial" w:cs="Arial"/>
                <w:sz w:val="18"/>
                <w:szCs w:val="18"/>
                <w:lang w:val="en-GB"/>
              </w:rPr>
              <w:t xml:space="preserve"> straight-chain chlorinated hydrocarbons with chain lengths ranging from C</w:t>
            </w:r>
            <w:r w:rsidRPr="00D548CF">
              <w:rPr>
                <w:rFonts w:ascii="Arial" w:eastAsia="Times New Roman" w:hAnsi="Arial" w:cs="Arial"/>
                <w:sz w:val="18"/>
                <w:szCs w:val="18"/>
                <w:vertAlign w:val="subscript"/>
                <w:lang w:val="en-GB"/>
              </w:rPr>
              <w:t xml:space="preserve">10 </w:t>
            </w:r>
            <w:r w:rsidRPr="00D548CF">
              <w:rPr>
                <w:rFonts w:ascii="Arial" w:eastAsia="Times New Roman" w:hAnsi="Arial" w:cs="Arial"/>
                <w:sz w:val="18"/>
                <w:szCs w:val="18"/>
                <w:lang w:val="en-GB"/>
              </w:rPr>
              <w:t>to C</w:t>
            </w:r>
            <w:r w:rsidRPr="00D548CF">
              <w:rPr>
                <w:rFonts w:ascii="Arial" w:eastAsia="Times New Roman" w:hAnsi="Arial" w:cs="Arial"/>
                <w:sz w:val="18"/>
                <w:szCs w:val="18"/>
                <w:vertAlign w:val="subscript"/>
                <w:lang w:val="en-GB"/>
              </w:rPr>
              <w:t xml:space="preserve">13 </w:t>
            </w:r>
            <w:r w:rsidRPr="00D548CF">
              <w:rPr>
                <w:rFonts w:ascii="Arial" w:eastAsia="Times New Roman" w:hAnsi="Arial" w:cs="Arial"/>
                <w:sz w:val="18"/>
                <w:szCs w:val="18"/>
                <w:lang w:val="en-GB"/>
              </w:rPr>
              <w:t>and a content of chlorine greater than 48 per cent by weight</w:t>
            </w:r>
          </w:p>
          <w:p w14:paraId="37DDB359"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p>
          <w:p w14:paraId="4F362F3A"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r w:rsidRPr="00D548CF">
              <w:rPr>
                <w:rFonts w:ascii="Arial" w:eastAsia="Times New Roman" w:hAnsi="Arial" w:cs="Arial"/>
                <w:sz w:val="18"/>
                <w:szCs w:val="18"/>
                <w:lang w:val="en-GB"/>
              </w:rPr>
              <w:t>For example, the substances with the following CAS numbers may contain short-chain chlorinated paraffins:</w:t>
            </w:r>
          </w:p>
          <w:p w14:paraId="6CBEB25D"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 xml:space="preserve">CAS No. 85535-84-8; </w:t>
            </w:r>
          </w:p>
          <w:p w14:paraId="6ACD8202"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CAS No. 68920-70-7;</w:t>
            </w:r>
          </w:p>
          <w:p w14:paraId="69017A0A"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 xml:space="preserve">CAS No. 71011-12-6;  </w:t>
            </w:r>
          </w:p>
          <w:p w14:paraId="78B3C073"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 xml:space="preserve">CAS No. 85536-22-7; </w:t>
            </w:r>
          </w:p>
          <w:p w14:paraId="22EAEE6B"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 xml:space="preserve">CAS No. 85681-73-8; </w:t>
            </w:r>
          </w:p>
          <w:p w14:paraId="29C9556A" w14:textId="77777777" w:rsidR="00120F3F" w:rsidRPr="00D548CF" w:rsidRDefault="00120F3F" w:rsidP="00BE3A18">
            <w:pPr>
              <w:suppressAutoHyphens/>
              <w:spacing w:before="40" w:after="40" w:line="240" w:lineRule="auto"/>
              <w:rPr>
                <w:rFonts w:ascii="Arial" w:eastAsia="Times New Roman" w:hAnsi="Arial" w:cs="Arial"/>
                <w:sz w:val="18"/>
                <w:szCs w:val="18"/>
                <w:lang w:val="es-ES_tradnl"/>
              </w:rPr>
            </w:pPr>
            <w:r w:rsidRPr="00D548CF">
              <w:rPr>
                <w:rFonts w:ascii="Arial" w:eastAsia="Times New Roman" w:hAnsi="Arial" w:cs="Arial"/>
                <w:sz w:val="18"/>
                <w:szCs w:val="18"/>
                <w:lang w:val="es-ES_tradnl"/>
              </w:rPr>
              <w:t>CAS No. 108171-26-2.</w:t>
            </w:r>
          </w:p>
        </w:tc>
        <w:tc>
          <w:tcPr>
            <w:tcW w:w="1280" w:type="dxa"/>
            <w:tcBorders>
              <w:top w:val="single" w:sz="12" w:space="0" w:color="auto"/>
              <w:bottom w:val="single" w:sz="4" w:space="0" w:color="auto"/>
            </w:tcBorders>
            <w:shd w:val="clear" w:color="auto" w:fill="FFFFFF"/>
          </w:tcPr>
          <w:p w14:paraId="2BDE957B"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r w:rsidRPr="00D548CF">
              <w:rPr>
                <w:rFonts w:ascii="Arial" w:eastAsia="Times New Roman" w:hAnsi="Arial" w:cs="Arial"/>
                <w:sz w:val="18"/>
                <w:szCs w:val="18"/>
                <w:lang w:val="en-GB"/>
              </w:rPr>
              <w:t xml:space="preserve">Production </w:t>
            </w:r>
          </w:p>
        </w:tc>
        <w:tc>
          <w:tcPr>
            <w:tcW w:w="3115" w:type="dxa"/>
            <w:tcBorders>
              <w:top w:val="single" w:sz="12" w:space="0" w:color="auto"/>
              <w:bottom w:val="single" w:sz="4" w:space="0" w:color="auto"/>
            </w:tcBorders>
            <w:shd w:val="clear" w:color="auto" w:fill="FFFFFF"/>
          </w:tcPr>
          <w:p w14:paraId="15195E96"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r w:rsidRPr="00D548CF">
              <w:rPr>
                <w:rFonts w:ascii="Arial" w:eastAsia="Times New Roman" w:hAnsi="Arial" w:cs="Arial"/>
                <w:sz w:val="18"/>
                <w:szCs w:val="18"/>
                <w:lang w:val="en-GB"/>
              </w:rPr>
              <w:t>As allowed for the Parties listed in the Register</w:t>
            </w:r>
          </w:p>
        </w:tc>
      </w:tr>
      <w:tr w:rsidR="00120F3F" w:rsidRPr="00D548CF" w14:paraId="62890468" w14:textId="77777777" w:rsidTr="00BE3A18">
        <w:tc>
          <w:tcPr>
            <w:tcW w:w="3827" w:type="dxa"/>
            <w:vMerge/>
            <w:tcBorders>
              <w:bottom w:val="single" w:sz="12" w:space="0" w:color="auto"/>
            </w:tcBorders>
            <w:shd w:val="clear" w:color="auto" w:fill="auto"/>
            <w:vAlign w:val="center"/>
          </w:tcPr>
          <w:p w14:paraId="1E81F10D" w14:textId="77777777" w:rsidR="00120F3F" w:rsidRPr="00D548CF" w:rsidRDefault="00120F3F" w:rsidP="00BE3A18">
            <w:pPr>
              <w:spacing w:before="40" w:after="40" w:line="240" w:lineRule="auto"/>
              <w:rPr>
                <w:rFonts w:ascii="Arial" w:eastAsia="Times New Roman" w:hAnsi="Arial" w:cs="Arial"/>
                <w:b/>
                <w:sz w:val="18"/>
                <w:szCs w:val="18"/>
                <w:lang w:val="en-GB"/>
              </w:rPr>
            </w:pPr>
          </w:p>
        </w:tc>
        <w:tc>
          <w:tcPr>
            <w:tcW w:w="1280" w:type="dxa"/>
            <w:tcBorders>
              <w:top w:val="single" w:sz="4" w:space="0" w:color="auto"/>
              <w:bottom w:val="single" w:sz="12" w:space="0" w:color="auto"/>
            </w:tcBorders>
            <w:shd w:val="clear" w:color="auto" w:fill="auto"/>
          </w:tcPr>
          <w:p w14:paraId="7A093D9C" w14:textId="77777777" w:rsidR="00120F3F" w:rsidRPr="00D548CF" w:rsidRDefault="00120F3F" w:rsidP="00BE3A18">
            <w:pPr>
              <w:suppressAutoHyphens/>
              <w:spacing w:before="40" w:after="40" w:line="240" w:lineRule="auto"/>
              <w:rPr>
                <w:rFonts w:ascii="Arial" w:eastAsia="Times New Roman" w:hAnsi="Arial" w:cs="Arial"/>
                <w:sz w:val="18"/>
                <w:szCs w:val="18"/>
                <w:lang w:val="en-GB"/>
              </w:rPr>
            </w:pPr>
            <w:r w:rsidRPr="00D548CF">
              <w:rPr>
                <w:rFonts w:ascii="Arial" w:eastAsia="Times New Roman" w:hAnsi="Arial" w:cs="Arial"/>
                <w:sz w:val="18"/>
                <w:szCs w:val="18"/>
                <w:lang w:val="en-GB"/>
              </w:rPr>
              <w:t>Use</w:t>
            </w:r>
          </w:p>
        </w:tc>
        <w:tc>
          <w:tcPr>
            <w:tcW w:w="3115" w:type="dxa"/>
            <w:tcBorders>
              <w:top w:val="single" w:sz="4" w:space="0" w:color="auto"/>
              <w:bottom w:val="single" w:sz="12" w:space="0" w:color="auto"/>
            </w:tcBorders>
            <w:shd w:val="clear" w:color="auto" w:fill="auto"/>
          </w:tcPr>
          <w:p w14:paraId="4F8D8B39"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Additives in the production of transmission belts in the natural and synthetic rubber industry</w:t>
            </w:r>
          </w:p>
          <w:p w14:paraId="0422E5CC"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Spare parts of rubber conveyor belts in the mining and forestry industries</w:t>
            </w:r>
          </w:p>
          <w:p w14:paraId="49D67FA7"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Leather industry, in particular fatliquoring in leather</w:t>
            </w:r>
          </w:p>
          <w:p w14:paraId="44EBFA84"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Lubricant additives, in particular for engines of automobiles, electric generators and wind power facilities, and for drilling in oil and gas exploration and petroleum refining to produce diesel oil</w:t>
            </w:r>
          </w:p>
          <w:p w14:paraId="2BF6736B"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Tubes for outdoor decoration bulbs</w:t>
            </w:r>
          </w:p>
          <w:p w14:paraId="28B6A511"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Waterproofing and fire-retardant paints</w:t>
            </w:r>
          </w:p>
          <w:p w14:paraId="01E744D0"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Adhesives</w:t>
            </w:r>
          </w:p>
          <w:p w14:paraId="2047858E"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 xml:space="preserve">Metal processing </w:t>
            </w:r>
          </w:p>
          <w:p w14:paraId="72DB4F95" w14:textId="77777777" w:rsidR="00120F3F" w:rsidRPr="00D548CF" w:rsidRDefault="00120F3F" w:rsidP="00090036">
            <w:pPr>
              <w:numPr>
                <w:ilvl w:val="0"/>
                <w:numId w:val="27"/>
              </w:numPr>
              <w:suppressAutoHyphens/>
              <w:snapToGrid w:val="0"/>
              <w:spacing w:after="120" w:line="240" w:lineRule="auto"/>
              <w:ind w:left="216" w:hanging="216"/>
              <w:rPr>
                <w:rFonts w:ascii="Arial" w:eastAsia="Times New Roman" w:hAnsi="Arial" w:cs="Arial"/>
                <w:sz w:val="18"/>
                <w:szCs w:val="18"/>
                <w:lang w:val="en-GB"/>
              </w:rPr>
            </w:pPr>
            <w:r w:rsidRPr="00D548CF">
              <w:rPr>
                <w:rFonts w:ascii="Arial" w:eastAsia="Times New Roman" w:hAnsi="Arial" w:cs="Arial"/>
                <w:sz w:val="18"/>
                <w:szCs w:val="18"/>
                <w:lang w:val="en-GB"/>
              </w:rPr>
              <w:t>Secondary plasticizers in flexible polyvinyl chloride, except in toys and children’s products</w:t>
            </w:r>
          </w:p>
        </w:tc>
      </w:tr>
    </w:tbl>
    <w:p w14:paraId="3D7AFE98" w14:textId="77777777" w:rsidR="00120F3F" w:rsidRPr="00D548CF" w:rsidRDefault="00120F3F" w:rsidP="00090036">
      <w:pPr>
        <w:numPr>
          <w:ilvl w:val="0"/>
          <w:numId w:val="29"/>
        </w:numPr>
        <w:tabs>
          <w:tab w:val="left" w:pos="2410"/>
        </w:tabs>
        <w:spacing w:before="240" w:after="120" w:line="240" w:lineRule="auto"/>
        <w:ind w:left="1247" w:firstLine="624"/>
        <w:rPr>
          <w:rFonts w:ascii="Arial" w:eastAsia="Times New Roman" w:hAnsi="Arial" w:cs="Arial"/>
          <w:sz w:val="20"/>
          <w:szCs w:val="20"/>
          <w:lang w:val="en-GB"/>
        </w:rPr>
      </w:pPr>
      <w:r w:rsidRPr="00D548CF">
        <w:rPr>
          <w:rFonts w:ascii="Arial" w:eastAsia="Times New Roman" w:hAnsi="Arial" w:cs="Arial"/>
          <w:i/>
          <w:color w:val="000000"/>
          <w:sz w:val="20"/>
          <w:szCs w:val="20"/>
          <w:lang w:val="en-GB"/>
        </w:rPr>
        <w:t>Also decides</w:t>
      </w:r>
      <w:r w:rsidRPr="00D548CF">
        <w:rPr>
          <w:rFonts w:ascii="Arial" w:eastAsia="Times New Roman" w:hAnsi="Arial" w:cs="Arial"/>
          <w:color w:val="000000"/>
          <w:sz w:val="20"/>
          <w:szCs w:val="20"/>
          <w:lang w:val="en-GB"/>
        </w:rPr>
        <w:t xml:space="preserve"> to </w:t>
      </w:r>
      <w:r w:rsidRPr="00D548CF">
        <w:rPr>
          <w:rFonts w:ascii="Arial" w:eastAsia="Times New Roman" w:hAnsi="Arial" w:cs="Arial"/>
          <w:sz w:val="20"/>
          <w:szCs w:val="20"/>
          <w:lang w:val="en-GB"/>
        </w:rPr>
        <w:t>insert</w:t>
      </w:r>
      <w:r w:rsidRPr="00D548CF">
        <w:rPr>
          <w:rFonts w:ascii="Arial" w:eastAsia="Times New Roman" w:hAnsi="Arial" w:cs="Arial"/>
          <w:color w:val="000000"/>
          <w:sz w:val="20"/>
          <w:szCs w:val="20"/>
          <w:lang w:val="en-GB"/>
        </w:rPr>
        <w:t xml:space="preserve"> a </w:t>
      </w:r>
      <w:r w:rsidRPr="00D548CF">
        <w:rPr>
          <w:rFonts w:ascii="Arial" w:eastAsia="Times New Roman" w:hAnsi="Arial" w:cs="Arial"/>
          <w:sz w:val="20"/>
          <w:szCs w:val="20"/>
          <w:lang w:val="en-GB"/>
        </w:rPr>
        <w:t>new</w:t>
      </w:r>
      <w:r w:rsidRPr="00D548CF">
        <w:rPr>
          <w:rFonts w:ascii="Arial" w:eastAsia="Times New Roman" w:hAnsi="Arial" w:cs="Arial"/>
          <w:color w:val="000000"/>
          <w:sz w:val="20"/>
          <w:szCs w:val="20"/>
          <w:lang w:val="en-GB"/>
        </w:rPr>
        <w:t xml:space="preserve"> note (vii) in part I of Annex A, as follows:</w:t>
      </w:r>
    </w:p>
    <w:p w14:paraId="3285EDE1" w14:textId="77777777" w:rsidR="00120F3F" w:rsidRPr="00D548CF" w:rsidRDefault="00120F3F" w:rsidP="00090036">
      <w:pPr>
        <w:numPr>
          <w:ilvl w:val="2"/>
          <w:numId w:val="28"/>
        </w:numPr>
        <w:spacing w:after="120" w:line="240" w:lineRule="auto"/>
        <w:ind w:left="3119" w:hanging="624"/>
        <w:rPr>
          <w:rFonts w:ascii="Arial" w:eastAsia="Times New Roman" w:hAnsi="Arial" w:cs="Arial"/>
          <w:b/>
          <w:sz w:val="20"/>
          <w:szCs w:val="20"/>
          <w:lang w:val="en-GB"/>
        </w:rPr>
      </w:pPr>
      <w:r w:rsidRPr="00D548CF">
        <w:rPr>
          <w:rFonts w:ascii="Arial" w:eastAsia="Times New Roman" w:hAnsi="Arial" w:cs="Arial"/>
          <w:sz w:val="20"/>
          <w:szCs w:val="20"/>
          <w:lang w:val="en-GB"/>
        </w:rPr>
        <w:t>Note (i) does not apply to quantities of a chemical that has a plus sign (“+”) following its name in the “Chemical” column in Part I of this Annex that occurs in mixtures at concentrations greater than or equal to 1 per cent by weight.</w:t>
      </w:r>
      <w:r w:rsidRPr="00D548CF">
        <w:rPr>
          <w:rFonts w:ascii="Arial" w:eastAsia="Times New Roman" w:hAnsi="Arial" w:cs="Arial"/>
          <w:b/>
          <w:sz w:val="20"/>
          <w:szCs w:val="20"/>
          <w:lang w:val="en-GB"/>
        </w:rPr>
        <w:t xml:space="preserve"> </w:t>
      </w:r>
    </w:p>
    <w:p w14:paraId="44D36FBA" w14:textId="77777777" w:rsidR="00F70C60" w:rsidRDefault="00F70C60" w:rsidP="00120F3F">
      <w:pPr>
        <w:rPr>
          <w:rFonts w:ascii="Arial" w:hAnsi="Arial" w:cs="Arial"/>
        </w:rPr>
        <w:sectPr w:rsidR="00F70C60" w:rsidSect="00D66C83">
          <w:footnotePr>
            <w:numRestart w:val="eachSect"/>
          </w:footnotePr>
          <w:pgSz w:w="11906" w:h="16838"/>
          <w:pgMar w:top="1417" w:right="1417" w:bottom="1417" w:left="1417" w:header="708" w:footer="708" w:gutter="0"/>
          <w:cols w:space="708"/>
          <w:docGrid w:linePitch="360"/>
        </w:sectPr>
      </w:pPr>
    </w:p>
    <w:p w14:paraId="54D4182E" w14:textId="77777777" w:rsidR="00120F3F" w:rsidRPr="00D548CF" w:rsidRDefault="00120F3F" w:rsidP="00120F3F">
      <w:pPr>
        <w:keepNext/>
        <w:keepLines/>
        <w:suppressAutoHyphens/>
        <w:spacing w:before="320" w:after="240"/>
        <w:ind w:left="1238" w:right="567"/>
        <w:rPr>
          <w:rFonts w:ascii="Arial" w:hAnsi="Arial" w:cs="Arial"/>
          <w:b/>
          <w:sz w:val="28"/>
          <w:szCs w:val="28"/>
        </w:rPr>
      </w:pPr>
      <w:r w:rsidRPr="00D548CF">
        <w:rPr>
          <w:rFonts w:ascii="Arial" w:hAnsi="Arial" w:cs="Arial"/>
          <w:b/>
          <w:sz w:val="28"/>
          <w:szCs w:val="28"/>
        </w:rPr>
        <w:lastRenderedPageBreak/>
        <w:t xml:space="preserve">SC-8/12: Listing of hexachlorobutadiene </w:t>
      </w:r>
    </w:p>
    <w:p w14:paraId="67B07C9E" w14:textId="77777777" w:rsidR="00120F3F" w:rsidRPr="00D548CF" w:rsidRDefault="00120F3F" w:rsidP="00120F3F">
      <w:pPr>
        <w:tabs>
          <w:tab w:val="left" w:pos="624"/>
        </w:tabs>
        <w:autoSpaceDE w:val="0"/>
        <w:autoSpaceDN w:val="0"/>
        <w:adjustRightInd w:val="0"/>
        <w:spacing w:after="120"/>
        <w:ind w:left="1247" w:firstLine="624"/>
        <w:rPr>
          <w:rFonts w:ascii="Arial" w:hAnsi="Arial" w:cs="Arial"/>
          <w:i/>
          <w:iCs/>
          <w:sz w:val="20"/>
        </w:rPr>
      </w:pPr>
      <w:r w:rsidRPr="00D548CF">
        <w:rPr>
          <w:rFonts w:ascii="Arial" w:hAnsi="Arial" w:cs="Arial"/>
          <w:i/>
          <w:iCs/>
          <w:sz w:val="20"/>
        </w:rPr>
        <w:t>The Conference of the Parties,</w:t>
      </w:r>
    </w:p>
    <w:p w14:paraId="78A9A66A" w14:textId="77777777" w:rsidR="00120F3F" w:rsidRPr="00D548CF" w:rsidRDefault="00120F3F" w:rsidP="00120F3F">
      <w:pPr>
        <w:tabs>
          <w:tab w:val="left" w:pos="624"/>
        </w:tabs>
        <w:autoSpaceDE w:val="0"/>
        <w:autoSpaceDN w:val="0"/>
        <w:adjustRightInd w:val="0"/>
        <w:spacing w:after="120"/>
        <w:ind w:left="1247" w:firstLine="624"/>
        <w:rPr>
          <w:rFonts w:ascii="Arial" w:hAnsi="Arial" w:cs="Arial"/>
          <w:sz w:val="20"/>
        </w:rPr>
      </w:pPr>
      <w:r w:rsidRPr="00D548CF">
        <w:rPr>
          <w:rFonts w:ascii="Arial" w:hAnsi="Arial" w:cs="Arial"/>
          <w:i/>
          <w:sz w:val="20"/>
        </w:rPr>
        <w:t>Having considered</w:t>
      </w:r>
      <w:r w:rsidRPr="00D548CF">
        <w:rPr>
          <w:rFonts w:ascii="Arial" w:hAnsi="Arial" w:cs="Arial"/>
          <w:sz w:val="20"/>
        </w:rPr>
        <w:t xml:space="preserve"> the risk profile and the risk management evaluation for hexachlorobutadiene, as well as the evaluation of new information in relation to listing hexachlorobutadiene in Annex C to the Convention, as transmitted by the Persistent Organic Pollutants Review Committee,</w:t>
      </w:r>
      <w:r w:rsidRPr="00D548CF">
        <w:rPr>
          <w:rFonts w:ascii="Arial" w:hAnsi="Arial" w:cs="Arial"/>
          <w:sz w:val="20"/>
          <w:szCs w:val="18"/>
          <w:vertAlign w:val="superscript"/>
        </w:rPr>
        <w:footnoteReference w:id="33"/>
      </w:r>
    </w:p>
    <w:p w14:paraId="1F623BBA" w14:textId="77777777" w:rsidR="00120F3F" w:rsidRPr="00D548CF" w:rsidRDefault="00120F3F" w:rsidP="00120F3F">
      <w:pPr>
        <w:tabs>
          <w:tab w:val="left" w:pos="624"/>
        </w:tabs>
        <w:autoSpaceDE w:val="0"/>
        <w:autoSpaceDN w:val="0"/>
        <w:adjustRightInd w:val="0"/>
        <w:spacing w:after="120"/>
        <w:ind w:left="1247" w:firstLine="624"/>
        <w:rPr>
          <w:rFonts w:ascii="Arial" w:hAnsi="Arial" w:cs="Arial"/>
          <w:sz w:val="20"/>
        </w:rPr>
      </w:pPr>
      <w:r w:rsidRPr="00D548CF">
        <w:rPr>
          <w:rFonts w:ascii="Arial" w:hAnsi="Arial" w:cs="Arial"/>
          <w:i/>
          <w:sz w:val="20"/>
        </w:rPr>
        <w:t>Taking note</w:t>
      </w:r>
      <w:r w:rsidRPr="00D548CF">
        <w:rPr>
          <w:rFonts w:ascii="Arial" w:hAnsi="Arial" w:cs="Arial"/>
          <w:sz w:val="20"/>
        </w:rPr>
        <w:t xml:space="preserve"> of the recommendation by the Persistent Organic Pollutants Review Committee that hexachlorobutadiene be listed in Annex C to the Convention and the conclusion of the evaluation of new information on unintentional production of hexachlorobutadiene,</w:t>
      </w:r>
      <w:r w:rsidRPr="00D548CF">
        <w:rPr>
          <w:rFonts w:ascii="Arial" w:hAnsi="Arial" w:cs="Arial"/>
          <w:sz w:val="20"/>
          <w:szCs w:val="18"/>
          <w:vertAlign w:val="superscript"/>
        </w:rPr>
        <w:footnoteReference w:id="34"/>
      </w:r>
      <w:r w:rsidRPr="00D548CF">
        <w:rPr>
          <w:rFonts w:ascii="Arial" w:hAnsi="Arial" w:cs="Arial"/>
          <w:sz w:val="20"/>
        </w:rPr>
        <w:t xml:space="preserve"> </w:t>
      </w:r>
    </w:p>
    <w:p w14:paraId="169A14EE" w14:textId="77777777" w:rsidR="00120F3F" w:rsidRPr="00D548CF" w:rsidRDefault="00120F3F" w:rsidP="00120F3F">
      <w:pPr>
        <w:tabs>
          <w:tab w:val="left" w:pos="624"/>
        </w:tabs>
        <w:spacing w:after="120" w:line="240" w:lineRule="exact"/>
        <w:ind w:left="1247" w:firstLine="624"/>
        <w:rPr>
          <w:rFonts w:ascii="Arial" w:hAnsi="Arial" w:cs="Arial"/>
          <w:sz w:val="20"/>
        </w:rPr>
      </w:pPr>
      <w:r w:rsidRPr="00D548CF">
        <w:rPr>
          <w:rFonts w:ascii="Arial" w:hAnsi="Arial" w:cs="Arial"/>
          <w:i/>
          <w:color w:val="000000"/>
          <w:sz w:val="20"/>
        </w:rPr>
        <w:t>Decides</w:t>
      </w:r>
      <w:r w:rsidRPr="00D548CF">
        <w:rPr>
          <w:rFonts w:ascii="Arial" w:hAnsi="Arial" w:cs="Arial"/>
          <w:color w:val="000000"/>
          <w:sz w:val="20"/>
        </w:rPr>
        <w:t xml:space="preserve"> to </w:t>
      </w:r>
      <w:r w:rsidRPr="00D548CF">
        <w:rPr>
          <w:rFonts w:ascii="Arial" w:hAnsi="Arial" w:cs="Arial"/>
          <w:sz w:val="20"/>
        </w:rPr>
        <w:t>amend</w:t>
      </w:r>
      <w:r w:rsidRPr="00D548CF">
        <w:rPr>
          <w:rFonts w:ascii="Arial" w:hAnsi="Arial" w:cs="Arial"/>
          <w:color w:val="000000"/>
          <w:sz w:val="20"/>
        </w:rPr>
        <w:t xml:space="preserve"> part I of Annex C to the Convention to list hexachlorobutadiene therein by inserting “Hexachlorobutadiene (CAS No: 87-68-3)” in the “Chemical” table of the Annex and by inserting “h</w:t>
      </w:r>
      <w:r w:rsidRPr="00D548CF">
        <w:rPr>
          <w:rFonts w:ascii="Arial" w:hAnsi="Arial" w:cs="Arial"/>
          <w:sz w:val="20"/>
          <w:szCs w:val="24"/>
        </w:rPr>
        <w:t>exachlorobutadiene</w:t>
      </w:r>
      <w:r w:rsidRPr="00D548CF">
        <w:rPr>
          <w:rFonts w:ascii="Arial" w:hAnsi="Arial" w:cs="Arial"/>
          <w:color w:val="000000"/>
          <w:sz w:val="20"/>
        </w:rPr>
        <w:t>” in the first paragraph of parts II and III of the Annex</w:t>
      </w:r>
      <w:r w:rsidRPr="00D548CF">
        <w:rPr>
          <w:rFonts w:ascii="Arial" w:hAnsi="Arial" w:cs="Arial"/>
          <w:sz w:val="20"/>
        </w:rPr>
        <w:t>.</w:t>
      </w:r>
    </w:p>
    <w:p w14:paraId="3021B771" w14:textId="5EA9E1FE" w:rsidR="00120F3F" w:rsidRPr="00D548CF" w:rsidRDefault="00120F3F" w:rsidP="00120F3F">
      <w:pPr>
        <w:rPr>
          <w:rFonts w:ascii="Arial" w:hAnsi="Arial" w:cs="Arial"/>
        </w:rPr>
      </w:pPr>
    </w:p>
    <w:p w14:paraId="3A197C7B" w14:textId="77777777" w:rsidR="004D60B5" w:rsidRDefault="004D60B5" w:rsidP="00120F3F">
      <w:pPr>
        <w:rPr>
          <w:rFonts w:ascii="Arial" w:hAnsi="Arial" w:cs="Arial"/>
        </w:rPr>
        <w:sectPr w:rsidR="004D60B5" w:rsidSect="00D66C83">
          <w:footnotePr>
            <w:numRestart w:val="eachSect"/>
          </w:footnotePr>
          <w:pgSz w:w="11906" w:h="16838"/>
          <w:pgMar w:top="1417" w:right="1417" w:bottom="1417" w:left="1417" w:header="708" w:footer="708" w:gutter="0"/>
          <w:cols w:space="708"/>
          <w:docGrid w:linePitch="360"/>
        </w:sectPr>
      </w:pPr>
    </w:p>
    <w:p w14:paraId="748BB8F5" w14:textId="77777777" w:rsidR="00120F3F" w:rsidRPr="00D548CF" w:rsidRDefault="00120F3F" w:rsidP="00120F3F">
      <w:pPr>
        <w:pStyle w:val="CH1"/>
        <w:tabs>
          <w:tab w:val="clear" w:pos="851"/>
          <w:tab w:val="clear" w:pos="1247"/>
          <w:tab w:val="clear" w:pos="1814"/>
          <w:tab w:val="clear" w:pos="2381"/>
          <w:tab w:val="clear" w:pos="2948"/>
          <w:tab w:val="clear" w:pos="3515"/>
          <w:tab w:val="clear" w:pos="4082"/>
        </w:tabs>
        <w:ind w:firstLine="0"/>
        <w:rPr>
          <w:rFonts w:ascii="Arial" w:hAnsi="Arial" w:cs="Arial"/>
        </w:rPr>
      </w:pPr>
      <w:r w:rsidRPr="00D548CF">
        <w:rPr>
          <w:rFonts w:ascii="Arial" w:hAnsi="Arial" w:cs="Arial"/>
        </w:rPr>
        <w:lastRenderedPageBreak/>
        <w:t>SC-9/4: Perfluorooctane sulfonic acid, its salts and perfluorooctane sulfonyl fluoride</w:t>
      </w:r>
    </w:p>
    <w:p w14:paraId="2F43895D"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i/>
        </w:rPr>
      </w:pPr>
      <w:r w:rsidRPr="00D548CF">
        <w:rPr>
          <w:rFonts w:ascii="Arial" w:hAnsi="Arial" w:cs="Arial"/>
          <w:i/>
        </w:rPr>
        <w:t>The Conference of the Parties,</w:t>
      </w:r>
    </w:p>
    <w:p w14:paraId="4CF98016"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Having</w:t>
      </w:r>
      <w:r w:rsidRPr="00D548CF">
        <w:rPr>
          <w:rFonts w:ascii="Arial" w:hAnsi="Arial" w:cs="Arial"/>
        </w:rPr>
        <w:t xml:space="preserve"> considered the report on the assessment of alternatives to perfluorooctane sulfonic acid, its salts and perfluorooctane sulfonyl fluoride submitted by the Persistent Organic Pollutants Review Committee</w:t>
      </w:r>
      <w:r w:rsidRPr="00D548CF">
        <w:rPr>
          <w:rFonts w:ascii="Arial" w:hAnsi="Arial" w:cs="Arial"/>
          <w:vertAlign w:val="superscript"/>
        </w:rPr>
        <w:footnoteReference w:id="35"/>
      </w:r>
      <w:r w:rsidRPr="00D548CF">
        <w:rPr>
          <w:rFonts w:ascii="Arial" w:hAnsi="Arial" w:cs="Arial"/>
        </w:rPr>
        <w:t xml:space="preserve"> and the report on the evaluation of perfluorooctane sulfonic acid, its salts and perfluorooctane sulfonyl fluoride submitted by the Secretariat,</w:t>
      </w:r>
      <w:r w:rsidRPr="00D548CF">
        <w:rPr>
          <w:rFonts w:ascii="Arial" w:hAnsi="Arial" w:cs="Arial"/>
          <w:vertAlign w:val="superscript"/>
        </w:rPr>
        <w:footnoteReference w:id="36"/>
      </w:r>
    </w:p>
    <w:p w14:paraId="1AB3BAE3"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Taking note</w:t>
      </w:r>
      <w:r w:rsidRPr="00D548CF">
        <w:rPr>
          <w:rFonts w:ascii="Arial" w:hAnsi="Arial" w:cs="Arial"/>
        </w:rPr>
        <w:t xml:space="preserve"> of the recommendations of the Persistent Organic Pollutants Review Committee on the continued need for the various acceptable purposes and specific exemptions of perfluorooctane sulfonic acid, its salts and perfluorooctane sulfonyl</w:t>
      </w:r>
      <w:r w:rsidRPr="00D548CF">
        <w:rPr>
          <w:rFonts w:ascii="Arial" w:hAnsi="Arial" w:cs="Arial"/>
          <w:iCs/>
        </w:rPr>
        <w:t xml:space="preserve"> fluoride</w:t>
      </w:r>
      <w:r w:rsidRPr="00D548CF">
        <w:rPr>
          <w:rFonts w:ascii="Arial" w:hAnsi="Arial" w:cs="Arial"/>
        </w:rPr>
        <w:t>,</w:t>
      </w:r>
      <w:r w:rsidRPr="00D548CF">
        <w:rPr>
          <w:rStyle w:val="FootnoteReference"/>
          <w:rFonts w:ascii="Arial" w:hAnsi="Arial" w:cs="Arial"/>
        </w:rPr>
        <w:footnoteReference w:id="37"/>
      </w:r>
      <w:r w:rsidRPr="00D548CF">
        <w:rPr>
          <w:rFonts w:ascii="Arial" w:hAnsi="Arial" w:cs="Arial"/>
        </w:rPr>
        <w:t xml:space="preserve"> </w:t>
      </w:r>
    </w:p>
    <w:p w14:paraId="7C1569B5"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Recalling</w:t>
      </w:r>
      <w:r w:rsidRPr="00D548CF">
        <w:rPr>
          <w:rFonts w:ascii="Arial" w:hAnsi="Arial" w:cs="Arial"/>
        </w:rPr>
        <w:t xml:space="preserve"> its decision SC-7/1, in which it noted, pursuant to paragraph 9 of Article 4 of the Stockholm Convention on Persistent Organic Pollutants, that as there were no longer any Parties registered for specific exemptions for the production and use of perfluorooctane sulfonic acid, its salts and perfluorooctane sulfonyl fluoride for carpets, leather and apparel, textiles and upholstery, paper and packaging, coatings and coating additives and rubber and plastics, no new registrations may be made with respect to them,</w:t>
      </w:r>
    </w:p>
    <w:p w14:paraId="5C853D63" w14:textId="77777777" w:rsidR="00120F3F" w:rsidRPr="00D548CF" w:rsidRDefault="00120F3F" w:rsidP="00090036">
      <w:pPr>
        <w:pStyle w:val="Normal-pool"/>
        <w:numPr>
          <w:ilvl w:val="0"/>
          <w:numId w:val="32"/>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Decides</w:t>
      </w:r>
      <w:r w:rsidRPr="00D548CF">
        <w:rPr>
          <w:rFonts w:ascii="Arial" w:hAnsi="Arial" w:cs="Arial"/>
        </w:rPr>
        <w:t xml:space="preserve"> to amend part I of Annex B to the Stockholm Convention on Persistent Organic Pollutants by replacing the current listing of perfluorooctane sulfonic acid </w:t>
      </w:r>
      <w:r w:rsidRPr="00D548CF">
        <w:rPr>
          <w:rFonts w:ascii="Arial" w:hAnsi="Arial" w:cs="Arial"/>
        </w:rPr>
        <w:br/>
        <w:t>(CAS No. 1763-23-1), its salts and perfluorooctane sulfonyl fluoride (CAS No. 307-35-7) with the new listing as follows:</w:t>
      </w:r>
    </w:p>
    <w:tbl>
      <w:tblPr>
        <w:tblW w:w="8307" w:type="dxa"/>
        <w:jc w:val="right"/>
        <w:tblLayout w:type="fixed"/>
        <w:tblLook w:val="0000" w:firstRow="0" w:lastRow="0" w:firstColumn="0" w:lastColumn="0" w:noHBand="0" w:noVBand="0"/>
      </w:tblPr>
      <w:tblGrid>
        <w:gridCol w:w="3557"/>
        <w:gridCol w:w="1250"/>
        <w:gridCol w:w="3500"/>
      </w:tblGrid>
      <w:tr w:rsidR="00120F3F" w:rsidRPr="00D548CF" w14:paraId="42299599" w14:textId="77777777" w:rsidTr="00BE3A18">
        <w:trPr>
          <w:trHeight w:val="57"/>
          <w:jc w:val="right"/>
        </w:trPr>
        <w:tc>
          <w:tcPr>
            <w:tcW w:w="3330" w:type="dxa"/>
            <w:tcBorders>
              <w:top w:val="single" w:sz="4" w:space="0" w:color="auto"/>
              <w:bottom w:val="single" w:sz="12" w:space="0" w:color="auto"/>
            </w:tcBorders>
            <w:shd w:val="clear" w:color="auto" w:fill="E6E6E6"/>
          </w:tcPr>
          <w:p w14:paraId="7E90E9E2" w14:textId="77777777" w:rsidR="00120F3F" w:rsidRPr="00D548CF" w:rsidRDefault="00120F3F" w:rsidP="00BE3A18">
            <w:pPr>
              <w:keepNext/>
              <w:keepLines/>
              <w:spacing w:before="40" w:after="40"/>
              <w:rPr>
                <w:rFonts w:ascii="Arial" w:hAnsi="Arial" w:cs="Arial"/>
                <w:i/>
                <w:sz w:val="18"/>
                <w:szCs w:val="18"/>
              </w:rPr>
            </w:pPr>
            <w:r w:rsidRPr="00D548CF">
              <w:rPr>
                <w:rFonts w:ascii="Arial" w:hAnsi="Arial" w:cs="Arial"/>
                <w:i/>
                <w:sz w:val="18"/>
                <w:szCs w:val="18"/>
              </w:rPr>
              <w:lastRenderedPageBreak/>
              <w:t>Chemical</w:t>
            </w:r>
          </w:p>
        </w:tc>
        <w:tc>
          <w:tcPr>
            <w:tcW w:w="1170" w:type="dxa"/>
            <w:tcBorders>
              <w:top w:val="single" w:sz="4" w:space="0" w:color="auto"/>
              <w:bottom w:val="single" w:sz="12" w:space="0" w:color="auto"/>
            </w:tcBorders>
            <w:shd w:val="clear" w:color="auto" w:fill="E6E6E6"/>
          </w:tcPr>
          <w:p w14:paraId="18698B06" w14:textId="77777777" w:rsidR="00120F3F" w:rsidRPr="00D548CF" w:rsidRDefault="00120F3F" w:rsidP="00BE3A18">
            <w:pPr>
              <w:keepNext/>
              <w:keepLines/>
              <w:spacing w:before="40" w:after="40"/>
              <w:rPr>
                <w:rFonts w:ascii="Arial" w:hAnsi="Arial" w:cs="Arial"/>
                <w:i/>
                <w:sz w:val="18"/>
                <w:szCs w:val="18"/>
              </w:rPr>
            </w:pPr>
            <w:r w:rsidRPr="00D548CF">
              <w:rPr>
                <w:rFonts w:ascii="Arial" w:hAnsi="Arial" w:cs="Arial"/>
                <w:i/>
                <w:sz w:val="18"/>
                <w:szCs w:val="18"/>
              </w:rPr>
              <w:t>Activity</w:t>
            </w:r>
          </w:p>
        </w:tc>
        <w:tc>
          <w:tcPr>
            <w:tcW w:w="3276" w:type="dxa"/>
            <w:tcBorders>
              <w:top w:val="single" w:sz="4" w:space="0" w:color="auto"/>
              <w:bottom w:val="single" w:sz="12" w:space="0" w:color="auto"/>
            </w:tcBorders>
            <w:shd w:val="clear" w:color="auto" w:fill="E6E6E6"/>
          </w:tcPr>
          <w:p w14:paraId="24072BD7" w14:textId="77777777" w:rsidR="00120F3F" w:rsidRPr="00D548CF" w:rsidRDefault="00120F3F" w:rsidP="00BE3A18">
            <w:pPr>
              <w:keepNext/>
              <w:keepLines/>
              <w:spacing w:before="40" w:after="40"/>
              <w:rPr>
                <w:rFonts w:ascii="Arial" w:hAnsi="Arial" w:cs="Arial"/>
                <w:i/>
                <w:sz w:val="18"/>
                <w:szCs w:val="18"/>
              </w:rPr>
            </w:pPr>
            <w:r w:rsidRPr="00D548CF">
              <w:rPr>
                <w:rFonts w:ascii="Arial" w:hAnsi="Arial" w:cs="Arial"/>
                <w:i/>
                <w:sz w:val="18"/>
                <w:szCs w:val="18"/>
              </w:rPr>
              <w:t>Acceptable purpose or specific exemption</w:t>
            </w:r>
          </w:p>
        </w:tc>
      </w:tr>
      <w:tr w:rsidR="00120F3F" w:rsidRPr="00D548CF" w14:paraId="4D3D9869" w14:textId="77777777" w:rsidTr="00BE3A18">
        <w:trPr>
          <w:trHeight w:val="57"/>
          <w:jc w:val="right"/>
        </w:trPr>
        <w:tc>
          <w:tcPr>
            <w:tcW w:w="3330" w:type="dxa"/>
            <w:vMerge w:val="restart"/>
            <w:tcBorders>
              <w:top w:val="single" w:sz="12" w:space="0" w:color="auto"/>
              <w:bottom w:val="single" w:sz="12" w:space="0" w:color="auto"/>
            </w:tcBorders>
            <w:shd w:val="clear" w:color="auto" w:fill="auto"/>
          </w:tcPr>
          <w:p w14:paraId="505CD4CA"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sz w:val="18"/>
                <w:szCs w:val="18"/>
                <w:lang w:val="en-GB"/>
              </w:rPr>
              <w:t>Perfluorooctane sulfonic acid (CAS No. 1763-23-1), its salts</w:t>
            </w:r>
            <w:r w:rsidRPr="00D548CF">
              <w:rPr>
                <w:rFonts w:ascii="Arial" w:hAnsi="Arial" w:cs="Arial"/>
                <w:sz w:val="18"/>
                <w:szCs w:val="18"/>
                <w:vertAlign w:val="superscript"/>
                <w:lang w:val="en-GB"/>
              </w:rPr>
              <w:t>a</w:t>
            </w:r>
            <w:r w:rsidRPr="00D548CF">
              <w:rPr>
                <w:rFonts w:ascii="Arial" w:hAnsi="Arial" w:cs="Arial"/>
                <w:sz w:val="18"/>
                <w:szCs w:val="18"/>
                <w:lang w:val="en-GB"/>
              </w:rPr>
              <w:t xml:space="preserve"> and perfluorooctane sulfonyl fluoride (CAS No. 307-35-7)</w:t>
            </w:r>
          </w:p>
          <w:p w14:paraId="145C2ACB" w14:textId="77777777" w:rsidR="00120F3F" w:rsidRPr="00D548CF" w:rsidRDefault="00120F3F" w:rsidP="00BE3A18">
            <w:pPr>
              <w:pStyle w:val="Paralevel1"/>
              <w:keepNext/>
              <w:keepLines/>
              <w:numPr>
                <w:ilvl w:val="0"/>
                <w:numId w:val="0"/>
              </w:numPr>
              <w:spacing w:before="40" w:after="40"/>
              <w:rPr>
                <w:rFonts w:ascii="Arial" w:hAnsi="Arial" w:cs="Arial"/>
                <w:b/>
                <w:sz w:val="18"/>
                <w:szCs w:val="18"/>
                <w:lang w:val="en-GB"/>
              </w:rPr>
            </w:pPr>
            <w:r w:rsidRPr="00D548CF">
              <w:rPr>
                <w:rFonts w:ascii="Arial" w:hAnsi="Arial" w:cs="Arial"/>
                <w:sz w:val="18"/>
                <w:szCs w:val="18"/>
                <w:vertAlign w:val="superscript"/>
                <w:lang w:val="en-GB"/>
              </w:rPr>
              <w:t>a</w:t>
            </w:r>
            <w:r w:rsidRPr="00D548CF">
              <w:rPr>
                <w:rFonts w:ascii="Arial" w:hAnsi="Arial" w:cs="Arial"/>
                <w:sz w:val="18"/>
                <w:szCs w:val="18"/>
                <w:lang w:val="en-GB"/>
              </w:rPr>
              <w:t xml:space="preserve"> For example: potassium perfluorooctane sulfonate (CAS No. 2795-39-3); lithium perfluorooctane sulfonate </w:t>
            </w:r>
            <w:r w:rsidRPr="00D548CF">
              <w:rPr>
                <w:rFonts w:ascii="Arial" w:hAnsi="Arial" w:cs="Arial"/>
                <w:sz w:val="18"/>
                <w:szCs w:val="18"/>
                <w:lang w:val="en-GB"/>
              </w:rPr>
              <w:br/>
              <w:t>(CAS No. 29457-72-5); ammonium perfluorooctane sulfonate (CAS No. 29081-56-9); diethanolammonium perfluorooctane sulfonate (CAS No. 70225-14-8); tetraethylammonium perfluorooctane sulfonate (CAS No. 56773-42-3); didecyldimethylammonium perfluorooctane sulfonate (CAS No. 251099-16-8)</w:t>
            </w:r>
          </w:p>
        </w:tc>
        <w:tc>
          <w:tcPr>
            <w:tcW w:w="1170" w:type="dxa"/>
            <w:tcBorders>
              <w:top w:val="single" w:sz="12" w:space="0" w:color="auto"/>
              <w:bottom w:val="single" w:sz="4" w:space="0" w:color="auto"/>
            </w:tcBorders>
            <w:shd w:val="clear" w:color="auto" w:fill="auto"/>
          </w:tcPr>
          <w:p w14:paraId="2EE26651"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sz w:val="18"/>
                <w:szCs w:val="18"/>
                <w:lang w:val="en-GB"/>
              </w:rPr>
              <w:t>Production</w:t>
            </w:r>
          </w:p>
        </w:tc>
        <w:tc>
          <w:tcPr>
            <w:tcW w:w="3276" w:type="dxa"/>
            <w:tcBorders>
              <w:top w:val="single" w:sz="12" w:space="0" w:color="auto"/>
              <w:bottom w:val="single" w:sz="4" w:space="0" w:color="auto"/>
            </w:tcBorders>
            <w:shd w:val="clear" w:color="auto" w:fill="auto"/>
          </w:tcPr>
          <w:p w14:paraId="3E7C1096"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b/>
                <w:sz w:val="18"/>
                <w:szCs w:val="18"/>
                <w:lang w:val="en-GB"/>
              </w:rPr>
              <w:t>Acceptable purpose</w:t>
            </w:r>
            <w:r w:rsidRPr="00D548CF">
              <w:rPr>
                <w:rFonts w:ascii="Arial" w:hAnsi="Arial" w:cs="Arial"/>
                <w:sz w:val="18"/>
                <w:szCs w:val="18"/>
                <w:lang w:val="en-GB"/>
              </w:rPr>
              <w:t>:</w:t>
            </w:r>
          </w:p>
          <w:p w14:paraId="38951832"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sz w:val="18"/>
                <w:szCs w:val="18"/>
                <w:lang w:val="en-GB"/>
              </w:rPr>
              <w:t>In accordance with part III of this Annex, production of other chemicals to be used solely for the use below. Production for uses listed below.</w:t>
            </w:r>
          </w:p>
          <w:p w14:paraId="4ACDF780"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b/>
                <w:sz w:val="18"/>
                <w:szCs w:val="18"/>
                <w:lang w:val="en-GB"/>
              </w:rPr>
              <w:t>Specific exemption</w:t>
            </w:r>
            <w:r w:rsidRPr="00D548CF">
              <w:rPr>
                <w:rFonts w:ascii="Arial" w:hAnsi="Arial" w:cs="Arial"/>
                <w:sz w:val="18"/>
                <w:szCs w:val="18"/>
                <w:lang w:val="en-GB"/>
              </w:rPr>
              <w:t>:</w:t>
            </w:r>
          </w:p>
          <w:p w14:paraId="5A9CD253"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sz w:val="18"/>
                <w:szCs w:val="18"/>
                <w:lang w:val="en-GB"/>
              </w:rPr>
              <w:t>None</w:t>
            </w:r>
          </w:p>
        </w:tc>
      </w:tr>
      <w:tr w:rsidR="00120F3F" w:rsidRPr="00D548CF" w14:paraId="212087C0" w14:textId="77777777" w:rsidTr="00BE3A18">
        <w:trPr>
          <w:trHeight w:val="57"/>
          <w:jc w:val="right"/>
        </w:trPr>
        <w:tc>
          <w:tcPr>
            <w:tcW w:w="3330" w:type="dxa"/>
            <w:vMerge/>
            <w:tcBorders>
              <w:top w:val="single" w:sz="4" w:space="0" w:color="auto"/>
              <w:bottom w:val="single" w:sz="12" w:space="0" w:color="auto"/>
            </w:tcBorders>
            <w:shd w:val="clear" w:color="auto" w:fill="auto"/>
          </w:tcPr>
          <w:p w14:paraId="4F0CE151" w14:textId="77777777" w:rsidR="00120F3F" w:rsidRPr="00D548CF" w:rsidRDefault="00120F3F" w:rsidP="00BE3A18">
            <w:pPr>
              <w:keepNext/>
              <w:keepLines/>
              <w:spacing w:before="40" w:after="40"/>
              <w:rPr>
                <w:rFonts w:ascii="Arial" w:hAnsi="Arial" w:cs="Arial"/>
                <w:b/>
                <w:sz w:val="18"/>
                <w:szCs w:val="18"/>
              </w:rPr>
            </w:pPr>
          </w:p>
        </w:tc>
        <w:tc>
          <w:tcPr>
            <w:tcW w:w="1170" w:type="dxa"/>
            <w:tcBorders>
              <w:top w:val="single" w:sz="4" w:space="0" w:color="auto"/>
              <w:bottom w:val="single" w:sz="12" w:space="0" w:color="auto"/>
            </w:tcBorders>
            <w:shd w:val="clear" w:color="auto" w:fill="auto"/>
          </w:tcPr>
          <w:p w14:paraId="3C2CACDA"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sz w:val="18"/>
                <w:szCs w:val="18"/>
                <w:lang w:val="en-GB"/>
              </w:rPr>
              <w:t>Use</w:t>
            </w:r>
          </w:p>
        </w:tc>
        <w:tc>
          <w:tcPr>
            <w:tcW w:w="3276" w:type="dxa"/>
            <w:tcBorders>
              <w:top w:val="single" w:sz="4" w:space="0" w:color="auto"/>
              <w:bottom w:val="single" w:sz="12" w:space="0" w:color="auto"/>
            </w:tcBorders>
            <w:shd w:val="clear" w:color="auto" w:fill="auto"/>
          </w:tcPr>
          <w:p w14:paraId="18F00B87"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b/>
                <w:sz w:val="18"/>
                <w:szCs w:val="18"/>
                <w:lang w:val="en-GB"/>
              </w:rPr>
              <w:t>Acceptable purpose</w:t>
            </w:r>
            <w:r w:rsidRPr="00D548CF">
              <w:rPr>
                <w:rFonts w:ascii="Arial" w:hAnsi="Arial" w:cs="Arial"/>
                <w:sz w:val="18"/>
                <w:szCs w:val="18"/>
                <w:lang w:val="en-GB"/>
              </w:rPr>
              <w:t>:</w:t>
            </w:r>
          </w:p>
          <w:p w14:paraId="4BF6F5D6" w14:textId="77777777" w:rsidR="00120F3F" w:rsidRPr="00D548CF" w:rsidRDefault="00120F3F" w:rsidP="00BE3A18">
            <w:pPr>
              <w:pStyle w:val="Paralevel1"/>
              <w:keepNext/>
              <w:keepLines/>
              <w:numPr>
                <w:ilvl w:val="0"/>
                <w:numId w:val="0"/>
              </w:numPr>
              <w:spacing w:before="40" w:after="40"/>
              <w:rPr>
                <w:rFonts w:ascii="Arial" w:hAnsi="Arial" w:cs="Arial"/>
                <w:strike/>
                <w:sz w:val="18"/>
                <w:szCs w:val="18"/>
                <w:lang w:val="en-GB"/>
              </w:rPr>
            </w:pPr>
            <w:r w:rsidRPr="00D548CF">
              <w:rPr>
                <w:rFonts w:ascii="Arial" w:hAnsi="Arial" w:cs="Arial"/>
                <w:sz w:val="18"/>
                <w:szCs w:val="18"/>
                <w:lang w:val="en-GB"/>
              </w:rPr>
              <w:t>In accordance with part III of this Annex for the following acceptable purpose, or as an intermediate in the production of chemicals with the following acceptable purpose:</w:t>
            </w:r>
          </w:p>
          <w:p w14:paraId="5C41EAA2" w14:textId="77777777" w:rsidR="00120F3F" w:rsidRPr="00D548CF" w:rsidRDefault="00120F3F" w:rsidP="00090036">
            <w:pPr>
              <w:pStyle w:val="Paralevel1"/>
              <w:keepNext/>
              <w:keepLines/>
              <w:numPr>
                <w:ilvl w:val="0"/>
                <w:numId w:val="31"/>
              </w:numPr>
              <w:spacing w:before="40" w:after="40"/>
              <w:rPr>
                <w:rFonts w:ascii="Arial" w:hAnsi="Arial" w:cs="Arial"/>
                <w:strike/>
                <w:sz w:val="18"/>
                <w:szCs w:val="18"/>
                <w:lang w:val="en-GB"/>
              </w:rPr>
            </w:pPr>
            <w:r w:rsidRPr="00D548CF">
              <w:rPr>
                <w:rFonts w:ascii="Arial" w:hAnsi="Arial" w:cs="Arial"/>
                <w:sz w:val="18"/>
                <w:szCs w:val="18"/>
                <w:lang w:val="en-GB"/>
              </w:rPr>
              <w:t xml:space="preserve">Insect baits with sulfluramid </w:t>
            </w:r>
            <w:r w:rsidRPr="00D548CF">
              <w:rPr>
                <w:rFonts w:ascii="Arial" w:hAnsi="Arial" w:cs="Arial"/>
                <w:sz w:val="18"/>
                <w:szCs w:val="18"/>
                <w:lang w:val="en-GB"/>
              </w:rPr>
              <w:br/>
              <w:t xml:space="preserve">(CAS No. 4151-50-2) as an active ingredient for control of leaf-cutting ants from </w:t>
            </w:r>
            <w:r w:rsidRPr="00D548CF">
              <w:rPr>
                <w:rFonts w:ascii="Arial" w:hAnsi="Arial" w:cs="Arial"/>
                <w:i/>
                <w:sz w:val="18"/>
                <w:szCs w:val="18"/>
                <w:lang w:val="en-GB"/>
              </w:rPr>
              <w:t xml:space="preserve">Atta </w:t>
            </w:r>
            <w:r w:rsidRPr="00D548CF">
              <w:rPr>
                <w:rFonts w:ascii="Arial" w:hAnsi="Arial" w:cs="Arial"/>
                <w:iCs/>
                <w:sz w:val="18"/>
                <w:szCs w:val="18"/>
                <w:lang w:val="en-GB"/>
              </w:rPr>
              <w:t>spp</w:t>
            </w:r>
            <w:r w:rsidRPr="00D548CF">
              <w:rPr>
                <w:rFonts w:ascii="Arial" w:hAnsi="Arial" w:cs="Arial"/>
                <w:sz w:val="18"/>
                <w:szCs w:val="18"/>
                <w:lang w:val="en-GB"/>
              </w:rPr>
              <w:t>. and</w:t>
            </w:r>
            <w:r w:rsidRPr="00D548CF">
              <w:rPr>
                <w:rFonts w:ascii="Arial" w:hAnsi="Arial" w:cs="Arial"/>
                <w:i/>
                <w:sz w:val="18"/>
                <w:szCs w:val="18"/>
                <w:lang w:val="en-GB"/>
              </w:rPr>
              <w:t xml:space="preserve"> Acromyrmex </w:t>
            </w:r>
            <w:r w:rsidRPr="00D548CF">
              <w:rPr>
                <w:rFonts w:ascii="Arial" w:hAnsi="Arial" w:cs="Arial"/>
                <w:iCs/>
                <w:sz w:val="18"/>
                <w:szCs w:val="18"/>
                <w:lang w:val="en-GB"/>
              </w:rPr>
              <w:t>spp.</w:t>
            </w:r>
            <w:r w:rsidRPr="00D548CF">
              <w:rPr>
                <w:rFonts w:ascii="Arial" w:hAnsi="Arial" w:cs="Arial"/>
                <w:sz w:val="18"/>
                <w:szCs w:val="18"/>
                <w:lang w:val="en-GB"/>
              </w:rPr>
              <w:t xml:space="preserve"> for agricultural use only</w:t>
            </w:r>
          </w:p>
          <w:p w14:paraId="67D32529" w14:textId="77777777" w:rsidR="00120F3F" w:rsidRPr="00D548CF" w:rsidRDefault="00120F3F" w:rsidP="00BE3A18">
            <w:pPr>
              <w:pStyle w:val="Paralevel1"/>
              <w:keepNext/>
              <w:keepLines/>
              <w:numPr>
                <w:ilvl w:val="0"/>
                <w:numId w:val="0"/>
              </w:numPr>
              <w:spacing w:before="40" w:after="40"/>
              <w:rPr>
                <w:rFonts w:ascii="Arial" w:hAnsi="Arial" w:cs="Arial"/>
                <w:sz w:val="18"/>
                <w:szCs w:val="18"/>
                <w:lang w:val="en-GB"/>
              </w:rPr>
            </w:pPr>
            <w:r w:rsidRPr="00D548CF">
              <w:rPr>
                <w:rFonts w:ascii="Arial" w:hAnsi="Arial" w:cs="Arial"/>
                <w:b/>
                <w:sz w:val="18"/>
                <w:szCs w:val="18"/>
                <w:lang w:val="en-GB"/>
              </w:rPr>
              <w:t>Specific exemption</w:t>
            </w:r>
            <w:r w:rsidRPr="00D548CF">
              <w:rPr>
                <w:rFonts w:ascii="Arial" w:hAnsi="Arial" w:cs="Arial"/>
                <w:sz w:val="18"/>
                <w:szCs w:val="18"/>
                <w:lang w:val="en-GB"/>
              </w:rPr>
              <w:t>:</w:t>
            </w:r>
          </w:p>
          <w:p w14:paraId="2A458DB5" w14:textId="77777777" w:rsidR="00120F3F" w:rsidRPr="00D548CF" w:rsidRDefault="00120F3F" w:rsidP="00090036">
            <w:pPr>
              <w:pStyle w:val="Paralevel1"/>
              <w:keepNext/>
              <w:keepLines/>
              <w:numPr>
                <w:ilvl w:val="0"/>
                <w:numId w:val="30"/>
              </w:numPr>
              <w:spacing w:before="40" w:after="40"/>
              <w:rPr>
                <w:rFonts w:ascii="Arial" w:hAnsi="Arial" w:cs="Arial"/>
                <w:sz w:val="18"/>
                <w:szCs w:val="18"/>
                <w:lang w:val="en-GB"/>
              </w:rPr>
            </w:pPr>
            <w:r w:rsidRPr="00D548CF">
              <w:rPr>
                <w:rFonts w:ascii="Arial" w:hAnsi="Arial" w:cs="Arial"/>
                <w:sz w:val="18"/>
                <w:szCs w:val="18"/>
                <w:lang w:val="en-GB"/>
              </w:rPr>
              <w:t xml:space="preserve">Metal plating (hard-metal plating) only in closed-loop systems </w:t>
            </w:r>
          </w:p>
          <w:p w14:paraId="495A1D3D" w14:textId="55F6F66E" w:rsidR="00120F3F" w:rsidRPr="00D548CF" w:rsidRDefault="00120F3F" w:rsidP="00090036">
            <w:pPr>
              <w:pStyle w:val="Paralevel1"/>
              <w:keepNext/>
              <w:keepLines/>
              <w:numPr>
                <w:ilvl w:val="0"/>
                <w:numId w:val="30"/>
              </w:numPr>
              <w:spacing w:before="40" w:after="40"/>
              <w:rPr>
                <w:rFonts w:ascii="Arial" w:hAnsi="Arial" w:cs="Arial"/>
                <w:sz w:val="18"/>
                <w:szCs w:val="18"/>
                <w:lang w:val="en-GB"/>
              </w:rPr>
            </w:pPr>
            <w:r w:rsidRPr="00D548CF">
              <w:rPr>
                <w:rFonts w:ascii="Arial" w:hAnsi="Arial" w:cs="Arial"/>
                <w:sz w:val="18"/>
                <w:szCs w:val="18"/>
                <w:lang w:val="en-GB"/>
              </w:rPr>
              <w:t>Fire-fighting foam for liquid fuel vapour suppression and liquid fuel fires (Class B fires) in installed systems, including both mobile and fixed systems, in accordance with paragraph 10 of part III of this Annex</w:t>
            </w:r>
          </w:p>
        </w:tc>
      </w:tr>
    </w:tbl>
    <w:p w14:paraId="78049B60" w14:textId="77777777" w:rsidR="00120F3F" w:rsidRPr="00D548CF" w:rsidRDefault="00120F3F" w:rsidP="00090036">
      <w:pPr>
        <w:pStyle w:val="Normal-pool"/>
        <w:numPr>
          <w:ilvl w:val="0"/>
          <w:numId w:val="32"/>
        </w:numPr>
        <w:tabs>
          <w:tab w:val="clear" w:pos="1247"/>
          <w:tab w:val="clear" w:pos="1814"/>
          <w:tab w:val="clear" w:pos="2381"/>
          <w:tab w:val="clear" w:pos="2948"/>
          <w:tab w:val="clear" w:pos="3515"/>
          <w:tab w:val="clear" w:pos="4082"/>
          <w:tab w:val="left" w:pos="624"/>
        </w:tabs>
        <w:spacing w:before="120" w:after="120"/>
        <w:ind w:left="1247" w:firstLine="624"/>
        <w:rPr>
          <w:rFonts w:ascii="Arial" w:hAnsi="Arial" w:cs="Arial"/>
        </w:rPr>
      </w:pPr>
      <w:r w:rsidRPr="00D548CF">
        <w:rPr>
          <w:rFonts w:ascii="Arial" w:hAnsi="Arial" w:cs="Arial"/>
          <w:i/>
        </w:rPr>
        <w:t>Also decides</w:t>
      </w:r>
      <w:r w:rsidRPr="00D548CF">
        <w:rPr>
          <w:rFonts w:ascii="Arial" w:hAnsi="Arial" w:cs="Arial"/>
        </w:rPr>
        <w:t xml:space="preserve"> to amend part III of Annex B to the Stockholm Convention on Persistent Organic Pollutants by inserting a new paragraph 10 as follows:</w:t>
      </w:r>
    </w:p>
    <w:p w14:paraId="63C9AEC7"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871" w:firstLine="624"/>
        <w:rPr>
          <w:rFonts w:ascii="Arial" w:hAnsi="Arial" w:cs="Arial"/>
        </w:rPr>
      </w:pPr>
      <w:r w:rsidRPr="00D548CF">
        <w:rPr>
          <w:rFonts w:ascii="Arial" w:hAnsi="Arial" w:cs="Arial"/>
        </w:rPr>
        <w:t xml:space="preserve">“10. Each Party that has registered for an exemption pursuant to Article 4 for the use of PFOS, its salts and PFOSF for fire-fighting foam shall: </w:t>
      </w:r>
    </w:p>
    <w:p w14:paraId="4B4300B4" w14:textId="77777777" w:rsidR="00120F3F" w:rsidRPr="00D548CF" w:rsidRDefault="00120F3F" w:rsidP="00090036">
      <w:pPr>
        <w:pStyle w:val="Normal-pool"/>
        <w:numPr>
          <w:ilvl w:val="0"/>
          <w:numId w:val="33"/>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rPr>
        <w:t>Notwithstanding paragraph 2 of Article 3, ensure that fire-fighting foam that contains or may contain PFOS, its salts and PFOSF shall not be exported or imported except for the purpose of environmentally sound disposal as set forth in paragraph 1 (d) of Article 6;</w:t>
      </w:r>
    </w:p>
    <w:p w14:paraId="647ECF42" w14:textId="77777777" w:rsidR="00120F3F" w:rsidRPr="00D548CF" w:rsidRDefault="00120F3F" w:rsidP="00090036">
      <w:pPr>
        <w:pStyle w:val="Normal-pool"/>
        <w:numPr>
          <w:ilvl w:val="0"/>
          <w:numId w:val="33"/>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rPr>
        <w:t>Not use fire-fighting foam that contains or may contain PFOS, its salts and PFOSF for training;</w:t>
      </w:r>
    </w:p>
    <w:p w14:paraId="6FE1F6F5" w14:textId="77777777" w:rsidR="00120F3F" w:rsidRPr="00D548CF" w:rsidRDefault="00120F3F" w:rsidP="00090036">
      <w:pPr>
        <w:pStyle w:val="Normal-pool"/>
        <w:numPr>
          <w:ilvl w:val="0"/>
          <w:numId w:val="33"/>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rPr>
        <w:t>Not use fire-fighting foam that contains or may contain PFOS, its salts and PFOSF for testing unless all releases are contained;</w:t>
      </w:r>
    </w:p>
    <w:p w14:paraId="4ACC08FE" w14:textId="77777777" w:rsidR="00120F3F" w:rsidRPr="00D548CF" w:rsidRDefault="00120F3F" w:rsidP="00090036">
      <w:pPr>
        <w:pStyle w:val="Normal-pool"/>
        <w:numPr>
          <w:ilvl w:val="0"/>
          <w:numId w:val="33"/>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rPr>
        <w:t xml:space="preserve">By the end of 2022, if it has the capacity to do so, restrict uses of fire-fighting foam that contains or may contain PFOS, its salts and PFOSF to sites where all releases can be contained; </w:t>
      </w:r>
    </w:p>
    <w:p w14:paraId="1081D902" w14:textId="77777777" w:rsidR="00120F3F" w:rsidRPr="00D548CF" w:rsidRDefault="00120F3F" w:rsidP="00090036">
      <w:pPr>
        <w:pStyle w:val="Normal-pool"/>
        <w:numPr>
          <w:ilvl w:val="0"/>
          <w:numId w:val="33"/>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rPr>
        <w:t>Make determined efforts designed to lead to the environmentally sound management of fire-fighting foam stockpiles and wastes that contain or may contain PFOS, its salts and PFOSF, in accordance with paragraph 1 of Article 6, as soon as possible.</w:t>
      </w:r>
    </w:p>
    <w:p w14:paraId="094A43E5" w14:textId="4B6D2544" w:rsidR="00120F3F" w:rsidRDefault="00120F3F" w:rsidP="00120F3F">
      <w:pPr>
        <w:rPr>
          <w:rFonts w:ascii="Arial" w:hAnsi="Arial" w:cs="Arial"/>
        </w:rPr>
      </w:pPr>
    </w:p>
    <w:p w14:paraId="7AF679CF" w14:textId="77777777" w:rsidR="00F70C60" w:rsidRDefault="00F70C60" w:rsidP="00120F3F">
      <w:pPr>
        <w:rPr>
          <w:rFonts w:ascii="Arial" w:hAnsi="Arial" w:cs="Arial"/>
        </w:rPr>
        <w:sectPr w:rsidR="00F70C60" w:rsidSect="00D66C83">
          <w:footnotePr>
            <w:numRestart w:val="eachSect"/>
          </w:footnotePr>
          <w:pgSz w:w="11906" w:h="16838"/>
          <w:pgMar w:top="1417" w:right="1417" w:bottom="1417" w:left="1417" w:header="708" w:footer="708" w:gutter="0"/>
          <w:cols w:space="708"/>
          <w:docGrid w:linePitch="360"/>
        </w:sectPr>
      </w:pPr>
    </w:p>
    <w:p w14:paraId="7914BD6F" w14:textId="77777777" w:rsidR="004D60B5" w:rsidRPr="00D548CF" w:rsidRDefault="004D60B5" w:rsidP="00120F3F">
      <w:pPr>
        <w:rPr>
          <w:rFonts w:ascii="Arial" w:hAnsi="Arial" w:cs="Arial"/>
        </w:rPr>
      </w:pPr>
    </w:p>
    <w:p w14:paraId="4515C032" w14:textId="77777777" w:rsidR="00120F3F" w:rsidRPr="00D548CF" w:rsidRDefault="00120F3F" w:rsidP="00120F3F">
      <w:pPr>
        <w:pStyle w:val="CH1"/>
        <w:tabs>
          <w:tab w:val="clear" w:pos="851"/>
          <w:tab w:val="clear" w:pos="1247"/>
          <w:tab w:val="clear" w:pos="1814"/>
          <w:tab w:val="clear" w:pos="2381"/>
          <w:tab w:val="clear" w:pos="2948"/>
          <w:tab w:val="clear" w:pos="3515"/>
          <w:tab w:val="clear" w:pos="4082"/>
        </w:tabs>
        <w:ind w:firstLine="0"/>
        <w:rPr>
          <w:rFonts w:ascii="Arial" w:hAnsi="Arial" w:cs="Arial"/>
        </w:rPr>
      </w:pPr>
      <w:r w:rsidRPr="00D548CF">
        <w:rPr>
          <w:rFonts w:ascii="Arial" w:hAnsi="Arial" w:cs="Arial"/>
        </w:rPr>
        <w:t xml:space="preserve">SC-9/11: Listing of dicofol </w:t>
      </w:r>
    </w:p>
    <w:p w14:paraId="6E7B1E85"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i/>
        </w:rPr>
      </w:pPr>
      <w:r w:rsidRPr="00D548CF">
        <w:rPr>
          <w:rFonts w:ascii="Arial" w:hAnsi="Arial" w:cs="Arial"/>
          <w:i/>
        </w:rPr>
        <w:t>The Conference of the Parties,</w:t>
      </w:r>
    </w:p>
    <w:p w14:paraId="044EC4CA"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Having considered</w:t>
      </w:r>
      <w:r w:rsidRPr="00D548CF">
        <w:rPr>
          <w:rFonts w:ascii="Arial" w:hAnsi="Arial" w:cs="Arial"/>
        </w:rPr>
        <w:t xml:space="preserve"> the risk profile and the risk management evaluation for dicofol as transmitted by the Persistent Organic Pollutants Review Committee,</w:t>
      </w:r>
      <w:r w:rsidRPr="00D548CF">
        <w:rPr>
          <w:rFonts w:ascii="Arial" w:hAnsi="Arial" w:cs="Arial"/>
          <w:szCs w:val="18"/>
          <w:vertAlign w:val="superscript"/>
        </w:rPr>
        <w:footnoteReference w:id="38"/>
      </w:r>
    </w:p>
    <w:p w14:paraId="5CE01F38"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Taking note</w:t>
      </w:r>
      <w:r w:rsidRPr="00D548CF">
        <w:rPr>
          <w:rFonts w:ascii="Arial" w:hAnsi="Arial" w:cs="Arial"/>
        </w:rPr>
        <w:t xml:space="preserve"> of the recommendation by the Persistent Organic Pollutants Review Committee that dicofol</w:t>
      </w:r>
      <w:r w:rsidRPr="00D548CF">
        <w:rPr>
          <w:rFonts w:ascii="Arial" w:hAnsi="Arial" w:cs="Arial"/>
          <w:sz w:val="24"/>
        </w:rPr>
        <w:t xml:space="preserve"> </w:t>
      </w:r>
      <w:r w:rsidRPr="00D548CF">
        <w:rPr>
          <w:rFonts w:ascii="Arial" w:hAnsi="Arial" w:cs="Arial"/>
        </w:rPr>
        <w:t>be listed</w:t>
      </w:r>
      <w:r w:rsidRPr="00D548CF">
        <w:rPr>
          <w:rFonts w:ascii="Arial" w:hAnsi="Arial" w:cs="Arial"/>
          <w:sz w:val="24"/>
        </w:rPr>
        <w:t xml:space="preserve"> </w:t>
      </w:r>
      <w:r w:rsidRPr="00D548CF">
        <w:rPr>
          <w:rFonts w:ascii="Arial" w:hAnsi="Arial" w:cs="Arial"/>
        </w:rPr>
        <w:t>in Annex A to the Convention without specific exemptions,</w:t>
      </w:r>
      <w:r w:rsidRPr="00D548CF">
        <w:rPr>
          <w:rFonts w:ascii="Arial" w:hAnsi="Arial" w:cs="Arial"/>
          <w:szCs w:val="18"/>
          <w:vertAlign w:val="superscript"/>
        </w:rPr>
        <w:footnoteReference w:id="39"/>
      </w:r>
      <w:r w:rsidRPr="00D548CF">
        <w:rPr>
          <w:rFonts w:ascii="Arial" w:hAnsi="Arial" w:cs="Arial"/>
        </w:rPr>
        <w:t xml:space="preserve"> </w:t>
      </w:r>
    </w:p>
    <w:p w14:paraId="1D1A9D22"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ab/>
        <w:t>Decides</w:t>
      </w:r>
      <w:r w:rsidRPr="00D548CF">
        <w:rPr>
          <w:rFonts w:ascii="Arial" w:hAnsi="Arial" w:cs="Arial"/>
        </w:rPr>
        <w:t xml:space="preserve"> to amend part I of Annex A to the Stockholm Convention on Persistent Organic Pollutants to list dicofol without specific exemptions by inserting the following row:</w:t>
      </w:r>
    </w:p>
    <w:tbl>
      <w:tblPr>
        <w:tblpPr w:leftFromText="180" w:rightFromText="180" w:vertAnchor="text" w:horzAnchor="margin" w:tblpXSpec="right" w:tblpY="155"/>
        <w:tblW w:w="8307" w:type="dxa"/>
        <w:shd w:val="clear" w:color="auto" w:fill="E7E6E6" w:themeFill="background2"/>
        <w:tblLayout w:type="fixed"/>
        <w:tblLook w:val="0000" w:firstRow="0" w:lastRow="0" w:firstColumn="0" w:lastColumn="0" w:noHBand="0" w:noVBand="0"/>
      </w:tblPr>
      <w:tblGrid>
        <w:gridCol w:w="3691"/>
        <w:gridCol w:w="1385"/>
        <w:gridCol w:w="3231"/>
      </w:tblGrid>
      <w:tr w:rsidR="00120F3F" w:rsidRPr="00D548CF" w14:paraId="5AAB7BB4" w14:textId="77777777" w:rsidTr="00443B8B">
        <w:trPr>
          <w:trHeight w:val="57"/>
        </w:trPr>
        <w:tc>
          <w:tcPr>
            <w:tcW w:w="3691" w:type="dxa"/>
            <w:tcBorders>
              <w:top w:val="single" w:sz="4" w:space="0" w:color="auto"/>
              <w:bottom w:val="single" w:sz="12" w:space="0" w:color="auto"/>
            </w:tcBorders>
            <w:shd w:val="clear" w:color="auto" w:fill="FFFFFF" w:themeFill="background1"/>
          </w:tcPr>
          <w:p w14:paraId="210AE982" w14:textId="77777777" w:rsidR="00120F3F" w:rsidRPr="00FE4033" w:rsidRDefault="00120F3F" w:rsidP="00BE3A18">
            <w:pPr>
              <w:keepNext/>
              <w:spacing w:before="40" w:after="40"/>
              <w:rPr>
                <w:rFonts w:ascii="Arial" w:hAnsi="Arial" w:cs="Arial"/>
                <w:i/>
                <w:sz w:val="18"/>
                <w:szCs w:val="18"/>
              </w:rPr>
            </w:pPr>
            <w:r w:rsidRPr="00FE4033">
              <w:rPr>
                <w:rFonts w:ascii="Arial" w:hAnsi="Arial" w:cs="Arial"/>
                <w:i/>
                <w:sz w:val="18"/>
                <w:szCs w:val="18"/>
              </w:rPr>
              <w:t xml:space="preserve"> Chemical </w:t>
            </w:r>
          </w:p>
        </w:tc>
        <w:tc>
          <w:tcPr>
            <w:tcW w:w="1385" w:type="dxa"/>
            <w:tcBorders>
              <w:top w:val="single" w:sz="4" w:space="0" w:color="auto"/>
              <w:bottom w:val="single" w:sz="12" w:space="0" w:color="auto"/>
            </w:tcBorders>
            <w:shd w:val="clear" w:color="auto" w:fill="FFFFFF" w:themeFill="background1"/>
          </w:tcPr>
          <w:p w14:paraId="3AACF6FF" w14:textId="77777777" w:rsidR="00120F3F" w:rsidRPr="00FE4033" w:rsidRDefault="00120F3F" w:rsidP="00BE3A18">
            <w:pPr>
              <w:keepNext/>
              <w:spacing w:before="40" w:after="40"/>
              <w:rPr>
                <w:rFonts w:ascii="Arial" w:hAnsi="Arial" w:cs="Arial"/>
                <w:i/>
                <w:sz w:val="18"/>
                <w:szCs w:val="18"/>
              </w:rPr>
            </w:pPr>
            <w:r w:rsidRPr="00FE4033">
              <w:rPr>
                <w:rFonts w:ascii="Arial" w:hAnsi="Arial" w:cs="Arial"/>
                <w:i/>
                <w:sz w:val="18"/>
                <w:szCs w:val="18"/>
              </w:rPr>
              <w:t>Activity</w:t>
            </w:r>
          </w:p>
        </w:tc>
        <w:tc>
          <w:tcPr>
            <w:tcW w:w="3231" w:type="dxa"/>
            <w:tcBorders>
              <w:top w:val="single" w:sz="4" w:space="0" w:color="auto"/>
              <w:bottom w:val="single" w:sz="12" w:space="0" w:color="auto"/>
            </w:tcBorders>
            <w:shd w:val="clear" w:color="auto" w:fill="FFFFFF" w:themeFill="background1"/>
          </w:tcPr>
          <w:p w14:paraId="188C5527" w14:textId="77777777" w:rsidR="00120F3F" w:rsidRPr="00FE4033" w:rsidRDefault="00120F3F" w:rsidP="00BE3A18">
            <w:pPr>
              <w:keepNext/>
              <w:spacing w:before="40" w:after="40"/>
              <w:rPr>
                <w:rFonts w:ascii="Arial" w:hAnsi="Arial" w:cs="Arial"/>
                <w:i/>
                <w:sz w:val="18"/>
                <w:szCs w:val="18"/>
              </w:rPr>
            </w:pPr>
            <w:r w:rsidRPr="00FE4033">
              <w:rPr>
                <w:rFonts w:ascii="Arial" w:hAnsi="Arial" w:cs="Arial"/>
                <w:i/>
                <w:sz w:val="18"/>
                <w:szCs w:val="18"/>
              </w:rPr>
              <w:t>Specific exemption</w:t>
            </w:r>
          </w:p>
        </w:tc>
      </w:tr>
      <w:tr w:rsidR="00120F3F" w:rsidRPr="00D548CF" w14:paraId="54B99DB3" w14:textId="77777777" w:rsidTr="00443B8B">
        <w:trPr>
          <w:trHeight w:val="57"/>
        </w:trPr>
        <w:tc>
          <w:tcPr>
            <w:tcW w:w="3691" w:type="dxa"/>
            <w:vMerge w:val="restart"/>
            <w:tcBorders>
              <w:top w:val="single" w:sz="12" w:space="0" w:color="auto"/>
            </w:tcBorders>
            <w:shd w:val="clear" w:color="auto" w:fill="FFFFFF" w:themeFill="background1"/>
          </w:tcPr>
          <w:p w14:paraId="7FB58D9D" w14:textId="77777777" w:rsidR="00120F3F" w:rsidRPr="00FE4033" w:rsidRDefault="00120F3F" w:rsidP="00BE3A18">
            <w:pPr>
              <w:suppressAutoHyphens/>
              <w:spacing w:before="40" w:after="40"/>
              <w:rPr>
                <w:rFonts w:ascii="Arial" w:hAnsi="Arial" w:cs="Arial"/>
                <w:sz w:val="18"/>
                <w:szCs w:val="18"/>
                <w:lang w:val="es-ES"/>
              </w:rPr>
            </w:pPr>
            <w:r w:rsidRPr="00FE4033">
              <w:rPr>
                <w:rFonts w:ascii="Arial" w:hAnsi="Arial" w:cs="Arial"/>
                <w:sz w:val="18"/>
                <w:szCs w:val="18"/>
                <w:lang w:val="es-ES"/>
              </w:rPr>
              <w:t>Dicofol</w:t>
            </w:r>
          </w:p>
          <w:p w14:paraId="7306CF72" w14:textId="77777777" w:rsidR="00120F3F" w:rsidRPr="00FE4033" w:rsidRDefault="00120F3F" w:rsidP="00BE3A18">
            <w:pPr>
              <w:suppressAutoHyphens/>
              <w:spacing w:before="40" w:after="40"/>
              <w:rPr>
                <w:rFonts w:ascii="Arial" w:hAnsi="Arial" w:cs="Arial"/>
                <w:sz w:val="18"/>
                <w:szCs w:val="18"/>
                <w:lang w:val="es-ES"/>
              </w:rPr>
            </w:pPr>
            <w:r w:rsidRPr="00FE4033">
              <w:rPr>
                <w:rFonts w:ascii="Arial" w:hAnsi="Arial" w:cs="Arial"/>
                <w:sz w:val="18"/>
                <w:szCs w:val="18"/>
                <w:lang w:val="es-ES"/>
              </w:rPr>
              <w:t>CAS No. 115-32-2</w:t>
            </w:r>
          </w:p>
          <w:p w14:paraId="67513BBA" w14:textId="77777777" w:rsidR="00120F3F" w:rsidRPr="00FE4033" w:rsidRDefault="00120F3F" w:rsidP="00BE3A18">
            <w:pPr>
              <w:suppressAutoHyphens/>
              <w:spacing w:before="40" w:after="40"/>
              <w:rPr>
                <w:rFonts w:ascii="Arial" w:hAnsi="Arial" w:cs="Arial"/>
                <w:sz w:val="18"/>
                <w:szCs w:val="18"/>
                <w:lang w:val="es-ES"/>
              </w:rPr>
            </w:pPr>
            <w:r w:rsidRPr="00FE4033">
              <w:rPr>
                <w:rFonts w:ascii="Arial" w:hAnsi="Arial" w:cs="Arial"/>
                <w:sz w:val="18"/>
                <w:szCs w:val="18"/>
                <w:lang w:val="es-ES"/>
              </w:rPr>
              <w:t>CAS No. 10606-46-9</w:t>
            </w:r>
          </w:p>
        </w:tc>
        <w:tc>
          <w:tcPr>
            <w:tcW w:w="1385" w:type="dxa"/>
            <w:tcBorders>
              <w:top w:val="single" w:sz="12" w:space="0" w:color="auto"/>
            </w:tcBorders>
            <w:shd w:val="clear" w:color="auto" w:fill="FFFFFF" w:themeFill="background1"/>
          </w:tcPr>
          <w:p w14:paraId="326D3D64" w14:textId="77777777" w:rsidR="00120F3F" w:rsidRPr="00FE4033" w:rsidRDefault="00120F3F" w:rsidP="00BE3A18">
            <w:pPr>
              <w:suppressAutoHyphens/>
              <w:spacing w:before="40" w:after="40"/>
              <w:rPr>
                <w:rFonts w:ascii="Arial" w:hAnsi="Arial" w:cs="Arial"/>
                <w:sz w:val="18"/>
                <w:szCs w:val="18"/>
              </w:rPr>
            </w:pPr>
            <w:r w:rsidRPr="00FE4033">
              <w:rPr>
                <w:rFonts w:ascii="Arial" w:hAnsi="Arial" w:cs="Arial"/>
                <w:sz w:val="18"/>
                <w:szCs w:val="18"/>
              </w:rPr>
              <w:t xml:space="preserve">Production </w:t>
            </w:r>
          </w:p>
        </w:tc>
        <w:tc>
          <w:tcPr>
            <w:tcW w:w="3231" w:type="dxa"/>
            <w:tcBorders>
              <w:top w:val="single" w:sz="12" w:space="0" w:color="auto"/>
            </w:tcBorders>
            <w:shd w:val="clear" w:color="auto" w:fill="FFFFFF" w:themeFill="background1"/>
          </w:tcPr>
          <w:p w14:paraId="23D8F19B" w14:textId="77777777" w:rsidR="00120F3F" w:rsidRPr="00FE4033" w:rsidRDefault="00120F3F" w:rsidP="00BE3A18">
            <w:pPr>
              <w:suppressAutoHyphens/>
              <w:spacing w:before="40" w:after="40"/>
              <w:rPr>
                <w:rFonts w:ascii="Arial" w:hAnsi="Arial" w:cs="Arial"/>
                <w:sz w:val="18"/>
                <w:szCs w:val="18"/>
              </w:rPr>
            </w:pPr>
            <w:r w:rsidRPr="00FE4033">
              <w:rPr>
                <w:rFonts w:ascii="Arial" w:hAnsi="Arial" w:cs="Arial"/>
                <w:sz w:val="18"/>
                <w:szCs w:val="18"/>
              </w:rPr>
              <w:t>None</w:t>
            </w:r>
          </w:p>
        </w:tc>
      </w:tr>
      <w:tr w:rsidR="00120F3F" w:rsidRPr="00D548CF" w14:paraId="1293559F" w14:textId="77777777" w:rsidTr="00443B8B">
        <w:trPr>
          <w:trHeight w:val="57"/>
        </w:trPr>
        <w:tc>
          <w:tcPr>
            <w:tcW w:w="3691" w:type="dxa"/>
            <w:vMerge/>
            <w:tcBorders>
              <w:bottom w:val="single" w:sz="12" w:space="0" w:color="auto"/>
            </w:tcBorders>
            <w:shd w:val="clear" w:color="auto" w:fill="FFFFFF" w:themeFill="background1"/>
          </w:tcPr>
          <w:p w14:paraId="6FE3C66C" w14:textId="77777777" w:rsidR="00120F3F" w:rsidRPr="00FE4033" w:rsidRDefault="00120F3F" w:rsidP="00BE3A18">
            <w:pPr>
              <w:spacing w:before="40" w:after="40"/>
              <w:rPr>
                <w:rFonts w:ascii="Arial" w:hAnsi="Arial" w:cs="Arial"/>
                <w:b/>
                <w:sz w:val="18"/>
                <w:szCs w:val="18"/>
              </w:rPr>
            </w:pPr>
          </w:p>
        </w:tc>
        <w:tc>
          <w:tcPr>
            <w:tcW w:w="1385" w:type="dxa"/>
            <w:tcBorders>
              <w:bottom w:val="single" w:sz="12" w:space="0" w:color="auto"/>
            </w:tcBorders>
            <w:shd w:val="clear" w:color="auto" w:fill="FFFFFF" w:themeFill="background1"/>
          </w:tcPr>
          <w:p w14:paraId="10401ABE" w14:textId="77777777" w:rsidR="00120F3F" w:rsidRPr="00FE4033" w:rsidRDefault="00120F3F" w:rsidP="00BE3A18">
            <w:pPr>
              <w:suppressAutoHyphens/>
              <w:spacing w:before="40" w:after="40"/>
              <w:rPr>
                <w:rFonts w:ascii="Arial" w:hAnsi="Arial" w:cs="Arial"/>
                <w:sz w:val="18"/>
                <w:szCs w:val="18"/>
              </w:rPr>
            </w:pPr>
            <w:r w:rsidRPr="00FE4033">
              <w:rPr>
                <w:rFonts w:ascii="Arial" w:hAnsi="Arial" w:cs="Arial"/>
                <w:sz w:val="18"/>
                <w:szCs w:val="18"/>
              </w:rPr>
              <w:t>Use</w:t>
            </w:r>
          </w:p>
        </w:tc>
        <w:tc>
          <w:tcPr>
            <w:tcW w:w="3231" w:type="dxa"/>
            <w:tcBorders>
              <w:bottom w:val="single" w:sz="12" w:space="0" w:color="auto"/>
            </w:tcBorders>
            <w:shd w:val="clear" w:color="auto" w:fill="FFFFFF" w:themeFill="background1"/>
          </w:tcPr>
          <w:p w14:paraId="064EA818" w14:textId="77777777" w:rsidR="00120F3F" w:rsidRPr="00FE4033" w:rsidRDefault="00120F3F" w:rsidP="00BE3A18">
            <w:pPr>
              <w:suppressAutoHyphens/>
              <w:spacing w:before="40" w:after="40"/>
              <w:rPr>
                <w:rFonts w:ascii="Arial" w:hAnsi="Arial" w:cs="Arial"/>
                <w:sz w:val="18"/>
                <w:szCs w:val="18"/>
              </w:rPr>
            </w:pPr>
            <w:r w:rsidRPr="00FE4033">
              <w:rPr>
                <w:rFonts w:ascii="Arial" w:hAnsi="Arial" w:cs="Arial"/>
                <w:sz w:val="18"/>
                <w:szCs w:val="18"/>
              </w:rPr>
              <w:t>None</w:t>
            </w:r>
          </w:p>
        </w:tc>
      </w:tr>
    </w:tbl>
    <w:p w14:paraId="39487161" w14:textId="77777777" w:rsidR="00120F3F" w:rsidRPr="00D548CF" w:rsidRDefault="00120F3F" w:rsidP="00120F3F">
      <w:pPr>
        <w:rPr>
          <w:rFonts w:ascii="Arial" w:hAnsi="Arial" w:cs="Arial"/>
        </w:rPr>
      </w:pPr>
    </w:p>
    <w:p w14:paraId="3A328EA4" w14:textId="77777777" w:rsidR="00120F3F" w:rsidRPr="00D548CF" w:rsidRDefault="00120F3F" w:rsidP="00120F3F">
      <w:pPr>
        <w:rPr>
          <w:rFonts w:ascii="Arial" w:hAnsi="Arial" w:cs="Arial"/>
        </w:rPr>
      </w:pPr>
    </w:p>
    <w:p w14:paraId="726D1ACB" w14:textId="77777777" w:rsidR="00120F3F" w:rsidRPr="00D548CF" w:rsidRDefault="00120F3F" w:rsidP="00120F3F">
      <w:pPr>
        <w:rPr>
          <w:rFonts w:ascii="Arial" w:hAnsi="Arial" w:cs="Arial"/>
        </w:rPr>
      </w:pPr>
    </w:p>
    <w:p w14:paraId="01A9E1EA" w14:textId="6949C1CF" w:rsidR="0042751E" w:rsidRPr="00D548CF" w:rsidRDefault="0042751E" w:rsidP="0042751E">
      <w:pPr>
        <w:pStyle w:val="Paralevel1"/>
        <w:numPr>
          <w:ilvl w:val="0"/>
          <w:numId w:val="0"/>
        </w:numPr>
        <w:rPr>
          <w:rFonts w:ascii="Arial" w:hAnsi="Arial" w:cs="Arial"/>
          <w:lang w:val="sl-SI"/>
        </w:rPr>
      </w:pPr>
    </w:p>
    <w:p w14:paraId="4A846C41" w14:textId="77777777" w:rsidR="00F70C60" w:rsidRDefault="00F70C60" w:rsidP="0042751E">
      <w:pPr>
        <w:rPr>
          <w:rFonts w:ascii="Arial" w:hAnsi="Arial" w:cs="Arial"/>
        </w:rPr>
        <w:sectPr w:rsidR="00F70C60" w:rsidSect="00D66C83">
          <w:footnotePr>
            <w:numRestart w:val="eachSect"/>
          </w:footnotePr>
          <w:pgSz w:w="11906" w:h="16838"/>
          <w:pgMar w:top="1417" w:right="1417" w:bottom="1417" w:left="1417" w:header="708" w:footer="708" w:gutter="0"/>
          <w:cols w:space="708"/>
          <w:docGrid w:linePitch="360"/>
        </w:sectPr>
      </w:pPr>
    </w:p>
    <w:p w14:paraId="01A5C8C4" w14:textId="5CABEBDD" w:rsidR="00120F3F" w:rsidRPr="00D548CF" w:rsidRDefault="00120F3F" w:rsidP="0042751E">
      <w:pPr>
        <w:rPr>
          <w:rFonts w:ascii="Arial" w:hAnsi="Arial" w:cs="Arial"/>
        </w:rPr>
      </w:pPr>
    </w:p>
    <w:p w14:paraId="7D3A56D3" w14:textId="77777777" w:rsidR="00120F3F" w:rsidRPr="00D548CF" w:rsidRDefault="00120F3F" w:rsidP="00120F3F">
      <w:pPr>
        <w:pStyle w:val="CH1"/>
        <w:tabs>
          <w:tab w:val="clear" w:pos="851"/>
          <w:tab w:val="clear" w:pos="1247"/>
          <w:tab w:val="clear" w:pos="1814"/>
          <w:tab w:val="clear" w:pos="2381"/>
          <w:tab w:val="clear" w:pos="2948"/>
          <w:tab w:val="clear" w:pos="3515"/>
          <w:tab w:val="clear" w:pos="4082"/>
        </w:tabs>
        <w:ind w:firstLine="0"/>
        <w:rPr>
          <w:rFonts w:ascii="Arial" w:hAnsi="Arial" w:cs="Arial"/>
        </w:rPr>
      </w:pPr>
      <w:r w:rsidRPr="00D548CF">
        <w:rPr>
          <w:rFonts w:ascii="Arial" w:hAnsi="Arial" w:cs="Arial"/>
        </w:rPr>
        <w:t>SC-9/12: Listing of perfluorooctanoic acid (PFOA), its salts and PFOA-related compounds</w:t>
      </w:r>
    </w:p>
    <w:p w14:paraId="4221D284"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i/>
        </w:rPr>
      </w:pPr>
      <w:r w:rsidRPr="00D548CF">
        <w:rPr>
          <w:rFonts w:ascii="Arial" w:hAnsi="Arial" w:cs="Arial"/>
          <w:i/>
        </w:rPr>
        <w:t>The Conference of the Parties,</w:t>
      </w:r>
    </w:p>
    <w:p w14:paraId="2695E127"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Having considered</w:t>
      </w:r>
      <w:r w:rsidRPr="00D548CF">
        <w:rPr>
          <w:rFonts w:ascii="Arial" w:hAnsi="Arial" w:cs="Arial"/>
        </w:rPr>
        <w:t xml:space="preserve"> the risk profile, the risk management evaluation and the addendum to the risk management evaluation for perfluorooctanoic acid (PFOA), its salts and PFOA</w:t>
      </w:r>
      <w:r w:rsidRPr="00D548CF">
        <w:rPr>
          <w:rFonts w:ascii="Arial" w:hAnsi="Arial" w:cs="Arial"/>
        </w:rPr>
        <w:noBreakHyphen/>
        <w:t>related compounds as transmitted by the Persistent Organic Pollutants Review Committee,</w:t>
      </w:r>
      <w:r w:rsidRPr="00D548CF">
        <w:rPr>
          <w:rStyle w:val="FootnoteReference"/>
          <w:rFonts w:ascii="Arial" w:hAnsi="Arial" w:cs="Arial"/>
        </w:rPr>
        <w:footnoteReference w:id="40"/>
      </w:r>
    </w:p>
    <w:p w14:paraId="5EEB6EC8" w14:textId="77777777" w:rsidR="00120F3F" w:rsidRPr="00D548CF" w:rsidRDefault="00120F3F" w:rsidP="00120F3F">
      <w:pPr>
        <w:pStyle w:val="Normal-pool"/>
        <w:tabs>
          <w:tab w:val="clear" w:pos="1247"/>
          <w:tab w:val="clear" w:pos="1814"/>
          <w:tab w:val="clear" w:pos="2381"/>
          <w:tab w:val="clear" w:pos="2948"/>
          <w:tab w:val="clear" w:pos="3515"/>
          <w:tab w:val="clear" w:pos="4082"/>
          <w:tab w:val="left" w:pos="624"/>
        </w:tabs>
        <w:spacing w:after="120"/>
        <w:ind w:left="1247" w:firstLine="624"/>
        <w:rPr>
          <w:rFonts w:ascii="Arial" w:hAnsi="Arial" w:cs="Arial"/>
        </w:rPr>
      </w:pPr>
      <w:r w:rsidRPr="00D548CF">
        <w:rPr>
          <w:rFonts w:ascii="Arial" w:hAnsi="Arial" w:cs="Arial"/>
          <w:i/>
        </w:rPr>
        <w:t>Taking note</w:t>
      </w:r>
      <w:r w:rsidRPr="00D548CF">
        <w:rPr>
          <w:rFonts w:ascii="Arial" w:hAnsi="Arial" w:cs="Arial"/>
        </w:rPr>
        <w:t xml:space="preserve"> of the recommendation by the Persistent Organic Pollutants Review Committee that perfluorooctanoic acid (PFOA), its salts and PFOA-related compounds be listed in Annex A to the Stockholm Convention on Persistent Organic Pollutants with specific exemptions,</w:t>
      </w:r>
      <w:r w:rsidRPr="00D548CF">
        <w:rPr>
          <w:rStyle w:val="FootnoteReference"/>
          <w:rFonts w:ascii="Arial" w:hAnsi="Arial" w:cs="Arial"/>
        </w:rPr>
        <w:footnoteReference w:id="41"/>
      </w:r>
      <w:r w:rsidRPr="00D548CF">
        <w:rPr>
          <w:rFonts w:ascii="Arial" w:hAnsi="Arial" w:cs="Arial"/>
        </w:rPr>
        <w:t xml:space="preserve"> </w:t>
      </w:r>
    </w:p>
    <w:p w14:paraId="0905D1CA" w14:textId="77777777" w:rsidR="00120F3F" w:rsidRPr="00D548CF" w:rsidRDefault="00120F3F" w:rsidP="00090036">
      <w:pPr>
        <w:pStyle w:val="Normal-pool"/>
        <w:numPr>
          <w:ilvl w:val="6"/>
          <w:numId w:val="34"/>
        </w:numPr>
        <w:tabs>
          <w:tab w:val="clear" w:pos="1247"/>
          <w:tab w:val="clear" w:pos="1814"/>
          <w:tab w:val="clear" w:pos="2381"/>
          <w:tab w:val="clear" w:pos="2948"/>
          <w:tab w:val="clear" w:pos="3515"/>
          <w:tab w:val="clear" w:pos="4082"/>
          <w:tab w:val="clear" w:pos="7988"/>
          <w:tab w:val="left" w:pos="624"/>
        </w:tabs>
        <w:spacing w:after="120"/>
        <w:ind w:left="1247" w:firstLine="624"/>
        <w:rPr>
          <w:rFonts w:ascii="Arial" w:hAnsi="Arial" w:cs="Arial"/>
        </w:rPr>
      </w:pPr>
      <w:r w:rsidRPr="00D548CF">
        <w:rPr>
          <w:rFonts w:ascii="Arial" w:hAnsi="Arial" w:cs="Arial"/>
          <w:i/>
        </w:rPr>
        <w:t>Decides</w:t>
      </w:r>
      <w:r w:rsidRPr="00D548CF">
        <w:rPr>
          <w:rFonts w:ascii="Arial" w:hAnsi="Arial" w:cs="Arial"/>
        </w:rPr>
        <w:t xml:space="preserve"> to amend part I of Annex A to the Stockholm Convention on Persistent Organic Pollutants to list therein perfluorooctanoic acid (PFOA), its salts and PFOA-related compounds, with specific exemptions for the production and use of perfluorooctanoic acid (PFOA), its salts and PFOA</w:t>
      </w:r>
      <w:r w:rsidRPr="00D548CF">
        <w:rPr>
          <w:rFonts w:ascii="Arial" w:hAnsi="Arial" w:cs="Arial"/>
        </w:rPr>
        <w:noBreakHyphen/>
        <w:t>related compounds, by inserting the following rows:</w:t>
      </w:r>
    </w:p>
    <w:tbl>
      <w:tblPr>
        <w:tblW w:w="5000" w:type="pct"/>
        <w:jc w:val="right"/>
        <w:tblLook w:val="04A0" w:firstRow="1" w:lastRow="0" w:firstColumn="1" w:lastColumn="0" w:noHBand="0" w:noVBand="1"/>
      </w:tblPr>
      <w:tblGrid>
        <w:gridCol w:w="4176"/>
        <w:gridCol w:w="1077"/>
        <w:gridCol w:w="3819"/>
      </w:tblGrid>
      <w:tr w:rsidR="00120F3F" w:rsidRPr="00D548CF" w14:paraId="3F006923" w14:textId="77777777" w:rsidTr="00BE3A18">
        <w:trPr>
          <w:trHeight w:val="57"/>
          <w:tblHeader/>
          <w:jc w:val="right"/>
        </w:trPr>
        <w:tc>
          <w:tcPr>
            <w:tcW w:w="0" w:type="auto"/>
            <w:tcBorders>
              <w:top w:val="single" w:sz="4" w:space="0" w:color="auto"/>
              <w:left w:val="nil"/>
              <w:bottom w:val="single" w:sz="12" w:space="0" w:color="auto"/>
              <w:right w:val="nil"/>
            </w:tcBorders>
            <w:shd w:val="clear" w:color="auto" w:fill="FFFFFF"/>
            <w:hideMark/>
          </w:tcPr>
          <w:p w14:paraId="3F4DF1C6" w14:textId="77777777" w:rsidR="00120F3F" w:rsidRPr="00D548CF" w:rsidRDefault="00120F3F" w:rsidP="00BE3A18">
            <w:pPr>
              <w:snapToGrid w:val="0"/>
              <w:spacing w:before="40" w:after="40"/>
              <w:rPr>
                <w:rFonts w:ascii="Arial" w:hAnsi="Arial" w:cs="Arial"/>
                <w:i/>
                <w:color w:val="000000"/>
                <w:sz w:val="18"/>
                <w:szCs w:val="18"/>
                <w:lang w:eastAsia="fr-CH"/>
              </w:rPr>
            </w:pPr>
            <w:r w:rsidRPr="00D548CF">
              <w:rPr>
                <w:rFonts w:ascii="Arial" w:hAnsi="Arial" w:cs="Arial"/>
                <w:i/>
                <w:color w:val="000000"/>
                <w:sz w:val="18"/>
                <w:szCs w:val="18"/>
                <w:lang w:eastAsia="fr-CH"/>
              </w:rPr>
              <w:t xml:space="preserve">Chemical </w:t>
            </w:r>
          </w:p>
        </w:tc>
        <w:tc>
          <w:tcPr>
            <w:tcW w:w="0" w:type="auto"/>
            <w:tcBorders>
              <w:top w:val="single" w:sz="4" w:space="0" w:color="auto"/>
              <w:left w:val="nil"/>
              <w:bottom w:val="single" w:sz="12" w:space="0" w:color="auto"/>
              <w:right w:val="nil"/>
            </w:tcBorders>
            <w:shd w:val="clear" w:color="auto" w:fill="FFFFFF"/>
            <w:hideMark/>
          </w:tcPr>
          <w:p w14:paraId="2C410608" w14:textId="77777777" w:rsidR="00120F3F" w:rsidRPr="00D548CF" w:rsidRDefault="00120F3F" w:rsidP="00BE3A18">
            <w:pPr>
              <w:snapToGrid w:val="0"/>
              <w:spacing w:before="40" w:after="40"/>
              <w:rPr>
                <w:rFonts w:ascii="Arial" w:hAnsi="Arial" w:cs="Arial"/>
                <w:i/>
                <w:color w:val="000000"/>
                <w:sz w:val="18"/>
                <w:szCs w:val="18"/>
                <w:lang w:eastAsia="fr-CH"/>
              </w:rPr>
            </w:pPr>
            <w:r w:rsidRPr="00D548CF">
              <w:rPr>
                <w:rFonts w:ascii="Arial" w:hAnsi="Arial" w:cs="Arial"/>
                <w:i/>
                <w:color w:val="000000"/>
                <w:sz w:val="18"/>
                <w:szCs w:val="18"/>
                <w:lang w:eastAsia="fr-CH"/>
              </w:rPr>
              <w:t>Activity</w:t>
            </w:r>
          </w:p>
        </w:tc>
        <w:tc>
          <w:tcPr>
            <w:tcW w:w="0" w:type="auto"/>
            <w:tcBorders>
              <w:top w:val="single" w:sz="4" w:space="0" w:color="auto"/>
              <w:left w:val="nil"/>
              <w:bottom w:val="single" w:sz="12" w:space="0" w:color="auto"/>
              <w:right w:val="nil"/>
            </w:tcBorders>
            <w:shd w:val="clear" w:color="auto" w:fill="FFFFFF"/>
            <w:hideMark/>
          </w:tcPr>
          <w:p w14:paraId="55913739" w14:textId="77777777" w:rsidR="00120F3F" w:rsidRPr="00D548CF" w:rsidRDefault="00120F3F" w:rsidP="00BE3A18">
            <w:pPr>
              <w:snapToGrid w:val="0"/>
              <w:spacing w:before="40" w:after="40"/>
              <w:rPr>
                <w:rFonts w:ascii="Arial" w:hAnsi="Arial" w:cs="Arial"/>
                <w:i/>
                <w:color w:val="000000"/>
                <w:sz w:val="18"/>
                <w:szCs w:val="18"/>
                <w:lang w:eastAsia="fr-CH"/>
              </w:rPr>
            </w:pPr>
            <w:r w:rsidRPr="00D548CF">
              <w:rPr>
                <w:rFonts w:ascii="Arial" w:hAnsi="Arial" w:cs="Arial"/>
                <w:i/>
                <w:color w:val="000000"/>
                <w:sz w:val="18"/>
                <w:szCs w:val="18"/>
                <w:lang w:eastAsia="fr-CH"/>
              </w:rPr>
              <w:t>Specific exemption</w:t>
            </w:r>
          </w:p>
        </w:tc>
      </w:tr>
      <w:tr w:rsidR="00120F3F" w:rsidRPr="00D548CF" w14:paraId="041D9D0F" w14:textId="77777777" w:rsidTr="00BE3A18">
        <w:trPr>
          <w:trHeight w:val="57"/>
          <w:jc w:val="right"/>
        </w:trPr>
        <w:tc>
          <w:tcPr>
            <w:tcW w:w="0" w:type="auto"/>
            <w:vMerge w:val="restart"/>
            <w:tcBorders>
              <w:top w:val="single" w:sz="12" w:space="0" w:color="auto"/>
              <w:left w:val="nil"/>
              <w:bottom w:val="single" w:sz="12" w:space="0" w:color="auto"/>
              <w:right w:val="nil"/>
            </w:tcBorders>
          </w:tcPr>
          <w:p w14:paraId="0DCE3EFB"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Perfluorooctanoic acid (PFOA), its salts and PFOA-related compounds</w:t>
            </w:r>
          </w:p>
          <w:p w14:paraId="3C52DFCD"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 xml:space="preserve">“Perfluorooctanoic acid (PFOA), its salts and </w:t>
            </w:r>
            <w:r w:rsidRPr="00D548CF">
              <w:rPr>
                <w:rFonts w:ascii="Arial" w:hAnsi="Arial" w:cs="Arial"/>
                <w:color w:val="000000"/>
                <w:sz w:val="18"/>
                <w:szCs w:val="18"/>
                <w:lang w:eastAsia="fr-CH"/>
              </w:rPr>
              <w:br/>
              <w:t>PFOA-related compounds” means the following:</w:t>
            </w:r>
          </w:p>
          <w:p w14:paraId="5260934A" w14:textId="77777777" w:rsidR="00120F3F" w:rsidRPr="00D548CF" w:rsidRDefault="00120F3F" w:rsidP="00090036">
            <w:pPr>
              <w:numPr>
                <w:ilvl w:val="0"/>
                <w:numId w:val="37"/>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 xml:space="preserve">Perfluorooctanoic acid (PFOA; </w:t>
            </w:r>
            <w:r w:rsidRPr="00D548CF">
              <w:rPr>
                <w:rFonts w:ascii="Arial" w:hAnsi="Arial" w:cs="Arial"/>
                <w:color w:val="000000"/>
                <w:sz w:val="18"/>
                <w:szCs w:val="18"/>
                <w:lang w:eastAsia="fr-CH"/>
              </w:rPr>
              <w:br/>
              <w:t>CAS No. 335-67-1), including any of its branched isomers;</w:t>
            </w:r>
          </w:p>
          <w:p w14:paraId="5DFF533A" w14:textId="77777777" w:rsidR="00120F3F" w:rsidRPr="00D548CF" w:rsidRDefault="00120F3F" w:rsidP="00090036">
            <w:pPr>
              <w:numPr>
                <w:ilvl w:val="0"/>
                <w:numId w:val="37"/>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 xml:space="preserve">Its salts; </w:t>
            </w:r>
          </w:p>
          <w:p w14:paraId="2728ADA4" w14:textId="77777777" w:rsidR="00120F3F" w:rsidRPr="00D548CF" w:rsidRDefault="00120F3F" w:rsidP="00090036">
            <w:pPr>
              <w:numPr>
                <w:ilvl w:val="0"/>
                <w:numId w:val="37"/>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PFOA-related compounds which, for the purposes of the Convention, are any substances that degrade to PFOA, including any substances (including salts and polymers) having a linear or branched perfluoroheptyl group with the moiety (C</w:t>
            </w:r>
            <w:r w:rsidRPr="00D548CF">
              <w:rPr>
                <w:rFonts w:ascii="Arial" w:hAnsi="Arial" w:cs="Arial"/>
                <w:color w:val="000000"/>
                <w:sz w:val="18"/>
                <w:szCs w:val="18"/>
                <w:vertAlign w:val="subscript"/>
                <w:lang w:eastAsia="fr-CH"/>
              </w:rPr>
              <w:t>7</w:t>
            </w:r>
            <w:r w:rsidRPr="00D548CF">
              <w:rPr>
                <w:rFonts w:ascii="Arial" w:hAnsi="Arial" w:cs="Arial"/>
                <w:color w:val="000000"/>
                <w:sz w:val="18"/>
                <w:szCs w:val="18"/>
                <w:lang w:eastAsia="fr-CH"/>
              </w:rPr>
              <w:t>F</w:t>
            </w:r>
            <w:r w:rsidRPr="00D548CF">
              <w:rPr>
                <w:rFonts w:ascii="Arial" w:hAnsi="Arial" w:cs="Arial"/>
                <w:color w:val="000000"/>
                <w:sz w:val="18"/>
                <w:szCs w:val="18"/>
                <w:vertAlign w:val="subscript"/>
                <w:lang w:eastAsia="fr-CH"/>
              </w:rPr>
              <w:t>15</w:t>
            </w:r>
            <w:r w:rsidRPr="00D548CF">
              <w:rPr>
                <w:rFonts w:ascii="Arial" w:hAnsi="Arial" w:cs="Arial"/>
                <w:color w:val="000000"/>
                <w:sz w:val="18"/>
                <w:szCs w:val="18"/>
                <w:lang w:eastAsia="fr-CH"/>
              </w:rPr>
              <w:t>)C as one of the structural elements;</w:t>
            </w:r>
          </w:p>
          <w:p w14:paraId="5E9A30B0"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 xml:space="preserve">The following compounds are not included as </w:t>
            </w:r>
            <w:r w:rsidRPr="00D548CF">
              <w:rPr>
                <w:rFonts w:ascii="Arial" w:hAnsi="Arial" w:cs="Arial"/>
                <w:color w:val="000000"/>
                <w:sz w:val="18"/>
                <w:szCs w:val="18"/>
                <w:lang w:eastAsia="fr-CH"/>
              </w:rPr>
              <w:br/>
              <w:t>PFOA-related compounds:</w:t>
            </w:r>
          </w:p>
          <w:p w14:paraId="5C4AAE0C" w14:textId="77777777" w:rsidR="00120F3F" w:rsidRPr="00D548CF" w:rsidRDefault="00120F3F" w:rsidP="00090036">
            <w:pPr>
              <w:numPr>
                <w:ilvl w:val="0"/>
                <w:numId w:val="38"/>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C</w:t>
            </w:r>
            <w:r w:rsidRPr="00D548CF">
              <w:rPr>
                <w:rFonts w:ascii="Arial" w:hAnsi="Arial" w:cs="Arial"/>
                <w:color w:val="000000"/>
                <w:sz w:val="18"/>
                <w:szCs w:val="18"/>
                <w:vertAlign w:val="subscript"/>
                <w:lang w:eastAsia="fr-CH"/>
              </w:rPr>
              <w:t>8</w:t>
            </w:r>
            <w:r w:rsidRPr="00D548CF">
              <w:rPr>
                <w:rFonts w:ascii="Arial" w:hAnsi="Arial" w:cs="Arial"/>
                <w:color w:val="000000"/>
                <w:sz w:val="18"/>
                <w:szCs w:val="18"/>
                <w:lang w:eastAsia="fr-CH"/>
              </w:rPr>
              <w:t>F</w:t>
            </w:r>
            <w:r w:rsidRPr="00D548CF">
              <w:rPr>
                <w:rFonts w:ascii="Arial" w:hAnsi="Arial" w:cs="Arial"/>
                <w:color w:val="000000"/>
                <w:sz w:val="18"/>
                <w:szCs w:val="18"/>
                <w:vertAlign w:val="subscript"/>
                <w:lang w:eastAsia="fr-CH"/>
              </w:rPr>
              <w:t>17</w:t>
            </w:r>
            <w:r w:rsidRPr="00D548CF">
              <w:rPr>
                <w:rFonts w:ascii="Arial" w:hAnsi="Arial" w:cs="Arial"/>
                <w:color w:val="000000"/>
                <w:sz w:val="18"/>
                <w:szCs w:val="18"/>
                <w:lang w:eastAsia="fr-CH"/>
              </w:rPr>
              <w:t>-X, where X= F, Cl, Br;</w:t>
            </w:r>
          </w:p>
          <w:p w14:paraId="3803E198" w14:textId="77777777" w:rsidR="00120F3F" w:rsidRPr="00D548CF" w:rsidRDefault="00120F3F" w:rsidP="00090036">
            <w:pPr>
              <w:numPr>
                <w:ilvl w:val="0"/>
                <w:numId w:val="38"/>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Fluoropolymers that are covered by CF</w:t>
            </w:r>
            <w:r w:rsidRPr="00D548CF">
              <w:rPr>
                <w:rFonts w:ascii="Arial" w:hAnsi="Arial" w:cs="Arial"/>
                <w:color w:val="000000"/>
                <w:sz w:val="18"/>
                <w:szCs w:val="18"/>
                <w:vertAlign w:val="subscript"/>
                <w:lang w:eastAsia="fr-CH"/>
              </w:rPr>
              <w:t>3</w:t>
            </w:r>
            <w:r w:rsidRPr="00D548CF">
              <w:rPr>
                <w:rFonts w:ascii="Arial" w:hAnsi="Arial" w:cs="Arial"/>
                <w:color w:val="000000"/>
                <w:sz w:val="18"/>
                <w:szCs w:val="18"/>
                <w:lang w:eastAsia="fr-CH"/>
              </w:rPr>
              <w:t>[CF</w:t>
            </w:r>
            <w:r w:rsidRPr="00D548CF">
              <w:rPr>
                <w:rFonts w:ascii="Arial" w:hAnsi="Arial" w:cs="Arial"/>
                <w:color w:val="000000"/>
                <w:sz w:val="18"/>
                <w:szCs w:val="18"/>
                <w:vertAlign w:val="subscript"/>
                <w:lang w:eastAsia="fr-CH"/>
              </w:rPr>
              <w:t>2</w:t>
            </w:r>
            <w:r w:rsidRPr="00D548CF">
              <w:rPr>
                <w:rFonts w:ascii="Arial" w:hAnsi="Arial" w:cs="Arial"/>
                <w:color w:val="000000"/>
                <w:sz w:val="18"/>
                <w:szCs w:val="18"/>
                <w:lang w:eastAsia="fr-CH"/>
              </w:rPr>
              <w:t>]</w:t>
            </w:r>
            <w:r w:rsidRPr="00D548CF">
              <w:rPr>
                <w:rFonts w:ascii="Arial" w:hAnsi="Arial" w:cs="Arial"/>
                <w:color w:val="000000"/>
                <w:sz w:val="18"/>
                <w:szCs w:val="18"/>
                <w:vertAlign w:val="subscript"/>
                <w:lang w:eastAsia="fr-CH"/>
              </w:rPr>
              <w:t>n</w:t>
            </w:r>
            <w:r w:rsidRPr="00D548CF">
              <w:rPr>
                <w:rFonts w:ascii="Arial" w:hAnsi="Arial" w:cs="Arial"/>
                <w:color w:val="000000"/>
                <w:sz w:val="18"/>
                <w:szCs w:val="18"/>
                <w:lang w:eastAsia="fr-CH"/>
              </w:rPr>
              <w:t>-R’, where R’=any group, n&gt;16;</w:t>
            </w:r>
          </w:p>
          <w:p w14:paraId="07F258E4" w14:textId="77777777" w:rsidR="00120F3F" w:rsidRPr="00D548CF" w:rsidRDefault="00120F3F" w:rsidP="00090036">
            <w:pPr>
              <w:numPr>
                <w:ilvl w:val="0"/>
                <w:numId w:val="38"/>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 xml:space="preserve">Perfluoroalkyl carboxylic and phosphonic acids (including their salts, esters, halides and anhydrides) with ≥8 perfluorinated carbons; </w:t>
            </w:r>
          </w:p>
          <w:p w14:paraId="7748E00B" w14:textId="77777777" w:rsidR="00120F3F" w:rsidRPr="00D548CF" w:rsidRDefault="00120F3F" w:rsidP="00090036">
            <w:pPr>
              <w:numPr>
                <w:ilvl w:val="0"/>
                <w:numId w:val="38"/>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 xml:space="preserve">Perfluoroalkane sulfonic acids (including their salts, esters, halides and anhydrides) with ≥9 perfluorinated carbons;  </w:t>
            </w:r>
          </w:p>
          <w:p w14:paraId="41C7EF32" w14:textId="77777777" w:rsidR="00120F3F" w:rsidRPr="00D548CF" w:rsidRDefault="00120F3F" w:rsidP="00090036">
            <w:pPr>
              <w:numPr>
                <w:ilvl w:val="0"/>
                <w:numId w:val="38"/>
              </w:numPr>
              <w:tabs>
                <w:tab w:val="left" w:pos="503"/>
              </w:tabs>
              <w:suppressAutoHyphens/>
              <w:snapToGrid w:val="0"/>
              <w:spacing w:before="40" w:after="40" w:line="240" w:lineRule="auto"/>
              <w:ind w:left="503" w:hanging="425"/>
              <w:rPr>
                <w:rFonts w:ascii="Arial" w:hAnsi="Arial" w:cs="Arial"/>
                <w:color w:val="000000"/>
                <w:sz w:val="18"/>
                <w:szCs w:val="18"/>
                <w:lang w:eastAsia="fr-CH"/>
              </w:rPr>
            </w:pPr>
            <w:r w:rsidRPr="00D548CF">
              <w:rPr>
                <w:rFonts w:ascii="Arial" w:hAnsi="Arial" w:cs="Arial"/>
                <w:color w:val="000000"/>
                <w:sz w:val="18"/>
                <w:szCs w:val="18"/>
                <w:lang w:eastAsia="fr-CH"/>
              </w:rPr>
              <w:t>Perfluorooctane sulfonic acid (PFOS), its salts and perfluorooctane sulfonyl fluoride (PFOSF), as listed in Annex B to the Convention.</w:t>
            </w:r>
          </w:p>
        </w:tc>
        <w:tc>
          <w:tcPr>
            <w:tcW w:w="0" w:type="auto"/>
            <w:tcBorders>
              <w:top w:val="single" w:sz="12" w:space="0" w:color="auto"/>
              <w:left w:val="nil"/>
              <w:bottom w:val="single" w:sz="4" w:space="0" w:color="auto"/>
              <w:right w:val="nil"/>
            </w:tcBorders>
            <w:shd w:val="clear" w:color="auto" w:fill="FFFFFF"/>
            <w:hideMark/>
          </w:tcPr>
          <w:p w14:paraId="2E302BE7"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 xml:space="preserve">Production </w:t>
            </w:r>
          </w:p>
        </w:tc>
        <w:tc>
          <w:tcPr>
            <w:tcW w:w="0" w:type="auto"/>
            <w:tcBorders>
              <w:top w:val="single" w:sz="12" w:space="0" w:color="auto"/>
              <w:left w:val="nil"/>
              <w:bottom w:val="single" w:sz="4" w:space="0" w:color="auto"/>
              <w:right w:val="nil"/>
            </w:tcBorders>
            <w:shd w:val="clear" w:color="auto" w:fill="FFFFFF"/>
            <w:hideMark/>
          </w:tcPr>
          <w:p w14:paraId="0911157D" w14:textId="77777777" w:rsidR="00120F3F" w:rsidRPr="00D548CF" w:rsidRDefault="00120F3F" w:rsidP="00090036">
            <w:pPr>
              <w:pStyle w:val="ListParagraph"/>
              <w:numPr>
                <w:ilvl w:val="0"/>
                <w:numId w:val="35"/>
              </w:numPr>
              <w:suppressAutoHyphens/>
              <w:snapToGrid w:val="0"/>
              <w:spacing w:before="40" w:after="40" w:line="240" w:lineRule="auto"/>
              <w:rPr>
                <w:rFonts w:ascii="Arial" w:hAnsi="Arial" w:cs="Arial"/>
                <w:color w:val="000000"/>
                <w:sz w:val="18"/>
                <w:szCs w:val="18"/>
                <w:lang w:val="en-GB" w:eastAsia="fr-CH"/>
              </w:rPr>
            </w:pPr>
            <w:r w:rsidRPr="00D548CF">
              <w:rPr>
                <w:rFonts w:ascii="Arial" w:hAnsi="Arial" w:cs="Arial"/>
                <w:color w:val="000000"/>
                <w:sz w:val="18"/>
                <w:szCs w:val="18"/>
                <w:lang w:val="en-GB" w:eastAsia="fr-CH"/>
              </w:rPr>
              <w:t>Fire-fighting foam: None</w:t>
            </w:r>
          </w:p>
          <w:p w14:paraId="6F720458" w14:textId="77777777" w:rsidR="00120F3F" w:rsidRPr="00D548CF" w:rsidRDefault="00120F3F" w:rsidP="00090036">
            <w:pPr>
              <w:pStyle w:val="ListParagraph"/>
              <w:numPr>
                <w:ilvl w:val="0"/>
                <w:numId w:val="35"/>
              </w:numPr>
              <w:suppressAutoHyphens/>
              <w:snapToGrid w:val="0"/>
              <w:spacing w:before="40" w:after="40" w:line="240" w:lineRule="auto"/>
              <w:ind w:left="357" w:hanging="357"/>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 xml:space="preserve">For other production, as allowed for the Parties listed in the Register in accordance with the provisions of part X of this Annex </w:t>
            </w:r>
          </w:p>
        </w:tc>
      </w:tr>
      <w:tr w:rsidR="00120F3F" w:rsidRPr="00D548CF" w14:paraId="60694CC7" w14:textId="77777777" w:rsidTr="00BE3A18">
        <w:trPr>
          <w:trHeight w:val="57"/>
          <w:jc w:val="right"/>
        </w:trPr>
        <w:tc>
          <w:tcPr>
            <w:tcW w:w="0" w:type="auto"/>
            <w:vMerge/>
            <w:tcBorders>
              <w:top w:val="single" w:sz="12" w:space="0" w:color="auto"/>
              <w:left w:val="nil"/>
              <w:bottom w:val="single" w:sz="12" w:space="0" w:color="auto"/>
              <w:right w:val="nil"/>
            </w:tcBorders>
            <w:hideMark/>
          </w:tcPr>
          <w:p w14:paraId="7F1EE9F0" w14:textId="77777777" w:rsidR="00120F3F" w:rsidRPr="00D548CF" w:rsidRDefault="00120F3F" w:rsidP="00BE3A18">
            <w:pPr>
              <w:spacing w:before="40" w:after="40"/>
              <w:rPr>
                <w:rFonts w:ascii="Arial" w:hAnsi="Arial" w:cs="Arial"/>
                <w:color w:val="000000"/>
                <w:sz w:val="18"/>
                <w:szCs w:val="18"/>
                <w:lang w:eastAsia="fr-CH"/>
              </w:rPr>
            </w:pPr>
          </w:p>
        </w:tc>
        <w:tc>
          <w:tcPr>
            <w:tcW w:w="0" w:type="auto"/>
            <w:tcBorders>
              <w:top w:val="single" w:sz="4" w:space="0" w:color="auto"/>
              <w:left w:val="nil"/>
              <w:bottom w:val="single" w:sz="12" w:space="0" w:color="auto"/>
              <w:right w:val="nil"/>
            </w:tcBorders>
            <w:hideMark/>
          </w:tcPr>
          <w:p w14:paraId="6001A3CE"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Use</w:t>
            </w:r>
          </w:p>
        </w:tc>
        <w:tc>
          <w:tcPr>
            <w:tcW w:w="0" w:type="auto"/>
            <w:tcBorders>
              <w:top w:val="single" w:sz="4" w:space="0" w:color="auto"/>
              <w:left w:val="nil"/>
              <w:bottom w:val="single" w:sz="12" w:space="0" w:color="auto"/>
              <w:right w:val="nil"/>
            </w:tcBorders>
            <w:hideMark/>
          </w:tcPr>
          <w:p w14:paraId="39F60D59" w14:textId="77777777" w:rsidR="00120F3F" w:rsidRPr="00D548CF" w:rsidRDefault="00120F3F" w:rsidP="00BE3A18">
            <w:pPr>
              <w:suppressAutoHyphens/>
              <w:snapToGrid w:val="0"/>
              <w:spacing w:before="40" w:after="40"/>
              <w:rPr>
                <w:rFonts w:ascii="Arial" w:hAnsi="Arial" w:cs="Arial"/>
                <w:color w:val="000000"/>
                <w:sz w:val="18"/>
                <w:szCs w:val="18"/>
                <w:lang w:eastAsia="fr-CH"/>
              </w:rPr>
            </w:pPr>
            <w:r w:rsidRPr="00D548CF">
              <w:rPr>
                <w:rFonts w:ascii="Arial" w:hAnsi="Arial" w:cs="Arial"/>
                <w:color w:val="000000"/>
                <w:sz w:val="18"/>
                <w:szCs w:val="18"/>
                <w:lang w:eastAsia="fr-CH"/>
              </w:rPr>
              <w:t>In accordance with the provisions of part X of this Annex:</w:t>
            </w:r>
          </w:p>
          <w:p w14:paraId="2F6ADE4F"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Photolithography or etch processes in semiconductor manufacturing</w:t>
            </w:r>
          </w:p>
          <w:p w14:paraId="31DF4169"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Photographic coatings applied to films</w:t>
            </w:r>
          </w:p>
          <w:p w14:paraId="5CDD2246"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 xml:space="preserve">Textiles for oil and water repellency for the protection of workers from dangerous liquids that comprise risks to their health and safety </w:t>
            </w:r>
          </w:p>
          <w:p w14:paraId="2A78BC0F"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Invasive and implantable medical devices</w:t>
            </w:r>
          </w:p>
          <w:p w14:paraId="74D3631D"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Fire-fighting foam for liquid fuel vapour suppression and liquid fuel fires (Class B fires) in installed systems, including both mobile and fixed systems, in accordance with paragraph 2 of part X of this Annex</w:t>
            </w:r>
          </w:p>
          <w:p w14:paraId="6C8E3D4D"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color w:val="000000"/>
                <w:sz w:val="18"/>
                <w:szCs w:val="18"/>
                <w:lang w:val="en-GB" w:eastAsia="fr-CH"/>
              </w:rPr>
              <w:t>Use of perfluorooctyl iodide for the production of perfluorooctyl bromide for the purpose of producing pharmaceutical products, in accordance with the provisions of paragraph 3 of part X of this Annex</w:t>
            </w:r>
          </w:p>
          <w:p w14:paraId="27D2B739"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sz w:val="18"/>
                <w:szCs w:val="18"/>
                <w:lang w:val="en-GB"/>
              </w:rPr>
            </w:pPr>
            <w:r w:rsidRPr="00D548CF">
              <w:rPr>
                <w:rFonts w:ascii="Arial" w:hAnsi="Arial" w:cs="Arial"/>
                <w:sz w:val="18"/>
                <w:szCs w:val="18"/>
                <w:lang w:val="en-GB"/>
              </w:rPr>
              <w:t>Manufacture of polytetrafluoroethylene (PTFE) and polyvinylidene fluoride (PVDF) for the production of:</w:t>
            </w:r>
          </w:p>
          <w:p w14:paraId="59CBD01C" w14:textId="77777777" w:rsidR="00120F3F" w:rsidRPr="00D548CF" w:rsidRDefault="00120F3F" w:rsidP="00090036">
            <w:pPr>
              <w:pStyle w:val="ListParagraph"/>
              <w:numPr>
                <w:ilvl w:val="1"/>
                <w:numId w:val="25"/>
              </w:numPr>
              <w:suppressAutoHyphens/>
              <w:snapToGrid w:val="0"/>
              <w:spacing w:before="40" w:after="40" w:line="240" w:lineRule="auto"/>
              <w:ind w:left="600" w:hanging="270"/>
              <w:contextualSpacing w:val="0"/>
              <w:rPr>
                <w:rFonts w:ascii="Arial" w:hAnsi="Arial" w:cs="Arial"/>
                <w:sz w:val="18"/>
                <w:szCs w:val="18"/>
                <w:lang w:val="en-GB"/>
              </w:rPr>
            </w:pPr>
            <w:r w:rsidRPr="00D548CF">
              <w:rPr>
                <w:rFonts w:ascii="Arial" w:hAnsi="Arial" w:cs="Arial"/>
                <w:sz w:val="18"/>
                <w:szCs w:val="18"/>
                <w:lang w:val="en-GB"/>
              </w:rPr>
              <w:t>High-performance, corrosion-resistant gas filter membranes, water filter membranes and membranes for medical textiles</w:t>
            </w:r>
          </w:p>
          <w:p w14:paraId="7AFBAA2B" w14:textId="77777777" w:rsidR="00120F3F" w:rsidRPr="00D548CF" w:rsidRDefault="00120F3F" w:rsidP="00090036">
            <w:pPr>
              <w:pStyle w:val="ListParagraph"/>
              <w:numPr>
                <w:ilvl w:val="1"/>
                <w:numId w:val="25"/>
              </w:numPr>
              <w:suppressAutoHyphens/>
              <w:snapToGrid w:val="0"/>
              <w:spacing w:before="40" w:after="40" w:line="240" w:lineRule="auto"/>
              <w:ind w:left="600" w:hanging="270"/>
              <w:contextualSpacing w:val="0"/>
              <w:rPr>
                <w:rFonts w:ascii="Arial" w:hAnsi="Arial" w:cs="Arial"/>
                <w:sz w:val="18"/>
                <w:szCs w:val="18"/>
                <w:lang w:val="en-GB"/>
              </w:rPr>
            </w:pPr>
            <w:r w:rsidRPr="00D548CF">
              <w:rPr>
                <w:rFonts w:ascii="Arial" w:hAnsi="Arial" w:cs="Arial"/>
                <w:sz w:val="18"/>
                <w:szCs w:val="18"/>
                <w:lang w:val="en-GB"/>
              </w:rPr>
              <w:lastRenderedPageBreak/>
              <w:t xml:space="preserve">Industrial waste heat exchanger equipment </w:t>
            </w:r>
          </w:p>
          <w:p w14:paraId="23BC3852" w14:textId="77777777" w:rsidR="00120F3F" w:rsidRPr="00D548CF" w:rsidRDefault="00120F3F" w:rsidP="00090036">
            <w:pPr>
              <w:pStyle w:val="ListParagraph"/>
              <w:numPr>
                <w:ilvl w:val="1"/>
                <w:numId w:val="25"/>
              </w:numPr>
              <w:suppressAutoHyphens/>
              <w:snapToGrid w:val="0"/>
              <w:spacing w:before="40" w:after="40" w:line="240" w:lineRule="auto"/>
              <w:ind w:left="600" w:hanging="270"/>
              <w:contextualSpacing w:val="0"/>
              <w:rPr>
                <w:rFonts w:ascii="Arial" w:hAnsi="Arial" w:cs="Arial"/>
                <w:sz w:val="18"/>
                <w:szCs w:val="18"/>
                <w:lang w:val="en-GB"/>
              </w:rPr>
            </w:pPr>
            <w:r w:rsidRPr="00D548CF">
              <w:rPr>
                <w:rFonts w:ascii="Arial" w:hAnsi="Arial" w:cs="Arial"/>
                <w:sz w:val="18"/>
                <w:szCs w:val="18"/>
                <w:lang w:val="en-GB"/>
              </w:rPr>
              <w:t>Industrial sealants capable of preventing leakage of volatile organic compounds and PM2.5 particulates</w:t>
            </w:r>
          </w:p>
          <w:p w14:paraId="06C96FA5"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sz w:val="18"/>
                <w:szCs w:val="18"/>
                <w:lang w:val="en-GB"/>
              </w:rPr>
              <w:t>Manufacture of polyfluoroethylene propylene (FEP) for the production of high-voltage electrical wire and cables for power transmission</w:t>
            </w:r>
          </w:p>
          <w:p w14:paraId="78CCB5D9" w14:textId="77777777" w:rsidR="00120F3F" w:rsidRPr="00D548CF" w:rsidRDefault="00120F3F" w:rsidP="00090036">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D548CF">
              <w:rPr>
                <w:rFonts w:ascii="Arial" w:hAnsi="Arial" w:cs="Arial"/>
                <w:sz w:val="18"/>
                <w:szCs w:val="18"/>
                <w:lang w:val="en-GB"/>
              </w:rPr>
              <w:t>Manufacture of fluoroelastomers for the production of O-rings, v-belts and plastic accessories for car interiors</w:t>
            </w:r>
          </w:p>
        </w:tc>
      </w:tr>
    </w:tbl>
    <w:p w14:paraId="2C60E3DE" w14:textId="77777777" w:rsidR="00443B8B" w:rsidRPr="00443B8B" w:rsidRDefault="00443B8B" w:rsidP="00443B8B">
      <w:pPr>
        <w:pStyle w:val="Normal-pool"/>
        <w:tabs>
          <w:tab w:val="clear" w:pos="1247"/>
          <w:tab w:val="clear" w:pos="1814"/>
          <w:tab w:val="clear" w:pos="2381"/>
          <w:tab w:val="clear" w:pos="2948"/>
          <w:tab w:val="clear" w:pos="3515"/>
          <w:tab w:val="clear" w:pos="4082"/>
          <w:tab w:val="left" w:pos="624"/>
        </w:tabs>
        <w:spacing w:after="120"/>
        <w:ind w:left="1871"/>
        <w:rPr>
          <w:rFonts w:ascii="Arial" w:hAnsi="Arial" w:cs="Arial"/>
        </w:rPr>
      </w:pPr>
    </w:p>
    <w:p w14:paraId="42B34D61" w14:textId="032B3A1C" w:rsidR="00120F3F" w:rsidRPr="00D548CF" w:rsidRDefault="00120F3F" w:rsidP="00090036">
      <w:pPr>
        <w:pStyle w:val="Normal-pool"/>
        <w:numPr>
          <w:ilvl w:val="6"/>
          <w:numId w:val="34"/>
        </w:numPr>
        <w:tabs>
          <w:tab w:val="clear" w:pos="1247"/>
          <w:tab w:val="clear" w:pos="1814"/>
          <w:tab w:val="clear" w:pos="2381"/>
          <w:tab w:val="clear" w:pos="2948"/>
          <w:tab w:val="clear" w:pos="3515"/>
          <w:tab w:val="clear" w:pos="4082"/>
          <w:tab w:val="clear" w:pos="7988"/>
          <w:tab w:val="left" w:pos="624"/>
        </w:tabs>
        <w:spacing w:after="120"/>
        <w:ind w:left="1247" w:firstLine="624"/>
        <w:rPr>
          <w:rFonts w:ascii="Arial" w:hAnsi="Arial" w:cs="Arial"/>
        </w:rPr>
      </w:pPr>
      <w:r w:rsidRPr="00D548CF">
        <w:rPr>
          <w:rFonts w:ascii="Arial" w:hAnsi="Arial" w:cs="Arial"/>
          <w:i/>
        </w:rPr>
        <w:t>Also decides</w:t>
      </w:r>
      <w:r w:rsidRPr="00D548CF">
        <w:rPr>
          <w:rFonts w:ascii="Arial" w:hAnsi="Arial" w:cs="Arial"/>
        </w:rPr>
        <w:t xml:space="preserve"> to insert a new part X in Annex A to the Stockholm Convention on Persistent Organic Pollutants, as follows:</w:t>
      </w:r>
    </w:p>
    <w:p w14:paraId="73AC48F8" w14:textId="77777777" w:rsidR="00120F3F" w:rsidRPr="00D548CF" w:rsidRDefault="00120F3F" w:rsidP="00120F3F">
      <w:pPr>
        <w:pStyle w:val="CH2"/>
        <w:ind w:left="2494"/>
        <w:jc w:val="center"/>
        <w:rPr>
          <w:rFonts w:ascii="Arial" w:hAnsi="Arial" w:cs="Arial"/>
        </w:rPr>
      </w:pPr>
      <w:r w:rsidRPr="00D548CF">
        <w:rPr>
          <w:rFonts w:ascii="Arial" w:hAnsi="Arial" w:cs="Arial"/>
        </w:rPr>
        <w:t>Part X</w:t>
      </w:r>
    </w:p>
    <w:p w14:paraId="33783DEB" w14:textId="77777777" w:rsidR="00120F3F" w:rsidRPr="00D548CF" w:rsidRDefault="00120F3F" w:rsidP="00120F3F">
      <w:pPr>
        <w:pStyle w:val="CH2"/>
        <w:ind w:left="2494"/>
        <w:jc w:val="center"/>
        <w:rPr>
          <w:rFonts w:ascii="Arial" w:hAnsi="Arial" w:cs="Arial"/>
        </w:rPr>
      </w:pPr>
      <w:r w:rsidRPr="00D548CF">
        <w:rPr>
          <w:rFonts w:ascii="Arial" w:hAnsi="Arial" w:cs="Arial"/>
        </w:rPr>
        <w:t>Perfluorooctanoic acid (PFOA), its salts and PFOA-related compounds</w:t>
      </w:r>
    </w:p>
    <w:p w14:paraId="26EC2289" w14:textId="77777777" w:rsidR="00120F3F" w:rsidRPr="00D548CF" w:rsidRDefault="00120F3F" w:rsidP="00090036">
      <w:pPr>
        <w:pStyle w:val="Normal-pool"/>
        <w:numPr>
          <w:ilvl w:val="0"/>
          <w:numId w:val="36"/>
        </w:numPr>
        <w:tabs>
          <w:tab w:val="clear" w:pos="1247"/>
          <w:tab w:val="clear" w:pos="1814"/>
          <w:tab w:val="clear" w:pos="2381"/>
          <w:tab w:val="clear" w:pos="4082"/>
          <w:tab w:val="left" w:pos="2410"/>
        </w:tabs>
        <w:spacing w:after="120"/>
        <w:ind w:left="1247" w:firstLine="611"/>
        <w:rPr>
          <w:rFonts w:ascii="Arial" w:hAnsi="Arial" w:cs="Arial"/>
        </w:rPr>
      </w:pPr>
      <w:r w:rsidRPr="00D548CF">
        <w:rPr>
          <w:rFonts w:ascii="Arial" w:hAnsi="Arial" w:cs="Arial"/>
        </w:rPr>
        <w:t>The production and use of perfluorooctanoic acid (PFOA), its salts and PFOA</w:t>
      </w:r>
      <w:r w:rsidRPr="00D548CF">
        <w:rPr>
          <w:rFonts w:ascii="Arial" w:hAnsi="Arial" w:cs="Arial"/>
        </w:rPr>
        <w:noBreakHyphen/>
        <w:t xml:space="preserve">related compounds shall be eliminated except for Parties that have notified the Secretariat of their intention to produce and/or use them in accordance with Article 4 of the Convention. </w:t>
      </w:r>
    </w:p>
    <w:p w14:paraId="4BF5A428" w14:textId="77777777" w:rsidR="00120F3F" w:rsidRPr="00D548CF" w:rsidRDefault="00120F3F" w:rsidP="00090036">
      <w:pPr>
        <w:pStyle w:val="Normal-pool"/>
        <w:numPr>
          <w:ilvl w:val="0"/>
          <w:numId w:val="36"/>
        </w:numPr>
        <w:tabs>
          <w:tab w:val="clear" w:pos="1247"/>
          <w:tab w:val="clear" w:pos="1814"/>
          <w:tab w:val="clear" w:pos="2381"/>
          <w:tab w:val="clear" w:pos="4082"/>
          <w:tab w:val="left" w:pos="2410"/>
        </w:tabs>
        <w:spacing w:after="120"/>
        <w:ind w:left="1247" w:firstLine="611"/>
        <w:rPr>
          <w:rFonts w:ascii="Arial" w:hAnsi="Arial" w:cs="Arial"/>
        </w:rPr>
      </w:pPr>
      <w:r w:rsidRPr="00D548CF">
        <w:rPr>
          <w:rFonts w:ascii="Arial" w:hAnsi="Arial" w:cs="Arial"/>
        </w:rPr>
        <w:t xml:space="preserve">Each Party that has registered for a specific exemption pursuant to Article 4 for the use of PFOA, its salts and PFOA-related compounds for fire-fighting foam shall: </w:t>
      </w:r>
    </w:p>
    <w:p w14:paraId="29A769D3" w14:textId="77777777" w:rsidR="00120F3F" w:rsidRPr="00D548CF" w:rsidRDefault="00120F3F" w:rsidP="00090036">
      <w:pPr>
        <w:pStyle w:val="Normalpool"/>
        <w:numPr>
          <w:ilvl w:val="0"/>
          <w:numId w:val="39"/>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lang w:val="en-GB"/>
        </w:rPr>
      </w:pPr>
      <w:r w:rsidRPr="00D548CF">
        <w:rPr>
          <w:rFonts w:ascii="Arial" w:hAnsi="Arial" w:cs="Arial"/>
          <w:lang w:val="en-GB"/>
        </w:rPr>
        <w:t>Notwithstanding paragraph 2 of Article 3, ensure that fire-fighting foam that contains or may contain PFOA, its salts and PFOA-related compounds shall not be exported or imported except for the purpose of environmentally sound disposal as set forth in paragraph 1 (d) of Article 6;</w:t>
      </w:r>
    </w:p>
    <w:p w14:paraId="16938E95" w14:textId="77777777" w:rsidR="00120F3F" w:rsidRPr="00D548CF" w:rsidRDefault="00120F3F" w:rsidP="00090036">
      <w:pPr>
        <w:pStyle w:val="Normalpool"/>
        <w:numPr>
          <w:ilvl w:val="0"/>
          <w:numId w:val="39"/>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lang w:val="en-GB"/>
        </w:rPr>
      </w:pPr>
      <w:r w:rsidRPr="00D548CF">
        <w:rPr>
          <w:rFonts w:ascii="Arial" w:hAnsi="Arial" w:cs="Arial"/>
          <w:lang w:val="en-GB"/>
        </w:rPr>
        <w:t xml:space="preserve">Not use fire-fighting foam that contains or may contain PFOA, its salts and </w:t>
      </w:r>
      <w:r w:rsidRPr="00D548CF">
        <w:rPr>
          <w:rFonts w:ascii="Arial" w:hAnsi="Arial" w:cs="Arial"/>
          <w:lang w:val="en-GB"/>
        </w:rPr>
        <w:br/>
        <w:t>PFOA-related compounds for training;</w:t>
      </w:r>
    </w:p>
    <w:p w14:paraId="35D1B62F" w14:textId="77777777" w:rsidR="00120F3F" w:rsidRPr="00D548CF" w:rsidRDefault="00120F3F" w:rsidP="00090036">
      <w:pPr>
        <w:pStyle w:val="Normalpool"/>
        <w:numPr>
          <w:ilvl w:val="0"/>
          <w:numId w:val="39"/>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lang w:val="en-GB"/>
        </w:rPr>
      </w:pPr>
      <w:r w:rsidRPr="00D548CF">
        <w:rPr>
          <w:rFonts w:ascii="Arial" w:hAnsi="Arial" w:cs="Arial"/>
          <w:lang w:val="en-GB"/>
        </w:rPr>
        <w:t xml:space="preserve">Not use fire-fighting foam that contains or may contain PFOA, its salts and </w:t>
      </w:r>
      <w:r w:rsidRPr="00D548CF">
        <w:rPr>
          <w:rFonts w:ascii="Arial" w:hAnsi="Arial" w:cs="Arial"/>
          <w:lang w:val="en-GB"/>
        </w:rPr>
        <w:br/>
        <w:t>PFOA-related compounds for testing unless all releases are contained;</w:t>
      </w:r>
    </w:p>
    <w:p w14:paraId="4946EA90" w14:textId="77777777" w:rsidR="00120F3F" w:rsidRPr="00D548CF" w:rsidRDefault="00120F3F" w:rsidP="00090036">
      <w:pPr>
        <w:pStyle w:val="Normalpool"/>
        <w:numPr>
          <w:ilvl w:val="0"/>
          <w:numId w:val="39"/>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lang w:val="en-GB"/>
        </w:rPr>
      </w:pPr>
      <w:r w:rsidRPr="00D548CF">
        <w:rPr>
          <w:rFonts w:ascii="Arial" w:hAnsi="Arial" w:cs="Arial"/>
          <w:lang w:val="en-GB"/>
        </w:rPr>
        <w:t>By the end of 2022, if it has the capacity to do so, but no later than 2025, restrict uses of fire-fighting foam that contains or may contain PFOA, its salts and PFOA-related compounds to sites where all releases can be contained;</w:t>
      </w:r>
    </w:p>
    <w:p w14:paraId="40A166B6" w14:textId="77777777" w:rsidR="00120F3F" w:rsidRPr="00D548CF" w:rsidRDefault="00120F3F" w:rsidP="00090036">
      <w:pPr>
        <w:pStyle w:val="Normalpool"/>
        <w:numPr>
          <w:ilvl w:val="0"/>
          <w:numId w:val="39"/>
        </w:numPr>
        <w:tabs>
          <w:tab w:val="clear" w:pos="1247"/>
          <w:tab w:val="clear" w:pos="1814"/>
          <w:tab w:val="clear" w:pos="2381"/>
          <w:tab w:val="clear" w:pos="2948"/>
          <w:tab w:val="clear" w:pos="3515"/>
          <w:tab w:val="clear" w:pos="4082"/>
          <w:tab w:val="left" w:pos="624"/>
        </w:tabs>
        <w:spacing w:after="120"/>
        <w:ind w:left="1247" w:firstLine="624"/>
        <w:rPr>
          <w:rFonts w:ascii="Arial" w:hAnsi="Arial" w:cs="Arial"/>
          <w:lang w:val="en-GB"/>
        </w:rPr>
      </w:pPr>
      <w:r w:rsidRPr="00D548CF">
        <w:rPr>
          <w:rFonts w:ascii="Arial" w:hAnsi="Arial" w:cs="Arial"/>
          <w:lang w:val="en-GB"/>
        </w:rPr>
        <w:t xml:space="preserve">Make determined efforts designed to lead to the environmentally sound management of fire-fighting foam stockpiles and wastes that contain or may contain PFOA, its salts and </w:t>
      </w:r>
      <w:r w:rsidRPr="00D548CF">
        <w:rPr>
          <w:rFonts w:ascii="Arial" w:hAnsi="Arial" w:cs="Arial"/>
          <w:lang w:val="en-GB"/>
        </w:rPr>
        <w:br/>
        <w:t>PFOA-related compounds, in accordance with paragraph 1 of Article 6, as soon as possible;</w:t>
      </w:r>
    </w:p>
    <w:p w14:paraId="0AEE2A23" w14:textId="77777777" w:rsidR="00120F3F" w:rsidRPr="00D548CF" w:rsidRDefault="00120F3F" w:rsidP="00090036">
      <w:pPr>
        <w:pStyle w:val="Normal-pool"/>
        <w:numPr>
          <w:ilvl w:val="0"/>
          <w:numId w:val="36"/>
        </w:numPr>
        <w:tabs>
          <w:tab w:val="clear" w:pos="1247"/>
          <w:tab w:val="clear" w:pos="1814"/>
          <w:tab w:val="clear" w:pos="2381"/>
          <w:tab w:val="clear" w:pos="4082"/>
          <w:tab w:val="left" w:pos="2410"/>
        </w:tabs>
        <w:spacing w:after="120"/>
        <w:ind w:left="1247" w:firstLine="611"/>
        <w:rPr>
          <w:rFonts w:ascii="Arial" w:hAnsi="Arial" w:cs="Arial"/>
        </w:rPr>
      </w:pPr>
      <w:r w:rsidRPr="00D548CF">
        <w:rPr>
          <w:rFonts w:ascii="Arial" w:hAnsi="Arial" w:cs="Arial"/>
        </w:rPr>
        <w:t>With regard to the specific exemption for the use of perfluorooctyl iodide for the production of perfluorooctyl bromide for the purpose of producing pharmaceutical products, at its thirteenth ordinary meeting and at every second ordinary meeting thereafter, the Conference of the Parties shall review the continued need for this specific exemption. This specific exemption shall in any case expire at the latest in 2036.</w:t>
      </w:r>
    </w:p>
    <w:p w14:paraId="6DD34845" w14:textId="77777777" w:rsidR="00120F3F" w:rsidRPr="00D548CF" w:rsidRDefault="00120F3F" w:rsidP="00120F3F">
      <w:pPr>
        <w:rPr>
          <w:rFonts w:ascii="Arial" w:hAnsi="Arial" w:cs="Arial"/>
        </w:rPr>
      </w:pPr>
    </w:p>
    <w:p w14:paraId="3DB9D7B0" w14:textId="77777777" w:rsidR="004D60B5" w:rsidRDefault="004D60B5" w:rsidP="00120F3F">
      <w:pPr>
        <w:rPr>
          <w:rFonts w:ascii="Arial" w:hAnsi="Arial" w:cs="Arial"/>
        </w:rPr>
        <w:sectPr w:rsidR="004D60B5" w:rsidSect="00D66C83">
          <w:footnotePr>
            <w:numRestart w:val="eachSect"/>
          </w:footnotePr>
          <w:pgSz w:w="11906" w:h="16838"/>
          <w:pgMar w:top="1417" w:right="1417" w:bottom="1417" w:left="1417" w:header="708" w:footer="708" w:gutter="0"/>
          <w:cols w:space="708"/>
          <w:docGrid w:linePitch="360"/>
        </w:sectPr>
      </w:pPr>
    </w:p>
    <w:p w14:paraId="24E26AC7" w14:textId="2BB444A2" w:rsidR="00120F3F" w:rsidRPr="00D548CF" w:rsidRDefault="00120F3F" w:rsidP="00120F3F">
      <w:pPr>
        <w:rPr>
          <w:rFonts w:ascii="Arial" w:hAnsi="Arial" w:cs="Arial"/>
        </w:rPr>
      </w:pPr>
    </w:p>
    <w:p w14:paraId="085D35C7" w14:textId="77777777" w:rsidR="00120F3F" w:rsidRPr="00D548CF" w:rsidRDefault="00120F3F" w:rsidP="00120F3F">
      <w:pPr>
        <w:pStyle w:val="CH1"/>
        <w:spacing w:before="0"/>
        <w:rPr>
          <w:rFonts w:ascii="Arial" w:hAnsi="Arial" w:cs="Arial"/>
        </w:rPr>
      </w:pPr>
      <w:r w:rsidRPr="00D548CF">
        <w:rPr>
          <w:rFonts w:ascii="Arial" w:hAnsi="Arial" w:cs="Arial"/>
        </w:rPr>
        <w:tab/>
        <w:t xml:space="preserve">SC-10/13: Listing of perfluorohexane sulfonic acid (PFHxS), its salts and PFHxS-related compounds </w:t>
      </w:r>
    </w:p>
    <w:p w14:paraId="7AE4D97F" w14:textId="77777777" w:rsidR="00120F3F" w:rsidRPr="00D548CF" w:rsidRDefault="00120F3F" w:rsidP="00120F3F">
      <w:pPr>
        <w:pStyle w:val="Normal-pool"/>
        <w:spacing w:after="120"/>
        <w:ind w:left="1247" w:firstLine="624"/>
        <w:rPr>
          <w:rFonts w:ascii="Arial" w:hAnsi="Arial" w:cs="Arial"/>
          <w:i/>
          <w:iCs/>
        </w:rPr>
      </w:pPr>
      <w:r w:rsidRPr="00D548CF">
        <w:rPr>
          <w:rFonts w:ascii="Arial" w:hAnsi="Arial" w:cs="Arial"/>
          <w:i/>
          <w:iCs/>
        </w:rPr>
        <w:t>The Conference of the Parties,</w:t>
      </w:r>
    </w:p>
    <w:p w14:paraId="3878E4E8" w14:textId="77777777" w:rsidR="00120F3F" w:rsidRPr="00D548CF" w:rsidRDefault="00120F3F" w:rsidP="00120F3F">
      <w:pPr>
        <w:pStyle w:val="Normal-pool"/>
        <w:spacing w:after="120"/>
        <w:ind w:left="1247" w:firstLine="624"/>
        <w:rPr>
          <w:rFonts w:ascii="Arial" w:hAnsi="Arial" w:cs="Arial"/>
        </w:rPr>
      </w:pPr>
      <w:r w:rsidRPr="00D548CF">
        <w:rPr>
          <w:rFonts w:ascii="Arial" w:hAnsi="Arial" w:cs="Arial"/>
          <w:i/>
          <w:iCs/>
        </w:rPr>
        <w:t>Having considered</w:t>
      </w:r>
      <w:r w:rsidRPr="00D548CF">
        <w:rPr>
          <w:rFonts w:ascii="Arial" w:hAnsi="Arial" w:cs="Arial"/>
        </w:rPr>
        <w:t xml:space="preserve"> the risk profile and the risk management evaluation for perfluorohexane sulfonic acid (PFHxS), its salts and PFHxS-related compounds as transmitted by the Persistent Organic Pollutants Review Committee,</w:t>
      </w:r>
      <w:r w:rsidRPr="00D548CF">
        <w:rPr>
          <w:rFonts w:ascii="Arial" w:hAnsi="Arial" w:cs="Arial"/>
          <w:szCs w:val="18"/>
          <w:vertAlign w:val="superscript"/>
        </w:rPr>
        <w:footnoteReference w:id="42"/>
      </w:r>
    </w:p>
    <w:p w14:paraId="10F27738" w14:textId="77777777" w:rsidR="00120F3F" w:rsidRPr="00D548CF" w:rsidRDefault="00120F3F" w:rsidP="00120F3F">
      <w:pPr>
        <w:pStyle w:val="Normal-pool"/>
        <w:spacing w:after="120"/>
        <w:ind w:left="1247" w:firstLine="624"/>
        <w:rPr>
          <w:rFonts w:ascii="Arial" w:hAnsi="Arial" w:cs="Arial"/>
        </w:rPr>
      </w:pPr>
      <w:r w:rsidRPr="00D548CF">
        <w:rPr>
          <w:rFonts w:ascii="Arial" w:hAnsi="Arial" w:cs="Arial"/>
          <w:i/>
          <w:iCs/>
        </w:rPr>
        <w:t>Taking note</w:t>
      </w:r>
      <w:r w:rsidRPr="00D548CF">
        <w:rPr>
          <w:rFonts w:ascii="Arial" w:hAnsi="Arial" w:cs="Arial"/>
        </w:rPr>
        <w:t xml:space="preserve"> of the recommendation by the Persistent Organic Pollutants Review Committee that PFHxS, its salts and PFHxS-related compounds</w:t>
      </w:r>
      <w:r w:rsidRPr="00D548CF">
        <w:rPr>
          <w:rFonts w:ascii="Arial" w:hAnsi="Arial" w:cs="Arial"/>
          <w:sz w:val="24"/>
        </w:rPr>
        <w:t xml:space="preserve"> </w:t>
      </w:r>
      <w:r w:rsidRPr="00D548CF">
        <w:rPr>
          <w:rFonts w:ascii="Arial" w:hAnsi="Arial" w:cs="Arial"/>
        </w:rPr>
        <w:t>be listed</w:t>
      </w:r>
      <w:r w:rsidRPr="00D548CF">
        <w:rPr>
          <w:rFonts w:ascii="Arial" w:hAnsi="Arial" w:cs="Arial"/>
          <w:sz w:val="24"/>
        </w:rPr>
        <w:t xml:space="preserve"> </w:t>
      </w:r>
      <w:r w:rsidRPr="00D548CF">
        <w:rPr>
          <w:rFonts w:ascii="Arial" w:hAnsi="Arial" w:cs="Arial"/>
        </w:rPr>
        <w:t>in Annex A to the Stockholm Convention on Persistent Organic Pollutants</w:t>
      </w:r>
      <w:r w:rsidRPr="00D548CF" w:rsidDel="00877F2B">
        <w:rPr>
          <w:rFonts w:ascii="Arial" w:hAnsi="Arial" w:cs="Arial"/>
        </w:rPr>
        <w:t xml:space="preserve"> </w:t>
      </w:r>
      <w:r w:rsidRPr="00D548CF">
        <w:rPr>
          <w:rFonts w:ascii="Arial" w:hAnsi="Arial" w:cs="Arial"/>
        </w:rPr>
        <w:t>without specific exemptions,</w:t>
      </w:r>
      <w:r w:rsidRPr="00D548CF">
        <w:rPr>
          <w:rFonts w:ascii="Arial" w:hAnsi="Arial" w:cs="Arial"/>
          <w:szCs w:val="18"/>
          <w:vertAlign w:val="superscript"/>
        </w:rPr>
        <w:footnoteReference w:id="43"/>
      </w:r>
      <w:r w:rsidRPr="00D548CF">
        <w:rPr>
          <w:rFonts w:ascii="Arial" w:hAnsi="Arial" w:cs="Arial"/>
        </w:rPr>
        <w:t xml:space="preserve"> </w:t>
      </w:r>
    </w:p>
    <w:p w14:paraId="40D45824" w14:textId="77777777" w:rsidR="00120F3F" w:rsidRPr="00D548CF" w:rsidRDefault="00120F3F" w:rsidP="00120F3F">
      <w:pPr>
        <w:pStyle w:val="Normal-pool"/>
        <w:spacing w:after="120"/>
        <w:ind w:left="1247" w:firstLine="624"/>
        <w:rPr>
          <w:rFonts w:ascii="Arial" w:hAnsi="Arial" w:cs="Arial"/>
        </w:rPr>
      </w:pPr>
      <w:r w:rsidRPr="00D548CF">
        <w:rPr>
          <w:rFonts w:ascii="Arial" w:hAnsi="Arial" w:cs="Arial"/>
          <w:i/>
          <w:iCs/>
        </w:rPr>
        <w:t>Decides</w:t>
      </w:r>
      <w:r w:rsidRPr="00D548CF">
        <w:rPr>
          <w:rFonts w:ascii="Arial" w:hAnsi="Arial" w:cs="Arial"/>
        </w:rPr>
        <w:t xml:space="preserve"> to amend part I of Annex A to the Stockholm Convention on Persistent Organic Pollutants to list therein PFHxS, its salts and PFHxS-related compounds without specific exemptions by inserting the following row:</w:t>
      </w:r>
    </w:p>
    <w:tbl>
      <w:tblPr>
        <w:tblW w:w="8307" w:type="dxa"/>
        <w:jc w:val="right"/>
        <w:tblLayout w:type="fixed"/>
        <w:tblLook w:val="0000" w:firstRow="0" w:lastRow="0" w:firstColumn="0" w:lastColumn="0" w:noHBand="0" w:noVBand="0"/>
      </w:tblPr>
      <w:tblGrid>
        <w:gridCol w:w="3398"/>
        <w:gridCol w:w="2332"/>
        <w:gridCol w:w="2577"/>
      </w:tblGrid>
      <w:tr w:rsidR="00120F3F" w:rsidRPr="00D548CF" w14:paraId="44DA256B" w14:textId="77777777" w:rsidTr="00BE3A18">
        <w:trPr>
          <w:trHeight w:val="57"/>
          <w:jc w:val="right"/>
        </w:trPr>
        <w:tc>
          <w:tcPr>
            <w:tcW w:w="3398" w:type="dxa"/>
            <w:tcBorders>
              <w:top w:val="single" w:sz="4" w:space="0" w:color="auto"/>
              <w:bottom w:val="single" w:sz="12" w:space="0" w:color="auto"/>
            </w:tcBorders>
            <w:shd w:val="clear" w:color="auto" w:fill="FFFFFF"/>
            <w:vAlign w:val="bottom"/>
          </w:tcPr>
          <w:p w14:paraId="2D462AC8" w14:textId="77777777" w:rsidR="00120F3F" w:rsidRPr="00D548CF" w:rsidRDefault="00120F3F" w:rsidP="00BE3A18">
            <w:pPr>
              <w:pStyle w:val="Titletable"/>
              <w:keepNext w:val="0"/>
              <w:keepLines w:val="0"/>
              <w:spacing w:before="20" w:after="20"/>
              <w:ind w:left="0"/>
              <w:rPr>
                <w:rFonts w:ascii="Arial" w:hAnsi="Arial" w:cs="Arial"/>
                <w:b w:val="0"/>
                <w:bCs w:val="0"/>
                <w:i/>
                <w:iCs/>
                <w:sz w:val="18"/>
                <w:szCs w:val="18"/>
              </w:rPr>
            </w:pPr>
            <w:r w:rsidRPr="00D548CF">
              <w:rPr>
                <w:rFonts w:ascii="Arial" w:hAnsi="Arial" w:cs="Arial"/>
                <w:b w:val="0"/>
                <w:bCs w:val="0"/>
                <w:i/>
                <w:iCs/>
                <w:sz w:val="18"/>
                <w:szCs w:val="18"/>
              </w:rPr>
              <w:t xml:space="preserve">Chemical </w:t>
            </w:r>
          </w:p>
        </w:tc>
        <w:tc>
          <w:tcPr>
            <w:tcW w:w="2332" w:type="dxa"/>
            <w:tcBorders>
              <w:top w:val="single" w:sz="4" w:space="0" w:color="auto"/>
              <w:bottom w:val="single" w:sz="12" w:space="0" w:color="auto"/>
            </w:tcBorders>
            <w:shd w:val="clear" w:color="auto" w:fill="FFFFFF"/>
            <w:vAlign w:val="bottom"/>
          </w:tcPr>
          <w:p w14:paraId="77E3FBFE" w14:textId="77777777" w:rsidR="00120F3F" w:rsidRPr="00D548CF" w:rsidRDefault="00120F3F" w:rsidP="00BE3A18">
            <w:pPr>
              <w:pStyle w:val="Titletable"/>
              <w:keepNext w:val="0"/>
              <w:keepLines w:val="0"/>
              <w:spacing w:before="20" w:after="20"/>
              <w:ind w:left="0"/>
              <w:rPr>
                <w:rFonts w:ascii="Arial" w:hAnsi="Arial" w:cs="Arial"/>
                <w:b w:val="0"/>
                <w:bCs w:val="0"/>
                <w:i/>
                <w:iCs/>
                <w:sz w:val="18"/>
                <w:szCs w:val="18"/>
              </w:rPr>
            </w:pPr>
            <w:r w:rsidRPr="00D548CF">
              <w:rPr>
                <w:rFonts w:ascii="Arial" w:hAnsi="Arial" w:cs="Arial"/>
                <w:b w:val="0"/>
                <w:bCs w:val="0"/>
                <w:i/>
                <w:iCs/>
                <w:sz w:val="18"/>
                <w:szCs w:val="18"/>
              </w:rPr>
              <w:t>Activity</w:t>
            </w:r>
          </w:p>
        </w:tc>
        <w:tc>
          <w:tcPr>
            <w:tcW w:w="2577" w:type="dxa"/>
            <w:tcBorders>
              <w:top w:val="single" w:sz="4" w:space="0" w:color="auto"/>
              <w:bottom w:val="single" w:sz="12" w:space="0" w:color="auto"/>
            </w:tcBorders>
            <w:shd w:val="clear" w:color="auto" w:fill="FFFFFF"/>
            <w:vAlign w:val="bottom"/>
          </w:tcPr>
          <w:p w14:paraId="0047281A" w14:textId="77777777" w:rsidR="00120F3F" w:rsidRPr="00D548CF" w:rsidRDefault="00120F3F" w:rsidP="00BE3A18">
            <w:pPr>
              <w:pStyle w:val="Titletable"/>
              <w:keepNext w:val="0"/>
              <w:keepLines w:val="0"/>
              <w:spacing w:before="20" w:after="20"/>
              <w:ind w:left="0"/>
              <w:rPr>
                <w:rFonts w:ascii="Arial" w:hAnsi="Arial" w:cs="Arial"/>
                <w:b w:val="0"/>
                <w:bCs w:val="0"/>
                <w:i/>
                <w:iCs/>
                <w:sz w:val="18"/>
                <w:szCs w:val="18"/>
              </w:rPr>
            </w:pPr>
            <w:r w:rsidRPr="00D548CF">
              <w:rPr>
                <w:rFonts w:ascii="Arial" w:hAnsi="Arial" w:cs="Arial"/>
                <w:b w:val="0"/>
                <w:bCs w:val="0"/>
                <w:i/>
                <w:iCs/>
                <w:sz w:val="18"/>
                <w:szCs w:val="18"/>
              </w:rPr>
              <w:t>Specific exemption</w:t>
            </w:r>
          </w:p>
        </w:tc>
      </w:tr>
      <w:tr w:rsidR="00120F3F" w:rsidRPr="00D548CF" w14:paraId="5C57929F" w14:textId="77777777" w:rsidTr="00BE3A18">
        <w:trPr>
          <w:trHeight w:val="57"/>
          <w:jc w:val="right"/>
        </w:trPr>
        <w:tc>
          <w:tcPr>
            <w:tcW w:w="3398" w:type="dxa"/>
            <w:vMerge w:val="restart"/>
            <w:tcBorders>
              <w:top w:val="single" w:sz="12" w:space="0" w:color="auto"/>
            </w:tcBorders>
            <w:shd w:val="clear" w:color="auto" w:fill="auto"/>
          </w:tcPr>
          <w:p w14:paraId="7FDA47A5" w14:textId="77777777" w:rsidR="00120F3F" w:rsidRPr="00D548CF" w:rsidRDefault="00120F3F" w:rsidP="00BE3A18">
            <w:pPr>
              <w:pStyle w:val="Titletable"/>
              <w:keepNext w:val="0"/>
              <w:keepLines w:val="0"/>
              <w:spacing w:before="40" w:after="40"/>
              <w:ind w:left="0"/>
              <w:rPr>
                <w:rFonts w:ascii="Arial" w:hAnsi="Arial" w:cs="Arial"/>
                <w:b w:val="0"/>
                <w:bCs w:val="0"/>
                <w:sz w:val="18"/>
                <w:szCs w:val="18"/>
              </w:rPr>
            </w:pPr>
            <w:r w:rsidRPr="00D548CF">
              <w:rPr>
                <w:rFonts w:ascii="Arial" w:hAnsi="Arial" w:cs="Arial"/>
                <w:b w:val="0"/>
                <w:bCs w:val="0"/>
                <w:sz w:val="18"/>
                <w:szCs w:val="18"/>
              </w:rPr>
              <w:t>Perfluorohexane sulfonic acid (PFHxS), its salts and PFHxS</w:t>
            </w:r>
            <w:r w:rsidRPr="00D548CF">
              <w:rPr>
                <w:rFonts w:ascii="Arial" w:hAnsi="Arial" w:cs="Arial"/>
                <w:b w:val="0"/>
                <w:bCs w:val="0"/>
                <w:sz w:val="18"/>
                <w:szCs w:val="18"/>
              </w:rPr>
              <w:noBreakHyphen/>
              <w:t>related compounds</w:t>
            </w:r>
          </w:p>
          <w:p w14:paraId="73FB81FE" w14:textId="77777777" w:rsidR="00120F3F" w:rsidRPr="00D548CF" w:rsidRDefault="00120F3F" w:rsidP="00BE3A18">
            <w:pPr>
              <w:pStyle w:val="Titletable"/>
              <w:keepNext w:val="0"/>
              <w:keepLines w:val="0"/>
              <w:spacing w:before="40" w:after="40"/>
              <w:ind w:left="0"/>
              <w:rPr>
                <w:rFonts w:ascii="Arial" w:hAnsi="Arial" w:cs="Arial"/>
                <w:b w:val="0"/>
                <w:bCs w:val="0"/>
                <w:sz w:val="18"/>
                <w:szCs w:val="18"/>
              </w:rPr>
            </w:pPr>
          </w:p>
          <w:p w14:paraId="12B6F39F" w14:textId="77777777" w:rsidR="00120F3F" w:rsidRPr="00D548CF" w:rsidRDefault="00120F3F" w:rsidP="00BE3A18">
            <w:pPr>
              <w:pStyle w:val="Titletable"/>
              <w:keepNext w:val="0"/>
              <w:keepLines w:val="0"/>
              <w:spacing w:before="20" w:after="120"/>
              <w:ind w:left="0"/>
              <w:rPr>
                <w:rFonts w:ascii="Arial" w:hAnsi="Arial" w:cs="Arial"/>
                <w:b w:val="0"/>
                <w:bCs w:val="0"/>
                <w:sz w:val="18"/>
                <w:szCs w:val="18"/>
              </w:rPr>
            </w:pPr>
            <w:r w:rsidRPr="00D548CF">
              <w:rPr>
                <w:rFonts w:ascii="Arial" w:hAnsi="Arial" w:cs="Arial"/>
                <w:b w:val="0"/>
                <w:bCs w:val="0"/>
                <w:sz w:val="18"/>
                <w:szCs w:val="18"/>
                <w:lang w:eastAsia="fr-CH"/>
              </w:rPr>
              <w:t>“</w:t>
            </w:r>
            <w:r w:rsidRPr="00D548CF">
              <w:rPr>
                <w:rFonts w:ascii="Arial" w:hAnsi="Arial" w:cs="Arial"/>
                <w:b w:val="0"/>
                <w:bCs w:val="0"/>
                <w:sz w:val="18"/>
                <w:szCs w:val="18"/>
              </w:rPr>
              <w:t>Perfluorohexane sulfonic acid (PFHxS), its salts and PFHxS</w:t>
            </w:r>
            <w:r w:rsidRPr="00D548CF">
              <w:rPr>
                <w:rFonts w:ascii="Arial" w:hAnsi="Arial" w:cs="Arial"/>
                <w:b w:val="0"/>
                <w:bCs w:val="0"/>
                <w:sz w:val="18"/>
                <w:szCs w:val="18"/>
              </w:rPr>
              <w:noBreakHyphen/>
              <w:t>related compounds</w:t>
            </w:r>
            <w:r w:rsidRPr="00D548CF">
              <w:rPr>
                <w:rFonts w:ascii="Arial" w:hAnsi="Arial" w:cs="Arial"/>
                <w:b w:val="0"/>
                <w:bCs w:val="0"/>
                <w:sz w:val="18"/>
                <w:szCs w:val="18"/>
                <w:lang w:eastAsia="fr-CH"/>
              </w:rPr>
              <w:t>” means the following:</w:t>
            </w:r>
          </w:p>
          <w:p w14:paraId="0FACE877" w14:textId="77777777" w:rsidR="00120F3F" w:rsidRPr="00D548CF" w:rsidRDefault="00120F3F" w:rsidP="00BE3A18">
            <w:pPr>
              <w:pStyle w:val="Titletable"/>
              <w:tabs>
                <w:tab w:val="clear" w:pos="624"/>
                <w:tab w:val="left" w:pos="463"/>
              </w:tabs>
              <w:spacing w:before="20" w:after="120"/>
              <w:ind w:left="463" w:hanging="463"/>
              <w:rPr>
                <w:rFonts w:ascii="Arial" w:hAnsi="Arial" w:cs="Arial"/>
                <w:b w:val="0"/>
                <w:bCs w:val="0"/>
                <w:sz w:val="18"/>
                <w:szCs w:val="18"/>
              </w:rPr>
            </w:pPr>
            <w:r w:rsidRPr="00D548CF">
              <w:rPr>
                <w:rFonts w:ascii="Arial" w:hAnsi="Arial" w:cs="Arial"/>
                <w:b w:val="0"/>
                <w:bCs w:val="0"/>
                <w:sz w:val="18"/>
                <w:szCs w:val="18"/>
              </w:rPr>
              <w:t>(i)</w:t>
            </w:r>
            <w:r w:rsidRPr="00D548CF">
              <w:rPr>
                <w:rFonts w:ascii="Arial" w:hAnsi="Arial" w:cs="Arial"/>
                <w:b w:val="0"/>
                <w:bCs w:val="0"/>
                <w:sz w:val="18"/>
                <w:szCs w:val="18"/>
              </w:rPr>
              <w:tab/>
              <w:t>Perfluorohexane sulfonic acid (CAS No. 355-46-4, PFHxS), including branched isomers;</w:t>
            </w:r>
          </w:p>
          <w:p w14:paraId="775EDE91" w14:textId="77777777" w:rsidR="00120F3F" w:rsidRPr="00D548CF" w:rsidRDefault="00120F3F" w:rsidP="00BE3A18">
            <w:pPr>
              <w:pStyle w:val="Titletable"/>
              <w:tabs>
                <w:tab w:val="clear" w:pos="624"/>
                <w:tab w:val="left" w:pos="463"/>
              </w:tabs>
              <w:spacing w:before="20" w:after="120"/>
              <w:ind w:left="463" w:hanging="463"/>
              <w:rPr>
                <w:rFonts w:ascii="Arial" w:hAnsi="Arial" w:cs="Arial"/>
                <w:b w:val="0"/>
                <w:bCs w:val="0"/>
                <w:sz w:val="18"/>
                <w:szCs w:val="18"/>
              </w:rPr>
            </w:pPr>
            <w:r w:rsidRPr="00D548CF">
              <w:rPr>
                <w:rFonts w:ascii="Arial" w:hAnsi="Arial" w:cs="Arial"/>
                <w:b w:val="0"/>
                <w:bCs w:val="0"/>
                <w:sz w:val="18"/>
                <w:szCs w:val="18"/>
              </w:rPr>
              <w:t>(ii)</w:t>
            </w:r>
            <w:r w:rsidRPr="00D548CF">
              <w:rPr>
                <w:rFonts w:ascii="Arial" w:hAnsi="Arial" w:cs="Arial"/>
                <w:b w:val="0"/>
                <w:bCs w:val="0"/>
                <w:sz w:val="18"/>
                <w:szCs w:val="18"/>
              </w:rPr>
              <w:tab/>
              <w:t>Its salts;</w:t>
            </w:r>
          </w:p>
          <w:p w14:paraId="0D8D4981" w14:textId="77777777" w:rsidR="00120F3F" w:rsidRPr="00D548CF" w:rsidRDefault="00120F3F" w:rsidP="00BE3A18">
            <w:pPr>
              <w:pStyle w:val="Titletable"/>
              <w:tabs>
                <w:tab w:val="left" w:pos="463"/>
              </w:tabs>
              <w:spacing w:before="20" w:after="120"/>
              <w:ind w:left="463" w:hanging="463"/>
              <w:rPr>
                <w:rFonts w:ascii="Arial" w:hAnsi="Arial" w:cs="Arial"/>
                <w:b w:val="0"/>
                <w:bCs w:val="0"/>
                <w:sz w:val="18"/>
                <w:szCs w:val="18"/>
              </w:rPr>
            </w:pPr>
            <w:r w:rsidRPr="00D548CF">
              <w:rPr>
                <w:rFonts w:ascii="Arial" w:hAnsi="Arial" w:cs="Arial"/>
                <w:b w:val="0"/>
                <w:bCs w:val="0"/>
                <w:sz w:val="18"/>
                <w:szCs w:val="18"/>
              </w:rPr>
              <w:t>(iii)</w:t>
            </w:r>
            <w:r w:rsidRPr="00D548CF">
              <w:rPr>
                <w:rFonts w:ascii="Arial" w:hAnsi="Arial" w:cs="Arial"/>
                <w:b w:val="0"/>
                <w:bCs w:val="0"/>
                <w:sz w:val="18"/>
                <w:szCs w:val="18"/>
              </w:rPr>
              <w:tab/>
              <w:t>Any substance that contains the chemical moiety C</w:t>
            </w:r>
            <w:r w:rsidRPr="00D548CF">
              <w:rPr>
                <w:rFonts w:ascii="Arial" w:hAnsi="Arial" w:cs="Arial"/>
                <w:b w:val="0"/>
                <w:bCs w:val="0"/>
                <w:sz w:val="18"/>
                <w:szCs w:val="18"/>
                <w:vertAlign w:val="subscript"/>
              </w:rPr>
              <w:t>6</w:t>
            </w:r>
            <w:r w:rsidRPr="00D548CF">
              <w:rPr>
                <w:rFonts w:ascii="Arial" w:hAnsi="Arial" w:cs="Arial"/>
                <w:b w:val="0"/>
                <w:bCs w:val="0"/>
                <w:sz w:val="18"/>
                <w:szCs w:val="18"/>
              </w:rPr>
              <w:t>F</w:t>
            </w:r>
            <w:r w:rsidRPr="00D548CF">
              <w:rPr>
                <w:rFonts w:ascii="Arial" w:hAnsi="Arial" w:cs="Arial"/>
                <w:b w:val="0"/>
                <w:bCs w:val="0"/>
                <w:sz w:val="18"/>
                <w:szCs w:val="18"/>
                <w:vertAlign w:val="subscript"/>
              </w:rPr>
              <w:t>13</w:t>
            </w:r>
            <w:r w:rsidRPr="00D548CF">
              <w:rPr>
                <w:rFonts w:ascii="Arial" w:hAnsi="Arial" w:cs="Arial"/>
                <w:b w:val="0"/>
                <w:bCs w:val="0"/>
                <w:sz w:val="18"/>
                <w:szCs w:val="18"/>
              </w:rPr>
              <w:t>SO</w:t>
            </w:r>
            <w:r w:rsidRPr="00D548CF">
              <w:rPr>
                <w:rFonts w:ascii="Arial" w:hAnsi="Arial" w:cs="Arial"/>
                <w:b w:val="0"/>
                <w:bCs w:val="0"/>
                <w:sz w:val="18"/>
                <w:szCs w:val="18"/>
                <w:vertAlign w:val="subscript"/>
              </w:rPr>
              <w:t>2</w:t>
            </w:r>
            <w:r w:rsidRPr="00D548CF">
              <w:rPr>
                <w:rFonts w:ascii="Arial" w:hAnsi="Arial" w:cs="Arial"/>
                <w:b w:val="0"/>
                <w:bCs w:val="0"/>
                <w:sz w:val="18"/>
                <w:szCs w:val="18"/>
              </w:rPr>
              <w:t>- as one of its structural elements and that potentially degrades to PFHxS.</w:t>
            </w:r>
          </w:p>
        </w:tc>
        <w:tc>
          <w:tcPr>
            <w:tcW w:w="2332" w:type="dxa"/>
            <w:tcBorders>
              <w:top w:val="single" w:sz="12" w:space="0" w:color="auto"/>
            </w:tcBorders>
            <w:shd w:val="clear" w:color="auto" w:fill="FFFFFF"/>
          </w:tcPr>
          <w:p w14:paraId="004991D7" w14:textId="77777777" w:rsidR="00120F3F" w:rsidRPr="00D548CF" w:rsidRDefault="00120F3F" w:rsidP="00BE3A18">
            <w:pPr>
              <w:pStyle w:val="Titletable"/>
              <w:keepNext w:val="0"/>
              <w:keepLines w:val="0"/>
              <w:spacing w:before="20" w:after="20"/>
              <w:ind w:left="0"/>
              <w:rPr>
                <w:rFonts w:ascii="Arial" w:hAnsi="Arial" w:cs="Arial"/>
                <w:b w:val="0"/>
                <w:bCs w:val="0"/>
                <w:sz w:val="18"/>
                <w:szCs w:val="18"/>
              </w:rPr>
            </w:pPr>
            <w:r w:rsidRPr="00D548CF">
              <w:rPr>
                <w:rFonts w:ascii="Arial" w:hAnsi="Arial" w:cs="Arial"/>
                <w:b w:val="0"/>
                <w:bCs w:val="0"/>
                <w:sz w:val="18"/>
                <w:szCs w:val="18"/>
              </w:rPr>
              <w:t xml:space="preserve">Production </w:t>
            </w:r>
          </w:p>
        </w:tc>
        <w:tc>
          <w:tcPr>
            <w:tcW w:w="2577" w:type="dxa"/>
            <w:tcBorders>
              <w:top w:val="single" w:sz="12" w:space="0" w:color="auto"/>
            </w:tcBorders>
            <w:shd w:val="clear" w:color="auto" w:fill="FFFFFF"/>
          </w:tcPr>
          <w:p w14:paraId="216C8C85" w14:textId="77777777" w:rsidR="00120F3F" w:rsidRPr="00D548CF" w:rsidRDefault="00120F3F" w:rsidP="00BE3A18">
            <w:pPr>
              <w:pStyle w:val="Titletable"/>
              <w:keepNext w:val="0"/>
              <w:keepLines w:val="0"/>
              <w:spacing w:before="20" w:after="20"/>
              <w:ind w:left="0"/>
              <w:rPr>
                <w:rFonts w:ascii="Arial" w:hAnsi="Arial" w:cs="Arial"/>
                <w:b w:val="0"/>
                <w:bCs w:val="0"/>
                <w:sz w:val="18"/>
                <w:szCs w:val="18"/>
              </w:rPr>
            </w:pPr>
            <w:r w:rsidRPr="00D548CF">
              <w:rPr>
                <w:rFonts w:ascii="Arial" w:hAnsi="Arial" w:cs="Arial"/>
                <w:b w:val="0"/>
                <w:bCs w:val="0"/>
                <w:sz w:val="18"/>
                <w:szCs w:val="18"/>
              </w:rPr>
              <w:t>None</w:t>
            </w:r>
          </w:p>
        </w:tc>
      </w:tr>
      <w:tr w:rsidR="00120F3F" w:rsidRPr="00D548CF" w14:paraId="0A24B5F2" w14:textId="77777777" w:rsidTr="00BE3A18">
        <w:trPr>
          <w:trHeight w:val="57"/>
          <w:jc w:val="right"/>
        </w:trPr>
        <w:tc>
          <w:tcPr>
            <w:tcW w:w="3398" w:type="dxa"/>
            <w:vMerge/>
            <w:tcBorders>
              <w:bottom w:val="single" w:sz="12" w:space="0" w:color="auto"/>
            </w:tcBorders>
            <w:shd w:val="clear" w:color="auto" w:fill="auto"/>
          </w:tcPr>
          <w:p w14:paraId="26A0D0DA" w14:textId="77777777" w:rsidR="00120F3F" w:rsidRPr="00D548CF" w:rsidRDefault="00120F3F" w:rsidP="00BE3A18">
            <w:pPr>
              <w:pStyle w:val="Titletable"/>
              <w:keepNext w:val="0"/>
              <w:keepLines w:val="0"/>
              <w:spacing w:before="20" w:after="20"/>
              <w:ind w:left="0"/>
              <w:rPr>
                <w:rFonts w:ascii="Arial" w:hAnsi="Arial" w:cs="Arial"/>
                <w:b w:val="0"/>
                <w:bCs w:val="0"/>
                <w:sz w:val="18"/>
                <w:szCs w:val="18"/>
              </w:rPr>
            </w:pPr>
          </w:p>
        </w:tc>
        <w:tc>
          <w:tcPr>
            <w:tcW w:w="2332" w:type="dxa"/>
            <w:tcBorders>
              <w:bottom w:val="single" w:sz="12" w:space="0" w:color="auto"/>
            </w:tcBorders>
            <w:shd w:val="clear" w:color="auto" w:fill="auto"/>
          </w:tcPr>
          <w:p w14:paraId="0279150A" w14:textId="77777777" w:rsidR="00120F3F" w:rsidRPr="00D548CF" w:rsidRDefault="00120F3F" w:rsidP="00BE3A18">
            <w:pPr>
              <w:pStyle w:val="Titletable"/>
              <w:keepNext w:val="0"/>
              <w:keepLines w:val="0"/>
              <w:spacing w:before="20" w:after="20"/>
              <w:ind w:left="0"/>
              <w:rPr>
                <w:rFonts w:ascii="Arial" w:hAnsi="Arial" w:cs="Arial"/>
                <w:b w:val="0"/>
                <w:bCs w:val="0"/>
                <w:sz w:val="18"/>
                <w:szCs w:val="18"/>
              </w:rPr>
            </w:pPr>
            <w:r w:rsidRPr="00D548CF">
              <w:rPr>
                <w:rFonts w:ascii="Arial" w:hAnsi="Arial" w:cs="Arial"/>
                <w:b w:val="0"/>
                <w:bCs w:val="0"/>
                <w:sz w:val="18"/>
                <w:szCs w:val="18"/>
              </w:rPr>
              <w:t>Use</w:t>
            </w:r>
          </w:p>
        </w:tc>
        <w:tc>
          <w:tcPr>
            <w:tcW w:w="2577" w:type="dxa"/>
            <w:tcBorders>
              <w:bottom w:val="single" w:sz="12" w:space="0" w:color="auto"/>
            </w:tcBorders>
            <w:shd w:val="clear" w:color="auto" w:fill="auto"/>
          </w:tcPr>
          <w:p w14:paraId="7A28CBF0" w14:textId="77777777" w:rsidR="00120F3F" w:rsidRPr="00D548CF" w:rsidRDefault="00120F3F" w:rsidP="00BE3A18">
            <w:pPr>
              <w:pStyle w:val="Titletable"/>
              <w:keepNext w:val="0"/>
              <w:keepLines w:val="0"/>
              <w:spacing w:before="20" w:after="20"/>
              <w:ind w:left="0"/>
              <w:rPr>
                <w:rFonts w:ascii="Arial" w:hAnsi="Arial" w:cs="Arial"/>
                <w:b w:val="0"/>
                <w:bCs w:val="0"/>
                <w:sz w:val="18"/>
                <w:szCs w:val="18"/>
              </w:rPr>
            </w:pPr>
            <w:r w:rsidRPr="00D548CF">
              <w:rPr>
                <w:rFonts w:ascii="Arial" w:hAnsi="Arial" w:cs="Arial"/>
                <w:b w:val="0"/>
                <w:bCs w:val="0"/>
                <w:sz w:val="18"/>
                <w:szCs w:val="18"/>
              </w:rPr>
              <w:t>None</w:t>
            </w:r>
          </w:p>
        </w:tc>
      </w:tr>
    </w:tbl>
    <w:p w14:paraId="37CCF70D" w14:textId="4D2E708F" w:rsidR="004D60B5" w:rsidRDefault="004D60B5" w:rsidP="00120F3F">
      <w:pPr>
        <w:rPr>
          <w:rFonts w:ascii="Arial" w:hAnsi="Arial" w:cs="Arial"/>
        </w:rPr>
      </w:pPr>
    </w:p>
    <w:p w14:paraId="09A0F8B1" w14:textId="7F715080" w:rsidR="004D60B5" w:rsidRDefault="004D60B5" w:rsidP="00120F3F">
      <w:pPr>
        <w:rPr>
          <w:rFonts w:ascii="Arial" w:hAnsi="Arial" w:cs="Arial"/>
        </w:rPr>
      </w:pPr>
    </w:p>
    <w:p w14:paraId="392A332A" w14:textId="77777777" w:rsidR="004D60B5" w:rsidRDefault="004D60B5" w:rsidP="00120F3F">
      <w:pPr>
        <w:rPr>
          <w:rFonts w:ascii="Arial" w:hAnsi="Arial" w:cs="Arial"/>
        </w:rPr>
        <w:sectPr w:rsidR="004D60B5" w:rsidSect="00D66C83">
          <w:footnotePr>
            <w:numRestart w:val="eachSect"/>
          </w:footnotePr>
          <w:pgSz w:w="11906" w:h="16838"/>
          <w:pgMar w:top="1417" w:right="1417" w:bottom="1417" w:left="1417" w:header="708" w:footer="708" w:gutter="0"/>
          <w:cols w:space="708"/>
          <w:docGrid w:linePitch="360"/>
        </w:sectPr>
      </w:pPr>
    </w:p>
    <w:p w14:paraId="4C4A007A" w14:textId="77777777" w:rsidR="00E15C65" w:rsidRPr="003548EE" w:rsidRDefault="00E15C65" w:rsidP="00E15C65">
      <w:pPr>
        <w:spacing w:after="0" w:line="240" w:lineRule="auto"/>
        <w:ind w:left="1247"/>
        <w:outlineLvl w:val="1"/>
        <w:rPr>
          <w:rFonts w:ascii="Arial" w:eastAsia="Times New Roman" w:hAnsi="Arial" w:cs="Arial"/>
          <w:b/>
          <w:sz w:val="24"/>
          <w:szCs w:val="24"/>
          <w:lang w:val="en-GB"/>
        </w:rPr>
      </w:pPr>
      <w:r w:rsidRPr="003548EE">
        <w:rPr>
          <w:rFonts w:ascii="Arial" w:eastAsia="Times New Roman" w:hAnsi="Arial" w:cs="Arial"/>
          <w:b/>
          <w:bCs/>
          <w:sz w:val="24"/>
          <w:szCs w:val="24"/>
          <w:lang w:val="sl"/>
        </w:rPr>
        <w:lastRenderedPageBreak/>
        <w:t>SC-1/2: Reševanje sporov</w:t>
      </w:r>
    </w:p>
    <w:p w14:paraId="4E012F32" w14:textId="77777777" w:rsidR="00E15C65" w:rsidRPr="0068478D" w:rsidRDefault="00E15C65" w:rsidP="00E15C65">
      <w:pPr>
        <w:spacing w:after="0" w:line="240" w:lineRule="auto"/>
        <w:ind w:left="1248" w:hanging="624"/>
        <w:rPr>
          <w:rFonts w:ascii="Arial" w:eastAsia="Times New Roman" w:hAnsi="Arial" w:cs="Arial"/>
          <w:sz w:val="20"/>
          <w:szCs w:val="20"/>
          <w:lang w:val="en-GB"/>
        </w:rPr>
      </w:pPr>
    </w:p>
    <w:p w14:paraId="1E7C7A11" w14:textId="77777777" w:rsidR="00E15C65" w:rsidRPr="0068478D" w:rsidRDefault="00E15C65" w:rsidP="00E15C65">
      <w:pPr>
        <w:spacing w:after="0" w:line="240" w:lineRule="auto"/>
        <w:ind w:left="1247" w:firstLine="624"/>
        <w:rPr>
          <w:rFonts w:ascii="Arial" w:eastAsia="Times New Roman" w:hAnsi="Arial" w:cs="Arial"/>
          <w:i/>
          <w:sz w:val="20"/>
          <w:szCs w:val="20"/>
          <w:lang w:val="en-GB"/>
        </w:rPr>
      </w:pPr>
      <w:r w:rsidRPr="0068478D">
        <w:rPr>
          <w:rFonts w:ascii="Arial" w:eastAsia="Times New Roman" w:hAnsi="Arial" w:cs="Arial"/>
          <w:i/>
          <w:iCs/>
          <w:sz w:val="20"/>
          <w:szCs w:val="20"/>
          <w:lang w:val="sl"/>
        </w:rPr>
        <w:t>Konferenca pogodbenic</w:t>
      </w:r>
    </w:p>
    <w:p w14:paraId="28639D0B" w14:textId="77777777" w:rsidR="00E15C65" w:rsidRPr="0068478D" w:rsidRDefault="00E15C65" w:rsidP="00E15C65">
      <w:pPr>
        <w:spacing w:after="0" w:line="240" w:lineRule="auto"/>
        <w:ind w:left="1247" w:firstLine="624"/>
        <w:rPr>
          <w:rFonts w:ascii="Arial" w:eastAsia="Times New Roman" w:hAnsi="Arial" w:cs="Arial"/>
          <w:sz w:val="20"/>
          <w:szCs w:val="20"/>
          <w:lang w:val="en-GB"/>
        </w:rPr>
      </w:pPr>
    </w:p>
    <w:p w14:paraId="108C71AF" w14:textId="77777777" w:rsidR="00E15C65" w:rsidRPr="0068478D" w:rsidRDefault="00E15C65" w:rsidP="00E15C65">
      <w:pPr>
        <w:spacing w:after="0" w:line="240" w:lineRule="auto"/>
        <w:ind w:left="1247" w:firstLine="624"/>
        <w:rPr>
          <w:rFonts w:ascii="Arial" w:eastAsia="Times New Roman" w:hAnsi="Arial" w:cs="Arial"/>
          <w:sz w:val="20"/>
          <w:szCs w:val="20"/>
          <w:lang w:val="en-GB"/>
        </w:rPr>
      </w:pPr>
      <w:r w:rsidRPr="0068478D">
        <w:rPr>
          <w:rFonts w:ascii="Arial" w:eastAsia="Times New Roman" w:hAnsi="Arial" w:cs="Arial"/>
          <w:sz w:val="20"/>
          <w:szCs w:val="20"/>
          <w:lang w:val="sl"/>
        </w:rPr>
        <w:t xml:space="preserve">kot Prilogo G h konvenciji </w:t>
      </w:r>
      <w:r w:rsidRPr="0068478D">
        <w:rPr>
          <w:rFonts w:ascii="Arial" w:eastAsia="Times New Roman" w:hAnsi="Arial" w:cs="Arial"/>
          <w:i/>
          <w:iCs/>
          <w:sz w:val="20"/>
          <w:szCs w:val="20"/>
          <w:lang w:val="sl"/>
        </w:rPr>
        <w:t>sprejme</w:t>
      </w:r>
      <w:r w:rsidRPr="0068478D">
        <w:rPr>
          <w:rFonts w:ascii="Arial" w:eastAsia="Times New Roman" w:hAnsi="Arial" w:cs="Arial"/>
          <w:sz w:val="20"/>
          <w:szCs w:val="20"/>
          <w:lang w:val="sl"/>
        </w:rPr>
        <w:t xml:space="preserve"> naslednji arbitražni postopek za namene pododstavka (a) drugega odstavka 18. člena konvencije in spravni postopek za namene šestega odstavka 18. člena konvencije.</w:t>
      </w:r>
    </w:p>
    <w:p w14:paraId="76F2135F" w14:textId="77777777" w:rsidR="00E15C65" w:rsidRPr="0068478D" w:rsidRDefault="00E15C65" w:rsidP="00E15C65">
      <w:pPr>
        <w:spacing w:after="240" w:line="240" w:lineRule="auto"/>
        <w:ind w:hanging="624"/>
        <w:jc w:val="center"/>
        <w:rPr>
          <w:rFonts w:ascii="Arial" w:eastAsia="Times New Roman" w:hAnsi="Arial" w:cs="Arial"/>
          <w:b/>
          <w:bCs/>
          <w:sz w:val="20"/>
          <w:szCs w:val="20"/>
          <w:lang w:val="en-GB"/>
        </w:rPr>
      </w:pPr>
    </w:p>
    <w:p w14:paraId="3FDE2AAF" w14:textId="77777777" w:rsidR="00E15C65" w:rsidRPr="003548EE" w:rsidRDefault="00E15C65" w:rsidP="00E15C65">
      <w:pPr>
        <w:spacing w:after="0" w:line="240" w:lineRule="auto"/>
        <w:ind w:left="1247"/>
        <w:rPr>
          <w:rFonts w:ascii="Arial" w:eastAsia="Times New Roman" w:hAnsi="Arial" w:cs="Arial"/>
          <w:b/>
          <w:bCs/>
          <w:sz w:val="28"/>
          <w:szCs w:val="28"/>
          <w:lang w:val="en-GB"/>
        </w:rPr>
      </w:pPr>
      <w:r w:rsidRPr="003548EE">
        <w:rPr>
          <w:rFonts w:ascii="Arial" w:eastAsia="Times New Roman" w:hAnsi="Arial" w:cs="Arial"/>
          <w:b/>
          <w:bCs/>
          <w:sz w:val="28"/>
          <w:szCs w:val="28"/>
          <w:lang w:val="sl"/>
        </w:rPr>
        <w:t>Priloga G</w:t>
      </w:r>
    </w:p>
    <w:p w14:paraId="49184920" w14:textId="77777777" w:rsidR="00E15C65" w:rsidRPr="003548EE" w:rsidRDefault="00E15C65" w:rsidP="00E15C65">
      <w:pPr>
        <w:spacing w:after="0" w:line="240" w:lineRule="auto"/>
        <w:ind w:left="1247" w:hanging="624"/>
        <w:rPr>
          <w:rFonts w:ascii="Arial" w:eastAsia="Times New Roman" w:hAnsi="Arial" w:cs="Arial"/>
          <w:bCs/>
          <w:sz w:val="28"/>
          <w:szCs w:val="28"/>
          <w:lang w:val="en-GB"/>
        </w:rPr>
      </w:pPr>
    </w:p>
    <w:p w14:paraId="43BA2A64" w14:textId="77777777" w:rsidR="00E15C65" w:rsidRPr="003548EE" w:rsidRDefault="00E15C65" w:rsidP="00E15C65">
      <w:pPr>
        <w:spacing w:after="240" w:line="240" w:lineRule="auto"/>
        <w:ind w:left="624"/>
        <w:rPr>
          <w:rFonts w:ascii="Arial" w:eastAsia="Times New Roman" w:hAnsi="Arial" w:cs="Arial"/>
          <w:b/>
          <w:bCs/>
          <w:caps/>
          <w:sz w:val="28"/>
          <w:szCs w:val="28"/>
          <w:lang w:val="en-GB"/>
        </w:rPr>
      </w:pPr>
      <w:r w:rsidRPr="003548EE">
        <w:rPr>
          <w:rFonts w:ascii="Arial" w:eastAsia="Times New Roman" w:hAnsi="Arial" w:cs="Arial"/>
          <w:b/>
          <w:bCs/>
          <w:sz w:val="28"/>
          <w:szCs w:val="28"/>
          <w:lang w:val="sl"/>
        </w:rPr>
        <w:t>I.</w:t>
      </w:r>
      <w:r w:rsidRPr="003548EE">
        <w:rPr>
          <w:rFonts w:ascii="Arial" w:eastAsia="Times New Roman" w:hAnsi="Arial" w:cs="Arial"/>
          <w:b/>
          <w:bCs/>
          <w:sz w:val="28"/>
          <w:szCs w:val="28"/>
          <w:lang w:val="sl"/>
        </w:rPr>
        <w:tab/>
        <w:t>Arbitražni postopek</w:t>
      </w:r>
    </w:p>
    <w:p w14:paraId="57F90908" w14:textId="77777777" w:rsidR="00E15C65" w:rsidRPr="0068478D" w:rsidRDefault="00E15C65" w:rsidP="00E15C65">
      <w:pPr>
        <w:spacing w:after="0" w:line="240" w:lineRule="auto"/>
        <w:ind w:left="1247" w:firstLine="624"/>
        <w:outlineLvl w:val="0"/>
        <w:rPr>
          <w:rFonts w:ascii="Arial" w:eastAsia="Times New Roman" w:hAnsi="Arial" w:cs="Arial"/>
          <w:sz w:val="20"/>
          <w:szCs w:val="20"/>
          <w:lang w:val="sl"/>
        </w:rPr>
      </w:pPr>
      <w:r w:rsidRPr="0068478D">
        <w:rPr>
          <w:rFonts w:ascii="Arial" w:eastAsia="Times New Roman" w:hAnsi="Arial" w:cs="Arial"/>
          <w:sz w:val="20"/>
          <w:szCs w:val="20"/>
          <w:lang w:val="sl"/>
        </w:rPr>
        <w:tab/>
        <w:t>Arbitražni postopek za namene pododstavka (a) drugega odstavka 18. člena konvencije je naslednji:</w:t>
      </w:r>
    </w:p>
    <w:p w14:paraId="07DC556C" w14:textId="77777777" w:rsidR="00E15C65" w:rsidRPr="0068478D" w:rsidRDefault="00E15C65" w:rsidP="00E15C65">
      <w:pPr>
        <w:keepNext/>
        <w:spacing w:after="0" w:line="240" w:lineRule="auto"/>
        <w:ind w:left="1247"/>
        <w:outlineLvl w:val="3"/>
        <w:rPr>
          <w:rFonts w:ascii="Arial" w:eastAsia="MS Mincho" w:hAnsi="Arial" w:cs="Arial"/>
          <w:b/>
          <w:sz w:val="20"/>
          <w:szCs w:val="20"/>
          <w:lang w:val="sl"/>
        </w:rPr>
      </w:pPr>
    </w:p>
    <w:p w14:paraId="2AC5B7B9"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 člen</w:t>
      </w:r>
    </w:p>
    <w:p w14:paraId="7E26037A" w14:textId="77777777" w:rsidR="00E15C65" w:rsidRPr="0068478D" w:rsidRDefault="00E15C65" w:rsidP="00E15C65">
      <w:pPr>
        <w:spacing w:after="0" w:line="240" w:lineRule="auto"/>
        <w:ind w:left="1248" w:hanging="624"/>
        <w:rPr>
          <w:rFonts w:ascii="Arial" w:eastAsia="Times New Roman" w:hAnsi="Arial" w:cs="Arial"/>
          <w:sz w:val="20"/>
          <w:szCs w:val="20"/>
          <w:lang w:val="sl"/>
        </w:rPr>
      </w:pPr>
    </w:p>
    <w:p w14:paraId="13606645" w14:textId="77777777" w:rsidR="00E15C65" w:rsidRPr="0068478D" w:rsidRDefault="00E15C65" w:rsidP="00E15C65">
      <w:pPr>
        <w:spacing w:after="0" w:line="240" w:lineRule="auto"/>
        <w:ind w:left="1247" w:firstLine="85"/>
        <w:rPr>
          <w:rFonts w:ascii="Arial" w:eastAsia="Times New Roman" w:hAnsi="Arial" w:cs="Arial"/>
          <w:sz w:val="20"/>
          <w:szCs w:val="20"/>
          <w:lang w:val="sl"/>
        </w:rPr>
      </w:pPr>
      <w:r w:rsidRPr="0068478D">
        <w:rPr>
          <w:rFonts w:ascii="Arial" w:eastAsia="Times New Roman" w:hAnsi="Arial" w:cs="Arial"/>
          <w:sz w:val="20"/>
          <w:szCs w:val="20"/>
          <w:lang w:val="sl"/>
        </w:rPr>
        <w:t>1.</w:t>
      </w:r>
      <w:r w:rsidRPr="0068478D">
        <w:rPr>
          <w:rFonts w:ascii="Arial" w:eastAsia="Times New Roman" w:hAnsi="Arial" w:cs="Arial"/>
          <w:sz w:val="20"/>
          <w:szCs w:val="20"/>
          <w:lang w:val="sl"/>
        </w:rPr>
        <w:tab/>
        <w:t>Pogodbenica lahko začne postopek arbitraže v skladu z 18. členom konvencije s pisnim uradnim obvestilom, naslovljenim na drugo stranko v sporu. Uradnemu obvestilu priloži tožbeni zahtevek z vsemi dokazili, v njem pa so navedeni predmet arbitraže in predvsem členi konvencije, katerih razlaga ali uporaba je sporna.</w:t>
      </w:r>
    </w:p>
    <w:p w14:paraId="74401DC9" w14:textId="77777777" w:rsidR="00E15C65" w:rsidRPr="0068478D" w:rsidRDefault="00E15C65" w:rsidP="00E15C65">
      <w:pPr>
        <w:spacing w:after="0" w:line="240" w:lineRule="auto"/>
        <w:ind w:left="1247" w:firstLine="624"/>
        <w:rPr>
          <w:rFonts w:ascii="Arial" w:eastAsia="Times New Roman" w:hAnsi="Arial" w:cs="Arial"/>
          <w:sz w:val="20"/>
          <w:szCs w:val="20"/>
          <w:lang w:val="sl"/>
        </w:rPr>
      </w:pPr>
    </w:p>
    <w:p w14:paraId="5AC3951D" w14:textId="77777777" w:rsidR="00E15C65" w:rsidRPr="0068478D" w:rsidRDefault="00E15C65" w:rsidP="00E15C65">
      <w:pPr>
        <w:spacing w:after="0" w:line="240" w:lineRule="auto"/>
        <w:ind w:left="1247" w:firstLine="85"/>
        <w:rPr>
          <w:rFonts w:ascii="Arial" w:eastAsia="Times New Roman" w:hAnsi="Arial" w:cs="Arial"/>
          <w:sz w:val="20"/>
          <w:szCs w:val="20"/>
          <w:lang w:val="sl"/>
        </w:rPr>
      </w:pPr>
      <w:r w:rsidRPr="0068478D">
        <w:rPr>
          <w:rFonts w:ascii="Arial" w:eastAsia="Times New Roman" w:hAnsi="Arial" w:cs="Arial"/>
          <w:sz w:val="20"/>
          <w:szCs w:val="20"/>
          <w:lang w:val="sl"/>
        </w:rPr>
        <w:t>2.</w:t>
      </w:r>
      <w:r w:rsidRPr="0068478D">
        <w:rPr>
          <w:rFonts w:ascii="Arial" w:eastAsia="Times New Roman" w:hAnsi="Arial" w:cs="Arial"/>
          <w:sz w:val="20"/>
          <w:szCs w:val="20"/>
          <w:lang w:val="sl"/>
        </w:rPr>
        <w:tab/>
        <w:t>Tožeča stranka uradno obvesti Sekretariat, da stranki predlagata spor v arbitražo v skladu z 18. členom. Tožeča stranka uradnemu obvestilu priloži pisno uradno obvestilo, tožbeni zahtevek in dokazila iz prvega odstavka. Sekretariat tako prejete informacije pošlje vsem pogodbenicam.</w:t>
      </w:r>
    </w:p>
    <w:p w14:paraId="1C3C655C" w14:textId="77777777" w:rsidR="00E15C65" w:rsidRPr="0068478D" w:rsidRDefault="00E15C65" w:rsidP="00E15C65">
      <w:pPr>
        <w:spacing w:after="0" w:line="240" w:lineRule="auto"/>
        <w:ind w:left="1247"/>
        <w:rPr>
          <w:rFonts w:ascii="Arial" w:eastAsia="Times New Roman" w:hAnsi="Arial" w:cs="Arial"/>
          <w:sz w:val="20"/>
          <w:szCs w:val="20"/>
          <w:lang w:val="sl"/>
        </w:rPr>
      </w:pPr>
    </w:p>
    <w:p w14:paraId="54093C82" w14:textId="77777777" w:rsidR="00E15C65" w:rsidRPr="0068478D" w:rsidRDefault="00E15C65" w:rsidP="00E15C65">
      <w:pPr>
        <w:keepNext/>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2. člen</w:t>
      </w:r>
    </w:p>
    <w:p w14:paraId="01632903"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54290D23" w14:textId="77777777" w:rsidR="00E15C65" w:rsidRPr="0068478D" w:rsidRDefault="00E15C65" w:rsidP="00E15C65">
      <w:pPr>
        <w:spacing w:after="0" w:line="240" w:lineRule="auto"/>
        <w:ind w:left="1247" w:firstLine="85"/>
        <w:rPr>
          <w:rFonts w:ascii="Arial" w:eastAsia="Times New Roman" w:hAnsi="Arial" w:cs="Arial"/>
          <w:sz w:val="20"/>
          <w:szCs w:val="20"/>
          <w:lang w:val="sl"/>
        </w:rPr>
      </w:pPr>
      <w:r w:rsidRPr="0068478D">
        <w:rPr>
          <w:rFonts w:ascii="Arial" w:eastAsia="Times New Roman" w:hAnsi="Arial" w:cs="Arial"/>
          <w:sz w:val="20"/>
          <w:szCs w:val="20"/>
          <w:lang w:val="sl"/>
        </w:rPr>
        <w:t>1.</w:t>
      </w:r>
      <w:r w:rsidRPr="0068478D">
        <w:rPr>
          <w:rFonts w:ascii="Arial" w:eastAsia="Times New Roman" w:hAnsi="Arial" w:cs="Arial"/>
          <w:sz w:val="20"/>
          <w:szCs w:val="20"/>
          <w:lang w:val="sl"/>
        </w:rPr>
        <w:tab/>
        <w:t xml:space="preserve">Če se spor predloži v arbitražo v skladu s 1. členom, se ustanovi arbitražno sodišče. Sestavljajo ga trije člani. </w:t>
      </w:r>
    </w:p>
    <w:p w14:paraId="45E9E8A2" w14:textId="77777777" w:rsidR="00E15C65" w:rsidRPr="0068478D" w:rsidRDefault="00E15C65" w:rsidP="00E15C65">
      <w:pPr>
        <w:spacing w:after="0" w:line="240" w:lineRule="auto"/>
        <w:ind w:left="1247" w:firstLine="624"/>
        <w:rPr>
          <w:rFonts w:ascii="Arial" w:eastAsia="Times New Roman" w:hAnsi="Arial" w:cs="Arial"/>
          <w:sz w:val="20"/>
          <w:szCs w:val="20"/>
          <w:lang w:val="sl"/>
        </w:rPr>
      </w:pPr>
    </w:p>
    <w:p w14:paraId="398E69E4" w14:textId="77777777" w:rsidR="00E15C65" w:rsidRPr="0068478D" w:rsidRDefault="00E15C65" w:rsidP="00E15C65">
      <w:pPr>
        <w:spacing w:after="0" w:line="240" w:lineRule="auto"/>
        <w:ind w:left="1247" w:firstLine="85"/>
        <w:rPr>
          <w:rFonts w:ascii="Arial" w:eastAsia="Times New Roman" w:hAnsi="Arial" w:cs="Arial"/>
          <w:sz w:val="20"/>
          <w:szCs w:val="20"/>
          <w:lang w:val="sl"/>
        </w:rPr>
      </w:pPr>
      <w:r w:rsidRPr="0068478D">
        <w:rPr>
          <w:rFonts w:ascii="Arial" w:eastAsia="Times New Roman" w:hAnsi="Arial" w:cs="Arial"/>
          <w:sz w:val="20"/>
          <w:szCs w:val="20"/>
          <w:lang w:val="sl"/>
        </w:rPr>
        <w:t>2.</w:t>
      </w:r>
      <w:r w:rsidRPr="0068478D">
        <w:rPr>
          <w:rFonts w:ascii="Arial" w:eastAsia="Times New Roman" w:hAnsi="Arial" w:cs="Arial"/>
          <w:sz w:val="20"/>
          <w:szCs w:val="20"/>
          <w:lang w:val="sl"/>
        </w:rPr>
        <w:tab/>
        <w:t>Vsaka od strank v sporu imenuje po enega arbitra, tako imenovana arbitra pa sporazumno določita tretjega arbitra, ki je predsednik sodišča. Predsednik arbitražnega sodišča ni državljan nobene od strank v sporu, nima običajnega prebivališča na ozemlju nobene od teh strank, ni zaposlen pri nobeni od njih, niti se ni s tem primerom ukvarjal v kateri koli drugi vlogi.</w:t>
      </w:r>
    </w:p>
    <w:p w14:paraId="27811DE8" w14:textId="77777777" w:rsidR="00E15C65" w:rsidRPr="0068478D" w:rsidRDefault="00E15C65" w:rsidP="00E15C65">
      <w:pPr>
        <w:spacing w:after="0" w:line="240" w:lineRule="auto"/>
        <w:ind w:left="1247" w:firstLine="624"/>
        <w:rPr>
          <w:rFonts w:ascii="Arial" w:eastAsia="Times New Roman" w:hAnsi="Arial" w:cs="Arial"/>
          <w:sz w:val="20"/>
          <w:szCs w:val="20"/>
          <w:lang w:val="sl"/>
        </w:rPr>
      </w:pPr>
    </w:p>
    <w:p w14:paraId="1F650B19" w14:textId="77777777" w:rsidR="00E15C65" w:rsidRPr="0068478D" w:rsidRDefault="00E15C65" w:rsidP="00E15C65">
      <w:pPr>
        <w:spacing w:after="0" w:line="240" w:lineRule="auto"/>
        <w:ind w:left="1247" w:firstLine="85"/>
        <w:rPr>
          <w:rFonts w:ascii="Arial" w:eastAsia="Times New Roman" w:hAnsi="Arial" w:cs="Arial"/>
          <w:sz w:val="20"/>
          <w:szCs w:val="20"/>
          <w:lang w:val="sl"/>
        </w:rPr>
      </w:pPr>
      <w:r w:rsidRPr="0068478D">
        <w:rPr>
          <w:rFonts w:ascii="Arial" w:eastAsia="Times New Roman" w:hAnsi="Arial" w:cs="Arial"/>
          <w:sz w:val="20"/>
          <w:szCs w:val="20"/>
          <w:lang w:val="sl"/>
        </w:rPr>
        <w:t>3.</w:t>
      </w:r>
      <w:r w:rsidRPr="0068478D">
        <w:rPr>
          <w:rFonts w:ascii="Arial" w:eastAsia="Times New Roman" w:hAnsi="Arial" w:cs="Arial"/>
          <w:sz w:val="20"/>
          <w:szCs w:val="20"/>
          <w:lang w:val="sl"/>
        </w:rPr>
        <w:tab/>
        <w:t>V sporih med več kot dvema strankama stranke z enakim interesom skupaj sporazumno imenujejo enega arbitra.</w:t>
      </w:r>
    </w:p>
    <w:p w14:paraId="0267924E" w14:textId="77777777" w:rsidR="00E15C65" w:rsidRPr="0068478D" w:rsidRDefault="00E15C65" w:rsidP="00E15C65">
      <w:pPr>
        <w:spacing w:after="0" w:line="240" w:lineRule="auto"/>
        <w:ind w:left="1247" w:firstLine="624"/>
        <w:rPr>
          <w:rFonts w:ascii="Arial" w:eastAsia="Times New Roman" w:hAnsi="Arial" w:cs="Arial"/>
          <w:sz w:val="20"/>
          <w:szCs w:val="20"/>
          <w:lang w:val="sl"/>
        </w:rPr>
      </w:pPr>
    </w:p>
    <w:p w14:paraId="5A64741B" w14:textId="77777777" w:rsidR="00E15C65" w:rsidRPr="0068478D" w:rsidRDefault="00E15C65" w:rsidP="001377F7">
      <w:pPr>
        <w:spacing w:after="0" w:line="240" w:lineRule="auto"/>
        <w:ind w:left="1247" w:firstLine="29"/>
        <w:rPr>
          <w:rFonts w:ascii="Arial" w:eastAsia="Times New Roman" w:hAnsi="Arial" w:cs="Arial"/>
          <w:sz w:val="20"/>
          <w:szCs w:val="20"/>
          <w:lang w:val="it-IT"/>
        </w:rPr>
      </w:pPr>
      <w:r w:rsidRPr="0068478D">
        <w:rPr>
          <w:rFonts w:ascii="Arial" w:eastAsia="Times New Roman" w:hAnsi="Arial" w:cs="Arial"/>
          <w:sz w:val="20"/>
          <w:szCs w:val="20"/>
          <w:lang w:val="sl"/>
        </w:rPr>
        <w:t>4.</w:t>
      </w:r>
      <w:r w:rsidRPr="0068478D">
        <w:rPr>
          <w:rFonts w:ascii="Arial" w:eastAsia="Times New Roman" w:hAnsi="Arial" w:cs="Arial"/>
          <w:sz w:val="20"/>
          <w:szCs w:val="20"/>
          <w:lang w:val="sl"/>
        </w:rPr>
        <w:tab/>
        <w:t>Vsako prosto mesto se zapolni na način, ki je predpisan za prvo imenovanje.</w:t>
      </w:r>
    </w:p>
    <w:p w14:paraId="5AC70B5F" w14:textId="77777777" w:rsidR="00E15C65" w:rsidRPr="0068478D" w:rsidRDefault="00E15C65" w:rsidP="001377F7">
      <w:pPr>
        <w:spacing w:after="0" w:line="240" w:lineRule="auto"/>
        <w:ind w:left="1247" w:firstLine="29"/>
        <w:rPr>
          <w:rFonts w:ascii="Arial" w:eastAsia="Times New Roman" w:hAnsi="Arial" w:cs="Arial"/>
          <w:sz w:val="20"/>
          <w:szCs w:val="20"/>
          <w:lang w:val="it-IT"/>
        </w:rPr>
      </w:pPr>
    </w:p>
    <w:p w14:paraId="210C2B02" w14:textId="77777777" w:rsidR="00E15C65" w:rsidRPr="0068478D" w:rsidRDefault="00E15C65" w:rsidP="001377F7">
      <w:pPr>
        <w:spacing w:after="0" w:line="240" w:lineRule="auto"/>
        <w:ind w:left="1247" w:firstLine="29"/>
        <w:rPr>
          <w:rFonts w:ascii="Arial" w:eastAsia="Times New Roman" w:hAnsi="Arial" w:cs="Arial"/>
          <w:sz w:val="20"/>
          <w:szCs w:val="20"/>
          <w:lang w:val="it-IT"/>
        </w:rPr>
      </w:pPr>
      <w:r w:rsidRPr="0068478D">
        <w:rPr>
          <w:rFonts w:ascii="Arial" w:eastAsia="Times New Roman" w:hAnsi="Arial" w:cs="Arial"/>
          <w:sz w:val="20"/>
          <w:szCs w:val="20"/>
          <w:lang w:val="sl"/>
        </w:rPr>
        <w:t>5.</w:t>
      </w:r>
      <w:r w:rsidRPr="0068478D">
        <w:rPr>
          <w:rFonts w:ascii="Arial" w:eastAsia="Times New Roman" w:hAnsi="Arial" w:cs="Arial"/>
          <w:sz w:val="20"/>
          <w:szCs w:val="20"/>
          <w:lang w:val="sl"/>
        </w:rPr>
        <w:tab/>
        <w:t>Če se stranke ne dogovorijo o predmetu spora pred imenovanjem predsednika arbitražnega sodišča, predmet spora določi arbitražno sodišče.</w:t>
      </w:r>
    </w:p>
    <w:p w14:paraId="6ADAA9FD" w14:textId="77777777" w:rsidR="00E15C65" w:rsidRPr="0068478D" w:rsidRDefault="00E15C65" w:rsidP="00E15C65">
      <w:pPr>
        <w:spacing w:after="0" w:line="240" w:lineRule="auto"/>
        <w:ind w:left="1247" w:hanging="624"/>
        <w:rPr>
          <w:rFonts w:ascii="Arial" w:eastAsia="Times New Roman" w:hAnsi="Arial" w:cs="Arial"/>
          <w:sz w:val="20"/>
          <w:szCs w:val="20"/>
          <w:lang w:val="it-IT"/>
        </w:rPr>
      </w:pPr>
    </w:p>
    <w:p w14:paraId="61B84CF0" w14:textId="77777777" w:rsidR="00E15C65" w:rsidRPr="0068478D" w:rsidRDefault="00E15C65" w:rsidP="00E15C65">
      <w:pPr>
        <w:keepNext/>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t>3. člen</w:t>
      </w:r>
    </w:p>
    <w:p w14:paraId="766C811B" w14:textId="77777777" w:rsidR="00E15C65" w:rsidRPr="0068478D" w:rsidRDefault="00E15C65" w:rsidP="00E15C65">
      <w:pPr>
        <w:spacing w:after="0" w:line="240" w:lineRule="auto"/>
        <w:ind w:left="1247" w:hanging="624"/>
        <w:rPr>
          <w:rFonts w:ascii="Arial" w:eastAsia="Times New Roman" w:hAnsi="Arial" w:cs="Arial"/>
          <w:sz w:val="20"/>
          <w:szCs w:val="20"/>
          <w:lang w:val="it-IT"/>
        </w:rPr>
      </w:pPr>
    </w:p>
    <w:p w14:paraId="3BA1D48E" w14:textId="77777777" w:rsidR="00E15C65" w:rsidRPr="0068478D" w:rsidRDefault="00E15C65" w:rsidP="00E15C65">
      <w:pPr>
        <w:spacing w:after="0" w:line="240" w:lineRule="auto"/>
        <w:ind w:left="1247" w:firstLine="85"/>
        <w:rPr>
          <w:rFonts w:ascii="Arial" w:eastAsia="Times New Roman" w:hAnsi="Arial" w:cs="Arial"/>
          <w:sz w:val="20"/>
          <w:szCs w:val="20"/>
          <w:lang w:val="it-IT"/>
        </w:rPr>
      </w:pPr>
      <w:r w:rsidRPr="0068478D">
        <w:rPr>
          <w:rFonts w:ascii="Arial" w:eastAsia="Times New Roman" w:hAnsi="Arial" w:cs="Arial"/>
          <w:sz w:val="20"/>
          <w:szCs w:val="20"/>
          <w:lang w:val="sl"/>
        </w:rPr>
        <w:t>1.</w:t>
      </w:r>
      <w:r w:rsidRPr="0068478D">
        <w:rPr>
          <w:rFonts w:ascii="Arial" w:eastAsia="Times New Roman" w:hAnsi="Arial" w:cs="Arial"/>
          <w:sz w:val="20"/>
          <w:szCs w:val="20"/>
          <w:lang w:val="sl"/>
        </w:rPr>
        <w:tab/>
        <w:t>Če ena od strank v sporu ne imenuje arbitra v dveh mesecih od datuma, ko je tožena stranka prejela uradno obvestilo o arbitraži, lahko druga stranka o tem obvesti generalnega sekretarja Združenih narodov, ki arbitra imenuje v naslednjih dveh mesecih.</w:t>
      </w:r>
    </w:p>
    <w:p w14:paraId="4A642D38"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p>
    <w:p w14:paraId="00278AD3" w14:textId="77777777" w:rsidR="00E15C65" w:rsidRPr="0068478D" w:rsidRDefault="00E15C65" w:rsidP="00E15C65">
      <w:pPr>
        <w:spacing w:after="0" w:line="240" w:lineRule="auto"/>
        <w:ind w:left="1247" w:firstLine="85"/>
        <w:rPr>
          <w:rFonts w:ascii="Arial" w:eastAsia="Times New Roman" w:hAnsi="Arial" w:cs="Arial"/>
          <w:sz w:val="20"/>
          <w:szCs w:val="20"/>
          <w:lang w:val="it-IT"/>
        </w:rPr>
      </w:pPr>
      <w:r w:rsidRPr="0068478D">
        <w:rPr>
          <w:rFonts w:ascii="Arial" w:eastAsia="Times New Roman" w:hAnsi="Arial" w:cs="Arial"/>
          <w:sz w:val="20"/>
          <w:szCs w:val="20"/>
          <w:lang w:val="sl"/>
        </w:rPr>
        <w:t>2.</w:t>
      </w:r>
      <w:r w:rsidRPr="0068478D">
        <w:rPr>
          <w:rFonts w:ascii="Arial" w:eastAsia="Times New Roman" w:hAnsi="Arial" w:cs="Arial"/>
          <w:sz w:val="20"/>
          <w:szCs w:val="20"/>
          <w:lang w:val="sl"/>
        </w:rPr>
        <w:tab/>
        <w:t xml:space="preserve">Če predsednik arbitražnega sodišča ni imenovan v dveh mesecih od datuma imenovanja drugega arbitra, ga v naslednjih dveh mesecih na zahtevo stranke imenuje generalni sekretar Združenih narodov. </w:t>
      </w:r>
    </w:p>
    <w:p w14:paraId="08056D17"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p>
    <w:p w14:paraId="5336B3D1" w14:textId="77777777" w:rsidR="00E15C65" w:rsidRPr="0068478D" w:rsidRDefault="00E15C65" w:rsidP="00E15C65">
      <w:pPr>
        <w:keepNext/>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lastRenderedPageBreak/>
        <w:t>4. člen</w:t>
      </w:r>
    </w:p>
    <w:p w14:paraId="749D4470"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it-IT"/>
        </w:rPr>
      </w:pPr>
    </w:p>
    <w:p w14:paraId="50576057"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it-IT"/>
        </w:rPr>
      </w:pPr>
      <w:r w:rsidRPr="0068478D">
        <w:rPr>
          <w:rFonts w:ascii="Arial" w:eastAsia="Times New Roman" w:hAnsi="Arial" w:cs="Arial"/>
          <w:sz w:val="20"/>
          <w:szCs w:val="20"/>
          <w:lang w:val="sl"/>
        </w:rPr>
        <w:tab/>
        <w:t>Arbitražno sodišče odloča v skladu z določbami konvencije in mednarodnim pravom.</w:t>
      </w:r>
    </w:p>
    <w:p w14:paraId="4317D9EC" w14:textId="77777777" w:rsidR="00E15C65" w:rsidRPr="0068478D" w:rsidRDefault="00E15C65" w:rsidP="00E15C65">
      <w:pPr>
        <w:spacing w:after="0" w:line="240" w:lineRule="auto"/>
        <w:ind w:left="624"/>
        <w:rPr>
          <w:rFonts w:ascii="Arial" w:eastAsia="Times New Roman" w:hAnsi="Arial" w:cs="Arial"/>
          <w:sz w:val="20"/>
          <w:szCs w:val="20"/>
          <w:lang w:val="it-IT"/>
        </w:rPr>
      </w:pPr>
    </w:p>
    <w:p w14:paraId="0510174B" w14:textId="77777777" w:rsidR="00E15C65" w:rsidRPr="0068478D" w:rsidRDefault="00E15C65" w:rsidP="00E15C65">
      <w:pPr>
        <w:keepNext/>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t>5. člen</w:t>
      </w:r>
    </w:p>
    <w:p w14:paraId="555A4294" w14:textId="77777777" w:rsidR="00E15C65" w:rsidRPr="0068478D" w:rsidRDefault="00E15C65" w:rsidP="00E15C65">
      <w:pPr>
        <w:spacing w:after="0" w:line="240" w:lineRule="auto"/>
        <w:ind w:left="1247"/>
        <w:outlineLvl w:val="3"/>
        <w:rPr>
          <w:rFonts w:ascii="Arial" w:eastAsia="MS Mincho" w:hAnsi="Arial" w:cs="Arial"/>
          <w:b/>
          <w:sz w:val="20"/>
          <w:szCs w:val="20"/>
          <w:lang w:val="it-IT"/>
        </w:rPr>
      </w:pPr>
    </w:p>
    <w:p w14:paraId="02B919A9"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Arbitražno sodišče določi svoj poslovnik, razen če se stranke v sporu ne dogovorijo drugače.</w:t>
      </w:r>
    </w:p>
    <w:p w14:paraId="121A1F78"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0F36057B"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6. člen</w:t>
      </w:r>
    </w:p>
    <w:p w14:paraId="267D03B8"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250480FD"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Arbitražno sodišče lahko na zahtevo ene od strank odloči o nujnih začasnih zaščitnih ukrepih.</w:t>
      </w:r>
    </w:p>
    <w:p w14:paraId="38D526E7"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64424036"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7. člen</w:t>
      </w:r>
    </w:p>
    <w:p w14:paraId="5CA63EB8"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70C0F048"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Stranke v sporu olajšajo delo arbitražnega sodišča, zlasti pa mu z vsemi razpoložljivimi sredstvi:</w:t>
      </w:r>
    </w:p>
    <w:p w14:paraId="34CEF963" w14:textId="77777777" w:rsidR="00E15C65" w:rsidRPr="0068478D" w:rsidRDefault="00E15C65" w:rsidP="00E15C65">
      <w:pPr>
        <w:spacing w:after="0" w:line="240" w:lineRule="auto"/>
        <w:ind w:left="1247"/>
        <w:rPr>
          <w:rFonts w:ascii="Arial" w:eastAsia="Times New Roman" w:hAnsi="Arial" w:cs="Arial"/>
          <w:sz w:val="20"/>
          <w:szCs w:val="20"/>
          <w:lang w:val="sl"/>
        </w:rPr>
      </w:pPr>
    </w:p>
    <w:p w14:paraId="03420EEE"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r w:rsidRPr="0068478D">
        <w:rPr>
          <w:rFonts w:ascii="Arial" w:eastAsia="Times New Roman" w:hAnsi="Arial" w:cs="Arial"/>
          <w:sz w:val="20"/>
          <w:szCs w:val="20"/>
          <w:lang w:val="sl"/>
        </w:rPr>
        <w:tab/>
        <w:t>(a)</w:t>
      </w:r>
      <w:r w:rsidRPr="0068478D">
        <w:rPr>
          <w:rFonts w:ascii="Arial" w:eastAsia="Times New Roman" w:hAnsi="Arial" w:cs="Arial"/>
          <w:sz w:val="20"/>
          <w:szCs w:val="20"/>
          <w:lang w:val="sl"/>
        </w:rPr>
        <w:tab/>
        <w:t>zagotovijo vse ustrezne dokumente, informacije in pripomočke ter</w:t>
      </w:r>
    </w:p>
    <w:p w14:paraId="18436A46"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p>
    <w:p w14:paraId="6D50C08B"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r w:rsidRPr="0068478D">
        <w:rPr>
          <w:rFonts w:ascii="Arial" w:eastAsia="Times New Roman" w:hAnsi="Arial" w:cs="Arial"/>
          <w:sz w:val="20"/>
          <w:szCs w:val="20"/>
          <w:lang w:val="sl"/>
        </w:rPr>
        <w:tab/>
        <w:t>(b)</w:t>
      </w:r>
      <w:r w:rsidRPr="0068478D">
        <w:rPr>
          <w:rFonts w:ascii="Arial" w:eastAsia="Times New Roman" w:hAnsi="Arial" w:cs="Arial"/>
          <w:sz w:val="20"/>
          <w:szCs w:val="20"/>
          <w:lang w:val="sl"/>
        </w:rPr>
        <w:tab/>
        <w:t>po potrebi omogočijo, da pokliče priče ali izvedence in prejme njihove dokaze.</w:t>
      </w:r>
    </w:p>
    <w:p w14:paraId="4DF77F6B" w14:textId="77777777" w:rsidR="00E15C65" w:rsidRPr="0068478D" w:rsidRDefault="00E15C65" w:rsidP="00E15C65">
      <w:pPr>
        <w:spacing w:after="0" w:line="240" w:lineRule="auto"/>
        <w:ind w:left="1247" w:hanging="624"/>
        <w:rPr>
          <w:rFonts w:ascii="Arial" w:eastAsia="Times New Roman" w:hAnsi="Arial" w:cs="Arial"/>
          <w:sz w:val="20"/>
          <w:szCs w:val="20"/>
          <w:lang w:val="it-IT"/>
        </w:rPr>
      </w:pPr>
    </w:p>
    <w:p w14:paraId="2AE00D81" w14:textId="77777777" w:rsidR="00E15C65" w:rsidRPr="0068478D" w:rsidRDefault="00E15C65" w:rsidP="00E15C65">
      <w:pPr>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t>8. člen</w:t>
      </w:r>
    </w:p>
    <w:p w14:paraId="7072DB56" w14:textId="77777777" w:rsidR="00E15C65" w:rsidRPr="0068478D" w:rsidRDefault="00E15C65" w:rsidP="00E15C65">
      <w:pPr>
        <w:spacing w:after="0" w:line="240" w:lineRule="auto"/>
        <w:ind w:left="1247" w:hanging="624"/>
        <w:rPr>
          <w:rFonts w:ascii="Arial" w:eastAsia="Times New Roman" w:hAnsi="Arial" w:cs="Arial"/>
          <w:sz w:val="20"/>
          <w:szCs w:val="20"/>
          <w:lang w:val="it-IT"/>
        </w:rPr>
      </w:pPr>
    </w:p>
    <w:p w14:paraId="01556B68"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it-IT"/>
        </w:rPr>
      </w:pPr>
      <w:r w:rsidRPr="0068478D">
        <w:rPr>
          <w:rFonts w:ascii="Arial" w:eastAsia="Times New Roman" w:hAnsi="Arial" w:cs="Arial"/>
          <w:sz w:val="20"/>
          <w:szCs w:val="20"/>
          <w:lang w:val="sl"/>
        </w:rPr>
        <w:tab/>
        <w:t>Stranke in arbitri so dolžni varovati zaupnost vseh informacij, ki jih kot zaupne prejmejo med postopkom pred arbitražnim sodiščem.</w:t>
      </w:r>
    </w:p>
    <w:p w14:paraId="45061D51" w14:textId="77777777" w:rsidR="00E15C65" w:rsidRPr="0068478D" w:rsidRDefault="00E15C65" w:rsidP="00E15C65">
      <w:pPr>
        <w:spacing w:after="0" w:line="240" w:lineRule="auto"/>
        <w:ind w:left="1247" w:hanging="624"/>
        <w:rPr>
          <w:rFonts w:ascii="Arial" w:eastAsia="Times New Roman" w:hAnsi="Arial" w:cs="Arial"/>
          <w:sz w:val="20"/>
          <w:szCs w:val="20"/>
          <w:lang w:val="it-IT"/>
        </w:rPr>
      </w:pPr>
    </w:p>
    <w:p w14:paraId="169F9089" w14:textId="77777777" w:rsidR="00E15C65" w:rsidRPr="0068478D" w:rsidRDefault="00E15C65" w:rsidP="00E15C65">
      <w:pPr>
        <w:keepNext/>
        <w:keepLines/>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t>9. člen</w:t>
      </w:r>
    </w:p>
    <w:p w14:paraId="02788A20" w14:textId="77777777" w:rsidR="00E15C65" w:rsidRPr="0068478D" w:rsidRDefault="00E15C65" w:rsidP="00E15C65">
      <w:pPr>
        <w:keepNext/>
        <w:keepLines/>
        <w:spacing w:after="0" w:line="240" w:lineRule="auto"/>
        <w:ind w:left="1247" w:hanging="624"/>
        <w:rPr>
          <w:rFonts w:ascii="Arial" w:eastAsia="Times New Roman" w:hAnsi="Arial" w:cs="Arial"/>
          <w:sz w:val="20"/>
          <w:szCs w:val="20"/>
          <w:lang w:val="it-IT"/>
        </w:rPr>
      </w:pPr>
    </w:p>
    <w:p w14:paraId="6557A37F" w14:textId="77777777" w:rsidR="00E15C65" w:rsidRPr="0068478D" w:rsidRDefault="00E15C65" w:rsidP="00E15C65">
      <w:pPr>
        <w:keepNext/>
        <w:keepLines/>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Razen če arbitražno sodišče zaradi posebnih okoliščin primera ne določi drugače, stroške sodišča krijejo stranke v sporu v enakih deležih. Arbitražno sodišče vodi evidenco vseh svojih stroškov in strankam predloži končni obračun.</w:t>
      </w:r>
    </w:p>
    <w:p w14:paraId="6E282FFB"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16C58FCC" w14:textId="77777777" w:rsidR="00E15C65" w:rsidRPr="0068478D" w:rsidRDefault="00E15C65" w:rsidP="00E15C65">
      <w:pPr>
        <w:keepNext/>
        <w:keepLines/>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10. člen</w:t>
      </w:r>
    </w:p>
    <w:p w14:paraId="342A2FE5" w14:textId="77777777" w:rsidR="00E15C65" w:rsidRPr="0068478D" w:rsidRDefault="00E15C65" w:rsidP="00E15C65">
      <w:pPr>
        <w:keepNext/>
        <w:keepLines/>
        <w:spacing w:after="0" w:line="240" w:lineRule="auto"/>
        <w:ind w:left="1247" w:hanging="624"/>
        <w:rPr>
          <w:rFonts w:ascii="Arial" w:eastAsia="Times New Roman" w:hAnsi="Arial" w:cs="Arial"/>
          <w:sz w:val="20"/>
          <w:szCs w:val="20"/>
          <w:lang w:val="sl"/>
        </w:rPr>
      </w:pPr>
    </w:p>
    <w:p w14:paraId="517C332A" w14:textId="77777777" w:rsidR="00E15C65" w:rsidRPr="0068478D" w:rsidRDefault="00E15C65" w:rsidP="00E15C65">
      <w:pPr>
        <w:keepNext/>
        <w:keepLines/>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Pogodbenica, ki ima pravni interes glede predmeta spora, na katerega lahko vpliva odločitev v zadevi, lahko s soglasjem arbitražnega sodišča posreduje v postopku.</w:t>
      </w:r>
    </w:p>
    <w:p w14:paraId="24C3BD55"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04432F03"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11. člen</w:t>
      </w:r>
    </w:p>
    <w:p w14:paraId="206F445C"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679E2EB9"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Sodišče lahko obravnava nasprotne zahtevke, ki izhajajo neposredno iz predmeta spora, in o njih odloča.</w:t>
      </w:r>
    </w:p>
    <w:p w14:paraId="3A735CFA"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76C2C0A1"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12. člen</w:t>
      </w:r>
    </w:p>
    <w:p w14:paraId="2864CA37" w14:textId="77777777" w:rsidR="00E15C65" w:rsidRPr="0068478D" w:rsidRDefault="00E15C65" w:rsidP="00E15C65">
      <w:pPr>
        <w:spacing w:after="0" w:line="240" w:lineRule="auto"/>
        <w:ind w:left="1247"/>
        <w:rPr>
          <w:rFonts w:ascii="Arial" w:eastAsia="Times New Roman" w:hAnsi="Arial" w:cs="Arial"/>
          <w:sz w:val="20"/>
          <w:szCs w:val="20"/>
          <w:lang w:val="sl"/>
        </w:rPr>
      </w:pPr>
    </w:p>
    <w:p w14:paraId="3DAE5ED9"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Odločitve arbitražnega sodišča o postopku in vsebini se sprejemajo z večino glasov njegovih članov.</w:t>
      </w:r>
    </w:p>
    <w:p w14:paraId="65796D84" w14:textId="77777777" w:rsidR="00E15C65" w:rsidRPr="0068478D" w:rsidRDefault="00E15C65" w:rsidP="00E15C65">
      <w:pPr>
        <w:spacing w:after="0" w:line="240" w:lineRule="auto"/>
        <w:ind w:left="1247" w:hanging="624"/>
        <w:rPr>
          <w:rFonts w:ascii="Arial" w:eastAsia="Times New Roman" w:hAnsi="Arial" w:cs="Arial"/>
          <w:sz w:val="20"/>
          <w:szCs w:val="20"/>
          <w:lang w:val="sl"/>
        </w:rPr>
      </w:pPr>
    </w:p>
    <w:p w14:paraId="7E6B541D" w14:textId="77777777" w:rsidR="00E15C65" w:rsidRDefault="00E15C65" w:rsidP="00E15C65">
      <w:pPr>
        <w:spacing w:after="0" w:line="240" w:lineRule="auto"/>
        <w:ind w:left="1247"/>
        <w:outlineLvl w:val="3"/>
        <w:rPr>
          <w:rFonts w:ascii="Arial" w:eastAsia="MS Mincho" w:hAnsi="Arial" w:cs="Arial"/>
          <w:b/>
          <w:bCs/>
          <w:sz w:val="20"/>
          <w:szCs w:val="20"/>
          <w:lang w:val="sl"/>
        </w:rPr>
      </w:pPr>
      <w:r w:rsidRPr="0068478D">
        <w:rPr>
          <w:rFonts w:ascii="Arial" w:eastAsia="MS Mincho" w:hAnsi="Arial" w:cs="Arial"/>
          <w:b/>
          <w:bCs/>
          <w:sz w:val="20"/>
          <w:szCs w:val="20"/>
          <w:lang w:val="sl"/>
        </w:rPr>
        <w:t>13. člen</w:t>
      </w:r>
    </w:p>
    <w:p w14:paraId="7686E3B4" w14:textId="77777777" w:rsidR="00E15C65" w:rsidRDefault="00E15C65" w:rsidP="00E15C65">
      <w:pPr>
        <w:spacing w:after="0" w:line="240" w:lineRule="auto"/>
        <w:ind w:left="1247"/>
        <w:outlineLvl w:val="3"/>
        <w:rPr>
          <w:rFonts w:ascii="Arial" w:eastAsia="MS Mincho" w:hAnsi="Arial" w:cs="Arial"/>
          <w:b/>
          <w:bCs/>
          <w:sz w:val="20"/>
          <w:szCs w:val="20"/>
          <w:lang w:val="sl"/>
        </w:rPr>
      </w:pPr>
    </w:p>
    <w:p w14:paraId="2FDA644E" w14:textId="77777777" w:rsidR="00E15C65" w:rsidRPr="001B4595" w:rsidRDefault="00E15C65" w:rsidP="00E15C65">
      <w:pPr>
        <w:spacing w:after="0" w:line="240" w:lineRule="auto"/>
        <w:ind w:left="1276"/>
        <w:rPr>
          <w:rFonts w:ascii="Arial" w:eastAsia="Times New Roman" w:hAnsi="Arial" w:cs="Arial"/>
          <w:sz w:val="20"/>
          <w:szCs w:val="20"/>
          <w:lang w:val="it-IT"/>
        </w:rPr>
      </w:pPr>
      <w:r>
        <w:rPr>
          <w:rFonts w:ascii="Arial" w:eastAsia="MS Mincho" w:hAnsi="Arial" w:cs="Arial"/>
          <w:sz w:val="20"/>
          <w:szCs w:val="20"/>
          <w:lang w:val="sl"/>
        </w:rPr>
        <w:t>1.</w:t>
      </w:r>
      <w:r>
        <w:rPr>
          <w:rFonts w:ascii="Arial" w:eastAsia="MS Mincho" w:hAnsi="Arial" w:cs="Arial"/>
          <w:b/>
          <w:bCs/>
          <w:sz w:val="20"/>
          <w:szCs w:val="20"/>
          <w:lang w:val="sl"/>
        </w:rPr>
        <w:tab/>
      </w:r>
      <w:r w:rsidRPr="001B4595">
        <w:rPr>
          <w:rFonts w:ascii="Arial" w:eastAsia="Times New Roman" w:hAnsi="Arial" w:cs="Arial"/>
          <w:sz w:val="20"/>
          <w:szCs w:val="20"/>
          <w:lang w:val="sl"/>
        </w:rPr>
        <w:t>Če ena od strank v sporu ne pride pred arbitražno sodišče ali se ne zagovarja, lahko druga stranka od arbitražnega sodišča zahteva, da nadaljuje postopek in izda arbitražno odločbo. Če je stranka odsotna ali se ne zagovarja, to ne ovira postopka.</w:t>
      </w:r>
    </w:p>
    <w:p w14:paraId="6846DE2C" w14:textId="77777777" w:rsidR="00E15C65" w:rsidRPr="0068478D" w:rsidRDefault="00E15C65" w:rsidP="00E15C65">
      <w:pPr>
        <w:spacing w:after="0" w:line="240" w:lineRule="auto"/>
        <w:ind w:left="1247" w:firstLine="624"/>
        <w:rPr>
          <w:rFonts w:ascii="Arial" w:eastAsia="Times New Roman" w:hAnsi="Arial" w:cs="Arial"/>
          <w:sz w:val="20"/>
          <w:szCs w:val="20"/>
          <w:lang w:val="it-IT"/>
        </w:rPr>
      </w:pPr>
    </w:p>
    <w:p w14:paraId="01C63606" w14:textId="77777777" w:rsidR="00E15C65" w:rsidRPr="0068478D" w:rsidRDefault="00E15C65" w:rsidP="00E15C65">
      <w:pPr>
        <w:spacing w:after="120" w:line="240" w:lineRule="auto"/>
        <w:ind w:left="1247"/>
        <w:rPr>
          <w:rFonts w:ascii="Arial" w:eastAsia="Times New Roman" w:hAnsi="Arial" w:cs="Arial"/>
          <w:sz w:val="20"/>
          <w:szCs w:val="20"/>
          <w:lang w:val="it-IT"/>
        </w:rPr>
      </w:pPr>
      <w:r w:rsidRPr="0068478D">
        <w:rPr>
          <w:rFonts w:ascii="Arial" w:eastAsia="Times New Roman" w:hAnsi="Arial" w:cs="Arial"/>
          <w:sz w:val="20"/>
          <w:szCs w:val="20"/>
          <w:lang w:val="sl"/>
        </w:rPr>
        <w:t>2.</w:t>
      </w:r>
      <w:r>
        <w:rPr>
          <w:rFonts w:ascii="Arial" w:eastAsia="Times New Roman" w:hAnsi="Arial" w:cs="Arial"/>
          <w:sz w:val="20"/>
          <w:szCs w:val="20"/>
          <w:lang w:val="sl"/>
        </w:rPr>
        <w:t xml:space="preserve"> </w:t>
      </w:r>
      <w:r w:rsidRPr="0068478D">
        <w:rPr>
          <w:rFonts w:ascii="Arial" w:eastAsia="Times New Roman" w:hAnsi="Arial" w:cs="Arial"/>
          <w:sz w:val="20"/>
          <w:szCs w:val="20"/>
          <w:lang w:val="sl"/>
        </w:rPr>
        <w:tab/>
        <w:t>Arbitražno sodišče se mora pred izdajo končne odločbe prepričati, da je zahtevek dejansko in pravno utemeljen.</w:t>
      </w:r>
    </w:p>
    <w:p w14:paraId="2C133735" w14:textId="2D07F434" w:rsidR="00E15C65" w:rsidRPr="0068478D" w:rsidRDefault="00E15C65" w:rsidP="00E15C65">
      <w:pPr>
        <w:spacing w:after="0" w:line="240" w:lineRule="auto"/>
        <w:ind w:left="1247"/>
        <w:outlineLvl w:val="3"/>
        <w:rPr>
          <w:rFonts w:ascii="Arial" w:eastAsia="MS Mincho" w:hAnsi="Arial" w:cs="Arial"/>
          <w:b/>
          <w:sz w:val="20"/>
          <w:szCs w:val="20"/>
          <w:lang w:val="it-IT"/>
        </w:rPr>
      </w:pPr>
      <w:r w:rsidRPr="0068478D">
        <w:rPr>
          <w:rFonts w:ascii="Arial" w:eastAsia="MS Mincho" w:hAnsi="Arial" w:cs="Arial"/>
          <w:b/>
          <w:bCs/>
          <w:sz w:val="20"/>
          <w:szCs w:val="20"/>
          <w:lang w:val="sl"/>
        </w:rPr>
        <w:t>14. člen</w:t>
      </w:r>
    </w:p>
    <w:p w14:paraId="7839BA7A" w14:textId="77777777" w:rsidR="00E15C65" w:rsidRPr="0068478D" w:rsidRDefault="00E15C65" w:rsidP="00E15C65">
      <w:pPr>
        <w:keepNext/>
        <w:suppressAutoHyphens/>
        <w:spacing w:after="0" w:line="240" w:lineRule="auto"/>
        <w:ind w:left="1247" w:hanging="624"/>
        <w:rPr>
          <w:rFonts w:ascii="Arial" w:eastAsia="Times New Roman" w:hAnsi="Arial" w:cs="Arial"/>
          <w:sz w:val="20"/>
          <w:szCs w:val="20"/>
          <w:lang w:val="it-IT"/>
        </w:rPr>
      </w:pPr>
    </w:p>
    <w:p w14:paraId="59B3E370"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Sodišče izda končno odločbo v petih mesecih od datuma ustanovitve, razen če meni, da je treba rok podaljšati za obdobje, ki ne sme biti daljše od petih mesecev.</w:t>
      </w:r>
    </w:p>
    <w:p w14:paraId="6529291C"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771B06D0"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15. člen</w:t>
      </w:r>
    </w:p>
    <w:p w14:paraId="62E14C20"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78325D7C"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Končna odločba arbitražnega sodišča je omejena na predmet spora in vsebuje obrazložitev. Vsebuje imena sodelujočih članov in datum končne odločbe. Vsak član sodišča lahko končni odločbi priloži ločeno ali odklonilno mnenje.</w:t>
      </w:r>
    </w:p>
    <w:p w14:paraId="3F395389"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1546816B"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16. člen</w:t>
      </w:r>
    </w:p>
    <w:p w14:paraId="4CDFA6C2" w14:textId="77777777" w:rsidR="00E15C65" w:rsidRPr="0068478D" w:rsidRDefault="00E15C65" w:rsidP="00E15C65">
      <w:pPr>
        <w:spacing w:after="0" w:line="240" w:lineRule="auto"/>
        <w:ind w:left="1247"/>
        <w:rPr>
          <w:rFonts w:ascii="Arial" w:eastAsia="Times New Roman" w:hAnsi="Arial" w:cs="Arial"/>
          <w:sz w:val="20"/>
          <w:szCs w:val="20"/>
          <w:lang w:val="sl"/>
        </w:rPr>
      </w:pPr>
    </w:p>
    <w:p w14:paraId="3B0D45DB"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Arbitražna odločba je za stranke v sporu zavezujoča. Razlaga konvencije, kakor je navedena v arbitražni odločbi, je zavezujoča tudi za pogodbenico, ki posreduje v postopku v skladu 10. členom, če se nanaša na zadeve, v zvezi s katerimi je ta pogodbenica posredovala v postopku. Zoper arbitražno odločbo ni mogoča pritožba, razen če se stranke vnaprej ne dogovorijo o pritožbenem postopku.</w:t>
      </w:r>
    </w:p>
    <w:p w14:paraId="073DB32F" w14:textId="77777777" w:rsidR="00E15C65" w:rsidRPr="0068478D" w:rsidRDefault="00E15C65" w:rsidP="00E15C65">
      <w:pPr>
        <w:keepNext/>
        <w:suppressAutoHyphens/>
        <w:spacing w:after="0" w:line="240" w:lineRule="auto"/>
        <w:ind w:left="1247" w:hanging="624"/>
        <w:rPr>
          <w:rFonts w:ascii="Arial" w:eastAsia="Times New Roman" w:hAnsi="Arial" w:cs="Arial"/>
          <w:sz w:val="20"/>
          <w:szCs w:val="20"/>
          <w:lang w:val="sl"/>
        </w:rPr>
      </w:pPr>
    </w:p>
    <w:p w14:paraId="650FD6A2"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17. člen</w:t>
      </w:r>
    </w:p>
    <w:p w14:paraId="2BA9E669" w14:textId="77777777" w:rsidR="00E15C65" w:rsidRPr="0068478D" w:rsidRDefault="00E15C65" w:rsidP="00E15C65">
      <w:pPr>
        <w:keepNext/>
        <w:suppressAutoHyphens/>
        <w:spacing w:after="0" w:line="240" w:lineRule="auto"/>
        <w:ind w:left="1247" w:hanging="624"/>
        <w:rPr>
          <w:rFonts w:ascii="Arial" w:eastAsia="Times New Roman" w:hAnsi="Arial" w:cs="Arial"/>
          <w:sz w:val="20"/>
          <w:szCs w:val="20"/>
          <w:lang w:val="sl"/>
        </w:rPr>
      </w:pPr>
    </w:p>
    <w:p w14:paraId="2FF910A7"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Vsako nesoglasje, ki lahko nastane med strankami, ki jih zavezuje končna odločba v skladu s 16. členom, glede razlage ali načina izvajanja te odločbe, lahko katera koli od njih predloži v odločanje arbitražnemu sodišču, ki je to odločbo izdalo.</w:t>
      </w:r>
    </w:p>
    <w:p w14:paraId="0100AD97" w14:textId="77777777" w:rsidR="00E15C65" w:rsidRPr="0068478D" w:rsidRDefault="00E15C65" w:rsidP="00E15C65">
      <w:pPr>
        <w:spacing w:after="0" w:line="240" w:lineRule="auto"/>
        <w:ind w:left="1248" w:hanging="624"/>
        <w:rPr>
          <w:rFonts w:ascii="Arial" w:eastAsia="Times New Roman" w:hAnsi="Arial" w:cs="Arial"/>
          <w:sz w:val="20"/>
          <w:szCs w:val="20"/>
          <w:lang w:val="sl"/>
        </w:rPr>
      </w:pPr>
    </w:p>
    <w:p w14:paraId="121021F2" w14:textId="77777777" w:rsidR="00E15C65" w:rsidRPr="003548EE" w:rsidRDefault="00E15C65" w:rsidP="00E15C65">
      <w:pPr>
        <w:keepNext/>
        <w:keepLines/>
        <w:spacing w:after="0" w:line="240" w:lineRule="auto"/>
        <w:ind w:left="624"/>
        <w:rPr>
          <w:rFonts w:ascii="Arial" w:eastAsia="Times New Roman" w:hAnsi="Arial" w:cs="Arial"/>
          <w:b/>
          <w:caps/>
          <w:sz w:val="28"/>
          <w:szCs w:val="28"/>
          <w:lang w:val="sl"/>
        </w:rPr>
      </w:pPr>
      <w:r w:rsidRPr="003548EE">
        <w:rPr>
          <w:rFonts w:ascii="Arial" w:eastAsia="Times New Roman" w:hAnsi="Arial" w:cs="Arial"/>
          <w:b/>
          <w:bCs/>
          <w:sz w:val="28"/>
          <w:szCs w:val="28"/>
          <w:lang w:val="sl"/>
        </w:rPr>
        <w:t>II.</w:t>
      </w:r>
      <w:r w:rsidRPr="003548EE">
        <w:rPr>
          <w:rFonts w:ascii="Arial" w:eastAsia="Times New Roman" w:hAnsi="Arial" w:cs="Arial"/>
          <w:b/>
          <w:bCs/>
          <w:sz w:val="28"/>
          <w:szCs w:val="28"/>
          <w:lang w:val="sl"/>
        </w:rPr>
        <w:tab/>
        <w:t>Spravni postopek</w:t>
      </w:r>
    </w:p>
    <w:p w14:paraId="0FF2FB36" w14:textId="77777777" w:rsidR="00E15C65" w:rsidRPr="0068478D" w:rsidRDefault="00E15C65" w:rsidP="00E15C65">
      <w:pPr>
        <w:keepNext/>
        <w:keepLines/>
        <w:spacing w:after="0" w:line="240" w:lineRule="auto"/>
        <w:ind w:left="1248" w:hanging="624"/>
        <w:jc w:val="center"/>
        <w:rPr>
          <w:rFonts w:ascii="Arial" w:eastAsia="Times New Roman" w:hAnsi="Arial" w:cs="Arial"/>
          <w:sz w:val="20"/>
          <w:szCs w:val="20"/>
          <w:u w:val="single"/>
          <w:lang w:val="sl"/>
        </w:rPr>
      </w:pPr>
    </w:p>
    <w:p w14:paraId="779C11BB" w14:textId="77777777" w:rsidR="00E15C65" w:rsidRPr="0068478D" w:rsidRDefault="00E15C65" w:rsidP="00E15C65">
      <w:pPr>
        <w:keepNext/>
        <w:keepLines/>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Spravni postopek za namene šestega odstavka 18. člena konvencije je naslednji:</w:t>
      </w:r>
    </w:p>
    <w:p w14:paraId="39612397" w14:textId="77777777" w:rsidR="00E15C65" w:rsidRPr="0068478D" w:rsidRDefault="00E15C65" w:rsidP="00E15C65">
      <w:pPr>
        <w:spacing w:after="0" w:line="240" w:lineRule="auto"/>
        <w:ind w:left="1157" w:hanging="624"/>
        <w:rPr>
          <w:rFonts w:ascii="Arial" w:eastAsia="Times New Roman" w:hAnsi="Arial" w:cs="Arial"/>
          <w:sz w:val="20"/>
          <w:szCs w:val="20"/>
          <w:u w:val="single"/>
          <w:lang w:val="sl"/>
        </w:rPr>
      </w:pPr>
    </w:p>
    <w:p w14:paraId="5E9F2242" w14:textId="77777777" w:rsidR="00E15C65" w:rsidRPr="0068478D" w:rsidRDefault="00E15C65" w:rsidP="00E15C65">
      <w:pPr>
        <w:keepNext/>
        <w:keepLines/>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1. člen</w:t>
      </w:r>
    </w:p>
    <w:p w14:paraId="19F225FB" w14:textId="77777777" w:rsidR="00E15C65" w:rsidRPr="0068478D" w:rsidRDefault="00E15C65" w:rsidP="00E15C65">
      <w:pPr>
        <w:keepNext/>
        <w:keepLines/>
        <w:suppressAutoHyphens/>
        <w:spacing w:after="0" w:line="240" w:lineRule="auto"/>
        <w:ind w:left="1247" w:hanging="624"/>
        <w:rPr>
          <w:rFonts w:ascii="Arial" w:eastAsia="Times New Roman" w:hAnsi="Arial" w:cs="Arial"/>
          <w:sz w:val="20"/>
          <w:szCs w:val="20"/>
          <w:lang w:val="sl"/>
        </w:rPr>
      </w:pPr>
    </w:p>
    <w:p w14:paraId="79A7C627" w14:textId="1FDCCD4B" w:rsidR="00E15C65" w:rsidRPr="0068478D" w:rsidRDefault="00E15C65" w:rsidP="00E15C65">
      <w:pPr>
        <w:keepNext/>
        <w:keepLines/>
        <w:suppressAutoHyphens/>
        <w:spacing w:after="0" w:line="240" w:lineRule="auto"/>
        <w:ind w:left="1247"/>
        <w:rPr>
          <w:rFonts w:ascii="Arial" w:eastAsia="Times New Roman" w:hAnsi="Arial" w:cs="Arial"/>
          <w:sz w:val="20"/>
          <w:szCs w:val="20"/>
          <w:lang w:val="sl"/>
        </w:rPr>
      </w:pPr>
      <w:r w:rsidRPr="0068478D">
        <w:rPr>
          <w:rFonts w:ascii="Arial" w:eastAsia="Times New Roman" w:hAnsi="Arial" w:cs="Arial"/>
          <w:sz w:val="20"/>
          <w:szCs w:val="20"/>
          <w:lang w:val="sl"/>
        </w:rPr>
        <w:t>1.</w:t>
      </w:r>
      <w:r w:rsidRPr="0068478D">
        <w:rPr>
          <w:rFonts w:ascii="Arial" w:eastAsia="Times New Roman" w:hAnsi="Arial" w:cs="Arial"/>
          <w:sz w:val="20"/>
          <w:szCs w:val="20"/>
          <w:lang w:val="sl"/>
        </w:rPr>
        <w:tab/>
      </w:r>
      <w:r w:rsidR="003548EE">
        <w:rPr>
          <w:rFonts w:ascii="Arial" w:eastAsia="Times New Roman" w:hAnsi="Arial" w:cs="Arial"/>
          <w:sz w:val="20"/>
          <w:szCs w:val="20"/>
          <w:lang w:val="sl"/>
        </w:rPr>
        <w:tab/>
      </w:r>
      <w:r w:rsidRPr="0068478D">
        <w:rPr>
          <w:rFonts w:ascii="Arial" w:eastAsia="Times New Roman" w:hAnsi="Arial" w:cs="Arial"/>
          <w:sz w:val="20"/>
          <w:szCs w:val="20"/>
          <w:lang w:val="sl"/>
        </w:rPr>
        <w:t>Stranka v sporu naslovi na Sekretariat pisno zahtevo za ustanovitev spravne komisije na podlagi šestega odstavka 18. člena. Sekretariat o tem takoj obvesti vse pogodbenice konvencije.</w:t>
      </w:r>
    </w:p>
    <w:p w14:paraId="3469BA4F" w14:textId="77777777" w:rsidR="00E15C65" w:rsidRPr="0068478D" w:rsidRDefault="00E15C65" w:rsidP="00E15C65">
      <w:pPr>
        <w:suppressAutoHyphens/>
        <w:spacing w:after="0" w:line="240" w:lineRule="auto"/>
        <w:ind w:left="1247"/>
        <w:rPr>
          <w:rFonts w:ascii="Arial" w:eastAsia="Times New Roman" w:hAnsi="Arial" w:cs="Arial"/>
          <w:sz w:val="20"/>
          <w:szCs w:val="20"/>
          <w:lang w:val="sl"/>
        </w:rPr>
      </w:pPr>
    </w:p>
    <w:p w14:paraId="571D3127" w14:textId="26EBE658" w:rsidR="00E15C65" w:rsidRPr="0068478D" w:rsidRDefault="00E15C65" w:rsidP="00E15C65">
      <w:pPr>
        <w:suppressAutoHyphens/>
        <w:spacing w:after="0" w:line="240" w:lineRule="auto"/>
        <w:ind w:left="1247"/>
        <w:rPr>
          <w:rFonts w:ascii="Arial" w:eastAsia="Times New Roman" w:hAnsi="Arial" w:cs="Arial"/>
          <w:sz w:val="20"/>
          <w:szCs w:val="20"/>
          <w:lang w:val="sl"/>
        </w:rPr>
      </w:pPr>
      <w:r w:rsidRPr="0068478D">
        <w:rPr>
          <w:rFonts w:ascii="Arial" w:eastAsia="Times New Roman" w:hAnsi="Arial" w:cs="Arial"/>
          <w:sz w:val="20"/>
          <w:szCs w:val="20"/>
          <w:lang w:val="sl"/>
        </w:rPr>
        <w:t>2.</w:t>
      </w:r>
      <w:r w:rsidRPr="0068478D">
        <w:rPr>
          <w:rFonts w:ascii="Arial" w:eastAsia="Times New Roman" w:hAnsi="Arial" w:cs="Arial"/>
          <w:sz w:val="20"/>
          <w:szCs w:val="20"/>
          <w:lang w:val="sl"/>
        </w:rPr>
        <w:tab/>
      </w:r>
      <w:r w:rsidR="003548EE">
        <w:rPr>
          <w:rFonts w:ascii="Arial" w:eastAsia="Times New Roman" w:hAnsi="Arial" w:cs="Arial"/>
          <w:sz w:val="20"/>
          <w:szCs w:val="20"/>
          <w:lang w:val="sl"/>
        </w:rPr>
        <w:tab/>
      </w:r>
      <w:r w:rsidRPr="0068478D">
        <w:rPr>
          <w:rFonts w:ascii="Arial" w:eastAsia="Times New Roman" w:hAnsi="Arial" w:cs="Arial"/>
          <w:sz w:val="20"/>
          <w:szCs w:val="20"/>
          <w:lang w:val="sl"/>
        </w:rPr>
        <w:t>Spravno komisijo sestavljajo trije člani, od katerih vsaka vpletena stranka imenuje po enega, ta člana pa izbereta predsednika, razen če se stranki ne dogovorita drugače.</w:t>
      </w:r>
    </w:p>
    <w:p w14:paraId="15F397D0" w14:textId="77777777" w:rsidR="00E15C65" w:rsidRPr="0068478D" w:rsidRDefault="00E15C65" w:rsidP="00E15C65">
      <w:pPr>
        <w:spacing w:after="0" w:line="240" w:lineRule="auto"/>
        <w:ind w:left="1247" w:hanging="624"/>
        <w:rPr>
          <w:rFonts w:ascii="Arial" w:eastAsia="Times New Roman" w:hAnsi="Arial" w:cs="Arial"/>
          <w:b/>
          <w:sz w:val="20"/>
          <w:szCs w:val="20"/>
          <w:lang w:val="sl"/>
        </w:rPr>
      </w:pPr>
    </w:p>
    <w:p w14:paraId="3D13B698"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2. člen</w:t>
      </w:r>
    </w:p>
    <w:p w14:paraId="3850A941"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0979F9C2"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V sporih med več kot dvema strankama stranke z enakim interesom skupaj sporazumno imenujejo svoje člane komisije.</w:t>
      </w:r>
    </w:p>
    <w:p w14:paraId="276F4478"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p>
    <w:p w14:paraId="72A283E3"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3. člen</w:t>
      </w:r>
    </w:p>
    <w:p w14:paraId="5FAA8291"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2B5FCC1E"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Če stranke imenovanja ne opravijo v dveh mesecih od datuma, ko Sekretariat prejme pisno zahtevo iz 1. člena, generalni sekretar Združenih narodov na zahtevo stranke opravi ta imenovanja v naslednjih dveh mesecih.</w:t>
      </w:r>
    </w:p>
    <w:p w14:paraId="152673C4" w14:textId="77777777" w:rsidR="00E15C65" w:rsidRPr="0068478D" w:rsidRDefault="00E15C65" w:rsidP="00E15C65">
      <w:pPr>
        <w:spacing w:after="0" w:line="240" w:lineRule="auto"/>
        <w:ind w:left="1247"/>
        <w:rPr>
          <w:rFonts w:ascii="Arial" w:eastAsia="Times New Roman" w:hAnsi="Arial" w:cs="Arial"/>
          <w:sz w:val="20"/>
          <w:szCs w:val="20"/>
          <w:lang w:val="sl"/>
        </w:rPr>
      </w:pPr>
    </w:p>
    <w:p w14:paraId="7F33EA02"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4. člen</w:t>
      </w:r>
    </w:p>
    <w:p w14:paraId="05A55DB2"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340818A8"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Če predsednik spravne komisije ni izbran v dveh mesecih po imenovanju drugega člana komisije, ga v naslednjih dveh mesecih na zahtevo stranke imenuje generalni sekretar Združenih narodov.</w:t>
      </w:r>
    </w:p>
    <w:p w14:paraId="35A6B834" w14:textId="77777777" w:rsidR="00E15C65" w:rsidRPr="0068478D" w:rsidRDefault="00E15C65" w:rsidP="00E15C65">
      <w:pPr>
        <w:suppressAutoHyphens/>
        <w:spacing w:after="0" w:line="240" w:lineRule="auto"/>
        <w:ind w:left="1247" w:hanging="624"/>
        <w:jc w:val="center"/>
        <w:rPr>
          <w:rFonts w:ascii="Arial" w:eastAsia="Times New Roman" w:hAnsi="Arial" w:cs="Arial"/>
          <w:sz w:val="20"/>
          <w:szCs w:val="20"/>
          <w:u w:val="single"/>
          <w:lang w:val="sl"/>
        </w:rPr>
      </w:pPr>
    </w:p>
    <w:p w14:paraId="57F56E31"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5. člen</w:t>
      </w:r>
    </w:p>
    <w:p w14:paraId="7D913CB1"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47D24BE9" w14:textId="77777777" w:rsidR="00E15C65" w:rsidRPr="00DB15A0" w:rsidRDefault="00E15C65" w:rsidP="00E15C65">
      <w:pPr>
        <w:suppressAutoHyphens/>
        <w:spacing w:after="0" w:line="240" w:lineRule="auto"/>
        <w:ind w:left="1247"/>
        <w:rPr>
          <w:rFonts w:ascii="Arial" w:eastAsia="Times New Roman" w:hAnsi="Arial" w:cs="Arial"/>
          <w:sz w:val="20"/>
          <w:szCs w:val="20"/>
          <w:lang w:val="sl"/>
        </w:rPr>
      </w:pPr>
      <w:r w:rsidRPr="00DB15A0">
        <w:rPr>
          <w:rFonts w:ascii="Arial" w:eastAsia="Times New Roman" w:hAnsi="Arial" w:cs="Arial"/>
          <w:sz w:val="20"/>
          <w:szCs w:val="20"/>
          <w:lang w:val="sl"/>
        </w:rPr>
        <w:t>1.</w:t>
      </w:r>
      <w:r>
        <w:rPr>
          <w:rFonts w:ascii="Arial" w:eastAsia="Times New Roman" w:hAnsi="Arial" w:cs="Arial"/>
          <w:sz w:val="20"/>
          <w:szCs w:val="20"/>
          <w:lang w:val="sl"/>
        </w:rPr>
        <w:t xml:space="preserve"> </w:t>
      </w:r>
      <w:r>
        <w:rPr>
          <w:rFonts w:ascii="Arial" w:eastAsia="Times New Roman" w:hAnsi="Arial" w:cs="Arial"/>
          <w:sz w:val="20"/>
          <w:szCs w:val="20"/>
          <w:lang w:val="sl"/>
        </w:rPr>
        <w:tab/>
      </w:r>
      <w:r w:rsidRPr="00DB15A0">
        <w:rPr>
          <w:rFonts w:ascii="Arial" w:eastAsia="Times New Roman" w:hAnsi="Arial" w:cs="Arial"/>
          <w:sz w:val="20"/>
          <w:szCs w:val="20"/>
          <w:lang w:val="sl"/>
        </w:rPr>
        <w:t>Spravna komisija določi svoj poslovnik, razen če se stranke v sporu ne dogovorijo drugače.</w:t>
      </w:r>
    </w:p>
    <w:p w14:paraId="69B6FBFD" w14:textId="77777777" w:rsidR="00E15C65" w:rsidRPr="00DB15A0" w:rsidRDefault="00E15C65" w:rsidP="00E15C65">
      <w:pPr>
        <w:ind w:left="1247"/>
        <w:rPr>
          <w:rFonts w:ascii="Arial" w:hAnsi="Arial" w:cs="Arial"/>
          <w:sz w:val="20"/>
          <w:szCs w:val="20"/>
          <w:lang w:val="sl"/>
        </w:rPr>
      </w:pPr>
      <w:r w:rsidRPr="00DB15A0">
        <w:rPr>
          <w:rFonts w:ascii="Arial" w:hAnsi="Arial" w:cs="Arial"/>
          <w:sz w:val="20"/>
          <w:szCs w:val="20"/>
          <w:lang w:val="sl"/>
        </w:rPr>
        <w:lastRenderedPageBreak/>
        <w:t xml:space="preserve">2. </w:t>
      </w:r>
      <w:r w:rsidRPr="00DB15A0">
        <w:rPr>
          <w:rFonts w:ascii="Arial" w:hAnsi="Arial" w:cs="Arial"/>
          <w:sz w:val="20"/>
          <w:szCs w:val="20"/>
          <w:lang w:val="sl"/>
        </w:rPr>
        <w:tab/>
        <w:t>Stranke in člani komisije so dolžni varovati zaupnost vseh informacij, ki jih kot zaupne prejmejo med postopkom pred komisijo.</w:t>
      </w:r>
    </w:p>
    <w:p w14:paraId="2BEE0AA7" w14:textId="77777777" w:rsidR="00E15C65" w:rsidRPr="0068478D" w:rsidRDefault="00E15C65" w:rsidP="00E15C65">
      <w:pPr>
        <w:suppressAutoHyphens/>
        <w:spacing w:after="0" w:line="240" w:lineRule="auto"/>
        <w:ind w:left="1247"/>
        <w:rPr>
          <w:rFonts w:ascii="Arial" w:eastAsia="Times New Roman" w:hAnsi="Arial" w:cs="Arial"/>
          <w:sz w:val="20"/>
          <w:szCs w:val="20"/>
          <w:u w:val="single"/>
          <w:lang w:val="sl"/>
        </w:rPr>
      </w:pPr>
    </w:p>
    <w:p w14:paraId="661B782A"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6. člen</w:t>
      </w:r>
    </w:p>
    <w:p w14:paraId="46DDD8BF"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47D0EA08"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 xml:space="preserve">Spravna komisija sprejema odločitve z večino glasov svojih članov. </w:t>
      </w:r>
    </w:p>
    <w:p w14:paraId="34AF1C29"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3CD80FE9"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7. člen</w:t>
      </w:r>
    </w:p>
    <w:p w14:paraId="47E72E44" w14:textId="77777777" w:rsidR="00E15C65" w:rsidRPr="0068478D" w:rsidRDefault="00E15C65" w:rsidP="00E15C65">
      <w:pPr>
        <w:suppressAutoHyphens/>
        <w:spacing w:after="0" w:line="240" w:lineRule="auto"/>
        <w:ind w:left="1247" w:hanging="624"/>
        <w:rPr>
          <w:rFonts w:ascii="Arial" w:eastAsia="Times New Roman" w:hAnsi="Arial" w:cs="Arial"/>
          <w:b/>
          <w:sz w:val="20"/>
          <w:szCs w:val="20"/>
          <w:lang w:val="sl"/>
        </w:rPr>
      </w:pPr>
    </w:p>
    <w:p w14:paraId="0AE6D1A1" w14:textId="77777777" w:rsidR="00E15C65" w:rsidRPr="0068478D" w:rsidRDefault="00E15C65" w:rsidP="00E15C65">
      <w:pPr>
        <w:spacing w:after="0" w:line="240" w:lineRule="auto"/>
        <w:ind w:left="1247"/>
        <w:rPr>
          <w:rFonts w:ascii="Arial" w:eastAsia="Times New Roman" w:hAnsi="Arial" w:cs="Arial"/>
          <w:sz w:val="20"/>
          <w:szCs w:val="20"/>
          <w:lang w:val="sl"/>
        </w:rPr>
      </w:pPr>
      <w:r w:rsidRPr="0068478D">
        <w:rPr>
          <w:rFonts w:ascii="Arial" w:eastAsia="Times New Roman" w:hAnsi="Arial" w:cs="Arial"/>
          <w:sz w:val="20"/>
          <w:szCs w:val="20"/>
          <w:lang w:val="sl"/>
        </w:rPr>
        <w:tab/>
      </w:r>
      <w:r w:rsidRPr="0068478D">
        <w:rPr>
          <w:rFonts w:ascii="Arial" w:eastAsia="Times New Roman" w:hAnsi="Arial" w:cs="Arial"/>
          <w:sz w:val="20"/>
          <w:szCs w:val="20"/>
          <w:lang w:val="sl"/>
        </w:rPr>
        <w:tab/>
        <w:t>Spravna komisija v dvanajstih mesecih po ustanovitvi predloži poročilo s priporočili za rešitev spora, ki ga stranke upoštevajo v dobri veri.</w:t>
      </w:r>
    </w:p>
    <w:p w14:paraId="5404C8AE" w14:textId="77777777" w:rsidR="00E15C65" w:rsidRPr="0068478D" w:rsidRDefault="00E15C65" w:rsidP="00E15C65">
      <w:pPr>
        <w:suppressAutoHyphens/>
        <w:spacing w:after="0" w:line="240" w:lineRule="auto"/>
        <w:ind w:left="1247" w:hanging="624"/>
        <w:rPr>
          <w:rFonts w:ascii="Arial" w:eastAsia="Times New Roman" w:hAnsi="Arial" w:cs="Arial"/>
          <w:sz w:val="20"/>
          <w:szCs w:val="20"/>
          <w:lang w:val="sl"/>
        </w:rPr>
      </w:pPr>
    </w:p>
    <w:p w14:paraId="5693A815" w14:textId="77777777" w:rsidR="00E15C65" w:rsidRPr="0068478D" w:rsidRDefault="00E15C65" w:rsidP="00E15C65">
      <w:pPr>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8. člen</w:t>
      </w:r>
    </w:p>
    <w:p w14:paraId="79A4048B" w14:textId="77777777" w:rsidR="00E15C65" w:rsidRPr="0068478D" w:rsidRDefault="00E15C65" w:rsidP="00E15C65">
      <w:pPr>
        <w:keepNext/>
        <w:suppressAutoHyphens/>
        <w:spacing w:after="0" w:line="240" w:lineRule="auto"/>
        <w:ind w:left="1247" w:hanging="624"/>
        <w:rPr>
          <w:rFonts w:ascii="Arial" w:eastAsia="Times New Roman" w:hAnsi="Arial" w:cs="Arial"/>
          <w:sz w:val="20"/>
          <w:szCs w:val="20"/>
          <w:lang w:val="sl"/>
        </w:rPr>
      </w:pPr>
    </w:p>
    <w:p w14:paraId="244F3D50" w14:textId="77777777" w:rsidR="00E15C65" w:rsidRPr="0068478D" w:rsidRDefault="00E15C65" w:rsidP="00E15C65">
      <w:pPr>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Spravna komisija sama odloča o morebitnem nesoglasju glede njene pristojnosti za obravnavo zadeve, ki ji je bila predložena.</w:t>
      </w:r>
    </w:p>
    <w:p w14:paraId="0EEFE06F" w14:textId="77777777" w:rsidR="00E15C65" w:rsidRPr="0068478D" w:rsidRDefault="00E15C65" w:rsidP="00E15C65">
      <w:pPr>
        <w:suppressAutoHyphens/>
        <w:spacing w:after="0" w:line="288" w:lineRule="auto"/>
        <w:ind w:left="1247" w:hanging="624"/>
        <w:rPr>
          <w:rFonts w:ascii="Arial" w:eastAsia="Times New Roman" w:hAnsi="Arial" w:cs="Arial"/>
          <w:sz w:val="20"/>
          <w:szCs w:val="20"/>
          <w:lang w:val="sl"/>
        </w:rPr>
      </w:pPr>
    </w:p>
    <w:p w14:paraId="2381C8E9" w14:textId="77777777" w:rsidR="00E15C65" w:rsidRPr="0068478D" w:rsidRDefault="00E15C65" w:rsidP="00E15C65">
      <w:pPr>
        <w:keepNext/>
        <w:keepLines/>
        <w:spacing w:after="0" w:line="240" w:lineRule="auto"/>
        <w:ind w:left="1247"/>
        <w:outlineLvl w:val="3"/>
        <w:rPr>
          <w:rFonts w:ascii="Arial" w:eastAsia="MS Mincho" w:hAnsi="Arial" w:cs="Arial"/>
          <w:b/>
          <w:sz w:val="20"/>
          <w:szCs w:val="20"/>
          <w:lang w:val="sl"/>
        </w:rPr>
      </w:pPr>
      <w:r w:rsidRPr="0068478D">
        <w:rPr>
          <w:rFonts w:ascii="Arial" w:eastAsia="MS Mincho" w:hAnsi="Arial" w:cs="Arial"/>
          <w:b/>
          <w:bCs/>
          <w:sz w:val="20"/>
          <w:szCs w:val="20"/>
          <w:lang w:val="sl"/>
        </w:rPr>
        <w:t>9. člen</w:t>
      </w:r>
    </w:p>
    <w:p w14:paraId="45054A2B" w14:textId="77777777" w:rsidR="00E15C65" w:rsidRPr="0068478D" w:rsidRDefault="00E15C65" w:rsidP="00E15C65">
      <w:pPr>
        <w:keepNext/>
        <w:keepLines/>
        <w:suppressAutoHyphens/>
        <w:spacing w:after="0" w:line="288" w:lineRule="auto"/>
        <w:ind w:left="1247" w:hanging="624"/>
        <w:rPr>
          <w:rFonts w:ascii="Arial" w:eastAsia="Times New Roman" w:hAnsi="Arial" w:cs="Arial"/>
          <w:sz w:val="20"/>
          <w:szCs w:val="20"/>
          <w:lang w:val="sl"/>
        </w:rPr>
      </w:pPr>
    </w:p>
    <w:p w14:paraId="76FB1DF2" w14:textId="77777777" w:rsidR="00E15C65" w:rsidRDefault="00E15C65" w:rsidP="00E15C65">
      <w:pPr>
        <w:keepNext/>
        <w:keepLines/>
        <w:suppressAutoHyphens/>
        <w:spacing w:after="0" w:line="240" w:lineRule="auto"/>
        <w:ind w:left="1247" w:firstLine="624"/>
        <w:rPr>
          <w:rFonts w:ascii="Arial" w:eastAsia="Times New Roman" w:hAnsi="Arial" w:cs="Arial"/>
          <w:sz w:val="20"/>
          <w:szCs w:val="20"/>
          <w:lang w:val="sl"/>
        </w:rPr>
      </w:pPr>
      <w:r w:rsidRPr="0068478D">
        <w:rPr>
          <w:rFonts w:ascii="Arial" w:eastAsia="Times New Roman" w:hAnsi="Arial" w:cs="Arial"/>
          <w:sz w:val="20"/>
          <w:szCs w:val="20"/>
          <w:lang w:val="sl"/>
        </w:rPr>
        <w:tab/>
        <w:t>Stroške komisije krijejo stranke v sporu v deležih, o katerih se dogovorijo. Komisija vodi evidenco vseh svojih stroškov in strankam predloži končni obračun.</w:t>
      </w:r>
    </w:p>
    <w:p w14:paraId="1AB8D450" w14:textId="77777777" w:rsidR="00E15C65" w:rsidRDefault="00E15C65" w:rsidP="00E15C65">
      <w:pPr>
        <w:keepNext/>
        <w:keepLines/>
        <w:suppressAutoHyphens/>
        <w:spacing w:after="0" w:line="240" w:lineRule="auto"/>
        <w:ind w:left="1247" w:firstLine="624"/>
        <w:rPr>
          <w:rFonts w:ascii="Arial" w:eastAsia="Times New Roman" w:hAnsi="Arial" w:cs="Arial"/>
          <w:sz w:val="20"/>
          <w:szCs w:val="20"/>
          <w:lang w:val="sl"/>
        </w:rPr>
      </w:pPr>
    </w:p>
    <w:p w14:paraId="3FB5BD3B" w14:textId="77777777" w:rsidR="00E15C65" w:rsidRDefault="00E15C65" w:rsidP="00E15C65">
      <w:pPr>
        <w:keepNext/>
        <w:keepLines/>
        <w:suppressAutoHyphens/>
        <w:spacing w:after="0" w:line="240" w:lineRule="auto"/>
        <w:ind w:left="1247" w:firstLine="624"/>
        <w:rPr>
          <w:rFonts w:ascii="Arial" w:eastAsia="Times New Roman" w:hAnsi="Arial" w:cs="Arial"/>
          <w:sz w:val="20"/>
          <w:szCs w:val="20"/>
          <w:lang w:val="sl"/>
        </w:rPr>
      </w:pPr>
    </w:p>
    <w:p w14:paraId="5CC96F00" w14:textId="77777777" w:rsidR="00E15C65" w:rsidRDefault="00E15C65" w:rsidP="00BE3A18">
      <w:pPr>
        <w:rPr>
          <w:rFonts w:ascii="Arial" w:hAnsi="Arial" w:cs="Arial"/>
          <w:b/>
          <w:bCs/>
          <w:sz w:val="28"/>
          <w:szCs w:val="28"/>
        </w:rPr>
      </w:pPr>
    </w:p>
    <w:p w14:paraId="1AA3164C" w14:textId="7D9B1588" w:rsidR="00E15C65" w:rsidRDefault="00E15C65" w:rsidP="00BE3A18">
      <w:pPr>
        <w:rPr>
          <w:rFonts w:ascii="Arial" w:hAnsi="Arial" w:cs="Arial"/>
          <w:b/>
          <w:bCs/>
          <w:sz w:val="28"/>
          <w:szCs w:val="28"/>
        </w:rPr>
      </w:pPr>
    </w:p>
    <w:p w14:paraId="4195FDE3" w14:textId="3239D47E" w:rsidR="00E15C65" w:rsidRDefault="00E15C65" w:rsidP="00BE3A18">
      <w:pPr>
        <w:rPr>
          <w:rFonts w:ascii="Arial" w:hAnsi="Arial" w:cs="Arial"/>
          <w:b/>
          <w:bCs/>
          <w:sz w:val="28"/>
          <w:szCs w:val="28"/>
        </w:rPr>
      </w:pPr>
    </w:p>
    <w:p w14:paraId="6F99B63E" w14:textId="77777777" w:rsidR="00E15C65" w:rsidRDefault="00E15C65" w:rsidP="00BE3A18">
      <w:pPr>
        <w:rPr>
          <w:rFonts w:ascii="Arial" w:hAnsi="Arial" w:cs="Arial"/>
          <w:b/>
          <w:bCs/>
          <w:sz w:val="28"/>
          <w:szCs w:val="28"/>
        </w:rPr>
        <w:sectPr w:rsidR="00E15C65" w:rsidSect="00D66C83">
          <w:footnotePr>
            <w:numRestart w:val="eachSect"/>
          </w:footnotePr>
          <w:pgSz w:w="11906" w:h="16838"/>
          <w:pgMar w:top="1417" w:right="1417" w:bottom="1417" w:left="1417" w:header="708" w:footer="708" w:gutter="0"/>
          <w:cols w:space="708"/>
          <w:docGrid w:linePitch="360"/>
        </w:sectPr>
      </w:pPr>
    </w:p>
    <w:p w14:paraId="7638B3DB" w14:textId="1F358F4F" w:rsidR="00BE3A18" w:rsidRPr="003548EE" w:rsidRDefault="00BE3A18" w:rsidP="00BE3A18">
      <w:pPr>
        <w:rPr>
          <w:rFonts w:ascii="Arial" w:hAnsi="Arial" w:cs="Arial"/>
          <w:b/>
          <w:bCs/>
          <w:sz w:val="28"/>
          <w:szCs w:val="28"/>
        </w:rPr>
      </w:pPr>
      <w:r w:rsidRPr="003548EE">
        <w:rPr>
          <w:rFonts w:ascii="Arial" w:hAnsi="Arial" w:cs="Arial"/>
          <w:b/>
          <w:bCs/>
          <w:sz w:val="28"/>
          <w:szCs w:val="28"/>
        </w:rPr>
        <w:lastRenderedPageBreak/>
        <w:t>SC-4/10:</w:t>
      </w:r>
      <w:r w:rsidRPr="003548EE">
        <w:rPr>
          <w:rFonts w:ascii="Arial" w:hAnsi="Arial" w:cs="Arial"/>
          <w:b/>
          <w:bCs/>
          <w:sz w:val="28"/>
          <w:szCs w:val="28"/>
          <w:lang w:val="sl"/>
        </w:rPr>
        <w:t xml:space="preserve"> Uvrstitev alfa heksaklorocikloheksana </w:t>
      </w:r>
    </w:p>
    <w:p w14:paraId="7858BD69" w14:textId="77777777" w:rsidR="00BE3A18" w:rsidRPr="003548EE" w:rsidRDefault="00BE3A18" w:rsidP="003548EE">
      <w:pPr>
        <w:ind w:firstLine="708"/>
        <w:rPr>
          <w:rFonts w:ascii="Arial" w:hAnsi="Arial" w:cs="Arial"/>
          <w:i/>
          <w:iCs/>
          <w:sz w:val="20"/>
          <w:szCs w:val="20"/>
        </w:rPr>
      </w:pPr>
      <w:r w:rsidRPr="003548EE">
        <w:rPr>
          <w:rFonts w:ascii="Arial" w:hAnsi="Arial" w:cs="Arial"/>
          <w:i/>
          <w:iCs/>
          <w:sz w:val="20"/>
          <w:szCs w:val="20"/>
          <w:lang w:val="sl"/>
        </w:rPr>
        <w:t xml:space="preserve">Konferenca pogodbenic, </w:t>
      </w:r>
    </w:p>
    <w:p w14:paraId="7F6751DD"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alfa heksaklorocikloheksan, kot ju je poslal Odbor za pregled obstojnih organskih onesnaževal,</w:t>
      </w:r>
      <w:r w:rsidRPr="00770D7F">
        <w:rPr>
          <w:rStyle w:val="FootnoteReference"/>
          <w:rFonts w:ascii="Arial" w:hAnsi="Arial" w:cs="Arial"/>
          <w:sz w:val="20"/>
          <w:szCs w:val="20"/>
          <w:lang w:val="sl"/>
        </w:rPr>
        <w:footnoteReference w:id="44"/>
      </w:r>
      <w:r w:rsidRPr="00770D7F">
        <w:rPr>
          <w:rFonts w:ascii="Arial" w:hAnsi="Arial" w:cs="Arial"/>
          <w:sz w:val="20"/>
          <w:szCs w:val="20"/>
          <w:lang w:val="sl"/>
        </w:rPr>
        <w:t xml:space="preserve"> </w:t>
      </w:r>
    </w:p>
    <w:p w14:paraId="39BC7AB4"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alfa heksaklorocikloheksan uvrsti v Prilogo A h konvenciji,</w:t>
      </w:r>
      <w:r w:rsidRPr="00770D7F">
        <w:rPr>
          <w:rStyle w:val="FootnoteReference"/>
          <w:rFonts w:ascii="Arial" w:hAnsi="Arial" w:cs="Arial"/>
          <w:sz w:val="20"/>
          <w:szCs w:val="20"/>
          <w:lang w:val="sl"/>
        </w:rPr>
        <w:footnoteReference w:id="45"/>
      </w:r>
      <w:r w:rsidRPr="00770D7F">
        <w:rPr>
          <w:rFonts w:ascii="Arial" w:hAnsi="Arial" w:cs="Arial"/>
          <w:sz w:val="20"/>
          <w:szCs w:val="20"/>
          <w:lang w:val="sl"/>
        </w:rPr>
        <w:t xml:space="preserve"> </w:t>
      </w:r>
    </w:p>
    <w:p w14:paraId="0EBC2921"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alfa heksaklorocikloheksan,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2AC157C3" w14:textId="77777777" w:rsidTr="00BE3A18">
        <w:tc>
          <w:tcPr>
            <w:tcW w:w="3397" w:type="dxa"/>
            <w:shd w:val="clear" w:color="auto" w:fill="auto"/>
          </w:tcPr>
          <w:p w14:paraId="63829361"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235CD984"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3C11584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0075300F" w14:textId="77777777" w:rsidR="00BE3A18" w:rsidRPr="00770D7F" w:rsidRDefault="00BE3A18" w:rsidP="00BE3A18">
            <w:pPr>
              <w:spacing w:after="0" w:line="240" w:lineRule="auto"/>
              <w:rPr>
                <w:rFonts w:ascii="Arial" w:hAnsi="Arial" w:cs="Arial"/>
                <w:sz w:val="18"/>
                <w:szCs w:val="18"/>
              </w:rPr>
            </w:pPr>
          </w:p>
        </w:tc>
      </w:tr>
      <w:tr w:rsidR="00BE3A18" w:rsidRPr="00770D7F" w14:paraId="40C0475A" w14:textId="77777777" w:rsidTr="00BE3A18">
        <w:tc>
          <w:tcPr>
            <w:tcW w:w="3397" w:type="dxa"/>
            <w:vMerge w:val="restart"/>
            <w:shd w:val="clear" w:color="auto" w:fill="auto"/>
          </w:tcPr>
          <w:p w14:paraId="5650A30A"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alfa heksaklorocikloheksan*</w:t>
            </w:r>
          </w:p>
          <w:p w14:paraId="6E8B9BB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319-84-6</w:t>
            </w:r>
          </w:p>
        </w:tc>
        <w:tc>
          <w:tcPr>
            <w:tcW w:w="1843" w:type="dxa"/>
            <w:shd w:val="clear" w:color="auto" w:fill="auto"/>
          </w:tcPr>
          <w:p w14:paraId="7CE2E02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proizvodnja </w:t>
            </w:r>
          </w:p>
        </w:tc>
        <w:tc>
          <w:tcPr>
            <w:tcW w:w="3822" w:type="dxa"/>
            <w:shd w:val="clear" w:color="auto" w:fill="auto"/>
          </w:tcPr>
          <w:p w14:paraId="26BD21A4"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5512845D" w14:textId="77777777" w:rsidTr="00BE3A18">
        <w:tc>
          <w:tcPr>
            <w:tcW w:w="3397" w:type="dxa"/>
            <w:vMerge/>
            <w:shd w:val="clear" w:color="auto" w:fill="auto"/>
          </w:tcPr>
          <w:p w14:paraId="2B7E1912"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1F94850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1FC148C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bl>
    <w:p w14:paraId="426CBDD9" w14:textId="77777777" w:rsidR="00BE3A18" w:rsidRPr="00770D7F" w:rsidRDefault="00BE3A18" w:rsidP="00BE3A18">
      <w:pPr>
        <w:rPr>
          <w:rFonts w:ascii="Arial" w:hAnsi="Arial" w:cs="Arial"/>
          <w:b/>
          <w:bCs/>
          <w:sz w:val="20"/>
          <w:szCs w:val="20"/>
        </w:rPr>
      </w:pPr>
    </w:p>
    <w:p w14:paraId="2A67CD2C" w14:textId="77777777" w:rsidR="00BE3A18" w:rsidRPr="003548EE" w:rsidRDefault="00BE3A18" w:rsidP="00BE3A18">
      <w:pPr>
        <w:rPr>
          <w:rFonts w:ascii="Arial" w:hAnsi="Arial" w:cs="Arial"/>
          <w:b/>
          <w:bCs/>
          <w:sz w:val="28"/>
          <w:szCs w:val="28"/>
          <w:lang w:val="sl"/>
        </w:rPr>
      </w:pPr>
      <w:r w:rsidRPr="003548EE">
        <w:rPr>
          <w:rFonts w:ascii="Arial" w:hAnsi="Arial" w:cs="Arial"/>
          <w:b/>
          <w:bCs/>
          <w:sz w:val="28"/>
          <w:szCs w:val="28"/>
        </w:rPr>
        <w:t>SC-4/11:</w:t>
      </w:r>
      <w:r w:rsidRPr="003548EE">
        <w:rPr>
          <w:rFonts w:ascii="Arial" w:hAnsi="Arial" w:cs="Arial"/>
          <w:b/>
          <w:bCs/>
          <w:sz w:val="28"/>
          <w:szCs w:val="28"/>
          <w:lang w:val="sl"/>
        </w:rPr>
        <w:t xml:space="preserve"> Uvrstitev beta heksaklorocikloheksana</w:t>
      </w:r>
    </w:p>
    <w:p w14:paraId="6B36E055"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Konferenca pogodbenic</w:t>
      </w:r>
      <w:r w:rsidRPr="00770D7F">
        <w:rPr>
          <w:rFonts w:ascii="Arial" w:hAnsi="Arial" w:cs="Arial"/>
          <w:sz w:val="20"/>
          <w:szCs w:val="20"/>
          <w:lang w:val="sl"/>
        </w:rPr>
        <w:t xml:space="preserve">, </w:t>
      </w:r>
    </w:p>
    <w:p w14:paraId="3349046E"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beta heksaklorocikloheksan, kot ju je poslal </w:t>
      </w:r>
      <w:r w:rsidRPr="00770D7F">
        <w:rPr>
          <w:rFonts w:ascii="Arial" w:hAnsi="Arial" w:cs="Arial"/>
        </w:rPr>
        <w:t xml:space="preserve"> </w:t>
      </w:r>
      <w:r w:rsidRPr="00770D7F">
        <w:rPr>
          <w:rFonts w:ascii="Arial" w:hAnsi="Arial" w:cs="Arial"/>
          <w:sz w:val="20"/>
          <w:szCs w:val="20"/>
          <w:lang w:val="sl"/>
        </w:rPr>
        <w:t>Odbor za pregled obstojnih organskih onesnaževal,</w:t>
      </w:r>
      <w:r w:rsidRPr="00770D7F">
        <w:rPr>
          <w:rStyle w:val="FootnoteReference"/>
          <w:rFonts w:ascii="Arial" w:hAnsi="Arial" w:cs="Arial"/>
          <w:sz w:val="20"/>
          <w:szCs w:val="20"/>
          <w:lang w:val="sl"/>
        </w:rPr>
        <w:footnoteReference w:id="46"/>
      </w:r>
    </w:p>
    <w:p w14:paraId="133BCB00"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beta heksaklorocikloheksan uvrsti v Prilogo A h konvenciji,</w:t>
      </w:r>
      <w:r w:rsidRPr="00770D7F">
        <w:rPr>
          <w:rStyle w:val="FootnoteReference"/>
          <w:rFonts w:ascii="Arial" w:hAnsi="Arial" w:cs="Arial"/>
          <w:sz w:val="20"/>
          <w:szCs w:val="20"/>
          <w:lang w:val="sl"/>
        </w:rPr>
        <w:footnoteReference w:id="47"/>
      </w:r>
      <w:r w:rsidRPr="00770D7F">
        <w:rPr>
          <w:rFonts w:ascii="Arial" w:hAnsi="Arial" w:cs="Arial"/>
          <w:sz w:val="20"/>
          <w:szCs w:val="20"/>
          <w:lang w:val="sl"/>
        </w:rPr>
        <w:t xml:space="preserve"> </w:t>
      </w:r>
    </w:p>
    <w:p w14:paraId="77E78D12"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beta heksaklorocikloheksan,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08B99FF1" w14:textId="77777777" w:rsidTr="00BE3A18">
        <w:tc>
          <w:tcPr>
            <w:tcW w:w="3397" w:type="dxa"/>
            <w:shd w:val="clear" w:color="auto" w:fill="auto"/>
          </w:tcPr>
          <w:p w14:paraId="091BF61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10BC57ED"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2485DFD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3EE8EC2F" w14:textId="77777777" w:rsidR="00BE3A18" w:rsidRPr="00770D7F" w:rsidRDefault="00BE3A18" w:rsidP="00BE3A18">
            <w:pPr>
              <w:spacing w:after="0" w:line="240" w:lineRule="auto"/>
              <w:rPr>
                <w:rFonts w:ascii="Arial" w:hAnsi="Arial" w:cs="Arial"/>
                <w:sz w:val="18"/>
                <w:szCs w:val="18"/>
              </w:rPr>
            </w:pPr>
          </w:p>
        </w:tc>
      </w:tr>
      <w:tr w:rsidR="00BE3A18" w:rsidRPr="00770D7F" w14:paraId="5F3C6001" w14:textId="77777777" w:rsidTr="00BE3A18">
        <w:tc>
          <w:tcPr>
            <w:tcW w:w="3397" w:type="dxa"/>
            <w:vMerge w:val="restart"/>
            <w:shd w:val="clear" w:color="auto" w:fill="auto"/>
          </w:tcPr>
          <w:p w14:paraId="5439A45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beta heksaklorocikloheksan*</w:t>
            </w:r>
          </w:p>
          <w:p w14:paraId="42634606"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319-85-7</w:t>
            </w:r>
          </w:p>
        </w:tc>
        <w:tc>
          <w:tcPr>
            <w:tcW w:w="1843" w:type="dxa"/>
            <w:shd w:val="clear" w:color="auto" w:fill="auto"/>
          </w:tcPr>
          <w:p w14:paraId="75821D8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proizvodnja </w:t>
            </w:r>
          </w:p>
        </w:tc>
        <w:tc>
          <w:tcPr>
            <w:tcW w:w="3822" w:type="dxa"/>
            <w:shd w:val="clear" w:color="auto" w:fill="auto"/>
          </w:tcPr>
          <w:p w14:paraId="1BB3E3F1"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16F3237E" w14:textId="77777777" w:rsidTr="00BE3A18">
        <w:tc>
          <w:tcPr>
            <w:tcW w:w="3397" w:type="dxa"/>
            <w:vMerge/>
            <w:shd w:val="clear" w:color="auto" w:fill="auto"/>
          </w:tcPr>
          <w:p w14:paraId="2A3BDCD5"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5593A262"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1BC95CA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bl>
    <w:p w14:paraId="08A5698D" w14:textId="77777777" w:rsidR="00BE3A18" w:rsidRPr="00770D7F" w:rsidRDefault="00BE3A18" w:rsidP="00BE3A18">
      <w:pPr>
        <w:rPr>
          <w:rFonts w:ascii="Arial" w:hAnsi="Arial" w:cs="Arial"/>
          <w:b/>
          <w:bCs/>
          <w:sz w:val="20"/>
          <w:szCs w:val="20"/>
        </w:rPr>
      </w:pPr>
    </w:p>
    <w:p w14:paraId="3A346660" w14:textId="77777777" w:rsidR="00BE3A18" w:rsidRPr="003548EE" w:rsidRDefault="00BE3A18" w:rsidP="00BE3A18">
      <w:pPr>
        <w:rPr>
          <w:rFonts w:ascii="Arial" w:hAnsi="Arial" w:cs="Arial"/>
          <w:b/>
          <w:bCs/>
          <w:sz w:val="28"/>
          <w:szCs w:val="28"/>
        </w:rPr>
      </w:pPr>
      <w:r w:rsidRPr="003548EE">
        <w:rPr>
          <w:rFonts w:ascii="Arial" w:hAnsi="Arial" w:cs="Arial"/>
          <w:b/>
          <w:bCs/>
          <w:sz w:val="28"/>
          <w:szCs w:val="28"/>
        </w:rPr>
        <w:t>SC-4/12:</w:t>
      </w:r>
      <w:r w:rsidRPr="003548EE">
        <w:rPr>
          <w:rFonts w:ascii="Arial" w:hAnsi="Arial" w:cs="Arial"/>
          <w:b/>
          <w:bCs/>
          <w:sz w:val="28"/>
          <w:szCs w:val="28"/>
          <w:lang w:val="sl"/>
        </w:rPr>
        <w:t xml:space="preserve"> Uvrstitev klordekona </w:t>
      </w:r>
    </w:p>
    <w:p w14:paraId="07483823"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Konferenca pogodbenic</w:t>
      </w:r>
      <w:r w:rsidRPr="00770D7F">
        <w:rPr>
          <w:rFonts w:ascii="Arial" w:hAnsi="Arial" w:cs="Arial"/>
          <w:sz w:val="20"/>
          <w:szCs w:val="20"/>
          <w:lang w:val="sl"/>
        </w:rPr>
        <w:t xml:space="preserve">, </w:t>
      </w:r>
    </w:p>
    <w:p w14:paraId="789E4039"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klordekon, kot ju je poslal Odbor za pregled obstojnih organskih onesnaževal,</w:t>
      </w:r>
      <w:r w:rsidRPr="00770D7F">
        <w:rPr>
          <w:rStyle w:val="FootnoteReference"/>
          <w:rFonts w:ascii="Arial" w:hAnsi="Arial" w:cs="Arial"/>
          <w:sz w:val="20"/>
          <w:szCs w:val="20"/>
          <w:lang w:val="sl"/>
        </w:rPr>
        <w:footnoteReference w:id="48"/>
      </w:r>
      <w:r w:rsidRPr="00770D7F">
        <w:rPr>
          <w:rFonts w:ascii="Arial" w:hAnsi="Arial" w:cs="Arial"/>
          <w:sz w:val="20"/>
          <w:szCs w:val="20"/>
          <w:lang w:val="sl"/>
        </w:rPr>
        <w:t xml:space="preserve"> </w:t>
      </w:r>
    </w:p>
    <w:p w14:paraId="6A12BCAC"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klordekon uvrsti v Prilogo A h konvenciji brez posebnih izjem,</w:t>
      </w:r>
      <w:r w:rsidRPr="00770D7F">
        <w:rPr>
          <w:rStyle w:val="FootnoteReference"/>
          <w:rFonts w:ascii="Arial" w:hAnsi="Arial" w:cs="Arial"/>
          <w:sz w:val="20"/>
          <w:szCs w:val="20"/>
          <w:lang w:val="sl"/>
        </w:rPr>
        <w:footnoteReference w:id="49"/>
      </w:r>
    </w:p>
    <w:p w14:paraId="6BDCF6F6"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klordekon brez posebnih izjem,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5292CE8F" w14:textId="77777777" w:rsidTr="00BE3A18">
        <w:tc>
          <w:tcPr>
            <w:tcW w:w="3397" w:type="dxa"/>
            <w:shd w:val="clear" w:color="auto" w:fill="auto"/>
          </w:tcPr>
          <w:p w14:paraId="16FB2B7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3CBF1D84"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0ADC2E05"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3BDE19DC" w14:textId="77777777" w:rsidR="00BE3A18" w:rsidRPr="00770D7F" w:rsidRDefault="00BE3A18" w:rsidP="00BE3A18">
            <w:pPr>
              <w:spacing w:after="0" w:line="240" w:lineRule="auto"/>
              <w:rPr>
                <w:rFonts w:ascii="Arial" w:hAnsi="Arial" w:cs="Arial"/>
                <w:sz w:val="18"/>
                <w:szCs w:val="18"/>
              </w:rPr>
            </w:pPr>
          </w:p>
        </w:tc>
      </w:tr>
      <w:tr w:rsidR="00BE3A18" w:rsidRPr="00770D7F" w14:paraId="335940A0" w14:textId="77777777" w:rsidTr="00BE3A18">
        <w:tc>
          <w:tcPr>
            <w:tcW w:w="3397" w:type="dxa"/>
            <w:vMerge w:val="restart"/>
            <w:shd w:val="clear" w:color="auto" w:fill="auto"/>
          </w:tcPr>
          <w:p w14:paraId="650B224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klordekon*</w:t>
            </w:r>
          </w:p>
          <w:p w14:paraId="772F184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CAS št.: 143-50-0</w:t>
            </w:r>
          </w:p>
        </w:tc>
        <w:tc>
          <w:tcPr>
            <w:tcW w:w="1843" w:type="dxa"/>
            <w:shd w:val="clear" w:color="auto" w:fill="auto"/>
          </w:tcPr>
          <w:p w14:paraId="64C3E3E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4A0B6CC9"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2A91263E" w14:textId="77777777" w:rsidTr="00BE3A18">
        <w:tc>
          <w:tcPr>
            <w:tcW w:w="3397" w:type="dxa"/>
            <w:vMerge/>
            <w:shd w:val="clear" w:color="auto" w:fill="auto"/>
          </w:tcPr>
          <w:p w14:paraId="0210F94B" w14:textId="77777777" w:rsidR="00BE3A18" w:rsidRPr="00770D7F" w:rsidRDefault="00BE3A18" w:rsidP="00BE3A18">
            <w:pPr>
              <w:spacing w:after="0" w:line="240" w:lineRule="auto"/>
              <w:rPr>
                <w:rFonts w:ascii="Arial" w:hAnsi="Arial" w:cs="Arial"/>
                <w:sz w:val="18"/>
                <w:szCs w:val="18"/>
              </w:rPr>
            </w:pPr>
          </w:p>
        </w:tc>
        <w:tc>
          <w:tcPr>
            <w:tcW w:w="1843" w:type="dxa"/>
            <w:shd w:val="clear" w:color="auto" w:fill="auto"/>
          </w:tcPr>
          <w:p w14:paraId="60386A71"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6F5853B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ne obstaja</w:t>
            </w:r>
          </w:p>
        </w:tc>
      </w:tr>
    </w:tbl>
    <w:p w14:paraId="1D74F55D" w14:textId="77777777" w:rsidR="00BE3A18" w:rsidRPr="00770D7F" w:rsidRDefault="00BE3A18" w:rsidP="00BE3A18">
      <w:pPr>
        <w:rPr>
          <w:rFonts w:ascii="Arial" w:hAnsi="Arial" w:cs="Arial"/>
          <w:b/>
          <w:bCs/>
          <w:sz w:val="20"/>
          <w:szCs w:val="20"/>
        </w:rPr>
      </w:pPr>
    </w:p>
    <w:p w14:paraId="2AF5A649" w14:textId="77777777" w:rsidR="00BE3A18" w:rsidRPr="00770D7F" w:rsidRDefault="00BE3A18" w:rsidP="00BE3A18">
      <w:pPr>
        <w:rPr>
          <w:rFonts w:ascii="Arial" w:hAnsi="Arial" w:cs="Arial"/>
          <w:b/>
          <w:bCs/>
          <w:sz w:val="20"/>
          <w:szCs w:val="20"/>
        </w:rPr>
      </w:pPr>
    </w:p>
    <w:p w14:paraId="2CF90C85" w14:textId="77777777" w:rsidR="00BE3A18" w:rsidRPr="003548EE" w:rsidRDefault="00BE3A18" w:rsidP="00BE3A18">
      <w:pPr>
        <w:rPr>
          <w:rFonts w:ascii="Arial" w:hAnsi="Arial" w:cs="Arial"/>
          <w:b/>
          <w:bCs/>
          <w:sz w:val="28"/>
          <w:szCs w:val="28"/>
        </w:rPr>
      </w:pPr>
      <w:r w:rsidRPr="003548EE">
        <w:rPr>
          <w:rFonts w:ascii="Arial" w:hAnsi="Arial" w:cs="Arial"/>
          <w:b/>
          <w:bCs/>
          <w:sz w:val="28"/>
          <w:szCs w:val="28"/>
        </w:rPr>
        <w:t>SC-4/13:</w:t>
      </w:r>
      <w:r w:rsidRPr="003548EE">
        <w:rPr>
          <w:rFonts w:ascii="Arial" w:hAnsi="Arial" w:cs="Arial"/>
          <w:b/>
          <w:bCs/>
          <w:sz w:val="28"/>
          <w:szCs w:val="28"/>
          <w:lang w:val="sl"/>
        </w:rPr>
        <w:t xml:space="preserve"> Uvrstitev heksabromobifenila</w:t>
      </w:r>
    </w:p>
    <w:p w14:paraId="69622786"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Konferenca pogodbenic</w:t>
      </w:r>
      <w:r w:rsidRPr="00770D7F">
        <w:rPr>
          <w:rFonts w:ascii="Arial" w:hAnsi="Arial" w:cs="Arial"/>
          <w:sz w:val="20"/>
          <w:szCs w:val="20"/>
          <w:lang w:val="sl"/>
        </w:rPr>
        <w:t xml:space="preserve">, </w:t>
      </w:r>
    </w:p>
    <w:p w14:paraId="75933E61"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heksabromobifenil, kot ju je poslal Odbor za pregled obstojnih organskih onesnaževal,</w:t>
      </w:r>
      <w:r w:rsidRPr="00770D7F">
        <w:rPr>
          <w:rStyle w:val="FootnoteReference"/>
          <w:rFonts w:ascii="Arial" w:hAnsi="Arial" w:cs="Arial"/>
          <w:sz w:val="20"/>
          <w:szCs w:val="20"/>
          <w:lang w:val="sl"/>
        </w:rPr>
        <w:footnoteReference w:id="50"/>
      </w:r>
    </w:p>
    <w:p w14:paraId="2CCD155D"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heksabromobifenil uvrsti v Prilogo A h konvenciji brez posebnih izjem,</w:t>
      </w:r>
      <w:r w:rsidRPr="00770D7F">
        <w:rPr>
          <w:rStyle w:val="FootnoteReference"/>
          <w:rFonts w:ascii="Arial" w:hAnsi="Arial" w:cs="Arial"/>
          <w:sz w:val="20"/>
          <w:szCs w:val="20"/>
          <w:lang w:val="sl"/>
        </w:rPr>
        <w:footnoteReference w:id="51"/>
      </w:r>
    </w:p>
    <w:p w14:paraId="52B949A8"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heksabromobifenil brez posebnih izjem,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464E2C4C" w14:textId="77777777" w:rsidTr="00BE3A18">
        <w:tc>
          <w:tcPr>
            <w:tcW w:w="3397" w:type="dxa"/>
            <w:shd w:val="clear" w:color="auto" w:fill="FFFFFF"/>
          </w:tcPr>
          <w:p w14:paraId="294B86B4"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FFFFFF"/>
          </w:tcPr>
          <w:p w14:paraId="517B649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FFFFFF"/>
          </w:tcPr>
          <w:p w14:paraId="05CF7783"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032890F8" w14:textId="77777777" w:rsidR="00BE3A18" w:rsidRPr="00770D7F" w:rsidRDefault="00BE3A18" w:rsidP="00BE3A18">
            <w:pPr>
              <w:spacing w:after="0" w:line="240" w:lineRule="auto"/>
              <w:rPr>
                <w:rFonts w:ascii="Arial" w:hAnsi="Arial" w:cs="Arial"/>
                <w:sz w:val="18"/>
                <w:szCs w:val="18"/>
              </w:rPr>
            </w:pPr>
          </w:p>
        </w:tc>
      </w:tr>
      <w:tr w:rsidR="00BE3A18" w:rsidRPr="00770D7F" w14:paraId="0E291A16" w14:textId="77777777" w:rsidTr="00BE3A18">
        <w:tc>
          <w:tcPr>
            <w:tcW w:w="3397" w:type="dxa"/>
            <w:vMerge w:val="restart"/>
            <w:shd w:val="clear" w:color="auto" w:fill="auto"/>
          </w:tcPr>
          <w:p w14:paraId="40062DE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heksabromobifenil*</w:t>
            </w:r>
          </w:p>
          <w:p w14:paraId="481C2D5E"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36355-01-8</w:t>
            </w:r>
          </w:p>
        </w:tc>
        <w:tc>
          <w:tcPr>
            <w:tcW w:w="1843" w:type="dxa"/>
            <w:shd w:val="clear" w:color="auto" w:fill="auto"/>
          </w:tcPr>
          <w:p w14:paraId="7C05544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proizvodnja </w:t>
            </w:r>
          </w:p>
        </w:tc>
        <w:tc>
          <w:tcPr>
            <w:tcW w:w="3822" w:type="dxa"/>
            <w:shd w:val="clear" w:color="auto" w:fill="auto"/>
          </w:tcPr>
          <w:p w14:paraId="737FF00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3E4037D9" w14:textId="77777777" w:rsidTr="00BE3A18">
        <w:tc>
          <w:tcPr>
            <w:tcW w:w="3397" w:type="dxa"/>
            <w:vMerge/>
            <w:shd w:val="clear" w:color="auto" w:fill="auto"/>
          </w:tcPr>
          <w:p w14:paraId="59DA7F1B"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2E4B02B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0EB48432"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bl>
    <w:p w14:paraId="40AB56D3" w14:textId="77777777" w:rsidR="00BE3A18" w:rsidRPr="00770D7F" w:rsidRDefault="00BE3A18" w:rsidP="00BE3A18">
      <w:pPr>
        <w:rPr>
          <w:rFonts w:ascii="Arial" w:hAnsi="Arial" w:cs="Arial"/>
          <w:b/>
          <w:bCs/>
          <w:sz w:val="20"/>
          <w:szCs w:val="20"/>
        </w:rPr>
      </w:pPr>
    </w:p>
    <w:p w14:paraId="082EB213" w14:textId="77777777" w:rsidR="00BE3A18" w:rsidRPr="00770D7F" w:rsidRDefault="00BE3A18" w:rsidP="00BE3A18">
      <w:pPr>
        <w:rPr>
          <w:rFonts w:ascii="Arial" w:hAnsi="Arial" w:cs="Arial"/>
          <w:b/>
          <w:bCs/>
          <w:sz w:val="20"/>
          <w:szCs w:val="20"/>
        </w:rPr>
      </w:pPr>
    </w:p>
    <w:p w14:paraId="02723914" w14:textId="77777777" w:rsidR="00BE3A18" w:rsidRPr="003548EE" w:rsidRDefault="00BE3A18" w:rsidP="00BE3A18">
      <w:pPr>
        <w:rPr>
          <w:rFonts w:ascii="Arial" w:hAnsi="Arial" w:cs="Arial"/>
          <w:b/>
          <w:bCs/>
          <w:sz w:val="28"/>
          <w:szCs w:val="28"/>
        </w:rPr>
      </w:pPr>
      <w:r w:rsidRPr="003548EE">
        <w:rPr>
          <w:rFonts w:ascii="Arial" w:hAnsi="Arial" w:cs="Arial"/>
          <w:b/>
          <w:bCs/>
          <w:sz w:val="28"/>
          <w:szCs w:val="28"/>
        </w:rPr>
        <w:t>SC-4/14:</w:t>
      </w:r>
      <w:r w:rsidRPr="003548EE">
        <w:rPr>
          <w:rFonts w:ascii="Arial" w:hAnsi="Arial" w:cs="Arial"/>
          <w:b/>
          <w:bCs/>
          <w:sz w:val="28"/>
          <w:szCs w:val="28"/>
          <w:lang w:val="sl"/>
        </w:rPr>
        <w:t xml:space="preserve"> Uvrstitev heksabromodifenil etra in heptabromodifenil etra </w:t>
      </w:r>
    </w:p>
    <w:p w14:paraId="73047440" w14:textId="77777777" w:rsidR="00BE3A18" w:rsidRPr="00770D7F" w:rsidRDefault="00BE3A18" w:rsidP="003548EE">
      <w:pPr>
        <w:ind w:firstLine="708"/>
        <w:rPr>
          <w:rFonts w:ascii="Arial" w:hAnsi="Arial" w:cs="Arial"/>
          <w:sz w:val="20"/>
          <w:szCs w:val="20"/>
        </w:rPr>
      </w:pPr>
      <w:r w:rsidRPr="00770D7F">
        <w:rPr>
          <w:rFonts w:ascii="Arial" w:hAnsi="Arial" w:cs="Arial"/>
          <w:sz w:val="20"/>
          <w:szCs w:val="20"/>
          <w:lang w:val="sl"/>
        </w:rPr>
        <w:t xml:space="preserve">Konferenca pogodbenic, </w:t>
      </w:r>
    </w:p>
    <w:p w14:paraId="0CECC01B" w14:textId="77777777" w:rsidR="00BE3A18" w:rsidRPr="00770D7F" w:rsidRDefault="00BE3A18" w:rsidP="003548EE">
      <w:pPr>
        <w:ind w:firstLine="708"/>
        <w:rPr>
          <w:rFonts w:ascii="Arial" w:hAnsi="Arial" w:cs="Arial"/>
          <w:sz w:val="20"/>
          <w:szCs w:val="20"/>
        </w:rPr>
      </w:pPr>
      <w:r w:rsidRPr="003548EE">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komercialni oktabromodifenil eter, kot ju je poslal Odbor za pregled obstojnih organskih onesnaževal,</w:t>
      </w:r>
      <w:r w:rsidRPr="00770D7F">
        <w:rPr>
          <w:rStyle w:val="FootnoteReference"/>
          <w:rFonts w:ascii="Arial" w:hAnsi="Arial" w:cs="Arial"/>
          <w:sz w:val="20"/>
          <w:szCs w:val="20"/>
          <w:lang w:val="sl"/>
        </w:rPr>
        <w:footnoteReference w:id="52"/>
      </w:r>
    </w:p>
    <w:p w14:paraId="719271CB" w14:textId="77777777" w:rsidR="00BE3A18" w:rsidRPr="00770D7F" w:rsidRDefault="00BE3A18" w:rsidP="00C56D8D">
      <w:pPr>
        <w:ind w:firstLine="708"/>
        <w:rPr>
          <w:rFonts w:ascii="Arial" w:hAnsi="Arial" w:cs="Arial"/>
          <w:sz w:val="20"/>
          <w:szCs w:val="20"/>
        </w:rPr>
      </w:pPr>
      <w:r w:rsidRPr="003548EE">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heksabromodifenil eter in heptabromodifenil eter uvrstita v Prilogo A h konvenciji,</w:t>
      </w:r>
      <w:r w:rsidRPr="00770D7F">
        <w:rPr>
          <w:rStyle w:val="FootnoteReference"/>
          <w:rFonts w:ascii="Arial" w:hAnsi="Arial" w:cs="Arial"/>
          <w:sz w:val="20"/>
          <w:szCs w:val="20"/>
          <w:lang w:val="sl"/>
        </w:rPr>
        <w:footnoteReference w:id="53"/>
      </w:r>
    </w:p>
    <w:p w14:paraId="1A247C79" w14:textId="77777777" w:rsidR="00BE3A18" w:rsidRPr="00770D7F" w:rsidRDefault="00BE3A18" w:rsidP="00C56D8D">
      <w:pPr>
        <w:pStyle w:val="ListParagraph"/>
        <w:numPr>
          <w:ilvl w:val="0"/>
          <w:numId w:val="51"/>
        </w:numPr>
        <w:ind w:left="0" w:firstLine="709"/>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uvrstita heksabromodifenil eter in heptabromodifenil eter, kot sta opredeljena v drugem odstavku tega sklepa, s posebno izjemo za predmete, ki vsebujejo heksabromodifenil eter in heptabromodifenil eter v skladu z določbami IV. dela priloge: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1A245950" w14:textId="77777777" w:rsidTr="00BE3A18">
        <w:tc>
          <w:tcPr>
            <w:tcW w:w="3397" w:type="dxa"/>
            <w:shd w:val="clear" w:color="auto" w:fill="auto"/>
          </w:tcPr>
          <w:p w14:paraId="04C7EE0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05031B4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6339FDA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42C4FCD5" w14:textId="77777777" w:rsidR="00BE3A18" w:rsidRPr="00770D7F" w:rsidRDefault="00BE3A18" w:rsidP="00BE3A18">
            <w:pPr>
              <w:spacing w:after="0" w:line="240" w:lineRule="auto"/>
              <w:rPr>
                <w:rFonts w:ascii="Arial" w:hAnsi="Arial" w:cs="Arial"/>
                <w:sz w:val="18"/>
                <w:szCs w:val="18"/>
              </w:rPr>
            </w:pPr>
          </w:p>
        </w:tc>
      </w:tr>
      <w:tr w:rsidR="00BE3A18" w:rsidRPr="00770D7F" w14:paraId="221AE9A3" w14:textId="77777777" w:rsidTr="00BE3A18">
        <w:tc>
          <w:tcPr>
            <w:tcW w:w="3397" w:type="dxa"/>
            <w:vMerge w:val="restart"/>
            <w:shd w:val="clear" w:color="auto" w:fill="auto"/>
          </w:tcPr>
          <w:p w14:paraId="7F83150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heksabromodifenil eter* in</w:t>
            </w:r>
          </w:p>
          <w:p w14:paraId="62CB560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heptabromodifenil eter*</w:t>
            </w:r>
          </w:p>
        </w:tc>
        <w:tc>
          <w:tcPr>
            <w:tcW w:w="1843" w:type="dxa"/>
            <w:shd w:val="clear" w:color="auto" w:fill="auto"/>
          </w:tcPr>
          <w:p w14:paraId="2DB067A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6385E123"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7D4D2076" w14:textId="77777777" w:rsidTr="00BE3A18">
        <w:tc>
          <w:tcPr>
            <w:tcW w:w="3397" w:type="dxa"/>
            <w:vMerge/>
            <w:shd w:val="clear" w:color="auto" w:fill="auto"/>
          </w:tcPr>
          <w:p w14:paraId="7D81D798" w14:textId="77777777" w:rsidR="00BE3A18" w:rsidRPr="00770D7F" w:rsidRDefault="00BE3A18" w:rsidP="00BE3A18">
            <w:pPr>
              <w:spacing w:after="0" w:line="240" w:lineRule="auto"/>
              <w:rPr>
                <w:rFonts w:ascii="Arial" w:hAnsi="Arial" w:cs="Arial"/>
                <w:sz w:val="18"/>
                <w:szCs w:val="18"/>
              </w:rPr>
            </w:pPr>
          </w:p>
        </w:tc>
        <w:tc>
          <w:tcPr>
            <w:tcW w:w="1843" w:type="dxa"/>
            <w:shd w:val="clear" w:color="auto" w:fill="auto"/>
          </w:tcPr>
          <w:p w14:paraId="7938EA10"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17784DC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predmeti, ki se uporabljajo v skladu z določbami IV. dela te priloge</w:t>
            </w:r>
          </w:p>
        </w:tc>
      </w:tr>
    </w:tbl>
    <w:p w14:paraId="12E34628" w14:textId="77777777" w:rsidR="00BE3A18" w:rsidRPr="00770D7F" w:rsidRDefault="00BE3A18" w:rsidP="00BE3A18">
      <w:pPr>
        <w:rPr>
          <w:rFonts w:ascii="Arial" w:hAnsi="Arial" w:cs="Arial"/>
          <w:b/>
          <w:bCs/>
          <w:sz w:val="20"/>
          <w:szCs w:val="20"/>
        </w:rPr>
      </w:pPr>
    </w:p>
    <w:p w14:paraId="3407269A" w14:textId="534A33F1"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i/>
          <w:iCs/>
          <w:sz w:val="20"/>
          <w:szCs w:val="20"/>
          <w:lang w:val="sl"/>
        </w:rPr>
        <w:t xml:space="preserve">2. </w:t>
      </w:r>
      <w:r w:rsidR="003548EE">
        <w:rPr>
          <w:rFonts w:ascii="Arial" w:hAnsi="Arial" w:cs="Arial"/>
          <w:i/>
          <w:iCs/>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vstaviti opredelitev za heksabromodifenil eter in heptabromodifenil eter</w:t>
      </w:r>
    </w:p>
    <w:p w14:paraId="1160B305"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v novi III. del Priloge A »Opredelitev pojmov«, ki se glasi:</w:t>
      </w:r>
    </w:p>
    <w:p w14:paraId="45C08ED3"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0733FD7D"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V tej prilogi:</w:t>
      </w:r>
    </w:p>
    <w:p w14:paraId="709046CD"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69F90E9F"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 xml:space="preserve">»heksabromodifenil eter in heptabromodifenil eter« pomenita: 2,2',4,4',5,5'-heksabromodifenil eter (BDE-153, CAS št.: 68631-49-2), 2,2',4,4',5,6'-heksabromodifenil eter (BDE-154, CAS št.: 207122-15-4), 2,2',3,3',4,5',6-heptabromodifenil eter (BDE-175, CAS št.: 446255-22-7), 2,2',3,4,4',5',6-heptabromodifenil eter (BDE-183, CAS št.: 207122-16-5) in druge heksa- in heptabromodifenil etre v komercialnem oktabromodifenil etru. </w:t>
      </w:r>
    </w:p>
    <w:p w14:paraId="12B2D630"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71CF9C8B" w14:textId="4F9F708C"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3. </w:t>
      </w:r>
      <w:r w:rsidR="00C56D8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vstaviti nov IV. del v Prilogo A, ki se glasi:</w:t>
      </w:r>
    </w:p>
    <w:p w14:paraId="44B567AC"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7E570FF7"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IV. del</w:t>
      </w:r>
    </w:p>
    <w:p w14:paraId="6D0C78CE"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Heksabromodifenil eter in heptabromodifenil eter</w:t>
      </w:r>
    </w:p>
    <w:p w14:paraId="12835D44" w14:textId="77777777" w:rsidR="00BE3A18" w:rsidRPr="00770D7F" w:rsidRDefault="00BE3A18" w:rsidP="00BE3A18">
      <w:pPr>
        <w:autoSpaceDE w:val="0"/>
        <w:autoSpaceDN w:val="0"/>
        <w:adjustRightInd w:val="0"/>
        <w:spacing w:after="0" w:line="240" w:lineRule="auto"/>
        <w:ind w:left="708"/>
        <w:jc w:val="both"/>
        <w:rPr>
          <w:rFonts w:ascii="Arial" w:hAnsi="Arial" w:cs="Arial"/>
          <w:sz w:val="20"/>
          <w:szCs w:val="20"/>
        </w:rPr>
      </w:pPr>
    </w:p>
    <w:p w14:paraId="549DB8DE" w14:textId="32AD7DA8" w:rsidR="00BE3A18" w:rsidRPr="00770D7F" w:rsidRDefault="00BE3A18" w:rsidP="00C56D8D">
      <w:pPr>
        <w:autoSpaceDE w:val="0"/>
        <w:autoSpaceDN w:val="0"/>
        <w:adjustRightInd w:val="0"/>
        <w:spacing w:after="0" w:line="240" w:lineRule="auto"/>
        <w:ind w:left="1416"/>
        <w:jc w:val="both"/>
        <w:rPr>
          <w:rFonts w:ascii="Arial" w:hAnsi="Arial" w:cs="Arial"/>
          <w:sz w:val="20"/>
          <w:szCs w:val="20"/>
        </w:rPr>
      </w:pPr>
      <w:r w:rsidRPr="00770D7F">
        <w:rPr>
          <w:rFonts w:ascii="Arial" w:hAnsi="Arial" w:cs="Arial"/>
          <w:sz w:val="20"/>
          <w:szCs w:val="20"/>
          <w:lang w:val="sl"/>
        </w:rPr>
        <w:t xml:space="preserve">1. </w:t>
      </w:r>
      <w:r w:rsidR="00C56D8D">
        <w:rPr>
          <w:rFonts w:ascii="Arial" w:hAnsi="Arial" w:cs="Arial"/>
          <w:sz w:val="20"/>
          <w:szCs w:val="20"/>
          <w:lang w:val="sl"/>
        </w:rPr>
        <w:tab/>
      </w:r>
      <w:r w:rsidRPr="00770D7F">
        <w:rPr>
          <w:rFonts w:ascii="Arial" w:hAnsi="Arial" w:cs="Arial"/>
          <w:sz w:val="20"/>
          <w:szCs w:val="20"/>
          <w:lang w:val="sl"/>
        </w:rPr>
        <w:t>Pogodbenica lahko dovoli recikliranje predmetov, ki vsebujejo ali bi lahko vsebovali heksabromodifenil eter in heptabromodifenil eter, ter uporabo in končno odlaganje predmetov, narejenih iz recikliranih materialov, ki vsebujejo ali bi lahko vsebovali heksabromodifenil eter in heptabromodifenil eter, pod pogojem, da:</w:t>
      </w:r>
    </w:p>
    <w:p w14:paraId="41C9FB35" w14:textId="77777777" w:rsidR="00BE3A18" w:rsidRPr="00770D7F" w:rsidRDefault="00BE3A18" w:rsidP="00BE3A18">
      <w:pPr>
        <w:autoSpaceDE w:val="0"/>
        <w:autoSpaceDN w:val="0"/>
        <w:adjustRightInd w:val="0"/>
        <w:spacing w:after="0" w:line="240" w:lineRule="auto"/>
        <w:ind w:left="708"/>
        <w:jc w:val="both"/>
        <w:rPr>
          <w:rFonts w:ascii="Arial" w:hAnsi="Arial" w:cs="Arial"/>
          <w:sz w:val="20"/>
          <w:szCs w:val="20"/>
        </w:rPr>
      </w:pPr>
    </w:p>
    <w:p w14:paraId="7CB702EE" w14:textId="44BA64DB" w:rsidR="00BE3A18" w:rsidRPr="00770D7F" w:rsidRDefault="00BE3A18" w:rsidP="00C56D8D">
      <w:pPr>
        <w:autoSpaceDE w:val="0"/>
        <w:autoSpaceDN w:val="0"/>
        <w:adjustRightInd w:val="0"/>
        <w:spacing w:after="0" w:line="240" w:lineRule="auto"/>
        <w:ind w:left="1416" w:firstLine="708"/>
        <w:jc w:val="both"/>
        <w:rPr>
          <w:rFonts w:ascii="Arial" w:hAnsi="Arial" w:cs="Arial"/>
          <w:sz w:val="20"/>
          <w:szCs w:val="20"/>
        </w:rPr>
      </w:pPr>
      <w:r w:rsidRPr="00770D7F">
        <w:rPr>
          <w:rFonts w:ascii="Arial" w:hAnsi="Arial" w:cs="Arial"/>
          <w:sz w:val="20"/>
          <w:szCs w:val="20"/>
          <w:lang w:val="sl"/>
        </w:rPr>
        <w:t xml:space="preserve">(a) </w:t>
      </w:r>
      <w:r w:rsidR="00C56D8D">
        <w:rPr>
          <w:rFonts w:ascii="Arial" w:hAnsi="Arial" w:cs="Arial"/>
          <w:sz w:val="20"/>
          <w:szCs w:val="20"/>
          <w:lang w:val="sl"/>
        </w:rPr>
        <w:tab/>
      </w:r>
      <w:r w:rsidRPr="00770D7F">
        <w:rPr>
          <w:rFonts w:ascii="Arial" w:hAnsi="Arial" w:cs="Arial"/>
          <w:sz w:val="20"/>
          <w:szCs w:val="20"/>
          <w:lang w:val="sl"/>
        </w:rPr>
        <w:t xml:space="preserve">sta recikliranje in končno odstranjevanje opravljena na način, sprejemljiv za okolje, ter pri tem ne pride do predelave heksabromodifenil etra in heptabromodifenil etra z namenom njune ponovne uporabe; </w:t>
      </w:r>
    </w:p>
    <w:p w14:paraId="13F86D22" w14:textId="77777777" w:rsidR="00BE3A18" w:rsidRPr="00770D7F" w:rsidRDefault="00BE3A18" w:rsidP="00BE3A18">
      <w:pPr>
        <w:autoSpaceDE w:val="0"/>
        <w:autoSpaceDN w:val="0"/>
        <w:adjustRightInd w:val="0"/>
        <w:spacing w:after="0" w:line="240" w:lineRule="auto"/>
        <w:ind w:left="708"/>
        <w:jc w:val="both"/>
        <w:rPr>
          <w:rFonts w:ascii="Arial" w:hAnsi="Arial" w:cs="Arial"/>
          <w:sz w:val="20"/>
          <w:szCs w:val="20"/>
        </w:rPr>
      </w:pPr>
    </w:p>
    <w:p w14:paraId="3C7F70D1" w14:textId="3DBC02B2" w:rsidR="00BE3A18" w:rsidRPr="00770D7F" w:rsidRDefault="00BE3A18" w:rsidP="00C56D8D">
      <w:pPr>
        <w:autoSpaceDE w:val="0"/>
        <w:autoSpaceDN w:val="0"/>
        <w:adjustRightInd w:val="0"/>
        <w:spacing w:after="0" w:line="240" w:lineRule="auto"/>
        <w:ind w:left="1416" w:firstLine="708"/>
        <w:jc w:val="both"/>
        <w:rPr>
          <w:rFonts w:ascii="Arial" w:hAnsi="Arial" w:cs="Arial"/>
          <w:sz w:val="20"/>
          <w:szCs w:val="20"/>
        </w:rPr>
      </w:pPr>
      <w:r w:rsidRPr="00770D7F">
        <w:rPr>
          <w:rFonts w:ascii="Arial" w:hAnsi="Arial" w:cs="Arial"/>
          <w:sz w:val="20"/>
          <w:szCs w:val="20"/>
          <w:lang w:val="sl"/>
        </w:rPr>
        <w:t xml:space="preserve">(b) </w:t>
      </w:r>
      <w:r w:rsidR="00C56D8D">
        <w:rPr>
          <w:rFonts w:ascii="Arial" w:hAnsi="Arial" w:cs="Arial"/>
          <w:sz w:val="20"/>
          <w:szCs w:val="20"/>
          <w:lang w:val="sl"/>
        </w:rPr>
        <w:tab/>
      </w:r>
      <w:r w:rsidRPr="00770D7F">
        <w:rPr>
          <w:rFonts w:ascii="Arial" w:hAnsi="Arial" w:cs="Arial"/>
          <w:sz w:val="20"/>
          <w:szCs w:val="20"/>
          <w:lang w:val="sl"/>
        </w:rPr>
        <w:t xml:space="preserve">pogodbenica sprejme ukrepe za preprečevanje izvoza takih predmetov z ravnmi/koncentracijami heksabromodifenil etra in heptabromodifenil etra, ki presegajo ravni/koncentracije, dovoljene za prodajo, uporabo, uvoz ali proizvodnjo navedenih predmetov na ozemlju pogodbenice, in </w:t>
      </w:r>
    </w:p>
    <w:p w14:paraId="0017D600" w14:textId="77777777" w:rsidR="00BE3A18" w:rsidRPr="00770D7F" w:rsidRDefault="00BE3A18" w:rsidP="00BE3A18">
      <w:pPr>
        <w:autoSpaceDE w:val="0"/>
        <w:autoSpaceDN w:val="0"/>
        <w:adjustRightInd w:val="0"/>
        <w:spacing w:after="0" w:line="240" w:lineRule="auto"/>
        <w:ind w:left="708"/>
        <w:jc w:val="both"/>
        <w:rPr>
          <w:rFonts w:ascii="Arial" w:hAnsi="Arial" w:cs="Arial"/>
          <w:sz w:val="20"/>
          <w:szCs w:val="20"/>
        </w:rPr>
      </w:pPr>
    </w:p>
    <w:p w14:paraId="2D7969D6" w14:textId="70C03809" w:rsidR="00BE3A18" w:rsidRPr="00770D7F" w:rsidRDefault="00BE3A18" w:rsidP="00C56D8D">
      <w:pPr>
        <w:autoSpaceDE w:val="0"/>
        <w:autoSpaceDN w:val="0"/>
        <w:adjustRightInd w:val="0"/>
        <w:spacing w:after="0" w:line="240" w:lineRule="auto"/>
        <w:ind w:left="1416" w:firstLine="708"/>
        <w:jc w:val="both"/>
        <w:rPr>
          <w:rFonts w:ascii="Arial" w:hAnsi="Arial" w:cs="Arial"/>
          <w:sz w:val="20"/>
          <w:szCs w:val="20"/>
        </w:rPr>
      </w:pPr>
      <w:r w:rsidRPr="00770D7F">
        <w:rPr>
          <w:rFonts w:ascii="Arial" w:hAnsi="Arial" w:cs="Arial"/>
          <w:sz w:val="20"/>
          <w:szCs w:val="20"/>
          <w:lang w:val="sl"/>
        </w:rPr>
        <w:t xml:space="preserve">(c) </w:t>
      </w:r>
      <w:r w:rsidR="00C56D8D">
        <w:rPr>
          <w:rFonts w:ascii="Arial" w:hAnsi="Arial" w:cs="Arial"/>
          <w:sz w:val="20"/>
          <w:szCs w:val="20"/>
          <w:lang w:val="sl"/>
        </w:rPr>
        <w:tab/>
      </w:r>
      <w:r w:rsidRPr="00770D7F">
        <w:rPr>
          <w:rFonts w:ascii="Arial" w:hAnsi="Arial" w:cs="Arial"/>
          <w:sz w:val="20"/>
          <w:szCs w:val="20"/>
          <w:lang w:val="sl"/>
        </w:rPr>
        <w:t>je pogodbenica uradno obvestila Sekretariat, da namerava uporabiti to izjemo.</w:t>
      </w:r>
    </w:p>
    <w:p w14:paraId="25DDF430"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4EED9474" w14:textId="19329527" w:rsidR="00BE3A18" w:rsidRPr="00770D7F" w:rsidRDefault="00BE3A18" w:rsidP="00C56D8D">
      <w:pPr>
        <w:autoSpaceDE w:val="0"/>
        <w:autoSpaceDN w:val="0"/>
        <w:adjustRightInd w:val="0"/>
        <w:spacing w:after="0" w:line="240" w:lineRule="auto"/>
        <w:ind w:left="1416"/>
        <w:rPr>
          <w:rFonts w:ascii="Arial" w:hAnsi="Arial" w:cs="Arial"/>
          <w:sz w:val="20"/>
          <w:szCs w:val="20"/>
        </w:rPr>
      </w:pPr>
      <w:r w:rsidRPr="00770D7F">
        <w:rPr>
          <w:rFonts w:ascii="Arial" w:hAnsi="Arial" w:cs="Arial"/>
          <w:sz w:val="20"/>
          <w:szCs w:val="20"/>
          <w:lang w:val="sl"/>
        </w:rPr>
        <w:t xml:space="preserve">2. </w:t>
      </w:r>
      <w:r w:rsidR="00C56D8D">
        <w:rPr>
          <w:rFonts w:ascii="Arial" w:hAnsi="Arial" w:cs="Arial"/>
          <w:sz w:val="20"/>
          <w:szCs w:val="20"/>
          <w:lang w:val="sl"/>
        </w:rPr>
        <w:tab/>
      </w:r>
      <w:r w:rsidRPr="00770D7F">
        <w:rPr>
          <w:rFonts w:ascii="Arial" w:hAnsi="Arial" w:cs="Arial"/>
          <w:sz w:val="20"/>
          <w:szCs w:val="20"/>
          <w:lang w:val="sl"/>
        </w:rPr>
        <w:t xml:space="preserve">Na svojem šestem rednem zasedanju in na vsakem drugem zasedanju zatem Konferenca pogodbenic oceni napredek pogodbenic pri doseganju njihovega končnega cilja odprave heksabromodifenil etra in heptabromodifenil etra, ki ju vsebujejo predmeti, ter presodi potrebo po tej posebni izjemi. Ta posebna izjema v vsakem primeru preneha veljati najpozneje leta 2030. </w:t>
      </w:r>
    </w:p>
    <w:p w14:paraId="0B64F6C4"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3B5B81C3" w14:textId="4490B197"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i/>
          <w:iCs/>
          <w:sz w:val="20"/>
          <w:szCs w:val="20"/>
          <w:lang w:val="sl"/>
        </w:rPr>
        <w:t xml:space="preserve">4. </w:t>
      </w:r>
      <w:r w:rsidR="00C56D8D">
        <w:rPr>
          <w:rFonts w:ascii="Arial" w:hAnsi="Arial" w:cs="Arial"/>
          <w:i/>
          <w:iCs/>
          <w:sz w:val="20"/>
          <w:szCs w:val="20"/>
          <w:lang w:val="sl"/>
        </w:rPr>
        <w:tab/>
      </w:r>
      <w:r w:rsidRPr="00770D7F">
        <w:rPr>
          <w:rFonts w:ascii="Arial" w:hAnsi="Arial" w:cs="Arial"/>
          <w:i/>
          <w:iCs/>
          <w:sz w:val="20"/>
          <w:szCs w:val="20"/>
          <w:lang w:val="sl"/>
        </w:rPr>
        <w:t xml:space="preserve">Sklene </w:t>
      </w:r>
      <w:r w:rsidRPr="00770D7F">
        <w:rPr>
          <w:rFonts w:ascii="Arial" w:hAnsi="Arial" w:cs="Arial"/>
          <w:sz w:val="20"/>
          <w:szCs w:val="20"/>
          <w:lang w:val="sl"/>
        </w:rPr>
        <w:t>spremeniti I. del Priloge A h konvenciji tako, da se v opombo (iv) za besedilom »polikloriranih bifenilov v predmetih, ki se uporabljajo skladno z določbami II. dela« dodata vejica in besedilo »ter uporabo heksabromodifenil etra in heptabromodifenil etra v skladu z določbami IV. dela te priloge«.</w:t>
      </w:r>
    </w:p>
    <w:p w14:paraId="408DF766" w14:textId="77777777" w:rsidR="00BE3A18" w:rsidRPr="00770D7F" w:rsidRDefault="00BE3A18" w:rsidP="00BE3A18">
      <w:pPr>
        <w:autoSpaceDE w:val="0"/>
        <w:autoSpaceDN w:val="0"/>
        <w:adjustRightInd w:val="0"/>
        <w:spacing w:after="0" w:line="240" w:lineRule="auto"/>
        <w:ind w:left="708"/>
        <w:jc w:val="both"/>
        <w:rPr>
          <w:rFonts w:ascii="Arial" w:hAnsi="Arial" w:cs="Arial"/>
          <w:b/>
          <w:bCs/>
          <w:sz w:val="20"/>
          <w:szCs w:val="20"/>
        </w:rPr>
      </w:pPr>
    </w:p>
    <w:p w14:paraId="2158CA90" w14:textId="77777777" w:rsidR="00BE3A18" w:rsidRPr="00770D7F" w:rsidRDefault="00BE3A18" w:rsidP="00BE3A18">
      <w:pPr>
        <w:rPr>
          <w:rFonts w:ascii="Arial" w:hAnsi="Arial" w:cs="Arial"/>
          <w:b/>
          <w:bCs/>
          <w:sz w:val="20"/>
          <w:szCs w:val="20"/>
        </w:rPr>
      </w:pPr>
    </w:p>
    <w:p w14:paraId="665FCD3A" w14:textId="77777777" w:rsidR="00BE3A18" w:rsidRPr="00C56D8D" w:rsidRDefault="00BE3A18" w:rsidP="00BE3A18">
      <w:pPr>
        <w:rPr>
          <w:rFonts w:ascii="Arial" w:hAnsi="Arial" w:cs="Arial"/>
          <w:b/>
          <w:bCs/>
          <w:sz w:val="28"/>
          <w:szCs w:val="28"/>
        </w:rPr>
      </w:pPr>
      <w:r w:rsidRPr="00C56D8D">
        <w:rPr>
          <w:rFonts w:ascii="Arial" w:hAnsi="Arial" w:cs="Arial"/>
          <w:b/>
          <w:bCs/>
          <w:sz w:val="28"/>
          <w:szCs w:val="28"/>
        </w:rPr>
        <w:t>SC-4/15:</w:t>
      </w:r>
      <w:r w:rsidRPr="00C56D8D">
        <w:rPr>
          <w:rFonts w:ascii="Arial" w:hAnsi="Arial" w:cs="Arial"/>
          <w:b/>
          <w:bCs/>
          <w:sz w:val="28"/>
          <w:szCs w:val="28"/>
          <w:lang w:val="sl"/>
        </w:rPr>
        <w:t xml:space="preserve"> Uvrstitev lindana</w:t>
      </w:r>
    </w:p>
    <w:p w14:paraId="04511EE3"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Konferenca pogodbenic</w:t>
      </w:r>
      <w:r w:rsidRPr="00770D7F">
        <w:rPr>
          <w:rFonts w:ascii="Arial" w:hAnsi="Arial" w:cs="Arial"/>
          <w:sz w:val="20"/>
          <w:szCs w:val="20"/>
          <w:lang w:val="sl"/>
        </w:rPr>
        <w:t xml:space="preserve">, </w:t>
      </w:r>
    </w:p>
    <w:p w14:paraId="371AA4C3"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lindan, kot ju je poslal Odbor za pregled obstojnih organskih onesnaževal,</w:t>
      </w:r>
      <w:r w:rsidRPr="00770D7F">
        <w:rPr>
          <w:rStyle w:val="FootnoteReference"/>
          <w:rFonts w:ascii="Arial" w:hAnsi="Arial" w:cs="Arial"/>
          <w:sz w:val="20"/>
          <w:szCs w:val="20"/>
          <w:lang w:val="sl"/>
        </w:rPr>
        <w:footnoteReference w:id="54"/>
      </w:r>
      <w:r w:rsidRPr="00770D7F">
        <w:rPr>
          <w:rFonts w:ascii="Arial" w:hAnsi="Arial" w:cs="Arial"/>
          <w:sz w:val="20"/>
          <w:szCs w:val="20"/>
          <w:lang w:val="sl"/>
        </w:rPr>
        <w:t xml:space="preserve"> </w:t>
      </w:r>
    </w:p>
    <w:p w14:paraId="142F8C75"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lindan uvrsti v Prilogo A h konvenciji,</w:t>
      </w:r>
      <w:r w:rsidRPr="00770D7F">
        <w:rPr>
          <w:rStyle w:val="FootnoteReference"/>
          <w:rFonts w:ascii="Arial" w:hAnsi="Arial" w:cs="Arial"/>
          <w:sz w:val="20"/>
          <w:szCs w:val="20"/>
          <w:lang w:val="sl"/>
        </w:rPr>
        <w:footnoteReference w:id="55"/>
      </w:r>
      <w:r w:rsidRPr="00770D7F">
        <w:rPr>
          <w:rFonts w:ascii="Arial" w:hAnsi="Arial" w:cs="Arial"/>
          <w:sz w:val="20"/>
          <w:szCs w:val="20"/>
          <w:lang w:val="sl"/>
        </w:rPr>
        <w:t xml:space="preserve"> </w:t>
      </w:r>
    </w:p>
    <w:p w14:paraId="7F2C2025" w14:textId="77777777" w:rsidR="00BE3A18" w:rsidRPr="00770D7F" w:rsidRDefault="00BE3A18" w:rsidP="00C56D8D">
      <w:pPr>
        <w:pStyle w:val="ListParagraph"/>
        <w:numPr>
          <w:ilvl w:val="0"/>
          <w:numId w:val="2"/>
        </w:numPr>
        <w:ind w:left="0" w:firstLine="709"/>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lindan s posebno izjemo za uporabo lindana kot zdravila za ljudi za zatiranje naglavnih uši in garij pri sekundarnem zdravljenju,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5941091F" w14:textId="77777777" w:rsidTr="00BE3A18">
        <w:tc>
          <w:tcPr>
            <w:tcW w:w="3397" w:type="dxa"/>
            <w:shd w:val="clear" w:color="auto" w:fill="FFFFFF"/>
          </w:tcPr>
          <w:p w14:paraId="5ADA1BC2"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FFFFFF"/>
          </w:tcPr>
          <w:p w14:paraId="7C67C61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FFFFFF"/>
          </w:tcPr>
          <w:p w14:paraId="3427D17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769BFCE0" w14:textId="77777777" w:rsidR="00BE3A18" w:rsidRPr="00770D7F" w:rsidRDefault="00BE3A18" w:rsidP="00BE3A18">
            <w:pPr>
              <w:spacing w:after="0" w:line="240" w:lineRule="auto"/>
              <w:rPr>
                <w:rFonts w:ascii="Arial" w:hAnsi="Arial" w:cs="Arial"/>
                <w:sz w:val="18"/>
                <w:szCs w:val="18"/>
              </w:rPr>
            </w:pPr>
          </w:p>
        </w:tc>
      </w:tr>
      <w:tr w:rsidR="00BE3A18" w:rsidRPr="00770D7F" w14:paraId="57295C4D" w14:textId="77777777" w:rsidTr="00BE3A18">
        <w:tc>
          <w:tcPr>
            <w:tcW w:w="3397" w:type="dxa"/>
            <w:vMerge w:val="restart"/>
            <w:shd w:val="clear" w:color="auto" w:fill="auto"/>
          </w:tcPr>
          <w:p w14:paraId="2F07CBE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lindan*</w:t>
            </w:r>
          </w:p>
          <w:p w14:paraId="5925DDA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58-89-9</w:t>
            </w:r>
          </w:p>
        </w:tc>
        <w:tc>
          <w:tcPr>
            <w:tcW w:w="1843" w:type="dxa"/>
            <w:shd w:val="clear" w:color="auto" w:fill="auto"/>
          </w:tcPr>
          <w:p w14:paraId="1CB5BBE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02F6F533"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069B6030" w14:textId="77777777" w:rsidTr="00BE3A18">
        <w:tc>
          <w:tcPr>
            <w:tcW w:w="3397" w:type="dxa"/>
            <w:vMerge/>
            <w:shd w:val="clear" w:color="auto" w:fill="auto"/>
          </w:tcPr>
          <w:p w14:paraId="68C6C758"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2CDA75DA"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53E801D6"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farmacevtski izdelki za uporabo v humani medicini za zatiranje naglavnih uši in garij pri sekundarnem zdravljenju</w:t>
            </w:r>
          </w:p>
        </w:tc>
      </w:tr>
    </w:tbl>
    <w:p w14:paraId="11C5C511" w14:textId="77777777" w:rsidR="00BE3A18" w:rsidRPr="00770D7F" w:rsidRDefault="00BE3A18" w:rsidP="00BE3A18">
      <w:pPr>
        <w:rPr>
          <w:rFonts w:ascii="Arial" w:hAnsi="Arial" w:cs="Arial"/>
          <w:sz w:val="20"/>
          <w:szCs w:val="20"/>
        </w:rPr>
      </w:pPr>
    </w:p>
    <w:p w14:paraId="6B25D66B" w14:textId="77777777" w:rsidR="00BE3A18" w:rsidRPr="00770D7F" w:rsidRDefault="00BE3A18" w:rsidP="00C56D8D">
      <w:pPr>
        <w:pStyle w:val="ListParagraph"/>
        <w:numPr>
          <w:ilvl w:val="0"/>
          <w:numId w:val="2"/>
        </w:numPr>
        <w:ind w:left="0" w:firstLine="709"/>
        <w:rPr>
          <w:rFonts w:ascii="Arial" w:hAnsi="Arial" w:cs="Arial"/>
          <w:sz w:val="20"/>
          <w:szCs w:val="20"/>
        </w:rPr>
      </w:pPr>
      <w:r w:rsidRPr="00770D7F">
        <w:rPr>
          <w:rFonts w:ascii="Arial" w:hAnsi="Arial" w:cs="Arial"/>
          <w:i/>
          <w:iCs/>
          <w:sz w:val="20"/>
          <w:szCs w:val="20"/>
          <w:lang w:val="sl"/>
        </w:rPr>
        <w:lastRenderedPageBreak/>
        <w:t>poziva</w:t>
      </w:r>
      <w:r w:rsidRPr="00770D7F">
        <w:rPr>
          <w:rFonts w:ascii="Arial" w:hAnsi="Arial" w:cs="Arial"/>
          <w:sz w:val="20"/>
          <w:szCs w:val="20"/>
          <w:lang w:val="sl"/>
        </w:rPr>
        <w:t xml:space="preserve"> Sekretariat, naj sodeluje s Svetovno zdravstveno organizacijo pri oblikovanju zahtev o poročanju in pregledovanju glede uporabe lindana kot farmacevtskega izdelka za uporabo v humani medicini za zatiranje naglavnih uši in garij, ob upoštevanju zaključne izjave v oceni obvladovanja tveganja glede lindana Odbora za pregled obstojnih organskih onesnaževal, in da o tem sodelovanju poroča Konferenci pogodbenic na petem zasedanju.</w:t>
      </w:r>
    </w:p>
    <w:p w14:paraId="259FBE62" w14:textId="77777777" w:rsidR="00BE3A18" w:rsidRPr="00770D7F" w:rsidRDefault="00BE3A18" w:rsidP="00BE3A18">
      <w:pPr>
        <w:rPr>
          <w:rFonts w:ascii="Arial" w:hAnsi="Arial" w:cs="Arial"/>
          <w:b/>
          <w:bCs/>
          <w:sz w:val="20"/>
          <w:szCs w:val="20"/>
        </w:rPr>
      </w:pPr>
    </w:p>
    <w:p w14:paraId="7C5784A6" w14:textId="77777777" w:rsidR="00BE3A18" w:rsidRPr="00C56D8D" w:rsidRDefault="00BE3A18" w:rsidP="00BE3A18">
      <w:pPr>
        <w:rPr>
          <w:rFonts w:ascii="Arial" w:hAnsi="Arial" w:cs="Arial"/>
          <w:b/>
          <w:bCs/>
          <w:sz w:val="28"/>
          <w:szCs w:val="28"/>
        </w:rPr>
      </w:pPr>
      <w:r w:rsidRPr="00C56D8D">
        <w:rPr>
          <w:rFonts w:ascii="Arial" w:hAnsi="Arial" w:cs="Arial"/>
          <w:b/>
          <w:bCs/>
          <w:sz w:val="28"/>
          <w:szCs w:val="28"/>
        </w:rPr>
        <w:t xml:space="preserve">SC-4/16: </w:t>
      </w:r>
      <w:r w:rsidRPr="00C56D8D">
        <w:rPr>
          <w:rFonts w:ascii="Arial" w:hAnsi="Arial" w:cs="Arial"/>
          <w:b/>
          <w:bCs/>
          <w:sz w:val="28"/>
          <w:szCs w:val="28"/>
          <w:lang w:val="sl"/>
        </w:rPr>
        <w:t xml:space="preserve">Uvrstitev pentaklorobenzena </w:t>
      </w:r>
    </w:p>
    <w:p w14:paraId="4488C658"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Konferenca pogodbenic</w:t>
      </w:r>
      <w:r w:rsidRPr="00770D7F">
        <w:rPr>
          <w:rFonts w:ascii="Arial" w:hAnsi="Arial" w:cs="Arial"/>
          <w:sz w:val="20"/>
          <w:szCs w:val="20"/>
          <w:lang w:val="sl"/>
        </w:rPr>
        <w:t xml:space="preserve">, </w:t>
      </w:r>
    </w:p>
    <w:p w14:paraId="4E2E097E"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glede na</w:t>
      </w:r>
      <w:r w:rsidRPr="00770D7F">
        <w:rPr>
          <w:rFonts w:ascii="Arial" w:hAnsi="Arial" w:cs="Arial"/>
          <w:sz w:val="20"/>
          <w:szCs w:val="20"/>
          <w:lang w:val="sl"/>
        </w:rPr>
        <w:t xml:space="preserve"> opis tveganja, dodatek k opisu tveganja in oceno obvladovanja tveganja za pentaklorobenzen, kot jih je poslal Odbor za pregled obstojnih organskih onesnaževal,</w:t>
      </w:r>
      <w:r w:rsidRPr="00770D7F">
        <w:rPr>
          <w:rStyle w:val="FootnoteReference"/>
          <w:rFonts w:ascii="Arial" w:hAnsi="Arial" w:cs="Arial"/>
          <w:sz w:val="20"/>
          <w:szCs w:val="20"/>
          <w:lang w:val="sl"/>
        </w:rPr>
        <w:footnoteReference w:id="56"/>
      </w:r>
    </w:p>
    <w:p w14:paraId="572EF359"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pentaklorobenzen uvrsti v Prilogo A h konvenciji brez posebnih izjem in v Prilogo C h konvenciji,</w:t>
      </w:r>
      <w:r w:rsidRPr="00770D7F">
        <w:rPr>
          <w:rStyle w:val="FootnoteReference"/>
          <w:rFonts w:ascii="Arial" w:hAnsi="Arial" w:cs="Arial"/>
          <w:sz w:val="20"/>
          <w:szCs w:val="20"/>
          <w:lang w:val="sl"/>
        </w:rPr>
        <w:footnoteReference w:id="57"/>
      </w:r>
      <w:r w:rsidRPr="00770D7F">
        <w:rPr>
          <w:rFonts w:ascii="Arial" w:hAnsi="Arial" w:cs="Arial"/>
          <w:sz w:val="20"/>
          <w:szCs w:val="20"/>
          <w:lang w:val="sl"/>
        </w:rPr>
        <w:t xml:space="preserve"> </w:t>
      </w:r>
    </w:p>
    <w:p w14:paraId="3F3A8F99" w14:textId="38D6B17C" w:rsidR="00BE3A18" w:rsidRPr="00770D7F" w:rsidRDefault="00BE3A18" w:rsidP="00C56D8D">
      <w:pPr>
        <w:ind w:firstLine="708"/>
        <w:rPr>
          <w:rFonts w:ascii="Arial" w:hAnsi="Arial" w:cs="Arial"/>
          <w:sz w:val="20"/>
          <w:szCs w:val="20"/>
        </w:rPr>
      </w:pPr>
      <w:r w:rsidRPr="00770D7F">
        <w:rPr>
          <w:rFonts w:ascii="Arial" w:hAnsi="Arial" w:cs="Arial"/>
          <w:sz w:val="20"/>
          <w:szCs w:val="20"/>
          <w:lang w:val="sl"/>
        </w:rPr>
        <w:t xml:space="preserve">1. </w:t>
      </w:r>
      <w:r w:rsidR="00C56D8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 pentaklorobenzen brez posebnih izjem,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3421CC3D" w14:textId="77777777" w:rsidTr="00BE3A18">
        <w:tc>
          <w:tcPr>
            <w:tcW w:w="3397" w:type="dxa"/>
            <w:shd w:val="clear" w:color="auto" w:fill="auto"/>
          </w:tcPr>
          <w:p w14:paraId="44A3BA7F"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583672C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3BDE1190"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51548FE9" w14:textId="77777777" w:rsidR="00BE3A18" w:rsidRPr="00770D7F" w:rsidRDefault="00BE3A18" w:rsidP="00BE3A18">
            <w:pPr>
              <w:spacing w:after="0" w:line="240" w:lineRule="auto"/>
              <w:rPr>
                <w:rFonts w:ascii="Arial" w:hAnsi="Arial" w:cs="Arial"/>
                <w:sz w:val="18"/>
                <w:szCs w:val="18"/>
              </w:rPr>
            </w:pPr>
          </w:p>
        </w:tc>
      </w:tr>
      <w:tr w:rsidR="00BE3A18" w:rsidRPr="00770D7F" w14:paraId="6C4047E2" w14:textId="77777777" w:rsidTr="00BE3A18">
        <w:tc>
          <w:tcPr>
            <w:tcW w:w="3397" w:type="dxa"/>
            <w:vMerge w:val="restart"/>
            <w:shd w:val="clear" w:color="auto" w:fill="auto"/>
          </w:tcPr>
          <w:p w14:paraId="0FA51DE6"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pentaklorobenzen*</w:t>
            </w:r>
          </w:p>
          <w:p w14:paraId="4C78BCF2"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608-93-5</w:t>
            </w:r>
          </w:p>
        </w:tc>
        <w:tc>
          <w:tcPr>
            <w:tcW w:w="1843" w:type="dxa"/>
            <w:shd w:val="clear" w:color="auto" w:fill="auto"/>
          </w:tcPr>
          <w:p w14:paraId="4EF5793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3A37082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6C3E7F90" w14:textId="77777777" w:rsidTr="00BE3A18">
        <w:tc>
          <w:tcPr>
            <w:tcW w:w="3397" w:type="dxa"/>
            <w:vMerge/>
            <w:shd w:val="clear" w:color="auto" w:fill="auto"/>
          </w:tcPr>
          <w:p w14:paraId="79129E23"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5A499A6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54B62F3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bl>
    <w:p w14:paraId="34B099B2" w14:textId="77777777" w:rsidR="00BE3A18" w:rsidRPr="00770D7F" w:rsidRDefault="00BE3A18" w:rsidP="00BE3A18">
      <w:pPr>
        <w:rPr>
          <w:rFonts w:ascii="Arial" w:hAnsi="Arial" w:cs="Arial"/>
          <w:b/>
          <w:bCs/>
          <w:sz w:val="20"/>
          <w:szCs w:val="20"/>
        </w:rPr>
      </w:pPr>
    </w:p>
    <w:p w14:paraId="7605082B" w14:textId="1F63C255"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rPr>
        <w:t>2.</w:t>
      </w:r>
      <w:r w:rsidRPr="00770D7F">
        <w:rPr>
          <w:rFonts w:ascii="Arial" w:hAnsi="Arial" w:cs="Arial"/>
          <w:b/>
          <w:bCs/>
          <w:sz w:val="20"/>
          <w:szCs w:val="20"/>
        </w:rPr>
        <w:t xml:space="preserve"> </w:t>
      </w:r>
      <w:r w:rsidR="00C56D8D">
        <w:rPr>
          <w:rFonts w:ascii="Arial" w:hAnsi="Arial" w:cs="Arial"/>
          <w:b/>
          <w:bCs/>
          <w:sz w:val="20"/>
          <w:szCs w:val="20"/>
        </w:rPr>
        <w:tab/>
      </w:r>
      <w:r w:rsidRPr="00770D7F">
        <w:rPr>
          <w:rFonts w:ascii="Arial" w:hAnsi="Arial" w:cs="Arial"/>
          <w:i/>
          <w:iCs/>
          <w:sz w:val="20"/>
          <w:szCs w:val="20"/>
          <w:lang w:val="sl"/>
        </w:rPr>
        <w:t xml:space="preserve">sklene tudi </w:t>
      </w:r>
      <w:r w:rsidRPr="00770D7F">
        <w:rPr>
          <w:rFonts w:ascii="Arial" w:hAnsi="Arial" w:cs="Arial"/>
          <w:sz w:val="20"/>
          <w:szCs w:val="20"/>
          <w:lang w:val="sl"/>
        </w:rPr>
        <w:t>spremeniti I. del Priloge C h konvenciji, tako da se vanj uvrsti pentaklorobenzen, in sicer tako, da se vstavi pentaklorobenzen (PeCB) (CAS št.: 608-93-5) v razpredelnico »Kemikalija« za »poliklorirani dibenzo-p-dioksini in dibenzofurani (PCDD/PCDF)«, in tako, da se vstavi »pentaklorobenzen« v prvi odstavek II. dela in III. dela Priloge C za »poliklorirani dibenzo-p-dioksini in dibenzofurani«.</w:t>
      </w:r>
    </w:p>
    <w:p w14:paraId="3A1756E7" w14:textId="77777777" w:rsidR="00BE3A18" w:rsidRPr="00770D7F" w:rsidRDefault="00BE3A18" w:rsidP="00BE3A18">
      <w:pPr>
        <w:rPr>
          <w:rFonts w:ascii="Arial" w:hAnsi="Arial" w:cs="Arial"/>
          <w:b/>
          <w:bCs/>
          <w:sz w:val="20"/>
          <w:szCs w:val="20"/>
        </w:rPr>
      </w:pPr>
    </w:p>
    <w:p w14:paraId="062DB8CF" w14:textId="77777777" w:rsidR="00BE3A18" w:rsidRPr="00C56D8D" w:rsidRDefault="00BE3A18" w:rsidP="00BE3A18">
      <w:pPr>
        <w:rPr>
          <w:rFonts w:ascii="Arial" w:hAnsi="Arial" w:cs="Arial"/>
          <w:b/>
          <w:bCs/>
          <w:sz w:val="28"/>
          <w:szCs w:val="28"/>
        </w:rPr>
      </w:pPr>
      <w:r w:rsidRPr="00C56D8D">
        <w:rPr>
          <w:rFonts w:ascii="Arial" w:hAnsi="Arial" w:cs="Arial"/>
          <w:b/>
          <w:bCs/>
          <w:sz w:val="28"/>
          <w:szCs w:val="28"/>
        </w:rPr>
        <w:t>SC-4/17:</w:t>
      </w:r>
      <w:r w:rsidRPr="00C56D8D">
        <w:rPr>
          <w:rFonts w:ascii="Arial" w:hAnsi="Arial" w:cs="Arial"/>
          <w:sz w:val="28"/>
          <w:szCs w:val="28"/>
        </w:rPr>
        <w:t xml:space="preserve"> </w:t>
      </w:r>
      <w:r w:rsidRPr="00C56D8D">
        <w:rPr>
          <w:rFonts w:ascii="Arial" w:hAnsi="Arial" w:cs="Arial"/>
          <w:b/>
          <w:bCs/>
          <w:sz w:val="28"/>
          <w:szCs w:val="28"/>
          <w:lang w:val="sl"/>
        </w:rPr>
        <w:t xml:space="preserve">Uvrstitev perfluorooktan sulfonske kisline, njenih soli in perfluorooktan sulfonil fluorida </w:t>
      </w:r>
    </w:p>
    <w:p w14:paraId="23179CD1"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Konferenca pogodbenic</w:t>
      </w:r>
      <w:r w:rsidRPr="00770D7F">
        <w:rPr>
          <w:rFonts w:ascii="Arial" w:hAnsi="Arial" w:cs="Arial"/>
          <w:sz w:val="20"/>
          <w:szCs w:val="20"/>
          <w:lang w:val="sl"/>
        </w:rPr>
        <w:t xml:space="preserve">, </w:t>
      </w:r>
    </w:p>
    <w:p w14:paraId="5BE7B991"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glede na</w:t>
      </w:r>
      <w:r w:rsidRPr="00770D7F">
        <w:rPr>
          <w:rFonts w:ascii="Arial" w:hAnsi="Arial" w:cs="Arial"/>
          <w:sz w:val="20"/>
          <w:szCs w:val="20"/>
          <w:lang w:val="sl"/>
        </w:rPr>
        <w:t xml:space="preserve"> opis tveganja, oceno obvladovanja tveganja in dodatek k oceni obvladovanja tveganja za perfluorooktan sulfonat, kot jih je poslal Odbor za pregled obstojnih organskih onesnaževal,</w:t>
      </w:r>
      <w:r w:rsidRPr="00770D7F">
        <w:rPr>
          <w:rStyle w:val="FootnoteReference"/>
          <w:rFonts w:ascii="Arial" w:hAnsi="Arial" w:cs="Arial"/>
          <w:sz w:val="20"/>
          <w:szCs w:val="20"/>
          <w:lang w:val="sl"/>
        </w:rPr>
        <w:footnoteReference w:id="58"/>
      </w:r>
    </w:p>
    <w:p w14:paraId="63C6DFFE"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perfluorooktan sulfonska kislina, njene soli in perfluorooktan sulfonil fluorid uvrstijo v Prilogo A ali Prilogo B h konvenciji,</w:t>
      </w:r>
      <w:r w:rsidRPr="00770D7F">
        <w:rPr>
          <w:rStyle w:val="FootnoteReference"/>
          <w:rFonts w:ascii="Arial" w:hAnsi="Arial" w:cs="Arial"/>
          <w:sz w:val="20"/>
          <w:szCs w:val="20"/>
          <w:lang w:val="sl"/>
        </w:rPr>
        <w:footnoteReference w:id="59"/>
      </w:r>
      <w:r w:rsidRPr="00770D7F">
        <w:rPr>
          <w:rFonts w:ascii="Arial" w:hAnsi="Arial" w:cs="Arial"/>
          <w:sz w:val="20"/>
          <w:szCs w:val="20"/>
          <w:lang w:val="sl"/>
        </w:rPr>
        <w:t xml:space="preserve"> </w:t>
      </w:r>
    </w:p>
    <w:p w14:paraId="5F8BF7D3" w14:textId="5122FA04" w:rsidR="00BE3A18" w:rsidRPr="00770D7F" w:rsidRDefault="00BE3A18" w:rsidP="00C56D8D">
      <w:pPr>
        <w:ind w:firstLine="708"/>
        <w:rPr>
          <w:rFonts w:ascii="Arial" w:hAnsi="Arial" w:cs="Arial"/>
          <w:sz w:val="20"/>
          <w:szCs w:val="20"/>
        </w:rPr>
      </w:pPr>
      <w:r w:rsidRPr="00770D7F">
        <w:rPr>
          <w:rFonts w:ascii="Arial" w:hAnsi="Arial" w:cs="Arial"/>
          <w:sz w:val="20"/>
          <w:szCs w:val="20"/>
          <w:lang w:val="sl"/>
        </w:rPr>
        <w:t xml:space="preserve">1. </w:t>
      </w:r>
      <w:r w:rsidR="00C56D8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B h konvenciji, tako da se vanj uvrstijo perfluorooktan sulfonska kislina, njene soli in perfluorooktan sulfonil fluorid, in sicer tako, da se vstavi naslednja vrstica z navedenimi sprejemljivimi nameni in posebnimi izjemami: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0BDD247A" w14:textId="77777777" w:rsidTr="00BE3A18">
        <w:tc>
          <w:tcPr>
            <w:tcW w:w="3397" w:type="dxa"/>
            <w:shd w:val="clear" w:color="auto" w:fill="auto"/>
          </w:tcPr>
          <w:p w14:paraId="17AF50B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3BB84802"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27AF522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Sprejemljivi namen ali posebna izjema</w:t>
            </w:r>
          </w:p>
          <w:p w14:paraId="0BEFDC25" w14:textId="77777777" w:rsidR="00BE3A18" w:rsidRPr="00770D7F" w:rsidRDefault="00BE3A18" w:rsidP="00BE3A18">
            <w:pPr>
              <w:spacing w:after="0" w:line="240" w:lineRule="auto"/>
              <w:rPr>
                <w:rFonts w:ascii="Arial" w:hAnsi="Arial" w:cs="Arial"/>
                <w:sz w:val="18"/>
                <w:szCs w:val="18"/>
              </w:rPr>
            </w:pPr>
          </w:p>
        </w:tc>
      </w:tr>
      <w:tr w:rsidR="00BE3A18" w:rsidRPr="00770D7F" w14:paraId="71458963" w14:textId="77777777" w:rsidTr="00BE3A18">
        <w:tc>
          <w:tcPr>
            <w:tcW w:w="3397" w:type="dxa"/>
            <w:vMerge w:val="restart"/>
            <w:shd w:val="clear" w:color="auto" w:fill="auto"/>
          </w:tcPr>
          <w:p w14:paraId="3DCD162A"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perfluorooktan sulfonska kislina (CAS št.: 1763-23-1), njene soli</w:t>
            </w:r>
            <w:r w:rsidRPr="00770D7F">
              <w:rPr>
                <w:rFonts w:ascii="Arial" w:hAnsi="Arial" w:cs="Arial"/>
                <w:sz w:val="18"/>
                <w:szCs w:val="18"/>
                <w:vertAlign w:val="superscript"/>
                <w:lang w:val="sl"/>
              </w:rPr>
              <w:t>a</w:t>
            </w:r>
            <w:r w:rsidRPr="00770D7F">
              <w:rPr>
                <w:rFonts w:ascii="Arial" w:hAnsi="Arial" w:cs="Arial"/>
                <w:sz w:val="18"/>
                <w:szCs w:val="18"/>
                <w:lang w:val="sl"/>
              </w:rPr>
              <w:t xml:space="preserve"> in perfluorooktan sulfonil fluorid </w:t>
            </w:r>
          </w:p>
          <w:p w14:paraId="7FD82BC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307-35-7)</w:t>
            </w:r>
          </w:p>
          <w:p w14:paraId="2314B8C1" w14:textId="77777777" w:rsidR="00BE3A18" w:rsidRPr="00770D7F" w:rsidRDefault="00BE3A18" w:rsidP="00BE3A18">
            <w:pPr>
              <w:autoSpaceDE w:val="0"/>
              <w:autoSpaceDN w:val="0"/>
              <w:adjustRightInd w:val="0"/>
              <w:spacing w:after="0" w:line="240" w:lineRule="auto"/>
              <w:rPr>
                <w:rFonts w:ascii="Arial" w:hAnsi="Arial" w:cs="Arial"/>
                <w:sz w:val="18"/>
                <w:szCs w:val="18"/>
              </w:rPr>
            </w:pPr>
          </w:p>
          <w:p w14:paraId="6D008BF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vertAlign w:val="superscript"/>
                <w:lang w:val="sl"/>
              </w:rPr>
              <w:t xml:space="preserve">a </w:t>
            </w:r>
            <w:r w:rsidRPr="00770D7F">
              <w:rPr>
                <w:rFonts w:ascii="Arial" w:hAnsi="Arial" w:cs="Arial"/>
                <w:sz w:val="18"/>
                <w:szCs w:val="18"/>
                <w:lang w:val="sl"/>
              </w:rPr>
              <w:t xml:space="preserve">na primer: kalijev perfluorooktan sulfonat </w:t>
            </w:r>
          </w:p>
          <w:p w14:paraId="49068A5A"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(CAS št.: 2795-39-3); </w:t>
            </w:r>
          </w:p>
          <w:p w14:paraId="1AF66FD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litijev perfluorooktan sulfonat </w:t>
            </w:r>
          </w:p>
          <w:p w14:paraId="7B2D8071"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(CAS št.: 29457-72-5); amonijev perfluorooktan sulfonat </w:t>
            </w:r>
          </w:p>
          <w:p w14:paraId="1BA55A2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(CAS št.: 29081-56-9); </w:t>
            </w:r>
          </w:p>
          <w:p w14:paraId="317F46D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dietanolamonijev perfluorooktan sulfonat </w:t>
            </w:r>
          </w:p>
          <w:p w14:paraId="7ACD1E9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70225-14-8);</w:t>
            </w:r>
          </w:p>
          <w:p w14:paraId="2A1C409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tetraetilamonijev perfluorooktan </w:t>
            </w:r>
          </w:p>
          <w:p w14:paraId="18E65BF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sulfonat </w:t>
            </w:r>
          </w:p>
          <w:p w14:paraId="5863B3C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56773-42-3);</w:t>
            </w:r>
          </w:p>
          <w:p w14:paraId="03F5B6D6"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didecildimetilamonijev perfluorooktan sulfonat </w:t>
            </w:r>
          </w:p>
          <w:p w14:paraId="0473F0C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251099-16-8)</w:t>
            </w:r>
          </w:p>
        </w:tc>
        <w:tc>
          <w:tcPr>
            <w:tcW w:w="1843" w:type="dxa"/>
            <w:shd w:val="clear" w:color="auto" w:fill="auto"/>
          </w:tcPr>
          <w:p w14:paraId="6EE8F59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7A232A0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b/>
                <w:bCs/>
                <w:sz w:val="18"/>
                <w:szCs w:val="18"/>
                <w:lang w:val="sl"/>
              </w:rPr>
              <w:t>Sprejemljivi namen:</w:t>
            </w:r>
          </w:p>
          <w:p w14:paraId="3211208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v skladu s III. delom te priloge</w:t>
            </w:r>
          </w:p>
          <w:p w14:paraId="561A5D0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lastRenderedPageBreak/>
              <w:t>proizvodnja drugih kemikalij, ki se lahko</w:t>
            </w:r>
          </w:p>
          <w:p w14:paraId="4C6F7191"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uporabljajo izključno za spodaj navedeno rabo. Proizvodnja za </w:t>
            </w:r>
          </w:p>
          <w:p w14:paraId="6A649EF7"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spodaj navedeno rabo.</w:t>
            </w:r>
          </w:p>
          <w:p w14:paraId="31335B06" w14:textId="77777777" w:rsidR="00BE3A18" w:rsidRPr="00770D7F" w:rsidRDefault="00BE3A18" w:rsidP="00BE3A18">
            <w:pPr>
              <w:spacing w:after="0" w:line="240" w:lineRule="auto"/>
              <w:rPr>
                <w:rFonts w:ascii="Arial" w:hAnsi="Arial" w:cs="Arial"/>
                <w:b/>
                <w:bCs/>
                <w:sz w:val="18"/>
                <w:szCs w:val="18"/>
                <w:lang w:val="sl"/>
              </w:rPr>
            </w:pPr>
          </w:p>
          <w:p w14:paraId="1A37C13C" w14:textId="77777777" w:rsidR="00BE3A18" w:rsidRPr="00770D7F" w:rsidRDefault="00BE3A18" w:rsidP="00BE3A18">
            <w:pPr>
              <w:spacing w:after="0" w:line="240" w:lineRule="auto"/>
              <w:rPr>
                <w:rFonts w:ascii="Arial" w:hAnsi="Arial" w:cs="Arial"/>
                <w:sz w:val="18"/>
                <w:szCs w:val="18"/>
                <w:lang w:val="sl"/>
              </w:rPr>
            </w:pPr>
            <w:r w:rsidRPr="00770D7F">
              <w:rPr>
                <w:rFonts w:ascii="Arial" w:hAnsi="Arial" w:cs="Arial"/>
                <w:b/>
                <w:bCs/>
                <w:sz w:val="18"/>
                <w:szCs w:val="18"/>
                <w:lang w:val="sl"/>
              </w:rPr>
              <w:t>Posebna izjema:</w:t>
            </w:r>
            <w:r w:rsidRPr="00770D7F">
              <w:rPr>
                <w:rFonts w:ascii="Arial" w:hAnsi="Arial" w:cs="Arial"/>
                <w:sz w:val="18"/>
                <w:szCs w:val="18"/>
                <w:lang w:val="sl"/>
              </w:rPr>
              <w:t xml:space="preserve"> </w:t>
            </w:r>
          </w:p>
          <w:p w14:paraId="67FCDC4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kot je dovoljeno za pogodbenice, navedene v registru.</w:t>
            </w:r>
          </w:p>
          <w:p w14:paraId="6A9BACEA"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r>
      <w:tr w:rsidR="00BE3A18" w:rsidRPr="00770D7F" w14:paraId="309499F1" w14:textId="77777777" w:rsidTr="00BE3A18">
        <w:tc>
          <w:tcPr>
            <w:tcW w:w="3397" w:type="dxa"/>
            <w:vMerge/>
            <w:shd w:val="clear" w:color="auto" w:fill="auto"/>
          </w:tcPr>
          <w:p w14:paraId="13B488E3"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0FF431E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262C133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b/>
                <w:bCs/>
                <w:sz w:val="18"/>
                <w:szCs w:val="18"/>
                <w:lang w:val="sl"/>
              </w:rPr>
              <w:t>Sprejemljivi namen:</w:t>
            </w:r>
          </w:p>
          <w:p w14:paraId="03E8D3D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v skladu s III. delom te priloge za naslednje sprejemljive namene ali kot</w:t>
            </w:r>
          </w:p>
          <w:p w14:paraId="161453F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vmesni proizvod pri proizvodnji kemikalij z naslednjimi sprejemljivimi nameni:</w:t>
            </w:r>
          </w:p>
          <w:p w14:paraId="24E64203" w14:textId="77777777" w:rsidR="00BE3A18" w:rsidRPr="00770D7F" w:rsidRDefault="00BE3A18" w:rsidP="00BE3A18">
            <w:pPr>
              <w:autoSpaceDE w:val="0"/>
              <w:autoSpaceDN w:val="0"/>
              <w:adjustRightInd w:val="0"/>
              <w:spacing w:after="0" w:line="240" w:lineRule="auto"/>
              <w:rPr>
                <w:rFonts w:ascii="Arial" w:hAnsi="Arial" w:cs="Arial"/>
                <w:sz w:val="18"/>
                <w:szCs w:val="18"/>
              </w:rPr>
            </w:pPr>
          </w:p>
          <w:p w14:paraId="307F3CAA"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fotografiranje </w:t>
            </w:r>
          </w:p>
          <w:p w14:paraId="1C471BDA"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fotoodporni in protiodsevni premazi za polprevodnike </w:t>
            </w:r>
          </w:p>
          <w:p w14:paraId="6F0448B8"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sredstvo za jedkanje sestavljenih polprevodnikov in keramičnih filtrov</w:t>
            </w:r>
          </w:p>
          <w:p w14:paraId="1266A279"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t xml:space="preserve"> </w:t>
            </w:r>
            <w:r w:rsidRPr="00770D7F">
              <w:rPr>
                <w:rFonts w:ascii="Arial" w:hAnsi="Arial" w:cs="Arial"/>
                <w:sz w:val="18"/>
                <w:szCs w:val="18"/>
                <w:lang w:val="sl"/>
              </w:rPr>
              <w:sym w:font="Symbol" w:char="F0B7"/>
            </w:r>
            <w:r w:rsidRPr="00770D7F">
              <w:rPr>
                <w:rFonts w:ascii="Arial" w:hAnsi="Arial" w:cs="Arial"/>
                <w:sz w:val="18"/>
                <w:szCs w:val="18"/>
                <w:lang w:val="sl"/>
              </w:rPr>
              <w:t xml:space="preserve"> letalske hidravlične tekočine </w:t>
            </w:r>
          </w:p>
          <w:p w14:paraId="0673B787"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kovinske prevleke (trde kovinske prevleke) samo v zaprtih krožnih sistemih </w:t>
            </w:r>
          </w:p>
          <w:p w14:paraId="20547908"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nekateri medicinski pripomočki (kot so pridobivanje prevlek iz kopolimera etilena in tetrafluoroetilena (ETFE) ter radio neprepustnega ETFE, in vitro diagnostični medicinski pripomočki in barvni filtri CCD) </w:t>
            </w:r>
          </w:p>
          <w:p w14:paraId="63B3EA37"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gasilna pena </w:t>
            </w:r>
          </w:p>
          <w:p w14:paraId="082D36AC" w14:textId="77777777" w:rsidR="00BE3A18" w:rsidRPr="00770D7F" w:rsidRDefault="00BE3A18" w:rsidP="00BE3A18">
            <w:pPr>
              <w:spacing w:after="60" w:line="240" w:lineRule="auto"/>
              <w:rPr>
                <w:rFonts w:ascii="Arial" w:hAnsi="Arial" w:cs="Arial"/>
                <w:sz w:val="18"/>
                <w:szCs w:val="18"/>
                <w:lang w:val="sl"/>
              </w:rPr>
            </w:pPr>
            <w:r w:rsidRPr="00770D7F">
              <w:rPr>
                <w:rFonts w:ascii="Arial" w:hAnsi="Arial" w:cs="Arial"/>
                <w:sz w:val="18"/>
                <w:szCs w:val="18"/>
                <w:lang w:val="sl"/>
              </w:rPr>
              <w:sym w:font="Symbol" w:char="F0B7"/>
            </w:r>
            <w:r w:rsidRPr="00770D7F">
              <w:rPr>
                <w:rFonts w:ascii="Arial" w:hAnsi="Arial" w:cs="Arial"/>
                <w:sz w:val="18"/>
                <w:szCs w:val="18"/>
                <w:lang w:val="sl"/>
              </w:rPr>
              <w:t xml:space="preserve"> vabe za žuželke za zatiranje krojaških mravelj vrste Atta spp. in vrste Acromyrmex spp. </w:t>
            </w:r>
          </w:p>
          <w:p w14:paraId="49970D2C" w14:textId="77777777" w:rsidR="00BE3A18" w:rsidRPr="00770D7F" w:rsidRDefault="00BE3A18" w:rsidP="00BE3A18">
            <w:pPr>
              <w:spacing w:after="60" w:line="240" w:lineRule="auto"/>
              <w:rPr>
                <w:rFonts w:ascii="Arial" w:hAnsi="Arial" w:cs="Arial"/>
                <w:sz w:val="18"/>
                <w:szCs w:val="18"/>
                <w:lang w:val="sl"/>
              </w:rPr>
            </w:pPr>
          </w:p>
          <w:p w14:paraId="42E11CA9"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b/>
                <w:bCs/>
                <w:sz w:val="18"/>
                <w:szCs w:val="18"/>
                <w:lang w:val="sl"/>
              </w:rPr>
              <w:t>Posebna izjema:</w:t>
            </w:r>
            <w:r w:rsidRPr="00770D7F">
              <w:rPr>
                <w:rFonts w:ascii="Arial" w:hAnsi="Arial" w:cs="Arial"/>
                <w:sz w:val="18"/>
                <w:szCs w:val="18"/>
                <w:lang w:val="sl"/>
              </w:rPr>
              <w:t xml:space="preserve"> za naslednje posebne uporabe ali kot vmesni proizvod pri proizvodnji kemikalij z naslednjimi posebnimi uporabami: </w:t>
            </w:r>
          </w:p>
          <w:p w14:paraId="51156AC4"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t xml:space="preserve"> </w:t>
            </w:r>
            <w:r w:rsidRPr="00770D7F">
              <w:rPr>
                <w:rFonts w:ascii="Arial" w:hAnsi="Arial" w:cs="Arial"/>
                <w:sz w:val="18"/>
                <w:szCs w:val="18"/>
                <w:lang w:val="sl"/>
              </w:rPr>
              <w:sym w:font="Symbol" w:char="F0B7"/>
            </w:r>
            <w:r w:rsidRPr="00770D7F">
              <w:rPr>
                <w:rFonts w:ascii="Arial" w:hAnsi="Arial" w:cs="Arial"/>
                <w:sz w:val="18"/>
                <w:szCs w:val="18"/>
                <w:lang w:val="sl"/>
              </w:rPr>
              <w:t xml:space="preserve"> fotomaske v industriji polprevodnikov in zaslonov s tekočimi kristali (LCD) </w:t>
            </w:r>
          </w:p>
          <w:p w14:paraId="3DADC635"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kovinske prevleke (trde kovinske prevleke) </w:t>
            </w:r>
          </w:p>
          <w:p w14:paraId="4E99B366"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kovinske prevleke (dekorativne prevleke) </w:t>
            </w:r>
          </w:p>
          <w:p w14:paraId="79842937"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električni in elektronski deli za nekatere barvne tiskalnike in stroje za barvno kopiranje </w:t>
            </w:r>
          </w:p>
          <w:p w14:paraId="5E2E2907"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insekticidi za zatiranje uvoženih rdečih ognjenih mravelj in termitov </w:t>
            </w:r>
          </w:p>
          <w:p w14:paraId="2BE8C9BC"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proizvodnja nafte z uporabo kemikalij </w:t>
            </w:r>
          </w:p>
          <w:p w14:paraId="1C90031F"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preproge </w:t>
            </w:r>
          </w:p>
          <w:p w14:paraId="5BD47D39"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usnje in oblačila </w:t>
            </w:r>
          </w:p>
          <w:p w14:paraId="01D4E00F"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tekstil in oblazinjenje </w:t>
            </w:r>
          </w:p>
          <w:p w14:paraId="5EA44596" w14:textId="77777777" w:rsidR="00BE3A18" w:rsidRPr="00770D7F" w:rsidRDefault="00BE3A18" w:rsidP="00BE3A18">
            <w:pPr>
              <w:spacing w:after="60" w:line="240" w:lineRule="auto"/>
              <w:rPr>
                <w:rFonts w:ascii="Arial" w:hAnsi="Arial" w:cs="Arial"/>
                <w:sz w:val="18"/>
                <w:szCs w:val="18"/>
                <w:lang w:val="sl"/>
              </w:rPr>
            </w:pPr>
            <w:r w:rsidRPr="00770D7F">
              <w:rPr>
                <w:rFonts w:ascii="Arial" w:hAnsi="Arial" w:cs="Arial"/>
                <w:sz w:val="18"/>
                <w:szCs w:val="18"/>
                <w:lang w:val="sl"/>
              </w:rPr>
              <w:sym w:font="Symbol" w:char="F0B7"/>
            </w:r>
            <w:r w:rsidRPr="00770D7F">
              <w:rPr>
                <w:rFonts w:ascii="Arial" w:hAnsi="Arial" w:cs="Arial"/>
                <w:sz w:val="18"/>
                <w:szCs w:val="18"/>
                <w:lang w:val="sl"/>
              </w:rPr>
              <w:t xml:space="preserve"> papir in embalaža </w:t>
            </w:r>
          </w:p>
          <w:p w14:paraId="5F0E76CA"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premazi in dodatki za premaze </w:t>
            </w:r>
          </w:p>
          <w:p w14:paraId="48F0186C" w14:textId="77777777" w:rsidR="00BE3A18" w:rsidRPr="00770D7F" w:rsidRDefault="00BE3A18" w:rsidP="00BE3A18">
            <w:pPr>
              <w:spacing w:after="60" w:line="240" w:lineRule="auto"/>
              <w:rPr>
                <w:rFonts w:ascii="Arial" w:hAnsi="Arial" w:cs="Arial"/>
                <w:sz w:val="18"/>
                <w:szCs w:val="18"/>
              </w:rPr>
            </w:pPr>
            <w:r w:rsidRPr="00770D7F">
              <w:rPr>
                <w:rFonts w:ascii="Arial" w:hAnsi="Arial" w:cs="Arial"/>
                <w:sz w:val="18"/>
                <w:szCs w:val="18"/>
                <w:lang w:val="sl"/>
              </w:rPr>
              <w:sym w:font="Symbol" w:char="F0B7"/>
            </w:r>
            <w:r w:rsidRPr="00770D7F">
              <w:rPr>
                <w:rFonts w:ascii="Arial" w:hAnsi="Arial" w:cs="Arial"/>
                <w:sz w:val="18"/>
                <w:szCs w:val="18"/>
                <w:lang w:val="sl"/>
              </w:rPr>
              <w:t xml:space="preserve"> guma in plastika</w:t>
            </w:r>
          </w:p>
          <w:p w14:paraId="3DE5B66F"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r>
    </w:tbl>
    <w:p w14:paraId="4FE26F51" w14:textId="77777777" w:rsidR="00BE3A18" w:rsidRPr="00770D7F" w:rsidRDefault="00BE3A18" w:rsidP="00BE3A18">
      <w:pPr>
        <w:rPr>
          <w:rFonts w:ascii="Arial" w:hAnsi="Arial" w:cs="Arial"/>
          <w:b/>
          <w:bCs/>
          <w:sz w:val="20"/>
          <w:szCs w:val="20"/>
        </w:rPr>
      </w:pPr>
    </w:p>
    <w:p w14:paraId="3CD55C2E" w14:textId="45DE3BB4"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2. </w:t>
      </w:r>
      <w:r w:rsidR="00C56D8D">
        <w:rPr>
          <w:rFonts w:ascii="Arial" w:hAnsi="Arial" w:cs="Arial"/>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vstaviti nov III. del v Prilogo B z naslovom »Perfluorooktan sulfonska kislina (PFOS), njene soli in perfluorooktan sulfonil fluorid (PFOSF)«, ki se glasi:</w:t>
      </w:r>
    </w:p>
    <w:p w14:paraId="603E1DCF"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4A0A8AE1"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lastRenderedPageBreak/>
        <w:t>III. del</w:t>
      </w:r>
    </w:p>
    <w:p w14:paraId="514161C1" w14:textId="77777777" w:rsidR="00C56D8D" w:rsidRDefault="00BE3A18" w:rsidP="00BE3A18">
      <w:pPr>
        <w:autoSpaceDE w:val="0"/>
        <w:autoSpaceDN w:val="0"/>
        <w:adjustRightInd w:val="0"/>
        <w:spacing w:after="0" w:line="240" w:lineRule="auto"/>
        <w:ind w:left="708"/>
        <w:jc w:val="center"/>
        <w:rPr>
          <w:rFonts w:ascii="Arial" w:hAnsi="Arial" w:cs="Arial"/>
          <w:b/>
          <w:bCs/>
          <w:sz w:val="20"/>
          <w:szCs w:val="20"/>
          <w:lang w:val="sl"/>
        </w:rPr>
      </w:pPr>
      <w:r w:rsidRPr="00770D7F">
        <w:rPr>
          <w:rFonts w:ascii="Arial" w:hAnsi="Arial" w:cs="Arial"/>
          <w:b/>
          <w:bCs/>
          <w:sz w:val="20"/>
          <w:szCs w:val="20"/>
          <w:lang w:val="sl"/>
        </w:rPr>
        <w:t xml:space="preserve">Perfluorooktan sulfonska kislina, </w:t>
      </w:r>
    </w:p>
    <w:p w14:paraId="117EBD2C" w14:textId="79A53078"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njene soli in perfluorooktan sulfonil fluorid</w:t>
      </w:r>
    </w:p>
    <w:p w14:paraId="462BF5E2" w14:textId="77777777" w:rsidR="00BE3A18" w:rsidRPr="00770D7F" w:rsidRDefault="00BE3A18" w:rsidP="00C56D8D">
      <w:pPr>
        <w:autoSpaceDE w:val="0"/>
        <w:autoSpaceDN w:val="0"/>
        <w:adjustRightInd w:val="0"/>
        <w:spacing w:after="0" w:line="240" w:lineRule="auto"/>
        <w:ind w:left="2268"/>
        <w:rPr>
          <w:rFonts w:ascii="Arial" w:hAnsi="Arial" w:cs="Arial"/>
          <w:sz w:val="20"/>
          <w:szCs w:val="20"/>
        </w:rPr>
      </w:pPr>
    </w:p>
    <w:p w14:paraId="1F84C216"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1.</w:t>
      </w:r>
      <w:r w:rsidRPr="00770D7F">
        <w:rPr>
          <w:rFonts w:ascii="Arial" w:hAnsi="Arial" w:cs="Arial"/>
          <w:i/>
          <w:iCs/>
          <w:sz w:val="20"/>
          <w:szCs w:val="20"/>
          <w:lang w:val="sl"/>
        </w:rPr>
        <w:t xml:space="preserve"> </w:t>
      </w:r>
      <w:r w:rsidRPr="00770D7F">
        <w:rPr>
          <w:rFonts w:ascii="Arial" w:hAnsi="Arial" w:cs="Arial"/>
          <w:sz w:val="20"/>
          <w:szCs w:val="20"/>
          <w:lang w:val="sl"/>
        </w:rPr>
        <w:t>Odpravita se proizvodnja in uporaba perfluorooktan sulfonske kisline (PFOS), njenih soli in perfluorooktan sulfonil fluorida (PFOSF), razen kot je določeno v I. delu te priloge za pogodbenice, ki so uradno obvestile Sekretariat, da jih nameravajo proizvajati in/ali uporabljati za sprejemljive namene. S tem se uvede register sprejemljivih namenov, ki je na voljo javnosti. Register sprejemljivih namenov vodi Sekretariat. Če pogodbenica, ki ni vpisana v register, ugotovi, da potrebuje PFOS, njene soli ali PFOSF za sprejemljive namene, navedene v I. delu te priloge, o tem čim prej uradno obvesti Sekretariat, da bi se njeno ime dodalo v register.</w:t>
      </w:r>
    </w:p>
    <w:p w14:paraId="43167772"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4FF125C2"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2.</w:t>
      </w:r>
      <w:r w:rsidRPr="00770D7F">
        <w:rPr>
          <w:rFonts w:ascii="Arial" w:hAnsi="Arial" w:cs="Arial"/>
          <w:i/>
          <w:iCs/>
          <w:sz w:val="20"/>
          <w:szCs w:val="20"/>
          <w:lang w:val="sl"/>
        </w:rPr>
        <w:t xml:space="preserve"> </w:t>
      </w:r>
      <w:r w:rsidRPr="00770D7F">
        <w:rPr>
          <w:rFonts w:ascii="Arial" w:hAnsi="Arial" w:cs="Arial"/>
          <w:sz w:val="20"/>
          <w:szCs w:val="20"/>
          <w:lang w:val="sl"/>
        </w:rPr>
        <w:t>Pogodbenice, ki proizvajajo in/ali uporabljajo te kemikalije, ustrezno upoštevajo navodila, navedena v ustreznih delih splošnih smernic o najboljših razpoložljivih tehnikah in najboljših okoljskih praksah iz V. dela Priloge C h konvenciji.</w:t>
      </w:r>
    </w:p>
    <w:p w14:paraId="7142590B"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195EE579"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lang w:val="sl"/>
        </w:rPr>
      </w:pPr>
      <w:r w:rsidRPr="00770D7F">
        <w:rPr>
          <w:rFonts w:ascii="Arial" w:hAnsi="Arial" w:cs="Arial"/>
          <w:sz w:val="20"/>
          <w:szCs w:val="20"/>
          <w:lang w:val="sl"/>
        </w:rPr>
        <w:t>3. Pogodbenica, ki uporablja in/ali proizvaja te kemikalije, vsaka štiri leta poroča o napredku pri opuščanju PFOS, njenih soli in PFOSF ter informacije o napredku predloži Konferenci pogodbenic</w:t>
      </w:r>
      <w:r w:rsidRPr="00770D7F">
        <w:rPr>
          <w:rFonts w:ascii="Arial" w:hAnsi="Arial" w:cs="Arial"/>
          <w:sz w:val="20"/>
          <w:szCs w:val="20"/>
        </w:rPr>
        <w:t xml:space="preserve"> </w:t>
      </w:r>
      <w:r w:rsidRPr="00770D7F">
        <w:rPr>
          <w:rFonts w:ascii="Arial" w:hAnsi="Arial" w:cs="Arial"/>
          <w:sz w:val="20"/>
          <w:szCs w:val="20"/>
          <w:lang w:val="sl"/>
        </w:rPr>
        <w:t xml:space="preserve">v postopku poročanja v skladu s 15. členom konvencije. </w:t>
      </w:r>
    </w:p>
    <w:p w14:paraId="68960AC7"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lang w:val="sl"/>
        </w:rPr>
      </w:pPr>
    </w:p>
    <w:p w14:paraId="5F285A7E"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4.</w:t>
      </w:r>
      <w:r w:rsidRPr="00770D7F">
        <w:rPr>
          <w:rFonts w:ascii="Arial" w:hAnsi="Arial" w:cs="Arial"/>
          <w:i/>
          <w:iCs/>
          <w:sz w:val="20"/>
          <w:szCs w:val="20"/>
          <w:lang w:val="sl"/>
        </w:rPr>
        <w:t xml:space="preserve"> </w:t>
      </w:r>
      <w:r w:rsidRPr="00770D7F">
        <w:rPr>
          <w:rFonts w:ascii="Arial" w:hAnsi="Arial" w:cs="Arial"/>
          <w:sz w:val="20"/>
          <w:szCs w:val="20"/>
          <w:lang w:val="sl"/>
        </w:rPr>
        <w:t>Zaradi zmanjšanja in končne odprave proizvodnje in/ali uporabe teh kemikalij Konferenca pogodbenic</w:t>
      </w:r>
      <w:r w:rsidRPr="00770D7F">
        <w:rPr>
          <w:rFonts w:ascii="Arial" w:hAnsi="Arial" w:cs="Arial"/>
          <w:sz w:val="20"/>
          <w:szCs w:val="20"/>
        </w:rPr>
        <w:t xml:space="preserve"> </w:t>
      </w:r>
      <w:r w:rsidRPr="00770D7F">
        <w:rPr>
          <w:rFonts w:ascii="Arial" w:hAnsi="Arial" w:cs="Arial"/>
          <w:sz w:val="20"/>
          <w:szCs w:val="20"/>
          <w:lang w:val="sl"/>
        </w:rPr>
        <w:t xml:space="preserve">spodbuja: </w:t>
      </w:r>
    </w:p>
    <w:p w14:paraId="2A248AB0"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56E93F87"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(a) vsako pogodbenico, ki uporablja te kemikalije, da sprejme ukrepe za postopno opustitev njihove uporabe, če so na voljo alternativne snovi ali metode;</w:t>
      </w:r>
    </w:p>
    <w:p w14:paraId="4D3703B8"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52969657"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(b) vsako pogodbenico, ki uporablja in/ali proizvaja te kemikalije, da oblikuje in izvaja akcijski načrt kot del izvedbenega načrta iz 7. člena konvencije;</w:t>
      </w:r>
    </w:p>
    <w:p w14:paraId="7612620A"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3A48230D"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(c) pogodbenice, da v okviru svojih zmogljivosti spodbujajo raziskave in razvoj varnih alternativnih kemičnih in nekemičnih proizvodov, metod in strategij za pogodbenice, ki uporabljajo te kemikalije, ustrezno razmeram v teh državah. Pri izbiri alternativ ali kombinacij alternativ je treba upoštevati predvsem te dejavnike: tveganje za zdravje ljudi in učinke na okolje, ki jih povzročajo take alternative.</w:t>
      </w:r>
    </w:p>
    <w:p w14:paraId="7C7588A7"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44087431"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 xml:space="preserve">5. Konferenca pogodbenic oceni, ali je še potreba po posameznih sprejemljivih namenih in posebnih izjemah za te kemikalije, in sicer na podlagi razpoložljivih znanstvenih, tehničnih, okoljskih in gospodarskih informacij, vključno z: </w:t>
      </w:r>
    </w:p>
    <w:p w14:paraId="135E49A8"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233C5AF2"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(a) informacijami iz poročil iz tretjega odstavka;</w:t>
      </w:r>
    </w:p>
    <w:p w14:paraId="7CE05EA8" w14:textId="77777777" w:rsidR="00C56D8D" w:rsidRDefault="00C56D8D" w:rsidP="00C56D8D">
      <w:pPr>
        <w:autoSpaceDE w:val="0"/>
        <w:autoSpaceDN w:val="0"/>
        <w:adjustRightInd w:val="0"/>
        <w:spacing w:after="0" w:line="240" w:lineRule="auto"/>
        <w:ind w:left="2268" w:right="1134"/>
        <w:rPr>
          <w:rFonts w:ascii="Arial" w:hAnsi="Arial" w:cs="Arial"/>
          <w:sz w:val="20"/>
          <w:szCs w:val="20"/>
          <w:lang w:val="sl"/>
        </w:rPr>
      </w:pPr>
    </w:p>
    <w:p w14:paraId="5D79B022" w14:textId="54F95936"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(b) informacijami o proizvodnji in uporabi teh kemikalij;</w:t>
      </w:r>
    </w:p>
    <w:p w14:paraId="7312DA7E" w14:textId="77777777" w:rsidR="00C56D8D" w:rsidRDefault="00C56D8D" w:rsidP="00C56D8D">
      <w:pPr>
        <w:autoSpaceDE w:val="0"/>
        <w:autoSpaceDN w:val="0"/>
        <w:adjustRightInd w:val="0"/>
        <w:spacing w:after="0" w:line="240" w:lineRule="auto"/>
        <w:ind w:left="2268" w:right="1134"/>
        <w:rPr>
          <w:rFonts w:ascii="Arial" w:hAnsi="Arial" w:cs="Arial"/>
          <w:sz w:val="20"/>
          <w:szCs w:val="20"/>
          <w:lang w:val="sl"/>
        </w:rPr>
      </w:pPr>
    </w:p>
    <w:p w14:paraId="2066E75D" w14:textId="469C3E6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(c) informacijami o razpoložljivosti, primernosti in načinu izvajanja oziroma uporabe alternativ za te kemikalije;</w:t>
      </w:r>
    </w:p>
    <w:p w14:paraId="1C1D0D4C" w14:textId="77777777" w:rsidR="00C56D8D" w:rsidRDefault="00C56D8D" w:rsidP="00C56D8D">
      <w:pPr>
        <w:autoSpaceDE w:val="0"/>
        <w:autoSpaceDN w:val="0"/>
        <w:adjustRightInd w:val="0"/>
        <w:spacing w:after="0" w:line="240" w:lineRule="auto"/>
        <w:ind w:left="2268" w:right="1134"/>
        <w:rPr>
          <w:rFonts w:ascii="Arial" w:hAnsi="Arial" w:cs="Arial"/>
          <w:sz w:val="20"/>
          <w:szCs w:val="20"/>
          <w:lang w:val="sl"/>
        </w:rPr>
      </w:pPr>
    </w:p>
    <w:p w14:paraId="26C69A8D" w14:textId="35551540"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(d) informacijami o napredku pri povečevanju zmogljivosti držav, da varno preidejo na široko uporabo takih alternativ.</w:t>
      </w:r>
    </w:p>
    <w:p w14:paraId="2C23DCCE" w14:textId="77777777" w:rsidR="00BE3A18" w:rsidRPr="00770D7F" w:rsidRDefault="00BE3A18" w:rsidP="00C56D8D">
      <w:pPr>
        <w:autoSpaceDE w:val="0"/>
        <w:autoSpaceDN w:val="0"/>
        <w:adjustRightInd w:val="0"/>
        <w:spacing w:after="0" w:line="240" w:lineRule="auto"/>
        <w:ind w:left="2268" w:right="1134"/>
        <w:rPr>
          <w:rFonts w:ascii="Arial" w:hAnsi="Arial" w:cs="Arial"/>
          <w:b/>
          <w:bCs/>
          <w:sz w:val="20"/>
          <w:szCs w:val="20"/>
        </w:rPr>
      </w:pPr>
    </w:p>
    <w:p w14:paraId="76DA8C8C"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 xml:space="preserve">6. Ocenjevanje iz prejšnjega odstavka se opravi najpozneje leta 2015 in zatem vsaka štiri leta, ob rednih zasedanjih Konference pogodbenic. </w:t>
      </w:r>
    </w:p>
    <w:p w14:paraId="394EBC2A"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1C9560EA"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7. Zaradi zapletene uporabe teh kemikalij in številnih družbenih področij, kjer se uporabljajo, je mogoče, da se te kemikalije uporabljajo za namene, s katerimi države trenutno niso seznanjene. Pogodbenice, ki se seznanijo z drugimi uporabami, se spodbujajo, da o tem čim prej uradno obvestijo Sekretariat.</w:t>
      </w:r>
    </w:p>
    <w:p w14:paraId="29B3B9B1" w14:textId="77777777" w:rsidR="00BE3A18" w:rsidRPr="00770D7F" w:rsidRDefault="00BE3A18" w:rsidP="00C56D8D">
      <w:pPr>
        <w:autoSpaceDE w:val="0"/>
        <w:autoSpaceDN w:val="0"/>
        <w:adjustRightInd w:val="0"/>
        <w:spacing w:after="0" w:line="240" w:lineRule="auto"/>
        <w:ind w:left="2268"/>
        <w:rPr>
          <w:rFonts w:ascii="Arial" w:hAnsi="Arial" w:cs="Arial"/>
          <w:sz w:val="20"/>
          <w:szCs w:val="20"/>
        </w:rPr>
      </w:pPr>
    </w:p>
    <w:p w14:paraId="6EE7761E" w14:textId="77777777" w:rsidR="00BE3A18" w:rsidRPr="00770D7F" w:rsidRDefault="00BE3A18" w:rsidP="00C56D8D">
      <w:pPr>
        <w:autoSpaceDE w:val="0"/>
        <w:autoSpaceDN w:val="0"/>
        <w:adjustRightInd w:val="0"/>
        <w:spacing w:after="0" w:line="240" w:lineRule="auto"/>
        <w:ind w:left="2268"/>
        <w:rPr>
          <w:rFonts w:ascii="Arial" w:hAnsi="Arial" w:cs="Arial"/>
          <w:sz w:val="20"/>
          <w:szCs w:val="20"/>
        </w:rPr>
      </w:pPr>
      <w:r w:rsidRPr="00770D7F">
        <w:rPr>
          <w:rFonts w:ascii="Arial" w:hAnsi="Arial" w:cs="Arial"/>
          <w:sz w:val="20"/>
          <w:szCs w:val="20"/>
          <w:lang w:val="sl"/>
        </w:rPr>
        <w:t>8. Vsaka pogodbenica lahko kadar koli umakne svoje ime iz registra sprejemljivih namenov s pisnim uradnim obvestilom Sekretariatu. Umik začne veljati na datum, določen v uradnem obvestilu.</w:t>
      </w:r>
    </w:p>
    <w:p w14:paraId="40AB4D4B" w14:textId="77777777" w:rsidR="00BE3A18" w:rsidRPr="00770D7F" w:rsidRDefault="00BE3A18" w:rsidP="00C56D8D">
      <w:pPr>
        <w:autoSpaceDE w:val="0"/>
        <w:autoSpaceDN w:val="0"/>
        <w:adjustRightInd w:val="0"/>
        <w:spacing w:after="0" w:line="240" w:lineRule="auto"/>
        <w:ind w:left="2268"/>
        <w:rPr>
          <w:rFonts w:ascii="Arial" w:hAnsi="Arial" w:cs="Arial"/>
          <w:sz w:val="20"/>
          <w:szCs w:val="20"/>
        </w:rPr>
      </w:pPr>
    </w:p>
    <w:p w14:paraId="06C0FB69" w14:textId="77777777" w:rsidR="00BE3A18" w:rsidRPr="00770D7F" w:rsidRDefault="00BE3A18" w:rsidP="00C56D8D">
      <w:pPr>
        <w:autoSpaceDE w:val="0"/>
        <w:autoSpaceDN w:val="0"/>
        <w:adjustRightInd w:val="0"/>
        <w:spacing w:after="0" w:line="240" w:lineRule="auto"/>
        <w:ind w:left="2268"/>
        <w:rPr>
          <w:rFonts w:ascii="Arial" w:hAnsi="Arial" w:cs="Arial"/>
          <w:sz w:val="20"/>
          <w:szCs w:val="20"/>
        </w:rPr>
      </w:pPr>
      <w:r w:rsidRPr="00770D7F">
        <w:rPr>
          <w:rFonts w:ascii="Arial" w:hAnsi="Arial" w:cs="Arial"/>
          <w:sz w:val="20"/>
          <w:szCs w:val="20"/>
          <w:lang w:val="sl"/>
        </w:rPr>
        <w:t>9. Za te kemikalije ne veljajo določbe opombe (iii) I. dela Priloge B.</w:t>
      </w:r>
    </w:p>
    <w:p w14:paraId="3479915C" w14:textId="77777777" w:rsidR="00BE3A18" w:rsidRPr="00770D7F" w:rsidRDefault="00BE3A18" w:rsidP="00C56D8D">
      <w:pPr>
        <w:ind w:left="2268"/>
        <w:rPr>
          <w:rFonts w:ascii="Arial" w:hAnsi="Arial" w:cs="Arial"/>
          <w:b/>
          <w:bCs/>
          <w:sz w:val="20"/>
          <w:szCs w:val="20"/>
        </w:rPr>
      </w:pPr>
    </w:p>
    <w:p w14:paraId="085F4412" w14:textId="77777777" w:rsidR="00BE3A18" w:rsidRPr="00C56D8D" w:rsidRDefault="00BE3A18" w:rsidP="00BE3A18">
      <w:pPr>
        <w:rPr>
          <w:rFonts w:ascii="Arial" w:hAnsi="Arial" w:cs="Arial"/>
          <w:b/>
          <w:bCs/>
          <w:sz w:val="28"/>
          <w:szCs w:val="28"/>
        </w:rPr>
      </w:pPr>
      <w:r w:rsidRPr="00C56D8D">
        <w:rPr>
          <w:rFonts w:ascii="Arial" w:hAnsi="Arial" w:cs="Arial"/>
          <w:b/>
          <w:bCs/>
          <w:sz w:val="28"/>
          <w:szCs w:val="28"/>
        </w:rPr>
        <w:t>SC-4/18:</w:t>
      </w:r>
      <w:r w:rsidRPr="00C56D8D">
        <w:rPr>
          <w:rFonts w:ascii="Arial" w:hAnsi="Arial" w:cs="Arial"/>
          <w:b/>
          <w:bCs/>
          <w:sz w:val="28"/>
          <w:szCs w:val="28"/>
          <w:lang w:val="sl"/>
        </w:rPr>
        <w:t xml:space="preserve"> Uvrstitev tetrabromodifenil etra in pentabromodifenil etra </w:t>
      </w:r>
    </w:p>
    <w:p w14:paraId="49C318D1"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Konferenca pogodbenic</w:t>
      </w:r>
      <w:r w:rsidRPr="00770D7F">
        <w:rPr>
          <w:rFonts w:ascii="Arial" w:hAnsi="Arial" w:cs="Arial"/>
          <w:sz w:val="20"/>
          <w:szCs w:val="20"/>
          <w:lang w:val="sl"/>
        </w:rPr>
        <w:t xml:space="preserve">, </w:t>
      </w:r>
    </w:p>
    <w:p w14:paraId="5C9BDF31"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komercialni pentabromodifenil eter, kot ju je poslal Odbor za pregled obstojnih organskih onesnaževal,</w:t>
      </w:r>
      <w:r w:rsidRPr="00770D7F">
        <w:rPr>
          <w:rStyle w:val="FootnoteReference"/>
          <w:rFonts w:ascii="Arial" w:hAnsi="Arial" w:cs="Arial"/>
          <w:sz w:val="20"/>
          <w:szCs w:val="20"/>
          <w:lang w:val="sl"/>
        </w:rPr>
        <w:footnoteReference w:id="60"/>
      </w:r>
    </w:p>
    <w:p w14:paraId="62CE4FC3" w14:textId="77777777" w:rsidR="00BE3A18" w:rsidRPr="00770D7F" w:rsidRDefault="00BE3A18" w:rsidP="00C56D8D">
      <w:pPr>
        <w:ind w:firstLine="708"/>
        <w:rPr>
          <w:rFonts w:ascii="Arial" w:hAnsi="Arial" w:cs="Arial"/>
          <w:sz w:val="20"/>
          <w:szCs w:val="20"/>
        </w:rPr>
      </w:pPr>
      <w:r w:rsidRPr="00C56D8D">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tetrabromodifenil eter in pentabromodifenil eter uvrstita v Prilogo A h konvenciji,</w:t>
      </w:r>
      <w:r w:rsidRPr="00770D7F">
        <w:rPr>
          <w:rStyle w:val="FootnoteReference"/>
          <w:rFonts w:ascii="Arial" w:hAnsi="Arial" w:cs="Arial"/>
          <w:sz w:val="20"/>
          <w:szCs w:val="20"/>
          <w:lang w:val="sl"/>
        </w:rPr>
        <w:footnoteReference w:id="61"/>
      </w:r>
      <w:r w:rsidRPr="00770D7F">
        <w:rPr>
          <w:rFonts w:ascii="Arial" w:hAnsi="Arial" w:cs="Arial"/>
          <w:sz w:val="20"/>
          <w:szCs w:val="20"/>
          <w:lang w:val="sl"/>
        </w:rPr>
        <w:t xml:space="preserve"> </w:t>
      </w:r>
    </w:p>
    <w:p w14:paraId="1FD6DA70" w14:textId="77777777" w:rsidR="00BE3A18" w:rsidRPr="00770D7F" w:rsidRDefault="00BE3A18" w:rsidP="00C56D8D">
      <w:pPr>
        <w:pStyle w:val="ListParagraph"/>
        <w:numPr>
          <w:ilvl w:val="0"/>
          <w:numId w:val="3"/>
        </w:numPr>
        <w:ind w:left="0" w:firstLine="709"/>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vanj uvrstita tetrabromodifenil eter in pentabromodifenil eter, kot je opredeljeno v drugem odstavku tega sklepa, s posebno izjemo za predmete, ki vsebujejo tetrabromodifenil eter in pentabromodifenil eter v skladu z določbami IV. dela priloge, in sicer tako, da se vstavi naslednja vrstica: </w:t>
      </w:r>
    </w:p>
    <w:p w14:paraId="1086B210" w14:textId="77777777" w:rsidR="00BE3A18" w:rsidRPr="00770D7F" w:rsidRDefault="00BE3A18" w:rsidP="00BE3A18">
      <w:pPr>
        <w:pStyle w:val="ListParagrap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5143A106" w14:textId="77777777" w:rsidTr="00BE3A18">
        <w:tc>
          <w:tcPr>
            <w:tcW w:w="3397" w:type="dxa"/>
            <w:shd w:val="clear" w:color="auto" w:fill="auto"/>
          </w:tcPr>
          <w:p w14:paraId="1A69CC35" w14:textId="77777777" w:rsidR="00BE3A18" w:rsidRPr="00770D7F" w:rsidRDefault="00BE3A18" w:rsidP="00BE3A18">
            <w:pPr>
              <w:pStyle w:val="ListParagraph"/>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67CBD02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10FDBCF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7147242C" w14:textId="77777777" w:rsidR="00BE3A18" w:rsidRPr="00770D7F" w:rsidRDefault="00BE3A18" w:rsidP="00BE3A18">
            <w:pPr>
              <w:spacing w:after="0" w:line="240" w:lineRule="auto"/>
              <w:rPr>
                <w:rFonts w:ascii="Arial" w:hAnsi="Arial" w:cs="Arial"/>
                <w:sz w:val="18"/>
                <w:szCs w:val="18"/>
              </w:rPr>
            </w:pPr>
          </w:p>
        </w:tc>
      </w:tr>
      <w:tr w:rsidR="00BE3A18" w:rsidRPr="00770D7F" w14:paraId="6DD25B1E" w14:textId="77777777" w:rsidTr="00BE3A18">
        <w:tc>
          <w:tcPr>
            <w:tcW w:w="3397" w:type="dxa"/>
            <w:vMerge w:val="restart"/>
            <w:shd w:val="clear" w:color="auto" w:fill="auto"/>
          </w:tcPr>
          <w:p w14:paraId="2A85328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tetrabromodifenil eter* in</w:t>
            </w:r>
          </w:p>
          <w:p w14:paraId="52F04C9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pentabromodifenil eter*</w:t>
            </w:r>
          </w:p>
        </w:tc>
        <w:tc>
          <w:tcPr>
            <w:tcW w:w="1843" w:type="dxa"/>
            <w:shd w:val="clear" w:color="auto" w:fill="auto"/>
          </w:tcPr>
          <w:p w14:paraId="67B73E1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7BD6784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7B1E2CDF" w14:textId="77777777" w:rsidTr="00BE3A18">
        <w:tc>
          <w:tcPr>
            <w:tcW w:w="3397" w:type="dxa"/>
            <w:vMerge/>
            <w:shd w:val="clear" w:color="auto" w:fill="auto"/>
          </w:tcPr>
          <w:p w14:paraId="39FE87CF"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74ACD80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25E9725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predmeti, ki se uporabljajo v skladu z</w:t>
            </w:r>
          </w:p>
          <w:p w14:paraId="07D46B1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določbami IV. dela te priloge</w:t>
            </w:r>
          </w:p>
        </w:tc>
      </w:tr>
    </w:tbl>
    <w:p w14:paraId="4FAC5215" w14:textId="77777777" w:rsidR="00BE3A18" w:rsidRPr="00770D7F" w:rsidRDefault="00BE3A18" w:rsidP="00BE3A18">
      <w:pPr>
        <w:rPr>
          <w:rFonts w:ascii="Arial" w:hAnsi="Arial" w:cs="Arial"/>
          <w:b/>
          <w:bCs/>
          <w:sz w:val="20"/>
          <w:szCs w:val="20"/>
        </w:rPr>
      </w:pPr>
    </w:p>
    <w:p w14:paraId="20D5DF33" w14:textId="759A2A39"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2. </w:t>
      </w:r>
      <w:r w:rsidR="00C56D8D">
        <w:rPr>
          <w:rFonts w:ascii="Arial" w:hAnsi="Arial" w:cs="Arial"/>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vstaviti opredelitev tetrabromodifenil etra in pentabromodifenil etra</w:t>
      </w:r>
    </w:p>
    <w:p w14:paraId="47E06CC3"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v novi III. del Priloge A »Opredelitev pojmov«, ki se glasi:</w:t>
      </w:r>
    </w:p>
    <w:p w14:paraId="07B94863"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6A1AC5BE" w14:textId="77777777" w:rsidR="00BE3A18" w:rsidRPr="00770D7F" w:rsidRDefault="00BE3A18" w:rsidP="00C56D8D">
      <w:pPr>
        <w:autoSpaceDE w:val="0"/>
        <w:autoSpaceDN w:val="0"/>
        <w:adjustRightInd w:val="0"/>
        <w:spacing w:after="0" w:line="240" w:lineRule="auto"/>
        <w:ind w:left="708" w:firstLine="708"/>
        <w:rPr>
          <w:rFonts w:ascii="Arial" w:hAnsi="Arial" w:cs="Arial"/>
          <w:sz w:val="20"/>
          <w:szCs w:val="20"/>
          <w:lang w:val="sl"/>
        </w:rPr>
      </w:pPr>
      <w:r w:rsidRPr="00770D7F">
        <w:rPr>
          <w:rFonts w:ascii="Arial" w:hAnsi="Arial" w:cs="Arial"/>
          <w:sz w:val="20"/>
          <w:szCs w:val="20"/>
          <w:lang w:val="sl"/>
        </w:rPr>
        <w:t>V tej prilogi:</w:t>
      </w:r>
    </w:p>
    <w:p w14:paraId="20210AAD"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2EA363F8" w14:textId="77777777" w:rsidR="00BE3A18" w:rsidRPr="00770D7F" w:rsidRDefault="00BE3A18" w:rsidP="00C56D8D">
      <w:pPr>
        <w:autoSpaceDE w:val="0"/>
        <w:autoSpaceDN w:val="0"/>
        <w:adjustRightInd w:val="0"/>
        <w:spacing w:after="0" w:line="240" w:lineRule="auto"/>
        <w:ind w:left="1416"/>
        <w:rPr>
          <w:rFonts w:ascii="Arial" w:hAnsi="Arial" w:cs="Arial"/>
          <w:sz w:val="20"/>
          <w:szCs w:val="20"/>
        </w:rPr>
      </w:pPr>
      <w:r w:rsidRPr="00770D7F">
        <w:rPr>
          <w:rFonts w:ascii="Arial" w:hAnsi="Arial" w:cs="Arial"/>
          <w:sz w:val="20"/>
          <w:szCs w:val="20"/>
          <w:lang w:val="sl"/>
        </w:rPr>
        <w:t>»tetrabromodifenil eter in pentabromodifenil eter« pomenita: 2,2',4,4'-tetrabromodifenil eter (BDE-47, CAS št.: 40088-47-9) in 2,2',4,4',5-pentabromodifenil eter (BDE-99, CAS št.: 32534-81-9-) ter druge tetra- in pentabromodifenil etre v komercialnem pentabromodifenil etru.</w:t>
      </w:r>
    </w:p>
    <w:p w14:paraId="4D3EE1C2"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00679FF4" w14:textId="3652C69E" w:rsidR="00BE3A18" w:rsidRPr="00770D7F" w:rsidRDefault="00BE3A18" w:rsidP="00C56D8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3. </w:t>
      </w:r>
      <w:r w:rsidR="00C56D8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vstaviti nov IV. del v Prilogo A, ki se glasi:</w:t>
      </w:r>
    </w:p>
    <w:p w14:paraId="22700A44"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3F469624"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IV. DEL</w:t>
      </w:r>
    </w:p>
    <w:p w14:paraId="11FAB73A"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Tetrabromodifenil eter in pentabromodifenil eter</w:t>
      </w:r>
    </w:p>
    <w:p w14:paraId="5A53DEDF"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5E99F0B2" w14:textId="77777777" w:rsidR="00BE3A18" w:rsidRPr="00770D7F" w:rsidRDefault="00BE3A18" w:rsidP="00C56D8D">
      <w:pPr>
        <w:tabs>
          <w:tab w:val="left" w:pos="7938"/>
        </w:tabs>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 xml:space="preserve">1. Pogodbenica lahko dovoli recikliranje predmetov, ki vsebujejo ali bi lahko vsebovali tetrabromodifenil eter in pentabromodifenil eter, ter uporabo in končno odlaganje predmetov, narejenih iz </w:t>
      </w:r>
      <w:r w:rsidRPr="00770D7F">
        <w:rPr>
          <w:rFonts w:ascii="Arial" w:hAnsi="Arial" w:cs="Arial"/>
          <w:sz w:val="20"/>
          <w:szCs w:val="20"/>
          <w:lang w:val="sl"/>
        </w:rPr>
        <w:lastRenderedPageBreak/>
        <w:t>recikliranih materialov, ki vsebujejo ali bi lahko vsebovali tetrabromodifenil eter in pentabromodifenil eter, pod pogojem, da:</w:t>
      </w:r>
    </w:p>
    <w:p w14:paraId="52B3B4C7"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532B2782"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(a) sta recikliranje in končno odstranjevanje opravljena na način, sprejemljiv za okolje, ter pri tem ne pride do predelave tetrabromodifenil etra in pentabromodifenil etra z namenom njune ponovne uporabe;</w:t>
      </w:r>
    </w:p>
    <w:p w14:paraId="399791AD"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06BC5F76"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b) pogodbenica ne dovoli, da bi ta izjema omogočila izvoz predmetov z ravnmi/koncentracijami tetrabromodifenil etra in pentabromodifenil</w:t>
      </w:r>
      <w:r w:rsidRPr="00770D7F">
        <w:rPr>
          <w:rFonts w:ascii="Arial" w:hAnsi="Arial" w:cs="Arial"/>
          <w:b/>
          <w:bCs/>
          <w:sz w:val="20"/>
          <w:szCs w:val="20"/>
          <w:lang w:val="sl"/>
        </w:rPr>
        <w:t xml:space="preserve"> </w:t>
      </w:r>
      <w:r w:rsidRPr="00770D7F">
        <w:rPr>
          <w:rFonts w:ascii="Arial" w:hAnsi="Arial" w:cs="Arial"/>
          <w:sz w:val="20"/>
          <w:szCs w:val="20"/>
          <w:lang w:val="sl"/>
        </w:rPr>
        <w:t>etra, ki presegajo ravni/koncentracije, dovoljene za prodajo na ozemlju pogodbenice, in</w:t>
      </w:r>
    </w:p>
    <w:p w14:paraId="03A6DB88"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3340A395"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(c) je pogodbenica uradno obvestila Sekretariat, da namerava uporabiti to izjemo.</w:t>
      </w:r>
    </w:p>
    <w:p w14:paraId="51D0674A"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p>
    <w:p w14:paraId="43176BC2" w14:textId="77777777" w:rsidR="00BE3A18" w:rsidRPr="00770D7F" w:rsidRDefault="00BE3A18" w:rsidP="00C56D8D">
      <w:pPr>
        <w:autoSpaceDE w:val="0"/>
        <w:autoSpaceDN w:val="0"/>
        <w:adjustRightInd w:val="0"/>
        <w:spacing w:after="0" w:line="240" w:lineRule="auto"/>
        <w:ind w:left="2268" w:right="1134"/>
        <w:rPr>
          <w:rFonts w:ascii="Arial" w:hAnsi="Arial" w:cs="Arial"/>
          <w:sz w:val="20"/>
          <w:szCs w:val="20"/>
        </w:rPr>
      </w:pPr>
      <w:r w:rsidRPr="00770D7F">
        <w:rPr>
          <w:rFonts w:ascii="Arial" w:hAnsi="Arial" w:cs="Arial"/>
          <w:sz w:val="20"/>
          <w:szCs w:val="20"/>
          <w:lang w:val="sl"/>
        </w:rPr>
        <w:t xml:space="preserve">2. Na svojem šestem rednem zasedanju in na vsakem drugem zasedanju zatem Konferenca pogodbenic oceni napredek pogodbenic pri doseganju njihovega končnega cilja odprave tetrabromodifenil etra in pentabromodifenil etra, ki ju vsebujejo predmeti, ter presodi, ali je še potreba po tej posebni izjemi. Ta posebna izjema v vsakem primeru preneha veljati najpozneje leta 2030. </w:t>
      </w:r>
    </w:p>
    <w:p w14:paraId="748DBE33" w14:textId="77777777" w:rsidR="00BE3A18" w:rsidRPr="00770D7F" w:rsidRDefault="00BE3A18" w:rsidP="00BE3A18">
      <w:pPr>
        <w:rPr>
          <w:rFonts w:ascii="Arial" w:hAnsi="Arial" w:cs="Arial"/>
          <w:b/>
          <w:bCs/>
          <w:sz w:val="20"/>
          <w:szCs w:val="20"/>
        </w:rPr>
      </w:pPr>
    </w:p>
    <w:p w14:paraId="7CC6AABA" w14:textId="16B11E8C" w:rsidR="00BE3A18" w:rsidRPr="00770D7F" w:rsidRDefault="00BE3A18" w:rsidP="00297FB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4. </w:t>
      </w:r>
      <w:r w:rsidR="00297FB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h konvenciji tako, da se v opombo (iv) za besedilom »polikloriranih bifenilov v predmetih, ki se uporabljajo skladno z določbami II. dela« dodata vejica in besedilo »uporabo tetrabromodifenil etra in pentabromodifenil etra v skladu z določbami </w:t>
      </w:r>
      <w:r w:rsidRPr="00770D7F">
        <w:rPr>
          <w:rFonts w:ascii="Arial" w:hAnsi="Arial" w:cs="Arial"/>
          <w:sz w:val="20"/>
          <w:szCs w:val="20"/>
          <w:shd w:val="clear" w:color="auto" w:fill="FFFFFF"/>
          <w:lang w:val="sl"/>
        </w:rPr>
        <w:t>IV. dela te priloge«.</w:t>
      </w:r>
    </w:p>
    <w:p w14:paraId="6C9099AE" w14:textId="77777777" w:rsidR="00BE3A18" w:rsidRPr="00770D7F" w:rsidRDefault="00BE3A18" w:rsidP="00BE3A18">
      <w:pPr>
        <w:rPr>
          <w:rFonts w:ascii="Arial" w:hAnsi="Arial" w:cs="Arial"/>
          <w:b/>
          <w:bCs/>
          <w:sz w:val="20"/>
          <w:szCs w:val="20"/>
        </w:rPr>
      </w:pPr>
    </w:p>
    <w:p w14:paraId="026488A6" w14:textId="77777777" w:rsidR="00BE3A18" w:rsidRPr="00770D7F" w:rsidRDefault="00BE3A18" w:rsidP="00BE3A18">
      <w:pPr>
        <w:rPr>
          <w:rFonts w:ascii="Arial" w:hAnsi="Arial" w:cs="Arial"/>
          <w:b/>
          <w:bCs/>
          <w:sz w:val="20"/>
          <w:szCs w:val="20"/>
        </w:rPr>
      </w:pPr>
    </w:p>
    <w:p w14:paraId="65DAF316" w14:textId="77777777" w:rsidR="00BE3A18" w:rsidRPr="00770D7F" w:rsidRDefault="00BE3A18" w:rsidP="00BE3A18">
      <w:pPr>
        <w:rPr>
          <w:rFonts w:ascii="Arial" w:hAnsi="Arial" w:cs="Arial"/>
          <w:b/>
          <w:bCs/>
          <w:sz w:val="20"/>
          <w:szCs w:val="20"/>
        </w:rPr>
      </w:pPr>
    </w:p>
    <w:p w14:paraId="1BAC8856" w14:textId="77777777" w:rsidR="00BE3A18" w:rsidRPr="00770D7F" w:rsidRDefault="00BE3A18" w:rsidP="00BE3A18">
      <w:pPr>
        <w:rPr>
          <w:rFonts w:ascii="Arial" w:hAnsi="Arial" w:cs="Arial"/>
          <w:b/>
          <w:bCs/>
          <w:sz w:val="20"/>
          <w:szCs w:val="20"/>
        </w:rPr>
      </w:pPr>
    </w:p>
    <w:p w14:paraId="44F70097" w14:textId="77777777" w:rsidR="00BE3A18" w:rsidRPr="00770D7F" w:rsidRDefault="00BE3A18" w:rsidP="00BE3A18">
      <w:pPr>
        <w:rPr>
          <w:rFonts w:ascii="Arial" w:hAnsi="Arial" w:cs="Arial"/>
          <w:b/>
          <w:bCs/>
          <w:sz w:val="20"/>
          <w:szCs w:val="20"/>
        </w:rPr>
      </w:pPr>
    </w:p>
    <w:p w14:paraId="52DE8748" w14:textId="77777777" w:rsidR="00BE3A18" w:rsidRPr="00770D7F" w:rsidRDefault="00BE3A18" w:rsidP="00BE3A18">
      <w:pPr>
        <w:rPr>
          <w:rFonts w:ascii="Arial" w:hAnsi="Arial" w:cs="Arial"/>
          <w:b/>
          <w:bCs/>
          <w:sz w:val="20"/>
          <w:szCs w:val="20"/>
        </w:rPr>
      </w:pPr>
    </w:p>
    <w:p w14:paraId="3DF8BA9C" w14:textId="77777777" w:rsidR="00BE3A18" w:rsidRPr="00770D7F" w:rsidRDefault="00BE3A18" w:rsidP="00BE3A18">
      <w:pPr>
        <w:rPr>
          <w:rFonts w:ascii="Arial" w:hAnsi="Arial" w:cs="Arial"/>
          <w:b/>
          <w:bCs/>
          <w:sz w:val="20"/>
          <w:szCs w:val="20"/>
        </w:rPr>
      </w:pPr>
    </w:p>
    <w:p w14:paraId="0A1BCA44" w14:textId="77777777" w:rsidR="00BE3A18" w:rsidRPr="00770D7F" w:rsidRDefault="00BE3A18" w:rsidP="00BE3A18">
      <w:pPr>
        <w:rPr>
          <w:rFonts w:ascii="Arial" w:hAnsi="Arial" w:cs="Arial"/>
          <w:b/>
          <w:bCs/>
          <w:sz w:val="20"/>
          <w:szCs w:val="20"/>
        </w:rPr>
      </w:pPr>
    </w:p>
    <w:p w14:paraId="672B5324" w14:textId="77777777" w:rsidR="00BE3A18" w:rsidRPr="00770D7F" w:rsidRDefault="00BE3A18" w:rsidP="00BE3A18">
      <w:pPr>
        <w:rPr>
          <w:rFonts w:ascii="Arial" w:hAnsi="Arial" w:cs="Arial"/>
          <w:b/>
          <w:bCs/>
          <w:sz w:val="20"/>
          <w:szCs w:val="20"/>
        </w:rPr>
      </w:pPr>
    </w:p>
    <w:p w14:paraId="04216E03" w14:textId="77777777" w:rsidR="00BE3A18" w:rsidRPr="00770D7F" w:rsidRDefault="00BE3A18" w:rsidP="00BE3A18">
      <w:pPr>
        <w:rPr>
          <w:rFonts w:ascii="Arial" w:hAnsi="Arial" w:cs="Arial"/>
          <w:b/>
          <w:bCs/>
          <w:sz w:val="20"/>
          <w:szCs w:val="20"/>
        </w:rPr>
      </w:pPr>
    </w:p>
    <w:p w14:paraId="11862C14" w14:textId="77777777" w:rsidR="00BE3A18" w:rsidRPr="00770D7F" w:rsidRDefault="00BE3A18" w:rsidP="00BE3A18">
      <w:pPr>
        <w:rPr>
          <w:rFonts w:ascii="Arial" w:hAnsi="Arial" w:cs="Arial"/>
          <w:b/>
          <w:bCs/>
          <w:sz w:val="20"/>
          <w:szCs w:val="20"/>
        </w:rPr>
      </w:pPr>
    </w:p>
    <w:p w14:paraId="6355BD93" w14:textId="77777777" w:rsidR="00BE3A18" w:rsidRPr="00770D7F" w:rsidRDefault="00BE3A18" w:rsidP="00BE3A18">
      <w:pPr>
        <w:rPr>
          <w:rFonts w:ascii="Arial" w:hAnsi="Arial" w:cs="Arial"/>
          <w:b/>
          <w:bCs/>
          <w:sz w:val="20"/>
          <w:szCs w:val="20"/>
        </w:rPr>
      </w:pPr>
    </w:p>
    <w:p w14:paraId="6B56A716" w14:textId="77777777" w:rsidR="00BE3A18" w:rsidRPr="00770D7F" w:rsidRDefault="00BE3A18" w:rsidP="00BE3A18">
      <w:pPr>
        <w:rPr>
          <w:rFonts w:ascii="Arial" w:hAnsi="Arial" w:cs="Arial"/>
          <w:b/>
          <w:bCs/>
          <w:sz w:val="20"/>
          <w:szCs w:val="20"/>
        </w:rPr>
      </w:pPr>
    </w:p>
    <w:p w14:paraId="7654EC67" w14:textId="77777777" w:rsidR="00BE3A18" w:rsidRPr="00770D7F" w:rsidRDefault="00BE3A18" w:rsidP="00BE3A18">
      <w:pPr>
        <w:rPr>
          <w:rFonts w:ascii="Arial" w:hAnsi="Arial" w:cs="Arial"/>
          <w:b/>
          <w:bCs/>
          <w:sz w:val="20"/>
          <w:szCs w:val="20"/>
        </w:rPr>
      </w:pPr>
    </w:p>
    <w:p w14:paraId="32FE1D89" w14:textId="77777777" w:rsidR="00BE3A18" w:rsidRPr="00770D7F" w:rsidRDefault="00BE3A18" w:rsidP="00BE3A18">
      <w:pPr>
        <w:rPr>
          <w:rFonts w:ascii="Arial" w:hAnsi="Arial" w:cs="Arial"/>
          <w:b/>
          <w:bCs/>
          <w:sz w:val="20"/>
          <w:szCs w:val="20"/>
        </w:rPr>
      </w:pPr>
    </w:p>
    <w:p w14:paraId="6377782E" w14:textId="77777777" w:rsidR="0085169E" w:rsidRDefault="0085169E" w:rsidP="00BE3A18">
      <w:pPr>
        <w:rPr>
          <w:rFonts w:ascii="Arial" w:hAnsi="Arial" w:cs="Arial"/>
          <w:b/>
          <w:bCs/>
          <w:sz w:val="20"/>
          <w:szCs w:val="20"/>
        </w:rPr>
        <w:sectPr w:rsidR="0085169E" w:rsidSect="00D66C83">
          <w:footnotePr>
            <w:numRestart w:val="eachSect"/>
          </w:footnotePr>
          <w:pgSz w:w="11906" w:h="16838"/>
          <w:pgMar w:top="1417" w:right="1417" w:bottom="1417" w:left="1417" w:header="708" w:footer="708" w:gutter="0"/>
          <w:cols w:space="708"/>
          <w:docGrid w:linePitch="360"/>
        </w:sectPr>
      </w:pPr>
    </w:p>
    <w:p w14:paraId="5180D17A" w14:textId="77777777" w:rsidR="00BE3A18" w:rsidRPr="00297FBD" w:rsidRDefault="00BE3A18" w:rsidP="00BE3A18">
      <w:pPr>
        <w:rPr>
          <w:rFonts w:ascii="Arial" w:hAnsi="Arial" w:cs="Arial"/>
          <w:b/>
          <w:bCs/>
          <w:sz w:val="28"/>
          <w:szCs w:val="28"/>
        </w:rPr>
      </w:pPr>
      <w:r w:rsidRPr="00297FBD">
        <w:rPr>
          <w:rFonts w:ascii="Arial" w:hAnsi="Arial" w:cs="Arial"/>
          <w:b/>
          <w:bCs/>
          <w:sz w:val="28"/>
          <w:szCs w:val="28"/>
        </w:rPr>
        <w:lastRenderedPageBreak/>
        <w:t>SC-5/3:</w:t>
      </w:r>
      <w:r w:rsidRPr="00297FBD">
        <w:rPr>
          <w:rFonts w:ascii="Arial" w:hAnsi="Arial" w:cs="Arial"/>
          <w:b/>
          <w:bCs/>
          <w:sz w:val="28"/>
          <w:szCs w:val="28"/>
          <w:lang w:val="sl"/>
        </w:rPr>
        <w:t xml:space="preserve"> Uvrstitev tehničnega endosulfana in njegovih sorodnih izomerov </w:t>
      </w:r>
    </w:p>
    <w:p w14:paraId="55F10B56" w14:textId="77777777" w:rsidR="00BE3A18" w:rsidRPr="00770D7F" w:rsidRDefault="00BE3A18" w:rsidP="00297FBD">
      <w:pPr>
        <w:ind w:firstLine="708"/>
        <w:rPr>
          <w:rFonts w:ascii="Arial" w:hAnsi="Arial" w:cs="Arial"/>
          <w:sz w:val="20"/>
          <w:szCs w:val="20"/>
        </w:rPr>
      </w:pPr>
      <w:r w:rsidRPr="00297FBD">
        <w:rPr>
          <w:rFonts w:ascii="Arial" w:hAnsi="Arial" w:cs="Arial"/>
          <w:i/>
          <w:iCs/>
          <w:sz w:val="20"/>
          <w:szCs w:val="20"/>
          <w:lang w:val="sl"/>
        </w:rPr>
        <w:t>Konferenca pogodbenic</w:t>
      </w:r>
      <w:r w:rsidRPr="00770D7F">
        <w:rPr>
          <w:rFonts w:ascii="Arial" w:hAnsi="Arial" w:cs="Arial"/>
          <w:sz w:val="20"/>
          <w:szCs w:val="20"/>
          <w:lang w:val="sl"/>
        </w:rPr>
        <w:t xml:space="preserve">, </w:t>
      </w:r>
    </w:p>
    <w:p w14:paraId="1B4CD02A" w14:textId="77777777" w:rsidR="00BE3A18" w:rsidRPr="00770D7F" w:rsidRDefault="00BE3A18" w:rsidP="00297FBD">
      <w:pPr>
        <w:ind w:firstLine="708"/>
        <w:rPr>
          <w:rFonts w:ascii="Arial" w:hAnsi="Arial" w:cs="Arial"/>
          <w:sz w:val="20"/>
          <w:szCs w:val="20"/>
        </w:rPr>
      </w:pPr>
      <w:r w:rsidRPr="00297FBD">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endosulfan (tehnični endosulfan, njegove sorodne izomere in endosulfan sulfat), kot ju je poslal Odbor za pregled obstojnih organskih onesnaževal,</w:t>
      </w:r>
      <w:r w:rsidRPr="00770D7F">
        <w:rPr>
          <w:rStyle w:val="FootnoteReference"/>
          <w:rFonts w:ascii="Arial" w:hAnsi="Arial" w:cs="Arial"/>
          <w:sz w:val="20"/>
          <w:szCs w:val="20"/>
          <w:lang w:val="sl"/>
        </w:rPr>
        <w:footnoteReference w:id="62"/>
      </w:r>
      <w:r w:rsidRPr="00770D7F">
        <w:rPr>
          <w:rFonts w:ascii="Arial" w:hAnsi="Arial" w:cs="Arial"/>
          <w:sz w:val="20"/>
          <w:szCs w:val="20"/>
          <w:lang w:val="sl"/>
        </w:rPr>
        <w:t xml:space="preserve"> </w:t>
      </w:r>
    </w:p>
    <w:p w14:paraId="6CDAA0A4" w14:textId="77777777" w:rsidR="00BE3A18" w:rsidRPr="00770D7F" w:rsidRDefault="00BE3A18" w:rsidP="00297FBD">
      <w:pPr>
        <w:ind w:firstLine="708"/>
        <w:rPr>
          <w:rFonts w:ascii="Arial" w:hAnsi="Arial" w:cs="Arial"/>
          <w:sz w:val="20"/>
          <w:szCs w:val="20"/>
        </w:rPr>
      </w:pPr>
      <w:r w:rsidRPr="00297FBD">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o uvrstitvi tehničnega endosulfana, njegovih sorodnih izomerov in endosulfan sulfata v Prilogo A h konvenciji s posebnimi izjemami,</w:t>
      </w:r>
      <w:r w:rsidRPr="00770D7F">
        <w:rPr>
          <w:rStyle w:val="FootnoteReference"/>
          <w:rFonts w:ascii="Arial" w:hAnsi="Arial" w:cs="Arial"/>
          <w:sz w:val="20"/>
          <w:szCs w:val="20"/>
          <w:lang w:val="sl"/>
        </w:rPr>
        <w:footnoteReference w:id="63"/>
      </w:r>
    </w:p>
    <w:p w14:paraId="1A519510" w14:textId="23ED953D" w:rsidR="00BE3A18" w:rsidRPr="00770D7F" w:rsidRDefault="00BE3A18" w:rsidP="00297FBD">
      <w:pPr>
        <w:ind w:firstLine="708"/>
        <w:rPr>
          <w:rFonts w:ascii="Arial" w:hAnsi="Arial" w:cs="Arial"/>
          <w:sz w:val="20"/>
          <w:szCs w:val="20"/>
        </w:rPr>
      </w:pPr>
      <w:r w:rsidRPr="00770D7F">
        <w:rPr>
          <w:rFonts w:ascii="Arial" w:hAnsi="Arial" w:cs="Arial"/>
          <w:sz w:val="20"/>
          <w:szCs w:val="20"/>
          <w:lang w:val="sl"/>
        </w:rPr>
        <w:t xml:space="preserve">1. </w:t>
      </w:r>
      <w:r w:rsidR="00297FBD">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uvrstijo tehnični endosulfan in njegovi sorodni izomeri s posebnimi izjemami za proizvodnjo, kot so dovoljene za pogodbenice, navedene v registru posebnih izjem, in/ali za uporabo pri kombinacijah kmetijska kultura/škodljivi organizem, kot so navedeni v skladu z določbami novega VI. dela priloge,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3397"/>
        <w:gridCol w:w="1843"/>
        <w:gridCol w:w="3822"/>
      </w:tblGrid>
      <w:tr w:rsidR="00BE3A18" w:rsidRPr="00770D7F" w14:paraId="47CFF4E4" w14:textId="77777777" w:rsidTr="00D66C83">
        <w:tc>
          <w:tcPr>
            <w:tcW w:w="3397" w:type="dxa"/>
            <w:tcBorders>
              <w:bottom w:val="single" w:sz="4" w:space="0" w:color="auto"/>
            </w:tcBorders>
            <w:shd w:val="clear" w:color="auto" w:fill="E7E6E6" w:themeFill="background2"/>
          </w:tcPr>
          <w:p w14:paraId="46D0466D" w14:textId="77777777" w:rsidR="00BE3A18" w:rsidRPr="00770D7F" w:rsidRDefault="00BE3A18" w:rsidP="00BE3A18">
            <w:pPr>
              <w:pStyle w:val="ListParagraph"/>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tcBorders>
              <w:bottom w:val="single" w:sz="4" w:space="0" w:color="auto"/>
            </w:tcBorders>
            <w:shd w:val="clear" w:color="auto" w:fill="E7E6E6" w:themeFill="background2"/>
          </w:tcPr>
          <w:p w14:paraId="3F2AA59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tcBorders>
              <w:bottom w:val="single" w:sz="4" w:space="0" w:color="auto"/>
            </w:tcBorders>
            <w:shd w:val="clear" w:color="auto" w:fill="E7E6E6" w:themeFill="background2"/>
          </w:tcPr>
          <w:p w14:paraId="621FF543"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7F10EFE4" w14:textId="77777777" w:rsidR="00BE3A18" w:rsidRPr="00770D7F" w:rsidRDefault="00BE3A18" w:rsidP="00BE3A18">
            <w:pPr>
              <w:spacing w:after="0" w:line="240" w:lineRule="auto"/>
              <w:rPr>
                <w:rFonts w:ascii="Arial" w:hAnsi="Arial" w:cs="Arial"/>
                <w:sz w:val="18"/>
                <w:szCs w:val="18"/>
              </w:rPr>
            </w:pPr>
          </w:p>
        </w:tc>
      </w:tr>
      <w:tr w:rsidR="00BE3A18" w:rsidRPr="00770D7F" w14:paraId="77779287" w14:textId="77777777" w:rsidTr="00D66C83">
        <w:tc>
          <w:tcPr>
            <w:tcW w:w="3397" w:type="dxa"/>
            <w:vMerge w:val="restart"/>
            <w:shd w:val="clear" w:color="auto" w:fill="FFFFFF" w:themeFill="background1"/>
          </w:tcPr>
          <w:p w14:paraId="0FF29A6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tehnični endosulfan* </w:t>
            </w:r>
          </w:p>
          <w:p w14:paraId="691B525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115-29-7)</w:t>
            </w:r>
          </w:p>
          <w:p w14:paraId="5833A2E9"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in njegovi sorodni izomeri* </w:t>
            </w:r>
          </w:p>
          <w:p w14:paraId="4FFD986A" w14:textId="77777777" w:rsidR="00BE3A18" w:rsidRPr="00770D7F" w:rsidRDefault="00BE3A18" w:rsidP="00BE3A18">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 xml:space="preserve">(CAS št.: 959-98-8 </w:t>
            </w:r>
          </w:p>
          <w:p w14:paraId="4ECCF732"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in CAS št.: 33213-65-9)</w:t>
            </w:r>
          </w:p>
        </w:tc>
        <w:tc>
          <w:tcPr>
            <w:tcW w:w="1843" w:type="dxa"/>
            <w:shd w:val="clear" w:color="auto" w:fill="FFFFFF" w:themeFill="background1"/>
          </w:tcPr>
          <w:p w14:paraId="28340717"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FFFFFF" w:themeFill="background1"/>
          </w:tcPr>
          <w:p w14:paraId="6F00D398"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kot je dovoljeno za pogodbenice,</w:t>
            </w:r>
          </w:p>
          <w:p w14:paraId="0DC2710C" w14:textId="77777777" w:rsidR="00BE3A18" w:rsidRPr="00770D7F" w:rsidRDefault="00BE3A18" w:rsidP="00BE3A18">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navedene v registru</w:t>
            </w:r>
          </w:p>
        </w:tc>
      </w:tr>
      <w:tr w:rsidR="00BE3A18" w:rsidRPr="00770D7F" w14:paraId="4386639F" w14:textId="77777777" w:rsidTr="00D66C83">
        <w:tc>
          <w:tcPr>
            <w:tcW w:w="3397" w:type="dxa"/>
            <w:vMerge/>
            <w:shd w:val="clear" w:color="auto" w:fill="FFFFFF" w:themeFill="background1"/>
          </w:tcPr>
          <w:p w14:paraId="413D3596"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FFFFFF" w:themeFill="background1"/>
          </w:tcPr>
          <w:p w14:paraId="643D8EBC"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FFFFFF" w:themeFill="background1"/>
          </w:tcPr>
          <w:p w14:paraId="2899BAEF" w14:textId="77777777" w:rsidR="00BE3A18" w:rsidRPr="00770D7F" w:rsidRDefault="00BE3A18" w:rsidP="00BE3A18">
            <w:pPr>
              <w:autoSpaceDE w:val="0"/>
              <w:autoSpaceDN w:val="0"/>
              <w:adjustRightInd w:val="0"/>
              <w:rPr>
                <w:rFonts w:ascii="Arial" w:eastAsia="Times New Roman" w:hAnsi="Arial" w:cs="Arial"/>
                <w:sz w:val="18"/>
                <w:szCs w:val="18"/>
              </w:rPr>
            </w:pPr>
            <w:r w:rsidRPr="00770D7F">
              <w:rPr>
                <w:rFonts w:ascii="Arial" w:eastAsia="Times New Roman" w:hAnsi="Arial" w:cs="Arial"/>
                <w:sz w:val="18"/>
                <w:szCs w:val="18"/>
              </w:rPr>
              <w:t>kombinacija kmetijska kultura/škodljivi organizem, kot so navedene v skladu z določbami VI. delate priloge</w:t>
            </w:r>
          </w:p>
          <w:p w14:paraId="2CA5273C" w14:textId="77777777" w:rsidR="00BE3A18" w:rsidRPr="00770D7F" w:rsidRDefault="00BE3A18" w:rsidP="00BE3A18">
            <w:pPr>
              <w:spacing w:after="0" w:line="240" w:lineRule="auto"/>
              <w:rPr>
                <w:rFonts w:ascii="Arial" w:eastAsia="Times New Roman" w:hAnsi="Arial" w:cs="Arial"/>
                <w:sz w:val="18"/>
                <w:szCs w:val="18"/>
              </w:rPr>
            </w:pPr>
          </w:p>
          <w:p w14:paraId="56DEFC6A" w14:textId="77777777" w:rsidR="00BE3A18" w:rsidRPr="00770D7F" w:rsidRDefault="00BE3A18" w:rsidP="00BE3A18">
            <w:pPr>
              <w:autoSpaceDE w:val="0"/>
              <w:autoSpaceDN w:val="0"/>
              <w:adjustRightInd w:val="0"/>
              <w:spacing w:after="0" w:line="240" w:lineRule="auto"/>
              <w:jc w:val="both"/>
              <w:rPr>
                <w:rFonts w:ascii="Arial" w:hAnsi="Arial" w:cs="Arial"/>
                <w:sz w:val="18"/>
                <w:szCs w:val="18"/>
              </w:rPr>
            </w:pPr>
          </w:p>
        </w:tc>
      </w:tr>
    </w:tbl>
    <w:p w14:paraId="15A8A0EF" w14:textId="77777777" w:rsidR="00BE3A18" w:rsidRPr="00770D7F" w:rsidRDefault="00BE3A18" w:rsidP="00BE3A18">
      <w:pPr>
        <w:rPr>
          <w:rFonts w:ascii="Arial" w:hAnsi="Arial" w:cs="Arial"/>
          <w:b/>
          <w:bCs/>
          <w:sz w:val="20"/>
          <w:szCs w:val="20"/>
        </w:rPr>
      </w:pPr>
    </w:p>
    <w:p w14:paraId="01329FF5" w14:textId="6C8302DC" w:rsidR="00BE3A18" w:rsidRPr="00770D7F" w:rsidRDefault="00BE3A18" w:rsidP="00297FBD">
      <w:pPr>
        <w:autoSpaceDE w:val="0"/>
        <w:autoSpaceDN w:val="0"/>
        <w:adjustRightInd w:val="0"/>
        <w:spacing w:after="0" w:line="240" w:lineRule="auto"/>
        <w:ind w:firstLine="708"/>
        <w:rPr>
          <w:rFonts w:ascii="Arial" w:hAnsi="Arial" w:cs="Arial"/>
          <w:sz w:val="20"/>
          <w:szCs w:val="20"/>
        </w:rPr>
      </w:pPr>
      <w:r w:rsidRPr="00770D7F">
        <w:rPr>
          <w:rFonts w:ascii="Arial" w:hAnsi="Arial" w:cs="Arial"/>
          <w:i/>
          <w:iCs/>
          <w:sz w:val="20"/>
          <w:szCs w:val="20"/>
          <w:lang w:val="sl"/>
        </w:rPr>
        <w:t>2.</w:t>
      </w:r>
      <w:r w:rsidR="00297FBD">
        <w:rPr>
          <w:rFonts w:ascii="Arial" w:hAnsi="Arial" w:cs="Arial"/>
          <w:i/>
          <w:iCs/>
          <w:sz w:val="20"/>
          <w:szCs w:val="20"/>
          <w:lang w:val="sl"/>
        </w:rPr>
        <w:tab/>
      </w:r>
      <w:r w:rsidRPr="00770D7F">
        <w:rPr>
          <w:rFonts w:ascii="Arial" w:hAnsi="Arial" w:cs="Arial"/>
          <w:i/>
          <w:iCs/>
          <w:sz w:val="20"/>
          <w:szCs w:val="20"/>
          <w:lang w:val="sl"/>
        </w:rPr>
        <w:t xml:space="preserve"> sklene</w:t>
      </w:r>
      <w:r w:rsidRPr="00770D7F">
        <w:rPr>
          <w:rFonts w:ascii="Arial" w:hAnsi="Arial" w:cs="Arial"/>
          <w:sz w:val="20"/>
          <w:szCs w:val="20"/>
          <w:lang w:val="sl"/>
        </w:rPr>
        <w:t xml:space="preserve"> vstaviti novo opombo v I. del Priloge A, ki se glasi:</w:t>
      </w:r>
    </w:p>
    <w:p w14:paraId="0E2F3726"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Tehnični endosulfan (CAS št.: 115-29-7), njegovi sorodni izomeri (CAS št.: 959-98-8 in CAS št.: 33213-65-9) in endosulfan sulfat (CAS št.: 1031-07-8) so ocenjeni in opredeljeni kot obstojna organska onesnaževala.</w:t>
      </w:r>
    </w:p>
    <w:p w14:paraId="446368AC"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34B378D9" w14:textId="6C552E91" w:rsidR="00BE3A18" w:rsidRPr="00770D7F" w:rsidRDefault="00BE3A18" w:rsidP="00297FBD">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3. </w:t>
      </w:r>
      <w:r w:rsidR="00297FBD">
        <w:rPr>
          <w:rFonts w:ascii="Arial" w:hAnsi="Arial" w:cs="Arial"/>
          <w:sz w:val="20"/>
          <w:szCs w:val="20"/>
          <w:lang w:val="sl"/>
        </w:rPr>
        <w:tab/>
      </w:r>
      <w:r w:rsidRPr="00770D7F">
        <w:rPr>
          <w:rFonts w:ascii="Arial" w:hAnsi="Arial" w:cs="Arial"/>
          <w:i/>
          <w:iCs/>
          <w:sz w:val="20"/>
          <w:szCs w:val="20"/>
          <w:lang w:val="sl"/>
        </w:rPr>
        <w:t xml:space="preserve">Sklene </w:t>
      </w:r>
      <w:r w:rsidRPr="00770D7F">
        <w:rPr>
          <w:rFonts w:ascii="Arial" w:hAnsi="Arial" w:cs="Arial"/>
          <w:sz w:val="20"/>
          <w:szCs w:val="20"/>
          <w:lang w:val="sl"/>
        </w:rPr>
        <w:t>vstaviti nov VI. del v Prilogo A, ki se glasi:</w:t>
      </w:r>
    </w:p>
    <w:p w14:paraId="642FDD45"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1B488200"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IV. del</w:t>
      </w:r>
    </w:p>
    <w:p w14:paraId="47AFFCFC" w14:textId="77777777" w:rsidR="00BE3A18" w:rsidRPr="00770D7F" w:rsidRDefault="00BE3A18" w:rsidP="00BE3A18">
      <w:pPr>
        <w:autoSpaceDE w:val="0"/>
        <w:autoSpaceDN w:val="0"/>
        <w:adjustRightInd w:val="0"/>
        <w:spacing w:after="0" w:line="240" w:lineRule="auto"/>
        <w:ind w:left="708"/>
        <w:jc w:val="center"/>
        <w:rPr>
          <w:rFonts w:ascii="Arial" w:hAnsi="Arial" w:cs="Arial"/>
          <w:b/>
          <w:bCs/>
          <w:sz w:val="20"/>
          <w:szCs w:val="20"/>
        </w:rPr>
      </w:pPr>
      <w:r w:rsidRPr="00770D7F">
        <w:rPr>
          <w:rFonts w:ascii="Arial" w:hAnsi="Arial" w:cs="Arial"/>
          <w:b/>
          <w:bCs/>
          <w:sz w:val="20"/>
          <w:szCs w:val="20"/>
          <w:lang w:val="sl"/>
        </w:rPr>
        <w:t>Tehnični endosulfan in njegovi sorodni izomeri (endosulfan)</w:t>
      </w:r>
    </w:p>
    <w:p w14:paraId="45893839"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3C3EB308" w14:textId="77777777" w:rsidR="00BE3A18" w:rsidRPr="00770D7F" w:rsidRDefault="00BE3A18" w:rsidP="00BE3A18">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Odpravita se proizvodnja in uporaba endosulfana, razen za pogodbenice, ki so uradno obvestile Sekretariat, da ga nameravajo proizvajati in/ali uporabljati v skladu s 4. členom konvencije. Mogoča je posebna izjema za uporabo endosulfana za naslednje kombinacije kmetijska kultura/škodljivi organizem:</w:t>
      </w:r>
    </w:p>
    <w:p w14:paraId="4C6708F5" w14:textId="77777777" w:rsidR="00BE3A18" w:rsidRPr="00770D7F" w:rsidRDefault="00BE3A18" w:rsidP="00BE3A18">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972"/>
        <w:gridCol w:w="6090"/>
      </w:tblGrid>
      <w:tr w:rsidR="00BE3A18" w:rsidRPr="00770D7F" w14:paraId="3B1DB922" w14:textId="77777777" w:rsidTr="00D66C83">
        <w:tc>
          <w:tcPr>
            <w:tcW w:w="2972" w:type="dxa"/>
            <w:tcBorders>
              <w:bottom w:val="single" w:sz="4" w:space="0" w:color="auto"/>
            </w:tcBorders>
            <w:shd w:val="clear" w:color="auto" w:fill="E7E6E6" w:themeFill="background2"/>
          </w:tcPr>
          <w:p w14:paraId="27CF6AAF"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b/>
                <w:bCs/>
                <w:sz w:val="18"/>
                <w:szCs w:val="18"/>
                <w:lang w:val="sl"/>
              </w:rPr>
              <w:t xml:space="preserve">Kmetijska kultura </w:t>
            </w:r>
          </w:p>
        </w:tc>
        <w:tc>
          <w:tcPr>
            <w:tcW w:w="6090" w:type="dxa"/>
            <w:tcBorders>
              <w:bottom w:val="single" w:sz="4" w:space="0" w:color="auto"/>
            </w:tcBorders>
            <w:shd w:val="clear" w:color="auto" w:fill="E7E6E6" w:themeFill="background2"/>
          </w:tcPr>
          <w:p w14:paraId="5B3C8095"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b/>
                <w:bCs/>
                <w:sz w:val="18"/>
                <w:szCs w:val="18"/>
                <w:lang w:val="sl"/>
              </w:rPr>
              <w:t>Škodljivi organizem</w:t>
            </w:r>
          </w:p>
        </w:tc>
      </w:tr>
      <w:tr w:rsidR="00BE3A18" w:rsidRPr="00770D7F" w14:paraId="1C7E0FCF" w14:textId="77777777" w:rsidTr="00D66C83">
        <w:tc>
          <w:tcPr>
            <w:tcW w:w="2972" w:type="dxa"/>
            <w:shd w:val="clear" w:color="auto" w:fill="FFFFFF" w:themeFill="background1"/>
          </w:tcPr>
          <w:p w14:paraId="7E54217E"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jablana</w:t>
            </w:r>
          </w:p>
        </w:tc>
        <w:tc>
          <w:tcPr>
            <w:tcW w:w="6090" w:type="dxa"/>
            <w:shd w:val="clear" w:color="auto" w:fill="FFFFFF" w:themeFill="background1"/>
          </w:tcPr>
          <w:p w14:paraId="7C95DE4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w:t>
            </w:r>
          </w:p>
        </w:tc>
      </w:tr>
      <w:tr w:rsidR="00BE3A18" w:rsidRPr="00770D7F" w14:paraId="28DD66C7" w14:textId="77777777" w:rsidTr="00D66C83">
        <w:tc>
          <w:tcPr>
            <w:tcW w:w="2972" w:type="dxa"/>
            <w:shd w:val="clear" w:color="auto" w:fill="FFFFFF" w:themeFill="background1"/>
          </w:tcPr>
          <w:p w14:paraId="2B3137F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golobji grah, čičerika (gram)</w:t>
            </w:r>
          </w:p>
        </w:tc>
        <w:tc>
          <w:tcPr>
            <w:tcW w:w="6090" w:type="dxa"/>
            <w:shd w:val="clear" w:color="auto" w:fill="FFFFFF" w:themeFill="background1"/>
          </w:tcPr>
          <w:p w14:paraId="1A3CC850"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 gosenice, Achaea janata, Maruca vitrata</w:t>
            </w:r>
          </w:p>
        </w:tc>
      </w:tr>
      <w:tr w:rsidR="00BE3A18" w:rsidRPr="00770D7F" w14:paraId="740D4CD1" w14:textId="77777777" w:rsidTr="00D66C83">
        <w:tc>
          <w:tcPr>
            <w:tcW w:w="2972" w:type="dxa"/>
            <w:shd w:val="clear" w:color="auto" w:fill="FFFFFF" w:themeFill="background1"/>
          </w:tcPr>
          <w:p w14:paraId="50BC9F3B"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 xml:space="preserve">fižol, kitajski fižol </w:t>
            </w:r>
          </w:p>
        </w:tc>
        <w:tc>
          <w:tcPr>
            <w:tcW w:w="6090" w:type="dxa"/>
            <w:shd w:val="clear" w:color="auto" w:fill="FFFFFF" w:themeFill="background1"/>
          </w:tcPr>
          <w:p w14:paraId="6F358A73"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 listne zavrtalke, ščitkarji</w:t>
            </w:r>
          </w:p>
        </w:tc>
      </w:tr>
      <w:tr w:rsidR="00BE3A18" w:rsidRPr="00770D7F" w14:paraId="2F091EB9" w14:textId="77777777" w:rsidTr="00D66C83">
        <w:tc>
          <w:tcPr>
            <w:tcW w:w="2972" w:type="dxa"/>
            <w:shd w:val="clear" w:color="auto" w:fill="FFFFFF" w:themeFill="background1"/>
          </w:tcPr>
          <w:p w14:paraId="3D48F59F"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čili, čebula, krompir</w:t>
            </w:r>
          </w:p>
        </w:tc>
        <w:tc>
          <w:tcPr>
            <w:tcW w:w="6090" w:type="dxa"/>
            <w:shd w:val="clear" w:color="auto" w:fill="FFFFFF" w:themeFill="background1"/>
          </w:tcPr>
          <w:p w14:paraId="3303ACCE"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 mali škržatki</w:t>
            </w:r>
          </w:p>
        </w:tc>
      </w:tr>
      <w:tr w:rsidR="00BE3A18" w:rsidRPr="00770D7F" w14:paraId="32C19F92" w14:textId="77777777" w:rsidTr="00D66C83">
        <w:tc>
          <w:tcPr>
            <w:tcW w:w="2972" w:type="dxa"/>
            <w:shd w:val="clear" w:color="auto" w:fill="FFFFFF" w:themeFill="background1"/>
          </w:tcPr>
          <w:p w14:paraId="0BEC686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kava</w:t>
            </w:r>
          </w:p>
        </w:tc>
        <w:tc>
          <w:tcPr>
            <w:tcW w:w="6090" w:type="dxa"/>
            <w:shd w:val="clear" w:color="auto" w:fill="FFFFFF" w:themeFill="background1"/>
          </w:tcPr>
          <w:p w14:paraId="076E6FBF"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Hypothenemus hampei (rilčkar), Xylotrechus quadripes</w:t>
            </w:r>
          </w:p>
        </w:tc>
      </w:tr>
      <w:tr w:rsidR="00BE3A18" w:rsidRPr="00770D7F" w14:paraId="19A6CFE3" w14:textId="77777777" w:rsidTr="00D66C83">
        <w:tc>
          <w:tcPr>
            <w:tcW w:w="2972" w:type="dxa"/>
            <w:shd w:val="clear" w:color="auto" w:fill="FFFFFF" w:themeFill="background1"/>
          </w:tcPr>
          <w:p w14:paraId="49136BD2"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bombaž</w:t>
            </w:r>
          </w:p>
        </w:tc>
        <w:tc>
          <w:tcPr>
            <w:tcW w:w="6090" w:type="dxa"/>
            <w:shd w:val="clear" w:color="auto" w:fill="FFFFFF" w:themeFill="background1"/>
          </w:tcPr>
          <w:p w14:paraId="091C3195"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listne uši, južna plodovrtka, mali škržatki, listni zavijači, Pectinophora gossypiella, resarji, ščitkarji</w:t>
            </w:r>
          </w:p>
        </w:tc>
      </w:tr>
      <w:tr w:rsidR="00BE3A18" w:rsidRPr="00770D7F" w14:paraId="5C81BDDA" w14:textId="77777777" w:rsidTr="00D66C83">
        <w:tc>
          <w:tcPr>
            <w:tcW w:w="2972" w:type="dxa"/>
            <w:shd w:val="clear" w:color="auto" w:fill="FFFFFF" w:themeFill="background1"/>
          </w:tcPr>
          <w:p w14:paraId="2F81F821"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 xml:space="preserve">jajčevec, okra </w:t>
            </w:r>
          </w:p>
        </w:tc>
        <w:tc>
          <w:tcPr>
            <w:tcW w:w="6090" w:type="dxa"/>
            <w:shd w:val="clear" w:color="auto" w:fill="FFFFFF" w:themeFill="background1"/>
          </w:tcPr>
          <w:p w14:paraId="2818DA7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 xml:space="preserve">listne uši, kapusov molj, mali škržatki, Leucinodes orbonalis </w:t>
            </w:r>
          </w:p>
        </w:tc>
      </w:tr>
      <w:tr w:rsidR="00BE3A18" w:rsidRPr="00770D7F" w14:paraId="684771B9" w14:textId="77777777" w:rsidTr="00D66C83">
        <w:tc>
          <w:tcPr>
            <w:tcW w:w="2972" w:type="dxa"/>
            <w:shd w:val="clear" w:color="auto" w:fill="FFFFFF" w:themeFill="background1"/>
          </w:tcPr>
          <w:p w14:paraId="785D3DFE"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arašidi</w:t>
            </w:r>
          </w:p>
        </w:tc>
        <w:tc>
          <w:tcPr>
            <w:tcW w:w="6090" w:type="dxa"/>
            <w:shd w:val="clear" w:color="auto" w:fill="FFFFFF" w:themeFill="background1"/>
          </w:tcPr>
          <w:p w14:paraId="2C20256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w:t>
            </w:r>
          </w:p>
        </w:tc>
      </w:tr>
      <w:tr w:rsidR="00BE3A18" w:rsidRPr="00770D7F" w14:paraId="0CEE2A9D" w14:textId="77777777" w:rsidTr="00D66C83">
        <w:tc>
          <w:tcPr>
            <w:tcW w:w="2972" w:type="dxa"/>
            <w:shd w:val="clear" w:color="auto" w:fill="FFFFFF" w:themeFill="background1"/>
          </w:tcPr>
          <w:p w14:paraId="17E2C4D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juta</w:t>
            </w:r>
          </w:p>
        </w:tc>
        <w:tc>
          <w:tcPr>
            <w:tcW w:w="6090" w:type="dxa"/>
            <w:shd w:val="clear" w:color="auto" w:fill="FFFFFF" w:themeFill="background1"/>
          </w:tcPr>
          <w:p w14:paraId="71A61E8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Spilosoma obliqua, Lorryia formosa (pršice)</w:t>
            </w:r>
          </w:p>
        </w:tc>
      </w:tr>
      <w:tr w:rsidR="00BE3A18" w:rsidRPr="00770D7F" w14:paraId="17FD432E" w14:textId="77777777" w:rsidTr="00D66C83">
        <w:tc>
          <w:tcPr>
            <w:tcW w:w="2972" w:type="dxa"/>
            <w:shd w:val="clear" w:color="auto" w:fill="FFFFFF" w:themeFill="background1"/>
          </w:tcPr>
          <w:p w14:paraId="27E58F65"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koruza</w:t>
            </w:r>
          </w:p>
        </w:tc>
        <w:tc>
          <w:tcPr>
            <w:tcW w:w="6090" w:type="dxa"/>
            <w:shd w:val="clear" w:color="auto" w:fill="FFFFFF" w:themeFill="background1"/>
          </w:tcPr>
          <w:p w14:paraId="2CBADEA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 xml:space="preserve">listne uši, </w:t>
            </w:r>
            <w:r w:rsidRPr="00770D7F">
              <w:rPr>
                <w:rStyle w:val="binomial"/>
                <w:rFonts w:ascii="Arial" w:hAnsi="Arial" w:cs="Arial"/>
                <w:color w:val="000000"/>
                <w:sz w:val="18"/>
                <w:szCs w:val="18"/>
                <w:shd w:val="clear" w:color="auto" w:fill="F8F9FA"/>
              </w:rPr>
              <w:t>Sesamia cretica</w:t>
            </w:r>
            <w:r w:rsidRPr="00770D7F">
              <w:rPr>
                <w:rFonts w:ascii="Arial" w:hAnsi="Arial" w:cs="Arial"/>
                <w:sz w:val="18"/>
                <w:szCs w:val="18"/>
                <w:lang w:val="sl"/>
              </w:rPr>
              <w:t>, Xylotrechus quadripes</w:t>
            </w:r>
          </w:p>
        </w:tc>
      </w:tr>
      <w:tr w:rsidR="00BE3A18" w:rsidRPr="00770D7F" w14:paraId="7CF44AB4" w14:textId="77777777" w:rsidTr="00D66C83">
        <w:tc>
          <w:tcPr>
            <w:tcW w:w="2972" w:type="dxa"/>
            <w:shd w:val="clear" w:color="auto" w:fill="FFFFFF" w:themeFill="background1"/>
          </w:tcPr>
          <w:p w14:paraId="6A06F541"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lastRenderedPageBreak/>
              <w:t>mango</w:t>
            </w:r>
          </w:p>
        </w:tc>
        <w:tc>
          <w:tcPr>
            <w:tcW w:w="6090" w:type="dxa"/>
            <w:shd w:val="clear" w:color="auto" w:fill="FFFFFF" w:themeFill="background1"/>
          </w:tcPr>
          <w:p w14:paraId="27FBABA3"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vinske mušice, kobilice</w:t>
            </w:r>
          </w:p>
        </w:tc>
      </w:tr>
      <w:tr w:rsidR="00BE3A18" w:rsidRPr="00770D7F" w14:paraId="486CAFBC" w14:textId="77777777" w:rsidTr="00D66C83">
        <w:tc>
          <w:tcPr>
            <w:tcW w:w="2972" w:type="dxa"/>
            <w:shd w:val="clear" w:color="auto" w:fill="FFFFFF" w:themeFill="background1"/>
          </w:tcPr>
          <w:p w14:paraId="42E2C7F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gorčica</w:t>
            </w:r>
          </w:p>
        </w:tc>
        <w:tc>
          <w:tcPr>
            <w:tcW w:w="6090" w:type="dxa"/>
            <w:shd w:val="clear" w:color="auto" w:fill="FFFFFF" w:themeFill="background1"/>
          </w:tcPr>
          <w:p w14:paraId="111E09DA"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listne uši, Cecidomyiidae</w:t>
            </w:r>
          </w:p>
        </w:tc>
      </w:tr>
      <w:tr w:rsidR="00BE3A18" w:rsidRPr="00770D7F" w14:paraId="29ED3E9B" w14:textId="77777777" w:rsidTr="00D66C83">
        <w:tc>
          <w:tcPr>
            <w:tcW w:w="2972" w:type="dxa"/>
            <w:shd w:val="clear" w:color="auto" w:fill="FFFFFF" w:themeFill="background1"/>
          </w:tcPr>
          <w:p w14:paraId="0C9E9A57"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riž</w:t>
            </w:r>
          </w:p>
        </w:tc>
        <w:tc>
          <w:tcPr>
            <w:tcW w:w="6090" w:type="dxa"/>
            <w:shd w:val="clear" w:color="auto" w:fill="FFFFFF" w:themeFill="background1"/>
          </w:tcPr>
          <w:p w14:paraId="3B93A351"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Cecidomyiidae, Dicladispa armigera, Xylotrechus quadripes, mali škržatki</w:t>
            </w:r>
          </w:p>
        </w:tc>
      </w:tr>
      <w:tr w:rsidR="00BE3A18" w:rsidRPr="00770D7F" w14:paraId="03D39CEA" w14:textId="77777777" w:rsidTr="00D66C83">
        <w:tc>
          <w:tcPr>
            <w:tcW w:w="2972" w:type="dxa"/>
            <w:shd w:val="clear" w:color="auto" w:fill="FFFFFF" w:themeFill="background1"/>
          </w:tcPr>
          <w:p w14:paraId="0D87948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čaj</w:t>
            </w:r>
          </w:p>
        </w:tc>
        <w:tc>
          <w:tcPr>
            <w:tcW w:w="6090" w:type="dxa"/>
            <w:shd w:val="clear" w:color="auto" w:fill="FFFFFF" w:themeFill="background1"/>
          </w:tcPr>
          <w:p w14:paraId="2559DF2E"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listne uši, gosenice, Cydia leucostoma, volnate uši, kaparji, zeleni škržatki, Ectropis grisescens Warren, Helopeltis theivora, resarji </w:t>
            </w:r>
          </w:p>
        </w:tc>
      </w:tr>
      <w:tr w:rsidR="00BE3A18" w:rsidRPr="00770D7F" w14:paraId="2EF7F834" w14:textId="77777777" w:rsidTr="00D66C83">
        <w:tc>
          <w:tcPr>
            <w:tcW w:w="2972" w:type="dxa"/>
            <w:shd w:val="clear" w:color="auto" w:fill="FFFFFF" w:themeFill="background1"/>
          </w:tcPr>
          <w:p w14:paraId="68376F22"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tobak</w:t>
            </w:r>
          </w:p>
        </w:tc>
        <w:tc>
          <w:tcPr>
            <w:tcW w:w="6090" w:type="dxa"/>
            <w:shd w:val="clear" w:color="auto" w:fill="FFFFFF" w:themeFill="background1"/>
          </w:tcPr>
          <w:p w14:paraId="31AF590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 xml:space="preserve">listne uši, Helicoverpa assulta </w:t>
            </w:r>
          </w:p>
        </w:tc>
      </w:tr>
      <w:tr w:rsidR="00BE3A18" w:rsidRPr="00770D7F" w14:paraId="6861738F" w14:textId="77777777" w:rsidTr="00D66C83">
        <w:tc>
          <w:tcPr>
            <w:tcW w:w="2972" w:type="dxa"/>
            <w:shd w:val="clear" w:color="auto" w:fill="FFFFFF" w:themeFill="background1"/>
          </w:tcPr>
          <w:p w14:paraId="79F9AA5E"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paradižnik</w:t>
            </w:r>
          </w:p>
        </w:tc>
        <w:tc>
          <w:tcPr>
            <w:tcW w:w="6090" w:type="dxa"/>
            <w:shd w:val="clear" w:color="auto" w:fill="FFFFFF" w:themeFill="background1"/>
          </w:tcPr>
          <w:p w14:paraId="7A09E349" w14:textId="77777777" w:rsidR="00BE3A18" w:rsidRPr="00770D7F" w:rsidRDefault="00BE3A18" w:rsidP="00BE3A18">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listne uši, kapusov molj, mali škržatki, Leucinodes orbonalis, ščitkarji</w:t>
            </w:r>
          </w:p>
        </w:tc>
      </w:tr>
      <w:tr w:rsidR="00BE3A18" w:rsidRPr="00770D7F" w14:paraId="19F7B425" w14:textId="77777777" w:rsidTr="00D66C83">
        <w:tc>
          <w:tcPr>
            <w:tcW w:w="2972" w:type="dxa"/>
            <w:shd w:val="clear" w:color="auto" w:fill="FFFFFF" w:themeFill="background1"/>
          </w:tcPr>
          <w:p w14:paraId="7D9B2184"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pšenica</w:t>
            </w:r>
          </w:p>
        </w:tc>
        <w:tc>
          <w:tcPr>
            <w:tcW w:w="6090" w:type="dxa"/>
            <w:shd w:val="clear" w:color="auto" w:fill="FFFFFF" w:themeFill="background1"/>
          </w:tcPr>
          <w:p w14:paraId="4361CCB9" w14:textId="77777777" w:rsidR="00BE3A18" w:rsidRPr="00770D7F" w:rsidRDefault="00BE3A18" w:rsidP="00BE3A18">
            <w:pPr>
              <w:pStyle w:val="Heading1"/>
              <w:shd w:val="clear" w:color="auto" w:fill="FFFFFF"/>
              <w:spacing w:before="0" w:beforeAutospacing="0" w:after="0" w:afterAutospacing="0"/>
              <w:rPr>
                <w:rFonts w:ascii="Arial" w:hAnsi="Arial" w:cs="Arial"/>
                <w:b w:val="0"/>
                <w:bCs w:val="0"/>
                <w:color w:val="000000"/>
                <w:sz w:val="18"/>
                <w:szCs w:val="18"/>
              </w:rPr>
            </w:pPr>
            <w:r w:rsidRPr="00770D7F">
              <w:rPr>
                <w:rFonts w:ascii="Arial" w:eastAsia="Calibri" w:hAnsi="Arial" w:cs="Arial"/>
                <w:b w:val="0"/>
                <w:bCs w:val="0"/>
                <w:sz w:val="18"/>
                <w:szCs w:val="18"/>
                <w:lang w:val="sl"/>
              </w:rPr>
              <w:t xml:space="preserve">listne uši, </w:t>
            </w:r>
            <w:r w:rsidRPr="00770D7F">
              <w:rPr>
                <w:rFonts w:ascii="Arial" w:hAnsi="Arial" w:cs="Arial"/>
                <w:b w:val="0"/>
                <w:bCs w:val="0"/>
                <w:color w:val="000000"/>
                <w:sz w:val="18"/>
                <w:szCs w:val="18"/>
              </w:rPr>
              <w:t>Sesamia inferens</w:t>
            </w:r>
            <w:r w:rsidRPr="00770D7F">
              <w:rPr>
                <w:rFonts w:ascii="Arial" w:eastAsia="Calibri" w:hAnsi="Arial" w:cs="Arial"/>
                <w:b w:val="0"/>
                <w:bCs w:val="0"/>
                <w:sz w:val="18"/>
                <w:szCs w:val="18"/>
                <w:lang w:val="sl"/>
              </w:rPr>
              <w:t>, termiti</w:t>
            </w:r>
          </w:p>
        </w:tc>
      </w:tr>
    </w:tbl>
    <w:p w14:paraId="4EC6A83D" w14:textId="77777777" w:rsidR="00BE3A18" w:rsidRPr="00770D7F" w:rsidRDefault="00BE3A18" w:rsidP="00BE3A18">
      <w:pPr>
        <w:rPr>
          <w:rFonts w:ascii="Arial" w:hAnsi="Arial" w:cs="Arial"/>
          <w:sz w:val="20"/>
          <w:szCs w:val="20"/>
        </w:rPr>
      </w:pPr>
    </w:p>
    <w:p w14:paraId="7ED230FE" w14:textId="77777777" w:rsidR="0085169E" w:rsidRDefault="0085169E" w:rsidP="00BE3A18">
      <w:pPr>
        <w:rPr>
          <w:rFonts w:ascii="Arial" w:hAnsi="Arial" w:cs="Arial"/>
          <w:b/>
          <w:bCs/>
          <w:i/>
          <w:sz w:val="20"/>
          <w:szCs w:val="20"/>
          <w:highlight w:val="cyan"/>
          <w:u w:val="single"/>
        </w:rPr>
        <w:sectPr w:rsidR="0085169E" w:rsidSect="00D66C83">
          <w:footnotePr>
            <w:numRestart w:val="eachSect"/>
          </w:footnotePr>
          <w:pgSz w:w="11906" w:h="16838"/>
          <w:pgMar w:top="1417" w:right="1417" w:bottom="1417" w:left="1417" w:header="708" w:footer="708" w:gutter="0"/>
          <w:cols w:space="708"/>
          <w:docGrid w:linePitch="360"/>
        </w:sectPr>
      </w:pPr>
    </w:p>
    <w:p w14:paraId="45314096" w14:textId="77777777" w:rsidR="00BE3A18" w:rsidRPr="00254B91" w:rsidRDefault="00BE3A18" w:rsidP="00BE3A18">
      <w:pPr>
        <w:rPr>
          <w:rFonts w:ascii="Arial" w:hAnsi="Arial" w:cs="Arial"/>
          <w:b/>
          <w:bCs/>
          <w:sz w:val="28"/>
          <w:szCs w:val="28"/>
        </w:rPr>
      </w:pPr>
      <w:r w:rsidRPr="00254B91">
        <w:rPr>
          <w:rFonts w:ascii="Arial" w:hAnsi="Arial" w:cs="Arial"/>
          <w:b/>
          <w:bCs/>
          <w:sz w:val="28"/>
          <w:szCs w:val="28"/>
        </w:rPr>
        <w:lastRenderedPageBreak/>
        <w:t>SC-6/13:</w:t>
      </w:r>
      <w:r w:rsidRPr="00254B91">
        <w:rPr>
          <w:rFonts w:ascii="Arial" w:hAnsi="Arial" w:cs="Arial"/>
          <w:b/>
          <w:bCs/>
          <w:sz w:val="28"/>
          <w:szCs w:val="28"/>
          <w:lang w:val="sl"/>
        </w:rPr>
        <w:t xml:space="preserve"> Uvrstitev heksabromociklododekana </w:t>
      </w:r>
    </w:p>
    <w:p w14:paraId="0D8798C1" w14:textId="77777777" w:rsidR="00BE3A18" w:rsidRPr="00770D7F" w:rsidRDefault="00BE3A18" w:rsidP="00254B91">
      <w:pPr>
        <w:ind w:firstLine="708"/>
        <w:rPr>
          <w:rFonts w:ascii="Arial" w:hAnsi="Arial" w:cs="Arial"/>
          <w:sz w:val="20"/>
          <w:szCs w:val="20"/>
        </w:rPr>
      </w:pPr>
      <w:r w:rsidRPr="00254B91">
        <w:rPr>
          <w:rFonts w:ascii="Arial" w:hAnsi="Arial" w:cs="Arial"/>
          <w:i/>
          <w:iCs/>
          <w:sz w:val="20"/>
          <w:szCs w:val="20"/>
          <w:lang w:val="sl"/>
        </w:rPr>
        <w:t>Konferenca pogodbenic</w:t>
      </w:r>
      <w:r w:rsidRPr="00770D7F">
        <w:rPr>
          <w:rFonts w:ascii="Arial" w:hAnsi="Arial" w:cs="Arial"/>
          <w:sz w:val="20"/>
          <w:szCs w:val="20"/>
          <w:lang w:val="sl"/>
        </w:rPr>
        <w:t xml:space="preserve">, </w:t>
      </w:r>
    </w:p>
    <w:p w14:paraId="25FBEAEC" w14:textId="77777777" w:rsidR="00BE3A18" w:rsidRPr="00770D7F" w:rsidRDefault="00BE3A18" w:rsidP="00254B91">
      <w:pPr>
        <w:ind w:firstLine="708"/>
        <w:rPr>
          <w:rFonts w:ascii="Arial" w:hAnsi="Arial" w:cs="Arial"/>
          <w:sz w:val="20"/>
          <w:szCs w:val="20"/>
        </w:rPr>
      </w:pPr>
      <w:r w:rsidRPr="00254B91">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ter dodatek za heksabromociklododekan, kot jih je poslal Odbor za pregled obstojnih organskih onesnaževal,</w:t>
      </w:r>
      <w:r w:rsidRPr="00770D7F">
        <w:rPr>
          <w:rStyle w:val="FootnoteReference"/>
          <w:rFonts w:ascii="Arial" w:hAnsi="Arial" w:cs="Arial"/>
          <w:sz w:val="20"/>
          <w:szCs w:val="20"/>
          <w:lang w:val="sl"/>
        </w:rPr>
        <w:footnoteReference w:id="64"/>
      </w:r>
    </w:p>
    <w:p w14:paraId="4C702C29" w14:textId="77777777" w:rsidR="00BE3A18" w:rsidRPr="00770D7F" w:rsidRDefault="00BE3A18" w:rsidP="00254B91">
      <w:pPr>
        <w:ind w:firstLine="708"/>
        <w:rPr>
          <w:rFonts w:ascii="Arial" w:hAnsi="Arial" w:cs="Arial"/>
          <w:sz w:val="20"/>
          <w:szCs w:val="20"/>
        </w:rPr>
      </w:pPr>
      <w:r w:rsidRPr="00254B91">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heksabromociklododekan uvrsti v Prilogo A h konvenciji s posebnimi izjemami za proizvodnjo in uporabo v ekspandiranem polistirenu in ekstrudiranem polistirenu v zgradbah,</w:t>
      </w:r>
      <w:r w:rsidRPr="00770D7F">
        <w:rPr>
          <w:rStyle w:val="FootnoteReference"/>
          <w:rFonts w:ascii="Arial" w:hAnsi="Arial" w:cs="Arial"/>
          <w:sz w:val="20"/>
          <w:szCs w:val="20"/>
          <w:lang w:val="sl"/>
        </w:rPr>
        <w:footnoteReference w:id="65"/>
      </w:r>
    </w:p>
    <w:p w14:paraId="065B053A" w14:textId="77777777" w:rsidR="00BE3A18" w:rsidRPr="00770D7F" w:rsidRDefault="00BE3A18" w:rsidP="00254B91">
      <w:pPr>
        <w:pStyle w:val="ListParagraph"/>
        <w:numPr>
          <w:ilvl w:val="0"/>
          <w:numId w:val="4"/>
        </w:numPr>
        <w:ind w:left="0" w:firstLine="709"/>
        <w:rPr>
          <w:rFonts w:ascii="Arial" w:hAnsi="Arial" w:cs="Arial"/>
          <w:sz w:val="20"/>
          <w:szCs w:val="20"/>
        </w:rPr>
      </w:pPr>
      <w:r w:rsidRPr="00770D7F">
        <w:rPr>
          <w:rFonts w:ascii="Arial" w:hAnsi="Arial" w:cs="Arial"/>
          <w:i/>
          <w:iCs/>
          <w:sz w:val="20"/>
          <w:szCs w:val="20"/>
          <w:lang w:val="sl"/>
        </w:rPr>
        <w:t xml:space="preserve">sklene </w:t>
      </w:r>
      <w:r w:rsidRPr="00770D7F">
        <w:rPr>
          <w:rFonts w:ascii="Arial" w:hAnsi="Arial" w:cs="Arial"/>
          <w:sz w:val="20"/>
          <w:szCs w:val="20"/>
          <w:lang w:val="sl"/>
        </w:rPr>
        <w:t>spremeniti I. del Priloge A k Stockholmski konvenciji o obstojnih organskih onesnaževalih, tako da se vanj uvrsti heksabromociklododekan s posebnimi izjemami za proizvodnjo, kot so dovoljene za pogodbenice, navedene v registru posebnih izjem, ter za uporabo v ekspandiranem polistirenu in ekstrudiranem polistirenu v zgradbah, in sicer tako, tako da se vstavi naslednja vrstica:</w:t>
      </w:r>
    </w:p>
    <w:p w14:paraId="6CE43DDC" w14:textId="77777777" w:rsidR="00BE3A18" w:rsidRPr="00770D7F" w:rsidRDefault="00BE3A18" w:rsidP="00BE3A18">
      <w:pPr>
        <w:pStyle w:val="ListParagrap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1CBFAA6F" w14:textId="77777777" w:rsidTr="00D66C83">
        <w:tc>
          <w:tcPr>
            <w:tcW w:w="3397" w:type="dxa"/>
            <w:shd w:val="solid" w:color="E7E6E6" w:themeColor="background2" w:fill="E7E6E6" w:themeFill="background2"/>
          </w:tcPr>
          <w:p w14:paraId="0B261F2E" w14:textId="77777777" w:rsidR="00BE3A18" w:rsidRPr="00770D7F" w:rsidRDefault="00BE3A18" w:rsidP="00BE3A18">
            <w:pPr>
              <w:pStyle w:val="ListParagraph"/>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solid" w:color="E7E6E6" w:themeColor="background2" w:fill="E7E6E6" w:themeFill="background2"/>
          </w:tcPr>
          <w:p w14:paraId="5086DDB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solid" w:color="E7E6E6" w:themeColor="background2" w:fill="E7E6E6" w:themeFill="background2"/>
          </w:tcPr>
          <w:p w14:paraId="60F54DB6"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3DB325D8" w14:textId="77777777" w:rsidR="00BE3A18" w:rsidRPr="00770D7F" w:rsidRDefault="00BE3A18" w:rsidP="00BE3A18">
            <w:pPr>
              <w:spacing w:after="0" w:line="240" w:lineRule="auto"/>
              <w:rPr>
                <w:rFonts w:ascii="Arial" w:hAnsi="Arial" w:cs="Arial"/>
                <w:sz w:val="18"/>
                <w:szCs w:val="18"/>
              </w:rPr>
            </w:pPr>
          </w:p>
        </w:tc>
      </w:tr>
      <w:tr w:rsidR="00BE3A18" w:rsidRPr="00770D7F" w14:paraId="52B8EFBA" w14:textId="77777777" w:rsidTr="00BE3A18">
        <w:tc>
          <w:tcPr>
            <w:tcW w:w="3397" w:type="dxa"/>
            <w:vMerge w:val="restart"/>
            <w:shd w:val="clear" w:color="auto" w:fill="auto"/>
          </w:tcPr>
          <w:p w14:paraId="7FFA2B6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heksabromociklododekan </w:t>
            </w:r>
          </w:p>
        </w:tc>
        <w:tc>
          <w:tcPr>
            <w:tcW w:w="1843" w:type="dxa"/>
            <w:shd w:val="clear" w:color="auto" w:fill="auto"/>
          </w:tcPr>
          <w:p w14:paraId="3B610343"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13C6F53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kot je dovoljeno za pogodbenice, navedene v registru, v skladu z določbami VII. dela te priloge</w:t>
            </w:r>
          </w:p>
        </w:tc>
      </w:tr>
      <w:tr w:rsidR="00BE3A18" w:rsidRPr="00770D7F" w14:paraId="14575E14" w14:textId="77777777" w:rsidTr="00BE3A18">
        <w:tc>
          <w:tcPr>
            <w:tcW w:w="3397" w:type="dxa"/>
            <w:vMerge/>
            <w:shd w:val="clear" w:color="auto" w:fill="auto"/>
          </w:tcPr>
          <w:p w14:paraId="1BD1A2BE"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545D0347"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0F5393BC" w14:textId="77777777" w:rsidR="00BE3A18" w:rsidRPr="00770D7F" w:rsidRDefault="00BE3A18" w:rsidP="00BE3A18">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ekspandirani polistiren in ekstrudirani polistiren v stavbah v skladu z določbami VII. dela te priloge</w:t>
            </w:r>
          </w:p>
        </w:tc>
      </w:tr>
    </w:tbl>
    <w:p w14:paraId="76C0E361" w14:textId="77777777" w:rsidR="00BE3A18" w:rsidRPr="00770D7F" w:rsidRDefault="00BE3A18" w:rsidP="00BE3A18">
      <w:pPr>
        <w:rPr>
          <w:rFonts w:ascii="Arial" w:hAnsi="Arial" w:cs="Arial"/>
          <w:b/>
          <w:bCs/>
          <w:sz w:val="20"/>
          <w:szCs w:val="20"/>
        </w:rPr>
      </w:pPr>
    </w:p>
    <w:p w14:paraId="60DFF054" w14:textId="31E8A403" w:rsidR="00BE3A18" w:rsidRPr="00770D7F" w:rsidRDefault="00BE3A18" w:rsidP="00254B91">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2. </w:t>
      </w:r>
      <w:r w:rsidR="00254B91">
        <w:rPr>
          <w:rFonts w:ascii="Arial" w:hAnsi="Arial" w:cs="Arial"/>
          <w:sz w:val="20"/>
          <w:szCs w:val="20"/>
          <w:lang w:val="sl"/>
        </w:rPr>
        <w:tab/>
      </w:r>
      <w:r w:rsidRPr="00770D7F">
        <w:rPr>
          <w:rFonts w:ascii="Arial" w:hAnsi="Arial" w:cs="Arial"/>
          <w:i/>
          <w:iCs/>
          <w:sz w:val="20"/>
          <w:szCs w:val="20"/>
          <w:lang w:val="sl"/>
        </w:rPr>
        <w:t xml:space="preserve">sklene tudi </w:t>
      </w:r>
      <w:r w:rsidRPr="00770D7F">
        <w:rPr>
          <w:rFonts w:ascii="Arial" w:hAnsi="Arial" w:cs="Arial"/>
          <w:sz w:val="20"/>
          <w:szCs w:val="20"/>
          <w:lang w:val="sl"/>
        </w:rPr>
        <w:t>vstaviti opredelitev za heksabromociklododekan v III. del Priloge A, ki se glasi:</w:t>
      </w:r>
    </w:p>
    <w:p w14:paraId="0A13BC88"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3234641B" w14:textId="77777777" w:rsidR="00BE3A18" w:rsidRPr="00770D7F" w:rsidRDefault="00BE3A18" w:rsidP="00254B91">
      <w:pPr>
        <w:autoSpaceDE w:val="0"/>
        <w:autoSpaceDN w:val="0"/>
        <w:adjustRightInd w:val="0"/>
        <w:spacing w:after="0" w:line="240" w:lineRule="auto"/>
        <w:ind w:left="1416"/>
        <w:rPr>
          <w:rFonts w:ascii="Arial" w:hAnsi="Arial" w:cs="Arial"/>
          <w:sz w:val="20"/>
          <w:szCs w:val="20"/>
        </w:rPr>
      </w:pPr>
      <w:r w:rsidRPr="00770D7F">
        <w:rPr>
          <w:rFonts w:ascii="Arial" w:hAnsi="Arial" w:cs="Arial"/>
          <w:sz w:val="20"/>
          <w:szCs w:val="20"/>
          <w:lang w:val="sl"/>
        </w:rPr>
        <w:t>»(c) »Heksabromociklododekan« pomeni heksabromociklododekan (CAS št.: 25637-99-4), 1,2,5,6,9,10-heksabromociklododekan (CAS št.: 3194-55-6) in njegove glavne diastereoizomere: alfa-heksabromociklododekan (CAS št.: 134237-50-6); beta-heksabromociklododekan (CAS št.: 134237-51-7) in gama-heksabromociklododekan (CAS št.: 134237-52-8).«</w:t>
      </w:r>
    </w:p>
    <w:p w14:paraId="1EF12A37"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24ED419F" w14:textId="44E8C2F5" w:rsidR="00BE3A18" w:rsidRPr="00770D7F" w:rsidRDefault="00BE3A18" w:rsidP="00254B91">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3. </w:t>
      </w:r>
      <w:r w:rsidR="00254B91">
        <w:rPr>
          <w:rFonts w:ascii="Arial" w:hAnsi="Arial" w:cs="Arial"/>
          <w:sz w:val="20"/>
          <w:szCs w:val="20"/>
          <w:lang w:val="sl"/>
        </w:rPr>
        <w:tab/>
      </w:r>
      <w:r w:rsidRPr="00254B91">
        <w:rPr>
          <w:rFonts w:ascii="Arial" w:hAnsi="Arial" w:cs="Arial"/>
          <w:i/>
          <w:iCs/>
          <w:sz w:val="20"/>
          <w:szCs w:val="20"/>
          <w:lang w:val="sl"/>
        </w:rPr>
        <w:t>Poleg tega sklene</w:t>
      </w:r>
      <w:r w:rsidRPr="00770D7F">
        <w:rPr>
          <w:rFonts w:ascii="Arial" w:hAnsi="Arial" w:cs="Arial"/>
          <w:sz w:val="20"/>
          <w:szCs w:val="20"/>
          <w:lang w:val="sl"/>
        </w:rPr>
        <w:t xml:space="preserve"> vstaviti nov VII. del v Prilogo A, ki se glasi:</w:t>
      </w:r>
    </w:p>
    <w:p w14:paraId="3CFB28BC"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0A568213" w14:textId="77777777" w:rsidR="00BE3A18" w:rsidRPr="00770D7F" w:rsidRDefault="00BE3A18" w:rsidP="00BE3A18">
      <w:pPr>
        <w:autoSpaceDE w:val="0"/>
        <w:autoSpaceDN w:val="0"/>
        <w:adjustRightInd w:val="0"/>
        <w:spacing w:after="0" w:line="240" w:lineRule="auto"/>
        <w:jc w:val="center"/>
        <w:rPr>
          <w:rFonts w:ascii="Arial" w:hAnsi="Arial" w:cs="Arial"/>
          <w:b/>
          <w:bCs/>
          <w:sz w:val="20"/>
          <w:szCs w:val="20"/>
        </w:rPr>
      </w:pPr>
      <w:r w:rsidRPr="00770D7F">
        <w:rPr>
          <w:rFonts w:ascii="Arial" w:hAnsi="Arial" w:cs="Arial"/>
          <w:b/>
          <w:bCs/>
          <w:sz w:val="20"/>
          <w:szCs w:val="20"/>
          <w:lang w:val="sl"/>
        </w:rPr>
        <w:t>VII. del</w:t>
      </w:r>
    </w:p>
    <w:p w14:paraId="33C8DB36" w14:textId="77777777" w:rsidR="00BE3A18" w:rsidRPr="00770D7F" w:rsidRDefault="00BE3A18" w:rsidP="00BE3A18">
      <w:pPr>
        <w:autoSpaceDE w:val="0"/>
        <w:autoSpaceDN w:val="0"/>
        <w:adjustRightInd w:val="0"/>
        <w:spacing w:after="0" w:line="240" w:lineRule="auto"/>
        <w:jc w:val="center"/>
        <w:rPr>
          <w:rFonts w:ascii="Arial" w:hAnsi="Arial" w:cs="Arial"/>
          <w:b/>
          <w:bCs/>
          <w:sz w:val="20"/>
          <w:szCs w:val="20"/>
        </w:rPr>
      </w:pPr>
      <w:r w:rsidRPr="00770D7F">
        <w:rPr>
          <w:rFonts w:ascii="Arial" w:hAnsi="Arial" w:cs="Arial"/>
          <w:b/>
          <w:bCs/>
          <w:sz w:val="20"/>
          <w:szCs w:val="20"/>
          <w:lang w:val="sl"/>
        </w:rPr>
        <w:t>Heksabromociklododekan</w:t>
      </w:r>
    </w:p>
    <w:p w14:paraId="3B8E64F5"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60C3E9A3" w14:textId="77777777" w:rsidR="00BE3A18" w:rsidRPr="00770D7F" w:rsidRDefault="00BE3A18" w:rsidP="00254B91">
      <w:pPr>
        <w:autoSpaceDE w:val="0"/>
        <w:autoSpaceDN w:val="0"/>
        <w:adjustRightInd w:val="0"/>
        <w:spacing w:after="0" w:line="240" w:lineRule="auto"/>
        <w:ind w:left="708" w:firstLine="708"/>
        <w:rPr>
          <w:rFonts w:ascii="Arial" w:hAnsi="Arial" w:cs="Arial"/>
          <w:sz w:val="20"/>
          <w:szCs w:val="20"/>
        </w:rPr>
      </w:pPr>
      <w:r w:rsidRPr="00770D7F">
        <w:rPr>
          <w:rFonts w:ascii="Arial" w:hAnsi="Arial" w:cs="Arial"/>
          <w:sz w:val="20"/>
          <w:szCs w:val="20"/>
          <w:lang w:val="sl"/>
        </w:rPr>
        <w:t>Vsaka pogodbenica, ki je v skladu s 4. členom zaprosila za posebno izjemo za proizvodnjo in uporabo heksabromociklododekana za ekspandirani polistiren in ekstrudirani polistiren v stavbah, sprejme ustrezne ukrepe, da sta ekspandirani polistiren in ekstrudirani polistiren, ki vsebujeta heksabromociklododekan, med vso življenjsko dobo označena z nalepko ali na drug zlahka prepoznaven način.</w:t>
      </w:r>
    </w:p>
    <w:p w14:paraId="56E6FBDD" w14:textId="77777777" w:rsidR="00BE3A18" w:rsidRPr="00770D7F" w:rsidRDefault="00BE3A18" w:rsidP="00BE3A18">
      <w:pPr>
        <w:rPr>
          <w:rFonts w:ascii="Arial" w:hAnsi="Arial" w:cs="Arial"/>
          <w:b/>
          <w:bCs/>
          <w:sz w:val="20"/>
          <w:szCs w:val="20"/>
        </w:rPr>
      </w:pPr>
    </w:p>
    <w:p w14:paraId="751DD2D4" w14:textId="77777777" w:rsidR="0085169E" w:rsidRDefault="0085169E" w:rsidP="00BE3A18">
      <w:pPr>
        <w:rPr>
          <w:rFonts w:ascii="Arial" w:hAnsi="Arial" w:cs="Arial"/>
          <w:b/>
          <w:bCs/>
          <w:i/>
          <w:sz w:val="20"/>
          <w:szCs w:val="20"/>
          <w:highlight w:val="cyan"/>
          <w:u w:val="single"/>
        </w:rPr>
        <w:sectPr w:rsidR="0085169E" w:rsidSect="00D66C83">
          <w:footnotePr>
            <w:numRestart w:val="eachSect"/>
          </w:footnotePr>
          <w:pgSz w:w="11906" w:h="16838"/>
          <w:pgMar w:top="1417" w:right="1417" w:bottom="1417" w:left="1417" w:header="708" w:footer="708" w:gutter="0"/>
          <w:cols w:space="708"/>
          <w:docGrid w:linePitch="360"/>
        </w:sectPr>
      </w:pPr>
    </w:p>
    <w:p w14:paraId="608AE2A8" w14:textId="77777777" w:rsidR="00BE3A18" w:rsidRPr="00254B91" w:rsidRDefault="00BE3A18" w:rsidP="00BE3A18">
      <w:pPr>
        <w:rPr>
          <w:rFonts w:ascii="Arial" w:hAnsi="Arial" w:cs="Arial"/>
          <w:b/>
          <w:bCs/>
          <w:sz w:val="28"/>
          <w:szCs w:val="28"/>
        </w:rPr>
      </w:pPr>
      <w:r w:rsidRPr="00254B91">
        <w:rPr>
          <w:rFonts w:ascii="Arial" w:hAnsi="Arial" w:cs="Arial"/>
          <w:b/>
          <w:bCs/>
          <w:sz w:val="28"/>
          <w:szCs w:val="28"/>
        </w:rPr>
        <w:lastRenderedPageBreak/>
        <w:t>SC-7/12: Uvrstitev heksaklorobutadiena</w:t>
      </w:r>
    </w:p>
    <w:p w14:paraId="4B262AFC"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Konferenca pogodbenic</w:t>
      </w:r>
      <w:r w:rsidRPr="00770D7F">
        <w:rPr>
          <w:rFonts w:ascii="Arial" w:hAnsi="Arial" w:cs="Arial"/>
          <w:sz w:val="20"/>
          <w:szCs w:val="20"/>
          <w:lang w:val="sl"/>
        </w:rPr>
        <w:t xml:space="preserve">, </w:t>
      </w:r>
    </w:p>
    <w:p w14:paraId="124BEB3A"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heksaklorobutadien, kot ju je poslal Odbor za pregled obstojnih organskih onesnaževal,</w:t>
      </w:r>
      <w:r w:rsidRPr="00770D7F">
        <w:rPr>
          <w:rStyle w:val="FootnoteReference"/>
          <w:rFonts w:ascii="Arial" w:hAnsi="Arial" w:cs="Arial"/>
          <w:sz w:val="20"/>
          <w:szCs w:val="20"/>
          <w:lang w:val="sl"/>
        </w:rPr>
        <w:footnoteReference w:id="66"/>
      </w:r>
    </w:p>
    <w:p w14:paraId="058BD635" w14:textId="77777777" w:rsidR="00BE3A18" w:rsidRPr="00770D7F" w:rsidRDefault="00BE3A18" w:rsidP="00636E90">
      <w:pPr>
        <w:ind w:firstLine="708"/>
        <w:rPr>
          <w:rFonts w:ascii="Arial" w:hAnsi="Arial" w:cs="Arial"/>
          <w:sz w:val="20"/>
          <w:szCs w:val="20"/>
          <w:lang w:val="sl"/>
        </w:rPr>
      </w:pPr>
      <w:r w:rsidRPr="00636E90">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heksaklorobutadien uvrsti v prilogi A in C h konvenciji,</w:t>
      </w:r>
      <w:r w:rsidRPr="00770D7F">
        <w:rPr>
          <w:rStyle w:val="FootnoteReference"/>
          <w:rFonts w:ascii="Arial" w:hAnsi="Arial" w:cs="Arial"/>
          <w:sz w:val="20"/>
          <w:szCs w:val="20"/>
          <w:lang w:val="sl"/>
        </w:rPr>
        <w:footnoteReference w:id="67"/>
      </w:r>
    </w:p>
    <w:p w14:paraId="60A56354" w14:textId="77777777" w:rsidR="00BE3A18" w:rsidRPr="00770D7F" w:rsidRDefault="00BE3A18" w:rsidP="00636E90">
      <w:pPr>
        <w:pStyle w:val="ListParagraph"/>
        <w:ind w:left="0" w:firstLine="708"/>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 heksaklorobutadien brez posebnih izjem, in sicer tako, da se vstavi naslednja vrstica:</w:t>
      </w:r>
    </w:p>
    <w:p w14:paraId="43E07092" w14:textId="77777777" w:rsidR="00BE3A18" w:rsidRPr="00770D7F" w:rsidRDefault="00BE3A18" w:rsidP="00BE3A18">
      <w:pPr>
        <w:pStyle w:val="ListParagraph"/>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23FE9DBF" w14:textId="77777777" w:rsidTr="00BE3A18">
        <w:tc>
          <w:tcPr>
            <w:tcW w:w="3397" w:type="dxa"/>
            <w:shd w:val="clear" w:color="auto" w:fill="auto"/>
          </w:tcPr>
          <w:p w14:paraId="144B6FD4" w14:textId="77777777" w:rsidR="00BE3A18" w:rsidRPr="00770D7F" w:rsidRDefault="00BE3A18" w:rsidP="00BE3A18">
            <w:pPr>
              <w:pStyle w:val="ListParagraph"/>
              <w:spacing w:after="0" w:line="240" w:lineRule="auto"/>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2D0DC2E0"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03F9E152"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2445C761" w14:textId="77777777" w:rsidR="00BE3A18" w:rsidRPr="00770D7F" w:rsidRDefault="00BE3A18" w:rsidP="00BE3A18">
            <w:pPr>
              <w:spacing w:after="0" w:line="240" w:lineRule="auto"/>
              <w:rPr>
                <w:rFonts w:ascii="Arial" w:hAnsi="Arial" w:cs="Arial"/>
                <w:sz w:val="18"/>
                <w:szCs w:val="18"/>
              </w:rPr>
            </w:pPr>
          </w:p>
        </w:tc>
      </w:tr>
      <w:tr w:rsidR="00BE3A18" w:rsidRPr="00770D7F" w14:paraId="42209E63" w14:textId="77777777" w:rsidTr="00BE3A18">
        <w:tc>
          <w:tcPr>
            <w:tcW w:w="3397"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78"/>
            </w:tblGrid>
            <w:tr w:rsidR="00BE3A18" w:rsidRPr="00770D7F" w14:paraId="1DA5F5DD" w14:textId="77777777" w:rsidTr="00BE3A18">
              <w:trPr>
                <w:trHeight w:val="246"/>
              </w:trPr>
              <w:tc>
                <w:tcPr>
                  <w:tcW w:w="0" w:type="auto"/>
                </w:tcPr>
                <w:p w14:paraId="79F66321" w14:textId="77777777" w:rsidR="00BE3A18" w:rsidRPr="00770D7F" w:rsidRDefault="00BE3A18" w:rsidP="00BE3A18">
                  <w:pPr>
                    <w:pStyle w:val="Default"/>
                    <w:rPr>
                      <w:rFonts w:ascii="Arial" w:hAnsi="Arial" w:cs="Arial"/>
                      <w:sz w:val="18"/>
                      <w:szCs w:val="18"/>
                    </w:rPr>
                  </w:pPr>
                  <w:r w:rsidRPr="00770D7F">
                    <w:rPr>
                      <w:rFonts w:ascii="Arial" w:hAnsi="Arial" w:cs="Arial"/>
                      <w:sz w:val="18"/>
                      <w:szCs w:val="18"/>
                      <w:lang w:val="sl"/>
                    </w:rPr>
                    <w:t xml:space="preserve">heksaklorobutadien  </w:t>
                  </w:r>
                </w:p>
                <w:p w14:paraId="7C45D269" w14:textId="77777777" w:rsidR="00BE3A18" w:rsidRPr="00770D7F" w:rsidRDefault="00BE3A18" w:rsidP="00BE3A18">
                  <w:pPr>
                    <w:pStyle w:val="Default"/>
                    <w:rPr>
                      <w:rFonts w:ascii="Arial" w:hAnsi="Arial" w:cs="Arial"/>
                      <w:sz w:val="18"/>
                      <w:szCs w:val="18"/>
                    </w:rPr>
                  </w:pPr>
                  <w:r w:rsidRPr="00770D7F">
                    <w:rPr>
                      <w:rFonts w:ascii="Arial" w:hAnsi="Arial" w:cs="Arial"/>
                      <w:sz w:val="18"/>
                      <w:szCs w:val="18"/>
                      <w:lang w:val="sl"/>
                    </w:rPr>
                    <w:t xml:space="preserve">(CAS št.: 87-68-3) </w:t>
                  </w:r>
                </w:p>
              </w:tc>
            </w:tr>
          </w:tbl>
          <w:p w14:paraId="02D5F289"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64C61DA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1F6D60A0"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r w:rsidR="00BE3A18" w:rsidRPr="00770D7F" w14:paraId="72E03206" w14:textId="77777777" w:rsidTr="00BE3A18">
        <w:tc>
          <w:tcPr>
            <w:tcW w:w="3397" w:type="dxa"/>
            <w:vMerge/>
            <w:shd w:val="clear" w:color="auto" w:fill="auto"/>
          </w:tcPr>
          <w:p w14:paraId="786901A5"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6F71144B"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p w14:paraId="60247D1A"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ne obstaja</w:t>
            </w:r>
          </w:p>
        </w:tc>
      </w:tr>
    </w:tbl>
    <w:p w14:paraId="1DEBF962" w14:textId="77777777" w:rsidR="00BE3A18" w:rsidRPr="00770D7F" w:rsidRDefault="00BE3A18" w:rsidP="00BE3A18">
      <w:pPr>
        <w:rPr>
          <w:rFonts w:ascii="Arial" w:hAnsi="Arial" w:cs="Arial"/>
          <w:b/>
          <w:bCs/>
          <w:sz w:val="20"/>
          <w:szCs w:val="20"/>
        </w:rPr>
      </w:pPr>
    </w:p>
    <w:p w14:paraId="00CAD8FB" w14:textId="77777777" w:rsidR="00BE3A18" w:rsidRPr="00770D7F" w:rsidRDefault="00BE3A18" w:rsidP="00BE3A18">
      <w:pPr>
        <w:rPr>
          <w:rFonts w:ascii="Arial" w:hAnsi="Arial" w:cs="Arial"/>
          <w:b/>
          <w:bCs/>
          <w:sz w:val="20"/>
          <w:szCs w:val="20"/>
        </w:rPr>
      </w:pPr>
    </w:p>
    <w:p w14:paraId="00F2C764" w14:textId="77777777" w:rsidR="00BE3A18" w:rsidRPr="00636E90" w:rsidRDefault="00BE3A18" w:rsidP="00BE3A18">
      <w:pPr>
        <w:rPr>
          <w:rFonts w:ascii="Arial" w:hAnsi="Arial" w:cs="Arial"/>
          <w:b/>
          <w:bCs/>
          <w:sz w:val="28"/>
          <w:szCs w:val="28"/>
        </w:rPr>
      </w:pPr>
      <w:r w:rsidRPr="00636E90">
        <w:rPr>
          <w:rFonts w:ascii="Arial" w:hAnsi="Arial" w:cs="Arial"/>
          <w:b/>
          <w:bCs/>
          <w:sz w:val="28"/>
          <w:szCs w:val="28"/>
        </w:rPr>
        <w:t>SC-7/13:</w:t>
      </w:r>
      <w:r w:rsidRPr="00636E90">
        <w:rPr>
          <w:rFonts w:ascii="Arial" w:hAnsi="Arial" w:cs="Arial"/>
          <w:b/>
          <w:bCs/>
          <w:sz w:val="28"/>
          <w:szCs w:val="28"/>
          <w:lang w:val="sl"/>
        </w:rPr>
        <w:t xml:space="preserve"> Uvrstitev pentaklorofenola in njegovih soli ter estrov </w:t>
      </w:r>
    </w:p>
    <w:p w14:paraId="7CD7EF43"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Konferenca pogodbenic</w:t>
      </w:r>
      <w:r w:rsidRPr="00770D7F">
        <w:rPr>
          <w:rFonts w:ascii="Arial" w:hAnsi="Arial" w:cs="Arial"/>
          <w:sz w:val="20"/>
          <w:szCs w:val="20"/>
          <w:lang w:val="sl"/>
        </w:rPr>
        <w:t xml:space="preserve">, </w:t>
      </w:r>
    </w:p>
    <w:p w14:paraId="0302E1ED"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pentaklorofenol in njegove soli ter estre, kot ju je poslal Odbor za pregled obstojnih organskih onesnaževal,</w:t>
      </w:r>
      <w:r w:rsidRPr="00770D7F">
        <w:rPr>
          <w:rStyle w:val="FootnoteReference"/>
          <w:rFonts w:ascii="Arial" w:hAnsi="Arial" w:cs="Arial"/>
          <w:sz w:val="20"/>
          <w:szCs w:val="20"/>
          <w:lang w:val="sl"/>
        </w:rPr>
        <w:footnoteReference w:id="68"/>
      </w:r>
    </w:p>
    <w:p w14:paraId="20A200B7"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pentaklorofenol in njegove soli ter estri uvrstijo v Prilogo A h konvenciji s posebnimi izjemami za proizvodnjo in uporabo pentaklorofenola za drogove in prečke infrastrukturnih vodov,</w:t>
      </w:r>
      <w:r w:rsidRPr="00770D7F">
        <w:rPr>
          <w:rStyle w:val="FootnoteReference"/>
          <w:rFonts w:ascii="Arial" w:hAnsi="Arial" w:cs="Arial"/>
          <w:sz w:val="20"/>
          <w:szCs w:val="20"/>
          <w:lang w:val="sl"/>
        </w:rPr>
        <w:footnoteReference w:id="69"/>
      </w:r>
      <w:r w:rsidRPr="00770D7F">
        <w:rPr>
          <w:rFonts w:ascii="Arial" w:hAnsi="Arial" w:cs="Arial"/>
          <w:sz w:val="20"/>
          <w:szCs w:val="20"/>
          <w:lang w:val="sl"/>
        </w:rPr>
        <w:t xml:space="preserve"> </w:t>
      </w:r>
    </w:p>
    <w:p w14:paraId="02022821" w14:textId="77777777" w:rsidR="00BE3A18" w:rsidRPr="00770D7F" w:rsidRDefault="00BE3A18" w:rsidP="00636E90">
      <w:pPr>
        <w:pStyle w:val="ListParagraph"/>
        <w:numPr>
          <w:ilvl w:val="0"/>
          <w:numId w:val="6"/>
        </w:numPr>
        <w:ind w:left="0" w:firstLine="709"/>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uvrstijo pentaklorofenol in njegove soli ter estri s posebnimi izjemami za proizvodnjo, kot so dovoljene za pogodbenice, navedene v registru posebnih izjem, in za uporabo pentaklorofenola za drogove in prečke infrastrukturnih vodov, in sicer tako, tako da se vstavi naslednja vrstica:</w:t>
      </w:r>
    </w:p>
    <w:p w14:paraId="27CA3496" w14:textId="77777777" w:rsidR="00BE3A18" w:rsidRPr="00770D7F" w:rsidRDefault="00BE3A18" w:rsidP="00BE3A18">
      <w:pPr>
        <w:pStyle w:val="ListParagraph"/>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1D44898A" w14:textId="77777777" w:rsidTr="00BE3A18">
        <w:tc>
          <w:tcPr>
            <w:tcW w:w="3397" w:type="dxa"/>
            <w:shd w:val="clear" w:color="auto" w:fill="auto"/>
          </w:tcPr>
          <w:p w14:paraId="1350139F" w14:textId="77777777" w:rsidR="00BE3A18" w:rsidRPr="00770D7F" w:rsidRDefault="00BE3A18" w:rsidP="00BE3A18">
            <w:pPr>
              <w:pStyle w:val="ListParagraph"/>
              <w:spacing w:after="0" w:line="240" w:lineRule="auto"/>
              <w:ind w:left="360"/>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020D7CED"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5A7E527C"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3B2F3657" w14:textId="77777777" w:rsidR="00BE3A18" w:rsidRPr="00770D7F" w:rsidRDefault="00BE3A18" w:rsidP="00BE3A18">
            <w:pPr>
              <w:spacing w:after="0" w:line="240" w:lineRule="auto"/>
              <w:rPr>
                <w:rFonts w:ascii="Arial" w:hAnsi="Arial" w:cs="Arial"/>
                <w:sz w:val="18"/>
                <w:szCs w:val="18"/>
              </w:rPr>
            </w:pPr>
          </w:p>
        </w:tc>
      </w:tr>
      <w:tr w:rsidR="00BE3A18" w:rsidRPr="00770D7F" w14:paraId="15B82312" w14:textId="77777777" w:rsidTr="00BE3A18">
        <w:tc>
          <w:tcPr>
            <w:tcW w:w="3397"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3181"/>
            </w:tblGrid>
            <w:tr w:rsidR="00BE3A18" w:rsidRPr="00770D7F" w14:paraId="37F20593" w14:textId="77777777" w:rsidTr="00BE3A18">
              <w:trPr>
                <w:trHeight w:val="130"/>
              </w:trPr>
              <w:tc>
                <w:tcPr>
                  <w:tcW w:w="0" w:type="auto"/>
                </w:tcPr>
                <w:p w14:paraId="695D361E" w14:textId="77777777" w:rsidR="00BE3A18" w:rsidRPr="00770D7F" w:rsidRDefault="00BE3A18" w:rsidP="00BE3A18">
                  <w:pPr>
                    <w:pStyle w:val="Default"/>
                    <w:rPr>
                      <w:rFonts w:ascii="Arial" w:hAnsi="Arial" w:cs="Arial"/>
                      <w:sz w:val="18"/>
                      <w:szCs w:val="18"/>
                    </w:rPr>
                  </w:pPr>
                  <w:r w:rsidRPr="00770D7F">
                    <w:rPr>
                      <w:rFonts w:ascii="Arial" w:hAnsi="Arial" w:cs="Arial"/>
                      <w:sz w:val="18"/>
                      <w:szCs w:val="18"/>
                      <w:lang w:val="sl"/>
                    </w:rPr>
                    <w:t xml:space="preserve">pentaklorofenol in njegove soli in estri </w:t>
                  </w:r>
                </w:p>
              </w:tc>
            </w:tr>
          </w:tbl>
          <w:p w14:paraId="5ACCA8B9"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7871B69E"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06"/>
            </w:tblGrid>
            <w:tr w:rsidR="00BE3A18" w:rsidRPr="00770D7F" w14:paraId="35AB5D36" w14:textId="77777777" w:rsidTr="00BE3A18">
              <w:trPr>
                <w:trHeight w:val="546"/>
              </w:trPr>
              <w:tc>
                <w:tcPr>
                  <w:tcW w:w="0" w:type="auto"/>
                </w:tcPr>
                <w:p w14:paraId="3D77BD71" w14:textId="77777777" w:rsidR="00BE3A18" w:rsidRPr="00770D7F" w:rsidRDefault="00BE3A18" w:rsidP="00BE3A18">
                  <w:pPr>
                    <w:pStyle w:val="Default"/>
                    <w:rPr>
                      <w:rFonts w:ascii="Arial" w:hAnsi="Arial" w:cs="Arial"/>
                      <w:sz w:val="18"/>
                      <w:szCs w:val="18"/>
                    </w:rPr>
                  </w:pPr>
                  <w:r w:rsidRPr="00770D7F">
                    <w:rPr>
                      <w:rFonts w:ascii="Arial" w:hAnsi="Arial" w:cs="Arial"/>
                      <w:sz w:val="18"/>
                      <w:szCs w:val="18"/>
                      <w:lang w:val="sl"/>
                    </w:rPr>
                    <w:t xml:space="preserve">kot je dovoljeno za pogodbenice, navedene v registru, v skladu z določbami VIII. dela te priloge </w:t>
                  </w:r>
                </w:p>
              </w:tc>
            </w:tr>
          </w:tbl>
          <w:p w14:paraId="0A23AD33"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r>
      <w:tr w:rsidR="00BE3A18" w:rsidRPr="00770D7F" w14:paraId="4712049D" w14:textId="77777777" w:rsidTr="00BE3A18">
        <w:tc>
          <w:tcPr>
            <w:tcW w:w="3397" w:type="dxa"/>
            <w:vMerge/>
            <w:shd w:val="clear" w:color="auto" w:fill="auto"/>
          </w:tcPr>
          <w:p w14:paraId="54261D17"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5536D3FF"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06"/>
            </w:tblGrid>
            <w:tr w:rsidR="00BE3A18" w:rsidRPr="00770D7F" w14:paraId="5F2F3CE1" w14:textId="77777777" w:rsidTr="00BE3A18">
              <w:trPr>
                <w:trHeight w:val="490"/>
              </w:trPr>
              <w:tc>
                <w:tcPr>
                  <w:tcW w:w="0" w:type="auto"/>
                </w:tcPr>
                <w:p w14:paraId="336FB2E8" w14:textId="77777777" w:rsidR="00BE3A18" w:rsidRPr="00770D7F" w:rsidRDefault="00BE3A18" w:rsidP="00BE3A18">
                  <w:pPr>
                    <w:pStyle w:val="Default"/>
                    <w:rPr>
                      <w:rFonts w:ascii="Arial" w:hAnsi="Arial" w:cs="Arial"/>
                      <w:sz w:val="18"/>
                      <w:szCs w:val="18"/>
                      <w:lang w:val="sl"/>
                    </w:rPr>
                  </w:pPr>
                  <w:r w:rsidRPr="00770D7F">
                    <w:rPr>
                      <w:rFonts w:ascii="Arial" w:hAnsi="Arial" w:cs="Arial"/>
                      <w:sz w:val="18"/>
                      <w:szCs w:val="18"/>
                      <w:lang w:val="sl"/>
                    </w:rPr>
                    <w:t xml:space="preserve">pentaklorofenol za drogove in prečke infrastrukturnih vodov v skladu z določbami VIII. dela te priloge </w:t>
                  </w:r>
                </w:p>
              </w:tc>
            </w:tr>
          </w:tbl>
          <w:p w14:paraId="323F7255"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r>
    </w:tbl>
    <w:p w14:paraId="1947DDCB" w14:textId="77777777" w:rsidR="00BE3A18" w:rsidRPr="00770D7F" w:rsidRDefault="00BE3A18" w:rsidP="00BE3A18">
      <w:pPr>
        <w:rPr>
          <w:rFonts w:ascii="Arial" w:hAnsi="Arial" w:cs="Arial"/>
          <w:b/>
          <w:bCs/>
          <w:sz w:val="20"/>
          <w:szCs w:val="20"/>
        </w:rPr>
      </w:pPr>
    </w:p>
    <w:p w14:paraId="751477A7" w14:textId="04CAC1B5" w:rsidR="00BE3A18" w:rsidRPr="00770D7F" w:rsidRDefault="00BE3A18" w:rsidP="00636E90">
      <w:pPr>
        <w:pStyle w:val="Default"/>
        <w:ind w:firstLine="708"/>
        <w:rPr>
          <w:rFonts w:ascii="Arial" w:hAnsi="Arial" w:cs="Arial"/>
          <w:sz w:val="20"/>
          <w:szCs w:val="20"/>
        </w:rPr>
      </w:pPr>
      <w:r w:rsidRPr="00770D7F">
        <w:rPr>
          <w:rFonts w:ascii="Arial" w:hAnsi="Arial" w:cs="Arial"/>
          <w:sz w:val="20"/>
          <w:szCs w:val="20"/>
          <w:lang w:val="sl"/>
        </w:rPr>
        <w:t xml:space="preserve">2. </w:t>
      </w:r>
      <w:r w:rsidR="00636E90">
        <w:rPr>
          <w:rFonts w:ascii="Arial" w:hAnsi="Arial" w:cs="Arial"/>
          <w:sz w:val="20"/>
          <w:szCs w:val="20"/>
          <w:lang w:val="sl"/>
        </w:rPr>
        <w:tab/>
      </w:r>
      <w:r w:rsidRPr="00770D7F">
        <w:rPr>
          <w:rFonts w:ascii="Arial" w:hAnsi="Arial" w:cs="Arial"/>
          <w:i/>
          <w:iCs/>
          <w:sz w:val="20"/>
          <w:szCs w:val="20"/>
          <w:lang w:val="sl"/>
        </w:rPr>
        <w:t xml:space="preserve">sklene tudi </w:t>
      </w:r>
      <w:r w:rsidRPr="00770D7F">
        <w:rPr>
          <w:rFonts w:ascii="Arial" w:hAnsi="Arial" w:cs="Arial"/>
          <w:sz w:val="20"/>
          <w:szCs w:val="20"/>
          <w:lang w:val="sl"/>
        </w:rPr>
        <w:t xml:space="preserve">vstaviti novo opombo (vi) v I. del Priloge A, ki se glasi: </w:t>
      </w:r>
    </w:p>
    <w:p w14:paraId="2D3F49BD" w14:textId="77777777" w:rsidR="00BE3A18" w:rsidRPr="00770D7F" w:rsidRDefault="00BE3A18" w:rsidP="00BE3A18">
      <w:pPr>
        <w:pStyle w:val="Default"/>
        <w:rPr>
          <w:rFonts w:ascii="Arial" w:hAnsi="Arial" w:cs="Arial"/>
          <w:sz w:val="20"/>
          <w:szCs w:val="20"/>
        </w:rPr>
      </w:pPr>
    </w:p>
    <w:p w14:paraId="6FFCAC1A" w14:textId="77777777" w:rsidR="00BE3A18" w:rsidRPr="00770D7F" w:rsidRDefault="00BE3A18" w:rsidP="00636E90">
      <w:pPr>
        <w:pStyle w:val="Default"/>
        <w:ind w:left="1416"/>
        <w:rPr>
          <w:rFonts w:ascii="Arial" w:hAnsi="Arial" w:cs="Arial"/>
          <w:sz w:val="20"/>
          <w:szCs w:val="20"/>
        </w:rPr>
      </w:pPr>
      <w:r w:rsidRPr="00770D7F">
        <w:rPr>
          <w:rFonts w:ascii="Arial" w:hAnsi="Arial" w:cs="Arial"/>
          <w:sz w:val="20"/>
          <w:szCs w:val="20"/>
          <w:lang w:val="sl"/>
        </w:rPr>
        <w:t xml:space="preserve">(vi) Pentaklorofenol (CAS št.: 87-86-5), natrijev pentaklorofenat (CAS št.: 131-52-2 in 27735-64-4 (kot monohidrat)) in pentaklorofenil laurat (CAS št.: 3772-94-9), kadar so obravnavani skupaj s proizvodom pretvorbe pentakloroanizolom (CAS št.: 1825-21-4), veljajo za obstojna organska onesnaževala. </w:t>
      </w:r>
    </w:p>
    <w:p w14:paraId="4B63567C" w14:textId="77777777" w:rsidR="00BE3A18" w:rsidRPr="00770D7F" w:rsidRDefault="00BE3A18" w:rsidP="00BE3A18">
      <w:pPr>
        <w:pStyle w:val="Default"/>
        <w:rPr>
          <w:rFonts w:ascii="Arial" w:hAnsi="Arial" w:cs="Arial"/>
          <w:sz w:val="20"/>
          <w:szCs w:val="20"/>
        </w:rPr>
      </w:pPr>
    </w:p>
    <w:p w14:paraId="3CF9A265" w14:textId="7175E403" w:rsidR="00BE3A18" w:rsidRPr="00770D7F" w:rsidRDefault="00BE3A18" w:rsidP="00636E90">
      <w:pPr>
        <w:pStyle w:val="Default"/>
        <w:ind w:firstLine="708"/>
        <w:rPr>
          <w:rFonts w:ascii="Arial" w:hAnsi="Arial" w:cs="Arial"/>
          <w:sz w:val="20"/>
          <w:szCs w:val="20"/>
        </w:rPr>
      </w:pPr>
      <w:r w:rsidRPr="00770D7F">
        <w:rPr>
          <w:rFonts w:ascii="Arial" w:hAnsi="Arial" w:cs="Arial"/>
          <w:sz w:val="20"/>
          <w:szCs w:val="20"/>
          <w:lang w:val="sl"/>
        </w:rPr>
        <w:t xml:space="preserve">3. </w:t>
      </w:r>
      <w:r w:rsidR="00636E90">
        <w:rPr>
          <w:rFonts w:ascii="Arial" w:hAnsi="Arial" w:cs="Arial"/>
          <w:sz w:val="20"/>
          <w:szCs w:val="20"/>
          <w:lang w:val="sl"/>
        </w:rPr>
        <w:tab/>
      </w:r>
      <w:r w:rsidRPr="00770D7F">
        <w:rPr>
          <w:rFonts w:ascii="Arial" w:hAnsi="Arial" w:cs="Arial"/>
          <w:i/>
          <w:iCs/>
          <w:sz w:val="20"/>
          <w:szCs w:val="20"/>
          <w:lang w:val="sl"/>
        </w:rPr>
        <w:t>Poleg tega sklene</w:t>
      </w:r>
      <w:r w:rsidRPr="00770D7F">
        <w:rPr>
          <w:rFonts w:ascii="Arial" w:hAnsi="Arial" w:cs="Arial"/>
          <w:sz w:val="20"/>
          <w:szCs w:val="20"/>
          <w:lang w:val="sl"/>
        </w:rPr>
        <w:t xml:space="preserve"> vstaviti nov VIII. del v Prilogo A, ki se glasi: </w:t>
      </w:r>
    </w:p>
    <w:p w14:paraId="4FD7E43E" w14:textId="77777777" w:rsidR="00BE3A18" w:rsidRPr="00770D7F" w:rsidRDefault="00BE3A18" w:rsidP="00BE3A18">
      <w:pPr>
        <w:pStyle w:val="Default"/>
        <w:rPr>
          <w:rFonts w:ascii="Arial" w:hAnsi="Arial" w:cs="Arial"/>
          <w:sz w:val="20"/>
          <w:szCs w:val="20"/>
        </w:rPr>
      </w:pPr>
    </w:p>
    <w:p w14:paraId="285BF96A" w14:textId="77777777" w:rsidR="00BE3A18" w:rsidRPr="00770D7F" w:rsidRDefault="00BE3A18" w:rsidP="00BE3A18">
      <w:pPr>
        <w:pStyle w:val="Default"/>
        <w:spacing w:after="200"/>
        <w:jc w:val="center"/>
        <w:rPr>
          <w:rFonts w:ascii="Arial" w:hAnsi="Arial" w:cs="Arial"/>
          <w:sz w:val="20"/>
          <w:szCs w:val="20"/>
        </w:rPr>
      </w:pPr>
      <w:r w:rsidRPr="00770D7F">
        <w:rPr>
          <w:rFonts w:ascii="Arial" w:hAnsi="Arial" w:cs="Arial"/>
          <w:b/>
          <w:bCs/>
          <w:sz w:val="20"/>
          <w:szCs w:val="20"/>
          <w:lang w:val="sl"/>
        </w:rPr>
        <w:t>VIII. del</w:t>
      </w:r>
    </w:p>
    <w:p w14:paraId="6B7C17A5" w14:textId="77777777" w:rsidR="00BE3A18" w:rsidRPr="00770D7F" w:rsidRDefault="00BE3A18" w:rsidP="00BE3A18">
      <w:pPr>
        <w:pStyle w:val="Default"/>
        <w:spacing w:after="120"/>
        <w:jc w:val="center"/>
        <w:rPr>
          <w:rFonts w:ascii="Arial" w:hAnsi="Arial" w:cs="Arial"/>
          <w:sz w:val="20"/>
          <w:szCs w:val="20"/>
        </w:rPr>
      </w:pPr>
      <w:r w:rsidRPr="00770D7F">
        <w:rPr>
          <w:rFonts w:ascii="Arial" w:hAnsi="Arial" w:cs="Arial"/>
          <w:b/>
          <w:bCs/>
          <w:sz w:val="20"/>
          <w:szCs w:val="20"/>
          <w:lang w:val="sl"/>
        </w:rPr>
        <w:t>Pentaklorofenol in njegove soli ter estri</w:t>
      </w:r>
    </w:p>
    <w:p w14:paraId="12A4015E" w14:textId="77777777" w:rsidR="00BE3A18" w:rsidRPr="00770D7F" w:rsidRDefault="00BE3A18" w:rsidP="00636E90">
      <w:pPr>
        <w:autoSpaceDE w:val="0"/>
        <w:autoSpaceDN w:val="0"/>
        <w:adjustRightInd w:val="0"/>
        <w:spacing w:after="0" w:line="240" w:lineRule="auto"/>
        <w:ind w:left="1416"/>
        <w:rPr>
          <w:rFonts w:ascii="Arial" w:hAnsi="Arial" w:cs="Arial"/>
          <w:sz w:val="20"/>
          <w:szCs w:val="20"/>
        </w:rPr>
      </w:pPr>
      <w:r w:rsidRPr="00770D7F">
        <w:rPr>
          <w:rFonts w:ascii="Arial" w:hAnsi="Arial" w:cs="Arial"/>
          <w:sz w:val="20"/>
          <w:szCs w:val="20"/>
          <w:lang w:val="sl"/>
        </w:rPr>
        <w:t>Vsaka pogodbenica, ki je v skladu s 4. členom zaprosila za posebno izjemo za proizvodnjo in uporabo pentaklorofenola za drogove in prečke infrastrukturnih vodov,</w:t>
      </w:r>
      <w:r w:rsidRPr="00770D7F">
        <w:rPr>
          <w:rFonts w:ascii="Arial" w:hAnsi="Arial" w:cs="Arial"/>
          <w:b/>
          <w:bCs/>
          <w:sz w:val="20"/>
          <w:szCs w:val="20"/>
          <w:lang w:val="sl"/>
        </w:rPr>
        <w:t xml:space="preserve"> </w:t>
      </w:r>
      <w:r w:rsidRPr="00770D7F">
        <w:rPr>
          <w:rFonts w:ascii="Arial" w:hAnsi="Arial" w:cs="Arial"/>
          <w:sz w:val="20"/>
          <w:szCs w:val="20"/>
          <w:lang w:val="sl"/>
        </w:rPr>
        <w:t>mora sprejeti ustrezne ukrepe, da so drogovi in prečke infrastrukturnih vodov, ki vsebujejo pentaklorofenol, med vso življenjsko dobo označeni z nalepko ali na drug zlahka prepoznaven način. Predmeti, obdelani s pentaklorofenolom, se ne smejo znova uporabiti v druge namene od tistih, za katere velja izjema.</w:t>
      </w:r>
    </w:p>
    <w:p w14:paraId="38D52055"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634624A9" w14:textId="77777777" w:rsidR="00BE3A18" w:rsidRPr="00770D7F" w:rsidRDefault="00BE3A18" w:rsidP="00BE3A18">
      <w:pPr>
        <w:rPr>
          <w:rFonts w:ascii="Arial" w:hAnsi="Arial" w:cs="Arial"/>
          <w:b/>
          <w:bCs/>
          <w:sz w:val="20"/>
          <w:szCs w:val="20"/>
        </w:rPr>
      </w:pPr>
    </w:p>
    <w:p w14:paraId="14F941B0" w14:textId="77777777" w:rsidR="00BE3A18" w:rsidRPr="00636E90" w:rsidRDefault="00BE3A18" w:rsidP="00BE3A18">
      <w:pPr>
        <w:rPr>
          <w:rFonts w:ascii="Arial" w:hAnsi="Arial" w:cs="Arial"/>
          <w:b/>
          <w:bCs/>
          <w:sz w:val="28"/>
          <w:szCs w:val="28"/>
        </w:rPr>
      </w:pPr>
      <w:r w:rsidRPr="00636E90">
        <w:rPr>
          <w:rFonts w:ascii="Arial" w:hAnsi="Arial" w:cs="Arial"/>
          <w:b/>
          <w:bCs/>
          <w:sz w:val="28"/>
          <w:szCs w:val="28"/>
        </w:rPr>
        <w:t>SC-7/14:</w:t>
      </w:r>
      <w:r w:rsidRPr="00636E90">
        <w:rPr>
          <w:rFonts w:ascii="Arial" w:hAnsi="Arial" w:cs="Arial"/>
          <w:b/>
          <w:bCs/>
          <w:sz w:val="28"/>
          <w:szCs w:val="28"/>
          <w:lang w:val="sl"/>
        </w:rPr>
        <w:t xml:space="preserve"> Uvrstitev polikloriranih naftalenov </w:t>
      </w:r>
    </w:p>
    <w:p w14:paraId="3959ABB2"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Konferenca pogodbenic</w:t>
      </w:r>
      <w:r w:rsidRPr="00770D7F">
        <w:rPr>
          <w:rFonts w:ascii="Arial" w:hAnsi="Arial" w:cs="Arial"/>
          <w:sz w:val="20"/>
          <w:szCs w:val="20"/>
          <w:lang w:val="sl"/>
        </w:rPr>
        <w:t xml:space="preserve">, </w:t>
      </w:r>
    </w:p>
    <w:p w14:paraId="401C8C54"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klorirane naftalene, kot ju je poslal Odbor za pregled obstojnih organskih onesnaževal,</w:t>
      </w:r>
      <w:r w:rsidRPr="00770D7F">
        <w:rPr>
          <w:rStyle w:val="FootnoteReference"/>
          <w:rFonts w:ascii="Arial" w:hAnsi="Arial" w:cs="Arial"/>
          <w:sz w:val="20"/>
          <w:szCs w:val="20"/>
          <w:lang w:val="sl"/>
        </w:rPr>
        <w:footnoteReference w:id="70"/>
      </w:r>
    </w:p>
    <w:p w14:paraId="224042FE"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diklorirani naftaleni, triklorirani naftaleni, tetraklorirani naftaleni, pentaklorirani naftaleni, heksaklorirani naftaleni, heptaklorirani naftaleni in oktaklorirani naftalen uvrstijo v prilogi A in C h konvenciji,</w:t>
      </w:r>
      <w:r w:rsidRPr="00770D7F">
        <w:rPr>
          <w:rStyle w:val="FootnoteReference"/>
          <w:rFonts w:ascii="Arial" w:hAnsi="Arial" w:cs="Arial"/>
          <w:sz w:val="20"/>
          <w:szCs w:val="20"/>
          <w:lang w:val="sl"/>
        </w:rPr>
        <w:footnoteReference w:id="71"/>
      </w:r>
    </w:p>
    <w:p w14:paraId="1656C0E6" w14:textId="52B94E2F" w:rsidR="00BE3A18" w:rsidRPr="00770D7F" w:rsidRDefault="00BE3A18" w:rsidP="00636E90">
      <w:pPr>
        <w:ind w:firstLine="708"/>
        <w:rPr>
          <w:rFonts w:ascii="Arial" w:hAnsi="Arial" w:cs="Arial"/>
          <w:sz w:val="20"/>
          <w:szCs w:val="20"/>
          <w:lang w:val="sl"/>
        </w:rPr>
      </w:pPr>
      <w:r w:rsidRPr="00770D7F">
        <w:rPr>
          <w:rFonts w:ascii="Arial" w:hAnsi="Arial" w:cs="Arial"/>
          <w:sz w:val="20"/>
          <w:szCs w:val="20"/>
          <w:lang w:val="sl"/>
        </w:rPr>
        <w:t xml:space="preserve">1. </w:t>
      </w:r>
      <w:r w:rsidR="00636E90">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uvrstijo poliklorirani naftaleni, vključno z dikloriranimi naftaleni, trikloriranimi naftaleni, tetrakloriranimi naftaleni, pentakloriranimi naftaleni, heksaklorirani naftaleni, heptaklorirani naftaleni in oktakloriranim naftalenom, s posebnimi izjemami za proizvodnjo navedenih kemikalij kot vmesnih proizvodov pri proizvodnji polifluoriranih naftalenov, vključno z oktafluoronaftalenom, in za uporabo navedenih kemikalij za proizvodnjo polifluoriranih naftalenov, vključno z oktafluoronaftalenom, in sicer tako, da se vstavi naslednja vrstica: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843"/>
        <w:gridCol w:w="3822"/>
      </w:tblGrid>
      <w:tr w:rsidR="00BE3A18" w:rsidRPr="00770D7F" w14:paraId="584999E6" w14:textId="77777777" w:rsidTr="00BE3A18">
        <w:tc>
          <w:tcPr>
            <w:tcW w:w="3397" w:type="dxa"/>
            <w:shd w:val="clear" w:color="auto" w:fill="auto"/>
          </w:tcPr>
          <w:p w14:paraId="1932FAFE" w14:textId="77777777" w:rsidR="00BE3A18" w:rsidRPr="00770D7F" w:rsidRDefault="00BE3A18" w:rsidP="00BE3A18">
            <w:pPr>
              <w:pStyle w:val="ListParagraph"/>
              <w:spacing w:after="0" w:line="240" w:lineRule="auto"/>
              <w:ind w:left="360"/>
              <w:rPr>
                <w:rFonts w:ascii="Arial" w:hAnsi="Arial" w:cs="Arial"/>
                <w:sz w:val="18"/>
                <w:szCs w:val="18"/>
              </w:rPr>
            </w:pPr>
            <w:r w:rsidRPr="00770D7F">
              <w:rPr>
                <w:rFonts w:ascii="Arial" w:hAnsi="Arial" w:cs="Arial"/>
                <w:sz w:val="18"/>
                <w:szCs w:val="18"/>
                <w:lang w:val="sl"/>
              </w:rPr>
              <w:t>Kemikalija</w:t>
            </w:r>
          </w:p>
        </w:tc>
        <w:tc>
          <w:tcPr>
            <w:tcW w:w="1843" w:type="dxa"/>
            <w:shd w:val="clear" w:color="auto" w:fill="auto"/>
          </w:tcPr>
          <w:p w14:paraId="53D3A808"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Dejavnost</w:t>
            </w:r>
          </w:p>
        </w:tc>
        <w:tc>
          <w:tcPr>
            <w:tcW w:w="3822" w:type="dxa"/>
            <w:shd w:val="clear" w:color="auto" w:fill="auto"/>
          </w:tcPr>
          <w:p w14:paraId="79E218DD" w14:textId="77777777" w:rsidR="00BE3A18" w:rsidRPr="00770D7F" w:rsidRDefault="00BE3A18" w:rsidP="00BE3A18">
            <w:pPr>
              <w:spacing w:after="0" w:line="240" w:lineRule="auto"/>
              <w:rPr>
                <w:rFonts w:ascii="Arial" w:hAnsi="Arial" w:cs="Arial"/>
                <w:sz w:val="18"/>
                <w:szCs w:val="18"/>
              </w:rPr>
            </w:pPr>
            <w:r w:rsidRPr="00770D7F">
              <w:rPr>
                <w:rFonts w:ascii="Arial" w:hAnsi="Arial" w:cs="Arial"/>
                <w:sz w:val="18"/>
                <w:szCs w:val="18"/>
                <w:lang w:val="sl"/>
              </w:rPr>
              <w:t>Posebna izjema</w:t>
            </w:r>
          </w:p>
          <w:p w14:paraId="71E0CDF1" w14:textId="77777777" w:rsidR="00BE3A18" w:rsidRPr="00770D7F" w:rsidRDefault="00BE3A18" w:rsidP="00BE3A18">
            <w:pPr>
              <w:spacing w:after="0" w:line="240" w:lineRule="auto"/>
              <w:rPr>
                <w:rFonts w:ascii="Arial" w:hAnsi="Arial" w:cs="Arial"/>
                <w:sz w:val="18"/>
                <w:szCs w:val="18"/>
              </w:rPr>
            </w:pPr>
          </w:p>
        </w:tc>
      </w:tr>
      <w:tr w:rsidR="00BE3A18" w:rsidRPr="00770D7F" w14:paraId="2D925A7D" w14:textId="77777777" w:rsidTr="00BE3A18">
        <w:tc>
          <w:tcPr>
            <w:tcW w:w="3397"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3181"/>
            </w:tblGrid>
            <w:tr w:rsidR="00BE3A18" w:rsidRPr="00770D7F" w14:paraId="5277A6B0" w14:textId="77777777" w:rsidTr="00BE3A18">
              <w:trPr>
                <w:trHeight w:val="791"/>
              </w:trPr>
              <w:tc>
                <w:tcPr>
                  <w:tcW w:w="0" w:type="auto"/>
                </w:tcPr>
                <w:p w14:paraId="1AA1F66E" w14:textId="77777777" w:rsidR="00BE3A18" w:rsidRPr="00770D7F" w:rsidRDefault="00BE3A18" w:rsidP="00BE3A18">
                  <w:pPr>
                    <w:pStyle w:val="Default"/>
                    <w:rPr>
                      <w:rFonts w:ascii="Arial" w:hAnsi="Arial" w:cs="Arial"/>
                      <w:sz w:val="18"/>
                      <w:szCs w:val="18"/>
                    </w:rPr>
                  </w:pPr>
                  <w:r w:rsidRPr="00770D7F">
                    <w:rPr>
                      <w:rFonts w:ascii="Arial" w:hAnsi="Arial" w:cs="Arial"/>
                      <w:sz w:val="18"/>
                      <w:szCs w:val="18"/>
                      <w:lang w:val="sl"/>
                    </w:rPr>
                    <w:t xml:space="preserve">poliklorirani naftaleni, tudi: diklorirani naftaleni, triklorirani naftaleni, tetraklorirani naftaleni, pentaklorirani naftaleni, heksaklorirani naftaleni, heptaklorirani naftaleni in oktaklorirani naftalen </w:t>
                  </w:r>
                </w:p>
              </w:tc>
            </w:tr>
          </w:tbl>
          <w:p w14:paraId="534287C7"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3A5FAEF7"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w:t>
            </w:r>
          </w:p>
        </w:tc>
        <w:tc>
          <w:tcPr>
            <w:tcW w:w="3822" w:type="dxa"/>
            <w:shd w:val="clear" w:color="auto" w:fill="auto"/>
          </w:tcPr>
          <w:p w14:paraId="03C81320" w14:textId="77777777" w:rsidR="00BE3A18" w:rsidRPr="00770D7F" w:rsidRDefault="00BE3A18" w:rsidP="00BE3A18">
            <w:pPr>
              <w:autoSpaceDE w:val="0"/>
              <w:autoSpaceDN w:val="0"/>
              <w:adjustRightInd w:val="0"/>
              <w:spacing w:after="0" w:line="240" w:lineRule="auto"/>
              <w:ind w:left="11"/>
              <w:rPr>
                <w:rFonts w:ascii="Arial" w:hAnsi="Arial" w:cs="Arial"/>
                <w:sz w:val="18"/>
                <w:szCs w:val="18"/>
                <w:lang w:val="sl"/>
              </w:rPr>
            </w:pPr>
            <w:r w:rsidRPr="00770D7F">
              <w:rPr>
                <w:rFonts w:ascii="Arial" w:hAnsi="Arial" w:cs="Arial"/>
                <w:sz w:val="18"/>
                <w:szCs w:val="18"/>
                <w:lang w:val="sl"/>
              </w:rPr>
              <w:t>vmesni proizvodi pri proizvodnji polifluoriniranih naftalenov, tudi oktafluoronaftalena</w:t>
            </w:r>
          </w:p>
        </w:tc>
      </w:tr>
      <w:tr w:rsidR="00BE3A18" w:rsidRPr="00770D7F" w14:paraId="5005C8EB" w14:textId="77777777" w:rsidTr="00BE3A18">
        <w:tc>
          <w:tcPr>
            <w:tcW w:w="3397" w:type="dxa"/>
            <w:vMerge/>
            <w:shd w:val="clear" w:color="auto" w:fill="auto"/>
          </w:tcPr>
          <w:p w14:paraId="62A63929"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c>
          <w:tcPr>
            <w:tcW w:w="1843" w:type="dxa"/>
            <w:shd w:val="clear" w:color="auto" w:fill="auto"/>
          </w:tcPr>
          <w:p w14:paraId="1DEBCC3D" w14:textId="77777777" w:rsidR="00BE3A18" w:rsidRPr="00770D7F" w:rsidRDefault="00BE3A18" w:rsidP="00BE3A18">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uporaba</w:t>
            </w:r>
          </w:p>
        </w:tc>
        <w:tc>
          <w:tcPr>
            <w:tcW w:w="38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606"/>
            </w:tblGrid>
            <w:tr w:rsidR="00BE3A18" w:rsidRPr="00770D7F" w14:paraId="78CBB9BA" w14:textId="77777777" w:rsidTr="00BE3A18">
              <w:trPr>
                <w:trHeight w:val="490"/>
              </w:trPr>
              <w:tc>
                <w:tcPr>
                  <w:tcW w:w="0" w:type="auto"/>
                </w:tcPr>
                <w:p w14:paraId="7A06FAAD" w14:textId="77777777" w:rsidR="00BE3A18" w:rsidRPr="00770D7F" w:rsidRDefault="00BE3A18" w:rsidP="00BE3A18">
                  <w:pPr>
                    <w:pStyle w:val="Default"/>
                    <w:ind w:left="-95"/>
                    <w:rPr>
                      <w:rFonts w:ascii="Arial" w:hAnsi="Arial" w:cs="Arial"/>
                      <w:sz w:val="18"/>
                      <w:szCs w:val="18"/>
                    </w:rPr>
                  </w:pPr>
                  <w:r w:rsidRPr="00770D7F">
                    <w:rPr>
                      <w:rFonts w:ascii="Arial" w:hAnsi="Arial" w:cs="Arial"/>
                      <w:sz w:val="18"/>
                      <w:szCs w:val="18"/>
                      <w:lang w:val="sl"/>
                    </w:rPr>
                    <w:t>proizvodnja polifluoriniranih naftalenov, tudi oktafluoronaftalena</w:t>
                  </w:r>
                </w:p>
              </w:tc>
            </w:tr>
          </w:tbl>
          <w:p w14:paraId="3AA11094" w14:textId="77777777" w:rsidR="00BE3A18" w:rsidRPr="00770D7F" w:rsidRDefault="00BE3A18" w:rsidP="00BE3A18">
            <w:pPr>
              <w:autoSpaceDE w:val="0"/>
              <w:autoSpaceDN w:val="0"/>
              <w:adjustRightInd w:val="0"/>
              <w:spacing w:after="0" w:line="240" w:lineRule="auto"/>
              <w:rPr>
                <w:rFonts w:ascii="Arial" w:hAnsi="Arial" w:cs="Arial"/>
                <w:sz w:val="18"/>
                <w:szCs w:val="18"/>
              </w:rPr>
            </w:pPr>
          </w:p>
        </w:tc>
      </w:tr>
    </w:tbl>
    <w:p w14:paraId="08F9C055" w14:textId="77777777" w:rsidR="00BE3A18" w:rsidRPr="00770D7F" w:rsidRDefault="00BE3A18" w:rsidP="00BE3A18">
      <w:pPr>
        <w:rPr>
          <w:rFonts w:ascii="Arial" w:hAnsi="Arial" w:cs="Arial"/>
          <w:b/>
          <w:bCs/>
          <w:sz w:val="20"/>
          <w:szCs w:val="20"/>
        </w:rPr>
      </w:pPr>
    </w:p>
    <w:p w14:paraId="70543200" w14:textId="29F94E19" w:rsidR="00BE3A18" w:rsidRPr="00770D7F" w:rsidRDefault="00BE3A18" w:rsidP="00636E90">
      <w:pPr>
        <w:pStyle w:val="Default"/>
        <w:spacing w:after="200"/>
        <w:ind w:firstLine="708"/>
        <w:rPr>
          <w:rFonts w:ascii="Arial" w:hAnsi="Arial" w:cs="Arial"/>
          <w:sz w:val="20"/>
          <w:szCs w:val="20"/>
          <w:lang w:val="sl"/>
        </w:rPr>
      </w:pPr>
      <w:r w:rsidRPr="00770D7F">
        <w:rPr>
          <w:rFonts w:ascii="Arial" w:hAnsi="Arial" w:cs="Arial"/>
          <w:sz w:val="20"/>
          <w:szCs w:val="20"/>
          <w:lang w:val="sl"/>
        </w:rPr>
        <w:t xml:space="preserve">2. </w:t>
      </w:r>
      <w:r w:rsidR="00636E90">
        <w:rPr>
          <w:rFonts w:ascii="Arial" w:hAnsi="Arial" w:cs="Arial"/>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spremeniti I. del Priloge C h konvenciji in vanj vnesti poliklorirane naftalene, vključno z dikloriniranimi naftaleni, trikloriniranimi naftaleni, tetrakloriranimi naftaleni, pentakloriranimi naftaleni, heksakloriranimi naftaleni, heptakloriranimi naftaleni, oktakloriranim naftalenom, tako, da vstavi »poliklorirani naftaleni, tudi diklorinirani naftaleni, triklorinirani naftaleni, tetraklorirani naftaleni, pentaklorirani naftaleni, heksaklorirani naftaleni, heptaklorirani naftaleni, oktaklorirani naftalen« v razpredelnico »Kemikalije« v novo vrstico pod »poliklorirani dibenzo-p-dioksini in dibenzofurani (PCDD/PCDF)« in vstavi »poliklorirani naftaleni, vključno z dikloriranimi naftaleni, trikloriniranimi naftaleni, tetrakloriranimi naftaleni, pentakloriranimi naftaleni, heksakloriranimi naftaleni, heptakloriranimi naftaleni, oktakloriranim naftalenom,« za »poliklorirani dibenzo-p-dioksini in dibenzofurani« v prvi odstavek II. in III. dela Priloge C. </w:t>
      </w:r>
    </w:p>
    <w:p w14:paraId="2E50A184" w14:textId="77777777" w:rsidR="00F83854" w:rsidRDefault="00F83854" w:rsidP="00BE3A18">
      <w:pPr>
        <w:rPr>
          <w:rFonts w:ascii="Arial" w:hAnsi="Arial" w:cs="Arial"/>
          <w:b/>
          <w:bCs/>
          <w:i/>
          <w:sz w:val="20"/>
          <w:szCs w:val="20"/>
          <w:highlight w:val="cyan"/>
          <w:u w:val="single"/>
        </w:rPr>
        <w:sectPr w:rsidR="00F83854" w:rsidSect="00D66C83">
          <w:footnotePr>
            <w:numRestart w:val="eachSect"/>
          </w:footnotePr>
          <w:pgSz w:w="11906" w:h="16838"/>
          <w:pgMar w:top="1417" w:right="1417" w:bottom="1417" w:left="1417" w:header="708" w:footer="708" w:gutter="0"/>
          <w:cols w:space="708"/>
          <w:docGrid w:linePitch="360"/>
        </w:sectPr>
      </w:pPr>
    </w:p>
    <w:p w14:paraId="44361E19" w14:textId="29A8083C" w:rsidR="0085169E" w:rsidRDefault="0085169E" w:rsidP="00BE3A18">
      <w:pPr>
        <w:rPr>
          <w:rFonts w:ascii="Arial" w:hAnsi="Arial" w:cs="Arial"/>
          <w:b/>
          <w:bCs/>
          <w:i/>
          <w:sz w:val="20"/>
          <w:szCs w:val="20"/>
          <w:highlight w:val="cyan"/>
          <w:u w:val="single"/>
        </w:rPr>
      </w:pPr>
    </w:p>
    <w:p w14:paraId="352929D7" w14:textId="77777777" w:rsidR="00BE3A18" w:rsidRPr="00636E90" w:rsidRDefault="00BE3A18" w:rsidP="00BE3A18">
      <w:pPr>
        <w:rPr>
          <w:rFonts w:ascii="Arial" w:hAnsi="Arial" w:cs="Arial"/>
          <w:b/>
          <w:bCs/>
          <w:sz w:val="28"/>
          <w:szCs w:val="28"/>
        </w:rPr>
      </w:pPr>
      <w:r w:rsidRPr="00636E90">
        <w:rPr>
          <w:rFonts w:ascii="Arial" w:hAnsi="Arial" w:cs="Arial"/>
          <w:b/>
          <w:bCs/>
          <w:sz w:val="28"/>
          <w:szCs w:val="28"/>
        </w:rPr>
        <w:t>SC-8/10:</w:t>
      </w:r>
      <w:r w:rsidRPr="00636E90">
        <w:rPr>
          <w:rFonts w:ascii="Arial" w:hAnsi="Arial" w:cs="Arial"/>
          <w:b/>
          <w:bCs/>
          <w:sz w:val="28"/>
          <w:szCs w:val="28"/>
          <w:lang w:val="sl"/>
        </w:rPr>
        <w:t xml:space="preserve"> Uvrstitev dekabromodifenil etra </w:t>
      </w:r>
    </w:p>
    <w:p w14:paraId="0736E81D"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Konferenca pogodbenic</w:t>
      </w:r>
      <w:r w:rsidRPr="00770D7F">
        <w:rPr>
          <w:rFonts w:ascii="Arial" w:hAnsi="Arial" w:cs="Arial"/>
          <w:sz w:val="20"/>
          <w:szCs w:val="20"/>
          <w:lang w:val="sl"/>
        </w:rPr>
        <w:t xml:space="preserve">, </w:t>
      </w:r>
    </w:p>
    <w:p w14:paraId="60734D31"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glede na</w:t>
      </w:r>
      <w:r w:rsidRPr="00770D7F">
        <w:rPr>
          <w:rFonts w:ascii="Arial" w:hAnsi="Arial" w:cs="Arial"/>
          <w:sz w:val="20"/>
          <w:szCs w:val="20"/>
          <w:lang w:val="sl"/>
        </w:rPr>
        <w:t xml:space="preserve"> opis tveganja, oceno obvladovanja tveganja in dodatek k oceni obvladovanja tveganja za dekabromodifenil eter (komercialna mešanica, c-dekaBDE), kot jih je poslal Odbor za pregled obstojnih organskih onesnaževal,</w:t>
      </w:r>
      <w:r w:rsidRPr="00770D7F">
        <w:rPr>
          <w:rStyle w:val="FootnoteReference"/>
          <w:rFonts w:ascii="Arial" w:hAnsi="Arial" w:cs="Arial"/>
          <w:sz w:val="20"/>
          <w:szCs w:val="20"/>
          <w:lang w:val="sl"/>
        </w:rPr>
        <w:footnoteReference w:id="72"/>
      </w:r>
      <w:r w:rsidRPr="00770D7F">
        <w:rPr>
          <w:rFonts w:ascii="Arial" w:hAnsi="Arial" w:cs="Arial"/>
          <w:sz w:val="20"/>
          <w:szCs w:val="20"/>
          <w:lang w:val="sl"/>
        </w:rPr>
        <w:t xml:space="preserve"> </w:t>
      </w:r>
    </w:p>
    <w:p w14:paraId="42653488" w14:textId="77777777" w:rsidR="00BE3A18" w:rsidRPr="00770D7F" w:rsidRDefault="00BE3A18" w:rsidP="00636E90">
      <w:pPr>
        <w:ind w:firstLine="708"/>
        <w:rPr>
          <w:rFonts w:ascii="Arial" w:hAnsi="Arial" w:cs="Arial"/>
          <w:sz w:val="20"/>
          <w:szCs w:val="20"/>
        </w:rPr>
      </w:pPr>
      <w:r w:rsidRPr="00636E90">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dekabromodifenil eter (BDE-209) iz c-dekaBDE uvrsti v Prilogo A h konvenciji s posebnimi izjemami,</w:t>
      </w:r>
      <w:r w:rsidRPr="00770D7F">
        <w:rPr>
          <w:rStyle w:val="FootnoteReference"/>
          <w:rFonts w:ascii="Arial" w:hAnsi="Arial" w:cs="Arial"/>
          <w:sz w:val="20"/>
          <w:szCs w:val="20"/>
          <w:lang w:val="sl"/>
        </w:rPr>
        <w:footnoteReference w:id="73"/>
      </w:r>
    </w:p>
    <w:p w14:paraId="3F9D162E" w14:textId="77777777" w:rsidR="00BE3A18" w:rsidRPr="00770D7F" w:rsidRDefault="00BE3A18" w:rsidP="00636E90">
      <w:pPr>
        <w:pStyle w:val="ListParagraph"/>
        <w:numPr>
          <w:ilvl w:val="0"/>
          <w:numId w:val="7"/>
        </w:numPr>
        <w:ind w:left="0" w:firstLine="709"/>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 dekabromodifenil eter (BDE-209), ki je prisoten v komercialnem dekabromodifenil etru, s posebnimi izjemami za proizvodnjo in uporabo komercialnega dekabromodifenil etra, in sicer tako, da se vstavi naslednja vrstica:</w:t>
      </w:r>
    </w:p>
    <w:p w14:paraId="0868B536" w14:textId="77777777" w:rsidR="00BE3A18" w:rsidRDefault="00BE3A18" w:rsidP="00BE3A18">
      <w:pPr>
        <w:pStyle w:val="ListParagraph"/>
        <w:ind w:left="360"/>
        <w:rPr>
          <w:rFonts w:ascii="Arial" w:hAnsi="Arial" w:cs="Arial"/>
          <w:sz w:val="20"/>
          <w:szCs w:val="20"/>
        </w:rPr>
      </w:pPr>
    </w:p>
    <w:tbl>
      <w:tblPr>
        <w:tblW w:w="0" w:type="auto"/>
        <w:tblInd w:w="1384" w:type="dxa"/>
        <w:tblLook w:val="0000" w:firstRow="0" w:lastRow="0" w:firstColumn="0" w:lastColumn="0" w:noHBand="0" w:noVBand="0"/>
      </w:tblPr>
      <w:tblGrid>
        <w:gridCol w:w="2085"/>
        <w:gridCol w:w="1137"/>
        <w:gridCol w:w="4466"/>
      </w:tblGrid>
      <w:tr w:rsidR="005D5244" w:rsidRPr="00D548CF" w14:paraId="1068BB14" w14:textId="77777777" w:rsidTr="00D66C83">
        <w:trPr>
          <w:trHeight w:val="369"/>
          <w:tblHeader/>
        </w:trPr>
        <w:tc>
          <w:tcPr>
            <w:tcW w:w="0" w:type="auto"/>
            <w:tcBorders>
              <w:top w:val="single" w:sz="4" w:space="0" w:color="auto"/>
              <w:bottom w:val="single" w:sz="12" w:space="0" w:color="auto"/>
            </w:tcBorders>
            <w:shd w:val="solid" w:color="FFFFFF" w:themeColor="background1" w:fill="FFFFFF"/>
          </w:tcPr>
          <w:p w14:paraId="35D7D21A" w14:textId="20305B52" w:rsidR="005D5244" w:rsidRPr="00D548CF" w:rsidRDefault="005D5244" w:rsidP="00E27632">
            <w:pPr>
              <w:keepNext/>
              <w:spacing w:line="240" w:lineRule="exact"/>
              <w:rPr>
                <w:rFonts w:ascii="Arial" w:hAnsi="Arial" w:cs="Arial"/>
                <w:b/>
                <w:sz w:val="18"/>
                <w:szCs w:val="18"/>
              </w:rPr>
            </w:pPr>
            <w:r>
              <w:rPr>
                <w:rFonts w:ascii="Arial" w:hAnsi="Arial" w:cs="Arial"/>
                <w:b/>
                <w:sz w:val="18"/>
                <w:szCs w:val="18"/>
              </w:rPr>
              <w:t>Kemikalija</w:t>
            </w:r>
          </w:p>
        </w:tc>
        <w:tc>
          <w:tcPr>
            <w:tcW w:w="0" w:type="auto"/>
            <w:tcBorders>
              <w:top w:val="single" w:sz="4" w:space="0" w:color="auto"/>
              <w:bottom w:val="single" w:sz="12" w:space="0" w:color="auto"/>
            </w:tcBorders>
            <w:shd w:val="solid" w:color="FFFFFF" w:themeColor="background1" w:fill="FFFFFF"/>
          </w:tcPr>
          <w:p w14:paraId="33A3FAF9" w14:textId="027B3027" w:rsidR="005D5244" w:rsidRPr="00D548CF" w:rsidRDefault="005D5244" w:rsidP="00E27632">
            <w:pPr>
              <w:keepNext/>
              <w:spacing w:line="240" w:lineRule="exact"/>
              <w:rPr>
                <w:rFonts w:ascii="Arial" w:hAnsi="Arial" w:cs="Arial"/>
                <w:b/>
                <w:sz w:val="18"/>
                <w:szCs w:val="18"/>
              </w:rPr>
            </w:pPr>
            <w:r>
              <w:rPr>
                <w:rFonts w:ascii="Arial" w:hAnsi="Arial" w:cs="Arial"/>
                <w:b/>
                <w:sz w:val="18"/>
                <w:szCs w:val="18"/>
              </w:rPr>
              <w:t>Dejavnost</w:t>
            </w:r>
          </w:p>
        </w:tc>
        <w:tc>
          <w:tcPr>
            <w:tcW w:w="0" w:type="auto"/>
            <w:tcBorders>
              <w:top w:val="single" w:sz="4" w:space="0" w:color="auto"/>
              <w:bottom w:val="single" w:sz="12" w:space="0" w:color="auto"/>
            </w:tcBorders>
            <w:shd w:val="solid" w:color="FFFFFF" w:themeColor="background1" w:fill="FFFFFF"/>
          </w:tcPr>
          <w:p w14:paraId="34DFFFE5" w14:textId="1DF29A5D" w:rsidR="005D5244" w:rsidRPr="00D548CF" w:rsidRDefault="005D5244" w:rsidP="00E27632">
            <w:pPr>
              <w:keepNext/>
              <w:spacing w:line="240" w:lineRule="exact"/>
              <w:rPr>
                <w:rFonts w:ascii="Arial" w:hAnsi="Arial" w:cs="Arial"/>
                <w:b/>
                <w:sz w:val="18"/>
                <w:szCs w:val="18"/>
              </w:rPr>
            </w:pPr>
            <w:r>
              <w:rPr>
                <w:rFonts w:ascii="Arial" w:hAnsi="Arial" w:cs="Arial"/>
                <w:b/>
                <w:sz w:val="18"/>
                <w:szCs w:val="18"/>
              </w:rPr>
              <w:t>Posebna izjema</w:t>
            </w:r>
          </w:p>
        </w:tc>
      </w:tr>
      <w:tr w:rsidR="005D5244" w:rsidRPr="00D548CF" w14:paraId="28D4E2F3" w14:textId="77777777" w:rsidTr="00E27632">
        <w:tc>
          <w:tcPr>
            <w:tcW w:w="0" w:type="auto"/>
            <w:vMerge w:val="restart"/>
            <w:tcBorders>
              <w:top w:val="single" w:sz="12" w:space="0" w:color="auto"/>
            </w:tcBorders>
            <w:shd w:val="clear" w:color="auto" w:fill="auto"/>
          </w:tcPr>
          <w:p w14:paraId="491DC6CD"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dekabromodifenil eter (BDE-209) v komercialnem dekabromodifenil etru </w:t>
            </w:r>
          </w:p>
          <w:p w14:paraId="1CDD9B4D" w14:textId="16608470" w:rsidR="005D5244" w:rsidRPr="00D548CF" w:rsidRDefault="005D5244" w:rsidP="005D5244">
            <w:pPr>
              <w:suppressAutoHyphens/>
              <w:spacing w:after="120" w:line="240" w:lineRule="exact"/>
              <w:rPr>
                <w:rFonts w:ascii="Arial" w:hAnsi="Arial" w:cs="Arial"/>
                <w:sz w:val="18"/>
                <w:szCs w:val="18"/>
              </w:rPr>
            </w:pPr>
            <w:r w:rsidRPr="00770D7F">
              <w:rPr>
                <w:rFonts w:ascii="Arial" w:hAnsi="Arial" w:cs="Arial"/>
                <w:sz w:val="18"/>
                <w:szCs w:val="18"/>
                <w:lang w:val="sl"/>
              </w:rPr>
              <w:t>(CAS št.: 1163-19-5)</w:t>
            </w:r>
          </w:p>
        </w:tc>
        <w:tc>
          <w:tcPr>
            <w:tcW w:w="0" w:type="auto"/>
            <w:tcBorders>
              <w:top w:val="single" w:sz="12" w:space="0" w:color="auto"/>
              <w:bottom w:val="single" w:sz="4" w:space="0" w:color="auto"/>
            </w:tcBorders>
            <w:shd w:val="clear" w:color="auto" w:fill="FFFFFF"/>
          </w:tcPr>
          <w:p w14:paraId="7C9B92D0" w14:textId="67B6BB45" w:rsidR="005D5244" w:rsidRPr="00D548CF" w:rsidRDefault="005D5244" w:rsidP="00E27632">
            <w:pPr>
              <w:suppressAutoHyphens/>
              <w:spacing w:after="100"/>
              <w:rPr>
                <w:rFonts w:ascii="Arial" w:hAnsi="Arial" w:cs="Arial"/>
                <w:sz w:val="18"/>
                <w:szCs w:val="18"/>
              </w:rPr>
            </w:pPr>
            <w:r w:rsidRPr="00770D7F">
              <w:rPr>
                <w:rFonts w:ascii="Arial" w:hAnsi="Arial" w:cs="Arial"/>
                <w:sz w:val="18"/>
                <w:szCs w:val="18"/>
                <w:lang w:val="sl"/>
              </w:rPr>
              <w:t>proizvodnja</w:t>
            </w:r>
          </w:p>
        </w:tc>
        <w:tc>
          <w:tcPr>
            <w:tcW w:w="0" w:type="auto"/>
            <w:tcBorders>
              <w:top w:val="single" w:sz="12" w:space="0" w:color="auto"/>
              <w:bottom w:val="single" w:sz="4" w:space="0" w:color="auto"/>
            </w:tcBorders>
            <w:shd w:val="clear" w:color="auto" w:fill="FFFFFF"/>
          </w:tcPr>
          <w:p w14:paraId="775C3E74" w14:textId="574B854E" w:rsidR="005D5244" w:rsidRPr="00D548CF" w:rsidRDefault="005D5244" w:rsidP="00E27632">
            <w:pPr>
              <w:suppressAutoHyphens/>
              <w:spacing w:after="100"/>
              <w:rPr>
                <w:rFonts w:ascii="Arial" w:hAnsi="Arial" w:cs="Arial"/>
                <w:sz w:val="18"/>
                <w:szCs w:val="18"/>
              </w:rPr>
            </w:pPr>
            <w:r w:rsidRPr="00770D7F">
              <w:rPr>
                <w:rFonts w:ascii="Arial" w:hAnsi="Arial" w:cs="Arial"/>
                <w:sz w:val="18"/>
                <w:szCs w:val="18"/>
                <w:lang w:val="sl"/>
              </w:rPr>
              <w:t>kot je dovoljeno za pogodbenice, navedene v registru</w:t>
            </w:r>
          </w:p>
        </w:tc>
      </w:tr>
      <w:tr w:rsidR="005D5244" w:rsidRPr="00D548CF" w14:paraId="3CE83EFF" w14:textId="77777777" w:rsidTr="00E27632">
        <w:trPr>
          <w:trHeight w:val="62"/>
        </w:trPr>
        <w:tc>
          <w:tcPr>
            <w:tcW w:w="0" w:type="auto"/>
            <w:vMerge/>
            <w:tcBorders>
              <w:bottom w:val="single" w:sz="12" w:space="0" w:color="auto"/>
            </w:tcBorders>
            <w:shd w:val="clear" w:color="auto" w:fill="auto"/>
            <w:vAlign w:val="center"/>
          </w:tcPr>
          <w:p w14:paraId="0A135308" w14:textId="77777777" w:rsidR="005D5244" w:rsidRPr="00D548CF" w:rsidRDefault="005D5244" w:rsidP="00E27632">
            <w:pPr>
              <w:spacing w:line="240" w:lineRule="exact"/>
              <w:rPr>
                <w:rFonts w:ascii="Arial" w:hAnsi="Arial" w:cs="Arial"/>
                <w:b/>
                <w:sz w:val="18"/>
                <w:szCs w:val="18"/>
              </w:rPr>
            </w:pPr>
          </w:p>
        </w:tc>
        <w:tc>
          <w:tcPr>
            <w:tcW w:w="0" w:type="auto"/>
            <w:tcBorders>
              <w:top w:val="single" w:sz="4" w:space="0" w:color="auto"/>
              <w:bottom w:val="single" w:sz="12" w:space="0" w:color="auto"/>
            </w:tcBorders>
            <w:shd w:val="clear" w:color="auto" w:fill="auto"/>
          </w:tcPr>
          <w:p w14:paraId="226509B6" w14:textId="401031EA" w:rsidR="005D5244" w:rsidRPr="00D548CF" w:rsidRDefault="005D5244" w:rsidP="00E27632">
            <w:pPr>
              <w:suppressAutoHyphens/>
              <w:spacing w:after="120" w:line="240" w:lineRule="exact"/>
              <w:rPr>
                <w:rFonts w:ascii="Arial" w:hAnsi="Arial" w:cs="Arial"/>
                <w:sz w:val="18"/>
                <w:szCs w:val="18"/>
              </w:rPr>
            </w:pPr>
            <w:r w:rsidRPr="00770D7F">
              <w:rPr>
                <w:rFonts w:ascii="Arial" w:hAnsi="Arial" w:cs="Arial"/>
                <w:sz w:val="18"/>
                <w:szCs w:val="18"/>
                <w:lang w:val="sl"/>
              </w:rPr>
              <w:t>uporaba</w:t>
            </w:r>
          </w:p>
        </w:tc>
        <w:tc>
          <w:tcPr>
            <w:tcW w:w="0" w:type="auto"/>
            <w:tcBorders>
              <w:top w:val="single" w:sz="4" w:space="0" w:color="auto"/>
              <w:bottom w:val="single" w:sz="12" w:space="0" w:color="auto"/>
            </w:tcBorders>
            <w:shd w:val="clear" w:color="auto" w:fill="auto"/>
          </w:tcPr>
          <w:p w14:paraId="2B1569E3"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v skladu z IX. delom te priloge: </w:t>
            </w:r>
          </w:p>
          <w:p w14:paraId="6F8BFB0F" w14:textId="77777777" w:rsidR="005D5244" w:rsidRPr="00770D7F" w:rsidRDefault="005D5244" w:rsidP="005D5244">
            <w:pPr>
              <w:pStyle w:val="Default"/>
              <w:numPr>
                <w:ilvl w:val="0"/>
                <w:numId w:val="25"/>
              </w:numPr>
              <w:rPr>
                <w:rFonts w:ascii="Arial" w:hAnsi="Arial" w:cs="Arial"/>
                <w:sz w:val="18"/>
                <w:szCs w:val="18"/>
              </w:rPr>
            </w:pPr>
            <w:r w:rsidRPr="00770D7F">
              <w:rPr>
                <w:rFonts w:ascii="Arial" w:hAnsi="Arial" w:cs="Arial"/>
                <w:sz w:val="18"/>
                <w:szCs w:val="18"/>
                <w:lang w:val="sl"/>
              </w:rPr>
              <w:t xml:space="preserve">deli za uporabo v vozilih, opredeljeni v drugem odstavku IX. dela te priloge </w:t>
            </w:r>
          </w:p>
          <w:p w14:paraId="682B673B" w14:textId="77777777" w:rsidR="005D5244" w:rsidRPr="005D5244" w:rsidRDefault="005D5244" w:rsidP="005D5244">
            <w:pPr>
              <w:pStyle w:val="Default"/>
              <w:numPr>
                <w:ilvl w:val="0"/>
                <w:numId w:val="25"/>
              </w:numPr>
              <w:rPr>
                <w:rFonts w:ascii="Arial" w:hAnsi="Arial" w:cs="Arial"/>
                <w:sz w:val="18"/>
                <w:szCs w:val="18"/>
              </w:rPr>
            </w:pPr>
            <w:r w:rsidRPr="00770D7F">
              <w:rPr>
                <w:rFonts w:ascii="Arial" w:hAnsi="Arial" w:cs="Arial"/>
                <w:sz w:val="18"/>
                <w:szCs w:val="18"/>
                <w:lang w:val="sl"/>
              </w:rPr>
              <w:t xml:space="preserve">zrakoplovi, za katere je bila zaprošena homologacija pred decembrom 2018 in je bila odobrena pred decembrom 2022, ter rezervni deli za te zrakoplove </w:t>
            </w:r>
          </w:p>
          <w:p w14:paraId="4FCA29DF" w14:textId="77777777" w:rsidR="005D5244" w:rsidRPr="00770D7F" w:rsidRDefault="005D5244" w:rsidP="005D5244">
            <w:pPr>
              <w:pStyle w:val="Default"/>
              <w:numPr>
                <w:ilvl w:val="0"/>
                <w:numId w:val="25"/>
              </w:numPr>
              <w:rPr>
                <w:rFonts w:ascii="Arial" w:hAnsi="Arial" w:cs="Arial"/>
                <w:sz w:val="18"/>
                <w:szCs w:val="18"/>
              </w:rPr>
            </w:pPr>
            <w:r w:rsidRPr="00770D7F">
              <w:rPr>
                <w:rFonts w:ascii="Arial" w:hAnsi="Arial" w:cs="Arial"/>
                <w:sz w:val="18"/>
                <w:szCs w:val="18"/>
                <w:lang w:val="sl"/>
              </w:rPr>
              <w:t xml:space="preserve">tekstilni proizvodi, ki morajo imeti negorljive značilnosti, razen oblačil in igrač </w:t>
            </w:r>
          </w:p>
          <w:p w14:paraId="7008B456" w14:textId="789D06FB" w:rsidR="005D5244" w:rsidRPr="005D5244" w:rsidRDefault="005D5244" w:rsidP="00E27632">
            <w:pPr>
              <w:pStyle w:val="Default"/>
              <w:numPr>
                <w:ilvl w:val="0"/>
                <w:numId w:val="25"/>
              </w:numPr>
              <w:rPr>
                <w:rFonts w:ascii="Arial" w:hAnsi="Arial" w:cs="Arial"/>
                <w:sz w:val="18"/>
                <w:szCs w:val="18"/>
              </w:rPr>
            </w:pPr>
            <w:r w:rsidRPr="005D5244">
              <w:rPr>
                <w:rFonts w:ascii="Arial" w:hAnsi="Arial" w:cs="Arial"/>
                <w:sz w:val="18"/>
                <w:szCs w:val="18"/>
                <w:lang w:val="sl"/>
              </w:rPr>
              <w:t xml:space="preserve">dodatki v plastičnih ohišjih in delih, ki se uporabljajo pri gospodinjskih grelnih napravah, likalnikih, ventilatorjih, potopnih grelnikih, ki vsebujejo električne dele ali so v neposrednem stiku z njimi ali ki morajo izpolnjevati standarde za zaviralce gorenja, v koncentracijah manj kot 10 masnih odstotkov posameznega dela </w:t>
            </w:r>
          </w:p>
          <w:p w14:paraId="1F87EEFE" w14:textId="5045B75C" w:rsidR="005D5244" w:rsidRPr="00D548CF" w:rsidRDefault="005D5244" w:rsidP="005D5244">
            <w:pPr>
              <w:pStyle w:val="Default"/>
              <w:numPr>
                <w:ilvl w:val="0"/>
                <w:numId w:val="25"/>
              </w:numPr>
              <w:rPr>
                <w:rFonts w:ascii="Arial" w:hAnsi="Arial" w:cs="Arial"/>
                <w:sz w:val="18"/>
                <w:szCs w:val="18"/>
                <w:lang w:val="en-GB"/>
              </w:rPr>
            </w:pPr>
            <w:r w:rsidRPr="00770D7F">
              <w:rPr>
                <w:rFonts w:ascii="Arial" w:hAnsi="Arial" w:cs="Arial"/>
                <w:sz w:val="18"/>
                <w:szCs w:val="18"/>
                <w:lang w:val="sl"/>
              </w:rPr>
              <w:t xml:space="preserve">poliuretanska pena kot izolacija za stavbe </w:t>
            </w:r>
          </w:p>
        </w:tc>
      </w:tr>
    </w:tbl>
    <w:p w14:paraId="5B269462" w14:textId="77777777" w:rsidR="005D5244" w:rsidRDefault="005D5244" w:rsidP="00BE3A18">
      <w:pPr>
        <w:pStyle w:val="ListParagraph"/>
        <w:ind w:left="360"/>
        <w:rPr>
          <w:rFonts w:ascii="Arial" w:hAnsi="Arial" w:cs="Arial"/>
          <w:sz w:val="20"/>
          <w:szCs w:val="20"/>
        </w:rPr>
      </w:pPr>
    </w:p>
    <w:p w14:paraId="05054294" w14:textId="77777777" w:rsidR="005D5244" w:rsidRPr="00770D7F" w:rsidRDefault="005D5244" w:rsidP="00BE3A18">
      <w:pPr>
        <w:pStyle w:val="ListParagraph"/>
        <w:ind w:left="360"/>
        <w:rPr>
          <w:rFonts w:ascii="Arial" w:hAnsi="Arial" w:cs="Arial"/>
          <w:sz w:val="20"/>
          <w:szCs w:val="20"/>
        </w:rPr>
      </w:pPr>
    </w:p>
    <w:p w14:paraId="475DB988" w14:textId="37CCAC6A" w:rsidR="00BE3A18" w:rsidRPr="00770D7F" w:rsidRDefault="00BE3A18" w:rsidP="00636E90">
      <w:pPr>
        <w:pStyle w:val="Default"/>
        <w:ind w:firstLine="708"/>
        <w:rPr>
          <w:rFonts w:ascii="Arial" w:hAnsi="Arial" w:cs="Arial"/>
          <w:sz w:val="20"/>
          <w:szCs w:val="20"/>
        </w:rPr>
      </w:pPr>
      <w:r w:rsidRPr="00770D7F">
        <w:rPr>
          <w:rFonts w:ascii="Arial" w:hAnsi="Arial" w:cs="Arial"/>
          <w:sz w:val="20"/>
          <w:szCs w:val="20"/>
          <w:lang w:val="sl"/>
        </w:rPr>
        <w:t xml:space="preserve">2. </w:t>
      </w:r>
      <w:r w:rsidR="00636E90">
        <w:rPr>
          <w:rFonts w:ascii="Arial" w:hAnsi="Arial" w:cs="Arial"/>
          <w:sz w:val="20"/>
          <w:szCs w:val="20"/>
          <w:lang w:val="sl"/>
        </w:rPr>
        <w:tab/>
      </w:r>
      <w:r w:rsidRPr="00770D7F">
        <w:rPr>
          <w:rFonts w:ascii="Arial" w:hAnsi="Arial" w:cs="Arial"/>
          <w:i/>
          <w:iCs/>
          <w:sz w:val="20"/>
          <w:szCs w:val="20"/>
          <w:lang w:val="sl"/>
        </w:rPr>
        <w:t xml:space="preserve">sklene tudi </w:t>
      </w:r>
      <w:r w:rsidRPr="00770D7F">
        <w:rPr>
          <w:rFonts w:ascii="Arial" w:hAnsi="Arial" w:cs="Arial"/>
          <w:sz w:val="20"/>
          <w:szCs w:val="20"/>
          <w:lang w:val="sl"/>
        </w:rPr>
        <w:t xml:space="preserve">vstaviti nov IX. del v Prilogo A, ki se glasi: </w:t>
      </w:r>
    </w:p>
    <w:p w14:paraId="71A3624E" w14:textId="77777777" w:rsidR="00BE3A18" w:rsidRPr="00770D7F" w:rsidRDefault="00BE3A18" w:rsidP="00BE3A18">
      <w:pPr>
        <w:pStyle w:val="Default"/>
        <w:rPr>
          <w:rFonts w:ascii="Arial" w:hAnsi="Arial" w:cs="Arial"/>
          <w:b/>
          <w:bCs/>
          <w:sz w:val="20"/>
          <w:szCs w:val="20"/>
        </w:rPr>
      </w:pPr>
    </w:p>
    <w:p w14:paraId="23FF4A9D" w14:textId="77777777" w:rsidR="00BE3A18" w:rsidRPr="00770D7F" w:rsidRDefault="00BE3A18" w:rsidP="00BE3A18">
      <w:pPr>
        <w:pStyle w:val="Default"/>
        <w:jc w:val="center"/>
        <w:rPr>
          <w:rFonts w:ascii="Arial" w:hAnsi="Arial" w:cs="Arial"/>
          <w:sz w:val="20"/>
          <w:szCs w:val="20"/>
        </w:rPr>
      </w:pPr>
      <w:r w:rsidRPr="00770D7F">
        <w:rPr>
          <w:rFonts w:ascii="Arial" w:hAnsi="Arial" w:cs="Arial"/>
          <w:b/>
          <w:bCs/>
          <w:sz w:val="20"/>
          <w:szCs w:val="20"/>
          <w:lang w:val="sl"/>
        </w:rPr>
        <w:t>IX. del</w:t>
      </w:r>
    </w:p>
    <w:p w14:paraId="13DE41AE" w14:textId="77777777" w:rsidR="00BE3A18" w:rsidRPr="00770D7F" w:rsidRDefault="00BE3A18" w:rsidP="00BE3A18">
      <w:pPr>
        <w:pStyle w:val="Default"/>
        <w:jc w:val="center"/>
        <w:rPr>
          <w:rFonts w:ascii="Arial" w:hAnsi="Arial" w:cs="Arial"/>
          <w:sz w:val="20"/>
          <w:szCs w:val="20"/>
        </w:rPr>
      </w:pPr>
      <w:r w:rsidRPr="00770D7F">
        <w:rPr>
          <w:rFonts w:ascii="Arial" w:hAnsi="Arial" w:cs="Arial"/>
          <w:b/>
          <w:bCs/>
          <w:sz w:val="20"/>
          <w:szCs w:val="20"/>
          <w:lang w:val="sl"/>
        </w:rPr>
        <w:t>Dekabromodifenil eter</w:t>
      </w:r>
    </w:p>
    <w:p w14:paraId="508A5F1E" w14:textId="77777777" w:rsidR="00BE3A18" w:rsidRPr="00770D7F" w:rsidRDefault="00BE3A18" w:rsidP="00BE3A18">
      <w:pPr>
        <w:pStyle w:val="Default"/>
        <w:spacing w:after="200"/>
        <w:rPr>
          <w:rFonts w:ascii="Arial" w:hAnsi="Arial" w:cs="Arial"/>
          <w:sz w:val="20"/>
          <w:szCs w:val="20"/>
        </w:rPr>
      </w:pPr>
    </w:p>
    <w:p w14:paraId="676FD07F" w14:textId="41FF2996" w:rsidR="00BE3A18" w:rsidRPr="00770D7F" w:rsidRDefault="00BE3A18" w:rsidP="00636E90">
      <w:pPr>
        <w:pStyle w:val="Default"/>
        <w:spacing w:after="200"/>
        <w:ind w:left="708"/>
        <w:rPr>
          <w:rFonts w:ascii="Arial" w:hAnsi="Arial" w:cs="Arial"/>
          <w:sz w:val="20"/>
          <w:szCs w:val="20"/>
        </w:rPr>
      </w:pPr>
      <w:r w:rsidRPr="00770D7F">
        <w:rPr>
          <w:rFonts w:ascii="Arial" w:hAnsi="Arial" w:cs="Arial"/>
          <w:sz w:val="20"/>
          <w:szCs w:val="20"/>
          <w:lang w:val="sl"/>
        </w:rPr>
        <w:t xml:space="preserve">1. </w:t>
      </w:r>
      <w:r w:rsidR="00636E90">
        <w:rPr>
          <w:rFonts w:ascii="Arial" w:hAnsi="Arial" w:cs="Arial"/>
          <w:sz w:val="20"/>
          <w:szCs w:val="20"/>
          <w:lang w:val="sl"/>
        </w:rPr>
        <w:tab/>
      </w:r>
      <w:r w:rsidRPr="00770D7F">
        <w:rPr>
          <w:rFonts w:ascii="Arial" w:hAnsi="Arial" w:cs="Arial"/>
          <w:sz w:val="20"/>
          <w:szCs w:val="20"/>
          <w:lang w:val="sl"/>
        </w:rPr>
        <w:t xml:space="preserve">Odpravita se proizvodnja in uporaba dekabromodifenil etra, razen za pogodbenice, ki so uradno obvestile Sekretariat, da ga nameravajo proizvajati in/ali uporabljati v skladu s 4. členom. </w:t>
      </w:r>
    </w:p>
    <w:p w14:paraId="479E86BB" w14:textId="74EB397A" w:rsidR="00BE3A18" w:rsidRPr="00770D7F" w:rsidRDefault="00BE3A18" w:rsidP="00636E90">
      <w:pPr>
        <w:pStyle w:val="Default"/>
        <w:spacing w:after="120"/>
        <w:ind w:left="708"/>
        <w:rPr>
          <w:rFonts w:ascii="Arial" w:hAnsi="Arial" w:cs="Arial"/>
          <w:sz w:val="20"/>
          <w:szCs w:val="20"/>
        </w:rPr>
      </w:pPr>
      <w:r w:rsidRPr="00770D7F">
        <w:rPr>
          <w:rFonts w:ascii="Arial" w:hAnsi="Arial" w:cs="Arial"/>
          <w:sz w:val="20"/>
          <w:szCs w:val="20"/>
          <w:lang w:val="sl"/>
        </w:rPr>
        <w:t xml:space="preserve">2. </w:t>
      </w:r>
      <w:r w:rsidR="00636E90">
        <w:rPr>
          <w:rFonts w:ascii="Arial" w:hAnsi="Arial" w:cs="Arial"/>
          <w:sz w:val="20"/>
          <w:szCs w:val="20"/>
          <w:lang w:val="sl"/>
        </w:rPr>
        <w:tab/>
      </w:r>
      <w:r w:rsidRPr="00770D7F">
        <w:rPr>
          <w:rFonts w:ascii="Arial" w:hAnsi="Arial" w:cs="Arial"/>
          <w:sz w:val="20"/>
          <w:szCs w:val="20"/>
          <w:lang w:val="sl"/>
        </w:rPr>
        <w:t xml:space="preserve">Posebna izjema je mogoča za proizvodnjo in uporabo komercialnega dekabromodifenil etra za dele za uporabo v vozilih, vendar samo za:  </w:t>
      </w:r>
    </w:p>
    <w:p w14:paraId="27A391AC" w14:textId="7F09034A" w:rsidR="00BE3A18" w:rsidRPr="00770D7F" w:rsidRDefault="00BE3A18" w:rsidP="00636E90">
      <w:pPr>
        <w:pStyle w:val="Default"/>
        <w:spacing w:after="100"/>
        <w:ind w:left="708" w:firstLine="708"/>
        <w:rPr>
          <w:rFonts w:ascii="Arial" w:hAnsi="Arial" w:cs="Arial"/>
          <w:sz w:val="20"/>
          <w:szCs w:val="20"/>
        </w:rPr>
      </w:pPr>
      <w:r w:rsidRPr="00770D7F">
        <w:rPr>
          <w:rFonts w:ascii="Arial" w:hAnsi="Arial" w:cs="Arial"/>
          <w:sz w:val="20"/>
          <w:szCs w:val="20"/>
          <w:lang w:val="sl"/>
        </w:rPr>
        <w:t xml:space="preserve">(a) </w:t>
      </w:r>
      <w:r w:rsidR="00636E90">
        <w:rPr>
          <w:rFonts w:ascii="Arial" w:hAnsi="Arial" w:cs="Arial"/>
          <w:sz w:val="20"/>
          <w:szCs w:val="20"/>
          <w:lang w:val="sl"/>
        </w:rPr>
        <w:tab/>
      </w:r>
      <w:r w:rsidRPr="00770D7F">
        <w:rPr>
          <w:rFonts w:ascii="Arial" w:hAnsi="Arial" w:cs="Arial"/>
          <w:sz w:val="20"/>
          <w:szCs w:val="20"/>
          <w:lang w:val="sl"/>
        </w:rPr>
        <w:t xml:space="preserve">dele za uporabo v starejših vozilih, ki so opredeljena kot vozila, ki se ne proizvajajo več serijsko in katerih deli so uvrščeni v eno ali več naslednjih kategorij: </w:t>
      </w:r>
    </w:p>
    <w:p w14:paraId="49182FE0" w14:textId="77777777" w:rsidR="00BE3A18" w:rsidRPr="00770D7F" w:rsidRDefault="00BE3A18" w:rsidP="00BE3A18">
      <w:pPr>
        <w:pStyle w:val="Default"/>
        <w:ind w:left="708"/>
        <w:rPr>
          <w:rFonts w:ascii="Arial" w:hAnsi="Arial" w:cs="Arial"/>
          <w:sz w:val="20"/>
          <w:szCs w:val="20"/>
        </w:rPr>
      </w:pPr>
    </w:p>
    <w:p w14:paraId="3FF18DA6" w14:textId="77777777" w:rsidR="00BE3A18" w:rsidRPr="00770D7F" w:rsidRDefault="00BE3A18" w:rsidP="004C65F4">
      <w:pPr>
        <w:pStyle w:val="ListParagraph"/>
        <w:numPr>
          <w:ilvl w:val="0"/>
          <w:numId w:val="8"/>
        </w:numPr>
        <w:autoSpaceDE w:val="0"/>
        <w:autoSpaceDN w:val="0"/>
        <w:adjustRightInd w:val="0"/>
        <w:spacing w:after="0" w:line="240" w:lineRule="auto"/>
        <w:ind w:left="2835" w:hanging="709"/>
        <w:rPr>
          <w:rFonts w:ascii="Arial" w:hAnsi="Arial" w:cs="Arial"/>
          <w:sz w:val="20"/>
          <w:szCs w:val="20"/>
        </w:rPr>
      </w:pPr>
      <w:r w:rsidRPr="00770D7F">
        <w:rPr>
          <w:rFonts w:ascii="Arial" w:hAnsi="Arial" w:cs="Arial"/>
          <w:sz w:val="20"/>
          <w:szCs w:val="20"/>
          <w:lang w:val="sl"/>
        </w:rPr>
        <w:t xml:space="preserve">pogonski sistem in oprema pod pokrovom motorja, kot so akumulatorski ozemljitveni kabli, akumulatorski povezovalni kabli, cevi premične klimatske naprave (MAC), pogonski sistemi, puše izpušnega kolektorja, izolacija pod pokrovom motorja, kabli in jermenje pod pokrovom motorja (vezje motorja itd.), senzorji hitrosti, gibljive cevi, ventilatorski moduli in senzorji klenkanja; </w:t>
      </w:r>
    </w:p>
    <w:p w14:paraId="30D3FB03" w14:textId="77777777" w:rsidR="00BE3A18" w:rsidRPr="00770D7F" w:rsidRDefault="00BE3A18" w:rsidP="004C65F4">
      <w:pPr>
        <w:pStyle w:val="Default"/>
        <w:numPr>
          <w:ilvl w:val="0"/>
          <w:numId w:val="8"/>
        </w:numPr>
        <w:ind w:left="2835" w:hanging="709"/>
        <w:rPr>
          <w:rFonts w:ascii="Arial" w:hAnsi="Arial" w:cs="Arial"/>
          <w:sz w:val="20"/>
          <w:szCs w:val="20"/>
        </w:rPr>
      </w:pPr>
      <w:r w:rsidRPr="00770D7F">
        <w:rPr>
          <w:rFonts w:ascii="Arial" w:hAnsi="Arial" w:cs="Arial"/>
          <w:sz w:val="20"/>
          <w:szCs w:val="20"/>
          <w:lang w:val="sl"/>
        </w:rPr>
        <w:t xml:space="preserve">oprema sistema za dovajanje goriva, kot so cevi za gorivo, rezervoarji za gorivo in rezervoarji za gorivo v podvozju; </w:t>
      </w:r>
    </w:p>
    <w:p w14:paraId="4F517689" w14:textId="77777777" w:rsidR="00BE3A18" w:rsidRPr="00770D7F" w:rsidRDefault="00BE3A18" w:rsidP="004C65F4">
      <w:pPr>
        <w:pStyle w:val="Default"/>
        <w:numPr>
          <w:ilvl w:val="0"/>
          <w:numId w:val="8"/>
        </w:numPr>
        <w:ind w:left="2835" w:hanging="709"/>
        <w:rPr>
          <w:rFonts w:ascii="Arial" w:hAnsi="Arial" w:cs="Arial"/>
          <w:sz w:val="20"/>
          <w:szCs w:val="20"/>
        </w:rPr>
      </w:pPr>
      <w:r w:rsidRPr="00770D7F">
        <w:rPr>
          <w:rFonts w:ascii="Arial" w:hAnsi="Arial" w:cs="Arial"/>
          <w:sz w:val="20"/>
          <w:szCs w:val="20"/>
          <w:lang w:val="sl"/>
        </w:rPr>
        <w:t xml:space="preserve">pirotehnične naprave in oprema, na katero te naprave vplivajo, kot so kabli za sprožitev zračne blazine, sedežne prevleke/material prevlek (samo v zvezi z zračnimi blazinami) in (sprednje in stranske) zračne blazine;   </w:t>
      </w:r>
    </w:p>
    <w:p w14:paraId="033D3473" w14:textId="77777777" w:rsidR="00BE3A18" w:rsidRPr="00636E90" w:rsidRDefault="00BE3A18" w:rsidP="004C65F4">
      <w:pPr>
        <w:pStyle w:val="Default"/>
        <w:numPr>
          <w:ilvl w:val="0"/>
          <w:numId w:val="8"/>
        </w:numPr>
        <w:ind w:left="2835" w:hanging="708"/>
        <w:rPr>
          <w:rFonts w:ascii="Arial" w:hAnsi="Arial" w:cs="Arial"/>
          <w:sz w:val="20"/>
          <w:szCs w:val="20"/>
        </w:rPr>
      </w:pPr>
      <w:r w:rsidRPr="00770D7F">
        <w:rPr>
          <w:rFonts w:ascii="Arial" w:hAnsi="Arial" w:cs="Arial"/>
          <w:sz w:val="20"/>
          <w:szCs w:val="20"/>
          <w:lang w:val="sl"/>
        </w:rPr>
        <w:t xml:space="preserve">vzmetenje in notranja oprema, kot so prevleke, akustična oprema in varnostni pasovi;  </w:t>
      </w:r>
    </w:p>
    <w:p w14:paraId="351AD5C6" w14:textId="77777777" w:rsidR="00636E90" w:rsidRPr="00770D7F" w:rsidRDefault="00636E90" w:rsidP="00636E90">
      <w:pPr>
        <w:pStyle w:val="Default"/>
        <w:ind w:left="2126"/>
        <w:rPr>
          <w:rFonts w:ascii="Arial" w:hAnsi="Arial" w:cs="Arial"/>
          <w:sz w:val="20"/>
          <w:szCs w:val="20"/>
        </w:rPr>
      </w:pPr>
    </w:p>
    <w:p w14:paraId="5E11C89D" w14:textId="6187EE09" w:rsidR="00BE3A18" w:rsidRPr="00770D7F" w:rsidRDefault="00BE3A18" w:rsidP="00636E90">
      <w:pPr>
        <w:pStyle w:val="Default"/>
        <w:spacing w:after="100"/>
        <w:ind w:left="708" w:firstLine="708"/>
        <w:rPr>
          <w:rFonts w:ascii="Arial" w:hAnsi="Arial" w:cs="Arial"/>
          <w:sz w:val="20"/>
          <w:szCs w:val="20"/>
        </w:rPr>
      </w:pPr>
      <w:r w:rsidRPr="00770D7F">
        <w:rPr>
          <w:rFonts w:ascii="Arial" w:hAnsi="Arial" w:cs="Arial"/>
          <w:sz w:val="20"/>
          <w:szCs w:val="20"/>
          <w:lang w:val="sl"/>
        </w:rPr>
        <w:t xml:space="preserve">(b) </w:t>
      </w:r>
      <w:r w:rsidR="00636E90">
        <w:rPr>
          <w:rFonts w:ascii="Arial" w:hAnsi="Arial" w:cs="Arial"/>
          <w:sz w:val="20"/>
          <w:szCs w:val="20"/>
          <w:lang w:val="sl"/>
        </w:rPr>
        <w:tab/>
      </w:r>
      <w:r w:rsidRPr="00770D7F">
        <w:rPr>
          <w:rFonts w:ascii="Arial" w:hAnsi="Arial" w:cs="Arial"/>
          <w:sz w:val="20"/>
          <w:szCs w:val="20"/>
          <w:lang w:val="sl"/>
        </w:rPr>
        <w:t xml:space="preserve">dele za vozila iz točk (i)–(iv) pododstavka (a) drugega odstavka zgoraj in za dele iz ene ali več naslednjih kategorij: </w:t>
      </w:r>
    </w:p>
    <w:p w14:paraId="6B4A08A6" w14:textId="77777777" w:rsidR="00BE3A18" w:rsidRPr="00770D7F" w:rsidRDefault="00BE3A18" w:rsidP="00636E90">
      <w:pPr>
        <w:pStyle w:val="Default"/>
        <w:numPr>
          <w:ilvl w:val="0"/>
          <w:numId w:val="9"/>
        </w:numPr>
        <w:spacing w:after="100"/>
        <w:ind w:left="1776" w:firstLine="351"/>
        <w:rPr>
          <w:rFonts w:ascii="Arial" w:hAnsi="Arial" w:cs="Arial"/>
          <w:sz w:val="20"/>
          <w:szCs w:val="20"/>
        </w:rPr>
      </w:pPr>
      <w:r w:rsidRPr="00770D7F">
        <w:rPr>
          <w:rFonts w:ascii="Arial" w:hAnsi="Arial" w:cs="Arial"/>
          <w:sz w:val="20"/>
          <w:szCs w:val="20"/>
          <w:lang w:val="sl"/>
        </w:rPr>
        <w:t xml:space="preserve">ojačana plastika (armaturne plošče in notranje prevleke); </w:t>
      </w:r>
    </w:p>
    <w:p w14:paraId="123AC271" w14:textId="77777777" w:rsidR="00BE3A18" w:rsidRPr="00770D7F" w:rsidRDefault="00BE3A18" w:rsidP="00636E90">
      <w:pPr>
        <w:pStyle w:val="Default"/>
        <w:numPr>
          <w:ilvl w:val="0"/>
          <w:numId w:val="9"/>
        </w:numPr>
        <w:spacing w:after="100"/>
        <w:ind w:left="2835" w:hanging="708"/>
        <w:rPr>
          <w:rFonts w:ascii="Arial" w:hAnsi="Arial" w:cs="Arial"/>
          <w:sz w:val="20"/>
          <w:szCs w:val="20"/>
        </w:rPr>
      </w:pPr>
      <w:r w:rsidRPr="00770D7F">
        <w:rPr>
          <w:rFonts w:ascii="Arial" w:hAnsi="Arial" w:cs="Arial"/>
          <w:sz w:val="20"/>
          <w:szCs w:val="20"/>
          <w:lang w:val="sl"/>
        </w:rPr>
        <w:t xml:space="preserve">pod pokrovom motorja ali armaturno ploščo (konektorji/ohišja varovalk, izolacija žic za večji tok in kablov (kabli za vžigalne svečke)); </w:t>
      </w:r>
    </w:p>
    <w:p w14:paraId="73421F85" w14:textId="77777777" w:rsidR="00BE3A18" w:rsidRPr="00770D7F" w:rsidRDefault="00BE3A18" w:rsidP="00636E90">
      <w:pPr>
        <w:pStyle w:val="Default"/>
        <w:numPr>
          <w:ilvl w:val="0"/>
          <w:numId w:val="9"/>
        </w:numPr>
        <w:spacing w:after="100"/>
        <w:ind w:left="2835" w:hanging="708"/>
        <w:rPr>
          <w:rFonts w:ascii="Arial" w:hAnsi="Arial" w:cs="Arial"/>
          <w:sz w:val="20"/>
          <w:szCs w:val="20"/>
        </w:rPr>
      </w:pPr>
      <w:r w:rsidRPr="00770D7F">
        <w:rPr>
          <w:rFonts w:ascii="Arial" w:hAnsi="Arial" w:cs="Arial"/>
          <w:sz w:val="20"/>
          <w:szCs w:val="20"/>
          <w:lang w:val="sl"/>
        </w:rPr>
        <w:t xml:space="preserve">električna in elektronska oprema (ohišja ali podstavki za akumulatorje, električni priključki za motor, deli radijskih diskov, satelitski navigacijski sistemi, globalni sistemi za določanje položaja in računalniški sistemi);  </w:t>
      </w:r>
    </w:p>
    <w:p w14:paraId="4AC0338B" w14:textId="77777777" w:rsidR="00BE3A18" w:rsidRPr="004C65F4" w:rsidRDefault="00BE3A18" w:rsidP="00636E90">
      <w:pPr>
        <w:pStyle w:val="Default"/>
        <w:numPr>
          <w:ilvl w:val="0"/>
          <w:numId w:val="9"/>
        </w:numPr>
        <w:spacing w:after="100"/>
        <w:ind w:left="2835" w:hanging="708"/>
        <w:rPr>
          <w:rFonts w:ascii="Arial" w:hAnsi="Arial" w:cs="Arial"/>
          <w:sz w:val="20"/>
          <w:szCs w:val="20"/>
        </w:rPr>
      </w:pPr>
      <w:r w:rsidRPr="00770D7F">
        <w:rPr>
          <w:rFonts w:ascii="Arial" w:hAnsi="Arial" w:cs="Arial"/>
          <w:sz w:val="20"/>
          <w:szCs w:val="20"/>
          <w:lang w:val="sl"/>
        </w:rPr>
        <w:t xml:space="preserve">tkanine, na primer za zadnje police, oblazinjenje sedežev, stropne obloge, avtomobilski sedeži, naslonjala za glavo, ščitniki pred soncem, notranje obloge, preproge. </w:t>
      </w:r>
    </w:p>
    <w:p w14:paraId="4A8629A5" w14:textId="77777777" w:rsidR="00BE3A18" w:rsidRPr="00770D7F" w:rsidRDefault="00BE3A18" w:rsidP="004C65F4">
      <w:pPr>
        <w:ind w:firstLine="708"/>
        <w:rPr>
          <w:rFonts w:ascii="Arial" w:hAnsi="Arial" w:cs="Arial"/>
          <w:sz w:val="20"/>
          <w:szCs w:val="20"/>
          <w:lang w:val="sl"/>
        </w:rPr>
      </w:pPr>
      <w:r w:rsidRPr="00770D7F">
        <w:rPr>
          <w:rFonts w:ascii="Arial" w:hAnsi="Arial" w:cs="Arial"/>
          <w:sz w:val="20"/>
          <w:szCs w:val="20"/>
          <w:lang w:val="sl"/>
        </w:rPr>
        <w:t>3. Posebne izjeme za dele iz pododstavka (a) drugega odstavka zgoraj prenehajo veljati ob koncu uporabne dobe starejših vozil ali leta 2036, kar je prej.</w:t>
      </w:r>
    </w:p>
    <w:p w14:paraId="17F88A17" w14:textId="77777777" w:rsidR="00BE3A18" w:rsidRPr="00770D7F" w:rsidRDefault="00BE3A18" w:rsidP="004C65F4">
      <w:pPr>
        <w:pStyle w:val="Default"/>
        <w:spacing w:before="120" w:after="120"/>
        <w:ind w:firstLine="708"/>
        <w:rPr>
          <w:rFonts w:ascii="Arial" w:hAnsi="Arial" w:cs="Arial"/>
          <w:sz w:val="20"/>
          <w:szCs w:val="20"/>
        </w:rPr>
      </w:pPr>
      <w:r w:rsidRPr="00770D7F">
        <w:rPr>
          <w:rFonts w:ascii="Arial" w:hAnsi="Arial" w:cs="Arial"/>
          <w:sz w:val="20"/>
          <w:szCs w:val="20"/>
          <w:lang w:val="sl"/>
        </w:rPr>
        <w:t xml:space="preserve">4. Posebne izjeme za dele iz pododstavka (b) drugega odstavka zgoraj prenehajo veljati ob koncu uporabne dobe vozil ali leta 2036, kar je prej. </w:t>
      </w:r>
    </w:p>
    <w:p w14:paraId="34D66474" w14:textId="77777777" w:rsidR="00BE3A18" w:rsidRPr="00770D7F" w:rsidRDefault="00BE3A18" w:rsidP="004C65F4">
      <w:pPr>
        <w:pStyle w:val="Default"/>
        <w:spacing w:before="240" w:after="120"/>
        <w:ind w:firstLine="708"/>
        <w:rPr>
          <w:rFonts w:ascii="Arial" w:hAnsi="Arial" w:cs="Arial"/>
          <w:sz w:val="20"/>
          <w:szCs w:val="20"/>
        </w:rPr>
      </w:pPr>
      <w:r w:rsidRPr="00770D7F">
        <w:rPr>
          <w:rFonts w:ascii="Arial" w:hAnsi="Arial" w:cs="Arial"/>
          <w:sz w:val="20"/>
          <w:szCs w:val="20"/>
          <w:lang w:val="sl"/>
        </w:rPr>
        <w:t>5. Posebne izjeme za nadomestne dele za zrakoplove, za katere je bila zaprošena homologacija pred decembrom 2018 in je bila odobrena pred decembrom 2022, prenehajo veljati ob koncu uporabne dobe teh zrakoplovov.</w:t>
      </w:r>
    </w:p>
    <w:p w14:paraId="1FD896A7" w14:textId="77777777" w:rsidR="00BE3A18" w:rsidRPr="00770D7F" w:rsidRDefault="00BE3A18" w:rsidP="00BE3A18">
      <w:pPr>
        <w:rPr>
          <w:rFonts w:ascii="Arial" w:hAnsi="Arial" w:cs="Arial"/>
          <w:b/>
          <w:bCs/>
          <w:sz w:val="20"/>
          <w:szCs w:val="20"/>
        </w:rPr>
      </w:pPr>
    </w:p>
    <w:p w14:paraId="26803A2B" w14:textId="77777777" w:rsidR="00F70C60" w:rsidRDefault="00F70C60" w:rsidP="00BE3A18">
      <w:pPr>
        <w:rPr>
          <w:rFonts w:ascii="Arial" w:hAnsi="Arial" w:cs="Arial"/>
          <w:b/>
          <w:bCs/>
          <w:sz w:val="20"/>
          <w:szCs w:val="20"/>
        </w:rPr>
        <w:sectPr w:rsidR="00F70C60" w:rsidSect="00D66C83">
          <w:footnotePr>
            <w:numRestart w:val="eachSect"/>
          </w:footnotePr>
          <w:pgSz w:w="11906" w:h="16838"/>
          <w:pgMar w:top="1417" w:right="1417" w:bottom="1417" w:left="1417" w:header="708" w:footer="708" w:gutter="0"/>
          <w:cols w:space="708"/>
          <w:docGrid w:linePitch="360"/>
        </w:sectPr>
      </w:pPr>
    </w:p>
    <w:p w14:paraId="53183658" w14:textId="5539D3D3" w:rsidR="00BE3A18" w:rsidRPr="00770D7F" w:rsidRDefault="00BE3A18" w:rsidP="00BE3A18">
      <w:pPr>
        <w:rPr>
          <w:rFonts w:ascii="Arial" w:hAnsi="Arial" w:cs="Arial"/>
          <w:b/>
          <w:bCs/>
          <w:sz w:val="20"/>
          <w:szCs w:val="20"/>
        </w:rPr>
      </w:pPr>
    </w:p>
    <w:p w14:paraId="62E9B837" w14:textId="77777777" w:rsidR="00BE3A18" w:rsidRPr="004C65F4" w:rsidRDefault="00BE3A18" w:rsidP="00BE3A18">
      <w:pPr>
        <w:rPr>
          <w:rFonts w:ascii="Arial" w:hAnsi="Arial" w:cs="Arial"/>
          <w:b/>
          <w:bCs/>
          <w:sz w:val="28"/>
          <w:szCs w:val="28"/>
        </w:rPr>
      </w:pPr>
      <w:r w:rsidRPr="004C65F4">
        <w:rPr>
          <w:rFonts w:ascii="Arial" w:hAnsi="Arial" w:cs="Arial"/>
          <w:b/>
          <w:bCs/>
          <w:sz w:val="28"/>
          <w:szCs w:val="28"/>
        </w:rPr>
        <w:t>SC-8/11: Uvrstitev</w:t>
      </w:r>
      <w:r w:rsidRPr="004C65F4">
        <w:rPr>
          <w:rFonts w:ascii="Arial" w:hAnsi="Arial" w:cs="Arial"/>
          <w:sz w:val="28"/>
          <w:szCs w:val="28"/>
          <w:lang w:val="sl"/>
        </w:rPr>
        <w:t xml:space="preserve"> </w:t>
      </w:r>
      <w:r w:rsidRPr="004C65F4">
        <w:rPr>
          <w:rFonts w:ascii="Arial" w:hAnsi="Arial" w:cs="Arial"/>
          <w:b/>
          <w:bCs/>
          <w:sz w:val="28"/>
          <w:szCs w:val="28"/>
          <w:lang w:val="sl"/>
        </w:rPr>
        <w:t>kratkoverižnih kloriranih parafinov</w:t>
      </w:r>
    </w:p>
    <w:p w14:paraId="3B4D058D"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Konferenca pogodbenic</w:t>
      </w:r>
      <w:r w:rsidRPr="00770D7F">
        <w:rPr>
          <w:rFonts w:ascii="Arial" w:hAnsi="Arial" w:cs="Arial"/>
          <w:sz w:val="20"/>
          <w:szCs w:val="20"/>
          <w:lang w:val="sl"/>
        </w:rPr>
        <w:t xml:space="preserve">, </w:t>
      </w:r>
    </w:p>
    <w:p w14:paraId="14DAB776"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kratkoverižne klorirane parafine, kot ju je poslal Odbor za pregled obstojnih organskih onesnaževal,</w:t>
      </w:r>
      <w:r w:rsidRPr="00770D7F">
        <w:rPr>
          <w:rStyle w:val="FootnoteReference"/>
          <w:rFonts w:ascii="Arial" w:hAnsi="Arial" w:cs="Arial"/>
          <w:sz w:val="20"/>
          <w:szCs w:val="20"/>
          <w:lang w:val="sl"/>
        </w:rPr>
        <w:footnoteReference w:id="74"/>
      </w:r>
      <w:r w:rsidRPr="00770D7F">
        <w:rPr>
          <w:rFonts w:ascii="Arial" w:hAnsi="Arial" w:cs="Arial"/>
          <w:sz w:val="20"/>
          <w:szCs w:val="20"/>
          <w:lang w:val="sl"/>
        </w:rPr>
        <w:t xml:space="preserve"> </w:t>
      </w:r>
    </w:p>
    <w:p w14:paraId="25BCD70D" w14:textId="77777777" w:rsidR="00BE3A18" w:rsidRPr="00770D7F" w:rsidRDefault="00BE3A18" w:rsidP="004C65F4">
      <w:pPr>
        <w:ind w:firstLine="360"/>
        <w:rPr>
          <w:rFonts w:ascii="Arial" w:hAnsi="Arial" w:cs="Arial"/>
          <w:sz w:val="20"/>
          <w:szCs w:val="20"/>
        </w:rPr>
      </w:pPr>
      <w:r w:rsidRPr="004C65F4">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kratkoverižni klorirani parafini uvrstijo v Prilogo A h konvenciji z nadzorom za omejitev kratkoverižnih kloriranih parafinov v drugih zmeseh kloriranih parafinov</w:t>
      </w:r>
      <w:r w:rsidRPr="00770D7F">
        <w:rPr>
          <w:rFonts w:ascii="Arial" w:hAnsi="Arial" w:cs="Arial"/>
          <w:sz w:val="20"/>
          <w:szCs w:val="20"/>
        </w:rPr>
        <w:t>, s posebnimi izjemami ali brez njih,</w:t>
      </w:r>
      <w:r w:rsidRPr="00770D7F">
        <w:rPr>
          <w:rStyle w:val="FootnoteReference"/>
          <w:rFonts w:ascii="Arial" w:hAnsi="Arial" w:cs="Arial"/>
          <w:sz w:val="20"/>
          <w:szCs w:val="20"/>
        </w:rPr>
        <w:footnoteReference w:id="75"/>
      </w:r>
    </w:p>
    <w:p w14:paraId="5892D581" w14:textId="77777777" w:rsidR="00BE3A18" w:rsidRPr="00770D7F" w:rsidRDefault="00BE3A18" w:rsidP="004C65F4">
      <w:pPr>
        <w:pStyle w:val="ListParagraph"/>
        <w:numPr>
          <w:ilvl w:val="0"/>
          <w:numId w:val="10"/>
        </w:numPr>
        <w:ind w:left="0" w:firstLine="774"/>
        <w:rPr>
          <w:rFonts w:ascii="Arial" w:hAnsi="Arial" w:cs="Arial"/>
          <w:sz w:val="20"/>
          <w:szCs w:val="20"/>
        </w:rPr>
      </w:pP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uvrstijo kratkoverižni klorirani parafini s posebnimi izjemami, in sicer tako, da se vstavi naslednja vrstica:</w:t>
      </w:r>
    </w:p>
    <w:tbl>
      <w:tblPr>
        <w:tblW w:w="8222" w:type="dxa"/>
        <w:tblInd w:w="1384" w:type="dxa"/>
        <w:tblLayout w:type="fixed"/>
        <w:tblLook w:val="0000" w:firstRow="0" w:lastRow="0" w:firstColumn="0" w:lastColumn="0" w:noHBand="0" w:noVBand="0"/>
      </w:tblPr>
      <w:tblGrid>
        <w:gridCol w:w="3827"/>
        <w:gridCol w:w="1280"/>
        <w:gridCol w:w="3115"/>
      </w:tblGrid>
      <w:tr w:rsidR="005D5244" w:rsidRPr="00D548CF" w14:paraId="28E34335" w14:textId="77777777" w:rsidTr="00D66C83">
        <w:trPr>
          <w:trHeight w:val="489"/>
          <w:tblHeader/>
        </w:trPr>
        <w:tc>
          <w:tcPr>
            <w:tcW w:w="3827" w:type="dxa"/>
            <w:tcBorders>
              <w:top w:val="single" w:sz="4" w:space="0" w:color="auto"/>
              <w:bottom w:val="single" w:sz="12" w:space="0" w:color="auto"/>
            </w:tcBorders>
            <w:shd w:val="solid" w:color="FFFFFF" w:themeColor="background1" w:fill="FFFFFF"/>
          </w:tcPr>
          <w:p w14:paraId="4E284656" w14:textId="32942925" w:rsidR="005D5244" w:rsidRPr="00D548CF" w:rsidRDefault="005D5244" w:rsidP="00E27632">
            <w:pPr>
              <w:keepNext/>
              <w:spacing w:before="40" w:after="40" w:line="240" w:lineRule="auto"/>
              <w:rPr>
                <w:rFonts w:ascii="Arial" w:eastAsia="Times New Roman" w:hAnsi="Arial" w:cs="Arial"/>
                <w:b/>
                <w:sz w:val="18"/>
                <w:szCs w:val="18"/>
                <w:lang w:val="en-GB"/>
              </w:rPr>
            </w:pPr>
            <w:r w:rsidRPr="00D548CF">
              <w:rPr>
                <w:rFonts w:ascii="Arial" w:eastAsia="Times New Roman" w:hAnsi="Arial" w:cs="Arial"/>
                <w:b/>
                <w:sz w:val="18"/>
                <w:szCs w:val="18"/>
                <w:lang w:val="en-GB"/>
              </w:rPr>
              <w:t> </w:t>
            </w:r>
            <w:r>
              <w:rPr>
                <w:rFonts w:ascii="Arial" w:eastAsia="Times New Roman" w:hAnsi="Arial" w:cs="Arial"/>
                <w:b/>
                <w:sz w:val="18"/>
                <w:szCs w:val="18"/>
                <w:lang w:val="en-GB"/>
              </w:rPr>
              <w:t>Kemikalija</w:t>
            </w:r>
          </w:p>
        </w:tc>
        <w:tc>
          <w:tcPr>
            <w:tcW w:w="1280" w:type="dxa"/>
            <w:tcBorders>
              <w:top w:val="single" w:sz="4" w:space="0" w:color="auto"/>
              <w:bottom w:val="single" w:sz="12" w:space="0" w:color="auto"/>
            </w:tcBorders>
            <w:shd w:val="solid" w:color="FFFFFF" w:themeColor="background1" w:fill="FFFFFF"/>
          </w:tcPr>
          <w:p w14:paraId="7A1F3A5D" w14:textId="23400E57" w:rsidR="005D5244" w:rsidRPr="00D548CF" w:rsidRDefault="005D5244" w:rsidP="00E27632">
            <w:pPr>
              <w:keepNext/>
              <w:spacing w:before="40" w:after="40" w:line="240" w:lineRule="auto"/>
              <w:rPr>
                <w:rFonts w:ascii="Arial" w:eastAsia="Times New Roman" w:hAnsi="Arial" w:cs="Arial"/>
                <w:b/>
                <w:sz w:val="18"/>
                <w:szCs w:val="18"/>
                <w:lang w:val="en-GB"/>
              </w:rPr>
            </w:pPr>
            <w:r>
              <w:rPr>
                <w:rFonts w:ascii="Arial" w:eastAsia="Times New Roman" w:hAnsi="Arial" w:cs="Arial"/>
                <w:b/>
                <w:sz w:val="18"/>
                <w:szCs w:val="18"/>
                <w:lang w:val="en-GB"/>
              </w:rPr>
              <w:t>Dejavnost</w:t>
            </w:r>
          </w:p>
        </w:tc>
        <w:tc>
          <w:tcPr>
            <w:tcW w:w="3115" w:type="dxa"/>
            <w:tcBorders>
              <w:top w:val="single" w:sz="4" w:space="0" w:color="auto"/>
              <w:bottom w:val="single" w:sz="12" w:space="0" w:color="auto"/>
            </w:tcBorders>
            <w:shd w:val="solid" w:color="FFFFFF" w:themeColor="background1" w:fill="FFFFFF"/>
          </w:tcPr>
          <w:p w14:paraId="1B0EFBEC" w14:textId="63D93C63" w:rsidR="005D5244" w:rsidRPr="00D548CF" w:rsidRDefault="005D5244" w:rsidP="00E27632">
            <w:pPr>
              <w:keepNext/>
              <w:spacing w:before="40" w:after="40" w:line="240" w:lineRule="auto"/>
              <w:rPr>
                <w:rFonts w:ascii="Arial" w:eastAsia="Times New Roman" w:hAnsi="Arial" w:cs="Arial"/>
                <w:b/>
                <w:sz w:val="18"/>
                <w:szCs w:val="18"/>
                <w:lang w:val="en-GB"/>
              </w:rPr>
            </w:pPr>
            <w:r>
              <w:rPr>
                <w:rFonts w:ascii="Arial" w:eastAsia="Times New Roman" w:hAnsi="Arial" w:cs="Arial"/>
                <w:b/>
                <w:sz w:val="18"/>
                <w:szCs w:val="18"/>
                <w:lang w:val="en-GB"/>
              </w:rPr>
              <w:t>Poseban izjema</w:t>
            </w:r>
          </w:p>
        </w:tc>
      </w:tr>
      <w:tr w:rsidR="005D5244" w:rsidRPr="00D548CF" w14:paraId="7CA25C62" w14:textId="77777777" w:rsidTr="00E27632">
        <w:trPr>
          <w:trHeight w:val="533"/>
        </w:trPr>
        <w:tc>
          <w:tcPr>
            <w:tcW w:w="3827" w:type="dxa"/>
            <w:vMerge w:val="restart"/>
            <w:tcBorders>
              <w:top w:val="single" w:sz="12" w:space="0" w:color="auto"/>
            </w:tcBorders>
            <w:shd w:val="clear" w:color="auto" w:fill="auto"/>
          </w:tcPr>
          <w:p w14:paraId="5C5CC6E9"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kratkoverižni klorirani parafini (alkani, C</w:t>
            </w:r>
            <w:r w:rsidRPr="00770D7F">
              <w:rPr>
                <w:rFonts w:ascii="Arial" w:hAnsi="Arial" w:cs="Arial"/>
                <w:sz w:val="18"/>
                <w:szCs w:val="18"/>
                <w:vertAlign w:val="subscript"/>
                <w:lang w:val="sl"/>
              </w:rPr>
              <w:t>10</w:t>
            </w:r>
            <w:r w:rsidRPr="00770D7F">
              <w:rPr>
                <w:rFonts w:ascii="Arial" w:hAnsi="Arial" w:cs="Arial"/>
                <w:sz w:val="18"/>
                <w:szCs w:val="18"/>
                <w:lang w:val="sl"/>
              </w:rPr>
              <w:t>-</w:t>
            </w:r>
            <w:r w:rsidRPr="00770D7F">
              <w:rPr>
                <w:rFonts w:ascii="Arial" w:hAnsi="Arial" w:cs="Arial"/>
                <w:sz w:val="18"/>
                <w:szCs w:val="18"/>
                <w:vertAlign w:val="subscript"/>
                <w:lang w:val="sl"/>
              </w:rPr>
              <w:t>13</w:t>
            </w:r>
            <w:r w:rsidRPr="00770D7F">
              <w:rPr>
                <w:rFonts w:ascii="Arial" w:hAnsi="Arial" w:cs="Arial"/>
                <w:sz w:val="18"/>
                <w:szCs w:val="18"/>
                <w:lang w:val="sl"/>
              </w:rPr>
              <w:t>, kloro)+: ravnoverižni klorirani ogljikovodiki z dolžino verige od C</w:t>
            </w:r>
            <w:r w:rsidRPr="00770D7F">
              <w:rPr>
                <w:rFonts w:ascii="Arial" w:hAnsi="Arial" w:cs="Arial"/>
                <w:sz w:val="18"/>
                <w:szCs w:val="18"/>
                <w:vertAlign w:val="subscript"/>
                <w:lang w:val="sl"/>
              </w:rPr>
              <w:t>10</w:t>
            </w:r>
            <w:r w:rsidRPr="00770D7F">
              <w:rPr>
                <w:rFonts w:ascii="Arial" w:hAnsi="Arial" w:cs="Arial"/>
                <w:sz w:val="18"/>
                <w:szCs w:val="18"/>
                <w:lang w:val="sl"/>
              </w:rPr>
              <w:t xml:space="preserve"> do C</w:t>
            </w:r>
            <w:r w:rsidRPr="00770D7F">
              <w:rPr>
                <w:rFonts w:ascii="Arial" w:hAnsi="Arial" w:cs="Arial"/>
                <w:sz w:val="18"/>
                <w:szCs w:val="18"/>
                <w:vertAlign w:val="subscript"/>
                <w:lang w:val="sl"/>
              </w:rPr>
              <w:t>13</w:t>
            </w:r>
            <w:r w:rsidRPr="00770D7F">
              <w:rPr>
                <w:rFonts w:ascii="Arial" w:hAnsi="Arial" w:cs="Arial"/>
                <w:sz w:val="18"/>
                <w:szCs w:val="18"/>
                <w:lang w:val="sl"/>
              </w:rPr>
              <w:t xml:space="preserve"> in vsebnostjo klora nad 48 masnih odstotkov </w:t>
            </w:r>
          </w:p>
          <w:p w14:paraId="6E47CD88" w14:textId="77777777" w:rsidR="005D5244" w:rsidRPr="00770D7F" w:rsidRDefault="005D5244" w:rsidP="005D5244">
            <w:pPr>
              <w:pStyle w:val="Default"/>
              <w:rPr>
                <w:rFonts w:ascii="Arial" w:hAnsi="Arial" w:cs="Arial"/>
                <w:sz w:val="18"/>
                <w:szCs w:val="18"/>
              </w:rPr>
            </w:pPr>
          </w:p>
          <w:p w14:paraId="53A4C208"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Na primer, snovi s temi številkami CAS lahko vsebujejo kratkoverižne klorirane parafine: </w:t>
            </w:r>
          </w:p>
          <w:p w14:paraId="72B48ED6"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CAS št.: 85535-84-8; </w:t>
            </w:r>
          </w:p>
          <w:p w14:paraId="13D89118"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CAS št.: 68920-70-7; </w:t>
            </w:r>
          </w:p>
          <w:p w14:paraId="7643082D"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CAS št.: 71011-12-6; </w:t>
            </w:r>
          </w:p>
          <w:p w14:paraId="049DAAFA"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CAS št.: 85536-22-7; </w:t>
            </w:r>
          </w:p>
          <w:p w14:paraId="2FB4D96A" w14:textId="77777777" w:rsidR="005D5244" w:rsidRPr="00770D7F" w:rsidRDefault="005D5244" w:rsidP="005D5244">
            <w:pPr>
              <w:pStyle w:val="Default"/>
              <w:rPr>
                <w:rFonts w:ascii="Arial" w:hAnsi="Arial" w:cs="Arial"/>
                <w:sz w:val="18"/>
                <w:szCs w:val="18"/>
              </w:rPr>
            </w:pPr>
            <w:r w:rsidRPr="00770D7F">
              <w:rPr>
                <w:rFonts w:ascii="Arial" w:hAnsi="Arial" w:cs="Arial"/>
                <w:sz w:val="18"/>
                <w:szCs w:val="18"/>
                <w:lang w:val="sl"/>
              </w:rPr>
              <w:t xml:space="preserve">CAS št.: 85681-73-8; </w:t>
            </w:r>
          </w:p>
          <w:p w14:paraId="1E5EB210" w14:textId="480591DF" w:rsidR="005D5244" w:rsidRPr="00D548CF" w:rsidRDefault="005D5244" w:rsidP="005D5244">
            <w:pPr>
              <w:suppressAutoHyphens/>
              <w:spacing w:before="40" w:after="40" w:line="240" w:lineRule="auto"/>
              <w:rPr>
                <w:rFonts w:ascii="Arial" w:eastAsia="Times New Roman" w:hAnsi="Arial" w:cs="Arial"/>
                <w:sz w:val="18"/>
                <w:szCs w:val="18"/>
                <w:lang w:val="es-ES_tradnl"/>
              </w:rPr>
            </w:pPr>
            <w:r w:rsidRPr="00770D7F">
              <w:rPr>
                <w:rFonts w:ascii="Arial" w:hAnsi="Arial" w:cs="Arial"/>
                <w:sz w:val="18"/>
                <w:szCs w:val="18"/>
                <w:lang w:val="sl"/>
              </w:rPr>
              <w:t>CAS št.: 108171-26-2.</w:t>
            </w:r>
          </w:p>
        </w:tc>
        <w:tc>
          <w:tcPr>
            <w:tcW w:w="1280" w:type="dxa"/>
            <w:tcBorders>
              <w:top w:val="single" w:sz="12" w:space="0" w:color="auto"/>
              <w:bottom w:val="single" w:sz="4" w:space="0" w:color="auto"/>
            </w:tcBorders>
            <w:shd w:val="clear" w:color="auto" w:fill="FFFFFF"/>
          </w:tcPr>
          <w:p w14:paraId="31E1CB3B" w14:textId="59D57B0C" w:rsidR="005D5244" w:rsidRPr="00D548CF" w:rsidRDefault="005D5244" w:rsidP="00E27632">
            <w:pPr>
              <w:suppressAutoHyphens/>
              <w:spacing w:before="40" w:after="40" w:line="240" w:lineRule="auto"/>
              <w:rPr>
                <w:rFonts w:ascii="Arial" w:eastAsia="Times New Roman" w:hAnsi="Arial" w:cs="Arial"/>
                <w:sz w:val="18"/>
                <w:szCs w:val="18"/>
                <w:lang w:val="en-GB"/>
              </w:rPr>
            </w:pPr>
            <w:r>
              <w:rPr>
                <w:rFonts w:ascii="Arial" w:eastAsia="Times New Roman" w:hAnsi="Arial" w:cs="Arial"/>
                <w:sz w:val="18"/>
                <w:szCs w:val="18"/>
                <w:lang w:val="en-GB"/>
              </w:rPr>
              <w:t>proizvodnja</w:t>
            </w:r>
            <w:r w:rsidRPr="00D548CF">
              <w:rPr>
                <w:rFonts w:ascii="Arial" w:eastAsia="Times New Roman" w:hAnsi="Arial" w:cs="Arial"/>
                <w:sz w:val="18"/>
                <w:szCs w:val="18"/>
                <w:lang w:val="en-GB"/>
              </w:rPr>
              <w:t xml:space="preserve"> </w:t>
            </w:r>
          </w:p>
        </w:tc>
        <w:tc>
          <w:tcPr>
            <w:tcW w:w="3115" w:type="dxa"/>
            <w:tcBorders>
              <w:top w:val="single" w:sz="12" w:space="0" w:color="auto"/>
              <w:bottom w:val="single" w:sz="4" w:space="0" w:color="auto"/>
            </w:tcBorders>
            <w:shd w:val="clear" w:color="auto" w:fill="FFFFFF"/>
          </w:tcPr>
          <w:p w14:paraId="3E3E71D9" w14:textId="0860AAF2" w:rsidR="005D5244" w:rsidRPr="00D548CF" w:rsidRDefault="005D5244" w:rsidP="00E27632">
            <w:pPr>
              <w:suppressAutoHyphens/>
              <w:spacing w:before="40" w:after="40" w:line="240" w:lineRule="auto"/>
              <w:rPr>
                <w:rFonts w:ascii="Arial" w:eastAsia="Times New Roman" w:hAnsi="Arial" w:cs="Arial"/>
                <w:sz w:val="18"/>
                <w:szCs w:val="18"/>
                <w:lang w:val="en-GB"/>
              </w:rPr>
            </w:pPr>
            <w:r w:rsidRPr="00770D7F">
              <w:rPr>
                <w:rFonts w:ascii="Arial" w:hAnsi="Arial" w:cs="Arial"/>
                <w:sz w:val="18"/>
                <w:szCs w:val="18"/>
                <w:lang w:val="sl"/>
              </w:rPr>
              <w:t>kot je dovoljeno za pogodbenice, navedene v registru</w:t>
            </w:r>
          </w:p>
        </w:tc>
      </w:tr>
      <w:tr w:rsidR="005D5244" w:rsidRPr="00D548CF" w14:paraId="3D459599" w14:textId="77777777" w:rsidTr="00E27632">
        <w:tc>
          <w:tcPr>
            <w:tcW w:w="3827" w:type="dxa"/>
            <w:vMerge/>
            <w:tcBorders>
              <w:bottom w:val="single" w:sz="12" w:space="0" w:color="auto"/>
            </w:tcBorders>
            <w:shd w:val="clear" w:color="auto" w:fill="auto"/>
            <w:vAlign w:val="center"/>
          </w:tcPr>
          <w:p w14:paraId="7BBF1189" w14:textId="77777777" w:rsidR="005D5244" w:rsidRPr="00D548CF" w:rsidRDefault="005D5244" w:rsidP="00E27632">
            <w:pPr>
              <w:spacing w:before="40" w:after="40" w:line="240" w:lineRule="auto"/>
              <w:rPr>
                <w:rFonts w:ascii="Arial" w:eastAsia="Times New Roman" w:hAnsi="Arial" w:cs="Arial"/>
                <w:b/>
                <w:sz w:val="18"/>
                <w:szCs w:val="18"/>
                <w:lang w:val="en-GB"/>
              </w:rPr>
            </w:pPr>
          </w:p>
        </w:tc>
        <w:tc>
          <w:tcPr>
            <w:tcW w:w="1280" w:type="dxa"/>
            <w:tcBorders>
              <w:top w:val="single" w:sz="4" w:space="0" w:color="auto"/>
              <w:bottom w:val="single" w:sz="12" w:space="0" w:color="auto"/>
            </w:tcBorders>
            <w:shd w:val="clear" w:color="auto" w:fill="auto"/>
          </w:tcPr>
          <w:p w14:paraId="6C10B15F" w14:textId="36A8EF4A" w:rsidR="005D5244" w:rsidRPr="00D548CF" w:rsidRDefault="005D5244" w:rsidP="00E27632">
            <w:pPr>
              <w:suppressAutoHyphens/>
              <w:spacing w:before="40" w:after="40" w:line="240" w:lineRule="auto"/>
              <w:rPr>
                <w:rFonts w:ascii="Arial" w:eastAsia="Times New Roman" w:hAnsi="Arial" w:cs="Arial"/>
                <w:sz w:val="18"/>
                <w:szCs w:val="18"/>
                <w:lang w:val="en-GB"/>
              </w:rPr>
            </w:pPr>
            <w:r>
              <w:rPr>
                <w:rFonts w:ascii="Arial" w:eastAsia="Times New Roman" w:hAnsi="Arial" w:cs="Arial"/>
                <w:sz w:val="18"/>
                <w:szCs w:val="18"/>
                <w:lang w:val="en-GB"/>
              </w:rPr>
              <w:t>uporaba</w:t>
            </w:r>
          </w:p>
        </w:tc>
        <w:tc>
          <w:tcPr>
            <w:tcW w:w="3115" w:type="dxa"/>
            <w:tcBorders>
              <w:top w:val="single" w:sz="4" w:space="0" w:color="auto"/>
              <w:bottom w:val="single" w:sz="12" w:space="0" w:color="auto"/>
            </w:tcBorders>
            <w:shd w:val="clear" w:color="auto" w:fill="auto"/>
          </w:tcPr>
          <w:p w14:paraId="66B1F30D"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dodatki pri proizvodnji pogonskih jermenov v industriji naravne ali sintetične gume </w:t>
            </w:r>
          </w:p>
          <w:p w14:paraId="53C6361A"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nadomestni deli za gumijaste tekoče trakove v rudarstvu in gozdarstvu  </w:t>
            </w:r>
          </w:p>
          <w:p w14:paraId="7616715D"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usnjarska industrija, zlasti maščenje usnja</w:t>
            </w:r>
          </w:p>
          <w:p w14:paraId="5607E888"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dodatki za maziva, zlasti za avtomobilske motorje, električne generatorje in vetrnice za proizvodnjo električne energije, vrtalne naprave za iskanje plina in nafte ter rafiniranje nafte za proizvodnjo dizelskega goriva </w:t>
            </w:r>
          </w:p>
          <w:p w14:paraId="08708B0B"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cevke za zunanje okrasne žarnice </w:t>
            </w:r>
          </w:p>
          <w:p w14:paraId="6092CC1B"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vodoodporne in ognjevzdržne barve  </w:t>
            </w:r>
          </w:p>
          <w:p w14:paraId="7AAD20F7"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lepila</w:t>
            </w:r>
          </w:p>
          <w:p w14:paraId="5ED698EB" w14:textId="77777777" w:rsidR="005D5244" w:rsidRPr="00770D7F" w:rsidRDefault="005D5244" w:rsidP="005D5244">
            <w:pPr>
              <w:pStyle w:val="Default"/>
              <w:numPr>
                <w:ilvl w:val="0"/>
                <w:numId w:val="27"/>
              </w:numPr>
              <w:rPr>
                <w:rFonts w:ascii="Arial" w:hAnsi="Arial" w:cs="Arial"/>
                <w:sz w:val="18"/>
                <w:szCs w:val="18"/>
              </w:rPr>
            </w:pPr>
            <w:r w:rsidRPr="00770D7F">
              <w:rPr>
                <w:rFonts w:ascii="Arial" w:hAnsi="Arial" w:cs="Arial"/>
                <w:sz w:val="18"/>
                <w:szCs w:val="18"/>
                <w:lang w:val="sl"/>
              </w:rPr>
              <w:t xml:space="preserve">obdelava kovin </w:t>
            </w:r>
          </w:p>
          <w:p w14:paraId="7A6985F9" w14:textId="69B54C81" w:rsidR="005D5244" w:rsidRPr="00D548CF" w:rsidRDefault="005D5244" w:rsidP="005D5244">
            <w:pPr>
              <w:numPr>
                <w:ilvl w:val="0"/>
                <w:numId w:val="27"/>
              </w:numPr>
              <w:suppressAutoHyphens/>
              <w:snapToGrid w:val="0"/>
              <w:spacing w:after="120" w:line="240" w:lineRule="auto"/>
              <w:rPr>
                <w:rFonts w:ascii="Arial" w:eastAsia="Times New Roman" w:hAnsi="Arial" w:cs="Arial"/>
                <w:sz w:val="18"/>
                <w:szCs w:val="18"/>
                <w:lang w:val="en-GB"/>
              </w:rPr>
            </w:pPr>
            <w:r w:rsidRPr="00770D7F">
              <w:rPr>
                <w:rFonts w:ascii="Arial" w:hAnsi="Arial" w:cs="Arial"/>
                <w:sz w:val="18"/>
                <w:szCs w:val="18"/>
                <w:lang w:val="sl"/>
              </w:rPr>
              <w:t>sekundarni plastifikatorji in mehki polivinilklorid, razen v igračah in otroških izdelkih</w:t>
            </w:r>
          </w:p>
        </w:tc>
      </w:tr>
    </w:tbl>
    <w:p w14:paraId="14159028" w14:textId="77777777" w:rsidR="00BE3A18" w:rsidRDefault="00BE3A18" w:rsidP="00BE3A18">
      <w:pPr>
        <w:rPr>
          <w:rFonts w:ascii="Arial" w:hAnsi="Arial" w:cs="Arial"/>
          <w:b/>
          <w:bCs/>
          <w:sz w:val="20"/>
          <w:szCs w:val="20"/>
        </w:rPr>
      </w:pPr>
    </w:p>
    <w:p w14:paraId="17996A20" w14:textId="77777777" w:rsidR="00BE3A18" w:rsidRPr="00770D7F" w:rsidRDefault="00BE3A18" w:rsidP="00BE3A18">
      <w:pPr>
        <w:rPr>
          <w:rFonts w:ascii="Arial" w:hAnsi="Arial" w:cs="Arial"/>
          <w:b/>
          <w:bCs/>
          <w:sz w:val="20"/>
          <w:szCs w:val="20"/>
        </w:rPr>
      </w:pPr>
    </w:p>
    <w:p w14:paraId="73890B37" w14:textId="77777777" w:rsidR="00BE3A18" w:rsidRPr="00770D7F" w:rsidRDefault="00BE3A18" w:rsidP="004C65F4">
      <w:pPr>
        <w:pStyle w:val="Default"/>
        <w:spacing w:before="40" w:after="40"/>
        <w:ind w:firstLine="708"/>
        <w:rPr>
          <w:rFonts w:ascii="Arial" w:hAnsi="Arial" w:cs="Arial"/>
          <w:sz w:val="20"/>
          <w:szCs w:val="20"/>
          <w:lang w:val="sl"/>
        </w:rPr>
      </w:pPr>
      <w:r w:rsidRPr="00770D7F">
        <w:rPr>
          <w:rFonts w:ascii="Arial" w:hAnsi="Arial" w:cs="Arial"/>
          <w:i/>
          <w:iCs/>
          <w:sz w:val="20"/>
          <w:szCs w:val="20"/>
          <w:lang w:val="sl"/>
        </w:rPr>
        <w:t>2. sklene tudi</w:t>
      </w:r>
      <w:r w:rsidRPr="00770D7F">
        <w:rPr>
          <w:rFonts w:ascii="Arial" w:hAnsi="Arial" w:cs="Arial"/>
          <w:sz w:val="20"/>
          <w:szCs w:val="20"/>
          <w:lang w:val="sl"/>
        </w:rPr>
        <w:t xml:space="preserve"> vstaviti novo opombo (vii) v I. del Priloge A, ki se glasi: </w:t>
      </w:r>
    </w:p>
    <w:p w14:paraId="6B8022A8" w14:textId="77777777" w:rsidR="00BE3A18" w:rsidRPr="00770D7F" w:rsidRDefault="00BE3A18" w:rsidP="00BE3A18">
      <w:pPr>
        <w:pStyle w:val="Default"/>
        <w:spacing w:before="40" w:after="40"/>
        <w:rPr>
          <w:rFonts w:ascii="Arial" w:hAnsi="Arial" w:cs="Arial"/>
          <w:sz w:val="20"/>
          <w:szCs w:val="20"/>
        </w:rPr>
      </w:pPr>
    </w:p>
    <w:p w14:paraId="2DBE739B" w14:textId="5791C008" w:rsidR="00BE3A18" w:rsidRPr="00770D7F" w:rsidRDefault="00BE3A18" w:rsidP="004C65F4">
      <w:pPr>
        <w:pStyle w:val="Default"/>
        <w:spacing w:before="40" w:after="40"/>
        <w:ind w:left="1413" w:hanging="705"/>
        <w:rPr>
          <w:rFonts w:ascii="Arial" w:hAnsi="Arial" w:cs="Arial"/>
          <w:sz w:val="20"/>
          <w:szCs w:val="20"/>
        </w:rPr>
      </w:pPr>
      <w:r w:rsidRPr="00770D7F">
        <w:rPr>
          <w:rFonts w:ascii="Arial" w:hAnsi="Arial" w:cs="Arial"/>
          <w:sz w:val="20"/>
          <w:szCs w:val="20"/>
          <w:lang w:val="sl"/>
        </w:rPr>
        <w:t xml:space="preserve">(vii) </w:t>
      </w:r>
      <w:r w:rsidR="004C65F4">
        <w:rPr>
          <w:rFonts w:ascii="Arial" w:hAnsi="Arial" w:cs="Arial"/>
          <w:sz w:val="20"/>
          <w:szCs w:val="20"/>
          <w:lang w:val="sl"/>
        </w:rPr>
        <w:tab/>
      </w:r>
      <w:r w:rsidRPr="00770D7F">
        <w:rPr>
          <w:rFonts w:ascii="Arial" w:hAnsi="Arial" w:cs="Arial"/>
          <w:sz w:val="20"/>
          <w:szCs w:val="20"/>
          <w:lang w:val="sl"/>
        </w:rPr>
        <w:t xml:space="preserve">Opomba (i) se ne uporablja za količine tistih kemikalij, pri katerih je v razpredelnici »Kemikalija« v I. delu te priloge poleg imena znak (»+«) in ki se pojavljajo v mešanicah v koncentracijah 1 masni odstotek ali več. </w:t>
      </w:r>
    </w:p>
    <w:p w14:paraId="7E65BC6C" w14:textId="77777777" w:rsidR="00BE3A18" w:rsidRPr="00770D7F" w:rsidRDefault="00BE3A18" w:rsidP="00BE3A18">
      <w:pPr>
        <w:pStyle w:val="Default"/>
        <w:spacing w:before="40" w:after="40"/>
        <w:rPr>
          <w:rFonts w:ascii="Arial" w:hAnsi="Arial" w:cs="Arial"/>
          <w:sz w:val="20"/>
          <w:szCs w:val="20"/>
        </w:rPr>
      </w:pPr>
    </w:p>
    <w:p w14:paraId="769A8DE0" w14:textId="77777777" w:rsidR="00F70C60" w:rsidRDefault="00F70C60" w:rsidP="00BE3A18">
      <w:pPr>
        <w:rPr>
          <w:rFonts w:ascii="Arial" w:hAnsi="Arial" w:cs="Arial"/>
          <w:b/>
          <w:bCs/>
          <w:sz w:val="20"/>
          <w:szCs w:val="20"/>
        </w:rPr>
        <w:sectPr w:rsidR="00F70C60" w:rsidSect="00D66C83">
          <w:footnotePr>
            <w:numRestart w:val="eachSect"/>
          </w:footnotePr>
          <w:pgSz w:w="11906" w:h="16838"/>
          <w:pgMar w:top="1417" w:right="1417" w:bottom="1417" w:left="1417" w:header="708" w:footer="708" w:gutter="0"/>
          <w:cols w:space="708"/>
          <w:docGrid w:linePitch="360"/>
        </w:sectPr>
      </w:pPr>
    </w:p>
    <w:p w14:paraId="1FFA8781" w14:textId="20444868" w:rsidR="00BE3A18" w:rsidRPr="00770D7F" w:rsidRDefault="00BE3A18" w:rsidP="00BE3A18">
      <w:pPr>
        <w:rPr>
          <w:rFonts w:ascii="Arial" w:hAnsi="Arial" w:cs="Arial"/>
          <w:b/>
          <w:bCs/>
          <w:sz w:val="20"/>
          <w:szCs w:val="20"/>
        </w:rPr>
      </w:pPr>
    </w:p>
    <w:p w14:paraId="692D1489" w14:textId="77777777" w:rsidR="00BE3A18" w:rsidRPr="004C65F4" w:rsidRDefault="00BE3A18" w:rsidP="00BE3A18">
      <w:pPr>
        <w:rPr>
          <w:rFonts w:ascii="Arial" w:hAnsi="Arial" w:cs="Arial"/>
          <w:b/>
          <w:bCs/>
          <w:sz w:val="28"/>
          <w:szCs w:val="28"/>
        </w:rPr>
      </w:pPr>
      <w:r w:rsidRPr="004C65F4">
        <w:rPr>
          <w:rFonts w:ascii="Arial" w:hAnsi="Arial" w:cs="Arial"/>
          <w:b/>
          <w:bCs/>
          <w:sz w:val="28"/>
          <w:szCs w:val="28"/>
        </w:rPr>
        <w:t>SC-8/12: Uvrstitev heksaklorobutadiena</w:t>
      </w:r>
    </w:p>
    <w:p w14:paraId="0179C036"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Konferenca pogodbenic</w:t>
      </w:r>
      <w:r w:rsidRPr="00770D7F">
        <w:rPr>
          <w:rFonts w:ascii="Arial" w:hAnsi="Arial" w:cs="Arial"/>
          <w:sz w:val="20"/>
          <w:szCs w:val="20"/>
          <w:lang w:val="sl"/>
        </w:rPr>
        <w:t xml:space="preserve">, </w:t>
      </w:r>
    </w:p>
    <w:p w14:paraId="36CF956F" w14:textId="77777777" w:rsidR="00BE3A18" w:rsidRPr="00770D7F" w:rsidRDefault="00BE3A18" w:rsidP="004C65F4">
      <w:pPr>
        <w:ind w:firstLine="708"/>
        <w:rPr>
          <w:rFonts w:ascii="Arial" w:hAnsi="Arial" w:cs="Arial"/>
          <w:sz w:val="20"/>
          <w:szCs w:val="20"/>
          <w:lang w:val="sl"/>
        </w:rPr>
      </w:pPr>
      <w:r w:rsidRPr="004C65F4">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heksaklorobutadien ter oceno novih informacij v zvezi z uvrstitvijo heksaklorobutadiena v Prilogo C h konvenciji, kot jih je poslal Odbor za pregled obstojnih organskih onesnaževal,</w:t>
      </w:r>
      <w:r w:rsidRPr="00770D7F">
        <w:rPr>
          <w:rStyle w:val="FootnoteReference"/>
          <w:rFonts w:ascii="Arial" w:hAnsi="Arial" w:cs="Arial"/>
          <w:sz w:val="20"/>
          <w:szCs w:val="20"/>
          <w:lang w:val="sl"/>
        </w:rPr>
        <w:footnoteReference w:id="76"/>
      </w:r>
      <w:r w:rsidRPr="00770D7F">
        <w:rPr>
          <w:rFonts w:ascii="Arial" w:hAnsi="Arial" w:cs="Arial"/>
          <w:sz w:val="20"/>
          <w:szCs w:val="20"/>
          <w:lang w:val="sl"/>
        </w:rPr>
        <w:t xml:space="preserve"> </w:t>
      </w:r>
    </w:p>
    <w:p w14:paraId="54A4978B" w14:textId="77777777" w:rsidR="00BE3A18" w:rsidRPr="00770D7F" w:rsidRDefault="00BE3A18" w:rsidP="004C65F4">
      <w:pPr>
        <w:ind w:firstLine="708"/>
        <w:rPr>
          <w:rFonts w:ascii="Arial" w:hAnsi="Arial" w:cs="Arial"/>
          <w:sz w:val="20"/>
          <w:szCs w:val="20"/>
          <w:lang w:val="sl"/>
        </w:rPr>
      </w:pPr>
      <w:r w:rsidRPr="004C65F4">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heksaklorobutadien uvrsti v Prilogo C h konvenciji, in ugotovitev ocenjevanja novih informacij o nenamerni proizvodnji heksaklorobutadiena,</w:t>
      </w:r>
      <w:r w:rsidRPr="00770D7F">
        <w:rPr>
          <w:rStyle w:val="FootnoteReference"/>
          <w:rFonts w:ascii="Arial" w:hAnsi="Arial" w:cs="Arial"/>
          <w:sz w:val="20"/>
          <w:szCs w:val="20"/>
          <w:lang w:val="sl"/>
        </w:rPr>
        <w:footnoteReference w:id="77"/>
      </w:r>
    </w:p>
    <w:p w14:paraId="1A88BB44" w14:textId="3650B518" w:rsidR="00BE3A18" w:rsidRPr="00770D7F" w:rsidRDefault="00BE3A18" w:rsidP="00D66C83">
      <w:pPr>
        <w:autoSpaceDE w:val="0"/>
        <w:autoSpaceDN w:val="0"/>
        <w:adjustRightInd w:val="0"/>
        <w:spacing w:after="0" w:line="240" w:lineRule="auto"/>
        <w:ind w:firstLine="708"/>
        <w:rPr>
          <w:rFonts w:ascii="Arial" w:hAnsi="Arial" w:cs="Arial"/>
          <w:sz w:val="20"/>
          <w:szCs w:val="20"/>
        </w:rPr>
      </w:pPr>
      <w:r w:rsidRPr="004C65F4">
        <w:rPr>
          <w:rFonts w:ascii="Arial" w:hAnsi="Arial" w:cs="Arial"/>
          <w:i/>
          <w:iCs/>
          <w:sz w:val="20"/>
          <w:szCs w:val="20"/>
          <w:lang w:val="sl"/>
        </w:rPr>
        <w:t>sklene spremeniti</w:t>
      </w:r>
      <w:r w:rsidRPr="00770D7F">
        <w:rPr>
          <w:rFonts w:ascii="Arial" w:hAnsi="Arial" w:cs="Arial"/>
          <w:sz w:val="20"/>
          <w:szCs w:val="20"/>
          <w:lang w:val="sl"/>
        </w:rPr>
        <w:t xml:space="preserve"> I. del Priloge C h konvenciji tako, da se tam navede heksaklorobutadien, tako, da se vstavita »heksaklorobutadien (CAS št.: 87-68-3)« v razpredelnico »Kemikalija« priloge in »heksaklorobutadien« v prvi odstavek II. in III. dela priloge.</w:t>
      </w:r>
    </w:p>
    <w:p w14:paraId="0A84E77D" w14:textId="77777777" w:rsidR="00BE3A18" w:rsidRPr="00770D7F" w:rsidRDefault="00BE3A18" w:rsidP="00BE3A18">
      <w:pPr>
        <w:rPr>
          <w:rFonts w:ascii="Arial" w:hAnsi="Arial" w:cs="Arial"/>
          <w:sz w:val="20"/>
          <w:szCs w:val="20"/>
        </w:rPr>
      </w:pPr>
    </w:p>
    <w:p w14:paraId="27B15A56" w14:textId="77777777" w:rsidR="00BE3A18" w:rsidRPr="00770D7F" w:rsidRDefault="00BE3A18" w:rsidP="00BE3A18">
      <w:pPr>
        <w:rPr>
          <w:rFonts w:ascii="Arial" w:hAnsi="Arial" w:cs="Arial"/>
          <w:b/>
          <w:bCs/>
          <w:sz w:val="20"/>
          <w:szCs w:val="20"/>
        </w:rPr>
        <w:sectPr w:rsidR="00BE3A18" w:rsidRPr="00770D7F" w:rsidSect="00D66C83">
          <w:footnotePr>
            <w:numRestart w:val="eachSect"/>
          </w:footnotePr>
          <w:pgSz w:w="11906" w:h="16838"/>
          <w:pgMar w:top="1417" w:right="1417" w:bottom="1417" w:left="1417" w:header="708" w:footer="708" w:gutter="0"/>
          <w:cols w:space="708"/>
          <w:docGrid w:linePitch="360"/>
        </w:sectPr>
      </w:pPr>
    </w:p>
    <w:p w14:paraId="04743274" w14:textId="77777777" w:rsidR="00BE3A18" w:rsidRPr="004C65F4" w:rsidRDefault="00BE3A18" w:rsidP="00BE3A18">
      <w:pPr>
        <w:rPr>
          <w:rFonts w:ascii="Arial" w:hAnsi="Arial" w:cs="Arial"/>
          <w:b/>
          <w:bCs/>
          <w:sz w:val="28"/>
          <w:szCs w:val="28"/>
        </w:rPr>
      </w:pPr>
      <w:r w:rsidRPr="004C65F4">
        <w:rPr>
          <w:rFonts w:ascii="Arial" w:hAnsi="Arial" w:cs="Arial"/>
          <w:b/>
          <w:bCs/>
          <w:sz w:val="28"/>
          <w:szCs w:val="28"/>
        </w:rPr>
        <w:lastRenderedPageBreak/>
        <w:t>SC-9/4:</w:t>
      </w:r>
      <w:r w:rsidRPr="004C65F4">
        <w:rPr>
          <w:rFonts w:ascii="Arial" w:hAnsi="Arial" w:cs="Arial"/>
          <w:b/>
          <w:bCs/>
          <w:sz w:val="28"/>
          <w:szCs w:val="28"/>
          <w:lang w:val="sl"/>
        </w:rPr>
        <w:t xml:space="preserve"> Perfluorooktan sulfonska kislina, njene soli in perfluorooktan sulfonil fluorid </w:t>
      </w:r>
    </w:p>
    <w:p w14:paraId="78C0363F"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Konferenca pogodbenic</w:t>
      </w:r>
      <w:r w:rsidRPr="00770D7F">
        <w:rPr>
          <w:rFonts w:ascii="Arial" w:hAnsi="Arial" w:cs="Arial"/>
          <w:sz w:val="20"/>
          <w:szCs w:val="20"/>
          <w:lang w:val="sl"/>
        </w:rPr>
        <w:t xml:space="preserve">, </w:t>
      </w:r>
    </w:p>
    <w:p w14:paraId="00EE123D"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glede na</w:t>
      </w:r>
      <w:r w:rsidRPr="00770D7F">
        <w:rPr>
          <w:rFonts w:ascii="Arial" w:hAnsi="Arial" w:cs="Arial"/>
          <w:sz w:val="20"/>
          <w:szCs w:val="20"/>
          <w:lang w:val="sl"/>
        </w:rPr>
        <w:t xml:space="preserve"> poročilo o oceni alternativ perfluorooktan sulfonske kisline, njenih soli in perfluorooktan sulfonil fluorida, ki ga je predložil Odbor za pregled obstojnih organskih onesnaževal,</w:t>
      </w:r>
      <w:r w:rsidRPr="00770D7F">
        <w:rPr>
          <w:rStyle w:val="FootnoteReference"/>
          <w:rFonts w:ascii="Arial" w:hAnsi="Arial" w:cs="Arial"/>
          <w:sz w:val="20"/>
          <w:szCs w:val="20"/>
          <w:lang w:val="sl"/>
        </w:rPr>
        <w:footnoteReference w:id="78"/>
      </w:r>
      <w:r w:rsidRPr="00770D7F">
        <w:rPr>
          <w:rFonts w:ascii="Arial" w:hAnsi="Arial" w:cs="Arial"/>
          <w:sz w:val="20"/>
          <w:szCs w:val="20"/>
          <w:lang w:val="sl"/>
        </w:rPr>
        <w:t xml:space="preserve"> in poročilo o vrednotenju perfluorooktan sulfonske kisline, njenih soli in perfluorooktan sulfonil fluorida, ki ga je predložil Sekretariat,</w:t>
      </w:r>
      <w:r w:rsidRPr="00770D7F">
        <w:rPr>
          <w:rStyle w:val="FootnoteReference"/>
          <w:rFonts w:ascii="Arial" w:hAnsi="Arial" w:cs="Arial"/>
          <w:sz w:val="20"/>
          <w:szCs w:val="20"/>
          <w:lang w:val="sl"/>
        </w:rPr>
        <w:footnoteReference w:id="79"/>
      </w:r>
    </w:p>
    <w:p w14:paraId="483E71AC"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ob upoštevanju</w:t>
      </w:r>
      <w:r w:rsidRPr="00770D7F">
        <w:rPr>
          <w:rFonts w:ascii="Arial" w:hAnsi="Arial" w:cs="Arial"/>
          <w:sz w:val="20"/>
          <w:szCs w:val="20"/>
          <w:lang w:val="sl"/>
        </w:rPr>
        <w:t xml:space="preserve"> priporočil Odbora za pregled obstojnih organskih onesnaževal o potrebi po različnih sprejemljivih namenih in posebnih izjemah za perfluorooktan sulfonsko kislino, njene soli in perfluorooktan sulfonil fluorid,</w:t>
      </w:r>
      <w:r w:rsidRPr="00770D7F">
        <w:rPr>
          <w:rStyle w:val="FootnoteReference"/>
          <w:rFonts w:ascii="Arial" w:hAnsi="Arial" w:cs="Arial"/>
          <w:sz w:val="20"/>
          <w:szCs w:val="20"/>
          <w:lang w:val="sl"/>
        </w:rPr>
        <w:footnoteReference w:id="80"/>
      </w:r>
    </w:p>
    <w:p w14:paraId="1E9BA037"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ob sklicevanju</w:t>
      </w:r>
      <w:r w:rsidRPr="00770D7F">
        <w:rPr>
          <w:rFonts w:ascii="Arial" w:hAnsi="Arial" w:cs="Arial"/>
          <w:sz w:val="20"/>
          <w:szCs w:val="20"/>
          <w:lang w:val="sl"/>
        </w:rPr>
        <w:t xml:space="preserve"> na svoj sklep SC-7/1, v katerem je na podlagi devetega odstavka 4. člena Stockholmske konvencije o obstojnih organskih onesnaževalih ugotovila, da glede na to, da ni več registriranih pogodbenic za posebne izjeme za proizvodnjo in uporabo perfluorooktan sulfonske kisline, njenih soli in perfluorooktan sulfonil fluorida za preproge, usnje in oblačila, tekstil in oblazinjenje, papir in embalažo, premaze in dodatke za premaze ter gumo in plastiko, zanje niso več mogoče nove registracije, </w:t>
      </w:r>
    </w:p>
    <w:p w14:paraId="535E1CEB" w14:textId="6AC8400B" w:rsidR="00BE3A18" w:rsidRDefault="00BE3A18" w:rsidP="004C65F4">
      <w:pPr>
        <w:ind w:firstLine="708"/>
        <w:rPr>
          <w:rFonts w:ascii="Arial" w:hAnsi="Arial" w:cs="Arial"/>
          <w:sz w:val="20"/>
          <w:szCs w:val="20"/>
          <w:lang w:val="sl"/>
        </w:rPr>
      </w:pPr>
      <w:r w:rsidRPr="00770D7F">
        <w:rPr>
          <w:rFonts w:ascii="Arial" w:hAnsi="Arial" w:cs="Arial"/>
          <w:sz w:val="20"/>
          <w:szCs w:val="20"/>
          <w:lang w:val="sl"/>
        </w:rPr>
        <w:t xml:space="preserve">1. </w:t>
      </w:r>
      <w:r w:rsidR="004C65F4">
        <w:rPr>
          <w:rFonts w:ascii="Arial" w:hAnsi="Arial" w:cs="Arial"/>
          <w:sz w:val="20"/>
          <w:szCs w:val="20"/>
          <w:lang w:val="sl"/>
        </w:rPr>
        <w:tab/>
      </w:r>
      <w:r w:rsidRPr="00770D7F">
        <w:rPr>
          <w:rFonts w:ascii="Arial" w:hAnsi="Arial" w:cs="Arial"/>
          <w:i/>
          <w:iCs/>
          <w:sz w:val="20"/>
          <w:szCs w:val="20"/>
          <w:lang w:val="sl"/>
        </w:rPr>
        <w:t>sklene</w:t>
      </w:r>
      <w:r w:rsidRPr="00770D7F">
        <w:rPr>
          <w:rFonts w:ascii="Arial" w:hAnsi="Arial" w:cs="Arial"/>
          <w:sz w:val="20"/>
          <w:szCs w:val="20"/>
          <w:lang w:val="sl"/>
        </w:rPr>
        <w:t xml:space="preserve"> spremeniti I. del Priloge B k Stockholmski konvenciji o obstojnih organskih onesnaževalih tako, da se obstoječa uvrstitev perfluorooktan sulfonske kisline (CAS št.: 1763-23-1), njenih soli in perfluorooktan sulfonil fluorida (CAS št.: 307-35-7) nadomesti z novo uvrstitvijo: </w:t>
      </w:r>
    </w:p>
    <w:tbl>
      <w:tblPr>
        <w:tblW w:w="8307" w:type="dxa"/>
        <w:jc w:val="right"/>
        <w:tblLayout w:type="fixed"/>
        <w:tblLook w:val="0000" w:firstRow="0" w:lastRow="0" w:firstColumn="0" w:lastColumn="0" w:noHBand="0" w:noVBand="0"/>
      </w:tblPr>
      <w:tblGrid>
        <w:gridCol w:w="3557"/>
        <w:gridCol w:w="1250"/>
        <w:gridCol w:w="3500"/>
      </w:tblGrid>
      <w:tr w:rsidR="00AF271B" w:rsidRPr="00D548CF" w14:paraId="785578F2" w14:textId="77777777" w:rsidTr="00E27632">
        <w:trPr>
          <w:trHeight w:val="57"/>
          <w:jc w:val="right"/>
        </w:trPr>
        <w:tc>
          <w:tcPr>
            <w:tcW w:w="3330" w:type="dxa"/>
            <w:tcBorders>
              <w:top w:val="single" w:sz="4" w:space="0" w:color="auto"/>
              <w:bottom w:val="single" w:sz="12" w:space="0" w:color="auto"/>
            </w:tcBorders>
            <w:shd w:val="clear" w:color="auto" w:fill="E6E6E6"/>
          </w:tcPr>
          <w:p w14:paraId="02E3BE50" w14:textId="06F828B0" w:rsidR="00AF271B" w:rsidRPr="00D548CF" w:rsidRDefault="00AF271B" w:rsidP="00E27632">
            <w:pPr>
              <w:keepNext/>
              <w:keepLines/>
              <w:spacing w:before="40" w:after="40"/>
              <w:rPr>
                <w:rFonts w:ascii="Arial" w:hAnsi="Arial" w:cs="Arial"/>
                <w:i/>
                <w:sz w:val="18"/>
                <w:szCs w:val="18"/>
              </w:rPr>
            </w:pPr>
            <w:r>
              <w:rPr>
                <w:rFonts w:ascii="Arial" w:hAnsi="Arial" w:cs="Arial"/>
                <w:i/>
                <w:sz w:val="18"/>
                <w:szCs w:val="18"/>
              </w:rPr>
              <w:t>Kemikalija</w:t>
            </w:r>
          </w:p>
        </w:tc>
        <w:tc>
          <w:tcPr>
            <w:tcW w:w="1170" w:type="dxa"/>
            <w:tcBorders>
              <w:top w:val="single" w:sz="4" w:space="0" w:color="auto"/>
              <w:bottom w:val="single" w:sz="12" w:space="0" w:color="auto"/>
            </w:tcBorders>
            <w:shd w:val="clear" w:color="auto" w:fill="E6E6E6"/>
          </w:tcPr>
          <w:p w14:paraId="7608A2E7" w14:textId="10FB8B28" w:rsidR="00AF271B" w:rsidRPr="00D548CF" w:rsidRDefault="00AF271B" w:rsidP="00E27632">
            <w:pPr>
              <w:keepNext/>
              <w:keepLines/>
              <w:spacing w:before="40" w:after="40"/>
              <w:rPr>
                <w:rFonts w:ascii="Arial" w:hAnsi="Arial" w:cs="Arial"/>
                <w:i/>
                <w:sz w:val="18"/>
                <w:szCs w:val="18"/>
              </w:rPr>
            </w:pPr>
            <w:r>
              <w:rPr>
                <w:rFonts w:ascii="Arial" w:hAnsi="Arial" w:cs="Arial"/>
                <w:i/>
                <w:sz w:val="18"/>
                <w:szCs w:val="18"/>
              </w:rPr>
              <w:t>Dejavnost</w:t>
            </w:r>
          </w:p>
        </w:tc>
        <w:tc>
          <w:tcPr>
            <w:tcW w:w="3276" w:type="dxa"/>
            <w:tcBorders>
              <w:top w:val="single" w:sz="4" w:space="0" w:color="auto"/>
              <w:bottom w:val="single" w:sz="12" w:space="0" w:color="auto"/>
            </w:tcBorders>
            <w:shd w:val="clear" w:color="auto" w:fill="E6E6E6"/>
          </w:tcPr>
          <w:p w14:paraId="75E5DD64" w14:textId="77777777" w:rsidR="00AF271B" w:rsidRPr="00770D7F" w:rsidRDefault="00AF271B" w:rsidP="00AF271B">
            <w:pPr>
              <w:spacing w:after="0" w:line="240" w:lineRule="auto"/>
              <w:rPr>
                <w:rFonts w:ascii="Arial" w:hAnsi="Arial" w:cs="Arial"/>
                <w:sz w:val="18"/>
                <w:szCs w:val="18"/>
              </w:rPr>
            </w:pPr>
            <w:r w:rsidRPr="00770D7F">
              <w:rPr>
                <w:rFonts w:ascii="Arial" w:hAnsi="Arial" w:cs="Arial"/>
                <w:sz w:val="18"/>
                <w:szCs w:val="18"/>
                <w:lang w:val="sl"/>
              </w:rPr>
              <w:t>Sprejemljivi namen ali posebna izjema</w:t>
            </w:r>
          </w:p>
          <w:p w14:paraId="445E7FB1" w14:textId="765D572A" w:rsidR="00AF271B" w:rsidRPr="00D548CF" w:rsidRDefault="00AF271B" w:rsidP="00E27632">
            <w:pPr>
              <w:keepNext/>
              <w:keepLines/>
              <w:spacing w:before="40" w:after="40"/>
              <w:rPr>
                <w:rFonts w:ascii="Arial" w:hAnsi="Arial" w:cs="Arial"/>
                <w:i/>
                <w:sz w:val="18"/>
                <w:szCs w:val="18"/>
              </w:rPr>
            </w:pPr>
          </w:p>
        </w:tc>
      </w:tr>
      <w:tr w:rsidR="00AF271B" w:rsidRPr="00D548CF" w14:paraId="1BF799EA" w14:textId="77777777" w:rsidTr="00E27632">
        <w:trPr>
          <w:trHeight w:val="57"/>
          <w:jc w:val="right"/>
        </w:trPr>
        <w:tc>
          <w:tcPr>
            <w:tcW w:w="3330" w:type="dxa"/>
            <w:vMerge w:val="restart"/>
            <w:tcBorders>
              <w:top w:val="single" w:sz="12" w:space="0" w:color="auto"/>
              <w:bottom w:val="single" w:sz="12" w:space="0" w:color="auto"/>
            </w:tcBorders>
            <w:shd w:val="clear" w:color="auto" w:fill="auto"/>
          </w:tcPr>
          <w:p w14:paraId="01D9CB84"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perfluorooktan sulfonska kislina (CAS št.: 1763-23-1), njene soli</w:t>
            </w:r>
            <w:r w:rsidRPr="00770D7F">
              <w:rPr>
                <w:rFonts w:ascii="Arial" w:hAnsi="Arial" w:cs="Arial"/>
                <w:sz w:val="18"/>
                <w:szCs w:val="18"/>
                <w:vertAlign w:val="superscript"/>
                <w:lang w:val="sl"/>
              </w:rPr>
              <w:t>a</w:t>
            </w:r>
            <w:r w:rsidRPr="00770D7F">
              <w:rPr>
                <w:rFonts w:ascii="Arial" w:hAnsi="Arial" w:cs="Arial"/>
                <w:sz w:val="18"/>
                <w:szCs w:val="18"/>
                <w:lang w:val="sl"/>
              </w:rPr>
              <w:t xml:space="preserve"> in perfluorooktan sulfonil fluorid </w:t>
            </w:r>
          </w:p>
          <w:p w14:paraId="1B613D47"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307-35-7)</w:t>
            </w:r>
          </w:p>
          <w:p w14:paraId="7C789AB8" w14:textId="77777777" w:rsidR="00AF271B" w:rsidRPr="00770D7F" w:rsidRDefault="00AF271B" w:rsidP="00AF271B">
            <w:pPr>
              <w:autoSpaceDE w:val="0"/>
              <w:autoSpaceDN w:val="0"/>
              <w:adjustRightInd w:val="0"/>
              <w:spacing w:after="0" w:line="240" w:lineRule="auto"/>
              <w:rPr>
                <w:rFonts w:ascii="Arial" w:hAnsi="Arial" w:cs="Arial"/>
                <w:sz w:val="18"/>
                <w:szCs w:val="18"/>
              </w:rPr>
            </w:pPr>
          </w:p>
          <w:p w14:paraId="39D47217"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vertAlign w:val="superscript"/>
                <w:lang w:val="sl"/>
              </w:rPr>
              <w:t xml:space="preserve">a </w:t>
            </w:r>
            <w:r w:rsidRPr="00770D7F">
              <w:rPr>
                <w:rFonts w:ascii="Arial" w:hAnsi="Arial" w:cs="Arial"/>
                <w:sz w:val="18"/>
                <w:szCs w:val="18"/>
                <w:lang w:val="sl"/>
              </w:rPr>
              <w:t xml:space="preserve">na primer: kalijev perfluorooktan sulfonat </w:t>
            </w:r>
          </w:p>
          <w:p w14:paraId="2629AFE7"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(CAS št.: 2795-39-3); </w:t>
            </w:r>
          </w:p>
          <w:p w14:paraId="284DF8B3"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litijev perfluorooktan sulfonat </w:t>
            </w:r>
          </w:p>
          <w:p w14:paraId="524AC551" w14:textId="77777777" w:rsidR="00AF271B" w:rsidRPr="00770D7F" w:rsidRDefault="00AF271B" w:rsidP="00AF271B">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 xml:space="preserve">(CAS št.: 29457-72-5); </w:t>
            </w:r>
          </w:p>
          <w:p w14:paraId="1980898C"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amonijev perfluorooktansulfonat </w:t>
            </w:r>
          </w:p>
          <w:p w14:paraId="73298085"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(CAS št.: 29081-56-9); </w:t>
            </w:r>
          </w:p>
          <w:p w14:paraId="1A346528"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di-etanol amonijev perfluorooktan sulfonat </w:t>
            </w:r>
          </w:p>
          <w:p w14:paraId="6719664D"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70225-14-8);</w:t>
            </w:r>
          </w:p>
          <w:p w14:paraId="54768FB5"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tetraetilamonijev perfluorooktan </w:t>
            </w:r>
          </w:p>
          <w:p w14:paraId="6373F6A2"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sulfonat </w:t>
            </w:r>
          </w:p>
          <w:p w14:paraId="72C9838F"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56773-42-3);</w:t>
            </w:r>
          </w:p>
          <w:p w14:paraId="37C8F591"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didecildimetilamonijev perfluorooktan sulfonat </w:t>
            </w:r>
          </w:p>
          <w:p w14:paraId="693DD728" w14:textId="338195D1" w:rsidR="00AF271B" w:rsidRPr="00D548CF" w:rsidRDefault="00AF271B" w:rsidP="00AF271B">
            <w:pPr>
              <w:pStyle w:val="Paralevel1"/>
              <w:keepNext/>
              <w:keepLines/>
              <w:numPr>
                <w:ilvl w:val="0"/>
                <w:numId w:val="0"/>
              </w:numPr>
              <w:spacing w:before="40" w:after="40"/>
              <w:rPr>
                <w:rFonts w:ascii="Arial" w:hAnsi="Arial" w:cs="Arial"/>
                <w:b/>
                <w:sz w:val="18"/>
                <w:szCs w:val="18"/>
                <w:lang w:val="en-GB"/>
              </w:rPr>
            </w:pPr>
            <w:r w:rsidRPr="00770D7F">
              <w:rPr>
                <w:rFonts w:ascii="Arial" w:hAnsi="Arial" w:cs="Arial"/>
                <w:sz w:val="18"/>
                <w:szCs w:val="18"/>
                <w:lang w:val="sl"/>
              </w:rPr>
              <w:t>(CAS št.: 251099-16-8)</w:t>
            </w:r>
          </w:p>
        </w:tc>
        <w:tc>
          <w:tcPr>
            <w:tcW w:w="1170" w:type="dxa"/>
            <w:tcBorders>
              <w:top w:val="single" w:sz="12" w:space="0" w:color="auto"/>
              <w:bottom w:val="single" w:sz="4" w:space="0" w:color="auto"/>
            </w:tcBorders>
            <w:shd w:val="clear" w:color="auto" w:fill="auto"/>
          </w:tcPr>
          <w:p w14:paraId="04740F7A" w14:textId="337952B5" w:rsidR="00AF271B" w:rsidRPr="00D548CF" w:rsidRDefault="00AF271B" w:rsidP="00E27632">
            <w:pPr>
              <w:pStyle w:val="Paralevel1"/>
              <w:keepNext/>
              <w:keepLines/>
              <w:numPr>
                <w:ilvl w:val="0"/>
                <w:numId w:val="0"/>
              </w:numPr>
              <w:spacing w:before="40" w:after="40"/>
              <w:rPr>
                <w:rFonts w:ascii="Arial" w:hAnsi="Arial" w:cs="Arial"/>
                <w:sz w:val="18"/>
                <w:szCs w:val="18"/>
                <w:lang w:val="en-GB"/>
              </w:rPr>
            </w:pPr>
            <w:r>
              <w:rPr>
                <w:rFonts w:ascii="Arial" w:hAnsi="Arial" w:cs="Arial"/>
                <w:sz w:val="18"/>
                <w:szCs w:val="18"/>
                <w:lang w:val="en-GB"/>
              </w:rPr>
              <w:t>proizvodnja</w:t>
            </w:r>
          </w:p>
        </w:tc>
        <w:tc>
          <w:tcPr>
            <w:tcW w:w="3276" w:type="dxa"/>
            <w:tcBorders>
              <w:top w:val="single" w:sz="12" w:space="0" w:color="auto"/>
              <w:bottom w:val="single" w:sz="4" w:space="0" w:color="auto"/>
            </w:tcBorders>
            <w:shd w:val="clear" w:color="auto" w:fill="auto"/>
          </w:tcPr>
          <w:p w14:paraId="368C51EC"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b/>
                <w:bCs/>
                <w:sz w:val="18"/>
                <w:szCs w:val="18"/>
                <w:lang w:val="sl"/>
              </w:rPr>
              <w:t>Sprejemljivi namen:</w:t>
            </w:r>
          </w:p>
          <w:p w14:paraId="402F9E35"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v skladu s III. delom te priloge</w:t>
            </w:r>
          </w:p>
          <w:p w14:paraId="7DD52387"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proizvodnja drugih kemikalij, ki se lahko</w:t>
            </w:r>
          </w:p>
          <w:p w14:paraId="74C0EECC"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uporabljajo izključno za spodaj navedeno rabo. Proizvodnja za </w:t>
            </w:r>
          </w:p>
          <w:p w14:paraId="2895F296" w14:textId="77777777" w:rsidR="00AF271B" w:rsidRPr="00770D7F" w:rsidRDefault="00AF271B" w:rsidP="00AF271B">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spodaj navedene rabe.</w:t>
            </w:r>
          </w:p>
          <w:p w14:paraId="1351D3EB" w14:textId="77777777" w:rsidR="00AF271B" w:rsidRDefault="00AF271B" w:rsidP="00AF271B">
            <w:pPr>
              <w:pStyle w:val="Paralevel1"/>
              <w:keepNext/>
              <w:keepLines/>
              <w:numPr>
                <w:ilvl w:val="0"/>
                <w:numId w:val="0"/>
              </w:numPr>
              <w:spacing w:before="40" w:after="40"/>
              <w:rPr>
                <w:rFonts w:ascii="Arial" w:hAnsi="Arial" w:cs="Arial"/>
                <w:b/>
                <w:bCs/>
                <w:sz w:val="18"/>
                <w:szCs w:val="18"/>
                <w:lang w:val="sl"/>
              </w:rPr>
            </w:pPr>
            <w:r w:rsidRPr="00770D7F">
              <w:rPr>
                <w:rFonts w:ascii="Arial" w:hAnsi="Arial" w:cs="Arial"/>
                <w:b/>
                <w:bCs/>
                <w:sz w:val="18"/>
                <w:szCs w:val="18"/>
                <w:lang w:val="sl"/>
              </w:rPr>
              <w:t xml:space="preserve">Posebna izjema: </w:t>
            </w:r>
          </w:p>
          <w:p w14:paraId="176BC1D4" w14:textId="0442D77F" w:rsidR="00AF271B" w:rsidRPr="00D548CF" w:rsidRDefault="00AF271B" w:rsidP="00AF271B">
            <w:pPr>
              <w:pStyle w:val="Paralevel1"/>
              <w:keepNext/>
              <w:keepLines/>
              <w:numPr>
                <w:ilvl w:val="0"/>
                <w:numId w:val="0"/>
              </w:numPr>
              <w:spacing w:before="40" w:after="40"/>
              <w:rPr>
                <w:rFonts w:ascii="Arial" w:hAnsi="Arial" w:cs="Arial"/>
                <w:sz w:val="18"/>
                <w:szCs w:val="18"/>
                <w:lang w:val="en-GB"/>
              </w:rPr>
            </w:pPr>
            <w:r w:rsidRPr="00770D7F">
              <w:rPr>
                <w:rFonts w:ascii="Arial" w:hAnsi="Arial" w:cs="Arial"/>
                <w:sz w:val="18"/>
                <w:szCs w:val="18"/>
                <w:lang w:val="sl"/>
              </w:rPr>
              <w:t>ne obstaja</w:t>
            </w:r>
          </w:p>
        </w:tc>
      </w:tr>
      <w:tr w:rsidR="00AF271B" w:rsidRPr="00D548CF" w14:paraId="7BBD8627" w14:textId="77777777" w:rsidTr="00E27632">
        <w:trPr>
          <w:trHeight w:val="57"/>
          <w:jc w:val="right"/>
        </w:trPr>
        <w:tc>
          <w:tcPr>
            <w:tcW w:w="3330" w:type="dxa"/>
            <w:vMerge/>
            <w:tcBorders>
              <w:top w:val="single" w:sz="4" w:space="0" w:color="auto"/>
              <w:bottom w:val="single" w:sz="12" w:space="0" w:color="auto"/>
            </w:tcBorders>
            <w:shd w:val="clear" w:color="auto" w:fill="auto"/>
          </w:tcPr>
          <w:p w14:paraId="04D86CD2" w14:textId="77777777" w:rsidR="00AF271B" w:rsidRPr="00D548CF" w:rsidRDefault="00AF271B" w:rsidP="00E27632">
            <w:pPr>
              <w:keepNext/>
              <w:keepLines/>
              <w:spacing w:before="40" w:after="40"/>
              <w:rPr>
                <w:rFonts w:ascii="Arial" w:hAnsi="Arial" w:cs="Arial"/>
                <w:b/>
                <w:sz w:val="18"/>
                <w:szCs w:val="18"/>
              </w:rPr>
            </w:pPr>
          </w:p>
        </w:tc>
        <w:tc>
          <w:tcPr>
            <w:tcW w:w="1170" w:type="dxa"/>
            <w:tcBorders>
              <w:top w:val="single" w:sz="4" w:space="0" w:color="auto"/>
              <w:bottom w:val="single" w:sz="12" w:space="0" w:color="auto"/>
            </w:tcBorders>
            <w:shd w:val="clear" w:color="auto" w:fill="auto"/>
          </w:tcPr>
          <w:p w14:paraId="7DD35A59" w14:textId="149E455E" w:rsidR="00AF271B" w:rsidRPr="00D548CF" w:rsidRDefault="00AF271B" w:rsidP="00E27632">
            <w:pPr>
              <w:pStyle w:val="Paralevel1"/>
              <w:keepNext/>
              <w:keepLines/>
              <w:numPr>
                <w:ilvl w:val="0"/>
                <w:numId w:val="0"/>
              </w:numPr>
              <w:spacing w:before="40" w:after="40"/>
              <w:rPr>
                <w:rFonts w:ascii="Arial" w:hAnsi="Arial" w:cs="Arial"/>
                <w:sz w:val="18"/>
                <w:szCs w:val="18"/>
                <w:lang w:val="en-GB"/>
              </w:rPr>
            </w:pPr>
            <w:r>
              <w:rPr>
                <w:rFonts w:ascii="Arial" w:hAnsi="Arial" w:cs="Arial"/>
                <w:sz w:val="18"/>
                <w:szCs w:val="18"/>
                <w:lang w:val="en-GB"/>
              </w:rPr>
              <w:t>uporaba</w:t>
            </w:r>
          </w:p>
        </w:tc>
        <w:tc>
          <w:tcPr>
            <w:tcW w:w="3276" w:type="dxa"/>
            <w:tcBorders>
              <w:top w:val="single" w:sz="4" w:space="0" w:color="auto"/>
              <w:bottom w:val="single" w:sz="12" w:space="0" w:color="auto"/>
            </w:tcBorders>
            <w:shd w:val="clear" w:color="auto" w:fill="auto"/>
          </w:tcPr>
          <w:p w14:paraId="7559C32F"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b/>
                <w:bCs/>
                <w:sz w:val="18"/>
                <w:szCs w:val="18"/>
                <w:lang w:val="sl"/>
              </w:rPr>
              <w:t>Sprejemljivi namen:</w:t>
            </w:r>
          </w:p>
          <w:p w14:paraId="0FA1E919"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v skladu s III. delom te priloge za ta sprejemljivi namen ali kot</w:t>
            </w:r>
          </w:p>
          <w:p w14:paraId="517823D8" w14:textId="77777777" w:rsidR="00AF271B" w:rsidRPr="00770D7F" w:rsidRDefault="00AF271B" w:rsidP="00AF271B">
            <w:p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vmesni proizvod pri proizvodnji kemikalij s tem sprejemljivim namenom:</w:t>
            </w:r>
          </w:p>
          <w:p w14:paraId="0904056A" w14:textId="77777777" w:rsidR="00AF271B" w:rsidRPr="00770D7F" w:rsidRDefault="00AF271B" w:rsidP="00AF271B">
            <w:pPr>
              <w:pStyle w:val="ListParagraph"/>
              <w:numPr>
                <w:ilvl w:val="0"/>
                <w:numId w:val="42"/>
              </w:numPr>
              <w:autoSpaceDE w:val="0"/>
              <w:autoSpaceDN w:val="0"/>
              <w:adjustRightInd w:val="0"/>
              <w:spacing w:after="0" w:line="240" w:lineRule="auto"/>
              <w:ind w:left="360"/>
              <w:rPr>
                <w:rFonts w:ascii="Arial" w:hAnsi="Arial" w:cs="Arial"/>
                <w:sz w:val="18"/>
                <w:szCs w:val="18"/>
              </w:rPr>
            </w:pPr>
            <w:r w:rsidRPr="00770D7F">
              <w:rPr>
                <w:rFonts w:ascii="Arial" w:hAnsi="Arial" w:cs="Arial"/>
                <w:sz w:val="18"/>
                <w:szCs w:val="18"/>
                <w:lang w:val="sl"/>
              </w:rPr>
              <w:t xml:space="preserve">vabe za insekte s sulfluramidom (CAS št.: 4151-50-2), aktivno snovjo za zatiranje krojaških mravelj vrste </w:t>
            </w:r>
            <w:r w:rsidRPr="00770D7F">
              <w:rPr>
                <w:rFonts w:ascii="Arial" w:hAnsi="Arial" w:cs="Arial"/>
                <w:i/>
                <w:iCs/>
                <w:sz w:val="18"/>
                <w:szCs w:val="18"/>
                <w:lang w:val="sl"/>
              </w:rPr>
              <w:t xml:space="preserve">Atta </w:t>
            </w:r>
            <w:r w:rsidRPr="00770D7F">
              <w:rPr>
                <w:rFonts w:ascii="Arial" w:hAnsi="Arial" w:cs="Arial"/>
                <w:sz w:val="18"/>
                <w:szCs w:val="18"/>
                <w:lang w:val="sl"/>
              </w:rPr>
              <w:t xml:space="preserve">spp. in vrste </w:t>
            </w:r>
            <w:r w:rsidRPr="00770D7F">
              <w:rPr>
                <w:rFonts w:ascii="Arial" w:hAnsi="Arial" w:cs="Arial"/>
                <w:i/>
                <w:iCs/>
                <w:sz w:val="18"/>
                <w:szCs w:val="18"/>
                <w:lang w:val="sl"/>
              </w:rPr>
              <w:t xml:space="preserve">Acromyrmex </w:t>
            </w:r>
            <w:r w:rsidRPr="00770D7F">
              <w:rPr>
                <w:rFonts w:ascii="Arial" w:hAnsi="Arial" w:cs="Arial"/>
                <w:sz w:val="18"/>
                <w:szCs w:val="18"/>
                <w:lang w:val="sl"/>
              </w:rPr>
              <w:t>spp., samo za kmetijsko dejavnost</w:t>
            </w:r>
          </w:p>
          <w:p w14:paraId="7A507537"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b/>
                <w:bCs/>
                <w:sz w:val="18"/>
                <w:szCs w:val="18"/>
                <w:lang w:val="sl"/>
              </w:rPr>
              <w:t>Posebna izjema:</w:t>
            </w:r>
          </w:p>
          <w:p w14:paraId="7BADCAA5" w14:textId="77777777" w:rsidR="00AF271B" w:rsidRPr="00770D7F" w:rsidRDefault="00AF271B" w:rsidP="00AF271B">
            <w:pPr>
              <w:pStyle w:val="ListParagraph"/>
              <w:numPr>
                <w:ilvl w:val="0"/>
                <w:numId w:val="43"/>
              </w:numPr>
              <w:autoSpaceDE w:val="0"/>
              <w:autoSpaceDN w:val="0"/>
              <w:adjustRightInd w:val="0"/>
              <w:spacing w:after="0" w:line="240" w:lineRule="auto"/>
              <w:rPr>
                <w:rFonts w:ascii="Arial" w:hAnsi="Arial" w:cs="Arial"/>
                <w:sz w:val="18"/>
                <w:szCs w:val="18"/>
                <w:lang w:val="sl"/>
              </w:rPr>
            </w:pPr>
            <w:r w:rsidRPr="00770D7F">
              <w:rPr>
                <w:rFonts w:ascii="Arial" w:hAnsi="Arial" w:cs="Arial"/>
                <w:sz w:val="18"/>
                <w:szCs w:val="18"/>
                <w:lang w:val="sl"/>
              </w:rPr>
              <w:t>nanašanje kovinskih prevlek (trde kovinske prevleke) samo v zaprtih krožnih sistemih</w:t>
            </w:r>
          </w:p>
          <w:p w14:paraId="55440BF5" w14:textId="77777777" w:rsidR="00AF271B" w:rsidRPr="00770D7F" w:rsidRDefault="00AF271B" w:rsidP="00AF271B">
            <w:pPr>
              <w:pStyle w:val="ListParagraph"/>
              <w:numPr>
                <w:ilvl w:val="0"/>
                <w:numId w:val="43"/>
              </w:num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 xml:space="preserve">gasilna pena za zadušitev hlapov tekočih goriv in za požare tekočih goriv (požari razreda B) v vgrajenih sistemih, tako premičnih kot nepremičnih, v skladu z desetim odstavkom III. dela te priloge </w:t>
            </w:r>
          </w:p>
          <w:p w14:paraId="49B9E61B" w14:textId="3C0A61E1" w:rsidR="00AF271B" w:rsidRPr="00D548CF" w:rsidRDefault="00AF271B" w:rsidP="00AF271B">
            <w:pPr>
              <w:pStyle w:val="Paralevel1"/>
              <w:keepNext/>
              <w:keepLines/>
              <w:numPr>
                <w:ilvl w:val="0"/>
                <w:numId w:val="0"/>
              </w:numPr>
              <w:spacing w:before="40" w:after="40"/>
              <w:ind w:left="360"/>
              <w:rPr>
                <w:rFonts w:ascii="Arial" w:hAnsi="Arial" w:cs="Arial"/>
                <w:sz w:val="18"/>
                <w:szCs w:val="18"/>
                <w:lang w:val="en-GB"/>
              </w:rPr>
            </w:pPr>
          </w:p>
        </w:tc>
      </w:tr>
    </w:tbl>
    <w:p w14:paraId="68619FF8" w14:textId="77777777" w:rsidR="00AF271B" w:rsidRDefault="00AF271B" w:rsidP="004C65F4">
      <w:pPr>
        <w:autoSpaceDE w:val="0"/>
        <w:autoSpaceDN w:val="0"/>
        <w:adjustRightInd w:val="0"/>
        <w:spacing w:after="0" w:line="240" w:lineRule="auto"/>
        <w:ind w:firstLine="708"/>
        <w:rPr>
          <w:rFonts w:ascii="Arial" w:hAnsi="Arial" w:cs="Arial"/>
          <w:sz w:val="20"/>
          <w:szCs w:val="20"/>
          <w:lang w:val="sl"/>
        </w:rPr>
      </w:pPr>
    </w:p>
    <w:p w14:paraId="3299B311" w14:textId="5B3DAEA4" w:rsidR="00BE3A18" w:rsidRPr="00770D7F" w:rsidRDefault="00BE3A18" w:rsidP="004C65F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lastRenderedPageBreak/>
        <w:t xml:space="preserve">2. </w:t>
      </w:r>
      <w:r w:rsidR="004C65F4">
        <w:rPr>
          <w:rFonts w:ascii="Arial" w:hAnsi="Arial" w:cs="Arial"/>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spremeniti III. del Priloge B k Stockholmski konvenciji o obstojnih organskih onesnaževalih tako, da se vstavi nov deseti odstavek, ki se glasi:</w:t>
      </w:r>
    </w:p>
    <w:p w14:paraId="4D7763B9"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78399429" w14:textId="77777777" w:rsidR="00BE3A18" w:rsidRPr="00770D7F" w:rsidRDefault="00BE3A18" w:rsidP="004C65F4">
      <w:pPr>
        <w:autoSpaceDE w:val="0"/>
        <w:autoSpaceDN w:val="0"/>
        <w:adjustRightInd w:val="0"/>
        <w:spacing w:after="0" w:line="240" w:lineRule="auto"/>
        <w:ind w:left="1416"/>
        <w:rPr>
          <w:rFonts w:ascii="Arial" w:hAnsi="Arial" w:cs="Arial"/>
          <w:sz w:val="20"/>
          <w:szCs w:val="20"/>
        </w:rPr>
      </w:pPr>
      <w:r w:rsidRPr="00770D7F">
        <w:rPr>
          <w:rFonts w:ascii="Arial" w:hAnsi="Arial" w:cs="Arial"/>
          <w:sz w:val="20"/>
          <w:szCs w:val="20"/>
          <w:lang w:val="sl"/>
        </w:rPr>
        <w:t>»(10) Vsaka pogodbenica, ki je v skladu s 4. členom registrirana za izjemo za uporabo PFOS, njenih soli in PFOSF za gasilno peno:</w:t>
      </w:r>
    </w:p>
    <w:p w14:paraId="53F5CE92"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1802A39D" w14:textId="0A76A500" w:rsidR="00BE3A18" w:rsidRPr="00770D7F" w:rsidRDefault="00BE3A18" w:rsidP="004C65F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(a) </w:t>
      </w:r>
      <w:r w:rsidR="004C65F4">
        <w:rPr>
          <w:rFonts w:ascii="Arial" w:hAnsi="Arial" w:cs="Arial"/>
          <w:sz w:val="20"/>
          <w:szCs w:val="20"/>
          <w:lang w:val="sl"/>
        </w:rPr>
        <w:tab/>
      </w:r>
      <w:r w:rsidRPr="00770D7F">
        <w:rPr>
          <w:rFonts w:ascii="Arial" w:hAnsi="Arial" w:cs="Arial"/>
          <w:sz w:val="20"/>
          <w:szCs w:val="20"/>
          <w:lang w:val="sl"/>
        </w:rPr>
        <w:t>ne glede na določbe drugega odstavka 3. člena zagotovi, da se gasilna pena, ki vsebuje ali bi lahko vsebovala PFOS, njene soli in PFOSF, ne izvaža ali uvaža, razen za namene okolju primernega odstranjevanja iz pododstavka (d) prvega odstavka 6. člena;</w:t>
      </w:r>
    </w:p>
    <w:p w14:paraId="384B7914"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4270D333" w14:textId="04A4A035" w:rsidR="00BE3A18" w:rsidRPr="00770D7F" w:rsidRDefault="00BE3A18" w:rsidP="004C65F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(b) </w:t>
      </w:r>
      <w:r w:rsidR="004C65F4">
        <w:rPr>
          <w:rFonts w:ascii="Arial" w:hAnsi="Arial" w:cs="Arial"/>
          <w:sz w:val="20"/>
          <w:szCs w:val="20"/>
          <w:lang w:val="sl"/>
        </w:rPr>
        <w:tab/>
      </w:r>
      <w:r w:rsidRPr="00770D7F">
        <w:rPr>
          <w:rFonts w:ascii="Arial" w:hAnsi="Arial" w:cs="Arial"/>
          <w:sz w:val="20"/>
          <w:szCs w:val="20"/>
          <w:lang w:val="sl"/>
        </w:rPr>
        <w:t>ne uporablja gasilne pene, ki vsebuje ali bi lahko vsebovala PFOS, njene soli in PFOSF, za usposabljanje;</w:t>
      </w:r>
    </w:p>
    <w:p w14:paraId="7D632AAF"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60696FA3" w14:textId="3AA2D55D" w:rsidR="00BE3A18" w:rsidRPr="00770D7F" w:rsidRDefault="00BE3A18" w:rsidP="004C65F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(c) </w:t>
      </w:r>
      <w:r w:rsidR="004C65F4">
        <w:rPr>
          <w:rFonts w:ascii="Arial" w:hAnsi="Arial" w:cs="Arial"/>
          <w:sz w:val="20"/>
          <w:szCs w:val="20"/>
          <w:lang w:val="sl"/>
        </w:rPr>
        <w:tab/>
      </w:r>
      <w:r w:rsidRPr="00770D7F">
        <w:rPr>
          <w:rFonts w:ascii="Arial" w:hAnsi="Arial" w:cs="Arial"/>
          <w:sz w:val="20"/>
          <w:szCs w:val="20"/>
          <w:lang w:val="sl"/>
        </w:rPr>
        <w:t>ne uporablja gasilne pene, ki vsebuje ali bi lahko vsebovala PFOS, njene soli in PFOSF, za testiranje, razen tam, kjer je mogoče vse izpuste zadržati;</w:t>
      </w:r>
    </w:p>
    <w:p w14:paraId="47ECA7FE"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5CF584B4" w14:textId="13E02EE6" w:rsidR="00BE3A18" w:rsidRPr="00770D7F" w:rsidRDefault="00BE3A18" w:rsidP="004C65F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(d) </w:t>
      </w:r>
      <w:r w:rsidR="004C65F4">
        <w:rPr>
          <w:rFonts w:ascii="Arial" w:hAnsi="Arial" w:cs="Arial"/>
          <w:sz w:val="20"/>
          <w:szCs w:val="20"/>
          <w:lang w:val="sl"/>
        </w:rPr>
        <w:tab/>
      </w:r>
      <w:r w:rsidRPr="00770D7F">
        <w:rPr>
          <w:rFonts w:ascii="Arial" w:hAnsi="Arial" w:cs="Arial"/>
          <w:sz w:val="20"/>
          <w:szCs w:val="20"/>
          <w:lang w:val="sl"/>
        </w:rPr>
        <w:t>do konca leta 2022, če ima zmogljivosti, da to stori, omeji uporabo gasilne pene, ki vsebuje ali bi lahko vsebovala PFOS, njene soli in PFOSF, na območja, kjer je mogoče vse izpuste zadržati;</w:t>
      </w:r>
    </w:p>
    <w:p w14:paraId="51F0C787"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1D237397" w14:textId="1A73E66E" w:rsidR="00BE3A18" w:rsidRPr="00770D7F" w:rsidRDefault="00BE3A18" w:rsidP="004C65F4">
      <w:pPr>
        <w:ind w:firstLine="708"/>
        <w:rPr>
          <w:rFonts w:ascii="Arial" w:hAnsi="Arial" w:cs="Arial"/>
          <w:sz w:val="20"/>
          <w:szCs w:val="20"/>
        </w:rPr>
      </w:pPr>
      <w:r w:rsidRPr="00770D7F">
        <w:rPr>
          <w:rFonts w:ascii="Arial" w:hAnsi="Arial" w:cs="Arial"/>
          <w:sz w:val="20"/>
          <w:szCs w:val="20"/>
          <w:lang w:val="sl"/>
        </w:rPr>
        <w:t xml:space="preserve">(e) </w:t>
      </w:r>
      <w:r w:rsidR="004C65F4">
        <w:rPr>
          <w:rFonts w:ascii="Arial" w:hAnsi="Arial" w:cs="Arial"/>
          <w:sz w:val="20"/>
          <w:szCs w:val="20"/>
          <w:lang w:val="sl"/>
        </w:rPr>
        <w:tab/>
      </w:r>
      <w:r w:rsidRPr="00770D7F">
        <w:rPr>
          <w:rFonts w:ascii="Arial" w:hAnsi="Arial" w:cs="Arial"/>
          <w:sz w:val="20"/>
          <w:szCs w:val="20"/>
          <w:lang w:val="sl"/>
        </w:rPr>
        <w:t>čim prej sprejme odločne ukrepe za okolju primerno ravnanje z zalogami gasilne pene in odpadki, ki vsebujejo ali bi lahko vsebovali PFOS, njene soli in PFOSF, v skladu s prvim odstavkom 6. člena.«</w:t>
      </w:r>
    </w:p>
    <w:p w14:paraId="520535ED" w14:textId="77777777" w:rsidR="00F70C60" w:rsidRDefault="00F70C60" w:rsidP="00BE3A18">
      <w:pPr>
        <w:rPr>
          <w:rFonts w:ascii="Arial" w:hAnsi="Arial" w:cs="Arial"/>
          <w:sz w:val="20"/>
          <w:szCs w:val="20"/>
        </w:rPr>
        <w:sectPr w:rsidR="00F70C60" w:rsidSect="00D66C83">
          <w:footnotePr>
            <w:numRestart w:val="eachSect"/>
          </w:footnotePr>
          <w:pgSz w:w="11906" w:h="16838"/>
          <w:pgMar w:top="1417" w:right="1417" w:bottom="1417" w:left="1417" w:header="708" w:footer="708" w:gutter="0"/>
          <w:cols w:space="708"/>
          <w:docGrid w:linePitch="360"/>
        </w:sectPr>
      </w:pPr>
    </w:p>
    <w:p w14:paraId="12597891" w14:textId="2CF2AF59" w:rsidR="00BE3A18" w:rsidRPr="00770D7F" w:rsidRDefault="00BE3A18" w:rsidP="00BE3A18">
      <w:pPr>
        <w:rPr>
          <w:rFonts w:ascii="Arial" w:hAnsi="Arial" w:cs="Arial"/>
          <w:sz w:val="20"/>
          <w:szCs w:val="20"/>
        </w:rPr>
      </w:pPr>
    </w:p>
    <w:p w14:paraId="0D731058" w14:textId="77777777" w:rsidR="00BE3A18" w:rsidRPr="004C65F4" w:rsidRDefault="00BE3A18" w:rsidP="00BE3A18">
      <w:pPr>
        <w:rPr>
          <w:rFonts w:ascii="Arial" w:hAnsi="Arial" w:cs="Arial"/>
          <w:b/>
          <w:bCs/>
          <w:sz w:val="28"/>
          <w:szCs w:val="28"/>
        </w:rPr>
      </w:pPr>
      <w:r w:rsidRPr="004C65F4">
        <w:rPr>
          <w:rFonts w:ascii="Arial" w:hAnsi="Arial" w:cs="Arial"/>
          <w:b/>
          <w:bCs/>
          <w:sz w:val="28"/>
          <w:szCs w:val="28"/>
        </w:rPr>
        <w:t>SC-9/11: Uvrstitev dikofola</w:t>
      </w:r>
    </w:p>
    <w:p w14:paraId="1246C641"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Konferenca pogodbenic</w:t>
      </w:r>
      <w:r w:rsidRPr="00770D7F">
        <w:rPr>
          <w:rFonts w:ascii="Arial" w:hAnsi="Arial" w:cs="Arial"/>
          <w:sz w:val="20"/>
          <w:szCs w:val="20"/>
          <w:lang w:val="sl"/>
        </w:rPr>
        <w:t xml:space="preserve">, </w:t>
      </w:r>
    </w:p>
    <w:p w14:paraId="40306DA0"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dikofol, kot ju je poslal Odbor za pregled obstojnih organskih onesnaževal,</w:t>
      </w:r>
      <w:r w:rsidRPr="00770D7F">
        <w:rPr>
          <w:rStyle w:val="FootnoteReference"/>
          <w:rFonts w:ascii="Arial" w:hAnsi="Arial" w:cs="Arial"/>
          <w:sz w:val="20"/>
          <w:szCs w:val="20"/>
          <w:lang w:val="sl"/>
        </w:rPr>
        <w:footnoteReference w:id="81"/>
      </w:r>
      <w:r w:rsidRPr="00770D7F">
        <w:rPr>
          <w:rFonts w:ascii="Arial" w:hAnsi="Arial" w:cs="Arial"/>
          <w:sz w:val="20"/>
          <w:szCs w:val="20"/>
          <w:lang w:val="sl"/>
        </w:rPr>
        <w:t xml:space="preserve"> </w:t>
      </w:r>
    </w:p>
    <w:p w14:paraId="1CEA6DF1"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dikofol uvrsti v Prilogo A h konvenciji brez posebnih izjem,</w:t>
      </w:r>
      <w:r w:rsidRPr="00770D7F">
        <w:rPr>
          <w:rStyle w:val="FootnoteReference"/>
          <w:rFonts w:ascii="Arial" w:hAnsi="Arial" w:cs="Arial"/>
          <w:sz w:val="20"/>
          <w:szCs w:val="20"/>
          <w:lang w:val="sl"/>
        </w:rPr>
        <w:footnoteReference w:id="82"/>
      </w:r>
    </w:p>
    <w:p w14:paraId="68886FB8" w14:textId="77777777" w:rsidR="00BE3A18" w:rsidRDefault="00BE3A18" w:rsidP="004C65F4">
      <w:pPr>
        <w:ind w:firstLine="708"/>
        <w:rPr>
          <w:rFonts w:ascii="Arial" w:hAnsi="Arial" w:cs="Arial"/>
          <w:sz w:val="20"/>
          <w:szCs w:val="20"/>
          <w:lang w:val="sl"/>
        </w:rPr>
      </w:pPr>
      <w:r w:rsidRPr="004C65F4">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 dikofol brez posebnih izjem, in sicer tako, da se vstavi naslednja vrstica:</w:t>
      </w:r>
    </w:p>
    <w:tbl>
      <w:tblPr>
        <w:tblpPr w:leftFromText="180" w:rightFromText="180" w:vertAnchor="text" w:horzAnchor="margin" w:tblpXSpec="right" w:tblpY="155"/>
        <w:tblW w:w="8307" w:type="dxa"/>
        <w:tblLayout w:type="fixed"/>
        <w:tblLook w:val="0000" w:firstRow="0" w:lastRow="0" w:firstColumn="0" w:lastColumn="0" w:noHBand="0" w:noVBand="0"/>
      </w:tblPr>
      <w:tblGrid>
        <w:gridCol w:w="3691"/>
        <w:gridCol w:w="1385"/>
        <w:gridCol w:w="3231"/>
      </w:tblGrid>
      <w:tr w:rsidR="00AF271B" w:rsidRPr="00D548CF" w14:paraId="4B161440" w14:textId="77777777" w:rsidTr="00E27632">
        <w:trPr>
          <w:trHeight w:val="57"/>
        </w:trPr>
        <w:tc>
          <w:tcPr>
            <w:tcW w:w="3691" w:type="dxa"/>
            <w:tcBorders>
              <w:top w:val="single" w:sz="4" w:space="0" w:color="auto"/>
              <w:bottom w:val="single" w:sz="12" w:space="0" w:color="auto"/>
            </w:tcBorders>
            <w:shd w:val="clear" w:color="auto" w:fill="FFFFFF"/>
          </w:tcPr>
          <w:p w14:paraId="21351513" w14:textId="6D9677D5" w:rsidR="00AF271B" w:rsidRPr="00FE4033" w:rsidRDefault="00AF271B" w:rsidP="00E27632">
            <w:pPr>
              <w:keepNext/>
              <w:spacing w:before="40" w:after="40"/>
              <w:rPr>
                <w:rFonts w:ascii="Arial" w:hAnsi="Arial" w:cs="Arial"/>
                <w:i/>
                <w:sz w:val="18"/>
                <w:szCs w:val="18"/>
              </w:rPr>
            </w:pPr>
            <w:r w:rsidRPr="00FE4033">
              <w:rPr>
                <w:rFonts w:ascii="Arial" w:hAnsi="Arial" w:cs="Arial"/>
                <w:i/>
                <w:sz w:val="18"/>
                <w:szCs w:val="18"/>
              </w:rPr>
              <w:t> </w:t>
            </w:r>
            <w:r>
              <w:rPr>
                <w:rFonts w:ascii="Arial" w:hAnsi="Arial" w:cs="Arial"/>
                <w:i/>
                <w:sz w:val="18"/>
                <w:szCs w:val="18"/>
              </w:rPr>
              <w:t>Kemikalija</w:t>
            </w:r>
          </w:p>
        </w:tc>
        <w:tc>
          <w:tcPr>
            <w:tcW w:w="1385" w:type="dxa"/>
            <w:tcBorders>
              <w:top w:val="single" w:sz="4" w:space="0" w:color="auto"/>
              <w:bottom w:val="single" w:sz="12" w:space="0" w:color="auto"/>
            </w:tcBorders>
            <w:shd w:val="clear" w:color="auto" w:fill="FFFFFF"/>
          </w:tcPr>
          <w:p w14:paraId="0C764954" w14:textId="22DD0FFF" w:rsidR="00AF271B" w:rsidRPr="00FE4033" w:rsidRDefault="00AF271B" w:rsidP="00E27632">
            <w:pPr>
              <w:keepNext/>
              <w:spacing w:before="40" w:after="40"/>
              <w:rPr>
                <w:rFonts w:ascii="Arial" w:hAnsi="Arial" w:cs="Arial"/>
                <w:i/>
                <w:sz w:val="18"/>
                <w:szCs w:val="18"/>
              </w:rPr>
            </w:pPr>
            <w:r>
              <w:rPr>
                <w:rFonts w:ascii="Arial" w:hAnsi="Arial" w:cs="Arial"/>
                <w:i/>
                <w:sz w:val="18"/>
                <w:szCs w:val="18"/>
              </w:rPr>
              <w:t>Dejavnost</w:t>
            </w:r>
          </w:p>
        </w:tc>
        <w:tc>
          <w:tcPr>
            <w:tcW w:w="3231" w:type="dxa"/>
            <w:tcBorders>
              <w:top w:val="single" w:sz="4" w:space="0" w:color="auto"/>
              <w:bottom w:val="single" w:sz="12" w:space="0" w:color="auto"/>
            </w:tcBorders>
            <w:shd w:val="clear" w:color="auto" w:fill="FFFFFF"/>
          </w:tcPr>
          <w:p w14:paraId="30E7E3AC" w14:textId="7BC68371" w:rsidR="00AF271B" w:rsidRPr="00FE4033" w:rsidRDefault="00AF271B" w:rsidP="00E27632">
            <w:pPr>
              <w:keepNext/>
              <w:spacing w:before="40" w:after="40"/>
              <w:rPr>
                <w:rFonts w:ascii="Arial" w:hAnsi="Arial" w:cs="Arial"/>
                <w:i/>
                <w:sz w:val="18"/>
                <w:szCs w:val="18"/>
              </w:rPr>
            </w:pPr>
            <w:r>
              <w:rPr>
                <w:rFonts w:ascii="Arial" w:hAnsi="Arial" w:cs="Arial"/>
                <w:i/>
                <w:sz w:val="18"/>
                <w:szCs w:val="18"/>
              </w:rPr>
              <w:t>Posebna izjema</w:t>
            </w:r>
          </w:p>
        </w:tc>
      </w:tr>
      <w:tr w:rsidR="00AF271B" w:rsidRPr="00D548CF" w14:paraId="6E0162E8" w14:textId="77777777" w:rsidTr="00E27632">
        <w:trPr>
          <w:trHeight w:val="57"/>
        </w:trPr>
        <w:tc>
          <w:tcPr>
            <w:tcW w:w="3691" w:type="dxa"/>
            <w:vMerge w:val="restart"/>
            <w:tcBorders>
              <w:top w:val="single" w:sz="12" w:space="0" w:color="auto"/>
            </w:tcBorders>
            <w:shd w:val="clear" w:color="auto" w:fill="auto"/>
          </w:tcPr>
          <w:p w14:paraId="4693B3D9"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dikofol</w:t>
            </w:r>
          </w:p>
          <w:p w14:paraId="2B676C91" w14:textId="77777777" w:rsidR="00AF271B" w:rsidRPr="00770D7F" w:rsidRDefault="00AF271B" w:rsidP="00AF271B">
            <w:pPr>
              <w:autoSpaceDE w:val="0"/>
              <w:autoSpaceDN w:val="0"/>
              <w:adjustRightInd w:val="0"/>
              <w:spacing w:after="0" w:line="240" w:lineRule="auto"/>
              <w:rPr>
                <w:rFonts w:ascii="Arial" w:hAnsi="Arial" w:cs="Arial"/>
                <w:sz w:val="18"/>
                <w:szCs w:val="18"/>
              </w:rPr>
            </w:pPr>
            <w:r w:rsidRPr="00770D7F">
              <w:rPr>
                <w:rFonts w:ascii="Arial" w:hAnsi="Arial" w:cs="Arial"/>
                <w:sz w:val="18"/>
                <w:szCs w:val="18"/>
                <w:lang w:val="sl"/>
              </w:rPr>
              <w:t>CAS št.: 115-32-2</w:t>
            </w:r>
          </w:p>
          <w:p w14:paraId="2604AFE9" w14:textId="39BCBD42" w:rsidR="00AF271B" w:rsidRPr="00FE4033" w:rsidRDefault="00AF271B" w:rsidP="00AF271B">
            <w:pPr>
              <w:suppressAutoHyphens/>
              <w:spacing w:before="40" w:after="40"/>
              <w:rPr>
                <w:rFonts w:ascii="Arial" w:hAnsi="Arial" w:cs="Arial"/>
                <w:sz w:val="18"/>
                <w:szCs w:val="18"/>
                <w:lang w:val="es-ES"/>
              </w:rPr>
            </w:pPr>
            <w:r w:rsidRPr="00770D7F">
              <w:rPr>
                <w:rFonts w:ascii="Arial" w:hAnsi="Arial" w:cs="Arial"/>
                <w:sz w:val="18"/>
                <w:szCs w:val="18"/>
                <w:lang w:val="sl"/>
              </w:rPr>
              <w:t>CAS št.: 10606-46-9</w:t>
            </w:r>
          </w:p>
        </w:tc>
        <w:tc>
          <w:tcPr>
            <w:tcW w:w="1385" w:type="dxa"/>
            <w:tcBorders>
              <w:top w:val="single" w:sz="12" w:space="0" w:color="auto"/>
            </w:tcBorders>
            <w:shd w:val="clear" w:color="auto" w:fill="FFFFFF"/>
          </w:tcPr>
          <w:p w14:paraId="1CDD4068" w14:textId="7BAEAA93" w:rsidR="00AF271B" w:rsidRPr="00FE4033" w:rsidRDefault="00AF271B" w:rsidP="00E27632">
            <w:pPr>
              <w:suppressAutoHyphens/>
              <w:spacing w:before="40" w:after="40"/>
              <w:rPr>
                <w:rFonts w:ascii="Arial" w:hAnsi="Arial" w:cs="Arial"/>
                <w:sz w:val="18"/>
                <w:szCs w:val="18"/>
              </w:rPr>
            </w:pPr>
            <w:r>
              <w:rPr>
                <w:rFonts w:ascii="Arial" w:hAnsi="Arial" w:cs="Arial"/>
                <w:sz w:val="18"/>
                <w:szCs w:val="18"/>
              </w:rPr>
              <w:t>proizvodnja</w:t>
            </w:r>
            <w:r w:rsidRPr="00FE4033">
              <w:rPr>
                <w:rFonts w:ascii="Arial" w:hAnsi="Arial" w:cs="Arial"/>
                <w:sz w:val="18"/>
                <w:szCs w:val="18"/>
              </w:rPr>
              <w:t xml:space="preserve"> </w:t>
            </w:r>
          </w:p>
        </w:tc>
        <w:tc>
          <w:tcPr>
            <w:tcW w:w="3231" w:type="dxa"/>
            <w:tcBorders>
              <w:top w:val="single" w:sz="12" w:space="0" w:color="auto"/>
            </w:tcBorders>
            <w:shd w:val="clear" w:color="auto" w:fill="FFFFFF"/>
          </w:tcPr>
          <w:p w14:paraId="6EFCA98C" w14:textId="0F1C1519" w:rsidR="00AF271B" w:rsidRPr="00FE4033" w:rsidRDefault="00AF271B" w:rsidP="00E27632">
            <w:pPr>
              <w:suppressAutoHyphens/>
              <w:spacing w:before="40" w:after="40"/>
              <w:rPr>
                <w:rFonts w:ascii="Arial" w:hAnsi="Arial" w:cs="Arial"/>
                <w:sz w:val="18"/>
                <w:szCs w:val="18"/>
              </w:rPr>
            </w:pPr>
            <w:r>
              <w:rPr>
                <w:rFonts w:ascii="Arial" w:hAnsi="Arial" w:cs="Arial"/>
                <w:sz w:val="18"/>
                <w:szCs w:val="18"/>
              </w:rPr>
              <w:t>ne obstaja</w:t>
            </w:r>
          </w:p>
        </w:tc>
      </w:tr>
      <w:tr w:rsidR="00AF271B" w:rsidRPr="00D548CF" w14:paraId="748CDDDF" w14:textId="77777777" w:rsidTr="00E27632">
        <w:trPr>
          <w:trHeight w:val="57"/>
        </w:trPr>
        <w:tc>
          <w:tcPr>
            <w:tcW w:w="3691" w:type="dxa"/>
            <w:vMerge/>
            <w:tcBorders>
              <w:bottom w:val="single" w:sz="12" w:space="0" w:color="auto"/>
            </w:tcBorders>
            <w:shd w:val="clear" w:color="auto" w:fill="auto"/>
          </w:tcPr>
          <w:p w14:paraId="463C52A5" w14:textId="77777777" w:rsidR="00AF271B" w:rsidRPr="00FE4033" w:rsidRDefault="00AF271B" w:rsidP="00E27632">
            <w:pPr>
              <w:spacing w:before="40" w:after="40"/>
              <w:rPr>
                <w:rFonts w:ascii="Arial" w:hAnsi="Arial" w:cs="Arial"/>
                <w:b/>
                <w:sz w:val="18"/>
                <w:szCs w:val="18"/>
              </w:rPr>
            </w:pPr>
          </w:p>
        </w:tc>
        <w:tc>
          <w:tcPr>
            <w:tcW w:w="1385" w:type="dxa"/>
            <w:tcBorders>
              <w:bottom w:val="single" w:sz="12" w:space="0" w:color="auto"/>
            </w:tcBorders>
            <w:shd w:val="clear" w:color="auto" w:fill="auto"/>
          </w:tcPr>
          <w:p w14:paraId="133B613B" w14:textId="2B816237" w:rsidR="00AF271B" w:rsidRPr="00FE4033" w:rsidRDefault="00AF271B" w:rsidP="00E27632">
            <w:pPr>
              <w:suppressAutoHyphens/>
              <w:spacing w:before="40" w:after="40"/>
              <w:rPr>
                <w:rFonts w:ascii="Arial" w:hAnsi="Arial" w:cs="Arial"/>
                <w:sz w:val="18"/>
                <w:szCs w:val="18"/>
              </w:rPr>
            </w:pPr>
            <w:r>
              <w:rPr>
                <w:rFonts w:ascii="Arial" w:hAnsi="Arial" w:cs="Arial"/>
                <w:sz w:val="18"/>
                <w:szCs w:val="18"/>
              </w:rPr>
              <w:t>uporaba</w:t>
            </w:r>
          </w:p>
        </w:tc>
        <w:tc>
          <w:tcPr>
            <w:tcW w:w="3231" w:type="dxa"/>
            <w:tcBorders>
              <w:bottom w:val="single" w:sz="12" w:space="0" w:color="auto"/>
            </w:tcBorders>
            <w:shd w:val="clear" w:color="auto" w:fill="auto"/>
          </w:tcPr>
          <w:p w14:paraId="680DCD61" w14:textId="3F71E87F" w:rsidR="00AF271B" w:rsidRPr="00FE4033" w:rsidRDefault="00AF271B" w:rsidP="00E27632">
            <w:pPr>
              <w:suppressAutoHyphens/>
              <w:spacing w:before="40" w:after="40"/>
              <w:rPr>
                <w:rFonts w:ascii="Arial" w:hAnsi="Arial" w:cs="Arial"/>
                <w:sz w:val="18"/>
                <w:szCs w:val="18"/>
              </w:rPr>
            </w:pPr>
            <w:r>
              <w:rPr>
                <w:rFonts w:ascii="Arial" w:hAnsi="Arial" w:cs="Arial"/>
                <w:sz w:val="18"/>
                <w:szCs w:val="18"/>
              </w:rPr>
              <w:t>ne obstaja</w:t>
            </w:r>
          </w:p>
        </w:tc>
      </w:tr>
    </w:tbl>
    <w:p w14:paraId="0475406C" w14:textId="753DB289" w:rsidR="00AF271B" w:rsidRDefault="00AF271B" w:rsidP="004C65F4">
      <w:pPr>
        <w:ind w:firstLine="708"/>
        <w:rPr>
          <w:rFonts w:ascii="Arial" w:hAnsi="Arial" w:cs="Arial"/>
          <w:sz w:val="20"/>
          <w:szCs w:val="20"/>
        </w:rPr>
      </w:pPr>
    </w:p>
    <w:p w14:paraId="71F2DE71" w14:textId="77777777" w:rsidR="00F70C60" w:rsidRDefault="00F70C60" w:rsidP="004C65F4">
      <w:pPr>
        <w:ind w:firstLine="708"/>
        <w:rPr>
          <w:rFonts w:ascii="Arial" w:hAnsi="Arial" w:cs="Arial"/>
          <w:sz w:val="20"/>
          <w:szCs w:val="20"/>
        </w:rPr>
        <w:sectPr w:rsidR="00F70C60" w:rsidSect="00D66C83">
          <w:footnotePr>
            <w:numRestart w:val="eachSect"/>
          </w:footnotePr>
          <w:pgSz w:w="11906" w:h="16838"/>
          <w:pgMar w:top="1417" w:right="1417" w:bottom="1417" w:left="1417" w:header="708" w:footer="708" w:gutter="0"/>
          <w:cols w:space="708"/>
          <w:docGrid w:linePitch="360"/>
        </w:sectPr>
      </w:pPr>
    </w:p>
    <w:p w14:paraId="5AF71D5E" w14:textId="552E72B1" w:rsidR="00F70C60" w:rsidRPr="00770D7F" w:rsidRDefault="00F70C60" w:rsidP="004C65F4">
      <w:pPr>
        <w:ind w:firstLine="708"/>
        <w:rPr>
          <w:rFonts w:ascii="Arial" w:hAnsi="Arial" w:cs="Arial"/>
          <w:sz w:val="20"/>
          <w:szCs w:val="20"/>
        </w:rPr>
      </w:pPr>
    </w:p>
    <w:p w14:paraId="4F303B7A" w14:textId="77777777" w:rsidR="00BE3A18" w:rsidRPr="004C65F4" w:rsidRDefault="00BE3A18" w:rsidP="00BE3A18">
      <w:pPr>
        <w:rPr>
          <w:rFonts w:ascii="Arial" w:hAnsi="Arial" w:cs="Arial"/>
          <w:b/>
          <w:bCs/>
          <w:sz w:val="28"/>
          <w:szCs w:val="28"/>
        </w:rPr>
      </w:pPr>
      <w:r w:rsidRPr="004C65F4">
        <w:rPr>
          <w:rFonts w:ascii="Arial" w:hAnsi="Arial" w:cs="Arial"/>
          <w:b/>
          <w:bCs/>
          <w:sz w:val="28"/>
          <w:szCs w:val="28"/>
        </w:rPr>
        <w:t>SC-9/12:</w:t>
      </w:r>
      <w:r w:rsidRPr="004C65F4">
        <w:rPr>
          <w:rFonts w:ascii="Arial" w:hAnsi="Arial" w:cs="Arial"/>
          <w:b/>
          <w:bCs/>
          <w:sz w:val="28"/>
          <w:szCs w:val="28"/>
          <w:lang w:val="sl"/>
        </w:rPr>
        <w:t xml:space="preserve"> Uvrstitev perfluorooktanojske kisline (PFOA), njenih soli in spojin, sorodnih PFOA</w:t>
      </w:r>
    </w:p>
    <w:p w14:paraId="0866A2FF"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Konferenca pogodbenic</w:t>
      </w:r>
      <w:r w:rsidRPr="00770D7F">
        <w:rPr>
          <w:rFonts w:ascii="Arial" w:hAnsi="Arial" w:cs="Arial"/>
          <w:sz w:val="20"/>
          <w:szCs w:val="20"/>
          <w:lang w:val="sl"/>
        </w:rPr>
        <w:t xml:space="preserve">, </w:t>
      </w:r>
    </w:p>
    <w:p w14:paraId="6487C4C9"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glede na</w:t>
      </w:r>
      <w:r w:rsidRPr="00770D7F">
        <w:rPr>
          <w:rFonts w:ascii="Arial" w:hAnsi="Arial" w:cs="Arial"/>
          <w:sz w:val="20"/>
          <w:szCs w:val="20"/>
          <w:lang w:val="sl"/>
        </w:rPr>
        <w:t xml:space="preserve"> opis tveganja, oceno obvladovanja tveganja in dodatek k oceni obvladovanja tveganja za perfluorooktanojsko kislino (PFOA), njene soli in spojine, sorodne PFOA, kot jih je poslal Odbor za pregled obstojnih organskih onesnaževal,</w:t>
      </w:r>
      <w:r w:rsidRPr="00770D7F">
        <w:rPr>
          <w:rStyle w:val="FootnoteReference"/>
          <w:rFonts w:ascii="Arial" w:hAnsi="Arial" w:cs="Arial"/>
          <w:sz w:val="20"/>
          <w:szCs w:val="20"/>
          <w:lang w:val="sl"/>
        </w:rPr>
        <w:footnoteReference w:id="83"/>
      </w:r>
      <w:r w:rsidRPr="00770D7F">
        <w:rPr>
          <w:rFonts w:ascii="Arial" w:hAnsi="Arial" w:cs="Arial"/>
          <w:sz w:val="20"/>
          <w:szCs w:val="20"/>
          <w:lang w:val="sl"/>
        </w:rPr>
        <w:t xml:space="preserve"> </w:t>
      </w:r>
    </w:p>
    <w:p w14:paraId="47953D0B" w14:textId="77777777" w:rsidR="00BE3A18" w:rsidRPr="00770D7F" w:rsidRDefault="00BE3A18" w:rsidP="004C65F4">
      <w:pPr>
        <w:ind w:firstLine="708"/>
        <w:rPr>
          <w:rFonts w:ascii="Arial" w:hAnsi="Arial" w:cs="Arial"/>
          <w:sz w:val="20"/>
          <w:szCs w:val="20"/>
        </w:rPr>
      </w:pPr>
      <w:r w:rsidRPr="004C65F4">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perfluorooktanojska kislina (PFOA), njene soli in spojine, sorodne PFOA, uvrstijo v Prilogo A k Stockholmski konvenciji o obstojnih organskih onesnaževalih s posebnimi izjemami,</w:t>
      </w:r>
      <w:r w:rsidRPr="00770D7F">
        <w:rPr>
          <w:rStyle w:val="FootnoteReference"/>
          <w:rFonts w:ascii="Arial" w:hAnsi="Arial" w:cs="Arial"/>
          <w:sz w:val="20"/>
          <w:szCs w:val="20"/>
          <w:lang w:val="sl"/>
        </w:rPr>
        <w:footnoteReference w:id="84"/>
      </w:r>
      <w:r w:rsidRPr="00770D7F">
        <w:rPr>
          <w:rFonts w:ascii="Arial" w:hAnsi="Arial" w:cs="Arial"/>
          <w:sz w:val="20"/>
          <w:szCs w:val="20"/>
          <w:lang w:val="sl"/>
        </w:rPr>
        <w:t xml:space="preserve"> </w:t>
      </w:r>
    </w:p>
    <w:p w14:paraId="4353A9A9" w14:textId="29903A4B" w:rsidR="00BE3A18" w:rsidRPr="005D5244" w:rsidRDefault="00BE3A18" w:rsidP="005D5244">
      <w:pPr>
        <w:pStyle w:val="ListParagraph"/>
        <w:numPr>
          <w:ilvl w:val="1"/>
          <w:numId w:val="38"/>
        </w:numPr>
        <w:ind w:left="0" w:firstLine="709"/>
        <w:rPr>
          <w:rFonts w:ascii="Arial" w:hAnsi="Arial" w:cs="Arial"/>
          <w:sz w:val="20"/>
          <w:szCs w:val="20"/>
        </w:rPr>
      </w:pPr>
      <w:r w:rsidRPr="005D5244">
        <w:rPr>
          <w:rFonts w:ascii="Arial" w:hAnsi="Arial" w:cs="Arial"/>
          <w:sz w:val="20"/>
          <w:szCs w:val="20"/>
          <w:lang w:val="sl"/>
        </w:rPr>
        <w:t>sklene spremeniti I. del Priloge A k Stockholmski konvenciji o obstojnih organskih onesnaževalih, tako da se vanj uvrstijo perfluorooktanojska kislina (PFOA), njene soli in spojine, sorodne PFOA, s posebnimi izjemami za proizvodnjo in uporabo perfluorooktanojske kisline (PFOA), njenih soli in spojin, sorodnih PFOA, in sicer tako, da se vstavijo naslednje vrstice:</w:t>
      </w:r>
    </w:p>
    <w:p w14:paraId="7BA089FD" w14:textId="77777777" w:rsidR="00BE3A18" w:rsidRDefault="00BE3A18" w:rsidP="00BE3A18">
      <w:pPr>
        <w:pStyle w:val="ListParagraph"/>
        <w:rPr>
          <w:rFonts w:ascii="Arial" w:hAnsi="Arial" w:cs="Arial"/>
          <w:sz w:val="20"/>
          <w:szCs w:val="20"/>
        </w:rPr>
      </w:pPr>
    </w:p>
    <w:p w14:paraId="5E531346" w14:textId="77777777" w:rsidR="00AF271B" w:rsidRDefault="00AF271B" w:rsidP="00BE3A18">
      <w:pPr>
        <w:pStyle w:val="ListParagraph"/>
        <w:rPr>
          <w:rFonts w:ascii="Arial" w:hAnsi="Arial" w:cs="Arial"/>
          <w:sz w:val="20"/>
          <w:szCs w:val="20"/>
        </w:rPr>
      </w:pPr>
    </w:p>
    <w:tbl>
      <w:tblPr>
        <w:tblW w:w="5000" w:type="pct"/>
        <w:jc w:val="right"/>
        <w:tblLook w:val="04A0" w:firstRow="1" w:lastRow="0" w:firstColumn="1" w:lastColumn="0" w:noHBand="0" w:noVBand="1"/>
      </w:tblPr>
      <w:tblGrid>
        <w:gridCol w:w="3814"/>
        <w:gridCol w:w="1137"/>
        <w:gridCol w:w="4121"/>
      </w:tblGrid>
      <w:tr w:rsidR="00AF271B" w:rsidRPr="00D548CF" w14:paraId="2D9B4BE7" w14:textId="77777777" w:rsidTr="00E27632">
        <w:trPr>
          <w:trHeight w:val="57"/>
          <w:tblHeader/>
          <w:jc w:val="right"/>
        </w:trPr>
        <w:tc>
          <w:tcPr>
            <w:tcW w:w="0" w:type="auto"/>
            <w:tcBorders>
              <w:top w:val="single" w:sz="4" w:space="0" w:color="auto"/>
              <w:left w:val="nil"/>
              <w:bottom w:val="single" w:sz="12" w:space="0" w:color="auto"/>
              <w:right w:val="nil"/>
            </w:tcBorders>
            <w:shd w:val="clear" w:color="auto" w:fill="FFFFFF"/>
            <w:hideMark/>
          </w:tcPr>
          <w:p w14:paraId="41522A6A" w14:textId="74365DB6" w:rsidR="00AF271B" w:rsidRPr="00D548CF" w:rsidRDefault="00AF271B" w:rsidP="00E27632">
            <w:pPr>
              <w:snapToGrid w:val="0"/>
              <w:spacing w:before="40" w:after="40"/>
              <w:rPr>
                <w:rFonts w:ascii="Arial" w:hAnsi="Arial" w:cs="Arial"/>
                <w:i/>
                <w:color w:val="000000"/>
                <w:sz w:val="18"/>
                <w:szCs w:val="18"/>
                <w:lang w:eastAsia="fr-CH"/>
              </w:rPr>
            </w:pPr>
            <w:r>
              <w:rPr>
                <w:rFonts w:ascii="Arial" w:hAnsi="Arial" w:cs="Arial"/>
                <w:i/>
                <w:color w:val="000000"/>
                <w:sz w:val="18"/>
                <w:szCs w:val="18"/>
                <w:lang w:eastAsia="fr-CH"/>
              </w:rPr>
              <w:t>Kemikalija</w:t>
            </w:r>
          </w:p>
        </w:tc>
        <w:tc>
          <w:tcPr>
            <w:tcW w:w="0" w:type="auto"/>
            <w:tcBorders>
              <w:top w:val="single" w:sz="4" w:space="0" w:color="auto"/>
              <w:left w:val="nil"/>
              <w:bottom w:val="single" w:sz="12" w:space="0" w:color="auto"/>
              <w:right w:val="nil"/>
            </w:tcBorders>
            <w:shd w:val="clear" w:color="auto" w:fill="FFFFFF"/>
            <w:hideMark/>
          </w:tcPr>
          <w:p w14:paraId="0831F1EA" w14:textId="7D11E047" w:rsidR="00AF271B" w:rsidRPr="00D548CF" w:rsidRDefault="00AF271B" w:rsidP="00E27632">
            <w:pPr>
              <w:snapToGrid w:val="0"/>
              <w:spacing w:before="40" w:after="40"/>
              <w:rPr>
                <w:rFonts w:ascii="Arial" w:hAnsi="Arial" w:cs="Arial"/>
                <w:i/>
                <w:color w:val="000000"/>
                <w:sz w:val="18"/>
                <w:szCs w:val="18"/>
                <w:lang w:eastAsia="fr-CH"/>
              </w:rPr>
            </w:pPr>
            <w:r>
              <w:rPr>
                <w:rFonts w:ascii="Arial" w:hAnsi="Arial" w:cs="Arial"/>
                <w:i/>
                <w:color w:val="000000"/>
                <w:sz w:val="18"/>
                <w:szCs w:val="18"/>
                <w:lang w:eastAsia="fr-CH"/>
              </w:rPr>
              <w:t>Dejavnost</w:t>
            </w:r>
          </w:p>
        </w:tc>
        <w:tc>
          <w:tcPr>
            <w:tcW w:w="0" w:type="auto"/>
            <w:tcBorders>
              <w:top w:val="single" w:sz="4" w:space="0" w:color="auto"/>
              <w:left w:val="nil"/>
              <w:bottom w:val="single" w:sz="12" w:space="0" w:color="auto"/>
              <w:right w:val="nil"/>
            </w:tcBorders>
            <w:shd w:val="clear" w:color="auto" w:fill="FFFFFF"/>
            <w:hideMark/>
          </w:tcPr>
          <w:p w14:paraId="7F1A4378" w14:textId="147360E9" w:rsidR="00AF271B" w:rsidRPr="00D548CF" w:rsidRDefault="00AF271B" w:rsidP="00E27632">
            <w:pPr>
              <w:snapToGrid w:val="0"/>
              <w:spacing w:before="40" w:after="40"/>
              <w:rPr>
                <w:rFonts w:ascii="Arial" w:hAnsi="Arial" w:cs="Arial"/>
                <w:i/>
                <w:color w:val="000000"/>
                <w:sz w:val="18"/>
                <w:szCs w:val="18"/>
                <w:lang w:eastAsia="fr-CH"/>
              </w:rPr>
            </w:pPr>
            <w:r>
              <w:rPr>
                <w:rFonts w:ascii="Arial" w:hAnsi="Arial" w:cs="Arial"/>
                <w:i/>
                <w:color w:val="000000"/>
                <w:sz w:val="18"/>
                <w:szCs w:val="18"/>
                <w:lang w:eastAsia="fr-CH"/>
              </w:rPr>
              <w:t>Posebna izjema</w:t>
            </w:r>
          </w:p>
        </w:tc>
      </w:tr>
      <w:tr w:rsidR="00AF271B" w:rsidRPr="00D548CF" w14:paraId="1D5901B8" w14:textId="77777777" w:rsidTr="00E27632">
        <w:trPr>
          <w:trHeight w:val="57"/>
          <w:jc w:val="right"/>
        </w:trPr>
        <w:tc>
          <w:tcPr>
            <w:tcW w:w="0" w:type="auto"/>
            <w:vMerge w:val="restart"/>
            <w:tcBorders>
              <w:top w:val="single" w:sz="12" w:space="0" w:color="auto"/>
              <w:left w:val="nil"/>
              <w:bottom w:val="single" w:sz="12" w:space="0" w:color="auto"/>
              <w:right w:val="nil"/>
            </w:tcBorders>
          </w:tcPr>
          <w:p w14:paraId="570C966F" w14:textId="77777777" w:rsidR="00AF271B" w:rsidRPr="00770D7F" w:rsidRDefault="00AF271B" w:rsidP="00AF271B">
            <w:pPr>
              <w:autoSpaceDE w:val="0"/>
              <w:autoSpaceDN w:val="0"/>
              <w:adjustRightInd w:val="0"/>
              <w:spacing w:after="0" w:line="240" w:lineRule="auto"/>
              <w:rPr>
                <w:rFonts w:ascii="Arial" w:hAnsi="Arial" w:cs="Arial"/>
                <w:sz w:val="20"/>
                <w:szCs w:val="20"/>
                <w:lang w:val="sl"/>
              </w:rPr>
            </w:pPr>
            <w:r w:rsidRPr="00770D7F">
              <w:rPr>
                <w:rFonts w:ascii="Arial" w:hAnsi="Arial" w:cs="Arial"/>
                <w:sz w:val="20"/>
                <w:szCs w:val="20"/>
                <w:lang w:val="sl"/>
              </w:rPr>
              <w:t>perfluorooktanojska kislina (PFOA), njene soli in spojine, sorodne PFOA</w:t>
            </w:r>
          </w:p>
          <w:p w14:paraId="18F415AA"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66EFDF77"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»Perfluorooktanojska kislina (PFOA), njene soli in spojine, sorodne PFOA« pomeni:</w:t>
            </w:r>
          </w:p>
          <w:p w14:paraId="1B5CC7BA"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5166E8D6"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 perfluorooktanojska kislina (PFOA, CAS št.: 335</w:t>
            </w:r>
            <w:r w:rsidRPr="00770D7F">
              <w:rPr>
                <w:rFonts w:ascii="Cambria Math" w:hAnsi="Cambria Math" w:cs="Cambria Math"/>
                <w:sz w:val="20"/>
                <w:szCs w:val="20"/>
                <w:lang w:val="sl"/>
              </w:rPr>
              <w:t>‐</w:t>
            </w:r>
            <w:r w:rsidRPr="00770D7F">
              <w:rPr>
                <w:rFonts w:ascii="Arial" w:hAnsi="Arial" w:cs="Arial"/>
                <w:sz w:val="20"/>
                <w:szCs w:val="20"/>
                <w:lang w:val="sl"/>
              </w:rPr>
              <w:t>67</w:t>
            </w:r>
            <w:r w:rsidRPr="00770D7F">
              <w:rPr>
                <w:rFonts w:ascii="Cambria Math" w:hAnsi="Cambria Math" w:cs="Cambria Math"/>
                <w:sz w:val="20"/>
                <w:szCs w:val="20"/>
                <w:lang w:val="sl"/>
              </w:rPr>
              <w:t>‐</w:t>
            </w:r>
            <w:r w:rsidRPr="00770D7F">
              <w:rPr>
                <w:rFonts w:ascii="Arial" w:hAnsi="Arial" w:cs="Arial"/>
                <w:sz w:val="20"/>
                <w:szCs w:val="20"/>
                <w:lang w:val="sl"/>
              </w:rPr>
              <w:t>1), ki vključuje vse njene razvejane izomere;</w:t>
            </w:r>
          </w:p>
          <w:p w14:paraId="73FF3168"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2017508E"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(ii) njene soli;</w:t>
            </w:r>
          </w:p>
          <w:p w14:paraId="397A0F1C"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1AA26F81"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(iii) spojine, sorodne PFOA, ki so v konvenciji snovi, ki se razgradijo v PFOA (vključno z njihovimi solmi in polimeri) z linearno ali razvejano perfluoroheptilno skupino z delom spojine (C</w:t>
            </w:r>
            <w:r w:rsidRPr="00770D7F">
              <w:rPr>
                <w:rFonts w:ascii="Arial" w:hAnsi="Arial" w:cs="Arial"/>
                <w:sz w:val="20"/>
                <w:szCs w:val="20"/>
                <w:vertAlign w:val="subscript"/>
                <w:lang w:val="sl"/>
              </w:rPr>
              <w:t>7</w:t>
            </w:r>
            <w:r w:rsidRPr="00770D7F">
              <w:rPr>
                <w:rFonts w:ascii="Arial" w:hAnsi="Arial" w:cs="Arial"/>
                <w:sz w:val="20"/>
                <w:szCs w:val="20"/>
                <w:lang w:val="sl"/>
              </w:rPr>
              <w:t>F</w:t>
            </w:r>
            <w:r w:rsidRPr="00770D7F">
              <w:rPr>
                <w:rFonts w:ascii="Arial" w:hAnsi="Arial" w:cs="Arial"/>
                <w:sz w:val="20"/>
                <w:szCs w:val="20"/>
                <w:vertAlign w:val="subscript"/>
                <w:lang w:val="sl"/>
              </w:rPr>
              <w:t>15</w:t>
            </w:r>
            <w:r w:rsidRPr="00770D7F">
              <w:rPr>
                <w:rFonts w:ascii="Arial" w:hAnsi="Arial" w:cs="Arial"/>
                <w:sz w:val="20"/>
                <w:szCs w:val="20"/>
                <w:lang w:val="sl"/>
              </w:rPr>
              <w:t>)C kot enim od strukturnih elementov.</w:t>
            </w:r>
          </w:p>
          <w:p w14:paraId="649C6288"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5E7CDDDC"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Naslednje spojine se ne štejejo za spojine, sorodne PFOA:</w:t>
            </w:r>
          </w:p>
          <w:p w14:paraId="775834AF"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0DEA0FC5"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 C</w:t>
            </w:r>
            <w:r w:rsidRPr="00770D7F">
              <w:rPr>
                <w:rFonts w:ascii="Arial" w:hAnsi="Arial" w:cs="Arial"/>
                <w:sz w:val="20"/>
                <w:szCs w:val="20"/>
                <w:vertAlign w:val="subscript"/>
                <w:lang w:val="sl"/>
              </w:rPr>
              <w:t>8</w:t>
            </w:r>
            <w:r w:rsidRPr="00770D7F">
              <w:rPr>
                <w:rFonts w:ascii="Arial" w:hAnsi="Arial" w:cs="Arial"/>
                <w:sz w:val="20"/>
                <w:szCs w:val="20"/>
                <w:lang w:val="sl"/>
              </w:rPr>
              <w:t>F</w:t>
            </w:r>
            <w:r w:rsidRPr="00770D7F">
              <w:rPr>
                <w:rFonts w:ascii="Arial" w:hAnsi="Arial" w:cs="Arial"/>
                <w:sz w:val="20"/>
                <w:szCs w:val="20"/>
                <w:vertAlign w:val="subscript"/>
                <w:lang w:val="sl"/>
              </w:rPr>
              <w:t>17</w:t>
            </w:r>
            <w:r w:rsidRPr="00770D7F">
              <w:rPr>
                <w:rFonts w:ascii="Cambria Math" w:hAnsi="Cambria Math" w:cs="Cambria Math"/>
                <w:sz w:val="20"/>
                <w:szCs w:val="20"/>
                <w:lang w:val="sl"/>
              </w:rPr>
              <w:t>‐</w:t>
            </w:r>
            <w:r w:rsidRPr="00770D7F">
              <w:rPr>
                <w:rFonts w:ascii="Arial" w:hAnsi="Arial" w:cs="Arial"/>
                <w:sz w:val="20"/>
                <w:szCs w:val="20"/>
                <w:lang w:val="sl"/>
              </w:rPr>
              <w:t>X, pri čemer: X = F, Cl, Br;</w:t>
            </w:r>
          </w:p>
          <w:p w14:paraId="676BA526"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27AB7F91"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(ii) fluoropolimeri, zajeti v CF</w:t>
            </w:r>
            <w:r w:rsidRPr="00770D7F">
              <w:rPr>
                <w:rFonts w:ascii="Arial" w:hAnsi="Arial" w:cs="Arial"/>
                <w:sz w:val="20"/>
                <w:szCs w:val="20"/>
                <w:vertAlign w:val="subscript"/>
                <w:lang w:val="sl"/>
              </w:rPr>
              <w:t>3</w:t>
            </w:r>
            <w:r w:rsidRPr="00770D7F">
              <w:rPr>
                <w:rFonts w:ascii="Arial" w:hAnsi="Arial" w:cs="Arial"/>
                <w:sz w:val="20"/>
                <w:szCs w:val="20"/>
                <w:lang w:val="sl"/>
              </w:rPr>
              <w:t>[CF</w:t>
            </w:r>
            <w:r w:rsidRPr="00770D7F">
              <w:rPr>
                <w:rFonts w:ascii="Arial" w:hAnsi="Arial" w:cs="Arial"/>
                <w:sz w:val="20"/>
                <w:szCs w:val="20"/>
                <w:vertAlign w:val="subscript"/>
                <w:lang w:val="sl"/>
              </w:rPr>
              <w:t>2</w:t>
            </w:r>
            <w:r w:rsidRPr="00770D7F">
              <w:rPr>
                <w:rFonts w:ascii="Arial" w:hAnsi="Arial" w:cs="Arial"/>
                <w:sz w:val="20"/>
                <w:szCs w:val="20"/>
                <w:lang w:val="sl"/>
              </w:rPr>
              <w:t>]</w:t>
            </w:r>
            <w:r w:rsidRPr="00770D7F">
              <w:rPr>
                <w:rFonts w:ascii="Arial" w:hAnsi="Arial" w:cs="Arial"/>
                <w:sz w:val="20"/>
                <w:szCs w:val="20"/>
                <w:vertAlign w:val="subscript"/>
                <w:lang w:val="sl"/>
              </w:rPr>
              <w:t>n</w:t>
            </w:r>
            <w:r w:rsidRPr="00770D7F">
              <w:rPr>
                <w:rFonts w:ascii="Cambria Math" w:hAnsi="Cambria Math" w:cs="Cambria Math"/>
                <w:sz w:val="20"/>
                <w:szCs w:val="20"/>
                <w:lang w:val="sl"/>
              </w:rPr>
              <w:t>‐</w:t>
            </w:r>
            <w:r w:rsidRPr="00770D7F">
              <w:rPr>
                <w:rFonts w:ascii="Arial" w:hAnsi="Arial" w:cs="Arial"/>
                <w:sz w:val="20"/>
                <w:szCs w:val="20"/>
                <w:lang w:val="sl"/>
              </w:rPr>
              <w:t>R’, pri čemer: R’ = katera koli skupina, n &gt; 16;</w:t>
            </w:r>
          </w:p>
          <w:p w14:paraId="7949B291"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1B545D2A"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(iii) perfluoroalkilne karboksilne in fosfonične kisline (vključno z njihovimi solmi, estri, halidi in</w:t>
            </w:r>
          </w:p>
          <w:p w14:paraId="0E86CABC"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lastRenderedPageBreak/>
              <w:t>anhidridi) z ≥8 perfluoriranimi ogljiki;</w:t>
            </w:r>
          </w:p>
          <w:p w14:paraId="641C43CB"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2B61B71C"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(iv) perfluoroalkalne sulfonske kisline (vključno z njihovimi solmi, estri, halidi in anhidridi) z ≥9</w:t>
            </w:r>
          </w:p>
          <w:p w14:paraId="5EBA8A62" w14:textId="77777777" w:rsidR="00AF271B" w:rsidRPr="00770D7F" w:rsidRDefault="00AF271B" w:rsidP="00AF271B">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perfluoriranimi ogljiki;</w:t>
            </w:r>
          </w:p>
          <w:p w14:paraId="355BA9F1" w14:textId="77777777" w:rsidR="00AF271B" w:rsidRPr="00770D7F" w:rsidRDefault="00AF271B" w:rsidP="00AF271B">
            <w:pPr>
              <w:autoSpaceDE w:val="0"/>
              <w:autoSpaceDN w:val="0"/>
              <w:adjustRightInd w:val="0"/>
              <w:spacing w:after="0" w:line="240" w:lineRule="auto"/>
              <w:rPr>
                <w:rFonts w:ascii="Arial" w:hAnsi="Arial" w:cs="Arial"/>
                <w:sz w:val="20"/>
                <w:szCs w:val="20"/>
              </w:rPr>
            </w:pPr>
          </w:p>
          <w:p w14:paraId="5560FB93" w14:textId="18936250" w:rsidR="00AF271B" w:rsidRPr="00D548CF" w:rsidRDefault="00AF271B" w:rsidP="00AF271B">
            <w:pPr>
              <w:tabs>
                <w:tab w:val="left" w:pos="179"/>
              </w:tabs>
              <w:suppressAutoHyphens/>
              <w:snapToGrid w:val="0"/>
              <w:spacing w:before="40" w:after="40" w:line="240" w:lineRule="auto"/>
              <w:ind w:left="37"/>
              <w:rPr>
                <w:rFonts w:ascii="Arial" w:hAnsi="Arial" w:cs="Arial"/>
                <w:color w:val="000000"/>
                <w:sz w:val="18"/>
                <w:szCs w:val="18"/>
                <w:lang w:eastAsia="fr-CH"/>
              </w:rPr>
            </w:pPr>
            <w:r w:rsidRPr="00770D7F">
              <w:rPr>
                <w:rFonts w:ascii="Arial" w:hAnsi="Arial" w:cs="Arial"/>
                <w:sz w:val="20"/>
                <w:szCs w:val="20"/>
                <w:lang w:val="sl"/>
              </w:rPr>
              <w:t>(v) perfluorooktan sulfonska kislina (PFOS), njene soli in perfluorooktan sulfonil fluorid ter perfluorooktan sulfonil fluorid (PFPSF), kot so navedeni v Prilogi B h konvenciji.</w:t>
            </w:r>
          </w:p>
        </w:tc>
        <w:tc>
          <w:tcPr>
            <w:tcW w:w="0" w:type="auto"/>
            <w:tcBorders>
              <w:top w:val="single" w:sz="12" w:space="0" w:color="auto"/>
              <w:left w:val="nil"/>
              <w:bottom w:val="single" w:sz="4" w:space="0" w:color="auto"/>
              <w:right w:val="nil"/>
            </w:tcBorders>
            <w:shd w:val="clear" w:color="auto" w:fill="FFFFFF"/>
            <w:hideMark/>
          </w:tcPr>
          <w:p w14:paraId="04A01DE2" w14:textId="153A4080" w:rsidR="00AF271B" w:rsidRPr="00D548CF" w:rsidRDefault="00AF271B" w:rsidP="00AF271B">
            <w:pPr>
              <w:suppressAutoHyphens/>
              <w:snapToGrid w:val="0"/>
              <w:spacing w:before="40" w:after="40"/>
              <w:rPr>
                <w:rFonts w:ascii="Arial" w:hAnsi="Arial" w:cs="Arial"/>
                <w:color w:val="000000"/>
                <w:sz w:val="18"/>
                <w:szCs w:val="18"/>
                <w:lang w:eastAsia="fr-CH"/>
              </w:rPr>
            </w:pPr>
            <w:r>
              <w:rPr>
                <w:rFonts w:ascii="Arial" w:hAnsi="Arial" w:cs="Arial"/>
                <w:color w:val="000000"/>
                <w:sz w:val="18"/>
                <w:szCs w:val="18"/>
                <w:lang w:eastAsia="fr-CH"/>
              </w:rPr>
              <w:lastRenderedPageBreak/>
              <w:t>proizvodnja</w:t>
            </w:r>
            <w:r w:rsidRPr="00D548CF">
              <w:rPr>
                <w:rFonts w:ascii="Arial" w:hAnsi="Arial" w:cs="Arial"/>
                <w:color w:val="000000"/>
                <w:sz w:val="18"/>
                <w:szCs w:val="18"/>
                <w:lang w:eastAsia="fr-CH"/>
              </w:rPr>
              <w:t xml:space="preserve"> </w:t>
            </w:r>
          </w:p>
        </w:tc>
        <w:tc>
          <w:tcPr>
            <w:tcW w:w="0" w:type="auto"/>
            <w:tcBorders>
              <w:top w:val="single" w:sz="12" w:space="0" w:color="auto"/>
              <w:left w:val="nil"/>
              <w:bottom w:val="single" w:sz="4" w:space="0" w:color="auto"/>
              <w:right w:val="nil"/>
            </w:tcBorders>
            <w:shd w:val="clear" w:color="auto" w:fill="FFFFFF"/>
            <w:hideMark/>
          </w:tcPr>
          <w:p w14:paraId="300EA952" w14:textId="77777777" w:rsidR="00D72C95" w:rsidRPr="00770D7F" w:rsidRDefault="00D72C95" w:rsidP="00D72C95">
            <w:pPr>
              <w:pStyle w:val="ListParagraph"/>
              <w:numPr>
                <w:ilvl w:val="0"/>
                <w:numId w:val="35"/>
              </w:numPr>
              <w:autoSpaceDE w:val="0"/>
              <w:autoSpaceDN w:val="0"/>
              <w:adjustRightInd w:val="0"/>
              <w:spacing w:after="0" w:line="240" w:lineRule="auto"/>
              <w:rPr>
                <w:rFonts w:ascii="Arial" w:hAnsi="Arial" w:cs="Arial"/>
                <w:sz w:val="20"/>
                <w:szCs w:val="20"/>
                <w:lang w:val="sl"/>
              </w:rPr>
            </w:pPr>
            <w:r w:rsidRPr="00770D7F">
              <w:rPr>
                <w:rFonts w:ascii="Arial" w:hAnsi="Arial" w:cs="Arial"/>
                <w:sz w:val="20"/>
                <w:szCs w:val="20"/>
                <w:lang w:val="sl"/>
              </w:rPr>
              <w:t>gasilna pena: ne obstaja</w:t>
            </w:r>
          </w:p>
          <w:p w14:paraId="3D828136" w14:textId="77777777" w:rsidR="00D72C95" w:rsidRPr="00770D7F" w:rsidRDefault="00D72C95" w:rsidP="00D72C95">
            <w:pPr>
              <w:pStyle w:val="ListParagraph"/>
              <w:numPr>
                <w:ilvl w:val="0"/>
                <w:numId w:val="3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za drugo proizvodnjo, kot je dovoljeno</w:t>
            </w:r>
          </w:p>
          <w:p w14:paraId="5DD05BA7" w14:textId="52A3C6F6" w:rsidR="00AF271B" w:rsidRPr="00D548CF" w:rsidRDefault="00D72C95" w:rsidP="00D72C95">
            <w:pPr>
              <w:pStyle w:val="ListParagraph"/>
              <w:numPr>
                <w:ilvl w:val="0"/>
                <w:numId w:val="35"/>
              </w:numPr>
              <w:suppressAutoHyphens/>
              <w:snapToGrid w:val="0"/>
              <w:spacing w:before="40" w:after="40" w:line="240" w:lineRule="auto"/>
              <w:contextualSpacing w:val="0"/>
              <w:rPr>
                <w:rFonts w:ascii="Arial" w:hAnsi="Arial" w:cs="Arial"/>
                <w:color w:val="000000"/>
                <w:sz w:val="18"/>
                <w:szCs w:val="18"/>
                <w:lang w:val="en-GB" w:eastAsia="fr-CH"/>
              </w:rPr>
            </w:pPr>
            <w:r w:rsidRPr="00770D7F">
              <w:rPr>
                <w:rFonts w:ascii="Arial" w:hAnsi="Arial" w:cs="Arial"/>
                <w:sz w:val="20"/>
                <w:szCs w:val="20"/>
                <w:lang w:val="sl"/>
              </w:rPr>
              <w:t>za pogodbenice, navedene v registru, v skladu z določbami X. dela te priloge</w:t>
            </w:r>
          </w:p>
        </w:tc>
      </w:tr>
      <w:tr w:rsidR="00AF271B" w:rsidRPr="00D548CF" w14:paraId="38CE5C20" w14:textId="77777777" w:rsidTr="00E27632">
        <w:trPr>
          <w:trHeight w:val="57"/>
          <w:jc w:val="right"/>
        </w:trPr>
        <w:tc>
          <w:tcPr>
            <w:tcW w:w="0" w:type="auto"/>
            <w:vMerge/>
            <w:tcBorders>
              <w:top w:val="single" w:sz="12" w:space="0" w:color="auto"/>
              <w:left w:val="nil"/>
              <w:bottom w:val="single" w:sz="12" w:space="0" w:color="auto"/>
              <w:right w:val="nil"/>
            </w:tcBorders>
            <w:hideMark/>
          </w:tcPr>
          <w:p w14:paraId="7AA3A078" w14:textId="77777777" w:rsidR="00AF271B" w:rsidRPr="00D548CF" w:rsidRDefault="00AF271B" w:rsidP="00AF271B">
            <w:pPr>
              <w:spacing w:before="40" w:after="40"/>
              <w:rPr>
                <w:rFonts w:ascii="Arial" w:hAnsi="Arial" w:cs="Arial"/>
                <w:color w:val="000000"/>
                <w:sz w:val="18"/>
                <w:szCs w:val="18"/>
                <w:lang w:eastAsia="fr-CH"/>
              </w:rPr>
            </w:pPr>
          </w:p>
        </w:tc>
        <w:tc>
          <w:tcPr>
            <w:tcW w:w="0" w:type="auto"/>
            <w:tcBorders>
              <w:top w:val="single" w:sz="4" w:space="0" w:color="auto"/>
              <w:left w:val="nil"/>
              <w:bottom w:val="single" w:sz="12" w:space="0" w:color="auto"/>
              <w:right w:val="nil"/>
            </w:tcBorders>
            <w:hideMark/>
          </w:tcPr>
          <w:p w14:paraId="7250175F" w14:textId="16BF4AE5" w:rsidR="00AF271B" w:rsidRPr="00D548CF" w:rsidRDefault="00AF271B" w:rsidP="00AF271B">
            <w:pPr>
              <w:suppressAutoHyphens/>
              <w:snapToGrid w:val="0"/>
              <w:spacing w:before="40" w:after="40"/>
              <w:rPr>
                <w:rFonts w:ascii="Arial" w:hAnsi="Arial" w:cs="Arial"/>
                <w:color w:val="000000"/>
                <w:sz w:val="18"/>
                <w:szCs w:val="18"/>
                <w:lang w:eastAsia="fr-CH"/>
              </w:rPr>
            </w:pPr>
            <w:r>
              <w:rPr>
                <w:rFonts w:ascii="Arial" w:hAnsi="Arial" w:cs="Arial"/>
                <w:color w:val="000000"/>
                <w:sz w:val="18"/>
                <w:szCs w:val="18"/>
                <w:lang w:eastAsia="fr-CH"/>
              </w:rPr>
              <w:t>uporaba</w:t>
            </w:r>
          </w:p>
        </w:tc>
        <w:tc>
          <w:tcPr>
            <w:tcW w:w="0" w:type="auto"/>
            <w:tcBorders>
              <w:top w:val="single" w:sz="4" w:space="0" w:color="auto"/>
              <w:left w:val="nil"/>
              <w:bottom w:val="single" w:sz="12" w:space="0" w:color="auto"/>
              <w:right w:val="nil"/>
            </w:tcBorders>
            <w:hideMark/>
          </w:tcPr>
          <w:p w14:paraId="0C3E3232" w14:textId="77777777" w:rsidR="00D72C95" w:rsidRPr="00770D7F" w:rsidRDefault="00D72C95" w:rsidP="00D72C95">
            <w:p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v skladu z določbami X. dela te priloge:</w:t>
            </w:r>
          </w:p>
          <w:p w14:paraId="49186EAC"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lang w:val="sl"/>
              </w:rPr>
            </w:pPr>
            <w:r w:rsidRPr="00770D7F">
              <w:rPr>
                <w:rFonts w:ascii="Arial" w:hAnsi="Arial" w:cs="Arial"/>
                <w:sz w:val="20"/>
                <w:szCs w:val="20"/>
                <w:lang w:val="sl"/>
              </w:rPr>
              <w:t>fotolitografski postopki ali postopki jedkanja pri proizvodnji polprevodnikov</w:t>
            </w:r>
          </w:p>
          <w:p w14:paraId="495A9367"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eastAsia="SymbolMT" w:hAnsi="Arial" w:cs="Arial"/>
                <w:sz w:val="20"/>
                <w:szCs w:val="20"/>
              </w:rPr>
            </w:pPr>
            <w:r w:rsidRPr="00770D7F">
              <w:rPr>
                <w:rFonts w:ascii="Arial" w:hAnsi="Arial" w:cs="Arial"/>
                <w:sz w:val="20"/>
                <w:szCs w:val="20"/>
                <w:lang w:val="sl"/>
              </w:rPr>
              <w:t>fotografski premazi na filmih</w:t>
            </w:r>
          </w:p>
          <w:p w14:paraId="32D5A4DE"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vodo- ali oljeodbojne tkanine za zaščito delavcev pred nevarnimi tekočinami, ki pomenijo tveganje za njihovo zdravje in varnost</w:t>
            </w:r>
          </w:p>
          <w:p w14:paraId="4922B94E"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invazivni medicinski pripomočki in medicinski pripomočki za vsaditev</w:t>
            </w:r>
          </w:p>
          <w:p w14:paraId="542BCB50"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gasilna pena za zadušitev hlapov tekočih goriv in za požare tekočih goriv (požari razreda B) v vgrajenih sistemih, tako premičnih kot nepremičnih, v skladu z drugim odstavkom X. dela te priloge</w:t>
            </w:r>
          </w:p>
          <w:p w14:paraId="2F239E12"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uporaba perfluorooktil jodida za proizvodnjo perfuorooktil bromida za proizvodnjo farmacevtskih izdelkov v skladu s tretjim odstavkom X. dela te priloge</w:t>
            </w:r>
          </w:p>
          <w:p w14:paraId="0473E27F"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proizvodnja politetrafluoroetilena</w:t>
            </w:r>
          </w:p>
          <w:p w14:paraId="6CC4E053" w14:textId="77777777" w:rsidR="00D72C95" w:rsidRPr="00770D7F" w:rsidRDefault="00D72C95" w:rsidP="00D72C95">
            <w:pPr>
              <w:pStyle w:val="ListParagraph"/>
              <w:autoSpaceDE w:val="0"/>
              <w:autoSpaceDN w:val="0"/>
              <w:adjustRightInd w:val="0"/>
              <w:spacing w:after="0" w:line="240" w:lineRule="auto"/>
              <w:ind w:left="360"/>
              <w:rPr>
                <w:rFonts w:ascii="Arial" w:hAnsi="Arial" w:cs="Arial"/>
                <w:sz w:val="20"/>
                <w:szCs w:val="20"/>
              </w:rPr>
            </w:pPr>
            <w:r w:rsidRPr="00770D7F">
              <w:rPr>
                <w:rFonts w:ascii="Arial" w:hAnsi="Arial" w:cs="Arial"/>
                <w:sz w:val="20"/>
                <w:szCs w:val="20"/>
                <w:lang w:val="sl"/>
              </w:rPr>
              <w:t>(PTFE) in poliviniliden fluorida (PVDF) za proizvodnjo:</w:t>
            </w:r>
          </w:p>
          <w:p w14:paraId="57DEC736" w14:textId="77777777" w:rsidR="00D72C95" w:rsidRPr="00770D7F" w:rsidRDefault="00D72C95" w:rsidP="00D72C95">
            <w:pPr>
              <w:pStyle w:val="ListParagraph"/>
              <w:numPr>
                <w:ilvl w:val="1"/>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 xml:space="preserve">visokozmogljive in proti koroziji odporne membrane za plin, membrane za vodne filtre in </w:t>
            </w:r>
            <w:r w:rsidRPr="00770D7F">
              <w:rPr>
                <w:rFonts w:ascii="Arial" w:hAnsi="Arial" w:cs="Arial"/>
                <w:sz w:val="20"/>
                <w:szCs w:val="20"/>
                <w:lang w:val="sl"/>
              </w:rPr>
              <w:lastRenderedPageBreak/>
              <w:t>membrane za medicinske tkanine</w:t>
            </w:r>
          </w:p>
          <w:p w14:paraId="188D5496" w14:textId="77777777" w:rsidR="00D72C95" w:rsidRPr="00770D7F" w:rsidRDefault="00D72C95" w:rsidP="00D72C95">
            <w:pPr>
              <w:pStyle w:val="ListParagraph"/>
              <w:numPr>
                <w:ilvl w:val="1"/>
                <w:numId w:val="25"/>
              </w:numPr>
              <w:autoSpaceDE w:val="0"/>
              <w:autoSpaceDN w:val="0"/>
              <w:adjustRightInd w:val="0"/>
              <w:spacing w:after="0" w:line="240" w:lineRule="auto"/>
              <w:rPr>
                <w:rFonts w:ascii="Arial" w:hAnsi="Arial" w:cs="Arial"/>
                <w:sz w:val="20"/>
                <w:szCs w:val="20"/>
                <w:lang w:val="sl"/>
              </w:rPr>
            </w:pPr>
            <w:r w:rsidRPr="00770D7F">
              <w:rPr>
                <w:rFonts w:ascii="Arial" w:hAnsi="Arial" w:cs="Arial"/>
                <w:sz w:val="20"/>
                <w:szCs w:val="20"/>
                <w:lang w:val="sl"/>
              </w:rPr>
              <w:t xml:space="preserve">opreme za toplotne izmenjevalnike za industrijsko odpadno toploto </w:t>
            </w:r>
          </w:p>
          <w:p w14:paraId="00F2BC89" w14:textId="77777777" w:rsidR="00D72C95" w:rsidRPr="00770D7F" w:rsidRDefault="00D72C95" w:rsidP="00D72C95">
            <w:pPr>
              <w:pStyle w:val="ListParagraph"/>
              <w:numPr>
                <w:ilvl w:val="1"/>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industrijske tesnilne mase, ki lahko prepreči uhajanje hlapnih organskih spojin in delcev PM</w:t>
            </w:r>
            <w:r w:rsidRPr="00770D7F">
              <w:rPr>
                <w:rFonts w:ascii="Arial" w:hAnsi="Arial" w:cs="Arial"/>
                <w:sz w:val="20"/>
                <w:szCs w:val="20"/>
                <w:vertAlign w:val="subscript"/>
                <w:lang w:val="sl"/>
              </w:rPr>
              <w:t>2,5</w:t>
            </w:r>
            <w:r w:rsidRPr="00770D7F">
              <w:rPr>
                <w:rFonts w:ascii="Arial" w:hAnsi="Arial" w:cs="Arial"/>
                <w:sz w:val="20"/>
                <w:szCs w:val="20"/>
                <w:lang w:val="sl"/>
              </w:rPr>
              <w:t xml:space="preserve">  </w:t>
            </w:r>
          </w:p>
          <w:p w14:paraId="7B379687" w14:textId="77777777" w:rsidR="00D72C95" w:rsidRPr="00770D7F" w:rsidRDefault="00D72C95" w:rsidP="00D72C95">
            <w:pPr>
              <w:pStyle w:val="ListParagraph"/>
              <w:numPr>
                <w:ilvl w:val="0"/>
                <w:numId w:val="25"/>
              </w:numPr>
              <w:autoSpaceDE w:val="0"/>
              <w:autoSpaceDN w:val="0"/>
              <w:adjustRightInd w:val="0"/>
              <w:spacing w:after="0" w:line="240" w:lineRule="auto"/>
              <w:rPr>
                <w:rFonts w:ascii="Arial" w:hAnsi="Arial" w:cs="Arial"/>
                <w:sz w:val="20"/>
                <w:szCs w:val="20"/>
              </w:rPr>
            </w:pPr>
            <w:r w:rsidRPr="00770D7F">
              <w:rPr>
                <w:rFonts w:ascii="Arial" w:hAnsi="Arial" w:cs="Arial"/>
                <w:sz w:val="20"/>
                <w:szCs w:val="20"/>
                <w:lang w:val="sl"/>
              </w:rPr>
              <w:t>proizvodnja polifluoroetilen propilena (FEP) za proizvodnjo visokonapetostnih žic in kablov za prenos električne energije</w:t>
            </w:r>
          </w:p>
          <w:p w14:paraId="7BF2FC28" w14:textId="09F99E06" w:rsidR="00D72C95" w:rsidRPr="00D72C95" w:rsidRDefault="00D72C95" w:rsidP="00D72C95">
            <w:pPr>
              <w:pStyle w:val="ListParagraph"/>
              <w:numPr>
                <w:ilvl w:val="0"/>
                <w:numId w:val="25"/>
              </w:numPr>
              <w:suppressAutoHyphens/>
              <w:snapToGrid w:val="0"/>
              <w:spacing w:before="40" w:after="40" w:line="240" w:lineRule="auto"/>
              <w:contextualSpacing w:val="0"/>
              <w:rPr>
                <w:rFonts w:ascii="Arial" w:hAnsi="Arial" w:cs="Arial"/>
                <w:color w:val="000000"/>
                <w:sz w:val="18"/>
                <w:szCs w:val="18"/>
                <w:lang w:val="en-GB" w:eastAsia="fr-CH"/>
              </w:rPr>
            </w:pPr>
            <w:r w:rsidRPr="00770D7F">
              <w:rPr>
                <w:rFonts w:ascii="Arial" w:hAnsi="Arial" w:cs="Arial"/>
                <w:sz w:val="20"/>
                <w:szCs w:val="20"/>
                <w:lang w:val="sl"/>
              </w:rPr>
              <w:t>proizvodnja fluoroelastomerov za izdelavo O-tesnil, klinastih jermenov in plastičnih dodatkov za notranjost avtomobilov</w:t>
            </w:r>
          </w:p>
          <w:p w14:paraId="7C43C3DE" w14:textId="77777777" w:rsidR="00D72C95" w:rsidRPr="00D72C95" w:rsidRDefault="00D72C95" w:rsidP="00D72C95">
            <w:pPr>
              <w:suppressAutoHyphens/>
              <w:snapToGrid w:val="0"/>
              <w:spacing w:before="40" w:after="40" w:line="240" w:lineRule="auto"/>
              <w:rPr>
                <w:rFonts w:ascii="Arial" w:hAnsi="Arial" w:cs="Arial"/>
                <w:color w:val="000000"/>
                <w:sz w:val="18"/>
                <w:szCs w:val="18"/>
                <w:lang w:val="en-GB" w:eastAsia="fr-CH"/>
              </w:rPr>
            </w:pPr>
          </w:p>
          <w:p w14:paraId="4744E33C" w14:textId="27975E7A" w:rsidR="00AF271B" w:rsidRPr="00D72C95" w:rsidRDefault="00AF271B" w:rsidP="00D72C95">
            <w:pPr>
              <w:suppressAutoHyphens/>
              <w:snapToGrid w:val="0"/>
              <w:spacing w:before="40" w:after="40" w:line="240" w:lineRule="auto"/>
              <w:rPr>
                <w:rFonts w:ascii="Arial" w:hAnsi="Arial" w:cs="Arial"/>
                <w:color w:val="000000"/>
                <w:sz w:val="18"/>
                <w:szCs w:val="18"/>
                <w:lang w:val="en-GB" w:eastAsia="fr-CH"/>
              </w:rPr>
            </w:pPr>
          </w:p>
        </w:tc>
      </w:tr>
    </w:tbl>
    <w:p w14:paraId="7D68CFF5" w14:textId="77777777" w:rsidR="00AF271B" w:rsidRDefault="00AF271B" w:rsidP="00BE3A18">
      <w:pPr>
        <w:pStyle w:val="ListParagraph"/>
        <w:rPr>
          <w:rFonts w:ascii="Arial" w:hAnsi="Arial" w:cs="Arial"/>
          <w:sz w:val="20"/>
          <w:szCs w:val="20"/>
        </w:rPr>
      </w:pPr>
    </w:p>
    <w:p w14:paraId="2318EB49" w14:textId="77777777" w:rsidR="00AF271B" w:rsidRDefault="00AF271B" w:rsidP="00BE3A18">
      <w:pPr>
        <w:pStyle w:val="ListParagraph"/>
        <w:rPr>
          <w:rFonts w:ascii="Arial" w:hAnsi="Arial" w:cs="Arial"/>
          <w:sz w:val="20"/>
          <w:szCs w:val="20"/>
        </w:rPr>
      </w:pPr>
    </w:p>
    <w:p w14:paraId="02EC6D61" w14:textId="47204235" w:rsidR="00BE3A18" w:rsidRPr="00770D7F" w:rsidRDefault="00BE3A18" w:rsidP="005D5244">
      <w:pPr>
        <w:autoSpaceDE w:val="0"/>
        <w:autoSpaceDN w:val="0"/>
        <w:adjustRightInd w:val="0"/>
        <w:spacing w:after="0" w:line="240" w:lineRule="auto"/>
        <w:ind w:firstLine="708"/>
        <w:rPr>
          <w:rFonts w:ascii="Arial" w:hAnsi="Arial" w:cs="Arial"/>
          <w:sz w:val="20"/>
          <w:szCs w:val="20"/>
        </w:rPr>
      </w:pPr>
      <w:r w:rsidRPr="00770D7F">
        <w:rPr>
          <w:rFonts w:ascii="Arial" w:hAnsi="Arial" w:cs="Arial"/>
          <w:i/>
          <w:iCs/>
          <w:sz w:val="20"/>
          <w:szCs w:val="20"/>
          <w:lang w:val="sl"/>
        </w:rPr>
        <w:t xml:space="preserve">2. </w:t>
      </w:r>
      <w:r w:rsidR="005D5244">
        <w:rPr>
          <w:rFonts w:ascii="Arial" w:hAnsi="Arial" w:cs="Arial"/>
          <w:i/>
          <w:iCs/>
          <w:sz w:val="20"/>
          <w:szCs w:val="20"/>
          <w:lang w:val="sl"/>
        </w:rPr>
        <w:tab/>
      </w:r>
      <w:r w:rsidRPr="00770D7F">
        <w:rPr>
          <w:rFonts w:ascii="Arial" w:hAnsi="Arial" w:cs="Arial"/>
          <w:i/>
          <w:iCs/>
          <w:sz w:val="20"/>
          <w:szCs w:val="20"/>
          <w:lang w:val="sl"/>
        </w:rPr>
        <w:t>sklene tudi</w:t>
      </w:r>
      <w:r w:rsidRPr="00770D7F">
        <w:rPr>
          <w:rFonts w:ascii="Arial" w:hAnsi="Arial" w:cs="Arial"/>
          <w:sz w:val="20"/>
          <w:szCs w:val="20"/>
          <w:lang w:val="sl"/>
        </w:rPr>
        <w:t xml:space="preserve"> vstaviti nov X. del v Prilogo A k Stockholmski konvenciji o obstojnih organskih onesnaževalih, ki se glasi:</w:t>
      </w:r>
    </w:p>
    <w:p w14:paraId="432CDB55" w14:textId="77777777" w:rsidR="00BE3A18" w:rsidRPr="00770D7F" w:rsidRDefault="00BE3A18" w:rsidP="00BE3A18">
      <w:pPr>
        <w:autoSpaceDE w:val="0"/>
        <w:autoSpaceDN w:val="0"/>
        <w:adjustRightInd w:val="0"/>
        <w:spacing w:after="0" w:line="240" w:lineRule="auto"/>
        <w:rPr>
          <w:rFonts w:ascii="Arial" w:hAnsi="Arial" w:cs="Arial"/>
          <w:b/>
          <w:bCs/>
          <w:sz w:val="20"/>
          <w:szCs w:val="20"/>
        </w:rPr>
      </w:pPr>
    </w:p>
    <w:p w14:paraId="2AE73575" w14:textId="77777777" w:rsidR="00BE3A18" w:rsidRPr="00770D7F" w:rsidRDefault="00BE3A18" w:rsidP="00BE3A18">
      <w:pPr>
        <w:autoSpaceDE w:val="0"/>
        <w:autoSpaceDN w:val="0"/>
        <w:adjustRightInd w:val="0"/>
        <w:spacing w:after="0" w:line="240" w:lineRule="auto"/>
        <w:jc w:val="center"/>
        <w:rPr>
          <w:rFonts w:ascii="Arial" w:hAnsi="Arial" w:cs="Arial"/>
          <w:b/>
          <w:bCs/>
          <w:sz w:val="20"/>
          <w:szCs w:val="20"/>
        </w:rPr>
      </w:pPr>
      <w:r w:rsidRPr="00770D7F">
        <w:rPr>
          <w:rFonts w:ascii="Arial" w:hAnsi="Arial" w:cs="Arial"/>
          <w:b/>
          <w:bCs/>
          <w:sz w:val="20"/>
          <w:szCs w:val="20"/>
          <w:lang w:val="sl"/>
        </w:rPr>
        <w:t>X. del</w:t>
      </w:r>
    </w:p>
    <w:p w14:paraId="02FA915D" w14:textId="77777777" w:rsidR="00BE3A18" w:rsidRPr="00770D7F" w:rsidRDefault="00BE3A18" w:rsidP="00BE3A18">
      <w:pPr>
        <w:autoSpaceDE w:val="0"/>
        <w:autoSpaceDN w:val="0"/>
        <w:adjustRightInd w:val="0"/>
        <w:spacing w:after="0" w:line="240" w:lineRule="auto"/>
        <w:jc w:val="center"/>
        <w:rPr>
          <w:rFonts w:ascii="Arial" w:hAnsi="Arial" w:cs="Arial"/>
          <w:b/>
          <w:bCs/>
          <w:sz w:val="20"/>
          <w:szCs w:val="20"/>
        </w:rPr>
      </w:pPr>
      <w:r w:rsidRPr="00770D7F">
        <w:rPr>
          <w:rFonts w:ascii="Arial" w:hAnsi="Arial" w:cs="Arial"/>
          <w:b/>
          <w:bCs/>
          <w:sz w:val="20"/>
          <w:szCs w:val="20"/>
          <w:lang w:val="sl"/>
        </w:rPr>
        <w:t>Perfluorooktanojska kislina (PFOA), njene soli in spojine, sorodne PFOA</w:t>
      </w:r>
    </w:p>
    <w:p w14:paraId="61A757AD"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6BDB7F35" w14:textId="3B98D3C8" w:rsidR="00BE3A18" w:rsidRPr="00770D7F" w:rsidRDefault="00BE3A18" w:rsidP="005D524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1. </w:t>
      </w:r>
      <w:r w:rsidR="005D5244">
        <w:rPr>
          <w:rFonts w:ascii="Arial" w:hAnsi="Arial" w:cs="Arial"/>
          <w:sz w:val="20"/>
          <w:szCs w:val="20"/>
          <w:lang w:val="sl"/>
        </w:rPr>
        <w:tab/>
      </w:r>
      <w:r w:rsidRPr="00770D7F">
        <w:rPr>
          <w:rFonts w:ascii="Arial" w:hAnsi="Arial" w:cs="Arial"/>
          <w:sz w:val="20"/>
          <w:szCs w:val="20"/>
          <w:lang w:val="sl"/>
        </w:rPr>
        <w:t>Odpravita se proizvodnja in uporaba perfluorooktanojske kisline (PFOA), njenih soli in spojin, sorodnih PFOA, razen za pogodbenice, ki so uradno obvestile Sekretariat, da jih nameravajo proizvajati in/ali uporabljati v skladu s 4. členom konvencije.</w:t>
      </w:r>
    </w:p>
    <w:p w14:paraId="5EAC12A8"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0A54A15C" w14:textId="7101620A" w:rsidR="00BE3A18" w:rsidRPr="00770D7F" w:rsidRDefault="00BE3A18" w:rsidP="005D5244">
      <w:pPr>
        <w:autoSpaceDE w:val="0"/>
        <w:autoSpaceDN w:val="0"/>
        <w:adjustRightInd w:val="0"/>
        <w:spacing w:after="0" w:line="240" w:lineRule="auto"/>
        <w:ind w:firstLine="708"/>
        <w:rPr>
          <w:rFonts w:ascii="Arial" w:hAnsi="Arial" w:cs="Arial"/>
          <w:sz w:val="20"/>
          <w:szCs w:val="20"/>
        </w:rPr>
      </w:pPr>
      <w:r w:rsidRPr="00770D7F">
        <w:rPr>
          <w:rFonts w:ascii="Arial" w:hAnsi="Arial" w:cs="Arial"/>
          <w:sz w:val="20"/>
          <w:szCs w:val="20"/>
          <w:lang w:val="sl"/>
        </w:rPr>
        <w:t xml:space="preserve">2. </w:t>
      </w:r>
      <w:r w:rsidR="005D5244">
        <w:rPr>
          <w:rFonts w:ascii="Arial" w:hAnsi="Arial" w:cs="Arial"/>
          <w:sz w:val="20"/>
          <w:szCs w:val="20"/>
          <w:lang w:val="sl"/>
        </w:rPr>
        <w:tab/>
      </w:r>
      <w:r w:rsidRPr="00770D7F">
        <w:rPr>
          <w:rFonts w:ascii="Arial" w:hAnsi="Arial" w:cs="Arial"/>
          <w:sz w:val="20"/>
          <w:szCs w:val="20"/>
          <w:lang w:val="sl"/>
        </w:rPr>
        <w:t>Vsaka pogodbenica, ki je v skladu s 4. členom registrirana za posebno izjemo za uporabo PFOA, soli PFOA in spojin, sorodnih PFOA, v gasilni peni:</w:t>
      </w:r>
    </w:p>
    <w:p w14:paraId="6BBEF03B" w14:textId="77777777" w:rsidR="00BE3A18" w:rsidRPr="00770D7F" w:rsidRDefault="00BE3A18" w:rsidP="00BE3A18">
      <w:pPr>
        <w:autoSpaceDE w:val="0"/>
        <w:autoSpaceDN w:val="0"/>
        <w:adjustRightInd w:val="0"/>
        <w:spacing w:after="0" w:line="240" w:lineRule="auto"/>
        <w:rPr>
          <w:rFonts w:ascii="Arial" w:hAnsi="Arial" w:cs="Arial"/>
          <w:sz w:val="20"/>
          <w:szCs w:val="20"/>
        </w:rPr>
      </w:pPr>
    </w:p>
    <w:p w14:paraId="1712EEEA" w14:textId="5D1B1749" w:rsidR="00BE3A18" w:rsidRPr="00770D7F" w:rsidRDefault="00BE3A18" w:rsidP="00BE3A18">
      <w:pPr>
        <w:autoSpaceDE w:val="0"/>
        <w:autoSpaceDN w:val="0"/>
        <w:adjustRightInd w:val="0"/>
        <w:spacing w:after="0" w:line="240" w:lineRule="auto"/>
        <w:ind w:left="708"/>
        <w:rPr>
          <w:rFonts w:ascii="Arial" w:hAnsi="Arial" w:cs="Arial"/>
          <w:sz w:val="20"/>
          <w:szCs w:val="20"/>
        </w:rPr>
      </w:pPr>
      <w:r w:rsidRPr="00770D7F">
        <w:rPr>
          <w:rFonts w:ascii="Arial" w:hAnsi="Arial" w:cs="Arial"/>
          <w:sz w:val="20"/>
          <w:szCs w:val="20"/>
          <w:lang w:val="sl"/>
        </w:rPr>
        <w:t xml:space="preserve">(a) </w:t>
      </w:r>
      <w:r w:rsidR="005D5244">
        <w:rPr>
          <w:rFonts w:ascii="Arial" w:hAnsi="Arial" w:cs="Arial"/>
          <w:sz w:val="20"/>
          <w:szCs w:val="20"/>
          <w:lang w:val="sl"/>
        </w:rPr>
        <w:tab/>
      </w:r>
      <w:r w:rsidRPr="00770D7F">
        <w:rPr>
          <w:rFonts w:ascii="Arial" w:hAnsi="Arial" w:cs="Arial"/>
          <w:sz w:val="20"/>
          <w:szCs w:val="20"/>
          <w:lang w:val="sl"/>
        </w:rPr>
        <w:t>ne glede na določbe drugega odstavka 3. člena zagotovi, da se gasilna pena, ki vsebuje ali bi lahko vsebovala PFOA, njene soli in spojine, sorodne PFOA, ne izvaža ali uvaža, razen za namene okolju primernega odstranjevanja iz pododstavka (d) prvega odstavka 6. člena;</w:t>
      </w:r>
    </w:p>
    <w:p w14:paraId="4C6434A4"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3B4442CF" w14:textId="73593CE2" w:rsidR="00BE3A18" w:rsidRPr="00770D7F" w:rsidRDefault="00BE3A18" w:rsidP="00BE3A18">
      <w:pPr>
        <w:autoSpaceDE w:val="0"/>
        <w:autoSpaceDN w:val="0"/>
        <w:adjustRightInd w:val="0"/>
        <w:spacing w:after="0" w:line="240" w:lineRule="auto"/>
        <w:ind w:left="708"/>
        <w:rPr>
          <w:rFonts w:ascii="Arial" w:hAnsi="Arial" w:cs="Arial"/>
          <w:sz w:val="20"/>
          <w:szCs w:val="20"/>
        </w:rPr>
      </w:pPr>
      <w:r w:rsidRPr="00770D7F">
        <w:rPr>
          <w:rFonts w:ascii="Arial" w:hAnsi="Arial" w:cs="Arial"/>
          <w:sz w:val="20"/>
          <w:szCs w:val="20"/>
          <w:lang w:val="sl"/>
        </w:rPr>
        <w:t xml:space="preserve">(b) </w:t>
      </w:r>
      <w:r w:rsidR="005D5244">
        <w:rPr>
          <w:rFonts w:ascii="Arial" w:hAnsi="Arial" w:cs="Arial"/>
          <w:sz w:val="20"/>
          <w:szCs w:val="20"/>
          <w:lang w:val="sl"/>
        </w:rPr>
        <w:tab/>
      </w:r>
      <w:r w:rsidRPr="00770D7F">
        <w:rPr>
          <w:rFonts w:ascii="Arial" w:hAnsi="Arial" w:cs="Arial"/>
          <w:sz w:val="20"/>
          <w:szCs w:val="20"/>
          <w:lang w:val="sl"/>
        </w:rPr>
        <w:t>ne uporablja gasilne pene, ki vsebuje ali bi lahko vsebovala PFOA, njene soli in spojine, sorodne PFOA, za usposabljanje;</w:t>
      </w:r>
    </w:p>
    <w:p w14:paraId="44C3C0C3"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24C6D035" w14:textId="4181A37C" w:rsidR="00BE3A18" w:rsidRPr="00770D7F" w:rsidRDefault="00BE3A18" w:rsidP="00BE3A18">
      <w:pPr>
        <w:autoSpaceDE w:val="0"/>
        <w:autoSpaceDN w:val="0"/>
        <w:adjustRightInd w:val="0"/>
        <w:spacing w:after="0" w:line="240" w:lineRule="auto"/>
        <w:ind w:left="708"/>
        <w:rPr>
          <w:rFonts w:ascii="Arial" w:hAnsi="Arial" w:cs="Arial"/>
          <w:sz w:val="20"/>
          <w:szCs w:val="20"/>
        </w:rPr>
      </w:pPr>
      <w:r w:rsidRPr="00770D7F">
        <w:rPr>
          <w:rFonts w:ascii="Arial" w:hAnsi="Arial" w:cs="Arial"/>
          <w:sz w:val="20"/>
          <w:szCs w:val="20"/>
          <w:lang w:val="sl"/>
        </w:rPr>
        <w:t xml:space="preserve">(c) </w:t>
      </w:r>
      <w:r w:rsidR="005D5244">
        <w:rPr>
          <w:rFonts w:ascii="Arial" w:hAnsi="Arial" w:cs="Arial"/>
          <w:sz w:val="20"/>
          <w:szCs w:val="20"/>
          <w:lang w:val="sl"/>
        </w:rPr>
        <w:tab/>
      </w:r>
      <w:r w:rsidRPr="00770D7F">
        <w:rPr>
          <w:rFonts w:ascii="Arial" w:hAnsi="Arial" w:cs="Arial"/>
          <w:sz w:val="20"/>
          <w:szCs w:val="20"/>
          <w:lang w:val="sl"/>
        </w:rPr>
        <w:t>ne uporablja gasilne pene, ki vsebuje ali bi lahko vsebovala PFOA, njene soli in spojine, sorodne PFOA, za testiranje, razen tam, kjer je mogoče vse izpuste zadržati;</w:t>
      </w:r>
    </w:p>
    <w:p w14:paraId="7A2E5326"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5E38C719" w14:textId="2569AFC7" w:rsidR="00BE3A18" w:rsidRPr="00770D7F" w:rsidRDefault="00BE3A18" w:rsidP="00BE3A18">
      <w:pPr>
        <w:autoSpaceDE w:val="0"/>
        <w:autoSpaceDN w:val="0"/>
        <w:adjustRightInd w:val="0"/>
        <w:spacing w:after="0" w:line="240" w:lineRule="auto"/>
        <w:ind w:left="708"/>
        <w:rPr>
          <w:rFonts w:ascii="Arial" w:hAnsi="Arial" w:cs="Arial"/>
          <w:sz w:val="20"/>
          <w:szCs w:val="20"/>
        </w:rPr>
      </w:pPr>
      <w:r w:rsidRPr="00770D7F">
        <w:rPr>
          <w:rFonts w:ascii="Arial" w:hAnsi="Arial" w:cs="Arial"/>
          <w:sz w:val="20"/>
          <w:szCs w:val="20"/>
          <w:lang w:val="sl"/>
        </w:rPr>
        <w:t xml:space="preserve">(d) </w:t>
      </w:r>
      <w:r w:rsidR="005D5244">
        <w:rPr>
          <w:rFonts w:ascii="Arial" w:hAnsi="Arial" w:cs="Arial"/>
          <w:sz w:val="20"/>
          <w:szCs w:val="20"/>
          <w:lang w:val="sl"/>
        </w:rPr>
        <w:tab/>
      </w:r>
      <w:r w:rsidRPr="00770D7F">
        <w:rPr>
          <w:rFonts w:ascii="Arial" w:hAnsi="Arial" w:cs="Arial"/>
          <w:sz w:val="20"/>
          <w:szCs w:val="20"/>
          <w:lang w:val="sl"/>
        </w:rPr>
        <w:t>do konca leta 2022, če ima zmogljivosti, da to stori, najpozneje pa do konca leta 2025 omeji uporabo gasilne pene, ki vsebuje ali bi lahko vsebovala PFOA, njene soli in spojine, sorodne PFOA, na območja, kjer je mogoče vse izpuste zadržati;</w:t>
      </w:r>
    </w:p>
    <w:p w14:paraId="433AF24F"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476E8D93" w14:textId="62893610" w:rsidR="00BE3A18" w:rsidRPr="00770D7F" w:rsidRDefault="00BE3A18" w:rsidP="00BE3A18">
      <w:pPr>
        <w:autoSpaceDE w:val="0"/>
        <w:autoSpaceDN w:val="0"/>
        <w:adjustRightInd w:val="0"/>
        <w:spacing w:after="0" w:line="240" w:lineRule="auto"/>
        <w:ind w:left="708"/>
        <w:rPr>
          <w:rFonts w:ascii="Arial" w:hAnsi="Arial" w:cs="Arial"/>
          <w:sz w:val="20"/>
          <w:szCs w:val="20"/>
        </w:rPr>
      </w:pPr>
      <w:r w:rsidRPr="00770D7F">
        <w:rPr>
          <w:rFonts w:ascii="Arial" w:hAnsi="Arial" w:cs="Arial"/>
          <w:sz w:val="20"/>
          <w:szCs w:val="20"/>
          <w:lang w:val="sl"/>
        </w:rPr>
        <w:t xml:space="preserve">(e) </w:t>
      </w:r>
      <w:r w:rsidR="005D5244">
        <w:rPr>
          <w:rFonts w:ascii="Arial" w:hAnsi="Arial" w:cs="Arial"/>
          <w:sz w:val="20"/>
          <w:szCs w:val="20"/>
          <w:lang w:val="sl"/>
        </w:rPr>
        <w:tab/>
      </w:r>
      <w:r w:rsidRPr="00770D7F">
        <w:rPr>
          <w:rFonts w:ascii="Arial" w:hAnsi="Arial" w:cs="Arial"/>
          <w:sz w:val="20"/>
          <w:szCs w:val="20"/>
          <w:lang w:val="sl"/>
        </w:rPr>
        <w:t xml:space="preserve">čim prej sprejme odločne ukrepe za okolju primerno ravnanje z zalogami gasilne pene in odpadki, ki vsebujejo ali bi lahko vsebovali PFOA, njene soli in spojine, sorodne PFOA, v skladu s prvim odstavkom 6. člena. </w:t>
      </w:r>
    </w:p>
    <w:p w14:paraId="773A282D" w14:textId="77777777" w:rsidR="00BE3A18" w:rsidRPr="00770D7F" w:rsidRDefault="00BE3A18" w:rsidP="00BE3A18">
      <w:pPr>
        <w:autoSpaceDE w:val="0"/>
        <w:autoSpaceDN w:val="0"/>
        <w:adjustRightInd w:val="0"/>
        <w:spacing w:after="0" w:line="240" w:lineRule="auto"/>
        <w:ind w:left="708"/>
        <w:rPr>
          <w:rFonts w:ascii="Arial" w:hAnsi="Arial" w:cs="Arial"/>
          <w:sz w:val="20"/>
          <w:szCs w:val="20"/>
        </w:rPr>
      </w:pPr>
    </w:p>
    <w:p w14:paraId="413DDD38" w14:textId="0D4C95B5" w:rsidR="00BE3A18" w:rsidRPr="00770D7F" w:rsidRDefault="00BE3A18" w:rsidP="00F70C60">
      <w:pPr>
        <w:autoSpaceDE w:val="0"/>
        <w:autoSpaceDN w:val="0"/>
        <w:adjustRightInd w:val="0"/>
        <w:spacing w:after="0" w:line="240" w:lineRule="auto"/>
        <w:ind w:firstLine="708"/>
        <w:rPr>
          <w:rFonts w:ascii="Arial" w:hAnsi="Arial" w:cs="Arial"/>
          <w:b/>
          <w:bCs/>
          <w:sz w:val="20"/>
          <w:szCs w:val="20"/>
        </w:rPr>
      </w:pPr>
      <w:r w:rsidRPr="00770D7F">
        <w:rPr>
          <w:rFonts w:ascii="Arial" w:hAnsi="Arial" w:cs="Arial"/>
          <w:sz w:val="20"/>
          <w:szCs w:val="20"/>
          <w:lang w:val="sl"/>
        </w:rPr>
        <w:t xml:space="preserve">3. </w:t>
      </w:r>
      <w:r w:rsidR="005D5244">
        <w:rPr>
          <w:rFonts w:ascii="Arial" w:hAnsi="Arial" w:cs="Arial"/>
          <w:sz w:val="20"/>
          <w:szCs w:val="20"/>
          <w:lang w:val="sl"/>
        </w:rPr>
        <w:tab/>
      </w:r>
      <w:r w:rsidRPr="00770D7F">
        <w:rPr>
          <w:rFonts w:ascii="Arial" w:hAnsi="Arial" w:cs="Arial"/>
          <w:sz w:val="20"/>
          <w:szCs w:val="20"/>
          <w:lang w:val="sl"/>
        </w:rPr>
        <w:t xml:space="preserve">Na svojem trinajstem rednem zasedanju in na vsakem drugem rednem zasedanju zatem Konferenca pogodbenic presodi, ali je še potreba po posebni izjemi glede uporabe perfluorooktil jodida za proizvodnjo perfuorooktil bromida za proizvodnjo farmacevtskih izdelkov. Ta posebna izjema v vsakem primeru preneha veljati najpozneje leta 2036. </w:t>
      </w:r>
    </w:p>
    <w:p w14:paraId="7F4FDA27" w14:textId="77777777" w:rsidR="00FE235C" w:rsidRDefault="00FE235C" w:rsidP="00BE3A18">
      <w:pPr>
        <w:rPr>
          <w:rFonts w:ascii="Arial" w:hAnsi="Arial" w:cs="Arial"/>
          <w:b/>
          <w:bCs/>
          <w:i/>
          <w:sz w:val="20"/>
          <w:szCs w:val="20"/>
          <w:highlight w:val="cyan"/>
          <w:u w:val="single"/>
        </w:rPr>
        <w:sectPr w:rsidR="00FE235C" w:rsidSect="00D66C83">
          <w:footnotePr>
            <w:numRestart w:val="eachSect"/>
          </w:footnotePr>
          <w:pgSz w:w="11906" w:h="16838"/>
          <w:pgMar w:top="1417" w:right="1417" w:bottom="1417" w:left="1417" w:header="708" w:footer="708" w:gutter="0"/>
          <w:cols w:space="708"/>
          <w:docGrid w:linePitch="360"/>
        </w:sectPr>
      </w:pPr>
    </w:p>
    <w:p w14:paraId="17DC6514" w14:textId="77777777" w:rsidR="00BE3A18" w:rsidRPr="00251361" w:rsidRDefault="00BE3A18" w:rsidP="00BE3A18">
      <w:pPr>
        <w:rPr>
          <w:rFonts w:ascii="Arial" w:hAnsi="Arial" w:cs="Arial"/>
          <w:sz w:val="28"/>
          <w:szCs w:val="28"/>
        </w:rPr>
      </w:pPr>
      <w:r w:rsidRPr="00251361">
        <w:rPr>
          <w:rFonts w:ascii="Arial" w:hAnsi="Arial" w:cs="Arial"/>
          <w:b/>
          <w:bCs/>
          <w:sz w:val="28"/>
          <w:szCs w:val="28"/>
          <w:lang w:val="sl"/>
        </w:rPr>
        <w:lastRenderedPageBreak/>
        <w:t>SC-10/13: Uvrstitev perfluoroheksan sulfonske kisline (PFHxS), njenih soli in spojin, sorodnih PFHxS</w:t>
      </w:r>
      <w:r w:rsidRPr="00251361">
        <w:rPr>
          <w:rFonts w:ascii="Arial" w:hAnsi="Arial" w:cs="Arial"/>
          <w:sz w:val="28"/>
          <w:szCs w:val="28"/>
          <w:lang w:val="sl"/>
        </w:rPr>
        <w:t xml:space="preserve"> </w:t>
      </w:r>
    </w:p>
    <w:p w14:paraId="7D1E74E6" w14:textId="77777777" w:rsidR="00BE3A18" w:rsidRPr="00770D7F" w:rsidRDefault="00BE3A18" w:rsidP="00251361">
      <w:pPr>
        <w:ind w:firstLine="708"/>
        <w:rPr>
          <w:rFonts w:ascii="Arial" w:hAnsi="Arial" w:cs="Arial"/>
          <w:sz w:val="20"/>
          <w:szCs w:val="20"/>
        </w:rPr>
      </w:pPr>
      <w:r w:rsidRPr="00251361">
        <w:rPr>
          <w:rFonts w:ascii="Arial" w:hAnsi="Arial" w:cs="Arial"/>
          <w:i/>
          <w:iCs/>
          <w:sz w:val="20"/>
          <w:szCs w:val="20"/>
          <w:lang w:val="sl"/>
        </w:rPr>
        <w:t>Konferenca pogodbenic</w:t>
      </w:r>
      <w:r w:rsidRPr="00770D7F">
        <w:rPr>
          <w:rFonts w:ascii="Arial" w:hAnsi="Arial" w:cs="Arial"/>
          <w:sz w:val="20"/>
          <w:szCs w:val="20"/>
          <w:lang w:val="sl"/>
        </w:rPr>
        <w:t xml:space="preserve">, </w:t>
      </w:r>
    </w:p>
    <w:p w14:paraId="14778415" w14:textId="77777777" w:rsidR="00BE3A18" w:rsidRPr="00770D7F" w:rsidRDefault="00BE3A18" w:rsidP="00251361">
      <w:pPr>
        <w:ind w:firstLine="708"/>
        <w:rPr>
          <w:rFonts w:ascii="Arial" w:hAnsi="Arial" w:cs="Arial"/>
          <w:sz w:val="20"/>
          <w:szCs w:val="20"/>
        </w:rPr>
      </w:pPr>
      <w:r w:rsidRPr="00251361">
        <w:rPr>
          <w:rFonts w:ascii="Arial" w:hAnsi="Arial" w:cs="Arial"/>
          <w:i/>
          <w:iCs/>
          <w:sz w:val="20"/>
          <w:szCs w:val="20"/>
          <w:lang w:val="sl"/>
        </w:rPr>
        <w:t>glede na</w:t>
      </w:r>
      <w:r w:rsidRPr="00770D7F">
        <w:rPr>
          <w:rFonts w:ascii="Arial" w:hAnsi="Arial" w:cs="Arial"/>
          <w:sz w:val="20"/>
          <w:szCs w:val="20"/>
          <w:lang w:val="sl"/>
        </w:rPr>
        <w:t xml:space="preserve"> opis tveganja in oceno obvladovanja tveganja za perfluoroheksan sulfonsko kislino (PFHxS), njene soli in spojine, sorodne PFHxS, kot ju je poslal Odbor za pregled obstojnih organskih onesnaževal,</w:t>
      </w:r>
      <w:r w:rsidRPr="00770D7F">
        <w:rPr>
          <w:rStyle w:val="FootnoteReference"/>
          <w:rFonts w:ascii="Arial" w:hAnsi="Arial" w:cs="Arial"/>
          <w:sz w:val="20"/>
          <w:szCs w:val="20"/>
          <w:lang w:val="sl"/>
        </w:rPr>
        <w:footnoteReference w:id="85"/>
      </w:r>
    </w:p>
    <w:p w14:paraId="4812DC17" w14:textId="77777777" w:rsidR="00BE3A18" w:rsidRPr="00770D7F" w:rsidRDefault="00BE3A18" w:rsidP="00251361">
      <w:pPr>
        <w:ind w:firstLine="708"/>
        <w:rPr>
          <w:rFonts w:ascii="Arial" w:hAnsi="Arial" w:cs="Arial"/>
          <w:sz w:val="20"/>
          <w:szCs w:val="20"/>
        </w:rPr>
      </w:pPr>
      <w:r w:rsidRPr="00251361">
        <w:rPr>
          <w:rFonts w:ascii="Arial" w:hAnsi="Arial" w:cs="Arial"/>
          <w:i/>
          <w:iCs/>
          <w:sz w:val="20"/>
          <w:szCs w:val="20"/>
          <w:lang w:val="sl"/>
        </w:rPr>
        <w:t>ob upoštevanju</w:t>
      </w:r>
      <w:r w:rsidRPr="00770D7F">
        <w:rPr>
          <w:rFonts w:ascii="Arial" w:hAnsi="Arial" w:cs="Arial"/>
          <w:sz w:val="20"/>
          <w:szCs w:val="20"/>
          <w:lang w:val="sl"/>
        </w:rPr>
        <w:t xml:space="preserve"> priporočila Odbora za pregled obstojnih organskih onesnaževal, da se PFHxS, njene soli in spojine, sorodne PFHxS, uvrstijo v Prilogo A k Stockholmski konvenciji o obstojnih organskih onesnaževalih brez posebnih izjem,</w:t>
      </w:r>
      <w:r w:rsidRPr="00770D7F">
        <w:rPr>
          <w:rStyle w:val="FootnoteReference"/>
          <w:rFonts w:ascii="Arial" w:hAnsi="Arial" w:cs="Arial"/>
          <w:sz w:val="20"/>
          <w:szCs w:val="20"/>
          <w:lang w:val="sl"/>
        </w:rPr>
        <w:footnoteReference w:id="86"/>
      </w:r>
    </w:p>
    <w:p w14:paraId="16923C9E" w14:textId="77777777" w:rsidR="00BE3A18" w:rsidRDefault="00BE3A18" w:rsidP="00251361">
      <w:pPr>
        <w:ind w:firstLine="708"/>
        <w:rPr>
          <w:rFonts w:ascii="Arial" w:hAnsi="Arial" w:cs="Arial"/>
          <w:sz w:val="20"/>
          <w:szCs w:val="20"/>
          <w:lang w:val="sl"/>
        </w:rPr>
      </w:pPr>
      <w:r w:rsidRPr="00251361">
        <w:rPr>
          <w:rFonts w:ascii="Arial" w:hAnsi="Arial" w:cs="Arial"/>
          <w:i/>
          <w:iCs/>
          <w:sz w:val="20"/>
          <w:szCs w:val="20"/>
          <w:lang w:val="sl"/>
        </w:rPr>
        <w:t>sklene</w:t>
      </w:r>
      <w:r w:rsidRPr="00770D7F">
        <w:rPr>
          <w:rFonts w:ascii="Arial" w:hAnsi="Arial" w:cs="Arial"/>
          <w:sz w:val="20"/>
          <w:szCs w:val="20"/>
          <w:lang w:val="sl"/>
        </w:rPr>
        <w:t xml:space="preserve"> spremeniti I. del Priloge A k Stockholmski konvenciji o obstojnih organskih onesnaževalih, tako da se vanj uvrstijo PFHxS, njene soli in spojine, sorodne PFHxS brez posebnih izjem, in sicer tako, da se vstavi naslednja vrstica: </w:t>
      </w:r>
    </w:p>
    <w:p w14:paraId="64C27B5F" w14:textId="77777777" w:rsidR="00251361" w:rsidRDefault="00251361" w:rsidP="00251361">
      <w:pPr>
        <w:ind w:firstLine="708"/>
        <w:rPr>
          <w:rFonts w:ascii="Arial" w:hAnsi="Arial" w:cs="Arial"/>
          <w:sz w:val="20"/>
          <w:szCs w:val="20"/>
        </w:rPr>
      </w:pPr>
    </w:p>
    <w:tbl>
      <w:tblPr>
        <w:tblW w:w="8307" w:type="dxa"/>
        <w:jc w:val="right"/>
        <w:tblLayout w:type="fixed"/>
        <w:tblLook w:val="0000" w:firstRow="0" w:lastRow="0" w:firstColumn="0" w:lastColumn="0" w:noHBand="0" w:noVBand="0"/>
      </w:tblPr>
      <w:tblGrid>
        <w:gridCol w:w="3398"/>
        <w:gridCol w:w="2332"/>
        <w:gridCol w:w="2577"/>
      </w:tblGrid>
      <w:tr w:rsidR="00251361" w:rsidRPr="00D548CF" w14:paraId="6E81A178" w14:textId="77777777" w:rsidTr="00E27632">
        <w:trPr>
          <w:trHeight w:val="57"/>
          <w:jc w:val="right"/>
        </w:trPr>
        <w:tc>
          <w:tcPr>
            <w:tcW w:w="3398" w:type="dxa"/>
            <w:tcBorders>
              <w:top w:val="single" w:sz="4" w:space="0" w:color="auto"/>
              <w:bottom w:val="single" w:sz="12" w:space="0" w:color="auto"/>
            </w:tcBorders>
            <w:shd w:val="clear" w:color="auto" w:fill="FFFFFF"/>
            <w:vAlign w:val="bottom"/>
          </w:tcPr>
          <w:p w14:paraId="15F9CDBC" w14:textId="3828FC35" w:rsidR="00251361" w:rsidRPr="00D548CF" w:rsidRDefault="00251361" w:rsidP="00E27632">
            <w:pPr>
              <w:pStyle w:val="Titletable"/>
              <w:keepNext w:val="0"/>
              <w:keepLines w:val="0"/>
              <w:spacing w:before="20" w:after="20"/>
              <w:ind w:left="0"/>
              <w:rPr>
                <w:rFonts w:ascii="Arial" w:hAnsi="Arial" w:cs="Arial"/>
                <w:b w:val="0"/>
                <w:bCs w:val="0"/>
                <w:i/>
                <w:iCs/>
                <w:sz w:val="18"/>
                <w:szCs w:val="18"/>
              </w:rPr>
            </w:pPr>
            <w:r>
              <w:rPr>
                <w:rFonts w:ascii="Arial" w:hAnsi="Arial" w:cs="Arial"/>
                <w:b w:val="0"/>
                <w:bCs w:val="0"/>
                <w:i/>
                <w:iCs/>
                <w:sz w:val="18"/>
                <w:szCs w:val="18"/>
              </w:rPr>
              <w:t>Kemikalija</w:t>
            </w:r>
          </w:p>
        </w:tc>
        <w:tc>
          <w:tcPr>
            <w:tcW w:w="2332" w:type="dxa"/>
            <w:tcBorders>
              <w:top w:val="single" w:sz="4" w:space="0" w:color="auto"/>
              <w:bottom w:val="single" w:sz="12" w:space="0" w:color="auto"/>
            </w:tcBorders>
            <w:shd w:val="clear" w:color="auto" w:fill="FFFFFF"/>
            <w:vAlign w:val="bottom"/>
          </w:tcPr>
          <w:p w14:paraId="2B566C8E" w14:textId="307CF1B8" w:rsidR="00251361" w:rsidRPr="00D548CF" w:rsidRDefault="00251361" w:rsidP="00E27632">
            <w:pPr>
              <w:pStyle w:val="Titletable"/>
              <w:keepNext w:val="0"/>
              <w:keepLines w:val="0"/>
              <w:spacing w:before="20" w:after="20"/>
              <w:ind w:left="0"/>
              <w:rPr>
                <w:rFonts w:ascii="Arial" w:hAnsi="Arial" w:cs="Arial"/>
                <w:b w:val="0"/>
                <w:bCs w:val="0"/>
                <w:i/>
                <w:iCs/>
                <w:sz w:val="18"/>
                <w:szCs w:val="18"/>
              </w:rPr>
            </w:pPr>
            <w:r>
              <w:rPr>
                <w:rFonts w:ascii="Arial" w:hAnsi="Arial" w:cs="Arial"/>
                <w:b w:val="0"/>
                <w:bCs w:val="0"/>
                <w:i/>
                <w:iCs/>
                <w:sz w:val="18"/>
                <w:szCs w:val="18"/>
              </w:rPr>
              <w:t>Dejavnost</w:t>
            </w:r>
          </w:p>
        </w:tc>
        <w:tc>
          <w:tcPr>
            <w:tcW w:w="2577" w:type="dxa"/>
            <w:tcBorders>
              <w:top w:val="single" w:sz="4" w:space="0" w:color="auto"/>
              <w:bottom w:val="single" w:sz="12" w:space="0" w:color="auto"/>
            </w:tcBorders>
            <w:shd w:val="clear" w:color="auto" w:fill="FFFFFF"/>
            <w:vAlign w:val="bottom"/>
          </w:tcPr>
          <w:p w14:paraId="2D8F5376" w14:textId="23676205" w:rsidR="00251361" w:rsidRPr="00D548CF" w:rsidRDefault="00251361" w:rsidP="00E27632">
            <w:pPr>
              <w:pStyle w:val="Titletable"/>
              <w:keepNext w:val="0"/>
              <w:keepLines w:val="0"/>
              <w:spacing w:before="20" w:after="20"/>
              <w:ind w:left="0"/>
              <w:rPr>
                <w:rFonts w:ascii="Arial" w:hAnsi="Arial" w:cs="Arial"/>
                <w:b w:val="0"/>
                <w:bCs w:val="0"/>
                <w:i/>
                <w:iCs/>
                <w:sz w:val="18"/>
                <w:szCs w:val="18"/>
              </w:rPr>
            </w:pPr>
            <w:r>
              <w:rPr>
                <w:rFonts w:ascii="Arial" w:hAnsi="Arial" w:cs="Arial"/>
                <w:b w:val="0"/>
                <w:bCs w:val="0"/>
                <w:i/>
                <w:iCs/>
                <w:sz w:val="18"/>
                <w:szCs w:val="18"/>
              </w:rPr>
              <w:t>Posebna izjema</w:t>
            </w:r>
          </w:p>
        </w:tc>
      </w:tr>
      <w:tr w:rsidR="00251361" w:rsidRPr="00D548CF" w14:paraId="233E95E2" w14:textId="77777777" w:rsidTr="00E27632">
        <w:trPr>
          <w:trHeight w:val="57"/>
          <w:jc w:val="right"/>
        </w:trPr>
        <w:tc>
          <w:tcPr>
            <w:tcW w:w="3398" w:type="dxa"/>
            <w:vMerge w:val="restart"/>
            <w:tcBorders>
              <w:top w:val="single" w:sz="12" w:space="0" w:color="auto"/>
            </w:tcBorders>
            <w:shd w:val="clear" w:color="auto" w:fill="auto"/>
          </w:tcPr>
          <w:p w14:paraId="484B7647" w14:textId="77777777" w:rsidR="00636E90" w:rsidRPr="00770D7F" w:rsidRDefault="00636E90" w:rsidP="00636E90">
            <w:pPr>
              <w:spacing w:after="0" w:line="240" w:lineRule="auto"/>
              <w:rPr>
                <w:rFonts w:ascii="Arial" w:hAnsi="Arial" w:cs="Arial"/>
                <w:sz w:val="18"/>
                <w:szCs w:val="18"/>
                <w:lang w:val="sl"/>
              </w:rPr>
            </w:pPr>
            <w:r w:rsidRPr="00770D7F">
              <w:rPr>
                <w:rFonts w:ascii="Arial" w:hAnsi="Arial" w:cs="Arial"/>
                <w:sz w:val="18"/>
                <w:szCs w:val="18"/>
                <w:lang w:val="sl"/>
              </w:rPr>
              <w:t xml:space="preserve">perfluoroheksan sulfonska kislina (PFHxS), njene soli in spojine, sorodne PFHxS </w:t>
            </w:r>
          </w:p>
          <w:p w14:paraId="21288BC3" w14:textId="77777777" w:rsidR="00251361" w:rsidRPr="00D548CF" w:rsidRDefault="00251361" w:rsidP="00251361">
            <w:pPr>
              <w:pStyle w:val="Titletable"/>
              <w:keepNext w:val="0"/>
              <w:keepLines w:val="0"/>
              <w:spacing w:before="40" w:after="40"/>
              <w:ind w:left="0"/>
              <w:rPr>
                <w:rFonts w:ascii="Arial" w:hAnsi="Arial" w:cs="Arial"/>
                <w:b w:val="0"/>
                <w:bCs w:val="0"/>
                <w:sz w:val="18"/>
                <w:szCs w:val="18"/>
              </w:rPr>
            </w:pPr>
          </w:p>
          <w:p w14:paraId="2F472B36" w14:textId="77777777" w:rsidR="00636E90" w:rsidRDefault="00636E90" w:rsidP="00636E90">
            <w:pPr>
              <w:spacing w:after="0" w:line="240" w:lineRule="auto"/>
              <w:rPr>
                <w:rFonts w:ascii="Arial" w:hAnsi="Arial" w:cs="Arial"/>
                <w:sz w:val="18"/>
                <w:szCs w:val="18"/>
                <w:lang w:val="sl"/>
              </w:rPr>
            </w:pPr>
            <w:r w:rsidRPr="00770D7F">
              <w:rPr>
                <w:rFonts w:ascii="Arial" w:hAnsi="Arial" w:cs="Arial"/>
                <w:sz w:val="18"/>
                <w:szCs w:val="18"/>
                <w:lang w:val="sl"/>
              </w:rPr>
              <w:t xml:space="preserve">»Perfluoroheksan sulfonska kislina (PFHxS), njene soli in spojine, sorodne PFHxS« pomeni: </w:t>
            </w:r>
          </w:p>
          <w:p w14:paraId="7068A0BD" w14:textId="77777777" w:rsidR="00636E90" w:rsidRPr="00770D7F" w:rsidRDefault="00636E90" w:rsidP="00636E90">
            <w:pPr>
              <w:spacing w:after="0" w:line="240" w:lineRule="auto"/>
              <w:rPr>
                <w:rFonts w:ascii="Arial" w:hAnsi="Arial" w:cs="Arial"/>
                <w:sz w:val="18"/>
                <w:szCs w:val="18"/>
              </w:rPr>
            </w:pPr>
          </w:p>
          <w:p w14:paraId="0DBC1DC1" w14:textId="34EDA5EC" w:rsidR="00636E90" w:rsidRPr="00770D7F" w:rsidRDefault="00636E90" w:rsidP="00636E90">
            <w:pPr>
              <w:pStyle w:val="ListParagraph"/>
              <w:numPr>
                <w:ilvl w:val="0"/>
                <w:numId w:val="12"/>
              </w:numPr>
              <w:spacing w:after="0" w:line="240" w:lineRule="auto"/>
              <w:ind w:left="462" w:hanging="462"/>
              <w:rPr>
                <w:rFonts w:ascii="Arial" w:hAnsi="Arial" w:cs="Arial"/>
                <w:sz w:val="18"/>
                <w:szCs w:val="18"/>
              </w:rPr>
            </w:pPr>
            <w:r w:rsidRPr="00770D7F">
              <w:rPr>
                <w:rFonts w:ascii="Arial" w:hAnsi="Arial" w:cs="Arial"/>
                <w:sz w:val="18"/>
                <w:szCs w:val="18"/>
                <w:lang w:val="sl"/>
              </w:rPr>
              <w:t xml:space="preserve">perfluoroheksan sulfonsko kislino (CAS št.:355-46-4, PFHxS), vključno z razvejanimi izomeri; </w:t>
            </w:r>
          </w:p>
          <w:p w14:paraId="4468BA92" w14:textId="5E89218C" w:rsidR="00636E90" w:rsidRPr="00770D7F" w:rsidRDefault="00636E90" w:rsidP="00636E90">
            <w:pPr>
              <w:pStyle w:val="ListParagraph"/>
              <w:numPr>
                <w:ilvl w:val="0"/>
                <w:numId w:val="12"/>
              </w:numPr>
              <w:spacing w:after="0" w:line="240" w:lineRule="auto"/>
              <w:ind w:left="462" w:hanging="462"/>
              <w:rPr>
                <w:rFonts w:ascii="Arial" w:hAnsi="Arial" w:cs="Arial"/>
                <w:sz w:val="18"/>
                <w:szCs w:val="18"/>
              </w:rPr>
            </w:pPr>
            <w:r w:rsidRPr="00770D7F">
              <w:rPr>
                <w:rFonts w:ascii="Arial" w:hAnsi="Arial" w:cs="Arial"/>
                <w:sz w:val="18"/>
                <w:szCs w:val="18"/>
                <w:lang w:val="sl"/>
              </w:rPr>
              <w:t xml:space="preserve">njene soli; </w:t>
            </w:r>
          </w:p>
          <w:p w14:paraId="042EF3C8" w14:textId="2F1A85CA" w:rsidR="00251361" w:rsidRPr="00D548CF" w:rsidRDefault="00251361" w:rsidP="00636E90">
            <w:pPr>
              <w:pStyle w:val="Titletable"/>
              <w:tabs>
                <w:tab w:val="left" w:pos="746"/>
              </w:tabs>
              <w:spacing w:before="20" w:after="120"/>
              <w:ind w:left="463" w:hanging="463"/>
              <w:rPr>
                <w:rFonts w:ascii="Arial" w:hAnsi="Arial" w:cs="Arial"/>
                <w:b w:val="0"/>
                <w:bCs w:val="0"/>
                <w:sz w:val="18"/>
                <w:szCs w:val="18"/>
              </w:rPr>
            </w:pPr>
            <w:r w:rsidRPr="00D548CF">
              <w:rPr>
                <w:rFonts w:ascii="Arial" w:hAnsi="Arial" w:cs="Arial"/>
                <w:b w:val="0"/>
                <w:bCs w:val="0"/>
                <w:sz w:val="18"/>
                <w:szCs w:val="18"/>
              </w:rPr>
              <w:t>(iii)</w:t>
            </w:r>
            <w:r w:rsidRPr="00D548CF">
              <w:rPr>
                <w:rFonts w:ascii="Arial" w:hAnsi="Arial" w:cs="Arial"/>
                <w:b w:val="0"/>
                <w:bCs w:val="0"/>
                <w:sz w:val="18"/>
                <w:szCs w:val="18"/>
              </w:rPr>
              <w:tab/>
            </w:r>
            <w:r w:rsidR="00636E90" w:rsidRPr="00636E90">
              <w:rPr>
                <w:rFonts w:ascii="Arial" w:hAnsi="Arial" w:cs="Arial"/>
                <w:b w:val="0"/>
                <w:bCs w:val="0"/>
                <w:sz w:val="18"/>
                <w:szCs w:val="18"/>
                <w:lang w:val="sl"/>
              </w:rPr>
              <w:t>vsako snov, ki vsebuje del spojine C</w:t>
            </w:r>
            <w:r w:rsidR="00636E90" w:rsidRPr="00636E90">
              <w:rPr>
                <w:rFonts w:ascii="Arial" w:hAnsi="Arial" w:cs="Arial"/>
                <w:b w:val="0"/>
                <w:bCs w:val="0"/>
                <w:sz w:val="18"/>
                <w:szCs w:val="18"/>
                <w:vertAlign w:val="subscript"/>
                <w:lang w:val="sl"/>
              </w:rPr>
              <w:t>6</w:t>
            </w:r>
            <w:r w:rsidR="00636E90" w:rsidRPr="00636E90">
              <w:rPr>
                <w:rFonts w:ascii="Arial" w:hAnsi="Arial" w:cs="Arial"/>
                <w:b w:val="0"/>
                <w:bCs w:val="0"/>
                <w:sz w:val="18"/>
                <w:szCs w:val="18"/>
                <w:lang w:val="sl"/>
              </w:rPr>
              <w:t>F</w:t>
            </w:r>
            <w:r w:rsidR="00636E90" w:rsidRPr="00636E90">
              <w:rPr>
                <w:rFonts w:ascii="Arial" w:hAnsi="Arial" w:cs="Arial"/>
                <w:b w:val="0"/>
                <w:bCs w:val="0"/>
                <w:sz w:val="18"/>
                <w:szCs w:val="18"/>
                <w:vertAlign w:val="subscript"/>
                <w:lang w:val="sl"/>
              </w:rPr>
              <w:t>13</w:t>
            </w:r>
            <w:r w:rsidR="00636E90" w:rsidRPr="00636E90">
              <w:rPr>
                <w:rFonts w:ascii="Arial" w:hAnsi="Arial" w:cs="Arial"/>
                <w:b w:val="0"/>
                <w:bCs w:val="0"/>
                <w:sz w:val="18"/>
                <w:szCs w:val="18"/>
                <w:lang w:val="sl"/>
              </w:rPr>
              <w:t>SO</w:t>
            </w:r>
            <w:r w:rsidR="00636E90" w:rsidRPr="00636E90">
              <w:rPr>
                <w:rFonts w:ascii="Arial" w:hAnsi="Arial" w:cs="Arial"/>
                <w:b w:val="0"/>
                <w:bCs w:val="0"/>
                <w:sz w:val="18"/>
                <w:szCs w:val="18"/>
                <w:vertAlign w:val="subscript"/>
                <w:lang w:val="sl"/>
              </w:rPr>
              <w:t>2</w:t>
            </w:r>
            <w:r w:rsidR="00636E90" w:rsidRPr="00636E90">
              <w:rPr>
                <w:rFonts w:ascii="Arial" w:hAnsi="Arial" w:cs="Arial"/>
                <w:b w:val="0"/>
                <w:bCs w:val="0"/>
                <w:sz w:val="18"/>
                <w:szCs w:val="18"/>
                <w:lang w:val="sl"/>
              </w:rPr>
              <w:t xml:space="preserve"> kot enega svojih strukturnih elementov in se lahko razgradi v PFHxS</w:t>
            </w:r>
            <w:r w:rsidR="00636E90">
              <w:rPr>
                <w:rFonts w:ascii="Arial" w:hAnsi="Arial" w:cs="Arial"/>
                <w:b w:val="0"/>
                <w:bCs w:val="0"/>
                <w:sz w:val="18"/>
                <w:szCs w:val="18"/>
                <w:lang w:val="sl"/>
              </w:rPr>
              <w:t>.</w:t>
            </w:r>
          </w:p>
        </w:tc>
        <w:tc>
          <w:tcPr>
            <w:tcW w:w="2332" w:type="dxa"/>
            <w:tcBorders>
              <w:top w:val="single" w:sz="12" w:space="0" w:color="auto"/>
            </w:tcBorders>
            <w:shd w:val="clear" w:color="auto" w:fill="FFFFFF"/>
          </w:tcPr>
          <w:p w14:paraId="184AF23C" w14:textId="266CE664" w:rsidR="00251361" w:rsidRPr="00251361" w:rsidRDefault="00251361" w:rsidP="00251361">
            <w:pPr>
              <w:pStyle w:val="Titletable"/>
              <w:keepNext w:val="0"/>
              <w:keepLines w:val="0"/>
              <w:spacing w:before="20" w:after="20"/>
              <w:ind w:left="0"/>
              <w:rPr>
                <w:rFonts w:ascii="Arial" w:hAnsi="Arial" w:cs="Arial"/>
                <w:b w:val="0"/>
                <w:bCs w:val="0"/>
                <w:sz w:val="18"/>
                <w:szCs w:val="18"/>
              </w:rPr>
            </w:pPr>
            <w:r w:rsidRPr="00251361">
              <w:rPr>
                <w:rFonts w:ascii="Arial" w:hAnsi="Arial" w:cs="Arial"/>
                <w:b w:val="0"/>
                <w:bCs w:val="0"/>
                <w:sz w:val="18"/>
                <w:szCs w:val="18"/>
                <w:lang w:val="sl"/>
              </w:rPr>
              <w:t xml:space="preserve">proizvodnja </w:t>
            </w:r>
          </w:p>
        </w:tc>
        <w:tc>
          <w:tcPr>
            <w:tcW w:w="2577" w:type="dxa"/>
            <w:tcBorders>
              <w:top w:val="single" w:sz="12" w:space="0" w:color="auto"/>
            </w:tcBorders>
            <w:shd w:val="clear" w:color="auto" w:fill="FFFFFF"/>
          </w:tcPr>
          <w:p w14:paraId="0E3BB294" w14:textId="2E5F2490" w:rsidR="00251361" w:rsidRPr="00D548CF" w:rsidRDefault="00251361" w:rsidP="00251361">
            <w:pPr>
              <w:spacing w:after="0" w:line="240" w:lineRule="auto"/>
              <w:rPr>
                <w:rFonts w:ascii="Arial" w:hAnsi="Arial" w:cs="Arial"/>
                <w:b/>
                <w:bCs/>
                <w:sz w:val="18"/>
                <w:szCs w:val="18"/>
              </w:rPr>
            </w:pPr>
            <w:r w:rsidRPr="00770D7F">
              <w:rPr>
                <w:rFonts w:ascii="Arial" w:hAnsi="Arial" w:cs="Arial"/>
                <w:sz w:val="18"/>
                <w:szCs w:val="18"/>
                <w:lang w:val="sl"/>
              </w:rPr>
              <w:t>ne obstaja</w:t>
            </w:r>
          </w:p>
        </w:tc>
      </w:tr>
      <w:tr w:rsidR="00251361" w:rsidRPr="00D548CF" w14:paraId="146164DD" w14:textId="77777777" w:rsidTr="00E27632">
        <w:trPr>
          <w:trHeight w:val="57"/>
          <w:jc w:val="right"/>
        </w:trPr>
        <w:tc>
          <w:tcPr>
            <w:tcW w:w="3398" w:type="dxa"/>
            <w:vMerge/>
            <w:tcBorders>
              <w:bottom w:val="single" w:sz="12" w:space="0" w:color="auto"/>
            </w:tcBorders>
            <w:shd w:val="clear" w:color="auto" w:fill="auto"/>
          </w:tcPr>
          <w:p w14:paraId="3308C8D5" w14:textId="77777777" w:rsidR="00251361" w:rsidRPr="00D548CF" w:rsidRDefault="00251361" w:rsidP="00251361">
            <w:pPr>
              <w:pStyle w:val="Titletable"/>
              <w:keepNext w:val="0"/>
              <w:keepLines w:val="0"/>
              <w:spacing w:before="20" w:after="20"/>
              <w:ind w:left="0"/>
              <w:rPr>
                <w:rFonts w:ascii="Arial" w:hAnsi="Arial" w:cs="Arial"/>
                <w:b w:val="0"/>
                <w:bCs w:val="0"/>
                <w:sz w:val="18"/>
                <w:szCs w:val="18"/>
              </w:rPr>
            </w:pPr>
          </w:p>
        </w:tc>
        <w:tc>
          <w:tcPr>
            <w:tcW w:w="2332" w:type="dxa"/>
            <w:tcBorders>
              <w:bottom w:val="single" w:sz="12" w:space="0" w:color="auto"/>
            </w:tcBorders>
            <w:shd w:val="clear" w:color="auto" w:fill="auto"/>
          </w:tcPr>
          <w:p w14:paraId="730D6306" w14:textId="40D55C35" w:rsidR="00251361" w:rsidRPr="00251361" w:rsidRDefault="00251361" w:rsidP="00251361">
            <w:pPr>
              <w:pStyle w:val="Titletable"/>
              <w:keepNext w:val="0"/>
              <w:keepLines w:val="0"/>
              <w:spacing w:before="20" w:after="20"/>
              <w:ind w:left="0"/>
              <w:rPr>
                <w:rFonts w:ascii="Arial" w:hAnsi="Arial" w:cs="Arial"/>
                <w:b w:val="0"/>
                <w:bCs w:val="0"/>
                <w:sz w:val="18"/>
                <w:szCs w:val="18"/>
              </w:rPr>
            </w:pPr>
            <w:r w:rsidRPr="00251361">
              <w:rPr>
                <w:rFonts w:ascii="Arial" w:hAnsi="Arial" w:cs="Arial"/>
                <w:b w:val="0"/>
                <w:bCs w:val="0"/>
                <w:sz w:val="18"/>
                <w:szCs w:val="18"/>
                <w:lang w:val="sl"/>
              </w:rPr>
              <w:t>uporaba</w:t>
            </w:r>
          </w:p>
        </w:tc>
        <w:tc>
          <w:tcPr>
            <w:tcW w:w="2577" w:type="dxa"/>
            <w:tcBorders>
              <w:bottom w:val="single" w:sz="12" w:space="0" w:color="auto"/>
            </w:tcBorders>
            <w:shd w:val="clear" w:color="auto" w:fill="auto"/>
          </w:tcPr>
          <w:p w14:paraId="130A8082" w14:textId="77777777" w:rsidR="00251361" w:rsidRPr="00770D7F" w:rsidRDefault="00251361" w:rsidP="00251361">
            <w:pPr>
              <w:spacing w:after="0" w:line="240" w:lineRule="auto"/>
              <w:rPr>
                <w:rFonts w:ascii="Arial" w:hAnsi="Arial" w:cs="Arial"/>
                <w:sz w:val="18"/>
                <w:szCs w:val="18"/>
              </w:rPr>
            </w:pPr>
            <w:r w:rsidRPr="00770D7F">
              <w:rPr>
                <w:rFonts w:ascii="Arial" w:hAnsi="Arial" w:cs="Arial"/>
                <w:sz w:val="18"/>
                <w:szCs w:val="18"/>
                <w:lang w:val="sl"/>
              </w:rPr>
              <w:t xml:space="preserve">ne obstaja </w:t>
            </w:r>
          </w:p>
          <w:p w14:paraId="639CE09A" w14:textId="688CE326" w:rsidR="00251361" w:rsidRPr="00D548CF" w:rsidRDefault="00251361" w:rsidP="00251361">
            <w:pPr>
              <w:pStyle w:val="Titletable"/>
              <w:keepNext w:val="0"/>
              <w:keepLines w:val="0"/>
              <w:spacing w:before="20" w:after="20"/>
              <w:ind w:left="0"/>
              <w:rPr>
                <w:rFonts w:ascii="Arial" w:hAnsi="Arial" w:cs="Arial"/>
                <w:b w:val="0"/>
                <w:bCs w:val="0"/>
                <w:sz w:val="18"/>
                <w:szCs w:val="18"/>
              </w:rPr>
            </w:pPr>
          </w:p>
        </w:tc>
      </w:tr>
    </w:tbl>
    <w:p w14:paraId="09A91666" w14:textId="77777777" w:rsidR="00251361" w:rsidRDefault="00251361" w:rsidP="00251361">
      <w:pPr>
        <w:ind w:firstLine="708"/>
        <w:rPr>
          <w:rFonts w:ascii="Arial" w:hAnsi="Arial" w:cs="Arial"/>
          <w:sz w:val="20"/>
          <w:szCs w:val="20"/>
        </w:rPr>
      </w:pPr>
    </w:p>
    <w:p w14:paraId="707D6788" w14:textId="77777777" w:rsidR="00251361" w:rsidRPr="00770D7F" w:rsidRDefault="00251361" w:rsidP="00251361">
      <w:pPr>
        <w:ind w:firstLine="708"/>
        <w:rPr>
          <w:rFonts w:ascii="Arial" w:hAnsi="Arial" w:cs="Arial"/>
          <w:sz w:val="20"/>
          <w:szCs w:val="20"/>
        </w:rPr>
      </w:pPr>
    </w:p>
    <w:p w14:paraId="59916705" w14:textId="77777777" w:rsidR="00BE3A18" w:rsidRPr="00770D7F" w:rsidRDefault="00BE3A18" w:rsidP="00BE3A18">
      <w:pPr>
        <w:rPr>
          <w:rFonts w:ascii="Arial" w:hAnsi="Arial" w:cs="Arial"/>
          <w:sz w:val="20"/>
          <w:szCs w:val="20"/>
        </w:rPr>
      </w:pPr>
    </w:p>
    <w:p w14:paraId="3A2A0747" w14:textId="77777777" w:rsidR="00BE3A18" w:rsidRDefault="00BE3A18" w:rsidP="00BE3A18">
      <w:pPr>
        <w:rPr>
          <w:b/>
          <w:bCs/>
        </w:rPr>
      </w:pPr>
    </w:p>
    <w:p w14:paraId="79660E2C" w14:textId="77777777" w:rsidR="00BE3A18" w:rsidRDefault="00BE3A18" w:rsidP="00BE3A18">
      <w:pPr>
        <w:rPr>
          <w:b/>
          <w:bCs/>
        </w:rPr>
      </w:pPr>
    </w:p>
    <w:p w14:paraId="5B3AB6F4" w14:textId="77777777" w:rsidR="00BE3A18" w:rsidRDefault="00BE3A18" w:rsidP="00BE3A18">
      <w:pPr>
        <w:rPr>
          <w:b/>
          <w:bCs/>
        </w:rPr>
      </w:pPr>
    </w:p>
    <w:p w14:paraId="768989FA" w14:textId="77777777" w:rsidR="00BE3A18" w:rsidRDefault="00BE3A18" w:rsidP="00BE3A18">
      <w:pPr>
        <w:rPr>
          <w:b/>
          <w:bCs/>
        </w:rPr>
      </w:pPr>
    </w:p>
    <w:p w14:paraId="157F25C6" w14:textId="77777777" w:rsidR="00BE3A18" w:rsidRDefault="00BE3A18" w:rsidP="00BE3A18">
      <w:pPr>
        <w:rPr>
          <w:b/>
          <w:bCs/>
        </w:rPr>
      </w:pPr>
    </w:p>
    <w:p w14:paraId="49D8CA69" w14:textId="77777777" w:rsidR="00BE3A18" w:rsidRDefault="00BE3A18" w:rsidP="00BE3A18">
      <w:pPr>
        <w:rPr>
          <w:b/>
          <w:bCs/>
        </w:rPr>
      </w:pPr>
    </w:p>
    <w:p w14:paraId="1CDA01CD" w14:textId="77777777" w:rsidR="00BE3A18" w:rsidRDefault="00BE3A18" w:rsidP="00BE3A18">
      <w:pPr>
        <w:rPr>
          <w:b/>
          <w:bCs/>
        </w:rPr>
      </w:pPr>
    </w:p>
    <w:p w14:paraId="7283DF46" w14:textId="77777777" w:rsidR="00BE3A18" w:rsidRDefault="00BE3A18" w:rsidP="00BE3A18">
      <w:pPr>
        <w:rPr>
          <w:b/>
          <w:bCs/>
        </w:rPr>
      </w:pPr>
    </w:p>
    <w:p w14:paraId="205F1851" w14:textId="3F3866F8" w:rsidR="00BE3A18" w:rsidRDefault="00BE3A18" w:rsidP="00120F3F">
      <w:pPr>
        <w:rPr>
          <w:rFonts w:ascii="Arial" w:hAnsi="Arial" w:cs="Arial"/>
          <w:b/>
          <w:bCs/>
          <w:sz w:val="20"/>
          <w:szCs w:val="20"/>
          <w:highlight w:val="cyan"/>
        </w:rPr>
      </w:pPr>
    </w:p>
    <w:p w14:paraId="71D3114B" w14:textId="494B60A2" w:rsidR="00BE3A18" w:rsidRDefault="00BE3A18" w:rsidP="00120F3F">
      <w:pPr>
        <w:rPr>
          <w:rFonts w:ascii="Arial" w:hAnsi="Arial" w:cs="Arial"/>
          <w:b/>
          <w:bCs/>
          <w:sz w:val="20"/>
          <w:szCs w:val="20"/>
          <w:highlight w:val="cyan"/>
        </w:rPr>
      </w:pPr>
    </w:p>
    <w:p w14:paraId="6BC70063" w14:textId="4C66D87D" w:rsidR="00BE3A18" w:rsidRDefault="00BE3A18" w:rsidP="00120F3F">
      <w:pPr>
        <w:rPr>
          <w:rFonts w:ascii="Arial" w:hAnsi="Arial" w:cs="Arial"/>
          <w:b/>
          <w:bCs/>
          <w:sz w:val="20"/>
          <w:szCs w:val="20"/>
          <w:highlight w:val="cyan"/>
        </w:rPr>
      </w:pPr>
    </w:p>
    <w:p w14:paraId="580A0399" w14:textId="77777777" w:rsidR="00FE235C" w:rsidRDefault="00FE235C" w:rsidP="0068478D">
      <w:pPr>
        <w:spacing w:after="0" w:line="240" w:lineRule="auto"/>
        <w:ind w:left="1247"/>
        <w:outlineLvl w:val="1"/>
        <w:rPr>
          <w:rFonts w:ascii="Arial" w:eastAsia="Times New Roman" w:hAnsi="Arial" w:cs="Arial"/>
          <w:b/>
          <w:bCs/>
          <w:sz w:val="20"/>
          <w:szCs w:val="20"/>
          <w:lang w:val="sl"/>
        </w:rPr>
      </w:pPr>
    </w:p>
    <w:p w14:paraId="20635195" w14:textId="641A3480" w:rsidR="00120F3F" w:rsidRDefault="00120F3F" w:rsidP="0042751E">
      <w:pPr>
        <w:rPr>
          <w:rFonts w:ascii="Arial" w:hAnsi="Arial" w:cs="Arial"/>
          <w:sz w:val="20"/>
          <w:szCs w:val="20"/>
        </w:rPr>
      </w:pPr>
    </w:p>
    <w:p w14:paraId="5C5D0537" w14:textId="779DEC57" w:rsidR="00B35288" w:rsidRDefault="00B35288" w:rsidP="0042751E">
      <w:pPr>
        <w:rPr>
          <w:rFonts w:ascii="Arial" w:hAnsi="Arial" w:cs="Arial"/>
          <w:sz w:val="20"/>
          <w:szCs w:val="20"/>
        </w:rPr>
      </w:pPr>
    </w:p>
    <w:p w14:paraId="0080ABE3" w14:textId="634ED4B1" w:rsidR="00B35288" w:rsidRDefault="00B35288" w:rsidP="0042751E">
      <w:pPr>
        <w:rPr>
          <w:rFonts w:ascii="Arial" w:hAnsi="Arial" w:cs="Arial"/>
          <w:sz w:val="20"/>
          <w:szCs w:val="20"/>
        </w:rPr>
      </w:pPr>
    </w:p>
    <w:p w14:paraId="3410317E" w14:textId="77777777" w:rsidR="00B35288" w:rsidRPr="00B35288" w:rsidRDefault="00B35288" w:rsidP="00B35288">
      <w:pPr>
        <w:spacing w:line="240" w:lineRule="auto"/>
        <w:jc w:val="both"/>
        <w:rPr>
          <w:rFonts w:ascii="Arial" w:hAnsi="Arial" w:cs="Arial"/>
          <w:sz w:val="20"/>
          <w:szCs w:val="20"/>
        </w:rPr>
      </w:pPr>
    </w:p>
    <w:p w14:paraId="6C4785B0" w14:textId="77777777" w:rsidR="00B35288" w:rsidRPr="00B35288" w:rsidRDefault="00B35288" w:rsidP="00B35288">
      <w:pPr>
        <w:spacing w:line="240" w:lineRule="auto"/>
        <w:jc w:val="center"/>
        <w:rPr>
          <w:rFonts w:ascii="Arial" w:hAnsi="Arial" w:cs="Arial"/>
          <w:sz w:val="20"/>
          <w:szCs w:val="20"/>
        </w:rPr>
      </w:pPr>
      <w:r w:rsidRPr="00B35288">
        <w:rPr>
          <w:rFonts w:ascii="Arial" w:hAnsi="Arial" w:cs="Arial"/>
          <w:sz w:val="20"/>
          <w:szCs w:val="20"/>
        </w:rPr>
        <w:t>3. člen</w:t>
      </w:r>
    </w:p>
    <w:p w14:paraId="0EE0A5C1" w14:textId="77777777" w:rsidR="00B35288" w:rsidRPr="00B35288" w:rsidRDefault="00B35288" w:rsidP="00B35288">
      <w:pPr>
        <w:jc w:val="both"/>
        <w:rPr>
          <w:rFonts w:ascii="Arial" w:hAnsi="Arial" w:cs="Arial"/>
          <w:sz w:val="20"/>
          <w:szCs w:val="20"/>
        </w:rPr>
      </w:pPr>
    </w:p>
    <w:p w14:paraId="5B43977B" w14:textId="7FBBCA04" w:rsidR="00B35288" w:rsidRPr="00B35288" w:rsidRDefault="00B35288" w:rsidP="00B35288">
      <w:pPr>
        <w:pStyle w:val="BodyText3"/>
        <w:jc w:val="both"/>
        <w:rPr>
          <w:rFonts w:ascii="Arial" w:hAnsi="Arial" w:cs="Arial"/>
          <w:bCs/>
          <w:sz w:val="20"/>
          <w:szCs w:val="20"/>
        </w:rPr>
      </w:pPr>
      <w:r w:rsidRPr="00B35288">
        <w:rPr>
          <w:rFonts w:ascii="Arial" w:hAnsi="Arial" w:cs="Arial"/>
          <w:bCs/>
          <w:sz w:val="20"/>
          <w:szCs w:val="20"/>
        </w:rPr>
        <w:t xml:space="preserve">Za izvajanje </w:t>
      </w:r>
      <w:r w:rsidR="00761607">
        <w:rPr>
          <w:rFonts w:ascii="Arial" w:hAnsi="Arial" w:cs="Arial"/>
          <w:bCs/>
          <w:sz w:val="20"/>
          <w:szCs w:val="20"/>
        </w:rPr>
        <w:t xml:space="preserve">Priloge </w:t>
      </w:r>
      <w:r w:rsidR="00761607">
        <w:rPr>
          <w:rFonts w:ascii="Arial" w:hAnsi="Arial" w:cs="Arial"/>
          <w:sz w:val="20"/>
          <w:szCs w:val="20"/>
        </w:rPr>
        <w:t xml:space="preserve">G in sprememb </w:t>
      </w:r>
      <w:r w:rsidR="00D974DD">
        <w:rPr>
          <w:rFonts w:ascii="Arial" w:hAnsi="Arial" w:cs="Arial"/>
          <w:sz w:val="20"/>
          <w:szCs w:val="20"/>
        </w:rPr>
        <w:t>P</w:t>
      </w:r>
      <w:r w:rsidR="00761607">
        <w:rPr>
          <w:rFonts w:ascii="Arial" w:hAnsi="Arial" w:cs="Arial"/>
          <w:sz w:val="20"/>
          <w:szCs w:val="20"/>
        </w:rPr>
        <w:t>rilog A, B in C</w:t>
      </w:r>
      <w:r w:rsidRPr="00B35288">
        <w:rPr>
          <w:rFonts w:ascii="Arial" w:hAnsi="Arial" w:cs="Arial"/>
          <w:bCs/>
          <w:sz w:val="20"/>
          <w:szCs w:val="20"/>
        </w:rPr>
        <w:t xml:space="preserve"> </w:t>
      </w:r>
      <w:r w:rsidR="00761607">
        <w:rPr>
          <w:rFonts w:ascii="Arial" w:hAnsi="Arial" w:cs="Arial"/>
          <w:bCs/>
          <w:sz w:val="20"/>
          <w:szCs w:val="20"/>
        </w:rPr>
        <w:t xml:space="preserve">h konvenciji </w:t>
      </w:r>
      <w:r w:rsidRPr="00B35288">
        <w:rPr>
          <w:rFonts w:ascii="Arial" w:hAnsi="Arial" w:cs="Arial"/>
          <w:bCs/>
          <w:sz w:val="20"/>
          <w:szCs w:val="20"/>
        </w:rPr>
        <w:t>skrbi ministrstvo, pristojno za zdravje</w:t>
      </w:r>
      <w:r w:rsidR="00D974DD">
        <w:rPr>
          <w:rFonts w:ascii="Arial" w:hAnsi="Arial" w:cs="Arial"/>
          <w:bCs/>
          <w:sz w:val="20"/>
          <w:szCs w:val="20"/>
        </w:rPr>
        <w:t>,</w:t>
      </w:r>
      <w:r w:rsidRPr="00B35288">
        <w:rPr>
          <w:rFonts w:ascii="Arial" w:hAnsi="Arial" w:cs="Arial"/>
          <w:bCs/>
          <w:sz w:val="20"/>
          <w:szCs w:val="20"/>
        </w:rPr>
        <w:t xml:space="preserve"> Urad Republike Slovenije za kemikalije</w:t>
      </w:r>
      <w:r w:rsidRPr="00B35288">
        <w:rPr>
          <w:rFonts w:ascii="Arial" w:hAnsi="Arial" w:cs="Arial"/>
          <w:sz w:val="20"/>
          <w:szCs w:val="20"/>
        </w:rPr>
        <w:t>.</w:t>
      </w:r>
    </w:p>
    <w:p w14:paraId="4B1736A1" w14:textId="77777777" w:rsidR="00B35288" w:rsidRPr="00B35288" w:rsidRDefault="00B35288" w:rsidP="00B35288">
      <w:pPr>
        <w:rPr>
          <w:rFonts w:ascii="Arial" w:hAnsi="Arial" w:cs="Arial"/>
          <w:sz w:val="20"/>
          <w:szCs w:val="20"/>
        </w:rPr>
      </w:pPr>
    </w:p>
    <w:p w14:paraId="54979C5F" w14:textId="77777777" w:rsidR="00B35288" w:rsidRPr="00B35288" w:rsidRDefault="00B35288" w:rsidP="00B35288">
      <w:pPr>
        <w:rPr>
          <w:rFonts w:ascii="Arial" w:hAnsi="Arial" w:cs="Arial"/>
          <w:sz w:val="20"/>
          <w:szCs w:val="20"/>
        </w:rPr>
      </w:pPr>
    </w:p>
    <w:p w14:paraId="5756D934" w14:textId="77777777" w:rsidR="00B35288" w:rsidRPr="00B35288" w:rsidRDefault="00B35288" w:rsidP="00B35288">
      <w:pPr>
        <w:spacing w:line="240" w:lineRule="auto"/>
        <w:jc w:val="center"/>
        <w:rPr>
          <w:rFonts w:ascii="Arial" w:hAnsi="Arial" w:cs="Arial"/>
          <w:sz w:val="20"/>
          <w:szCs w:val="20"/>
        </w:rPr>
      </w:pPr>
      <w:r w:rsidRPr="00B35288">
        <w:rPr>
          <w:rFonts w:ascii="Arial" w:hAnsi="Arial" w:cs="Arial"/>
          <w:sz w:val="20"/>
          <w:szCs w:val="20"/>
        </w:rPr>
        <w:t>4. člen</w:t>
      </w:r>
    </w:p>
    <w:p w14:paraId="39D780EC" w14:textId="77777777" w:rsidR="00B35288" w:rsidRPr="00B35288" w:rsidRDefault="00B35288" w:rsidP="00B35288">
      <w:pPr>
        <w:jc w:val="center"/>
        <w:rPr>
          <w:rFonts w:ascii="Arial" w:hAnsi="Arial" w:cs="Arial"/>
          <w:sz w:val="20"/>
          <w:szCs w:val="20"/>
        </w:rPr>
      </w:pPr>
    </w:p>
    <w:p w14:paraId="1B79C031" w14:textId="77777777" w:rsidR="00B35288" w:rsidRPr="00B35288" w:rsidRDefault="00B35288" w:rsidP="00B35288">
      <w:pPr>
        <w:pStyle w:val="BodyText"/>
        <w:jc w:val="both"/>
        <w:rPr>
          <w:bCs/>
          <w:szCs w:val="20"/>
        </w:rPr>
      </w:pPr>
      <w:r w:rsidRPr="00B35288">
        <w:rPr>
          <w:bCs/>
          <w:szCs w:val="20"/>
        </w:rPr>
        <w:t>Ta zakon začne veljati petnajsti dan po objavi v Uradnem listu Republike Slovenije – Mednarodne pogodbe.</w:t>
      </w:r>
    </w:p>
    <w:p w14:paraId="28CEE534" w14:textId="77777777" w:rsidR="00B35288" w:rsidRPr="00B35288" w:rsidRDefault="00B35288" w:rsidP="00B35288">
      <w:pPr>
        <w:pStyle w:val="BodyText"/>
        <w:jc w:val="both"/>
        <w:rPr>
          <w:bCs/>
          <w:szCs w:val="20"/>
        </w:rPr>
      </w:pPr>
    </w:p>
    <w:p w14:paraId="243BC7B8" w14:textId="77777777" w:rsidR="00B35288" w:rsidRPr="00B35288" w:rsidRDefault="00B35288" w:rsidP="00B35288">
      <w:pPr>
        <w:pStyle w:val="BodyText"/>
        <w:jc w:val="both"/>
        <w:rPr>
          <w:bCs/>
          <w:szCs w:val="20"/>
        </w:rPr>
      </w:pPr>
    </w:p>
    <w:p w14:paraId="2469B0CB" w14:textId="77777777" w:rsidR="00B35288" w:rsidRDefault="00B35288" w:rsidP="00B35288">
      <w:pPr>
        <w:pStyle w:val="BodyText"/>
        <w:jc w:val="both"/>
        <w:rPr>
          <w:bCs/>
          <w:szCs w:val="20"/>
        </w:rPr>
      </w:pPr>
    </w:p>
    <w:p w14:paraId="05B01226" w14:textId="77777777" w:rsidR="00B35288" w:rsidRDefault="00B35288" w:rsidP="00B35288">
      <w:pPr>
        <w:spacing w:line="240" w:lineRule="auto"/>
        <w:rPr>
          <w:rFonts w:cs="Arial"/>
          <w:bCs/>
          <w:szCs w:val="20"/>
        </w:rPr>
      </w:pPr>
      <w:r>
        <w:rPr>
          <w:bCs/>
          <w:szCs w:val="20"/>
        </w:rPr>
        <w:br w:type="page"/>
      </w:r>
    </w:p>
    <w:p w14:paraId="3C9DEA63" w14:textId="5C9358AC" w:rsidR="00B35288" w:rsidRDefault="00B35288" w:rsidP="00137529">
      <w:pPr>
        <w:tabs>
          <w:tab w:val="left" w:pos="9000"/>
        </w:tabs>
        <w:spacing w:after="0" w:line="276" w:lineRule="auto"/>
        <w:ind w:right="71"/>
        <w:jc w:val="center"/>
        <w:rPr>
          <w:rFonts w:ascii="Arial" w:hAnsi="Arial" w:cs="Arial"/>
          <w:b/>
          <w:sz w:val="20"/>
          <w:szCs w:val="20"/>
        </w:rPr>
      </w:pPr>
      <w:r w:rsidRPr="007470FE">
        <w:rPr>
          <w:rFonts w:ascii="Arial" w:hAnsi="Arial" w:cs="Arial"/>
          <w:b/>
          <w:sz w:val="20"/>
          <w:szCs w:val="20"/>
        </w:rPr>
        <w:lastRenderedPageBreak/>
        <w:t>OBRAZLOŽITEV</w:t>
      </w:r>
    </w:p>
    <w:p w14:paraId="1BBD9BFF" w14:textId="77777777" w:rsidR="00137529" w:rsidRDefault="00137529" w:rsidP="00137529">
      <w:pPr>
        <w:tabs>
          <w:tab w:val="left" w:pos="9000"/>
        </w:tabs>
        <w:spacing w:after="0" w:line="276" w:lineRule="auto"/>
        <w:ind w:right="71"/>
        <w:jc w:val="center"/>
        <w:rPr>
          <w:rFonts w:ascii="Arial" w:hAnsi="Arial" w:cs="Arial"/>
          <w:b/>
          <w:sz w:val="20"/>
          <w:szCs w:val="20"/>
        </w:rPr>
      </w:pPr>
    </w:p>
    <w:p w14:paraId="168F7425" w14:textId="26C3E672" w:rsidR="00587E7F" w:rsidRDefault="00587E7F" w:rsidP="00496446">
      <w:pPr>
        <w:suppressAutoHyphens/>
        <w:spacing w:after="0" w:line="276" w:lineRule="auto"/>
        <w:jc w:val="both"/>
        <w:rPr>
          <w:rFonts w:ascii="Arial" w:hAnsi="Arial" w:cs="Arial"/>
          <w:bCs/>
          <w:sz w:val="20"/>
          <w:szCs w:val="20"/>
        </w:rPr>
      </w:pPr>
      <w:r>
        <w:rPr>
          <w:rFonts w:ascii="Arial" w:hAnsi="Arial" w:cs="Arial"/>
          <w:bCs/>
          <w:sz w:val="20"/>
          <w:szCs w:val="20"/>
        </w:rPr>
        <w:t>Republika Slovenija je pogodbenica Stockholmske konvencije o obst</w:t>
      </w:r>
      <w:r w:rsidR="00B813E0">
        <w:rPr>
          <w:rFonts w:ascii="Arial" w:hAnsi="Arial" w:cs="Arial"/>
          <w:bCs/>
          <w:sz w:val="20"/>
          <w:szCs w:val="20"/>
        </w:rPr>
        <w:t>ojnih organskih onesnaževalih (M</w:t>
      </w:r>
      <w:r>
        <w:rPr>
          <w:rFonts w:ascii="Arial" w:hAnsi="Arial" w:cs="Arial"/>
          <w:bCs/>
          <w:sz w:val="20"/>
          <w:szCs w:val="20"/>
        </w:rPr>
        <w:t>ed</w:t>
      </w:r>
      <w:r w:rsidR="00ED0EB6">
        <w:rPr>
          <w:rFonts w:ascii="Arial" w:hAnsi="Arial" w:cs="Arial"/>
          <w:bCs/>
          <w:sz w:val="20"/>
          <w:szCs w:val="20"/>
        </w:rPr>
        <w:t>narodne pogodbe, št. 9</w:t>
      </w:r>
      <w:r w:rsidR="0037352C">
        <w:rPr>
          <w:rFonts w:ascii="Arial" w:hAnsi="Arial" w:cs="Arial"/>
          <w:bCs/>
          <w:sz w:val="20"/>
          <w:szCs w:val="20"/>
        </w:rPr>
        <w:t>/04) od 2</w:t>
      </w:r>
      <w:r>
        <w:rPr>
          <w:rFonts w:ascii="Arial" w:hAnsi="Arial" w:cs="Arial"/>
          <w:bCs/>
          <w:sz w:val="20"/>
          <w:szCs w:val="20"/>
        </w:rPr>
        <w:t xml:space="preserve">. </w:t>
      </w:r>
      <w:r w:rsidR="0037352C">
        <w:rPr>
          <w:rFonts w:ascii="Arial" w:hAnsi="Arial" w:cs="Arial"/>
          <w:bCs/>
          <w:sz w:val="20"/>
          <w:szCs w:val="20"/>
        </w:rPr>
        <w:t>avgusta</w:t>
      </w:r>
      <w:r>
        <w:rPr>
          <w:rFonts w:ascii="Arial" w:hAnsi="Arial" w:cs="Arial"/>
          <w:bCs/>
          <w:sz w:val="20"/>
          <w:szCs w:val="20"/>
        </w:rPr>
        <w:t xml:space="preserve"> 2004. Ob deponiranju listine o ratifikaciji je Republika Slovenija izjavila, </w:t>
      </w:r>
      <w:r w:rsidR="00675D20">
        <w:rPr>
          <w:rFonts w:ascii="Arial" w:hAnsi="Arial" w:cs="Arial"/>
          <w:bCs/>
          <w:sz w:val="20"/>
          <w:szCs w:val="20"/>
        </w:rPr>
        <w:t>da bodo vse spremembe Prilog A, B ali C zanjo začele veljati šele po tem, ko deponira li</w:t>
      </w:r>
      <w:r w:rsidR="00DE2197">
        <w:rPr>
          <w:rFonts w:ascii="Arial" w:hAnsi="Arial" w:cs="Arial"/>
          <w:bCs/>
          <w:sz w:val="20"/>
          <w:szCs w:val="20"/>
        </w:rPr>
        <w:t>s</w:t>
      </w:r>
      <w:r w:rsidR="00675D20">
        <w:rPr>
          <w:rFonts w:ascii="Arial" w:hAnsi="Arial" w:cs="Arial"/>
          <w:bCs/>
          <w:sz w:val="20"/>
          <w:szCs w:val="20"/>
        </w:rPr>
        <w:t>tino o ratifikaciji spremembe ali pristopu k njej. Republika Slovenija mora vse spremembe ratificirati in o tem obvestiti depozitarja konvencije.</w:t>
      </w:r>
    </w:p>
    <w:p w14:paraId="51F43B69" w14:textId="77777777" w:rsidR="00587E7F" w:rsidRDefault="00587E7F" w:rsidP="00496446">
      <w:pPr>
        <w:suppressAutoHyphens/>
        <w:spacing w:after="0" w:line="276" w:lineRule="auto"/>
        <w:jc w:val="both"/>
        <w:rPr>
          <w:rFonts w:ascii="Arial" w:hAnsi="Arial" w:cs="Arial"/>
          <w:bCs/>
          <w:sz w:val="20"/>
          <w:szCs w:val="20"/>
        </w:rPr>
      </w:pPr>
    </w:p>
    <w:p w14:paraId="435390E2" w14:textId="1B654186" w:rsidR="00496446" w:rsidRPr="00496446" w:rsidRDefault="007470FE" w:rsidP="00496446">
      <w:pPr>
        <w:suppressAutoHyphens/>
        <w:spacing w:after="0" w:line="276" w:lineRule="auto"/>
        <w:jc w:val="both"/>
        <w:rPr>
          <w:rFonts w:ascii="Arial" w:hAnsi="Arial" w:cs="Arial"/>
          <w:sz w:val="20"/>
          <w:lang w:val="sl"/>
        </w:rPr>
      </w:pPr>
      <w:r w:rsidRPr="00496446">
        <w:rPr>
          <w:rFonts w:ascii="Arial" w:hAnsi="Arial" w:cs="Arial"/>
          <w:bCs/>
          <w:sz w:val="20"/>
          <w:szCs w:val="20"/>
        </w:rPr>
        <w:t>Na prvi Konferenci pogodbenic Stockholmske konvencije leta 2004 je bila h konvenciji dodana Priloga G o arbitražnem postopku (odločitev št.: SC-1/2). Sprejet postopek je namenjen reševanju sporov med pogodbenicami v zvezi z razlago ali uporabo konvencije</w:t>
      </w:r>
      <w:r w:rsidR="00496446">
        <w:rPr>
          <w:rFonts w:ascii="Arial" w:hAnsi="Arial" w:cs="Arial"/>
          <w:bCs/>
          <w:sz w:val="20"/>
          <w:szCs w:val="20"/>
        </w:rPr>
        <w:t xml:space="preserve"> in sicer arbitražni postopek ter </w:t>
      </w:r>
      <w:r w:rsidR="0000343E" w:rsidRPr="00496446">
        <w:rPr>
          <w:rFonts w:ascii="Arial" w:hAnsi="Arial" w:cs="Arial"/>
          <w:bCs/>
          <w:sz w:val="20"/>
          <w:szCs w:val="20"/>
        </w:rPr>
        <w:t xml:space="preserve">spravni postopek. </w:t>
      </w:r>
      <w:r w:rsidR="0000343E" w:rsidRPr="00496446">
        <w:rPr>
          <w:rFonts w:ascii="Arial" w:hAnsi="Arial" w:cs="Arial"/>
          <w:sz w:val="20"/>
          <w:lang w:val="sl"/>
        </w:rPr>
        <w:t>Če se spor predloži v arbitražo, se ustanovi arbitražno sodišče, ki ga sestavljajo trije člani. Vsaka od strank v sporu imenuje po enega arbitra, tako imenovana arbitra pa sporazumno določita tretjega arbitra, ki je predsednik sodišča.</w:t>
      </w:r>
      <w:r w:rsidR="00496446">
        <w:rPr>
          <w:rFonts w:ascii="Arial" w:hAnsi="Arial" w:cs="Arial"/>
          <w:sz w:val="20"/>
          <w:lang w:val="sl"/>
        </w:rPr>
        <w:t xml:space="preserve"> </w:t>
      </w:r>
      <w:r w:rsidR="0000343E" w:rsidRPr="00496446">
        <w:rPr>
          <w:rFonts w:ascii="Arial" w:hAnsi="Arial" w:cs="Arial"/>
          <w:sz w:val="20"/>
          <w:lang w:val="sl"/>
        </w:rPr>
        <w:t xml:space="preserve">Predsednik arbitražnega sodišča </w:t>
      </w:r>
      <w:r w:rsidR="00496446">
        <w:rPr>
          <w:rFonts w:ascii="Arial" w:hAnsi="Arial" w:cs="Arial"/>
          <w:sz w:val="20"/>
          <w:lang w:val="sl"/>
        </w:rPr>
        <w:t>ne sme biti</w:t>
      </w:r>
      <w:r w:rsidR="0000343E" w:rsidRPr="00496446">
        <w:rPr>
          <w:rFonts w:ascii="Arial" w:hAnsi="Arial" w:cs="Arial"/>
          <w:sz w:val="20"/>
          <w:lang w:val="sl"/>
        </w:rPr>
        <w:t xml:space="preserve"> državljan nobene od strank v sporu, </w:t>
      </w:r>
      <w:r w:rsidR="00496446">
        <w:rPr>
          <w:rFonts w:ascii="Arial" w:hAnsi="Arial" w:cs="Arial"/>
          <w:sz w:val="20"/>
          <w:lang w:val="sl"/>
        </w:rPr>
        <w:t>imeti</w:t>
      </w:r>
      <w:r w:rsidR="0000343E" w:rsidRPr="00496446">
        <w:rPr>
          <w:rFonts w:ascii="Arial" w:hAnsi="Arial" w:cs="Arial"/>
          <w:sz w:val="20"/>
          <w:lang w:val="sl"/>
        </w:rPr>
        <w:t xml:space="preserve"> običajnega prebivališča na ozemlju nobene od teh strank, ni zaposlen pri nobeni od njih, niti se ni s tem primerom ukvarjal v kateri koli drugi vlogi. V sporih med več kot dvema strankama stranke z enakim interesom skupaj sporazumno imenujejo enega arbitra. Če se stranke ne dogovorijo o predmetu spora pred imenovanjem predsednika arbitražnega sodišča, predmet spora določi arbitražno sodišče. Sodišče izda končno odločbo v petih mesecih od datuma ustanovitve, razen če meni, da je treba rok podaljšati za obdobje, ki ne sme biti daljše od petih mesecev. </w:t>
      </w:r>
      <w:r w:rsidR="00496446" w:rsidRPr="00496446">
        <w:rPr>
          <w:rFonts w:ascii="Arial" w:hAnsi="Arial" w:cs="Arial"/>
          <w:sz w:val="20"/>
          <w:lang w:val="sl"/>
        </w:rPr>
        <w:t xml:space="preserve">Arbitražna odločba je za stranke v sporu zavezujoča. Stranka v sporu naslovi na Sekretariat pisno zahtevo za ustanovitev spravne komisije na podlagi šestega odstavka 18. člena. Sekretariat o tem takoj obvesti vse pogodbenice konvencije. Spravna komisija sprejema odločitve z večino glasov svojih članov. </w:t>
      </w:r>
    </w:p>
    <w:p w14:paraId="77E9FB7D" w14:textId="77777777" w:rsidR="00496446" w:rsidRPr="00496446" w:rsidRDefault="00496446" w:rsidP="00496446">
      <w:pPr>
        <w:suppressAutoHyphens/>
        <w:spacing w:after="0" w:line="276" w:lineRule="auto"/>
        <w:jc w:val="both"/>
        <w:rPr>
          <w:rFonts w:ascii="Arial" w:hAnsi="Arial" w:cs="Arial"/>
          <w:sz w:val="20"/>
          <w:lang w:val="sl"/>
        </w:rPr>
      </w:pPr>
    </w:p>
    <w:p w14:paraId="5B590962" w14:textId="65A0754C" w:rsidR="00496446" w:rsidRPr="00496446" w:rsidRDefault="00B813E0" w:rsidP="00496446">
      <w:pPr>
        <w:keepNext/>
        <w:keepLines/>
        <w:suppressAutoHyphens/>
        <w:spacing w:after="0" w:line="276" w:lineRule="auto"/>
        <w:jc w:val="both"/>
        <w:rPr>
          <w:rFonts w:ascii="Arial" w:hAnsi="Arial" w:cs="Arial"/>
          <w:sz w:val="20"/>
          <w:lang w:val="sl"/>
        </w:rPr>
      </w:pPr>
      <w:r>
        <w:rPr>
          <w:rFonts w:ascii="Arial" w:hAnsi="Arial" w:cs="Arial"/>
          <w:sz w:val="20"/>
          <w:lang w:val="sl"/>
        </w:rPr>
        <w:t>Pri spravnem postopku s</w:t>
      </w:r>
      <w:r w:rsidR="00496446" w:rsidRPr="00496446">
        <w:rPr>
          <w:rFonts w:ascii="Arial" w:hAnsi="Arial" w:cs="Arial"/>
          <w:sz w:val="20"/>
          <w:lang w:val="sl"/>
        </w:rPr>
        <w:t>tranka v sporu naslovi na Sekretariat pisno zahtevo za ustanovitev spravne komisije na podlagi šestega odstavka 18. člena. Sekretariat o tem takoj obvesti vse pogodbenice konvencije. Spravno komisijo sestavljajo trije člani, od katerih vsaka vpletena stranka imenuje po enega, ta člana pa izbereta predsednika, razen če se stranki ne dogovorita drugače. V sporih med več kot dvema strankama stranke z enakim interesom skupaj sporazumno imenujejo svoje člane komisije.</w:t>
      </w:r>
      <w:r w:rsidR="00496446">
        <w:rPr>
          <w:rFonts w:ascii="Arial" w:hAnsi="Arial" w:cs="Arial"/>
          <w:sz w:val="20"/>
          <w:lang w:val="sl"/>
        </w:rPr>
        <w:t xml:space="preserve"> </w:t>
      </w:r>
      <w:r w:rsidR="00496446" w:rsidRPr="00496446">
        <w:rPr>
          <w:rFonts w:ascii="Arial" w:hAnsi="Arial" w:cs="Arial"/>
          <w:sz w:val="20"/>
          <w:lang w:val="sl"/>
        </w:rPr>
        <w:t>Spravna komisija v dvanajstih mesecih po ustanovitvi predloži poročilo s priporočili za rešitev spora, ki ga stranke upoštevajo v dobri veri. Spravno komisijo sestavljajo trije člani, od katerih vsaka vpletena stranka imenuje po enega, ta člana pa izbereta predsednika, razen če se stranki ne dogovorita drugače.</w:t>
      </w:r>
    </w:p>
    <w:p w14:paraId="542E6D38" w14:textId="77777777" w:rsidR="00496446" w:rsidRDefault="00496446" w:rsidP="00496446">
      <w:pPr>
        <w:spacing w:after="0" w:line="276" w:lineRule="auto"/>
        <w:jc w:val="both"/>
        <w:rPr>
          <w:rFonts w:ascii="Arial" w:hAnsi="Arial" w:cs="Arial"/>
          <w:sz w:val="20"/>
          <w:szCs w:val="20"/>
        </w:rPr>
      </w:pPr>
    </w:p>
    <w:p w14:paraId="701F7049" w14:textId="18946DED" w:rsidR="007470FE" w:rsidRDefault="007470FE" w:rsidP="00496446">
      <w:pPr>
        <w:spacing w:after="0" w:line="276" w:lineRule="auto"/>
        <w:jc w:val="both"/>
        <w:rPr>
          <w:rFonts w:ascii="Arial" w:hAnsi="Arial" w:cs="Arial"/>
          <w:sz w:val="20"/>
          <w:szCs w:val="20"/>
        </w:rPr>
      </w:pPr>
      <w:r w:rsidRPr="007470FE">
        <w:rPr>
          <w:rFonts w:ascii="Arial" w:hAnsi="Arial" w:cs="Arial"/>
          <w:sz w:val="20"/>
          <w:szCs w:val="20"/>
        </w:rPr>
        <w:t xml:space="preserve">V skladu z 8. členom </w:t>
      </w:r>
      <w:r w:rsidR="00137529">
        <w:rPr>
          <w:rFonts w:ascii="Arial" w:hAnsi="Arial" w:cs="Arial"/>
          <w:sz w:val="20"/>
          <w:szCs w:val="20"/>
        </w:rPr>
        <w:t>Stockholmske konvencije o obstojnih organskih onesnaževalih (Mednarodne pogodbe, št. 32/04)</w:t>
      </w:r>
      <w:r w:rsidRPr="007470FE">
        <w:rPr>
          <w:rFonts w:ascii="Arial" w:hAnsi="Arial" w:cs="Arial"/>
          <w:sz w:val="20"/>
          <w:szCs w:val="20"/>
        </w:rPr>
        <w:t xml:space="preserve"> Konferenca pogodbenic se lahko  v Priloge A, B ali C uvrstijo nove kemikalije – nova obstojna organska onesnaževala, ki imajo podobne lastnosti kot so hlapnost, obstojnost, sposobnost bioakumulacije, prehajanje na velike razdalje in škodljivo delovanje na ljudi ali okolje. Predlog za uvrstitev novih POPs kandidatov poda pogodbenica, Odbor za pregled obstojnih organskih onesnaževal pa na osnovi pripravljene ocene obvladovanja tveganja priporoči obravnavo kemikalij na Konferenci pogodbenic. Ta na podlagi ocene odloča, ali se kemikalija uvrsti v Priloge A, B in/ali C z ali brez izjem glede proizvodnje in/ali uporabe. Priloga A vsebuje kemikalije, ki so predmet odprave, Priloga B kemikalije, ki so predmet omejitve in Priloga C kemik</w:t>
      </w:r>
      <w:r w:rsidR="00496446">
        <w:rPr>
          <w:rFonts w:ascii="Arial" w:hAnsi="Arial" w:cs="Arial"/>
          <w:sz w:val="20"/>
          <w:szCs w:val="20"/>
        </w:rPr>
        <w:t>alije, ki nastajajo nenamerno.</w:t>
      </w:r>
    </w:p>
    <w:p w14:paraId="1149D49F" w14:textId="77777777" w:rsidR="00496446" w:rsidRPr="007470FE" w:rsidRDefault="00496446" w:rsidP="00496446">
      <w:pPr>
        <w:spacing w:after="0" w:line="276" w:lineRule="auto"/>
        <w:jc w:val="both"/>
        <w:rPr>
          <w:rFonts w:ascii="Arial" w:hAnsi="Arial" w:cs="Arial"/>
          <w:sz w:val="20"/>
          <w:szCs w:val="20"/>
        </w:rPr>
      </w:pPr>
    </w:p>
    <w:p w14:paraId="0123A359" w14:textId="26FEC29B" w:rsidR="007470FE" w:rsidRP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Prva sprememba konvencije glede uvrstitve novih obstojnih organskih onesnaževal je bila sprejeta leta 2009. Četrta Konferenca pogodbenic je sprejela odločitve o uvrstitvi naslednjih kemikalij v Prilogo A Stockholmske konvencije brez posebnih izjem: pesticidov: alfa heksaklorocikloheksana, beta heksaklorocikloheksana, klordekona (</w:t>
      </w:r>
      <w:r w:rsidRPr="007470FE">
        <w:rPr>
          <w:rFonts w:ascii="Arial" w:eastAsia="Times New Roman" w:hAnsi="Arial" w:cs="Arial"/>
          <w:sz w:val="20"/>
          <w:szCs w:val="20"/>
          <w:lang w:eastAsia="sl-SI"/>
        </w:rPr>
        <w:t>insekticid za nadzor nad termiti in drugimi žuželkami)</w:t>
      </w:r>
      <w:r w:rsidRPr="007470FE">
        <w:rPr>
          <w:rFonts w:ascii="Arial" w:hAnsi="Arial" w:cs="Arial"/>
          <w:sz w:val="20"/>
          <w:szCs w:val="20"/>
        </w:rPr>
        <w:t xml:space="preserve"> in lindana (insekticid širokega spektra, tudi za uporabo proti ušem) in industrijske kemikalije: heksabromobifenil (</w:t>
      </w:r>
      <w:r w:rsidRPr="007470FE">
        <w:rPr>
          <w:rFonts w:ascii="Arial" w:hAnsi="Arial" w:cs="Arial"/>
          <w:sz w:val="20"/>
          <w:szCs w:val="20"/>
          <w:lang w:eastAsia="sl-SI"/>
        </w:rPr>
        <w:t>zaviralec gorenja v avtomobilski industriji)</w:t>
      </w:r>
      <w:r w:rsidRPr="007470FE">
        <w:rPr>
          <w:rFonts w:ascii="Arial" w:hAnsi="Arial" w:cs="Arial"/>
          <w:sz w:val="20"/>
          <w:szCs w:val="20"/>
        </w:rPr>
        <w:t>. Zaviralci gorenja: heksabromodifenil eter in heptabromodifenil eter ter tetrabromodifenil eter in pentabromodifenil eter so bili uvrščeni v Prilogo A s posebnimi izjemami. Konferenca pogodbenic je na istem zasedanju uvrstila pentaklorobenzen (</w:t>
      </w:r>
      <w:r w:rsidRPr="007470FE">
        <w:rPr>
          <w:rFonts w:ascii="Arial" w:hAnsi="Arial" w:cs="Arial"/>
          <w:bCs/>
          <w:sz w:val="20"/>
          <w:szCs w:val="20"/>
        </w:rPr>
        <w:t xml:space="preserve">fungicid, zaviralec gorenja) v Prilogo C brez posebnih izjem ter </w:t>
      </w:r>
      <w:r w:rsidRPr="007470FE">
        <w:rPr>
          <w:rFonts w:ascii="Arial" w:hAnsi="Arial" w:cs="Arial"/>
          <w:sz w:val="20"/>
          <w:szCs w:val="20"/>
        </w:rPr>
        <w:t xml:space="preserve">perfluorooktan sulfonsko kislino (PFOS), njene soli in perfluorooktan sulfonil fluorid (v preteklosti široka uporaba v električnih in elektronskih izdelkih, </w:t>
      </w:r>
      <w:r w:rsidRPr="007470FE">
        <w:rPr>
          <w:rFonts w:ascii="Arial" w:hAnsi="Arial" w:cs="Arial"/>
          <w:sz w:val="20"/>
          <w:szCs w:val="20"/>
        </w:rPr>
        <w:lastRenderedPageBreak/>
        <w:t>penah za gašenje, tekstilu, trdih kovinskih prevlekah, fotografiji) v Prilogo B s posebnimi izjemami za proizvodnjo in uporabo. Uvrstitve so bili sprejete v odločitvah št. SC-4/10, SC-4/11, SC-4/12, SC-4/13, SC-4/14, SC-4/15, SC-4/16, SC-4/17 in SC-4/18.</w:t>
      </w:r>
    </w:p>
    <w:p w14:paraId="4F3E4680" w14:textId="77777777" w:rsidR="007470FE" w:rsidRPr="007470FE" w:rsidRDefault="007470FE" w:rsidP="00496446">
      <w:pPr>
        <w:pStyle w:val="ListParagraph"/>
        <w:spacing w:line="276" w:lineRule="auto"/>
        <w:ind w:left="0"/>
        <w:jc w:val="both"/>
        <w:rPr>
          <w:rFonts w:ascii="Arial" w:hAnsi="Arial" w:cs="Arial"/>
          <w:sz w:val="20"/>
          <w:szCs w:val="20"/>
        </w:rPr>
      </w:pPr>
    </w:p>
    <w:p w14:paraId="23238D0C" w14:textId="167C6C82" w:rsidR="007470FE" w:rsidRP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 xml:space="preserve">Leta 2011 je peta Konferenca pogodbenic na osnovi sprejete odločitve št. SC-5/3 uvrstila v Prilogo A s posebnimi izjemami tehnični endosulfan in njegove sorodne izomere za uporabo kot insekticid širokega spektra za obvladovanje škodljivcev v določenih kmetijskih kulturah. </w:t>
      </w:r>
    </w:p>
    <w:p w14:paraId="3E5B738B" w14:textId="77777777" w:rsidR="007470FE" w:rsidRPr="007470FE" w:rsidRDefault="007470FE" w:rsidP="00496446">
      <w:pPr>
        <w:pStyle w:val="ListParagraph"/>
        <w:spacing w:line="276" w:lineRule="auto"/>
        <w:ind w:left="0"/>
        <w:jc w:val="both"/>
        <w:rPr>
          <w:rFonts w:ascii="Arial" w:hAnsi="Arial" w:cs="Arial"/>
          <w:sz w:val="20"/>
          <w:szCs w:val="20"/>
        </w:rPr>
      </w:pPr>
    </w:p>
    <w:p w14:paraId="25E6BD8F" w14:textId="77777777" w:rsidR="007470FE" w:rsidRP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Šesta Konferenca pogodbenic je leta 2013 uvrstila v Prilogo A s posebnimi izjemami za proizvodnjo in uporabo heksabromociklododekan (odločitev št. SC-6/13), ki se je nekoč uporabljal kot zaviralec gorenja v ekspandiranem in ekstrudiranem polistirenu v zgradbah.</w:t>
      </w:r>
    </w:p>
    <w:p w14:paraId="2002D345" w14:textId="77777777" w:rsidR="007470FE" w:rsidRPr="007470FE" w:rsidRDefault="007470FE" w:rsidP="00496446">
      <w:pPr>
        <w:pStyle w:val="ListParagraph"/>
        <w:spacing w:line="276" w:lineRule="auto"/>
        <w:ind w:left="0"/>
        <w:jc w:val="both"/>
        <w:rPr>
          <w:rFonts w:ascii="Arial" w:hAnsi="Arial" w:cs="Arial"/>
          <w:sz w:val="20"/>
          <w:szCs w:val="20"/>
        </w:rPr>
      </w:pPr>
    </w:p>
    <w:p w14:paraId="276FBA03" w14:textId="0D4D842D" w:rsidR="007470FE" w:rsidRDefault="000B0049" w:rsidP="00496446">
      <w:pPr>
        <w:pStyle w:val="ListParagraph"/>
        <w:spacing w:line="276" w:lineRule="auto"/>
        <w:ind w:left="0"/>
        <w:jc w:val="both"/>
        <w:rPr>
          <w:rFonts w:ascii="Arial" w:hAnsi="Arial" w:cs="Arial"/>
          <w:sz w:val="20"/>
          <w:szCs w:val="20"/>
        </w:rPr>
      </w:pPr>
      <w:r>
        <w:rPr>
          <w:rFonts w:ascii="Arial" w:hAnsi="Arial" w:cs="Arial"/>
          <w:sz w:val="20"/>
          <w:szCs w:val="20"/>
        </w:rPr>
        <w:t>Leta 2015 je sedma K</w:t>
      </w:r>
      <w:r w:rsidR="007470FE" w:rsidRPr="007470FE">
        <w:rPr>
          <w:rFonts w:ascii="Arial" w:hAnsi="Arial" w:cs="Arial"/>
          <w:sz w:val="20"/>
          <w:szCs w:val="20"/>
        </w:rPr>
        <w:t xml:space="preserve">onferenca pogodbenic uvrstila v Prilogo A heksaklorobutadien (topilo za elastomere, hladilni medij, adsorpcijsko sredstvo, biocid) brez posebnih izjem ter pentaklorofenol in njegove soli ter estre s posebno izjemo za proizvodnjo in uporabo. Pentaklorofenol se je v preteklosti uporabljal predvsem kot fungicid v sredstvih za zaščito lesa, tekstila in usnja, kot herbicid in insekticid ter kot dezinfekcijsko sredstvo. V Prilogo A in C je Konferenca pogodbenic uvrstila s posebno izjemo za proizvodnjo in uporabo poliklorirane naftalene, ki so se uporabljali predvsem za izolacijo žic in za zaščito lesa. Uvrstitve </w:t>
      </w:r>
      <w:r>
        <w:rPr>
          <w:rFonts w:ascii="Arial" w:hAnsi="Arial" w:cs="Arial"/>
          <w:sz w:val="20"/>
          <w:szCs w:val="20"/>
        </w:rPr>
        <w:t>so bile sprejete z odločitvami</w:t>
      </w:r>
      <w:r w:rsidR="007470FE" w:rsidRPr="007470FE">
        <w:rPr>
          <w:rFonts w:ascii="Arial" w:hAnsi="Arial" w:cs="Arial"/>
          <w:sz w:val="20"/>
          <w:szCs w:val="20"/>
        </w:rPr>
        <w:t xml:space="preserve"> št. SC-7/12, SC-7/13, SC-7/14.</w:t>
      </w:r>
    </w:p>
    <w:p w14:paraId="78942939" w14:textId="77777777" w:rsidR="000B0049" w:rsidRPr="007470FE" w:rsidRDefault="000B0049" w:rsidP="00496446">
      <w:pPr>
        <w:pStyle w:val="ListParagraph"/>
        <w:spacing w:line="276" w:lineRule="auto"/>
        <w:ind w:left="0"/>
        <w:jc w:val="both"/>
        <w:rPr>
          <w:rFonts w:ascii="Arial" w:hAnsi="Arial" w:cs="Arial"/>
          <w:sz w:val="20"/>
          <w:szCs w:val="20"/>
        </w:rPr>
      </w:pPr>
    </w:p>
    <w:p w14:paraId="043FC48F" w14:textId="432F9127" w:rsidR="007470FE" w:rsidRP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 xml:space="preserve">Osma Konferenca pogodbenic je leta 2017 uvrstila v Prilogo A s posebnimi izjemami dekabromodifenil eter in kratkoverižne klorirane parafine (oba zaviralca gorenja) ter v Prilogo C zaradi novih informacij o nenamerni proizvodnji heksaklorobutadien. Uvrstitve </w:t>
      </w:r>
      <w:r w:rsidR="000B0049">
        <w:rPr>
          <w:rFonts w:ascii="Arial" w:hAnsi="Arial" w:cs="Arial"/>
          <w:sz w:val="20"/>
          <w:szCs w:val="20"/>
        </w:rPr>
        <w:t>so bile sprejete z naslednjimi odločitvami št. SC-8/10, SC-8/11,</w:t>
      </w:r>
      <w:r w:rsidRPr="007470FE">
        <w:rPr>
          <w:rFonts w:ascii="Arial" w:hAnsi="Arial" w:cs="Arial"/>
          <w:sz w:val="20"/>
          <w:szCs w:val="20"/>
        </w:rPr>
        <w:t xml:space="preserve"> SC-8/12.</w:t>
      </w:r>
    </w:p>
    <w:p w14:paraId="1D644FA8" w14:textId="77777777" w:rsidR="007470FE" w:rsidRPr="007470FE" w:rsidRDefault="007470FE" w:rsidP="00496446">
      <w:pPr>
        <w:pStyle w:val="ListParagraph"/>
        <w:spacing w:line="276" w:lineRule="auto"/>
        <w:ind w:left="0"/>
        <w:jc w:val="both"/>
        <w:rPr>
          <w:rFonts w:ascii="Arial" w:hAnsi="Arial" w:cs="Arial"/>
          <w:sz w:val="20"/>
          <w:szCs w:val="20"/>
        </w:rPr>
      </w:pPr>
    </w:p>
    <w:p w14:paraId="2C50B23B" w14:textId="225D3730" w:rsid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 xml:space="preserve">Deveta Konferenca pogodbenic je leta 2019 uvrstila v Prilogo A brez posebnih izjem dikofol - organoklorni pesticid (akaricid), ki se je v preteklosti uporabljal za nadzor številnih vrst pršic v sadovnjakih, vinogradih in hmeljiščih in s posebnimi izjemami perfluorooktanojsko kislino (PFOA), njene soli in spojine, sorodne PFOA (pretekla </w:t>
      </w:r>
      <w:r w:rsidRPr="007470FE">
        <w:rPr>
          <w:rFonts w:ascii="Arial" w:eastAsia="Times New Roman" w:hAnsi="Arial" w:cs="Arial"/>
          <w:sz w:val="20"/>
          <w:szCs w:val="20"/>
          <w:shd w:val="clear" w:color="auto" w:fill="FFFFFF"/>
        </w:rPr>
        <w:t>uporaba v proizvodnji fluoroelastomerov in fluoropolimerov za proizvodnjo nelepljive kuhinjske opreme ter kot površinsko aktivne snovi v tekstilu, papirju, embalaži, barvah in gasilnih penah).</w:t>
      </w:r>
      <w:r w:rsidRPr="007470FE">
        <w:rPr>
          <w:rFonts w:ascii="Arial" w:hAnsi="Arial" w:cs="Arial"/>
          <w:sz w:val="20"/>
          <w:szCs w:val="20"/>
        </w:rPr>
        <w:t xml:space="preserve"> Konferenca pogodbenic je uvrstila v Prilogo B s posebnimi izjemami še perfluorooktan sulfonsko kislino, njene soli in perfluorooktan sulfonil fluorid. Uvrstitve </w:t>
      </w:r>
      <w:r w:rsidR="00296CD5">
        <w:rPr>
          <w:rFonts w:ascii="Arial" w:hAnsi="Arial" w:cs="Arial"/>
          <w:sz w:val="20"/>
          <w:szCs w:val="20"/>
        </w:rPr>
        <w:t>so bile sprejete</w:t>
      </w:r>
      <w:r w:rsidRPr="007470FE">
        <w:rPr>
          <w:rFonts w:ascii="Arial" w:hAnsi="Arial" w:cs="Arial"/>
          <w:sz w:val="20"/>
          <w:szCs w:val="20"/>
        </w:rPr>
        <w:t xml:space="preserve"> naslednje odločitve št. SC-9/4, SC-9/11, SC-9/12.</w:t>
      </w:r>
    </w:p>
    <w:p w14:paraId="3FE3AD20" w14:textId="77777777" w:rsidR="000B0049" w:rsidRPr="007470FE" w:rsidRDefault="000B0049" w:rsidP="00496446">
      <w:pPr>
        <w:pStyle w:val="ListParagraph"/>
        <w:spacing w:line="276" w:lineRule="auto"/>
        <w:ind w:left="0"/>
        <w:jc w:val="both"/>
        <w:rPr>
          <w:rFonts w:ascii="Arial" w:hAnsi="Arial" w:cs="Arial"/>
          <w:sz w:val="20"/>
          <w:szCs w:val="20"/>
        </w:rPr>
      </w:pPr>
    </w:p>
    <w:p w14:paraId="2ED23EE0" w14:textId="77777777" w:rsidR="007470FE" w:rsidRPr="007470FE" w:rsidRDefault="007470FE" w:rsidP="00496446">
      <w:pPr>
        <w:pStyle w:val="ListParagraph"/>
        <w:spacing w:line="276" w:lineRule="auto"/>
        <w:ind w:left="0"/>
        <w:jc w:val="both"/>
        <w:rPr>
          <w:rFonts w:ascii="Arial" w:hAnsi="Arial" w:cs="Arial"/>
          <w:sz w:val="20"/>
          <w:szCs w:val="20"/>
        </w:rPr>
      </w:pPr>
      <w:r w:rsidRPr="007470FE">
        <w:rPr>
          <w:rFonts w:ascii="Arial" w:hAnsi="Arial" w:cs="Arial"/>
          <w:sz w:val="20"/>
          <w:szCs w:val="20"/>
        </w:rPr>
        <w:t xml:space="preserve">Deseta Konferenca pogodbenic je leta 2022 uvrstila v Prilogo A brez posebnih izjem perfluoroheksan sulfonsko kislino (PFHxS), njene soli in spojine, sorodne PFHxS (odločitev št.: SC-10/13). PFHxS predstavlja veliko skupino kemikalij, ki so se namerno uporabljale  v gasilnih penah, kovinskih oblogah, v tekstilu ter kot prevleke. Skupina teh kemikalij je bila zamenjava za perfluorooktan sulfonsko kislino (PFOS). </w:t>
      </w:r>
    </w:p>
    <w:p w14:paraId="5D69C1D8" w14:textId="77777777" w:rsidR="00B35288" w:rsidRPr="007470FE" w:rsidRDefault="00B35288" w:rsidP="00B73D6F">
      <w:pPr>
        <w:spacing w:after="0" w:line="276" w:lineRule="auto"/>
        <w:jc w:val="both"/>
        <w:rPr>
          <w:rFonts w:ascii="Arial" w:hAnsi="Arial" w:cs="Arial"/>
          <w:sz w:val="20"/>
          <w:szCs w:val="20"/>
        </w:rPr>
      </w:pPr>
      <w:r w:rsidRPr="007470FE">
        <w:rPr>
          <w:rFonts w:ascii="Arial" w:hAnsi="Arial" w:cs="Arial"/>
          <w:sz w:val="20"/>
          <w:szCs w:val="20"/>
        </w:rPr>
        <w:t>Zakon o ratifikaciji začne veljati petnajsti dan po objavi v Uradnem listu Republike Slovenije – Mednarodne pogodbe.</w:t>
      </w:r>
    </w:p>
    <w:p w14:paraId="3D3E6DA9" w14:textId="77777777" w:rsidR="00B35288" w:rsidRPr="007470FE" w:rsidRDefault="00B35288" w:rsidP="00B73D6F">
      <w:pPr>
        <w:spacing w:after="0" w:line="276" w:lineRule="auto"/>
        <w:jc w:val="both"/>
        <w:rPr>
          <w:rFonts w:ascii="Arial" w:hAnsi="Arial" w:cs="Arial"/>
          <w:sz w:val="20"/>
          <w:szCs w:val="20"/>
        </w:rPr>
      </w:pPr>
    </w:p>
    <w:p w14:paraId="5B789E57" w14:textId="0C3935F7" w:rsidR="00B73D6F" w:rsidRDefault="00E1524A" w:rsidP="00B73D6F">
      <w:pPr>
        <w:spacing w:after="0" w:line="276" w:lineRule="auto"/>
        <w:jc w:val="both"/>
        <w:rPr>
          <w:rFonts w:ascii="Arial" w:hAnsi="Arial" w:cs="Arial"/>
          <w:sz w:val="20"/>
          <w:szCs w:val="20"/>
          <w:lang w:val="sl"/>
        </w:rPr>
      </w:pPr>
      <w:r w:rsidRPr="00033AA1">
        <w:rPr>
          <w:rFonts w:ascii="Arial" w:hAnsi="Arial" w:cs="Arial"/>
          <w:sz w:val="20"/>
          <w:szCs w:val="20"/>
          <w:lang w:val="sl"/>
        </w:rPr>
        <w:t xml:space="preserve">Izvajanje konvencije </w:t>
      </w:r>
      <w:r w:rsidRPr="00294410">
        <w:rPr>
          <w:rFonts w:ascii="Arial" w:hAnsi="Arial" w:cs="Arial"/>
          <w:sz w:val="20"/>
          <w:szCs w:val="20"/>
        </w:rPr>
        <w:t xml:space="preserve">ne zahteva izdaje novih ali spremembe veljavnih </w:t>
      </w:r>
      <w:r w:rsidRPr="00033AA1">
        <w:rPr>
          <w:rFonts w:ascii="Arial" w:hAnsi="Arial" w:cs="Arial"/>
          <w:sz w:val="20"/>
          <w:szCs w:val="20"/>
          <w:lang w:val="sl"/>
        </w:rPr>
        <w:t xml:space="preserve">predpisov. </w:t>
      </w:r>
      <w:r>
        <w:rPr>
          <w:rFonts w:ascii="Arial" w:hAnsi="Arial" w:cs="Arial"/>
          <w:sz w:val="20"/>
          <w:szCs w:val="20"/>
          <w:lang w:val="sl"/>
        </w:rPr>
        <w:t>V okviru</w:t>
      </w:r>
      <w:r w:rsidRPr="00033AA1">
        <w:rPr>
          <w:rFonts w:ascii="Arial" w:hAnsi="Arial" w:cs="Arial"/>
          <w:sz w:val="20"/>
          <w:szCs w:val="20"/>
          <w:lang w:val="sl"/>
        </w:rPr>
        <w:t xml:space="preserve"> EU velja za področje obstojnih organskih onesnaževal Uredba (EU) 2019/1021 o obstojnih organskih onesnaževalih. </w:t>
      </w:r>
      <w:r w:rsidR="00B73D6F">
        <w:rPr>
          <w:rFonts w:ascii="Arial" w:hAnsi="Arial" w:cs="Arial"/>
          <w:sz w:val="20"/>
          <w:szCs w:val="20"/>
          <w:lang w:val="sl"/>
        </w:rPr>
        <w:t xml:space="preserve">Leta 2012 se je endosulfan dodal v EU uredbo št. 850/2004 (št. 519/2012) brez izjem glede kmetijske kulture/škodljivega organizma, ker vse izjeme na svetovni ravni ne veljajo v EU. EU je endosulfan kot fitofarmacevtsko sredstvo omejila že leta 2005 s sklepom Komisije 2005/864/ES. </w:t>
      </w:r>
    </w:p>
    <w:p w14:paraId="18410401" w14:textId="77777777" w:rsidR="00B73D6F" w:rsidRDefault="00B73D6F" w:rsidP="00B73D6F">
      <w:pPr>
        <w:spacing w:after="0" w:line="276" w:lineRule="auto"/>
        <w:jc w:val="both"/>
        <w:rPr>
          <w:rFonts w:ascii="Arial" w:hAnsi="Arial" w:cs="Arial"/>
          <w:sz w:val="20"/>
          <w:szCs w:val="20"/>
          <w:lang w:val="sl"/>
        </w:rPr>
      </w:pPr>
    </w:p>
    <w:p w14:paraId="3C228E29" w14:textId="319B0BE5" w:rsidR="00E1524A" w:rsidRDefault="00E1524A" w:rsidP="00B73D6F">
      <w:pPr>
        <w:spacing w:after="0" w:line="276" w:lineRule="auto"/>
        <w:jc w:val="both"/>
        <w:rPr>
          <w:rFonts w:ascii="Arial" w:hAnsi="Arial" w:cs="Arial"/>
          <w:sz w:val="20"/>
          <w:szCs w:val="20"/>
          <w:lang w:val="sl"/>
        </w:rPr>
      </w:pPr>
      <w:r>
        <w:rPr>
          <w:rFonts w:ascii="Arial" w:hAnsi="Arial" w:cs="Arial"/>
          <w:sz w:val="20"/>
          <w:szCs w:val="20"/>
          <w:lang w:val="sl"/>
        </w:rPr>
        <w:t xml:space="preserve">Izvajanje </w:t>
      </w:r>
      <w:r w:rsidR="000D7AE3">
        <w:rPr>
          <w:rFonts w:ascii="Arial" w:hAnsi="Arial" w:cs="Arial"/>
          <w:sz w:val="20"/>
          <w:szCs w:val="20"/>
          <w:lang w:val="sl"/>
        </w:rPr>
        <w:t xml:space="preserve">Priloge G in  </w:t>
      </w:r>
      <w:r>
        <w:rPr>
          <w:rFonts w:ascii="Arial" w:hAnsi="Arial" w:cs="Arial"/>
          <w:sz w:val="20"/>
          <w:szCs w:val="20"/>
          <w:lang w:val="sl"/>
        </w:rPr>
        <w:t xml:space="preserve">sprememb </w:t>
      </w:r>
      <w:r w:rsidR="005F6050">
        <w:rPr>
          <w:rFonts w:ascii="Arial" w:hAnsi="Arial" w:cs="Arial"/>
          <w:sz w:val="20"/>
          <w:szCs w:val="20"/>
          <w:lang w:val="sl"/>
        </w:rPr>
        <w:t>P</w:t>
      </w:r>
      <w:r w:rsidR="000D7AE3">
        <w:rPr>
          <w:rFonts w:ascii="Arial" w:hAnsi="Arial" w:cs="Arial"/>
          <w:sz w:val="20"/>
          <w:szCs w:val="20"/>
          <w:lang w:val="sl"/>
        </w:rPr>
        <w:t>rilog A, B in C h konvenciji</w:t>
      </w:r>
      <w:r w:rsidR="00B73D6F">
        <w:rPr>
          <w:rFonts w:ascii="Arial" w:hAnsi="Arial" w:cs="Arial"/>
          <w:sz w:val="20"/>
          <w:szCs w:val="20"/>
          <w:lang w:val="sl"/>
        </w:rPr>
        <w:t xml:space="preserve"> </w:t>
      </w:r>
      <w:r>
        <w:rPr>
          <w:rFonts w:ascii="Arial" w:hAnsi="Arial" w:cs="Arial"/>
          <w:sz w:val="20"/>
          <w:szCs w:val="20"/>
          <w:lang w:val="sl"/>
        </w:rPr>
        <w:t>nima dodatnih finančnih posledic.</w:t>
      </w:r>
    </w:p>
    <w:p w14:paraId="2116495E" w14:textId="77777777" w:rsidR="00B35288" w:rsidRPr="007470FE" w:rsidRDefault="00B35288" w:rsidP="00B73D6F">
      <w:pPr>
        <w:spacing w:after="0" w:line="276" w:lineRule="auto"/>
        <w:jc w:val="both"/>
        <w:rPr>
          <w:rFonts w:ascii="Arial" w:hAnsi="Arial" w:cs="Arial"/>
          <w:sz w:val="20"/>
          <w:szCs w:val="20"/>
        </w:rPr>
      </w:pPr>
    </w:p>
    <w:p w14:paraId="6242711A" w14:textId="600855D0" w:rsidR="00B35288" w:rsidRPr="00B35288" w:rsidRDefault="000D7AE3" w:rsidP="00B813E0">
      <w:pPr>
        <w:spacing w:after="0" w:line="276" w:lineRule="auto"/>
        <w:jc w:val="both"/>
        <w:rPr>
          <w:rFonts w:ascii="Arial" w:hAnsi="Arial" w:cs="Arial"/>
          <w:sz w:val="20"/>
          <w:szCs w:val="20"/>
        </w:rPr>
      </w:pPr>
      <w:r>
        <w:rPr>
          <w:rFonts w:ascii="Arial" w:hAnsi="Arial" w:cs="Arial"/>
          <w:sz w:val="20"/>
          <w:szCs w:val="20"/>
        </w:rPr>
        <w:t>Priloga G in s</w:t>
      </w:r>
      <w:r w:rsidR="00B73D6F">
        <w:rPr>
          <w:rFonts w:ascii="Arial" w:hAnsi="Arial" w:cs="Arial"/>
          <w:sz w:val="20"/>
          <w:szCs w:val="20"/>
        </w:rPr>
        <w:t xml:space="preserve">premembe </w:t>
      </w:r>
      <w:r w:rsidR="005F6050">
        <w:rPr>
          <w:rFonts w:ascii="Arial" w:hAnsi="Arial" w:cs="Arial"/>
          <w:sz w:val="20"/>
          <w:szCs w:val="20"/>
        </w:rPr>
        <w:t>P</w:t>
      </w:r>
      <w:bookmarkStart w:id="3" w:name="_GoBack"/>
      <w:bookmarkEnd w:id="3"/>
      <w:r>
        <w:rPr>
          <w:rFonts w:ascii="Arial" w:hAnsi="Arial" w:cs="Arial"/>
          <w:sz w:val="20"/>
          <w:szCs w:val="20"/>
        </w:rPr>
        <w:t xml:space="preserve">rilog A, B in C h </w:t>
      </w:r>
      <w:r w:rsidR="00B73D6F">
        <w:rPr>
          <w:rFonts w:ascii="Arial" w:hAnsi="Arial" w:cs="Arial"/>
          <w:sz w:val="20"/>
          <w:szCs w:val="20"/>
        </w:rPr>
        <w:t>konvencij</w:t>
      </w:r>
      <w:r>
        <w:rPr>
          <w:rFonts w:ascii="Arial" w:hAnsi="Arial" w:cs="Arial"/>
          <w:sz w:val="20"/>
          <w:szCs w:val="20"/>
        </w:rPr>
        <w:t>i</w:t>
      </w:r>
      <w:r w:rsidR="00B73D6F">
        <w:rPr>
          <w:rFonts w:ascii="Arial" w:hAnsi="Arial" w:cs="Arial"/>
          <w:sz w:val="20"/>
          <w:szCs w:val="20"/>
        </w:rPr>
        <w:t xml:space="preserve"> </w:t>
      </w:r>
      <w:r w:rsidR="00B35288" w:rsidRPr="007470FE">
        <w:rPr>
          <w:rFonts w:ascii="Arial" w:hAnsi="Arial" w:cs="Arial"/>
          <w:sz w:val="20"/>
          <w:szCs w:val="20"/>
        </w:rPr>
        <w:t>ni</w:t>
      </w:r>
      <w:r w:rsidR="00B813E0">
        <w:rPr>
          <w:rFonts w:ascii="Arial" w:hAnsi="Arial" w:cs="Arial"/>
          <w:sz w:val="20"/>
          <w:szCs w:val="20"/>
        </w:rPr>
        <w:t>so</w:t>
      </w:r>
      <w:r w:rsidR="00B35288" w:rsidRPr="007470FE">
        <w:rPr>
          <w:rFonts w:ascii="Arial" w:hAnsi="Arial" w:cs="Arial"/>
          <w:sz w:val="20"/>
          <w:szCs w:val="20"/>
        </w:rPr>
        <w:t xml:space="preserve"> predmet usklajevanja s pravnim redom Evropske unije.</w:t>
      </w:r>
    </w:p>
    <w:sectPr w:rsidR="00B35288" w:rsidRPr="00B35288" w:rsidSect="00D66C83">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D8FE" w14:textId="77777777" w:rsidR="00E27632" w:rsidRDefault="00E27632" w:rsidP="00BF3402">
      <w:pPr>
        <w:spacing w:after="0" w:line="240" w:lineRule="auto"/>
      </w:pPr>
      <w:r>
        <w:separator/>
      </w:r>
    </w:p>
  </w:endnote>
  <w:endnote w:type="continuationSeparator" w:id="0">
    <w:p w14:paraId="2348A414" w14:textId="77777777" w:rsidR="00E27632" w:rsidRDefault="00E27632" w:rsidP="00BF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PMingLiU"/>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76EA" w14:textId="77777777" w:rsidR="00E27632" w:rsidRDefault="00E27632" w:rsidP="00BF3402">
      <w:pPr>
        <w:spacing w:after="0" w:line="240" w:lineRule="auto"/>
      </w:pPr>
      <w:r>
        <w:separator/>
      </w:r>
    </w:p>
  </w:footnote>
  <w:footnote w:type="continuationSeparator" w:id="0">
    <w:p w14:paraId="4F29D63B" w14:textId="77777777" w:rsidR="00E27632" w:rsidRDefault="00E27632" w:rsidP="00BF3402">
      <w:pPr>
        <w:spacing w:after="0" w:line="240" w:lineRule="auto"/>
      </w:pPr>
      <w:r>
        <w:continuationSeparator/>
      </w:r>
    </w:p>
  </w:footnote>
  <w:footnote w:id="1">
    <w:p w14:paraId="1B88EDC5" w14:textId="77777777" w:rsidR="00E27632" w:rsidRPr="00CC2084" w:rsidRDefault="00E27632" w:rsidP="00580F32">
      <w:pPr>
        <w:pStyle w:val="FootnoteText"/>
        <w:spacing w:before="60"/>
        <w:ind w:left="1247"/>
        <w:rPr>
          <w:sz w:val="18"/>
          <w:lang w:val="en-US"/>
        </w:rPr>
      </w:pPr>
      <w:r w:rsidRPr="00CC2084">
        <w:rPr>
          <w:rStyle w:val="FootnoteReference"/>
        </w:rPr>
        <w:footnoteRef/>
      </w:r>
      <w:r w:rsidRPr="00CC2084">
        <w:rPr>
          <w:sz w:val="18"/>
        </w:rPr>
        <w:t xml:space="preserve"> </w:t>
      </w:r>
      <w:r w:rsidRPr="00CC2084">
        <w:rPr>
          <w:sz w:val="18"/>
          <w:lang w:val="en-US"/>
        </w:rPr>
        <w:tab/>
      </w:r>
      <w:r w:rsidRPr="00CC2084">
        <w:rPr>
          <w:sz w:val="18"/>
        </w:rPr>
        <w:t>UNEP/POPS/POPRC.3/20/Add.8 and UNEP/POPS/POPRC.4/15/Add.3.</w:t>
      </w:r>
    </w:p>
  </w:footnote>
  <w:footnote w:id="2">
    <w:p w14:paraId="6F165D48" w14:textId="77777777" w:rsidR="00E27632" w:rsidRPr="00CC2084" w:rsidRDefault="00E27632" w:rsidP="00580F32">
      <w:pPr>
        <w:pStyle w:val="FootnoteText"/>
        <w:spacing w:before="60"/>
        <w:ind w:left="1247"/>
        <w:rPr>
          <w:sz w:val="18"/>
          <w:lang w:val="en-US"/>
        </w:rPr>
      </w:pPr>
      <w:r w:rsidRPr="00CC2084">
        <w:rPr>
          <w:rStyle w:val="FootnoteReference"/>
        </w:rPr>
        <w:footnoteRef/>
      </w:r>
      <w:r w:rsidRPr="00CC2084">
        <w:rPr>
          <w:sz w:val="18"/>
        </w:rPr>
        <w:t xml:space="preserve"> </w:t>
      </w:r>
      <w:r w:rsidRPr="00CC2084">
        <w:rPr>
          <w:sz w:val="18"/>
        </w:rPr>
        <w:tab/>
        <w:t>UNEP/POPS/COP.4/17.</w:t>
      </w:r>
    </w:p>
  </w:footnote>
  <w:footnote w:id="3">
    <w:p w14:paraId="4ED3AEFA" w14:textId="77777777" w:rsidR="00E27632" w:rsidRPr="00CC2084" w:rsidRDefault="00E27632" w:rsidP="00580F32">
      <w:pPr>
        <w:pStyle w:val="FootnoteText"/>
        <w:spacing w:before="60"/>
        <w:ind w:left="1260" w:hanging="12"/>
        <w:rPr>
          <w:sz w:val="18"/>
          <w:lang w:val="en-US"/>
        </w:rPr>
      </w:pPr>
      <w:r w:rsidRPr="00CC2084">
        <w:rPr>
          <w:rStyle w:val="FootnoteReference"/>
        </w:rPr>
        <w:footnoteRef/>
      </w:r>
      <w:r w:rsidRPr="00CC2084">
        <w:rPr>
          <w:sz w:val="18"/>
        </w:rPr>
        <w:t xml:space="preserve"> </w:t>
      </w:r>
      <w:r w:rsidRPr="00CC2084">
        <w:rPr>
          <w:sz w:val="18"/>
          <w:lang w:val="en-US"/>
        </w:rPr>
        <w:tab/>
      </w:r>
      <w:r w:rsidRPr="00CC2084">
        <w:rPr>
          <w:sz w:val="18"/>
        </w:rPr>
        <w:t>UNEP/POPS/POPRC.3/20/Add.9 and UNEP/POPS/POPRC.4/15/Add.4.</w:t>
      </w:r>
    </w:p>
  </w:footnote>
  <w:footnote w:id="4">
    <w:p w14:paraId="29EC792D" w14:textId="77777777" w:rsidR="00E27632" w:rsidRPr="00CC2084" w:rsidRDefault="00E27632" w:rsidP="00580F32">
      <w:pPr>
        <w:pStyle w:val="FootnoteText"/>
        <w:spacing w:before="60"/>
        <w:ind w:left="624" w:firstLine="624"/>
        <w:rPr>
          <w:sz w:val="18"/>
          <w:lang w:val="en-US"/>
        </w:rPr>
      </w:pPr>
      <w:r w:rsidRPr="00CC2084">
        <w:rPr>
          <w:rStyle w:val="FootnoteReference"/>
        </w:rPr>
        <w:footnoteRef/>
      </w:r>
      <w:r w:rsidRPr="00CC2084">
        <w:rPr>
          <w:sz w:val="18"/>
        </w:rPr>
        <w:t xml:space="preserve"> </w:t>
      </w:r>
      <w:r w:rsidRPr="00CC2084">
        <w:rPr>
          <w:sz w:val="18"/>
          <w:lang w:val="en-US"/>
        </w:rPr>
        <w:tab/>
      </w:r>
      <w:r w:rsidRPr="00CC2084">
        <w:rPr>
          <w:sz w:val="18"/>
        </w:rPr>
        <w:t>UNEP/POPS/COP.4/17.</w:t>
      </w:r>
    </w:p>
  </w:footnote>
  <w:footnote w:id="5">
    <w:p w14:paraId="02A5408E" w14:textId="77777777" w:rsidR="00E27632" w:rsidRDefault="00E27632" w:rsidP="00580F32">
      <w:pPr>
        <w:pStyle w:val="FootnoteText"/>
        <w:spacing w:before="60"/>
        <w:ind w:left="1247"/>
        <w:rPr>
          <w:sz w:val="18"/>
        </w:rPr>
      </w:pPr>
      <w:r>
        <w:rPr>
          <w:sz w:val="18"/>
        </w:rPr>
        <w:footnoteRef/>
      </w:r>
      <w:r>
        <w:rPr>
          <w:sz w:val="18"/>
        </w:rPr>
        <w:t xml:space="preserve"> </w:t>
      </w:r>
      <w:r>
        <w:rPr>
          <w:sz w:val="18"/>
        </w:rPr>
        <w:tab/>
        <w:t>UNEP/POPS/POPRC.3/20/Add.10 and UNEP/POPS/POPRC.3/20/Add.2.</w:t>
      </w:r>
    </w:p>
  </w:footnote>
  <w:footnote w:id="6">
    <w:p w14:paraId="18AA46D4" w14:textId="48AB53D3" w:rsidR="00E27632" w:rsidRDefault="00E27632" w:rsidP="00580F32">
      <w:pPr>
        <w:pStyle w:val="FootnoteText"/>
        <w:spacing w:before="60"/>
        <w:ind w:left="1247"/>
        <w:rPr>
          <w:sz w:val="18"/>
        </w:rPr>
      </w:pPr>
      <w:r>
        <w:rPr>
          <w:sz w:val="18"/>
        </w:rPr>
        <w:footnoteRef/>
      </w:r>
      <w:r>
        <w:rPr>
          <w:sz w:val="18"/>
        </w:rPr>
        <w:t xml:space="preserve"> </w:t>
      </w:r>
      <w:r>
        <w:rPr>
          <w:sz w:val="18"/>
        </w:rPr>
        <w:tab/>
        <w:t xml:space="preserve"> UNEP/POPS/COP.4/17.</w:t>
      </w:r>
    </w:p>
  </w:footnote>
  <w:footnote w:id="7">
    <w:p w14:paraId="5636BBD2" w14:textId="6FBB9FCA" w:rsidR="00E27632" w:rsidRPr="00CC2084" w:rsidRDefault="00E27632" w:rsidP="00580F32">
      <w:pPr>
        <w:pStyle w:val="FootnoteText"/>
        <w:spacing w:before="60"/>
        <w:ind w:left="1247"/>
        <w:rPr>
          <w:sz w:val="18"/>
        </w:rPr>
      </w:pPr>
      <w:r w:rsidRPr="00CC2084">
        <w:rPr>
          <w:sz w:val="18"/>
        </w:rPr>
        <w:footnoteRef/>
      </w:r>
      <w:r w:rsidRPr="00CC2084">
        <w:rPr>
          <w:sz w:val="18"/>
        </w:rPr>
        <w:t xml:space="preserve"> </w:t>
      </w:r>
      <w:r w:rsidRPr="00CC2084">
        <w:rPr>
          <w:sz w:val="18"/>
        </w:rPr>
        <w:tab/>
      </w:r>
      <w:r>
        <w:rPr>
          <w:sz w:val="18"/>
        </w:rPr>
        <w:t xml:space="preserve"> </w:t>
      </w:r>
      <w:r w:rsidRPr="00CC2084">
        <w:rPr>
          <w:sz w:val="18"/>
        </w:rPr>
        <w:t>UNEP/POPS/POPRC.2/17/Add.3 and UNEP/POPS/POPRC.3/20/Add.3.</w:t>
      </w:r>
    </w:p>
  </w:footnote>
  <w:footnote w:id="8">
    <w:p w14:paraId="0CD059A2" w14:textId="0BEDF5EE" w:rsidR="00E27632" w:rsidRPr="00CC2084" w:rsidRDefault="00E27632" w:rsidP="00580F32">
      <w:pPr>
        <w:pStyle w:val="FootnoteText"/>
        <w:spacing w:before="60"/>
        <w:ind w:left="1247"/>
        <w:rPr>
          <w:sz w:val="18"/>
        </w:rPr>
      </w:pPr>
      <w:r w:rsidRPr="00CC2084">
        <w:rPr>
          <w:sz w:val="18"/>
        </w:rPr>
        <w:footnoteRef/>
      </w:r>
      <w:r w:rsidRPr="00CC2084">
        <w:rPr>
          <w:sz w:val="18"/>
        </w:rPr>
        <w:t xml:space="preserve"> </w:t>
      </w:r>
      <w:r w:rsidRPr="00CC2084">
        <w:rPr>
          <w:sz w:val="18"/>
        </w:rPr>
        <w:tab/>
      </w:r>
      <w:r>
        <w:rPr>
          <w:sz w:val="18"/>
        </w:rPr>
        <w:t xml:space="preserve"> </w:t>
      </w:r>
      <w:r w:rsidRPr="00CC2084">
        <w:rPr>
          <w:sz w:val="18"/>
        </w:rPr>
        <w:t>UNEP/POPS/COP.4/17.</w:t>
      </w:r>
    </w:p>
  </w:footnote>
  <w:footnote w:id="9">
    <w:p w14:paraId="723BC8D3" w14:textId="4B7D67D2" w:rsidR="00E27632" w:rsidRPr="00CC2084" w:rsidRDefault="00E27632" w:rsidP="0042751E">
      <w:pPr>
        <w:pStyle w:val="FootnoteText"/>
        <w:spacing w:before="60"/>
        <w:ind w:left="1247"/>
        <w:rPr>
          <w:sz w:val="18"/>
        </w:rPr>
      </w:pPr>
      <w:r w:rsidRPr="00CC2084">
        <w:rPr>
          <w:sz w:val="18"/>
        </w:rPr>
        <w:footnoteRef/>
      </w:r>
      <w:r w:rsidRPr="00CC2084">
        <w:rPr>
          <w:sz w:val="18"/>
        </w:rPr>
        <w:t xml:space="preserve"> </w:t>
      </w:r>
      <w:r w:rsidRPr="00CC2084">
        <w:rPr>
          <w:sz w:val="18"/>
        </w:rPr>
        <w:tab/>
      </w:r>
      <w:r>
        <w:rPr>
          <w:sz w:val="18"/>
        </w:rPr>
        <w:t xml:space="preserve"> </w:t>
      </w:r>
      <w:r w:rsidRPr="00CC2084">
        <w:rPr>
          <w:sz w:val="18"/>
        </w:rPr>
        <w:t>UNEP/POPS/POPRC.3/20/Add.6 and UNEP/POPS/POPRC.4/15/Add.1.</w:t>
      </w:r>
    </w:p>
  </w:footnote>
  <w:footnote w:id="10">
    <w:p w14:paraId="7A944AD3" w14:textId="67F8A3A8" w:rsidR="00E27632" w:rsidRPr="00E27D4B" w:rsidRDefault="00E27632" w:rsidP="0042751E">
      <w:pPr>
        <w:pStyle w:val="FootnoteText"/>
        <w:spacing w:before="60"/>
        <w:ind w:left="1247"/>
        <w:rPr>
          <w:sz w:val="18"/>
        </w:rPr>
      </w:pPr>
      <w:r w:rsidRPr="00E27D4B">
        <w:rPr>
          <w:sz w:val="18"/>
        </w:rPr>
        <w:footnoteRef/>
      </w:r>
      <w:r w:rsidRPr="00E27D4B">
        <w:rPr>
          <w:sz w:val="18"/>
        </w:rPr>
        <w:t xml:space="preserve"> UNEP/POPS/COP.4/17.</w:t>
      </w:r>
    </w:p>
  </w:footnote>
  <w:footnote w:id="11">
    <w:p w14:paraId="271A3EA3" w14:textId="77777777" w:rsidR="00E27632" w:rsidRDefault="00E27632" w:rsidP="0042751E">
      <w:pPr>
        <w:pStyle w:val="FootnoteText"/>
        <w:spacing w:before="60"/>
        <w:ind w:left="1247"/>
        <w:rPr>
          <w:sz w:val="18"/>
          <w:lang w:val="en-US"/>
        </w:rPr>
      </w:pPr>
      <w:r>
        <w:rPr>
          <w:rStyle w:val="FootnoteReference"/>
          <w:sz w:val="18"/>
        </w:rPr>
        <w:footnoteRef/>
      </w:r>
      <w:r>
        <w:rPr>
          <w:sz w:val="18"/>
        </w:rPr>
        <w:t xml:space="preserve"> </w:t>
      </w:r>
      <w:r>
        <w:rPr>
          <w:sz w:val="18"/>
          <w:lang w:val="en-US"/>
        </w:rPr>
        <w:tab/>
      </w:r>
      <w:r>
        <w:rPr>
          <w:sz w:val="18"/>
        </w:rPr>
        <w:t xml:space="preserve">UNEP/POPS/POPRC.2/17/Add.4 and UNEP/POPS/POPRC.3/20/Add.4. </w:t>
      </w:r>
    </w:p>
  </w:footnote>
  <w:footnote w:id="12">
    <w:p w14:paraId="34E1CA95" w14:textId="77777777" w:rsidR="00E27632" w:rsidRDefault="00E27632" w:rsidP="0042751E">
      <w:pPr>
        <w:pStyle w:val="FootnoteText"/>
        <w:spacing w:before="60"/>
        <w:ind w:left="1247"/>
        <w:rPr>
          <w:sz w:val="18"/>
          <w:lang w:val="en-US"/>
        </w:rPr>
      </w:pPr>
      <w:r>
        <w:rPr>
          <w:rStyle w:val="FootnoteReference"/>
          <w:sz w:val="18"/>
        </w:rPr>
        <w:footnoteRef/>
      </w:r>
      <w:r>
        <w:rPr>
          <w:sz w:val="18"/>
        </w:rPr>
        <w:t xml:space="preserve"> </w:t>
      </w:r>
      <w:r>
        <w:rPr>
          <w:sz w:val="18"/>
          <w:lang w:val="en-US"/>
        </w:rPr>
        <w:tab/>
      </w:r>
      <w:r>
        <w:rPr>
          <w:sz w:val="18"/>
        </w:rPr>
        <w:t>UNEP/POPS/COP.4/17.</w:t>
      </w:r>
    </w:p>
  </w:footnote>
  <w:footnote w:id="13">
    <w:p w14:paraId="046032F3" w14:textId="77777777" w:rsidR="00E27632" w:rsidRDefault="00E27632" w:rsidP="0042751E">
      <w:pPr>
        <w:pStyle w:val="FootnoteText"/>
        <w:spacing w:before="60"/>
        <w:ind w:left="1247"/>
        <w:rPr>
          <w:sz w:val="18"/>
          <w:lang w:val="en-US"/>
        </w:rPr>
      </w:pPr>
      <w:r>
        <w:rPr>
          <w:rStyle w:val="FootnoteReference"/>
          <w:sz w:val="18"/>
        </w:rPr>
        <w:footnoteRef/>
      </w:r>
      <w:r>
        <w:rPr>
          <w:sz w:val="18"/>
        </w:rPr>
        <w:t xml:space="preserve"> </w:t>
      </w:r>
      <w:r>
        <w:rPr>
          <w:sz w:val="18"/>
          <w:lang w:val="en-US"/>
        </w:rPr>
        <w:tab/>
        <w:t>UNEP/POPS/POPRC.3/20/Add.7, UNEP/POPS/POPRC.4/15/Add.5 and UNEP/POPS/POPRC.4/15/Add.2.</w:t>
      </w:r>
    </w:p>
  </w:footnote>
  <w:footnote w:id="14">
    <w:p w14:paraId="798F4CD8" w14:textId="77777777" w:rsidR="00E27632" w:rsidRDefault="00E27632" w:rsidP="0042751E">
      <w:pPr>
        <w:pStyle w:val="FootnoteText"/>
        <w:spacing w:before="60"/>
        <w:ind w:left="1247"/>
        <w:rPr>
          <w:sz w:val="18"/>
          <w:lang w:val="en-US"/>
        </w:rPr>
      </w:pPr>
      <w:r>
        <w:rPr>
          <w:rStyle w:val="FootnoteReference"/>
          <w:sz w:val="18"/>
        </w:rPr>
        <w:footnoteRef/>
      </w:r>
      <w:r>
        <w:rPr>
          <w:sz w:val="18"/>
        </w:rPr>
        <w:t xml:space="preserve"> </w:t>
      </w:r>
      <w:r>
        <w:rPr>
          <w:sz w:val="18"/>
        </w:rPr>
        <w:tab/>
        <w:t>UNEP/POPS/COP.4/17.</w:t>
      </w:r>
    </w:p>
  </w:footnote>
  <w:footnote w:id="15">
    <w:p w14:paraId="3A9228D9" w14:textId="77777777" w:rsidR="00E27632" w:rsidRPr="00CC2084" w:rsidRDefault="00E27632" w:rsidP="0042751E">
      <w:pPr>
        <w:pStyle w:val="FootnoteText"/>
        <w:spacing w:before="60"/>
        <w:ind w:left="1247"/>
        <w:rPr>
          <w:sz w:val="18"/>
        </w:rPr>
      </w:pPr>
      <w:r w:rsidRPr="00CC2084">
        <w:rPr>
          <w:rStyle w:val="FootnoteReference"/>
        </w:rPr>
        <w:footnoteRef/>
      </w:r>
      <w:r w:rsidRPr="00CC2084">
        <w:rPr>
          <w:sz w:val="18"/>
        </w:rPr>
        <w:t xml:space="preserve"> </w:t>
      </w:r>
      <w:r w:rsidRPr="00CC2084">
        <w:rPr>
          <w:sz w:val="18"/>
        </w:rPr>
        <w:tab/>
        <w:t>UNEP/POPRC.2/17/Add.5, UNEP/POPRC.3/20/Add.5 and UNEP/POPRC.4/15/Add.6.</w:t>
      </w:r>
    </w:p>
  </w:footnote>
  <w:footnote w:id="16">
    <w:p w14:paraId="1435EDF1" w14:textId="77777777" w:rsidR="00E27632" w:rsidRPr="00CC2084" w:rsidRDefault="00E27632" w:rsidP="0042751E">
      <w:pPr>
        <w:pStyle w:val="FootnoteText"/>
        <w:spacing w:before="60"/>
        <w:ind w:left="1247"/>
        <w:rPr>
          <w:sz w:val="18"/>
        </w:rPr>
      </w:pPr>
      <w:r w:rsidRPr="00CC2084">
        <w:rPr>
          <w:rStyle w:val="FootnoteReference"/>
        </w:rPr>
        <w:footnoteRef/>
      </w:r>
      <w:r w:rsidRPr="00CC2084">
        <w:rPr>
          <w:sz w:val="18"/>
        </w:rPr>
        <w:t xml:space="preserve"> </w:t>
      </w:r>
      <w:r w:rsidRPr="00CC2084">
        <w:rPr>
          <w:sz w:val="18"/>
        </w:rPr>
        <w:tab/>
        <w:t>UNEP/POPS/COP.4/17.</w:t>
      </w:r>
    </w:p>
  </w:footnote>
  <w:footnote w:id="17">
    <w:p w14:paraId="2C4C5FB9" w14:textId="77777777" w:rsidR="00E27632" w:rsidRPr="00E27D4B" w:rsidRDefault="00E27632" w:rsidP="0042751E">
      <w:pPr>
        <w:pStyle w:val="FootnoteText"/>
        <w:spacing w:before="60"/>
        <w:ind w:left="1260" w:hanging="12"/>
        <w:rPr>
          <w:sz w:val="18"/>
        </w:rPr>
      </w:pPr>
      <w:r w:rsidRPr="00E27D4B">
        <w:rPr>
          <w:rStyle w:val="FootnoteReference"/>
        </w:rPr>
        <w:footnoteRef/>
      </w:r>
      <w:r w:rsidRPr="00E27D4B">
        <w:rPr>
          <w:sz w:val="18"/>
        </w:rPr>
        <w:t xml:space="preserve"> </w:t>
      </w:r>
      <w:r w:rsidRPr="00E27D4B">
        <w:rPr>
          <w:sz w:val="18"/>
        </w:rPr>
        <w:tab/>
        <w:t>UNEP/POPS/POPRC.2/17/Add.1 and UNEP/POPS/POPRC.3/20/Add.1.</w:t>
      </w:r>
    </w:p>
  </w:footnote>
  <w:footnote w:id="18">
    <w:p w14:paraId="09010783" w14:textId="77777777" w:rsidR="00E27632" w:rsidRPr="00E27D4B" w:rsidRDefault="00E27632" w:rsidP="0042751E">
      <w:pPr>
        <w:spacing w:before="60"/>
        <w:ind w:left="624" w:firstLine="624"/>
        <w:rPr>
          <w:sz w:val="18"/>
        </w:rPr>
      </w:pPr>
      <w:r w:rsidRPr="00E27D4B">
        <w:rPr>
          <w:rStyle w:val="FootnoteReference"/>
        </w:rPr>
        <w:footnoteRef/>
      </w:r>
      <w:r w:rsidRPr="00E27D4B">
        <w:rPr>
          <w:sz w:val="18"/>
        </w:rPr>
        <w:t xml:space="preserve"> </w:t>
      </w:r>
      <w:r w:rsidRPr="00E27D4B">
        <w:rPr>
          <w:sz w:val="18"/>
        </w:rPr>
        <w:tab/>
        <w:t>UNEP/POPS/COP.4/17.</w:t>
      </w:r>
    </w:p>
    <w:p w14:paraId="0789F520" w14:textId="77777777" w:rsidR="00E27632" w:rsidRDefault="00E27632" w:rsidP="0042751E">
      <w:pPr>
        <w:pStyle w:val="FootnoteText"/>
        <w:spacing w:before="60"/>
      </w:pPr>
      <w:r>
        <w:t> </w:t>
      </w:r>
    </w:p>
  </w:footnote>
  <w:footnote w:id="19">
    <w:p w14:paraId="7D35F847" w14:textId="77777777" w:rsidR="00E27632" w:rsidRPr="000523C6" w:rsidRDefault="00E27632" w:rsidP="0042751E">
      <w:pPr>
        <w:pStyle w:val="FootnoteText"/>
        <w:spacing w:line="240" w:lineRule="exact"/>
        <w:rPr>
          <w:szCs w:val="18"/>
        </w:rPr>
      </w:pPr>
      <w:r w:rsidRPr="000523C6">
        <w:rPr>
          <w:rStyle w:val="FootnoteReference"/>
          <w:sz w:val="18"/>
        </w:rPr>
        <w:footnoteRef/>
      </w:r>
      <w:r w:rsidRPr="000523C6">
        <w:rPr>
          <w:szCs w:val="18"/>
        </w:rPr>
        <w:t xml:space="preserve"> </w:t>
      </w:r>
      <w:r w:rsidRPr="000523C6">
        <w:rPr>
          <w:szCs w:val="18"/>
        </w:rPr>
        <w:tab/>
        <w:t>UNEP/POPS/POPRC.5/10/Add.2 and UNEP/POPS/POPRC.6/13/Add.1.</w:t>
      </w:r>
    </w:p>
  </w:footnote>
  <w:footnote w:id="20">
    <w:p w14:paraId="1A82B7E0" w14:textId="77777777" w:rsidR="00E27632" w:rsidRPr="000523C6" w:rsidRDefault="00E27632" w:rsidP="0042751E">
      <w:pPr>
        <w:pStyle w:val="FootnoteText"/>
        <w:spacing w:line="240" w:lineRule="exact"/>
        <w:rPr>
          <w:szCs w:val="18"/>
        </w:rPr>
      </w:pPr>
      <w:r w:rsidRPr="000523C6">
        <w:rPr>
          <w:rStyle w:val="FootnoteReference"/>
          <w:sz w:val="18"/>
        </w:rPr>
        <w:footnoteRef/>
      </w:r>
      <w:r w:rsidRPr="000523C6">
        <w:rPr>
          <w:szCs w:val="18"/>
        </w:rPr>
        <w:t xml:space="preserve"> </w:t>
      </w:r>
      <w:r w:rsidRPr="000523C6">
        <w:rPr>
          <w:szCs w:val="18"/>
        </w:rPr>
        <w:tab/>
        <w:t>UNEP/POPS/COP.5/17.</w:t>
      </w:r>
    </w:p>
  </w:footnote>
  <w:footnote w:id="21">
    <w:p w14:paraId="34C72502" w14:textId="77777777" w:rsidR="00E27632" w:rsidRPr="00F01C1C" w:rsidRDefault="00E27632" w:rsidP="0042751E">
      <w:pPr>
        <w:pStyle w:val="FootnoteText"/>
        <w:tabs>
          <w:tab w:val="left" w:pos="1276"/>
        </w:tabs>
        <w:rPr>
          <w:lang w:val="en-GB"/>
        </w:rPr>
      </w:pPr>
      <w:r w:rsidRPr="00A602B2">
        <w:rPr>
          <w:rStyle w:val="FootnoteReference"/>
          <w:szCs w:val="18"/>
        </w:rPr>
        <w:footnoteRef/>
      </w:r>
      <w:r w:rsidRPr="00F01C1C">
        <w:rPr>
          <w:lang w:val="en-GB"/>
        </w:rPr>
        <w:t xml:space="preserve"> UNEP/POPS/POPRC.6/13/Add.2, UNEP/POPS/POPRC.7/19/Add.1 and UNEP/POPS/POPRC.8/16/Add.3.</w:t>
      </w:r>
    </w:p>
  </w:footnote>
  <w:footnote w:id="22">
    <w:p w14:paraId="56E397B7" w14:textId="77777777" w:rsidR="00E27632" w:rsidRPr="00F01C1C" w:rsidRDefault="00E27632" w:rsidP="0042751E">
      <w:pPr>
        <w:pStyle w:val="FootnoteText"/>
        <w:rPr>
          <w:lang w:val="en-GB"/>
        </w:rPr>
      </w:pPr>
      <w:r w:rsidRPr="00A602B2">
        <w:rPr>
          <w:rStyle w:val="FootnoteReference"/>
          <w:szCs w:val="18"/>
        </w:rPr>
        <w:footnoteRef/>
      </w:r>
      <w:r w:rsidRPr="00F01C1C">
        <w:rPr>
          <w:rStyle w:val="FootnoteReference"/>
          <w:lang w:val="en-GB"/>
        </w:rPr>
        <w:t xml:space="preserve"> </w:t>
      </w:r>
      <w:r w:rsidRPr="00F01C1C">
        <w:rPr>
          <w:lang w:val="en-GB"/>
        </w:rPr>
        <w:t>Decision POPRC-8/3.</w:t>
      </w:r>
    </w:p>
  </w:footnote>
  <w:footnote w:id="23">
    <w:p w14:paraId="372F70B1" w14:textId="77777777" w:rsidR="00E27632" w:rsidRPr="00A16B79" w:rsidRDefault="00E27632" w:rsidP="0042751E">
      <w:pPr>
        <w:pStyle w:val="FootnoteText"/>
        <w:rPr>
          <w:lang w:val="en-US"/>
        </w:rPr>
      </w:pPr>
      <w:r w:rsidRPr="00665FE6">
        <w:rPr>
          <w:rStyle w:val="FootnoteReference"/>
        </w:rPr>
        <w:footnoteRef/>
      </w:r>
      <w:r w:rsidRPr="00A16B79">
        <w:rPr>
          <w:lang w:val="en-GB"/>
        </w:rPr>
        <w:t xml:space="preserve"> UNEP/POPS/POPRC.8/16/Add.2 and UNEP/POPS/POPRC.9/13/Add.2.</w:t>
      </w:r>
    </w:p>
  </w:footnote>
  <w:footnote w:id="24">
    <w:p w14:paraId="32030ABF" w14:textId="77777777" w:rsidR="00E27632" w:rsidRPr="00A16B79" w:rsidRDefault="00E27632" w:rsidP="0042751E">
      <w:pPr>
        <w:pStyle w:val="FootnoteText"/>
        <w:rPr>
          <w:szCs w:val="18"/>
          <w:lang w:val="en-US"/>
        </w:rPr>
      </w:pPr>
      <w:r w:rsidRPr="00665FE6">
        <w:rPr>
          <w:rStyle w:val="FootnoteReference"/>
        </w:rPr>
        <w:footnoteRef/>
      </w:r>
      <w:r w:rsidRPr="008A51CB">
        <w:rPr>
          <w:rStyle w:val="FootnoteReference"/>
          <w:lang w:val="en-GB"/>
        </w:rPr>
        <w:t xml:space="preserve"> </w:t>
      </w:r>
      <w:r w:rsidRPr="00A16B79">
        <w:rPr>
          <w:szCs w:val="18"/>
          <w:lang w:val="en-US"/>
        </w:rPr>
        <w:t>UNEP/POPS/COP.7/19.</w:t>
      </w:r>
    </w:p>
  </w:footnote>
  <w:footnote w:id="25">
    <w:p w14:paraId="452889D0" w14:textId="77777777" w:rsidR="00E27632" w:rsidRPr="00A16B79" w:rsidRDefault="00E27632" w:rsidP="0042751E">
      <w:pPr>
        <w:pStyle w:val="FootnoteText"/>
        <w:rPr>
          <w:lang w:val="en-US"/>
        </w:rPr>
      </w:pPr>
      <w:r w:rsidRPr="00665FE6">
        <w:rPr>
          <w:rStyle w:val="FootnoteReference"/>
        </w:rPr>
        <w:footnoteRef/>
      </w:r>
      <w:r w:rsidRPr="00A16B79">
        <w:rPr>
          <w:lang w:val="en-GB"/>
        </w:rPr>
        <w:t xml:space="preserve"> UNEP/POPS/POPRC.9/13/Add.3 and UNEP/POPS/POPRC.10/10/Add.1.</w:t>
      </w:r>
    </w:p>
  </w:footnote>
  <w:footnote w:id="26">
    <w:p w14:paraId="3F3BD4E4" w14:textId="77777777" w:rsidR="00E27632" w:rsidRPr="00A16B79" w:rsidRDefault="00E27632" w:rsidP="0042751E">
      <w:pPr>
        <w:pStyle w:val="FootnoteText"/>
        <w:rPr>
          <w:lang w:val="en-US"/>
        </w:rPr>
      </w:pPr>
      <w:r w:rsidRPr="00665FE6">
        <w:rPr>
          <w:rStyle w:val="FootnoteReference"/>
        </w:rPr>
        <w:footnoteRef/>
      </w:r>
      <w:r w:rsidRPr="00A16B79">
        <w:rPr>
          <w:lang w:val="en-GB"/>
        </w:rPr>
        <w:t xml:space="preserve"> </w:t>
      </w:r>
      <w:r w:rsidRPr="00A16B79">
        <w:rPr>
          <w:lang w:val="en-US"/>
        </w:rPr>
        <w:t>UNEP/POPS/COP.7/20.</w:t>
      </w:r>
    </w:p>
  </w:footnote>
  <w:footnote w:id="27">
    <w:p w14:paraId="1152723D" w14:textId="77777777" w:rsidR="00E27632" w:rsidRPr="00A40600" w:rsidRDefault="00E27632" w:rsidP="0042751E">
      <w:pPr>
        <w:pStyle w:val="FootnoteText"/>
        <w:rPr>
          <w:lang w:val="en-GB"/>
        </w:rPr>
      </w:pPr>
      <w:r w:rsidRPr="00D06358">
        <w:rPr>
          <w:rStyle w:val="FootnoteReference"/>
        </w:rPr>
        <w:footnoteRef/>
      </w:r>
      <w:r w:rsidRPr="008A51CB">
        <w:rPr>
          <w:rStyle w:val="FootnoteReference"/>
          <w:lang w:val="en-GB"/>
        </w:rPr>
        <w:t xml:space="preserve"> </w:t>
      </w:r>
      <w:r w:rsidRPr="00A40600">
        <w:rPr>
          <w:lang w:val="en-GB"/>
        </w:rPr>
        <w:t>UNEP/POPS/POPRC.8/16/Add.1 and UNEP/POPS/POPRC.9/13/Add.1.</w:t>
      </w:r>
    </w:p>
  </w:footnote>
  <w:footnote w:id="28">
    <w:p w14:paraId="22F54935" w14:textId="77777777" w:rsidR="00E27632" w:rsidRPr="00A40600" w:rsidRDefault="00E27632" w:rsidP="0042751E">
      <w:pPr>
        <w:pStyle w:val="FootnoteText"/>
        <w:rPr>
          <w:b/>
          <w:lang w:val="en-US"/>
        </w:rPr>
      </w:pPr>
      <w:r w:rsidRPr="00D06358">
        <w:rPr>
          <w:rStyle w:val="FootnoteReference"/>
        </w:rPr>
        <w:footnoteRef/>
      </w:r>
      <w:r w:rsidRPr="00A40600">
        <w:rPr>
          <w:lang w:val="en-GB"/>
        </w:rPr>
        <w:t xml:space="preserve"> </w:t>
      </w:r>
      <w:r w:rsidRPr="00A40600">
        <w:rPr>
          <w:lang w:val="en-US"/>
        </w:rPr>
        <w:t>UNEP/POPS/COP.7/18.</w:t>
      </w:r>
    </w:p>
  </w:footnote>
  <w:footnote w:id="29">
    <w:p w14:paraId="3B783012"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UNEP/POPS/POPRC.10/10/Add.2; UNEP/POPS/POPRC.11/10/Add.1; UNEP/POPS/POPRC.12/11/Add.4.</w:t>
      </w:r>
    </w:p>
  </w:footnote>
  <w:footnote w:id="30">
    <w:p w14:paraId="0CD8F321"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UNEP/POPS/COP.8/13.</w:t>
      </w:r>
    </w:p>
  </w:footnote>
  <w:footnote w:id="31">
    <w:p w14:paraId="3EC5AEB4"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UNEP/POPS/POPRC.11/10/Add.2 and UNEP/POPS/POPRC.12/11/Add.3.</w:t>
      </w:r>
    </w:p>
  </w:footnote>
  <w:footnote w:id="32">
    <w:p w14:paraId="40CBF958"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UNEP/POPS/COP.8/14.</w:t>
      </w:r>
    </w:p>
  </w:footnote>
  <w:footnote w:id="33">
    <w:p w14:paraId="188740BF"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UNEP/POPS/POPRC.8/16/Add.2; UNEP/POPS/POPRC.9/13/Add.2; UNEP/POPS/POPRC.12/11/Add.5.</w:t>
      </w:r>
    </w:p>
  </w:footnote>
  <w:footnote w:id="34">
    <w:p w14:paraId="17CB98EF" w14:textId="77777777" w:rsidR="00E27632" w:rsidRPr="00092F5F" w:rsidRDefault="00E27632" w:rsidP="00120F3F">
      <w:pPr>
        <w:pStyle w:val="Normalpool"/>
        <w:tabs>
          <w:tab w:val="left" w:pos="624"/>
        </w:tabs>
        <w:spacing w:before="20" w:after="20"/>
        <w:ind w:left="1247" w:right="57"/>
        <w:rPr>
          <w:sz w:val="18"/>
          <w:szCs w:val="18"/>
        </w:rPr>
      </w:pPr>
      <w:r w:rsidRPr="00092F5F">
        <w:rPr>
          <w:rStyle w:val="FootnoteReference"/>
          <w:szCs w:val="18"/>
        </w:rPr>
        <w:footnoteRef/>
      </w:r>
      <w:r w:rsidRPr="00092F5F">
        <w:rPr>
          <w:sz w:val="18"/>
          <w:szCs w:val="18"/>
        </w:rPr>
        <w:t xml:space="preserve"> UNEP/POPS/COP.8/15.</w:t>
      </w:r>
    </w:p>
  </w:footnote>
  <w:footnote w:id="35">
    <w:p w14:paraId="606EE84F" w14:textId="77777777" w:rsidR="00E27632" w:rsidRPr="007D12AB" w:rsidRDefault="00E27632" w:rsidP="00120F3F">
      <w:pPr>
        <w:pStyle w:val="NormalNonumber"/>
        <w:tabs>
          <w:tab w:val="clear" w:pos="1247"/>
          <w:tab w:val="clear" w:pos="1814"/>
          <w:tab w:val="clear" w:pos="2381"/>
          <w:tab w:val="clear" w:pos="2948"/>
          <w:tab w:val="clear" w:pos="3515"/>
          <w:tab w:val="left" w:pos="624"/>
        </w:tabs>
        <w:spacing w:before="20" w:after="40"/>
        <w:rPr>
          <w:sz w:val="18"/>
          <w:szCs w:val="18"/>
        </w:rPr>
      </w:pPr>
      <w:r w:rsidRPr="007D12AB">
        <w:rPr>
          <w:rStyle w:val="FootnoteReference"/>
          <w:sz w:val="18"/>
        </w:rPr>
        <w:footnoteRef/>
      </w:r>
      <w:r w:rsidRPr="007D12AB">
        <w:rPr>
          <w:sz w:val="18"/>
          <w:szCs w:val="18"/>
        </w:rPr>
        <w:t xml:space="preserve"> UNEP/POPS/POPRC.14/INF/13.</w:t>
      </w:r>
    </w:p>
  </w:footnote>
  <w:footnote w:id="36">
    <w:p w14:paraId="19D2FC96" w14:textId="77777777" w:rsidR="00E27632" w:rsidRPr="007D12AB" w:rsidRDefault="00E27632" w:rsidP="00120F3F">
      <w:pPr>
        <w:pStyle w:val="NormalNonumber"/>
        <w:tabs>
          <w:tab w:val="clear" w:pos="1247"/>
          <w:tab w:val="clear" w:pos="1814"/>
          <w:tab w:val="clear" w:pos="2381"/>
          <w:tab w:val="clear" w:pos="2948"/>
          <w:tab w:val="clear" w:pos="3515"/>
          <w:tab w:val="left" w:pos="624"/>
        </w:tabs>
        <w:spacing w:before="20" w:after="40"/>
        <w:rPr>
          <w:sz w:val="18"/>
          <w:szCs w:val="18"/>
        </w:rPr>
      </w:pPr>
      <w:r w:rsidRPr="007D12AB">
        <w:rPr>
          <w:rStyle w:val="FootnoteReference"/>
          <w:sz w:val="18"/>
        </w:rPr>
        <w:footnoteRef/>
      </w:r>
      <w:r w:rsidRPr="007D12AB">
        <w:rPr>
          <w:sz w:val="18"/>
          <w:szCs w:val="18"/>
        </w:rPr>
        <w:t xml:space="preserve"> UNEP/POPS/COP.9/INF/12.</w:t>
      </w:r>
    </w:p>
  </w:footnote>
  <w:footnote w:id="37">
    <w:p w14:paraId="4E30D0D2" w14:textId="77777777" w:rsidR="00E27632" w:rsidRPr="007D12AB" w:rsidRDefault="00E27632" w:rsidP="00120F3F">
      <w:pPr>
        <w:pStyle w:val="NormalNonumber"/>
        <w:tabs>
          <w:tab w:val="clear" w:pos="1247"/>
          <w:tab w:val="clear" w:pos="1814"/>
          <w:tab w:val="clear" w:pos="2381"/>
          <w:tab w:val="clear" w:pos="2948"/>
          <w:tab w:val="clear" w:pos="3515"/>
          <w:tab w:val="left" w:pos="624"/>
        </w:tabs>
        <w:spacing w:before="20" w:after="40"/>
        <w:rPr>
          <w:sz w:val="18"/>
          <w:szCs w:val="18"/>
        </w:rPr>
      </w:pPr>
      <w:r w:rsidRPr="007D12AB">
        <w:rPr>
          <w:rStyle w:val="FootnoteReference"/>
          <w:sz w:val="18"/>
        </w:rPr>
        <w:footnoteRef/>
      </w:r>
      <w:r w:rsidRPr="007D12AB">
        <w:rPr>
          <w:sz w:val="18"/>
          <w:szCs w:val="18"/>
        </w:rPr>
        <w:t xml:space="preserve"> Decision POPRC-14/3, annex.</w:t>
      </w:r>
    </w:p>
  </w:footnote>
  <w:footnote w:id="38">
    <w:p w14:paraId="2B326E0E" w14:textId="77777777" w:rsidR="00E27632" w:rsidRPr="007D12AB" w:rsidRDefault="00E27632" w:rsidP="00120F3F">
      <w:pPr>
        <w:pStyle w:val="FootnoteText"/>
        <w:tabs>
          <w:tab w:val="left" w:pos="624"/>
        </w:tabs>
        <w:rPr>
          <w:szCs w:val="18"/>
          <w:lang w:val="en-GB"/>
        </w:rPr>
      </w:pPr>
      <w:r w:rsidRPr="007D12AB">
        <w:rPr>
          <w:rStyle w:val="FootnoteReference"/>
          <w:lang w:val="en-GB"/>
        </w:rPr>
        <w:footnoteRef/>
      </w:r>
      <w:r w:rsidRPr="007D12AB">
        <w:rPr>
          <w:szCs w:val="18"/>
          <w:lang w:val="en-GB"/>
        </w:rPr>
        <w:t xml:space="preserve"> UNEP/POPS/POPRC.12/11/Add.1; UNEP/POPS/POPRC.13/7/Add.1.</w:t>
      </w:r>
    </w:p>
  </w:footnote>
  <w:footnote w:id="39">
    <w:p w14:paraId="48B4E46E" w14:textId="77777777" w:rsidR="00E27632" w:rsidRPr="007D12AB" w:rsidRDefault="00E27632" w:rsidP="00120F3F">
      <w:pPr>
        <w:pStyle w:val="FootnoteText"/>
        <w:tabs>
          <w:tab w:val="left" w:pos="624"/>
        </w:tabs>
        <w:rPr>
          <w:szCs w:val="18"/>
          <w:lang w:val="en-GB"/>
        </w:rPr>
      </w:pPr>
      <w:r w:rsidRPr="007D12AB">
        <w:rPr>
          <w:rStyle w:val="FootnoteReference"/>
          <w:lang w:val="en-GB"/>
        </w:rPr>
        <w:footnoteRef/>
      </w:r>
      <w:r w:rsidRPr="007D12AB">
        <w:rPr>
          <w:szCs w:val="18"/>
          <w:lang w:val="en-GB"/>
        </w:rPr>
        <w:t xml:space="preserve"> UNEP/POPS/COP.9/13.</w:t>
      </w:r>
    </w:p>
  </w:footnote>
  <w:footnote w:id="40">
    <w:p w14:paraId="5D886AD0" w14:textId="77777777" w:rsidR="00E27632" w:rsidRPr="007D12AB" w:rsidRDefault="00E27632" w:rsidP="00120F3F">
      <w:pPr>
        <w:pStyle w:val="FootnoteText"/>
        <w:tabs>
          <w:tab w:val="left" w:pos="624"/>
        </w:tabs>
        <w:rPr>
          <w:szCs w:val="18"/>
          <w:lang w:val="en-GB"/>
        </w:rPr>
      </w:pPr>
      <w:r w:rsidRPr="007D12AB">
        <w:rPr>
          <w:rStyle w:val="FootnoteReference"/>
          <w:lang w:val="en-GB"/>
        </w:rPr>
        <w:footnoteRef/>
      </w:r>
      <w:r w:rsidRPr="007D12AB">
        <w:rPr>
          <w:szCs w:val="18"/>
          <w:lang w:val="en-GB"/>
        </w:rPr>
        <w:t xml:space="preserve"> UNEP/POPS/POPRC.12/11/Add.2; UNEP/POPS/POPRC.13/7/Add.2; UNEP/POPS/POPRC.14/6/Add.2.</w:t>
      </w:r>
    </w:p>
  </w:footnote>
  <w:footnote w:id="41">
    <w:p w14:paraId="55768F31" w14:textId="77777777" w:rsidR="00E27632" w:rsidRPr="007D12AB" w:rsidRDefault="00E27632" w:rsidP="00120F3F">
      <w:pPr>
        <w:pStyle w:val="FootnoteText"/>
        <w:tabs>
          <w:tab w:val="left" w:pos="624"/>
        </w:tabs>
        <w:rPr>
          <w:szCs w:val="18"/>
          <w:lang w:val="en-GB"/>
        </w:rPr>
      </w:pPr>
      <w:r w:rsidRPr="007D12AB">
        <w:rPr>
          <w:rStyle w:val="FootnoteReference"/>
          <w:lang w:val="en-GB"/>
        </w:rPr>
        <w:footnoteRef/>
      </w:r>
      <w:r w:rsidRPr="007D12AB">
        <w:rPr>
          <w:szCs w:val="18"/>
          <w:lang w:val="en-GB"/>
        </w:rPr>
        <w:t xml:space="preserve"> UNEP/POPS/COP.9/14.</w:t>
      </w:r>
    </w:p>
  </w:footnote>
  <w:footnote w:id="42">
    <w:p w14:paraId="5DB79257" w14:textId="77777777" w:rsidR="00E27632" w:rsidRPr="00EE6C8F" w:rsidRDefault="00E27632" w:rsidP="004D60B5">
      <w:pPr>
        <w:pStyle w:val="Footnote-Text"/>
        <w:tabs>
          <w:tab w:val="clear" w:pos="1247"/>
        </w:tabs>
        <w:ind w:left="0"/>
        <w:rPr>
          <w:szCs w:val="18"/>
        </w:rPr>
      </w:pPr>
      <w:r w:rsidRPr="00EE6C8F">
        <w:rPr>
          <w:rStyle w:val="FootnoteReference"/>
        </w:rPr>
        <w:footnoteRef/>
      </w:r>
      <w:r w:rsidRPr="00EE6C8F">
        <w:rPr>
          <w:szCs w:val="18"/>
        </w:rPr>
        <w:t xml:space="preserve"> UNEP/POPS/POPRC.14/6/Add.1 and UNEP/POPS/POPRC.15/7/Add.1.</w:t>
      </w:r>
    </w:p>
  </w:footnote>
  <w:footnote w:id="43">
    <w:p w14:paraId="667606C5" w14:textId="77777777" w:rsidR="00E27632" w:rsidRPr="00EE6C8F" w:rsidRDefault="00E27632" w:rsidP="004D60B5">
      <w:pPr>
        <w:pStyle w:val="Footnote-Text"/>
        <w:tabs>
          <w:tab w:val="clear" w:pos="1247"/>
        </w:tabs>
        <w:ind w:left="0"/>
        <w:rPr>
          <w:szCs w:val="18"/>
        </w:rPr>
      </w:pPr>
      <w:r w:rsidRPr="00EE6C8F">
        <w:rPr>
          <w:rStyle w:val="FootnoteReference"/>
        </w:rPr>
        <w:footnoteRef/>
      </w:r>
      <w:r w:rsidRPr="00EE6C8F">
        <w:rPr>
          <w:szCs w:val="18"/>
        </w:rPr>
        <w:t xml:space="preserve"> UNEP/POPS/COP.10/12, annex.</w:t>
      </w:r>
    </w:p>
  </w:footnote>
  <w:footnote w:id="44">
    <w:p w14:paraId="48197D69" w14:textId="77777777" w:rsidR="00E27632" w:rsidRDefault="00E27632" w:rsidP="00BE3A18">
      <w:pPr>
        <w:pStyle w:val="FootnoteText"/>
      </w:pPr>
      <w:r>
        <w:rPr>
          <w:rStyle w:val="FootnoteReference"/>
        </w:rPr>
        <w:footnoteRef/>
      </w:r>
      <w:r>
        <w:t xml:space="preserve"> </w:t>
      </w:r>
      <w:r>
        <w:rPr>
          <w:sz w:val="18"/>
        </w:rPr>
        <w:t>UNEP/POPS/POPRC.3/20/Add.8 in UNEP/POPS/POPRC.4/15/Add.3.</w:t>
      </w:r>
    </w:p>
  </w:footnote>
  <w:footnote w:id="45">
    <w:p w14:paraId="14ECFE16" w14:textId="77777777" w:rsidR="00E27632" w:rsidRDefault="00E27632" w:rsidP="00BE3A18">
      <w:pPr>
        <w:pStyle w:val="FootnoteText"/>
      </w:pPr>
      <w:r>
        <w:rPr>
          <w:rStyle w:val="FootnoteReference"/>
        </w:rPr>
        <w:footnoteRef/>
      </w:r>
      <w:r>
        <w:t xml:space="preserve"> </w:t>
      </w:r>
      <w:r>
        <w:rPr>
          <w:sz w:val="18"/>
        </w:rPr>
        <w:t>UNEP/POPS/COP.4/17.</w:t>
      </w:r>
    </w:p>
  </w:footnote>
  <w:footnote w:id="46">
    <w:p w14:paraId="62DC5CC5" w14:textId="77777777" w:rsidR="00E27632" w:rsidRDefault="00E27632" w:rsidP="00BE3A18">
      <w:pPr>
        <w:pStyle w:val="FootnoteText"/>
      </w:pPr>
      <w:r>
        <w:rPr>
          <w:rStyle w:val="FootnoteReference"/>
        </w:rPr>
        <w:footnoteRef/>
      </w:r>
      <w:r>
        <w:t xml:space="preserve"> </w:t>
      </w:r>
      <w:r>
        <w:rPr>
          <w:sz w:val="18"/>
        </w:rPr>
        <w:t>UNEP/POPS/POPRC.3/20/Add.9 in UNEP/POPS/POPRC.4/15/Add.4.</w:t>
      </w:r>
    </w:p>
  </w:footnote>
  <w:footnote w:id="47">
    <w:p w14:paraId="3ADFD60C" w14:textId="77777777" w:rsidR="00E27632" w:rsidRPr="00053C42" w:rsidRDefault="00E27632" w:rsidP="00BE3A18">
      <w:pPr>
        <w:pStyle w:val="FootnoteText"/>
        <w:spacing w:before="60"/>
        <w:rPr>
          <w:sz w:val="18"/>
          <w:lang w:val="en-US"/>
        </w:rPr>
      </w:pPr>
      <w:r>
        <w:rPr>
          <w:rStyle w:val="FootnoteReference"/>
        </w:rPr>
        <w:footnoteRef/>
      </w:r>
      <w:r>
        <w:t xml:space="preserve"> </w:t>
      </w:r>
      <w:r>
        <w:rPr>
          <w:sz w:val="18"/>
        </w:rPr>
        <w:t>UNEP/POPS/COP.4/17.</w:t>
      </w:r>
    </w:p>
  </w:footnote>
  <w:footnote w:id="48">
    <w:p w14:paraId="3E5DC601" w14:textId="18C1AD12" w:rsidR="00E27632" w:rsidRDefault="00E27632" w:rsidP="004D60B5">
      <w:pPr>
        <w:pStyle w:val="FootnoteText"/>
        <w:spacing w:before="60"/>
      </w:pPr>
      <w:r>
        <w:rPr>
          <w:rStyle w:val="FootnoteReference"/>
        </w:rPr>
        <w:footnoteRef/>
      </w:r>
      <w:r>
        <w:t xml:space="preserve"> </w:t>
      </w:r>
      <w:r>
        <w:rPr>
          <w:sz w:val="18"/>
        </w:rPr>
        <w:t>UNEP/POPS/POPRC.3/20/Add.10 in UNEP/POPS/POPRC.3/20/Add.2.</w:t>
      </w:r>
    </w:p>
  </w:footnote>
  <w:footnote w:id="49">
    <w:p w14:paraId="2E81F16D" w14:textId="77777777" w:rsidR="00E27632" w:rsidRPr="00053C42" w:rsidRDefault="00E27632" w:rsidP="00BE3A18">
      <w:pPr>
        <w:pStyle w:val="FootnoteText"/>
        <w:spacing w:before="60"/>
        <w:rPr>
          <w:sz w:val="18"/>
        </w:rPr>
      </w:pPr>
      <w:r>
        <w:rPr>
          <w:rStyle w:val="FootnoteReference"/>
        </w:rPr>
        <w:footnoteRef/>
      </w:r>
      <w:r>
        <w:t xml:space="preserve"> </w:t>
      </w:r>
      <w:r>
        <w:rPr>
          <w:sz w:val="18"/>
        </w:rPr>
        <w:t>UNEP/POPS/COP.4/17.</w:t>
      </w:r>
    </w:p>
  </w:footnote>
  <w:footnote w:id="50">
    <w:p w14:paraId="4A17AD00" w14:textId="77777777" w:rsidR="00E27632" w:rsidRDefault="00E27632" w:rsidP="00BE3A18">
      <w:pPr>
        <w:pStyle w:val="FootnoteText"/>
      </w:pPr>
      <w:r>
        <w:rPr>
          <w:rStyle w:val="FootnoteReference"/>
        </w:rPr>
        <w:footnoteRef/>
      </w:r>
      <w:r>
        <w:t xml:space="preserve"> </w:t>
      </w:r>
      <w:r>
        <w:rPr>
          <w:sz w:val="18"/>
        </w:rPr>
        <w:t>UNEP/POPS/POPRC.2/17/Add.3 in UNEP/POPS/POPRC.3/20/Add.3.</w:t>
      </w:r>
    </w:p>
  </w:footnote>
  <w:footnote w:id="51">
    <w:p w14:paraId="0954C101" w14:textId="77777777" w:rsidR="00E27632" w:rsidRPr="00E45C73" w:rsidRDefault="00E27632" w:rsidP="00BE3A18">
      <w:pPr>
        <w:pStyle w:val="FootnoteText"/>
        <w:spacing w:before="60"/>
        <w:rPr>
          <w:sz w:val="18"/>
        </w:rPr>
      </w:pPr>
      <w:r>
        <w:rPr>
          <w:rStyle w:val="FootnoteReference"/>
        </w:rPr>
        <w:footnoteRef/>
      </w:r>
      <w:r>
        <w:t xml:space="preserve"> </w:t>
      </w:r>
      <w:r>
        <w:rPr>
          <w:sz w:val="18"/>
        </w:rPr>
        <w:t>UNEP/POPS/COP.4/17.</w:t>
      </w:r>
    </w:p>
  </w:footnote>
  <w:footnote w:id="52">
    <w:p w14:paraId="137CFB56" w14:textId="77777777" w:rsidR="00E27632" w:rsidRDefault="00E27632" w:rsidP="00BE3A18">
      <w:pPr>
        <w:pStyle w:val="FootnoteText"/>
      </w:pPr>
      <w:r>
        <w:rPr>
          <w:rStyle w:val="FootnoteReference"/>
        </w:rPr>
        <w:footnoteRef/>
      </w:r>
      <w:r>
        <w:t xml:space="preserve"> </w:t>
      </w:r>
      <w:r>
        <w:rPr>
          <w:sz w:val="18"/>
        </w:rPr>
        <w:t>UNEP/POPS/POPRC.3/20/Add.6 in UNEP/POPS/POPRC.4/15/Add.1.</w:t>
      </w:r>
    </w:p>
  </w:footnote>
  <w:footnote w:id="53">
    <w:p w14:paraId="3CC2E005" w14:textId="77777777" w:rsidR="00E27632" w:rsidRDefault="00E27632" w:rsidP="00BE3A18">
      <w:pPr>
        <w:pStyle w:val="FootnoteText"/>
      </w:pPr>
      <w:r>
        <w:rPr>
          <w:rStyle w:val="FootnoteReference"/>
        </w:rPr>
        <w:footnoteRef/>
      </w:r>
      <w:r>
        <w:t xml:space="preserve"> </w:t>
      </w:r>
      <w:r>
        <w:rPr>
          <w:sz w:val="18"/>
        </w:rPr>
        <w:t>UNEP/POPS/COP.4/17.</w:t>
      </w:r>
    </w:p>
  </w:footnote>
  <w:footnote w:id="54">
    <w:p w14:paraId="258DD1F8" w14:textId="22F9A50E" w:rsidR="00E27632" w:rsidRPr="00053C42" w:rsidRDefault="00E27632" w:rsidP="004D60B5">
      <w:pPr>
        <w:pStyle w:val="FootnoteText"/>
        <w:spacing w:before="60"/>
        <w:rPr>
          <w:lang w:val="en-US"/>
        </w:rPr>
      </w:pPr>
      <w:r>
        <w:rPr>
          <w:rStyle w:val="FootnoteReference"/>
        </w:rPr>
        <w:footnoteRef/>
      </w:r>
      <w:r>
        <w:t xml:space="preserve"> </w:t>
      </w:r>
      <w:r w:rsidRPr="00CC2084">
        <w:rPr>
          <w:sz w:val="18"/>
        </w:rPr>
        <w:t xml:space="preserve">UNEP/POPS/POPRC.2/17/Add.4 </w:t>
      </w:r>
      <w:r>
        <w:rPr>
          <w:sz w:val="18"/>
        </w:rPr>
        <w:t>in</w:t>
      </w:r>
      <w:r w:rsidRPr="00CC2084">
        <w:rPr>
          <w:sz w:val="18"/>
        </w:rPr>
        <w:t xml:space="preserve"> UNEP/POPS/POPRC.3/20/Add.4. </w:t>
      </w:r>
    </w:p>
  </w:footnote>
  <w:footnote w:id="55">
    <w:p w14:paraId="4CBCCF5D" w14:textId="77777777" w:rsidR="00E27632" w:rsidRPr="00053C42" w:rsidRDefault="00E27632" w:rsidP="00BE3A18">
      <w:pPr>
        <w:pStyle w:val="FootnoteText"/>
        <w:spacing w:before="60"/>
        <w:rPr>
          <w:sz w:val="18"/>
          <w:lang w:val="en-US"/>
        </w:rPr>
      </w:pPr>
      <w:r>
        <w:rPr>
          <w:rStyle w:val="FootnoteReference"/>
        </w:rPr>
        <w:footnoteRef/>
      </w:r>
      <w:r>
        <w:t xml:space="preserve"> </w:t>
      </w:r>
      <w:r w:rsidRPr="00CC2084">
        <w:rPr>
          <w:sz w:val="18"/>
        </w:rPr>
        <w:t>UNEP/POPS/COP.4/17.</w:t>
      </w:r>
    </w:p>
  </w:footnote>
  <w:footnote w:id="56">
    <w:p w14:paraId="026C0C70" w14:textId="77777777" w:rsidR="00E27632" w:rsidRDefault="00E27632" w:rsidP="00BE3A18">
      <w:pPr>
        <w:pStyle w:val="FootnoteText"/>
      </w:pPr>
      <w:r>
        <w:rPr>
          <w:rStyle w:val="FootnoteReference"/>
        </w:rPr>
        <w:footnoteRef/>
      </w:r>
      <w:r>
        <w:t xml:space="preserve"> </w:t>
      </w:r>
      <w:r w:rsidRPr="00CC2084">
        <w:rPr>
          <w:sz w:val="18"/>
          <w:lang w:val="en-US"/>
        </w:rPr>
        <w:t xml:space="preserve">UNEP/POPS/POPRC.3/20/Add.7, UNEP/POPS/POPRC.4/15/Add.5 </w:t>
      </w:r>
      <w:r>
        <w:rPr>
          <w:sz w:val="18"/>
          <w:lang w:val="en-US"/>
        </w:rPr>
        <w:t>in</w:t>
      </w:r>
      <w:r w:rsidRPr="00CC2084">
        <w:rPr>
          <w:sz w:val="18"/>
          <w:lang w:val="en-US"/>
        </w:rPr>
        <w:t xml:space="preserve"> UNEP/POPS/POPRC.4/15/Add.2.</w:t>
      </w:r>
    </w:p>
  </w:footnote>
  <w:footnote w:id="57">
    <w:p w14:paraId="75894D6E" w14:textId="4AFF386B" w:rsidR="00E27632" w:rsidRDefault="00E27632" w:rsidP="00B813E0">
      <w:pPr>
        <w:pStyle w:val="FootnoteText"/>
        <w:spacing w:before="60"/>
      </w:pPr>
      <w:r>
        <w:rPr>
          <w:rStyle w:val="FootnoteReference"/>
        </w:rPr>
        <w:footnoteRef/>
      </w:r>
      <w:r>
        <w:t xml:space="preserve"> </w:t>
      </w:r>
      <w:r w:rsidRPr="00CC2084">
        <w:rPr>
          <w:sz w:val="18"/>
        </w:rPr>
        <w:t>UNEP/POPS/COP.4/17.</w:t>
      </w:r>
    </w:p>
  </w:footnote>
  <w:footnote w:id="58">
    <w:p w14:paraId="2F6C5C81" w14:textId="77777777" w:rsidR="00E27632" w:rsidRDefault="00E27632" w:rsidP="00BE3A18">
      <w:pPr>
        <w:pStyle w:val="FootnoteText"/>
      </w:pPr>
      <w:r>
        <w:rPr>
          <w:rStyle w:val="FootnoteReference"/>
        </w:rPr>
        <w:footnoteRef/>
      </w:r>
      <w:r>
        <w:t xml:space="preserve"> </w:t>
      </w:r>
      <w:r w:rsidRPr="00CC2084">
        <w:rPr>
          <w:sz w:val="18"/>
        </w:rPr>
        <w:t xml:space="preserve">UNEP/POPRC.2/17/Add.5, UNEP/POPRC.3/20/Add.5 </w:t>
      </w:r>
      <w:r>
        <w:rPr>
          <w:sz w:val="18"/>
        </w:rPr>
        <w:t>in</w:t>
      </w:r>
      <w:r w:rsidRPr="00CC2084">
        <w:rPr>
          <w:sz w:val="18"/>
        </w:rPr>
        <w:t xml:space="preserve"> UNEP/POPRC.4/15/Add.6.</w:t>
      </w:r>
    </w:p>
  </w:footnote>
  <w:footnote w:id="59">
    <w:p w14:paraId="6B258C9D" w14:textId="77777777" w:rsidR="00E27632" w:rsidRPr="00CC2084" w:rsidRDefault="00E27632" w:rsidP="00BE3A18">
      <w:pPr>
        <w:pStyle w:val="FootnoteText"/>
        <w:spacing w:before="60"/>
        <w:rPr>
          <w:sz w:val="18"/>
        </w:rPr>
      </w:pPr>
      <w:r>
        <w:rPr>
          <w:rStyle w:val="FootnoteReference"/>
        </w:rPr>
        <w:footnoteRef/>
      </w:r>
      <w:r>
        <w:t xml:space="preserve"> </w:t>
      </w:r>
      <w:r w:rsidRPr="00CC2084">
        <w:rPr>
          <w:sz w:val="18"/>
        </w:rPr>
        <w:t>UNEP/POPS/COP.4/17.</w:t>
      </w:r>
    </w:p>
    <w:p w14:paraId="1A905561" w14:textId="77777777" w:rsidR="00E27632" w:rsidRDefault="00E27632" w:rsidP="00BE3A18">
      <w:pPr>
        <w:pStyle w:val="FootnoteText"/>
      </w:pPr>
    </w:p>
  </w:footnote>
  <w:footnote w:id="60">
    <w:p w14:paraId="2E2824E9" w14:textId="77777777" w:rsidR="00E27632" w:rsidRDefault="00E27632" w:rsidP="00BE3A18">
      <w:pPr>
        <w:pStyle w:val="FootnoteText"/>
      </w:pPr>
      <w:r>
        <w:rPr>
          <w:rStyle w:val="FootnoteReference"/>
        </w:rPr>
        <w:footnoteRef/>
      </w:r>
      <w:r>
        <w:t xml:space="preserve"> </w:t>
      </w:r>
      <w:r>
        <w:rPr>
          <w:sz w:val="18"/>
        </w:rPr>
        <w:t>UNEP/POPS/POPRC.2/17/Add.1 in UNEP/POPS/POPRC.3/20/Add.1.</w:t>
      </w:r>
    </w:p>
  </w:footnote>
  <w:footnote w:id="61">
    <w:p w14:paraId="551CBABC" w14:textId="77777777" w:rsidR="00E27632" w:rsidRDefault="00E27632" w:rsidP="00BE3A18">
      <w:pPr>
        <w:pStyle w:val="FootnoteText"/>
      </w:pPr>
      <w:r>
        <w:rPr>
          <w:rStyle w:val="FootnoteReference"/>
        </w:rPr>
        <w:footnoteRef/>
      </w:r>
      <w:r>
        <w:t xml:space="preserve"> </w:t>
      </w:r>
      <w:r>
        <w:rPr>
          <w:sz w:val="18"/>
        </w:rPr>
        <w:t>UNEP/POPS/COP.4/17.</w:t>
      </w:r>
    </w:p>
  </w:footnote>
  <w:footnote w:id="62">
    <w:p w14:paraId="4A34B210" w14:textId="77777777" w:rsidR="00E27632" w:rsidRDefault="00E27632" w:rsidP="00BE3A18">
      <w:pPr>
        <w:pStyle w:val="FootnoteText"/>
      </w:pPr>
      <w:r>
        <w:rPr>
          <w:rStyle w:val="FootnoteReference"/>
        </w:rPr>
        <w:footnoteRef/>
      </w:r>
      <w:r>
        <w:rPr>
          <w:szCs w:val="18"/>
        </w:rPr>
        <w:t xml:space="preserve"> </w:t>
      </w:r>
      <w:r w:rsidRPr="000523C6">
        <w:rPr>
          <w:szCs w:val="18"/>
        </w:rPr>
        <w:t xml:space="preserve">UNEP/POPS/POPRC.5/10/Add.2 </w:t>
      </w:r>
      <w:r>
        <w:rPr>
          <w:szCs w:val="18"/>
        </w:rPr>
        <w:t>in</w:t>
      </w:r>
      <w:r w:rsidRPr="000523C6">
        <w:rPr>
          <w:szCs w:val="18"/>
        </w:rPr>
        <w:t xml:space="preserve"> UNEP/POPS/POPRC.6/13/Add.1.</w:t>
      </w:r>
    </w:p>
  </w:footnote>
  <w:footnote w:id="63">
    <w:p w14:paraId="629FDBA3" w14:textId="77777777" w:rsidR="00E27632" w:rsidRDefault="00E27632" w:rsidP="00BE3A18">
      <w:pPr>
        <w:pStyle w:val="FootnoteText"/>
      </w:pPr>
      <w:r>
        <w:rPr>
          <w:rStyle w:val="FootnoteReference"/>
        </w:rPr>
        <w:footnoteRef/>
      </w:r>
      <w:r>
        <w:rPr>
          <w:szCs w:val="18"/>
        </w:rPr>
        <w:t xml:space="preserve"> </w:t>
      </w:r>
      <w:r w:rsidRPr="000523C6">
        <w:rPr>
          <w:szCs w:val="18"/>
        </w:rPr>
        <w:t>UNEP/POPS/COP.5/17.</w:t>
      </w:r>
      <w:r>
        <w:t xml:space="preserve"> </w:t>
      </w:r>
    </w:p>
  </w:footnote>
  <w:footnote w:id="64">
    <w:p w14:paraId="29B9F587" w14:textId="77777777" w:rsidR="00E27632" w:rsidRDefault="00E27632" w:rsidP="00BE3A18">
      <w:pPr>
        <w:pStyle w:val="FootnoteText"/>
      </w:pPr>
      <w:r>
        <w:rPr>
          <w:rStyle w:val="FootnoteReference"/>
        </w:rPr>
        <w:footnoteRef/>
      </w:r>
      <w:r>
        <w:t xml:space="preserve"> UNEP/POPS/POPRC.6/13/Add.2, UNEP/POPS/POPRC.7/19/Add.1 in UNEP/POPS/POPRC.8/16/Add.3. </w:t>
      </w:r>
    </w:p>
  </w:footnote>
  <w:footnote w:id="65">
    <w:p w14:paraId="5E0CF270" w14:textId="77777777" w:rsidR="00E27632" w:rsidRDefault="00E27632" w:rsidP="00BE3A18">
      <w:pPr>
        <w:pStyle w:val="FootnoteText"/>
      </w:pPr>
      <w:r>
        <w:rPr>
          <w:rStyle w:val="FootnoteReference"/>
        </w:rPr>
        <w:footnoteRef/>
      </w:r>
      <w:r>
        <w:t xml:space="preserve"> Odločitev POPRC-8/3.</w:t>
      </w:r>
    </w:p>
  </w:footnote>
  <w:footnote w:id="66">
    <w:p w14:paraId="31BDADF2" w14:textId="77777777" w:rsidR="00E27632" w:rsidRPr="00E45C73" w:rsidRDefault="00E27632" w:rsidP="00BE3A18">
      <w:pPr>
        <w:pStyle w:val="FootnoteText"/>
        <w:rPr>
          <w:lang w:val="en-US"/>
        </w:rPr>
      </w:pPr>
      <w:r>
        <w:rPr>
          <w:rStyle w:val="FootnoteReference"/>
        </w:rPr>
        <w:footnoteRef/>
      </w:r>
      <w:r>
        <w:t xml:space="preserve"> </w:t>
      </w:r>
      <w:r>
        <w:rPr>
          <w:lang w:val="en-GB"/>
        </w:rPr>
        <w:t>UNEP/POPS/POPRC.8/16/Add.2 in UNEP/POPS/POPRC.9/13/Add.2.</w:t>
      </w:r>
    </w:p>
  </w:footnote>
  <w:footnote w:id="67">
    <w:p w14:paraId="54C6EF09" w14:textId="77777777" w:rsidR="00E27632" w:rsidRDefault="00E27632" w:rsidP="00BE3A18">
      <w:pPr>
        <w:pStyle w:val="FootnoteText"/>
      </w:pPr>
      <w:r>
        <w:rPr>
          <w:rStyle w:val="FootnoteReference"/>
        </w:rPr>
        <w:footnoteRef/>
      </w:r>
      <w:r>
        <w:t xml:space="preserve"> </w:t>
      </w:r>
      <w:r>
        <w:rPr>
          <w:szCs w:val="18"/>
          <w:lang w:val="en-US"/>
        </w:rPr>
        <w:t>UNEP/POPS/COP.7/19.</w:t>
      </w:r>
    </w:p>
  </w:footnote>
  <w:footnote w:id="68">
    <w:p w14:paraId="6ECD091A" w14:textId="77777777" w:rsidR="00E27632" w:rsidRDefault="00E27632" w:rsidP="00BE3A18">
      <w:pPr>
        <w:pStyle w:val="FootnoteText"/>
      </w:pPr>
      <w:r>
        <w:rPr>
          <w:rStyle w:val="FootnoteReference"/>
        </w:rPr>
        <w:footnoteRef/>
      </w:r>
      <w:r>
        <w:t xml:space="preserve"> UNEP/POPS/POPRC.9/13/Add.3 in UNEP/POPS/POPRC.10/10/Add.1.</w:t>
      </w:r>
    </w:p>
  </w:footnote>
  <w:footnote w:id="69">
    <w:p w14:paraId="4AE32CAC" w14:textId="77777777" w:rsidR="00E27632" w:rsidRDefault="00E27632" w:rsidP="00BE3A18">
      <w:pPr>
        <w:pStyle w:val="FootnoteText"/>
        <w:rPr>
          <w:lang w:val="en-US"/>
        </w:rPr>
      </w:pPr>
      <w:r>
        <w:rPr>
          <w:rStyle w:val="FootnoteReference"/>
        </w:rPr>
        <w:footnoteRef/>
      </w:r>
      <w:r>
        <w:t xml:space="preserve"> </w:t>
      </w:r>
      <w:r>
        <w:rPr>
          <w:lang w:val="en-US"/>
        </w:rPr>
        <w:t>UNEP/POPS/COP.7/20.</w:t>
      </w:r>
    </w:p>
    <w:p w14:paraId="083590A3" w14:textId="77777777" w:rsidR="00E27632" w:rsidRDefault="00E27632" w:rsidP="00BE3A18">
      <w:pPr>
        <w:pStyle w:val="FootnoteText"/>
      </w:pPr>
    </w:p>
  </w:footnote>
  <w:footnote w:id="70">
    <w:p w14:paraId="09FA8201" w14:textId="77777777" w:rsidR="00E27632" w:rsidRDefault="00E27632" w:rsidP="00BE3A18">
      <w:pPr>
        <w:pStyle w:val="FootnoteText"/>
      </w:pPr>
      <w:r>
        <w:rPr>
          <w:rStyle w:val="FootnoteReference"/>
        </w:rPr>
        <w:footnoteRef/>
      </w:r>
      <w:r>
        <w:t xml:space="preserve"> </w:t>
      </w:r>
      <w:r w:rsidRPr="00A40600">
        <w:rPr>
          <w:lang w:val="en-GB"/>
        </w:rPr>
        <w:t xml:space="preserve">UNEP/POPS/POPRC.8/16/Add.1 </w:t>
      </w:r>
      <w:r>
        <w:rPr>
          <w:lang w:val="en-GB"/>
        </w:rPr>
        <w:t>in</w:t>
      </w:r>
      <w:r w:rsidRPr="00A40600">
        <w:rPr>
          <w:lang w:val="en-GB"/>
        </w:rPr>
        <w:t xml:space="preserve"> UNEP/POPS/POPRC.9/13/Add.1.</w:t>
      </w:r>
    </w:p>
  </w:footnote>
  <w:footnote w:id="71">
    <w:p w14:paraId="6A5A0A19" w14:textId="77777777" w:rsidR="00E27632" w:rsidRDefault="00E27632" w:rsidP="00BE3A18">
      <w:pPr>
        <w:pStyle w:val="FootnoteText"/>
      </w:pPr>
      <w:r>
        <w:rPr>
          <w:rStyle w:val="FootnoteReference"/>
        </w:rPr>
        <w:footnoteRef/>
      </w:r>
      <w:r>
        <w:t xml:space="preserve"> </w:t>
      </w:r>
      <w:r w:rsidRPr="00A40600">
        <w:rPr>
          <w:lang w:val="en-US"/>
        </w:rPr>
        <w:t>UNEP/POPS/COP.7/18.</w:t>
      </w:r>
    </w:p>
  </w:footnote>
  <w:footnote w:id="72">
    <w:p w14:paraId="1B424198" w14:textId="77777777" w:rsidR="00E27632" w:rsidRPr="00E45C73" w:rsidRDefault="00E27632" w:rsidP="00BE3A18">
      <w:pPr>
        <w:pStyle w:val="Normalpool"/>
        <w:tabs>
          <w:tab w:val="left" w:pos="624"/>
        </w:tabs>
        <w:spacing w:before="20" w:after="20"/>
        <w:ind w:right="57"/>
        <w:rPr>
          <w:sz w:val="18"/>
          <w:szCs w:val="18"/>
        </w:rPr>
      </w:pPr>
      <w:r>
        <w:rPr>
          <w:rStyle w:val="FootnoteReference"/>
        </w:rPr>
        <w:footnoteRef/>
      </w:r>
      <w:r>
        <w:t xml:space="preserve"> </w:t>
      </w:r>
      <w:r>
        <w:rPr>
          <w:sz w:val="18"/>
          <w:szCs w:val="18"/>
        </w:rPr>
        <w:t>UNEP/POPS/POPRC.10/10/Add.2; UNEP/POPS/POPRC.11/10/Add.1; UNEP/POPS/POPRC.12/11/Add.4.</w:t>
      </w:r>
    </w:p>
  </w:footnote>
  <w:footnote w:id="73">
    <w:p w14:paraId="57DB15E5" w14:textId="77777777" w:rsidR="00E27632" w:rsidRDefault="00E27632" w:rsidP="00BE3A18">
      <w:pPr>
        <w:pStyle w:val="Normalpool"/>
        <w:tabs>
          <w:tab w:val="left" w:pos="624"/>
        </w:tabs>
        <w:spacing w:before="20" w:after="20"/>
        <w:ind w:right="57"/>
        <w:rPr>
          <w:sz w:val="18"/>
          <w:szCs w:val="18"/>
        </w:rPr>
      </w:pPr>
      <w:r>
        <w:rPr>
          <w:rStyle w:val="FootnoteReference"/>
        </w:rPr>
        <w:footnoteRef/>
      </w:r>
      <w:r>
        <w:t xml:space="preserve"> </w:t>
      </w:r>
      <w:r>
        <w:rPr>
          <w:sz w:val="18"/>
          <w:szCs w:val="18"/>
        </w:rPr>
        <w:t>UNEP/POPS/COP.8/13.</w:t>
      </w:r>
    </w:p>
    <w:p w14:paraId="0AE3DC71" w14:textId="77777777" w:rsidR="00E27632" w:rsidRDefault="00E27632" w:rsidP="00BE3A18">
      <w:pPr>
        <w:pStyle w:val="FootnoteText"/>
      </w:pPr>
    </w:p>
  </w:footnote>
  <w:footnote w:id="74">
    <w:p w14:paraId="628CA441" w14:textId="77777777" w:rsidR="00E27632" w:rsidRPr="00E45C73" w:rsidRDefault="00E27632" w:rsidP="00BE3A18">
      <w:pPr>
        <w:pStyle w:val="Normalpool"/>
        <w:tabs>
          <w:tab w:val="left" w:pos="624"/>
        </w:tabs>
        <w:spacing w:before="20" w:after="20"/>
        <w:ind w:right="57"/>
        <w:rPr>
          <w:sz w:val="18"/>
          <w:szCs w:val="18"/>
        </w:rPr>
      </w:pPr>
      <w:r>
        <w:rPr>
          <w:rStyle w:val="FootnoteReference"/>
        </w:rPr>
        <w:footnoteRef/>
      </w:r>
      <w:r>
        <w:t xml:space="preserve"> </w:t>
      </w:r>
      <w:r w:rsidRPr="00092F5F">
        <w:rPr>
          <w:sz w:val="18"/>
          <w:szCs w:val="18"/>
        </w:rPr>
        <w:t xml:space="preserve">UNEP/POPS/POPRC.11/10/Add.2 </w:t>
      </w:r>
      <w:r>
        <w:rPr>
          <w:sz w:val="18"/>
          <w:szCs w:val="18"/>
        </w:rPr>
        <w:t>in</w:t>
      </w:r>
      <w:r w:rsidRPr="00092F5F">
        <w:rPr>
          <w:sz w:val="18"/>
          <w:szCs w:val="18"/>
        </w:rPr>
        <w:t xml:space="preserve"> UNEP/POPS/POPRC.12/11/Add.3.</w:t>
      </w:r>
    </w:p>
  </w:footnote>
  <w:footnote w:id="75">
    <w:p w14:paraId="48863D36" w14:textId="77777777" w:rsidR="00E27632" w:rsidRDefault="00E27632" w:rsidP="00BE3A18">
      <w:pPr>
        <w:pStyle w:val="FootnoteText"/>
      </w:pPr>
      <w:r>
        <w:rPr>
          <w:rStyle w:val="FootnoteReference"/>
        </w:rPr>
        <w:footnoteRef/>
      </w:r>
      <w:r>
        <w:t xml:space="preserve"> </w:t>
      </w:r>
      <w:r w:rsidRPr="00092F5F">
        <w:rPr>
          <w:sz w:val="18"/>
          <w:szCs w:val="18"/>
        </w:rPr>
        <w:t>UNEP/POPS/COP.8/14.</w:t>
      </w:r>
    </w:p>
  </w:footnote>
  <w:footnote w:id="76">
    <w:p w14:paraId="60E71429" w14:textId="77777777" w:rsidR="00E27632" w:rsidRPr="00E45C73" w:rsidRDefault="00E27632" w:rsidP="00BE3A18">
      <w:pPr>
        <w:pStyle w:val="Normalpool"/>
        <w:tabs>
          <w:tab w:val="left" w:pos="624"/>
        </w:tabs>
        <w:spacing w:before="20" w:after="20"/>
        <w:ind w:right="57"/>
        <w:rPr>
          <w:sz w:val="18"/>
          <w:szCs w:val="18"/>
        </w:rPr>
      </w:pPr>
      <w:r>
        <w:rPr>
          <w:rStyle w:val="FootnoteReference"/>
        </w:rPr>
        <w:footnoteRef/>
      </w:r>
      <w:r>
        <w:t xml:space="preserve"> </w:t>
      </w:r>
      <w:r>
        <w:rPr>
          <w:sz w:val="18"/>
          <w:szCs w:val="18"/>
        </w:rPr>
        <w:t>UNEP/POPS/POPRC.8/16/Add.2; UNEP/POPS/POPRC.9/13/Add.2; UNEP/POPS/POPRC.12/11/Add.5.</w:t>
      </w:r>
    </w:p>
  </w:footnote>
  <w:footnote w:id="77">
    <w:p w14:paraId="1BFD570B" w14:textId="77777777" w:rsidR="00E27632" w:rsidRDefault="00E27632" w:rsidP="00BE3A18">
      <w:pPr>
        <w:pStyle w:val="FootnoteText"/>
      </w:pPr>
      <w:r>
        <w:rPr>
          <w:rStyle w:val="FootnoteReference"/>
        </w:rPr>
        <w:footnoteRef/>
      </w:r>
      <w:r>
        <w:t xml:space="preserve"> </w:t>
      </w:r>
      <w:r>
        <w:rPr>
          <w:sz w:val="18"/>
          <w:szCs w:val="18"/>
        </w:rPr>
        <w:t>UNEP/POPS/COP.8/15.</w:t>
      </w:r>
    </w:p>
  </w:footnote>
  <w:footnote w:id="78">
    <w:p w14:paraId="6100F4EB" w14:textId="77777777" w:rsidR="00E27632" w:rsidRDefault="00E27632" w:rsidP="00BE3A18">
      <w:pPr>
        <w:pStyle w:val="FootnoteText"/>
      </w:pPr>
      <w:r>
        <w:rPr>
          <w:rStyle w:val="FootnoteReference"/>
        </w:rPr>
        <w:footnoteRef/>
      </w:r>
      <w:r>
        <w:t xml:space="preserve"> </w:t>
      </w:r>
      <w:r>
        <w:rPr>
          <w:sz w:val="18"/>
          <w:szCs w:val="18"/>
        </w:rPr>
        <w:t>UNEP/POPS/POPRC.14/INF/13.</w:t>
      </w:r>
    </w:p>
  </w:footnote>
  <w:footnote w:id="79">
    <w:p w14:paraId="7CC0D6D9" w14:textId="77777777" w:rsidR="00E27632" w:rsidRPr="00E45C73" w:rsidRDefault="00E27632" w:rsidP="00BE3A18">
      <w:pPr>
        <w:pStyle w:val="NormalNonumber"/>
        <w:tabs>
          <w:tab w:val="clear" w:pos="1247"/>
          <w:tab w:val="clear" w:pos="1814"/>
          <w:tab w:val="clear" w:pos="2381"/>
          <w:tab w:val="clear" w:pos="2948"/>
          <w:tab w:val="clear" w:pos="3515"/>
          <w:tab w:val="left" w:pos="624"/>
        </w:tabs>
        <w:spacing w:before="20" w:after="40"/>
        <w:ind w:left="0"/>
        <w:rPr>
          <w:sz w:val="18"/>
          <w:szCs w:val="18"/>
        </w:rPr>
      </w:pPr>
      <w:r>
        <w:rPr>
          <w:rStyle w:val="FootnoteReference"/>
        </w:rPr>
        <w:footnoteRef/>
      </w:r>
      <w:r>
        <w:t xml:space="preserve"> </w:t>
      </w:r>
      <w:r>
        <w:rPr>
          <w:sz w:val="18"/>
          <w:szCs w:val="18"/>
        </w:rPr>
        <w:t>UNEP/POPS/COP.9/INF/12.</w:t>
      </w:r>
    </w:p>
  </w:footnote>
  <w:footnote w:id="80">
    <w:p w14:paraId="0CFF503A" w14:textId="77777777" w:rsidR="00E27632" w:rsidRDefault="00E27632" w:rsidP="00BE3A18">
      <w:pPr>
        <w:pStyle w:val="FootnoteText"/>
      </w:pPr>
      <w:r>
        <w:rPr>
          <w:rStyle w:val="FootnoteReference"/>
        </w:rPr>
        <w:footnoteRef/>
      </w:r>
      <w:r>
        <w:t xml:space="preserve"> </w:t>
      </w:r>
      <w:r>
        <w:rPr>
          <w:sz w:val="18"/>
          <w:szCs w:val="18"/>
        </w:rPr>
        <w:t>Odločitev POPRC-14/3, priloga.</w:t>
      </w:r>
    </w:p>
  </w:footnote>
  <w:footnote w:id="81">
    <w:p w14:paraId="39B56B41" w14:textId="77777777" w:rsidR="00E27632" w:rsidRDefault="00E27632" w:rsidP="00BE3A18">
      <w:pPr>
        <w:pStyle w:val="FootnoteText"/>
      </w:pPr>
      <w:r>
        <w:rPr>
          <w:rStyle w:val="FootnoteReference"/>
        </w:rPr>
        <w:footnoteRef/>
      </w:r>
      <w:r>
        <w:t xml:space="preserve"> </w:t>
      </w:r>
      <w:r w:rsidRPr="007D12AB">
        <w:rPr>
          <w:szCs w:val="18"/>
          <w:lang w:val="en-GB"/>
        </w:rPr>
        <w:t>UNEP/POPS/POPRC.12/11/Add.1; UNEP/POPS/POPRC.13/7/Add.1.</w:t>
      </w:r>
    </w:p>
  </w:footnote>
  <w:footnote w:id="82">
    <w:p w14:paraId="7FE08090" w14:textId="77777777" w:rsidR="00E27632" w:rsidRDefault="00E27632" w:rsidP="00BE3A18">
      <w:pPr>
        <w:pStyle w:val="FootnoteText"/>
      </w:pPr>
      <w:r>
        <w:rPr>
          <w:rStyle w:val="FootnoteReference"/>
        </w:rPr>
        <w:footnoteRef/>
      </w:r>
      <w:r>
        <w:t xml:space="preserve"> </w:t>
      </w:r>
      <w:r w:rsidRPr="007D12AB">
        <w:rPr>
          <w:szCs w:val="18"/>
          <w:lang w:val="en-GB"/>
        </w:rPr>
        <w:t>UNEP/POPS/COP.9/13.</w:t>
      </w:r>
    </w:p>
  </w:footnote>
  <w:footnote w:id="83">
    <w:p w14:paraId="62B1205A" w14:textId="77777777" w:rsidR="00E27632" w:rsidRDefault="00E27632" w:rsidP="00BE3A18">
      <w:pPr>
        <w:pStyle w:val="FootnoteText"/>
      </w:pPr>
      <w:r>
        <w:rPr>
          <w:rStyle w:val="FootnoteReference"/>
        </w:rPr>
        <w:footnoteRef/>
      </w:r>
      <w:r>
        <w:t xml:space="preserve"> </w:t>
      </w:r>
      <w:r w:rsidRPr="007D12AB">
        <w:rPr>
          <w:szCs w:val="18"/>
          <w:lang w:val="en-GB"/>
        </w:rPr>
        <w:t>UNEP/POPS/POPRC.12/11/Add.2; UNEP/POPS/POPRC.13/7/Add.2; UNEP/POPS/POPRC.14/6/Add.2.</w:t>
      </w:r>
    </w:p>
  </w:footnote>
  <w:footnote w:id="84">
    <w:p w14:paraId="40330944" w14:textId="77777777" w:rsidR="00E27632" w:rsidRDefault="00E27632" w:rsidP="00BE3A18">
      <w:pPr>
        <w:pStyle w:val="FootnoteText"/>
      </w:pPr>
      <w:r>
        <w:rPr>
          <w:rStyle w:val="FootnoteReference"/>
        </w:rPr>
        <w:footnoteRef/>
      </w:r>
      <w:r>
        <w:t xml:space="preserve"> </w:t>
      </w:r>
      <w:r w:rsidRPr="007D12AB">
        <w:rPr>
          <w:szCs w:val="18"/>
          <w:lang w:val="en-GB"/>
        </w:rPr>
        <w:t>UNEP/POPS/COP.9/14.</w:t>
      </w:r>
    </w:p>
  </w:footnote>
  <w:footnote w:id="85">
    <w:p w14:paraId="00F7571D" w14:textId="77777777" w:rsidR="00E27632" w:rsidRPr="00E45C73" w:rsidRDefault="00E27632" w:rsidP="00BE3A18">
      <w:pPr>
        <w:pStyle w:val="FootnoteText"/>
        <w:rPr>
          <w:lang w:val="en-GB"/>
        </w:rPr>
      </w:pPr>
      <w:r>
        <w:rPr>
          <w:rStyle w:val="FootnoteReference"/>
        </w:rPr>
        <w:footnoteRef/>
      </w:r>
      <w:r>
        <w:t xml:space="preserve"> </w:t>
      </w:r>
      <w:r>
        <w:rPr>
          <w:szCs w:val="18"/>
        </w:rPr>
        <w:t>UNEP/POPS/POPRC.14/6/Add.1 in UNEP/POPS/POPRC.15/7/Add.1.</w:t>
      </w:r>
    </w:p>
  </w:footnote>
  <w:footnote w:id="86">
    <w:p w14:paraId="2BD5AC1C" w14:textId="77777777" w:rsidR="00E27632" w:rsidRDefault="00E27632" w:rsidP="00BE3A18">
      <w:pPr>
        <w:pStyle w:val="FootnoteText"/>
      </w:pPr>
      <w:r>
        <w:rPr>
          <w:rStyle w:val="FootnoteReference"/>
        </w:rPr>
        <w:footnoteRef/>
      </w:r>
      <w:r>
        <w:t xml:space="preserve"> </w:t>
      </w:r>
      <w:r>
        <w:rPr>
          <w:szCs w:val="18"/>
        </w:rPr>
        <w:t>UNEP/POPS/COP.10/12, priloga.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D1F"/>
    <w:multiLevelType w:val="hybridMultilevel"/>
    <w:tmpl w:val="3F68D95A"/>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 w15:restartNumberingAfterBreak="0">
    <w:nsid w:val="043815FC"/>
    <w:multiLevelType w:val="hybridMultilevel"/>
    <w:tmpl w:val="19BEF028"/>
    <w:lvl w:ilvl="0" w:tplc="96B892C6">
      <w:start w:val="1"/>
      <w:numFmt w:val="lowerLetter"/>
      <w:lvlText w:val="(%1)"/>
      <w:lvlJc w:val="left"/>
      <w:pPr>
        <w:ind w:left="2700" w:hanging="360"/>
      </w:pPr>
      <w:rPr>
        <w:rFonts w:hint="default"/>
        <w:color w:val="000000"/>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45840A5"/>
    <w:multiLevelType w:val="hybridMultilevel"/>
    <w:tmpl w:val="4CD63FE8"/>
    <w:lvl w:ilvl="0" w:tplc="5114DE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CC22B57"/>
    <w:multiLevelType w:val="hybridMultilevel"/>
    <w:tmpl w:val="625025EA"/>
    <w:lvl w:ilvl="0" w:tplc="FFFFFFFF">
      <w:start w:val="1"/>
      <w:numFmt w:val="decimal"/>
      <w:lvlText w:val="%1."/>
      <w:lvlJc w:val="left"/>
      <w:pPr>
        <w:ind w:left="-1088" w:hanging="360"/>
      </w:pPr>
      <w:rPr>
        <w:rFonts w:hint="default"/>
      </w:rPr>
    </w:lvl>
    <w:lvl w:ilvl="1" w:tplc="FFFFFFFF" w:tentative="1">
      <w:start w:val="1"/>
      <w:numFmt w:val="lowerLetter"/>
      <w:lvlText w:val="%2."/>
      <w:lvlJc w:val="left"/>
      <w:pPr>
        <w:ind w:left="-368" w:hanging="360"/>
      </w:pPr>
    </w:lvl>
    <w:lvl w:ilvl="2" w:tplc="FFFFFFFF" w:tentative="1">
      <w:start w:val="1"/>
      <w:numFmt w:val="lowerRoman"/>
      <w:lvlText w:val="%3."/>
      <w:lvlJc w:val="right"/>
      <w:pPr>
        <w:ind w:left="352" w:hanging="180"/>
      </w:pPr>
    </w:lvl>
    <w:lvl w:ilvl="3" w:tplc="FFFFFFFF" w:tentative="1">
      <w:start w:val="1"/>
      <w:numFmt w:val="decimal"/>
      <w:lvlText w:val="%4."/>
      <w:lvlJc w:val="left"/>
      <w:pPr>
        <w:ind w:left="1072" w:hanging="360"/>
      </w:pPr>
    </w:lvl>
    <w:lvl w:ilvl="4" w:tplc="FFFFFFFF" w:tentative="1">
      <w:start w:val="1"/>
      <w:numFmt w:val="lowerLetter"/>
      <w:lvlText w:val="%5."/>
      <w:lvlJc w:val="left"/>
      <w:pPr>
        <w:ind w:left="1792" w:hanging="360"/>
      </w:pPr>
    </w:lvl>
    <w:lvl w:ilvl="5" w:tplc="FFFFFFFF" w:tentative="1">
      <w:start w:val="1"/>
      <w:numFmt w:val="lowerRoman"/>
      <w:lvlText w:val="%6."/>
      <w:lvlJc w:val="right"/>
      <w:pPr>
        <w:ind w:left="2512" w:hanging="180"/>
      </w:pPr>
    </w:lvl>
    <w:lvl w:ilvl="6" w:tplc="FFFFFFFF" w:tentative="1">
      <w:start w:val="1"/>
      <w:numFmt w:val="decimal"/>
      <w:lvlText w:val="%7."/>
      <w:lvlJc w:val="left"/>
      <w:pPr>
        <w:ind w:left="3232" w:hanging="360"/>
      </w:pPr>
    </w:lvl>
    <w:lvl w:ilvl="7" w:tplc="FFFFFFFF" w:tentative="1">
      <w:start w:val="1"/>
      <w:numFmt w:val="lowerLetter"/>
      <w:lvlText w:val="%8."/>
      <w:lvlJc w:val="left"/>
      <w:pPr>
        <w:ind w:left="3952" w:hanging="360"/>
      </w:pPr>
    </w:lvl>
    <w:lvl w:ilvl="8" w:tplc="FFFFFFFF" w:tentative="1">
      <w:start w:val="1"/>
      <w:numFmt w:val="lowerRoman"/>
      <w:lvlText w:val="%9."/>
      <w:lvlJc w:val="right"/>
      <w:pPr>
        <w:ind w:left="4672" w:hanging="180"/>
      </w:pPr>
    </w:lvl>
  </w:abstractNum>
  <w:abstractNum w:abstractNumId="4" w15:restartNumberingAfterBreak="0">
    <w:nsid w:val="10343B16"/>
    <w:multiLevelType w:val="hybridMultilevel"/>
    <w:tmpl w:val="0AF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62EB7"/>
    <w:multiLevelType w:val="singleLevel"/>
    <w:tmpl w:val="8E0A7A96"/>
    <w:lvl w:ilvl="0">
      <w:start w:val="1"/>
      <w:numFmt w:val="decimal"/>
      <w:lvlText w:val="%1."/>
      <w:lvlJc w:val="left"/>
      <w:pPr>
        <w:tabs>
          <w:tab w:val="num" w:pos="1620"/>
        </w:tabs>
        <w:ind w:left="1260" w:firstLine="0"/>
      </w:pPr>
      <w:rPr>
        <w:rFonts w:ascii="Times New Roman" w:hAnsi="Times New Roman" w:hint="default"/>
        <w:b w:val="0"/>
        <w:i w:val="0"/>
        <w:sz w:val="20"/>
        <w:szCs w:val="20"/>
      </w:rPr>
    </w:lvl>
  </w:abstractNum>
  <w:abstractNum w:abstractNumId="6" w15:restartNumberingAfterBreak="0">
    <w:nsid w:val="171113A7"/>
    <w:multiLevelType w:val="multilevel"/>
    <w:tmpl w:val="15304444"/>
    <w:styleLink w:val="Normallist4"/>
    <w:lvl w:ilvl="0">
      <w:start w:val="1"/>
      <w:numFmt w:val="decimal"/>
      <w:lvlText w:val="%1."/>
      <w:lvlJc w:val="left"/>
      <w:pPr>
        <w:tabs>
          <w:tab w:val="num" w:pos="567"/>
        </w:tabs>
        <w:ind w:left="1247"/>
      </w:pPr>
      <w:rPr>
        <w:rFonts w:cs="Times New Roman" w:hint="default"/>
      </w:rPr>
    </w:lvl>
    <w:lvl w:ilvl="1">
      <w:start w:val="1"/>
      <w:numFmt w:val="lowerLetter"/>
      <w:lvlText w:val="(%2)"/>
      <w:lvlJc w:val="left"/>
      <w:pPr>
        <w:tabs>
          <w:tab w:val="num" w:pos="567"/>
        </w:tabs>
        <w:ind w:left="1247" w:firstLine="567"/>
      </w:pPr>
      <w:rPr>
        <w:rFonts w:cs="Times New Roman" w:hint="default"/>
      </w:rPr>
    </w:lvl>
    <w:lvl w:ilvl="2">
      <w:start w:val="1"/>
      <w:numFmt w:val="lowerRoman"/>
      <w:lvlText w:val="(%3)"/>
      <w:lvlJc w:val="left"/>
      <w:pPr>
        <w:tabs>
          <w:tab w:val="num" w:pos="567"/>
        </w:tabs>
        <w:ind w:left="2948" w:hanging="567"/>
      </w:pPr>
      <w:rPr>
        <w:rFonts w:cs="Times New Roman" w:hint="default"/>
      </w:rPr>
    </w:lvl>
    <w:lvl w:ilvl="3">
      <w:start w:val="1"/>
      <w:numFmt w:val="lowerLetter"/>
      <w:lvlText w:val="%4."/>
      <w:lvlJc w:val="left"/>
      <w:pPr>
        <w:tabs>
          <w:tab w:val="num" w:pos="567"/>
        </w:tabs>
        <w:ind w:left="3515" w:hanging="567"/>
      </w:pPr>
      <w:rPr>
        <w:rFonts w:cs="Times New Roman" w:hint="default"/>
      </w:rPr>
    </w:lvl>
    <w:lvl w:ilvl="4">
      <w:start w:val="1"/>
      <w:numFmt w:val="lowerLetter"/>
      <w:lvlText w:val="%5."/>
      <w:lvlJc w:val="left"/>
      <w:pPr>
        <w:tabs>
          <w:tab w:val="num" w:pos="6548"/>
        </w:tabs>
        <w:ind w:left="6548" w:hanging="360"/>
      </w:pPr>
      <w:rPr>
        <w:rFonts w:cs="Times New Roman" w:hint="default"/>
      </w:rPr>
    </w:lvl>
    <w:lvl w:ilvl="5">
      <w:start w:val="1"/>
      <w:numFmt w:val="lowerRoman"/>
      <w:lvlText w:val="%6."/>
      <w:lvlJc w:val="right"/>
      <w:pPr>
        <w:tabs>
          <w:tab w:val="num" w:pos="7268"/>
        </w:tabs>
        <w:ind w:left="7268" w:hanging="180"/>
      </w:pPr>
      <w:rPr>
        <w:rFonts w:cs="Times New Roman" w:hint="default"/>
      </w:rPr>
    </w:lvl>
    <w:lvl w:ilvl="6">
      <w:start w:val="1"/>
      <w:numFmt w:val="decimal"/>
      <w:lvlText w:val="%7."/>
      <w:lvlJc w:val="left"/>
      <w:pPr>
        <w:tabs>
          <w:tab w:val="num" w:pos="7988"/>
        </w:tabs>
        <w:ind w:left="7988" w:hanging="360"/>
      </w:pPr>
      <w:rPr>
        <w:rFonts w:cs="Times New Roman" w:hint="default"/>
      </w:rPr>
    </w:lvl>
    <w:lvl w:ilvl="7">
      <w:start w:val="1"/>
      <w:numFmt w:val="lowerLetter"/>
      <w:lvlText w:val="%8."/>
      <w:lvlJc w:val="left"/>
      <w:pPr>
        <w:tabs>
          <w:tab w:val="num" w:pos="8708"/>
        </w:tabs>
        <w:ind w:left="8708" w:hanging="360"/>
      </w:pPr>
      <w:rPr>
        <w:rFonts w:cs="Times New Roman" w:hint="default"/>
      </w:rPr>
    </w:lvl>
    <w:lvl w:ilvl="8">
      <w:start w:val="1"/>
      <w:numFmt w:val="lowerRoman"/>
      <w:lvlText w:val="%9."/>
      <w:lvlJc w:val="right"/>
      <w:pPr>
        <w:tabs>
          <w:tab w:val="num" w:pos="9428"/>
        </w:tabs>
        <w:ind w:left="9428" w:hanging="180"/>
      </w:pPr>
      <w:rPr>
        <w:rFonts w:cs="Times New Roman" w:hint="default"/>
      </w:rPr>
    </w:lvl>
  </w:abstractNum>
  <w:abstractNum w:abstractNumId="7" w15:restartNumberingAfterBreak="0">
    <w:nsid w:val="19080365"/>
    <w:multiLevelType w:val="hybridMultilevel"/>
    <w:tmpl w:val="43466A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9DB1A6D"/>
    <w:multiLevelType w:val="hybridMultilevel"/>
    <w:tmpl w:val="F5E610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18198E"/>
    <w:multiLevelType w:val="hybridMultilevel"/>
    <w:tmpl w:val="962EC64A"/>
    <w:lvl w:ilvl="0" w:tplc="AD4ACC06">
      <w:start w:val="1"/>
      <w:numFmt w:val="decimal"/>
      <w:pStyle w:val="Paralevel1"/>
      <w:lvlText w:val="%1."/>
      <w:lvlJc w:val="left"/>
      <w:pPr>
        <w:tabs>
          <w:tab w:val="num" w:pos="1478"/>
        </w:tabs>
        <w:ind w:left="1478" w:hanging="578"/>
      </w:pPr>
      <w:rPr>
        <w:rFonts w:ascii="Times New Roman" w:hAnsi="Times New Roman" w:hint="default"/>
        <w:b w:val="0"/>
        <w:i w:val="0"/>
        <w:sz w:val="20"/>
        <w:szCs w:val="20"/>
      </w:rPr>
    </w:lvl>
    <w:lvl w:ilvl="1" w:tplc="00190409" w:tentative="1">
      <w:start w:val="1"/>
      <w:numFmt w:val="lowerLetter"/>
      <w:lvlText w:val="%2."/>
      <w:lvlJc w:val="left"/>
      <w:pPr>
        <w:tabs>
          <w:tab w:val="num" w:pos="2687"/>
        </w:tabs>
        <w:ind w:left="2687" w:hanging="360"/>
      </w:pPr>
    </w:lvl>
    <w:lvl w:ilvl="2" w:tplc="001B0409" w:tentative="1">
      <w:start w:val="1"/>
      <w:numFmt w:val="lowerRoman"/>
      <w:lvlText w:val="%3."/>
      <w:lvlJc w:val="right"/>
      <w:pPr>
        <w:tabs>
          <w:tab w:val="num" w:pos="3407"/>
        </w:tabs>
        <w:ind w:left="3407" w:hanging="180"/>
      </w:pPr>
    </w:lvl>
    <w:lvl w:ilvl="3" w:tplc="000F0409" w:tentative="1">
      <w:start w:val="1"/>
      <w:numFmt w:val="decimal"/>
      <w:lvlText w:val="%4."/>
      <w:lvlJc w:val="left"/>
      <w:pPr>
        <w:tabs>
          <w:tab w:val="num" w:pos="4127"/>
        </w:tabs>
        <w:ind w:left="4127" w:hanging="360"/>
      </w:pPr>
    </w:lvl>
    <w:lvl w:ilvl="4" w:tplc="00190409" w:tentative="1">
      <w:start w:val="1"/>
      <w:numFmt w:val="lowerLetter"/>
      <w:lvlText w:val="%5."/>
      <w:lvlJc w:val="left"/>
      <w:pPr>
        <w:tabs>
          <w:tab w:val="num" w:pos="4847"/>
        </w:tabs>
        <w:ind w:left="4847" w:hanging="360"/>
      </w:pPr>
    </w:lvl>
    <w:lvl w:ilvl="5" w:tplc="001B0409" w:tentative="1">
      <w:start w:val="1"/>
      <w:numFmt w:val="lowerRoman"/>
      <w:lvlText w:val="%6."/>
      <w:lvlJc w:val="right"/>
      <w:pPr>
        <w:tabs>
          <w:tab w:val="num" w:pos="5567"/>
        </w:tabs>
        <w:ind w:left="5567" w:hanging="180"/>
      </w:pPr>
    </w:lvl>
    <w:lvl w:ilvl="6" w:tplc="000F0409" w:tentative="1">
      <w:start w:val="1"/>
      <w:numFmt w:val="decimal"/>
      <w:lvlText w:val="%7."/>
      <w:lvlJc w:val="left"/>
      <w:pPr>
        <w:tabs>
          <w:tab w:val="num" w:pos="6287"/>
        </w:tabs>
        <w:ind w:left="6287" w:hanging="360"/>
      </w:pPr>
    </w:lvl>
    <w:lvl w:ilvl="7" w:tplc="00190409" w:tentative="1">
      <w:start w:val="1"/>
      <w:numFmt w:val="lowerLetter"/>
      <w:lvlText w:val="%8."/>
      <w:lvlJc w:val="left"/>
      <w:pPr>
        <w:tabs>
          <w:tab w:val="num" w:pos="7007"/>
        </w:tabs>
        <w:ind w:left="7007" w:hanging="360"/>
      </w:pPr>
    </w:lvl>
    <w:lvl w:ilvl="8" w:tplc="001B0409" w:tentative="1">
      <w:start w:val="1"/>
      <w:numFmt w:val="lowerRoman"/>
      <w:lvlText w:val="%9."/>
      <w:lvlJc w:val="right"/>
      <w:pPr>
        <w:tabs>
          <w:tab w:val="num" w:pos="7727"/>
        </w:tabs>
        <w:ind w:left="7727" w:hanging="180"/>
      </w:pPr>
    </w:lvl>
  </w:abstractNum>
  <w:abstractNum w:abstractNumId="10" w15:restartNumberingAfterBreak="0">
    <w:nsid w:val="23BE709E"/>
    <w:multiLevelType w:val="hybridMultilevel"/>
    <w:tmpl w:val="5FB06244"/>
    <w:lvl w:ilvl="0" w:tplc="55A2C1A2">
      <w:start w:val="1"/>
      <w:numFmt w:val="lowerRoman"/>
      <w:lvlText w:val="(%1)"/>
      <w:lvlJc w:val="left"/>
      <w:pPr>
        <w:ind w:left="1068" w:hanging="360"/>
      </w:pPr>
      <w:rPr>
        <w:rFonts w:hint="default"/>
      </w:rPr>
    </w:lvl>
    <w:lvl w:ilvl="1" w:tplc="55A2C1A2">
      <w:start w:val="1"/>
      <w:numFmt w:val="lowerRoman"/>
      <w:lvlText w:val="(%2)"/>
      <w:lvlJc w:val="left"/>
      <w:pPr>
        <w:ind w:left="1788" w:hanging="36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24755C83"/>
    <w:multiLevelType w:val="hybridMultilevel"/>
    <w:tmpl w:val="9ED6F29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A77C64"/>
    <w:multiLevelType w:val="hybridMultilevel"/>
    <w:tmpl w:val="D402CE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79404A3"/>
    <w:multiLevelType w:val="hybridMultilevel"/>
    <w:tmpl w:val="625025EA"/>
    <w:lvl w:ilvl="0" w:tplc="0424000F">
      <w:start w:val="1"/>
      <w:numFmt w:val="decimal"/>
      <w:pStyle w:val="Normalnumb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7C313A0"/>
    <w:multiLevelType w:val="hybridMultilevel"/>
    <w:tmpl w:val="C34E3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B422FCA"/>
    <w:multiLevelType w:val="hybridMultilevel"/>
    <w:tmpl w:val="7FBE06A0"/>
    <w:lvl w:ilvl="0" w:tplc="97A06226">
      <w:start w:val="1"/>
      <w:numFmt w:val="decimal"/>
      <w:lvlText w:val="%1."/>
      <w:lvlJc w:val="left"/>
      <w:pPr>
        <w:tabs>
          <w:tab w:val="num" w:pos="3215"/>
        </w:tabs>
        <w:ind w:left="3215" w:hanging="360"/>
      </w:pPr>
      <w:rPr>
        <w:i w:val="0"/>
      </w:rPr>
    </w:lvl>
    <w:lvl w:ilvl="1" w:tplc="04090019">
      <w:start w:val="1"/>
      <w:numFmt w:val="lowerLetter"/>
      <w:lvlText w:val="%2."/>
      <w:lvlJc w:val="left"/>
      <w:pPr>
        <w:tabs>
          <w:tab w:val="num" w:pos="3935"/>
        </w:tabs>
        <w:ind w:left="3935" w:hanging="360"/>
      </w:pPr>
    </w:lvl>
    <w:lvl w:ilvl="2" w:tplc="0409001B" w:tentative="1">
      <w:start w:val="1"/>
      <w:numFmt w:val="lowerRoman"/>
      <w:lvlText w:val="%3."/>
      <w:lvlJc w:val="right"/>
      <w:pPr>
        <w:tabs>
          <w:tab w:val="num" w:pos="4655"/>
        </w:tabs>
        <w:ind w:left="4655" w:hanging="180"/>
      </w:pPr>
    </w:lvl>
    <w:lvl w:ilvl="3" w:tplc="0409000F" w:tentative="1">
      <w:start w:val="1"/>
      <w:numFmt w:val="decimal"/>
      <w:lvlText w:val="%4."/>
      <w:lvlJc w:val="left"/>
      <w:pPr>
        <w:tabs>
          <w:tab w:val="num" w:pos="5375"/>
        </w:tabs>
        <w:ind w:left="5375" w:hanging="360"/>
      </w:pPr>
    </w:lvl>
    <w:lvl w:ilvl="4" w:tplc="04090019" w:tentative="1">
      <w:start w:val="1"/>
      <w:numFmt w:val="lowerLetter"/>
      <w:lvlText w:val="%5."/>
      <w:lvlJc w:val="left"/>
      <w:pPr>
        <w:tabs>
          <w:tab w:val="num" w:pos="6095"/>
        </w:tabs>
        <w:ind w:left="6095" w:hanging="360"/>
      </w:pPr>
    </w:lvl>
    <w:lvl w:ilvl="5" w:tplc="0409001B" w:tentative="1">
      <w:start w:val="1"/>
      <w:numFmt w:val="lowerRoman"/>
      <w:lvlText w:val="%6."/>
      <w:lvlJc w:val="right"/>
      <w:pPr>
        <w:tabs>
          <w:tab w:val="num" w:pos="6815"/>
        </w:tabs>
        <w:ind w:left="6815" w:hanging="180"/>
      </w:pPr>
    </w:lvl>
    <w:lvl w:ilvl="6" w:tplc="0409000F" w:tentative="1">
      <w:start w:val="1"/>
      <w:numFmt w:val="decimal"/>
      <w:lvlText w:val="%7."/>
      <w:lvlJc w:val="left"/>
      <w:pPr>
        <w:tabs>
          <w:tab w:val="num" w:pos="7535"/>
        </w:tabs>
        <w:ind w:left="7535" w:hanging="360"/>
      </w:pPr>
    </w:lvl>
    <w:lvl w:ilvl="7" w:tplc="04090019" w:tentative="1">
      <w:start w:val="1"/>
      <w:numFmt w:val="lowerLetter"/>
      <w:lvlText w:val="%8."/>
      <w:lvlJc w:val="left"/>
      <w:pPr>
        <w:tabs>
          <w:tab w:val="num" w:pos="8255"/>
        </w:tabs>
        <w:ind w:left="8255" w:hanging="360"/>
      </w:pPr>
    </w:lvl>
    <w:lvl w:ilvl="8" w:tplc="0409001B" w:tentative="1">
      <w:start w:val="1"/>
      <w:numFmt w:val="lowerRoman"/>
      <w:lvlText w:val="%9."/>
      <w:lvlJc w:val="right"/>
      <w:pPr>
        <w:tabs>
          <w:tab w:val="num" w:pos="8975"/>
        </w:tabs>
        <w:ind w:left="8975" w:hanging="180"/>
      </w:pPr>
    </w:lvl>
  </w:abstractNum>
  <w:abstractNum w:abstractNumId="16" w15:restartNumberingAfterBreak="0">
    <w:nsid w:val="2C590AE8"/>
    <w:multiLevelType w:val="hybridMultilevel"/>
    <w:tmpl w:val="4190BDB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1C7518F"/>
    <w:multiLevelType w:val="hybridMultilevel"/>
    <w:tmpl w:val="A5A8D02C"/>
    <w:lvl w:ilvl="0" w:tplc="55A2C1A2">
      <w:start w:val="1"/>
      <w:numFmt w:val="lowerRoman"/>
      <w:lvlText w:val="(%1)"/>
      <w:lvlJc w:val="left"/>
      <w:pPr>
        <w:ind w:left="3399" w:hanging="360"/>
      </w:pPr>
      <w:rPr>
        <w:rFonts w:hint="default"/>
      </w:rPr>
    </w:lvl>
    <w:lvl w:ilvl="1" w:tplc="9E72F51A">
      <w:numFmt w:val="bullet"/>
      <w:lvlText w:val="–"/>
      <w:lvlJc w:val="left"/>
      <w:pPr>
        <w:ind w:left="4119" w:hanging="360"/>
      </w:pPr>
      <w:rPr>
        <w:rFonts w:ascii="Arial" w:eastAsia="Calibri" w:hAnsi="Arial" w:cs="Arial" w:hint="default"/>
      </w:rPr>
    </w:lvl>
    <w:lvl w:ilvl="2" w:tplc="0424001B" w:tentative="1">
      <w:start w:val="1"/>
      <w:numFmt w:val="lowerRoman"/>
      <w:lvlText w:val="%3."/>
      <w:lvlJc w:val="right"/>
      <w:pPr>
        <w:ind w:left="4839" w:hanging="180"/>
      </w:pPr>
    </w:lvl>
    <w:lvl w:ilvl="3" w:tplc="0424000F" w:tentative="1">
      <w:start w:val="1"/>
      <w:numFmt w:val="decimal"/>
      <w:lvlText w:val="%4."/>
      <w:lvlJc w:val="left"/>
      <w:pPr>
        <w:ind w:left="5559" w:hanging="360"/>
      </w:pPr>
    </w:lvl>
    <w:lvl w:ilvl="4" w:tplc="04240019" w:tentative="1">
      <w:start w:val="1"/>
      <w:numFmt w:val="lowerLetter"/>
      <w:lvlText w:val="%5."/>
      <w:lvlJc w:val="left"/>
      <w:pPr>
        <w:ind w:left="6279" w:hanging="360"/>
      </w:pPr>
    </w:lvl>
    <w:lvl w:ilvl="5" w:tplc="0424001B" w:tentative="1">
      <w:start w:val="1"/>
      <w:numFmt w:val="lowerRoman"/>
      <w:lvlText w:val="%6."/>
      <w:lvlJc w:val="right"/>
      <w:pPr>
        <w:ind w:left="6999" w:hanging="180"/>
      </w:pPr>
    </w:lvl>
    <w:lvl w:ilvl="6" w:tplc="0424000F" w:tentative="1">
      <w:start w:val="1"/>
      <w:numFmt w:val="decimal"/>
      <w:lvlText w:val="%7."/>
      <w:lvlJc w:val="left"/>
      <w:pPr>
        <w:ind w:left="7719" w:hanging="360"/>
      </w:pPr>
    </w:lvl>
    <w:lvl w:ilvl="7" w:tplc="04240019" w:tentative="1">
      <w:start w:val="1"/>
      <w:numFmt w:val="lowerLetter"/>
      <w:lvlText w:val="%8."/>
      <w:lvlJc w:val="left"/>
      <w:pPr>
        <w:ind w:left="8439" w:hanging="360"/>
      </w:pPr>
    </w:lvl>
    <w:lvl w:ilvl="8" w:tplc="0424001B" w:tentative="1">
      <w:start w:val="1"/>
      <w:numFmt w:val="lowerRoman"/>
      <w:lvlText w:val="%9."/>
      <w:lvlJc w:val="right"/>
      <w:pPr>
        <w:ind w:left="9159" w:hanging="180"/>
      </w:pPr>
    </w:lvl>
  </w:abstractNum>
  <w:abstractNum w:abstractNumId="18" w15:restartNumberingAfterBreak="0">
    <w:nsid w:val="32297E4E"/>
    <w:multiLevelType w:val="hybridMultilevel"/>
    <w:tmpl w:val="148A5C1C"/>
    <w:lvl w:ilvl="0" w:tplc="FFFFFFFF">
      <w:start w:val="1"/>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9" w15:restartNumberingAfterBreak="0">
    <w:nsid w:val="35897460"/>
    <w:multiLevelType w:val="hybridMultilevel"/>
    <w:tmpl w:val="4A74D626"/>
    <w:lvl w:ilvl="0" w:tplc="495CC536">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BB004D9"/>
    <w:multiLevelType w:val="hybridMultilevel"/>
    <w:tmpl w:val="5FA0EFA0"/>
    <w:lvl w:ilvl="0" w:tplc="B032D95A">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21" w15:restartNumberingAfterBreak="0">
    <w:nsid w:val="3C3B66DC"/>
    <w:multiLevelType w:val="hybridMultilevel"/>
    <w:tmpl w:val="CB4A930C"/>
    <w:lvl w:ilvl="0" w:tplc="D7C89C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34168"/>
    <w:multiLevelType w:val="hybridMultilevel"/>
    <w:tmpl w:val="148A5C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527EA5"/>
    <w:multiLevelType w:val="hybridMultilevel"/>
    <w:tmpl w:val="BA8AB644"/>
    <w:lvl w:ilvl="0" w:tplc="A492E8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D3DF2"/>
    <w:multiLevelType w:val="hybridMultilevel"/>
    <w:tmpl w:val="66FAED1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7B06E2"/>
    <w:multiLevelType w:val="hybridMultilevel"/>
    <w:tmpl w:val="5A9433E6"/>
    <w:lvl w:ilvl="0" w:tplc="F3A246AA">
      <w:start w:val="1"/>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3A41B62"/>
    <w:multiLevelType w:val="hybridMultilevel"/>
    <w:tmpl w:val="421C94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7D73E0B"/>
    <w:multiLevelType w:val="hybridMultilevel"/>
    <w:tmpl w:val="625025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073E46"/>
    <w:multiLevelType w:val="hybridMultilevel"/>
    <w:tmpl w:val="148A5C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D630640"/>
    <w:multiLevelType w:val="hybridMultilevel"/>
    <w:tmpl w:val="105A9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2158DB"/>
    <w:multiLevelType w:val="hybridMultilevel"/>
    <w:tmpl w:val="4D064C52"/>
    <w:lvl w:ilvl="0" w:tplc="D8D64CD6">
      <w:start w:val="1"/>
      <w:numFmt w:val="decimal"/>
      <w:lvlText w:val="%1."/>
      <w:lvlJc w:val="left"/>
      <w:pPr>
        <w:ind w:left="2837" w:hanging="360"/>
      </w:pPr>
      <w:rPr>
        <w:rFonts w:hint="default"/>
        <w:i w:val="0"/>
      </w:rPr>
    </w:lvl>
    <w:lvl w:ilvl="1" w:tplc="040C0019">
      <w:start w:val="1"/>
      <w:numFmt w:val="lowerLetter"/>
      <w:lvlText w:val="%2."/>
      <w:lvlJc w:val="left"/>
      <w:pPr>
        <w:ind w:left="3557" w:hanging="360"/>
      </w:pPr>
    </w:lvl>
    <w:lvl w:ilvl="2" w:tplc="040C001B" w:tentative="1">
      <w:start w:val="1"/>
      <w:numFmt w:val="lowerRoman"/>
      <w:lvlText w:val="%3."/>
      <w:lvlJc w:val="right"/>
      <w:pPr>
        <w:ind w:left="4277" w:hanging="180"/>
      </w:pPr>
    </w:lvl>
    <w:lvl w:ilvl="3" w:tplc="040C000F" w:tentative="1">
      <w:start w:val="1"/>
      <w:numFmt w:val="decimal"/>
      <w:lvlText w:val="%4."/>
      <w:lvlJc w:val="left"/>
      <w:pPr>
        <w:ind w:left="4997" w:hanging="360"/>
      </w:pPr>
    </w:lvl>
    <w:lvl w:ilvl="4" w:tplc="040C0019" w:tentative="1">
      <w:start w:val="1"/>
      <w:numFmt w:val="lowerLetter"/>
      <w:lvlText w:val="%5."/>
      <w:lvlJc w:val="left"/>
      <w:pPr>
        <w:ind w:left="5717" w:hanging="360"/>
      </w:pPr>
    </w:lvl>
    <w:lvl w:ilvl="5" w:tplc="040C001B" w:tentative="1">
      <w:start w:val="1"/>
      <w:numFmt w:val="lowerRoman"/>
      <w:lvlText w:val="%6."/>
      <w:lvlJc w:val="right"/>
      <w:pPr>
        <w:ind w:left="6437" w:hanging="180"/>
      </w:pPr>
    </w:lvl>
    <w:lvl w:ilvl="6" w:tplc="040C000F" w:tentative="1">
      <w:start w:val="1"/>
      <w:numFmt w:val="decimal"/>
      <w:lvlText w:val="%7."/>
      <w:lvlJc w:val="left"/>
      <w:pPr>
        <w:ind w:left="7157" w:hanging="360"/>
      </w:pPr>
    </w:lvl>
    <w:lvl w:ilvl="7" w:tplc="040C0019" w:tentative="1">
      <w:start w:val="1"/>
      <w:numFmt w:val="lowerLetter"/>
      <w:lvlText w:val="%8."/>
      <w:lvlJc w:val="left"/>
      <w:pPr>
        <w:ind w:left="7877" w:hanging="360"/>
      </w:pPr>
    </w:lvl>
    <w:lvl w:ilvl="8" w:tplc="040C001B" w:tentative="1">
      <w:start w:val="1"/>
      <w:numFmt w:val="lowerRoman"/>
      <w:lvlText w:val="%9."/>
      <w:lvlJc w:val="right"/>
      <w:pPr>
        <w:ind w:left="8597" w:hanging="180"/>
      </w:pPr>
    </w:lvl>
  </w:abstractNum>
  <w:abstractNum w:abstractNumId="31" w15:restartNumberingAfterBreak="0">
    <w:nsid w:val="4FC3296A"/>
    <w:multiLevelType w:val="hybridMultilevel"/>
    <w:tmpl w:val="364C8ED4"/>
    <w:lvl w:ilvl="0" w:tplc="7C30AB38">
      <w:start w:val="1"/>
      <w:numFmt w:val="decimal"/>
      <w:lvlText w:val="%1."/>
      <w:lvlJc w:val="left"/>
      <w:pPr>
        <w:ind w:left="1607" w:hanging="360"/>
      </w:pPr>
      <w:rPr>
        <w:rFonts w:hint="default"/>
      </w:rPr>
    </w:lvl>
    <w:lvl w:ilvl="1" w:tplc="04240019" w:tentative="1">
      <w:start w:val="1"/>
      <w:numFmt w:val="lowerLetter"/>
      <w:lvlText w:val="%2."/>
      <w:lvlJc w:val="left"/>
      <w:pPr>
        <w:ind w:left="2327" w:hanging="360"/>
      </w:pPr>
    </w:lvl>
    <w:lvl w:ilvl="2" w:tplc="0424001B" w:tentative="1">
      <w:start w:val="1"/>
      <w:numFmt w:val="lowerRoman"/>
      <w:lvlText w:val="%3."/>
      <w:lvlJc w:val="right"/>
      <w:pPr>
        <w:ind w:left="3047" w:hanging="180"/>
      </w:pPr>
    </w:lvl>
    <w:lvl w:ilvl="3" w:tplc="0424000F" w:tentative="1">
      <w:start w:val="1"/>
      <w:numFmt w:val="decimal"/>
      <w:lvlText w:val="%4."/>
      <w:lvlJc w:val="left"/>
      <w:pPr>
        <w:ind w:left="3767" w:hanging="360"/>
      </w:pPr>
    </w:lvl>
    <w:lvl w:ilvl="4" w:tplc="04240019" w:tentative="1">
      <w:start w:val="1"/>
      <w:numFmt w:val="lowerLetter"/>
      <w:lvlText w:val="%5."/>
      <w:lvlJc w:val="left"/>
      <w:pPr>
        <w:ind w:left="4487" w:hanging="360"/>
      </w:pPr>
    </w:lvl>
    <w:lvl w:ilvl="5" w:tplc="0424001B" w:tentative="1">
      <w:start w:val="1"/>
      <w:numFmt w:val="lowerRoman"/>
      <w:lvlText w:val="%6."/>
      <w:lvlJc w:val="right"/>
      <w:pPr>
        <w:ind w:left="5207" w:hanging="180"/>
      </w:pPr>
    </w:lvl>
    <w:lvl w:ilvl="6" w:tplc="0424000F" w:tentative="1">
      <w:start w:val="1"/>
      <w:numFmt w:val="decimal"/>
      <w:lvlText w:val="%7."/>
      <w:lvlJc w:val="left"/>
      <w:pPr>
        <w:ind w:left="5927" w:hanging="360"/>
      </w:pPr>
    </w:lvl>
    <w:lvl w:ilvl="7" w:tplc="04240019" w:tentative="1">
      <w:start w:val="1"/>
      <w:numFmt w:val="lowerLetter"/>
      <w:lvlText w:val="%8."/>
      <w:lvlJc w:val="left"/>
      <w:pPr>
        <w:ind w:left="6647" w:hanging="360"/>
      </w:pPr>
    </w:lvl>
    <w:lvl w:ilvl="8" w:tplc="0424001B" w:tentative="1">
      <w:start w:val="1"/>
      <w:numFmt w:val="lowerRoman"/>
      <w:lvlText w:val="%9."/>
      <w:lvlJc w:val="right"/>
      <w:pPr>
        <w:ind w:left="7367" w:hanging="180"/>
      </w:pPr>
    </w:lvl>
  </w:abstractNum>
  <w:abstractNum w:abstractNumId="32" w15:restartNumberingAfterBreak="0">
    <w:nsid w:val="53162BF5"/>
    <w:multiLevelType w:val="hybridMultilevel"/>
    <w:tmpl w:val="9CD8A454"/>
    <w:lvl w:ilvl="0" w:tplc="AC723BFC">
      <w:start w:val="1"/>
      <w:numFmt w:val="decimal"/>
      <w:lvlText w:val="%1."/>
      <w:lvlJc w:val="left"/>
      <w:pPr>
        <w:ind w:left="2231" w:hanging="360"/>
      </w:pPr>
      <w:rPr>
        <w:rFonts w:hint="default"/>
      </w:rPr>
    </w:lvl>
    <w:lvl w:ilvl="1" w:tplc="04090019">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33" w15:restartNumberingAfterBreak="0">
    <w:nsid w:val="5584631E"/>
    <w:multiLevelType w:val="hybridMultilevel"/>
    <w:tmpl w:val="E1144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D70F4F"/>
    <w:multiLevelType w:val="hybridMultilevel"/>
    <w:tmpl w:val="EA02E258"/>
    <w:lvl w:ilvl="0" w:tplc="B032D9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95946"/>
    <w:multiLevelType w:val="hybridMultilevel"/>
    <w:tmpl w:val="28D4A35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1FA0495"/>
    <w:multiLevelType w:val="hybridMultilevel"/>
    <w:tmpl w:val="6428ECC4"/>
    <w:lvl w:ilvl="0" w:tplc="A7D8A5EA">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6C159B"/>
    <w:multiLevelType w:val="hybridMultilevel"/>
    <w:tmpl w:val="FF9EFB60"/>
    <w:lvl w:ilvl="0" w:tplc="A492E86C">
      <w:start w:val="1"/>
      <w:numFmt w:val="lowerRoman"/>
      <w:lvlText w:val="(%1)"/>
      <w:lvlJc w:val="left"/>
      <w:pPr>
        <w:ind w:left="720" w:hanging="360"/>
      </w:pPr>
      <w:rPr>
        <w:rFonts w:hint="default"/>
      </w:rPr>
    </w:lvl>
    <w:lvl w:ilvl="1" w:tplc="0424000F">
      <w:start w:val="1"/>
      <w:numFmt w:val="decimal"/>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032D95A">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6C08"/>
    <w:multiLevelType w:val="hybridMultilevel"/>
    <w:tmpl w:val="64FEC704"/>
    <w:lvl w:ilvl="0" w:tplc="BD0AC85E">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2810F55"/>
    <w:multiLevelType w:val="hybridMultilevel"/>
    <w:tmpl w:val="A9522C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06456B"/>
    <w:multiLevelType w:val="hybridMultilevel"/>
    <w:tmpl w:val="3BAECE5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A8762BB"/>
    <w:multiLevelType w:val="hybridMultilevel"/>
    <w:tmpl w:val="D9B0C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CB397A"/>
    <w:multiLevelType w:val="hybridMultilevel"/>
    <w:tmpl w:val="AE30D9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F0365E4"/>
    <w:multiLevelType w:val="hybridMultilevel"/>
    <w:tmpl w:val="4314CDCE"/>
    <w:lvl w:ilvl="0" w:tplc="FFFFFFFF">
      <w:start w:val="1"/>
      <w:numFmt w:val="decimal"/>
      <w:lvlText w:val="%1."/>
      <w:lvlJc w:val="left"/>
      <w:pPr>
        <w:tabs>
          <w:tab w:val="num" w:pos="2340"/>
        </w:tabs>
        <w:ind w:left="23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F215D30"/>
    <w:multiLevelType w:val="hybridMultilevel"/>
    <w:tmpl w:val="5A9433E6"/>
    <w:lvl w:ilvl="0" w:tplc="FFFFFFFF">
      <w:start w:val="1"/>
      <w:numFmt w:val="decimal"/>
      <w:lvlText w:val="%1."/>
      <w:lvlJc w:val="left"/>
      <w:pPr>
        <w:tabs>
          <w:tab w:val="num" w:pos="2340"/>
        </w:tabs>
        <w:ind w:left="23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3"/>
  </w:num>
  <w:num w:numId="2">
    <w:abstractNumId w:val="28"/>
  </w:num>
  <w:num w:numId="3">
    <w:abstractNumId w:val="42"/>
  </w:num>
  <w:num w:numId="4">
    <w:abstractNumId w:val="40"/>
  </w:num>
  <w:num w:numId="5">
    <w:abstractNumId w:val="22"/>
  </w:num>
  <w:num w:numId="6">
    <w:abstractNumId w:val="2"/>
  </w:num>
  <w:num w:numId="7">
    <w:abstractNumId w:val="14"/>
  </w:num>
  <w:num w:numId="8">
    <w:abstractNumId w:val="17"/>
  </w:num>
  <w:num w:numId="9">
    <w:abstractNumId w:val="10"/>
  </w:num>
  <w:num w:numId="10">
    <w:abstractNumId w:val="18"/>
  </w:num>
  <w:num w:numId="11">
    <w:abstractNumId w:val="26"/>
  </w:num>
  <w:num w:numId="12">
    <w:abstractNumId w:val="19"/>
  </w:num>
  <w:num w:numId="13">
    <w:abstractNumId w:val="9"/>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6"/>
  </w:num>
  <w:num w:numId="19">
    <w:abstractNumId w:val="6"/>
    <w:lvlOverride w:ilvl="0">
      <w:startOverride w:val="1"/>
      <w:lvl w:ilvl="0">
        <w:start w:val="1"/>
        <w:numFmt w:val="decimal"/>
        <w:lvlText w:val="%1."/>
        <w:lvlJc w:val="left"/>
        <w:pPr>
          <w:tabs>
            <w:tab w:val="num" w:pos="567"/>
          </w:tabs>
          <w:ind w:left="1247"/>
        </w:pPr>
        <w:rPr>
          <w:rFonts w:cs="Times New Roman" w:hint="default"/>
          <w:i w:val="0"/>
          <w:iCs/>
        </w:rPr>
      </w:lvl>
    </w:lvlOverride>
    <w:lvlOverride w:ilvl="1">
      <w:startOverride w:val="1"/>
      <w:lvl w:ilvl="1">
        <w:start w:val="1"/>
        <w:numFmt w:val="lowerLetter"/>
        <w:lvlText w:val="(%2)"/>
        <w:lvlJc w:val="left"/>
        <w:pPr>
          <w:tabs>
            <w:tab w:val="num" w:pos="567"/>
          </w:tabs>
          <w:ind w:left="1247" w:firstLine="567"/>
        </w:pPr>
        <w:rPr>
          <w:rFonts w:cs="Times New Roman" w:hint="default"/>
        </w:rPr>
      </w:lvl>
    </w:lvlOverride>
    <w:lvlOverride w:ilvl="2">
      <w:startOverride w:val="1"/>
      <w:lvl w:ilvl="2">
        <w:start w:val="1"/>
        <w:numFmt w:val="lowerRoman"/>
        <w:lvlText w:val="(%3)"/>
        <w:lvlJc w:val="left"/>
        <w:pPr>
          <w:tabs>
            <w:tab w:val="num" w:pos="567"/>
          </w:tabs>
          <w:ind w:left="2948" w:hanging="567"/>
        </w:pPr>
        <w:rPr>
          <w:rFonts w:cs="Times New Roman" w:hint="default"/>
        </w:rPr>
      </w:lvl>
    </w:lvlOverride>
    <w:lvlOverride w:ilvl="3">
      <w:startOverride w:val="1"/>
      <w:lvl w:ilvl="3">
        <w:start w:val="1"/>
        <w:numFmt w:val="lowerLetter"/>
        <w:lvlText w:val="%4."/>
        <w:lvlJc w:val="left"/>
        <w:pPr>
          <w:tabs>
            <w:tab w:val="num" w:pos="567"/>
          </w:tabs>
          <w:ind w:left="3515" w:hanging="567"/>
        </w:pPr>
        <w:rPr>
          <w:rFonts w:cs="Times New Roman" w:hint="default"/>
        </w:rPr>
      </w:lvl>
    </w:lvlOverride>
    <w:lvlOverride w:ilvl="4">
      <w:startOverride w:val="1"/>
      <w:lvl w:ilvl="4">
        <w:start w:val="1"/>
        <w:numFmt w:val="lowerLetter"/>
        <w:lvlText w:val="%5."/>
        <w:lvlJc w:val="left"/>
        <w:pPr>
          <w:tabs>
            <w:tab w:val="num" w:pos="6548"/>
          </w:tabs>
          <w:ind w:left="6548" w:hanging="360"/>
        </w:pPr>
        <w:rPr>
          <w:rFonts w:cs="Times New Roman" w:hint="default"/>
        </w:rPr>
      </w:lvl>
    </w:lvlOverride>
    <w:lvlOverride w:ilvl="5">
      <w:startOverride w:val="1"/>
      <w:lvl w:ilvl="5">
        <w:start w:val="1"/>
        <w:numFmt w:val="lowerRoman"/>
        <w:lvlText w:val="%6."/>
        <w:lvlJc w:val="right"/>
        <w:pPr>
          <w:tabs>
            <w:tab w:val="num" w:pos="7268"/>
          </w:tabs>
          <w:ind w:left="7268" w:hanging="180"/>
        </w:pPr>
        <w:rPr>
          <w:rFonts w:cs="Times New Roman" w:hint="default"/>
        </w:rPr>
      </w:lvl>
    </w:lvlOverride>
    <w:lvlOverride w:ilvl="6">
      <w:startOverride w:val="1"/>
      <w:lvl w:ilvl="6">
        <w:start w:val="1"/>
        <w:numFmt w:val="decimal"/>
        <w:lvlText w:val="%7."/>
        <w:lvlJc w:val="left"/>
        <w:pPr>
          <w:tabs>
            <w:tab w:val="num" w:pos="7988"/>
          </w:tabs>
          <w:ind w:left="7988" w:hanging="360"/>
        </w:pPr>
        <w:rPr>
          <w:rFonts w:cs="Times New Roman" w:hint="default"/>
        </w:rPr>
      </w:lvl>
    </w:lvlOverride>
    <w:lvlOverride w:ilvl="7">
      <w:startOverride w:val="1"/>
      <w:lvl w:ilvl="7">
        <w:start w:val="1"/>
        <w:numFmt w:val="lowerLetter"/>
        <w:lvlText w:val="%8."/>
        <w:lvlJc w:val="left"/>
        <w:pPr>
          <w:tabs>
            <w:tab w:val="num" w:pos="8708"/>
          </w:tabs>
          <w:ind w:left="8708" w:hanging="360"/>
        </w:pPr>
        <w:rPr>
          <w:rFonts w:cs="Times New Roman" w:hint="default"/>
        </w:rPr>
      </w:lvl>
    </w:lvlOverride>
    <w:lvlOverride w:ilvl="8">
      <w:startOverride w:val="1"/>
      <w:lvl w:ilvl="8">
        <w:start w:val="1"/>
        <w:numFmt w:val="lowerRoman"/>
        <w:lvlText w:val="%9."/>
        <w:lvlJc w:val="right"/>
        <w:pPr>
          <w:tabs>
            <w:tab w:val="num" w:pos="9428"/>
          </w:tabs>
          <w:ind w:left="9428" w:hanging="180"/>
        </w:pPr>
        <w:rPr>
          <w:rFonts w:cs="Times New Roman" w:hint="default"/>
        </w:rPr>
      </w:lvl>
    </w:lvlOverride>
  </w:num>
  <w:num w:numId="20">
    <w:abstractNumId w:val="6"/>
    <w:lvlOverride w:ilvl="0">
      <w:lvl w:ilvl="0">
        <w:start w:val="1"/>
        <w:numFmt w:val="decimal"/>
        <w:lvlText w:val="%1."/>
        <w:lvlJc w:val="left"/>
        <w:pPr>
          <w:tabs>
            <w:tab w:val="num" w:pos="567"/>
          </w:tabs>
          <w:ind w:left="1247"/>
        </w:pPr>
        <w:rPr>
          <w:rFonts w:cs="Times New Roman" w:hint="default"/>
        </w:rPr>
      </w:lvl>
    </w:lvlOverride>
    <w:lvlOverride w:ilvl="1">
      <w:lvl w:ilvl="1">
        <w:start w:val="1"/>
        <w:numFmt w:val="lowerLetter"/>
        <w:lvlText w:val="(%2)"/>
        <w:lvlJc w:val="left"/>
        <w:pPr>
          <w:tabs>
            <w:tab w:val="num" w:pos="567"/>
          </w:tabs>
          <w:ind w:left="1247" w:firstLine="567"/>
        </w:pPr>
        <w:rPr>
          <w:rFonts w:cs="Times New Roman" w:hint="default"/>
        </w:rPr>
      </w:lvl>
    </w:lvlOverride>
    <w:lvlOverride w:ilvl="2">
      <w:lvl w:ilvl="2">
        <w:start w:val="1"/>
        <w:numFmt w:val="lowerRoman"/>
        <w:lvlText w:val="(%3)"/>
        <w:lvlJc w:val="left"/>
        <w:pPr>
          <w:tabs>
            <w:tab w:val="num" w:pos="567"/>
          </w:tabs>
          <w:ind w:left="2948" w:hanging="567"/>
        </w:pPr>
        <w:rPr>
          <w:rFonts w:cs="Times New Roman" w:hint="default"/>
        </w:rPr>
      </w:lvl>
    </w:lvlOverride>
    <w:lvlOverride w:ilvl="3">
      <w:lvl w:ilvl="3">
        <w:start w:val="1"/>
        <w:numFmt w:val="lowerLetter"/>
        <w:lvlText w:val="%4."/>
        <w:lvlJc w:val="left"/>
        <w:pPr>
          <w:tabs>
            <w:tab w:val="num" w:pos="567"/>
          </w:tabs>
          <w:ind w:left="3515" w:hanging="567"/>
        </w:pPr>
        <w:rPr>
          <w:rFonts w:cs="Times New Roman" w:hint="default"/>
        </w:rPr>
      </w:lvl>
    </w:lvlOverride>
    <w:lvlOverride w:ilvl="4">
      <w:lvl w:ilvl="4">
        <w:start w:val="1"/>
        <w:numFmt w:val="lowerLetter"/>
        <w:lvlText w:val="%5."/>
        <w:lvlJc w:val="left"/>
        <w:pPr>
          <w:tabs>
            <w:tab w:val="num" w:pos="6548"/>
          </w:tabs>
          <w:ind w:left="6548" w:hanging="360"/>
        </w:pPr>
        <w:rPr>
          <w:rFonts w:cs="Times New Roman" w:hint="default"/>
        </w:rPr>
      </w:lvl>
    </w:lvlOverride>
    <w:lvlOverride w:ilvl="5">
      <w:lvl w:ilvl="5">
        <w:start w:val="1"/>
        <w:numFmt w:val="lowerRoman"/>
        <w:lvlText w:val="%6."/>
        <w:lvlJc w:val="right"/>
        <w:pPr>
          <w:tabs>
            <w:tab w:val="num" w:pos="7268"/>
          </w:tabs>
          <w:ind w:left="7268" w:hanging="180"/>
        </w:pPr>
        <w:rPr>
          <w:rFonts w:cs="Times New Roman" w:hint="default"/>
        </w:rPr>
      </w:lvl>
    </w:lvlOverride>
    <w:lvlOverride w:ilvl="6">
      <w:lvl w:ilvl="6">
        <w:start w:val="1"/>
        <w:numFmt w:val="decimal"/>
        <w:lvlText w:val="%7."/>
        <w:lvlJc w:val="left"/>
        <w:pPr>
          <w:tabs>
            <w:tab w:val="num" w:pos="7988"/>
          </w:tabs>
          <w:ind w:left="7988" w:hanging="360"/>
        </w:pPr>
        <w:rPr>
          <w:rFonts w:cs="Times New Roman" w:hint="default"/>
        </w:rPr>
      </w:lvl>
    </w:lvlOverride>
    <w:lvlOverride w:ilvl="7">
      <w:lvl w:ilvl="7">
        <w:start w:val="1"/>
        <w:numFmt w:val="lowerLetter"/>
        <w:lvlText w:val="%8."/>
        <w:lvlJc w:val="left"/>
        <w:pPr>
          <w:tabs>
            <w:tab w:val="num" w:pos="8708"/>
          </w:tabs>
          <w:ind w:left="8708" w:hanging="360"/>
        </w:pPr>
        <w:rPr>
          <w:rFonts w:cs="Times New Roman" w:hint="default"/>
        </w:rPr>
      </w:lvl>
    </w:lvlOverride>
    <w:lvlOverride w:ilvl="8">
      <w:lvl w:ilvl="8">
        <w:start w:val="1"/>
        <w:numFmt w:val="lowerRoman"/>
        <w:lvlText w:val="%9."/>
        <w:lvlJc w:val="right"/>
        <w:pPr>
          <w:tabs>
            <w:tab w:val="num" w:pos="9428"/>
          </w:tabs>
          <w:ind w:left="9428" w:hanging="180"/>
        </w:pPr>
        <w:rPr>
          <w:rFonts w:cs="Times New Roman" w:hint="default"/>
        </w:rPr>
      </w:lvl>
    </w:lvlOverride>
  </w:num>
  <w:num w:numId="21">
    <w:abstractNumId w:val="15"/>
  </w:num>
  <w:num w:numId="22">
    <w:abstractNumId w:val="4"/>
  </w:num>
  <w:num w:numId="23">
    <w:abstractNumId w:val="32"/>
  </w:num>
  <w:num w:numId="24">
    <w:abstractNumId w:val="1"/>
  </w:num>
  <w:num w:numId="25">
    <w:abstractNumId w:val="29"/>
  </w:num>
  <w:num w:numId="26">
    <w:abstractNumId w:val="38"/>
  </w:num>
  <w:num w:numId="27">
    <w:abstractNumId w:val="41"/>
  </w:num>
  <w:num w:numId="28">
    <w:abstractNumId w:val="6"/>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7"/>
      <w:lvl w:ilvl="2">
        <w:start w:val="7"/>
        <w:numFmt w:val="lowerRoman"/>
        <w:lvlText w:val="(%3)"/>
        <w:lvlJc w:val="left"/>
        <w:pPr>
          <w:tabs>
            <w:tab w:val="num" w:pos="567"/>
          </w:tabs>
          <w:ind w:left="2948" w:hanging="567"/>
        </w:pPr>
        <w:rPr>
          <w:rFonts w:hint="default"/>
          <w:b w:val="0"/>
          <w:lang w:val="en-GB"/>
        </w:rPr>
      </w:lvl>
    </w:lvlOverride>
  </w:num>
  <w:num w:numId="29">
    <w:abstractNumId w:val="21"/>
  </w:num>
  <w:num w:numId="30">
    <w:abstractNumId w:val="33"/>
  </w:num>
  <w:num w:numId="31">
    <w:abstractNumId w:val="36"/>
  </w:num>
  <w:num w:numId="32">
    <w:abstractNumId w:val="0"/>
  </w:num>
  <w:num w:numId="33">
    <w:abstractNumId w:val="20"/>
  </w:num>
  <w:num w:numId="34">
    <w:abstractNumId w:val="6"/>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5">
    <w:abstractNumId w:val="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7"/>
  </w:num>
  <w:num w:numId="39">
    <w:abstractNumId w:val="34"/>
  </w:num>
  <w:num w:numId="40">
    <w:abstractNumId w:val="8"/>
  </w:num>
  <w:num w:numId="41">
    <w:abstractNumId w:val="24"/>
  </w:num>
  <w:num w:numId="42">
    <w:abstractNumId w:val="39"/>
  </w:num>
  <w:num w:numId="43">
    <w:abstractNumId w:val="16"/>
  </w:num>
  <w:num w:numId="44">
    <w:abstractNumId w:val="35"/>
  </w:num>
  <w:num w:numId="45">
    <w:abstractNumId w:val="11"/>
  </w:num>
  <w:num w:numId="46">
    <w:abstractNumId w:val="31"/>
  </w:num>
  <w:num w:numId="47">
    <w:abstractNumId w:val="25"/>
  </w:num>
  <w:num w:numId="48">
    <w:abstractNumId w:val="3"/>
  </w:num>
  <w:num w:numId="49">
    <w:abstractNumId w:val="5"/>
    <w:lvlOverride w:ilvl="0">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proofState w:grammar="dirty"/>
  <w:attachedTemplate r:id="rId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EF"/>
    <w:rsid w:val="0000343E"/>
    <w:rsid w:val="00007FDA"/>
    <w:rsid w:val="0001318A"/>
    <w:rsid w:val="00015E5C"/>
    <w:rsid w:val="00016931"/>
    <w:rsid w:val="00026D3E"/>
    <w:rsid w:val="000277AC"/>
    <w:rsid w:val="000331AB"/>
    <w:rsid w:val="000369E6"/>
    <w:rsid w:val="00037019"/>
    <w:rsid w:val="000428B1"/>
    <w:rsid w:val="00046E0F"/>
    <w:rsid w:val="00053C42"/>
    <w:rsid w:val="00057782"/>
    <w:rsid w:val="00073170"/>
    <w:rsid w:val="000740CC"/>
    <w:rsid w:val="00090036"/>
    <w:rsid w:val="000B0049"/>
    <w:rsid w:val="000C25E1"/>
    <w:rsid w:val="000C3BCD"/>
    <w:rsid w:val="000C558B"/>
    <w:rsid w:val="000C79E5"/>
    <w:rsid w:val="000D1133"/>
    <w:rsid w:val="000D758E"/>
    <w:rsid w:val="000D7AE3"/>
    <w:rsid w:val="00120F3F"/>
    <w:rsid w:val="00125CD0"/>
    <w:rsid w:val="00137529"/>
    <w:rsid w:val="001377F7"/>
    <w:rsid w:val="00137B22"/>
    <w:rsid w:val="00140EBF"/>
    <w:rsid w:val="001429C0"/>
    <w:rsid w:val="00153A4A"/>
    <w:rsid w:val="001559CB"/>
    <w:rsid w:val="00156BD1"/>
    <w:rsid w:val="00162C3F"/>
    <w:rsid w:val="00165F85"/>
    <w:rsid w:val="00176449"/>
    <w:rsid w:val="00187280"/>
    <w:rsid w:val="00195F4E"/>
    <w:rsid w:val="001A6239"/>
    <w:rsid w:val="001B4595"/>
    <w:rsid w:val="001E7502"/>
    <w:rsid w:val="001F0D95"/>
    <w:rsid w:val="001F33CB"/>
    <w:rsid w:val="002050F9"/>
    <w:rsid w:val="00230B6B"/>
    <w:rsid w:val="00240358"/>
    <w:rsid w:val="00251361"/>
    <w:rsid w:val="00254B91"/>
    <w:rsid w:val="00267A0D"/>
    <w:rsid w:val="00271328"/>
    <w:rsid w:val="00283D05"/>
    <w:rsid w:val="00296400"/>
    <w:rsid w:val="00296CD5"/>
    <w:rsid w:val="00297FBD"/>
    <w:rsid w:val="002B13FD"/>
    <w:rsid w:val="002C46BC"/>
    <w:rsid w:val="002D05B8"/>
    <w:rsid w:val="002F4DB4"/>
    <w:rsid w:val="002F6123"/>
    <w:rsid w:val="00303421"/>
    <w:rsid w:val="00314746"/>
    <w:rsid w:val="00332FAD"/>
    <w:rsid w:val="003354A2"/>
    <w:rsid w:val="00336A43"/>
    <w:rsid w:val="0034647E"/>
    <w:rsid w:val="00351166"/>
    <w:rsid w:val="003548EE"/>
    <w:rsid w:val="00360A18"/>
    <w:rsid w:val="0037352C"/>
    <w:rsid w:val="003743EC"/>
    <w:rsid w:val="00381E14"/>
    <w:rsid w:val="00385577"/>
    <w:rsid w:val="003931C8"/>
    <w:rsid w:val="00393715"/>
    <w:rsid w:val="003A62D8"/>
    <w:rsid w:val="003B659F"/>
    <w:rsid w:val="003C34D1"/>
    <w:rsid w:val="003C4CFE"/>
    <w:rsid w:val="003C5095"/>
    <w:rsid w:val="003D4543"/>
    <w:rsid w:val="00406070"/>
    <w:rsid w:val="00421773"/>
    <w:rsid w:val="0042751E"/>
    <w:rsid w:val="00443B8B"/>
    <w:rsid w:val="004450F7"/>
    <w:rsid w:val="00445D59"/>
    <w:rsid w:val="004507C3"/>
    <w:rsid w:val="00451015"/>
    <w:rsid w:val="00452289"/>
    <w:rsid w:val="004555BE"/>
    <w:rsid w:val="00461E93"/>
    <w:rsid w:val="00467F3E"/>
    <w:rsid w:val="004756AC"/>
    <w:rsid w:val="00496446"/>
    <w:rsid w:val="0049665E"/>
    <w:rsid w:val="004B41FF"/>
    <w:rsid w:val="004B5544"/>
    <w:rsid w:val="004C3305"/>
    <w:rsid w:val="004C5791"/>
    <w:rsid w:val="004C65F4"/>
    <w:rsid w:val="004D60B5"/>
    <w:rsid w:val="004E441F"/>
    <w:rsid w:val="00507163"/>
    <w:rsid w:val="00512FB6"/>
    <w:rsid w:val="00524CF2"/>
    <w:rsid w:val="0053609D"/>
    <w:rsid w:val="005402D2"/>
    <w:rsid w:val="00550FE1"/>
    <w:rsid w:val="00551AF3"/>
    <w:rsid w:val="005558F2"/>
    <w:rsid w:val="00561948"/>
    <w:rsid w:val="00561A9F"/>
    <w:rsid w:val="0057258C"/>
    <w:rsid w:val="00580562"/>
    <w:rsid w:val="00580F32"/>
    <w:rsid w:val="00587E7F"/>
    <w:rsid w:val="005923D4"/>
    <w:rsid w:val="00596CB0"/>
    <w:rsid w:val="005B2FD6"/>
    <w:rsid w:val="005C04A4"/>
    <w:rsid w:val="005D5244"/>
    <w:rsid w:val="005D6E4A"/>
    <w:rsid w:val="005E1282"/>
    <w:rsid w:val="005E7948"/>
    <w:rsid w:val="005F0896"/>
    <w:rsid w:val="005F6050"/>
    <w:rsid w:val="00614FDD"/>
    <w:rsid w:val="00634DD2"/>
    <w:rsid w:val="00636E90"/>
    <w:rsid w:val="006374C2"/>
    <w:rsid w:val="00643D2C"/>
    <w:rsid w:val="0066099C"/>
    <w:rsid w:val="00670468"/>
    <w:rsid w:val="00675AAF"/>
    <w:rsid w:val="00675D20"/>
    <w:rsid w:val="0068478D"/>
    <w:rsid w:val="006A3B80"/>
    <w:rsid w:val="006B0F88"/>
    <w:rsid w:val="006C4401"/>
    <w:rsid w:val="006C45DC"/>
    <w:rsid w:val="006C4609"/>
    <w:rsid w:val="006C5A28"/>
    <w:rsid w:val="006D09A5"/>
    <w:rsid w:val="006D2132"/>
    <w:rsid w:val="006D47BB"/>
    <w:rsid w:val="006D561D"/>
    <w:rsid w:val="006D75C2"/>
    <w:rsid w:val="006E3863"/>
    <w:rsid w:val="006F1501"/>
    <w:rsid w:val="006F28A6"/>
    <w:rsid w:val="00707927"/>
    <w:rsid w:val="00712018"/>
    <w:rsid w:val="00713FE8"/>
    <w:rsid w:val="00733393"/>
    <w:rsid w:val="007470FE"/>
    <w:rsid w:val="007545DA"/>
    <w:rsid w:val="00755F02"/>
    <w:rsid w:val="0075695A"/>
    <w:rsid w:val="00760B23"/>
    <w:rsid w:val="00761607"/>
    <w:rsid w:val="00767E60"/>
    <w:rsid w:val="00770D7F"/>
    <w:rsid w:val="0077121E"/>
    <w:rsid w:val="00775D4A"/>
    <w:rsid w:val="00775E8D"/>
    <w:rsid w:val="00786B38"/>
    <w:rsid w:val="00790B41"/>
    <w:rsid w:val="007A6B80"/>
    <w:rsid w:val="007B0CF0"/>
    <w:rsid w:val="007C33BC"/>
    <w:rsid w:val="007C66B8"/>
    <w:rsid w:val="007D75B3"/>
    <w:rsid w:val="007E1DD2"/>
    <w:rsid w:val="00806FE5"/>
    <w:rsid w:val="008224D7"/>
    <w:rsid w:val="008359C5"/>
    <w:rsid w:val="0085169E"/>
    <w:rsid w:val="00860136"/>
    <w:rsid w:val="0086054C"/>
    <w:rsid w:val="00873066"/>
    <w:rsid w:val="00887E65"/>
    <w:rsid w:val="008924B7"/>
    <w:rsid w:val="008B35EF"/>
    <w:rsid w:val="008E5308"/>
    <w:rsid w:val="008E5CD0"/>
    <w:rsid w:val="008F21BE"/>
    <w:rsid w:val="00902B4E"/>
    <w:rsid w:val="009101D4"/>
    <w:rsid w:val="0091498B"/>
    <w:rsid w:val="00917942"/>
    <w:rsid w:val="009348CB"/>
    <w:rsid w:val="00935B02"/>
    <w:rsid w:val="00950C1B"/>
    <w:rsid w:val="0095377C"/>
    <w:rsid w:val="00960233"/>
    <w:rsid w:val="0096066E"/>
    <w:rsid w:val="00963156"/>
    <w:rsid w:val="009635FF"/>
    <w:rsid w:val="009707AE"/>
    <w:rsid w:val="009777A6"/>
    <w:rsid w:val="00987342"/>
    <w:rsid w:val="00992790"/>
    <w:rsid w:val="009B6E36"/>
    <w:rsid w:val="009C0C76"/>
    <w:rsid w:val="009C1825"/>
    <w:rsid w:val="009C4222"/>
    <w:rsid w:val="009C60F4"/>
    <w:rsid w:val="009C68AD"/>
    <w:rsid w:val="009D4062"/>
    <w:rsid w:val="009E5E1D"/>
    <w:rsid w:val="009F2C7F"/>
    <w:rsid w:val="00A0199F"/>
    <w:rsid w:val="00A01B43"/>
    <w:rsid w:val="00A07120"/>
    <w:rsid w:val="00A2415C"/>
    <w:rsid w:val="00A354A2"/>
    <w:rsid w:val="00A37DD1"/>
    <w:rsid w:val="00A424C8"/>
    <w:rsid w:val="00A4664A"/>
    <w:rsid w:val="00A5069B"/>
    <w:rsid w:val="00A8478C"/>
    <w:rsid w:val="00A86606"/>
    <w:rsid w:val="00A87A9E"/>
    <w:rsid w:val="00AE0309"/>
    <w:rsid w:val="00AE2AE6"/>
    <w:rsid w:val="00AE6F9B"/>
    <w:rsid w:val="00AF1BF5"/>
    <w:rsid w:val="00AF271B"/>
    <w:rsid w:val="00B04907"/>
    <w:rsid w:val="00B055AC"/>
    <w:rsid w:val="00B21603"/>
    <w:rsid w:val="00B31655"/>
    <w:rsid w:val="00B35288"/>
    <w:rsid w:val="00B40C1E"/>
    <w:rsid w:val="00B4445B"/>
    <w:rsid w:val="00B467A9"/>
    <w:rsid w:val="00B51B95"/>
    <w:rsid w:val="00B52334"/>
    <w:rsid w:val="00B56757"/>
    <w:rsid w:val="00B57D83"/>
    <w:rsid w:val="00B66AEE"/>
    <w:rsid w:val="00B70E5A"/>
    <w:rsid w:val="00B73D6F"/>
    <w:rsid w:val="00B805A8"/>
    <w:rsid w:val="00B813E0"/>
    <w:rsid w:val="00B9627A"/>
    <w:rsid w:val="00BB4E3A"/>
    <w:rsid w:val="00BC377A"/>
    <w:rsid w:val="00BE3A18"/>
    <w:rsid w:val="00BF3402"/>
    <w:rsid w:val="00BF3504"/>
    <w:rsid w:val="00C06088"/>
    <w:rsid w:val="00C163D9"/>
    <w:rsid w:val="00C216DE"/>
    <w:rsid w:val="00C477D1"/>
    <w:rsid w:val="00C51305"/>
    <w:rsid w:val="00C56D8D"/>
    <w:rsid w:val="00C57B08"/>
    <w:rsid w:val="00C7254F"/>
    <w:rsid w:val="00C83227"/>
    <w:rsid w:val="00C850B1"/>
    <w:rsid w:val="00C91ED2"/>
    <w:rsid w:val="00CC3287"/>
    <w:rsid w:val="00CC37DA"/>
    <w:rsid w:val="00CE5E2A"/>
    <w:rsid w:val="00CF49C7"/>
    <w:rsid w:val="00D15CAA"/>
    <w:rsid w:val="00D252AB"/>
    <w:rsid w:val="00D3555C"/>
    <w:rsid w:val="00D41FC4"/>
    <w:rsid w:val="00D42D3F"/>
    <w:rsid w:val="00D4697F"/>
    <w:rsid w:val="00D548CF"/>
    <w:rsid w:val="00D572E5"/>
    <w:rsid w:val="00D66975"/>
    <w:rsid w:val="00D66C83"/>
    <w:rsid w:val="00D72C95"/>
    <w:rsid w:val="00D762CD"/>
    <w:rsid w:val="00D800D2"/>
    <w:rsid w:val="00D941C7"/>
    <w:rsid w:val="00D974DD"/>
    <w:rsid w:val="00DA709F"/>
    <w:rsid w:val="00DB15A0"/>
    <w:rsid w:val="00DB4FB6"/>
    <w:rsid w:val="00DC0726"/>
    <w:rsid w:val="00DC6128"/>
    <w:rsid w:val="00DD1192"/>
    <w:rsid w:val="00DE2197"/>
    <w:rsid w:val="00DF0137"/>
    <w:rsid w:val="00E07B5C"/>
    <w:rsid w:val="00E1445E"/>
    <w:rsid w:val="00E1524A"/>
    <w:rsid w:val="00E15C65"/>
    <w:rsid w:val="00E160A1"/>
    <w:rsid w:val="00E27632"/>
    <w:rsid w:val="00E27D68"/>
    <w:rsid w:val="00E3194A"/>
    <w:rsid w:val="00E36CA9"/>
    <w:rsid w:val="00E4122B"/>
    <w:rsid w:val="00E45C73"/>
    <w:rsid w:val="00E50FFB"/>
    <w:rsid w:val="00E5160B"/>
    <w:rsid w:val="00E525F0"/>
    <w:rsid w:val="00E6069D"/>
    <w:rsid w:val="00E82075"/>
    <w:rsid w:val="00E821A8"/>
    <w:rsid w:val="00E84E66"/>
    <w:rsid w:val="00E858E3"/>
    <w:rsid w:val="00E85ABF"/>
    <w:rsid w:val="00E90887"/>
    <w:rsid w:val="00EA5889"/>
    <w:rsid w:val="00EA5F96"/>
    <w:rsid w:val="00EC6B44"/>
    <w:rsid w:val="00ED0EB6"/>
    <w:rsid w:val="00ED50A3"/>
    <w:rsid w:val="00EE1DD4"/>
    <w:rsid w:val="00EE1DFB"/>
    <w:rsid w:val="00EE31B3"/>
    <w:rsid w:val="00EE3AD2"/>
    <w:rsid w:val="00EE5643"/>
    <w:rsid w:val="00EF6546"/>
    <w:rsid w:val="00F13853"/>
    <w:rsid w:val="00F25DA5"/>
    <w:rsid w:val="00F367DC"/>
    <w:rsid w:val="00F36864"/>
    <w:rsid w:val="00F4552C"/>
    <w:rsid w:val="00F5048D"/>
    <w:rsid w:val="00F70C60"/>
    <w:rsid w:val="00F71897"/>
    <w:rsid w:val="00F723A2"/>
    <w:rsid w:val="00F83854"/>
    <w:rsid w:val="00F92348"/>
    <w:rsid w:val="00FA0D14"/>
    <w:rsid w:val="00FB4C0F"/>
    <w:rsid w:val="00FC5424"/>
    <w:rsid w:val="00FD4F09"/>
    <w:rsid w:val="00FE235C"/>
    <w:rsid w:val="00FE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4E08"/>
  <w15:chartTrackingRefBased/>
  <w15:docId w15:val="{6088B7E5-7A30-482E-8A2C-53D4B0B1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8924B7"/>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4">
    <w:name w:val="heading 4"/>
    <w:basedOn w:val="Normal"/>
    <w:next w:val="Normal"/>
    <w:link w:val="Heading4Char"/>
    <w:uiPriority w:val="9"/>
    <w:semiHidden/>
    <w:unhideWhenUsed/>
    <w:qFormat/>
    <w:rsid w:val="006847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52C"/>
    <w:pPr>
      <w:ind w:left="720"/>
      <w:contextualSpacing/>
    </w:pPr>
  </w:style>
  <w:style w:type="paragraph" w:customStyle="1" w:styleId="Default">
    <w:name w:val="Default"/>
    <w:rsid w:val="00580562"/>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BF3402"/>
    <w:rPr>
      <w:sz w:val="22"/>
      <w:szCs w:val="22"/>
      <w:lang w:eastAsia="en-US"/>
    </w:rPr>
  </w:style>
  <w:style w:type="paragraph" w:styleId="FootnoteText">
    <w:name w:val="footnote text"/>
    <w:aliases w:val="Geneva 9,Font: Geneva 9,Boston 10,f,93,single space,Footnote Text Rail EIS,ft,Char,footnote3,Footnotes,Footnote ak,fn cafc,Footnotes Char Char,Footnote Text Char Char,fn Char Char,footnote text,footnote text Char Char Char Ch"/>
    <w:basedOn w:val="Normal"/>
    <w:link w:val="FootnoteTextChar"/>
    <w:unhideWhenUsed/>
    <w:qFormat/>
    <w:rsid w:val="00BF3402"/>
    <w:pPr>
      <w:spacing w:after="0" w:line="240" w:lineRule="auto"/>
    </w:pPr>
    <w:rPr>
      <w:sz w:val="20"/>
      <w:szCs w:val="20"/>
    </w:rPr>
  </w:style>
  <w:style w:type="character" w:customStyle="1" w:styleId="FootnoteTextChar">
    <w:name w:val="Footnote Text Char"/>
    <w:aliases w:val="Geneva 9 Char,Font: Geneva 9 Char,Boston 10 Char,f Char,93 Char,single space Char,Footnote Text Rail EIS Char,ft Char,Char Char,footnote3 Char,Footnotes Char,Footnote ak Char,fn cafc Char,Footnotes Char Char Char,fn Char Char Char"/>
    <w:link w:val="FootnoteText"/>
    <w:rsid w:val="00BF3402"/>
    <w:rPr>
      <w:sz w:val="20"/>
      <w:szCs w:val="20"/>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fr,Footnote"/>
    <w:link w:val="BVIfnrCharCharCharChar"/>
    <w:unhideWhenUsed/>
    <w:qFormat/>
    <w:rsid w:val="00BF3402"/>
    <w:rPr>
      <w:vertAlign w:val="superscript"/>
    </w:rPr>
  </w:style>
  <w:style w:type="paragraph" w:styleId="BalloonText">
    <w:name w:val="Balloon Text"/>
    <w:basedOn w:val="Normal"/>
    <w:link w:val="BalloonTextChar"/>
    <w:uiPriority w:val="99"/>
    <w:semiHidden/>
    <w:unhideWhenUsed/>
    <w:rsid w:val="003A62D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62D8"/>
    <w:rPr>
      <w:rFonts w:ascii="Segoe UI" w:hAnsi="Segoe UI" w:cs="Segoe UI"/>
      <w:sz w:val="18"/>
      <w:szCs w:val="18"/>
    </w:rPr>
  </w:style>
  <w:style w:type="character" w:customStyle="1" w:styleId="NormalpoolChar">
    <w:name w:val="Normal_pool Char"/>
    <w:link w:val="Normalpool"/>
    <w:locked/>
    <w:rsid w:val="000740CC"/>
    <w:rPr>
      <w:rFonts w:ascii="Times New Roman" w:eastAsia="Times New Roman" w:hAnsi="Times New Roman" w:cs="Times New Roman"/>
      <w:sz w:val="20"/>
      <w:szCs w:val="20"/>
      <w:lang w:val="fr-FR"/>
    </w:rPr>
  </w:style>
  <w:style w:type="paragraph" w:customStyle="1" w:styleId="Normalpool">
    <w:name w:val="Normal_pool"/>
    <w:link w:val="NormalpoolChar"/>
    <w:rsid w:val="000740CC"/>
    <w:pPr>
      <w:tabs>
        <w:tab w:val="left" w:pos="1247"/>
        <w:tab w:val="left" w:pos="1814"/>
        <w:tab w:val="left" w:pos="2381"/>
        <w:tab w:val="left" w:pos="2948"/>
        <w:tab w:val="left" w:pos="3515"/>
        <w:tab w:val="left" w:pos="4082"/>
      </w:tabs>
    </w:pPr>
    <w:rPr>
      <w:rFonts w:ascii="Times New Roman" w:eastAsia="Times New Roman" w:hAnsi="Times New Roman"/>
      <w:lang w:val="fr-FR" w:eastAsia="en-US"/>
    </w:rPr>
  </w:style>
  <w:style w:type="character" w:customStyle="1" w:styleId="NormalNonumberChar">
    <w:name w:val="Normal_No_number Char"/>
    <w:link w:val="NormalNonumber"/>
    <w:locked/>
    <w:rsid w:val="002C46BC"/>
    <w:rPr>
      <w:rFonts w:ascii="Times New Roman" w:eastAsia="Times New Roman" w:hAnsi="Times New Roman" w:cs="Times New Roman"/>
      <w:sz w:val="20"/>
      <w:szCs w:val="20"/>
      <w:lang w:val="en-GB"/>
    </w:rPr>
  </w:style>
  <w:style w:type="paragraph" w:customStyle="1" w:styleId="NormalNonumber">
    <w:name w:val="Normal_No_number"/>
    <w:basedOn w:val="Normal"/>
    <w:link w:val="NormalNonumberChar"/>
    <w:qFormat/>
    <w:rsid w:val="002C46BC"/>
    <w:pPr>
      <w:tabs>
        <w:tab w:val="left" w:pos="1247"/>
        <w:tab w:val="left" w:pos="1814"/>
        <w:tab w:val="left" w:pos="2381"/>
        <w:tab w:val="left" w:pos="2948"/>
        <w:tab w:val="left" w:pos="3515"/>
        <w:tab w:val="left" w:pos="4082"/>
      </w:tabs>
      <w:spacing w:after="120" w:line="240" w:lineRule="auto"/>
      <w:ind w:left="1247"/>
    </w:pPr>
    <w:rPr>
      <w:rFonts w:ascii="Times New Roman" w:eastAsia="Times New Roman" w:hAnsi="Times New Roman"/>
      <w:sz w:val="20"/>
      <w:szCs w:val="20"/>
      <w:lang w:val="en-GB"/>
    </w:rPr>
  </w:style>
  <w:style w:type="character" w:styleId="CommentReference">
    <w:name w:val="annotation reference"/>
    <w:uiPriority w:val="99"/>
    <w:semiHidden/>
    <w:unhideWhenUsed/>
    <w:rsid w:val="00A0199F"/>
    <w:rPr>
      <w:sz w:val="16"/>
      <w:szCs w:val="16"/>
    </w:rPr>
  </w:style>
  <w:style w:type="paragraph" w:styleId="CommentText">
    <w:name w:val="annotation text"/>
    <w:basedOn w:val="Normal"/>
    <w:link w:val="CommentTextChar"/>
    <w:uiPriority w:val="99"/>
    <w:semiHidden/>
    <w:unhideWhenUsed/>
    <w:rsid w:val="00A0199F"/>
    <w:pPr>
      <w:spacing w:line="240" w:lineRule="auto"/>
    </w:pPr>
    <w:rPr>
      <w:sz w:val="20"/>
      <w:szCs w:val="20"/>
    </w:rPr>
  </w:style>
  <w:style w:type="character" w:customStyle="1" w:styleId="CommentTextChar">
    <w:name w:val="Comment Text Char"/>
    <w:link w:val="CommentText"/>
    <w:uiPriority w:val="99"/>
    <w:semiHidden/>
    <w:rsid w:val="00A0199F"/>
    <w:rPr>
      <w:sz w:val="20"/>
      <w:szCs w:val="20"/>
    </w:rPr>
  </w:style>
  <w:style w:type="paragraph" w:styleId="CommentSubject">
    <w:name w:val="annotation subject"/>
    <w:basedOn w:val="CommentText"/>
    <w:next w:val="CommentText"/>
    <w:link w:val="CommentSubjectChar"/>
    <w:uiPriority w:val="99"/>
    <w:semiHidden/>
    <w:unhideWhenUsed/>
    <w:rsid w:val="00A0199F"/>
    <w:rPr>
      <w:b/>
      <w:bCs/>
    </w:rPr>
  </w:style>
  <w:style w:type="character" w:customStyle="1" w:styleId="CommentSubjectChar">
    <w:name w:val="Comment Subject Char"/>
    <w:link w:val="CommentSubject"/>
    <w:uiPriority w:val="99"/>
    <w:semiHidden/>
    <w:rsid w:val="00A0199F"/>
    <w:rPr>
      <w:b/>
      <w:bCs/>
      <w:sz w:val="20"/>
      <w:szCs w:val="20"/>
    </w:rPr>
  </w:style>
  <w:style w:type="character" w:customStyle="1" w:styleId="binomial">
    <w:name w:val="binomial"/>
    <w:basedOn w:val="DefaultParagraphFont"/>
    <w:rsid w:val="0034647E"/>
  </w:style>
  <w:style w:type="character" w:customStyle="1" w:styleId="Heading1Char">
    <w:name w:val="Heading 1 Char"/>
    <w:link w:val="Heading1"/>
    <w:uiPriority w:val="9"/>
    <w:rsid w:val="008924B7"/>
    <w:rPr>
      <w:rFonts w:ascii="Times New Roman" w:eastAsia="Times New Roman" w:hAnsi="Times New Roman"/>
      <w:b/>
      <w:bCs/>
      <w:kern w:val="36"/>
      <w:sz w:val="48"/>
      <w:szCs w:val="48"/>
    </w:rPr>
  </w:style>
  <w:style w:type="paragraph" w:customStyle="1" w:styleId="Paralevel1">
    <w:name w:val="Para level1"/>
    <w:basedOn w:val="Normal"/>
    <w:link w:val="Paralevel1Char"/>
    <w:rsid w:val="00580F32"/>
    <w:pPr>
      <w:numPr>
        <w:numId w:val="13"/>
      </w:numPr>
      <w:suppressAutoHyphens/>
      <w:spacing w:after="120" w:line="240" w:lineRule="auto"/>
    </w:pPr>
    <w:rPr>
      <w:rFonts w:ascii="Times New Roman" w:eastAsia="Times New Roman" w:hAnsi="Times New Roman"/>
      <w:sz w:val="20"/>
      <w:szCs w:val="20"/>
      <w:lang w:val="en-US"/>
    </w:rPr>
  </w:style>
  <w:style w:type="character" w:customStyle="1" w:styleId="Paralevel1Char">
    <w:name w:val="Para level1 Char"/>
    <w:link w:val="Paralevel1"/>
    <w:rsid w:val="0042751E"/>
    <w:rPr>
      <w:rFonts w:ascii="Times New Roman" w:eastAsia="Times New Roman" w:hAnsi="Times New Roman"/>
      <w:lang w:val="en-US" w:eastAsia="en-US"/>
    </w:rPr>
  </w:style>
  <w:style w:type="character" w:customStyle="1" w:styleId="NormalnumberChar">
    <w:name w:val="Normal_number Char"/>
    <w:link w:val="Normalnumber"/>
    <w:locked/>
    <w:rsid w:val="0042751E"/>
    <w:rPr>
      <w:lang w:val="fr-FR" w:eastAsia="x-none"/>
    </w:rPr>
  </w:style>
  <w:style w:type="paragraph" w:customStyle="1" w:styleId="Normalnumber">
    <w:name w:val="Normal_number"/>
    <w:basedOn w:val="Normal"/>
    <w:link w:val="NormalnumberChar"/>
    <w:rsid w:val="0042751E"/>
    <w:pPr>
      <w:numPr>
        <w:numId w:val="1"/>
      </w:numPr>
      <w:tabs>
        <w:tab w:val="left" w:pos="1247"/>
        <w:tab w:val="left" w:pos="1814"/>
        <w:tab w:val="left" w:pos="2381"/>
        <w:tab w:val="left" w:pos="2948"/>
        <w:tab w:val="left" w:pos="3515"/>
        <w:tab w:val="left" w:pos="4082"/>
      </w:tabs>
      <w:spacing w:after="120" w:line="240" w:lineRule="auto"/>
    </w:pPr>
    <w:rPr>
      <w:sz w:val="20"/>
      <w:szCs w:val="20"/>
      <w:lang w:val="fr-FR" w:eastAsia="x-none"/>
    </w:rPr>
  </w:style>
  <w:style w:type="numbering" w:customStyle="1" w:styleId="Normallist4">
    <w:name w:val="Normal_list4"/>
    <w:rsid w:val="0042751E"/>
    <w:pPr>
      <w:numPr>
        <w:numId w:val="18"/>
      </w:numPr>
    </w:pPr>
  </w:style>
  <w:style w:type="paragraph" w:customStyle="1" w:styleId="Normal-pool">
    <w:name w:val="Normal-pool"/>
    <w:link w:val="Normal-poolChar"/>
    <w:qFormat/>
    <w:rsid w:val="0042751E"/>
    <w:pPr>
      <w:tabs>
        <w:tab w:val="left" w:pos="1247"/>
        <w:tab w:val="left" w:pos="1814"/>
        <w:tab w:val="left" w:pos="2381"/>
        <w:tab w:val="left" w:pos="2948"/>
        <w:tab w:val="left" w:pos="3515"/>
        <w:tab w:val="left" w:pos="4082"/>
      </w:tabs>
    </w:pPr>
    <w:rPr>
      <w:rFonts w:ascii="Times New Roman" w:eastAsia="Times New Roman" w:hAnsi="Times New Roman"/>
      <w:lang w:eastAsia="en-US"/>
    </w:rPr>
  </w:style>
  <w:style w:type="character" w:customStyle="1" w:styleId="Normal-poolChar">
    <w:name w:val="Normal-pool Char"/>
    <w:link w:val="Normal-pool"/>
    <w:locked/>
    <w:rsid w:val="0042751E"/>
    <w:rPr>
      <w:rFonts w:ascii="Times New Roman" w:eastAsia="Times New Roman" w:hAnsi="Times New Roman"/>
      <w:lang w:eastAsia="en-US"/>
    </w:rPr>
  </w:style>
  <w:style w:type="paragraph" w:customStyle="1" w:styleId="CH3">
    <w:name w:val="CH3"/>
    <w:basedOn w:val="Normalpool"/>
    <w:next w:val="Normalnumber"/>
    <w:link w:val="CH3Char"/>
    <w:rsid w:val="00120F3F"/>
    <w:pPr>
      <w:keepNext/>
      <w:keepLines/>
      <w:tabs>
        <w:tab w:val="right" w:pos="851"/>
      </w:tabs>
      <w:suppressAutoHyphens/>
      <w:spacing w:after="120"/>
      <w:ind w:left="1247" w:right="284" w:hanging="1247"/>
    </w:pPr>
    <w:rPr>
      <w:b/>
      <w:lang w:val="en-GB"/>
    </w:rPr>
  </w:style>
  <w:style w:type="character" w:customStyle="1" w:styleId="CH3Char">
    <w:name w:val="CH3 Char"/>
    <w:link w:val="CH3"/>
    <w:rsid w:val="00120F3F"/>
    <w:rPr>
      <w:rFonts w:ascii="Times New Roman" w:eastAsia="Times New Roman" w:hAnsi="Times New Roman"/>
      <w:b/>
      <w:lang w:val="en-GB" w:eastAsia="en-US"/>
    </w:rPr>
  </w:style>
  <w:style w:type="paragraph" w:customStyle="1" w:styleId="CH1">
    <w:name w:val="CH1"/>
    <w:basedOn w:val="Normal"/>
    <w:next w:val="Normal"/>
    <w:qFormat/>
    <w:rsid w:val="00120F3F"/>
    <w:pPr>
      <w:keepNext/>
      <w:keepLines/>
      <w:tabs>
        <w:tab w:val="right" w:pos="851"/>
        <w:tab w:val="left" w:pos="1247"/>
        <w:tab w:val="left" w:pos="1814"/>
        <w:tab w:val="left" w:pos="2381"/>
        <w:tab w:val="left" w:pos="2948"/>
        <w:tab w:val="left" w:pos="3515"/>
        <w:tab w:val="left" w:pos="4082"/>
      </w:tabs>
      <w:suppressAutoHyphens/>
      <w:spacing w:before="240" w:after="120" w:line="240" w:lineRule="auto"/>
      <w:ind w:left="1247" w:right="284" w:hanging="1247"/>
    </w:pPr>
    <w:rPr>
      <w:rFonts w:ascii="Times New Roman" w:eastAsia="Times New Roman" w:hAnsi="Times New Roman"/>
      <w:b/>
      <w:sz w:val="28"/>
      <w:szCs w:val="28"/>
      <w:lang w:val="en-GB"/>
    </w:rPr>
  </w:style>
  <w:style w:type="paragraph" w:customStyle="1" w:styleId="BVIfnrCharCharCharChar">
    <w:name w:val="BVI fnr Char Char Char Char"/>
    <w:aliases w:val="BVI fnr Car Car Char Char Char Char,BVI fnr Car Char Char Char Char,BVI fnr Car Car Car Car Char Char Char Char,BVI fnr Car Car Car Car Char Char Char1 Char Char, BVI fnr Car Car Char Char Char Char"/>
    <w:basedOn w:val="Normal"/>
    <w:link w:val="FootnoteReference"/>
    <w:rsid w:val="00120F3F"/>
    <w:pPr>
      <w:spacing w:before="120" w:line="240" w:lineRule="exact"/>
    </w:pPr>
    <w:rPr>
      <w:sz w:val="20"/>
      <w:szCs w:val="20"/>
      <w:vertAlign w:val="superscript"/>
      <w:lang w:eastAsia="sl-SI"/>
    </w:rPr>
  </w:style>
  <w:style w:type="paragraph" w:customStyle="1" w:styleId="CH2">
    <w:name w:val="CH2"/>
    <w:basedOn w:val="Normalpool"/>
    <w:next w:val="Normal"/>
    <w:link w:val="CH2Char"/>
    <w:rsid w:val="00120F3F"/>
    <w:pPr>
      <w:keepNext/>
      <w:keepLines/>
      <w:tabs>
        <w:tab w:val="right" w:pos="851"/>
      </w:tabs>
      <w:suppressAutoHyphens/>
      <w:spacing w:before="240" w:after="120"/>
      <w:ind w:left="1247" w:right="284" w:hanging="1247"/>
    </w:pPr>
    <w:rPr>
      <w:b/>
      <w:sz w:val="24"/>
      <w:szCs w:val="24"/>
      <w:lang w:val="en-GB"/>
    </w:rPr>
  </w:style>
  <w:style w:type="character" w:customStyle="1" w:styleId="CH2Char">
    <w:name w:val="CH2 Char"/>
    <w:link w:val="CH2"/>
    <w:rsid w:val="00120F3F"/>
    <w:rPr>
      <w:rFonts w:ascii="Times New Roman" w:eastAsia="Times New Roman" w:hAnsi="Times New Roman"/>
      <w:b/>
      <w:sz w:val="24"/>
      <w:szCs w:val="24"/>
      <w:lang w:val="en-GB" w:eastAsia="en-US"/>
    </w:rPr>
  </w:style>
  <w:style w:type="paragraph" w:customStyle="1" w:styleId="Titletable">
    <w:name w:val="Title_table"/>
    <w:basedOn w:val="Normal"/>
    <w:rsid w:val="00120F3F"/>
    <w:pPr>
      <w:keepNext/>
      <w:keepLines/>
      <w:tabs>
        <w:tab w:val="left" w:pos="624"/>
      </w:tabs>
      <w:suppressAutoHyphens/>
      <w:spacing w:after="60" w:line="240" w:lineRule="auto"/>
      <w:ind w:left="1247"/>
    </w:pPr>
    <w:rPr>
      <w:rFonts w:ascii="Times New Roman" w:eastAsia="Times New Roman" w:hAnsi="Times New Roman"/>
      <w:b/>
      <w:bCs/>
      <w:sz w:val="20"/>
      <w:szCs w:val="20"/>
      <w:lang w:val="en-GB"/>
    </w:rPr>
  </w:style>
  <w:style w:type="paragraph" w:customStyle="1" w:styleId="Footnote-Text">
    <w:name w:val="Footnote-Text"/>
    <w:basedOn w:val="Normal-pool"/>
    <w:rsid w:val="00120F3F"/>
    <w:pPr>
      <w:tabs>
        <w:tab w:val="left" w:pos="624"/>
      </w:tabs>
      <w:spacing w:before="20" w:after="40"/>
      <w:ind w:left="1247"/>
    </w:pPr>
    <w:rPr>
      <w:sz w:val="18"/>
      <w:lang w:val="en-GB"/>
    </w:rPr>
  </w:style>
  <w:style w:type="character" w:customStyle="1" w:styleId="Heading4Char">
    <w:name w:val="Heading 4 Char"/>
    <w:basedOn w:val="DefaultParagraphFont"/>
    <w:link w:val="Heading4"/>
    <w:uiPriority w:val="9"/>
    <w:semiHidden/>
    <w:rsid w:val="0068478D"/>
    <w:rPr>
      <w:rFonts w:asciiTheme="majorHAnsi" w:eastAsiaTheme="majorEastAsia" w:hAnsiTheme="majorHAnsi" w:cstheme="majorBidi"/>
      <w:i/>
      <w:iCs/>
      <w:color w:val="2F5496" w:themeColor="accent1" w:themeShade="BF"/>
      <w:sz w:val="22"/>
      <w:szCs w:val="22"/>
      <w:lang w:eastAsia="en-US"/>
    </w:rPr>
  </w:style>
  <w:style w:type="paragraph" w:styleId="PlainText">
    <w:name w:val="Plain Text"/>
    <w:basedOn w:val="Normal"/>
    <w:link w:val="PlainTextChar"/>
    <w:uiPriority w:val="99"/>
    <w:semiHidden/>
    <w:unhideWhenUsed/>
    <w:rsid w:val="00BE3A18"/>
    <w:pPr>
      <w:spacing w:after="0" w:line="240" w:lineRule="auto"/>
    </w:pPr>
    <w:rPr>
      <w:rFonts w:ascii="Courier New" w:eastAsia="Times New Roman" w:hAnsi="Courier New"/>
      <w:sz w:val="20"/>
      <w:szCs w:val="20"/>
      <w:lang w:val="x-none"/>
    </w:rPr>
  </w:style>
  <w:style w:type="character" w:customStyle="1" w:styleId="PlainTextChar">
    <w:name w:val="Plain Text Char"/>
    <w:basedOn w:val="DefaultParagraphFont"/>
    <w:link w:val="PlainText"/>
    <w:uiPriority w:val="99"/>
    <w:semiHidden/>
    <w:rsid w:val="00BE3A18"/>
    <w:rPr>
      <w:rFonts w:ascii="Courier New" w:eastAsia="Times New Roman" w:hAnsi="Courier New"/>
      <w:lang w:val="x-none" w:eastAsia="en-US"/>
    </w:rPr>
  </w:style>
  <w:style w:type="paragraph" w:styleId="BodyText">
    <w:name w:val="Body Text"/>
    <w:basedOn w:val="Normal"/>
    <w:link w:val="BodyTextChar"/>
    <w:rsid w:val="00B35288"/>
    <w:pPr>
      <w:spacing w:after="120" w:line="260" w:lineRule="atLeast"/>
    </w:pPr>
    <w:rPr>
      <w:rFonts w:ascii="Arial" w:eastAsia="Times New Roman" w:hAnsi="Arial" w:cs="Arial"/>
      <w:sz w:val="20"/>
      <w:szCs w:val="24"/>
    </w:rPr>
  </w:style>
  <w:style w:type="character" w:customStyle="1" w:styleId="BodyTextChar">
    <w:name w:val="Body Text Char"/>
    <w:basedOn w:val="DefaultParagraphFont"/>
    <w:link w:val="BodyText"/>
    <w:rsid w:val="00B35288"/>
    <w:rPr>
      <w:rFonts w:ascii="Arial" w:eastAsia="Times New Roman" w:hAnsi="Arial" w:cs="Arial"/>
      <w:szCs w:val="24"/>
      <w:lang w:eastAsia="en-US"/>
    </w:rPr>
  </w:style>
  <w:style w:type="paragraph" w:styleId="BodyText3">
    <w:name w:val="Body Text 3"/>
    <w:basedOn w:val="Normal"/>
    <w:link w:val="BodyText3Char"/>
    <w:rsid w:val="00B3528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35288"/>
    <w:rPr>
      <w:rFonts w:ascii="Times New Roman" w:eastAsia="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595">
      <w:bodyDiv w:val="1"/>
      <w:marLeft w:val="0"/>
      <w:marRight w:val="0"/>
      <w:marTop w:val="0"/>
      <w:marBottom w:val="0"/>
      <w:divBdr>
        <w:top w:val="none" w:sz="0" w:space="0" w:color="auto"/>
        <w:left w:val="none" w:sz="0" w:space="0" w:color="auto"/>
        <w:bottom w:val="none" w:sz="0" w:space="0" w:color="auto"/>
        <w:right w:val="none" w:sz="0" w:space="0" w:color="auto"/>
      </w:divBdr>
    </w:div>
    <w:div w:id="272592938">
      <w:bodyDiv w:val="1"/>
      <w:marLeft w:val="0"/>
      <w:marRight w:val="0"/>
      <w:marTop w:val="0"/>
      <w:marBottom w:val="0"/>
      <w:divBdr>
        <w:top w:val="none" w:sz="0" w:space="0" w:color="auto"/>
        <w:left w:val="none" w:sz="0" w:space="0" w:color="auto"/>
        <w:bottom w:val="none" w:sz="0" w:space="0" w:color="auto"/>
        <w:right w:val="none" w:sz="0" w:space="0" w:color="auto"/>
      </w:divBdr>
    </w:div>
    <w:div w:id="349989123">
      <w:bodyDiv w:val="1"/>
      <w:marLeft w:val="0"/>
      <w:marRight w:val="0"/>
      <w:marTop w:val="0"/>
      <w:marBottom w:val="0"/>
      <w:divBdr>
        <w:top w:val="none" w:sz="0" w:space="0" w:color="auto"/>
        <w:left w:val="none" w:sz="0" w:space="0" w:color="auto"/>
        <w:bottom w:val="none" w:sz="0" w:space="0" w:color="auto"/>
        <w:right w:val="none" w:sz="0" w:space="0" w:color="auto"/>
      </w:divBdr>
    </w:div>
    <w:div w:id="469325185">
      <w:bodyDiv w:val="1"/>
      <w:marLeft w:val="0"/>
      <w:marRight w:val="0"/>
      <w:marTop w:val="0"/>
      <w:marBottom w:val="0"/>
      <w:divBdr>
        <w:top w:val="none" w:sz="0" w:space="0" w:color="auto"/>
        <w:left w:val="none" w:sz="0" w:space="0" w:color="auto"/>
        <w:bottom w:val="none" w:sz="0" w:space="0" w:color="auto"/>
        <w:right w:val="none" w:sz="0" w:space="0" w:color="auto"/>
      </w:divBdr>
    </w:div>
    <w:div w:id="551766869">
      <w:bodyDiv w:val="1"/>
      <w:marLeft w:val="0"/>
      <w:marRight w:val="0"/>
      <w:marTop w:val="0"/>
      <w:marBottom w:val="0"/>
      <w:divBdr>
        <w:top w:val="none" w:sz="0" w:space="0" w:color="auto"/>
        <w:left w:val="none" w:sz="0" w:space="0" w:color="auto"/>
        <w:bottom w:val="none" w:sz="0" w:space="0" w:color="auto"/>
        <w:right w:val="none" w:sz="0" w:space="0" w:color="auto"/>
      </w:divBdr>
    </w:div>
    <w:div w:id="581529708">
      <w:bodyDiv w:val="1"/>
      <w:marLeft w:val="0"/>
      <w:marRight w:val="0"/>
      <w:marTop w:val="0"/>
      <w:marBottom w:val="0"/>
      <w:divBdr>
        <w:top w:val="none" w:sz="0" w:space="0" w:color="auto"/>
        <w:left w:val="none" w:sz="0" w:space="0" w:color="auto"/>
        <w:bottom w:val="none" w:sz="0" w:space="0" w:color="auto"/>
        <w:right w:val="none" w:sz="0" w:space="0" w:color="auto"/>
      </w:divBdr>
    </w:div>
    <w:div w:id="600726471">
      <w:bodyDiv w:val="1"/>
      <w:marLeft w:val="0"/>
      <w:marRight w:val="0"/>
      <w:marTop w:val="0"/>
      <w:marBottom w:val="0"/>
      <w:divBdr>
        <w:top w:val="none" w:sz="0" w:space="0" w:color="auto"/>
        <w:left w:val="none" w:sz="0" w:space="0" w:color="auto"/>
        <w:bottom w:val="none" w:sz="0" w:space="0" w:color="auto"/>
        <w:right w:val="none" w:sz="0" w:space="0" w:color="auto"/>
      </w:divBdr>
    </w:div>
    <w:div w:id="601038384">
      <w:bodyDiv w:val="1"/>
      <w:marLeft w:val="0"/>
      <w:marRight w:val="0"/>
      <w:marTop w:val="0"/>
      <w:marBottom w:val="0"/>
      <w:divBdr>
        <w:top w:val="none" w:sz="0" w:space="0" w:color="auto"/>
        <w:left w:val="none" w:sz="0" w:space="0" w:color="auto"/>
        <w:bottom w:val="none" w:sz="0" w:space="0" w:color="auto"/>
        <w:right w:val="none" w:sz="0" w:space="0" w:color="auto"/>
      </w:divBdr>
    </w:div>
    <w:div w:id="713316126">
      <w:bodyDiv w:val="1"/>
      <w:marLeft w:val="0"/>
      <w:marRight w:val="0"/>
      <w:marTop w:val="0"/>
      <w:marBottom w:val="0"/>
      <w:divBdr>
        <w:top w:val="none" w:sz="0" w:space="0" w:color="auto"/>
        <w:left w:val="none" w:sz="0" w:space="0" w:color="auto"/>
        <w:bottom w:val="none" w:sz="0" w:space="0" w:color="auto"/>
        <w:right w:val="none" w:sz="0" w:space="0" w:color="auto"/>
      </w:divBdr>
    </w:div>
    <w:div w:id="845021272">
      <w:bodyDiv w:val="1"/>
      <w:marLeft w:val="0"/>
      <w:marRight w:val="0"/>
      <w:marTop w:val="0"/>
      <w:marBottom w:val="0"/>
      <w:divBdr>
        <w:top w:val="none" w:sz="0" w:space="0" w:color="auto"/>
        <w:left w:val="none" w:sz="0" w:space="0" w:color="auto"/>
        <w:bottom w:val="none" w:sz="0" w:space="0" w:color="auto"/>
        <w:right w:val="none" w:sz="0" w:space="0" w:color="auto"/>
      </w:divBdr>
    </w:div>
    <w:div w:id="872156389">
      <w:bodyDiv w:val="1"/>
      <w:marLeft w:val="0"/>
      <w:marRight w:val="0"/>
      <w:marTop w:val="0"/>
      <w:marBottom w:val="0"/>
      <w:divBdr>
        <w:top w:val="none" w:sz="0" w:space="0" w:color="auto"/>
        <w:left w:val="none" w:sz="0" w:space="0" w:color="auto"/>
        <w:bottom w:val="none" w:sz="0" w:space="0" w:color="auto"/>
        <w:right w:val="none" w:sz="0" w:space="0" w:color="auto"/>
      </w:divBdr>
    </w:div>
    <w:div w:id="981274621">
      <w:bodyDiv w:val="1"/>
      <w:marLeft w:val="0"/>
      <w:marRight w:val="0"/>
      <w:marTop w:val="0"/>
      <w:marBottom w:val="0"/>
      <w:divBdr>
        <w:top w:val="none" w:sz="0" w:space="0" w:color="auto"/>
        <w:left w:val="none" w:sz="0" w:space="0" w:color="auto"/>
        <w:bottom w:val="none" w:sz="0" w:space="0" w:color="auto"/>
        <w:right w:val="none" w:sz="0" w:space="0" w:color="auto"/>
      </w:divBdr>
    </w:div>
    <w:div w:id="1046560528">
      <w:bodyDiv w:val="1"/>
      <w:marLeft w:val="0"/>
      <w:marRight w:val="0"/>
      <w:marTop w:val="0"/>
      <w:marBottom w:val="0"/>
      <w:divBdr>
        <w:top w:val="none" w:sz="0" w:space="0" w:color="auto"/>
        <w:left w:val="none" w:sz="0" w:space="0" w:color="auto"/>
        <w:bottom w:val="none" w:sz="0" w:space="0" w:color="auto"/>
        <w:right w:val="none" w:sz="0" w:space="0" w:color="auto"/>
      </w:divBdr>
    </w:div>
    <w:div w:id="1150756011">
      <w:bodyDiv w:val="1"/>
      <w:marLeft w:val="0"/>
      <w:marRight w:val="0"/>
      <w:marTop w:val="0"/>
      <w:marBottom w:val="0"/>
      <w:divBdr>
        <w:top w:val="none" w:sz="0" w:space="0" w:color="auto"/>
        <w:left w:val="none" w:sz="0" w:space="0" w:color="auto"/>
        <w:bottom w:val="none" w:sz="0" w:space="0" w:color="auto"/>
        <w:right w:val="none" w:sz="0" w:space="0" w:color="auto"/>
      </w:divBdr>
    </w:div>
    <w:div w:id="1217744317">
      <w:bodyDiv w:val="1"/>
      <w:marLeft w:val="0"/>
      <w:marRight w:val="0"/>
      <w:marTop w:val="0"/>
      <w:marBottom w:val="0"/>
      <w:divBdr>
        <w:top w:val="none" w:sz="0" w:space="0" w:color="auto"/>
        <w:left w:val="none" w:sz="0" w:space="0" w:color="auto"/>
        <w:bottom w:val="none" w:sz="0" w:space="0" w:color="auto"/>
        <w:right w:val="none" w:sz="0" w:space="0" w:color="auto"/>
      </w:divBdr>
    </w:div>
    <w:div w:id="1280868243">
      <w:bodyDiv w:val="1"/>
      <w:marLeft w:val="0"/>
      <w:marRight w:val="0"/>
      <w:marTop w:val="0"/>
      <w:marBottom w:val="0"/>
      <w:divBdr>
        <w:top w:val="none" w:sz="0" w:space="0" w:color="auto"/>
        <w:left w:val="none" w:sz="0" w:space="0" w:color="auto"/>
        <w:bottom w:val="none" w:sz="0" w:space="0" w:color="auto"/>
        <w:right w:val="none" w:sz="0" w:space="0" w:color="auto"/>
      </w:divBdr>
    </w:div>
    <w:div w:id="1292706621">
      <w:bodyDiv w:val="1"/>
      <w:marLeft w:val="0"/>
      <w:marRight w:val="0"/>
      <w:marTop w:val="0"/>
      <w:marBottom w:val="0"/>
      <w:divBdr>
        <w:top w:val="none" w:sz="0" w:space="0" w:color="auto"/>
        <w:left w:val="none" w:sz="0" w:space="0" w:color="auto"/>
        <w:bottom w:val="none" w:sz="0" w:space="0" w:color="auto"/>
        <w:right w:val="none" w:sz="0" w:space="0" w:color="auto"/>
      </w:divBdr>
    </w:div>
    <w:div w:id="1307734961">
      <w:bodyDiv w:val="1"/>
      <w:marLeft w:val="0"/>
      <w:marRight w:val="0"/>
      <w:marTop w:val="0"/>
      <w:marBottom w:val="0"/>
      <w:divBdr>
        <w:top w:val="none" w:sz="0" w:space="0" w:color="auto"/>
        <w:left w:val="none" w:sz="0" w:space="0" w:color="auto"/>
        <w:bottom w:val="none" w:sz="0" w:space="0" w:color="auto"/>
        <w:right w:val="none" w:sz="0" w:space="0" w:color="auto"/>
      </w:divBdr>
    </w:div>
    <w:div w:id="1438866221">
      <w:bodyDiv w:val="1"/>
      <w:marLeft w:val="0"/>
      <w:marRight w:val="0"/>
      <w:marTop w:val="0"/>
      <w:marBottom w:val="0"/>
      <w:divBdr>
        <w:top w:val="none" w:sz="0" w:space="0" w:color="auto"/>
        <w:left w:val="none" w:sz="0" w:space="0" w:color="auto"/>
        <w:bottom w:val="none" w:sz="0" w:space="0" w:color="auto"/>
        <w:right w:val="none" w:sz="0" w:space="0" w:color="auto"/>
      </w:divBdr>
    </w:div>
    <w:div w:id="1594974731">
      <w:bodyDiv w:val="1"/>
      <w:marLeft w:val="0"/>
      <w:marRight w:val="0"/>
      <w:marTop w:val="0"/>
      <w:marBottom w:val="0"/>
      <w:divBdr>
        <w:top w:val="none" w:sz="0" w:space="0" w:color="auto"/>
        <w:left w:val="none" w:sz="0" w:space="0" w:color="auto"/>
        <w:bottom w:val="none" w:sz="0" w:space="0" w:color="auto"/>
        <w:right w:val="none" w:sz="0" w:space="0" w:color="auto"/>
      </w:divBdr>
    </w:div>
    <w:div w:id="1690838278">
      <w:bodyDiv w:val="1"/>
      <w:marLeft w:val="0"/>
      <w:marRight w:val="0"/>
      <w:marTop w:val="0"/>
      <w:marBottom w:val="0"/>
      <w:divBdr>
        <w:top w:val="none" w:sz="0" w:space="0" w:color="auto"/>
        <w:left w:val="none" w:sz="0" w:space="0" w:color="auto"/>
        <w:bottom w:val="none" w:sz="0" w:space="0" w:color="auto"/>
        <w:right w:val="none" w:sz="0" w:space="0" w:color="auto"/>
      </w:divBdr>
    </w:div>
    <w:div w:id="21015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z\Downloads\SC%20prevodi%20odlo&#269;itev-vseh%207%20sprememb_&#269;istopis%20MA,%20TK,%20VT%2019.5.2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C4A865-5096-446C-BB99-8384BCAD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 prevodi odločitev-vseh 7 sprememb_čistopis MA, TK, VT 19.5.23.dot</Template>
  <TotalTime>0</TotalTime>
  <Pages>61</Pages>
  <Words>18057</Words>
  <Characters>102926</Characters>
  <Application>Microsoft Office Word</Application>
  <DocSecurity>0</DocSecurity>
  <Lines>857</Lines>
  <Paragraphs>241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Ternifi</dc:creator>
  <cp:keywords/>
  <dc:description/>
  <cp:lastModifiedBy>MZZ</cp:lastModifiedBy>
  <cp:revision>2</cp:revision>
  <cp:lastPrinted>2023-06-05T09:48:00Z</cp:lastPrinted>
  <dcterms:created xsi:type="dcterms:W3CDTF">2023-06-05T10:33:00Z</dcterms:created>
  <dcterms:modified xsi:type="dcterms:W3CDTF">2023-06-05T10:33:00Z</dcterms:modified>
</cp:coreProperties>
</file>