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6E5F" w14:textId="77777777" w:rsidR="00E21FF9" w:rsidRDefault="00E21FF9" w:rsidP="003E1C74">
      <w:pPr>
        <w:pStyle w:val="podpisi"/>
        <w:rPr>
          <w:lang w:val="sl-SI"/>
        </w:rPr>
      </w:pPr>
    </w:p>
    <w:tbl>
      <w:tblPr>
        <w:tblW w:w="9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976"/>
        <w:gridCol w:w="8"/>
        <w:gridCol w:w="1568"/>
        <w:gridCol w:w="119"/>
        <w:gridCol w:w="13"/>
        <w:gridCol w:w="6"/>
        <w:gridCol w:w="1555"/>
        <w:gridCol w:w="713"/>
        <w:gridCol w:w="854"/>
        <w:gridCol w:w="247"/>
        <w:gridCol w:w="1315"/>
      </w:tblGrid>
      <w:tr w:rsidR="00D731F3" w:rsidRPr="008D1759" w14:paraId="3B16BE37" w14:textId="77777777" w:rsidTr="00DF5E13">
        <w:trPr>
          <w:gridAfter w:val="4"/>
          <w:wAfter w:w="3129" w:type="dxa"/>
        </w:trPr>
        <w:tc>
          <w:tcPr>
            <w:tcW w:w="6088" w:type="dxa"/>
            <w:gridSpan w:val="8"/>
            <w:shd w:val="clear" w:color="auto" w:fill="auto"/>
          </w:tcPr>
          <w:p w14:paraId="0C2D25FB" w14:textId="1FED268E" w:rsidR="00D731F3" w:rsidRPr="008D1759" w:rsidRDefault="00D731F3" w:rsidP="005512EC">
            <w:pPr>
              <w:pStyle w:val="Neotevilenodstavek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084658">
              <w:rPr>
                <w:sz w:val="20"/>
                <w:szCs w:val="20"/>
              </w:rPr>
              <w:t>IPP 007-</w:t>
            </w:r>
            <w:r w:rsidR="00C17D0F">
              <w:rPr>
                <w:sz w:val="20"/>
                <w:szCs w:val="20"/>
              </w:rPr>
              <w:t>38/2025</w:t>
            </w:r>
            <w:r w:rsidR="00A2425A">
              <w:rPr>
                <w:sz w:val="20"/>
                <w:szCs w:val="20"/>
              </w:rPr>
              <w:t>/4</w:t>
            </w:r>
          </w:p>
        </w:tc>
      </w:tr>
      <w:tr w:rsidR="00D731F3" w:rsidRPr="008D1759" w14:paraId="011C5899" w14:textId="77777777" w:rsidTr="00DF5E13">
        <w:trPr>
          <w:gridAfter w:val="4"/>
          <w:wAfter w:w="3129" w:type="dxa"/>
        </w:trPr>
        <w:tc>
          <w:tcPr>
            <w:tcW w:w="6088" w:type="dxa"/>
            <w:gridSpan w:val="8"/>
            <w:shd w:val="clear" w:color="auto" w:fill="auto"/>
          </w:tcPr>
          <w:p w14:paraId="728C0803" w14:textId="56385CF4" w:rsidR="00D731F3" w:rsidRPr="008D1759" w:rsidRDefault="002A12FA" w:rsidP="002A667B">
            <w:pPr>
              <w:pStyle w:val="Neotevilenodstavek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 w:rsidR="00084658">
              <w:rPr>
                <w:sz w:val="20"/>
                <w:szCs w:val="20"/>
              </w:rPr>
              <w:t xml:space="preserve"> </w:t>
            </w:r>
            <w:r w:rsidR="00A2425A">
              <w:rPr>
                <w:sz w:val="20"/>
                <w:szCs w:val="20"/>
              </w:rPr>
              <w:t>18</w:t>
            </w:r>
            <w:r w:rsidR="00084658">
              <w:rPr>
                <w:sz w:val="20"/>
                <w:szCs w:val="20"/>
              </w:rPr>
              <w:t xml:space="preserve">. </w:t>
            </w:r>
            <w:r w:rsidR="00A2425A">
              <w:rPr>
                <w:sz w:val="20"/>
                <w:szCs w:val="20"/>
              </w:rPr>
              <w:t>8</w:t>
            </w:r>
            <w:r w:rsidR="000440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84658">
              <w:rPr>
                <w:sz w:val="20"/>
                <w:szCs w:val="20"/>
              </w:rPr>
              <w:t>2025</w:t>
            </w:r>
          </w:p>
        </w:tc>
      </w:tr>
      <w:tr w:rsidR="00D731F3" w:rsidRPr="008D1759" w14:paraId="368F9592" w14:textId="77777777" w:rsidTr="00DF5E13">
        <w:trPr>
          <w:gridAfter w:val="4"/>
          <w:wAfter w:w="3129" w:type="dxa"/>
        </w:trPr>
        <w:tc>
          <w:tcPr>
            <w:tcW w:w="6088" w:type="dxa"/>
            <w:gridSpan w:val="8"/>
            <w:shd w:val="clear" w:color="auto" w:fill="auto"/>
          </w:tcPr>
          <w:p w14:paraId="63718AF6" w14:textId="67830CC3" w:rsidR="00084658" w:rsidRPr="00084658" w:rsidRDefault="00D731F3" w:rsidP="00084658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 w:rsidRPr="00594B90">
              <w:rPr>
                <w:iCs/>
                <w:sz w:val="20"/>
                <w:szCs w:val="20"/>
              </w:rPr>
              <w:t>EVA</w:t>
            </w:r>
            <w:r w:rsidR="002447ED">
              <w:rPr>
                <w:iCs/>
                <w:sz w:val="20"/>
                <w:szCs w:val="20"/>
              </w:rPr>
              <w:t>:</w:t>
            </w:r>
            <w:r w:rsidR="007B3D52">
              <w:rPr>
                <w:iCs/>
                <w:sz w:val="20"/>
                <w:szCs w:val="20"/>
              </w:rPr>
              <w:t xml:space="preserve"> </w:t>
            </w:r>
            <w:r w:rsidR="00084658" w:rsidRPr="00084658">
              <w:rPr>
                <w:iCs/>
                <w:sz w:val="20"/>
                <w:szCs w:val="20"/>
              </w:rPr>
              <w:t>2025-1544-0004</w:t>
            </w:r>
          </w:p>
          <w:p w14:paraId="377FA2A6" w14:textId="15ECE1D3" w:rsidR="00D731F3" w:rsidRPr="00594B90" w:rsidRDefault="00D731F3" w:rsidP="002A667B">
            <w:pPr>
              <w:pStyle w:val="Neotevilenodstavek"/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D731F3" w:rsidRPr="008D1759" w14:paraId="0317CFA2" w14:textId="77777777" w:rsidTr="00DF5E13">
        <w:trPr>
          <w:gridAfter w:val="4"/>
          <w:wAfter w:w="3129" w:type="dxa"/>
        </w:trPr>
        <w:tc>
          <w:tcPr>
            <w:tcW w:w="6088" w:type="dxa"/>
            <w:gridSpan w:val="8"/>
            <w:shd w:val="clear" w:color="auto" w:fill="auto"/>
          </w:tcPr>
          <w:p w14:paraId="3D69CA1F" w14:textId="77777777" w:rsidR="00D731F3" w:rsidRPr="00223FBE" w:rsidRDefault="00D731F3" w:rsidP="002A667B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1E7BD710" w14:textId="77777777" w:rsidR="00AA256D" w:rsidRPr="00223FBE" w:rsidRDefault="00AA256D" w:rsidP="002A667B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0FF64573" w14:textId="77777777" w:rsidR="00D731F3" w:rsidRPr="008D1759" w:rsidRDefault="00D731F3" w:rsidP="002A667B">
            <w:pPr>
              <w:spacing w:line="276" w:lineRule="auto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75D30EF0" w14:textId="77777777" w:rsidR="00D731F3" w:rsidRPr="008D1759" w:rsidRDefault="00A2425A" w:rsidP="002A667B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="00D731F3"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3CF0F5F0" w14:textId="77777777" w:rsidR="00D731F3" w:rsidRPr="008D1759" w:rsidRDefault="00D731F3" w:rsidP="002A667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D731F3" w:rsidRPr="008D1759" w14:paraId="670362DE" w14:textId="77777777" w:rsidTr="00DF5E13">
        <w:tc>
          <w:tcPr>
            <w:tcW w:w="9217" w:type="dxa"/>
            <w:gridSpan w:val="12"/>
            <w:shd w:val="clear" w:color="auto" w:fill="auto"/>
          </w:tcPr>
          <w:p w14:paraId="43852C5A" w14:textId="4A7F676C" w:rsidR="00D731F3" w:rsidRPr="008D1759" w:rsidRDefault="00D731F3" w:rsidP="002447ED">
            <w:pPr>
              <w:pStyle w:val="Naslovpredpisa"/>
              <w:spacing w:before="6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ZADEVA:</w:t>
            </w:r>
            <w:r w:rsidR="002A12FA">
              <w:rPr>
                <w:sz w:val="20"/>
                <w:szCs w:val="20"/>
              </w:rPr>
              <w:t xml:space="preserve"> </w:t>
            </w:r>
            <w:r w:rsidR="002447ED" w:rsidRPr="002447ED">
              <w:rPr>
                <w:sz w:val="20"/>
                <w:szCs w:val="20"/>
              </w:rPr>
              <w:t>Odlok o</w:t>
            </w:r>
            <w:r w:rsidR="00A2798D">
              <w:rPr>
                <w:sz w:val="20"/>
                <w:szCs w:val="20"/>
              </w:rPr>
              <w:t xml:space="preserve"> </w:t>
            </w:r>
            <w:r w:rsidR="00A2798D" w:rsidRPr="00A2798D">
              <w:rPr>
                <w:sz w:val="20"/>
                <w:szCs w:val="20"/>
              </w:rPr>
              <w:t>spremembah Odloka o ustanovitvi, nalogah in organizaciji Urada Vlade Republike Slovenije za informacijsko varnost</w:t>
            </w:r>
            <w:r w:rsidR="00A2798D">
              <w:rPr>
                <w:sz w:val="20"/>
                <w:szCs w:val="20"/>
              </w:rPr>
              <w:t xml:space="preserve"> </w:t>
            </w:r>
            <w:r w:rsidRPr="008D1759">
              <w:rPr>
                <w:sz w:val="20"/>
                <w:szCs w:val="20"/>
              </w:rPr>
              <w:t xml:space="preserve">– predlog za obravnavo </w:t>
            </w:r>
          </w:p>
        </w:tc>
      </w:tr>
      <w:tr w:rsidR="00D731F3" w:rsidRPr="008D1759" w14:paraId="57FF23E7" w14:textId="77777777" w:rsidTr="00DF5E13">
        <w:tc>
          <w:tcPr>
            <w:tcW w:w="9217" w:type="dxa"/>
            <w:gridSpan w:val="12"/>
            <w:shd w:val="clear" w:color="auto" w:fill="auto"/>
          </w:tcPr>
          <w:p w14:paraId="07F4DE41" w14:textId="77777777" w:rsidR="00D731F3" w:rsidRPr="008D1759" w:rsidRDefault="00D731F3" w:rsidP="002A667B">
            <w:pPr>
              <w:pStyle w:val="Poglavje"/>
              <w:spacing w:before="6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</w:t>
            </w:r>
            <w:r w:rsidR="00FB05AF">
              <w:rPr>
                <w:sz w:val="20"/>
                <w:szCs w:val="20"/>
              </w:rPr>
              <w:t xml:space="preserve">   </w:t>
            </w:r>
            <w:r w:rsidRPr="008D1759">
              <w:rPr>
                <w:sz w:val="20"/>
                <w:szCs w:val="20"/>
              </w:rPr>
              <w:t>Predlog sklepov vlade:</w:t>
            </w:r>
          </w:p>
        </w:tc>
      </w:tr>
      <w:tr w:rsidR="00D731F3" w:rsidRPr="008D1759" w14:paraId="34285FB6" w14:textId="77777777" w:rsidTr="00DF5E13">
        <w:tc>
          <w:tcPr>
            <w:tcW w:w="9217" w:type="dxa"/>
            <w:gridSpan w:val="12"/>
            <w:shd w:val="clear" w:color="auto" w:fill="auto"/>
          </w:tcPr>
          <w:p w14:paraId="721128E9" w14:textId="09419635" w:rsidR="002A12FA" w:rsidRPr="001B19C0" w:rsidRDefault="00DF5E13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cs="Arial"/>
                <w:color w:val="000000"/>
              </w:rPr>
            </w:pPr>
            <w:r w:rsidRPr="00DF5E13">
              <w:rPr>
                <w:rFonts w:cs="Arial"/>
                <w:color w:val="000000"/>
              </w:rPr>
              <w:t xml:space="preserve">Na podlagi 21. člena Zakona o Vladi Republike Slovenije (Uradni list RS, št. 24/05 – UPB-1, 109/08, 38/10 – ZUKN, 8/12, 21/13, 47/13 – ZDU1-G, 65/14, 55/17 in 163/22) </w:t>
            </w:r>
            <w:r w:rsidR="002A12FA" w:rsidRPr="001B19C0">
              <w:rPr>
                <w:rFonts w:cs="Arial"/>
                <w:color w:val="000000"/>
              </w:rPr>
              <w:t xml:space="preserve">je Vlada Republike Slovenije na … </w:t>
            </w:r>
            <w:r w:rsidR="00C87A65">
              <w:rPr>
                <w:rFonts w:cs="Arial"/>
                <w:color w:val="000000"/>
              </w:rPr>
              <w:t xml:space="preserve">svoji </w:t>
            </w:r>
            <w:r w:rsidR="002A12FA" w:rsidRPr="001B19C0">
              <w:rPr>
                <w:rFonts w:cs="Arial"/>
                <w:color w:val="000000"/>
              </w:rPr>
              <w:t xml:space="preserve">seji </w:t>
            </w:r>
            <w:r w:rsidR="00C87A65">
              <w:rPr>
                <w:rFonts w:cs="Arial"/>
                <w:color w:val="000000"/>
              </w:rPr>
              <w:t xml:space="preserve">dne … </w:t>
            </w:r>
            <w:r w:rsidR="002A12FA" w:rsidRPr="001B19C0">
              <w:rPr>
                <w:rFonts w:cs="Arial"/>
                <w:color w:val="000000"/>
              </w:rPr>
              <w:t>pod točko … sprejela naslednji sklep:</w:t>
            </w:r>
          </w:p>
          <w:p w14:paraId="175B643D" w14:textId="0469970A" w:rsidR="002A12FA" w:rsidRDefault="002A12FA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/>
              </w:rPr>
            </w:pPr>
          </w:p>
          <w:p w14:paraId="61D41573" w14:textId="2047CD2C" w:rsidR="00DF5E13" w:rsidRDefault="00DF5E13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/>
              </w:rPr>
            </w:pPr>
          </w:p>
          <w:p w14:paraId="7D96D624" w14:textId="77777777" w:rsidR="00DF5E13" w:rsidRPr="001B19C0" w:rsidRDefault="00DF5E13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/>
              </w:rPr>
            </w:pPr>
          </w:p>
          <w:p w14:paraId="282139B9" w14:textId="3CEB558F" w:rsidR="002A12FA" w:rsidRDefault="00C87A65" w:rsidP="002447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Cs/>
                <w:color w:val="000000"/>
                <w:szCs w:val="20"/>
                <w:lang w:eastAsia="sl-SI"/>
              </w:rPr>
              <w:t xml:space="preserve">Vlada Republike Slovenije je </w:t>
            </w:r>
            <w:r w:rsidR="007B3D52">
              <w:rPr>
                <w:rFonts w:cs="Arial"/>
                <w:bCs/>
                <w:color w:val="000000"/>
                <w:szCs w:val="20"/>
                <w:lang w:eastAsia="sl-SI"/>
              </w:rPr>
              <w:t xml:space="preserve">izdala </w:t>
            </w:r>
            <w:r w:rsidR="002447ED" w:rsidRPr="002447ED">
              <w:rPr>
                <w:rFonts w:cs="Arial"/>
                <w:bCs/>
                <w:color w:val="000000"/>
                <w:szCs w:val="20"/>
                <w:lang w:eastAsia="sl-SI"/>
              </w:rPr>
              <w:t xml:space="preserve">Odlok o </w:t>
            </w:r>
            <w:r w:rsidR="00A2798D">
              <w:rPr>
                <w:rFonts w:cs="Arial"/>
                <w:bCs/>
                <w:color w:val="000000"/>
                <w:szCs w:val="20"/>
                <w:lang w:eastAsia="sl-SI"/>
              </w:rPr>
              <w:t xml:space="preserve">spremembah </w:t>
            </w:r>
            <w:r w:rsidR="002447ED" w:rsidRPr="002447ED">
              <w:rPr>
                <w:rFonts w:cs="Arial"/>
                <w:bCs/>
                <w:color w:val="000000"/>
                <w:szCs w:val="20"/>
                <w:lang w:eastAsia="sl-SI"/>
              </w:rPr>
              <w:t>Odloka o ustanovitvi, nalogah in organizaciji Urada Vlade Republike Slovenije za</w:t>
            </w:r>
            <w:r w:rsidR="002447ED">
              <w:rPr>
                <w:rFonts w:cs="Arial"/>
                <w:bCs/>
                <w:color w:val="000000"/>
                <w:szCs w:val="20"/>
                <w:lang w:eastAsia="sl-SI"/>
              </w:rPr>
              <w:t xml:space="preserve"> </w:t>
            </w:r>
            <w:r w:rsidR="002447ED" w:rsidRPr="002447ED">
              <w:rPr>
                <w:rFonts w:cs="Arial"/>
                <w:bCs/>
                <w:color w:val="000000"/>
                <w:szCs w:val="20"/>
                <w:lang w:eastAsia="sl-SI"/>
              </w:rPr>
              <w:t>informacijsko varnost</w:t>
            </w:r>
            <w:r w:rsidR="002447ED">
              <w:rPr>
                <w:rFonts w:cs="Arial"/>
                <w:bCs/>
                <w:color w:val="000000"/>
                <w:szCs w:val="20"/>
                <w:lang w:eastAsia="sl-SI"/>
              </w:rPr>
              <w:t xml:space="preserve"> </w:t>
            </w:r>
            <w:r w:rsidR="007B3D52">
              <w:rPr>
                <w:rFonts w:cs="Arial"/>
                <w:bCs/>
                <w:color w:val="000000"/>
                <w:szCs w:val="20"/>
                <w:lang w:eastAsia="sl-SI"/>
              </w:rPr>
              <w:t>in ga objavi v Uradnem listu Republike Slovenije.</w:t>
            </w:r>
          </w:p>
          <w:p w14:paraId="1DB04593" w14:textId="4B3389DE" w:rsidR="002A12FA" w:rsidRDefault="002A12FA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/>
              </w:rPr>
            </w:pPr>
          </w:p>
          <w:p w14:paraId="133CF181" w14:textId="24098BE6" w:rsidR="00DF5E13" w:rsidRDefault="00DF5E13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/>
              </w:rPr>
            </w:pPr>
          </w:p>
          <w:p w14:paraId="1D48CC93" w14:textId="77777777" w:rsidR="00DF5E13" w:rsidRDefault="00DF5E13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/>
              </w:rPr>
            </w:pPr>
          </w:p>
          <w:p w14:paraId="63BBAE3A" w14:textId="56E59E92" w:rsidR="00DF5E13" w:rsidRPr="00DF5E13" w:rsidRDefault="00DF5E13" w:rsidP="00DF5E1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4248"/>
              <w:jc w:val="both"/>
              <w:rPr>
                <w:rFonts w:cs="Arial"/>
                <w:color w:val="000000"/>
              </w:rPr>
            </w:pPr>
            <w:r w:rsidRPr="00DF5E13">
              <w:rPr>
                <w:rFonts w:cs="Arial"/>
                <w:color w:val="000000"/>
              </w:rPr>
              <w:t xml:space="preserve">Barbara Kolenko </w:t>
            </w:r>
            <w:proofErr w:type="spellStart"/>
            <w:r w:rsidRPr="00DF5E13">
              <w:rPr>
                <w:rFonts w:cs="Arial"/>
                <w:color w:val="000000"/>
              </w:rPr>
              <w:t>Helbl</w:t>
            </w:r>
            <w:proofErr w:type="spellEnd"/>
          </w:p>
          <w:p w14:paraId="17003152" w14:textId="000043D7" w:rsidR="00324036" w:rsidRDefault="00DF5E13" w:rsidP="00DF5E1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</w:rPr>
            </w:pPr>
            <w:r w:rsidRPr="00DF5E13">
              <w:rPr>
                <w:rFonts w:cs="Arial"/>
                <w:color w:val="000000"/>
              </w:rPr>
              <w:t xml:space="preserve">                                                                            </w:t>
            </w:r>
            <w:r>
              <w:rPr>
                <w:rFonts w:cs="Arial"/>
                <w:color w:val="000000"/>
              </w:rPr>
              <w:t xml:space="preserve"> </w:t>
            </w:r>
            <w:r w:rsidRPr="00DF5E13">
              <w:rPr>
                <w:rFonts w:cs="Arial"/>
                <w:color w:val="000000"/>
              </w:rPr>
              <w:t>generalna sekretarka</w:t>
            </w:r>
          </w:p>
          <w:p w14:paraId="52F10C16" w14:textId="0CDCEAF6" w:rsidR="00DF5E13" w:rsidRDefault="00DF5E13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</w:rPr>
            </w:pPr>
          </w:p>
          <w:p w14:paraId="122EA4C1" w14:textId="77777777" w:rsidR="00DF5E13" w:rsidRDefault="00DF5E13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</w:rPr>
            </w:pPr>
          </w:p>
          <w:p w14:paraId="7D70D833" w14:textId="25373B77" w:rsidR="002A12FA" w:rsidRDefault="002A12FA" w:rsidP="002A667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</w:rPr>
            </w:pPr>
            <w:r w:rsidRPr="001B19C0">
              <w:rPr>
                <w:rFonts w:cs="Arial"/>
                <w:iCs/>
                <w:color w:val="000000"/>
              </w:rPr>
              <w:t xml:space="preserve">Sklep prejmejo: </w:t>
            </w:r>
          </w:p>
          <w:p w14:paraId="6D230C51" w14:textId="72CF7A0F" w:rsidR="00B95E90" w:rsidRDefault="005A54EA" w:rsidP="005A54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- </w:t>
            </w:r>
            <w:r w:rsidR="003239B0">
              <w:rPr>
                <w:rFonts w:cs="Arial"/>
                <w:iCs/>
                <w:color w:val="000000"/>
              </w:rPr>
              <w:t>m</w:t>
            </w:r>
            <w:r w:rsidR="007B3D52">
              <w:rPr>
                <w:rFonts w:cs="Arial"/>
                <w:iCs/>
                <w:color w:val="000000"/>
              </w:rPr>
              <w:t>inistrstva in vladne službe</w:t>
            </w:r>
          </w:p>
          <w:p w14:paraId="749C7FED" w14:textId="77777777" w:rsidR="002C72E4" w:rsidRDefault="002C72E4" w:rsidP="002C72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</w:rPr>
            </w:pPr>
          </w:p>
          <w:p w14:paraId="32E494B8" w14:textId="77777777" w:rsidR="002C72E4" w:rsidRDefault="002C72E4" w:rsidP="002C72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Priloge:</w:t>
            </w:r>
          </w:p>
          <w:p w14:paraId="062A26CC" w14:textId="06E394CE" w:rsidR="002C72E4" w:rsidRDefault="005A54EA" w:rsidP="005A54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- </w:t>
            </w:r>
            <w:r w:rsidR="003239B0">
              <w:rPr>
                <w:rFonts w:cs="Arial"/>
                <w:iCs/>
                <w:color w:val="000000"/>
              </w:rPr>
              <w:t>p</w:t>
            </w:r>
            <w:r w:rsidR="002C72E4">
              <w:rPr>
                <w:rFonts w:cs="Arial"/>
                <w:iCs/>
                <w:color w:val="000000"/>
              </w:rPr>
              <w:t>redlog sklepa vlade</w:t>
            </w:r>
          </w:p>
          <w:p w14:paraId="1A1F0C52" w14:textId="6E0D2203" w:rsidR="002C72E4" w:rsidRPr="007B3D52" w:rsidRDefault="005A54EA" w:rsidP="002447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- </w:t>
            </w:r>
            <w:r w:rsidR="003239B0">
              <w:rPr>
                <w:rFonts w:cs="Arial"/>
                <w:iCs/>
                <w:color w:val="000000"/>
              </w:rPr>
              <w:t>p</w:t>
            </w:r>
            <w:r w:rsidR="002C72E4">
              <w:rPr>
                <w:rFonts w:cs="Arial"/>
                <w:iCs/>
                <w:color w:val="000000"/>
              </w:rPr>
              <w:t xml:space="preserve">redlog besedila </w:t>
            </w:r>
            <w:r w:rsidR="002447ED" w:rsidRPr="002447ED">
              <w:rPr>
                <w:rFonts w:cs="Arial"/>
                <w:iCs/>
                <w:color w:val="000000"/>
              </w:rPr>
              <w:t>Odlok</w:t>
            </w:r>
            <w:r w:rsidR="002447ED">
              <w:rPr>
                <w:rFonts w:cs="Arial"/>
                <w:iCs/>
                <w:color w:val="000000"/>
              </w:rPr>
              <w:t>a</w:t>
            </w:r>
            <w:r w:rsidR="002447ED" w:rsidRPr="002447ED">
              <w:rPr>
                <w:rFonts w:cs="Arial"/>
                <w:iCs/>
                <w:color w:val="000000"/>
              </w:rPr>
              <w:t xml:space="preserve"> o </w:t>
            </w:r>
            <w:r w:rsidR="00A2798D">
              <w:rPr>
                <w:rFonts w:cs="Arial"/>
                <w:iCs/>
                <w:color w:val="000000"/>
              </w:rPr>
              <w:t xml:space="preserve">spremembah </w:t>
            </w:r>
            <w:r w:rsidR="002447ED" w:rsidRPr="002447ED">
              <w:rPr>
                <w:rFonts w:cs="Arial"/>
                <w:iCs/>
                <w:color w:val="000000"/>
              </w:rPr>
              <w:t>Odloka o ustanovitvi, nalogah in organizaciji Urada Vlade Republike Slovenije za</w:t>
            </w:r>
            <w:r w:rsidR="002447ED">
              <w:rPr>
                <w:rFonts w:cs="Arial"/>
                <w:iCs/>
                <w:color w:val="000000"/>
              </w:rPr>
              <w:t xml:space="preserve"> </w:t>
            </w:r>
            <w:r w:rsidR="002447ED" w:rsidRPr="002447ED">
              <w:rPr>
                <w:rFonts w:cs="Arial"/>
                <w:iCs/>
                <w:color w:val="000000"/>
              </w:rPr>
              <w:t>informacijsko varnost</w:t>
            </w:r>
          </w:p>
        </w:tc>
      </w:tr>
      <w:tr w:rsidR="00D731F3" w:rsidRPr="008D1759" w14:paraId="0CCD69DD" w14:textId="77777777" w:rsidTr="00DF5E13">
        <w:tc>
          <w:tcPr>
            <w:tcW w:w="9217" w:type="dxa"/>
            <w:gridSpan w:val="12"/>
            <w:shd w:val="clear" w:color="auto" w:fill="auto"/>
          </w:tcPr>
          <w:p w14:paraId="0BEC8C42" w14:textId="3F755737" w:rsidR="00D731F3" w:rsidRPr="00D43F59" w:rsidRDefault="00D731F3" w:rsidP="00FB05AF">
            <w:pPr>
              <w:pStyle w:val="Neotevilenodstavek"/>
              <w:spacing w:after="0" w:line="276" w:lineRule="auto"/>
              <w:ind w:left="459" w:hanging="459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FB05AF" w:rsidRPr="008D1759" w14:paraId="55B7E4F2" w14:textId="77777777" w:rsidTr="00DF5E13">
        <w:tc>
          <w:tcPr>
            <w:tcW w:w="9217" w:type="dxa"/>
            <w:gridSpan w:val="12"/>
            <w:shd w:val="clear" w:color="auto" w:fill="auto"/>
          </w:tcPr>
          <w:p w14:paraId="3F630B5E" w14:textId="77777777" w:rsidR="00FB05AF" w:rsidRDefault="00FB05AF" w:rsidP="00FB05AF">
            <w:pPr>
              <w:pStyle w:val="Neotevilenodstavek"/>
              <w:spacing w:after="0" w:line="276" w:lineRule="auto"/>
              <w:ind w:left="459" w:hanging="4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D731F3" w:rsidRPr="008D1759" w14:paraId="75978D2B" w14:textId="77777777" w:rsidTr="00DF5E13">
        <w:tc>
          <w:tcPr>
            <w:tcW w:w="9217" w:type="dxa"/>
            <w:gridSpan w:val="12"/>
            <w:shd w:val="clear" w:color="auto" w:fill="auto"/>
          </w:tcPr>
          <w:p w14:paraId="0AD702EA" w14:textId="77777777" w:rsidR="00D731F3" w:rsidRPr="00D43F59" w:rsidRDefault="00D731F3" w:rsidP="002A667B">
            <w:pPr>
              <w:pStyle w:val="Neotevilenodstavek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</w:t>
            </w:r>
            <w:r w:rsidR="00FB05AF">
              <w:rPr>
                <w:b/>
                <w:sz w:val="20"/>
                <w:szCs w:val="20"/>
              </w:rPr>
              <w:t xml:space="preserve">  </w:t>
            </w:r>
            <w:r w:rsidRPr="00D43F59">
              <w:rPr>
                <w:b/>
                <w:sz w:val="20"/>
                <w:szCs w:val="20"/>
              </w:rPr>
              <w:t>Osebe, odgovorne za strokovno pripravo in usklajenost gradiva:</w:t>
            </w:r>
          </w:p>
        </w:tc>
      </w:tr>
      <w:tr w:rsidR="00D731F3" w:rsidRPr="008D1759" w14:paraId="3A957AF4" w14:textId="77777777" w:rsidTr="00DF5E13">
        <w:tc>
          <w:tcPr>
            <w:tcW w:w="9217" w:type="dxa"/>
            <w:gridSpan w:val="12"/>
            <w:shd w:val="clear" w:color="auto" w:fill="auto"/>
          </w:tcPr>
          <w:p w14:paraId="70261943" w14:textId="07264DF0" w:rsidR="00B95E90" w:rsidRDefault="002447ED" w:rsidP="00DF5E13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Dr. Uroš Svete, direktor </w:t>
            </w:r>
            <w:r w:rsidRPr="002447ED">
              <w:rPr>
                <w:iCs/>
                <w:sz w:val="20"/>
                <w:szCs w:val="20"/>
              </w:rPr>
              <w:t>Urada Vlade Republike Slovenije za informacijsko varnost</w:t>
            </w:r>
            <w:r w:rsidR="009949EA">
              <w:rPr>
                <w:iCs/>
                <w:sz w:val="20"/>
                <w:szCs w:val="20"/>
              </w:rPr>
              <w:t xml:space="preserve"> (URSIV</w:t>
            </w:r>
            <w:r w:rsidR="00044011">
              <w:rPr>
                <w:iCs/>
                <w:sz w:val="20"/>
                <w:szCs w:val="20"/>
              </w:rPr>
              <w:t>)</w:t>
            </w:r>
          </w:p>
          <w:p w14:paraId="25D78BB5" w14:textId="2AD27D02" w:rsidR="00A2798D" w:rsidRDefault="00A2798D" w:rsidP="00DF5E13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Kory Golob, pomočnik direktorja</w:t>
            </w:r>
            <w:r w:rsidR="009949EA">
              <w:rPr>
                <w:iCs/>
                <w:sz w:val="20"/>
                <w:szCs w:val="20"/>
              </w:rPr>
              <w:t xml:space="preserve"> URSIV</w:t>
            </w:r>
          </w:p>
          <w:p w14:paraId="46E23D50" w14:textId="27095F5C" w:rsidR="009949EA" w:rsidRDefault="00044011" w:rsidP="00DF5E13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Mag. </w:t>
            </w:r>
            <w:r w:rsidR="009949EA">
              <w:rPr>
                <w:iCs/>
                <w:sz w:val="20"/>
                <w:szCs w:val="20"/>
              </w:rPr>
              <w:t xml:space="preserve">Melita Šinkovec, </w:t>
            </w:r>
            <w:r>
              <w:rPr>
                <w:iCs/>
                <w:sz w:val="20"/>
                <w:szCs w:val="20"/>
              </w:rPr>
              <w:t>v</w:t>
            </w:r>
            <w:r w:rsidR="009949EA">
              <w:rPr>
                <w:iCs/>
                <w:sz w:val="20"/>
                <w:szCs w:val="20"/>
              </w:rPr>
              <w:t xml:space="preserve">odja </w:t>
            </w:r>
            <w:r>
              <w:rPr>
                <w:iCs/>
                <w:sz w:val="20"/>
                <w:szCs w:val="20"/>
              </w:rPr>
              <w:t>S</w:t>
            </w:r>
            <w:r w:rsidR="009949EA">
              <w:rPr>
                <w:iCs/>
                <w:sz w:val="20"/>
                <w:szCs w:val="20"/>
              </w:rPr>
              <w:t>ektorja za informacijsko in kibernetsko varnost (SIKV), URSIV</w:t>
            </w:r>
          </w:p>
          <w:p w14:paraId="6C61EF70" w14:textId="77777777" w:rsidR="009949EA" w:rsidRDefault="009949EA" w:rsidP="00DF5E13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Barbara Pernuš Grošelj, sekretarka SIKV</w:t>
            </w:r>
          </w:p>
          <w:p w14:paraId="520F935F" w14:textId="0878F4D0" w:rsidR="009949EA" w:rsidRPr="008D1759" w:rsidRDefault="0013355D" w:rsidP="00DF5E13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Dr. Maja Cigoj, sekretarka SIKV</w:t>
            </w:r>
          </w:p>
        </w:tc>
      </w:tr>
      <w:tr w:rsidR="00D731F3" w:rsidRPr="008D1759" w14:paraId="32182E0A" w14:textId="77777777" w:rsidTr="00DF5E13">
        <w:tc>
          <w:tcPr>
            <w:tcW w:w="9217" w:type="dxa"/>
            <w:gridSpan w:val="12"/>
            <w:shd w:val="clear" w:color="auto" w:fill="auto"/>
          </w:tcPr>
          <w:p w14:paraId="139ABB82" w14:textId="7E9ADF93" w:rsidR="00D731F3" w:rsidRPr="005F3DC6" w:rsidRDefault="00D731F3" w:rsidP="00FB05AF">
            <w:pPr>
              <w:pStyle w:val="Neotevilenodstavek"/>
              <w:spacing w:after="0" w:line="276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 xml:space="preserve">3.b </w:t>
            </w:r>
            <w:r w:rsidR="00FB05AF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F5E13" w:rsidRPr="008D1759" w14:paraId="5635B9C9" w14:textId="77777777" w:rsidTr="00DF5E13">
        <w:tc>
          <w:tcPr>
            <w:tcW w:w="9217" w:type="dxa"/>
            <w:gridSpan w:val="12"/>
            <w:shd w:val="clear" w:color="auto" w:fill="auto"/>
          </w:tcPr>
          <w:p w14:paraId="3C9FB6D4" w14:textId="16D14A9D" w:rsidR="00DF5E13" w:rsidRDefault="00DF5E13" w:rsidP="00FB05AF">
            <w:pPr>
              <w:pStyle w:val="Neotevilenodstavek"/>
              <w:spacing w:after="0" w:line="276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/</w:t>
            </w:r>
          </w:p>
        </w:tc>
      </w:tr>
      <w:tr w:rsidR="00D731F3" w:rsidRPr="008D1759" w14:paraId="0DF3EF5F" w14:textId="77777777" w:rsidTr="00DF5E13">
        <w:tc>
          <w:tcPr>
            <w:tcW w:w="9217" w:type="dxa"/>
            <w:gridSpan w:val="12"/>
            <w:shd w:val="clear" w:color="auto" w:fill="auto"/>
          </w:tcPr>
          <w:p w14:paraId="64AAF7DE" w14:textId="55C04E74" w:rsidR="00D731F3" w:rsidRPr="00D43F59" w:rsidRDefault="00D731F3" w:rsidP="00FB05AF">
            <w:pPr>
              <w:pStyle w:val="Neotevilenodstavek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 xml:space="preserve">4. </w:t>
            </w:r>
            <w:r w:rsidR="00FB05AF">
              <w:rPr>
                <w:b/>
                <w:sz w:val="20"/>
                <w:szCs w:val="20"/>
              </w:rPr>
              <w:t xml:space="preserve">    </w:t>
            </w:r>
            <w:r w:rsidRPr="00D43F59">
              <w:rPr>
                <w:b/>
                <w:sz w:val="20"/>
                <w:szCs w:val="20"/>
              </w:rPr>
              <w:t>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</w:t>
            </w:r>
            <w:r w:rsidR="00DF5E13">
              <w:rPr>
                <w:b/>
                <w:sz w:val="20"/>
                <w:szCs w:val="20"/>
              </w:rPr>
              <w:t>:</w:t>
            </w:r>
          </w:p>
        </w:tc>
      </w:tr>
      <w:tr w:rsidR="00DF5E13" w:rsidRPr="008D1759" w14:paraId="247E2800" w14:textId="77777777" w:rsidTr="00DF5E13">
        <w:tc>
          <w:tcPr>
            <w:tcW w:w="9217" w:type="dxa"/>
            <w:gridSpan w:val="12"/>
            <w:shd w:val="clear" w:color="auto" w:fill="auto"/>
          </w:tcPr>
          <w:p w14:paraId="3B04069A" w14:textId="4D8E8996" w:rsidR="00DF5E13" w:rsidRPr="00D43F59" w:rsidRDefault="00DF5E13" w:rsidP="00FB05AF">
            <w:pPr>
              <w:pStyle w:val="Neotevilenodstavek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D731F3" w:rsidRPr="008D1759" w14:paraId="4F6F6117" w14:textId="77777777" w:rsidTr="00DF5E13">
        <w:tc>
          <w:tcPr>
            <w:tcW w:w="9217" w:type="dxa"/>
            <w:gridSpan w:val="12"/>
            <w:shd w:val="clear" w:color="auto" w:fill="auto"/>
          </w:tcPr>
          <w:p w14:paraId="6232BC51" w14:textId="77777777" w:rsidR="00D731F3" w:rsidRPr="008D1759" w:rsidRDefault="00D731F3" w:rsidP="002A667B">
            <w:pPr>
              <w:pStyle w:val="Oddelek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 xml:space="preserve">. </w:t>
            </w:r>
            <w:r w:rsidR="00FB05AF">
              <w:rPr>
                <w:sz w:val="20"/>
                <w:szCs w:val="20"/>
              </w:rPr>
              <w:t xml:space="preserve">    </w:t>
            </w:r>
            <w:r w:rsidRPr="008D1759">
              <w:rPr>
                <w:sz w:val="20"/>
                <w:szCs w:val="20"/>
              </w:rPr>
              <w:t>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D731F3" w:rsidRPr="008D1759" w14:paraId="26F7E26D" w14:textId="77777777" w:rsidTr="00DF5E13">
        <w:tc>
          <w:tcPr>
            <w:tcW w:w="9217" w:type="dxa"/>
            <w:gridSpan w:val="12"/>
            <w:shd w:val="clear" w:color="auto" w:fill="auto"/>
          </w:tcPr>
          <w:p w14:paraId="142694A8" w14:textId="77777777" w:rsidR="0013355D" w:rsidRDefault="00BC5ED9" w:rsidP="005A54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 xml:space="preserve">Vlada Republike Slovenije skladno s </w:t>
            </w:r>
            <w:r w:rsidR="005A54EA">
              <w:rPr>
                <w:rFonts w:cs="Arial"/>
                <w:bCs/>
                <w:szCs w:val="20"/>
                <w:lang w:eastAsia="sl-SI"/>
              </w:rPr>
              <w:t>drugim</w:t>
            </w:r>
            <w:r>
              <w:rPr>
                <w:rFonts w:cs="Arial"/>
                <w:bCs/>
                <w:szCs w:val="20"/>
                <w:lang w:eastAsia="sl-SI"/>
              </w:rPr>
              <w:t xml:space="preserve"> odstavkom </w:t>
            </w:r>
            <w:r w:rsidR="0013355D">
              <w:rPr>
                <w:rFonts w:cs="Arial"/>
                <w:bCs/>
                <w:szCs w:val="20"/>
                <w:lang w:eastAsia="sl-SI"/>
              </w:rPr>
              <w:t>64.</w:t>
            </w:r>
            <w:r w:rsidR="00171BCF">
              <w:rPr>
                <w:rFonts w:cs="Arial"/>
                <w:bCs/>
                <w:szCs w:val="20"/>
                <w:lang w:eastAsia="sl-SI"/>
              </w:rPr>
              <w:t xml:space="preserve"> člena</w:t>
            </w:r>
            <w:r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5A54EA" w:rsidRPr="005A54EA">
              <w:rPr>
                <w:rFonts w:cs="Arial"/>
                <w:bCs/>
                <w:szCs w:val="20"/>
                <w:lang w:eastAsia="sl-SI"/>
              </w:rPr>
              <w:t>Zakona o informacijski varnosti (</w:t>
            </w:r>
            <w:r w:rsidR="0013355D">
              <w:rPr>
                <w:rFonts w:cs="Arial"/>
                <w:bCs/>
                <w:szCs w:val="20"/>
                <w:lang w:eastAsia="sl-SI"/>
              </w:rPr>
              <w:t xml:space="preserve">Uradni list RS, št. 40/25, v nadaljnjem besedilu: </w:t>
            </w:r>
            <w:r w:rsidR="005A54EA" w:rsidRPr="005A54EA">
              <w:rPr>
                <w:rFonts w:cs="Arial"/>
                <w:bCs/>
                <w:szCs w:val="20"/>
                <w:lang w:eastAsia="sl-SI"/>
              </w:rPr>
              <w:t>ZInfV-</w:t>
            </w:r>
            <w:r w:rsidR="0013355D">
              <w:rPr>
                <w:rFonts w:cs="Arial"/>
                <w:bCs/>
                <w:szCs w:val="20"/>
                <w:lang w:eastAsia="sl-SI"/>
              </w:rPr>
              <w:t>1</w:t>
            </w:r>
            <w:r w:rsidR="005A54EA" w:rsidRPr="005A54EA">
              <w:rPr>
                <w:rFonts w:cs="Arial"/>
                <w:bCs/>
                <w:szCs w:val="20"/>
                <w:lang w:eastAsia="sl-SI"/>
              </w:rPr>
              <w:t xml:space="preserve">) </w:t>
            </w:r>
            <w:r w:rsidR="005A54EA">
              <w:rPr>
                <w:rFonts w:cs="Arial"/>
                <w:bCs/>
                <w:szCs w:val="20"/>
                <w:lang w:eastAsia="sl-SI"/>
              </w:rPr>
              <w:t xml:space="preserve">usklajuje </w:t>
            </w:r>
            <w:r w:rsidR="00897B7F" w:rsidRPr="00897B7F">
              <w:rPr>
                <w:rFonts w:cs="Arial"/>
                <w:bCs/>
                <w:szCs w:val="20"/>
                <w:lang w:eastAsia="sl-SI"/>
              </w:rPr>
              <w:t>Odlok o ustanovitvi, nalogah in organizaciji Urada Vlade Republike Slovenije za informacijsko varnost (Uradni list RS, št. 114/21</w:t>
            </w:r>
            <w:r w:rsidR="0013355D">
              <w:rPr>
                <w:rFonts w:cs="Arial"/>
                <w:bCs/>
                <w:szCs w:val="20"/>
                <w:lang w:eastAsia="sl-SI"/>
              </w:rPr>
              <w:t xml:space="preserve"> in 69/23</w:t>
            </w:r>
            <w:r w:rsidR="00897B7F" w:rsidRPr="00897B7F">
              <w:rPr>
                <w:rFonts w:cs="Arial"/>
                <w:bCs/>
                <w:szCs w:val="20"/>
                <w:lang w:eastAsia="sl-SI"/>
              </w:rPr>
              <w:t>)</w:t>
            </w:r>
            <w:r w:rsidR="0013355D">
              <w:rPr>
                <w:rFonts w:cs="Arial"/>
                <w:bCs/>
                <w:szCs w:val="20"/>
                <w:lang w:eastAsia="sl-SI"/>
              </w:rPr>
              <w:t xml:space="preserve"> z ZInfV-1.</w:t>
            </w:r>
            <w:r w:rsidR="00897B7F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2447ED">
              <w:rPr>
                <w:rFonts w:cs="Arial"/>
                <w:bCs/>
                <w:szCs w:val="20"/>
                <w:lang w:eastAsia="sl-SI"/>
              </w:rPr>
              <w:t xml:space="preserve"> </w:t>
            </w:r>
          </w:p>
          <w:p w14:paraId="006E6A7D" w14:textId="298D82C3" w:rsidR="00D731F3" w:rsidRPr="00BC5ED9" w:rsidRDefault="00D731F3" w:rsidP="005A54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Cs w:val="20"/>
              </w:rPr>
            </w:pPr>
          </w:p>
        </w:tc>
      </w:tr>
      <w:tr w:rsidR="00D731F3" w:rsidRPr="008D1759" w14:paraId="009F7CB6" w14:textId="77777777" w:rsidTr="00DF5E13">
        <w:tc>
          <w:tcPr>
            <w:tcW w:w="9217" w:type="dxa"/>
            <w:gridSpan w:val="12"/>
            <w:shd w:val="clear" w:color="auto" w:fill="auto"/>
          </w:tcPr>
          <w:p w14:paraId="0EB63F1A" w14:textId="77777777" w:rsidR="00D731F3" w:rsidRPr="008D1759" w:rsidRDefault="00D731F3" w:rsidP="002A667B">
            <w:pPr>
              <w:pStyle w:val="Oddelek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 xml:space="preserve">. </w:t>
            </w:r>
            <w:r w:rsidR="00FB05AF">
              <w:rPr>
                <w:sz w:val="20"/>
                <w:szCs w:val="20"/>
              </w:rPr>
              <w:t xml:space="preserve">   </w:t>
            </w:r>
            <w:r w:rsidRPr="008D1759">
              <w:rPr>
                <w:sz w:val="20"/>
                <w:szCs w:val="20"/>
              </w:rPr>
              <w:t>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4E504A" w:rsidRPr="008D1759" w14:paraId="283668E4" w14:textId="77777777" w:rsidTr="00DF5E13">
        <w:tc>
          <w:tcPr>
            <w:tcW w:w="843" w:type="dxa"/>
            <w:shd w:val="clear" w:color="auto" w:fill="auto"/>
          </w:tcPr>
          <w:p w14:paraId="01800D0D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7059" w:type="dxa"/>
            <w:gridSpan w:val="10"/>
            <w:shd w:val="clear" w:color="auto" w:fill="auto"/>
          </w:tcPr>
          <w:p w14:paraId="28816D07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8405CD7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DF5E13">
              <w:rPr>
                <w:bCs/>
                <w:sz w:val="20"/>
                <w:szCs w:val="20"/>
              </w:rPr>
              <w:t>DA</w:t>
            </w:r>
            <w:r w:rsidRPr="001C01DC">
              <w:rPr>
                <w:sz w:val="20"/>
                <w:szCs w:val="20"/>
              </w:rPr>
              <w:t>/</w:t>
            </w:r>
            <w:r w:rsidRPr="00DF5E13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4E504A" w:rsidRPr="008D1759" w14:paraId="02311896" w14:textId="77777777" w:rsidTr="00DF5E13">
        <w:tc>
          <w:tcPr>
            <w:tcW w:w="843" w:type="dxa"/>
            <w:shd w:val="clear" w:color="auto" w:fill="auto"/>
          </w:tcPr>
          <w:p w14:paraId="4A62C2ED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7059" w:type="dxa"/>
            <w:gridSpan w:val="10"/>
            <w:shd w:val="clear" w:color="auto" w:fill="auto"/>
          </w:tcPr>
          <w:p w14:paraId="49DCDE9B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954B85A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4E504A" w:rsidRPr="008D1759" w14:paraId="0F3064BB" w14:textId="77777777" w:rsidTr="00DF5E13">
        <w:tc>
          <w:tcPr>
            <w:tcW w:w="843" w:type="dxa"/>
            <w:shd w:val="clear" w:color="auto" w:fill="auto"/>
          </w:tcPr>
          <w:p w14:paraId="3088D556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7059" w:type="dxa"/>
            <w:gridSpan w:val="10"/>
            <w:shd w:val="clear" w:color="auto" w:fill="auto"/>
          </w:tcPr>
          <w:p w14:paraId="0C6D097B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E1177DE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4E504A" w:rsidRPr="008D1759" w14:paraId="032CDA1A" w14:textId="77777777" w:rsidTr="00DF5E13">
        <w:tc>
          <w:tcPr>
            <w:tcW w:w="843" w:type="dxa"/>
            <w:shd w:val="clear" w:color="auto" w:fill="auto"/>
          </w:tcPr>
          <w:p w14:paraId="4E950EAF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7059" w:type="dxa"/>
            <w:gridSpan w:val="10"/>
            <w:shd w:val="clear" w:color="auto" w:fill="auto"/>
          </w:tcPr>
          <w:p w14:paraId="4761249E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4C6A174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4E504A" w:rsidRPr="008D1759" w14:paraId="5396F236" w14:textId="77777777" w:rsidTr="00DF5E13">
        <w:tc>
          <w:tcPr>
            <w:tcW w:w="843" w:type="dxa"/>
            <w:shd w:val="clear" w:color="auto" w:fill="auto"/>
          </w:tcPr>
          <w:p w14:paraId="6AB7CDC4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7059" w:type="dxa"/>
            <w:gridSpan w:val="10"/>
            <w:shd w:val="clear" w:color="auto" w:fill="auto"/>
          </w:tcPr>
          <w:p w14:paraId="285DCC7F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AEB05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4E504A" w:rsidRPr="008D1759" w14:paraId="0B988E20" w14:textId="77777777" w:rsidTr="00DF5E13">
        <w:tc>
          <w:tcPr>
            <w:tcW w:w="843" w:type="dxa"/>
            <w:shd w:val="clear" w:color="auto" w:fill="auto"/>
          </w:tcPr>
          <w:p w14:paraId="60D6E1D3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7059" w:type="dxa"/>
            <w:gridSpan w:val="10"/>
            <w:shd w:val="clear" w:color="auto" w:fill="auto"/>
          </w:tcPr>
          <w:p w14:paraId="2EA23E2F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1386572" w14:textId="77777777" w:rsidR="00D731F3" w:rsidRPr="001C01DC" w:rsidRDefault="00D731F3" w:rsidP="002A667B">
            <w:pPr>
              <w:pStyle w:val="Neotevilenodstavek"/>
              <w:spacing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DA/NE</w:t>
            </w:r>
          </w:p>
        </w:tc>
      </w:tr>
      <w:tr w:rsidR="004E504A" w:rsidRPr="008D1759" w14:paraId="023BA197" w14:textId="77777777" w:rsidTr="00DF5E13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76910E94" w14:textId="77777777" w:rsidR="00D731F3" w:rsidRPr="008D1759" w:rsidRDefault="00D731F3" w:rsidP="002A667B">
            <w:pPr>
              <w:pStyle w:val="Neotevilenodstavek"/>
              <w:spacing w:after="0" w:line="276" w:lineRule="auto"/>
              <w:ind w:left="34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70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5E9435F" w14:textId="77777777" w:rsidR="00D731F3" w:rsidRPr="008D1759" w:rsidRDefault="00D731F3" w:rsidP="002A667B">
            <w:pPr>
              <w:pStyle w:val="Neotevilenodstavek"/>
              <w:spacing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50CA53E0" w14:textId="77777777" w:rsidR="00D731F3" w:rsidRPr="008D1759" w:rsidRDefault="00D731F3" w:rsidP="00390207">
            <w:pPr>
              <w:pStyle w:val="Neotevilenodstavek"/>
              <w:numPr>
                <w:ilvl w:val="0"/>
                <w:numId w:val="5"/>
              </w:numPr>
              <w:spacing w:before="0" w:after="0" w:line="276" w:lineRule="auto"/>
              <w:ind w:left="175" w:hanging="218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7D009356" w14:textId="77777777" w:rsidR="00D731F3" w:rsidRPr="008D1759" w:rsidRDefault="00D731F3" w:rsidP="00390207">
            <w:pPr>
              <w:pStyle w:val="Neotevilenodstavek"/>
              <w:numPr>
                <w:ilvl w:val="0"/>
                <w:numId w:val="5"/>
              </w:numPr>
              <w:spacing w:before="0" w:after="0" w:line="276" w:lineRule="auto"/>
              <w:ind w:left="175" w:hanging="218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1A2137B7" w14:textId="77777777" w:rsidR="00D731F3" w:rsidRPr="008D1759" w:rsidRDefault="00D731F3" w:rsidP="00390207">
            <w:pPr>
              <w:pStyle w:val="Neotevilenodstavek"/>
              <w:numPr>
                <w:ilvl w:val="0"/>
                <w:numId w:val="5"/>
              </w:numPr>
              <w:spacing w:before="0" w:after="0" w:line="276" w:lineRule="auto"/>
              <w:ind w:left="175" w:hanging="218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3297F" w14:textId="77777777" w:rsidR="00D731F3" w:rsidRPr="001C01DC" w:rsidRDefault="00D731F3" w:rsidP="002A667B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1C01DC">
              <w:rPr>
                <w:sz w:val="20"/>
                <w:szCs w:val="20"/>
              </w:rPr>
              <w:t>DA/</w:t>
            </w:r>
            <w:r w:rsidRPr="00BC5ED9">
              <w:rPr>
                <w:b/>
                <w:sz w:val="20"/>
                <w:szCs w:val="20"/>
              </w:rPr>
              <w:t>NE</w:t>
            </w:r>
          </w:p>
        </w:tc>
      </w:tr>
      <w:tr w:rsidR="00D731F3" w:rsidRPr="008D1759" w14:paraId="7A2D16B3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D707" w14:textId="77777777" w:rsidR="00D731F3" w:rsidRPr="008D1759" w:rsidRDefault="00D731F3" w:rsidP="002A667B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 xml:space="preserve">.a </w:t>
            </w:r>
            <w:r w:rsidR="00223FBE">
              <w:rPr>
                <w:sz w:val="20"/>
                <w:szCs w:val="20"/>
              </w:rPr>
              <w:t xml:space="preserve">    </w:t>
            </w:r>
            <w:r w:rsidRPr="008D1759">
              <w:rPr>
                <w:sz w:val="20"/>
                <w:szCs w:val="20"/>
              </w:rPr>
              <w:t>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15F3CBFB" w14:textId="77777777" w:rsidR="00DF5E13" w:rsidRDefault="00DF5E13" w:rsidP="0035058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cs="Arial"/>
                <w:bCs/>
                <w:szCs w:val="20"/>
                <w:lang w:eastAsia="sl-SI"/>
              </w:rPr>
            </w:pPr>
          </w:p>
          <w:p w14:paraId="0F022632" w14:textId="1AFA78AA" w:rsidR="00DF5E13" w:rsidRDefault="00DF5E13" w:rsidP="0035058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>/</w:t>
            </w:r>
          </w:p>
          <w:p w14:paraId="6A23CAEF" w14:textId="77777777" w:rsidR="00D731F3" w:rsidRPr="008D1759" w:rsidRDefault="00D731F3" w:rsidP="00DF5E13">
            <w:pPr>
              <w:jc w:val="both"/>
              <w:rPr>
                <w:b/>
                <w:szCs w:val="20"/>
              </w:rPr>
            </w:pPr>
          </w:p>
        </w:tc>
      </w:tr>
      <w:tr w:rsidR="003D20AE" w:rsidRPr="008D1759" w14:paraId="033E6DB4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D61A" w14:textId="77777777" w:rsidR="003D20AE" w:rsidRDefault="003D20AE" w:rsidP="003D20A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ind w:left="34"/>
              <w:jc w:val="left"/>
              <w:rPr>
                <w:sz w:val="20"/>
                <w:szCs w:val="20"/>
              </w:rPr>
            </w:pPr>
          </w:p>
        </w:tc>
      </w:tr>
      <w:tr w:rsidR="00961FFE" w:rsidRPr="008D1759" w14:paraId="51A4C6EF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4618" w14:textId="77777777" w:rsidR="00961FFE" w:rsidRDefault="00961FFE" w:rsidP="00390207">
            <w:pPr>
              <w:pStyle w:val="Oddelek"/>
              <w:widowControl w:val="0"/>
              <w:numPr>
                <w:ilvl w:val="0"/>
                <w:numId w:val="7"/>
              </w:numPr>
              <w:spacing w:before="60" w:after="0" w:line="276" w:lineRule="auto"/>
              <w:ind w:left="601" w:hanging="56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finančnih posledic, ki niso načrtovane v sprejetem proračunu</w:t>
            </w:r>
          </w:p>
        </w:tc>
      </w:tr>
      <w:tr w:rsidR="00C63A22" w:rsidRPr="008D1759" w14:paraId="530C949C" w14:textId="77777777" w:rsidTr="00DF5E13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A2D8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14:paraId="312415D5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C63A22">
              <w:rPr>
                <w:b w:val="0"/>
                <w:sz w:val="20"/>
                <w:szCs w:val="20"/>
              </w:rPr>
              <w:t>Tekoče leto (t)</w:t>
            </w:r>
          </w:p>
        </w:tc>
        <w:tc>
          <w:tcPr>
            <w:tcW w:w="1574" w:type="dxa"/>
            <w:gridSpan w:val="3"/>
            <w:shd w:val="clear" w:color="auto" w:fill="auto"/>
          </w:tcPr>
          <w:p w14:paraId="50664C4B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 + 1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7F89B0C2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 + 2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604F08AC" w14:textId="77777777" w:rsidR="00C63A22" w:rsidRPr="00C63A22" w:rsidRDefault="00C63A22" w:rsidP="005B6638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 + 2</w:t>
            </w:r>
          </w:p>
        </w:tc>
      </w:tr>
      <w:tr w:rsidR="00961FFE" w:rsidRPr="008D1759" w14:paraId="4739E1AF" w14:textId="77777777" w:rsidTr="00DF5E13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149E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C63A22">
              <w:rPr>
                <w:b w:val="0"/>
                <w:bCs/>
                <w:sz w:val="20"/>
                <w:szCs w:val="20"/>
              </w:rPr>
              <w:t>Predvideno povečanje (+) ali zmanjšanje (</w:t>
            </w:r>
            <w:r w:rsidRPr="00C63A22">
              <w:rPr>
                <w:b w:val="0"/>
                <w:sz w:val="20"/>
                <w:szCs w:val="20"/>
              </w:rPr>
              <w:t>–</w:t>
            </w:r>
            <w:r w:rsidRPr="00C63A22">
              <w:rPr>
                <w:b w:val="0"/>
                <w:bCs/>
                <w:sz w:val="20"/>
                <w:szCs w:val="20"/>
              </w:rPr>
              <w:t xml:space="preserve">) prihodkov </w:t>
            </w:r>
            <w:r>
              <w:rPr>
                <w:b w:val="0"/>
                <w:bCs/>
                <w:sz w:val="20"/>
                <w:szCs w:val="20"/>
              </w:rPr>
              <w:t>DP</w:t>
            </w:r>
          </w:p>
        </w:tc>
        <w:tc>
          <w:tcPr>
            <w:tcW w:w="1695" w:type="dxa"/>
            <w:gridSpan w:val="3"/>
            <w:shd w:val="clear" w:color="auto" w:fill="auto"/>
          </w:tcPr>
          <w:p w14:paraId="4559B31C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14:paraId="1D391E7A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14:paraId="3352F7FA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0FFFA81" w14:textId="77777777" w:rsidR="00C63A22" w:rsidRPr="00C63A22" w:rsidRDefault="00C63A22" w:rsidP="00C63A22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030499E2" w14:textId="77777777" w:rsidTr="00DF5E13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C09B" w14:textId="77777777" w:rsidR="00961FFE" w:rsidRPr="008D1759" w:rsidRDefault="00961FFE" w:rsidP="00961FFE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</w:t>
            </w:r>
            <w:r>
              <w:rPr>
                <w:rFonts w:cs="Arial"/>
                <w:bCs/>
                <w:szCs w:val="20"/>
              </w:rPr>
              <w:t>OP</w:t>
            </w:r>
            <w:r w:rsidRPr="008D1759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695" w:type="dxa"/>
            <w:gridSpan w:val="3"/>
            <w:shd w:val="clear" w:color="auto" w:fill="auto"/>
          </w:tcPr>
          <w:p w14:paraId="4950BF78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14:paraId="39CE2B2C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14:paraId="355B02E3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F8A9860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424BBBC1" w14:textId="77777777" w:rsidTr="00DF5E13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2214" w14:textId="77777777" w:rsidR="00961FFE" w:rsidRPr="008D1759" w:rsidRDefault="00961FFE" w:rsidP="00961FFE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</w:t>
            </w:r>
            <w:r>
              <w:rPr>
                <w:rFonts w:cs="Arial"/>
                <w:bCs/>
                <w:szCs w:val="20"/>
              </w:rPr>
              <w:t>DP</w:t>
            </w:r>
            <w:r w:rsidRPr="008D1759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695" w:type="dxa"/>
            <w:gridSpan w:val="3"/>
            <w:shd w:val="clear" w:color="auto" w:fill="auto"/>
          </w:tcPr>
          <w:p w14:paraId="4E785533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14:paraId="796960A3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14:paraId="5AAD489F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44C7DBE5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4163F694" w14:textId="77777777" w:rsidTr="00DF5E13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B39A" w14:textId="77777777" w:rsidR="00961FFE" w:rsidRPr="008D1759" w:rsidRDefault="00961FFE" w:rsidP="00961FFE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</w:t>
            </w:r>
            <w:r>
              <w:rPr>
                <w:rFonts w:cs="Arial"/>
                <w:bCs/>
                <w:szCs w:val="20"/>
              </w:rPr>
              <w:t>OP</w:t>
            </w:r>
          </w:p>
        </w:tc>
        <w:tc>
          <w:tcPr>
            <w:tcW w:w="1695" w:type="dxa"/>
            <w:gridSpan w:val="3"/>
            <w:shd w:val="clear" w:color="auto" w:fill="auto"/>
          </w:tcPr>
          <w:p w14:paraId="27ED08A4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14:paraId="4B71526B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14:paraId="5573C0B7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4B51142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43AD9EE8" w14:textId="77777777" w:rsidTr="00DF5E13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714B" w14:textId="77777777" w:rsidR="00961FFE" w:rsidRPr="008D1759" w:rsidRDefault="00961FFE" w:rsidP="00961FFE">
            <w:pPr>
              <w:widowControl w:val="0"/>
              <w:spacing w:line="276" w:lineRule="auto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695" w:type="dxa"/>
            <w:gridSpan w:val="3"/>
            <w:shd w:val="clear" w:color="auto" w:fill="auto"/>
          </w:tcPr>
          <w:p w14:paraId="59C228CE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14:paraId="08A44985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14:paraId="21A52F43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912DCCE" w14:textId="77777777" w:rsidR="00961FFE" w:rsidRPr="00C63A22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61FFE" w:rsidRPr="008D1759" w14:paraId="3EA3B820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FC79" w14:textId="77777777" w:rsidR="00961FFE" w:rsidRDefault="00961FFE" w:rsidP="00390207">
            <w:pPr>
              <w:pStyle w:val="Oddelek"/>
              <w:widowControl w:val="0"/>
              <w:numPr>
                <w:ilvl w:val="0"/>
                <w:numId w:val="7"/>
              </w:numPr>
              <w:spacing w:before="60" w:after="0" w:line="276" w:lineRule="auto"/>
              <w:ind w:left="601" w:hanging="56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Finančne posledice za državni proračun</w:t>
            </w:r>
          </w:p>
        </w:tc>
      </w:tr>
      <w:tr w:rsidR="00961FFE" w:rsidRPr="008D1759" w14:paraId="64189386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7B5E" w14:textId="77777777" w:rsidR="00961FFE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ind w:left="601" w:hanging="6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II.a</w:t>
            </w:r>
            <w:proofErr w:type="spellEnd"/>
            <w:r>
              <w:rPr>
                <w:sz w:val="20"/>
                <w:szCs w:val="20"/>
              </w:rPr>
              <w:t xml:space="preserve">      Ocena finančnih posledic, ki niso načrtovane v sprejetem proračunu</w:t>
            </w:r>
          </w:p>
        </w:tc>
      </w:tr>
      <w:tr w:rsidR="00A53555" w:rsidRPr="008D1759" w14:paraId="2CB3C5B5" w14:textId="77777777" w:rsidTr="00DF5E13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555F" w14:textId="77777777" w:rsidR="00961FFE" w:rsidRPr="00961FFE" w:rsidRDefault="00961FFE" w:rsidP="00961FFE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961FFE">
              <w:rPr>
                <w:b w:val="0"/>
                <w:sz w:val="20"/>
                <w:szCs w:val="20"/>
              </w:rPr>
              <w:lastRenderedPageBreak/>
              <w:t>Ime proračunskega uporabnika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237E13F" w14:textId="77777777" w:rsidR="00961FFE" w:rsidRP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Šifra in naziv ukrepa, projekta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74C90F84" w14:textId="77777777" w:rsidR="00961FFE" w:rsidRP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Šifra in naziv PP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60652ECA" w14:textId="77777777" w:rsidR="00961FFE" w:rsidRP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Znesek za tekoče leto (t)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24C0F4B2" w14:textId="77777777" w:rsid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Znesek za</w:t>
            </w:r>
          </w:p>
          <w:p w14:paraId="19780711" w14:textId="77777777" w:rsidR="00961FFE" w:rsidRPr="00961FFE" w:rsidRDefault="00961FFE" w:rsidP="00A53555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 + 1</w:t>
            </w:r>
          </w:p>
        </w:tc>
      </w:tr>
      <w:tr w:rsidR="002C72E4" w:rsidRPr="008D1759" w14:paraId="3F72F85C" w14:textId="77777777" w:rsidTr="00DF5E13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2E1" w14:textId="77777777" w:rsidR="002C72E4" w:rsidRPr="00DC4E2D" w:rsidRDefault="002C72E4" w:rsidP="002C72E4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A836" w14:textId="77777777" w:rsidR="002C72E4" w:rsidRPr="00DC4E2D" w:rsidRDefault="002C72E4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AFB7B" w14:textId="77777777" w:rsidR="002C72E4" w:rsidRPr="00DC4E2D" w:rsidRDefault="002C72E4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108E6BB0" w14:textId="77777777" w:rsidR="002C72E4" w:rsidRPr="00DC4E2D" w:rsidRDefault="002C72E4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2C5F5C9" w14:textId="77777777" w:rsidR="002C72E4" w:rsidRPr="00DC4E2D" w:rsidRDefault="002C72E4" w:rsidP="002C72E4">
            <w:pPr>
              <w:spacing w:line="240" w:lineRule="auto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2C72E4" w:rsidRPr="008D1759" w14:paraId="4ABD2BCA" w14:textId="77777777" w:rsidTr="00DF5E13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EC12E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 w:rsidRPr="00A53555">
              <w:rPr>
                <w:sz w:val="20"/>
                <w:szCs w:val="20"/>
              </w:rPr>
              <w:t>SKUPAJ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5E0CC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B8D7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8FBED" w14:textId="77777777" w:rsidR="002C72E4" w:rsidRPr="002C72E4" w:rsidRDefault="002C72E4" w:rsidP="002C72E4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bCs/>
                <w:strike/>
                <w:kern w:val="32"/>
                <w:szCs w:val="20"/>
                <w:lang w:eastAsia="sl-SI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1D59B8D" w14:textId="77777777" w:rsidR="002C72E4" w:rsidRPr="002C72E4" w:rsidRDefault="002C72E4" w:rsidP="002C72E4">
            <w:pPr>
              <w:spacing w:line="240" w:lineRule="auto"/>
              <w:jc w:val="center"/>
              <w:rPr>
                <w:rFonts w:cs="Arial"/>
                <w:b/>
                <w:bCs/>
                <w:strike/>
                <w:kern w:val="32"/>
                <w:szCs w:val="20"/>
                <w:lang w:eastAsia="sl-SI"/>
              </w:rPr>
            </w:pPr>
          </w:p>
        </w:tc>
      </w:tr>
      <w:tr w:rsidR="002C72E4" w:rsidRPr="008D1759" w14:paraId="4EF2679C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CDBB" w14:textId="77777777" w:rsidR="002C72E4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ind w:left="601" w:hanging="6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II.b</w:t>
            </w:r>
            <w:proofErr w:type="spellEnd"/>
            <w:r>
              <w:rPr>
                <w:sz w:val="20"/>
                <w:szCs w:val="20"/>
              </w:rPr>
              <w:t xml:space="preserve">      Manjkajoče pravice porabe bodo zagotovljene s prerazporeditvijo:</w:t>
            </w:r>
          </w:p>
        </w:tc>
      </w:tr>
      <w:tr w:rsidR="002C72E4" w:rsidRPr="008D1759" w14:paraId="44564E6C" w14:textId="77777777" w:rsidTr="00DF5E13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9BFF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961FFE">
              <w:rPr>
                <w:b w:val="0"/>
                <w:sz w:val="20"/>
                <w:szCs w:val="20"/>
              </w:rPr>
              <w:t>Ime proračunskega uporabnika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21D654B0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Šifra in naziv ukrepa, projekta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67BAF9E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Šifra in naziv PP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420D0568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Znesek za tekoče leto (t)</w:t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08954BCA" w14:textId="77777777" w:rsidR="002C72E4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Znesek za</w:t>
            </w:r>
          </w:p>
          <w:p w14:paraId="6289322A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 + 1</w:t>
            </w:r>
          </w:p>
        </w:tc>
      </w:tr>
      <w:tr w:rsidR="002C72E4" w:rsidRPr="008D1759" w14:paraId="28C7504C" w14:textId="77777777" w:rsidTr="00DF5E13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64EB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2B637C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947D43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14:paraId="30965ECA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3BF30FF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7A0A5A1D" w14:textId="77777777" w:rsidTr="00DF5E13"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604D27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 w:rsidRPr="00A53555">
              <w:rPr>
                <w:sz w:val="20"/>
                <w:szCs w:val="20"/>
              </w:rPr>
              <w:t>SKUPAJ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C86F7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9B9B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286180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6313D53" w14:textId="77777777" w:rsidR="002C72E4" w:rsidRPr="00961FFE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1D1F08C1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F6E1" w14:textId="77777777" w:rsidR="002C72E4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ind w:left="601" w:hanging="6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II.c</w:t>
            </w:r>
            <w:proofErr w:type="spellEnd"/>
            <w:r>
              <w:rPr>
                <w:sz w:val="20"/>
                <w:szCs w:val="20"/>
              </w:rPr>
              <w:t xml:space="preserve">      Načrtovana nadomestitev zmanjšanih prihodkov in povečanih odhodkov proračuna:</w:t>
            </w:r>
          </w:p>
        </w:tc>
      </w:tr>
      <w:tr w:rsidR="002C72E4" w:rsidRPr="00A53555" w14:paraId="2BE16EB6" w14:textId="77777777" w:rsidTr="00DF5E13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A70F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Novi prihodki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9D8C735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Znesek za tekoče leto (t)</w:t>
            </w:r>
          </w:p>
        </w:tc>
        <w:tc>
          <w:tcPr>
            <w:tcW w:w="2416" w:type="dxa"/>
            <w:gridSpan w:val="3"/>
            <w:shd w:val="clear" w:color="auto" w:fill="auto"/>
          </w:tcPr>
          <w:p w14:paraId="3C5F3783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Znesek za t + 1</w:t>
            </w:r>
          </w:p>
        </w:tc>
      </w:tr>
      <w:tr w:rsidR="002C72E4" w:rsidRPr="008D1759" w14:paraId="5415B07F" w14:textId="77777777" w:rsidTr="00DF5E13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18F5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2072480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shd w:val="clear" w:color="auto" w:fill="auto"/>
          </w:tcPr>
          <w:p w14:paraId="471036DE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6682E0B5" w14:textId="77777777" w:rsidTr="00DF5E13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EDC6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A53555">
              <w:rPr>
                <w:sz w:val="20"/>
                <w:szCs w:val="20"/>
              </w:rPr>
              <w:t>SKUPAJ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EA584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30719A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17252763" w14:textId="77777777" w:rsidTr="00DF5E13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36FB2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0E7BE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22F6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529CB330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C9A6" w14:textId="77777777" w:rsidR="002C72E4" w:rsidRPr="00D731F3" w:rsidRDefault="002C72E4" w:rsidP="002C72E4">
            <w:pPr>
              <w:spacing w:before="60" w:line="276" w:lineRule="auto"/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 xml:space="preserve">7.b </w:t>
            </w:r>
            <w:r>
              <w:rPr>
                <w:rFonts w:cs="Arial"/>
                <w:b/>
                <w:szCs w:val="20"/>
              </w:rPr>
              <w:t xml:space="preserve">    </w:t>
            </w:r>
            <w:r w:rsidRPr="00D731F3">
              <w:rPr>
                <w:rFonts w:cs="Arial"/>
                <w:b/>
                <w:szCs w:val="20"/>
              </w:rPr>
              <w:t>Predstavitev ocene finančnih posledic pod 40.000 EUR:</w:t>
            </w:r>
          </w:p>
          <w:p w14:paraId="4098A020" w14:textId="77777777" w:rsidR="002C72E4" w:rsidRPr="00171E3B" w:rsidRDefault="002C72E4" w:rsidP="002C72E4">
            <w:pPr>
              <w:spacing w:line="276" w:lineRule="auto"/>
              <w:rPr>
                <w:rFonts w:cs="Arial"/>
                <w:szCs w:val="20"/>
              </w:rPr>
            </w:pPr>
            <w:r w:rsidRPr="00171E3B">
              <w:rPr>
                <w:rFonts w:cs="Arial"/>
                <w:szCs w:val="20"/>
              </w:rPr>
              <w:t>(Samo če izberete NE pod točko 6.a.)</w:t>
            </w:r>
          </w:p>
          <w:p w14:paraId="3A43B5A8" w14:textId="77777777" w:rsidR="002C72E4" w:rsidRPr="00A53555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60" w:after="0" w:line="276" w:lineRule="auto"/>
              <w:jc w:val="left"/>
              <w:rPr>
                <w:sz w:val="20"/>
                <w:szCs w:val="20"/>
              </w:rPr>
            </w:pPr>
            <w:r w:rsidRPr="00A53555">
              <w:rPr>
                <w:b w:val="0"/>
                <w:sz w:val="20"/>
                <w:szCs w:val="20"/>
              </w:rPr>
              <w:t>Kratka obrazložitev:</w:t>
            </w:r>
          </w:p>
        </w:tc>
      </w:tr>
      <w:tr w:rsidR="002C72E4" w:rsidRPr="008D1759" w14:paraId="08F3F425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B60" w14:textId="77777777" w:rsidR="002C72E4" w:rsidRPr="00D731F3" w:rsidRDefault="002C72E4" w:rsidP="002C72E4">
            <w:pPr>
              <w:spacing w:before="60" w:line="276" w:lineRule="auto"/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 xml:space="preserve">8. </w:t>
            </w:r>
            <w:r>
              <w:rPr>
                <w:rFonts w:cs="Arial"/>
                <w:b/>
                <w:szCs w:val="20"/>
              </w:rPr>
              <w:t xml:space="preserve">    </w:t>
            </w:r>
            <w:r w:rsidRPr="00171E3B">
              <w:rPr>
                <w:rFonts w:cs="Arial"/>
                <w:b/>
                <w:szCs w:val="20"/>
              </w:rPr>
              <w:t>Predstavitev sodelovanja z združenji občin:</w:t>
            </w:r>
          </w:p>
        </w:tc>
      </w:tr>
      <w:tr w:rsidR="002C72E4" w:rsidRPr="008D1759" w14:paraId="64A7DF78" w14:textId="77777777" w:rsidTr="00DF5E13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E2FF" w14:textId="77777777" w:rsidR="002C72E4" w:rsidRPr="00171E3B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54B602EA" w14:textId="77777777" w:rsidR="002C72E4" w:rsidRDefault="002C72E4" w:rsidP="00390207">
            <w:pPr>
              <w:pStyle w:val="Neotevilenodstavek"/>
              <w:widowControl w:val="0"/>
              <w:numPr>
                <w:ilvl w:val="1"/>
                <w:numId w:val="6"/>
              </w:numPr>
              <w:spacing w:before="0" w:after="0" w:line="276" w:lineRule="auto"/>
              <w:ind w:left="276" w:hanging="276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659AA046" w14:textId="77777777" w:rsidR="002C72E4" w:rsidRPr="004E504A" w:rsidRDefault="002C72E4" w:rsidP="00390207">
            <w:pPr>
              <w:pStyle w:val="Neotevilenodstavek"/>
              <w:widowControl w:val="0"/>
              <w:numPr>
                <w:ilvl w:val="1"/>
                <w:numId w:val="6"/>
              </w:numPr>
              <w:spacing w:before="0" w:after="0" w:line="276" w:lineRule="auto"/>
              <w:ind w:left="276" w:hanging="276"/>
              <w:rPr>
                <w:b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78039264" w14:textId="77777777" w:rsidR="002C72E4" w:rsidRPr="00171E3B" w:rsidRDefault="002C72E4" w:rsidP="00390207">
            <w:pPr>
              <w:pStyle w:val="Neotevilenodstavek"/>
              <w:widowControl w:val="0"/>
              <w:numPr>
                <w:ilvl w:val="1"/>
                <w:numId w:val="6"/>
              </w:numPr>
              <w:spacing w:before="0" w:after="0" w:line="276" w:lineRule="auto"/>
              <w:ind w:left="276" w:hanging="276"/>
              <w:rPr>
                <w:b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156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13F4EC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7AA8A803" w14:textId="77777777" w:rsidTr="00DF5E13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E15A" w14:textId="77777777" w:rsidR="002C72E4" w:rsidRPr="00171E3B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5FC9B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</w:p>
        </w:tc>
      </w:tr>
      <w:tr w:rsidR="002C72E4" w:rsidRPr="008D1759" w14:paraId="1A37D182" w14:textId="77777777" w:rsidTr="00DF5E13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75E6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8"/>
              </w:numPr>
              <w:spacing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Skupnost občin Slovenije SOS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1C74F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264B338C" w14:textId="77777777" w:rsidTr="00DF5E13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175B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8"/>
              </w:numPr>
              <w:spacing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Združenje občin Slovenije ZOS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25E18F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142A0BF7" w14:textId="77777777" w:rsidTr="00DF5E13">
        <w:tc>
          <w:tcPr>
            <w:tcW w:w="765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3A6F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8"/>
              </w:numPr>
              <w:spacing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Združenje mestnih občin Slovenije ZMOS</w:t>
            </w:r>
          </w:p>
        </w:tc>
        <w:tc>
          <w:tcPr>
            <w:tcW w:w="156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F6D1F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0E71BD8C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C412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7383A8FF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76" w:lineRule="auto"/>
              <w:ind w:left="318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 celoti,</w:t>
            </w:r>
          </w:p>
          <w:p w14:paraId="1CF74343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76" w:lineRule="auto"/>
              <w:ind w:left="318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večinoma,</w:t>
            </w:r>
          </w:p>
          <w:p w14:paraId="54DC284C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76" w:lineRule="auto"/>
              <w:ind w:left="318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delno,</w:t>
            </w:r>
          </w:p>
          <w:p w14:paraId="1D02C5FA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76" w:lineRule="auto"/>
              <w:ind w:left="318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niso bili upoštevani.</w:t>
            </w:r>
          </w:p>
        </w:tc>
      </w:tr>
      <w:tr w:rsidR="002C72E4" w:rsidRPr="008D1759" w14:paraId="4A5C2044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6067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Bistveni predlogi in pripombe, ki niso bili upoštevani:</w:t>
            </w:r>
          </w:p>
        </w:tc>
      </w:tr>
      <w:tr w:rsidR="002C72E4" w:rsidRPr="008D1759" w14:paraId="23E308D1" w14:textId="77777777" w:rsidTr="00DF5E13"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AA2B" w14:textId="77777777" w:rsidR="002C72E4" w:rsidRPr="003D20AE" w:rsidRDefault="002C72E4" w:rsidP="002C72E4">
            <w:pPr>
              <w:pStyle w:val="Neotevilenodstavek"/>
              <w:widowControl w:val="0"/>
              <w:spacing w:after="0" w:line="276" w:lineRule="auto"/>
              <w:ind w:left="601" w:hanging="601"/>
              <w:rPr>
                <w:b/>
                <w:iCs/>
                <w:sz w:val="20"/>
                <w:szCs w:val="20"/>
              </w:rPr>
            </w:pPr>
            <w:r w:rsidRPr="003D20AE">
              <w:rPr>
                <w:b/>
                <w:iCs/>
                <w:sz w:val="20"/>
                <w:szCs w:val="20"/>
              </w:rPr>
              <w:t xml:space="preserve">9. </w:t>
            </w:r>
            <w:r>
              <w:rPr>
                <w:b/>
                <w:iCs/>
                <w:sz w:val="20"/>
                <w:szCs w:val="20"/>
              </w:rPr>
              <w:t xml:space="preserve">    </w:t>
            </w:r>
            <w:r w:rsidRPr="003D20AE">
              <w:rPr>
                <w:b/>
                <w:iCs/>
                <w:sz w:val="20"/>
                <w:szCs w:val="20"/>
              </w:rPr>
              <w:t>Predstavitev sodelovanja javnosti:</w:t>
            </w:r>
          </w:p>
        </w:tc>
      </w:tr>
      <w:tr w:rsidR="002C72E4" w:rsidRPr="008D1759" w14:paraId="3FE74255" w14:textId="77777777" w:rsidTr="00DF5E13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018E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156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06974D" w14:textId="77777777" w:rsidR="002C72E4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67E1DF0C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D28" w14:textId="6F646F98" w:rsidR="002C72E4" w:rsidRDefault="00DF5E13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 w:rsidRPr="00DF5E13">
              <w:rPr>
                <w:iCs/>
                <w:sz w:val="20"/>
                <w:szCs w:val="20"/>
              </w:rPr>
              <w:t>Gradivo ni takšne narave, da bi ga bilo treba objaviti na spletni strani predlagatelja.</w:t>
            </w:r>
          </w:p>
        </w:tc>
      </w:tr>
      <w:tr w:rsidR="002C72E4" w:rsidRPr="008D1759" w14:paraId="4FEBD0DA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AF31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(Če je odgovor </w:t>
            </w:r>
            <w:r w:rsidRPr="00FB05AF">
              <w:rPr>
                <w:b/>
                <w:iCs/>
                <w:sz w:val="20"/>
                <w:szCs w:val="20"/>
              </w:rPr>
              <w:t>DA</w:t>
            </w:r>
            <w:r>
              <w:rPr>
                <w:iCs/>
                <w:sz w:val="20"/>
                <w:szCs w:val="20"/>
              </w:rPr>
              <w:t>, navedete:</w:t>
            </w:r>
          </w:p>
        </w:tc>
      </w:tr>
      <w:tr w:rsidR="002C72E4" w:rsidRPr="008D1759" w14:paraId="475071D1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42C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Datum objave:</w:t>
            </w:r>
          </w:p>
        </w:tc>
      </w:tr>
      <w:tr w:rsidR="002C72E4" w:rsidRPr="008D1759" w14:paraId="677DD91B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43DA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 razpravo so bili vključeni:</w:t>
            </w:r>
          </w:p>
          <w:p w14:paraId="3AD6F5BC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nevladne organizacije,</w:t>
            </w:r>
          </w:p>
          <w:p w14:paraId="639E0ABB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predstavniki zainteresirane javnosti,</w:t>
            </w:r>
          </w:p>
          <w:p w14:paraId="410E952E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predstavniki strokovne javnosti.</w:t>
            </w:r>
          </w:p>
        </w:tc>
      </w:tr>
      <w:tr w:rsidR="002C72E4" w:rsidRPr="008D1759" w14:paraId="053F98FD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C104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Mnenja, predlogi in pripombe z navedbo predlagateljev:</w:t>
            </w:r>
          </w:p>
        </w:tc>
      </w:tr>
      <w:tr w:rsidR="002C72E4" w:rsidRPr="008D1759" w14:paraId="4635DB95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CFEA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Upoštevani so bili:</w:t>
            </w:r>
          </w:p>
          <w:p w14:paraId="79213213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v celoti,</w:t>
            </w:r>
          </w:p>
          <w:p w14:paraId="098AFCAA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večinoma,</w:t>
            </w:r>
          </w:p>
          <w:p w14:paraId="340BBFAE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delno,</w:t>
            </w:r>
          </w:p>
          <w:p w14:paraId="41C53959" w14:textId="77777777" w:rsidR="002C72E4" w:rsidRDefault="002C72E4" w:rsidP="00390207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76" w:lineRule="auto"/>
              <w:ind w:left="244" w:hanging="28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niso bili upoštevani.</w:t>
            </w:r>
          </w:p>
        </w:tc>
      </w:tr>
      <w:tr w:rsidR="002C72E4" w:rsidRPr="008D1759" w14:paraId="74F6066A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AB36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Bistvena mnenja, predlogi in pripombe, ki niso bili upoštevani ter razlogi za neupoštevanje:</w:t>
            </w:r>
          </w:p>
        </w:tc>
      </w:tr>
      <w:tr w:rsidR="002C72E4" w:rsidRPr="008D1759" w14:paraId="2C9D6C64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FB82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Poročilo je bilo dano …</w:t>
            </w:r>
          </w:p>
        </w:tc>
      </w:tr>
      <w:tr w:rsidR="002C72E4" w:rsidRPr="008D1759" w14:paraId="66C615C5" w14:textId="77777777" w:rsidTr="00DF5E13">
        <w:tc>
          <w:tcPr>
            <w:tcW w:w="921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FAB7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Javnost je bila vključena v pripravo gradiva v skladu z Zakonom o …, kar je navedeno v predlogu predpisa.</w:t>
            </w:r>
          </w:p>
        </w:tc>
      </w:tr>
      <w:tr w:rsidR="002C72E4" w:rsidRPr="008D1759" w14:paraId="0E7F1E50" w14:textId="77777777" w:rsidTr="00DF5E13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7DB" w14:textId="030F0231" w:rsidR="002C72E4" w:rsidRDefault="002C72E4" w:rsidP="002C72E4">
            <w:pPr>
              <w:pStyle w:val="Neotevilenodstavek"/>
              <w:widowControl w:val="0"/>
              <w:spacing w:after="0" w:line="276" w:lineRule="auto"/>
              <w:ind w:left="459" w:hanging="459"/>
              <w:rPr>
                <w:iCs/>
                <w:sz w:val="20"/>
                <w:szCs w:val="20"/>
              </w:rPr>
            </w:pPr>
            <w:r w:rsidRPr="00FB05AF">
              <w:rPr>
                <w:b/>
                <w:iCs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1261EF9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4AC68300" w14:textId="77777777" w:rsidTr="00DF5E13"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8D19" w14:textId="43FFD623" w:rsidR="002C72E4" w:rsidRPr="00FB05AF" w:rsidRDefault="002C72E4" w:rsidP="002C72E4">
            <w:pPr>
              <w:pStyle w:val="Neotevilenodstavek"/>
              <w:widowControl w:val="0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FB05AF">
              <w:rPr>
                <w:b/>
                <w:iCs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38C3CE1A" w14:textId="77777777" w:rsidR="002C72E4" w:rsidRPr="001C01DC" w:rsidRDefault="002C72E4" w:rsidP="002C72E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1C01DC">
              <w:rPr>
                <w:b w:val="0"/>
                <w:sz w:val="20"/>
                <w:szCs w:val="20"/>
              </w:rPr>
              <w:t>DA/</w:t>
            </w:r>
            <w:r w:rsidRPr="002C72E4">
              <w:rPr>
                <w:sz w:val="20"/>
                <w:szCs w:val="20"/>
              </w:rPr>
              <w:t>NE</w:t>
            </w:r>
          </w:p>
        </w:tc>
      </w:tr>
      <w:tr w:rsidR="002C72E4" w:rsidRPr="008D1759" w14:paraId="6BFC006A" w14:textId="77777777" w:rsidTr="00DF5E13">
        <w:trPr>
          <w:gridBefore w:val="4"/>
          <w:wBefore w:w="4395" w:type="dxa"/>
        </w:trPr>
        <w:tc>
          <w:tcPr>
            <w:tcW w:w="4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C82BF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b/>
                <w:iCs/>
                <w:sz w:val="20"/>
                <w:szCs w:val="20"/>
              </w:rPr>
            </w:pPr>
          </w:p>
          <w:p w14:paraId="5B50BADE" w14:textId="77777777" w:rsidR="002C72E4" w:rsidRDefault="002C72E4" w:rsidP="002C72E4">
            <w:pPr>
              <w:pStyle w:val="Neotevilenodstavek"/>
              <w:widowControl w:val="0"/>
              <w:spacing w:after="0" w:line="276" w:lineRule="auto"/>
              <w:rPr>
                <w:iCs/>
                <w:sz w:val="20"/>
                <w:szCs w:val="20"/>
              </w:rPr>
            </w:pPr>
          </w:p>
          <w:p w14:paraId="02C940A3" w14:textId="0FB4C043" w:rsidR="00EB143E" w:rsidRDefault="00A2798D" w:rsidP="002C72E4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Dr. Uroš Svete</w:t>
            </w:r>
          </w:p>
          <w:p w14:paraId="66D74842" w14:textId="65607E59" w:rsidR="002C72E4" w:rsidRPr="00FB05AF" w:rsidRDefault="002447ED" w:rsidP="002C72E4">
            <w:pPr>
              <w:pStyle w:val="Neotevilenodstavek"/>
              <w:widowControl w:val="0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direktor urada</w:t>
            </w:r>
          </w:p>
        </w:tc>
      </w:tr>
      <w:tr w:rsidR="00EB143E" w:rsidRPr="008D1759" w14:paraId="30B70711" w14:textId="77777777" w:rsidTr="00DF5E13">
        <w:trPr>
          <w:gridBefore w:val="4"/>
          <w:wBefore w:w="4395" w:type="dxa"/>
        </w:trPr>
        <w:tc>
          <w:tcPr>
            <w:tcW w:w="4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41F06" w14:textId="77777777" w:rsidR="00EB143E" w:rsidRDefault="00EB143E" w:rsidP="002C72E4">
            <w:pPr>
              <w:pStyle w:val="Neotevilenodstavek"/>
              <w:widowControl w:val="0"/>
              <w:spacing w:after="0" w:line="276" w:lineRule="auto"/>
              <w:rPr>
                <w:b/>
                <w:iCs/>
                <w:sz w:val="20"/>
                <w:szCs w:val="20"/>
              </w:rPr>
            </w:pPr>
          </w:p>
        </w:tc>
      </w:tr>
    </w:tbl>
    <w:p w14:paraId="0EDB223C" w14:textId="77777777" w:rsidR="00D731F3" w:rsidRPr="008D1759" w:rsidRDefault="00D731F3" w:rsidP="00D731F3">
      <w:pPr>
        <w:keepLines/>
        <w:framePr w:w="9962" w:wrap="auto" w:hAnchor="text" w:x="1300"/>
        <w:rPr>
          <w:rFonts w:cs="Arial"/>
          <w:szCs w:val="20"/>
        </w:rPr>
        <w:sectPr w:rsidR="00D731F3" w:rsidRPr="008D1759" w:rsidSect="00A150F1">
          <w:headerReference w:type="firs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8229803" w14:textId="77777777" w:rsidR="00324036" w:rsidRDefault="00324036" w:rsidP="00324036">
      <w:pPr>
        <w:jc w:val="right"/>
        <w:rPr>
          <w:rFonts w:cs="Arial"/>
          <w:szCs w:val="20"/>
        </w:rPr>
      </w:pPr>
    </w:p>
    <w:p w14:paraId="322E54E7" w14:textId="77777777" w:rsidR="00324036" w:rsidRDefault="00324036" w:rsidP="00324036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>PREDLOG SKLEPA</w:t>
      </w:r>
    </w:p>
    <w:p w14:paraId="367BEE88" w14:textId="77777777" w:rsidR="00324036" w:rsidRDefault="00324036" w:rsidP="007B3D52">
      <w:pPr>
        <w:jc w:val="both"/>
        <w:rPr>
          <w:rFonts w:cs="Arial"/>
          <w:szCs w:val="20"/>
        </w:rPr>
      </w:pPr>
    </w:p>
    <w:p w14:paraId="4B7AB9F9" w14:textId="77777777" w:rsidR="00324036" w:rsidRDefault="00324036" w:rsidP="007B3D52">
      <w:pPr>
        <w:jc w:val="both"/>
        <w:rPr>
          <w:rFonts w:cs="Arial"/>
          <w:szCs w:val="20"/>
        </w:rPr>
      </w:pPr>
    </w:p>
    <w:p w14:paraId="3E3D7074" w14:textId="77777777" w:rsidR="00324036" w:rsidRDefault="00324036" w:rsidP="007B3D52">
      <w:pPr>
        <w:jc w:val="both"/>
        <w:rPr>
          <w:rFonts w:cs="Arial"/>
          <w:szCs w:val="20"/>
        </w:rPr>
      </w:pPr>
    </w:p>
    <w:p w14:paraId="560FFAAA" w14:textId="77777777" w:rsidR="00324036" w:rsidRDefault="00324036" w:rsidP="007B3D52">
      <w:pPr>
        <w:jc w:val="both"/>
        <w:rPr>
          <w:rFonts w:cs="Arial"/>
          <w:szCs w:val="20"/>
        </w:rPr>
      </w:pPr>
    </w:p>
    <w:p w14:paraId="3E103482" w14:textId="77777777" w:rsidR="00324036" w:rsidRDefault="00324036" w:rsidP="007B3D52">
      <w:pPr>
        <w:jc w:val="both"/>
        <w:rPr>
          <w:rFonts w:cs="Arial"/>
          <w:szCs w:val="20"/>
        </w:rPr>
      </w:pPr>
    </w:p>
    <w:p w14:paraId="0B16E4B0" w14:textId="73658376" w:rsidR="00897B7F" w:rsidRPr="00897B7F" w:rsidRDefault="00897B7F" w:rsidP="00257525">
      <w:pPr>
        <w:spacing w:line="240" w:lineRule="exact"/>
        <w:jc w:val="both"/>
        <w:rPr>
          <w:rFonts w:cs="Arial"/>
          <w:color w:val="000000"/>
        </w:rPr>
      </w:pPr>
      <w:r w:rsidRPr="00897B7F">
        <w:rPr>
          <w:rFonts w:cs="Arial"/>
          <w:color w:val="000000"/>
        </w:rPr>
        <w:t xml:space="preserve">Na podlagi 21. člena Zakona o Vladi Republike Slovenije (Uradni list RS, št. 24/05 – UPB-1, 109/08, 38/10 – ZUKN, 8/12, 21/13, 47/13 – ZDU1-G, 65/14, 55/17 in 163/22) je Vlada Republike Slovenije na svoji </w:t>
      </w:r>
      <w:r w:rsidR="009E054D">
        <w:rPr>
          <w:rFonts w:cs="Arial"/>
          <w:color w:val="000000"/>
        </w:rPr>
        <w:t xml:space="preserve">… </w:t>
      </w:r>
      <w:r w:rsidRPr="00897B7F">
        <w:rPr>
          <w:rFonts w:cs="Arial"/>
          <w:color w:val="000000"/>
        </w:rPr>
        <w:t>seji dne … pod točko … sprejela naslednji sklep:</w:t>
      </w:r>
    </w:p>
    <w:p w14:paraId="084FE984" w14:textId="77777777" w:rsidR="00897B7F" w:rsidRPr="00897B7F" w:rsidRDefault="00897B7F" w:rsidP="00897B7F">
      <w:pPr>
        <w:spacing w:line="240" w:lineRule="exact"/>
        <w:rPr>
          <w:rFonts w:cs="Arial"/>
          <w:color w:val="000000"/>
        </w:rPr>
      </w:pPr>
    </w:p>
    <w:p w14:paraId="7CBE1B8E" w14:textId="77777777" w:rsidR="00897B7F" w:rsidRPr="00897B7F" w:rsidRDefault="00897B7F" w:rsidP="00897B7F">
      <w:pPr>
        <w:spacing w:line="240" w:lineRule="exact"/>
        <w:rPr>
          <w:rFonts w:cs="Arial"/>
          <w:color w:val="000000"/>
        </w:rPr>
      </w:pPr>
    </w:p>
    <w:p w14:paraId="2434160A" w14:textId="77777777" w:rsidR="00897B7F" w:rsidRPr="00897B7F" w:rsidRDefault="00897B7F" w:rsidP="00897B7F">
      <w:pPr>
        <w:spacing w:line="240" w:lineRule="exact"/>
        <w:rPr>
          <w:rFonts w:cs="Arial"/>
          <w:color w:val="000000"/>
        </w:rPr>
      </w:pPr>
    </w:p>
    <w:p w14:paraId="7D3E566B" w14:textId="1A46310B" w:rsidR="00897B7F" w:rsidRPr="00897B7F" w:rsidRDefault="00897B7F" w:rsidP="002447ED">
      <w:pPr>
        <w:spacing w:line="240" w:lineRule="exact"/>
        <w:jc w:val="both"/>
        <w:rPr>
          <w:rFonts w:cs="Arial"/>
          <w:color w:val="000000"/>
        </w:rPr>
      </w:pPr>
      <w:r w:rsidRPr="00897B7F">
        <w:rPr>
          <w:rFonts w:cs="Arial"/>
          <w:color w:val="000000"/>
        </w:rPr>
        <w:t xml:space="preserve">Vlada Republike Slovenije je izdala </w:t>
      </w:r>
      <w:r w:rsidR="002447ED" w:rsidRPr="002447ED">
        <w:rPr>
          <w:rFonts w:cs="Arial"/>
          <w:color w:val="000000"/>
        </w:rPr>
        <w:t xml:space="preserve">Odlok o </w:t>
      </w:r>
      <w:r w:rsidR="00A2798D">
        <w:rPr>
          <w:rFonts w:cs="Arial"/>
          <w:color w:val="000000"/>
        </w:rPr>
        <w:t xml:space="preserve">spremembah </w:t>
      </w:r>
      <w:r w:rsidR="002447ED" w:rsidRPr="002447ED">
        <w:rPr>
          <w:rFonts w:cs="Arial"/>
          <w:color w:val="000000"/>
        </w:rPr>
        <w:t>Odloka o ustanovitvi, nalogah in organizaciji Urada Vlade Republike Slovenije za</w:t>
      </w:r>
      <w:r w:rsidR="002447ED">
        <w:rPr>
          <w:rFonts w:cs="Arial"/>
          <w:color w:val="000000"/>
        </w:rPr>
        <w:t xml:space="preserve"> </w:t>
      </w:r>
      <w:r w:rsidR="002447ED" w:rsidRPr="002447ED">
        <w:rPr>
          <w:rFonts w:cs="Arial"/>
          <w:color w:val="000000"/>
        </w:rPr>
        <w:t xml:space="preserve">informacijsko varnost </w:t>
      </w:r>
      <w:r w:rsidRPr="00897B7F">
        <w:rPr>
          <w:rFonts w:cs="Arial"/>
          <w:color w:val="000000"/>
        </w:rPr>
        <w:t>in ga objavi v Uradnem listu Republike Slovenije.</w:t>
      </w:r>
    </w:p>
    <w:p w14:paraId="5B865070" w14:textId="77777777" w:rsidR="00897B7F" w:rsidRPr="00897B7F" w:rsidRDefault="00897B7F" w:rsidP="00897B7F">
      <w:pPr>
        <w:spacing w:line="240" w:lineRule="exact"/>
        <w:rPr>
          <w:rFonts w:cs="Arial"/>
          <w:color w:val="000000"/>
        </w:rPr>
      </w:pPr>
    </w:p>
    <w:p w14:paraId="4AC8C568" w14:textId="77777777" w:rsidR="00897B7F" w:rsidRPr="00897B7F" w:rsidRDefault="00897B7F" w:rsidP="00897B7F">
      <w:pPr>
        <w:spacing w:line="240" w:lineRule="exact"/>
        <w:rPr>
          <w:rFonts w:cs="Arial"/>
          <w:color w:val="000000"/>
        </w:rPr>
      </w:pPr>
    </w:p>
    <w:p w14:paraId="134A1621" w14:textId="77777777" w:rsidR="00897B7F" w:rsidRPr="00897B7F" w:rsidRDefault="00897B7F" w:rsidP="00897B7F">
      <w:pPr>
        <w:spacing w:line="240" w:lineRule="exact"/>
        <w:rPr>
          <w:rFonts w:cs="Arial"/>
          <w:color w:val="000000"/>
        </w:rPr>
      </w:pPr>
    </w:p>
    <w:p w14:paraId="1C3FA052" w14:textId="77777777" w:rsidR="00897B7F" w:rsidRPr="00897B7F" w:rsidRDefault="00897B7F" w:rsidP="00897B7F">
      <w:pPr>
        <w:spacing w:line="240" w:lineRule="exact"/>
        <w:ind w:left="3600" w:firstLine="720"/>
        <w:rPr>
          <w:rFonts w:cs="Arial"/>
          <w:color w:val="000000"/>
        </w:rPr>
      </w:pPr>
      <w:r w:rsidRPr="00897B7F">
        <w:rPr>
          <w:rFonts w:cs="Arial"/>
          <w:color w:val="000000"/>
        </w:rPr>
        <w:t xml:space="preserve">Barbara Kolenko </w:t>
      </w:r>
      <w:proofErr w:type="spellStart"/>
      <w:r w:rsidRPr="00897B7F">
        <w:rPr>
          <w:rFonts w:cs="Arial"/>
          <w:color w:val="000000"/>
        </w:rPr>
        <w:t>Helbl</w:t>
      </w:r>
      <w:proofErr w:type="spellEnd"/>
    </w:p>
    <w:p w14:paraId="4FF62355" w14:textId="0C22B164" w:rsidR="00897B7F" w:rsidRPr="00897B7F" w:rsidRDefault="00897B7F" w:rsidP="00897B7F">
      <w:pPr>
        <w:spacing w:line="240" w:lineRule="exact"/>
        <w:ind w:left="3600" w:firstLine="720"/>
        <w:rPr>
          <w:rFonts w:cs="Arial"/>
          <w:color w:val="000000"/>
        </w:rPr>
      </w:pPr>
      <w:r w:rsidRPr="00897B7F">
        <w:rPr>
          <w:rFonts w:cs="Arial"/>
          <w:color w:val="000000"/>
        </w:rPr>
        <w:t>generalna sekretarka</w:t>
      </w:r>
    </w:p>
    <w:p w14:paraId="30B660E7" w14:textId="77777777" w:rsidR="00897B7F" w:rsidRPr="00897B7F" w:rsidRDefault="00897B7F" w:rsidP="00897B7F">
      <w:pPr>
        <w:spacing w:line="240" w:lineRule="exact"/>
        <w:rPr>
          <w:rFonts w:cs="Arial"/>
          <w:color w:val="000000"/>
        </w:rPr>
      </w:pPr>
    </w:p>
    <w:p w14:paraId="5FB03C68" w14:textId="77777777" w:rsidR="00897B7F" w:rsidRPr="00897B7F" w:rsidRDefault="00897B7F" w:rsidP="00897B7F">
      <w:pPr>
        <w:spacing w:line="240" w:lineRule="exact"/>
        <w:rPr>
          <w:rFonts w:cs="Arial"/>
          <w:color w:val="000000"/>
        </w:rPr>
      </w:pPr>
    </w:p>
    <w:p w14:paraId="13606C1B" w14:textId="77777777" w:rsidR="00676ABA" w:rsidRDefault="00676ABA" w:rsidP="00897B7F">
      <w:pPr>
        <w:spacing w:line="240" w:lineRule="exact"/>
        <w:rPr>
          <w:rFonts w:cs="Arial"/>
          <w:color w:val="000000"/>
        </w:rPr>
      </w:pPr>
    </w:p>
    <w:p w14:paraId="070A4E5B" w14:textId="2AE7A2E1" w:rsidR="00897B7F" w:rsidRPr="00897B7F" w:rsidRDefault="00897B7F" w:rsidP="00897B7F">
      <w:pPr>
        <w:spacing w:line="240" w:lineRule="exact"/>
        <w:rPr>
          <w:rFonts w:cs="Arial"/>
          <w:color w:val="000000"/>
        </w:rPr>
      </w:pPr>
      <w:r w:rsidRPr="00897B7F">
        <w:rPr>
          <w:rFonts w:cs="Arial"/>
          <w:color w:val="000000"/>
        </w:rPr>
        <w:t xml:space="preserve">Sklep prejmejo: </w:t>
      </w:r>
    </w:p>
    <w:p w14:paraId="316CB41A" w14:textId="4C7D3394" w:rsidR="00897B7F" w:rsidRPr="00897B7F" w:rsidRDefault="00C67DCA" w:rsidP="00897B7F">
      <w:pPr>
        <w:spacing w:line="240" w:lineRule="exact"/>
        <w:rPr>
          <w:rFonts w:cs="Arial"/>
          <w:color w:val="000000"/>
        </w:rPr>
      </w:pPr>
      <w:r>
        <w:rPr>
          <w:rFonts w:cs="Arial"/>
          <w:color w:val="000000"/>
        </w:rPr>
        <w:t>–</w:t>
      </w:r>
      <w:r w:rsidRPr="00897B7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m</w:t>
      </w:r>
      <w:r w:rsidR="00897B7F" w:rsidRPr="00897B7F">
        <w:rPr>
          <w:rFonts w:cs="Arial"/>
          <w:color w:val="000000"/>
        </w:rPr>
        <w:t>inistrstva in vladne službe</w:t>
      </w:r>
    </w:p>
    <w:p w14:paraId="32462861" w14:textId="77777777" w:rsidR="00897B7F" w:rsidRPr="00897B7F" w:rsidRDefault="00897B7F" w:rsidP="00897B7F">
      <w:pPr>
        <w:spacing w:line="240" w:lineRule="exact"/>
        <w:rPr>
          <w:rFonts w:cs="Arial"/>
          <w:color w:val="000000"/>
        </w:rPr>
      </w:pPr>
    </w:p>
    <w:p w14:paraId="4DC3123A" w14:textId="77777777" w:rsidR="004072FE" w:rsidRDefault="004072FE" w:rsidP="00897B7F">
      <w:pPr>
        <w:spacing w:line="240" w:lineRule="exact"/>
        <w:rPr>
          <w:rFonts w:cs="Arial"/>
          <w:color w:val="000000"/>
        </w:rPr>
      </w:pPr>
    </w:p>
    <w:p w14:paraId="674E2D4F" w14:textId="77777777" w:rsidR="00676ABA" w:rsidRDefault="00676ABA" w:rsidP="00897B7F">
      <w:pPr>
        <w:spacing w:line="240" w:lineRule="exact"/>
        <w:rPr>
          <w:rFonts w:cs="Arial"/>
          <w:color w:val="000000"/>
        </w:rPr>
      </w:pPr>
    </w:p>
    <w:p w14:paraId="4887F066" w14:textId="751FFD87" w:rsidR="00897B7F" w:rsidRPr="00897B7F" w:rsidRDefault="00897B7F" w:rsidP="00897B7F">
      <w:pPr>
        <w:spacing w:line="240" w:lineRule="exact"/>
        <w:rPr>
          <w:rFonts w:cs="Arial"/>
          <w:color w:val="000000"/>
        </w:rPr>
      </w:pPr>
      <w:r w:rsidRPr="00897B7F">
        <w:rPr>
          <w:rFonts w:cs="Arial"/>
          <w:color w:val="000000"/>
        </w:rPr>
        <w:t>Prilog</w:t>
      </w:r>
      <w:r w:rsidR="00C67DCA">
        <w:rPr>
          <w:rFonts w:cs="Arial"/>
          <w:color w:val="000000"/>
        </w:rPr>
        <w:t>i</w:t>
      </w:r>
      <w:r w:rsidRPr="00897B7F">
        <w:rPr>
          <w:rFonts w:cs="Arial"/>
          <w:color w:val="000000"/>
        </w:rPr>
        <w:t>:</w:t>
      </w:r>
    </w:p>
    <w:p w14:paraId="221E46C2" w14:textId="6443A7FB" w:rsidR="00897B7F" w:rsidRPr="00897B7F" w:rsidRDefault="00C67DCA" w:rsidP="00897B7F">
      <w:pPr>
        <w:spacing w:line="240" w:lineRule="exact"/>
        <w:rPr>
          <w:rFonts w:cs="Arial"/>
          <w:color w:val="000000"/>
        </w:rPr>
      </w:pPr>
      <w:r>
        <w:rPr>
          <w:rFonts w:cs="Arial"/>
          <w:color w:val="000000"/>
        </w:rPr>
        <w:t>–</w:t>
      </w:r>
      <w:r w:rsidRPr="00897B7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</w:t>
      </w:r>
      <w:r w:rsidR="00897B7F" w:rsidRPr="00897B7F">
        <w:rPr>
          <w:rFonts w:cs="Arial"/>
          <w:color w:val="000000"/>
        </w:rPr>
        <w:t>redlog sklepa vlade</w:t>
      </w:r>
    </w:p>
    <w:p w14:paraId="2C5A06D3" w14:textId="45D6CB43" w:rsidR="007B3D52" w:rsidRPr="00DC4E2D" w:rsidRDefault="00C67DCA" w:rsidP="00897B7F">
      <w:pPr>
        <w:spacing w:line="240" w:lineRule="exact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–</w:t>
      </w:r>
      <w:r w:rsidRPr="00897B7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</w:t>
      </w:r>
      <w:r w:rsidR="00897B7F" w:rsidRPr="00897B7F">
        <w:rPr>
          <w:rFonts w:cs="Arial"/>
          <w:color w:val="000000"/>
        </w:rPr>
        <w:t xml:space="preserve">redlog besedila </w:t>
      </w:r>
      <w:r w:rsidR="002447ED" w:rsidRPr="002447ED">
        <w:rPr>
          <w:rFonts w:cs="Arial"/>
          <w:color w:val="000000"/>
        </w:rPr>
        <w:t>Odlok</w:t>
      </w:r>
      <w:r w:rsidR="002447ED">
        <w:rPr>
          <w:rFonts w:cs="Arial"/>
          <w:color w:val="000000"/>
        </w:rPr>
        <w:t>a</w:t>
      </w:r>
      <w:r w:rsidR="002447ED" w:rsidRPr="002447ED">
        <w:rPr>
          <w:rFonts w:cs="Arial"/>
          <w:color w:val="000000"/>
        </w:rPr>
        <w:t xml:space="preserve"> o </w:t>
      </w:r>
      <w:r w:rsidR="00A2798D">
        <w:rPr>
          <w:rFonts w:cs="Arial"/>
          <w:color w:val="000000"/>
        </w:rPr>
        <w:t xml:space="preserve">spremembah </w:t>
      </w:r>
      <w:r w:rsidR="002447ED" w:rsidRPr="002447ED">
        <w:rPr>
          <w:rFonts w:cs="Arial"/>
          <w:color w:val="000000"/>
        </w:rPr>
        <w:t>Odloka o ustanovitvi, nalogah in organizaciji Urada Vlade Republike Slovenije za informacijsko varnost</w:t>
      </w:r>
    </w:p>
    <w:p w14:paraId="14C49D21" w14:textId="77777777" w:rsidR="00324036" w:rsidRDefault="007B3D52" w:rsidP="007B3D52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0"/>
          <w:lang w:eastAsia="sl-SI"/>
        </w:rPr>
      </w:pPr>
      <w:r w:rsidRPr="00DC4E2D">
        <w:rPr>
          <w:b/>
          <w:szCs w:val="20"/>
          <w:lang w:eastAsia="sl-SI"/>
        </w:rPr>
        <w:br w:type="page"/>
      </w:r>
    </w:p>
    <w:p w14:paraId="55CCB19C" w14:textId="77777777" w:rsidR="00324036" w:rsidRDefault="00324036" w:rsidP="007B3D52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0"/>
          <w:lang w:eastAsia="sl-SI"/>
        </w:rPr>
      </w:pPr>
    </w:p>
    <w:p w14:paraId="28C69779" w14:textId="77777777" w:rsidR="00324036" w:rsidRDefault="00324036" w:rsidP="007B3D52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0"/>
          <w:lang w:eastAsia="sl-SI"/>
        </w:rPr>
      </w:pPr>
    </w:p>
    <w:p w14:paraId="65ADC2B7" w14:textId="77777777" w:rsidR="007B3D52" w:rsidRPr="00DC4E2D" w:rsidRDefault="007B3D52" w:rsidP="007B3D52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szCs w:val="20"/>
          <w:lang w:eastAsia="sl-SI"/>
        </w:rPr>
      </w:pPr>
      <w:r w:rsidRPr="00DC4E2D">
        <w:rPr>
          <w:rFonts w:cs="Arial"/>
          <w:b/>
          <w:szCs w:val="20"/>
          <w:lang w:eastAsia="sl-SI"/>
        </w:rPr>
        <w:t>PRILOGA 3 (jedro gradiva)</w:t>
      </w:r>
    </w:p>
    <w:p w14:paraId="5613C471" w14:textId="77777777" w:rsidR="007B3D52" w:rsidRPr="00DC4E2D" w:rsidRDefault="007B3D52" w:rsidP="007B3D52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szCs w:val="20"/>
          <w:lang w:eastAsia="sl-SI"/>
        </w:rPr>
      </w:pPr>
    </w:p>
    <w:p w14:paraId="4F63F459" w14:textId="77777777" w:rsidR="007B3D52" w:rsidRPr="00DC4E2D" w:rsidRDefault="007B3D52" w:rsidP="007B3D52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szCs w:val="20"/>
          <w:lang w:eastAsia="sl-SI"/>
        </w:rPr>
      </w:pPr>
    </w:p>
    <w:p w14:paraId="48A1D73E" w14:textId="21A4DBA5" w:rsidR="007B3D52" w:rsidRPr="00DC4E2D" w:rsidRDefault="004072FE" w:rsidP="00974B62">
      <w:pPr>
        <w:suppressAutoHyphens/>
        <w:overflowPunct w:val="0"/>
        <w:autoSpaceDE w:val="0"/>
        <w:autoSpaceDN w:val="0"/>
        <w:adjustRightInd w:val="0"/>
        <w:spacing w:line="240" w:lineRule="auto"/>
        <w:ind w:left="6480"/>
        <w:jc w:val="center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OSNUTEK </w:t>
      </w:r>
      <w:r w:rsidR="007B3D52" w:rsidRPr="00DC4E2D">
        <w:rPr>
          <w:rFonts w:cs="Arial"/>
          <w:b/>
          <w:szCs w:val="20"/>
          <w:lang w:eastAsia="sl-SI"/>
        </w:rPr>
        <w:t>PREDLOG</w:t>
      </w:r>
      <w:r>
        <w:rPr>
          <w:rFonts w:cs="Arial"/>
          <w:b/>
          <w:szCs w:val="20"/>
          <w:lang w:eastAsia="sl-SI"/>
        </w:rPr>
        <w:t>A</w:t>
      </w:r>
    </w:p>
    <w:p w14:paraId="03CB485C" w14:textId="25919EC5" w:rsidR="007B3D52" w:rsidRPr="00DC4E2D" w:rsidRDefault="007B3D52" w:rsidP="00974B62">
      <w:pPr>
        <w:suppressAutoHyphens/>
        <w:overflowPunct w:val="0"/>
        <w:autoSpaceDE w:val="0"/>
        <w:autoSpaceDN w:val="0"/>
        <w:adjustRightInd w:val="0"/>
        <w:ind w:left="5760" w:firstLine="720"/>
        <w:jc w:val="center"/>
        <w:textAlignment w:val="baseline"/>
        <w:rPr>
          <w:rFonts w:cs="Arial"/>
          <w:b/>
          <w:szCs w:val="20"/>
          <w:lang w:eastAsia="sl-SI"/>
        </w:rPr>
      </w:pPr>
      <w:r w:rsidRPr="00DC4E2D">
        <w:rPr>
          <w:rFonts w:cs="Arial"/>
          <w:b/>
          <w:szCs w:val="20"/>
          <w:lang w:eastAsia="sl-SI"/>
        </w:rPr>
        <w:t>(EVA</w:t>
      </w:r>
      <w:r w:rsidR="00496451">
        <w:rPr>
          <w:rFonts w:cs="Arial"/>
          <w:b/>
          <w:color w:val="000000"/>
          <w:szCs w:val="20"/>
          <w:lang w:eastAsia="sl-SI"/>
        </w:rPr>
        <w:tab/>
      </w:r>
      <w:r w:rsidR="004072FE" w:rsidRPr="004072FE">
        <w:rPr>
          <w:rFonts w:cs="Arial"/>
          <w:b/>
          <w:color w:val="000000"/>
          <w:szCs w:val="20"/>
          <w:lang w:eastAsia="sl-SI"/>
        </w:rPr>
        <w:t>2025-1544-0004</w:t>
      </w:r>
      <w:r w:rsidRPr="00DC4E2D">
        <w:rPr>
          <w:rFonts w:cs="Arial"/>
          <w:b/>
          <w:color w:val="000000"/>
          <w:szCs w:val="20"/>
          <w:lang w:eastAsia="sl-SI"/>
        </w:rPr>
        <w:t>)</w:t>
      </w:r>
    </w:p>
    <w:p w14:paraId="28A394F1" w14:textId="77777777" w:rsidR="007B3D52" w:rsidRDefault="007B3D52" w:rsidP="007B3D52">
      <w:pPr>
        <w:suppressAutoHyphens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cs="Arial"/>
          <w:b/>
          <w:szCs w:val="20"/>
          <w:lang w:eastAsia="sl-SI"/>
        </w:rPr>
      </w:pPr>
    </w:p>
    <w:p w14:paraId="269598C6" w14:textId="77777777" w:rsidR="007B3D52" w:rsidRDefault="007B3D52" w:rsidP="007B3D52">
      <w:pPr>
        <w:suppressAutoHyphens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cs="Arial"/>
          <w:b/>
          <w:szCs w:val="20"/>
          <w:lang w:eastAsia="sl-SI"/>
        </w:rPr>
      </w:pPr>
    </w:p>
    <w:p w14:paraId="5412B8BF" w14:textId="77777777" w:rsidR="007B3D52" w:rsidRPr="00897B7F" w:rsidRDefault="007B3D52" w:rsidP="007B3D52">
      <w:pPr>
        <w:suppressAutoHyphens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cs="Arial"/>
          <w:b/>
          <w:szCs w:val="20"/>
          <w:lang w:eastAsia="sl-SI"/>
        </w:rPr>
      </w:pPr>
    </w:p>
    <w:p w14:paraId="2A788DCD" w14:textId="383AE0A1" w:rsidR="00F260AB" w:rsidRPr="00230B7C" w:rsidRDefault="00247EEF" w:rsidP="003470C4">
      <w:pPr>
        <w:spacing w:after="160" w:line="278" w:lineRule="auto"/>
        <w:jc w:val="both"/>
      </w:pPr>
      <w:r w:rsidRPr="00253075">
        <w:rPr>
          <w:rFonts w:cs="Arial"/>
          <w:szCs w:val="20"/>
        </w:rPr>
        <w:t xml:space="preserve">Na podlagi tretjega odstavka 21. člena in prvega odstavka 25. člena Zakona o Vladi Republike Slovenije (Uradni list RS, št. 24/05 – uradno prečiščeno besedilo, 109/08, 38/10 – ZUKN, 8/12, 21/13, 47/13 – ZDU-1G, 65/14, 55/17 in 163/22) in </w:t>
      </w:r>
      <w:r w:rsidR="00F260AB" w:rsidRPr="00230B7C">
        <w:t>Zakon</w:t>
      </w:r>
      <w:r w:rsidR="00F260AB">
        <w:t>a</w:t>
      </w:r>
      <w:r w:rsidR="00F260AB" w:rsidRPr="00230B7C">
        <w:t xml:space="preserve"> o informacijski varnosti (Uradni list RS, št. </w:t>
      </w:r>
      <w:hyperlink r:id="rId10" w:tgtFrame="_blank" w:tooltip="Zakon o informacijski varnosti (ZInfV-1)" w:history="1">
        <w:r w:rsidR="00F260AB" w:rsidRPr="00230B7C">
          <w:t>40/25</w:t>
        </w:r>
      </w:hyperlink>
      <w:r w:rsidR="00F260AB">
        <w:t>)</w:t>
      </w:r>
    </w:p>
    <w:p w14:paraId="2D514D03" w14:textId="38A3D7A8" w:rsidR="00247EEF" w:rsidRDefault="00247EEF" w:rsidP="00247EEF">
      <w:pPr>
        <w:jc w:val="both"/>
        <w:rPr>
          <w:rFonts w:cs="Arial"/>
          <w:szCs w:val="20"/>
        </w:rPr>
      </w:pPr>
      <w:r w:rsidRPr="00253075">
        <w:rPr>
          <w:rFonts w:cs="Arial"/>
          <w:szCs w:val="20"/>
        </w:rPr>
        <w:t xml:space="preserve"> Vlada Republike Slovenije izdaja</w:t>
      </w:r>
    </w:p>
    <w:p w14:paraId="0BC19083" w14:textId="77777777" w:rsidR="00676ABA" w:rsidRPr="00253075" w:rsidRDefault="00676ABA" w:rsidP="00247EEF">
      <w:pPr>
        <w:jc w:val="both"/>
        <w:rPr>
          <w:rFonts w:cs="Arial"/>
          <w:szCs w:val="20"/>
        </w:rPr>
      </w:pPr>
    </w:p>
    <w:p w14:paraId="2304428F" w14:textId="77777777" w:rsidR="00247EEF" w:rsidRPr="00253075" w:rsidRDefault="00247EEF" w:rsidP="00247EEF">
      <w:pPr>
        <w:jc w:val="both"/>
        <w:rPr>
          <w:rFonts w:cs="Arial"/>
          <w:szCs w:val="20"/>
        </w:rPr>
      </w:pPr>
    </w:p>
    <w:p w14:paraId="757A32F3" w14:textId="77777777" w:rsidR="00247EEF" w:rsidRPr="00253075" w:rsidRDefault="00247EEF" w:rsidP="00247EEF">
      <w:pPr>
        <w:jc w:val="center"/>
        <w:rPr>
          <w:rFonts w:cs="Arial"/>
          <w:b/>
          <w:bCs/>
          <w:szCs w:val="20"/>
        </w:rPr>
      </w:pPr>
      <w:r w:rsidRPr="00253075">
        <w:rPr>
          <w:rFonts w:cs="Arial"/>
          <w:b/>
          <w:bCs/>
          <w:szCs w:val="20"/>
        </w:rPr>
        <w:t>ODLOK</w:t>
      </w:r>
    </w:p>
    <w:p w14:paraId="6C018DA9" w14:textId="00951FA0" w:rsidR="00247EEF" w:rsidRPr="00253075" w:rsidRDefault="00247EEF" w:rsidP="00247EEF">
      <w:pPr>
        <w:jc w:val="center"/>
        <w:rPr>
          <w:rFonts w:cs="Arial"/>
          <w:b/>
          <w:szCs w:val="20"/>
        </w:rPr>
      </w:pPr>
      <w:r w:rsidRPr="00253075">
        <w:rPr>
          <w:rFonts w:cs="Arial"/>
          <w:b/>
          <w:szCs w:val="20"/>
        </w:rPr>
        <w:t>o spremembah Odloka o ustanovitvi, nalogah in organizaciji Urada Vlade Republike Slovenije za informacijsko varnost</w:t>
      </w:r>
    </w:p>
    <w:p w14:paraId="12A47021" w14:textId="77777777" w:rsidR="00247EEF" w:rsidRDefault="00247EEF" w:rsidP="00247EEF">
      <w:pPr>
        <w:rPr>
          <w:rFonts w:cs="Arial"/>
          <w:b/>
          <w:szCs w:val="20"/>
        </w:rPr>
      </w:pPr>
    </w:p>
    <w:p w14:paraId="496E4C79" w14:textId="7A15DAD7" w:rsidR="00247EEF" w:rsidRPr="00D45906" w:rsidRDefault="00D45906" w:rsidP="00D45906">
      <w:pPr>
        <w:pStyle w:val="Odstavekseznama"/>
        <w:ind w:left="396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1. </w:t>
      </w:r>
      <w:r w:rsidR="00247EEF" w:rsidRPr="00D45906">
        <w:rPr>
          <w:rFonts w:cs="Arial"/>
          <w:b/>
          <w:szCs w:val="20"/>
        </w:rPr>
        <w:t>člen</w:t>
      </w:r>
    </w:p>
    <w:p w14:paraId="48B0F806" w14:textId="77777777" w:rsidR="00B87F04" w:rsidRPr="00B87F04" w:rsidRDefault="00B87F04" w:rsidP="00196C83">
      <w:pPr>
        <w:pStyle w:val="Odstavekseznama"/>
        <w:jc w:val="both"/>
        <w:rPr>
          <w:rFonts w:cs="Arial"/>
          <w:b/>
          <w:szCs w:val="20"/>
        </w:rPr>
      </w:pPr>
    </w:p>
    <w:p w14:paraId="2778976C" w14:textId="7F591D0E" w:rsidR="00247EEF" w:rsidRPr="00253075" w:rsidRDefault="00247EEF" w:rsidP="00196C83">
      <w:pPr>
        <w:jc w:val="both"/>
        <w:rPr>
          <w:rFonts w:cs="Arial"/>
          <w:szCs w:val="20"/>
        </w:rPr>
      </w:pPr>
      <w:r w:rsidRPr="00253075">
        <w:rPr>
          <w:rFonts w:cs="Arial"/>
          <w:szCs w:val="20"/>
        </w:rPr>
        <w:t>V Odloku o ustanovitvi, nalogah in organizaciji Urada Vlade Republike Slovenije za informacijsko varnost (Uradni list RS, št. 114/21 in 69/23) se v 1. členu  besedilo »30/18 in 95/21« nadomesti z besedilom »40/25«.</w:t>
      </w:r>
    </w:p>
    <w:p w14:paraId="5855DF6D" w14:textId="77777777" w:rsidR="00247EEF" w:rsidRDefault="00247EEF" w:rsidP="00196C83">
      <w:pPr>
        <w:jc w:val="both"/>
        <w:rPr>
          <w:rFonts w:cs="Arial"/>
          <w:b/>
          <w:szCs w:val="20"/>
        </w:rPr>
      </w:pPr>
    </w:p>
    <w:p w14:paraId="71694697" w14:textId="77777777" w:rsidR="00247EEF" w:rsidRDefault="00247EEF" w:rsidP="00247EEF">
      <w:pPr>
        <w:jc w:val="center"/>
        <w:rPr>
          <w:rFonts w:cs="Arial"/>
          <w:b/>
          <w:szCs w:val="20"/>
        </w:rPr>
      </w:pPr>
      <w:r w:rsidRPr="00253075">
        <w:rPr>
          <w:rFonts w:cs="Arial"/>
          <w:b/>
          <w:szCs w:val="20"/>
        </w:rPr>
        <w:t>2. člen</w:t>
      </w:r>
    </w:p>
    <w:p w14:paraId="6B18754B" w14:textId="77777777" w:rsidR="00247EEF" w:rsidRPr="00253075" w:rsidRDefault="00247EEF" w:rsidP="00247EEF">
      <w:pPr>
        <w:jc w:val="center"/>
        <w:rPr>
          <w:rFonts w:cs="Arial"/>
          <w:b/>
          <w:szCs w:val="20"/>
        </w:rPr>
      </w:pPr>
    </w:p>
    <w:p w14:paraId="6EC60191" w14:textId="59845A50" w:rsidR="00247EEF" w:rsidRDefault="00247EEF" w:rsidP="00247EEF">
      <w:pPr>
        <w:rPr>
          <w:rFonts w:cs="Arial"/>
          <w:szCs w:val="20"/>
        </w:rPr>
      </w:pPr>
      <w:r>
        <w:rPr>
          <w:rFonts w:cs="Arial"/>
          <w:szCs w:val="20"/>
        </w:rPr>
        <w:t xml:space="preserve">2. člen </w:t>
      </w:r>
      <w:r w:rsidR="00426FFC">
        <w:rPr>
          <w:rFonts w:cs="Arial"/>
          <w:szCs w:val="20"/>
        </w:rPr>
        <w:t xml:space="preserve">se </w:t>
      </w:r>
      <w:r w:rsidRPr="00253075">
        <w:rPr>
          <w:rFonts w:cs="Arial"/>
          <w:szCs w:val="20"/>
        </w:rPr>
        <w:t xml:space="preserve">spremeni tako, da se glasi: </w:t>
      </w:r>
    </w:p>
    <w:p w14:paraId="38E7CB83" w14:textId="77777777" w:rsidR="00044011" w:rsidRPr="00253075" w:rsidRDefault="00044011" w:rsidP="00247EEF">
      <w:pPr>
        <w:rPr>
          <w:rFonts w:cs="Arial"/>
          <w:szCs w:val="20"/>
        </w:rPr>
      </w:pPr>
    </w:p>
    <w:p w14:paraId="3D371B7A" w14:textId="77777777" w:rsidR="00247EEF" w:rsidRPr="00253075" w:rsidRDefault="00247EEF" w:rsidP="00247EEF">
      <w:pPr>
        <w:jc w:val="center"/>
        <w:rPr>
          <w:rFonts w:cs="Arial"/>
          <w:szCs w:val="20"/>
        </w:rPr>
      </w:pPr>
      <w:r w:rsidRPr="00253075">
        <w:rPr>
          <w:rFonts w:cs="Arial"/>
          <w:szCs w:val="20"/>
        </w:rPr>
        <w:t>»2. člen</w:t>
      </w:r>
    </w:p>
    <w:p w14:paraId="4D54EE7A" w14:textId="77777777" w:rsidR="00044011" w:rsidRDefault="00044011" w:rsidP="00044011">
      <w:pPr>
        <w:ind w:firstLine="720"/>
        <w:jc w:val="both"/>
        <w:rPr>
          <w:rFonts w:cs="Arial"/>
          <w:szCs w:val="20"/>
        </w:rPr>
      </w:pPr>
    </w:p>
    <w:p w14:paraId="0625DE48" w14:textId="458991D1" w:rsidR="00247EEF" w:rsidRDefault="00247EEF" w:rsidP="00257525">
      <w:pPr>
        <w:ind w:firstLine="720"/>
        <w:jc w:val="both"/>
        <w:rPr>
          <w:rFonts w:cs="Arial"/>
          <w:szCs w:val="20"/>
        </w:rPr>
      </w:pPr>
      <w:r w:rsidRPr="00253075">
        <w:rPr>
          <w:rFonts w:cs="Arial"/>
          <w:szCs w:val="20"/>
        </w:rPr>
        <w:t>(1) Urad je samostojna vladna služba, ki je pristojni nacionalni organ za informacijsko varnost (v nadaljnjem besedilu: pristojni nacionalni organ). Na področju informacijske in kibernetske varnosti ima pristojni nacionalni organ pristojnosti ter opravlja naloge, ki so mu določene z zakonom, s predpisi Evropske unije s področja kibernetske varnosti, z ratificiranimi mednarodnimi sporazumi s področja kibernetske varnosti in z drugimi predpisi</w:t>
      </w:r>
      <w:r>
        <w:rPr>
          <w:rFonts w:cs="Arial"/>
          <w:szCs w:val="20"/>
        </w:rPr>
        <w:t>.</w:t>
      </w:r>
      <w:r w:rsidRPr="00253075">
        <w:rPr>
          <w:rFonts w:cs="Arial"/>
          <w:szCs w:val="20"/>
        </w:rPr>
        <w:t xml:space="preserve"> </w:t>
      </w:r>
    </w:p>
    <w:p w14:paraId="4704BB04" w14:textId="77777777" w:rsidR="005C28E2" w:rsidRPr="00253075" w:rsidRDefault="005C28E2" w:rsidP="00257525">
      <w:pPr>
        <w:ind w:firstLine="720"/>
        <w:jc w:val="both"/>
        <w:rPr>
          <w:rFonts w:cs="Arial"/>
          <w:szCs w:val="20"/>
        </w:rPr>
      </w:pPr>
    </w:p>
    <w:p w14:paraId="1A3337EA" w14:textId="77777777" w:rsidR="00044011" w:rsidRDefault="00044011" w:rsidP="00044011">
      <w:pPr>
        <w:ind w:firstLine="720"/>
        <w:jc w:val="both"/>
        <w:rPr>
          <w:rFonts w:cs="Arial"/>
          <w:szCs w:val="20"/>
        </w:rPr>
      </w:pPr>
    </w:p>
    <w:p w14:paraId="507A4907" w14:textId="0D2707BA" w:rsidR="005C28E2" w:rsidRDefault="00247EEF" w:rsidP="00044011">
      <w:pPr>
        <w:ind w:firstLine="720"/>
        <w:jc w:val="both"/>
        <w:rPr>
          <w:rFonts w:cs="Arial"/>
          <w:szCs w:val="20"/>
        </w:rPr>
      </w:pPr>
      <w:r w:rsidRPr="00253075">
        <w:rPr>
          <w:rFonts w:cs="Arial"/>
          <w:szCs w:val="20"/>
        </w:rPr>
        <w:t>(2) Pristojni nacionalni organ je</w:t>
      </w:r>
      <w:r w:rsidR="005C28E2">
        <w:rPr>
          <w:rFonts w:cs="Arial"/>
          <w:szCs w:val="20"/>
        </w:rPr>
        <w:t>:</w:t>
      </w:r>
    </w:p>
    <w:p w14:paraId="318D9493" w14:textId="08D62134" w:rsidR="005C28E2" w:rsidRPr="005C28E2" w:rsidRDefault="00247EEF" w:rsidP="002756AA">
      <w:pPr>
        <w:pStyle w:val="Odstavekseznama"/>
        <w:numPr>
          <w:ilvl w:val="0"/>
          <w:numId w:val="19"/>
        </w:numPr>
        <w:jc w:val="both"/>
        <w:rPr>
          <w:rFonts w:cs="Arial"/>
          <w:szCs w:val="20"/>
        </w:rPr>
      </w:pPr>
      <w:r w:rsidRPr="005C28E2">
        <w:rPr>
          <w:rFonts w:cs="Arial"/>
          <w:szCs w:val="20"/>
        </w:rPr>
        <w:t>enotna kontaktna točka, ki ima v tej vlogi na področju kibernetske varnosti in obrambe povezovalno vlogo za zagotavljanje čezmejnega sodelovanja z drugimi državami in mednarodnimi organizacijami ter opravlja naloge enotne kontaktne točke, ki so določene z zakonom</w:t>
      </w:r>
      <w:r w:rsidR="005C28E2" w:rsidRPr="005C28E2">
        <w:rPr>
          <w:rFonts w:cs="Arial"/>
          <w:szCs w:val="20"/>
        </w:rPr>
        <w:t>;</w:t>
      </w:r>
    </w:p>
    <w:p w14:paraId="2D556A0A" w14:textId="74E8620A" w:rsidR="005C28E2" w:rsidRPr="005C28E2" w:rsidRDefault="00247EEF" w:rsidP="002756AA">
      <w:pPr>
        <w:pStyle w:val="Odstavekseznama"/>
        <w:numPr>
          <w:ilvl w:val="0"/>
          <w:numId w:val="19"/>
        </w:numPr>
        <w:jc w:val="both"/>
      </w:pPr>
      <w:r w:rsidRPr="005C28E2">
        <w:t>organ za obvladovanje kibernetskih incidentov velikih razsežnosti in kriz (v nadaljnjem besedilu: organ za obvladovanje kibernetskih kriz), ki je v tej vlogi pristojen za sodelovanje v Evropski organizacijski mreži za povezovanje v kibernetski krizi (v nadaljnjem besedilu: mreža EU-</w:t>
      </w:r>
      <w:proofErr w:type="spellStart"/>
      <w:r w:rsidRPr="005C28E2">
        <w:t>CyCLONe</w:t>
      </w:r>
      <w:proofErr w:type="spellEnd"/>
      <w:r w:rsidRPr="005C28E2">
        <w:t>) in za opravljanje nalog organa za obvladovanje kibernetskih kriz, ki so določene z zakonom</w:t>
      </w:r>
      <w:r w:rsidR="005C28E2" w:rsidRPr="005C28E2">
        <w:t>;</w:t>
      </w:r>
    </w:p>
    <w:p w14:paraId="6EE40B0F" w14:textId="2CDA3340" w:rsidR="005C28E2" w:rsidRPr="005C28E2" w:rsidRDefault="00247EEF" w:rsidP="002756AA">
      <w:pPr>
        <w:pStyle w:val="Odstavekseznama"/>
        <w:numPr>
          <w:ilvl w:val="0"/>
          <w:numId w:val="19"/>
        </w:numPr>
        <w:jc w:val="both"/>
      </w:pPr>
      <w:r w:rsidRPr="005C28E2">
        <w:t xml:space="preserve">nacionalni certifikacijski organ za kibernetsko varnost, ki je v tej vlogi pristojen za opravljanje nalog nacionalnega certifikacijskega organa za kibernetsko varnost iz </w:t>
      </w:r>
      <w:hyperlink r:id="rId11" w:tgtFrame="_blank" w:tooltip="to EUR-Lex" w:history="1">
        <w:r w:rsidRPr="005C28E2">
          <w:rPr>
            <w:rStyle w:val="Hiperpovezava"/>
            <w:rFonts w:cs="Arial"/>
            <w:color w:val="auto"/>
            <w:szCs w:val="20"/>
            <w:u w:val="none"/>
          </w:rPr>
          <w:t>Uredbe (EU) 2019/881</w:t>
        </w:r>
      </w:hyperlink>
      <w:r w:rsidRPr="005C28E2">
        <w:t> Evropskega parlamenta in Sveta z dne 17. aprila 2019 o Agenciji Evropske unije za kibernetsko varnost (ENISA) in o certificiranju informacijske in komunikacijske tehnologije na področju kibernetske varnosti ter razveljavitvi </w:t>
      </w:r>
      <w:hyperlink r:id="rId12" w:tgtFrame="_blank" w:tooltip="to EUR-Lex" w:history="1">
        <w:r w:rsidRPr="005C28E2">
          <w:rPr>
            <w:rStyle w:val="Hiperpovezava"/>
            <w:rFonts w:cs="Arial"/>
            <w:color w:val="auto"/>
            <w:szCs w:val="20"/>
            <w:u w:val="none"/>
          </w:rPr>
          <w:t>Uredbe (EU) št. 526/2013</w:t>
        </w:r>
      </w:hyperlink>
      <w:r w:rsidRPr="005C28E2">
        <w:t> (Akt o kibernetski varnosti) (UL L št. 151 z dne 7. 6. 2019, str. 15), zadnjič spremenjene z </w:t>
      </w:r>
      <w:hyperlink r:id="rId13" w:tgtFrame="_blank" w:tooltip="to EUR-Lex" w:history="1">
        <w:r w:rsidRPr="005C28E2">
          <w:rPr>
            <w:rStyle w:val="Hiperpovezava"/>
            <w:rFonts w:cs="Arial"/>
            <w:color w:val="auto"/>
            <w:szCs w:val="20"/>
            <w:u w:val="none"/>
          </w:rPr>
          <w:t>Uredbo (EU) 2025/37</w:t>
        </w:r>
      </w:hyperlink>
      <w:r w:rsidRPr="005C28E2">
        <w:t xml:space="preserve"> Evropskega parlamenta in Sveta z dne 19. decembra 2024 o </w:t>
      </w:r>
      <w:r w:rsidRPr="005C28E2">
        <w:lastRenderedPageBreak/>
        <w:t>spremembi </w:t>
      </w:r>
      <w:hyperlink r:id="rId14" w:tgtFrame="_blank" w:tooltip="to EUR-Lex" w:history="1">
        <w:r w:rsidRPr="005C28E2">
          <w:rPr>
            <w:rStyle w:val="Hiperpovezava"/>
            <w:rFonts w:cs="Arial"/>
            <w:color w:val="auto"/>
            <w:szCs w:val="20"/>
            <w:u w:val="none"/>
          </w:rPr>
          <w:t>Uredbe (EU) 2019/881</w:t>
        </w:r>
      </w:hyperlink>
      <w:r w:rsidRPr="005C28E2">
        <w:t> glede upravljanih varnostnih storitev (UL L št. 2025/37 z dne 15. 1. 2025) in iz zakona</w:t>
      </w:r>
      <w:r w:rsidR="005C28E2" w:rsidRPr="005C28E2">
        <w:t>;</w:t>
      </w:r>
    </w:p>
    <w:p w14:paraId="202530FC" w14:textId="4F82BE0F" w:rsidR="005C28E2" w:rsidRPr="005C28E2" w:rsidRDefault="00247EEF" w:rsidP="002756AA">
      <w:pPr>
        <w:pStyle w:val="Odstavekseznama"/>
        <w:numPr>
          <w:ilvl w:val="0"/>
          <w:numId w:val="19"/>
        </w:numPr>
        <w:jc w:val="both"/>
      </w:pPr>
      <w:r w:rsidRPr="005C28E2">
        <w:t>Nacionalni koordinacijski center za kibernetsko varnost in je v tej vlogi pristojen za izvajanje nalog nacionalnega koordinacijskega centra za kibernetsko varnost iz </w:t>
      </w:r>
      <w:hyperlink r:id="rId15" w:tgtFrame="_blank" w:tooltip="to EUR-Lex" w:history="1">
        <w:r w:rsidRPr="005C28E2">
          <w:rPr>
            <w:rStyle w:val="Hiperpovezava"/>
            <w:rFonts w:cs="Arial"/>
            <w:color w:val="auto"/>
            <w:szCs w:val="20"/>
            <w:u w:val="none"/>
          </w:rPr>
          <w:t>Uredbe (EU) 2021/887</w:t>
        </w:r>
      </w:hyperlink>
      <w:r w:rsidRPr="005C28E2">
        <w:t> Evropskega parlamenta in Sveta z dne 20. maja 2021 o vzpostavitvi Evropskega industrijskega, tehnološkega in raziskovalnega kompetenčnega centra za kibernetsko varnost ter Mreže nacionalnih koordinacijskih centrov (UL L št. 202 z dne 8. 6. 2021, str. 1) in iz zakona</w:t>
      </w:r>
      <w:r w:rsidR="005C28E2" w:rsidRPr="005C28E2">
        <w:t>;</w:t>
      </w:r>
    </w:p>
    <w:p w14:paraId="6810E16D" w14:textId="5A5C881A" w:rsidR="00247EEF" w:rsidRPr="005C28E2" w:rsidRDefault="00247EEF" w:rsidP="002756AA">
      <w:pPr>
        <w:pStyle w:val="Odstavekseznama"/>
        <w:numPr>
          <w:ilvl w:val="0"/>
          <w:numId w:val="19"/>
        </w:numPr>
        <w:jc w:val="both"/>
      </w:pPr>
      <w:r w:rsidRPr="005C28E2">
        <w:t>Nacionalno kibernetsko vozlišče in je v tej vlogi</w:t>
      </w:r>
      <w:r w:rsidR="00CE7F78" w:rsidRPr="005C28E2">
        <w:t xml:space="preserve"> </w:t>
      </w:r>
      <w:r w:rsidRPr="005C28E2">
        <w:t>pristojen, da v skladu s prvim, drugim in tretjim odstavkom 4. člena </w:t>
      </w:r>
      <w:hyperlink r:id="rId16" w:tgtFrame="_blank" w:tooltip="to EUR-Lex" w:history="1">
        <w:r w:rsidRPr="005C28E2">
          <w:rPr>
            <w:rStyle w:val="Hiperpovezava"/>
            <w:rFonts w:cs="Arial"/>
            <w:color w:val="auto"/>
            <w:szCs w:val="20"/>
            <w:u w:val="none"/>
          </w:rPr>
          <w:t>Uredbe 2025/38/EU</w:t>
        </w:r>
      </w:hyperlink>
      <w:r w:rsidRPr="005C28E2">
        <w:t xml:space="preserve"> Evropskega parlamenta in Sveta z dne 19. decembra 2024 o določitvi ukrepov za okrepitev solidarnosti in zmogljivosti v Uniji za odkrivanje kibernetskih groženj in incidentov ter pripravo in odzivanje nanje ter spremembi </w:t>
      </w:r>
      <w:hyperlink r:id="rId17" w:tgtFrame="_blank" w:tooltip="to EUR-Lex" w:history="1">
        <w:r w:rsidRPr="005C28E2">
          <w:rPr>
            <w:rStyle w:val="Hiperpovezava"/>
            <w:rFonts w:cs="Arial"/>
            <w:color w:val="auto"/>
            <w:szCs w:val="20"/>
            <w:u w:val="none"/>
          </w:rPr>
          <w:t>Uredbe (EU) 2021/694</w:t>
        </w:r>
      </w:hyperlink>
      <w:r w:rsidRPr="005C28E2">
        <w:t> (Akt o kibernetski solidarnosti) (UL L št. 2025/38 z dne 15. 1. 2025), sodeluje v čezmejnem kibernetskem vozlišču na podlagi četrtega odstavka navedenega člena te uredbe in v evropskem sistemu za opozarjanje na področju kibernetske varnosti iz 3. člena navedene uredbe.«.</w:t>
      </w:r>
    </w:p>
    <w:p w14:paraId="6AA50E9A" w14:textId="77777777" w:rsidR="00247EEF" w:rsidRDefault="00247EEF" w:rsidP="00247EEF">
      <w:pPr>
        <w:jc w:val="both"/>
        <w:rPr>
          <w:rFonts w:cs="Arial"/>
          <w:szCs w:val="20"/>
        </w:rPr>
      </w:pPr>
    </w:p>
    <w:p w14:paraId="72BA30DE" w14:textId="77777777" w:rsidR="007B72F4" w:rsidRPr="00253075" w:rsidRDefault="007B72F4" w:rsidP="00247EEF">
      <w:pPr>
        <w:jc w:val="both"/>
        <w:rPr>
          <w:rFonts w:cs="Arial"/>
          <w:szCs w:val="20"/>
        </w:rPr>
      </w:pPr>
    </w:p>
    <w:p w14:paraId="592E1B63" w14:textId="77777777" w:rsidR="00247EEF" w:rsidRDefault="00247EEF" w:rsidP="00247EEF">
      <w:pPr>
        <w:jc w:val="center"/>
        <w:rPr>
          <w:rFonts w:cs="Arial"/>
          <w:b/>
          <w:szCs w:val="20"/>
        </w:rPr>
      </w:pPr>
      <w:r w:rsidRPr="00253075">
        <w:rPr>
          <w:rFonts w:cs="Arial"/>
          <w:b/>
          <w:szCs w:val="20"/>
        </w:rPr>
        <w:t>KONČNA DOLOČBA</w:t>
      </w:r>
    </w:p>
    <w:p w14:paraId="58DD7EF4" w14:textId="77777777" w:rsidR="00247EEF" w:rsidRPr="00253075" w:rsidRDefault="00247EEF" w:rsidP="00247EEF">
      <w:pPr>
        <w:jc w:val="center"/>
        <w:rPr>
          <w:rFonts w:cs="Arial"/>
          <w:b/>
          <w:szCs w:val="20"/>
        </w:rPr>
      </w:pPr>
    </w:p>
    <w:p w14:paraId="445C3640" w14:textId="77777777" w:rsidR="00247EEF" w:rsidRDefault="00247EEF" w:rsidP="00247EEF">
      <w:pPr>
        <w:jc w:val="center"/>
        <w:rPr>
          <w:rFonts w:cs="Arial"/>
          <w:b/>
          <w:szCs w:val="20"/>
        </w:rPr>
      </w:pPr>
      <w:r w:rsidRPr="00253075">
        <w:rPr>
          <w:rFonts w:cs="Arial"/>
          <w:b/>
          <w:szCs w:val="20"/>
        </w:rPr>
        <w:t>3. člen</w:t>
      </w:r>
    </w:p>
    <w:p w14:paraId="65C49981" w14:textId="77777777" w:rsidR="005B3983" w:rsidRPr="00253075" w:rsidRDefault="005B3983" w:rsidP="00247EEF">
      <w:pPr>
        <w:jc w:val="center"/>
        <w:rPr>
          <w:rFonts w:cs="Arial"/>
          <w:b/>
          <w:szCs w:val="20"/>
        </w:rPr>
      </w:pPr>
    </w:p>
    <w:p w14:paraId="209A0666" w14:textId="77777777" w:rsidR="00247EEF" w:rsidRPr="00253075" w:rsidRDefault="00247EEF" w:rsidP="00247EEF">
      <w:pPr>
        <w:rPr>
          <w:rFonts w:cs="Arial"/>
          <w:szCs w:val="20"/>
        </w:rPr>
      </w:pPr>
      <w:r w:rsidRPr="00253075">
        <w:rPr>
          <w:rFonts w:cs="Arial"/>
          <w:szCs w:val="20"/>
        </w:rPr>
        <w:t>Ta odlok začne veljati naslednji dan po objavi v Uradnem listu Republike Slovenije.</w:t>
      </w:r>
    </w:p>
    <w:p w14:paraId="4FF44607" w14:textId="77777777" w:rsidR="00247EEF" w:rsidRPr="00253075" w:rsidRDefault="00247EEF" w:rsidP="00247EEF">
      <w:pPr>
        <w:rPr>
          <w:rFonts w:cs="Arial"/>
          <w:szCs w:val="20"/>
        </w:rPr>
      </w:pPr>
    </w:p>
    <w:p w14:paraId="79873C85" w14:textId="77777777" w:rsidR="009913F6" w:rsidRPr="009300BE" w:rsidRDefault="009913F6" w:rsidP="00247EEF">
      <w:pPr>
        <w:pStyle w:val="zamik"/>
        <w:spacing w:before="210" w:after="210"/>
        <w:ind w:firstLine="0"/>
        <w:jc w:val="both"/>
        <w:rPr>
          <w:rFonts w:ascii="Arial" w:eastAsia="Arial" w:hAnsi="Arial" w:cs="Arial"/>
          <w:sz w:val="21"/>
          <w:szCs w:val="21"/>
          <w:lang w:val="sl-SI"/>
        </w:rPr>
      </w:pPr>
    </w:p>
    <w:p w14:paraId="25123832" w14:textId="77777777" w:rsidR="00897B7F" w:rsidRPr="00897B7F" w:rsidRDefault="00897B7F" w:rsidP="00897B7F">
      <w:pPr>
        <w:pStyle w:val="tevilkanakoncupredpisa"/>
        <w:rPr>
          <w:sz w:val="20"/>
          <w:szCs w:val="20"/>
        </w:rPr>
      </w:pPr>
      <w:r w:rsidRPr="00897B7F">
        <w:rPr>
          <w:sz w:val="20"/>
          <w:szCs w:val="20"/>
        </w:rPr>
        <w:t xml:space="preserve">Št. </w:t>
      </w:r>
      <w:proofErr w:type="spellStart"/>
      <w:r w:rsidRPr="00897B7F">
        <w:rPr>
          <w:sz w:val="20"/>
          <w:szCs w:val="20"/>
        </w:rPr>
        <w:t>xxxxxxxx</w:t>
      </w:r>
      <w:proofErr w:type="spellEnd"/>
    </w:p>
    <w:p w14:paraId="47028A50" w14:textId="77777777" w:rsidR="00897B7F" w:rsidRPr="00897B7F" w:rsidRDefault="00897B7F" w:rsidP="00897B7F">
      <w:pPr>
        <w:pStyle w:val="Datumsprejetja"/>
        <w:rPr>
          <w:sz w:val="20"/>
          <w:szCs w:val="20"/>
        </w:rPr>
      </w:pPr>
      <w:r w:rsidRPr="00897B7F">
        <w:rPr>
          <w:sz w:val="20"/>
          <w:szCs w:val="20"/>
        </w:rPr>
        <w:t xml:space="preserve">Ljubljana, </w:t>
      </w:r>
      <w:r w:rsidRPr="002B601A">
        <w:rPr>
          <w:sz w:val="20"/>
          <w:szCs w:val="20"/>
        </w:rPr>
        <w:t>dne</w:t>
      </w:r>
      <w:r w:rsidRPr="00897B7F">
        <w:rPr>
          <w:sz w:val="20"/>
          <w:szCs w:val="20"/>
        </w:rPr>
        <w:t xml:space="preserve"> </w:t>
      </w:r>
      <w:proofErr w:type="spellStart"/>
      <w:r w:rsidRPr="00897B7F">
        <w:rPr>
          <w:sz w:val="20"/>
          <w:szCs w:val="20"/>
        </w:rPr>
        <w:t>xxxxxxx</w:t>
      </w:r>
      <w:proofErr w:type="spellEnd"/>
    </w:p>
    <w:p w14:paraId="3C466BA8" w14:textId="77777777" w:rsidR="00897B7F" w:rsidRPr="00897B7F" w:rsidRDefault="00897B7F" w:rsidP="00897B7F">
      <w:pPr>
        <w:pStyle w:val="Podpisnik"/>
        <w:rPr>
          <w:sz w:val="20"/>
          <w:szCs w:val="20"/>
        </w:rPr>
      </w:pPr>
      <w:r w:rsidRPr="00897B7F">
        <w:rPr>
          <w:sz w:val="20"/>
          <w:szCs w:val="20"/>
        </w:rPr>
        <w:t>Vlada Republike Slovenije</w:t>
      </w:r>
      <w:r w:rsidRPr="00897B7F">
        <w:rPr>
          <w:sz w:val="20"/>
          <w:szCs w:val="20"/>
        </w:rPr>
        <w:br/>
      </w:r>
      <w:r w:rsidRPr="009913F6">
        <w:rPr>
          <w:bCs/>
          <w:sz w:val="20"/>
          <w:szCs w:val="20"/>
        </w:rPr>
        <w:t>dr. Robert Golob</w:t>
      </w:r>
      <w:r w:rsidRPr="00897B7F">
        <w:rPr>
          <w:b/>
          <w:sz w:val="20"/>
          <w:szCs w:val="20"/>
        </w:rPr>
        <w:br/>
      </w:r>
      <w:r w:rsidRPr="00897B7F">
        <w:rPr>
          <w:sz w:val="20"/>
          <w:szCs w:val="20"/>
        </w:rPr>
        <w:t>predsednik</w:t>
      </w:r>
    </w:p>
    <w:p w14:paraId="749CDDA0" w14:textId="77777777" w:rsidR="00897B7F" w:rsidRPr="00897B7F" w:rsidRDefault="00897B7F" w:rsidP="00897B7F">
      <w:pPr>
        <w:pStyle w:val="podpisi"/>
        <w:ind w:left="360"/>
        <w:jc w:val="center"/>
        <w:rPr>
          <w:szCs w:val="20"/>
          <w:lang w:val="sl-SI"/>
        </w:rPr>
      </w:pPr>
    </w:p>
    <w:p w14:paraId="50DBA34A" w14:textId="77777777" w:rsidR="00897B7F" w:rsidRPr="00897B7F" w:rsidRDefault="00897B7F" w:rsidP="007B3D5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Cs/>
          <w:szCs w:val="20"/>
          <w:lang w:eastAsia="sl-SI"/>
        </w:rPr>
      </w:pPr>
    </w:p>
    <w:p w14:paraId="4463E8EE" w14:textId="7725D06B" w:rsidR="00C8641A" w:rsidRDefault="00C8641A">
      <w:pPr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br w:type="page"/>
      </w:r>
    </w:p>
    <w:p w14:paraId="2CF726A9" w14:textId="77777777" w:rsidR="007B3D52" w:rsidRDefault="007B3D52" w:rsidP="007B3D5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lastRenderedPageBreak/>
        <w:t>OBRAZLOŽITEV:</w:t>
      </w:r>
    </w:p>
    <w:p w14:paraId="2092EFEC" w14:textId="77777777" w:rsidR="007B3D52" w:rsidRDefault="007B3D52" w:rsidP="007B3D5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szCs w:val="20"/>
          <w:lang w:eastAsia="sl-SI"/>
        </w:rPr>
      </w:pPr>
    </w:p>
    <w:p w14:paraId="32C5922E" w14:textId="77777777" w:rsidR="00897B7F" w:rsidRDefault="00897B7F" w:rsidP="00897B7F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Cs/>
          <w:szCs w:val="20"/>
          <w:lang w:eastAsia="sl-SI"/>
        </w:rPr>
      </w:pPr>
    </w:p>
    <w:p w14:paraId="217B08A2" w14:textId="2F652D0D" w:rsidR="00897B7F" w:rsidRDefault="00897B7F" w:rsidP="00897B7F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Z Odlokom </w:t>
      </w:r>
      <w:r w:rsidR="00171BCF">
        <w:rPr>
          <w:rFonts w:cs="Arial"/>
          <w:bCs/>
          <w:szCs w:val="20"/>
          <w:lang w:eastAsia="sl-SI"/>
        </w:rPr>
        <w:t xml:space="preserve">o </w:t>
      </w:r>
      <w:r w:rsidR="00C23176">
        <w:rPr>
          <w:rFonts w:cs="Arial"/>
          <w:bCs/>
          <w:szCs w:val="20"/>
          <w:lang w:eastAsia="sl-SI"/>
        </w:rPr>
        <w:t xml:space="preserve">spremembah </w:t>
      </w:r>
      <w:r w:rsidRPr="00897B7F">
        <w:rPr>
          <w:rFonts w:cs="Arial"/>
          <w:bCs/>
          <w:szCs w:val="20"/>
          <w:lang w:eastAsia="sl-SI"/>
        </w:rPr>
        <w:t>Odloka o ustanovitvi, nalogah in organizaciji Urada Vlade Republike Slovenije za informacijsko varnost</w:t>
      </w:r>
      <w:r>
        <w:rPr>
          <w:rFonts w:cs="Arial"/>
          <w:bCs/>
          <w:szCs w:val="20"/>
          <w:lang w:eastAsia="sl-SI"/>
        </w:rPr>
        <w:t xml:space="preserve"> </w:t>
      </w:r>
      <w:r w:rsidR="00A2569D">
        <w:rPr>
          <w:rFonts w:cs="Arial"/>
          <w:bCs/>
          <w:szCs w:val="20"/>
          <w:lang w:eastAsia="sl-SI"/>
        </w:rPr>
        <w:t xml:space="preserve">(v nadaljnjem besedilu: Novela odloka) </w:t>
      </w:r>
      <w:r>
        <w:rPr>
          <w:rFonts w:cs="Arial"/>
          <w:bCs/>
          <w:szCs w:val="20"/>
          <w:lang w:eastAsia="sl-SI"/>
        </w:rPr>
        <w:t xml:space="preserve">se izvršuje določba drugega odstavka </w:t>
      </w:r>
      <w:r w:rsidR="00561B1C">
        <w:rPr>
          <w:rFonts w:cs="Arial"/>
          <w:bCs/>
          <w:szCs w:val="20"/>
          <w:lang w:eastAsia="sl-SI"/>
        </w:rPr>
        <w:t xml:space="preserve">64. člena </w:t>
      </w:r>
      <w:r w:rsidRPr="00897B7F">
        <w:rPr>
          <w:rFonts w:cs="Arial"/>
          <w:bCs/>
          <w:szCs w:val="20"/>
          <w:lang w:eastAsia="sl-SI"/>
        </w:rPr>
        <w:t>Zakona o informacijski varnosti (</w:t>
      </w:r>
      <w:r w:rsidR="00561B1C">
        <w:rPr>
          <w:rFonts w:cs="Arial"/>
          <w:bCs/>
          <w:szCs w:val="20"/>
          <w:lang w:eastAsia="sl-SI"/>
        </w:rPr>
        <w:t xml:space="preserve">Uradni list RS, št. 40/25, v nadaljnjem besedilu: </w:t>
      </w:r>
      <w:r w:rsidR="00561B1C" w:rsidRPr="005A54EA">
        <w:rPr>
          <w:rFonts w:cs="Arial"/>
          <w:bCs/>
          <w:szCs w:val="20"/>
          <w:lang w:eastAsia="sl-SI"/>
        </w:rPr>
        <w:t>ZInfV-</w:t>
      </w:r>
      <w:r w:rsidR="00561B1C">
        <w:rPr>
          <w:rFonts w:cs="Arial"/>
          <w:bCs/>
          <w:szCs w:val="20"/>
          <w:lang w:eastAsia="sl-SI"/>
        </w:rPr>
        <w:t>1</w:t>
      </w:r>
      <w:r w:rsidRPr="00897B7F">
        <w:rPr>
          <w:rFonts w:cs="Arial"/>
          <w:bCs/>
          <w:szCs w:val="20"/>
          <w:lang w:eastAsia="sl-SI"/>
        </w:rPr>
        <w:t>)</w:t>
      </w:r>
      <w:r>
        <w:rPr>
          <w:rFonts w:cs="Arial"/>
          <w:bCs/>
          <w:szCs w:val="20"/>
          <w:lang w:eastAsia="sl-SI"/>
        </w:rPr>
        <w:t xml:space="preserve">, ki določa, da </w:t>
      </w:r>
      <w:r w:rsidR="005823E6">
        <w:rPr>
          <w:rFonts w:cs="Arial"/>
          <w:bCs/>
          <w:szCs w:val="20"/>
          <w:lang w:eastAsia="sl-SI"/>
        </w:rPr>
        <w:t>Vlada Republike Slovenije</w:t>
      </w:r>
      <w:r w:rsidR="00517F34">
        <w:rPr>
          <w:rFonts w:cs="Arial"/>
          <w:bCs/>
          <w:szCs w:val="20"/>
          <w:lang w:eastAsia="sl-SI"/>
        </w:rPr>
        <w:t xml:space="preserve"> (v nadaljnjem besedilu: vlada)</w:t>
      </w:r>
      <w:r w:rsidR="005823E6">
        <w:rPr>
          <w:rFonts w:cs="Arial"/>
          <w:bCs/>
          <w:szCs w:val="20"/>
          <w:lang w:eastAsia="sl-SI"/>
        </w:rPr>
        <w:t xml:space="preserve"> </w:t>
      </w:r>
      <w:r w:rsidRPr="00897B7F">
        <w:rPr>
          <w:rFonts w:cs="Arial"/>
          <w:bCs/>
          <w:szCs w:val="20"/>
          <w:lang w:eastAsia="sl-SI"/>
        </w:rPr>
        <w:t>uskladi Odlok o ustanovitvi, nalogah in organizaciji Urada Vlade Republike Slovenije za informacijsko varnost (Uradni list RS, št. 114/21</w:t>
      </w:r>
      <w:r w:rsidR="0093017B">
        <w:rPr>
          <w:rFonts w:cs="Arial"/>
          <w:bCs/>
          <w:szCs w:val="20"/>
          <w:lang w:eastAsia="sl-SI"/>
        </w:rPr>
        <w:t xml:space="preserve"> in 69/23; v nadaljnjem besedilu: </w:t>
      </w:r>
      <w:r w:rsidR="002E4D04">
        <w:rPr>
          <w:rFonts w:cs="Arial"/>
          <w:bCs/>
          <w:szCs w:val="20"/>
          <w:lang w:eastAsia="sl-SI"/>
        </w:rPr>
        <w:t>o</w:t>
      </w:r>
      <w:r w:rsidR="0093017B">
        <w:rPr>
          <w:rFonts w:cs="Arial"/>
          <w:bCs/>
          <w:szCs w:val="20"/>
          <w:lang w:eastAsia="sl-SI"/>
        </w:rPr>
        <w:t>dlok</w:t>
      </w:r>
      <w:r w:rsidRPr="00897B7F">
        <w:rPr>
          <w:rFonts w:cs="Arial"/>
          <w:bCs/>
          <w:szCs w:val="20"/>
          <w:lang w:eastAsia="sl-SI"/>
        </w:rPr>
        <w:t>) s tem zakono</w:t>
      </w:r>
      <w:r w:rsidR="005823E6">
        <w:rPr>
          <w:rFonts w:cs="Arial"/>
          <w:bCs/>
          <w:szCs w:val="20"/>
          <w:lang w:eastAsia="sl-SI"/>
        </w:rPr>
        <w:t xml:space="preserve">m </w:t>
      </w:r>
      <w:r w:rsidRPr="00897B7F">
        <w:rPr>
          <w:rFonts w:cs="Arial"/>
          <w:bCs/>
          <w:szCs w:val="20"/>
          <w:lang w:eastAsia="sl-SI"/>
        </w:rPr>
        <w:t xml:space="preserve">v </w:t>
      </w:r>
      <w:r w:rsidR="0093017B">
        <w:rPr>
          <w:rFonts w:cs="Arial"/>
          <w:bCs/>
          <w:szCs w:val="20"/>
          <w:lang w:eastAsia="sl-SI"/>
        </w:rPr>
        <w:t>treh</w:t>
      </w:r>
      <w:r w:rsidRPr="00897B7F">
        <w:rPr>
          <w:rFonts w:cs="Arial"/>
          <w:bCs/>
          <w:szCs w:val="20"/>
          <w:lang w:eastAsia="sl-SI"/>
        </w:rPr>
        <w:t xml:space="preserve"> mesec</w:t>
      </w:r>
      <w:r w:rsidR="0093017B">
        <w:rPr>
          <w:rFonts w:cs="Arial"/>
          <w:bCs/>
          <w:szCs w:val="20"/>
          <w:lang w:eastAsia="sl-SI"/>
        </w:rPr>
        <w:t>ih</w:t>
      </w:r>
      <w:r w:rsidRPr="00897B7F">
        <w:rPr>
          <w:rFonts w:cs="Arial"/>
          <w:bCs/>
          <w:szCs w:val="20"/>
          <w:lang w:eastAsia="sl-SI"/>
        </w:rPr>
        <w:t xml:space="preserve"> od njegove uveljavitve.</w:t>
      </w:r>
    </w:p>
    <w:p w14:paraId="06037A53" w14:textId="77777777" w:rsidR="0093017B" w:rsidRDefault="0093017B" w:rsidP="00897B7F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Cs/>
          <w:szCs w:val="20"/>
          <w:lang w:eastAsia="sl-SI"/>
        </w:rPr>
      </w:pPr>
    </w:p>
    <w:p w14:paraId="07A91E5B" w14:textId="3FED4D0F" w:rsidR="00A53810" w:rsidRDefault="005823E6" w:rsidP="00A53810">
      <w:pPr>
        <w:tabs>
          <w:tab w:val="left" w:pos="993"/>
        </w:tabs>
        <w:spacing w:line="240" w:lineRule="auto"/>
        <w:jc w:val="both"/>
      </w:pPr>
      <w:r>
        <w:rPr>
          <w:rFonts w:cs="Arial"/>
          <w:bCs/>
          <w:szCs w:val="20"/>
          <w:lang w:eastAsia="sl-SI"/>
        </w:rPr>
        <w:t xml:space="preserve">Posledično se </w:t>
      </w:r>
      <w:r w:rsidR="00517F34">
        <w:rPr>
          <w:rFonts w:cs="Arial"/>
          <w:bCs/>
          <w:szCs w:val="20"/>
          <w:lang w:eastAsia="sl-SI"/>
        </w:rPr>
        <w:t>s predlaganim</w:t>
      </w:r>
      <w:r w:rsidR="00430DB5">
        <w:rPr>
          <w:rFonts w:cs="Arial"/>
          <w:bCs/>
          <w:szCs w:val="20"/>
          <w:lang w:eastAsia="sl-SI"/>
        </w:rPr>
        <w:t xml:space="preserve"> 1. člen</w:t>
      </w:r>
      <w:r w:rsidR="00517F34">
        <w:rPr>
          <w:rFonts w:cs="Arial"/>
          <w:bCs/>
          <w:szCs w:val="20"/>
          <w:lang w:eastAsia="sl-SI"/>
        </w:rPr>
        <w:t>om</w:t>
      </w:r>
      <w:r w:rsidR="00430DB5">
        <w:rPr>
          <w:rFonts w:cs="Arial"/>
          <w:bCs/>
          <w:szCs w:val="20"/>
          <w:lang w:eastAsia="sl-SI"/>
        </w:rPr>
        <w:t xml:space="preserve"> </w:t>
      </w:r>
      <w:r w:rsidR="00044011">
        <w:rPr>
          <w:rFonts w:cs="Arial"/>
          <w:bCs/>
          <w:szCs w:val="20"/>
          <w:lang w:eastAsia="sl-SI"/>
        </w:rPr>
        <w:t>n</w:t>
      </w:r>
      <w:r w:rsidR="0093017B">
        <w:rPr>
          <w:rFonts w:cs="Arial"/>
          <w:bCs/>
          <w:szCs w:val="20"/>
          <w:lang w:eastAsia="sl-SI"/>
        </w:rPr>
        <w:t>ovel</w:t>
      </w:r>
      <w:r w:rsidR="00430DB5">
        <w:rPr>
          <w:rFonts w:cs="Arial"/>
          <w:bCs/>
          <w:szCs w:val="20"/>
          <w:lang w:eastAsia="sl-SI"/>
        </w:rPr>
        <w:t>e</w:t>
      </w:r>
      <w:r w:rsidR="0093017B">
        <w:rPr>
          <w:rFonts w:cs="Arial"/>
          <w:bCs/>
          <w:szCs w:val="20"/>
          <w:lang w:eastAsia="sl-SI"/>
        </w:rPr>
        <w:t xml:space="preserve"> </w:t>
      </w:r>
      <w:r>
        <w:rPr>
          <w:rFonts w:cs="Arial"/>
          <w:bCs/>
          <w:szCs w:val="20"/>
          <w:lang w:eastAsia="sl-SI"/>
        </w:rPr>
        <w:t>o</w:t>
      </w:r>
      <w:r w:rsidR="0093017B">
        <w:rPr>
          <w:rFonts w:cs="Arial"/>
          <w:bCs/>
          <w:szCs w:val="20"/>
          <w:lang w:eastAsia="sl-SI"/>
        </w:rPr>
        <w:t xml:space="preserve">dloka </w:t>
      </w:r>
      <w:r w:rsidR="00A2569D">
        <w:rPr>
          <w:rFonts w:cs="Arial"/>
          <w:bCs/>
          <w:szCs w:val="20"/>
          <w:lang w:eastAsia="sl-SI"/>
        </w:rPr>
        <w:t xml:space="preserve">posega v 1. člen odloka tako, da se spreminja </w:t>
      </w:r>
      <w:r>
        <w:rPr>
          <w:rFonts w:cs="Arial"/>
          <w:bCs/>
          <w:szCs w:val="20"/>
          <w:lang w:eastAsia="sl-SI"/>
        </w:rPr>
        <w:t xml:space="preserve">navajanje Zakona o informacijski </w:t>
      </w:r>
      <w:r w:rsidR="00A2569D">
        <w:rPr>
          <w:rFonts w:cs="Arial"/>
          <w:bCs/>
          <w:szCs w:val="20"/>
          <w:lang w:eastAsia="sl-SI"/>
        </w:rPr>
        <w:t xml:space="preserve">v skladu z </w:t>
      </w:r>
      <w:r>
        <w:rPr>
          <w:rFonts w:cs="Arial"/>
          <w:bCs/>
          <w:szCs w:val="20"/>
          <w:lang w:eastAsia="sl-SI"/>
        </w:rPr>
        <w:t>objav</w:t>
      </w:r>
      <w:r w:rsidR="00A2569D">
        <w:rPr>
          <w:rFonts w:cs="Arial"/>
          <w:bCs/>
          <w:szCs w:val="20"/>
          <w:lang w:eastAsia="sl-SI"/>
        </w:rPr>
        <w:t>o</w:t>
      </w:r>
      <w:r>
        <w:rPr>
          <w:rFonts w:cs="Arial"/>
          <w:bCs/>
          <w:szCs w:val="20"/>
          <w:lang w:eastAsia="sl-SI"/>
        </w:rPr>
        <w:t xml:space="preserve"> ZInfV-1 v Uradnem listu Republike Slovenije</w:t>
      </w:r>
      <w:r w:rsidR="00517F34">
        <w:rPr>
          <w:rFonts w:cs="Arial"/>
          <w:bCs/>
          <w:szCs w:val="20"/>
          <w:lang w:eastAsia="sl-SI"/>
        </w:rPr>
        <w:t xml:space="preserve"> (v nadaljnjem besedilu: Uradni list)</w:t>
      </w:r>
      <w:r w:rsidR="00486823">
        <w:rPr>
          <w:rFonts w:cs="Arial"/>
          <w:bCs/>
          <w:szCs w:val="20"/>
          <w:lang w:eastAsia="sl-SI"/>
        </w:rPr>
        <w:t xml:space="preserve">, </w:t>
      </w:r>
      <w:r w:rsidR="008F6818">
        <w:rPr>
          <w:rFonts w:cs="Arial"/>
          <w:bCs/>
          <w:szCs w:val="20"/>
          <w:lang w:eastAsia="sl-SI"/>
        </w:rPr>
        <w:t xml:space="preserve">saj dosedanje navajanje </w:t>
      </w:r>
      <w:r w:rsidR="00486823">
        <w:rPr>
          <w:rFonts w:cs="Arial"/>
          <w:bCs/>
          <w:szCs w:val="20"/>
          <w:lang w:eastAsia="sl-SI"/>
        </w:rPr>
        <w:t xml:space="preserve">številk </w:t>
      </w:r>
      <w:r w:rsidR="0093017B">
        <w:rPr>
          <w:rFonts w:cs="Arial"/>
          <w:bCs/>
          <w:szCs w:val="20"/>
          <w:lang w:eastAsia="sl-SI"/>
        </w:rPr>
        <w:t>Uradneg</w:t>
      </w:r>
      <w:r>
        <w:rPr>
          <w:rFonts w:cs="Arial"/>
          <w:bCs/>
          <w:szCs w:val="20"/>
          <w:lang w:eastAsia="sl-SI"/>
        </w:rPr>
        <w:t>a</w:t>
      </w:r>
      <w:r w:rsidR="0093017B">
        <w:rPr>
          <w:rFonts w:cs="Arial"/>
          <w:bCs/>
          <w:szCs w:val="20"/>
          <w:lang w:eastAsia="sl-SI"/>
        </w:rPr>
        <w:t xml:space="preserve"> lista</w:t>
      </w:r>
      <w:r>
        <w:rPr>
          <w:rFonts w:cs="Arial"/>
          <w:bCs/>
          <w:szCs w:val="20"/>
          <w:lang w:eastAsia="sl-SI"/>
        </w:rPr>
        <w:t xml:space="preserve"> </w:t>
      </w:r>
      <w:r w:rsidR="00517F34">
        <w:rPr>
          <w:rFonts w:cs="Arial"/>
          <w:bCs/>
          <w:szCs w:val="20"/>
          <w:lang w:eastAsia="sl-SI"/>
        </w:rPr>
        <w:t xml:space="preserve">ustreza </w:t>
      </w:r>
      <w:r w:rsidR="00A2569D">
        <w:rPr>
          <w:rFonts w:cs="Arial"/>
          <w:bCs/>
          <w:szCs w:val="20"/>
          <w:lang w:eastAsia="sl-SI"/>
        </w:rPr>
        <w:t>objav</w:t>
      </w:r>
      <w:r w:rsidR="00517F34">
        <w:rPr>
          <w:rFonts w:cs="Arial"/>
          <w:bCs/>
          <w:szCs w:val="20"/>
          <w:lang w:eastAsia="sl-SI"/>
        </w:rPr>
        <w:t xml:space="preserve">i </w:t>
      </w:r>
      <w:r w:rsidR="00A2569D">
        <w:rPr>
          <w:rFonts w:cs="Arial"/>
          <w:bCs/>
          <w:szCs w:val="20"/>
          <w:lang w:eastAsia="sl-SI"/>
        </w:rPr>
        <w:t xml:space="preserve">prej veljavnega </w:t>
      </w:r>
      <w:proofErr w:type="spellStart"/>
      <w:r w:rsidR="00486823">
        <w:rPr>
          <w:rFonts w:cs="Arial"/>
          <w:bCs/>
          <w:szCs w:val="20"/>
          <w:lang w:eastAsia="sl-SI"/>
        </w:rPr>
        <w:t>ZInfV</w:t>
      </w:r>
      <w:proofErr w:type="spellEnd"/>
      <w:r w:rsidR="005B3983">
        <w:rPr>
          <w:rFonts w:cs="Arial"/>
          <w:bCs/>
          <w:szCs w:val="20"/>
          <w:lang w:eastAsia="sl-SI"/>
        </w:rPr>
        <w:t>, na podlagi katerega je bil sprejet odlok.</w:t>
      </w:r>
      <w:r w:rsidR="00486823">
        <w:rPr>
          <w:rFonts w:cs="Arial"/>
          <w:bCs/>
          <w:szCs w:val="20"/>
          <w:lang w:eastAsia="sl-SI"/>
        </w:rPr>
        <w:t xml:space="preserve"> </w:t>
      </w:r>
    </w:p>
    <w:p w14:paraId="1CB73D45" w14:textId="77777777" w:rsidR="00A53810" w:rsidRDefault="00A53810" w:rsidP="00A53810">
      <w:pPr>
        <w:tabs>
          <w:tab w:val="left" w:pos="993"/>
        </w:tabs>
        <w:spacing w:line="240" w:lineRule="auto"/>
        <w:jc w:val="both"/>
      </w:pPr>
    </w:p>
    <w:p w14:paraId="4606508E" w14:textId="18728618" w:rsidR="000637E9" w:rsidRPr="00C716EC" w:rsidRDefault="00517F34" w:rsidP="000637E9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S predlaganim</w:t>
      </w:r>
      <w:r w:rsidR="00430DB5">
        <w:rPr>
          <w:rFonts w:cs="Arial"/>
          <w:bCs/>
          <w:szCs w:val="20"/>
          <w:lang w:eastAsia="sl-SI"/>
        </w:rPr>
        <w:t xml:space="preserve"> </w:t>
      </w:r>
      <w:r>
        <w:rPr>
          <w:rFonts w:cs="Arial"/>
          <w:bCs/>
          <w:szCs w:val="20"/>
          <w:lang w:eastAsia="sl-SI"/>
        </w:rPr>
        <w:t xml:space="preserve">2. </w:t>
      </w:r>
      <w:r w:rsidR="00430DB5">
        <w:rPr>
          <w:rFonts w:cs="Arial"/>
          <w:bCs/>
          <w:szCs w:val="20"/>
          <w:lang w:eastAsia="sl-SI"/>
        </w:rPr>
        <w:t>člen</w:t>
      </w:r>
      <w:r>
        <w:rPr>
          <w:rFonts w:cs="Arial"/>
          <w:bCs/>
          <w:szCs w:val="20"/>
          <w:lang w:eastAsia="sl-SI"/>
        </w:rPr>
        <w:t>om</w:t>
      </w:r>
      <w:r w:rsidR="00430DB5">
        <w:rPr>
          <w:rFonts w:cs="Arial"/>
          <w:bCs/>
          <w:szCs w:val="20"/>
          <w:lang w:eastAsia="sl-SI"/>
        </w:rPr>
        <w:t xml:space="preserve"> </w:t>
      </w:r>
      <w:r w:rsidR="00044011">
        <w:rPr>
          <w:rFonts w:cs="Arial"/>
          <w:bCs/>
          <w:szCs w:val="20"/>
          <w:lang w:eastAsia="sl-SI"/>
        </w:rPr>
        <w:t>n</w:t>
      </w:r>
      <w:r w:rsidR="00430DB5">
        <w:rPr>
          <w:rFonts w:cs="Arial"/>
          <w:bCs/>
          <w:szCs w:val="20"/>
          <w:lang w:eastAsia="sl-SI"/>
        </w:rPr>
        <w:t xml:space="preserve">ovele odloka se </w:t>
      </w:r>
      <w:r>
        <w:rPr>
          <w:rFonts w:cs="Arial"/>
          <w:bCs/>
          <w:szCs w:val="20"/>
          <w:lang w:eastAsia="sl-SI"/>
        </w:rPr>
        <w:t xml:space="preserve">spreminja </w:t>
      </w:r>
      <w:r w:rsidR="008F6818">
        <w:rPr>
          <w:rFonts w:cs="Arial"/>
          <w:bCs/>
          <w:szCs w:val="20"/>
          <w:lang w:eastAsia="sl-SI"/>
        </w:rPr>
        <w:t>2. člen odloka</w:t>
      </w:r>
      <w:r w:rsidR="00486823">
        <w:rPr>
          <w:rFonts w:cs="Arial"/>
          <w:bCs/>
          <w:szCs w:val="20"/>
          <w:lang w:eastAsia="sl-SI"/>
        </w:rPr>
        <w:t xml:space="preserve"> na način, da </w:t>
      </w:r>
      <w:r w:rsidR="008F6818">
        <w:rPr>
          <w:rFonts w:cs="Arial"/>
          <w:bCs/>
          <w:szCs w:val="20"/>
          <w:lang w:eastAsia="sl-SI"/>
        </w:rPr>
        <w:t xml:space="preserve">novo predlagano besedilo </w:t>
      </w:r>
      <w:r>
        <w:rPr>
          <w:rFonts w:cs="Arial"/>
          <w:bCs/>
          <w:szCs w:val="20"/>
          <w:lang w:eastAsia="sl-SI"/>
        </w:rPr>
        <w:t xml:space="preserve">tega člena </w:t>
      </w:r>
      <w:r w:rsidR="00486823">
        <w:rPr>
          <w:rFonts w:cs="Arial"/>
          <w:bCs/>
          <w:szCs w:val="20"/>
          <w:lang w:eastAsia="sl-SI"/>
        </w:rPr>
        <w:t xml:space="preserve">ne našteva </w:t>
      </w:r>
      <w:r>
        <w:rPr>
          <w:rFonts w:cs="Arial"/>
          <w:bCs/>
          <w:szCs w:val="20"/>
          <w:lang w:eastAsia="sl-SI"/>
        </w:rPr>
        <w:t xml:space="preserve">več </w:t>
      </w:r>
      <w:r w:rsidR="00486823">
        <w:rPr>
          <w:rFonts w:cs="Arial"/>
          <w:bCs/>
          <w:szCs w:val="20"/>
          <w:lang w:eastAsia="sl-SI"/>
        </w:rPr>
        <w:t>podrobno posamičnih nalog</w:t>
      </w:r>
      <w:r>
        <w:rPr>
          <w:rFonts w:cs="Arial"/>
          <w:bCs/>
          <w:szCs w:val="20"/>
          <w:lang w:eastAsia="sl-SI"/>
        </w:rPr>
        <w:t xml:space="preserve"> oziroma pristojnosti</w:t>
      </w:r>
      <w:r w:rsidR="00486823">
        <w:rPr>
          <w:rFonts w:cs="Arial"/>
          <w:bCs/>
          <w:szCs w:val="20"/>
          <w:lang w:eastAsia="sl-SI"/>
        </w:rPr>
        <w:t xml:space="preserve"> Urada Vlade Republike Slovenije za infor</w:t>
      </w:r>
      <w:r w:rsidR="008F6818">
        <w:rPr>
          <w:rFonts w:cs="Arial"/>
          <w:bCs/>
          <w:szCs w:val="20"/>
          <w:lang w:eastAsia="sl-SI"/>
        </w:rPr>
        <w:t>m</w:t>
      </w:r>
      <w:r w:rsidR="00486823">
        <w:rPr>
          <w:rFonts w:cs="Arial"/>
          <w:bCs/>
          <w:szCs w:val="20"/>
          <w:lang w:eastAsia="sl-SI"/>
        </w:rPr>
        <w:t>acijs</w:t>
      </w:r>
      <w:r w:rsidR="008F6818">
        <w:rPr>
          <w:rFonts w:cs="Arial"/>
          <w:bCs/>
          <w:szCs w:val="20"/>
          <w:lang w:eastAsia="sl-SI"/>
        </w:rPr>
        <w:t xml:space="preserve">ko varnost (v nadaljnjem besedilu: </w:t>
      </w:r>
      <w:r w:rsidR="00044011">
        <w:rPr>
          <w:rFonts w:cs="Arial"/>
          <w:bCs/>
          <w:szCs w:val="20"/>
          <w:lang w:eastAsia="sl-SI"/>
        </w:rPr>
        <w:t>u</w:t>
      </w:r>
      <w:r w:rsidR="008F6818">
        <w:rPr>
          <w:rFonts w:cs="Arial"/>
          <w:bCs/>
          <w:szCs w:val="20"/>
          <w:lang w:eastAsia="sl-SI"/>
        </w:rPr>
        <w:t xml:space="preserve">rad). </w:t>
      </w:r>
      <w:r>
        <w:rPr>
          <w:rFonts w:cs="Arial"/>
          <w:bCs/>
          <w:szCs w:val="20"/>
          <w:lang w:eastAsia="sl-SI"/>
        </w:rPr>
        <w:t>Veljavni o</w:t>
      </w:r>
      <w:r w:rsidR="008F6818">
        <w:rPr>
          <w:rFonts w:cs="Arial"/>
          <w:bCs/>
          <w:szCs w:val="20"/>
          <w:lang w:eastAsia="sl-SI"/>
        </w:rPr>
        <w:t>dlok v 2</w:t>
      </w:r>
      <w:r w:rsidR="00E3575A">
        <w:rPr>
          <w:rFonts w:cs="Arial"/>
          <w:bCs/>
          <w:szCs w:val="20"/>
          <w:lang w:eastAsia="sl-SI"/>
        </w:rPr>
        <w:t>.</w:t>
      </w:r>
      <w:r w:rsidR="008F6818">
        <w:rPr>
          <w:rFonts w:cs="Arial"/>
          <w:bCs/>
          <w:szCs w:val="20"/>
          <w:lang w:eastAsia="sl-SI"/>
        </w:rPr>
        <w:t xml:space="preserve"> členu namreč primeroma našteva naloge </w:t>
      </w:r>
      <w:r w:rsidR="00044011">
        <w:rPr>
          <w:rFonts w:cs="Arial"/>
          <w:bCs/>
          <w:szCs w:val="20"/>
          <w:lang w:eastAsia="sl-SI"/>
        </w:rPr>
        <w:t>u</w:t>
      </w:r>
      <w:r w:rsidR="008F6818">
        <w:rPr>
          <w:rFonts w:cs="Arial"/>
          <w:bCs/>
          <w:szCs w:val="20"/>
          <w:lang w:eastAsia="sl-SI"/>
        </w:rPr>
        <w:t xml:space="preserve">rada v 25. točkah, ki </w:t>
      </w:r>
      <w:r w:rsidR="005B3983">
        <w:rPr>
          <w:rFonts w:cs="Arial"/>
          <w:bCs/>
          <w:szCs w:val="20"/>
          <w:lang w:eastAsia="sl-SI"/>
        </w:rPr>
        <w:t xml:space="preserve">vsebinsko </w:t>
      </w:r>
      <w:r w:rsidR="008F6818">
        <w:rPr>
          <w:rFonts w:cs="Arial"/>
          <w:bCs/>
          <w:szCs w:val="20"/>
          <w:lang w:eastAsia="sl-SI"/>
        </w:rPr>
        <w:t xml:space="preserve">ustrezajo </w:t>
      </w:r>
      <w:r w:rsidR="00D43841">
        <w:rPr>
          <w:rFonts w:cs="Arial"/>
          <w:bCs/>
          <w:szCs w:val="20"/>
          <w:lang w:eastAsia="sl-SI"/>
        </w:rPr>
        <w:t>nalogam</w:t>
      </w:r>
      <w:r w:rsidR="005E03A5">
        <w:rPr>
          <w:rFonts w:cs="Arial"/>
          <w:bCs/>
          <w:szCs w:val="20"/>
          <w:lang w:eastAsia="sl-SI"/>
        </w:rPr>
        <w:t xml:space="preserve"> iz </w:t>
      </w:r>
      <w:r w:rsidR="00D43841">
        <w:rPr>
          <w:rFonts w:cs="Arial"/>
          <w:bCs/>
          <w:szCs w:val="20"/>
          <w:lang w:eastAsia="sl-SI"/>
        </w:rPr>
        <w:t>druge</w:t>
      </w:r>
      <w:r w:rsidR="005E03A5">
        <w:rPr>
          <w:rFonts w:cs="Arial"/>
          <w:bCs/>
          <w:szCs w:val="20"/>
          <w:lang w:eastAsia="sl-SI"/>
        </w:rPr>
        <w:t>ga</w:t>
      </w:r>
      <w:r w:rsidR="0021557C">
        <w:rPr>
          <w:rFonts w:cs="Arial"/>
          <w:bCs/>
          <w:szCs w:val="20"/>
          <w:lang w:eastAsia="sl-SI"/>
        </w:rPr>
        <w:t xml:space="preserve"> </w:t>
      </w:r>
      <w:r w:rsidR="00A53810">
        <w:rPr>
          <w:rFonts w:cs="Arial"/>
          <w:bCs/>
          <w:szCs w:val="20"/>
          <w:lang w:eastAsia="sl-SI"/>
        </w:rPr>
        <w:t xml:space="preserve">in </w:t>
      </w:r>
      <w:r w:rsidR="00D43841">
        <w:rPr>
          <w:rFonts w:cs="Arial"/>
          <w:bCs/>
          <w:szCs w:val="20"/>
          <w:lang w:eastAsia="sl-SI"/>
        </w:rPr>
        <w:t>tretje</w:t>
      </w:r>
      <w:r w:rsidR="005E03A5">
        <w:rPr>
          <w:rFonts w:cs="Arial"/>
          <w:bCs/>
          <w:szCs w:val="20"/>
          <w:lang w:eastAsia="sl-SI"/>
        </w:rPr>
        <w:t>ga</w:t>
      </w:r>
      <w:r w:rsidR="00D43841">
        <w:rPr>
          <w:rFonts w:cs="Arial"/>
          <w:bCs/>
          <w:szCs w:val="20"/>
          <w:lang w:eastAsia="sl-SI"/>
        </w:rPr>
        <w:t xml:space="preserve"> odstavku 27. člena (pristojni nacionalni organ) </w:t>
      </w:r>
      <w:proofErr w:type="spellStart"/>
      <w:r w:rsidR="0021557C">
        <w:rPr>
          <w:rFonts w:cs="Arial"/>
          <w:bCs/>
          <w:szCs w:val="20"/>
          <w:lang w:eastAsia="sl-SI"/>
        </w:rPr>
        <w:t>ZInfV</w:t>
      </w:r>
      <w:proofErr w:type="spellEnd"/>
      <w:r w:rsidR="005E03A5">
        <w:rPr>
          <w:rFonts w:cs="Arial"/>
          <w:bCs/>
          <w:szCs w:val="20"/>
          <w:lang w:eastAsia="sl-SI"/>
        </w:rPr>
        <w:t xml:space="preserve"> in</w:t>
      </w:r>
      <w:r w:rsidR="0021557C">
        <w:rPr>
          <w:rFonts w:cs="Arial"/>
          <w:bCs/>
          <w:szCs w:val="20"/>
          <w:lang w:eastAsia="sl-SI"/>
        </w:rPr>
        <w:t xml:space="preserve"> tudi </w:t>
      </w:r>
      <w:r w:rsidR="005E03A5">
        <w:rPr>
          <w:rFonts w:cs="Arial"/>
          <w:bCs/>
          <w:szCs w:val="20"/>
          <w:lang w:eastAsia="sl-SI"/>
        </w:rPr>
        <w:t xml:space="preserve">nekaterim nalogam, kot so </w:t>
      </w:r>
      <w:r w:rsidR="00A53810">
        <w:rPr>
          <w:rFonts w:cs="Arial"/>
          <w:bCs/>
          <w:szCs w:val="20"/>
          <w:lang w:eastAsia="sl-SI"/>
        </w:rPr>
        <w:t xml:space="preserve">te sicer </w:t>
      </w:r>
      <w:r w:rsidR="005E03A5">
        <w:rPr>
          <w:rFonts w:cs="Arial"/>
          <w:bCs/>
          <w:szCs w:val="20"/>
          <w:lang w:eastAsia="sl-SI"/>
        </w:rPr>
        <w:t xml:space="preserve">podrobneje navedene </w:t>
      </w:r>
      <w:r w:rsidR="00D43841">
        <w:rPr>
          <w:rFonts w:cs="Arial"/>
          <w:bCs/>
          <w:szCs w:val="20"/>
          <w:lang w:eastAsia="sl-SI"/>
        </w:rPr>
        <w:t>na nekaterih drugih mestih v</w:t>
      </w:r>
      <w:r w:rsidR="005E03A5">
        <w:rPr>
          <w:rFonts w:cs="Arial"/>
          <w:bCs/>
          <w:szCs w:val="20"/>
          <w:lang w:eastAsia="sl-SI"/>
        </w:rPr>
        <w:t xml:space="preserve"> </w:t>
      </w:r>
      <w:proofErr w:type="spellStart"/>
      <w:r w:rsidR="005E03A5">
        <w:rPr>
          <w:rFonts w:cs="Arial"/>
          <w:bCs/>
          <w:szCs w:val="20"/>
          <w:lang w:eastAsia="sl-SI"/>
        </w:rPr>
        <w:t>ZInfV</w:t>
      </w:r>
      <w:proofErr w:type="spellEnd"/>
      <w:r w:rsidR="005E03A5">
        <w:rPr>
          <w:rFonts w:cs="Arial"/>
          <w:bCs/>
          <w:szCs w:val="20"/>
          <w:lang w:eastAsia="sl-SI"/>
        </w:rPr>
        <w:t xml:space="preserve">. </w:t>
      </w:r>
      <w:r w:rsidR="0021557C">
        <w:rPr>
          <w:rFonts w:cs="Arial"/>
          <w:bCs/>
          <w:szCs w:val="20"/>
          <w:lang w:eastAsia="sl-SI"/>
        </w:rPr>
        <w:t xml:space="preserve">Pojasnjujemo, da </w:t>
      </w:r>
      <w:r w:rsidR="00430DB5">
        <w:rPr>
          <w:rFonts w:cs="Arial"/>
          <w:bCs/>
          <w:szCs w:val="20"/>
          <w:lang w:eastAsia="sl-SI"/>
        </w:rPr>
        <w:t>sedanji d</w:t>
      </w:r>
      <w:r w:rsidR="00D43841">
        <w:rPr>
          <w:rFonts w:cs="Arial"/>
          <w:bCs/>
          <w:szCs w:val="20"/>
          <w:lang w:eastAsia="sl-SI"/>
        </w:rPr>
        <w:t>rug</w:t>
      </w:r>
      <w:r w:rsidR="009D75EC">
        <w:rPr>
          <w:rFonts w:cs="Arial"/>
          <w:bCs/>
          <w:szCs w:val="20"/>
          <w:lang w:eastAsia="sl-SI"/>
        </w:rPr>
        <w:t>i</w:t>
      </w:r>
      <w:r w:rsidR="00D43841">
        <w:rPr>
          <w:rFonts w:cs="Arial"/>
          <w:bCs/>
          <w:szCs w:val="20"/>
          <w:lang w:eastAsia="sl-SI"/>
        </w:rPr>
        <w:t xml:space="preserve"> odstav</w:t>
      </w:r>
      <w:r w:rsidR="009D75EC">
        <w:rPr>
          <w:rFonts w:cs="Arial"/>
          <w:bCs/>
          <w:szCs w:val="20"/>
          <w:lang w:eastAsia="sl-SI"/>
        </w:rPr>
        <w:t>e</w:t>
      </w:r>
      <w:r w:rsidR="00D43841">
        <w:rPr>
          <w:rFonts w:cs="Arial"/>
          <w:bCs/>
          <w:szCs w:val="20"/>
          <w:lang w:eastAsia="sl-SI"/>
        </w:rPr>
        <w:t xml:space="preserve">k 10. člena (pristojni nacionalni organ) ZInfV-1 navaja </w:t>
      </w:r>
      <w:r w:rsidR="00430DB5">
        <w:rPr>
          <w:rFonts w:cs="Arial"/>
          <w:bCs/>
          <w:szCs w:val="20"/>
          <w:lang w:eastAsia="sl-SI"/>
        </w:rPr>
        <w:t xml:space="preserve">že </w:t>
      </w:r>
      <w:r w:rsidR="00D43841">
        <w:rPr>
          <w:rFonts w:cs="Arial"/>
          <w:bCs/>
          <w:szCs w:val="20"/>
          <w:lang w:eastAsia="sl-SI"/>
        </w:rPr>
        <w:t xml:space="preserve">36 nalog </w:t>
      </w:r>
      <w:r w:rsidR="0021557C">
        <w:rPr>
          <w:rFonts w:cs="Arial"/>
          <w:bCs/>
          <w:szCs w:val="20"/>
          <w:lang w:eastAsia="sl-SI"/>
        </w:rPr>
        <w:t xml:space="preserve">(oziroma tudi pristojnosti) </w:t>
      </w:r>
      <w:r w:rsidR="00D43841">
        <w:rPr>
          <w:rFonts w:cs="Arial"/>
          <w:bCs/>
          <w:szCs w:val="20"/>
          <w:lang w:eastAsia="sl-SI"/>
        </w:rPr>
        <w:t>pristojnega nacionalnega organa</w:t>
      </w:r>
      <w:r w:rsidR="0021557C">
        <w:rPr>
          <w:rFonts w:cs="Arial"/>
          <w:bCs/>
          <w:szCs w:val="20"/>
          <w:lang w:eastAsia="sl-SI"/>
        </w:rPr>
        <w:t xml:space="preserve"> za informacijsko varnosti (v nadaljnjem besedilu: pristojni nacionalni organ), ki je </w:t>
      </w:r>
      <w:r w:rsidR="00C97AB1">
        <w:rPr>
          <w:rFonts w:cs="Arial"/>
          <w:bCs/>
          <w:szCs w:val="20"/>
          <w:lang w:eastAsia="sl-SI"/>
        </w:rPr>
        <w:t xml:space="preserve">po prvem odstavku 10. člena ZInfV-1 </w:t>
      </w:r>
      <w:r w:rsidR="00044011">
        <w:rPr>
          <w:rFonts w:cs="Arial"/>
          <w:bCs/>
          <w:szCs w:val="20"/>
          <w:lang w:eastAsia="sl-SI"/>
        </w:rPr>
        <w:t>u</w:t>
      </w:r>
      <w:r w:rsidR="0021557C">
        <w:rPr>
          <w:rFonts w:cs="Arial"/>
          <w:bCs/>
          <w:szCs w:val="20"/>
          <w:lang w:eastAsia="sl-SI"/>
        </w:rPr>
        <w:t>rad</w:t>
      </w:r>
      <w:r w:rsidR="00C97AB1">
        <w:rPr>
          <w:rFonts w:cs="Arial"/>
          <w:bCs/>
          <w:szCs w:val="20"/>
          <w:lang w:eastAsia="sl-SI"/>
        </w:rPr>
        <w:t xml:space="preserve"> (prej po prvem odstavku 27. člena </w:t>
      </w:r>
      <w:proofErr w:type="spellStart"/>
      <w:r w:rsidR="00C97AB1">
        <w:rPr>
          <w:rFonts w:cs="Arial"/>
          <w:bCs/>
          <w:szCs w:val="20"/>
          <w:lang w:eastAsia="sl-SI"/>
        </w:rPr>
        <w:t>ZInfV</w:t>
      </w:r>
      <w:proofErr w:type="spellEnd"/>
      <w:r w:rsidR="00C97AB1">
        <w:rPr>
          <w:rFonts w:cs="Arial"/>
          <w:bCs/>
          <w:szCs w:val="20"/>
          <w:lang w:eastAsia="sl-SI"/>
        </w:rPr>
        <w:t>)</w:t>
      </w:r>
      <w:r w:rsidR="0021557C">
        <w:rPr>
          <w:rFonts w:cs="Arial"/>
          <w:bCs/>
          <w:szCs w:val="20"/>
          <w:lang w:eastAsia="sl-SI"/>
        </w:rPr>
        <w:t xml:space="preserve">. Polega tega so nekatere naloge oziroma pristojnosti pristojnega nacionalnega organa tudi še posebej oziroma podrobneje opredeljene na drugih mestih v ZInfV-1. </w:t>
      </w:r>
      <w:r w:rsidR="00A53810">
        <w:rPr>
          <w:rFonts w:cs="Arial"/>
          <w:bCs/>
          <w:szCs w:val="20"/>
          <w:lang w:eastAsia="sl-SI"/>
        </w:rPr>
        <w:t>Menimo, da p</w:t>
      </w:r>
      <w:r w:rsidR="00430DB5">
        <w:rPr>
          <w:rFonts w:cs="Arial"/>
          <w:bCs/>
          <w:szCs w:val="20"/>
          <w:lang w:eastAsia="sl-SI"/>
        </w:rPr>
        <w:t xml:space="preserve">odrobno ponavljanje </w:t>
      </w:r>
      <w:r w:rsidR="00A53810">
        <w:rPr>
          <w:rFonts w:cs="Arial"/>
          <w:bCs/>
          <w:szCs w:val="20"/>
          <w:lang w:eastAsia="sl-SI"/>
        </w:rPr>
        <w:t xml:space="preserve">zakonsko že določenih </w:t>
      </w:r>
      <w:r w:rsidR="00A2569D">
        <w:rPr>
          <w:rFonts w:cs="Arial"/>
          <w:bCs/>
          <w:szCs w:val="20"/>
          <w:lang w:eastAsia="sl-SI"/>
        </w:rPr>
        <w:t xml:space="preserve">nalog </w:t>
      </w:r>
      <w:r w:rsidR="0021557C">
        <w:rPr>
          <w:rFonts w:cs="Arial"/>
          <w:bCs/>
          <w:szCs w:val="20"/>
          <w:lang w:eastAsia="sl-SI"/>
        </w:rPr>
        <w:t xml:space="preserve">in pristojnosti </w:t>
      </w:r>
      <w:r w:rsidR="00044011">
        <w:rPr>
          <w:rFonts w:cs="Arial"/>
          <w:bCs/>
          <w:szCs w:val="20"/>
          <w:lang w:eastAsia="sl-SI"/>
        </w:rPr>
        <w:t>u</w:t>
      </w:r>
      <w:r w:rsidR="005E03A5">
        <w:rPr>
          <w:rFonts w:cs="Arial"/>
          <w:bCs/>
          <w:szCs w:val="20"/>
          <w:lang w:eastAsia="sl-SI"/>
        </w:rPr>
        <w:t xml:space="preserve">rada, ki je po </w:t>
      </w:r>
      <w:proofErr w:type="spellStart"/>
      <w:r w:rsidR="005E03A5">
        <w:rPr>
          <w:rFonts w:cs="Arial"/>
          <w:bCs/>
          <w:szCs w:val="20"/>
          <w:lang w:eastAsia="sl-SI"/>
        </w:rPr>
        <w:t>ZInfV</w:t>
      </w:r>
      <w:proofErr w:type="spellEnd"/>
      <w:r w:rsidR="005E03A5">
        <w:rPr>
          <w:rFonts w:cs="Arial"/>
          <w:bCs/>
          <w:szCs w:val="20"/>
          <w:lang w:eastAsia="sl-SI"/>
        </w:rPr>
        <w:t xml:space="preserve"> pristojni nacionalni organ</w:t>
      </w:r>
      <w:r w:rsidR="00A53810">
        <w:rPr>
          <w:rFonts w:cs="Arial"/>
          <w:bCs/>
          <w:szCs w:val="20"/>
          <w:lang w:eastAsia="sl-SI"/>
        </w:rPr>
        <w:t>,</w:t>
      </w:r>
      <w:r w:rsidR="005E03A5">
        <w:rPr>
          <w:rFonts w:cs="Arial"/>
          <w:bCs/>
          <w:szCs w:val="20"/>
          <w:lang w:eastAsia="sl-SI"/>
        </w:rPr>
        <w:t xml:space="preserve"> </w:t>
      </w:r>
      <w:r w:rsidR="00430DB5">
        <w:rPr>
          <w:rFonts w:cs="Arial"/>
          <w:bCs/>
          <w:szCs w:val="20"/>
          <w:lang w:eastAsia="sl-SI"/>
        </w:rPr>
        <w:t>n</w:t>
      </w:r>
      <w:r w:rsidR="0021557C">
        <w:rPr>
          <w:rFonts w:cs="Arial"/>
          <w:bCs/>
          <w:szCs w:val="20"/>
          <w:lang w:eastAsia="sl-SI"/>
        </w:rPr>
        <w:t xml:space="preserve">i </w:t>
      </w:r>
      <w:r w:rsidR="00430DB5">
        <w:rPr>
          <w:rFonts w:cs="Arial"/>
          <w:bCs/>
          <w:szCs w:val="20"/>
          <w:lang w:eastAsia="sl-SI"/>
        </w:rPr>
        <w:t>smiselno</w:t>
      </w:r>
      <w:r w:rsidR="00A2569D">
        <w:rPr>
          <w:rFonts w:cs="Arial"/>
          <w:bCs/>
          <w:szCs w:val="20"/>
          <w:lang w:eastAsia="sl-SI"/>
        </w:rPr>
        <w:t xml:space="preserve"> oziroma potrebno.</w:t>
      </w:r>
      <w:r w:rsidR="00430DB5">
        <w:rPr>
          <w:rFonts w:cs="Arial"/>
          <w:bCs/>
          <w:szCs w:val="20"/>
          <w:lang w:eastAsia="sl-SI"/>
        </w:rPr>
        <w:t xml:space="preserve"> Da je mogoč tudi pristop brez podrobnega naštevanja nalog ob sklicevanju na (že) zakonsko določene naloge sicer </w:t>
      </w:r>
      <w:r w:rsidR="00A2569D">
        <w:rPr>
          <w:rFonts w:cs="Arial"/>
          <w:bCs/>
          <w:szCs w:val="20"/>
          <w:lang w:eastAsia="sl-SI"/>
        </w:rPr>
        <w:t xml:space="preserve">primeroma </w:t>
      </w:r>
      <w:r w:rsidR="00430DB5">
        <w:rPr>
          <w:rFonts w:cs="Arial"/>
          <w:bCs/>
          <w:szCs w:val="20"/>
          <w:lang w:eastAsia="sl-SI"/>
        </w:rPr>
        <w:t xml:space="preserve">izhaja tudi iz </w:t>
      </w:r>
      <w:r w:rsidR="00430DB5" w:rsidRPr="00430DB5">
        <w:rPr>
          <w:rFonts w:cs="Arial"/>
          <w:bCs/>
          <w:szCs w:val="20"/>
          <w:lang w:eastAsia="sl-SI"/>
        </w:rPr>
        <w:t>Odloka o ustanovitvi Urada Vlade Republike Slovenije za oskrbo in integracijo migrantov (Uradni list RS, št. 11/17)</w:t>
      </w:r>
      <w:r w:rsidR="0021557C">
        <w:rPr>
          <w:rFonts w:cs="Arial"/>
          <w:bCs/>
          <w:szCs w:val="20"/>
          <w:lang w:eastAsia="sl-SI"/>
        </w:rPr>
        <w:t>.</w:t>
      </w:r>
      <w:r w:rsidR="00A53810">
        <w:rPr>
          <w:rFonts w:cs="Arial"/>
          <w:bCs/>
          <w:szCs w:val="20"/>
          <w:lang w:eastAsia="sl-SI"/>
        </w:rPr>
        <w:t xml:space="preserve"> </w:t>
      </w:r>
      <w:r w:rsidR="000637E9">
        <w:rPr>
          <w:rFonts w:cs="Arial"/>
          <w:bCs/>
          <w:szCs w:val="20"/>
          <w:lang w:eastAsia="sl-SI"/>
        </w:rPr>
        <w:t xml:space="preserve">Nadalje dodatne naloge pristojnega nacionalnega organa oziroma </w:t>
      </w:r>
      <w:r w:rsidR="00E3575A">
        <w:rPr>
          <w:rFonts w:cs="Arial"/>
          <w:bCs/>
          <w:szCs w:val="20"/>
          <w:lang w:eastAsia="sl-SI"/>
        </w:rPr>
        <w:t>u</w:t>
      </w:r>
      <w:r w:rsidR="000637E9">
        <w:rPr>
          <w:rFonts w:cs="Arial"/>
          <w:bCs/>
          <w:szCs w:val="20"/>
          <w:lang w:eastAsia="sl-SI"/>
        </w:rPr>
        <w:t xml:space="preserve">rada, lahko izhajajo tudi iz </w:t>
      </w:r>
      <w:r w:rsidR="000637E9" w:rsidRPr="00253075">
        <w:rPr>
          <w:rFonts w:cs="Arial"/>
          <w:szCs w:val="20"/>
        </w:rPr>
        <w:t>predpis</w:t>
      </w:r>
      <w:r w:rsidR="000637E9">
        <w:rPr>
          <w:rFonts w:cs="Arial"/>
          <w:szCs w:val="20"/>
        </w:rPr>
        <w:t>ov</w:t>
      </w:r>
      <w:r w:rsidR="000637E9" w:rsidRPr="00253075">
        <w:rPr>
          <w:rFonts w:cs="Arial"/>
          <w:szCs w:val="20"/>
        </w:rPr>
        <w:t xml:space="preserve"> Evropske unije s področja kibernetske varnosti, </w:t>
      </w:r>
      <w:r w:rsidR="000637E9">
        <w:rPr>
          <w:rFonts w:cs="Arial"/>
          <w:szCs w:val="20"/>
        </w:rPr>
        <w:t>i</w:t>
      </w:r>
      <w:r w:rsidR="000637E9" w:rsidRPr="00253075">
        <w:rPr>
          <w:rFonts w:cs="Arial"/>
          <w:szCs w:val="20"/>
        </w:rPr>
        <w:t>z ratificirani</w:t>
      </w:r>
      <w:r w:rsidR="000637E9">
        <w:rPr>
          <w:rFonts w:cs="Arial"/>
          <w:szCs w:val="20"/>
        </w:rPr>
        <w:t>h</w:t>
      </w:r>
      <w:r w:rsidR="000637E9" w:rsidRPr="00253075">
        <w:rPr>
          <w:rFonts w:cs="Arial"/>
          <w:szCs w:val="20"/>
        </w:rPr>
        <w:t xml:space="preserve"> mednarodni</w:t>
      </w:r>
      <w:r w:rsidR="000637E9">
        <w:rPr>
          <w:rFonts w:cs="Arial"/>
          <w:szCs w:val="20"/>
        </w:rPr>
        <w:t>h</w:t>
      </w:r>
      <w:r w:rsidR="000637E9" w:rsidRPr="00253075">
        <w:rPr>
          <w:rFonts w:cs="Arial"/>
          <w:szCs w:val="20"/>
        </w:rPr>
        <w:t xml:space="preserve"> sporazum</w:t>
      </w:r>
      <w:r w:rsidR="000637E9">
        <w:rPr>
          <w:rFonts w:cs="Arial"/>
          <w:szCs w:val="20"/>
        </w:rPr>
        <w:t>ov</w:t>
      </w:r>
      <w:r w:rsidR="000637E9" w:rsidRPr="00253075">
        <w:rPr>
          <w:rFonts w:cs="Arial"/>
          <w:szCs w:val="20"/>
        </w:rPr>
        <w:t xml:space="preserve"> s področja kibernetske varnosti in </w:t>
      </w:r>
      <w:r w:rsidR="000637E9">
        <w:rPr>
          <w:rFonts w:cs="Arial"/>
          <w:szCs w:val="20"/>
        </w:rPr>
        <w:t>i</w:t>
      </w:r>
      <w:r w:rsidR="000637E9" w:rsidRPr="00253075">
        <w:rPr>
          <w:rFonts w:cs="Arial"/>
          <w:szCs w:val="20"/>
        </w:rPr>
        <w:t>z drugi</w:t>
      </w:r>
      <w:r w:rsidR="000637E9">
        <w:rPr>
          <w:rFonts w:cs="Arial"/>
          <w:szCs w:val="20"/>
        </w:rPr>
        <w:t>h</w:t>
      </w:r>
      <w:r w:rsidR="000637E9" w:rsidRPr="00253075">
        <w:rPr>
          <w:rFonts w:cs="Arial"/>
          <w:szCs w:val="20"/>
        </w:rPr>
        <w:t xml:space="preserve"> predpis</w:t>
      </w:r>
      <w:r w:rsidR="000637E9">
        <w:rPr>
          <w:rFonts w:cs="Arial"/>
          <w:szCs w:val="20"/>
        </w:rPr>
        <w:t>ov.</w:t>
      </w:r>
      <w:r w:rsidR="000637E9" w:rsidRPr="00253075">
        <w:rPr>
          <w:rFonts w:cs="Arial"/>
          <w:szCs w:val="20"/>
        </w:rPr>
        <w:t xml:space="preserve"> </w:t>
      </w:r>
      <w:r w:rsidR="00281F7A">
        <w:rPr>
          <w:rFonts w:cs="Arial"/>
          <w:szCs w:val="20"/>
        </w:rPr>
        <w:t xml:space="preserve">Pojasnjujemo, da ZInfV-1 </w:t>
      </w:r>
      <w:r w:rsidR="00A2401A">
        <w:rPr>
          <w:rFonts w:cs="Arial"/>
          <w:szCs w:val="20"/>
        </w:rPr>
        <w:t xml:space="preserve">sicer </w:t>
      </w:r>
      <w:r w:rsidR="00281F7A">
        <w:rPr>
          <w:rFonts w:cs="Arial"/>
          <w:szCs w:val="20"/>
        </w:rPr>
        <w:t xml:space="preserve">ureja področje informacijske in kibernetske varnosti, pri čemer sta oba pojma v njem opredeljena. </w:t>
      </w:r>
      <w:r w:rsidR="00A2401A">
        <w:rPr>
          <w:rFonts w:cs="Arial"/>
          <w:szCs w:val="20"/>
        </w:rPr>
        <w:t xml:space="preserve">Pri predpisih </w:t>
      </w:r>
      <w:r w:rsidR="00281F7A">
        <w:rPr>
          <w:rFonts w:cs="Arial"/>
          <w:szCs w:val="20"/>
        </w:rPr>
        <w:t xml:space="preserve">Evropske unije in mednarodnih sporazumov, </w:t>
      </w:r>
      <w:r w:rsidR="00A2401A">
        <w:rPr>
          <w:rFonts w:cs="Arial"/>
          <w:szCs w:val="20"/>
        </w:rPr>
        <w:t xml:space="preserve">ki spadajo v področje dela </w:t>
      </w:r>
      <w:r w:rsidR="00044011">
        <w:rPr>
          <w:rFonts w:cs="Arial"/>
          <w:szCs w:val="20"/>
        </w:rPr>
        <w:t>u</w:t>
      </w:r>
      <w:r w:rsidR="00A2401A">
        <w:rPr>
          <w:rFonts w:cs="Arial"/>
          <w:szCs w:val="20"/>
        </w:rPr>
        <w:t xml:space="preserve">rada (kot pristojnega nacionalnega organa) </w:t>
      </w:r>
      <w:r w:rsidR="00281F7A">
        <w:rPr>
          <w:rFonts w:cs="Arial"/>
          <w:szCs w:val="20"/>
        </w:rPr>
        <w:t xml:space="preserve">pa gre za </w:t>
      </w:r>
      <w:r w:rsidR="00A2401A">
        <w:rPr>
          <w:rFonts w:cs="Arial"/>
          <w:szCs w:val="20"/>
        </w:rPr>
        <w:t>ožji termin »</w:t>
      </w:r>
      <w:r w:rsidR="00281F7A">
        <w:rPr>
          <w:rFonts w:cs="Arial"/>
          <w:szCs w:val="20"/>
        </w:rPr>
        <w:t>kibernetsk</w:t>
      </w:r>
      <w:r w:rsidR="00A2401A">
        <w:rPr>
          <w:rFonts w:cs="Arial"/>
          <w:szCs w:val="20"/>
        </w:rPr>
        <w:t>a</w:t>
      </w:r>
      <w:r w:rsidR="00281F7A">
        <w:rPr>
          <w:rFonts w:cs="Arial"/>
          <w:szCs w:val="20"/>
        </w:rPr>
        <w:t xml:space="preserve"> varnost</w:t>
      </w:r>
      <w:r w:rsidR="00A2401A">
        <w:rPr>
          <w:rFonts w:cs="Arial"/>
          <w:szCs w:val="20"/>
        </w:rPr>
        <w:t xml:space="preserve">«, zato je v tem kontekstu treba uporabiti le termin »kibernetska« varnost. </w:t>
      </w:r>
      <w:r w:rsidR="000637E9">
        <w:rPr>
          <w:rFonts w:cs="Arial"/>
          <w:szCs w:val="20"/>
        </w:rPr>
        <w:t xml:space="preserve">Glede drugih predpisov primeroma navajamo </w:t>
      </w:r>
      <w:r w:rsidR="000637E9" w:rsidRPr="00C716EC">
        <w:rPr>
          <w:rFonts w:cs="Arial"/>
          <w:szCs w:val="20"/>
        </w:rPr>
        <w:t xml:space="preserve">Uredbo o izvajanju uredbe (EU) o digitalni operativni odpornosti za finančni sektor (Uradni list RS, št. 25/25), ki </w:t>
      </w:r>
      <w:r w:rsidR="00E3575A">
        <w:rPr>
          <w:rFonts w:cs="Arial"/>
          <w:szCs w:val="20"/>
        </w:rPr>
        <w:t>u</w:t>
      </w:r>
      <w:r w:rsidR="000637E9">
        <w:rPr>
          <w:rFonts w:cs="Arial"/>
          <w:szCs w:val="20"/>
        </w:rPr>
        <w:t xml:space="preserve">radu določa naloge </w:t>
      </w:r>
      <w:proofErr w:type="spellStart"/>
      <w:r w:rsidR="000637E9">
        <w:rPr>
          <w:rFonts w:cs="Arial"/>
          <w:szCs w:val="20"/>
        </w:rPr>
        <w:t>penetracijskega</w:t>
      </w:r>
      <w:proofErr w:type="spellEnd"/>
      <w:r w:rsidR="000637E9">
        <w:rPr>
          <w:rFonts w:cs="Arial"/>
          <w:szCs w:val="20"/>
        </w:rPr>
        <w:t xml:space="preserve"> testiranja </w:t>
      </w:r>
      <w:r w:rsidR="000637E9">
        <w:rPr>
          <w:rFonts w:cs="Arial"/>
          <w:bCs/>
          <w:szCs w:val="20"/>
          <w:lang w:eastAsia="sl-SI"/>
        </w:rPr>
        <w:t>v skladu z zadevno uredbo EU.</w:t>
      </w:r>
      <w:r w:rsidR="00B629EC">
        <w:rPr>
          <w:rFonts w:cs="Arial"/>
          <w:bCs/>
          <w:szCs w:val="20"/>
          <w:lang w:eastAsia="sl-SI"/>
        </w:rPr>
        <w:t xml:space="preserve"> Tudi 36. točka drugega odstavka 10. člena za pristojni nacionalni organ (ki je </w:t>
      </w:r>
      <w:r w:rsidR="00044011">
        <w:rPr>
          <w:rFonts w:cs="Arial"/>
          <w:bCs/>
          <w:szCs w:val="20"/>
          <w:lang w:eastAsia="sl-SI"/>
        </w:rPr>
        <w:t>u</w:t>
      </w:r>
      <w:r w:rsidR="00B629EC">
        <w:rPr>
          <w:rFonts w:cs="Arial"/>
          <w:bCs/>
          <w:szCs w:val="20"/>
          <w:lang w:eastAsia="sl-SI"/>
        </w:rPr>
        <w:t xml:space="preserve">rad) </w:t>
      </w:r>
      <w:r w:rsidR="00A2401A">
        <w:rPr>
          <w:rFonts w:cs="Arial"/>
          <w:bCs/>
          <w:szCs w:val="20"/>
          <w:lang w:eastAsia="sl-SI"/>
        </w:rPr>
        <w:t xml:space="preserve">sicer </w:t>
      </w:r>
      <w:r w:rsidR="00B629EC">
        <w:rPr>
          <w:rFonts w:cs="Arial"/>
          <w:bCs/>
          <w:szCs w:val="20"/>
          <w:lang w:eastAsia="sl-SI"/>
        </w:rPr>
        <w:t xml:space="preserve">določa: »opravlja druge naloge, določene s tem zakonom ali z drugimi predpisi«. </w:t>
      </w:r>
    </w:p>
    <w:p w14:paraId="13213F68" w14:textId="77777777" w:rsidR="00A2401A" w:rsidRDefault="00A2401A" w:rsidP="000637E9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6E56EBE2" w14:textId="05C46968" w:rsidR="000637E9" w:rsidRPr="000637E9" w:rsidRDefault="000637E9" w:rsidP="000637E9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Posledično predlagani nov</w:t>
      </w:r>
      <w:r w:rsidR="00E3575A">
        <w:rPr>
          <w:rFonts w:cs="Arial"/>
          <w:bCs/>
          <w:szCs w:val="20"/>
          <w:lang w:eastAsia="sl-SI"/>
        </w:rPr>
        <w:t>i</w:t>
      </w:r>
      <w:r>
        <w:rPr>
          <w:rFonts w:cs="Arial"/>
          <w:bCs/>
          <w:szCs w:val="20"/>
          <w:lang w:eastAsia="sl-SI"/>
        </w:rPr>
        <w:t xml:space="preserve"> prvi odstavek 2. člena odloka smiselno ohranja in </w:t>
      </w:r>
      <w:r w:rsidR="00A2401A">
        <w:rPr>
          <w:rFonts w:cs="Arial"/>
          <w:bCs/>
          <w:szCs w:val="20"/>
          <w:lang w:eastAsia="sl-SI"/>
        </w:rPr>
        <w:t xml:space="preserve">z vidika jasnosti ter skladnosti z ZInfV-1 </w:t>
      </w:r>
      <w:r>
        <w:rPr>
          <w:rFonts w:cs="Arial"/>
          <w:bCs/>
          <w:szCs w:val="20"/>
          <w:lang w:eastAsia="sl-SI"/>
        </w:rPr>
        <w:t xml:space="preserve">nadgrajuje le vsebino napovednega stavka </w:t>
      </w:r>
      <w:r w:rsidR="00A2401A">
        <w:rPr>
          <w:rFonts w:cs="Arial"/>
          <w:bCs/>
          <w:szCs w:val="20"/>
          <w:lang w:eastAsia="sl-SI"/>
        </w:rPr>
        <w:t xml:space="preserve">dosedanjega </w:t>
      </w:r>
      <w:r>
        <w:rPr>
          <w:rFonts w:cs="Arial"/>
          <w:bCs/>
          <w:szCs w:val="20"/>
          <w:lang w:eastAsia="sl-SI"/>
        </w:rPr>
        <w:t>2. člena odloka tako, da se predlagani prvi odstavek glasi: »</w:t>
      </w:r>
      <w:r w:rsidRPr="00253075">
        <w:rPr>
          <w:rFonts w:cs="Arial"/>
          <w:szCs w:val="20"/>
        </w:rPr>
        <w:t>Urad je samostojna vladna služba, ki je v skladu z zakonom pristojni nacionalni organ za informacijsko varnost (v nadaljnjem besedilu: pristojni nacionalni organ). Na področju informacijske in kibernetske varnosti ima pristojni nacionalni organ pristojnosti ter opravlja naloge, ki so mu določene z zakonom, s predpisi Evropske unije s področja kibernetske varnosti, z ratificiranimi mednarodnimi sporazumi s področja kibernetske varnosti in z drugimi predpisi</w:t>
      </w:r>
      <w:r>
        <w:rPr>
          <w:rFonts w:cs="Arial"/>
          <w:szCs w:val="20"/>
        </w:rPr>
        <w:t>.</w:t>
      </w:r>
      <w:r w:rsidR="00A2401A">
        <w:rPr>
          <w:rFonts w:cs="Arial"/>
          <w:szCs w:val="20"/>
        </w:rPr>
        <w:t>«.</w:t>
      </w:r>
      <w:r w:rsidRPr="00253075">
        <w:rPr>
          <w:rFonts w:cs="Arial"/>
          <w:szCs w:val="20"/>
        </w:rPr>
        <w:t xml:space="preserve"> </w:t>
      </w:r>
    </w:p>
    <w:p w14:paraId="04F4EDB5" w14:textId="77777777" w:rsidR="000637E9" w:rsidRDefault="000637E9" w:rsidP="00C716EC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6EDA354A" w14:textId="59DCFA61" w:rsidR="00246F10" w:rsidRDefault="00A2569D" w:rsidP="001D397C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Dodatno </w:t>
      </w:r>
      <w:r w:rsidR="00A2401A">
        <w:rPr>
          <w:rFonts w:cs="Arial"/>
          <w:bCs/>
          <w:szCs w:val="20"/>
          <w:lang w:eastAsia="sl-SI"/>
        </w:rPr>
        <w:t>se</w:t>
      </w:r>
      <w:r w:rsidR="005E03A5">
        <w:rPr>
          <w:rFonts w:cs="Arial"/>
          <w:bCs/>
          <w:szCs w:val="20"/>
          <w:lang w:eastAsia="sl-SI"/>
        </w:rPr>
        <w:t xml:space="preserve"> </w:t>
      </w:r>
      <w:r w:rsidR="00A2401A">
        <w:rPr>
          <w:rFonts w:cs="Arial"/>
          <w:bCs/>
          <w:szCs w:val="20"/>
          <w:lang w:eastAsia="sl-SI"/>
        </w:rPr>
        <w:t>s predlaganim</w:t>
      </w:r>
      <w:r w:rsidR="005E03A5">
        <w:rPr>
          <w:rFonts w:cs="Arial"/>
          <w:bCs/>
          <w:szCs w:val="20"/>
          <w:lang w:eastAsia="sl-SI"/>
        </w:rPr>
        <w:t xml:space="preserve"> </w:t>
      </w:r>
      <w:r w:rsidR="0060024C">
        <w:rPr>
          <w:rFonts w:cs="Arial"/>
          <w:bCs/>
          <w:szCs w:val="20"/>
          <w:lang w:eastAsia="sl-SI"/>
        </w:rPr>
        <w:t xml:space="preserve">drugim odstavkom </w:t>
      </w:r>
      <w:r w:rsidR="005E03A5">
        <w:rPr>
          <w:rFonts w:cs="Arial"/>
          <w:bCs/>
          <w:szCs w:val="20"/>
          <w:lang w:eastAsia="sl-SI"/>
        </w:rPr>
        <w:t>2. člen</w:t>
      </w:r>
      <w:r w:rsidR="00A2401A">
        <w:rPr>
          <w:rFonts w:cs="Arial"/>
          <w:bCs/>
          <w:szCs w:val="20"/>
          <w:lang w:eastAsia="sl-SI"/>
        </w:rPr>
        <w:t>om</w:t>
      </w:r>
      <w:r w:rsidR="005E03A5">
        <w:rPr>
          <w:rFonts w:cs="Arial"/>
          <w:bCs/>
          <w:szCs w:val="20"/>
          <w:lang w:eastAsia="sl-SI"/>
        </w:rPr>
        <w:t xml:space="preserve"> </w:t>
      </w:r>
      <w:r w:rsidR="00044011">
        <w:rPr>
          <w:rFonts w:cs="Arial"/>
          <w:bCs/>
          <w:szCs w:val="20"/>
          <w:lang w:eastAsia="sl-SI"/>
        </w:rPr>
        <w:t>n</w:t>
      </w:r>
      <w:r w:rsidR="00D43841">
        <w:rPr>
          <w:rFonts w:cs="Arial"/>
          <w:bCs/>
          <w:szCs w:val="20"/>
          <w:lang w:eastAsia="sl-SI"/>
        </w:rPr>
        <w:t>ovel</w:t>
      </w:r>
      <w:r w:rsidR="005E03A5">
        <w:rPr>
          <w:rFonts w:cs="Arial"/>
          <w:bCs/>
          <w:szCs w:val="20"/>
          <w:lang w:eastAsia="sl-SI"/>
        </w:rPr>
        <w:t>e</w:t>
      </w:r>
      <w:r w:rsidR="00D43841">
        <w:rPr>
          <w:rFonts w:cs="Arial"/>
          <w:bCs/>
          <w:szCs w:val="20"/>
          <w:lang w:eastAsia="sl-SI"/>
        </w:rPr>
        <w:t xml:space="preserve"> odloka</w:t>
      </w:r>
      <w:r w:rsidR="005E03A5">
        <w:rPr>
          <w:rFonts w:cs="Arial"/>
          <w:bCs/>
          <w:szCs w:val="20"/>
          <w:lang w:eastAsia="sl-SI"/>
        </w:rPr>
        <w:t xml:space="preserve"> upošteva</w:t>
      </w:r>
      <w:r w:rsidR="00D43841">
        <w:rPr>
          <w:rFonts w:cs="Arial"/>
          <w:bCs/>
          <w:szCs w:val="20"/>
          <w:lang w:eastAsia="sl-SI"/>
        </w:rPr>
        <w:t xml:space="preserve">, da </w:t>
      </w:r>
      <w:r w:rsidR="00044011">
        <w:rPr>
          <w:rFonts w:cs="Arial"/>
          <w:bCs/>
          <w:szCs w:val="20"/>
          <w:lang w:eastAsia="sl-SI"/>
        </w:rPr>
        <w:t>u</w:t>
      </w:r>
      <w:r w:rsidR="00F5756C">
        <w:rPr>
          <w:rFonts w:cs="Arial"/>
          <w:bCs/>
          <w:szCs w:val="20"/>
          <w:lang w:eastAsia="sl-SI"/>
        </w:rPr>
        <w:t>rad</w:t>
      </w:r>
      <w:r w:rsidR="00D43841">
        <w:rPr>
          <w:rFonts w:cs="Arial"/>
          <w:bCs/>
          <w:szCs w:val="20"/>
          <w:lang w:eastAsia="sl-SI"/>
        </w:rPr>
        <w:t xml:space="preserve"> </w:t>
      </w:r>
      <w:r w:rsidR="005E03A5">
        <w:rPr>
          <w:rFonts w:cs="Arial"/>
          <w:bCs/>
          <w:szCs w:val="20"/>
          <w:lang w:eastAsia="sl-SI"/>
        </w:rPr>
        <w:t xml:space="preserve">v skladu z ZInfV-1 </w:t>
      </w:r>
      <w:r w:rsidR="00D43841">
        <w:rPr>
          <w:rFonts w:cs="Arial"/>
          <w:bCs/>
          <w:szCs w:val="20"/>
          <w:lang w:eastAsia="sl-SI"/>
        </w:rPr>
        <w:t xml:space="preserve">ni le </w:t>
      </w:r>
      <w:r w:rsidR="009D75EC">
        <w:rPr>
          <w:rFonts w:cs="Arial"/>
          <w:bCs/>
          <w:szCs w:val="20"/>
          <w:lang w:eastAsia="sl-SI"/>
        </w:rPr>
        <w:t xml:space="preserve">pristojni nacionalni organ, temveč deluje </w:t>
      </w:r>
      <w:r w:rsidR="00F32F0F">
        <w:rPr>
          <w:rFonts w:cs="Arial"/>
          <w:bCs/>
          <w:szCs w:val="20"/>
          <w:lang w:eastAsia="sl-SI"/>
        </w:rPr>
        <w:t xml:space="preserve">tudi v svojstvu </w:t>
      </w:r>
      <w:r w:rsidR="00BB0372">
        <w:rPr>
          <w:rFonts w:cs="Arial"/>
          <w:bCs/>
          <w:szCs w:val="20"/>
          <w:lang w:eastAsia="sl-SI"/>
        </w:rPr>
        <w:t xml:space="preserve">drugih entitet oziroma </w:t>
      </w:r>
      <w:r w:rsidR="00EE1558">
        <w:rPr>
          <w:rFonts w:cs="Arial"/>
          <w:bCs/>
          <w:szCs w:val="20"/>
          <w:lang w:eastAsia="sl-SI"/>
        </w:rPr>
        <w:t xml:space="preserve">pristojnih </w:t>
      </w:r>
      <w:r w:rsidR="00BB0372">
        <w:rPr>
          <w:rFonts w:cs="Arial"/>
          <w:bCs/>
          <w:szCs w:val="20"/>
          <w:lang w:eastAsia="sl-SI"/>
        </w:rPr>
        <w:t xml:space="preserve">organov ter </w:t>
      </w:r>
      <w:r w:rsidR="00A2401A">
        <w:rPr>
          <w:rFonts w:cs="Arial"/>
          <w:bCs/>
          <w:szCs w:val="20"/>
          <w:lang w:eastAsia="sl-SI"/>
        </w:rPr>
        <w:t xml:space="preserve">je zato </w:t>
      </w:r>
      <w:r w:rsidR="00BB0372">
        <w:rPr>
          <w:rFonts w:cs="Arial"/>
          <w:bCs/>
          <w:szCs w:val="20"/>
          <w:lang w:eastAsia="sl-SI"/>
        </w:rPr>
        <w:t>opravlja tudi naloge, ki pripadajo takšnim drugim entitetam oziroma organom</w:t>
      </w:r>
      <w:r w:rsidR="00EE1558">
        <w:rPr>
          <w:rFonts w:cs="Arial"/>
          <w:bCs/>
          <w:szCs w:val="20"/>
          <w:lang w:eastAsia="sl-SI"/>
        </w:rPr>
        <w:t xml:space="preserve"> v skladu s predpisi Evropske unije (v nadaljnjem besedilu: EU)</w:t>
      </w:r>
      <w:r w:rsidR="00C94545">
        <w:rPr>
          <w:rFonts w:cs="Arial"/>
          <w:bCs/>
          <w:szCs w:val="20"/>
          <w:lang w:eastAsia="sl-SI"/>
        </w:rPr>
        <w:t>, k</w:t>
      </w:r>
      <w:r w:rsidR="0060024C">
        <w:rPr>
          <w:rFonts w:cs="Arial"/>
          <w:bCs/>
          <w:szCs w:val="20"/>
          <w:lang w:eastAsia="sl-SI"/>
        </w:rPr>
        <w:t>ot je to razvidno iz predlagan</w:t>
      </w:r>
      <w:r w:rsidR="00357BD9">
        <w:rPr>
          <w:rFonts w:cs="Arial"/>
          <w:bCs/>
          <w:szCs w:val="20"/>
          <w:lang w:eastAsia="sl-SI"/>
        </w:rPr>
        <w:t>ih</w:t>
      </w:r>
      <w:r w:rsidR="0060024C">
        <w:rPr>
          <w:rFonts w:cs="Arial"/>
          <w:bCs/>
          <w:szCs w:val="20"/>
          <w:lang w:eastAsia="sl-SI"/>
        </w:rPr>
        <w:t xml:space="preserve"> prve do pete alineje drugega odstavka spremenjenega 2. člena </w:t>
      </w:r>
      <w:r w:rsidR="00246F10">
        <w:rPr>
          <w:rFonts w:cs="Arial"/>
          <w:bCs/>
          <w:szCs w:val="20"/>
          <w:lang w:eastAsia="sl-SI"/>
        </w:rPr>
        <w:t>odlok</w:t>
      </w:r>
      <w:r w:rsidR="0060024C">
        <w:rPr>
          <w:rFonts w:cs="Arial"/>
          <w:bCs/>
          <w:szCs w:val="20"/>
          <w:lang w:eastAsia="sl-SI"/>
        </w:rPr>
        <w:t>a</w:t>
      </w:r>
      <w:r w:rsidR="00246F10">
        <w:rPr>
          <w:rFonts w:cs="Arial"/>
          <w:bCs/>
          <w:szCs w:val="20"/>
          <w:lang w:eastAsia="sl-SI"/>
        </w:rPr>
        <w:t>.</w:t>
      </w:r>
      <w:r w:rsidR="00C94545">
        <w:rPr>
          <w:rFonts w:cs="Arial"/>
          <w:bCs/>
          <w:szCs w:val="20"/>
          <w:lang w:eastAsia="sl-SI"/>
        </w:rPr>
        <w:t xml:space="preserve"> </w:t>
      </w:r>
    </w:p>
    <w:p w14:paraId="4180B22B" w14:textId="77777777" w:rsidR="00246F10" w:rsidRDefault="00246F10" w:rsidP="001D397C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7AAAF430" w14:textId="41FD0171" w:rsidR="00EF0F72" w:rsidRDefault="00246F10" w:rsidP="00812EF3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Pri tem se predlagano novo besedilo </w:t>
      </w:r>
      <w:r w:rsidR="0060024C">
        <w:rPr>
          <w:rFonts w:cs="Arial"/>
          <w:bCs/>
          <w:szCs w:val="20"/>
          <w:lang w:eastAsia="sl-SI"/>
        </w:rPr>
        <w:t xml:space="preserve">prve </w:t>
      </w:r>
      <w:r>
        <w:rPr>
          <w:rFonts w:cs="Arial"/>
          <w:bCs/>
          <w:szCs w:val="20"/>
          <w:lang w:eastAsia="sl-SI"/>
        </w:rPr>
        <w:t xml:space="preserve">in </w:t>
      </w:r>
      <w:r w:rsidR="0060024C">
        <w:rPr>
          <w:rFonts w:cs="Arial"/>
          <w:bCs/>
          <w:szCs w:val="20"/>
          <w:lang w:eastAsia="sl-SI"/>
        </w:rPr>
        <w:t>druge alineje drugega</w:t>
      </w:r>
      <w:r>
        <w:rPr>
          <w:rFonts w:cs="Arial"/>
          <w:bCs/>
          <w:szCs w:val="20"/>
          <w:lang w:eastAsia="sl-SI"/>
        </w:rPr>
        <w:t xml:space="preserve"> odstavka 2. člena odloka nanaša </w:t>
      </w:r>
      <w:r w:rsidR="00EF0F72">
        <w:rPr>
          <w:rFonts w:cs="Arial"/>
          <w:bCs/>
          <w:szCs w:val="20"/>
          <w:lang w:eastAsia="sl-SI"/>
        </w:rPr>
        <w:t xml:space="preserve">na </w:t>
      </w:r>
      <w:r>
        <w:rPr>
          <w:rFonts w:cs="Arial"/>
          <w:bCs/>
          <w:szCs w:val="20"/>
          <w:lang w:eastAsia="sl-SI"/>
        </w:rPr>
        <w:t>delovanje, pristojnega nacionalnega organa</w:t>
      </w:r>
      <w:r w:rsidR="00EF0F72">
        <w:rPr>
          <w:rFonts w:cs="Arial"/>
          <w:bCs/>
          <w:szCs w:val="20"/>
          <w:lang w:eastAsia="sl-SI"/>
        </w:rPr>
        <w:t xml:space="preserve"> (torej </w:t>
      </w:r>
      <w:r w:rsidR="00130441">
        <w:rPr>
          <w:rFonts w:cs="Arial"/>
          <w:bCs/>
          <w:szCs w:val="20"/>
          <w:lang w:eastAsia="sl-SI"/>
        </w:rPr>
        <w:t>u</w:t>
      </w:r>
      <w:r>
        <w:rPr>
          <w:rFonts w:cs="Arial"/>
          <w:bCs/>
          <w:szCs w:val="20"/>
          <w:lang w:eastAsia="sl-SI"/>
        </w:rPr>
        <w:t>rad</w:t>
      </w:r>
      <w:r w:rsidR="00EF0F72">
        <w:rPr>
          <w:rFonts w:cs="Arial"/>
          <w:bCs/>
          <w:szCs w:val="20"/>
          <w:lang w:eastAsia="sl-SI"/>
        </w:rPr>
        <w:t xml:space="preserve">a) </w:t>
      </w:r>
      <w:r>
        <w:rPr>
          <w:rFonts w:cs="Arial"/>
          <w:bCs/>
          <w:szCs w:val="20"/>
          <w:lang w:eastAsia="sl-SI"/>
        </w:rPr>
        <w:t xml:space="preserve">kot </w:t>
      </w:r>
      <w:r w:rsidR="00F32F0F">
        <w:rPr>
          <w:rFonts w:cs="Arial"/>
          <w:bCs/>
          <w:szCs w:val="20"/>
          <w:lang w:eastAsia="sl-SI"/>
        </w:rPr>
        <w:t>enotn</w:t>
      </w:r>
      <w:r w:rsidR="00EF0F72">
        <w:rPr>
          <w:rFonts w:cs="Arial"/>
          <w:bCs/>
          <w:szCs w:val="20"/>
          <w:lang w:eastAsia="sl-SI"/>
        </w:rPr>
        <w:t>e</w:t>
      </w:r>
      <w:r w:rsidR="00F32F0F">
        <w:rPr>
          <w:rFonts w:cs="Arial"/>
          <w:bCs/>
          <w:szCs w:val="20"/>
          <w:lang w:eastAsia="sl-SI"/>
        </w:rPr>
        <w:t xml:space="preserve"> kontaktn</w:t>
      </w:r>
      <w:r w:rsidR="00EF0F72">
        <w:rPr>
          <w:rFonts w:cs="Arial"/>
          <w:bCs/>
          <w:szCs w:val="20"/>
          <w:lang w:eastAsia="sl-SI"/>
        </w:rPr>
        <w:t>e</w:t>
      </w:r>
      <w:r w:rsidR="00F32F0F">
        <w:rPr>
          <w:rFonts w:cs="Arial"/>
          <w:bCs/>
          <w:szCs w:val="20"/>
          <w:lang w:eastAsia="sl-SI"/>
        </w:rPr>
        <w:t xml:space="preserve"> točke ter v svojstvu </w:t>
      </w:r>
      <w:r w:rsidR="00F32F0F" w:rsidRPr="00F32F0F">
        <w:rPr>
          <w:rFonts w:cs="Arial"/>
          <w:bCs/>
          <w:szCs w:val="20"/>
          <w:lang w:eastAsia="sl-SI"/>
        </w:rPr>
        <w:t>organa za obvladovanje kibernetskih incidentov velikih razsežnosti in kriz (v nadaljnjem besedilu: organ za obvladovanje kibernetskih kriz)</w:t>
      </w:r>
      <w:r w:rsidR="00F5756C">
        <w:rPr>
          <w:rFonts w:cs="Arial"/>
          <w:bCs/>
          <w:szCs w:val="20"/>
          <w:lang w:eastAsia="sl-SI"/>
        </w:rPr>
        <w:t xml:space="preserve"> v skladu </w:t>
      </w:r>
      <w:r w:rsidR="00F32F0F" w:rsidRPr="00F32F0F">
        <w:rPr>
          <w:rFonts w:cs="Arial"/>
          <w:bCs/>
          <w:szCs w:val="20"/>
          <w:lang w:eastAsia="sl-SI"/>
        </w:rPr>
        <w:t>z Direktiv</w:t>
      </w:r>
      <w:r w:rsidR="00F5756C">
        <w:rPr>
          <w:rFonts w:cs="Arial"/>
          <w:bCs/>
          <w:szCs w:val="20"/>
          <w:lang w:eastAsia="sl-SI"/>
        </w:rPr>
        <w:t>o</w:t>
      </w:r>
      <w:r w:rsidR="00F32F0F" w:rsidRPr="00F32F0F">
        <w:rPr>
          <w:rFonts w:cs="Arial"/>
          <w:bCs/>
          <w:szCs w:val="20"/>
          <w:lang w:eastAsia="sl-SI"/>
        </w:rPr>
        <w:t xml:space="preserve"> 2022/2555/EU Evropskega parlamenta in Sveta z dne 14. decembra 2022 o ukrepih za visoko skupno raven kibernetske varnosti v Uniji, spremembi Uredbe (EU) št. 910/2014 in Direktive (EU) 2018/1972 ter razveljavitvi Direktive (EU) 2016/1148 (direktiva NIS 2) (UL L št. 333 z dne 27. 12. 2022, str. 80), zadnjič popravljeno s Popravkom (UL L št. </w:t>
      </w:r>
      <w:r w:rsidR="00F32F0F" w:rsidRPr="00F32F0F">
        <w:rPr>
          <w:rFonts w:cs="Arial"/>
          <w:bCs/>
          <w:szCs w:val="20"/>
          <w:lang w:eastAsia="sl-SI"/>
        </w:rPr>
        <w:lastRenderedPageBreak/>
        <w:t>90348 z dne 12. 6. 2024, str. 139), (v nadaljnjem besedilu: Direktiva 2022/2555/EU)</w:t>
      </w:r>
      <w:r w:rsidR="00C85F15">
        <w:rPr>
          <w:rFonts w:cs="Arial"/>
          <w:bCs/>
          <w:szCs w:val="20"/>
          <w:lang w:eastAsia="sl-SI"/>
        </w:rPr>
        <w:t xml:space="preserve">, ki se je v slovenski pravni red prenesla z ZInfV-1. V skladu z </w:t>
      </w:r>
      <w:r w:rsidR="00C85F15" w:rsidRPr="00F32F0F">
        <w:rPr>
          <w:rFonts w:cs="Arial"/>
          <w:bCs/>
          <w:szCs w:val="20"/>
          <w:lang w:eastAsia="sl-SI"/>
        </w:rPr>
        <w:t>Direktiv</w:t>
      </w:r>
      <w:r w:rsidR="00C85F15">
        <w:rPr>
          <w:rFonts w:cs="Arial"/>
          <w:bCs/>
          <w:szCs w:val="20"/>
          <w:lang w:eastAsia="sl-SI"/>
        </w:rPr>
        <w:t>o</w:t>
      </w:r>
      <w:r w:rsidR="00C85F15" w:rsidRPr="00F32F0F">
        <w:rPr>
          <w:rFonts w:cs="Arial"/>
          <w:bCs/>
          <w:szCs w:val="20"/>
          <w:lang w:eastAsia="sl-SI"/>
        </w:rPr>
        <w:t xml:space="preserve"> 2022/2555/EU</w:t>
      </w:r>
      <w:r w:rsidR="00C85F15">
        <w:rPr>
          <w:rFonts w:cs="Arial"/>
          <w:bCs/>
          <w:szCs w:val="20"/>
          <w:lang w:eastAsia="sl-SI"/>
        </w:rPr>
        <w:t xml:space="preserve">, bi bilo sicer naloge pristojnega nacionalnega organa, enotne kontaktne točke ter organa z obvladovanje kibernetskih kriz </w:t>
      </w:r>
      <w:r w:rsidR="00F5756C">
        <w:rPr>
          <w:rFonts w:cs="Arial"/>
          <w:bCs/>
          <w:szCs w:val="20"/>
          <w:lang w:eastAsia="sl-SI"/>
        </w:rPr>
        <w:t xml:space="preserve">dovoljeno </w:t>
      </w:r>
      <w:r w:rsidR="00C85F15">
        <w:rPr>
          <w:rFonts w:cs="Arial"/>
          <w:bCs/>
          <w:szCs w:val="20"/>
          <w:lang w:eastAsia="sl-SI"/>
        </w:rPr>
        <w:t>dodeliti</w:t>
      </w:r>
      <w:r w:rsidR="00F5756C">
        <w:rPr>
          <w:rFonts w:cs="Arial"/>
          <w:bCs/>
          <w:szCs w:val="20"/>
          <w:lang w:eastAsia="sl-SI"/>
        </w:rPr>
        <w:t xml:space="preserve"> med seboj </w:t>
      </w:r>
      <w:r w:rsidR="00C85F15">
        <w:rPr>
          <w:rFonts w:cs="Arial"/>
          <w:bCs/>
          <w:szCs w:val="20"/>
          <w:lang w:eastAsia="sl-SI"/>
        </w:rPr>
        <w:t>različnim organom</w:t>
      </w:r>
      <w:r w:rsidR="00F5756C">
        <w:rPr>
          <w:rFonts w:cs="Arial"/>
          <w:bCs/>
          <w:szCs w:val="20"/>
          <w:lang w:eastAsia="sl-SI"/>
        </w:rPr>
        <w:t xml:space="preserve">, lahko pa se pristojni nacionalni organ imenuje hkrati še za enotno kontaktno točko oziroma </w:t>
      </w:r>
      <w:r w:rsidR="00EF0F72">
        <w:rPr>
          <w:rFonts w:cs="Arial"/>
          <w:bCs/>
          <w:szCs w:val="20"/>
          <w:lang w:eastAsia="sl-SI"/>
        </w:rPr>
        <w:t xml:space="preserve">tudi </w:t>
      </w:r>
      <w:r w:rsidR="00F5756C">
        <w:rPr>
          <w:rFonts w:cs="Arial"/>
          <w:bCs/>
          <w:szCs w:val="20"/>
          <w:lang w:eastAsia="sl-SI"/>
        </w:rPr>
        <w:t xml:space="preserve">še za </w:t>
      </w:r>
      <w:r w:rsidR="00F5756C" w:rsidRPr="00F32F0F">
        <w:rPr>
          <w:rFonts w:cs="Arial"/>
          <w:bCs/>
          <w:szCs w:val="20"/>
          <w:lang w:eastAsia="sl-SI"/>
        </w:rPr>
        <w:t>organ za obvladovanje kibernetskih kriz</w:t>
      </w:r>
      <w:r w:rsidR="00F5756C">
        <w:rPr>
          <w:rFonts w:cs="Arial"/>
          <w:bCs/>
          <w:szCs w:val="20"/>
          <w:lang w:eastAsia="sl-SI"/>
        </w:rPr>
        <w:t xml:space="preserve">, kar je tudi pristop, ki je bil izbran z ZInfV-1. </w:t>
      </w:r>
    </w:p>
    <w:p w14:paraId="185CBAFF" w14:textId="77777777" w:rsidR="00812EF3" w:rsidRDefault="00812EF3" w:rsidP="00812EF3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318A964A" w14:textId="05ACEC49" w:rsidR="002E64CC" w:rsidRDefault="002E64CC" w:rsidP="001D397C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Pristojni nacionalni organ (to je </w:t>
      </w:r>
      <w:r w:rsidR="00130441">
        <w:rPr>
          <w:rFonts w:cs="Arial"/>
          <w:bCs/>
          <w:szCs w:val="20"/>
          <w:lang w:eastAsia="sl-SI"/>
        </w:rPr>
        <w:t>u</w:t>
      </w:r>
      <w:r w:rsidR="00F5756C">
        <w:rPr>
          <w:rFonts w:cs="Arial"/>
          <w:bCs/>
          <w:szCs w:val="20"/>
          <w:lang w:eastAsia="sl-SI"/>
        </w:rPr>
        <w:t>rad</w:t>
      </w:r>
      <w:r>
        <w:rPr>
          <w:rFonts w:cs="Arial"/>
          <w:bCs/>
          <w:szCs w:val="20"/>
          <w:lang w:eastAsia="sl-SI"/>
        </w:rPr>
        <w:t>)</w:t>
      </w:r>
      <w:r w:rsidR="00F5756C">
        <w:rPr>
          <w:rFonts w:cs="Arial"/>
          <w:bCs/>
          <w:szCs w:val="20"/>
          <w:lang w:eastAsia="sl-SI"/>
        </w:rPr>
        <w:t xml:space="preserve"> </w:t>
      </w:r>
      <w:r>
        <w:rPr>
          <w:rFonts w:cs="Arial"/>
          <w:bCs/>
          <w:szCs w:val="20"/>
          <w:lang w:eastAsia="sl-SI"/>
        </w:rPr>
        <w:t xml:space="preserve">pa je </w:t>
      </w:r>
      <w:r w:rsidR="00F5756C">
        <w:rPr>
          <w:rFonts w:cs="Arial"/>
          <w:bCs/>
          <w:szCs w:val="20"/>
          <w:lang w:eastAsia="sl-SI"/>
        </w:rPr>
        <w:t>v skladu z ZInfV-1 tudi</w:t>
      </w:r>
      <w:r>
        <w:rPr>
          <w:rFonts w:cs="Arial"/>
          <w:bCs/>
          <w:szCs w:val="20"/>
          <w:lang w:eastAsia="sl-SI"/>
        </w:rPr>
        <w:t>:</w:t>
      </w:r>
    </w:p>
    <w:p w14:paraId="696DFE07" w14:textId="21022961" w:rsidR="002E64CC" w:rsidRDefault="00F5756C" w:rsidP="002E64CC">
      <w:pPr>
        <w:pStyle w:val="Odstavekseznama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Fonts w:cs="Arial"/>
          <w:szCs w:val="20"/>
        </w:rPr>
      </w:pPr>
      <w:r w:rsidRPr="002E64CC">
        <w:rPr>
          <w:rFonts w:cs="Arial"/>
          <w:szCs w:val="20"/>
        </w:rPr>
        <w:t>nacionalni certifikacijski organ za kibernetsko varnost</w:t>
      </w:r>
      <w:r w:rsidR="003C07D7">
        <w:rPr>
          <w:rFonts w:cs="Arial"/>
          <w:szCs w:val="20"/>
        </w:rPr>
        <w:t xml:space="preserve"> ter</w:t>
      </w:r>
      <w:r w:rsidRPr="002E64CC">
        <w:rPr>
          <w:rFonts w:cs="Arial"/>
          <w:szCs w:val="20"/>
        </w:rPr>
        <w:t xml:space="preserve"> je v tej vlogi </w:t>
      </w:r>
      <w:r w:rsidR="002E64CC">
        <w:rPr>
          <w:rFonts w:cs="Arial"/>
          <w:szCs w:val="20"/>
        </w:rPr>
        <w:t xml:space="preserve">v skladu z zakonom </w:t>
      </w:r>
      <w:r w:rsidRPr="002E64CC">
        <w:rPr>
          <w:rFonts w:cs="Arial"/>
          <w:szCs w:val="20"/>
        </w:rPr>
        <w:t xml:space="preserve">pristojen za opravljanje nalog nacionalnega certifikacijskega organa za kibernetsko varnost iz </w:t>
      </w:r>
      <w:hyperlink r:id="rId18" w:tgtFrame="_blank" w:tooltip="to EUR-Lex" w:history="1">
        <w:r w:rsidR="002E64CC" w:rsidRPr="002E64CC">
          <w:rPr>
            <w:rStyle w:val="Hiperpovezava"/>
            <w:rFonts w:cs="Arial"/>
            <w:color w:val="auto"/>
            <w:szCs w:val="20"/>
            <w:u w:val="none"/>
          </w:rPr>
          <w:t>Uredbe 2019/881</w:t>
        </w:r>
      </w:hyperlink>
      <w:r w:rsidR="002E64CC" w:rsidRPr="002E64CC">
        <w:rPr>
          <w:rStyle w:val="Hiperpovezava"/>
          <w:rFonts w:cs="Arial"/>
          <w:color w:val="auto"/>
          <w:szCs w:val="20"/>
          <w:u w:val="none"/>
        </w:rPr>
        <w:t>/EU</w:t>
      </w:r>
      <w:r w:rsidR="001E0EC6">
        <w:rPr>
          <w:rStyle w:val="Sprotnaopomba-sklic"/>
          <w:rFonts w:cs="Arial"/>
          <w:szCs w:val="20"/>
        </w:rPr>
        <w:footnoteReference w:id="1"/>
      </w:r>
      <w:r w:rsidR="001E0EC6" w:rsidRPr="002E64CC">
        <w:rPr>
          <w:rStyle w:val="Hiperpovezava"/>
          <w:rFonts w:cs="Arial"/>
          <w:color w:val="auto"/>
          <w:szCs w:val="20"/>
          <w:u w:val="none"/>
        </w:rPr>
        <w:t xml:space="preserve"> </w:t>
      </w:r>
      <w:r w:rsidR="002E64CC" w:rsidRPr="002E64CC">
        <w:rPr>
          <w:rStyle w:val="Hiperpovezava"/>
          <w:rFonts w:cs="Arial"/>
          <w:color w:val="auto"/>
          <w:szCs w:val="20"/>
          <w:u w:val="none"/>
        </w:rPr>
        <w:t xml:space="preserve">(Akti o kibernetski varnosti) </w:t>
      </w:r>
      <w:r w:rsidRPr="002E64CC">
        <w:rPr>
          <w:rFonts w:cs="Arial"/>
          <w:szCs w:val="20"/>
        </w:rPr>
        <w:t>in iz zakona</w:t>
      </w:r>
      <w:r w:rsidR="00EF0F72" w:rsidRPr="002E64CC">
        <w:rPr>
          <w:rFonts w:cs="Arial"/>
          <w:szCs w:val="20"/>
        </w:rPr>
        <w:t xml:space="preserve"> (glej določbe tretjega odstavka 3. člena, 28. točko drugega odstavka 10. čelna in 27. člen ZInfV-1)</w:t>
      </w:r>
      <w:r w:rsidR="002E64CC">
        <w:rPr>
          <w:rFonts w:cs="Arial"/>
          <w:szCs w:val="20"/>
        </w:rPr>
        <w:t>;</w:t>
      </w:r>
    </w:p>
    <w:p w14:paraId="254631EA" w14:textId="4160CDFF" w:rsidR="002E64CC" w:rsidRPr="003C07D7" w:rsidRDefault="002E64CC" w:rsidP="003C07D7">
      <w:pPr>
        <w:pStyle w:val="Odstavekseznama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Fonts w:cs="Arial"/>
          <w:szCs w:val="20"/>
        </w:rPr>
      </w:pPr>
      <w:r w:rsidRPr="00253075">
        <w:rPr>
          <w:rFonts w:cs="Arial"/>
          <w:szCs w:val="20"/>
        </w:rPr>
        <w:t>Nacionalni koordinacijski center za kibernetsko varnost</w:t>
      </w:r>
      <w:r w:rsidR="003C07D7">
        <w:rPr>
          <w:rFonts w:cs="Arial"/>
          <w:szCs w:val="20"/>
        </w:rPr>
        <w:t xml:space="preserve"> ter </w:t>
      </w:r>
      <w:r w:rsidRPr="00253075">
        <w:rPr>
          <w:rFonts w:cs="Arial"/>
          <w:szCs w:val="20"/>
        </w:rPr>
        <w:t xml:space="preserve">je v tej vlogi </w:t>
      </w:r>
      <w:r>
        <w:rPr>
          <w:rFonts w:cs="Arial"/>
          <w:szCs w:val="20"/>
        </w:rPr>
        <w:t xml:space="preserve">v skladu z zakonom </w:t>
      </w:r>
      <w:r w:rsidRPr="00253075">
        <w:rPr>
          <w:rFonts w:cs="Arial"/>
          <w:szCs w:val="20"/>
        </w:rPr>
        <w:t>pristojen za izvajanje nalog nacionalnega koordinacijskega centra za kibernetsko varnost iz </w:t>
      </w:r>
      <w:r>
        <w:rPr>
          <w:rFonts w:cs="Arial"/>
          <w:szCs w:val="20"/>
        </w:rPr>
        <w:t>Uredbe 2021/887/EU</w:t>
      </w:r>
      <w:r w:rsidR="001E0EC6">
        <w:rPr>
          <w:rStyle w:val="Sprotnaopomba-sklic"/>
          <w:rFonts w:cs="Arial"/>
          <w:szCs w:val="20"/>
        </w:rPr>
        <w:footnoteReference w:id="2"/>
      </w:r>
      <w:r w:rsidR="001E0EC6">
        <w:rPr>
          <w:rFonts w:cs="Arial"/>
          <w:szCs w:val="20"/>
        </w:rPr>
        <w:t xml:space="preserve"> </w:t>
      </w:r>
      <w:r w:rsidRPr="003C07D7">
        <w:rPr>
          <w:rFonts w:cs="Arial"/>
          <w:szCs w:val="20"/>
        </w:rPr>
        <w:t>o vzpostavitvi Evropskega industrijskega, tehnološkega in raziskovalnega kompetenčnega centra za kibernetsko varnost ter Mreže nacionalnih koordinacijskih centrov in iz zakona</w:t>
      </w:r>
      <w:r w:rsidR="00CC281B">
        <w:rPr>
          <w:rFonts w:cs="Arial"/>
          <w:szCs w:val="20"/>
        </w:rPr>
        <w:t xml:space="preserve"> (glej določbe četrtega odstavka 3. člena, 29. točko drugega odstavka 10. člena in 11. člen ZInfV-1)</w:t>
      </w:r>
      <w:r w:rsidRPr="003C07D7">
        <w:rPr>
          <w:rFonts w:cs="Arial"/>
          <w:szCs w:val="20"/>
        </w:rPr>
        <w:t>;</w:t>
      </w:r>
    </w:p>
    <w:p w14:paraId="1F16B770" w14:textId="2E4FF830" w:rsidR="002E64CC" w:rsidRDefault="002E64CC" w:rsidP="002E64CC">
      <w:pPr>
        <w:pStyle w:val="Odstavekseznama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Fonts w:cs="Arial"/>
          <w:szCs w:val="20"/>
        </w:rPr>
      </w:pPr>
      <w:r w:rsidRPr="002E64CC">
        <w:rPr>
          <w:rFonts w:cs="Arial"/>
          <w:szCs w:val="20"/>
        </w:rPr>
        <w:t>Nacionalno kibernetsko vozlišče</w:t>
      </w:r>
      <w:r w:rsidR="003C07D7">
        <w:rPr>
          <w:rFonts w:cs="Arial"/>
          <w:szCs w:val="20"/>
        </w:rPr>
        <w:t xml:space="preserve"> ter</w:t>
      </w:r>
      <w:r w:rsidRPr="002E64CC">
        <w:rPr>
          <w:rFonts w:cs="Arial"/>
          <w:szCs w:val="20"/>
        </w:rPr>
        <w:t xml:space="preserve"> je v tej vlogi v skladu z zakonom pristojen, da v skladu s prvim, drugim in tretjim odstavkom 4. člena </w:t>
      </w:r>
      <w:hyperlink r:id="rId19" w:tgtFrame="_blank" w:tooltip="to EUR-Lex" w:history="1">
        <w:r w:rsidRPr="003C07D7">
          <w:rPr>
            <w:rStyle w:val="Hiperpovezava"/>
            <w:rFonts w:cs="Arial"/>
            <w:color w:val="auto"/>
            <w:szCs w:val="20"/>
            <w:u w:val="none"/>
          </w:rPr>
          <w:t>Uredbe 2025/38/EU</w:t>
        </w:r>
      </w:hyperlink>
      <w:r w:rsidR="009B1762">
        <w:rPr>
          <w:rStyle w:val="Sprotnaopomba-sklic"/>
          <w:rFonts w:cs="Arial"/>
          <w:szCs w:val="20"/>
        </w:rPr>
        <w:footnoteReference w:id="3"/>
      </w:r>
      <w:r w:rsidR="00CC281B">
        <w:rPr>
          <w:rStyle w:val="Hiperpovezava"/>
          <w:rFonts w:cs="Arial"/>
          <w:color w:val="auto"/>
          <w:szCs w:val="20"/>
          <w:u w:val="none"/>
        </w:rPr>
        <w:t xml:space="preserve"> (Akt o kibernetski solidarnosti)</w:t>
      </w:r>
      <w:r w:rsidRPr="003C07D7">
        <w:rPr>
          <w:rFonts w:cs="Arial"/>
          <w:szCs w:val="20"/>
        </w:rPr>
        <w:t>,</w:t>
      </w:r>
      <w:r w:rsidRPr="002E64CC">
        <w:rPr>
          <w:rFonts w:cs="Arial"/>
          <w:szCs w:val="20"/>
        </w:rPr>
        <w:t xml:space="preserve"> sodeluje v čezmejnem kibernetskem vozlišču in v evropskem sistemu za opozarjanje na področju kibernetske varnosti iz navedene uredbe</w:t>
      </w:r>
      <w:r w:rsidR="00CC281B">
        <w:rPr>
          <w:rFonts w:cs="Arial"/>
          <w:szCs w:val="20"/>
        </w:rPr>
        <w:t xml:space="preserve"> (glej peti odstavek 3. čelna in 35. točko drugega odstavka 10. člena </w:t>
      </w:r>
      <w:proofErr w:type="spellStart"/>
      <w:r w:rsidR="00CC281B">
        <w:rPr>
          <w:rFonts w:cs="Arial"/>
          <w:szCs w:val="20"/>
        </w:rPr>
        <w:t>ZInfV</w:t>
      </w:r>
      <w:proofErr w:type="spellEnd"/>
      <w:r w:rsidR="00CC281B">
        <w:rPr>
          <w:rFonts w:cs="Arial"/>
          <w:szCs w:val="20"/>
        </w:rPr>
        <w:t>)</w:t>
      </w:r>
      <w:r w:rsidRPr="002E64CC">
        <w:rPr>
          <w:rFonts w:cs="Arial"/>
          <w:szCs w:val="20"/>
        </w:rPr>
        <w:t>.</w:t>
      </w:r>
    </w:p>
    <w:p w14:paraId="11AE6347" w14:textId="77777777" w:rsidR="00CC281B" w:rsidRDefault="00CC281B" w:rsidP="00CC281B">
      <w:pPr>
        <w:tabs>
          <w:tab w:val="left" w:pos="993"/>
        </w:tabs>
        <w:spacing w:line="240" w:lineRule="auto"/>
        <w:jc w:val="both"/>
        <w:rPr>
          <w:rFonts w:cs="Arial"/>
          <w:szCs w:val="20"/>
        </w:rPr>
      </w:pPr>
    </w:p>
    <w:p w14:paraId="5D295238" w14:textId="1BAFE37B" w:rsidR="00CC281B" w:rsidRPr="00CC281B" w:rsidRDefault="0060024C" w:rsidP="00CC281B">
      <w:pPr>
        <w:tabs>
          <w:tab w:val="left" w:pos="993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Zgoraj navedeno</w:t>
      </w:r>
      <w:r w:rsidR="00CC281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spremenjeni 2. člen odloka ureja v </w:t>
      </w:r>
      <w:r w:rsidR="00357BD9">
        <w:rPr>
          <w:rFonts w:cs="Arial"/>
          <w:szCs w:val="20"/>
        </w:rPr>
        <w:t xml:space="preserve">predlaganih </w:t>
      </w:r>
      <w:r>
        <w:rPr>
          <w:rFonts w:cs="Arial"/>
          <w:szCs w:val="20"/>
        </w:rPr>
        <w:t xml:space="preserve">tretji, četrti in peti alineji drugega odstavka  </w:t>
      </w:r>
      <w:r w:rsidR="00357BD9">
        <w:rPr>
          <w:rFonts w:cs="Arial"/>
          <w:szCs w:val="20"/>
        </w:rPr>
        <w:t xml:space="preserve">spremenjenega </w:t>
      </w:r>
      <w:r w:rsidR="001E5AEF">
        <w:rPr>
          <w:rFonts w:cs="Arial"/>
          <w:szCs w:val="20"/>
        </w:rPr>
        <w:t>2. člen</w:t>
      </w:r>
      <w:r>
        <w:rPr>
          <w:rFonts w:cs="Arial"/>
          <w:szCs w:val="20"/>
        </w:rPr>
        <w:t>a</w:t>
      </w:r>
      <w:r w:rsidR="001E5AEF">
        <w:rPr>
          <w:rFonts w:cs="Arial"/>
          <w:szCs w:val="20"/>
        </w:rPr>
        <w:t xml:space="preserve"> odloka. </w:t>
      </w:r>
    </w:p>
    <w:p w14:paraId="079CE19E" w14:textId="11F5F7D9" w:rsidR="00F5756C" w:rsidRPr="00CC281B" w:rsidRDefault="00F5756C" w:rsidP="00CC281B">
      <w:pPr>
        <w:tabs>
          <w:tab w:val="left" w:pos="993"/>
        </w:tabs>
        <w:spacing w:line="240" w:lineRule="auto"/>
        <w:jc w:val="both"/>
        <w:rPr>
          <w:rFonts w:cs="Arial"/>
          <w:szCs w:val="20"/>
        </w:rPr>
      </w:pPr>
    </w:p>
    <w:p w14:paraId="0D013686" w14:textId="28880D3E" w:rsidR="00F5756C" w:rsidRPr="00F5756C" w:rsidRDefault="00F5756C" w:rsidP="00F5756C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5966EF1B" w14:textId="77777777" w:rsidR="00F5756C" w:rsidRDefault="00F5756C" w:rsidP="00F5756C">
      <w:pPr>
        <w:tabs>
          <w:tab w:val="left" w:pos="993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42E83764" w14:textId="4B4C6913" w:rsidR="00897B7F" w:rsidRDefault="00897B7F" w:rsidP="007B3D52">
      <w:pPr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Cs/>
          <w:szCs w:val="20"/>
          <w:lang w:eastAsia="sl-SI"/>
        </w:rPr>
      </w:pPr>
    </w:p>
    <w:sectPr w:rsidR="00897B7F" w:rsidSect="005F456B">
      <w:headerReference w:type="first" r:id="rId2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4E73" w14:textId="77777777" w:rsidR="00703728" w:rsidRDefault="00703728">
      <w:r>
        <w:separator/>
      </w:r>
    </w:p>
  </w:endnote>
  <w:endnote w:type="continuationSeparator" w:id="0">
    <w:p w14:paraId="5CE959E0" w14:textId="77777777" w:rsidR="00703728" w:rsidRDefault="0070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81FE" w14:textId="77777777" w:rsidR="00703728" w:rsidRDefault="00703728">
      <w:r>
        <w:separator/>
      </w:r>
    </w:p>
  </w:footnote>
  <w:footnote w:type="continuationSeparator" w:id="0">
    <w:p w14:paraId="320ADAC5" w14:textId="77777777" w:rsidR="00703728" w:rsidRDefault="00703728">
      <w:r>
        <w:continuationSeparator/>
      </w:r>
    </w:p>
  </w:footnote>
  <w:footnote w:id="1">
    <w:p w14:paraId="1EA4529E" w14:textId="77777777" w:rsidR="001E0EC6" w:rsidRPr="001E5AEF" w:rsidRDefault="001E0EC6" w:rsidP="001E0EC6">
      <w:pPr>
        <w:pStyle w:val="Sprotnaopomba-besedilo"/>
        <w:jc w:val="both"/>
        <w:rPr>
          <w:sz w:val="16"/>
          <w:szCs w:val="16"/>
          <w:lang w:val="sl-SI"/>
        </w:rPr>
      </w:pPr>
      <w:r>
        <w:rPr>
          <w:rStyle w:val="Sprotnaopomba-sklic"/>
        </w:rPr>
        <w:footnoteRef/>
      </w:r>
      <w:r>
        <w:t xml:space="preserve"> </w:t>
      </w:r>
      <w:hyperlink r:id="rId1" w:tgtFrame="_blank" w:tooltip="to EUR-Lex" w:history="1">
        <w:r w:rsidRPr="00D73448">
          <w:rPr>
            <w:rStyle w:val="Hiperpovezava"/>
            <w:rFonts w:cs="Arial"/>
            <w:color w:val="auto"/>
            <w:sz w:val="16"/>
            <w:szCs w:val="16"/>
            <w:u w:val="none"/>
            <w:lang w:val="sl-SI"/>
          </w:rPr>
          <w:t>Uredba (EU) 2019/881</w:t>
        </w:r>
      </w:hyperlink>
      <w:r w:rsidRPr="00D73448">
        <w:rPr>
          <w:rFonts w:cs="Arial"/>
          <w:sz w:val="16"/>
          <w:szCs w:val="16"/>
          <w:lang w:val="sl-SI"/>
        </w:rPr>
        <w:t> Evropskega parlamenta in Sveta z dne 17. aprila 2019 o Agenciji Evropske unije za kibernetsko varnost (ENISA) in o certificiranju informacijske in komunikacijske tehnologije na področju kibernetske varnosti ter razveljavitvi </w:t>
      </w:r>
      <w:hyperlink r:id="rId2" w:tgtFrame="_blank" w:tooltip="to EUR-Lex" w:history="1">
        <w:r w:rsidRPr="00D73448">
          <w:rPr>
            <w:rStyle w:val="Hiperpovezava"/>
            <w:rFonts w:cs="Arial"/>
            <w:color w:val="auto"/>
            <w:sz w:val="16"/>
            <w:szCs w:val="16"/>
            <w:u w:val="none"/>
            <w:lang w:val="sl-SI"/>
          </w:rPr>
          <w:t>Uredbe (EU) št. 526/2013</w:t>
        </w:r>
      </w:hyperlink>
      <w:r w:rsidRPr="00D73448">
        <w:rPr>
          <w:rFonts w:cs="Arial"/>
          <w:sz w:val="16"/>
          <w:szCs w:val="16"/>
          <w:lang w:val="sl-SI"/>
        </w:rPr>
        <w:t> (Akt o kibernetski varnosti) (UL L št. 151 z dne 7. 6. 2019, str. 15), zadnjič spremenjene z </w:t>
      </w:r>
      <w:hyperlink r:id="rId3" w:tgtFrame="_blank" w:tooltip="to EUR-Lex" w:history="1">
        <w:r w:rsidRPr="00D73448">
          <w:rPr>
            <w:rStyle w:val="Hiperpovezava"/>
            <w:rFonts w:cs="Arial"/>
            <w:color w:val="auto"/>
            <w:sz w:val="16"/>
            <w:szCs w:val="16"/>
            <w:u w:val="none"/>
            <w:lang w:val="sl-SI"/>
          </w:rPr>
          <w:t>Uredbo (EU) 2025/37</w:t>
        </w:r>
      </w:hyperlink>
      <w:r w:rsidRPr="00D73448">
        <w:rPr>
          <w:rFonts w:cs="Arial"/>
          <w:sz w:val="16"/>
          <w:szCs w:val="16"/>
          <w:lang w:val="sl-SI"/>
        </w:rPr>
        <w:t> Evropskega parlamenta in Sveta z dne 19. decembra 2024 o spremembi </w:t>
      </w:r>
      <w:hyperlink r:id="rId4" w:tgtFrame="_blank" w:tooltip="to EUR-Lex" w:history="1">
        <w:r w:rsidRPr="00D73448">
          <w:rPr>
            <w:rStyle w:val="Hiperpovezava"/>
            <w:rFonts w:cs="Arial"/>
            <w:color w:val="auto"/>
            <w:sz w:val="16"/>
            <w:szCs w:val="16"/>
            <w:u w:val="none"/>
            <w:lang w:val="sl-SI"/>
          </w:rPr>
          <w:t>Uredbe (EU) 2019/881</w:t>
        </w:r>
      </w:hyperlink>
      <w:r w:rsidRPr="00D73448">
        <w:rPr>
          <w:rFonts w:cs="Arial"/>
          <w:sz w:val="16"/>
          <w:szCs w:val="16"/>
          <w:lang w:val="sl-SI"/>
        </w:rPr>
        <w:t> glede upravljanih varnostnih storitev (UL L št. 2025/37 z dne 15. 1. 2025)</w:t>
      </w:r>
    </w:p>
  </w:footnote>
  <w:footnote w:id="2">
    <w:p w14:paraId="39CB7C10" w14:textId="545F20A6" w:rsidR="001E0EC6" w:rsidRPr="001E0EC6" w:rsidRDefault="001E0EC6" w:rsidP="001E0EC6">
      <w:pPr>
        <w:pStyle w:val="Sprotnaopomba-besedilo"/>
        <w:jc w:val="both"/>
        <w:rPr>
          <w:rStyle w:val="Hiperpovezava"/>
          <w:rFonts w:cs="Arial"/>
          <w:color w:val="auto"/>
          <w:sz w:val="16"/>
          <w:szCs w:val="16"/>
          <w:u w:val="none"/>
          <w:lang w:val="sl-SI"/>
        </w:rPr>
      </w:pPr>
      <w:r>
        <w:rPr>
          <w:rStyle w:val="Sprotnaopomba-sklic"/>
        </w:rPr>
        <w:footnoteRef/>
      </w:r>
      <w:r w:rsidRPr="001E0EC6">
        <w:rPr>
          <w:lang w:val="sl-SI"/>
        </w:rPr>
        <w:t xml:space="preserve"> </w:t>
      </w:r>
      <w:r w:rsidR="00A2425A">
        <w:fldChar w:fldCharType="begin"/>
      </w:r>
      <w:r w:rsidR="00A2425A" w:rsidRPr="00A2425A">
        <w:rPr>
          <w:lang w:val="sl-SI"/>
        </w:rPr>
        <w:instrText>HYPERLINK "http://data.europa.eu/eli/reg/2021/887/oj" \t "_blank" \o "to EUR-Lex"</w:instrText>
      </w:r>
      <w:r w:rsidR="00A2425A">
        <w:fldChar w:fldCharType="separate"/>
      </w:r>
      <w:r w:rsidRPr="001E0EC6">
        <w:rPr>
          <w:rStyle w:val="Hiperpovezava"/>
          <w:rFonts w:cs="Arial"/>
          <w:color w:val="auto"/>
          <w:sz w:val="16"/>
          <w:szCs w:val="16"/>
          <w:u w:val="none"/>
          <w:lang w:val="sl-SI"/>
        </w:rPr>
        <w:t>Uredb</w:t>
      </w:r>
      <w:r>
        <w:rPr>
          <w:rStyle w:val="Hiperpovezava"/>
          <w:rFonts w:cs="Arial"/>
          <w:color w:val="auto"/>
          <w:sz w:val="16"/>
          <w:szCs w:val="16"/>
          <w:u w:val="none"/>
          <w:lang w:val="sl-SI"/>
        </w:rPr>
        <w:t>a</w:t>
      </w:r>
      <w:r w:rsidRPr="001E0EC6">
        <w:rPr>
          <w:rStyle w:val="Hiperpovezava"/>
          <w:rFonts w:cs="Arial"/>
          <w:color w:val="auto"/>
          <w:sz w:val="16"/>
          <w:szCs w:val="16"/>
          <w:u w:val="none"/>
          <w:lang w:val="sl-SI"/>
        </w:rPr>
        <w:t xml:space="preserve"> (EU) 2021/887</w:t>
      </w:r>
      <w:r w:rsidR="00A2425A">
        <w:rPr>
          <w:rStyle w:val="Hiperpovezava"/>
          <w:rFonts w:cs="Arial"/>
          <w:color w:val="auto"/>
          <w:sz w:val="16"/>
          <w:szCs w:val="16"/>
          <w:u w:val="none"/>
          <w:lang w:val="sl-SI"/>
        </w:rPr>
        <w:fldChar w:fldCharType="end"/>
      </w:r>
      <w:r w:rsidRPr="001E0EC6">
        <w:rPr>
          <w:rStyle w:val="Hiperpovezava"/>
          <w:color w:val="auto"/>
          <w:sz w:val="16"/>
          <w:szCs w:val="16"/>
          <w:u w:val="none"/>
          <w:lang w:val="sl-SI"/>
        </w:rPr>
        <w:t> Evropskega parlamenta in Sveta z dne 20. maja 2021 o vzpostavitvi Evropskega industrijskega</w:t>
      </w:r>
      <w:r>
        <w:rPr>
          <w:rStyle w:val="Hiperpovezava"/>
          <w:color w:val="auto"/>
          <w:sz w:val="16"/>
          <w:szCs w:val="16"/>
          <w:u w:val="none"/>
          <w:lang w:val="sl-SI"/>
        </w:rPr>
        <w:t xml:space="preserve">, </w:t>
      </w:r>
      <w:r w:rsidRPr="001E0EC6">
        <w:rPr>
          <w:rStyle w:val="Hiperpovezava"/>
          <w:color w:val="auto"/>
          <w:sz w:val="16"/>
          <w:szCs w:val="16"/>
          <w:u w:val="none"/>
          <w:lang w:val="sl-SI"/>
        </w:rPr>
        <w:t>tehnološkega in raziskovalnega kompetenčnega centra za kibernetsko varnost ter Mreže nacionalnih koordinacijskih centrov (UL L št. 202 z dne 8. 6. 2021, str. 1)</w:t>
      </w:r>
    </w:p>
  </w:footnote>
  <w:footnote w:id="3">
    <w:p w14:paraId="4CF1224D" w14:textId="5498BCDD" w:rsidR="009B1762" w:rsidRPr="009B1762" w:rsidRDefault="009B1762">
      <w:pPr>
        <w:pStyle w:val="Sprotnaopomba-besedilo"/>
        <w:rPr>
          <w:rFonts w:cs="Arial"/>
          <w:sz w:val="16"/>
          <w:szCs w:val="16"/>
          <w:lang w:val="sl-SI"/>
        </w:rPr>
      </w:pPr>
      <w:r>
        <w:rPr>
          <w:rStyle w:val="Sprotnaopomba-sklic"/>
        </w:rPr>
        <w:footnoteRef/>
      </w:r>
      <w:r w:rsidRPr="009B1762">
        <w:rPr>
          <w:lang w:val="sl-SI"/>
        </w:rPr>
        <w:t xml:space="preserve"> </w:t>
      </w:r>
      <w:r w:rsidR="00A2425A">
        <w:fldChar w:fldCharType="begin"/>
      </w:r>
      <w:r w:rsidR="00A2425A" w:rsidRPr="00A2425A">
        <w:rPr>
          <w:lang w:val="sl-SI"/>
        </w:rPr>
        <w:instrText>HYPERLINK "http://data.europa.eu/eli/reg/2025/38/oj" \t "_blank" \o "to EUR-Lex"</w:instrText>
      </w:r>
      <w:r w:rsidR="00A2425A">
        <w:fldChar w:fldCharType="separate"/>
      </w:r>
      <w:r w:rsidRPr="009B1762">
        <w:rPr>
          <w:sz w:val="16"/>
          <w:szCs w:val="16"/>
          <w:lang w:val="sl-SI"/>
        </w:rPr>
        <w:t>Uredbe 2025/38/EU</w:t>
      </w:r>
      <w:r w:rsidR="00A2425A">
        <w:rPr>
          <w:sz w:val="16"/>
          <w:szCs w:val="16"/>
          <w:lang w:val="sl-SI"/>
        </w:rPr>
        <w:fldChar w:fldCharType="end"/>
      </w:r>
      <w:r w:rsidRPr="009B1762">
        <w:rPr>
          <w:rFonts w:cs="Arial"/>
          <w:sz w:val="16"/>
          <w:szCs w:val="16"/>
          <w:lang w:val="sl-SI"/>
        </w:rPr>
        <w:t xml:space="preserve"> Evropskega parlamenta in Sveta z dne 19. decembra 2024 o določitvi ukrepov za okrepitev solidarnosti in zmogljivosti v Uniji za odkrivanje kibernetskih groženj in incidentov ter pripravo in odzivanje nanje ter spremembi </w:t>
      </w:r>
      <w:hyperlink r:id="rId5" w:tgtFrame="_blank" w:tooltip="to EUR-Lex" w:history="1">
        <w:r w:rsidRPr="009B1762">
          <w:rPr>
            <w:sz w:val="16"/>
            <w:szCs w:val="16"/>
            <w:lang w:val="sl-SI"/>
          </w:rPr>
          <w:t>Uredbe (EU) 2021/694</w:t>
        </w:r>
      </w:hyperlink>
      <w:r w:rsidRPr="009B1762">
        <w:rPr>
          <w:rFonts w:cs="Arial"/>
          <w:sz w:val="16"/>
          <w:szCs w:val="16"/>
          <w:lang w:val="sl-SI"/>
        </w:rPr>
        <w:t> (Akt o kibernetski solidarnosti) (UL L št. 2025/38 z dne 15. 1. 2025),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3330" w14:textId="7F543FEB" w:rsidR="002447ED" w:rsidRPr="00A606FA" w:rsidRDefault="00AA256D" w:rsidP="002447ED">
    <w:pPr>
      <w:autoSpaceDE w:val="0"/>
      <w:autoSpaceDN w:val="0"/>
      <w:adjustRightInd w:val="0"/>
      <w:spacing w:line="240" w:lineRule="auto"/>
      <w:ind w:left="-426"/>
      <w:rPr>
        <w:rFonts w:ascii="Republika" w:hAnsi="Republika"/>
        <w:lang w:val="it-IT"/>
      </w:rPr>
    </w:pPr>
    <w:r w:rsidRPr="008F3500">
      <w:rPr>
        <w:rFonts w:ascii="Republika" w:hAnsi="Republika" w:cs="Republika"/>
        <w:color w:val="529DBA"/>
        <w:sz w:val="60"/>
        <w:szCs w:val="60"/>
        <w:lang w:eastAsia="sl-SI"/>
      </w:rPr>
      <w:t></w:t>
    </w:r>
    <w:r w:rsidR="002447ED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0A414B5" wp14:editId="51BB2E9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1CD9B93F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447ED" w:rsidRPr="00A606FA">
      <w:rPr>
        <w:rFonts w:ascii="Republika" w:hAnsi="Republika"/>
        <w:lang w:val="it-IT"/>
      </w:rPr>
      <w:t>REPUBLIKA SLOVENIJA</w:t>
    </w:r>
  </w:p>
  <w:p w14:paraId="74719B91" w14:textId="77777777" w:rsidR="002447ED" w:rsidRPr="00030B2F" w:rsidRDefault="002447ED" w:rsidP="002447ED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 w:rsidRPr="00030B2F">
      <w:rPr>
        <w:rFonts w:ascii="Republika" w:hAnsi="Republika"/>
        <w:b/>
        <w:caps/>
        <w:lang w:val="it-IT"/>
      </w:rPr>
      <w:t>Urad Vlade za INFORMACIJSKO VARNOST</w:t>
    </w:r>
  </w:p>
  <w:p w14:paraId="4569EF81" w14:textId="77777777" w:rsidR="002447ED" w:rsidRPr="00A606FA" w:rsidRDefault="002447ED" w:rsidP="002447ED">
    <w:pPr>
      <w:pStyle w:val="Glava"/>
      <w:tabs>
        <w:tab w:val="left" w:pos="5112"/>
      </w:tabs>
      <w:spacing w:before="240" w:line="240" w:lineRule="exact"/>
      <w:rPr>
        <w:rFonts w:ascii="Republika" w:hAnsi="Republika"/>
        <w:sz w:val="16"/>
        <w:szCs w:val="16"/>
        <w:lang w:val="it-IT"/>
      </w:rPr>
    </w:pPr>
    <w:r w:rsidRPr="002447ED">
      <w:rPr>
        <w:rFonts w:ascii="Republika" w:hAnsi="Republika"/>
        <w:sz w:val="16"/>
        <w:szCs w:val="16"/>
      </w:rPr>
      <w:t>Ulica gledališča BTC 2, 1000 Ljubljana</w:t>
    </w:r>
    <w:r w:rsidRPr="00A606FA">
      <w:rPr>
        <w:rFonts w:ascii="Republika" w:hAnsi="Republika"/>
        <w:sz w:val="16"/>
        <w:szCs w:val="16"/>
        <w:lang w:val="it-IT"/>
      </w:rPr>
      <w:tab/>
    </w:r>
    <w:r w:rsidRPr="00A606FA">
      <w:rPr>
        <w:rFonts w:ascii="Republika" w:hAnsi="Republika"/>
        <w:sz w:val="16"/>
        <w:szCs w:val="16"/>
        <w:lang w:val="it-IT"/>
      </w:rPr>
      <w:tab/>
      <w:t>T: 01 478 4778</w:t>
    </w:r>
  </w:p>
  <w:p w14:paraId="0C15FC03" w14:textId="77777777" w:rsidR="002447ED" w:rsidRPr="00A606FA" w:rsidRDefault="002447ED" w:rsidP="002447ED">
    <w:pPr>
      <w:pStyle w:val="Glava"/>
      <w:tabs>
        <w:tab w:val="left" w:pos="5112"/>
      </w:tabs>
      <w:spacing w:line="240" w:lineRule="exact"/>
      <w:rPr>
        <w:rFonts w:ascii="Republika" w:hAnsi="Republika"/>
        <w:sz w:val="16"/>
        <w:szCs w:val="16"/>
        <w:lang w:val="it-IT"/>
      </w:rPr>
    </w:pPr>
    <w:r w:rsidRPr="00A606FA">
      <w:rPr>
        <w:rFonts w:ascii="Republika" w:hAnsi="Republika"/>
        <w:sz w:val="16"/>
        <w:szCs w:val="16"/>
        <w:lang w:val="it-IT"/>
      </w:rPr>
      <w:tab/>
    </w:r>
    <w:r w:rsidRPr="00A606FA">
      <w:rPr>
        <w:rFonts w:ascii="Republika" w:hAnsi="Republika"/>
        <w:sz w:val="16"/>
        <w:szCs w:val="16"/>
        <w:lang w:val="it-IT"/>
      </w:rPr>
      <w:tab/>
      <w:t>E: gp.uiv@gov.si</w:t>
    </w:r>
  </w:p>
  <w:p w14:paraId="4271B1E4" w14:textId="77777777" w:rsidR="002447ED" w:rsidRPr="00E762C5" w:rsidRDefault="002447ED" w:rsidP="002447ED">
    <w:pPr>
      <w:pStyle w:val="Glava"/>
      <w:tabs>
        <w:tab w:val="left" w:pos="5112"/>
      </w:tabs>
      <w:spacing w:line="240" w:lineRule="exact"/>
      <w:rPr>
        <w:rFonts w:ascii="Republika" w:hAnsi="Republika"/>
        <w:sz w:val="16"/>
        <w:szCs w:val="16"/>
        <w:lang w:val="it-IT"/>
      </w:rPr>
    </w:pPr>
    <w:r w:rsidRPr="00A606FA">
      <w:rPr>
        <w:rFonts w:ascii="Republika" w:hAnsi="Republika"/>
        <w:sz w:val="16"/>
        <w:szCs w:val="16"/>
        <w:lang w:val="it-IT"/>
      </w:rPr>
      <w:tab/>
    </w:r>
    <w:r w:rsidRPr="00A606FA">
      <w:rPr>
        <w:rFonts w:ascii="Republika" w:hAnsi="Republika"/>
        <w:sz w:val="16"/>
        <w:szCs w:val="16"/>
        <w:lang w:val="it-IT"/>
      </w:rPr>
      <w:tab/>
    </w:r>
    <w:r w:rsidRPr="00E762C5">
      <w:rPr>
        <w:rFonts w:ascii="Republika" w:hAnsi="Republika"/>
        <w:sz w:val="16"/>
        <w:szCs w:val="16"/>
        <w:lang w:val="it-IT"/>
      </w:rPr>
      <w:t xml:space="preserve">W: www.uiv.gov.si </w:t>
    </w:r>
  </w:p>
  <w:p w14:paraId="1EC25784" w14:textId="77777777" w:rsidR="002447ED" w:rsidRPr="002B1096" w:rsidRDefault="002447ED" w:rsidP="002447ED">
    <w:pPr>
      <w:pStyle w:val="Glava"/>
      <w:tabs>
        <w:tab w:val="left" w:pos="5112"/>
      </w:tabs>
      <w:spacing w:line="240" w:lineRule="exact"/>
      <w:rPr>
        <w:rFonts w:ascii="Republika" w:hAnsi="Republika"/>
        <w:sz w:val="16"/>
        <w:szCs w:val="16"/>
      </w:rPr>
    </w:pPr>
    <w:r w:rsidRPr="00E762C5">
      <w:rPr>
        <w:rFonts w:ascii="Republika" w:hAnsi="Republika"/>
        <w:sz w:val="16"/>
        <w:szCs w:val="16"/>
        <w:lang w:val="it-IT"/>
      </w:rPr>
      <w:tab/>
    </w:r>
    <w:r w:rsidRPr="00E762C5">
      <w:rPr>
        <w:rFonts w:ascii="Republika" w:hAnsi="Republika"/>
        <w:sz w:val="16"/>
        <w:szCs w:val="16"/>
        <w:lang w:val="it-IT"/>
      </w:rPr>
      <w:tab/>
    </w:r>
    <w:proofErr w:type="spellStart"/>
    <w:r w:rsidRPr="00A606FA">
      <w:rPr>
        <w:rFonts w:ascii="Republika" w:hAnsi="Republika"/>
        <w:sz w:val="16"/>
        <w:szCs w:val="16"/>
      </w:rPr>
      <w:t>Twitter</w:t>
    </w:r>
    <w:proofErr w:type="spellEnd"/>
    <w:r w:rsidRPr="00A606FA">
      <w:rPr>
        <w:rFonts w:ascii="Republika" w:hAnsi="Republika"/>
        <w:sz w:val="16"/>
        <w:szCs w:val="16"/>
      </w:rPr>
      <w:t>: @URSIV_Slovenia</w:t>
    </w:r>
  </w:p>
  <w:p w14:paraId="54B42BE9" w14:textId="77777777" w:rsidR="00D731F3" w:rsidRPr="008F3500" w:rsidRDefault="00D731F3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92A8" w14:textId="77777777" w:rsidR="005F456B" w:rsidRPr="008F3500" w:rsidRDefault="005F456B" w:rsidP="005F456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29DF2D3" w14:textId="77777777" w:rsidR="005F456B" w:rsidRPr="008F3500" w:rsidRDefault="005F456B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BE1"/>
    <w:multiLevelType w:val="hybridMultilevel"/>
    <w:tmpl w:val="7DBAC6BC"/>
    <w:lvl w:ilvl="0" w:tplc="157C7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9E1A8E"/>
    <w:multiLevelType w:val="hybridMultilevel"/>
    <w:tmpl w:val="1450BC46"/>
    <w:lvl w:ilvl="0" w:tplc="7B86338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3AF3"/>
    <w:multiLevelType w:val="hybridMultilevel"/>
    <w:tmpl w:val="669613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370"/>
    <w:multiLevelType w:val="hybridMultilevel"/>
    <w:tmpl w:val="69E6082C"/>
    <w:lvl w:ilvl="0" w:tplc="9B8CF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D0249"/>
    <w:multiLevelType w:val="hybridMultilevel"/>
    <w:tmpl w:val="DD7A2E94"/>
    <w:lvl w:ilvl="0" w:tplc="3CB09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78F1"/>
    <w:multiLevelType w:val="hybridMultilevel"/>
    <w:tmpl w:val="23D406B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D0868"/>
    <w:multiLevelType w:val="hybridMultilevel"/>
    <w:tmpl w:val="C8285232"/>
    <w:lvl w:ilvl="0" w:tplc="6292F2A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80" w:hanging="360"/>
      </w:pPr>
    </w:lvl>
    <w:lvl w:ilvl="2" w:tplc="0424001B" w:tentative="1">
      <w:start w:val="1"/>
      <w:numFmt w:val="lowerRoman"/>
      <w:lvlText w:val="%3."/>
      <w:lvlJc w:val="right"/>
      <w:pPr>
        <w:ind w:left="5400" w:hanging="180"/>
      </w:pPr>
    </w:lvl>
    <w:lvl w:ilvl="3" w:tplc="0424000F" w:tentative="1">
      <w:start w:val="1"/>
      <w:numFmt w:val="decimal"/>
      <w:lvlText w:val="%4."/>
      <w:lvlJc w:val="left"/>
      <w:pPr>
        <w:ind w:left="6120" w:hanging="360"/>
      </w:pPr>
    </w:lvl>
    <w:lvl w:ilvl="4" w:tplc="04240019" w:tentative="1">
      <w:start w:val="1"/>
      <w:numFmt w:val="lowerLetter"/>
      <w:lvlText w:val="%5."/>
      <w:lvlJc w:val="left"/>
      <w:pPr>
        <w:ind w:left="6840" w:hanging="360"/>
      </w:pPr>
    </w:lvl>
    <w:lvl w:ilvl="5" w:tplc="0424001B" w:tentative="1">
      <w:start w:val="1"/>
      <w:numFmt w:val="lowerRoman"/>
      <w:lvlText w:val="%6."/>
      <w:lvlJc w:val="right"/>
      <w:pPr>
        <w:ind w:left="7560" w:hanging="180"/>
      </w:pPr>
    </w:lvl>
    <w:lvl w:ilvl="6" w:tplc="0424000F" w:tentative="1">
      <w:start w:val="1"/>
      <w:numFmt w:val="decimal"/>
      <w:lvlText w:val="%7."/>
      <w:lvlJc w:val="left"/>
      <w:pPr>
        <w:ind w:left="8280" w:hanging="360"/>
      </w:pPr>
    </w:lvl>
    <w:lvl w:ilvl="7" w:tplc="04240019" w:tentative="1">
      <w:start w:val="1"/>
      <w:numFmt w:val="lowerLetter"/>
      <w:lvlText w:val="%8."/>
      <w:lvlJc w:val="left"/>
      <w:pPr>
        <w:ind w:left="9000" w:hanging="360"/>
      </w:pPr>
    </w:lvl>
    <w:lvl w:ilvl="8" w:tplc="042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A732E"/>
    <w:multiLevelType w:val="hybridMultilevel"/>
    <w:tmpl w:val="0C72AF20"/>
    <w:lvl w:ilvl="0" w:tplc="9968C78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7363A"/>
    <w:multiLevelType w:val="hybridMultilevel"/>
    <w:tmpl w:val="0FB4C8CE"/>
    <w:lvl w:ilvl="0" w:tplc="0F742FBA">
      <w:start w:val="1"/>
      <w:numFmt w:val="decimal"/>
      <w:lvlText w:val="%1."/>
      <w:lvlJc w:val="left"/>
      <w:pPr>
        <w:ind w:left="1020" w:hanging="360"/>
      </w:pPr>
    </w:lvl>
    <w:lvl w:ilvl="1" w:tplc="4B8A7DC8">
      <w:start w:val="1"/>
      <w:numFmt w:val="decimal"/>
      <w:lvlText w:val="%2."/>
      <w:lvlJc w:val="left"/>
      <w:pPr>
        <w:ind w:left="1020" w:hanging="360"/>
      </w:pPr>
    </w:lvl>
    <w:lvl w:ilvl="2" w:tplc="D7B84E72">
      <w:start w:val="1"/>
      <w:numFmt w:val="decimal"/>
      <w:lvlText w:val="%3."/>
      <w:lvlJc w:val="left"/>
      <w:pPr>
        <w:ind w:left="1020" w:hanging="360"/>
      </w:pPr>
    </w:lvl>
    <w:lvl w:ilvl="3" w:tplc="D0F4A596">
      <w:start w:val="1"/>
      <w:numFmt w:val="decimal"/>
      <w:lvlText w:val="%4."/>
      <w:lvlJc w:val="left"/>
      <w:pPr>
        <w:ind w:left="1020" w:hanging="360"/>
      </w:pPr>
    </w:lvl>
    <w:lvl w:ilvl="4" w:tplc="08D2DD0A">
      <w:start w:val="1"/>
      <w:numFmt w:val="decimal"/>
      <w:lvlText w:val="%5."/>
      <w:lvlJc w:val="left"/>
      <w:pPr>
        <w:ind w:left="1020" w:hanging="360"/>
      </w:pPr>
    </w:lvl>
    <w:lvl w:ilvl="5" w:tplc="476A2ABE">
      <w:start w:val="1"/>
      <w:numFmt w:val="decimal"/>
      <w:lvlText w:val="%6."/>
      <w:lvlJc w:val="left"/>
      <w:pPr>
        <w:ind w:left="1020" w:hanging="360"/>
      </w:pPr>
    </w:lvl>
    <w:lvl w:ilvl="6" w:tplc="0A549D4C">
      <w:start w:val="1"/>
      <w:numFmt w:val="decimal"/>
      <w:lvlText w:val="%7."/>
      <w:lvlJc w:val="left"/>
      <w:pPr>
        <w:ind w:left="1020" w:hanging="360"/>
      </w:pPr>
    </w:lvl>
    <w:lvl w:ilvl="7" w:tplc="E5F81994">
      <w:start w:val="1"/>
      <w:numFmt w:val="decimal"/>
      <w:lvlText w:val="%8."/>
      <w:lvlJc w:val="left"/>
      <w:pPr>
        <w:ind w:left="1020" w:hanging="360"/>
      </w:pPr>
    </w:lvl>
    <w:lvl w:ilvl="8" w:tplc="A510E690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55DC1406"/>
    <w:multiLevelType w:val="hybridMultilevel"/>
    <w:tmpl w:val="E2C43C0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44F67"/>
    <w:multiLevelType w:val="hybridMultilevel"/>
    <w:tmpl w:val="E74C0CA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E58DB"/>
    <w:multiLevelType w:val="hybridMultilevel"/>
    <w:tmpl w:val="DA301F62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6297C"/>
    <w:multiLevelType w:val="hybridMultilevel"/>
    <w:tmpl w:val="E73C9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F00BB"/>
    <w:multiLevelType w:val="hybridMultilevel"/>
    <w:tmpl w:val="712646D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93BAC"/>
    <w:multiLevelType w:val="hybridMultilevel"/>
    <w:tmpl w:val="0F28F00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70EE9"/>
    <w:multiLevelType w:val="hybridMultilevel"/>
    <w:tmpl w:val="9F1ED33C"/>
    <w:lvl w:ilvl="0" w:tplc="51EAFD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664101">
    <w:abstractNumId w:val="10"/>
  </w:num>
  <w:num w:numId="2" w16cid:durableId="1340546143">
    <w:abstractNumId w:val="8"/>
  </w:num>
  <w:num w:numId="3" w16cid:durableId="2106993817">
    <w:abstractNumId w:val="9"/>
    <w:lvlOverride w:ilvl="0">
      <w:startOverride w:val="1"/>
    </w:lvlOverride>
  </w:num>
  <w:num w:numId="4" w16cid:durableId="1794977385">
    <w:abstractNumId w:val="1"/>
  </w:num>
  <w:num w:numId="5" w16cid:durableId="1270309549">
    <w:abstractNumId w:val="14"/>
  </w:num>
  <w:num w:numId="6" w16cid:durableId="2046439522">
    <w:abstractNumId w:val="18"/>
  </w:num>
  <w:num w:numId="7" w16cid:durableId="1886326554">
    <w:abstractNumId w:val="0"/>
  </w:num>
  <w:num w:numId="8" w16cid:durableId="709766415">
    <w:abstractNumId w:val="6"/>
  </w:num>
  <w:num w:numId="9" w16cid:durableId="424346272">
    <w:abstractNumId w:val="15"/>
  </w:num>
  <w:num w:numId="10" w16cid:durableId="1459106155">
    <w:abstractNumId w:val="13"/>
  </w:num>
  <w:num w:numId="11" w16cid:durableId="1826436131">
    <w:abstractNumId w:val="19"/>
  </w:num>
  <w:num w:numId="12" w16cid:durableId="1077051298">
    <w:abstractNumId w:val="11"/>
  </w:num>
  <w:num w:numId="13" w16cid:durableId="86968148">
    <w:abstractNumId w:val="2"/>
  </w:num>
  <w:num w:numId="14" w16cid:durableId="1636593991">
    <w:abstractNumId w:val="12"/>
  </w:num>
  <w:num w:numId="15" w16cid:durableId="1250308102">
    <w:abstractNumId w:val="5"/>
  </w:num>
  <w:num w:numId="16" w16cid:durableId="1402479925">
    <w:abstractNumId w:val="20"/>
  </w:num>
  <w:num w:numId="17" w16cid:durableId="127748361">
    <w:abstractNumId w:val="17"/>
  </w:num>
  <w:num w:numId="18" w16cid:durableId="681710854">
    <w:abstractNumId w:val="4"/>
  </w:num>
  <w:num w:numId="19" w16cid:durableId="252786063">
    <w:abstractNumId w:val="16"/>
  </w:num>
  <w:num w:numId="20" w16cid:durableId="1465079030">
    <w:abstractNumId w:val="3"/>
  </w:num>
  <w:num w:numId="21" w16cid:durableId="56769043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39"/>
    <w:rsid w:val="00001082"/>
    <w:rsid w:val="0000745C"/>
    <w:rsid w:val="000151E4"/>
    <w:rsid w:val="00016C43"/>
    <w:rsid w:val="00023A88"/>
    <w:rsid w:val="00025D7B"/>
    <w:rsid w:val="00030F43"/>
    <w:rsid w:val="00034481"/>
    <w:rsid w:val="00036784"/>
    <w:rsid w:val="00042A7A"/>
    <w:rsid w:val="00044011"/>
    <w:rsid w:val="00054C3A"/>
    <w:rsid w:val="000637E9"/>
    <w:rsid w:val="00070EA9"/>
    <w:rsid w:val="00073EF3"/>
    <w:rsid w:val="0007453D"/>
    <w:rsid w:val="000803BC"/>
    <w:rsid w:val="00084658"/>
    <w:rsid w:val="0009672E"/>
    <w:rsid w:val="000A52EC"/>
    <w:rsid w:val="000A6850"/>
    <w:rsid w:val="000A7238"/>
    <w:rsid w:val="000B1395"/>
    <w:rsid w:val="000E2975"/>
    <w:rsid w:val="000F02F3"/>
    <w:rsid w:val="001057F6"/>
    <w:rsid w:val="001112BC"/>
    <w:rsid w:val="001123A8"/>
    <w:rsid w:val="00112C2F"/>
    <w:rsid w:val="00125C01"/>
    <w:rsid w:val="00130441"/>
    <w:rsid w:val="0013355D"/>
    <w:rsid w:val="001357B2"/>
    <w:rsid w:val="001437D2"/>
    <w:rsid w:val="001478DB"/>
    <w:rsid w:val="00147B1A"/>
    <w:rsid w:val="00170BD8"/>
    <w:rsid w:val="00171BCF"/>
    <w:rsid w:val="00171E3B"/>
    <w:rsid w:val="0017478F"/>
    <w:rsid w:val="0017593F"/>
    <w:rsid w:val="0018551D"/>
    <w:rsid w:val="001903C2"/>
    <w:rsid w:val="0019610B"/>
    <w:rsid w:val="00196C83"/>
    <w:rsid w:val="001973EC"/>
    <w:rsid w:val="001B25D9"/>
    <w:rsid w:val="001B418A"/>
    <w:rsid w:val="001C01DC"/>
    <w:rsid w:val="001D397C"/>
    <w:rsid w:val="001D424B"/>
    <w:rsid w:val="001E0EC6"/>
    <w:rsid w:val="001E5AEF"/>
    <w:rsid w:val="0020026D"/>
    <w:rsid w:val="00202A77"/>
    <w:rsid w:val="0021557C"/>
    <w:rsid w:val="00216251"/>
    <w:rsid w:val="00223FBE"/>
    <w:rsid w:val="00224765"/>
    <w:rsid w:val="00233EF7"/>
    <w:rsid w:val="002372AF"/>
    <w:rsid w:val="002447ED"/>
    <w:rsid w:val="00246F10"/>
    <w:rsid w:val="00247EEF"/>
    <w:rsid w:val="002530C8"/>
    <w:rsid w:val="00257525"/>
    <w:rsid w:val="002578BC"/>
    <w:rsid w:val="00263ED0"/>
    <w:rsid w:val="00266059"/>
    <w:rsid w:val="00266732"/>
    <w:rsid w:val="00271CE5"/>
    <w:rsid w:val="002756AA"/>
    <w:rsid w:val="0028175F"/>
    <w:rsid w:val="00281F7A"/>
    <w:rsid w:val="00282020"/>
    <w:rsid w:val="00285BD5"/>
    <w:rsid w:val="002A12FA"/>
    <w:rsid w:val="002A2B69"/>
    <w:rsid w:val="002A5B52"/>
    <w:rsid w:val="002A667B"/>
    <w:rsid w:val="002B1583"/>
    <w:rsid w:val="002B601A"/>
    <w:rsid w:val="002C093C"/>
    <w:rsid w:val="002C1FA5"/>
    <w:rsid w:val="002C2184"/>
    <w:rsid w:val="002C71C1"/>
    <w:rsid w:val="002C72E4"/>
    <w:rsid w:val="002D5EB8"/>
    <w:rsid w:val="002E1D58"/>
    <w:rsid w:val="002E3077"/>
    <w:rsid w:val="002E4D04"/>
    <w:rsid w:val="002E64CC"/>
    <w:rsid w:val="002F31F8"/>
    <w:rsid w:val="003225D2"/>
    <w:rsid w:val="003239B0"/>
    <w:rsid w:val="00324036"/>
    <w:rsid w:val="00324FAD"/>
    <w:rsid w:val="00325439"/>
    <w:rsid w:val="003470C4"/>
    <w:rsid w:val="00350585"/>
    <w:rsid w:val="00351F8F"/>
    <w:rsid w:val="00356EF0"/>
    <w:rsid w:val="00357BD9"/>
    <w:rsid w:val="003636BF"/>
    <w:rsid w:val="00371442"/>
    <w:rsid w:val="003845B4"/>
    <w:rsid w:val="003849A6"/>
    <w:rsid w:val="003852B0"/>
    <w:rsid w:val="00387B1A"/>
    <w:rsid w:val="00390207"/>
    <w:rsid w:val="003943B6"/>
    <w:rsid w:val="003A4BBA"/>
    <w:rsid w:val="003A66CC"/>
    <w:rsid w:val="003B2076"/>
    <w:rsid w:val="003C07D7"/>
    <w:rsid w:val="003C17A0"/>
    <w:rsid w:val="003C5EE5"/>
    <w:rsid w:val="003D20AE"/>
    <w:rsid w:val="003D47DD"/>
    <w:rsid w:val="003E1C74"/>
    <w:rsid w:val="003F4D18"/>
    <w:rsid w:val="004072FE"/>
    <w:rsid w:val="00412E86"/>
    <w:rsid w:val="00422FD7"/>
    <w:rsid w:val="00424A22"/>
    <w:rsid w:val="00426FFC"/>
    <w:rsid w:val="00430DB5"/>
    <w:rsid w:val="00434CE9"/>
    <w:rsid w:val="0046345D"/>
    <w:rsid w:val="004657EE"/>
    <w:rsid w:val="004740E2"/>
    <w:rsid w:val="004800B2"/>
    <w:rsid w:val="00486823"/>
    <w:rsid w:val="00491550"/>
    <w:rsid w:val="0049286C"/>
    <w:rsid w:val="004949BC"/>
    <w:rsid w:val="00496451"/>
    <w:rsid w:val="004C20C7"/>
    <w:rsid w:val="004D6B7C"/>
    <w:rsid w:val="004E504A"/>
    <w:rsid w:val="004E766E"/>
    <w:rsid w:val="00505188"/>
    <w:rsid w:val="00511173"/>
    <w:rsid w:val="0051391B"/>
    <w:rsid w:val="00517F34"/>
    <w:rsid w:val="0052048B"/>
    <w:rsid w:val="00526062"/>
    <w:rsid w:val="00526246"/>
    <w:rsid w:val="00533A0D"/>
    <w:rsid w:val="0054701C"/>
    <w:rsid w:val="005512EC"/>
    <w:rsid w:val="005515F8"/>
    <w:rsid w:val="00561B1C"/>
    <w:rsid w:val="00563DE9"/>
    <w:rsid w:val="00567106"/>
    <w:rsid w:val="00570543"/>
    <w:rsid w:val="00576C90"/>
    <w:rsid w:val="00580B79"/>
    <w:rsid w:val="005823E6"/>
    <w:rsid w:val="00582A25"/>
    <w:rsid w:val="005838DE"/>
    <w:rsid w:val="00583A17"/>
    <w:rsid w:val="00587D1F"/>
    <w:rsid w:val="00590F72"/>
    <w:rsid w:val="00594E1E"/>
    <w:rsid w:val="005A54EA"/>
    <w:rsid w:val="005B3983"/>
    <w:rsid w:val="005B6638"/>
    <w:rsid w:val="005C28E2"/>
    <w:rsid w:val="005D4B00"/>
    <w:rsid w:val="005D6A88"/>
    <w:rsid w:val="005E03A5"/>
    <w:rsid w:val="005E1D3C"/>
    <w:rsid w:val="005E7DDF"/>
    <w:rsid w:val="005F456B"/>
    <w:rsid w:val="005F6C71"/>
    <w:rsid w:val="0060024C"/>
    <w:rsid w:val="00623527"/>
    <w:rsid w:val="00625AE6"/>
    <w:rsid w:val="00631D1D"/>
    <w:rsid w:val="00632253"/>
    <w:rsid w:val="0063299F"/>
    <w:rsid w:val="00637712"/>
    <w:rsid w:val="00642714"/>
    <w:rsid w:val="00642F7E"/>
    <w:rsid w:val="006437DA"/>
    <w:rsid w:val="006455CE"/>
    <w:rsid w:val="00655841"/>
    <w:rsid w:val="006623D8"/>
    <w:rsid w:val="006677DF"/>
    <w:rsid w:val="00671DDA"/>
    <w:rsid w:val="006730FA"/>
    <w:rsid w:val="00676ABA"/>
    <w:rsid w:val="006B4EF3"/>
    <w:rsid w:val="006C49DA"/>
    <w:rsid w:val="006E52B2"/>
    <w:rsid w:val="006F00CA"/>
    <w:rsid w:val="00703728"/>
    <w:rsid w:val="0071360D"/>
    <w:rsid w:val="00733017"/>
    <w:rsid w:val="007403B8"/>
    <w:rsid w:val="00742DEA"/>
    <w:rsid w:val="00743E53"/>
    <w:rsid w:val="00747585"/>
    <w:rsid w:val="00756A6E"/>
    <w:rsid w:val="00783310"/>
    <w:rsid w:val="007845E3"/>
    <w:rsid w:val="00787A84"/>
    <w:rsid w:val="007A4A6D"/>
    <w:rsid w:val="007B3D52"/>
    <w:rsid w:val="007B72F4"/>
    <w:rsid w:val="007C3DB4"/>
    <w:rsid w:val="007C5103"/>
    <w:rsid w:val="007D1BCF"/>
    <w:rsid w:val="007D5687"/>
    <w:rsid w:val="007D75CF"/>
    <w:rsid w:val="007E0440"/>
    <w:rsid w:val="007E3A16"/>
    <w:rsid w:val="007E6DC5"/>
    <w:rsid w:val="007E7A4B"/>
    <w:rsid w:val="007F3DE4"/>
    <w:rsid w:val="00812EF3"/>
    <w:rsid w:val="008134DC"/>
    <w:rsid w:val="00814FD0"/>
    <w:rsid w:val="00822DDC"/>
    <w:rsid w:val="008516C2"/>
    <w:rsid w:val="00872E65"/>
    <w:rsid w:val="008730BF"/>
    <w:rsid w:val="008762A6"/>
    <w:rsid w:val="00877549"/>
    <w:rsid w:val="0088043C"/>
    <w:rsid w:val="00882B2F"/>
    <w:rsid w:val="00884889"/>
    <w:rsid w:val="00885E74"/>
    <w:rsid w:val="008906C9"/>
    <w:rsid w:val="00897B7F"/>
    <w:rsid w:val="008A6171"/>
    <w:rsid w:val="008C3E58"/>
    <w:rsid w:val="008C5738"/>
    <w:rsid w:val="008D04F0"/>
    <w:rsid w:val="008D1679"/>
    <w:rsid w:val="008E06CD"/>
    <w:rsid w:val="008E294C"/>
    <w:rsid w:val="008E5D18"/>
    <w:rsid w:val="008F3500"/>
    <w:rsid w:val="008F6818"/>
    <w:rsid w:val="00901F3D"/>
    <w:rsid w:val="00917BF4"/>
    <w:rsid w:val="0092425C"/>
    <w:rsid w:val="00924E3C"/>
    <w:rsid w:val="009300BE"/>
    <w:rsid w:val="0093017B"/>
    <w:rsid w:val="00936B7C"/>
    <w:rsid w:val="009612BB"/>
    <w:rsid w:val="00961FFE"/>
    <w:rsid w:val="00965946"/>
    <w:rsid w:val="00974B62"/>
    <w:rsid w:val="009913F6"/>
    <w:rsid w:val="009949EA"/>
    <w:rsid w:val="00995D19"/>
    <w:rsid w:val="00996683"/>
    <w:rsid w:val="009A0CED"/>
    <w:rsid w:val="009A53F9"/>
    <w:rsid w:val="009A70C3"/>
    <w:rsid w:val="009A7C08"/>
    <w:rsid w:val="009B1762"/>
    <w:rsid w:val="009B4DD0"/>
    <w:rsid w:val="009C2038"/>
    <w:rsid w:val="009C423D"/>
    <w:rsid w:val="009C740A"/>
    <w:rsid w:val="009C7F90"/>
    <w:rsid w:val="009D5FB1"/>
    <w:rsid w:val="009D75EC"/>
    <w:rsid w:val="009E054D"/>
    <w:rsid w:val="009F1B09"/>
    <w:rsid w:val="009F3685"/>
    <w:rsid w:val="00A125C5"/>
    <w:rsid w:val="00A150F1"/>
    <w:rsid w:val="00A2401A"/>
    <w:rsid w:val="00A2425A"/>
    <w:rsid w:val="00A2451C"/>
    <w:rsid w:val="00A2569D"/>
    <w:rsid w:val="00A2798D"/>
    <w:rsid w:val="00A3121E"/>
    <w:rsid w:val="00A32F6D"/>
    <w:rsid w:val="00A3507C"/>
    <w:rsid w:val="00A53555"/>
    <w:rsid w:val="00A53810"/>
    <w:rsid w:val="00A62D73"/>
    <w:rsid w:val="00A65EE7"/>
    <w:rsid w:val="00A70133"/>
    <w:rsid w:val="00A770A6"/>
    <w:rsid w:val="00A77411"/>
    <w:rsid w:val="00A813B1"/>
    <w:rsid w:val="00A8157C"/>
    <w:rsid w:val="00AA256D"/>
    <w:rsid w:val="00AA261D"/>
    <w:rsid w:val="00AB36C4"/>
    <w:rsid w:val="00AB41E2"/>
    <w:rsid w:val="00AC32B2"/>
    <w:rsid w:val="00AE01A3"/>
    <w:rsid w:val="00AF05E1"/>
    <w:rsid w:val="00AF2214"/>
    <w:rsid w:val="00B01660"/>
    <w:rsid w:val="00B17141"/>
    <w:rsid w:val="00B31575"/>
    <w:rsid w:val="00B434FA"/>
    <w:rsid w:val="00B43B80"/>
    <w:rsid w:val="00B629EC"/>
    <w:rsid w:val="00B8547D"/>
    <w:rsid w:val="00B87F04"/>
    <w:rsid w:val="00B95261"/>
    <w:rsid w:val="00B95E90"/>
    <w:rsid w:val="00BA6F65"/>
    <w:rsid w:val="00BB0372"/>
    <w:rsid w:val="00BB496B"/>
    <w:rsid w:val="00BB5E2B"/>
    <w:rsid w:val="00BC5EC7"/>
    <w:rsid w:val="00BC5ED9"/>
    <w:rsid w:val="00BE356A"/>
    <w:rsid w:val="00C155C9"/>
    <w:rsid w:val="00C17D0F"/>
    <w:rsid w:val="00C23176"/>
    <w:rsid w:val="00C250D5"/>
    <w:rsid w:val="00C32A64"/>
    <w:rsid w:val="00C35666"/>
    <w:rsid w:val="00C3717E"/>
    <w:rsid w:val="00C543F8"/>
    <w:rsid w:val="00C60825"/>
    <w:rsid w:val="00C63A22"/>
    <w:rsid w:val="00C67DCA"/>
    <w:rsid w:val="00C70196"/>
    <w:rsid w:val="00C716EC"/>
    <w:rsid w:val="00C73FF3"/>
    <w:rsid w:val="00C85E55"/>
    <w:rsid w:val="00C85F15"/>
    <w:rsid w:val="00C8641A"/>
    <w:rsid w:val="00C87A65"/>
    <w:rsid w:val="00C92898"/>
    <w:rsid w:val="00C9320B"/>
    <w:rsid w:val="00C94545"/>
    <w:rsid w:val="00C97AB1"/>
    <w:rsid w:val="00CA2354"/>
    <w:rsid w:val="00CA4340"/>
    <w:rsid w:val="00CB009A"/>
    <w:rsid w:val="00CB575E"/>
    <w:rsid w:val="00CC0D1A"/>
    <w:rsid w:val="00CC281B"/>
    <w:rsid w:val="00CC55DD"/>
    <w:rsid w:val="00CD16D1"/>
    <w:rsid w:val="00CE5238"/>
    <w:rsid w:val="00CE5BA5"/>
    <w:rsid w:val="00CE7514"/>
    <w:rsid w:val="00CE7F78"/>
    <w:rsid w:val="00D04605"/>
    <w:rsid w:val="00D100E4"/>
    <w:rsid w:val="00D11CE9"/>
    <w:rsid w:val="00D169D9"/>
    <w:rsid w:val="00D248DE"/>
    <w:rsid w:val="00D34058"/>
    <w:rsid w:val="00D34BEC"/>
    <w:rsid w:val="00D43841"/>
    <w:rsid w:val="00D45906"/>
    <w:rsid w:val="00D57060"/>
    <w:rsid w:val="00D574D4"/>
    <w:rsid w:val="00D731F3"/>
    <w:rsid w:val="00D73448"/>
    <w:rsid w:val="00D769A3"/>
    <w:rsid w:val="00D76B42"/>
    <w:rsid w:val="00D839BC"/>
    <w:rsid w:val="00D8542D"/>
    <w:rsid w:val="00D85E90"/>
    <w:rsid w:val="00DA0D6A"/>
    <w:rsid w:val="00DA3B75"/>
    <w:rsid w:val="00DB4AEA"/>
    <w:rsid w:val="00DC0BC5"/>
    <w:rsid w:val="00DC2BF7"/>
    <w:rsid w:val="00DC6A71"/>
    <w:rsid w:val="00DD4506"/>
    <w:rsid w:val="00DD4A37"/>
    <w:rsid w:val="00DF0064"/>
    <w:rsid w:val="00DF3BC8"/>
    <w:rsid w:val="00DF5E13"/>
    <w:rsid w:val="00E01330"/>
    <w:rsid w:val="00E0357D"/>
    <w:rsid w:val="00E152FC"/>
    <w:rsid w:val="00E21FF9"/>
    <w:rsid w:val="00E3575A"/>
    <w:rsid w:val="00E44BB2"/>
    <w:rsid w:val="00E52A08"/>
    <w:rsid w:val="00E678E0"/>
    <w:rsid w:val="00E70C96"/>
    <w:rsid w:val="00E72BBA"/>
    <w:rsid w:val="00E83827"/>
    <w:rsid w:val="00E869A7"/>
    <w:rsid w:val="00E9610A"/>
    <w:rsid w:val="00EA5B2D"/>
    <w:rsid w:val="00EB143E"/>
    <w:rsid w:val="00EB51EA"/>
    <w:rsid w:val="00EC7A12"/>
    <w:rsid w:val="00ED09A6"/>
    <w:rsid w:val="00ED1C3E"/>
    <w:rsid w:val="00ED248A"/>
    <w:rsid w:val="00EE1558"/>
    <w:rsid w:val="00EE7830"/>
    <w:rsid w:val="00EF0C51"/>
    <w:rsid w:val="00EF0F72"/>
    <w:rsid w:val="00EF2EA8"/>
    <w:rsid w:val="00F03B34"/>
    <w:rsid w:val="00F05F3E"/>
    <w:rsid w:val="00F240BB"/>
    <w:rsid w:val="00F260AB"/>
    <w:rsid w:val="00F2681E"/>
    <w:rsid w:val="00F31E5E"/>
    <w:rsid w:val="00F32F0F"/>
    <w:rsid w:val="00F33240"/>
    <w:rsid w:val="00F40CC6"/>
    <w:rsid w:val="00F45BB5"/>
    <w:rsid w:val="00F5756C"/>
    <w:rsid w:val="00F57FED"/>
    <w:rsid w:val="00F601E2"/>
    <w:rsid w:val="00F821BE"/>
    <w:rsid w:val="00F828CD"/>
    <w:rsid w:val="00FB05AF"/>
    <w:rsid w:val="00FB1404"/>
    <w:rsid w:val="00FB5509"/>
    <w:rsid w:val="00FD0746"/>
    <w:rsid w:val="00FE1B5A"/>
    <w:rsid w:val="00FE4404"/>
    <w:rsid w:val="00FF25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51E016"/>
  <w15:chartTrackingRefBased/>
  <w15:docId w15:val="{D0C31C22-06E7-104D-B6AC-0EBF641B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151E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0151E4"/>
    <w:rPr>
      <w:rFonts w:ascii="Arial" w:hAnsi="Arial" w:cs="Arial"/>
      <w:b/>
      <w:sz w:val="22"/>
      <w:szCs w:val="22"/>
    </w:rPr>
  </w:style>
  <w:style w:type="character" w:customStyle="1" w:styleId="GlavaZnak">
    <w:name w:val="Glava Znak"/>
    <w:link w:val="Glava"/>
    <w:rsid w:val="00E83827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"/>
    <w:link w:val="Naslov1"/>
    <w:rsid w:val="00D731F3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rsid w:val="00D731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31F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rsid w:val="00D731F3"/>
    <w:rPr>
      <w:lang w:eastAsia="en-US"/>
    </w:rPr>
  </w:style>
  <w:style w:type="paragraph" w:styleId="Besedilooblaka">
    <w:name w:val="Balloon Text"/>
    <w:basedOn w:val="Navaden"/>
    <w:link w:val="BesedilooblakaZnak"/>
    <w:rsid w:val="00D7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731F3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71DDA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rsid w:val="00671DDA"/>
    <w:rPr>
      <w:rFonts w:ascii="Arial" w:hAnsi="Arial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BC5ED9"/>
    <w:pPr>
      <w:spacing w:line="240" w:lineRule="auto"/>
    </w:pPr>
    <w:rPr>
      <w:szCs w:val="20"/>
      <w:lang w:val="en-US"/>
    </w:rPr>
  </w:style>
  <w:style w:type="character" w:customStyle="1" w:styleId="Sprotnaopomba-besediloZnak">
    <w:name w:val="Sprotna opomba - besedilo Znak"/>
    <w:link w:val="Sprotnaopomba-besedilo"/>
    <w:uiPriority w:val="99"/>
    <w:rsid w:val="00BC5ED9"/>
    <w:rPr>
      <w:rFonts w:ascii="Arial" w:hAnsi="Arial"/>
      <w:lang w:val="en-US" w:eastAsia="en-US"/>
    </w:rPr>
  </w:style>
  <w:style w:type="paragraph" w:customStyle="1" w:styleId="tevilnatoka">
    <w:name w:val="tevilnatoka"/>
    <w:basedOn w:val="Navaden"/>
    <w:rsid w:val="00DD4A3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erazreenaomemba1">
    <w:name w:val="Nerazrešena omemba1"/>
    <w:uiPriority w:val="99"/>
    <w:semiHidden/>
    <w:unhideWhenUsed/>
    <w:rsid w:val="00FD0746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E766E"/>
    <w:rPr>
      <w:rFonts w:ascii="Arial" w:hAnsi="Arial"/>
      <w:szCs w:val="24"/>
    </w:rPr>
  </w:style>
  <w:style w:type="paragraph" w:customStyle="1" w:styleId="len">
    <w:name w:val="Člen"/>
    <w:basedOn w:val="Navaden"/>
    <w:link w:val="lenZnak"/>
    <w:qFormat/>
    <w:rsid w:val="005A54EA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lenZnak">
    <w:name w:val="Člen Znak"/>
    <w:link w:val="len"/>
    <w:rsid w:val="005A54EA"/>
    <w:rPr>
      <w:rFonts w:ascii="Arial" w:hAnsi="Arial" w:cs="Arial"/>
      <w:b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qFormat/>
    <w:rsid w:val="005A54EA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paragraph" w:customStyle="1" w:styleId="Pravnapodlaga">
    <w:name w:val="Pravna podlaga"/>
    <w:basedOn w:val="Odstavek"/>
    <w:link w:val="PravnapodlagaZnak"/>
    <w:qFormat/>
    <w:rsid w:val="005A54EA"/>
    <w:pPr>
      <w:spacing w:before="480"/>
    </w:pPr>
  </w:style>
  <w:style w:type="character" w:customStyle="1" w:styleId="OdstavekZnak">
    <w:name w:val="Odstavek Znak"/>
    <w:link w:val="Odstavek"/>
    <w:rsid w:val="005A54EA"/>
    <w:rPr>
      <w:rFonts w:ascii="Arial" w:hAnsi="Arial" w:cs="Arial"/>
      <w:sz w:val="22"/>
      <w:szCs w:val="22"/>
      <w:lang w:eastAsia="sl-SI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5A54EA"/>
    <w:pPr>
      <w:spacing w:before="480"/>
    </w:pPr>
  </w:style>
  <w:style w:type="paragraph" w:customStyle="1" w:styleId="Datumsprejetja">
    <w:name w:val="Datum sprejetja"/>
    <w:basedOn w:val="Navaden"/>
    <w:link w:val="DatumsprejetjaZnak"/>
    <w:qFormat/>
    <w:rsid w:val="005A54E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cs="Arial"/>
      <w:snapToGrid w:val="0"/>
      <w:color w:val="000000"/>
      <w:sz w:val="22"/>
      <w:szCs w:val="22"/>
      <w:lang w:eastAsia="sl-SI"/>
    </w:rPr>
  </w:style>
  <w:style w:type="character" w:customStyle="1" w:styleId="tevilkanakoncupredpisaZnak">
    <w:name w:val="Številka na koncu predpisa Znak"/>
    <w:link w:val="tevilkanakoncupredpisa"/>
    <w:rsid w:val="005A54EA"/>
    <w:rPr>
      <w:rFonts w:ascii="Arial" w:hAnsi="Arial" w:cs="Arial"/>
      <w:snapToGrid w:val="0"/>
      <w:color w:val="000000"/>
      <w:sz w:val="22"/>
      <w:szCs w:val="22"/>
      <w:lang w:eastAsia="sl-SI"/>
    </w:rPr>
  </w:style>
  <w:style w:type="paragraph" w:customStyle="1" w:styleId="Podpisnik">
    <w:name w:val="Podpisnik"/>
    <w:basedOn w:val="Navaden"/>
    <w:link w:val="PodpisnikZnak"/>
    <w:qFormat/>
    <w:rsid w:val="005A54EA"/>
    <w:pPr>
      <w:overflowPunct w:val="0"/>
      <w:autoSpaceDE w:val="0"/>
      <w:autoSpaceDN w:val="0"/>
      <w:adjustRightInd w:val="0"/>
      <w:spacing w:line="240" w:lineRule="auto"/>
      <w:ind w:left="5670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DatumsprejetjaZnak">
    <w:name w:val="Datum sprejetja Znak"/>
    <w:link w:val="Datumsprejetja"/>
    <w:rsid w:val="005A54EA"/>
    <w:rPr>
      <w:rFonts w:ascii="Arial" w:hAnsi="Arial" w:cs="Arial"/>
      <w:snapToGrid w:val="0"/>
      <w:color w:val="000000"/>
      <w:sz w:val="22"/>
      <w:szCs w:val="22"/>
      <w:lang w:eastAsia="sl-SI"/>
    </w:rPr>
  </w:style>
  <w:style w:type="character" w:customStyle="1" w:styleId="PodpisnikZnak">
    <w:name w:val="Podpisnik Znak"/>
    <w:basedOn w:val="Privzetapisavaodstavka"/>
    <w:link w:val="Podpisnik"/>
    <w:rsid w:val="005A54EA"/>
    <w:rPr>
      <w:rFonts w:ascii="Arial" w:hAnsi="Arial" w:cs="Arial"/>
      <w:sz w:val="22"/>
      <w:szCs w:val="22"/>
      <w:lang w:eastAsia="sl-SI"/>
    </w:rPr>
  </w:style>
  <w:style w:type="character" w:customStyle="1" w:styleId="PravnapodlagaZnak">
    <w:name w:val="Pravna podlaga Znak"/>
    <w:basedOn w:val="OdstavekZnak"/>
    <w:link w:val="Pravnapodlaga"/>
    <w:rsid w:val="005A54EA"/>
    <w:rPr>
      <w:rFonts w:ascii="Arial" w:hAnsi="Arial" w:cs="Arial"/>
      <w:sz w:val="22"/>
      <w:szCs w:val="22"/>
      <w:lang w:eastAsia="sl-SI"/>
    </w:rPr>
  </w:style>
  <w:style w:type="paragraph" w:customStyle="1" w:styleId="EVA">
    <w:name w:val="EVA"/>
    <w:basedOn w:val="Navaden"/>
    <w:link w:val="EVAZnak"/>
    <w:qFormat/>
    <w:rsid w:val="005A54E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EVAZnak">
    <w:name w:val="EVA Znak"/>
    <w:link w:val="EVA"/>
    <w:rsid w:val="005A54EA"/>
    <w:rPr>
      <w:rFonts w:ascii="Arial" w:hAnsi="Arial" w:cs="Arial"/>
      <w:sz w:val="22"/>
      <w:szCs w:val="22"/>
      <w:lang w:eastAsia="sl-SI"/>
    </w:rPr>
  </w:style>
  <w:style w:type="paragraph" w:styleId="Odstavekseznama">
    <w:name w:val="List Paragraph"/>
    <w:basedOn w:val="Navaden"/>
    <w:uiPriority w:val="34"/>
    <w:qFormat/>
    <w:rsid w:val="005A54EA"/>
    <w:pPr>
      <w:ind w:left="720"/>
      <w:contextualSpacing/>
    </w:pPr>
  </w:style>
  <w:style w:type="paragraph" w:styleId="Golobesedilo">
    <w:name w:val="Plain Text"/>
    <w:basedOn w:val="Navaden"/>
    <w:link w:val="GolobesediloZnak"/>
    <w:rsid w:val="0008465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rsid w:val="00084658"/>
    <w:rPr>
      <w:rFonts w:ascii="Consolas" w:hAnsi="Consolas"/>
      <w:sz w:val="21"/>
      <w:szCs w:val="21"/>
    </w:rPr>
  </w:style>
  <w:style w:type="paragraph" w:customStyle="1" w:styleId="zamik">
    <w:name w:val="zamik"/>
    <w:basedOn w:val="Navaden"/>
    <w:rsid w:val="00D34058"/>
    <w:pPr>
      <w:spacing w:line="240" w:lineRule="auto"/>
      <w:ind w:firstLine="1021"/>
    </w:pPr>
    <w:rPr>
      <w:rFonts w:ascii="Times New Roman" w:hAnsi="Times New Roman"/>
      <w:sz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B4AEA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1E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://data.europa.eu/eli/reg/2025/37/oj" TargetMode="External"/><Relationship Id="rId18" Type="http://schemas.openxmlformats.org/officeDocument/2006/relationships/hyperlink" Target="http://data.europa.eu/eli/reg/2019/881/o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ta.europa.eu/eli/reg/2013/526/oj" TargetMode="External"/><Relationship Id="rId17" Type="http://schemas.openxmlformats.org/officeDocument/2006/relationships/hyperlink" Target="http://data.europa.eu/eli/reg/2021/694/o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a.europa.eu/eli/reg/2025/38/o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europa.eu/eli/reg/2019/881/o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.europa.eu/eli/reg/2021/887/oj" TargetMode="External"/><Relationship Id="rId10" Type="http://schemas.openxmlformats.org/officeDocument/2006/relationships/hyperlink" Target="https://www.uradni-list.si/glasilo-uradni-list-rs/vsebina/2025-01-1571" TargetMode="External"/><Relationship Id="rId19" Type="http://schemas.openxmlformats.org/officeDocument/2006/relationships/hyperlink" Target="http://data.europa.eu/eli/reg/2025/38/o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ata.europa.eu/eli/reg/2019/881/oj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ata.europa.eu/eli/reg/2025/37/oj" TargetMode="External"/><Relationship Id="rId2" Type="http://schemas.openxmlformats.org/officeDocument/2006/relationships/hyperlink" Target="http://data.europa.eu/eli/reg/2013/526/oj" TargetMode="External"/><Relationship Id="rId1" Type="http://schemas.openxmlformats.org/officeDocument/2006/relationships/hyperlink" Target="http://data.europa.eu/eli/reg/2019/881/oj" TargetMode="External"/><Relationship Id="rId5" Type="http://schemas.openxmlformats.org/officeDocument/2006/relationships/hyperlink" Target="http://data.europa.eu/eli/reg/2021/694/oj" TargetMode="External"/><Relationship Id="rId4" Type="http://schemas.openxmlformats.org/officeDocument/2006/relationships/hyperlink" Target="http://data.europa.eu/eli/reg/2019/881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BB8C38-39D1-463B-8214-72C4D32C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2521</Words>
  <Characters>15972</Characters>
  <Application>Microsoft Office Word</Application>
  <DocSecurity>4</DocSecurity>
  <Lines>133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18457</CharactersWithSpaces>
  <SharedDoc>false</SharedDoc>
  <HLinks>
    <vt:vector size="18" baseType="variant"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http://www.uradni-list.si/1/objava.jsp?sop=2021-01-2056</vt:lpwstr>
      </vt:variant>
      <vt:variant>
        <vt:lpwstr/>
      </vt:variant>
      <vt:variant>
        <vt:i4>7471139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http://www.uradni-list.si/1/objava.jsp?sop=2018-01-1350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cp:lastModifiedBy>Kory Golob</cp:lastModifiedBy>
  <cp:revision>2</cp:revision>
  <cp:lastPrinted>2016-06-01T08:39:00Z</cp:lastPrinted>
  <dcterms:created xsi:type="dcterms:W3CDTF">2025-08-18T10:30:00Z</dcterms:created>
  <dcterms:modified xsi:type="dcterms:W3CDTF">2025-08-18T10:30:00Z</dcterms:modified>
</cp:coreProperties>
</file>