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0F40ADDA" w:rsidR="00AE1F83" w:rsidRPr="00D47E3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47E30">
              <w:rPr>
                <w:rFonts w:ascii="Arial" w:eastAsia="Times New Roman" w:hAnsi="Arial" w:cs="Arial"/>
                <w:sz w:val="20"/>
                <w:szCs w:val="20"/>
                <w:lang w:eastAsia="sl-SI"/>
              </w:rPr>
              <w:t xml:space="preserve">Številka: </w:t>
            </w:r>
            <w:r w:rsidR="00D47E30" w:rsidRPr="00D47E30">
              <w:rPr>
                <w:rFonts w:ascii="Arial" w:hAnsi="Arial" w:cs="Arial"/>
                <w:color w:val="000000"/>
                <w:sz w:val="20"/>
                <w:szCs w:val="20"/>
                <w:shd w:val="clear" w:color="auto" w:fill="FFFFFF"/>
              </w:rPr>
              <w:t>510-22/2015-2550</w:t>
            </w:r>
          </w:p>
        </w:tc>
      </w:tr>
      <w:tr w:rsidR="00AE1F83" w:rsidRPr="00AE1F83" w14:paraId="1DD59023" w14:textId="77777777" w:rsidTr="00DA6942">
        <w:trPr>
          <w:gridAfter w:val="2"/>
          <w:wAfter w:w="3067" w:type="dxa"/>
        </w:trPr>
        <w:tc>
          <w:tcPr>
            <w:tcW w:w="6096" w:type="dxa"/>
            <w:gridSpan w:val="2"/>
          </w:tcPr>
          <w:p w14:paraId="2AD08D9D" w14:textId="602C5511" w:rsidR="00AE1F83" w:rsidRPr="00D47E3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47E30">
              <w:rPr>
                <w:rFonts w:ascii="Arial" w:eastAsia="Times New Roman" w:hAnsi="Arial" w:cs="Arial"/>
                <w:sz w:val="20"/>
                <w:szCs w:val="20"/>
                <w:lang w:eastAsia="sl-SI"/>
              </w:rPr>
              <w:t xml:space="preserve">Ljubljana, </w:t>
            </w:r>
            <w:r w:rsidR="00D47E30" w:rsidRPr="00D47E30">
              <w:rPr>
                <w:rFonts w:ascii="Arial" w:hAnsi="Arial" w:cs="Arial"/>
                <w:sz w:val="20"/>
                <w:szCs w:val="20"/>
              </w:rPr>
              <w:t>25. 2. 2026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29FA9DAF" w:rsidR="00AE1F83" w:rsidRPr="00D47E30"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47E30">
              <w:rPr>
                <w:rFonts w:ascii="Arial" w:eastAsia="Times New Roman" w:hAnsi="Arial" w:cs="Arial"/>
                <w:b/>
                <w:sz w:val="20"/>
                <w:szCs w:val="20"/>
                <w:lang w:eastAsia="sl-SI"/>
              </w:rPr>
              <w:t xml:space="preserve">ZADEVA: </w:t>
            </w:r>
            <w:r w:rsidR="00D47E30" w:rsidRPr="00D47E30">
              <w:rPr>
                <w:rFonts w:ascii="Arial" w:hAnsi="Arial" w:cs="Arial"/>
                <w:b/>
                <w:sz w:val="20"/>
                <w:szCs w:val="20"/>
              </w:rPr>
              <w:t>Izhodišča za udeležbo delegacije Republike Slovenije na XXVII. zasedanju</w:t>
            </w:r>
            <w:r w:rsidR="00D47E30" w:rsidRPr="00D47E30">
              <w:rPr>
                <w:rFonts w:ascii="Arial" w:hAnsi="Arial" w:cs="Arial"/>
                <w:b/>
                <w:i/>
                <w:sz w:val="20"/>
                <w:szCs w:val="20"/>
              </w:rPr>
              <w:t xml:space="preserve"> </w:t>
            </w:r>
            <w:r w:rsidR="00D47E30" w:rsidRPr="00D47E30">
              <w:rPr>
                <w:rFonts w:ascii="Arial" w:hAnsi="Arial" w:cs="Arial"/>
                <w:b/>
                <w:sz w:val="20"/>
                <w:szCs w:val="20"/>
              </w:rPr>
              <w:t>Stalne slovensko-madžarske komisije za vodno gospodarstvo, 24.–25. marec 2026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D565AB8" w14:textId="64E32174" w:rsidR="00D47E30" w:rsidRPr="00D47E30" w:rsidRDefault="00D47E30" w:rsidP="00D47E30">
            <w:pPr>
              <w:spacing w:line="276" w:lineRule="auto"/>
              <w:ind w:left="34" w:right="301"/>
              <w:jc w:val="both"/>
              <w:rPr>
                <w:rFonts w:ascii="Arial" w:hAnsi="Arial" w:cs="Arial"/>
                <w:snapToGrid w:val="0"/>
                <w:color w:val="000000"/>
                <w:sz w:val="20"/>
                <w:szCs w:val="20"/>
              </w:rPr>
            </w:pPr>
            <w:r w:rsidRPr="00D47E30">
              <w:rPr>
                <w:rFonts w:ascii="Arial" w:hAnsi="Arial" w:cs="Arial"/>
                <w:color w:val="000000"/>
                <w:sz w:val="20"/>
                <w:szCs w:val="20"/>
              </w:rPr>
              <w:t xml:space="preserve">Na podlagi </w:t>
            </w:r>
            <w:r w:rsidRPr="00D47E30">
              <w:rPr>
                <w:rFonts w:ascii="Arial" w:hAnsi="Arial" w:cs="Arial"/>
                <w:iCs/>
                <w:sz w:val="20"/>
                <w:szCs w:val="20"/>
                <w:lang w:eastAsia="sl-SI"/>
              </w:rPr>
              <w:t xml:space="preserve">prvega odstavka 2. člena in </w:t>
            </w:r>
            <w:r w:rsidRPr="00D47E30">
              <w:rPr>
                <w:rFonts w:ascii="Arial" w:hAnsi="Arial" w:cs="Arial"/>
                <w:color w:val="000000"/>
                <w:sz w:val="20"/>
                <w:szCs w:val="20"/>
              </w:rPr>
              <w:t>šestega odstavka 21. člena Zakona o Vladi Republike Slovenije (</w:t>
            </w:r>
            <w:r w:rsidRPr="00D47E30">
              <w:rPr>
                <w:rFonts w:ascii="Arial" w:hAnsi="Arial" w:cs="Arial"/>
                <w:iCs/>
                <w:sz w:val="20"/>
                <w:szCs w:val="20"/>
                <w:lang w:eastAsia="sl-SI"/>
              </w:rPr>
              <w:t>Uradni list RS, št. 24/05 - uradno prečiščeno besedilo,109/08, 38/10 – ZUKN, 8/12, 21/13, 47/13 – ZDU-1G, 65/14, 55/17 in 163/22</w:t>
            </w:r>
            <w:r w:rsidRPr="00D47E30">
              <w:rPr>
                <w:rFonts w:ascii="Arial" w:hAnsi="Arial" w:cs="Arial"/>
                <w:color w:val="000000"/>
                <w:sz w:val="20"/>
                <w:szCs w:val="20"/>
              </w:rPr>
              <w:t xml:space="preserve">) </w:t>
            </w:r>
            <w:r w:rsidRPr="00D47E30">
              <w:rPr>
                <w:rFonts w:ascii="Arial" w:hAnsi="Arial" w:cs="Arial"/>
                <w:snapToGrid w:val="0"/>
                <w:color w:val="000000"/>
                <w:sz w:val="20"/>
                <w:szCs w:val="20"/>
              </w:rPr>
              <w:t xml:space="preserve">je Vlada Republike Slovenije na _______seji  </w:t>
            </w:r>
            <w:r w:rsidRPr="00D47E30">
              <w:rPr>
                <w:rFonts w:ascii="Arial" w:hAnsi="Arial" w:cs="Arial"/>
                <w:sz w:val="20"/>
                <w:szCs w:val="20"/>
              </w:rPr>
              <w:t>sp</w:t>
            </w:r>
            <w:r w:rsidRPr="00D47E30">
              <w:rPr>
                <w:rFonts w:ascii="Arial" w:hAnsi="Arial" w:cs="Arial"/>
                <w:snapToGrid w:val="0"/>
                <w:color w:val="000000"/>
                <w:sz w:val="20"/>
                <w:szCs w:val="20"/>
              </w:rPr>
              <w:t xml:space="preserve">rejela naslednji </w:t>
            </w:r>
          </w:p>
          <w:p w14:paraId="45780A03" w14:textId="001BE4C4" w:rsidR="00D47E30" w:rsidRPr="00D47E30" w:rsidRDefault="00D47E30" w:rsidP="00D47E30">
            <w:pPr>
              <w:spacing w:line="276" w:lineRule="auto"/>
              <w:jc w:val="center"/>
              <w:rPr>
                <w:rFonts w:ascii="Arial" w:hAnsi="Arial" w:cs="Arial"/>
                <w:sz w:val="20"/>
                <w:szCs w:val="20"/>
              </w:rPr>
            </w:pPr>
            <w:r w:rsidRPr="00D47E30">
              <w:rPr>
                <w:rFonts w:ascii="Arial" w:hAnsi="Arial" w:cs="Arial"/>
                <w:sz w:val="20"/>
                <w:szCs w:val="20"/>
              </w:rPr>
              <w:t>SKLEP</w:t>
            </w:r>
          </w:p>
          <w:p w14:paraId="2924F7FF" w14:textId="77777777" w:rsidR="00D47E30" w:rsidRPr="00D47E30" w:rsidRDefault="00D47E30" w:rsidP="00D47E30">
            <w:pPr>
              <w:pStyle w:val="Telobesedila"/>
              <w:tabs>
                <w:tab w:val="clear" w:pos="284"/>
              </w:tabs>
              <w:spacing w:line="276" w:lineRule="auto"/>
              <w:rPr>
                <w:rFonts w:ascii="Arial" w:hAnsi="Arial" w:cs="Arial"/>
                <w:b w:val="0"/>
                <w:bCs/>
                <w:sz w:val="20"/>
              </w:rPr>
            </w:pPr>
          </w:p>
          <w:p w14:paraId="7113E882" w14:textId="14E48C2F" w:rsidR="00D47E30" w:rsidRPr="00D47E30" w:rsidRDefault="00D47E30" w:rsidP="00D47E30">
            <w:pPr>
              <w:numPr>
                <w:ilvl w:val="0"/>
                <w:numId w:val="11"/>
              </w:numPr>
              <w:spacing w:after="0" w:line="276" w:lineRule="auto"/>
              <w:ind w:right="1"/>
              <w:jc w:val="both"/>
              <w:rPr>
                <w:rFonts w:ascii="Arial" w:hAnsi="Arial" w:cs="Arial"/>
                <w:b/>
                <w:bCs/>
                <w:sz w:val="20"/>
                <w:szCs w:val="20"/>
              </w:rPr>
            </w:pPr>
            <w:r w:rsidRPr="00D47E30">
              <w:rPr>
                <w:rFonts w:ascii="Arial" w:hAnsi="Arial" w:cs="Arial"/>
                <w:sz w:val="20"/>
                <w:szCs w:val="20"/>
              </w:rPr>
              <w:t xml:space="preserve">Vlada Republike Slovenije sprejme izhodišča za </w:t>
            </w:r>
            <w:r w:rsidRPr="00D47E30">
              <w:rPr>
                <w:rFonts w:ascii="Arial" w:hAnsi="Arial" w:cs="Arial"/>
                <w:bCs/>
                <w:sz w:val="20"/>
                <w:szCs w:val="20"/>
              </w:rPr>
              <w:t>udeležbo delegacije Republike Slovenije na XXVII. zasedanju</w:t>
            </w:r>
            <w:r w:rsidRPr="00D47E30">
              <w:rPr>
                <w:rFonts w:ascii="Arial" w:hAnsi="Arial" w:cs="Arial"/>
                <w:bCs/>
                <w:i/>
                <w:sz w:val="20"/>
                <w:szCs w:val="20"/>
              </w:rPr>
              <w:t xml:space="preserve"> </w:t>
            </w:r>
            <w:r w:rsidRPr="00D47E30">
              <w:rPr>
                <w:rFonts w:ascii="Arial" w:hAnsi="Arial" w:cs="Arial"/>
                <w:bCs/>
                <w:sz w:val="20"/>
                <w:szCs w:val="20"/>
              </w:rPr>
              <w:t>Stalne slovensko-madžarske komisije za vodno gospodarstvo, ki bo 24.</w:t>
            </w:r>
            <w:r w:rsidRPr="00D47E30">
              <w:rPr>
                <w:rFonts w:ascii="Arial" w:hAnsi="Arial" w:cs="Arial"/>
                <w:sz w:val="20"/>
                <w:szCs w:val="20"/>
              </w:rPr>
              <w:t xml:space="preserve"> in 25</w:t>
            </w:r>
            <w:r w:rsidRPr="00D47E30">
              <w:rPr>
                <w:rFonts w:ascii="Arial" w:hAnsi="Arial" w:cs="Arial"/>
                <w:bCs/>
                <w:sz w:val="20"/>
                <w:szCs w:val="20"/>
              </w:rPr>
              <w:t>. marca 2026 na Madžarskem.</w:t>
            </w:r>
          </w:p>
          <w:p w14:paraId="76DF9E6D" w14:textId="77777777" w:rsidR="00D47E30" w:rsidRPr="00D47E30" w:rsidRDefault="00D47E30" w:rsidP="00D47E30">
            <w:pPr>
              <w:spacing w:after="0" w:line="276" w:lineRule="auto"/>
              <w:ind w:left="720" w:right="1"/>
              <w:jc w:val="both"/>
              <w:rPr>
                <w:rFonts w:ascii="Arial" w:hAnsi="Arial" w:cs="Arial"/>
                <w:b/>
                <w:bCs/>
                <w:sz w:val="20"/>
                <w:szCs w:val="20"/>
              </w:rPr>
            </w:pPr>
          </w:p>
          <w:p w14:paraId="23CBBEC9" w14:textId="77777777" w:rsidR="00D47E30" w:rsidRPr="00D47E30" w:rsidRDefault="00D47E30" w:rsidP="00D47E30">
            <w:pPr>
              <w:spacing w:line="276" w:lineRule="auto"/>
              <w:ind w:left="705" w:hanging="345"/>
              <w:jc w:val="both"/>
              <w:rPr>
                <w:rFonts w:ascii="Arial" w:hAnsi="Arial" w:cs="Arial"/>
                <w:snapToGrid w:val="0"/>
                <w:color w:val="000000"/>
                <w:sz w:val="20"/>
                <w:szCs w:val="20"/>
              </w:rPr>
            </w:pPr>
            <w:r w:rsidRPr="00D47E30">
              <w:rPr>
                <w:rFonts w:ascii="Arial" w:hAnsi="Arial" w:cs="Arial"/>
                <w:sz w:val="20"/>
                <w:szCs w:val="20"/>
              </w:rPr>
              <w:t>2.</w:t>
            </w:r>
            <w:r w:rsidRPr="00D47E30">
              <w:rPr>
                <w:rFonts w:ascii="Arial" w:hAnsi="Arial" w:cs="Arial"/>
                <w:sz w:val="20"/>
                <w:szCs w:val="20"/>
              </w:rPr>
              <w:tab/>
              <w:t xml:space="preserve">Vlada Republike Slovenije imenuje </w:t>
            </w:r>
            <w:r w:rsidRPr="00D47E30">
              <w:rPr>
                <w:rFonts w:ascii="Arial" w:hAnsi="Arial" w:cs="Arial"/>
                <w:snapToGrid w:val="0"/>
                <w:color w:val="000000"/>
                <w:sz w:val="20"/>
                <w:szCs w:val="20"/>
              </w:rPr>
              <w:t xml:space="preserve">delegacijo, ki se bo udeležila zasedanja </w:t>
            </w:r>
            <w:r w:rsidRPr="00D47E30">
              <w:rPr>
                <w:rFonts w:ascii="Arial" w:hAnsi="Arial" w:cs="Arial"/>
                <w:bCs/>
                <w:sz w:val="20"/>
                <w:szCs w:val="20"/>
              </w:rPr>
              <w:t>Stalne slovensko-madžarske komisije za vodno gospodarstvo</w:t>
            </w:r>
            <w:r w:rsidRPr="00D47E30">
              <w:rPr>
                <w:rFonts w:ascii="Arial" w:hAnsi="Arial" w:cs="Arial"/>
                <w:snapToGrid w:val="0"/>
                <w:color w:val="000000"/>
                <w:sz w:val="20"/>
                <w:szCs w:val="20"/>
              </w:rPr>
              <w:t>, v naslednji sestavi:</w:t>
            </w:r>
          </w:p>
          <w:p w14:paraId="5A62ECBA"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dr. Aleš Bizjak, Ministrstvo za naravne vire in prostor, vodja delegacije,</w:t>
            </w:r>
          </w:p>
          <w:p w14:paraId="20206EE5"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mag. Luka Štravs, Ministrstvo za naravne vire in prostor, član,</w:t>
            </w:r>
          </w:p>
          <w:p w14:paraId="174AFA12"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Anton Kustec, Direkcija Republike Slovenije za vode, član,</w:t>
            </w:r>
          </w:p>
          <w:p w14:paraId="326844D4"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Urška Kušar, Ministrstvo za naravne vire in prostor, strokovnjakinja,</w:t>
            </w:r>
          </w:p>
          <w:p w14:paraId="65254D02"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Edita Sodja, Agencija Republike Slovenije za okolje, strokovnjakinja,</w:t>
            </w:r>
          </w:p>
          <w:p w14:paraId="63083751"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Katja Križnar Urbanc, Ministrstvo za zunanje in evropske zadeve, strokovnjakinja,</w:t>
            </w:r>
          </w:p>
          <w:p w14:paraId="4D3F065A"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Barbara Potočnik, Ministrstvo za naravne vire in prostor, sekretarka komisije.</w:t>
            </w:r>
          </w:p>
          <w:p w14:paraId="05E38211" w14:textId="77777777" w:rsidR="00D47E30" w:rsidRPr="00D47E30" w:rsidRDefault="00D47E30" w:rsidP="00D47E30">
            <w:pPr>
              <w:pStyle w:val="Telobesedila2"/>
              <w:tabs>
                <w:tab w:val="left" w:pos="426"/>
              </w:tabs>
              <w:spacing w:after="0" w:line="276" w:lineRule="auto"/>
              <w:ind w:left="644" w:right="1"/>
              <w:jc w:val="both"/>
              <w:rPr>
                <w:rFonts w:cs="Arial"/>
                <w:szCs w:val="20"/>
              </w:rPr>
            </w:pPr>
          </w:p>
          <w:p w14:paraId="040171B7" w14:textId="77777777" w:rsidR="00D47E30" w:rsidRPr="00D47E30" w:rsidRDefault="00D47E30" w:rsidP="00D47E30">
            <w:pPr>
              <w:pStyle w:val="Glava"/>
              <w:spacing w:line="276" w:lineRule="auto"/>
              <w:ind w:right="833"/>
              <w:jc w:val="both"/>
              <w:rPr>
                <w:rFonts w:ascii="Arial" w:hAnsi="Arial" w:cs="Arial"/>
                <w:sz w:val="20"/>
                <w:szCs w:val="20"/>
              </w:rPr>
            </w:pPr>
          </w:p>
          <w:p w14:paraId="46741B0C" w14:textId="77777777" w:rsidR="00D47E30" w:rsidRPr="00D47E30" w:rsidRDefault="00D47E30" w:rsidP="00D47E30">
            <w:pPr>
              <w:pStyle w:val="Glava"/>
              <w:spacing w:line="276" w:lineRule="auto"/>
              <w:ind w:right="833"/>
              <w:rPr>
                <w:rFonts w:ascii="Arial" w:hAnsi="Arial" w:cs="Arial"/>
                <w:sz w:val="20"/>
                <w:szCs w:val="20"/>
              </w:rPr>
            </w:pPr>
            <w:r w:rsidRPr="00D47E30">
              <w:rPr>
                <w:rFonts w:ascii="Arial" w:hAnsi="Arial" w:cs="Arial"/>
                <w:sz w:val="20"/>
                <w:szCs w:val="20"/>
              </w:rPr>
              <w:t xml:space="preserve">                                                                                                 Barbara KOLENKO HELBL</w:t>
            </w:r>
          </w:p>
          <w:p w14:paraId="6F3E8395" w14:textId="77777777" w:rsidR="00D47E30" w:rsidRPr="00D47E30" w:rsidRDefault="00D47E30" w:rsidP="00D47E30">
            <w:pPr>
              <w:pStyle w:val="Glava"/>
              <w:spacing w:line="276" w:lineRule="auto"/>
              <w:ind w:left="426" w:right="833"/>
              <w:jc w:val="center"/>
              <w:rPr>
                <w:rFonts w:ascii="Arial" w:hAnsi="Arial" w:cs="Arial"/>
                <w:sz w:val="20"/>
                <w:szCs w:val="20"/>
              </w:rPr>
            </w:pPr>
            <w:r w:rsidRPr="00D47E30">
              <w:rPr>
                <w:rFonts w:ascii="Arial" w:hAnsi="Arial" w:cs="Arial"/>
                <w:sz w:val="20"/>
                <w:szCs w:val="20"/>
              </w:rPr>
              <w:t xml:space="preserve">                                                                                GENERALNA SEKRETARKA</w:t>
            </w:r>
          </w:p>
          <w:p w14:paraId="4C4ADE5E" w14:textId="77777777" w:rsidR="00D47E30" w:rsidRDefault="00D47E30" w:rsidP="00D47E30">
            <w:pPr>
              <w:pStyle w:val="Glava"/>
              <w:spacing w:line="276" w:lineRule="auto"/>
              <w:ind w:left="426" w:right="833"/>
              <w:jc w:val="center"/>
              <w:rPr>
                <w:rFonts w:ascii="Arial" w:hAnsi="Arial" w:cs="Arial"/>
                <w:sz w:val="20"/>
                <w:szCs w:val="20"/>
              </w:rPr>
            </w:pPr>
          </w:p>
          <w:p w14:paraId="798D253A" w14:textId="77777777" w:rsidR="00D47E30" w:rsidRPr="00D47E30" w:rsidRDefault="00D47E30" w:rsidP="00D47E30">
            <w:pPr>
              <w:pStyle w:val="Glava"/>
              <w:spacing w:line="276" w:lineRule="auto"/>
              <w:ind w:left="426" w:right="833"/>
              <w:jc w:val="center"/>
              <w:rPr>
                <w:rFonts w:ascii="Arial" w:hAnsi="Arial" w:cs="Arial"/>
                <w:sz w:val="20"/>
                <w:szCs w:val="20"/>
              </w:rPr>
            </w:pPr>
          </w:p>
          <w:p w14:paraId="6F41A412" w14:textId="77777777" w:rsidR="00D47E30" w:rsidRPr="00D47E30" w:rsidRDefault="00D47E30" w:rsidP="00D47E30">
            <w:pPr>
              <w:pStyle w:val="Glava"/>
              <w:tabs>
                <w:tab w:val="left" w:pos="708"/>
              </w:tabs>
              <w:spacing w:line="276" w:lineRule="auto"/>
              <w:ind w:right="833"/>
              <w:rPr>
                <w:rFonts w:ascii="Arial" w:hAnsi="Arial" w:cs="Arial"/>
                <w:sz w:val="20"/>
                <w:szCs w:val="20"/>
              </w:rPr>
            </w:pPr>
            <w:r w:rsidRPr="00D47E30">
              <w:rPr>
                <w:rFonts w:ascii="Arial" w:hAnsi="Arial" w:cs="Arial"/>
                <w:sz w:val="20"/>
                <w:szCs w:val="20"/>
              </w:rPr>
              <w:t>Sklep Vlade RS prejme:</w:t>
            </w:r>
          </w:p>
          <w:p w14:paraId="44404445"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Ministrstvo za naravne vire in prostor,</w:t>
            </w:r>
          </w:p>
          <w:p w14:paraId="7087DD1C"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Ministrstvo za zunanje in evropske zadeve,</w:t>
            </w:r>
          </w:p>
          <w:p w14:paraId="273A7768" w14:textId="77777777" w:rsidR="00D47E30" w:rsidRPr="00D47E30" w:rsidRDefault="00D47E30" w:rsidP="00D47E30">
            <w:pPr>
              <w:numPr>
                <w:ilvl w:val="0"/>
                <w:numId w:val="10"/>
              </w:numPr>
              <w:spacing w:after="0" w:line="276" w:lineRule="auto"/>
              <w:ind w:left="988"/>
              <w:jc w:val="both"/>
              <w:rPr>
                <w:rFonts w:ascii="Arial" w:hAnsi="Arial" w:cs="Arial"/>
                <w:sz w:val="20"/>
                <w:szCs w:val="20"/>
              </w:rPr>
            </w:pPr>
            <w:r w:rsidRPr="00D47E30">
              <w:rPr>
                <w:rFonts w:ascii="Arial" w:hAnsi="Arial" w:cs="Arial"/>
                <w:sz w:val="20"/>
                <w:szCs w:val="20"/>
              </w:rPr>
              <w:t>Direkcija Republike Slovenije za vode in</w:t>
            </w:r>
          </w:p>
          <w:p w14:paraId="11B455FD" w14:textId="09038A8E" w:rsidR="00AE1F83" w:rsidRPr="00AE1F83" w:rsidRDefault="00D47E30" w:rsidP="00D47E3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7E30">
              <w:rPr>
                <w:rFonts w:ascii="Arial" w:hAnsi="Arial" w:cs="Arial"/>
                <w:sz w:val="20"/>
                <w:szCs w:val="20"/>
              </w:rPr>
              <w:t>Agencija Republike Slovenije za okolje.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37028785" w14:textId="77777777" w:rsidR="00D47E30" w:rsidRDefault="00D47E30" w:rsidP="00D47E30">
            <w:pPr>
              <w:spacing w:after="0" w:line="276" w:lineRule="auto"/>
              <w:ind w:right="593"/>
              <w:jc w:val="both"/>
              <w:rPr>
                <w:rFonts w:ascii="Arial" w:hAnsi="Arial" w:cs="Arial"/>
                <w:sz w:val="20"/>
                <w:szCs w:val="20"/>
              </w:rPr>
            </w:pPr>
            <w:r w:rsidRPr="00D47E30">
              <w:rPr>
                <w:rFonts w:ascii="Arial" w:hAnsi="Arial" w:cs="Arial"/>
                <w:sz w:val="20"/>
                <w:szCs w:val="20"/>
              </w:rPr>
              <w:t>dr. Lidija Globevnik, generalna direktorica, Direktorat za vode, Ministrstvo za naravne vire in prostor</w:t>
            </w:r>
          </w:p>
          <w:p w14:paraId="0369F08A" w14:textId="4F958B01" w:rsidR="00AE1F83" w:rsidRPr="00D47E30" w:rsidRDefault="00D47E30" w:rsidP="00D47E30">
            <w:pPr>
              <w:spacing w:after="0" w:line="276" w:lineRule="auto"/>
              <w:ind w:right="593"/>
              <w:jc w:val="both"/>
              <w:rPr>
                <w:rFonts w:ascii="Arial" w:hAnsi="Arial" w:cs="Arial"/>
                <w:sz w:val="20"/>
                <w:szCs w:val="20"/>
              </w:rPr>
            </w:pPr>
            <w:r w:rsidRPr="00D47E30">
              <w:rPr>
                <w:rFonts w:ascii="Arial" w:hAnsi="Arial" w:cs="Arial"/>
                <w:sz w:val="20"/>
                <w:szCs w:val="20"/>
              </w:rPr>
              <w:t>dr. Aleš Bizjak, Direktorat za vode, Ministrstvo za naravne vire in prostor</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7D8D92D5" w:rsidR="00AE1F83" w:rsidRPr="00AE1F83" w:rsidRDefault="00D47E3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65C33146" w:rsidR="00AE1F83" w:rsidRPr="00AE1F83" w:rsidRDefault="00D47E3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D47E30" w:rsidRPr="00AE1F83" w14:paraId="50A02115" w14:textId="77777777" w:rsidTr="00DA6942">
        <w:tc>
          <w:tcPr>
            <w:tcW w:w="9163" w:type="dxa"/>
            <w:gridSpan w:val="4"/>
          </w:tcPr>
          <w:p w14:paraId="69893AC2" w14:textId="24AED48A" w:rsidR="00D47E30" w:rsidRPr="00D47E30" w:rsidRDefault="00D47E30" w:rsidP="00D47E3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7E30">
              <w:rPr>
                <w:rFonts w:ascii="Arial" w:hAnsi="Arial" w:cs="Arial"/>
                <w:sz w:val="20"/>
                <w:szCs w:val="20"/>
              </w:rPr>
              <w:t xml:space="preserve">Gradivo vsebuje izhodišča za </w:t>
            </w:r>
            <w:r w:rsidRPr="00D47E30">
              <w:rPr>
                <w:rFonts w:ascii="Arial" w:hAnsi="Arial" w:cs="Arial"/>
                <w:bCs/>
                <w:sz w:val="20"/>
                <w:szCs w:val="20"/>
              </w:rPr>
              <w:t>udeležbo delegacije Republike Slovenije na XXVII. zasedanju</w:t>
            </w:r>
            <w:r w:rsidRPr="00D47E30">
              <w:rPr>
                <w:rFonts w:ascii="Arial" w:hAnsi="Arial" w:cs="Arial"/>
                <w:bCs/>
                <w:i/>
                <w:sz w:val="20"/>
                <w:szCs w:val="20"/>
              </w:rPr>
              <w:t xml:space="preserve"> </w:t>
            </w:r>
            <w:r w:rsidRPr="00D47E30">
              <w:rPr>
                <w:rFonts w:ascii="Arial" w:hAnsi="Arial" w:cs="Arial"/>
                <w:bCs/>
                <w:sz w:val="20"/>
                <w:szCs w:val="20"/>
              </w:rPr>
              <w:t>Stalne slovensko-madžarske komisije za vodno gospodarstvo, 24.</w:t>
            </w:r>
            <w:r w:rsidRPr="00D47E30">
              <w:rPr>
                <w:rFonts w:ascii="Arial" w:hAnsi="Arial" w:cs="Arial"/>
                <w:sz w:val="20"/>
                <w:szCs w:val="20"/>
              </w:rPr>
              <w:t>–25</w:t>
            </w:r>
            <w:r w:rsidRPr="00D47E30">
              <w:rPr>
                <w:rFonts w:ascii="Arial" w:hAnsi="Arial" w:cs="Arial"/>
                <w:bCs/>
                <w:sz w:val="20"/>
                <w:szCs w:val="20"/>
              </w:rPr>
              <w:t>. marec 2026.</w:t>
            </w:r>
          </w:p>
        </w:tc>
      </w:tr>
      <w:tr w:rsidR="00D47E30" w:rsidRPr="00AE1F83" w14:paraId="7543F4BC" w14:textId="69D63BFB" w:rsidTr="00DA6942">
        <w:tc>
          <w:tcPr>
            <w:tcW w:w="9163" w:type="dxa"/>
            <w:gridSpan w:val="4"/>
          </w:tcPr>
          <w:p w14:paraId="2A21FF18" w14:textId="2AD5DEEF" w:rsidR="00D47E30" w:rsidRPr="00AE1F83" w:rsidRDefault="00D47E30" w:rsidP="00D47E30">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D47E30" w:rsidRPr="00AE1F83" w14:paraId="4BC5F5D3" w14:textId="4D889251" w:rsidTr="00DA6942">
        <w:tc>
          <w:tcPr>
            <w:tcW w:w="1448" w:type="dxa"/>
          </w:tcPr>
          <w:p w14:paraId="4B10D944" w14:textId="45933A87"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6267DFCA"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47E30" w:rsidRPr="00AE1F83" w14:paraId="40D2CFE9" w14:textId="01ED74EF" w:rsidTr="00DA6942">
        <w:tc>
          <w:tcPr>
            <w:tcW w:w="1448" w:type="dxa"/>
          </w:tcPr>
          <w:p w14:paraId="04747560" w14:textId="4A16D4E0"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2C6DAA74"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47E30" w:rsidRPr="00AE1F83" w14:paraId="6A27CDF6" w14:textId="50BD651D" w:rsidTr="00DA6942">
        <w:tc>
          <w:tcPr>
            <w:tcW w:w="1448" w:type="dxa"/>
          </w:tcPr>
          <w:p w14:paraId="727F0245" w14:textId="0A6AA5EC"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4B88A1F4"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47E30" w:rsidRPr="00AE1F83" w14:paraId="50578951" w14:textId="2605D3AD" w:rsidTr="00DA6942">
        <w:tc>
          <w:tcPr>
            <w:tcW w:w="1448" w:type="dxa"/>
          </w:tcPr>
          <w:p w14:paraId="141537DA" w14:textId="147E23D9"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7A9A2278"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47E30" w:rsidRPr="00AE1F83" w14:paraId="094C62EA" w14:textId="47993B11" w:rsidTr="00DA6942">
        <w:tc>
          <w:tcPr>
            <w:tcW w:w="1448" w:type="dxa"/>
          </w:tcPr>
          <w:p w14:paraId="493BCC9B" w14:textId="4AB09080"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4193DBE6"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47E30" w:rsidRPr="00AE1F83" w14:paraId="493D505F" w14:textId="31BDF198" w:rsidTr="00DA6942">
        <w:tc>
          <w:tcPr>
            <w:tcW w:w="1448" w:type="dxa"/>
          </w:tcPr>
          <w:p w14:paraId="527B5D22" w14:textId="17B014B8"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D47E30" w:rsidRPr="00AE1F83" w14:paraId="4B3CE4C8" w14:textId="08BD9546" w:rsidTr="00DA6942">
        <w:tc>
          <w:tcPr>
            <w:tcW w:w="1448" w:type="dxa"/>
            <w:tcBorders>
              <w:bottom w:val="single" w:sz="4" w:space="0" w:color="auto"/>
            </w:tcBorders>
          </w:tcPr>
          <w:p w14:paraId="5041314A" w14:textId="57B99559" w:rsidR="00D47E30" w:rsidRPr="00AE1F83" w:rsidRDefault="00D47E30" w:rsidP="00D47E30">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D47E30" w:rsidRPr="00AE1F83" w:rsidRDefault="00D47E30" w:rsidP="00D47E30">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D47E30" w:rsidRPr="00AE1F83" w:rsidRDefault="00D47E30" w:rsidP="00D47E30">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D47E30" w:rsidRPr="00AE1F83" w:rsidRDefault="00D47E30" w:rsidP="00D47E30">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D47E30" w:rsidRPr="00AE1F83" w:rsidRDefault="00D47E30" w:rsidP="00D47E30">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2AB2727A" w:rsidR="00D47E30" w:rsidRPr="00AE1F83" w:rsidRDefault="00D47E30" w:rsidP="00D47E30">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47E30"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D47E30" w:rsidRPr="00AE1F83" w:rsidRDefault="00D47E30" w:rsidP="00D47E30">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D47E30" w:rsidRPr="00AE1F83" w:rsidRDefault="00D47E30" w:rsidP="00D47E30">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ADE8F3C" w14:textId="77777777" w:rsidR="00D47E30" w:rsidRPr="00D47E30" w:rsidRDefault="00D47E30" w:rsidP="00D47E30">
            <w:pPr>
              <w:widowControl w:val="0"/>
              <w:suppressAutoHyphens/>
              <w:overflowPunct w:val="0"/>
              <w:autoSpaceDE w:val="0"/>
              <w:autoSpaceDN w:val="0"/>
              <w:adjustRightInd w:val="0"/>
              <w:spacing w:after="0" w:line="276" w:lineRule="auto"/>
              <w:jc w:val="both"/>
              <w:textAlignment w:val="baseline"/>
              <w:outlineLvl w:val="3"/>
              <w:rPr>
                <w:rFonts w:ascii="Arial" w:hAnsi="Arial" w:cs="Arial"/>
                <w:sz w:val="20"/>
                <w:szCs w:val="20"/>
              </w:rPr>
            </w:pPr>
            <w:r w:rsidRPr="00D47E30">
              <w:rPr>
                <w:rFonts w:ascii="Arial" w:hAnsi="Arial" w:cs="Arial"/>
                <w:sz w:val="20"/>
                <w:szCs w:val="20"/>
              </w:rPr>
              <w:t xml:space="preserve">Sredstva za stroške udeležbe (tolmačenje, potni stroški, nočitev, dnevnice) so zagotovljena za leto 2026 v okviru finančnih načrtov organov, ki bodo zastopali delegacijo RS. </w:t>
            </w:r>
          </w:p>
          <w:p w14:paraId="1FFE11FD" w14:textId="6729AD43" w:rsidR="00AE1F83" w:rsidRPr="00AE1F83" w:rsidRDefault="00D47E30" w:rsidP="00D47E30">
            <w:pPr>
              <w:spacing w:after="0" w:line="260" w:lineRule="exact"/>
              <w:rPr>
                <w:rFonts w:ascii="Arial" w:eastAsia="Times New Roman" w:hAnsi="Arial" w:cs="Arial"/>
                <w:b/>
                <w:sz w:val="20"/>
                <w:szCs w:val="20"/>
              </w:rPr>
            </w:pPr>
            <w:r w:rsidRPr="00D47E30">
              <w:rPr>
                <w:rFonts w:ascii="Arial" w:hAnsi="Arial" w:cs="Arial"/>
                <w:sz w:val="20"/>
                <w:szCs w:val="20"/>
              </w:rPr>
              <w:t xml:space="preserve">Okvirna ocena stroškov udeležbe je 2.400 </w:t>
            </w:r>
            <w:r w:rsidRPr="00D47E30">
              <w:rPr>
                <w:rFonts w:ascii="Arial" w:eastAsia="Calibri" w:hAnsi="Arial" w:cs="Arial"/>
                <w:sz w:val="20"/>
                <w:szCs w:val="20"/>
                <w:lang w:eastAsia="sl-SI"/>
              </w:rPr>
              <w:t xml:space="preserve"> EUR (od tega za MNVP okvirno 1950 EUR; MZEZ okvirno 150 EUR; ARSO okvirno 150 EUR; DRSV okvirno 150 EUR).</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C8CDC9B"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6078E942"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4CCD76F1"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725BF230"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6551D5D6"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049A5CB" w:rsidR="00AE1F83" w:rsidRPr="00D47E30" w:rsidRDefault="00D47E3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47E30">
              <w:rPr>
                <w:rFonts w:ascii="Arial" w:hAnsi="Arial" w:cs="Arial"/>
                <w:iCs/>
                <w:sz w:val="20"/>
                <w:szCs w:val="20"/>
              </w:rPr>
              <w:t>Predlog gradiva ni takšne narave, da bi bila potrebna predhodna objava.</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AE1F83" w:rsidRPr="00AE1F83" w:rsidRDefault="00AE1F83" w:rsidP="00D47E3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DA4C782" w14:textId="77777777" w:rsidR="00D47E30" w:rsidRPr="00B35BF9" w:rsidRDefault="00D47E30" w:rsidP="00D47E30">
            <w:pPr>
              <w:pStyle w:val="Poglavje"/>
              <w:widowControl w:val="0"/>
              <w:spacing w:before="0" w:after="0" w:line="240" w:lineRule="auto"/>
              <w:ind w:left="3400"/>
              <w:jc w:val="left"/>
              <w:rPr>
                <w:b w:val="0"/>
                <w:sz w:val="20"/>
                <w:szCs w:val="20"/>
              </w:rPr>
            </w:pPr>
            <w:r w:rsidRPr="00B35BF9">
              <w:rPr>
                <w:b w:val="0"/>
                <w:sz w:val="20"/>
                <w:szCs w:val="20"/>
              </w:rPr>
              <w:t>Jože NOVAK</w:t>
            </w:r>
          </w:p>
          <w:p w14:paraId="6586AEAD" w14:textId="26CD9051" w:rsidR="00D47E30" w:rsidRPr="00B35BF9" w:rsidRDefault="00D47E30" w:rsidP="00D47E30">
            <w:pPr>
              <w:pStyle w:val="Poglavje"/>
              <w:widowControl w:val="0"/>
              <w:spacing w:before="0" w:after="0" w:line="240" w:lineRule="auto"/>
              <w:ind w:left="3400"/>
              <w:jc w:val="left"/>
              <w:rPr>
                <w:b w:val="0"/>
                <w:sz w:val="20"/>
                <w:szCs w:val="20"/>
              </w:rPr>
            </w:pPr>
            <w:r w:rsidRPr="00B35BF9">
              <w:rPr>
                <w:b w:val="0"/>
                <w:sz w:val="20"/>
                <w:szCs w:val="20"/>
              </w:rPr>
              <w:t xml:space="preserve">   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55AF5A14" w14:textId="77777777" w:rsidR="00D47E30" w:rsidRPr="00D47E30" w:rsidRDefault="00D47E30" w:rsidP="00D47E30">
      <w:pPr>
        <w:pStyle w:val="NaslovpredpisaZnak"/>
        <w:spacing w:line="276" w:lineRule="auto"/>
        <w:jc w:val="left"/>
        <w:rPr>
          <w:b w:val="0"/>
          <w:sz w:val="20"/>
          <w:szCs w:val="20"/>
        </w:rPr>
      </w:pPr>
      <w:r w:rsidRPr="00D47E30">
        <w:rPr>
          <w:b w:val="0"/>
          <w:sz w:val="20"/>
          <w:szCs w:val="20"/>
        </w:rPr>
        <w:t>PRILOGA:</w:t>
      </w:r>
    </w:p>
    <w:p w14:paraId="431F8F9A" w14:textId="77777777" w:rsidR="00D47E30" w:rsidRPr="00D47E30" w:rsidRDefault="00D47E30" w:rsidP="00D47E30">
      <w:pPr>
        <w:pStyle w:val="Odstavekseznama"/>
        <w:numPr>
          <w:ilvl w:val="1"/>
          <w:numId w:val="4"/>
        </w:numPr>
        <w:autoSpaceDE w:val="0"/>
        <w:autoSpaceDN w:val="0"/>
        <w:adjustRightInd w:val="0"/>
        <w:spacing w:line="276" w:lineRule="auto"/>
        <w:ind w:left="567" w:hanging="567"/>
        <w:jc w:val="both"/>
        <w:rPr>
          <w:rFonts w:cs="Arial"/>
          <w:snapToGrid w:val="0"/>
          <w:szCs w:val="20"/>
        </w:rPr>
      </w:pPr>
      <w:r w:rsidRPr="00D47E30">
        <w:rPr>
          <w:rFonts w:cs="Arial"/>
          <w:szCs w:val="20"/>
        </w:rPr>
        <w:t xml:space="preserve">Jedro gradiva: </w:t>
      </w:r>
      <w:r w:rsidRPr="00D47E30">
        <w:rPr>
          <w:rFonts w:cs="Arial"/>
          <w:bCs/>
          <w:szCs w:val="20"/>
        </w:rPr>
        <w:t>Izhodišča za udeležbo delegacije Republike Slovenije na XXVII. zasedanju</w:t>
      </w:r>
      <w:r w:rsidRPr="00D47E30">
        <w:rPr>
          <w:rFonts w:cs="Arial"/>
          <w:bCs/>
          <w:i/>
          <w:szCs w:val="20"/>
        </w:rPr>
        <w:t xml:space="preserve"> </w:t>
      </w:r>
      <w:r w:rsidRPr="00D47E30">
        <w:rPr>
          <w:rFonts w:cs="Arial"/>
          <w:bCs/>
          <w:szCs w:val="20"/>
        </w:rPr>
        <w:t>Stalne slovensko-madžarske komisije za vodno gospodarstvo, 24.–25. marec 2026, Madžarska</w:t>
      </w:r>
    </w:p>
    <w:p w14:paraId="2CD4D4B9" w14:textId="77777777" w:rsidR="00D47E30" w:rsidRPr="00D47E30" w:rsidRDefault="00D47E30" w:rsidP="00D47E30">
      <w:pPr>
        <w:autoSpaceDE w:val="0"/>
        <w:autoSpaceDN w:val="0"/>
        <w:adjustRightInd w:val="0"/>
        <w:spacing w:line="276" w:lineRule="auto"/>
        <w:rPr>
          <w:rFonts w:ascii="Arial" w:hAnsi="Arial" w:cs="Arial"/>
          <w:snapToGrid w:val="0"/>
          <w:sz w:val="20"/>
          <w:szCs w:val="20"/>
        </w:rPr>
      </w:pPr>
      <w:r w:rsidRPr="00D47E30">
        <w:rPr>
          <w:rFonts w:ascii="Arial" w:hAnsi="Arial" w:cs="Arial"/>
          <w:snapToGrid w:val="0"/>
          <w:sz w:val="20"/>
          <w:szCs w:val="20"/>
        </w:rPr>
        <w:br w:type="page"/>
      </w:r>
    </w:p>
    <w:p w14:paraId="7BF18582" w14:textId="77777777" w:rsidR="00D47E30" w:rsidRPr="00D47E30" w:rsidRDefault="00D47E30" w:rsidP="00D47E30">
      <w:pPr>
        <w:pStyle w:val="Seznam"/>
        <w:tabs>
          <w:tab w:val="clear" w:pos="284"/>
          <w:tab w:val="clear" w:pos="567"/>
          <w:tab w:val="clear" w:pos="851"/>
          <w:tab w:val="clear" w:pos="1134"/>
          <w:tab w:val="clear" w:pos="1418"/>
          <w:tab w:val="clear" w:pos="1701"/>
          <w:tab w:val="clear" w:pos="2268"/>
          <w:tab w:val="clear" w:pos="2835"/>
          <w:tab w:val="clear" w:pos="3402"/>
        </w:tabs>
        <w:spacing w:line="276" w:lineRule="auto"/>
        <w:ind w:left="0" w:firstLine="0"/>
        <w:rPr>
          <w:rFonts w:ascii="Arial" w:hAnsi="Arial" w:cs="Arial"/>
          <w:sz w:val="20"/>
        </w:rPr>
      </w:pPr>
      <w:r w:rsidRPr="00D47E30">
        <w:rPr>
          <w:rFonts w:ascii="Arial" w:hAnsi="Arial" w:cs="Arial"/>
          <w:b/>
          <w:w w:val="100"/>
          <w:sz w:val="20"/>
        </w:rPr>
        <w:lastRenderedPageBreak/>
        <w:t>JEDRO</w:t>
      </w:r>
      <w:r w:rsidRPr="00D47E30">
        <w:rPr>
          <w:rFonts w:ascii="Arial" w:hAnsi="Arial" w:cs="Arial"/>
          <w:sz w:val="20"/>
        </w:rPr>
        <w:t xml:space="preserve"> </w:t>
      </w:r>
      <w:r w:rsidRPr="00D47E30">
        <w:rPr>
          <w:rFonts w:ascii="Arial" w:hAnsi="Arial" w:cs="Arial"/>
          <w:b/>
          <w:w w:val="100"/>
          <w:sz w:val="20"/>
        </w:rPr>
        <w:t>GRADIVA:</w:t>
      </w:r>
    </w:p>
    <w:p w14:paraId="7B9BD74A" w14:textId="77777777" w:rsidR="00D47E30" w:rsidRPr="00D47E30" w:rsidRDefault="00D47E30" w:rsidP="00D47E30">
      <w:pPr>
        <w:pStyle w:val="Telobesedila"/>
        <w:spacing w:line="276" w:lineRule="auto"/>
        <w:ind w:right="833"/>
        <w:jc w:val="center"/>
        <w:rPr>
          <w:rFonts w:ascii="Arial" w:hAnsi="Arial" w:cs="Arial"/>
          <w:b w:val="0"/>
          <w:sz w:val="20"/>
        </w:rPr>
      </w:pPr>
    </w:p>
    <w:p w14:paraId="249F36E2" w14:textId="77777777" w:rsidR="00D47E30" w:rsidRPr="00D47E30" w:rsidRDefault="00D47E30" w:rsidP="00D47E30">
      <w:pPr>
        <w:spacing w:line="276" w:lineRule="auto"/>
        <w:ind w:right="833"/>
        <w:jc w:val="center"/>
        <w:rPr>
          <w:rFonts w:ascii="Arial" w:hAnsi="Arial" w:cs="Arial"/>
          <w:b/>
          <w:bCs/>
          <w:sz w:val="20"/>
          <w:szCs w:val="20"/>
        </w:rPr>
      </w:pPr>
    </w:p>
    <w:p w14:paraId="0B093F77" w14:textId="77777777" w:rsidR="00D47E30" w:rsidRPr="00D47E30" w:rsidRDefault="00D47E30" w:rsidP="00D47E30">
      <w:pPr>
        <w:spacing w:line="276" w:lineRule="auto"/>
        <w:ind w:right="833"/>
        <w:jc w:val="center"/>
        <w:rPr>
          <w:rFonts w:ascii="Arial" w:hAnsi="Arial" w:cs="Arial"/>
          <w:b/>
          <w:bCs/>
          <w:sz w:val="20"/>
          <w:szCs w:val="20"/>
        </w:rPr>
      </w:pPr>
      <w:r w:rsidRPr="00D47E30">
        <w:rPr>
          <w:rFonts w:ascii="Arial" w:hAnsi="Arial" w:cs="Arial"/>
          <w:b/>
          <w:bCs/>
          <w:sz w:val="20"/>
          <w:szCs w:val="20"/>
        </w:rPr>
        <w:t>IZHODIŠČA ZA UDELEŽBO DELEGACIJE REPUBLIKE SLOVENIJE NA</w:t>
      </w:r>
    </w:p>
    <w:p w14:paraId="7DE6DCE5" w14:textId="104151B2" w:rsidR="00D47E30" w:rsidRPr="001322B1" w:rsidRDefault="00D47E30" w:rsidP="001322B1">
      <w:pPr>
        <w:spacing w:line="276" w:lineRule="auto"/>
        <w:ind w:right="833"/>
        <w:jc w:val="center"/>
        <w:rPr>
          <w:rFonts w:ascii="Arial" w:hAnsi="Arial" w:cs="Arial"/>
          <w:b/>
          <w:bCs/>
          <w:sz w:val="20"/>
          <w:szCs w:val="20"/>
        </w:rPr>
      </w:pPr>
      <w:r w:rsidRPr="00D47E30">
        <w:rPr>
          <w:rFonts w:ascii="Arial" w:hAnsi="Arial" w:cs="Arial"/>
          <w:b/>
          <w:bCs/>
          <w:sz w:val="20"/>
          <w:szCs w:val="20"/>
        </w:rPr>
        <w:t>XXVII. ZASEDANJU</w:t>
      </w:r>
      <w:r w:rsidRPr="00D47E30">
        <w:rPr>
          <w:rFonts w:ascii="Arial" w:hAnsi="Arial" w:cs="Arial"/>
          <w:b/>
          <w:bCs/>
          <w:i/>
          <w:sz w:val="20"/>
          <w:szCs w:val="20"/>
        </w:rPr>
        <w:t xml:space="preserve"> </w:t>
      </w:r>
      <w:r w:rsidRPr="00D47E30">
        <w:rPr>
          <w:rFonts w:ascii="Arial" w:hAnsi="Arial" w:cs="Arial"/>
          <w:b/>
          <w:bCs/>
          <w:sz w:val="20"/>
          <w:szCs w:val="20"/>
        </w:rPr>
        <w:t>STALNE SLOVENSKO-MADŽARSKE KOMISIJE ZA VODNO GOSPODARSTVO, 24.</w:t>
      </w:r>
      <w:r w:rsidRPr="00D47E30">
        <w:rPr>
          <w:rFonts w:ascii="Arial" w:hAnsi="Arial" w:cs="Arial"/>
          <w:sz w:val="20"/>
          <w:szCs w:val="20"/>
        </w:rPr>
        <w:t>–</w:t>
      </w:r>
      <w:r w:rsidRPr="00D47E30">
        <w:rPr>
          <w:rFonts w:ascii="Arial" w:hAnsi="Arial" w:cs="Arial"/>
          <w:b/>
          <w:bCs/>
          <w:sz w:val="20"/>
          <w:szCs w:val="20"/>
        </w:rPr>
        <w:t>25. MAREC 2026, MADŽARSKA</w:t>
      </w:r>
    </w:p>
    <w:p w14:paraId="1CB5348E" w14:textId="77777777" w:rsidR="00D47E30" w:rsidRPr="00D47E30" w:rsidRDefault="00D47E30" w:rsidP="00D47E30">
      <w:pPr>
        <w:spacing w:line="276" w:lineRule="auto"/>
        <w:ind w:right="833"/>
        <w:jc w:val="center"/>
        <w:rPr>
          <w:rFonts w:ascii="Arial" w:hAnsi="Arial" w:cs="Arial"/>
          <w:b/>
          <w:sz w:val="20"/>
          <w:szCs w:val="20"/>
        </w:rPr>
      </w:pPr>
      <w:r w:rsidRPr="00D47E30">
        <w:rPr>
          <w:rFonts w:ascii="Arial" w:hAnsi="Arial" w:cs="Arial"/>
          <w:b/>
          <w:sz w:val="20"/>
          <w:szCs w:val="20"/>
        </w:rPr>
        <w:t>I.</w:t>
      </w:r>
    </w:p>
    <w:p w14:paraId="6EADECB2" w14:textId="77777777" w:rsidR="00D47E30" w:rsidRPr="00D47E30" w:rsidRDefault="00D47E30" w:rsidP="00D47E30">
      <w:pPr>
        <w:spacing w:line="276" w:lineRule="auto"/>
        <w:ind w:right="833"/>
        <w:rPr>
          <w:rFonts w:ascii="Arial" w:hAnsi="Arial" w:cs="Arial"/>
          <w:sz w:val="20"/>
          <w:szCs w:val="20"/>
        </w:rPr>
      </w:pPr>
    </w:p>
    <w:p w14:paraId="3D06C88A" w14:textId="34E7C2E0" w:rsidR="00D47E30" w:rsidRPr="001322B1" w:rsidRDefault="00D47E30" w:rsidP="001322B1">
      <w:pPr>
        <w:spacing w:line="276" w:lineRule="auto"/>
        <w:ind w:right="-1"/>
        <w:jc w:val="both"/>
        <w:rPr>
          <w:rFonts w:ascii="Arial" w:hAnsi="Arial" w:cs="Arial"/>
          <w:sz w:val="20"/>
          <w:szCs w:val="20"/>
        </w:rPr>
      </w:pPr>
      <w:r w:rsidRPr="00D47E30">
        <w:rPr>
          <w:rFonts w:ascii="Arial" w:hAnsi="Arial" w:cs="Arial"/>
          <w:sz w:val="20"/>
          <w:szCs w:val="20"/>
        </w:rPr>
        <w:t>Pravna podlaga za urejanje vodnogospodarskih vprašanj med Republiko Slovenijo in Republiko Madžarsko je Sporazum med Vlado Republike Slovenije in Vlado Republike Madžarske o reševanju vodnogospodarskih vprašanj (Uradni list RS, Mednarodne pogodbe, št. 2/1995).</w:t>
      </w:r>
    </w:p>
    <w:p w14:paraId="115FF7EC" w14:textId="3A2BE178" w:rsidR="00D47E30" w:rsidRPr="001322B1" w:rsidRDefault="00D47E30" w:rsidP="001322B1">
      <w:pPr>
        <w:spacing w:line="276" w:lineRule="auto"/>
        <w:ind w:right="833"/>
        <w:jc w:val="center"/>
        <w:rPr>
          <w:rFonts w:ascii="Arial" w:hAnsi="Arial" w:cs="Arial"/>
          <w:b/>
          <w:sz w:val="20"/>
          <w:szCs w:val="20"/>
        </w:rPr>
      </w:pPr>
      <w:r w:rsidRPr="00D47E30">
        <w:rPr>
          <w:rFonts w:ascii="Arial" w:hAnsi="Arial" w:cs="Arial"/>
          <w:b/>
          <w:sz w:val="20"/>
          <w:szCs w:val="20"/>
        </w:rPr>
        <w:t>II.</w:t>
      </w:r>
    </w:p>
    <w:p w14:paraId="641B6CEB" w14:textId="4075871E" w:rsidR="00D47E30" w:rsidRPr="00D47E30" w:rsidRDefault="00D47E30" w:rsidP="001322B1">
      <w:pPr>
        <w:spacing w:line="276" w:lineRule="auto"/>
        <w:jc w:val="both"/>
        <w:rPr>
          <w:rFonts w:ascii="Arial" w:hAnsi="Arial" w:cs="Arial"/>
          <w:sz w:val="20"/>
          <w:szCs w:val="20"/>
        </w:rPr>
      </w:pPr>
      <w:r w:rsidRPr="00D47E30">
        <w:rPr>
          <w:rFonts w:ascii="Arial" w:hAnsi="Arial" w:cs="Arial"/>
          <w:sz w:val="20"/>
          <w:szCs w:val="20"/>
        </w:rPr>
        <w:t>Za XXVII. zasedanje Stalne slovensko-madžarske komisije za vodno gospodarstvo, ki ga bo organizirala madžarska stran 24. in 25. marec 2026 na Madžarskem (kraj zasedanja bo še določen), je predviden naslednji dnevni red:</w:t>
      </w:r>
    </w:p>
    <w:tbl>
      <w:tblPr>
        <w:tblW w:w="9180" w:type="dxa"/>
        <w:tblLayout w:type="fixed"/>
        <w:tblLook w:val="01E0" w:firstRow="1" w:lastRow="1" w:firstColumn="1" w:lastColumn="1" w:noHBand="0" w:noVBand="0"/>
      </w:tblPr>
      <w:tblGrid>
        <w:gridCol w:w="828"/>
        <w:gridCol w:w="720"/>
        <w:gridCol w:w="279"/>
        <w:gridCol w:w="81"/>
        <w:gridCol w:w="540"/>
        <w:gridCol w:w="6732"/>
      </w:tblGrid>
      <w:tr w:rsidR="00D47E30" w:rsidRPr="00D47E30" w14:paraId="65691E03" w14:textId="77777777" w:rsidTr="003F0F1A">
        <w:tc>
          <w:tcPr>
            <w:tcW w:w="828" w:type="dxa"/>
          </w:tcPr>
          <w:p w14:paraId="0B2E59BA"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1.</w:t>
            </w:r>
          </w:p>
        </w:tc>
        <w:tc>
          <w:tcPr>
            <w:tcW w:w="8352" w:type="dxa"/>
            <w:gridSpan w:val="5"/>
          </w:tcPr>
          <w:p w14:paraId="0C34ECB2"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Izvršitev sklepov XXVI. zasedanja komisije</w:t>
            </w:r>
          </w:p>
        </w:tc>
      </w:tr>
      <w:tr w:rsidR="00D47E30" w:rsidRPr="00D47E30" w14:paraId="2356BD60" w14:textId="77777777" w:rsidTr="003F0F1A">
        <w:tc>
          <w:tcPr>
            <w:tcW w:w="828" w:type="dxa"/>
          </w:tcPr>
          <w:p w14:paraId="0CB13F85"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2.</w:t>
            </w:r>
          </w:p>
        </w:tc>
        <w:tc>
          <w:tcPr>
            <w:tcW w:w="8352" w:type="dxa"/>
            <w:gridSpan w:val="5"/>
          </w:tcPr>
          <w:p w14:paraId="06DE9069"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 xml:space="preserve">Regionalne naloge upravljanja voda </w:t>
            </w:r>
          </w:p>
        </w:tc>
      </w:tr>
      <w:tr w:rsidR="00D47E30" w:rsidRPr="00D47E30" w14:paraId="45C67B70" w14:textId="77777777" w:rsidTr="003F0F1A">
        <w:tc>
          <w:tcPr>
            <w:tcW w:w="828" w:type="dxa"/>
          </w:tcPr>
          <w:p w14:paraId="51ABCC50"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6C9FAFE"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2.1</w:t>
            </w:r>
          </w:p>
        </w:tc>
        <w:tc>
          <w:tcPr>
            <w:tcW w:w="7632" w:type="dxa"/>
            <w:gridSpan w:val="4"/>
          </w:tcPr>
          <w:p w14:paraId="4DAECB9F" w14:textId="77777777" w:rsidR="00D47E30" w:rsidRPr="00D47E30" w:rsidRDefault="00D47E30" w:rsidP="001322B1">
            <w:pPr>
              <w:spacing w:after="0" w:line="276" w:lineRule="auto"/>
              <w:ind w:right="141"/>
              <w:jc w:val="both"/>
              <w:rPr>
                <w:rFonts w:ascii="Arial" w:hAnsi="Arial" w:cs="Arial"/>
                <w:b/>
                <w:bCs/>
                <w:kern w:val="32"/>
                <w:sz w:val="20"/>
                <w:szCs w:val="20"/>
              </w:rPr>
            </w:pPr>
            <w:r w:rsidRPr="00D47E30">
              <w:rPr>
                <w:rFonts w:ascii="Arial" w:hAnsi="Arial" w:cs="Arial"/>
                <w:b/>
                <w:bCs/>
                <w:kern w:val="32"/>
                <w:sz w:val="20"/>
                <w:szCs w:val="20"/>
              </w:rPr>
              <w:t>Monitoring</w:t>
            </w:r>
          </w:p>
        </w:tc>
      </w:tr>
      <w:tr w:rsidR="00D47E30" w:rsidRPr="00D47E30" w14:paraId="5DAB81A2" w14:textId="77777777" w:rsidTr="003F0F1A">
        <w:tc>
          <w:tcPr>
            <w:tcW w:w="828" w:type="dxa"/>
          </w:tcPr>
          <w:p w14:paraId="6A7A480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0296A23"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7FD9B2C1" w14:textId="77777777" w:rsidR="00D47E30" w:rsidRPr="00D47E30" w:rsidRDefault="00D47E30" w:rsidP="001322B1">
            <w:pPr>
              <w:spacing w:after="0" w:line="276" w:lineRule="auto"/>
              <w:ind w:right="141"/>
              <w:jc w:val="both"/>
              <w:rPr>
                <w:rFonts w:ascii="Arial" w:hAnsi="Arial" w:cs="Arial"/>
                <w:bCs/>
                <w:kern w:val="32"/>
                <w:sz w:val="20"/>
                <w:szCs w:val="20"/>
              </w:rPr>
            </w:pPr>
            <w:r w:rsidRPr="00D47E30">
              <w:rPr>
                <w:rFonts w:ascii="Arial" w:hAnsi="Arial" w:cs="Arial"/>
                <w:bCs/>
                <w:kern w:val="32"/>
                <w:sz w:val="20"/>
                <w:szCs w:val="20"/>
              </w:rPr>
              <w:t>2.1.1             Hidrografija</w:t>
            </w:r>
          </w:p>
        </w:tc>
      </w:tr>
      <w:tr w:rsidR="00D47E30" w:rsidRPr="00D47E30" w14:paraId="0B68BC31" w14:textId="77777777" w:rsidTr="003F0F1A">
        <w:tc>
          <w:tcPr>
            <w:tcW w:w="828" w:type="dxa"/>
          </w:tcPr>
          <w:p w14:paraId="179916DF"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670F1584"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48B9651C"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2.1.1.1          Izmenjava in obdelava podatkov </w:t>
            </w:r>
          </w:p>
        </w:tc>
      </w:tr>
      <w:tr w:rsidR="00D47E30" w:rsidRPr="00D47E30" w14:paraId="35D9922A" w14:textId="77777777" w:rsidTr="003F0F1A">
        <w:tc>
          <w:tcPr>
            <w:tcW w:w="828" w:type="dxa"/>
          </w:tcPr>
          <w:p w14:paraId="4C084F2F"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5D29E6E"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2C14D26E"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2.1.1.2          Prognostični model visokih voda Mure </w:t>
            </w:r>
          </w:p>
        </w:tc>
      </w:tr>
      <w:tr w:rsidR="00D47E30" w:rsidRPr="00D47E30" w14:paraId="081502C7" w14:textId="77777777" w:rsidTr="003F0F1A">
        <w:tc>
          <w:tcPr>
            <w:tcW w:w="828" w:type="dxa"/>
          </w:tcPr>
          <w:p w14:paraId="76C924AE"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1D9115BC"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61FB7DC6"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2.1.2             Varstvo kakovosti voda</w:t>
            </w:r>
          </w:p>
        </w:tc>
      </w:tr>
      <w:tr w:rsidR="00D47E30" w:rsidRPr="00D47E30" w14:paraId="425D200D" w14:textId="77777777" w:rsidTr="003F0F1A">
        <w:tc>
          <w:tcPr>
            <w:tcW w:w="828" w:type="dxa"/>
          </w:tcPr>
          <w:p w14:paraId="29184AB6"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23F6E75C"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52167396"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2.1.2.1          Splošne ugotovitve </w:t>
            </w:r>
          </w:p>
        </w:tc>
      </w:tr>
      <w:tr w:rsidR="00D47E30" w:rsidRPr="00D47E30" w14:paraId="730BD256" w14:textId="77777777" w:rsidTr="003F0F1A">
        <w:tc>
          <w:tcPr>
            <w:tcW w:w="828" w:type="dxa"/>
          </w:tcPr>
          <w:p w14:paraId="09A37568"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5EDBD2B9"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322FE909"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2.1.2.2          Preiskave kakovosti voda </w:t>
            </w:r>
          </w:p>
        </w:tc>
      </w:tr>
      <w:tr w:rsidR="00D47E30" w:rsidRPr="00D47E30" w14:paraId="4D99C755" w14:textId="77777777" w:rsidTr="003F0F1A">
        <w:tc>
          <w:tcPr>
            <w:tcW w:w="828" w:type="dxa"/>
          </w:tcPr>
          <w:p w14:paraId="279125CE"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6640D5B"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47611468"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7258A408"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2.1.2.2.1 </w:t>
            </w:r>
            <w:proofErr w:type="spellStart"/>
            <w:r w:rsidRPr="00D47E30">
              <w:rPr>
                <w:rFonts w:ascii="Arial" w:hAnsi="Arial" w:cs="Arial"/>
                <w:sz w:val="20"/>
                <w:szCs w:val="20"/>
              </w:rPr>
              <w:t>Ledava</w:t>
            </w:r>
            <w:proofErr w:type="spellEnd"/>
            <w:r w:rsidRPr="00D47E30">
              <w:rPr>
                <w:rFonts w:ascii="Arial" w:hAnsi="Arial" w:cs="Arial"/>
                <w:sz w:val="20"/>
                <w:szCs w:val="20"/>
              </w:rPr>
              <w:t xml:space="preserve">  na odseku skupnega interesa </w:t>
            </w:r>
          </w:p>
        </w:tc>
      </w:tr>
      <w:tr w:rsidR="00D47E30" w:rsidRPr="00D47E30" w14:paraId="7A6E5161" w14:textId="77777777" w:rsidTr="003F0F1A">
        <w:tc>
          <w:tcPr>
            <w:tcW w:w="828" w:type="dxa"/>
          </w:tcPr>
          <w:p w14:paraId="1F80EE9C"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304E8B46"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5041C389"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05F74713"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2.1.2.2.2 Velika Krka  na odseku skupnega interesa </w:t>
            </w:r>
          </w:p>
        </w:tc>
      </w:tr>
      <w:tr w:rsidR="00D47E30" w:rsidRPr="00D47E30" w14:paraId="178637BD" w14:textId="77777777" w:rsidTr="003F0F1A">
        <w:tc>
          <w:tcPr>
            <w:tcW w:w="828" w:type="dxa"/>
          </w:tcPr>
          <w:p w14:paraId="75350041"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D57ADEF"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7B86816"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787E1205"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2.1.2.2.3 </w:t>
            </w:r>
            <w:proofErr w:type="spellStart"/>
            <w:r w:rsidRPr="00D47E30">
              <w:rPr>
                <w:rFonts w:ascii="Arial" w:hAnsi="Arial" w:cs="Arial"/>
                <w:sz w:val="20"/>
                <w:szCs w:val="20"/>
              </w:rPr>
              <w:t>Kobiljski</w:t>
            </w:r>
            <w:proofErr w:type="spellEnd"/>
            <w:r w:rsidRPr="00D47E30">
              <w:rPr>
                <w:rFonts w:ascii="Arial" w:hAnsi="Arial" w:cs="Arial"/>
                <w:sz w:val="20"/>
                <w:szCs w:val="20"/>
              </w:rPr>
              <w:t xml:space="preserve"> potok na odseku skupnega interesa </w:t>
            </w:r>
          </w:p>
        </w:tc>
      </w:tr>
      <w:tr w:rsidR="00D47E30" w:rsidRPr="00D47E30" w14:paraId="49DDC9F3" w14:textId="77777777" w:rsidTr="003F0F1A">
        <w:tc>
          <w:tcPr>
            <w:tcW w:w="828" w:type="dxa"/>
          </w:tcPr>
          <w:p w14:paraId="1315131F"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2A8B4E5A"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3D498E1D"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2.1.2.3           Program monitoringa kakovosti voda za leti 2025 in 2026</w:t>
            </w:r>
          </w:p>
        </w:tc>
      </w:tr>
      <w:tr w:rsidR="00D47E30" w:rsidRPr="00D47E30" w14:paraId="71352FE5" w14:textId="77777777" w:rsidTr="003F0F1A">
        <w:tc>
          <w:tcPr>
            <w:tcW w:w="828" w:type="dxa"/>
          </w:tcPr>
          <w:p w14:paraId="5C9939D4"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D4C6FF3"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786FB9BB"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2.1.3              Podzemne vode </w:t>
            </w:r>
          </w:p>
        </w:tc>
      </w:tr>
      <w:tr w:rsidR="00D47E30" w:rsidRPr="00D47E30" w14:paraId="44C93404" w14:textId="77777777" w:rsidTr="003F0F1A">
        <w:tc>
          <w:tcPr>
            <w:tcW w:w="828" w:type="dxa"/>
          </w:tcPr>
          <w:p w14:paraId="207B52DD"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3626A6B4"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03D606A2"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2.1.4              Trajnostna raba vode na vodotokih skupnega interesa</w:t>
            </w:r>
          </w:p>
        </w:tc>
      </w:tr>
      <w:tr w:rsidR="00D47E30" w:rsidRPr="00D47E30" w14:paraId="564E24B5" w14:textId="77777777" w:rsidTr="003F0F1A">
        <w:tc>
          <w:tcPr>
            <w:tcW w:w="828" w:type="dxa"/>
          </w:tcPr>
          <w:p w14:paraId="75DD5C0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81FC1C5"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2.2</w:t>
            </w:r>
          </w:p>
        </w:tc>
        <w:tc>
          <w:tcPr>
            <w:tcW w:w="7632" w:type="dxa"/>
            <w:gridSpan w:val="4"/>
          </w:tcPr>
          <w:p w14:paraId="055984F3"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bCs/>
                <w:kern w:val="32"/>
                <w:sz w:val="20"/>
                <w:szCs w:val="20"/>
              </w:rPr>
              <w:t>Urejanje voda, ukrepi in programi</w:t>
            </w:r>
            <w:r w:rsidRPr="00D47E30">
              <w:rPr>
                <w:rFonts w:ascii="Arial" w:hAnsi="Arial" w:cs="Arial"/>
                <w:b/>
                <w:sz w:val="20"/>
                <w:szCs w:val="20"/>
              </w:rPr>
              <w:t xml:space="preserve"> </w:t>
            </w:r>
          </w:p>
        </w:tc>
      </w:tr>
      <w:tr w:rsidR="00D47E30" w:rsidRPr="00D47E30" w14:paraId="3CCA4C9F" w14:textId="77777777" w:rsidTr="003F0F1A">
        <w:tc>
          <w:tcPr>
            <w:tcW w:w="828" w:type="dxa"/>
          </w:tcPr>
          <w:p w14:paraId="0EE32A1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3BD1A0BF"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74109FAB"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2.2.1              Urejanje voda </w:t>
            </w:r>
          </w:p>
        </w:tc>
      </w:tr>
      <w:tr w:rsidR="00D47E30" w:rsidRPr="00D47E30" w14:paraId="2A0BAC32" w14:textId="77777777" w:rsidTr="003F0F1A">
        <w:tc>
          <w:tcPr>
            <w:tcW w:w="828" w:type="dxa"/>
          </w:tcPr>
          <w:p w14:paraId="37EA4003"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30A67B2C"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DD016C8"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3306E1A8"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2.2.1.1     </w:t>
            </w:r>
            <w:proofErr w:type="spellStart"/>
            <w:r w:rsidRPr="00D47E30">
              <w:rPr>
                <w:rFonts w:ascii="Arial" w:hAnsi="Arial" w:cs="Arial"/>
                <w:sz w:val="20"/>
                <w:szCs w:val="20"/>
              </w:rPr>
              <w:t>Ledava</w:t>
            </w:r>
            <w:proofErr w:type="spellEnd"/>
            <w:r w:rsidRPr="00D47E30">
              <w:rPr>
                <w:rFonts w:ascii="Arial" w:hAnsi="Arial" w:cs="Arial"/>
                <w:sz w:val="20"/>
                <w:szCs w:val="20"/>
              </w:rPr>
              <w:t xml:space="preserve"> na odseku skupnega interesa – Vzdrževalna dela </w:t>
            </w:r>
          </w:p>
        </w:tc>
      </w:tr>
      <w:tr w:rsidR="00D47E30" w:rsidRPr="00D47E30" w14:paraId="506F7805" w14:textId="77777777" w:rsidTr="003F0F1A">
        <w:tc>
          <w:tcPr>
            <w:tcW w:w="828" w:type="dxa"/>
          </w:tcPr>
          <w:p w14:paraId="1CD9BC8E"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68234483"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2C0846E2"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54941827"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2.2.1.2     Velika Krka na odseku skupnega interesa – Vzdrževalna dela </w:t>
            </w:r>
          </w:p>
        </w:tc>
      </w:tr>
      <w:tr w:rsidR="00D47E30" w:rsidRPr="00D47E30" w14:paraId="186C503C" w14:textId="77777777" w:rsidTr="003F0F1A">
        <w:tc>
          <w:tcPr>
            <w:tcW w:w="828" w:type="dxa"/>
          </w:tcPr>
          <w:p w14:paraId="5F5C2836"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6D7F9BFF"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5390738E" w14:textId="77777777" w:rsidR="00D47E30" w:rsidRPr="00D47E30" w:rsidRDefault="00D47E30" w:rsidP="001322B1">
            <w:pPr>
              <w:spacing w:after="0" w:line="276" w:lineRule="auto"/>
              <w:ind w:right="141"/>
              <w:jc w:val="both"/>
              <w:rPr>
                <w:rFonts w:ascii="Arial" w:hAnsi="Arial" w:cs="Arial"/>
                <w:sz w:val="20"/>
                <w:szCs w:val="20"/>
              </w:rPr>
            </w:pPr>
          </w:p>
        </w:tc>
        <w:tc>
          <w:tcPr>
            <w:tcW w:w="7272" w:type="dxa"/>
            <w:gridSpan w:val="2"/>
          </w:tcPr>
          <w:p w14:paraId="67ADFA68"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2.2.1.3     </w:t>
            </w:r>
            <w:proofErr w:type="spellStart"/>
            <w:r w:rsidRPr="00D47E30">
              <w:rPr>
                <w:rFonts w:ascii="Arial" w:hAnsi="Arial" w:cs="Arial"/>
                <w:sz w:val="20"/>
                <w:szCs w:val="20"/>
              </w:rPr>
              <w:t>Kobiljski</w:t>
            </w:r>
            <w:proofErr w:type="spellEnd"/>
            <w:r w:rsidRPr="00D47E30">
              <w:rPr>
                <w:rFonts w:ascii="Arial" w:hAnsi="Arial" w:cs="Arial"/>
                <w:sz w:val="20"/>
                <w:szCs w:val="20"/>
              </w:rPr>
              <w:t xml:space="preserve"> potok s pritoki - Vzdrževalna dela </w:t>
            </w:r>
          </w:p>
        </w:tc>
      </w:tr>
      <w:tr w:rsidR="00D47E30" w:rsidRPr="00D47E30" w14:paraId="7E6948A6" w14:textId="77777777" w:rsidTr="003F0F1A">
        <w:tc>
          <w:tcPr>
            <w:tcW w:w="828" w:type="dxa"/>
          </w:tcPr>
          <w:p w14:paraId="0E4EC938"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F8A1E64"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0BCD33E"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1700E78A" w14:textId="77777777" w:rsidR="00D47E30" w:rsidRPr="00D47E30" w:rsidRDefault="00D47E30" w:rsidP="001322B1">
            <w:pPr>
              <w:spacing w:after="0" w:line="276" w:lineRule="auto"/>
              <w:ind w:right="141"/>
              <w:jc w:val="both"/>
              <w:rPr>
                <w:rFonts w:ascii="Arial" w:hAnsi="Arial" w:cs="Arial"/>
                <w:sz w:val="20"/>
                <w:szCs w:val="20"/>
              </w:rPr>
            </w:pPr>
          </w:p>
        </w:tc>
        <w:tc>
          <w:tcPr>
            <w:tcW w:w="6732" w:type="dxa"/>
          </w:tcPr>
          <w:p w14:paraId="18BF4FE8"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2.2.1.3.1 Mostje – </w:t>
            </w:r>
            <w:proofErr w:type="spellStart"/>
            <w:r w:rsidRPr="00D47E30">
              <w:rPr>
                <w:rFonts w:ascii="Arial" w:hAnsi="Arial" w:cs="Arial"/>
                <w:sz w:val="20"/>
                <w:szCs w:val="20"/>
              </w:rPr>
              <w:t>Rédics</w:t>
            </w:r>
            <w:proofErr w:type="spellEnd"/>
          </w:p>
        </w:tc>
      </w:tr>
      <w:tr w:rsidR="00D47E30" w:rsidRPr="00D47E30" w14:paraId="219B0A10" w14:textId="77777777" w:rsidTr="003F0F1A">
        <w:tc>
          <w:tcPr>
            <w:tcW w:w="828" w:type="dxa"/>
          </w:tcPr>
          <w:p w14:paraId="2815128D"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B7563A5"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17C8229"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509A5B33" w14:textId="77777777" w:rsidR="00D47E30" w:rsidRPr="00D47E30" w:rsidRDefault="00D47E30" w:rsidP="001322B1">
            <w:pPr>
              <w:spacing w:after="0" w:line="276" w:lineRule="auto"/>
              <w:ind w:right="141"/>
              <w:jc w:val="both"/>
              <w:rPr>
                <w:rFonts w:ascii="Arial" w:hAnsi="Arial" w:cs="Arial"/>
                <w:sz w:val="20"/>
                <w:szCs w:val="20"/>
              </w:rPr>
            </w:pPr>
          </w:p>
        </w:tc>
        <w:tc>
          <w:tcPr>
            <w:tcW w:w="6732" w:type="dxa"/>
          </w:tcPr>
          <w:p w14:paraId="4CA99A8E"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2.2.1.3.2 Kobilje – </w:t>
            </w:r>
            <w:proofErr w:type="spellStart"/>
            <w:r w:rsidRPr="00D47E30">
              <w:rPr>
                <w:rFonts w:ascii="Arial" w:hAnsi="Arial" w:cs="Arial"/>
                <w:sz w:val="20"/>
                <w:szCs w:val="20"/>
              </w:rPr>
              <w:t>Szentgyörgyvölgy</w:t>
            </w:r>
            <w:proofErr w:type="spellEnd"/>
          </w:p>
        </w:tc>
      </w:tr>
      <w:tr w:rsidR="00D47E30" w:rsidRPr="00D47E30" w14:paraId="3C861479" w14:textId="77777777" w:rsidTr="003F0F1A">
        <w:tc>
          <w:tcPr>
            <w:tcW w:w="828" w:type="dxa"/>
          </w:tcPr>
          <w:p w14:paraId="53DDBE6F"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CDF921F"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27F59B63"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1456DCA4" w14:textId="77777777" w:rsidR="00D47E30" w:rsidRPr="00D47E30" w:rsidRDefault="00D47E30" w:rsidP="001322B1">
            <w:pPr>
              <w:spacing w:after="0" w:line="276" w:lineRule="auto"/>
              <w:ind w:right="141"/>
              <w:jc w:val="both"/>
              <w:rPr>
                <w:rFonts w:ascii="Arial" w:hAnsi="Arial" w:cs="Arial"/>
                <w:sz w:val="20"/>
                <w:szCs w:val="20"/>
              </w:rPr>
            </w:pPr>
          </w:p>
        </w:tc>
        <w:tc>
          <w:tcPr>
            <w:tcW w:w="6732" w:type="dxa"/>
          </w:tcPr>
          <w:p w14:paraId="635B317B"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2.2.1.3.3 Mejni potok in Mejni jarek</w:t>
            </w:r>
          </w:p>
        </w:tc>
      </w:tr>
      <w:tr w:rsidR="00D47E30" w:rsidRPr="00D47E30" w14:paraId="33763A43" w14:textId="77777777" w:rsidTr="003F0F1A">
        <w:tc>
          <w:tcPr>
            <w:tcW w:w="828" w:type="dxa"/>
          </w:tcPr>
          <w:p w14:paraId="7ECC4929"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7E1F969D"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1CE1F475"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236BE3E1" w14:textId="77777777" w:rsidR="00D47E30" w:rsidRPr="00D47E30" w:rsidRDefault="00D47E30" w:rsidP="001322B1">
            <w:pPr>
              <w:spacing w:after="0" w:line="276" w:lineRule="auto"/>
              <w:ind w:right="141"/>
              <w:jc w:val="both"/>
              <w:rPr>
                <w:rFonts w:ascii="Arial" w:hAnsi="Arial" w:cs="Arial"/>
                <w:sz w:val="20"/>
                <w:szCs w:val="20"/>
              </w:rPr>
            </w:pPr>
          </w:p>
        </w:tc>
        <w:tc>
          <w:tcPr>
            <w:tcW w:w="6732" w:type="dxa"/>
          </w:tcPr>
          <w:p w14:paraId="7D11EB21"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 xml:space="preserve">2.2.1.3.4 Zadrževalnik visokih voda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w:t>
            </w:r>
          </w:p>
        </w:tc>
      </w:tr>
      <w:tr w:rsidR="00D47E30" w:rsidRPr="00D47E30" w14:paraId="0237F985" w14:textId="77777777" w:rsidTr="003F0F1A">
        <w:tc>
          <w:tcPr>
            <w:tcW w:w="828" w:type="dxa"/>
          </w:tcPr>
          <w:p w14:paraId="59A5FE1F"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5012C6AC"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B5CA566"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2C422FFE" w14:textId="77777777" w:rsidR="00D47E30" w:rsidRPr="00D47E30" w:rsidRDefault="00D47E30" w:rsidP="001322B1">
            <w:pPr>
              <w:spacing w:after="0" w:line="276" w:lineRule="auto"/>
              <w:ind w:left="792" w:right="141" w:hanging="792"/>
              <w:jc w:val="both"/>
              <w:rPr>
                <w:rFonts w:ascii="Arial" w:hAnsi="Arial" w:cs="Arial"/>
                <w:sz w:val="20"/>
                <w:szCs w:val="20"/>
              </w:rPr>
            </w:pPr>
            <w:r w:rsidRPr="00D47E30">
              <w:rPr>
                <w:rFonts w:ascii="Arial" w:hAnsi="Arial" w:cs="Arial"/>
                <w:sz w:val="20"/>
                <w:szCs w:val="20"/>
              </w:rPr>
              <w:t xml:space="preserve">2.2.1.4    Vzdrževalna dela na ostalih potokih in jarkih skupnega interesa   </w:t>
            </w:r>
          </w:p>
        </w:tc>
      </w:tr>
      <w:tr w:rsidR="00D47E30" w:rsidRPr="00D47E30" w14:paraId="5DA936A7" w14:textId="77777777" w:rsidTr="003F0F1A">
        <w:tc>
          <w:tcPr>
            <w:tcW w:w="828" w:type="dxa"/>
          </w:tcPr>
          <w:p w14:paraId="386C196A"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2617D6E5"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B9BE26F"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264AB4F6" w14:textId="77777777" w:rsidR="00D47E30" w:rsidRPr="00D47E30" w:rsidRDefault="00D47E30" w:rsidP="001322B1">
            <w:pPr>
              <w:spacing w:after="0" w:line="276" w:lineRule="auto"/>
              <w:ind w:right="141"/>
              <w:jc w:val="both"/>
              <w:rPr>
                <w:rFonts w:ascii="Arial" w:hAnsi="Arial" w:cs="Arial"/>
                <w:b/>
                <w:sz w:val="20"/>
                <w:szCs w:val="20"/>
              </w:rPr>
            </w:pPr>
          </w:p>
        </w:tc>
        <w:tc>
          <w:tcPr>
            <w:tcW w:w="6732" w:type="dxa"/>
          </w:tcPr>
          <w:p w14:paraId="1B0D05EE" w14:textId="77777777" w:rsidR="00D47E30" w:rsidRPr="00D47E30" w:rsidRDefault="00D47E30" w:rsidP="001322B1">
            <w:pPr>
              <w:spacing w:after="0" w:line="276" w:lineRule="auto"/>
              <w:ind w:left="1035" w:right="141" w:hanging="1035"/>
              <w:jc w:val="both"/>
              <w:rPr>
                <w:rFonts w:ascii="Arial" w:hAnsi="Arial" w:cs="Arial"/>
                <w:sz w:val="20"/>
                <w:szCs w:val="20"/>
              </w:rPr>
            </w:pPr>
            <w:r w:rsidRPr="00D47E30">
              <w:rPr>
                <w:rFonts w:ascii="Arial" w:hAnsi="Arial" w:cs="Arial"/>
                <w:sz w:val="20"/>
                <w:szCs w:val="20"/>
              </w:rPr>
              <w:t>2.2.1.4.1 Mala Krka v Domanjševcih-</w:t>
            </w:r>
            <w:proofErr w:type="spellStart"/>
            <w:r w:rsidRPr="00D47E30">
              <w:rPr>
                <w:rFonts w:ascii="Arial" w:hAnsi="Arial" w:cs="Arial"/>
                <w:sz w:val="20"/>
                <w:szCs w:val="20"/>
              </w:rPr>
              <w:t>Kercaszomoru</w:t>
            </w:r>
            <w:proofErr w:type="spellEnd"/>
            <w:r w:rsidRPr="00D47E30">
              <w:rPr>
                <w:rFonts w:ascii="Arial" w:hAnsi="Arial" w:cs="Arial"/>
                <w:sz w:val="20"/>
                <w:szCs w:val="20"/>
              </w:rPr>
              <w:t xml:space="preserve"> </w:t>
            </w:r>
          </w:p>
        </w:tc>
      </w:tr>
      <w:tr w:rsidR="00D47E30" w:rsidRPr="00D47E30" w14:paraId="6F84ED97" w14:textId="77777777" w:rsidTr="003F0F1A">
        <w:tc>
          <w:tcPr>
            <w:tcW w:w="828" w:type="dxa"/>
          </w:tcPr>
          <w:p w14:paraId="3FA2918A"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5AB6320C"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1AAAEB2D"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2A0CD7A5" w14:textId="77777777" w:rsidR="00D47E30" w:rsidRPr="00D47E30" w:rsidRDefault="00D47E30" w:rsidP="001322B1">
            <w:pPr>
              <w:spacing w:after="0" w:line="276" w:lineRule="auto"/>
              <w:ind w:right="141"/>
              <w:jc w:val="both"/>
              <w:rPr>
                <w:rFonts w:ascii="Arial" w:hAnsi="Arial" w:cs="Arial"/>
                <w:b/>
                <w:sz w:val="20"/>
                <w:szCs w:val="20"/>
              </w:rPr>
            </w:pPr>
          </w:p>
        </w:tc>
        <w:tc>
          <w:tcPr>
            <w:tcW w:w="6732" w:type="dxa"/>
          </w:tcPr>
          <w:p w14:paraId="49B9948E" w14:textId="77777777" w:rsidR="00D47E30" w:rsidRPr="00D47E30" w:rsidRDefault="00D47E30" w:rsidP="001322B1">
            <w:pPr>
              <w:spacing w:after="0" w:line="276" w:lineRule="auto"/>
              <w:ind w:left="1512" w:right="141" w:hanging="1512"/>
              <w:jc w:val="both"/>
              <w:rPr>
                <w:rFonts w:ascii="Arial" w:hAnsi="Arial" w:cs="Arial"/>
                <w:sz w:val="20"/>
                <w:szCs w:val="20"/>
              </w:rPr>
            </w:pPr>
            <w:r w:rsidRPr="00D47E30">
              <w:rPr>
                <w:rFonts w:ascii="Arial" w:hAnsi="Arial" w:cs="Arial"/>
                <w:sz w:val="20"/>
                <w:szCs w:val="20"/>
              </w:rPr>
              <w:t xml:space="preserve">2.2.1.4.2 Mejni jarek v območju mednarodnega  mejnega prehoda Dolga vas – </w:t>
            </w:r>
            <w:proofErr w:type="spellStart"/>
            <w:r w:rsidRPr="00D47E30">
              <w:rPr>
                <w:rFonts w:ascii="Arial" w:hAnsi="Arial" w:cs="Arial"/>
                <w:sz w:val="20"/>
                <w:szCs w:val="20"/>
              </w:rPr>
              <w:t>Rédics</w:t>
            </w:r>
            <w:proofErr w:type="spellEnd"/>
            <w:r w:rsidRPr="00D47E30">
              <w:rPr>
                <w:rFonts w:ascii="Arial" w:hAnsi="Arial" w:cs="Arial"/>
                <w:sz w:val="20"/>
                <w:szCs w:val="20"/>
              </w:rPr>
              <w:t xml:space="preserve"> </w:t>
            </w:r>
          </w:p>
        </w:tc>
      </w:tr>
      <w:tr w:rsidR="00D47E30" w:rsidRPr="00D47E30" w14:paraId="065087F8" w14:textId="77777777" w:rsidTr="003F0F1A">
        <w:tc>
          <w:tcPr>
            <w:tcW w:w="828" w:type="dxa"/>
          </w:tcPr>
          <w:p w14:paraId="599BAA2C"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3DC3E9D"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35AE4B3" w14:textId="77777777" w:rsidR="00D47E30" w:rsidRPr="00D47E30" w:rsidRDefault="00D47E30" w:rsidP="001322B1">
            <w:pPr>
              <w:spacing w:after="0" w:line="276" w:lineRule="auto"/>
              <w:ind w:right="141"/>
              <w:jc w:val="both"/>
              <w:rPr>
                <w:rFonts w:ascii="Arial" w:hAnsi="Arial" w:cs="Arial"/>
                <w:b/>
                <w:sz w:val="20"/>
                <w:szCs w:val="20"/>
              </w:rPr>
            </w:pPr>
          </w:p>
        </w:tc>
        <w:tc>
          <w:tcPr>
            <w:tcW w:w="540" w:type="dxa"/>
          </w:tcPr>
          <w:p w14:paraId="010494CD" w14:textId="77777777" w:rsidR="00D47E30" w:rsidRPr="00D47E30" w:rsidRDefault="00D47E30" w:rsidP="001322B1">
            <w:pPr>
              <w:spacing w:after="0" w:line="276" w:lineRule="auto"/>
              <w:ind w:right="141"/>
              <w:jc w:val="both"/>
              <w:rPr>
                <w:rFonts w:ascii="Arial" w:hAnsi="Arial" w:cs="Arial"/>
                <w:b/>
                <w:sz w:val="20"/>
                <w:szCs w:val="20"/>
              </w:rPr>
            </w:pPr>
          </w:p>
        </w:tc>
        <w:tc>
          <w:tcPr>
            <w:tcW w:w="6732" w:type="dxa"/>
          </w:tcPr>
          <w:p w14:paraId="27CD33FF" w14:textId="77777777" w:rsidR="00D47E30" w:rsidRPr="00D47E30" w:rsidRDefault="00D47E30" w:rsidP="001322B1">
            <w:pPr>
              <w:tabs>
                <w:tab w:val="left" w:pos="852"/>
              </w:tabs>
              <w:spacing w:after="0" w:line="276" w:lineRule="auto"/>
              <w:ind w:left="1126" w:right="141" w:hanging="1126"/>
              <w:jc w:val="both"/>
              <w:rPr>
                <w:rFonts w:ascii="Arial" w:hAnsi="Arial" w:cs="Arial"/>
                <w:sz w:val="20"/>
                <w:szCs w:val="20"/>
              </w:rPr>
            </w:pPr>
            <w:r w:rsidRPr="00D47E30">
              <w:rPr>
                <w:rFonts w:ascii="Arial" w:hAnsi="Arial" w:cs="Arial"/>
                <w:sz w:val="20"/>
                <w:szCs w:val="20"/>
              </w:rPr>
              <w:t xml:space="preserve">2.2.1.4.3 Stara </w:t>
            </w:r>
            <w:proofErr w:type="spellStart"/>
            <w:r w:rsidRPr="00D47E30">
              <w:rPr>
                <w:rFonts w:ascii="Arial" w:hAnsi="Arial" w:cs="Arial"/>
                <w:sz w:val="20"/>
                <w:szCs w:val="20"/>
              </w:rPr>
              <w:t>Ledava</w:t>
            </w:r>
            <w:proofErr w:type="spellEnd"/>
            <w:r w:rsidRPr="00D47E30">
              <w:rPr>
                <w:rFonts w:ascii="Arial" w:hAnsi="Arial" w:cs="Arial"/>
                <w:sz w:val="20"/>
                <w:szCs w:val="20"/>
              </w:rPr>
              <w:t xml:space="preserve"> in mejni jarek Pince (v območju Pince – </w:t>
            </w:r>
            <w:proofErr w:type="spellStart"/>
            <w:r w:rsidRPr="00D47E30">
              <w:rPr>
                <w:rFonts w:ascii="Arial" w:hAnsi="Arial" w:cs="Arial"/>
                <w:sz w:val="20"/>
                <w:szCs w:val="20"/>
              </w:rPr>
              <w:t>Tornyiszentmiklós</w:t>
            </w:r>
            <w:proofErr w:type="spellEnd"/>
            <w:r w:rsidRPr="00D47E30">
              <w:rPr>
                <w:rFonts w:ascii="Arial" w:hAnsi="Arial" w:cs="Arial"/>
                <w:sz w:val="20"/>
                <w:szCs w:val="20"/>
              </w:rPr>
              <w:t xml:space="preserve">) </w:t>
            </w:r>
          </w:p>
        </w:tc>
      </w:tr>
      <w:tr w:rsidR="00D47E30" w:rsidRPr="00D47E30" w14:paraId="0BBF9D97" w14:textId="77777777" w:rsidTr="003F0F1A">
        <w:trPr>
          <w:trHeight w:val="84"/>
        </w:trPr>
        <w:tc>
          <w:tcPr>
            <w:tcW w:w="828" w:type="dxa"/>
          </w:tcPr>
          <w:p w14:paraId="5A7CFB43"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7C02A73"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72292530"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2F84911C"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2.2.1.5  Pripravljalna dela za projektiranje</w:t>
            </w:r>
          </w:p>
        </w:tc>
      </w:tr>
      <w:tr w:rsidR="00D47E30" w:rsidRPr="00D47E30" w14:paraId="0A8EC907" w14:textId="77777777" w:rsidTr="003F0F1A">
        <w:trPr>
          <w:trHeight w:val="84"/>
        </w:trPr>
        <w:tc>
          <w:tcPr>
            <w:tcW w:w="828" w:type="dxa"/>
          </w:tcPr>
          <w:p w14:paraId="510D6918"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A85A340"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43D48672"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4B36A618"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2.2.1.6. Program dela Delovne skupine za upravljanje voda za leti 2025 in 2026</w:t>
            </w:r>
          </w:p>
        </w:tc>
      </w:tr>
      <w:tr w:rsidR="00D47E30" w:rsidRPr="00D47E30" w14:paraId="5CB81D24" w14:textId="77777777" w:rsidTr="003F0F1A">
        <w:tc>
          <w:tcPr>
            <w:tcW w:w="828" w:type="dxa"/>
          </w:tcPr>
          <w:p w14:paraId="22C2D10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26D90DCC"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6FF31D4E"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2.2.2 Ukrepi in programi </w:t>
            </w:r>
          </w:p>
        </w:tc>
      </w:tr>
      <w:tr w:rsidR="00D47E30" w:rsidRPr="00D47E30" w14:paraId="74919B39" w14:textId="77777777" w:rsidTr="003F0F1A">
        <w:tc>
          <w:tcPr>
            <w:tcW w:w="828" w:type="dxa"/>
          </w:tcPr>
          <w:p w14:paraId="1E42C5D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2ABD7AB"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157D6E73"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0802F585" w14:textId="77777777" w:rsidR="00D47E30" w:rsidRPr="00D47E30" w:rsidRDefault="00D47E30" w:rsidP="001322B1">
            <w:pPr>
              <w:spacing w:after="0" w:line="276" w:lineRule="auto"/>
              <w:ind w:left="674" w:right="141" w:hanging="674"/>
              <w:jc w:val="both"/>
              <w:rPr>
                <w:rFonts w:ascii="Arial" w:hAnsi="Arial" w:cs="Arial"/>
                <w:b/>
                <w:sz w:val="20"/>
                <w:szCs w:val="20"/>
              </w:rPr>
            </w:pPr>
            <w:r w:rsidRPr="00D47E30">
              <w:rPr>
                <w:rFonts w:ascii="Arial" w:hAnsi="Arial" w:cs="Arial"/>
                <w:sz w:val="20"/>
                <w:szCs w:val="20"/>
              </w:rPr>
              <w:t xml:space="preserve">2.2.2.1 Vzdrževalna dela na vodotokih na območju Krajinskega parka Goričko </w:t>
            </w:r>
            <w:proofErr w:type="spellStart"/>
            <w:r w:rsidRPr="00D47E30">
              <w:rPr>
                <w:rFonts w:ascii="Arial" w:hAnsi="Arial" w:cs="Arial"/>
                <w:sz w:val="20"/>
                <w:szCs w:val="20"/>
              </w:rPr>
              <w:t>Raab-Õrség</w:t>
            </w:r>
            <w:proofErr w:type="spellEnd"/>
          </w:p>
        </w:tc>
      </w:tr>
      <w:tr w:rsidR="00D47E30" w:rsidRPr="00D47E30" w14:paraId="5FAAA997" w14:textId="77777777" w:rsidTr="003F0F1A">
        <w:tc>
          <w:tcPr>
            <w:tcW w:w="828" w:type="dxa"/>
          </w:tcPr>
          <w:p w14:paraId="10FCC47C"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C0A7661"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486C3CF5"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7B6B550C" w14:textId="77777777" w:rsidR="00D47E30" w:rsidRPr="00D47E30" w:rsidRDefault="00D47E30" w:rsidP="001322B1">
            <w:pPr>
              <w:spacing w:after="0" w:line="276" w:lineRule="auto"/>
              <w:ind w:left="674" w:right="141" w:hanging="674"/>
              <w:jc w:val="both"/>
              <w:rPr>
                <w:rFonts w:ascii="Arial" w:hAnsi="Arial" w:cs="Arial"/>
                <w:sz w:val="20"/>
                <w:szCs w:val="20"/>
              </w:rPr>
            </w:pPr>
            <w:r w:rsidRPr="00D47E30">
              <w:rPr>
                <w:rFonts w:ascii="Arial" w:hAnsi="Arial" w:cs="Arial"/>
                <w:sz w:val="20"/>
                <w:szCs w:val="20"/>
              </w:rPr>
              <w:t xml:space="preserve">2.2.2.2 Strokovno sodelovanje služb, ki so zadolžene za ukrepanje ob visokih vodah </w:t>
            </w:r>
          </w:p>
        </w:tc>
      </w:tr>
      <w:tr w:rsidR="00D47E30" w:rsidRPr="00D47E30" w14:paraId="5DCD17E2" w14:textId="77777777" w:rsidTr="003F0F1A">
        <w:tc>
          <w:tcPr>
            <w:tcW w:w="828" w:type="dxa"/>
          </w:tcPr>
          <w:p w14:paraId="3138E5FD"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6EDBF678"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078B5873"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07CCFB30"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2.2.2.3 Sodelovanje na vplivnem območju Mure </w:t>
            </w:r>
          </w:p>
        </w:tc>
      </w:tr>
      <w:tr w:rsidR="00D47E30" w:rsidRPr="00D47E30" w14:paraId="79514D4A" w14:textId="77777777" w:rsidTr="003F0F1A">
        <w:tc>
          <w:tcPr>
            <w:tcW w:w="828" w:type="dxa"/>
          </w:tcPr>
          <w:p w14:paraId="201A22D4"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25B6DDCF"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736809EA"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sz w:val="20"/>
                <w:szCs w:val="20"/>
              </w:rPr>
              <w:t xml:space="preserve">2.2.3 Doseganje dobrega stanja voda </w:t>
            </w:r>
          </w:p>
        </w:tc>
      </w:tr>
      <w:tr w:rsidR="00D47E30" w:rsidRPr="00D47E30" w14:paraId="136FA356" w14:textId="77777777" w:rsidTr="003F0F1A">
        <w:tc>
          <w:tcPr>
            <w:tcW w:w="828" w:type="dxa"/>
          </w:tcPr>
          <w:p w14:paraId="3F0F16AE"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40E5E25C" w14:textId="77777777" w:rsidR="00D47E30" w:rsidRPr="00D47E30" w:rsidRDefault="00D47E30" w:rsidP="001322B1">
            <w:pPr>
              <w:spacing w:after="0" w:line="276" w:lineRule="auto"/>
              <w:ind w:right="141"/>
              <w:jc w:val="both"/>
              <w:rPr>
                <w:rFonts w:ascii="Arial" w:hAnsi="Arial" w:cs="Arial"/>
                <w:b/>
                <w:sz w:val="20"/>
                <w:szCs w:val="20"/>
              </w:rPr>
            </w:pPr>
          </w:p>
        </w:tc>
        <w:tc>
          <w:tcPr>
            <w:tcW w:w="360" w:type="dxa"/>
            <w:gridSpan w:val="2"/>
          </w:tcPr>
          <w:p w14:paraId="4E29B265" w14:textId="77777777" w:rsidR="00D47E30" w:rsidRPr="00D47E30" w:rsidRDefault="00D47E30" w:rsidP="001322B1">
            <w:pPr>
              <w:spacing w:after="0" w:line="276" w:lineRule="auto"/>
              <w:ind w:right="141"/>
              <w:jc w:val="both"/>
              <w:rPr>
                <w:rFonts w:ascii="Arial" w:hAnsi="Arial" w:cs="Arial"/>
                <w:b/>
                <w:sz w:val="20"/>
                <w:szCs w:val="20"/>
              </w:rPr>
            </w:pPr>
          </w:p>
        </w:tc>
        <w:tc>
          <w:tcPr>
            <w:tcW w:w="7272" w:type="dxa"/>
            <w:gridSpan w:val="2"/>
          </w:tcPr>
          <w:p w14:paraId="30ADB7C4" w14:textId="77777777" w:rsidR="00D47E30" w:rsidRPr="00D47E30" w:rsidRDefault="00D47E30" w:rsidP="001322B1">
            <w:pPr>
              <w:spacing w:after="0" w:line="276" w:lineRule="auto"/>
              <w:ind w:left="674" w:right="141" w:hanging="674"/>
              <w:jc w:val="both"/>
              <w:rPr>
                <w:rFonts w:ascii="Arial" w:hAnsi="Arial" w:cs="Arial"/>
                <w:sz w:val="20"/>
                <w:szCs w:val="20"/>
              </w:rPr>
            </w:pPr>
            <w:r w:rsidRPr="00D47E30">
              <w:rPr>
                <w:rFonts w:ascii="Arial" w:hAnsi="Arial" w:cs="Arial"/>
                <w:sz w:val="20"/>
                <w:szCs w:val="20"/>
              </w:rPr>
              <w:t xml:space="preserve">2.2.3.1 Medsebojno obveščanje o morebitnih izrednih onesnaženjih voda in ukrepih na območju </w:t>
            </w:r>
            <w:proofErr w:type="spellStart"/>
            <w:r w:rsidRPr="00D47E30">
              <w:rPr>
                <w:rFonts w:ascii="Arial" w:hAnsi="Arial" w:cs="Arial"/>
                <w:sz w:val="20"/>
                <w:szCs w:val="20"/>
              </w:rPr>
              <w:t>hidrosistema</w:t>
            </w:r>
            <w:proofErr w:type="spellEnd"/>
            <w:r w:rsidRPr="00D47E30">
              <w:rPr>
                <w:rFonts w:ascii="Arial" w:hAnsi="Arial" w:cs="Arial"/>
                <w:sz w:val="20"/>
                <w:szCs w:val="20"/>
              </w:rPr>
              <w:t xml:space="preserve"> Krka </w:t>
            </w:r>
            <w:proofErr w:type="spellStart"/>
            <w:r w:rsidRPr="00D47E30">
              <w:rPr>
                <w:rFonts w:ascii="Arial" w:hAnsi="Arial" w:cs="Arial"/>
                <w:sz w:val="20"/>
                <w:szCs w:val="20"/>
              </w:rPr>
              <w:t>Ledava</w:t>
            </w:r>
            <w:proofErr w:type="spellEnd"/>
            <w:r w:rsidRPr="00D47E30">
              <w:rPr>
                <w:rFonts w:ascii="Arial" w:hAnsi="Arial" w:cs="Arial"/>
                <w:sz w:val="20"/>
                <w:szCs w:val="20"/>
              </w:rPr>
              <w:t xml:space="preserve"> v odseku skupnega interesa </w:t>
            </w:r>
          </w:p>
        </w:tc>
      </w:tr>
      <w:tr w:rsidR="00D47E30" w:rsidRPr="00D47E30" w14:paraId="38BB1D65" w14:textId="77777777" w:rsidTr="003F0F1A">
        <w:tc>
          <w:tcPr>
            <w:tcW w:w="828" w:type="dxa"/>
          </w:tcPr>
          <w:p w14:paraId="3CD9D882"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0C53CAE5"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2.3</w:t>
            </w:r>
          </w:p>
        </w:tc>
        <w:tc>
          <w:tcPr>
            <w:tcW w:w="7632" w:type="dxa"/>
            <w:gridSpan w:val="4"/>
          </w:tcPr>
          <w:p w14:paraId="059B7A9A"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bCs/>
                <w:kern w:val="32"/>
                <w:sz w:val="20"/>
                <w:szCs w:val="20"/>
              </w:rPr>
              <w:t>Izmenjava informacij</w:t>
            </w:r>
            <w:r w:rsidRPr="00D47E30">
              <w:rPr>
                <w:rFonts w:ascii="Arial" w:hAnsi="Arial" w:cs="Arial"/>
                <w:b/>
                <w:sz w:val="20"/>
                <w:szCs w:val="20"/>
              </w:rPr>
              <w:t xml:space="preserve"> </w:t>
            </w:r>
          </w:p>
        </w:tc>
      </w:tr>
      <w:tr w:rsidR="00D47E30" w:rsidRPr="00D47E30" w14:paraId="1B20DA2C" w14:textId="77777777" w:rsidTr="003F0F1A">
        <w:tc>
          <w:tcPr>
            <w:tcW w:w="828" w:type="dxa"/>
          </w:tcPr>
          <w:p w14:paraId="7D636F0C" w14:textId="77777777" w:rsidR="00D47E30" w:rsidRPr="00D47E30" w:rsidRDefault="00D47E30" w:rsidP="001322B1">
            <w:pPr>
              <w:spacing w:after="0" w:line="276" w:lineRule="auto"/>
              <w:ind w:right="141"/>
              <w:jc w:val="both"/>
              <w:rPr>
                <w:rFonts w:ascii="Arial" w:hAnsi="Arial" w:cs="Arial"/>
                <w:b/>
                <w:sz w:val="20"/>
                <w:szCs w:val="20"/>
              </w:rPr>
            </w:pPr>
          </w:p>
        </w:tc>
        <w:tc>
          <w:tcPr>
            <w:tcW w:w="720" w:type="dxa"/>
          </w:tcPr>
          <w:p w14:paraId="6AA82AE0" w14:textId="77777777" w:rsidR="00D47E30" w:rsidRPr="00D47E30" w:rsidRDefault="00D47E30" w:rsidP="001322B1">
            <w:pPr>
              <w:spacing w:after="0" w:line="276" w:lineRule="auto"/>
              <w:ind w:right="141"/>
              <w:jc w:val="both"/>
              <w:rPr>
                <w:rFonts w:ascii="Arial" w:hAnsi="Arial" w:cs="Arial"/>
                <w:b/>
                <w:sz w:val="20"/>
                <w:szCs w:val="20"/>
              </w:rPr>
            </w:pPr>
          </w:p>
        </w:tc>
        <w:tc>
          <w:tcPr>
            <w:tcW w:w="7632" w:type="dxa"/>
            <w:gridSpan w:val="4"/>
          </w:tcPr>
          <w:p w14:paraId="5081B59B" w14:textId="77777777" w:rsidR="00D47E30" w:rsidRPr="00D47E30" w:rsidRDefault="00D47E30" w:rsidP="001322B1">
            <w:pPr>
              <w:spacing w:after="0" w:line="276" w:lineRule="auto"/>
              <w:ind w:left="1152" w:right="141" w:hanging="1152"/>
              <w:jc w:val="both"/>
              <w:rPr>
                <w:rFonts w:ascii="Arial" w:hAnsi="Arial" w:cs="Arial"/>
                <w:sz w:val="20"/>
                <w:szCs w:val="20"/>
              </w:rPr>
            </w:pPr>
            <w:r w:rsidRPr="00D47E30">
              <w:rPr>
                <w:rFonts w:ascii="Arial" w:hAnsi="Arial" w:cs="Arial"/>
                <w:sz w:val="20"/>
                <w:szCs w:val="20"/>
              </w:rPr>
              <w:t xml:space="preserve">2.3.1 Slovensko-madžarsko-avstrijsko-hrvaško sodelovanje na povodju Mure </w:t>
            </w:r>
          </w:p>
        </w:tc>
      </w:tr>
      <w:tr w:rsidR="00D47E30" w:rsidRPr="00D47E30" w14:paraId="57A212ED" w14:textId="77777777" w:rsidTr="003F0F1A">
        <w:tc>
          <w:tcPr>
            <w:tcW w:w="828" w:type="dxa"/>
          </w:tcPr>
          <w:p w14:paraId="565E7BD0"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sz w:val="20"/>
                <w:szCs w:val="20"/>
              </w:rPr>
              <w:t>3.</w:t>
            </w:r>
          </w:p>
        </w:tc>
        <w:tc>
          <w:tcPr>
            <w:tcW w:w="8352" w:type="dxa"/>
            <w:gridSpan w:val="5"/>
          </w:tcPr>
          <w:p w14:paraId="01C0AC63" w14:textId="77777777" w:rsidR="00D47E30" w:rsidRPr="00D47E30" w:rsidRDefault="00D47E30" w:rsidP="001322B1">
            <w:pPr>
              <w:spacing w:after="0" w:line="276" w:lineRule="auto"/>
              <w:ind w:right="141"/>
              <w:jc w:val="both"/>
              <w:rPr>
                <w:rFonts w:ascii="Arial" w:hAnsi="Arial" w:cs="Arial"/>
                <w:b/>
                <w:sz w:val="20"/>
                <w:szCs w:val="20"/>
              </w:rPr>
            </w:pPr>
            <w:r w:rsidRPr="00D47E30">
              <w:rPr>
                <w:rFonts w:ascii="Arial" w:hAnsi="Arial" w:cs="Arial"/>
                <w:b/>
                <w:bCs/>
                <w:kern w:val="32"/>
                <w:sz w:val="20"/>
                <w:szCs w:val="20"/>
              </w:rPr>
              <w:t>Strateške naloge</w:t>
            </w:r>
            <w:r w:rsidRPr="00D47E30">
              <w:rPr>
                <w:rFonts w:ascii="Arial" w:hAnsi="Arial" w:cs="Arial"/>
                <w:b/>
                <w:sz w:val="20"/>
                <w:szCs w:val="20"/>
              </w:rPr>
              <w:t xml:space="preserve"> </w:t>
            </w:r>
          </w:p>
        </w:tc>
      </w:tr>
      <w:tr w:rsidR="00D47E30" w:rsidRPr="00D47E30" w14:paraId="41F3A1CE" w14:textId="77777777" w:rsidTr="003F0F1A">
        <w:tc>
          <w:tcPr>
            <w:tcW w:w="828" w:type="dxa"/>
          </w:tcPr>
          <w:p w14:paraId="7FBCFA71"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0FE0CAEC"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3.1.1</w:t>
            </w:r>
          </w:p>
        </w:tc>
        <w:tc>
          <w:tcPr>
            <w:tcW w:w="7353" w:type="dxa"/>
            <w:gridSpan w:val="3"/>
          </w:tcPr>
          <w:p w14:paraId="3DD57B9A"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Mednarodna Konvencija o varstvu reke Donave</w:t>
            </w:r>
          </w:p>
        </w:tc>
      </w:tr>
      <w:tr w:rsidR="00D47E30" w:rsidRPr="00D47E30" w14:paraId="0E048B86" w14:textId="77777777" w:rsidTr="003F0F1A">
        <w:tc>
          <w:tcPr>
            <w:tcW w:w="828" w:type="dxa"/>
          </w:tcPr>
          <w:p w14:paraId="3A933407"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3C3FC25D"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3.1.2</w:t>
            </w:r>
          </w:p>
        </w:tc>
        <w:tc>
          <w:tcPr>
            <w:tcW w:w="7353" w:type="dxa"/>
            <w:gridSpan w:val="3"/>
          </w:tcPr>
          <w:p w14:paraId="7510511C" w14:textId="77777777" w:rsidR="00D47E30" w:rsidRPr="00D47E30" w:rsidRDefault="00D47E30" w:rsidP="001322B1">
            <w:pPr>
              <w:spacing w:after="0" w:line="276" w:lineRule="auto"/>
              <w:ind w:right="141"/>
              <w:jc w:val="both"/>
              <w:rPr>
                <w:rFonts w:ascii="Arial" w:hAnsi="Arial" w:cs="Arial"/>
                <w:bCs/>
                <w:kern w:val="32"/>
                <w:sz w:val="20"/>
                <w:szCs w:val="20"/>
              </w:rPr>
            </w:pPr>
            <w:r w:rsidRPr="00D47E30">
              <w:rPr>
                <w:rFonts w:ascii="Arial" w:hAnsi="Arial" w:cs="Arial"/>
                <w:bCs/>
                <w:kern w:val="32"/>
                <w:sz w:val="20"/>
                <w:szCs w:val="20"/>
              </w:rPr>
              <w:t>Strategija Evropske unije za Podonavje</w:t>
            </w:r>
          </w:p>
        </w:tc>
      </w:tr>
      <w:tr w:rsidR="00D47E30" w:rsidRPr="00D47E30" w14:paraId="3453BBB2" w14:textId="77777777" w:rsidTr="003F0F1A">
        <w:tc>
          <w:tcPr>
            <w:tcW w:w="828" w:type="dxa"/>
          </w:tcPr>
          <w:p w14:paraId="5F6939F7"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62E1B1F6"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3.1.3</w:t>
            </w:r>
          </w:p>
        </w:tc>
        <w:tc>
          <w:tcPr>
            <w:tcW w:w="7353" w:type="dxa"/>
            <w:gridSpan w:val="3"/>
          </w:tcPr>
          <w:p w14:paraId="07752687" w14:textId="77777777" w:rsidR="00D47E30" w:rsidRPr="00D47E30" w:rsidRDefault="00D47E30" w:rsidP="001322B1">
            <w:pPr>
              <w:spacing w:after="0" w:line="276" w:lineRule="auto"/>
              <w:ind w:right="141"/>
              <w:jc w:val="both"/>
              <w:rPr>
                <w:rFonts w:ascii="Arial" w:hAnsi="Arial" w:cs="Arial"/>
                <w:bCs/>
                <w:kern w:val="32"/>
                <w:sz w:val="20"/>
                <w:szCs w:val="20"/>
              </w:rPr>
            </w:pPr>
            <w:r w:rsidRPr="00D47E30">
              <w:rPr>
                <w:rFonts w:ascii="Arial" w:hAnsi="Arial" w:cs="Arial"/>
                <w:bCs/>
                <w:kern w:val="32"/>
                <w:sz w:val="20"/>
                <w:szCs w:val="20"/>
              </w:rPr>
              <w:t>Vodna konvencija (UNECE)</w:t>
            </w:r>
          </w:p>
        </w:tc>
      </w:tr>
      <w:tr w:rsidR="00D47E30" w:rsidRPr="00D47E30" w14:paraId="0BC17939" w14:textId="77777777" w:rsidTr="003F0F1A">
        <w:tc>
          <w:tcPr>
            <w:tcW w:w="828" w:type="dxa"/>
          </w:tcPr>
          <w:p w14:paraId="0B546D6A"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40F63581"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sz w:val="20"/>
                <w:szCs w:val="20"/>
              </w:rPr>
              <w:t>3.1.4</w:t>
            </w:r>
          </w:p>
        </w:tc>
        <w:tc>
          <w:tcPr>
            <w:tcW w:w="7353" w:type="dxa"/>
            <w:gridSpan w:val="3"/>
          </w:tcPr>
          <w:p w14:paraId="406F5FF8" w14:textId="77777777" w:rsidR="00D47E30" w:rsidRPr="00D47E30" w:rsidRDefault="00D47E30" w:rsidP="001322B1">
            <w:pPr>
              <w:spacing w:after="0" w:line="276" w:lineRule="auto"/>
              <w:ind w:right="141"/>
              <w:jc w:val="both"/>
              <w:rPr>
                <w:rFonts w:ascii="Arial" w:hAnsi="Arial" w:cs="Arial"/>
                <w:bCs/>
                <w:kern w:val="32"/>
                <w:sz w:val="20"/>
                <w:szCs w:val="20"/>
              </w:rPr>
            </w:pPr>
            <w:r w:rsidRPr="00D47E30">
              <w:rPr>
                <w:rFonts w:ascii="Arial" w:hAnsi="Arial" w:cs="Arial"/>
                <w:bCs/>
                <w:kern w:val="32"/>
                <w:sz w:val="20"/>
                <w:szCs w:val="20"/>
              </w:rPr>
              <w:t>Prioritetni projekti skupnega interesa za izvedbo strateških nalog</w:t>
            </w:r>
          </w:p>
        </w:tc>
      </w:tr>
      <w:tr w:rsidR="00D47E30" w:rsidRPr="00D47E30" w14:paraId="1703AC5F" w14:textId="77777777" w:rsidTr="003F0F1A">
        <w:tc>
          <w:tcPr>
            <w:tcW w:w="828" w:type="dxa"/>
          </w:tcPr>
          <w:p w14:paraId="1854482A"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74613F88" w14:textId="77777777" w:rsidR="00D47E30" w:rsidRPr="00D47E30" w:rsidRDefault="00D47E30" w:rsidP="001322B1">
            <w:pPr>
              <w:spacing w:after="0" w:line="276" w:lineRule="auto"/>
              <w:jc w:val="both"/>
              <w:rPr>
                <w:rFonts w:ascii="Arial" w:hAnsi="Arial" w:cs="Arial"/>
                <w:sz w:val="20"/>
                <w:szCs w:val="20"/>
              </w:rPr>
            </w:pPr>
            <w:r w:rsidRPr="00D47E30">
              <w:rPr>
                <w:rFonts w:ascii="Arial" w:hAnsi="Arial" w:cs="Arial"/>
                <w:sz w:val="20"/>
                <w:szCs w:val="20"/>
              </w:rPr>
              <w:t>3.2</w:t>
            </w:r>
          </w:p>
        </w:tc>
        <w:tc>
          <w:tcPr>
            <w:tcW w:w="7353" w:type="dxa"/>
            <w:gridSpan w:val="3"/>
          </w:tcPr>
          <w:p w14:paraId="51CF4129" w14:textId="77777777" w:rsidR="00D47E30" w:rsidRPr="00D47E30" w:rsidRDefault="00D47E30" w:rsidP="001322B1">
            <w:pPr>
              <w:spacing w:after="0" w:line="276" w:lineRule="auto"/>
              <w:ind w:right="141"/>
              <w:jc w:val="both"/>
              <w:rPr>
                <w:rFonts w:ascii="Arial" w:hAnsi="Arial" w:cs="Arial"/>
                <w:bCs/>
                <w:kern w:val="32"/>
                <w:sz w:val="20"/>
                <w:szCs w:val="20"/>
              </w:rPr>
            </w:pPr>
            <w:r w:rsidRPr="00D47E30">
              <w:rPr>
                <w:rFonts w:ascii="Arial" w:hAnsi="Arial" w:cs="Arial"/>
                <w:bCs/>
                <w:kern w:val="32"/>
                <w:sz w:val="20"/>
                <w:szCs w:val="20"/>
              </w:rPr>
              <w:t xml:space="preserve">Sodelovanje za izvajanje EU vodne direktive </w:t>
            </w:r>
            <w:r w:rsidRPr="00D47E30">
              <w:rPr>
                <w:rFonts w:ascii="Arial" w:hAnsi="Arial" w:cs="Arial"/>
                <w:sz w:val="20"/>
                <w:szCs w:val="20"/>
              </w:rPr>
              <w:t>(</w:t>
            </w:r>
            <w:r w:rsidRPr="00D47E30">
              <w:rPr>
                <w:rFonts w:ascii="Arial" w:hAnsi="Arial" w:cs="Arial"/>
                <w:bCs/>
                <w:kern w:val="32"/>
                <w:sz w:val="20"/>
                <w:szCs w:val="20"/>
              </w:rPr>
              <w:t>2000/60/ES</w:t>
            </w:r>
            <w:r w:rsidRPr="00D47E30">
              <w:rPr>
                <w:rFonts w:ascii="Arial" w:hAnsi="Arial" w:cs="Arial"/>
                <w:sz w:val="20"/>
                <w:szCs w:val="20"/>
              </w:rPr>
              <w:t>)</w:t>
            </w:r>
          </w:p>
        </w:tc>
      </w:tr>
      <w:tr w:rsidR="00D47E30" w:rsidRPr="00D47E30" w14:paraId="12E9F21B" w14:textId="77777777" w:rsidTr="003F0F1A">
        <w:tc>
          <w:tcPr>
            <w:tcW w:w="828" w:type="dxa"/>
          </w:tcPr>
          <w:p w14:paraId="02F87043" w14:textId="77777777" w:rsidR="00D47E30" w:rsidRPr="00D47E30" w:rsidRDefault="00D47E30" w:rsidP="001322B1">
            <w:pPr>
              <w:spacing w:after="0" w:line="276" w:lineRule="auto"/>
              <w:ind w:right="141"/>
              <w:jc w:val="both"/>
              <w:rPr>
                <w:rFonts w:ascii="Arial" w:hAnsi="Arial" w:cs="Arial"/>
                <w:b/>
                <w:sz w:val="20"/>
                <w:szCs w:val="20"/>
              </w:rPr>
            </w:pPr>
          </w:p>
        </w:tc>
        <w:tc>
          <w:tcPr>
            <w:tcW w:w="999" w:type="dxa"/>
            <w:gridSpan w:val="2"/>
          </w:tcPr>
          <w:p w14:paraId="0FF77337" w14:textId="77777777" w:rsidR="00D47E30" w:rsidRPr="00D47E30" w:rsidRDefault="00D47E30" w:rsidP="001322B1">
            <w:pPr>
              <w:spacing w:after="0" w:line="276" w:lineRule="auto"/>
              <w:ind w:right="51"/>
              <w:jc w:val="both"/>
              <w:rPr>
                <w:rFonts w:ascii="Arial" w:hAnsi="Arial" w:cs="Arial"/>
                <w:sz w:val="20"/>
                <w:szCs w:val="20"/>
              </w:rPr>
            </w:pPr>
            <w:r w:rsidRPr="00D47E30">
              <w:rPr>
                <w:rFonts w:ascii="Arial" w:hAnsi="Arial" w:cs="Arial"/>
                <w:sz w:val="20"/>
                <w:szCs w:val="20"/>
              </w:rPr>
              <w:t>3.3</w:t>
            </w:r>
          </w:p>
        </w:tc>
        <w:tc>
          <w:tcPr>
            <w:tcW w:w="7353" w:type="dxa"/>
            <w:gridSpan w:val="3"/>
          </w:tcPr>
          <w:p w14:paraId="230BB34A" w14:textId="77777777" w:rsidR="00D47E30" w:rsidRPr="00D47E30" w:rsidRDefault="00D47E30" w:rsidP="001322B1">
            <w:pPr>
              <w:spacing w:after="0" w:line="276" w:lineRule="auto"/>
              <w:ind w:right="141"/>
              <w:jc w:val="both"/>
              <w:rPr>
                <w:rFonts w:ascii="Arial" w:hAnsi="Arial" w:cs="Arial"/>
                <w:sz w:val="20"/>
                <w:szCs w:val="20"/>
              </w:rPr>
            </w:pPr>
            <w:r w:rsidRPr="00D47E30">
              <w:rPr>
                <w:rFonts w:ascii="Arial" w:hAnsi="Arial" w:cs="Arial"/>
                <w:bCs/>
                <w:kern w:val="32"/>
                <w:sz w:val="20"/>
                <w:szCs w:val="20"/>
              </w:rPr>
              <w:t xml:space="preserve">Sodelovanje za izvajanje EU poplavne direktive </w:t>
            </w:r>
            <w:r w:rsidRPr="00D47E30">
              <w:rPr>
                <w:rFonts w:ascii="Arial" w:hAnsi="Arial" w:cs="Arial"/>
                <w:sz w:val="20"/>
                <w:szCs w:val="20"/>
              </w:rPr>
              <w:t>(</w:t>
            </w:r>
            <w:r w:rsidRPr="00D47E30">
              <w:rPr>
                <w:rFonts w:ascii="Arial" w:hAnsi="Arial" w:cs="Arial"/>
                <w:bCs/>
                <w:kern w:val="32"/>
                <w:sz w:val="20"/>
                <w:szCs w:val="20"/>
              </w:rPr>
              <w:t>2007/60/ES</w:t>
            </w:r>
            <w:r w:rsidRPr="00D47E30">
              <w:rPr>
                <w:rFonts w:ascii="Arial" w:hAnsi="Arial" w:cs="Arial"/>
                <w:sz w:val="20"/>
                <w:szCs w:val="20"/>
              </w:rPr>
              <w:t>)</w:t>
            </w:r>
          </w:p>
        </w:tc>
      </w:tr>
      <w:tr w:rsidR="00D47E30" w:rsidRPr="00D47E30" w14:paraId="60671B01" w14:textId="77777777" w:rsidTr="003F0F1A">
        <w:trPr>
          <w:trHeight w:val="74"/>
        </w:trPr>
        <w:tc>
          <w:tcPr>
            <w:tcW w:w="828" w:type="dxa"/>
          </w:tcPr>
          <w:p w14:paraId="33F9AF94" w14:textId="77777777" w:rsidR="00D47E30" w:rsidRPr="00D47E30" w:rsidRDefault="00D47E30" w:rsidP="001322B1">
            <w:pPr>
              <w:spacing w:after="0" w:line="276" w:lineRule="auto"/>
              <w:ind w:left="-180" w:right="141" w:firstLine="180"/>
              <w:jc w:val="both"/>
              <w:rPr>
                <w:rFonts w:ascii="Arial" w:hAnsi="Arial" w:cs="Arial"/>
                <w:b/>
                <w:sz w:val="20"/>
                <w:szCs w:val="20"/>
              </w:rPr>
            </w:pPr>
            <w:r w:rsidRPr="00D47E30">
              <w:rPr>
                <w:rFonts w:ascii="Arial" w:hAnsi="Arial" w:cs="Arial"/>
                <w:b/>
                <w:sz w:val="20"/>
                <w:szCs w:val="20"/>
              </w:rPr>
              <w:t>4.</w:t>
            </w:r>
          </w:p>
        </w:tc>
        <w:tc>
          <w:tcPr>
            <w:tcW w:w="8352" w:type="dxa"/>
            <w:gridSpan w:val="5"/>
          </w:tcPr>
          <w:p w14:paraId="0CD19C55" w14:textId="77777777" w:rsidR="00D47E30" w:rsidRPr="00D47E30" w:rsidRDefault="00D47E30" w:rsidP="001322B1">
            <w:pPr>
              <w:spacing w:after="0" w:line="276" w:lineRule="auto"/>
              <w:ind w:right="141"/>
              <w:jc w:val="both"/>
              <w:rPr>
                <w:rFonts w:ascii="Arial" w:hAnsi="Arial" w:cs="Arial"/>
                <w:b/>
                <w:bCs/>
                <w:kern w:val="32"/>
                <w:sz w:val="20"/>
                <w:szCs w:val="20"/>
              </w:rPr>
            </w:pPr>
            <w:r w:rsidRPr="00D47E30">
              <w:rPr>
                <w:rFonts w:ascii="Arial" w:hAnsi="Arial" w:cs="Arial"/>
                <w:b/>
                <w:bCs/>
                <w:kern w:val="32"/>
                <w:sz w:val="20"/>
                <w:szCs w:val="20"/>
              </w:rPr>
              <w:t>Razno</w:t>
            </w:r>
          </w:p>
        </w:tc>
      </w:tr>
      <w:tr w:rsidR="00D47E30" w:rsidRPr="00D47E30" w14:paraId="2DFB3DCE" w14:textId="77777777" w:rsidTr="003F0F1A">
        <w:trPr>
          <w:trHeight w:val="74"/>
        </w:trPr>
        <w:tc>
          <w:tcPr>
            <w:tcW w:w="828" w:type="dxa"/>
          </w:tcPr>
          <w:p w14:paraId="6E83E30E" w14:textId="77777777" w:rsidR="00D47E30" w:rsidRPr="00D47E30" w:rsidRDefault="00D47E30" w:rsidP="001322B1">
            <w:pPr>
              <w:spacing w:after="0" w:line="276" w:lineRule="auto"/>
              <w:ind w:left="-180" w:right="141" w:firstLine="180"/>
              <w:jc w:val="both"/>
              <w:rPr>
                <w:rFonts w:ascii="Arial" w:hAnsi="Arial" w:cs="Arial"/>
                <w:b/>
                <w:sz w:val="20"/>
                <w:szCs w:val="20"/>
              </w:rPr>
            </w:pPr>
          </w:p>
        </w:tc>
        <w:tc>
          <w:tcPr>
            <w:tcW w:w="8352" w:type="dxa"/>
            <w:gridSpan w:val="5"/>
          </w:tcPr>
          <w:p w14:paraId="54AA8D4A" w14:textId="77777777" w:rsidR="00D47E30" w:rsidRPr="00D47E30" w:rsidRDefault="00D47E30" w:rsidP="001322B1">
            <w:pPr>
              <w:widowControl w:val="0"/>
              <w:spacing w:after="0" w:line="276" w:lineRule="auto"/>
              <w:ind w:right="141"/>
              <w:jc w:val="both"/>
              <w:rPr>
                <w:rFonts w:ascii="Arial" w:hAnsi="Arial" w:cs="Arial"/>
                <w:b/>
                <w:bCs/>
                <w:kern w:val="32"/>
                <w:sz w:val="20"/>
                <w:szCs w:val="20"/>
              </w:rPr>
            </w:pPr>
            <w:r w:rsidRPr="00D47E30">
              <w:rPr>
                <w:rFonts w:ascii="Arial" w:hAnsi="Arial" w:cs="Arial"/>
                <w:b/>
                <w:bCs/>
                <w:kern w:val="32"/>
                <w:sz w:val="20"/>
                <w:szCs w:val="20"/>
              </w:rPr>
              <w:t>4.1 Oživitev mrtvega rokava na Mali Krki</w:t>
            </w:r>
          </w:p>
        </w:tc>
      </w:tr>
      <w:tr w:rsidR="00D47E30" w:rsidRPr="00D47E30" w14:paraId="780C8A8D" w14:textId="77777777" w:rsidTr="003F0F1A">
        <w:trPr>
          <w:trHeight w:val="74"/>
        </w:trPr>
        <w:tc>
          <w:tcPr>
            <w:tcW w:w="828" w:type="dxa"/>
          </w:tcPr>
          <w:p w14:paraId="1A7ECD39" w14:textId="77777777" w:rsidR="00D47E30" w:rsidRPr="00D47E30" w:rsidRDefault="00D47E30" w:rsidP="001322B1">
            <w:pPr>
              <w:spacing w:after="0" w:line="276" w:lineRule="auto"/>
              <w:ind w:left="-180" w:right="141" w:firstLine="180"/>
              <w:jc w:val="both"/>
              <w:rPr>
                <w:rFonts w:ascii="Arial" w:hAnsi="Arial" w:cs="Arial"/>
                <w:b/>
                <w:sz w:val="20"/>
                <w:szCs w:val="20"/>
              </w:rPr>
            </w:pPr>
          </w:p>
        </w:tc>
        <w:tc>
          <w:tcPr>
            <w:tcW w:w="8352" w:type="dxa"/>
            <w:gridSpan w:val="5"/>
          </w:tcPr>
          <w:p w14:paraId="0D93BED4" w14:textId="77777777" w:rsidR="00D47E30" w:rsidRPr="00D47E30" w:rsidRDefault="00D47E30" w:rsidP="001322B1">
            <w:pPr>
              <w:spacing w:after="0" w:line="276" w:lineRule="auto"/>
              <w:ind w:right="141"/>
              <w:jc w:val="both"/>
              <w:rPr>
                <w:rFonts w:ascii="Arial" w:hAnsi="Arial" w:cs="Arial"/>
                <w:b/>
                <w:bCs/>
                <w:kern w:val="32"/>
                <w:sz w:val="20"/>
                <w:szCs w:val="20"/>
              </w:rPr>
            </w:pPr>
            <w:r w:rsidRPr="00D47E30">
              <w:rPr>
                <w:rFonts w:ascii="Arial" w:hAnsi="Arial" w:cs="Arial"/>
                <w:b/>
                <w:bCs/>
                <w:kern w:val="32"/>
                <w:sz w:val="20"/>
                <w:szCs w:val="20"/>
              </w:rPr>
              <w:t>4.2 Obnova pretočnega profila na Mejnem potoku</w:t>
            </w:r>
          </w:p>
        </w:tc>
      </w:tr>
      <w:tr w:rsidR="00D47E30" w:rsidRPr="00D47E30" w14:paraId="2E197494" w14:textId="77777777" w:rsidTr="003F0F1A">
        <w:trPr>
          <w:trHeight w:val="74"/>
        </w:trPr>
        <w:tc>
          <w:tcPr>
            <w:tcW w:w="828" w:type="dxa"/>
          </w:tcPr>
          <w:p w14:paraId="142C44A0" w14:textId="77777777" w:rsidR="00D47E30" w:rsidRPr="00D47E30" w:rsidRDefault="00D47E30" w:rsidP="001322B1">
            <w:pPr>
              <w:spacing w:after="0" w:line="276" w:lineRule="auto"/>
              <w:ind w:left="-180" w:right="141" w:firstLine="180"/>
              <w:jc w:val="both"/>
              <w:rPr>
                <w:rFonts w:ascii="Arial" w:hAnsi="Arial" w:cs="Arial"/>
                <w:b/>
                <w:sz w:val="20"/>
                <w:szCs w:val="20"/>
              </w:rPr>
            </w:pPr>
            <w:r w:rsidRPr="00D47E30">
              <w:rPr>
                <w:rFonts w:ascii="Arial" w:hAnsi="Arial" w:cs="Arial"/>
                <w:b/>
                <w:spacing w:val="-14"/>
                <w:sz w:val="20"/>
                <w:szCs w:val="20"/>
              </w:rPr>
              <w:t>5.</w:t>
            </w:r>
          </w:p>
        </w:tc>
        <w:tc>
          <w:tcPr>
            <w:tcW w:w="8352" w:type="dxa"/>
            <w:gridSpan w:val="5"/>
          </w:tcPr>
          <w:p w14:paraId="01517C48" w14:textId="77777777" w:rsidR="00D47E30" w:rsidRPr="00D47E30" w:rsidRDefault="00D47E30" w:rsidP="001322B1">
            <w:pPr>
              <w:spacing w:after="0" w:line="276" w:lineRule="auto"/>
              <w:ind w:right="141"/>
              <w:jc w:val="both"/>
              <w:rPr>
                <w:rFonts w:ascii="Arial" w:hAnsi="Arial" w:cs="Arial"/>
                <w:b/>
                <w:bCs/>
                <w:kern w:val="32"/>
                <w:sz w:val="20"/>
                <w:szCs w:val="20"/>
              </w:rPr>
            </w:pPr>
            <w:r w:rsidRPr="00D47E30">
              <w:rPr>
                <w:rFonts w:ascii="Arial" w:hAnsi="Arial" w:cs="Arial"/>
                <w:b/>
                <w:bCs/>
                <w:kern w:val="32"/>
                <w:sz w:val="20"/>
                <w:szCs w:val="20"/>
              </w:rPr>
              <w:t>Določitev časa in kraja naslednjega zasedanja</w:t>
            </w:r>
          </w:p>
        </w:tc>
      </w:tr>
    </w:tbl>
    <w:p w14:paraId="3112074C" w14:textId="77777777" w:rsidR="00D47E30" w:rsidRPr="00D47E30" w:rsidRDefault="00D47E30" w:rsidP="00D47E30">
      <w:pPr>
        <w:spacing w:line="276" w:lineRule="auto"/>
        <w:rPr>
          <w:rFonts w:ascii="Arial" w:hAnsi="Arial" w:cs="Arial"/>
          <w:b/>
          <w:spacing w:val="-14"/>
          <w:sz w:val="20"/>
          <w:szCs w:val="20"/>
        </w:rPr>
      </w:pPr>
    </w:p>
    <w:p w14:paraId="1779F17D" w14:textId="4A448298" w:rsidR="00D47E30" w:rsidRPr="00D47E30" w:rsidRDefault="00D47E30" w:rsidP="00D47E30">
      <w:pPr>
        <w:spacing w:line="276" w:lineRule="auto"/>
        <w:jc w:val="center"/>
        <w:rPr>
          <w:rFonts w:ascii="Arial" w:hAnsi="Arial" w:cs="Arial"/>
          <w:b/>
          <w:spacing w:val="-14"/>
          <w:sz w:val="20"/>
          <w:szCs w:val="20"/>
        </w:rPr>
      </w:pPr>
      <w:r w:rsidRPr="00D47E30">
        <w:rPr>
          <w:rFonts w:ascii="Arial" w:hAnsi="Arial" w:cs="Arial"/>
          <w:b/>
          <w:spacing w:val="-14"/>
          <w:sz w:val="20"/>
          <w:szCs w:val="20"/>
        </w:rPr>
        <w:t>III.</w:t>
      </w:r>
    </w:p>
    <w:p w14:paraId="64F950CD" w14:textId="4152D297" w:rsidR="00D47E30" w:rsidRPr="00D47E30" w:rsidRDefault="00D47E30" w:rsidP="00D47E30">
      <w:pPr>
        <w:tabs>
          <w:tab w:val="left" w:pos="1134"/>
          <w:tab w:val="left" w:pos="3456"/>
          <w:tab w:val="left" w:pos="9360"/>
        </w:tabs>
        <w:spacing w:line="276" w:lineRule="auto"/>
        <w:rPr>
          <w:rFonts w:ascii="Arial" w:hAnsi="Arial" w:cs="Arial"/>
          <w:b/>
          <w:sz w:val="20"/>
          <w:szCs w:val="20"/>
        </w:rPr>
      </w:pPr>
      <w:r w:rsidRPr="00D47E30">
        <w:rPr>
          <w:rFonts w:ascii="Arial" w:hAnsi="Arial" w:cs="Arial"/>
          <w:b/>
          <w:sz w:val="20"/>
          <w:szCs w:val="20"/>
        </w:rPr>
        <w:t>Predlog stališč slovenske delegacije:</w:t>
      </w:r>
    </w:p>
    <w:p w14:paraId="7E848DE3" w14:textId="2165CEBD" w:rsidR="00D47E30" w:rsidRPr="00D47E30" w:rsidRDefault="00D47E30" w:rsidP="00D47E30">
      <w:pPr>
        <w:spacing w:line="276" w:lineRule="auto"/>
        <w:jc w:val="both"/>
        <w:rPr>
          <w:rFonts w:ascii="Arial" w:hAnsi="Arial" w:cs="Arial"/>
          <w:b/>
          <w:sz w:val="20"/>
          <w:szCs w:val="20"/>
        </w:rPr>
      </w:pPr>
      <w:r w:rsidRPr="00D47E30">
        <w:rPr>
          <w:rFonts w:ascii="Arial" w:hAnsi="Arial" w:cs="Arial"/>
          <w:b/>
          <w:sz w:val="20"/>
          <w:szCs w:val="20"/>
        </w:rPr>
        <w:t>K točki 1 Izvršitev sklepov XXVI. zasedanja komisije</w:t>
      </w:r>
    </w:p>
    <w:p w14:paraId="5BA2736C" w14:textId="59B8E101" w:rsidR="00D47E30" w:rsidRPr="00D47E30" w:rsidRDefault="00D47E30" w:rsidP="00D47E30">
      <w:pPr>
        <w:spacing w:line="276" w:lineRule="auto"/>
        <w:jc w:val="both"/>
        <w:rPr>
          <w:rFonts w:ascii="Arial" w:hAnsi="Arial" w:cs="Arial"/>
          <w:sz w:val="20"/>
          <w:szCs w:val="20"/>
        </w:rPr>
      </w:pPr>
      <w:r w:rsidRPr="00D47E30">
        <w:rPr>
          <w:rFonts w:ascii="Arial" w:hAnsi="Arial" w:cs="Arial"/>
          <w:sz w:val="20"/>
          <w:szCs w:val="20"/>
        </w:rPr>
        <w:t>Komisija bo na osnovi poročil delovnih skupin (delovne skupine za kakovost vode in delovne skupine za urejanje voda) ugotovila, da so bili v letu 2024 izvedeni sklepi XXVI. zasedanja komisije. V letu 2025 sta strani opravili delo v skladu s sklepi XXVI. zasedanja in potrebami, ki so se pojavile na terenu.</w:t>
      </w:r>
    </w:p>
    <w:p w14:paraId="719EE37F" w14:textId="249CD3FC" w:rsidR="00D47E30" w:rsidRPr="00D47E30" w:rsidRDefault="00D47E30" w:rsidP="00D47E30">
      <w:pPr>
        <w:spacing w:line="276" w:lineRule="auto"/>
        <w:rPr>
          <w:rFonts w:ascii="Arial" w:hAnsi="Arial" w:cs="Arial"/>
          <w:b/>
          <w:sz w:val="20"/>
          <w:szCs w:val="20"/>
        </w:rPr>
      </w:pPr>
      <w:r w:rsidRPr="00D47E30">
        <w:rPr>
          <w:rFonts w:ascii="Arial" w:hAnsi="Arial" w:cs="Arial"/>
          <w:b/>
          <w:sz w:val="20"/>
          <w:szCs w:val="20"/>
        </w:rPr>
        <w:t>K točki 2</w:t>
      </w:r>
      <w:r w:rsidRPr="00D47E30">
        <w:rPr>
          <w:rFonts w:ascii="Arial" w:hAnsi="Arial" w:cs="Arial"/>
          <w:sz w:val="20"/>
          <w:szCs w:val="20"/>
        </w:rPr>
        <w:t xml:space="preserve"> </w:t>
      </w:r>
      <w:r w:rsidRPr="00D47E30">
        <w:rPr>
          <w:rFonts w:ascii="Arial" w:hAnsi="Arial" w:cs="Arial"/>
          <w:b/>
          <w:sz w:val="20"/>
          <w:szCs w:val="20"/>
        </w:rPr>
        <w:t>Regionalne naloge upravljanja z vodami</w:t>
      </w:r>
    </w:p>
    <w:p w14:paraId="778A6856" w14:textId="77777777" w:rsidR="00D47E30" w:rsidRPr="00D47E30" w:rsidRDefault="00D47E30" w:rsidP="00D47E30">
      <w:pPr>
        <w:spacing w:line="276" w:lineRule="auto"/>
        <w:ind w:right="-1"/>
        <w:rPr>
          <w:rFonts w:ascii="Arial" w:hAnsi="Arial" w:cs="Arial"/>
          <w:b/>
          <w:sz w:val="20"/>
          <w:szCs w:val="20"/>
        </w:rPr>
      </w:pPr>
      <w:r w:rsidRPr="00D47E30">
        <w:rPr>
          <w:rFonts w:ascii="Arial" w:hAnsi="Arial" w:cs="Arial"/>
          <w:b/>
          <w:sz w:val="20"/>
          <w:szCs w:val="20"/>
        </w:rPr>
        <w:t>2.1 Monitoring</w:t>
      </w:r>
    </w:p>
    <w:p w14:paraId="6B831EFD" w14:textId="6DFE3D76" w:rsidR="00D47E30" w:rsidRPr="00D47E30" w:rsidRDefault="00D47E30" w:rsidP="00D47E30">
      <w:pPr>
        <w:spacing w:line="276" w:lineRule="auto"/>
        <w:ind w:right="-1"/>
        <w:jc w:val="both"/>
        <w:rPr>
          <w:rFonts w:ascii="Arial" w:hAnsi="Arial" w:cs="Arial"/>
          <w:sz w:val="20"/>
          <w:szCs w:val="20"/>
        </w:rPr>
      </w:pPr>
      <w:r w:rsidRPr="00D47E30">
        <w:rPr>
          <w:rFonts w:ascii="Arial" w:hAnsi="Arial" w:cs="Arial"/>
          <w:sz w:val="20"/>
          <w:szCs w:val="20"/>
        </w:rPr>
        <w:t>Slovenska delegacija se bo seznanila s poročili delegacij glede posameznih podtočk in bo podprla sprejem sklepov komisije, ki so bili predhodno usklajeni na pripravljalnem sestanku.</w:t>
      </w:r>
    </w:p>
    <w:p w14:paraId="2048C83F" w14:textId="77777777" w:rsidR="00D47E30" w:rsidRPr="00D47E30" w:rsidRDefault="00D47E30" w:rsidP="00D47E30">
      <w:pPr>
        <w:spacing w:line="276" w:lineRule="auto"/>
        <w:ind w:right="-1"/>
        <w:jc w:val="both"/>
        <w:rPr>
          <w:rFonts w:ascii="Arial" w:hAnsi="Arial" w:cs="Arial"/>
          <w:sz w:val="20"/>
          <w:szCs w:val="20"/>
        </w:rPr>
      </w:pPr>
      <w:r w:rsidRPr="00D47E30">
        <w:rPr>
          <w:rFonts w:ascii="Arial" w:hAnsi="Arial" w:cs="Arial"/>
          <w:sz w:val="20"/>
          <w:szCs w:val="20"/>
        </w:rPr>
        <w:t>Pri točki 2.1.1. Hidrografija so predlagani naslednji sklepi komisije:</w:t>
      </w:r>
    </w:p>
    <w:p w14:paraId="2336E7F0"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naroča naj Delovna skupina za upravljanje voda s strokovnjaki hidroloških služb nadaljuje z izmenjavo hidroloških podatkov, strokovnjaki pa naj pred dokončno izmenjavo hidroloških podatkov opravijo usklajevanje po do sedaj uveljavljeni metodi (vključno s predhodno izmenjavo začasnih seznamov vodostajev).</w:t>
      </w:r>
    </w:p>
    <w:p w14:paraId="0C6CADDE"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naroča madžarskim hidrološkim strokovnjakom, da se na osnovi sklepa zapisnika 34. zasedanja Stalne slovensko-avstrijske komisije za Muro in v skladu z vodno direktivo EU, udeležijo usklajevanja hidroloških parametrov mejne Mure, na katerega bodo povabljeni tudi hrvaški strokovnjaki.</w:t>
      </w:r>
    </w:p>
    <w:p w14:paraId="4056E2A8"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naroča Delovni skupini za upravljanje voda naj strokovnjaki hidrologi nadaljujejo s proučevanjem obratovanja prognostičnega modela visokih voda Mure. </w:t>
      </w:r>
    </w:p>
    <w:p w14:paraId="60422C08"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Za modeliranje zadolženi strokovnjaki naj se zaradi strokovnega obratovanja osrednjega graškega strežnika srečajo enkrat letno oz. glede na hidrološke dogodke tudi večkrat ter opravijo potrebne spremembe oziroma popravke. Na srečanja je treba povabiti tudi strokovnjake, ki so zadolženi za </w:t>
      </w:r>
      <w:r w:rsidRPr="00D47E30">
        <w:rPr>
          <w:rFonts w:ascii="Arial" w:hAnsi="Arial" w:cs="Arial"/>
          <w:sz w:val="20"/>
          <w:szCs w:val="20"/>
        </w:rPr>
        <w:lastRenderedPageBreak/>
        <w:t xml:space="preserve">delovanje avstrijskega dela in hrvaškega dela modela. </w:t>
      </w:r>
    </w:p>
    <w:p w14:paraId="4C61A0AC" w14:textId="2D9E5851"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Strokovnjaki naj proučijo možnosti razvijanja slovenskega in madžarskega dela modela, z nadgradnjo pa naj vzajemno prispevajo k izboljšanju preciznosti napovedovanja visokih voda Mure.</w:t>
      </w:r>
    </w:p>
    <w:p w14:paraId="08408C2C" w14:textId="77777777" w:rsidR="00D47E30" w:rsidRPr="00D47E30" w:rsidRDefault="00D47E30" w:rsidP="00D47E30">
      <w:pPr>
        <w:widowControl w:val="0"/>
        <w:spacing w:after="0" w:line="276" w:lineRule="auto"/>
        <w:ind w:left="360"/>
        <w:jc w:val="both"/>
        <w:rPr>
          <w:rFonts w:ascii="Arial" w:hAnsi="Arial" w:cs="Arial"/>
          <w:sz w:val="20"/>
          <w:szCs w:val="20"/>
        </w:rPr>
      </w:pPr>
    </w:p>
    <w:p w14:paraId="585DC62B"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 xml:space="preserve">Pri točki 2.1.2 </w:t>
      </w:r>
      <w:r w:rsidRPr="00D47E30">
        <w:rPr>
          <w:rFonts w:ascii="Arial" w:hAnsi="Arial" w:cs="Arial"/>
          <w:bCs/>
          <w:kern w:val="32"/>
          <w:sz w:val="20"/>
          <w:szCs w:val="20"/>
        </w:rPr>
        <w:t>Varstvo kakovosti vode so predlagana sklepi komisije, da:</w:t>
      </w:r>
    </w:p>
    <w:p w14:paraId="208837BD"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potrdi skupno poročilo o kakovosti mejnih vodotokov slovenske in madžarske strani.</w:t>
      </w:r>
    </w:p>
    <w:p w14:paraId="24CF1884"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potrdi </w:t>
      </w:r>
      <w:r w:rsidRPr="00D47E30">
        <w:rPr>
          <w:rFonts w:ascii="Arial" w:hAnsi="Arial" w:cs="Arial"/>
          <w:color w:val="000000"/>
          <w:sz w:val="20"/>
          <w:szCs w:val="20"/>
        </w:rPr>
        <w:t>posodobljen Protokol Delovne skupine za kakovost voda.</w:t>
      </w:r>
    </w:p>
    <w:p w14:paraId="7E21563D" w14:textId="195C3E0D"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sprejme Program monitoringa kakovosti voda za leto 2026 in terminski plan ter naroča strokovnjakom, da sproti usklajujejo datume vzorčenja.</w:t>
      </w:r>
    </w:p>
    <w:p w14:paraId="629F024A" w14:textId="77777777" w:rsidR="00D47E30" w:rsidRPr="00D47E30" w:rsidRDefault="00D47E30" w:rsidP="00D47E30">
      <w:pPr>
        <w:widowControl w:val="0"/>
        <w:spacing w:after="0" w:line="276" w:lineRule="auto"/>
        <w:ind w:left="360"/>
        <w:jc w:val="both"/>
        <w:rPr>
          <w:rFonts w:ascii="Arial" w:hAnsi="Arial" w:cs="Arial"/>
          <w:sz w:val="20"/>
          <w:szCs w:val="20"/>
        </w:rPr>
      </w:pPr>
    </w:p>
    <w:p w14:paraId="5FF6588C"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Pri točki 2.1.3 Podzemne vode so predlagani naslednji sklepi:</w:t>
      </w:r>
    </w:p>
    <w:p w14:paraId="08AFCC67"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Strokovnjaki naj v letu 2026 izmenjajo podatke, ki bodo vsebovali spremembe v rabi podzemnih voda (o novih vrtinah)  za obdobje od 1. 1. do 31. 12. 2025.</w:t>
      </w:r>
    </w:p>
    <w:p w14:paraId="716FC4DA" w14:textId="3536F7E7"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Strani naj do XXVIII. zasedanja komisije izvedeta sestanek strokovnjakov za podzemne vode, ki ga bo organizirala madžarska stran.</w:t>
      </w:r>
    </w:p>
    <w:p w14:paraId="2D05291B" w14:textId="77777777" w:rsidR="00D47E30" w:rsidRPr="00D47E30" w:rsidRDefault="00D47E30" w:rsidP="00D47E30">
      <w:pPr>
        <w:widowControl w:val="0"/>
        <w:spacing w:after="0" w:line="276" w:lineRule="auto"/>
        <w:ind w:left="360"/>
        <w:jc w:val="both"/>
        <w:rPr>
          <w:rFonts w:ascii="Arial" w:hAnsi="Arial" w:cs="Arial"/>
          <w:sz w:val="20"/>
          <w:szCs w:val="20"/>
        </w:rPr>
      </w:pPr>
    </w:p>
    <w:p w14:paraId="67DFD248" w14:textId="77777777" w:rsidR="00D47E30" w:rsidRPr="00D47E30" w:rsidRDefault="00D47E30" w:rsidP="00D47E30">
      <w:pPr>
        <w:spacing w:line="276" w:lineRule="auto"/>
        <w:jc w:val="both"/>
        <w:rPr>
          <w:rFonts w:ascii="Arial" w:hAnsi="Arial" w:cs="Arial"/>
          <w:sz w:val="20"/>
          <w:szCs w:val="20"/>
        </w:rPr>
      </w:pPr>
      <w:r w:rsidRPr="00D47E30">
        <w:rPr>
          <w:rFonts w:ascii="Arial" w:hAnsi="Arial" w:cs="Arial"/>
          <w:sz w:val="20"/>
          <w:szCs w:val="20"/>
        </w:rPr>
        <w:t>Pri točki 2.1.4 Trajnostna raba vode na vodotokih skupnega interesa je predlagan sklep, da:</w:t>
      </w:r>
    </w:p>
    <w:p w14:paraId="7580DF17" w14:textId="02EDB307" w:rsidR="00D47E30" w:rsidRDefault="00D47E30" w:rsidP="00170028">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naroča strokovnjakom, da nadaljujejo usklajevanje o trajnostni rabi vode na vodotokih skupnega interesa.</w:t>
      </w:r>
    </w:p>
    <w:p w14:paraId="4D8BFC90" w14:textId="77777777" w:rsidR="00170028" w:rsidRPr="00170028" w:rsidRDefault="00170028" w:rsidP="00170028">
      <w:pPr>
        <w:widowControl w:val="0"/>
        <w:spacing w:after="0" w:line="276" w:lineRule="auto"/>
        <w:ind w:left="360"/>
        <w:jc w:val="both"/>
        <w:rPr>
          <w:rFonts w:ascii="Arial" w:hAnsi="Arial" w:cs="Arial"/>
          <w:sz w:val="20"/>
          <w:szCs w:val="20"/>
        </w:rPr>
      </w:pPr>
    </w:p>
    <w:p w14:paraId="28C88179" w14:textId="2DAEE2D4" w:rsidR="00D47E30" w:rsidRPr="00D47E30" w:rsidRDefault="00D47E30" w:rsidP="00D47E30">
      <w:pPr>
        <w:tabs>
          <w:tab w:val="left" w:pos="1560"/>
          <w:tab w:val="left" w:pos="9360"/>
        </w:tabs>
        <w:spacing w:line="276" w:lineRule="auto"/>
        <w:rPr>
          <w:rFonts w:ascii="Arial" w:hAnsi="Arial" w:cs="Arial"/>
          <w:b/>
          <w:sz w:val="20"/>
          <w:szCs w:val="20"/>
        </w:rPr>
      </w:pPr>
      <w:r w:rsidRPr="00D47E30">
        <w:rPr>
          <w:rFonts w:ascii="Arial" w:hAnsi="Arial" w:cs="Arial"/>
          <w:b/>
          <w:sz w:val="20"/>
          <w:szCs w:val="20"/>
        </w:rPr>
        <w:t>2.2 Urejanje voda, ukrepi in programi</w:t>
      </w:r>
    </w:p>
    <w:p w14:paraId="594AA7F0" w14:textId="2940B988" w:rsidR="00D47E30" w:rsidRPr="00D47E30" w:rsidRDefault="00D47E30" w:rsidP="00D47E30">
      <w:pPr>
        <w:spacing w:line="276" w:lineRule="auto"/>
        <w:ind w:right="-1"/>
        <w:jc w:val="both"/>
        <w:rPr>
          <w:rFonts w:ascii="Arial" w:hAnsi="Arial" w:cs="Arial"/>
          <w:sz w:val="20"/>
          <w:szCs w:val="20"/>
        </w:rPr>
      </w:pPr>
      <w:r w:rsidRPr="00D47E30">
        <w:rPr>
          <w:rFonts w:ascii="Arial" w:hAnsi="Arial" w:cs="Arial"/>
          <w:sz w:val="20"/>
          <w:szCs w:val="20"/>
        </w:rPr>
        <w:t>Slovenska delegacija se bo seznanila s poročili delegacij glede posameznih podtočk in bo podprla sprejem sklepov komisije, navedenih v nadaljevanju.</w:t>
      </w:r>
    </w:p>
    <w:p w14:paraId="20197F53" w14:textId="77777777" w:rsidR="00D47E30" w:rsidRPr="00D47E30" w:rsidRDefault="00D47E30" w:rsidP="00D47E30">
      <w:pPr>
        <w:spacing w:line="276" w:lineRule="auto"/>
        <w:ind w:right="-1"/>
        <w:jc w:val="both"/>
        <w:rPr>
          <w:rFonts w:ascii="Arial" w:hAnsi="Arial" w:cs="Arial"/>
          <w:sz w:val="20"/>
          <w:szCs w:val="20"/>
        </w:rPr>
      </w:pPr>
      <w:r w:rsidRPr="00D47E30">
        <w:rPr>
          <w:rFonts w:ascii="Arial" w:hAnsi="Arial" w:cs="Arial"/>
          <w:sz w:val="20"/>
          <w:szCs w:val="20"/>
        </w:rPr>
        <w:t xml:space="preserve">Glede </w:t>
      </w:r>
      <w:proofErr w:type="spellStart"/>
      <w:r w:rsidRPr="00D47E30">
        <w:rPr>
          <w:rFonts w:ascii="Arial" w:hAnsi="Arial" w:cs="Arial"/>
          <w:sz w:val="20"/>
          <w:szCs w:val="20"/>
        </w:rPr>
        <w:t>Ledave</w:t>
      </w:r>
      <w:proofErr w:type="spellEnd"/>
      <w:r w:rsidRPr="00D47E30">
        <w:rPr>
          <w:rFonts w:ascii="Arial" w:hAnsi="Arial" w:cs="Arial"/>
          <w:sz w:val="20"/>
          <w:szCs w:val="20"/>
        </w:rPr>
        <w:t xml:space="preserve"> na odseku skupnega interesa – vzdrževalna dela:</w:t>
      </w:r>
    </w:p>
    <w:p w14:paraId="0D366487"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Predvidena vzdrževalna dela naj opravi madžarska stran na levi strani, slovenska stran pa na desni strani brežine korita potoka in nasipov </w:t>
      </w:r>
      <w:proofErr w:type="spellStart"/>
      <w:r w:rsidRPr="00D47E30">
        <w:rPr>
          <w:rFonts w:ascii="Arial" w:hAnsi="Arial" w:cs="Arial"/>
          <w:sz w:val="20"/>
          <w:szCs w:val="20"/>
        </w:rPr>
        <w:t>Ledave</w:t>
      </w:r>
      <w:proofErr w:type="spellEnd"/>
      <w:r w:rsidRPr="00D47E30">
        <w:rPr>
          <w:rFonts w:ascii="Arial" w:hAnsi="Arial" w:cs="Arial"/>
          <w:sz w:val="20"/>
          <w:szCs w:val="20"/>
        </w:rPr>
        <w:t xml:space="preserve"> tudi v letu 2026.</w:t>
      </w:r>
    </w:p>
    <w:p w14:paraId="7ABB4C8E" w14:textId="77777777" w:rsidR="00D47E30" w:rsidRPr="00D47E30" w:rsidRDefault="00D47E30" w:rsidP="00D47E30">
      <w:pPr>
        <w:pStyle w:val="Naslov2"/>
        <w:numPr>
          <w:ilvl w:val="12"/>
          <w:numId w:val="0"/>
        </w:numPr>
        <w:tabs>
          <w:tab w:val="left" w:pos="1190"/>
        </w:tabs>
        <w:spacing w:line="276" w:lineRule="auto"/>
        <w:rPr>
          <w:rFonts w:ascii="Arial" w:eastAsia="Times New Roman" w:hAnsi="Arial" w:cs="Arial"/>
          <w:b w:val="0"/>
          <w:bCs w:val="0"/>
          <w:color w:val="auto"/>
          <w:sz w:val="20"/>
          <w:szCs w:val="20"/>
        </w:rPr>
      </w:pPr>
      <w:r w:rsidRPr="00D47E30">
        <w:rPr>
          <w:rFonts w:ascii="Arial" w:eastAsia="Times New Roman" w:hAnsi="Arial" w:cs="Arial"/>
          <w:b w:val="0"/>
          <w:bCs w:val="0"/>
          <w:color w:val="auto"/>
          <w:sz w:val="20"/>
          <w:szCs w:val="20"/>
        </w:rPr>
        <w:t xml:space="preserve">Glede Velike Krka  na  odseku skupnega interesa </w:t>
      </w:r>
      <w:r w:rsidRPr="00D47E30">
        <w:rPr>
          <w:rFonts w:ascii="Arial" w:hAnsi="Arial" w:cs="Arial"/>
          <w:sz w:val="20"/>
          <w:szCs w:val="20"/>
        </w:rPr>
        <w:t>–</w:t>
      </w:r>
      <w:r w:rsidRPr="00D47E30">
        <w:rPr>
          <w:rFonts w:ascii="Arial" w:eastAsia="Times New Roman" w:hAnsi="Arial" w:cs="Arial"/>
          <w:b w:val="0"/>
          <w:bCs w:val="0"/>
          <w:color w:val="auto"/>
          <w:sz w:val="20"/>
          <w:szCs w:val="20"/>
        </w:rPr>
        <w:t xml:space="preserve"> vzdrževalna dela:</w:t>
      </w:r>
    </w:p>
    <w:p w14:paraId="7E74E8A8" w14:textId="77777777" w:rsidR="00D47E30" w:rsidRPr="00D47E30" w:rsidRDefault="00D47E30" w:rsidP="00D47E30">
      <w:pPr>
        <w:widowControl w:val="0"/>
        <w:numPr>
          <w:ilvl w:val="0"/>
          <w:numId w:val="12"/>
        </w:numPr>
        <w:tabs>
          <w:tab w:val="clear" w:pos="720"/>
          <w:tab w:val="num" w:pos="426"/>
        </w:tabs>
        <w:spacing w:after="0" w:line="276" w:lineRule="auto"/>
        <w:ind w:left="360"/>
        <w:jc w:val="both"/>
        <w:rPr>
          <w:rFonts w:ascii="Arial" w:hAnsi="Arial" w:cs="Arial"/>
          <w:sz w:val="20"/>
          <w:szCs w:val="20"/>
        </w:rPr>
      </w:pPr>
      <w:r w:rsidRPr="00D47E30">
        <w:rPr>
          <w:rFonts w:ascii="Arial" w:hAnsi="Arial" w:cs="Arial"/>
          <w:sz w:val="20"/>
          <w:szCs w:val="20"/>
        </w:rPr>
        <w:t>Strani naj v letu 2026 opravita načrtovana vzdrževalna dela.</w:t>
      </w:r>
    </w:p>
    <w:p w14:paraId="660E65A5" w14:textId="77777777" w:rsidR="00D47E30" w:rsidRPr="00D47E30" w:rsidRDefault="00D47E30" w:rsidP="00D47E30">
      <w:pPr>
        <w:pStyle w:val="Naslov2"/>
        <w:numPr>
          <w:ilvl w:val="12"/>
          <w:numId w:val="0"/>
        </w:numPr>
        <w:tabs>
          <w:tab w:val="left" w:pos="1190"/>
        </w:tabs>
        <w:spacing w:line="276" w:lineRule="auto"/>
        <w:rPr>
          <w:rFonts w:ascii="Arial" w:eastAsia="Times New Roman" w:hAnsi="Arial" w:cs="Arial"/>
          <w:b w:val="0"/>
          <w:bCs w:val="0"/>
          <w:color w:val="auto"/>
          <w:sz w:val="20"/>
          <w:szCs w:val="20"/>
        </w:rPr>
      </w:pPr>
      <w:r w:rsidRPr="00D47E30">
        <w:rPr>
          <w:rFonts w:ascii="Arial" w:eastAsia="Times New Roman" w:hAnsi="Arial" w:cs="Arial"/>
          <w:b w:val="0"/>
          <w:bCs w:val="0"/>
          <w:color w:val="auto"/>
          <w:sz w:val="20"/>
          <w:szCs w:val="20"/>
        </w:rPr>
        <w:t xml:space="preserve">Glede </w:t>
      </w:r>
      <w:proofErr w:type="spellStart"/>
      <w:r w:rsidRPr="00D47E30">
        <w:rPr>
          <w:rFonts w:ascii="Arial" w:eastAsia="Times New Roman" w:hAnsi="Arial" w:cs="Arial"/>
          <w:b w:val="0"/>
          <w:bCs w:val="0"/>
          <w:color w:val="auto"/>
          <w:sz w:val="20"/>
          <w:szCs w:val="20"/>
        </w:rPr>
        <w:t>Kobiljskega</w:t>
      </w:r>
      <w:proofErr w:type="spellEnd"/>
      <w:r w:rsidRPr="00D47E30">
        <w:rPr>
          <w:rFonts w:ascii="Arial" w:eastAsia="Times New Roman" w:hAnsi="Arial" w:cs="Arial"/>
          <w:b w:val="0"/>
          <w:bCs w:val="0"/>
          <w:color w:val="auto"/>
          <w:sz w:val="20"/>
          <w:szCs w:val="20"/>
        </w:rPr>
        <w:t xml:space="preserve"> potoka s pritoki:</w:t>
      </w:r>
    </w:p>
    <w:p w14:paraId="515E6B71" w14:textId="77777777" w:rsidR="00D47E30" w:rsidRPr="00D47E30" w:rsidRDefault="00D47E30" w:rsidP="00D47E30">
      <w:pPr>
        <w:widowControl w:val="0"/>
        <w:numPr>
          <w:ilvl w:val="0"/>
          <w:numId w:val="12"/>
        </w:numPr>
        <w:tabs>
          <w:tab w:val="clear" w:pos="720"/>
          <w:tab w:val="num" w:pos="426"/>
        </w:tabs>
        <w:spacing w:after="0" w:line="276" w:lineRule="auto"/>
        <w:ind w:left="360"/>
        <w:jc w:val="both"/>
        <w:rPr>
          <w:rFonts w:ascii="Arial" w:hAnsi="Arial" w:cs="Arial"/>
          <w:sz w:val="20"/>
          <w:szCs w:val="20"/>
        </w:rPr>
      </w:pPr>
      <w:r w:rsidRPr="00D47E30">
        <w:rPr>
          <w:rFonts w:ascii="Arial" w:hAnsi="Arial" w:cs="Arial"/>
          <w:sz w:val="20"/>
          <w:szCs w:val="20"/>
        </w:rPr>
        <w:t xml:space="preserve">Strani naj v letu 2026 opravita vzdrževalna dela, to je košnjo trave in odstranjevanje grmičevja na brežinah korita in nasipov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 v odseku skupnega interesa, in sicer:</w:t>
      </w:r>
    </w:p>
    <w:p w14:paraId="2E4CBB99" w14:textId="77777777" w:rsidR="00D47E30" w:rsidRPr="00D47E30" w:rsidRDefault="00D47E30" w:rsidP="00D47E30">
      <w:pPr>
        <w:spacing w:after="0" w:line="276" w:lineRule="auto"/>
        <w:ind w:left="360" w:right="141"/>
        <w:jc w:val="both"/>
        <w:rPr>
          <w:rFonts w:ascii="Arial" w:hAnsi="Arial" w:cs="Arial"/>
          <w:sz w:val="20"/>
          <w:szCs w:val="20"/>
        </w:rPr>
      </w:pPr>
      <w:r w:rsidRPr="00D47E30">
        <w:rPr>
          <w:rFonts w:ascii="Arial" w:hAnsi="Arial" w:cs="Arial"/>
          <w:sz w:val="20"/>
          <w:szCs w:val="20"/>
        </w:rPr>
        <w:t>-</w:t>
      </w:r>
      <w:r w:rsidRPr="00D47E30">
        <w:rPr>
          <w:rFonts w:ascii="Arial" w:hAnsi="Arial" w:cs="Arial"/>
          <w:sz w:val="20"/>
          <w:szCs w:val="20"/>
        </w:rPr>
        <w:tab/>
        <w:t>madžarska stran v profilu od km 5+776–6+276 z uvajalnimi nasipi;</w:t>
      </w:r>
    </w:p>
    <w:p w14:paraId="50C5A57D" w14:textId="77777777" w:rsidR="00D47E30" w:rsidRPr="00D47E30" w:rsidRDefault="00D47E30" w:rsidP="00D47E30">
      <w:pPr>
        <w:spacing w:after="0" w:line="276" w:lineRule="auto"/>
        <w:ind w:left="360" w:right="141"/>
        <w:jc w:val="both"/>
        <w:rPr>
          <w:rFonts w:ascii="Arial" w:hAnsi="Arial" w:cs="Arial"/>
          <w:sz w:val="20"/>
          <w:szCs w:val="20"/>
        </w:rPr>
      </w:pPr>
      <w:r w:rsidRPr="00D47E30">
        <w:rPr>
          <w:rFonts w:ascii="Arial" w:hAnsi="Arial" w:cs="Arial"/>
          <w:sz w:val="20"/>
          <w:szCs w:val="20"/>
        </w:rPr>
        <w:t>-</w:t>
      </w:r>
      <w:r w:rsidRPr="00D47E30">
        <w:rPr>
          <w:rFonts w:ascii="Arial" w:hAnsi="Arial" w:cs="Arial"/>
          <w:sz w:val="20"/>
          <w:szCs w:val="20"/>
        </w:rPr>
        <w:tab/>
        <w:t>slovenska stran pa v profilu od km 5+276–5+776.</w:t>
      </w:r>
    </w:p>
    <w:p w14:paraId="496A7C22" w14:textId="77777777" w:rsidR="00D47E30" w:rsidRPr="00D47E30" w:rsidRDefault="00D47E30" w:rsidP="00D47E30">
      <w:pPr>
        <w:pStyle w:val="Naslov2"/>
        <w:numPr>
          <w:ilvl w:val="12"/>
          <w:numId w:val="0"/>
        </w:numPr>
        <w:tabs>
          <w:tab w:val="left" w:pos="1190"/>
        </w:tabs>
        <w:spacing w:line="276" w:lineRule="auto"/>
        <w:rPr>
          <w:rFonts w:ascii="Arial" w:eastAsia="Times New Roman" w:hAnsi="Arial" w:cs="Arial"/>
          <w:b w:val="0"/>
          <w:bCs w:val="0"/>
          <w:color w:val="auto"/>
          <w:sz w:val="20"/>
          <w:szCs w:val="20"/>
        </w:rPr>
      </w:pPr>
      <w:r w:rsidRPr="00D47E30">
        <w:rPr>
          <w:rFonts w:ascii="Arial" w:eastAsia="Times New Roman" w:hAnsi="Arial" w:cs="Arial"/>
          <w:b w:val="0"/>
          <w:bCs w:val="0"/>
          <w:color w:val="auto"/>
          <w:sz w:val="20"/>
          <w:szCs w:val="20"/>
        </w:rPr>
        <w:t>Glede odseka Kobilje–</w:t>
      </w:r>
      <w:proofErr w:type="spellStart"/>
      <w:r w:rsidRPr="00D47E30">
        <w:rPr>
          <w:rFonts w:ascii="Arial" w:eastAsia="Times New Roman" w:hAnsi="Arial" w:cs="Arial"/>
          <w:b w:val="0"/>
          <w:bCs w:val="0"/>
          <w:color w:val="auto"/>
          <w:sz w:val="20"/>
          <w:szCs w:val="20"/>
        </w:rPr>
        <w:t>Szentgyörgyvölgy</w:t>
      </w:r>
      <w:proofErr w:type="spellEnd"/>
      <w:r w:rsidRPr="00D47E30">
        <w:rPr>
          <w:rFonts w:ascii="Arial" w:eastAsia="Times New Roman" w:hAnsi="Arial" w:cs="Arial"/>
          <w:b w:val="0"/>
          <w:bCs w:val="0"/>
          <w:color w:val="auto"/>
          <w:sz w:val="20"/>
          <w:szCs w:val="20"/>
        </w:rPr>
        <w:t>:</w:t>
      </w:r>
    </w:p>
    <w:p w14:paraId="15290862" w14:textId="77777777" w:rsidR="00D47E30" w:rsidRPr="00D47E30" w:rsidRDefault="00D47E30" w:rsidP="00D47E30">
      <w:pPr>
        <w:widowControl w:val="0"/>
        <w:numPr>
          <w:ilvl w:val="0"/>
          <w:numId w:val="12"/>
        </w:numPr>
        <w:tabs>
          <w:tab w:val="clear" w:pos="720"/>
          <w:tab w:val="num" w:pos="426"/>
        </w:tabs>
        <w:spacing w:after="0" w:line="276" w:lineRule="auto"/>
        <w:ind w:left="360"/>
        <w:jc w:val="both"/>
        <w:rPr>
          <w:rFonts w:ascii="Arial" w:hAnsi="Arial" w:cs="Arial"/>
          <w:sz w:val="20"/>
          <w:szCs w:val="20"/>
        </w:rPr>
      </w:pPr>
      <w:r w:rsidRPr="00D47E30">
        <w:rPr>
          <w:rFonts w:ascii="Arial" w:hAnsi="Arial" w:cs="Arial"/>
          <w:sz w:val="20"/>
          <w:szCs w:val="20"/>
        </w:rPr>
        <w:t xml:space="preserve">Strani naj v letu 2026 opravita vzdrževalna dela, to je košnjo trave in odstranjevanje grmičevja na brežinah korita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 v odseku skupnega interesa, in sicer:</w:t>
      </w:r>
    </w:p>
    <w:p w14:paraId="62335DE2" w14:textId="77777777" w:rsidR="00D47E30" w:rsidRPr="00D47E30" w:rsidRDefault="00D47E30" w:rsidP="00D47E30">
      <w:pPr>
        <w:widowControl w:val="0"/>
        <w:numPr>
          <w:ilvl w:val="0"/>
          <w:numId w:val="13"/>
        </w:numPr>
        <w:spacing w:after="0" w:line="276" w:lineRule="auto"/>
        <w:ind w:right="141" w:hanging="294"/>
        <w:jc w:val="both"/>
        <w:rPr>
          <w:rFonts w:ascii="Arial" w:hAnsi="Arial" w:cs="Arial"/>
          <w:sz w:val="20"/>
          <w:szCs w:val="20"/>
        </w:rPr>
      </w:pPr>
      <w:r w:rsidRPr="00D47E30">
        <w:rPr>
          <w:rFonts w:ascii="Arial" w:hAnsi="Arial" w:cs="Arial"/>
          <w:sz w:val="20"/>
          <w:szCs w:val="20"/>
        </w:rPr>
        <w:t xml:space="preserve">madžarska stran v profilu od km 13+857–14+357;  </w:t>
      </w:r>
    </w:p>
    <w:p w14:paraId="09413A36" w14:textId="4A249FC9" w:rsidR="00D47E30" w:rsidRDefault="00D47E30" w:rsidP="00D47E30">
      <w:pPr>
        <w:widowControl w:val="0"/>
        <w:numPr>
          <w:ilvl w:val="0"/>
          <w:numId w:val="13"/>
        </w:numPr>
        <w:spacing w:after="0" w:line="276" w:lineRule="auto"/>
        <w:ind w:right="141" w:hanging="294"/>
        <w:jc w:val="both"/>
        <w:rPr>
          <w:rFonts w:ascii="Arial" w:hAnsi="Arial" w:cs="Arial"/>
          <w:sz w:val="20"/>
          <w:szCs w:val="20"/>
        </w:rPr>
      </w:pPr>
      <w:r w:rsidRPr="00D47E30">
        <w:rPr>
          <w:rFonts w:ascii="Arial" w:hAnsi="Arial" w:cs="Arial"/>
          <w:sz w:val="20"/>
          <w:szCs w:val="20"/>
        </w:rPr>
        <w:t xml:space="preserve">slovenska stran pa v profilu od km 14+357–14+857. </w:t>
      </w:r>
    </w:p>
    <w:p w14:paraId="3CCECC4F" w14:textId="77777777" w:rsidR="00D47E30" w:rsidRPr="00D47E30" w:rsidRDefault="00D47E30" w:rsidP="00D47E30">
      <w:pPr>
        <w:widowControl w:val="0"/>
        <w:spacing w:after="0" w:line="276" w:lineRule="auto"/>
        <w:ind w:left="720" w:right="141"/>
        <w:jc w:val="both"/>
        <w:rPr>
          <w:rFonts w:ascii="Arial" w:hAnsi="Arial" w:cs="Arial"/>
          <w:sz w:val="20"/>
          <w:szCs w:val="20"/>
        </w:rPr>
      </w:pPr>
    </w:p>
    <w:p w14:paraId="6123F5E2"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Glede Mejnega potoka in Mejnega jarka:</w:t>
      </w:r>
    </w:p>
    <w:p w14:paraId="3B9CCFA5"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Strani naj v letu 2026 opravita predvidena vzdrževalna dela na Mejnem potoku na odseku skupnega interesa.</w:t>
      </w:r>
    </w:p>
    <w:p w14:paraId="0E9203F9" w14:textId="0E1DEBDF"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Obe strani naj na Mejnem jarku na svoji strani opravita košnjo pretočnega profila.</w:t>
      </w:r>
    </w:p>
    <w:p w14:paraId="56845CBC" w14:textId="77777777" w:rsidR="00D47E30" w:rsidRPr="00D47E30" w:rsidRDefault="00D47E30" w:rsidP="00D47E30">
      <w:pPr>
        <w:widowControl w:val="0"/>
        <w:spacing w:after="0" w:line="276" w:lineRule="auto"/>
        <w:ind w:left="360"/>
        <w:jc w:val="both"/>
        <w:rPr>
          <w:rFonts w:ascii="Arial" w:hAnsi="Arial" w:cs="Arial"/>
          <w:sz w:val="20"/>
          <w:szCs w:val="20"/>
        </w:rPr>
      </w:pPr>
    </w:p>
    <w:p w14:paraId="12AF0DC0"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 xml:space="preserve">Glede zadrževalnika visokih voda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w:t>
      </w:r>
    </w:p>
    <w:p w14:paraId="60AF2B41"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lastRenderedPageBreak/>
        <w:t xml:space="preserve">Komisija naroča stranema, naj še naprej budno spremljata obratovanje zadrževalnika in na podlagi izkušenj predlagata spremembe ter dopolnitve Pravilnika o obratovanju. </w:t>
      </w:r>
    </w:p>
    <w:p w14:paraId="3B1B58C5"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soglaša, da strani redna vzdrževalna dela (redna letna in občasna dela) vsako leto opravljata v delitvenem razmerju 50 : 50 % na podlagi delitve del in </w:t>
      </w:r>
      <w:proofErr w:type="spellStart"/>
      <w:r w:rsidRPr="00D47E30">
        <w:rPr>
          <w:rFonts w:ascii="Arial" w:hAnsi="Arial" w:cs="Arial"/>
          <w:sz w:val="20"/>
          <w:szCs w:val="20"/>
        </w:rPr>
        <w:t>časovnice</w:t>
      </w:r>
      <w:proofErr w:type="spellEnd"/>
      <w:r w:rsidRPr="00D47E30">
        <w:rPr>
          <w:rFonts w:ascii="Arial" w:hAnsi="Arial" w:cs="Arial"/>
          <w:sz w:val="20"/>
          <w:szCs w:val="20"/>
        </w:rPr>
        <w:t xml:space="preserve"> za leto 2026.</w:t>
      </w:r>
    </w:p>
    <w:p w14:paraId="23295695"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naroča slovenski strani, da slovenski koncesionar po koncu izvedenih del na podlagi izstavljenega računa izplača madžarski strani 50 % izrednih vzdrževalnih in rekonstrukcijskih stroškov na zadrževalniku visokih voda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w:t>
      </w:r>
    </w:p>
    <w:p w14:paraId="03EB63E1"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naroča slovenski strani, da slovenski koncesionar na podlagi izstavljenega računa izplača madžarski strani 50 % stroškov izvedbenih del v zvezi s </w:t>
      </w:r>
      <w:proofErr w:type="spellStart"/>
      <w:r w:rsidRPr="00D47E30">
        <w:rPr>
          <w:rFonts w:ascii="Arial" w:hAnsi="Arial" w:cs="Arial"/>
          <w:sz w:val="20"/>
          <w:szCs w:val="20"/>
        </w:rPr>
        <w:t>profilnimi</w:t>
      </w:r>
      <w:proofErr w:type="spellEnd"/>
      <w:r w:rsidRPr="00D47E30">
        <w:rPr>
          <w:rFonts w:ascii="Arial" w:hAnsi="Arial" w:cs="Arial"/>
          <w:sz w:val="20"/>
          <w:szCs w:val="20"/>
        </w:rPr>
        <w:t xml:space="preserve"> kamni in zapornicami na zadrževalniku visokih voda </w:t>
      </w:r>
      <w:proofErr w:type="spellStart"/>
      <w:r w:rsidRPr="00D47E30">
        <w:rPr>
          <w:rFonts w:ascii="Arial" w:hAnsi="Arial" w:cs="Arial"/>
          <w:sz w:val="20"/>
          <w:szCs w:val="20"/>
        </w:rPr>
        <w:t>Kobiljskega</w:t>
      </w:r>
      <w:proofErr w:type="spellEnd"/>
      <w:r w:rsidRPr="00D47E30">
        <w:rPr>
          <w:rFonts w:ascii="Arial" w:hAnsi="Arial" w:cs="Arial"/>
          <w:sz w:val="20"/>
          <w:szCs w:val="20"/>
        </w:rPr>
        <w:t xml:space="preserve"> potoka.</w:t>
      </w:r>
    </w:p>
    <w:p w14:paraId="786368BB"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pooblasti strokovnjake Delovne skupine za upravljanje voda, da se prednostno posvetujejo o povrnitvi stroškov, ki so nastali med poplavnim obratovanjem zadrževalnika, in ki jih mora zagotoviti slovenska stran. </w:t>
      </w:r>
    </w:p>
    <w:p w14:paraId="0F5641A0" w14:textId="6E42A903"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Strani naj pri določitvi </w:t>
      </w:r>
      <w:proofErr w:type="spellStart"/>
      <w:r w:rsidRPr="00D47E30">
        <w:rPr>
          <w:rFonts w:ascii="Arial" w:hAnsi="Arial" w:cs="Arial"/>
          <w:sz w:val="20"/>
          <w:szCs w:val="20"/>
        </w:rPr>
        <w:t>časovnice</w:t>
      </w:r>
      <w:proofErr w:type="spellEnd"/>
      <w:r w:rsidRPr="00D47E30">
        <w:rPr>
          <w:rFonts w:ascii="Arial" w:hAnsi="Arial" w:cs="Arial"/>
          <w:sz w:val="20"/>
          <w:szCs w:val="20"/>
        </w:rPr>
        <w:t xml:space="preserve"> izvajanja košenj posvetita posebno pozornost preprečitvi širjenja ambrozije, madžarska stran naj po potrebi opravi lokalno košnjo.</w:t>
      </w:r>
    </w:p>
    <w:p w14:paraId="4DC6CB64" w14:textId="77777777" w:rsidR="00D47E30" w:rsidRPr="00D47E30" w:rsidRDefault="00D47E30" w:rsidP="00D47E30">
      <w:pPr>
        <w:widowControl w:val="0"/>
        <w:spacing w:after="0" w:line="276" w:lineRule="auto"/>
        <w:ind w:left="360"/>
        <w:jc w:val="both"/>
        <w:rPr>
          <w:rFonts w:ascii="Arial" w:hAnsi="Arial" w:cs="Arial"/>
          <w:sz w:val="20"/>
          <w:szCs w:val="20"/>
        </w:rPr>
      </w:pPr>
    </w:p>
    <w:p w14:paraId="7B20402F" w14:textId="77777777" w:rsidR="00D47E30" w:rsidRPr="00D47E30" w:rsidRDefault="00D47E30" w:rsidP="00D47E30">
      <w:pPr>
        <w:spacing w:line="276" w:lineRule="auto"/>
        <w:rPr>
          <w:rFonts w:ascii="Arial" w:hAnsi="Arial" w:cs="Arial"/>
          <w:sz w:val="20"/>
          <w:szCs w:val="20"/>
        </w:rPr>
      </w:pPr>
      <w:r w:rsidRPr="00D47E30">
        <w:rPr>
          <w:rFonts w:ascii="Arial" w:hAnsi="Arial" w:cs="Arial"/>
          <w:sz w:val="20"/>
          <w:szCs w:val="20"/>
        </w:rPr>
        <w:t>Glede vzdrževalnih dela na ostalih potokih in jarkih skupnega interesa:</w:t>
      </w:r>
    </w:p>
    <w:p w14:paraId="1F4B3999"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Strani naj opravita vzdrževalna dela (odstranjevanje zarasti) na Mali Krka v Domanjševcih za leto 2026.</w:t>
      </w:r>
    </w:p>
    <w:p w14:paraId="23ED5310"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Strani naj na odvodnem jarku v območju mednarodnega mejnega prehoda Dolga vas – </w:t>
      </w:r>
      <w:proofErr w:type="spellStart"/>
      <w:r w:rsidRPr="00D47E30">
        <w:rPr>
          <w:rFonts w:ascii="Arial" w:hAnsi="Arial" w:cs="Arial"/>
          <w:sz w:val="20"/>
          <w:szCs w:val="20"/>
        </w:rPr>
        <w:t>Rédics</w:t>
      </w:r>
      <w:proofErr w:type="spellEnd"/>
      <w:r w:rsidRPr="00D47E30">
        <w:rPr>
          <w:rFonts w:ascii="Arial" w:hAnsi="Arial" w:cs="Arial"/>
          <w:sz w:val="20"/>
          <w:szCs w:val="20"/>
        </w:rPr>
        <w:t xml:space="preserve"> v letu 2026 opravita potrebna vzdrževalna dela, to je košnjo trave in odstranjevanje grmičevja na odvodnem jarku v odseku skupnega interesa, vključno z usedalnikom.</w:t>
      </w:r>
    </w:p>
    <w:p w14:paraId="6298544B"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podpira, da strani pregledata pretočni profil na </w:t>
      </w:r>
      <w:proofErr w:type="spellStart"/>
      <w:r w:rsidRPr="00D47E30">
        <w:rPr>
          <w:rFonts w:ascii="Arial" w:hAnsi="Arial" w:cs="Arial"/>
          <w:sz w:val="20"/>
          <w:szCs w:val="20"/>
        </w:rPr>
        <w:t>dolvodnem</w:t>
      </w:r>
      <w:proofErr w:type="spellEnd"/>
      <w:r w:rsidRPr="00D47E30">
        <w:rPr>
          <w:rFonts w:ascii="Arial" w:hAnsi="Arial" w:cs="Arial"/>
          <w:sz w:val="20"/>
          <w:szCs w:val="20"/>
        </w:rPr>
        <w:t xml:space="preserve"> odseku mejnega jarka </w:t>
      </w:r>
      <w:proofErr w:type="spellStart"/>
      <w:r w:rsidRPr="00D47E30">
        <w:rPr>
          <w:rFonts w:ascii="Arial" w:hAnsi="Arial" w:cs="Arial"/>
          <w:sz w:val="20"/>
          <w:szCs w:val="20"/>
        </w:rPr>
        <w:t>Rédics</w:t>
      </w:r>
      <w:proofErr w:type="spellEnd"/>
      <w:r w:rsidRPr="00D47E30">
        <w:rPr>
          <w:rFonts w:ascii="Arial" w:hAnsi="Arial" w:cs="Arial"/>
          <w:sz w:val="20"/>
          <w:szCs w:val="20"/>
        </w:rPr>
        <w:t>, vključno z usedalnikom, ter po potrebi pripravita program obnove in oceno stroškov.</w:t>
      </w:r>
    </w:p>
    <w:p w14:paraId="08E6A607"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Strani naj na Stari </w:t>
      </w:r>
      <w:proofErr w:type="spellStart"/>
      <w:r w:rsidRPr="00D47E30">
        <w:rPr>
          <w:rFonts w:ascii="Arial" w:hAnsi="Arial" w:cs="Arial"/>
          <w:sz w:val="20"/>
          <w:szCs w:val="20"/>
        </w:rPr>
        <w:t>Ledavi</w:t>
      </w:r>
      <w:proofErr w:type="spellEnd"/>
      <w:r w:rsidRPr="00D47E30">
        <w:rPr>
          <w:rFonts w:ascii="Arial" w:hAnsi="Arial" w:cs="Arial"/>
          <w:sz w:val="20"/>
          <w:szCs w:val="20"/>
        </w:rPr>
        <w:t xml:space="preserve"> v odseku skupnega interesa v letu 2026 opravita potrebna vzdrževalna dela (odstranjevanje zarasti),</w:t>
      </w:r>
    </w:p>
    <w:p w14:paraId="1AF5F330" w14:textId="620D96E7"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Leta 2026 naj slovenska stran izvaja potrebna vzdrževalna dela mejnega jarka Pince – </w:t>
      </w:r>
      <w:proofErr w:type="spellStart"/>
      <w:r w:rsidRPr="00D47E30">
        <w:rPr>
          <w:rFonts w:ascii="Arial" w:hAnsi="Arial" w:cs="Arial"/>
          <w:sz w:val="20"/>
          <w:szCs w:val="20"/>
        </w:rPr>
        <w:t>Tornyiszentmiklós</w:t>
      </w:r>
      <w:proofErr w:type="spellEnd"/>
      <w:r w:rsidRPr="00D47E30">
        <w:rPr>
          <w:rFonts w:ascii="Arial" w:hAnsi="Arial" w:cs="Arial"/>
          <w:sz w:val="20"/>
          <w:szCs w:val="20"/>
        </w:rPr>
        <w:t xml:space="preserve"> v celotnem prečnem profilu in na celotni dolžini jarka. </w:t>
      </w:r>
    </w:p>
    <w:p w14:paraId="79EA5210" w14:textId="77777777" w:rsidR="00D47E30" w:rsidRPr="00D47E30" w:rsidRDefault="00D47E30" w:rsidP="00D47E30">
      <w:pPr>
        <w:widowControl w:val="0"/>
        <w:spacing w:after="0" w:line="276" w:lineRule="auto"/>
        <w:ind w:left="360"/>
        <w:jc w:val="both"/>
        <w:rPr>
          <w:rFonts w:ascii="Arial" w:hAnsi="Arial" w:cs="Arial"/>
          <w:sz w:val="20"/>
          <w:szCs w:val="20"/>
        </w:rPr>
      </w:pPr>
    </w:p>
    <w:p w14:paraId="687F30A2"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Glede pripravljalnih del za projektiranje:</w:t>
      </w:r>
    </w:p>
    <w:p w14:paraId="72799988" w14:textId="77777777" w:rsidR="00D47E30" w:rsidRP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se seznani s poročilom madžarske stranke glede izvedbe projekta AQUANATURE in se strinja, med stranema ni potrebno poravnavanje stroškov, ker bo geodetski posnetek stanja rečnega dna in nasipov na mejnem odseku Lendava izveden v okviru tega projekta.</w:t>
      </w:r>
    </w:p>
    <w:p w14:paraId="349DA3F2" w14:textId="77EB92D4"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 xml:space="preserve">Komisija naroča, da madžarska stran v letu 2026 opravi geodetski posnetek za pretočni profil na </w:t>
      </w:r>
      <w:proofErr w:type="spellStart"/>
      <w:r w:rsidRPr="00D47E30">
        <w:rPr>
          <w:rFonts w:ascii="Arial" w:hAnsi="Arial" w:cs="Arial"/>
          <w:sz w:val="20"/>
          <w:szCs w:val="20"/>
        </w:rPr>
        <w:t>dolvodnem</w:t>
      </w:r>
      <w:proofErr w:type="spellEnd"/>
      <w:r w:rsidRPr="00D47E30">
        <w:rPr>
          <w:rFonts w:ascii="Arial" w:hAnsi="Arial" w:cs="Arial"/>
          <w:sz w:val="20"/>
          <w:szCs w:val="20"/>
        </w:rPr>
        <w:t xml:space="preserve"> odseku mejnega jarka pri </w:t>
      </w:r>
      <w:proofErr w:type="spellStart"/>
      <w:r w:rsidRPr="00D47E30">
        <w:rPr>
          <w:rFonts w:ascii="Arial" w:hAnsi="Arial" w:cs="Arial"/>
          <w:sz w:val="20"/>
          <w:szCs w:val="20"/>
        </w:rPr>
        <w:t>Rédicsu</w:t>
      </w:r>
      <w:proofErr w:type="spellEnd"/>
      <w:r w:rsidRPr="00D47E30">
        <w:rPr>
          <w:rFonts w:ascii="Arial" w:hAnsi="Arial" w:cs="Arial"/>
          <w:sz w:val="20"/>
          <w:szCs w:val="20"/>
        </w:rPr>
        <w:t>, vključno z usedalnikom naplavin.</w:t>
      </w:r>
    </w:p>
    <w:p w14:paraId="2175DC29" w14:textId="77777777" w:rsidR="00D47E30" w:rsidRPr="00D47E30" w:rsidRDefault="00D47E30" w:rsidP="00D47E30">
      <w:pPr>
        <w:widowControl w:val="0"/>
        <w:spacing w:after="0" w:line="276" w:lineRule="auto"/>
        <w:ind w:left="360"/>
        <w:jc w:val="both"/>
        <w:rPr>
          <w:rFonts w:ascii="Arial" w:hAnsi="Arial" w:cs="Arial"/>
          <w:sz w:val="20"/>
          <w:szCs w:val="20"/>
        </w:rPr>
      </w:pPr>
    </w:p>
    <w:p w14:paraId="1EA74EFC" w14:textId="77777777"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Glede programa dela Delovne skupine za upravljanje voda za leto 2025 in 2026:</w:t>
      </w:r>
    </w:p>
    <w:p w14:paraId="4699BBD4" w14:textId="38B9A24D"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sprejme Delovni program Delovne skupine za upravljanje voda za leto 2026 in terminski plan del.</w:t>
      </w:r>
    </w:p>
    <w:p w14:paraId="057EACF7" w14:textId="77777777" w:rsidR="00D47E30" w:rsidRPr="00D47E30" w:rsidRDefault="00D47E30" w:rsidP="00D47E30">
      <w:pPr>
        <w:widowControl w:val="0"/>
        <w:spacing w:after="0" w:line="276" w:lineRule="auto"/>
        <w:ind w:left="360"/>
        <w:jc w:val="both"/>
        <w:rPr>
          <w:rFonts w:ascii="Arial" w:hAnsi="Arial" w:cs="Arial"/>
          <w:sz w:val="20"/>
          <w:szCs w:val="20"/>
        </w:rPr>
      </w:pPr>
    </w:p>
    <w:p w14:paraId="12C78BC2" w14:textId="77777777" w:rsidR="00D47E30" w:rsidRPr="00D47E30" w:rsidRDefault="00D47E30" w:rsidP="00D47E30">
      <w:pPr>
        <w:spacing w:line="276" w:lineRule="auto"/>
        <w:ind w:left="-142" w:right="141"/>
        <w:jc w:val="both"/>
        <w:rPr>
          <w:rFonts w:ascii="Arial" w:hAnsi="Arial" w:cs="Arial"/>
          <w:sz w:val="20"/>
          <w:szCs w:val="20"/>
        </w:rPr>
      </w:pPr>
      <w:r w:rsidRPr="00D47E30">
        <w:rPr>
          <w:rFonts w:ascii="Arial" w:hAnsi="Arial" w:cs="Arial"/>
          <w:sz w:val="20"/>
          <w:szCs w:val="20"/>
        </w:rPr>
        <w:t xml:space="preserve">Glede medsebojnega obveščanje o morebitnih izrednih onesnaženjih voda in ukrepih na območju </w:t>
      </w:r>
      <w:proofErr w:type="spellStart"/>
      <w:r w:rsidRPr="00D47E30">
        <w:rPr>
          <w:rFonts w:ascii="Arial" w:hAnsi="Arial" w:cs="Arial"/>
          <w:sz w:val="20"/>
          <w:szCs w:val="20"/>
        </w:rPr>
        <w:t>hidrosistema</w:t>
      </w:r>
      <w:proofErr w:type="spellEnd"/>
      <w:r w:rsidRPr="00D47E30">
        <w:rPr>
          <w:rFonts w:ascii="Arial" w:hAnsi="Arial" w:cs="Arial"/>
          <w:sz w:val="20"/>
          <w:szCs w:val="20"/>
        </w:rPr>
        <w:t xml:space="preserve"> Krka – </w:t>
      </w:r>
      <w:proofErr w:type="spellStart"/>
      <w:r w:rsidRPr="00D47E30">
        <w:rPr>
          <w:rFonts w:ascii="Arial" w:hAnsi="Arial" w:cs="Arial"/>
          <w:sz w:val="20"/>
          <w:szCs w:val="20"/>
        </w:rPr>
        <w:t>Ledava</w:t>
      </w:r>
      <w:proofErr w:type="spellEnd"/>
      <w:r w:rsidRPr="00D47E30">
        <w:rPr>
          <w:rFonts w:ascii="Arial" w:hAnsi="Arial" w:cs="Arial"/>
          <w:sz w:val="20"/>
          <w:szCs w:val="20"/>
        </w:rPr>
        <w:t xml:space="preserve"> v odseku skupnega interesa:</w:t>
      </w:r>
    </w:p>
    <w:p w14:paraId="75EF07E2" w14:textId="212F00D5" w:rsidR="00D47E30" w:rsidRDefault="00D47E30" w:rsidP="00D47E30">
      <w:pPr>
        <w:widowControl w:val="0"/>
        <w:numPr>
          <w:ilvl w:val="0"/>
          <w:numId w:val="12"/>
        </w:numPr>
        <w:tabs>
          <w:tab w:val="clear" w:pos="720"/>
        </w:tabs>
        <w:spacing w:after="0" w:line="276" w:lineRule="auto"/>
        <w:ind w:left="360"/>
        <w:jc w:val="both"/>
        <w:rPr>
          <w:rFonts w:ascii="Arial" w:hAnsi="Arial" w:cs="Arial"/>
          <w:sz w:val="20"/>
          <w:szCs w:val="20"/>
        </w:rPr>
      </w:pPr>
      <w:r w:rsidRPr="00D47E30">
        <w:rPr>
          <w:rFonts w:ascii="Arial" w:hAnsi="Arial" w:cs="Arial"/>
          <w:sz w:val="20"/>
          <w:szCs w:val="20"/>
        </w:rPr>
        <w:t>Komisija sklene, da se v primeru onesnaženja, ki bi lahko ogrozilo tudi vodotoke, operativni organi obeh držav, kot je določeno v točki 2.8 Poslovnika delovne skupine za varstvo kakovosti voda, neposredno in takoj medsebojno obvestijo.</w:t>
      </w:r>
    </w:p>
    <w:p w14:paraId="5CFFCF3C" w14:textId="77777777" w:rsidR="00D47E30" w:rsidRPr="00D47E30" w:rsidRDefault="00D47E30" w:rsidP="00D47E30">
      <w:pPr>
        <w:widowControl w:val="0"/>
        <w:spacing w:after="0" w:line="276" w:lineRule="auto"/>
        <w:ind w:left="360"/>
        <w:jc w:val="both"/>
        <w:rPr>
          <w:rFonts w:ascii="Arial" w:hAnsi="Arial" w:cs="Arial"/>
          <w:sz w:val="20"/>
          <w:szCs w:val="20"/>
        </w:rPr>
      </w:pPr>
    </w:p>
    <w:p w14:paraId="369AAD29" w14:textId="1A4F6F1E" w:rsidR="00D47E30" w:rsidRPr="00D47E30" w:rsidRDefault="00D47E30" w:rsidP="00D47E30">
      <w:pPr>
        <w:tabs>
          <w:tab w:val="left" w:pos="1560"/>
          <w:tab w:val="left" w:pos="9360"/>
        </w:tabs>
        <w:spacing w:line="276" w:lineRule="auto"/>
        <w:rPr>
          <w:rFonts w:ascii="Arial" w:hAnsi="Arial" w:cs="Arial"/>
          <w:b/>
          <w:sz w:val="20"/>
          <w:szCs w:val="20"/>
        </w:rPr>
      </w:pPr>
      <w:r w:rsidRPr="00D47E30">
        <w:rPr>
          <w:rFonts w:ascii="Arial" w:hAnsi="Arial" w:cs="Arial"/>
          <w:b/>
          <w:sz w:val="20"/>
          <w:szCs w:val="20"/>
        </w:rPr>
        <w:t>2.3 Izmenjava informacij</w:t>
      </w:r>
    </w:p>
    <w:p w14:paraId="66F1CB71" w14:textId="77777777" w:rsidR="00D47E30" w:rsidRPr="00D47E30" w:rsidRDefault="00D47E30" w:rsidP="00D47E30">
      <w:pPr>
        <w:spacing w:line="276" w:lineRule="auto"/>
        <w:ind w:right="141"/>
        <w:jc w:val="both"/>
        <w:rPr>
          <w:rFonts w:ascii="Arial" w:hAnsi="Arial" w:cs="Arial"/>
          <w:sz w:val="20"/>
          <w:szCs w:val="20"/>
        </w:rPr>
      </w:pPr>
      <w:r w:rsidRPr="00D47E30">
        <w:rPr>
          <w:rFonts w:ascii="Arial" w:hAnsi="Arial" w:cs="Arial"/>
          <w:sz w:val="20"/>
          <w:szCs w:val="20"/>
        </w:rPr>
        <w:t>Pri točki 2.3 je predviden naslednji sklep komisije:</w:t>
      </w:r>
    </w:p>
    <w:p w14:paraId="3DE7AAAA" w14:textId="19FDEB19" w:rsidR="00D47E30" w:rsidRDefault="00D47E30" w:rsidP="00D47E30">
      <w:pPr>
        <w:widowControl w:val="0"/>
        <w:numPr>
          <w:ilvl w:val="0"/>
          <w:numId w:val="12"/>
        </w:numPr>
        <w:tabs>
          <w:tab w:val="clear" w:pos="720"/>
          <w:tab w:val="num" w:pos="426"/>
        </w:tabs>
        <w:spacing w:after="0" w:line="276" w:lineRule="auto"/>
        <w:ind w:left="360"/>
        <w:jc w:val="both"/>
        <w:rPr>
          <w:rFonts w:ascii="Arial" w:hAnsi="Arial" w:cs="Arial"/>
          <w:sz w:val="20"/>
          <w:szCs w:val="20"/>
        </w:rPr>
      </w:pPr>
      <w:r w:rsidRPr="00D47E30">
        <w:rPr>
          <w:rFonts w:ascii="Arial" w:hAnsi="Arial" w:cs="Arial"/>
          <w:sz w:val="20"/>
          <w:szCs w:val="20"/>
        </w:rPr>
        <w:t xml:space="preserve">Strani naj v letu 2026 nadaljujeta s slovensko-madžarsko-avstrijsko-hrvaškim sodelovanjem na </w:t>
      </w:r>
      <w:r w:rsidRPr="00D47E30">
        <w:rPr>
          <w:rFonts w:ascii="Arial" w:hAnsi="Arial" w:cs="Arial"/>
          <w:sz w:val="20"/>
          <w:szCs w:val="20"/>
        </w:rPr>
        <w:lastRenderedPageBreak/>
        <w:t>porečju Mure.</w:t>
      </w:r>
    </w:p>
    <w:p w14:paraId="1753F08F" w14:textId="77777777" w:rsidR="00170028" w:rsidRPr="00170028" w:rsidRDefault="00170028" w:rsidP="00170028">
      <w:pPr>
        <w:widowControl w:val="0"/>
        <w:spacing w:after="0" w:line="276" w:lineRule="auto"/>
        <w:ind w:left="360"/>
        <w:jc w:val="both"/>
        <w:rPr>
          <w:rFonts w:ascii="Arial" w:hAnsi="Arial" w:cs="Arial"/>
          <w:sz w:val="20"/>
          <w:szCs w:val="20"/>
        </w:rPr>
      </w:pPr>
    </w:p>
    <w:p w14:paraId="41F3E165" w14:textId="277B3D34"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b/>
          <w:sz w:val="20"/>
          <w:szCs w:val="20"/>
        </w:rPr>
        <w:t>K točki 3 Strateške naloge</w:t>
      </w:r>
    </w:p>
    <w:p w14:paraId="514F1C70" w14:textId="50BF69EB" w:rsidR="00D47E30" w:rsidRPr="00D47E30" w:rsidRDefault="00D47E30" w:rsidP="00D47E30">
      <w:pPr>
        <w:widowControl w:val="0"/>
        <w:tabs>
          <w:tab w:val="left" w:pos="426"/>
          <w:tab w:val="left" w:pos="5103"/>
        </w:tabs>
        <w:spacing w:line="276" w:lineRule="auto"/>
        <w:ind w:right="141"/>
        <w:jc w:val="both"/>
        <w:rPr>
          <w:rFonts w:ascii="Arial" w:hAnsi="Arial" w:cs="Arial"/>
          <w:sz w:val="20"/>
          <w:szCs w:val="20"/>
          <w:lang w:eastAsia="ja-JP"/>
        </w:rPr>
      </w:pPr>
      <w:r w:rsidRPr="00D47E30">
        <w:rPr>
          <w:rFonts w:ascii="Arial" w:hAnsi="Arial" w:cs="Arial"/>
          <w:sz w:val="20"/>
          <w:szCs w:val="20"/>
          <w:lang w:eastAsia="ja-JP"/>
        </w:rPr>
        <w:t>Pri točki Strateške naloge bo komisija potrdila, da deluje v skladu s cilji Mednarodne konvencije za varstvo reke Donave ter Vodne konvencije. Slovenska stran bo poročala o zaključenem predsedovanju Komisiji za varstvo reke Donave in o dosežkih Vodne konvencije na polovici mandata slovenskega predsedovanja</w:t>
      </w:r>
    </w:p>
    <w:p w14:paraId="7F914D80" w14:textId="5A4F3409" w:rsidR="00D47E30" w:rsidRPr="00D47E30" w:rsidRDefault="00D47E30" w:rsidP="00D47E30">
      <w:pPr>
        <w:tabs>
          <w:tab w:val="left" w:pos="6663"/>
        </w:tabs>
        <w:spacing w:line="276" w:lineRule="auto"/>
        <w:ind w:right="141"/>
        <w:jc w:val="both"/>
        <w:rPr>
          <w:rFonts w:ascii="Arial" w:hAnsi="Arial" w:cs="Arial"/>
          <w:sz w:val="20"/>
          <w:szCs w:val="20"/>
        </w:rPr>
      </w:pPr>
      <w:r w:rsidRPr="00D47E30">
        <w:rPr>
          <w:rFonts w:ascii="Arial" w:hAnsi="Arial" w:cs="Arial"/>
          <w:snapToGrid w:val="0"/>
          <w:sz w:val="20"/>
          <w:szCs w:val="20"/>
        </w:rPr>
        <w:t>Slovenska stran bo opozorila na prihajajoče 4. poročanje Indikatorja 6.5.2 Cilja trajnostnega razvoja 6 Agende 2030 pod skrbništvom UNECE in UNESCO in v skladu z dobro prakso preteklih poročanj predlagala sodelovanje slovenske in madžarske strani v delu poročanja o čezmejnem vodnem sodelovanju Slovenije in Madžarske ter poglobljeno o delovanju Stalne slovensko-madžarske komisije za vodno gospodarstvo.</w:t>
      </w:r>
    </w:p>
    <w:p w14:paraId="20BD1D91" w14:textId="2B8C2B0B" w:rsidR="00D47E30" w:rsidRPr="00D47E30" w:rsidRDefault="00D47E30" w:rsidP="00D47E30">
      <w:pPr>
        <w:tabs>
          <w:tab w:val="left" w:pos="6663"/>
        </w:tabs>
        <w:spacing w:line="276" w:lineRule="auto"/>
        <w:ind w:right="141"/>
        <w:jc w:val="both"/>
        <w:rPr>
          <w:rFonts w:ascii="Arial" w:hAnsi="Arial" w:cs="Arial"/>
          <w:snapToGrid w:val="0"/>
          <w:sz w:val="20"/>
          <w:szCs w:val="20"/>
        </w:rPr>
      </w:pPr>
      <w:r w:rsidRPr="00D47E30">
        <w:rPr>
          <w:rFonts w:ascii="Arial" w:hAnsi="Arial" w:cs="Arial"/>
          <w:snapToGrid w:val="0"/>
          <w:sz w:val="20"/>
          <w:szCs w:val="20"/>
        </w:rPr>
        <w:t xml:space="preserve">Glede izvajanja vodne direktive EU in poplavne direktive EU bo slovenska stran poročala o tekočih aktivnostih. </w:t>
      </w:r>
      <w:r w:rsidRPr="00D47E30">
        <w:rPr>
          <w:rFonts w:ascii="Arial" w:hAnsi="Arial" w:cs="Arial"/>
          <w:sz w:val="20"/>
          <w:szCs w:val="20"/>
          <w:lang w:eastAsia="sl-SI"/>
        </w:rPr>
        <w:t>Program ukrepov načrtov upravljanja voda je v izvajanju. V pripravi so dokumenti in strokovne podlage za naslednji cikel načrtov upravljanja voda. Delineacija in karakterizacija vodnih teles se tudi na območju skupnega interesa ne spreminja. Preliminarne ocene stanja vodnih teles kažejo na posamična izboljšana kemijskega stanja površinskih in podzemnih vodnih teles, tudi na območju Pomurja.</w:t>
      </w:r>
      <w:r w:rsidRPr="00D47E30">
        <w:rPr>
          <w:rFonts w:ascii="Arial" w:hAnsi="Arial" w:cs="Arial"/>
          <w:color w:val="FF0000"/>
          <w:sz w:val="20"/>
          <w:szCs w:val="20"/>
        </w:rPr>
        <w:t xml:space="preserve"> </w:t>
      </w:r>
      <w:r w:rsidRPr="00D47E30">
        <w:rPr>
          <w:rFonts w:ascii="Arial" w:hAnsi="Arial" w:cs="Arial"/>
          <w:sz w:val="20"/>
          <w:szCs w:val="20"/>
        </w:rPr>
        <w:t xml:space="preserve">V sklopu tretjega cikla izvajanja poplavne direktive je bila 3. 3. 2025 sprejeta posodobljena (tretja) Predhodna ocena poplavne ogroženosti skupaj s posodobljenim naborom 104 območij pomembnega vpliva poplav. Slovenija je o poplavnih dogodkih informirala madžarsko stran in uskladila območja pomembnega vpliva poplav na porečju Mure, ki se razen Gornje Radgone in </w:t>
      </w:r>
      <w:proofErr w:type="spellStart"/>
      <w:r w:rsidRPr="00D47E30">
        <w:rPr>
          <w:rFonts w:ascii="Arial" w:hAnsi="Arial" w:cs="Arial"/>
          <w:sz w:val="20"/>
          <w:szCs w:val="20"/>
        </w:rPr>
        <w:t>Kogala</w:t>
      </w:r>
      <w:proofErr w:type="spellEnd"/>
      <w:r w:rsidRPr="00D47E30">
        <w:rPr>
          <w:rFonts w:ascii="Arial" w:hAnsi="Arial" w:cs="Arial"/>
          <w:sz w:val="20"/>
          <w:szCs w:val="20"/>
        </w:rPr>
        <w:t xml:space="preserve">-Ceršaka niso spremenila. Prav tako bo slovenska stran poročala, da je v zaključni fazi priprave kart poplavne nevarnosti in kart poplavne ogroženosti za območja pomembnega vpliva poplav ter da je v zvezi s tem izmenjala informacije z madžarsko stranjo. Naslednji korak je poročanje kart Evropski komisiji. Slovenija je tudi je začela z delom na tretjem Načrtu zmanjševanja poplavne ogroženosti, in da bo o tem procesu aktivno obveščala madžarsko stran. </w:t>
      </w:r>
      <w:r w:rsidRPr="00D47E30">
        <w:rPr>
          <w:rFonts w:ascii="Arial" w:hAnsi="Arial" w:cs="Arial"/>
          <w:snapToGrid w:val="0"/>
          <w:sz w:val="20"/>
          <w:szCs w:val="20"/>
        </w:rPr>
        <w:t>Seznanila se  bo z informacijo madžarske strani glede stanja njihovega načrta upravljanja voda in načrta zmanjševanja poplavne ogroženosti.</w:t>
      </w:r>
    </w:p>
    <w:p w14:paraId="0D2B9289" w14:textId="3B5BFC72" w:rsidR="00D47E30" w:rsidRPr="00D47E30" w:rsidRDefault="00D47E30" w:rsidP="00D47E30">
      <w:pPr>
        <w:widowControl w:val="0"/>
        <w:tabs>
          <w:tab w:val="left" w:pos="426"/>
          <w:tab w:val="left" w:pos="5103"/>
        </w:tabs>
        <w:spacing w:line="276" w:lineRule="auto"/>
        <w:ind w:right="141"/>
        <w:jc w:val="both"/>
        <w:rPr>
          <w:rFonts w:ascii="Arial" w:hAnsi="Arial" w:cs="Arial"/>
          <w:sz w:val="20"/>
          <w:szCs w:val="20"/>
        </w:rPr>
      </w:pPr>
      <w:r w:rsidRPr="00D47E30">
        <w:rPr>
          <w:rFonts w:ascii="Arial" w:hAnsi="Arial" w:cs="Arial"/>
          <w:sz w:val="20"/>
          <w:szCs w:val="20"/>
          <w:lang w:eastAsia="ja-JP"/>
        </w:rPr>
        <w:t xml:space="preserve">Komisija se bo strinjala, da </w:t>
      </w:r>
      <w:r w:rsidRPr="00D47E30">
        <w:rPr>
          <w:rFonts w:ascii="Arial" w:hAnsi="Arial" w:cs="Arial"/>
          <w:sz w:val="20"/>
          <w:szCs w:val="20"/>
        </w:rPr>
        <w:t xml:space="preserve">slovenski in madžarski strokovnjaki še naprej sodelujejo in usklajujejo svoje aktivnosti na področju izvajanja vodne direktive EU za doseganje </w:t>
      </w:r>
      <w:proofErr w:type="spellStart"/>
      <w:r w:rsidRPr="00D47E30">
        <w:rPr>
          <w:rFonts w:ascii="Arial" w:hAnsi="Arial" w:cs="Arial"/>
          <w:sz w:val="20"/>
          <w:szCs w:val="20"/>
        </w:rPr>
        <w:t>okoljskih</w:t>
      </w:r>
      <w:proofErr w:type="spellEnd"/>
      <w:r w:rsidRPr="00D47E30">
        <w:rPr>
          <w:rFonts w:ascii="Arial" w:hAnsi="Arial" w:cs="Arial"/>
          <w:sz w:val="20"/>
          <w:szCs w:val="20"/>
        </w:rPr>
        <w:t xml:space="preserve"> ciljev ter za doseganje in ohranitev dobrega stanja voda, ter da še naprej sodelujejo in usklajujejo svoje aktivnosti za obvladovanje poplavne ogroženosti na območju skupnega interesa.</w:t>
      </w:r>
    </w:p>
    <w:p w14:paraId="5612663D" w14:textId="52F064C6" w:rsidR="00D47E30" w:rsidRPr="00D47E30" w:rsidRDefault="00D47E30" w:rsidP="00D47E30">
      <w:pPr>
        <w:spacing w:line="276" w:lineRule="auto"/>
        <w:outlineLvl w:val="0"/>
        <w:rPr>
          <w:rFonts w:ascii="Arial" w:hAnsi="Arial" w:cs="Arial"/>
          <w:b/>
          <w:sz w:val="20"/>
          <w:szCs w:val="20"/>
        </w:rPr>
      </w:pPr>
      <w:r w:rsidRPr="00D47E30">
        <w:rPr>
          <w:rFonts w:ascii="Arial" w:hAnsi="Arial" w:cs="Arial"/>
          <w:b/>
          <w:sz w:val="20"/>
          <w:szCs w:val="20"/>
        </w:rPr>
        <w:t>K točki 4   Razno</w:t>
      </w:r>
    </w:p>
    <w:p w14:paraId="1AE90914" w14:textId="77777777" w:rsidR="00D47E30" w:rsidRPr="00D47E30" w:rsidRDefault="00D47E30" w:rsidP="00D47E30">
      <w:pPr>
        <w:spacing w:line="276" w:lineRule="auto"/>
        <w:ind w:right="141"/>
        <w:jc w:val="both"/>
        <w:outlineLvl w:val="0"/>
        <w:rPr>
          <w:rFonts w:ascii="Arial" w:hAnsi="Arial" w:cs="Arial"/>
          <w:sz w:val="20"/>
          <w:szCs w:val="20"/>
        </w:rPr>
      </w:pPr>
      <w:r w:rsidRPr="00D47E30">
        <w:rPr>
          <w:rFonts w:ascii="Arial" w:hAnsi="Arial" w:cs="Arial"/>
          <w:sz w:val="20"/>
          <w:szCs w:val="20"/>
        </w:rPr>
        <w:t>Glede oživitve mrtvega rokava na Mali Krki bo komisija točko umaknila z dnevnega reda, saj je bilo odstranjevanje bobrovih jezov izvedeno v potrebnem obsegu.</w:t>
      </w:r>
    </w:p>
    <w:p w14:paraId="2BF0D724" w14:textId="6B56E515" w:rsidR="00D47E30" w:rsidRPr="00D47E30" w:rsidRDefault="00D47E30" w:rsidP="00D47E30">
      <w:pPr>
        <w:spacing w:line="276" w:lineRule="auto"/>
        <w:ind w:right="141"/>
        <w:jc w:val="both"/>
        <w:outlineLvl w:val="0"/>
        <w:rPr>
          <w:rFonts w:ascii="Arial" w:hAnsi="Arial" w:cs="Arial"/>
          <w:sz w:val="20"/>
          <w:szCs w:val="20"/>
        </w:rPr>
      </w:pPr>
      <w:r w:rsidRPr="00D47E30">
        <w:rPr>
          <w:rFonts w:ascii="Arial" w:hAnsi="Arial" w:cs="Arial"/>
          <w:sz w:val="20"/>
          <w:szCs w:val="20"/>
        </w:rPr>
        <w:t xml:space="preserve">Prav tako bo z dnevnega reda umaknila točko glede obnove pretočnega profila Mejnega potoka, saj je slovenska stran poseg izvedla v skladu s predpisi Direkcije narodnega parka </w:t>
      </w:r>
      <w:proofErr w:type="spellStart"/>
      <w:r w:rsidRPr="00D47E30">
        <w:rPr>
          <w:rFonts w:ascii="Arial" w:hAnsi="Arial" w:cs="Arial"/>
          <w:sz w:val="20"/>
          <w:szCs w:val="20"/>
        </w:rPr>
        <w:t>Balaton-felvidéki</w:t>
      </w:r>
      <w:proofErr w:type="spellEnd"/>
      <w:r w:rsidRPr="00D47E30">
        <w:rPr>
          <w:rFonts w:ascii="Arial" w:hAnsi="Arial" w:cs="Arial"/>
          <w:sz w:val="20"/>
          <w:szCs w:val="20"/>
        </w:rPr>
        <w:t xml:space="preserve">. </w:t>
      </w:r>
    </w:p>
    <w:p w14:paraId="59F00B0C" w14:textId="7F9F38B5" w:rsidR="00D47E30" w:rsidRPr="00D47E30" w:rsidRDefault="00D47E30" w:rsidP="00D47E30">
      <w:pPr>
        <w:spacing w:line="276" w:lineRule="auto"/>
        <w:outlineLvl w:val="0"/>
        <w:rPr>
          <w:rFonts w:ascii="Arial" w:hAnsi="Arial" w:cs="Arial"/>
          <w:b/>
          <w:sz w:val="20"/>
          <w:szCs w:val="20"/>
        </w:rPr>
      </w:pPr>
      <w:r w:rsidRPr="00D47E30">
        <w:rPr>
          <w:rFonts w:ascii="Arial" w:hAnsi="Arial" w:cs="Arial"/>
          <w:b/>
          <w:sz w:val="20"/>
          <w:szCs w:val="20"/>
        </w:rPr>
        <w:t xml:space="preserve">K točki 5   Določitev časa in kraja naslednjega zasedanja </w:t>
      </w:r>
    </w:p>
    <w:p w14:paraId="7622177F" w14:textId="0A406B6E" w:rsidR="00D47E30" w:rsidRPr="00D47E30" w:rsidRDefault="00D47E30" w:rsidP="00D47E30">
      <w:pPr>
        <w:widowControl w:val="0"/>
        <w:spacing w:line="276" w:lineRule="auto"/>
        <w:jc w:val="both"/>
        <w:rPr>
          <w:rFonts w:ascii="Arial" w:hAnsi="Arial" w:cs="Arial"/>
          <w:sz w:val="20"/>
          <w:szCs w:val="20"/>
        </w:rPr>
      </w:pPr>
      <w:r w:rsidRPr="00D47E30">
        <w:rPr>
          <w:rFonts w:ascii="Arial" w:hAnsi="Arial" w:cs="Arial"/>
          <w:sz w:val="20"/>
          <w:szCs w:val="20"/>
        </w:rPr>
        <w:t>Delegaciji se bosta dogovorili, da bo XXVIII. zasedanje Stalne slovensko-madžarske komisije za vodno gospodarstvo izvedeno do 30. novembra 2026 v Sloveniji.</w:t>
      </w:r>
    </w:p>
    <w:p w14:paraId="0360D420" w14:textId="6D32A88B" w:rsidR="00D47E30" w:rsidRPr="00D47E30" w:rsidRDefault="00D47E30" w:rsidP="00D47E30">
      <w:pPr>
        <w:tabs>
          <w:tab w:val="left" w:pos="1560"/>
          <w:tab w:val="left" w:pos="9360"/>
        </w:tabs>
        <w:spacing w:line="276" w:lineRule="auto"/>
        <w:jc w:val="center"/>
        <w:rPr>
          <w:rFonts w:ascii="Arial" w:hAnsi="Arial" w:cs="Arial"/>
          <w:b/>
          <w:sz w:val="20"/>
          <w:szCs w:val="20"/>
        </w:rPr>
      </w:pPr>
      <w:r w:rsidRPr="00D47E30">
        <w:rPr>
          <w:rFonts w:ascii="Arial" w:hAnsi="Arial" w:cs="Arial"/>
          <w:b/>
          <w:sz w:val="20"/>
          <w:szCs w:val="20"/>
        </w:rPr>
        <w:t>IV.</w:t>
      </w:r>
    </w:p>
    <w:p w14:paraId="59EA0171" w14:textId="4B9C8D07" w:rsidR="00D47E30" w:rsidRDefault="00D47E30" w:rsidP="00D47E30">
      <w:pPr>
        <w:pStyle w:val="Telobesedila2"/>
        <w:tabs>
          <w:tab w:val="left" w:pos="426"/>
        </w:tabs>
        <w:spacing w:after="0" w:line="276" w:lineRule="auto"/>
        <w:ind w:right="1"/>
        <w:jc w:val="both"/>
        <w:rPr>
          <w:rFonts w:cs="Arial"/>
          <w:szCs w:val="20"/>
        </w:rPr>
      </w:pPr>
      <w:r w:rsidRPr="00D47E30">
        <w:rPr>
          <w:rFonts w:cs="Arial"/>
          <w:szCs w:val="20"/>
        </w:rPr>
        <w:t xml:space="preserve">Stroške udeležbe slovenske delegacije na zasedanju komisije pokriva vsaka ustanova zase. </w:t>
      </w:r>
    </w:p>
    <w:p w14:paraId="275DA119" w14:textId="77777777" w:rsidR="00D47E30" w:rsidRPr="00D47E30" w:rsidRDefault="00D47E30" w:rsidP="00D47E30">
      <w:pPr>
        <w:pStyle w:val="Telobesedila2"/>
        <w:tabs>
          <w:tab w:val="left" w:pos="426"/>
        </w:tabs>
        <w:spacing w:after="0" w:line="276" w:lineRule="auto"/>
        <w:ind w:right="1"/>
        <w:jc w:val="both"/>
        <w:rPr>
          <w:rFonts w:cs="Arial"/>
          <w:szCs w:val="20"/>
        </w:rPr>
      </w:pPr>
    </w:p>
    <w:p w14:paraId="52CB22BF" w14:textId="14EC59FA" w:rsidR="00D47E30" w:rsidRPr="00D47E30" w:rsidRDefault="00D47E30" w:rsidP="00D47E30">
      <w:pPr>
        <w:spacing w:line="276" w:lineRule="auto"/>
        <w:jc w:val="both"/>
        <w:rPr>
          <w:rFonts w:ascii="Arial" w:hAnsi="Arial" w:cs="Arial"/>
          <w:sz w:val="20"/>
          <w:szCs w:val="20"/>
        </w:rPr>
      </w:pPr>
      <w:r w:rsidRPr="00D47E30">
        <w:rPr>
          <w:rFonts w:ascii="Arial" w:hAnsi="Arial" w:cs="Arial"/>
          <w:sz w:val="20"/>
          <w:szCs w:val="20"/>
        </w:rPr>
        <w:t>Glede posameznih točk dnevnega reda bo delegacija Republike Slovenije zastopala stališča, ki ne bodo v nasprotju z evropskim pravnim redom in slovensko zakonodajo, pri čemer bo podprla rešitve, ki bodo zagotavljale izvajanje in doseganje ciljev evropske in slovenske zakonodaje na področju celostnega upravljanja voda v okviru pristojnosti Stalne slovensko-madžarske komisije za vodno gospodarstvo.</w:t>
      </w:r>
    </w:p>
    <w:sectPr w:rsidR="00D47E30" w:rsidRPr="00D47E30"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EDB3" w14:textId="77777777" w:rsidR="00D74007" w:rsidRDefault="00D74007" w:rsidP="00BF67F1">
      <w:pPr>
        <w:spacing w:after="0" w:line="240" w:lineRule="auto"/>
      </w:pPr>
      <w:r>
        <w:separator/>
      </w:r>
    </w:p>
  </w:endnote>
  <w:endnote w:type="continuationSeparator" w:id="0">
    <w:p w14:paraId="4D4241A5" w14:textId="77777777" w:rsidR="00D74007" w:rsidRDefault="00D74007"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Arial"/>
    <w:charset w:val="EE"/>
    <w:family w:val="swiss"/>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2B5D2" w14:textId="77777777" w:rsidR="00D74007" w:rsidRDefault="00D74007" w:rsidP="00BF67F1">
      <w:pPr>
        <w:spacing w:after="0" w:line="240" w:lineRule="auto"/>
      </w:pPr>
      <w:r>
        <w:separator/>
      </w:r>
    </w:p>
  </w:footnote>
  <w:footnote w:type="continuationSeparator" w:id="0">
    <w:p w14:paraId="1B0EB705" w14:textId="77777777" w:rsidR="00D74007" w:rsidRDefault="00D74007"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6B24DE"/>
    <w:multiLevelType w:val="hybridMultilevel"/>
    <w:tmpl w:val="3C944D76"/>
    <w:lvl w:ilvl="0" w:tplc="4022A28A">
      <w:start w:val="2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C4A3614"/>
    <w:multiLevelType w:val="hybridMultilevel"/>
    <w:tmpl w:val="01CE993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CF39D5"/>
    <w:multiLevelType w:val="hybridMultilevel"/>
    <w:tmpl w:val="E7C40684"/>
    <w:lvl w:ilvl="0" w:tplc="60E0DB62">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2"/>
  </w:num>
  <w:num w:numId="2" w16cid:durableId="1494178092">
    <w:abstractNumId w:val="10"/>
  </w:num>
  <w:num w:numId="3" w16cid:durableId="1829588457">
    <w:abstractNumId w:val="9"/>
  </w:num>
  <w:num w:numId="4" w16cid:durableId="1189830393">
    <w:abstractNumId w:val="11"/>
  </w:num>
  <w:num w:numId="5" w16cid:durableId="111942712">
    <w:abstractNumId w:val="12"/>
  </w:num>
  <w:num w:numId="6" w16cid:durableId="870339180">
    <w:abstractNumId w:val="6"/>
  </w:num>
  <w:num w:numId="7" w16cid:durableId="1350712986">
    <w:abstractNumId w:val="3"/>
  </w:num>
  <w:num w:numId="8" w16cid:durableId="1573612922">
    <w:abstractNumId w:val="7"/>
  </w:num>
  <w:num w:numId="9" w16cid:durableId="248197294">
    <w:abstractNumId w:val="4"/>
  </w:num>
  <w:num w:numId="10" w16cid:durableId="79792090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877693212">
    <w:abstractNumId w:val="5"/>
  </w:num>
  <w:num w:numId="12" w16cid:durableId="822962702">
    <w:abstractNumId w:val="8"/>
  </w:num>
  <w:num w:numId="13" w16cid:durableId="195863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322B1"/>
    <w:rsid w:val="00170028"/>
    <w:rsid w:val="001973E4"/>
    <w:rsid w:val="00251F0E"/>
    <w:rsid w:val="00260974"/>
    <w:rsid w:val="00321A64"/>
    <w:rsid w:val="004821EB"/>
    <w:rsid w:val="004C410D"/>
    <w:rsid w:val="00587D93"/>
    <w:rsid w:val="00597BDE"/>
    <w:rsid w:val="005F5F74"/>
    <w:rsid w:val="00695EC3"/>
    <w:rsid w:val="006A6137"/>
    <w:rsid w:val="006C6D02"/>
    <w:rsid w:val="0070044B"/>
    <w:rsid w:val="007A02E7"/>
    <w:rsid w:val="008F210F"/>
    <w:rsid w:val="00990888"/>
    <w:rsid w:val="009E5D8E"/>
    <w:rsid w:val="009F012D"/>
    <w:rsid w:val="00A049F9"/>
    <w:rsid w:val="00A87E0A"/>
    <w:rsid w:val="00A93AB7"/>
    <w:rsid w:val="00AE1F83"/>
    <w:rsid w:val="00AF004F"/>
    <w:rsid w:val="00B0355B"/>
    <w:rsid w:val="00B379A0"/>
    <w:rsid w:val="00B56649"/>
    <w:rsid w:val="00BC1355"/>
    <w:rsid w:val="00BD2C96"/>
    <w:rsid w:val="00BF67F1"/>
    <w:rsid w:val="00C24B2C"/>
    <w:rsid w:val="00C44C5F"/>
    <w:rsid w:val="00D47E30"/>
    <w:rsid w:val="00D74007"/>
    <w:rsid w:val="00D77A75"/>
    <w:rsid w:val="00E163C7"/>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unhideWhenUsed/>
    <w:qFormat/>
    <w:rsid w:val="00D47E30"/>
    <w:pPr>
      <w:keepNext/>
      <w:keepLines/>
      <w:spacing w:before="200" w:after="0" w:line="260" w:lineRule="exact"/>
      <w:outlineLvl w:val="1"/>
    </w:pPr>
    <w:rPr>
      <w:rFonts w:asciiTheme="majorHAnsi" w:eastAsiaTheme="majorEastAsia" w:hAnsiTheme="majorHAnsi" w:cstheme="majorBidi"/>
      <w:b/>
      <w:bCs/>
      <w:color w:val="5B9BD5"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Header-PR"/>
    <w:basedOn w:val="Navaden"/>
    <w:link w:val="GlavaZnak"/>
    <w:unhideWhenUsed/>
    <w:rsid w:val="00BF67F1"/>
    <w:pPr>
      <w:tabs>
        <w:tab w:val="center" w:pos="4536"/>
        <w:tab w:val="right" w:pos="9072"/>
      </w:tabs>
      <w:spacing w:after="0" w:line="240" w:lineRule="auto"/>
    </w:pPr>
  </w:style>
  <w:style w:type="character" w:customStyle="1" w:styleId="GlavaZnak">
    <w:name w:val="Glava Znak"/>
    <w:aliases w:val="Header-PR Znak"/>
    <w:basedOn w:val="Privzetapisavaodstavka"/>
    <w:link w:val="Glava"/>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Telobesedila">
    <w:name w:val="Body Text"/>
    <w:aliases w:val=" Znak Znak Znak,  uvlaka 2, uvlaka 3,uvlaka 2,uvlaka 3"/>
    <w:basedOn w:val="Navaden"/>
    <w:link w:val="TelobesedilaZnak"/>
    <w:rsid w:val="00D47E30"/>
    <w:pPr>
      <w:tabs>
        <w:tab w:val="left" w:pos="284"/>
      </w:tabs>
      <w:spacing w:after="0" w:line="240" w:lineRule="auto"/>
      <w:jc w:val="both"/>
    </w:pPr>
    <w:rPr>
      <w:rFonts w:ascii="Times New Roman" w:eastAsia="Times New Roman" w:hAnsi="Times New Roman" w:cs="Times New Roman"/>
      <w:b/>
      <w:szCs w:val="20"/>
      <w:lang w:eastAsia="sl-SI"/>
    </w:rPr>
  </w:style>
  <w:style w:type="character" w:customStyle="1" w:styleId="TelobesedilaZnak">
    <w:name w:val="Telo besedila Znak"/>
    <w:aliases w:val=" Znak Znak Znak Znak,  uvlaka 2 Znak, uvlaka 3 Znak,uvlaka 2 Znak,uvlaka 3 Znak"/>
    <w:basedOn w:val="Privzetapisavaodstavka"/>
    <w:link w:val="Telobesedila"/>
    <w:rsid w:val="00D47E30"/>
    <w:rPr>
      <w:rFonts w:ascii="Times New Roman" w:eastAsia="Times New Roman" w:hAnsi="Times New Roman" w:cs="Times New Roman"/>
      <w:b/>
      <w:szCs w:val="20"/>
      <w:lang w:eastAsia="sl-SI"/>
    </w:rPr>
  </w:style>
  <w:style w:type="paragraph" w:styleId="Telobesedila2">
    <w:name w:val="Body Text 2"/>
    <w:basedOn w:val="Navaden"/>
    <w:link w:val="Telobesedila2Znak"/>
    <w:rsid w:val="00D47E30"/>
    <w:pPr>
      <w:spacing w:after="120" w:line="480" w:lineRule="auto"/>
    </w:pPr>
    <w:rPr>
      <w:rFonts w:ascii="Arial" w:eastAsia="Times New Roman" w:hAnsi="Arial" w:cs="Times New Roman"/>
      <w:sz w:val="20"/>
      <w:szCs w:val="24"/>
    </w:rPr>
  </w:style>
  <w:style w:type="character" w:customStyle="1" w:styleId="Telobesedila2Znak">
    <w:name w:val="Telo besedila 2 Znak"/>
    <w:basedOn w:val="Privzetapisavaodstavka"/>
    <w:link w:val="Telobesedila2"/>
    <w:rsid w:val="00D47E30"/>
    <w:rPr>
      <w:rFonts w:ascii="Arial" w:eastAsia="Times New Roman" w:hAnsi="Arial" w:cs="Times New Roman"/>
      <w:sz w:val="20"/>
      <w:szCs w:val="24"/>
    </w:rPr>
  </w:style>
  <w:style w:type="paragraph" w:customStyle="1" w:styleId="Poglavje">
    <w:name w:val="Poglavje"/>
    <w:basedOn w:val="Navaden"/>
    <w:qFormat/>
    <w:rsid w:val="00D47E3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character" w:customStyle="1" w:styleId="Naslov2Znak">
    <w:name w:val="Naslov 2 Znak"/>
    <w:basedOn w:val="Privzetapisavaodstavka"/>
    <w:link w:val="Naslov2"/>
    <w:rsid w:val="00D47E30"/>
    <w:rPr>
      <w:rFonts w:asciiTheme="majorHAnsi" w:eastAsiaTheme="majorEastAsia" w:hAnsiTheme="majorHAnsi" w:cstheme="majorBidi"/>
      <w:b/>
      <w:bCs/>
      <w:color w:val="5B9BD5" w:themeColor="accent1"/>
      <w:sz w:val="26"/>
      <w:szCs w:val="26"/>
    </w:rPr>
  </w:style>
  <w:style w:type="paragraph" w:customStyle="1" w:styleId="NaslovpredpisaZnak">
    <w:name w:val="Naslov_predpisa Znak"/>
    <w:basedOn w:val="Navaden"/>
    <w:link w:val="NaslovpredpisaZnakZnak"/>
    <w:qFormat/>
    <w:rsid w:val="00D47E30"/>
    <w:pPr>
      <w:suppressAutoHyphens/>
      <w:overflowPunct w:val="0"/>
      <w:autoSpaceDE w:val="0"/>
      <w:autoSpaceDN w:val="0"/>
      <w:adjustRightInd w:val="0"/>
      <w:spacing w:before="120" w:line="200" w:lineRule="exact"/>
      <w:jc w:val="center"/>
      <w:textAlignment w:val="baseline"/>
    </w:pPr>
    <w:rPr>
      <w:rFonts w:ascii="Arial" w:eastAsia="Times New Roman" w:hAnsi="Arial" w:cs="Arial"/>
      <w:b/>
      <w:sz w:val="24"/>
      <w:szCs w:val="24"/>
      <w:lang w:eastAsia="sl-SI"/>
    </w:rPr>
  </w:style>
  <w:style w:type="character" w:customStyle="1" w:styleId="NaslovpredpisaZnakZnak">
    <w:name w:val="Naslov_predpisa Znak Znak"/>
    <w:link w:val="NaslovpredpisaZnak"/>
    <w:rsid w:val="00D47E30"/>
    <w:rPr>
      <w:rFonts w:ascii="Arial" w:eastAsia="Times New Roman" w:hAnsi="Arial" w:cs="Arial"/>
      <w:b/>
      <w:sz w:val="24"/>
      <w:szCs w:val="24"/>
      <w:lang w:eastAsia="sl-SI"/>
    </w:rPr>
  </w:style>
  <w:style w:type="paragraph" w:styleId="Seznam">
    <w:name w:val="List"/>
    <w:basedOn w:val="Telobesedila"/>
    <w:rsid w:val="00D47E30"/>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paragraph" w:styleId="Odstavekseznama">
    <w:name w:val="List Paragraph"/>
    <w:aliases w:val="Dot pt,F5 List Paragraph,List Paragraph Char Char Char,Indicator Text,Numbered Para 1,Bullet 1,Bullet Points,List Paragraph2,MAIN CONTENT,Normal numbered,List Paragraph1,Colorful List - Accent 11,Issue Action POC,3,POCG Table Text,Bulle"/>
    <w:basedOn w:val="Navaden"/>
    <w:link w:val="OdstavekseznamaZnak"/>
    <w:uiPriority w:val="34"/>
    <w:qFormat/>
    <w:rsid w:val="00D47E30"/>
    <w:pPr>
      <w:spacing w:after="0" w:line="260" w:lineRule="exact"/>
      <w:ind w:left="720"/>
      <w:contextualSpacing/>
    </w:pPr>
    <w:rPr>
      <w:rFonts w:ascii="Arial" w:eastAsia="Times New Roman" w:hAnsi="Arial" w:cs="Times New Roman"/>
      <w:sz w:val="20"/>
      <w:szCs w:val="24"/>
    </w:rPr>
  </w:style>
  <w:style w:type="character" w:customStyle="1" w:styleId="OdstavekseznamaZnak">
    <w:name w:val="Odstavek seznama Znak"/>
    <w:aliases w:val="Dot pt Znak,F5 List Paragraph Znak,List Paragraph Char Char Char Znak,Indicator Text Znak,Numbered Para 1 Znak,Bullet 1 Znak,Bullet Points Znak,List Paragraph2 Znak,MAIN CONTENT Znak,Normal numbered Znak,List Paragraph1 Znak,3 Znak"/>
    <w:link w:val="Odstavekseznama"/>
    <w:uiPriority w:val="34"/>
    <w:qFormat/>
    <w:locked/>
    <w:rsid w:val="00D47E30"/>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2.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4.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3451</Words>
  <Characters>19677</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Barbara Potočnik (MNVP)</cp:lastModifiedBy>
  <cp:revision>3</cp:revision>
  <dcterms:created xsi:type="dcterms:W3CDTF">2026-03-10T10:07:00Z</dcterms:created>
  <dcterms:modified xsi:type="dcterms:W3CDTF">2026-03-10T10:08:00Z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