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6F52" w14:textId="3C7E3BBE" w:rsidR="008A7037" w:rsidRPr="00FF207E" w:rsidRDefault="000A3AC2" w:rsidP="001E304B">
      <w:pPr>
        <w:tabs>
          <w:tab w:val="left" w:pos="4005"/>
        </w:tabs>
        <w:jc w:val="both"/>
        <w:rPr>
          <w:lang w:val="sl-SI"/>
        </w:rPr>
      </w:pPr>
      <w:r w:rsidRPr="00FF207E">
        <w:rPr>
          <w:noProof/>
          <w:lang w:val="sl-SI" w:eastAsia="sl-SI"/>
        </w:rPr>
        <w:drawing>
          <wp:anchor distT="0" distB="0" distL="114300" distR="114300" simplePos="0" relativeHeight="251658240" behindDoc="0" locked="0" layoutInCell="1" allowOverlap="1" wp14:anchorId="430C782A" wp14:editId="2137D3FE">
            <wp:simplePos x="0" y="0"/>
            <wp:positionH relativeFrom="column">
              <wp:posOffset>109855</wp:posOffset>
            </wp:positionH>
            <wp:positionV relativeFrom="paragraph">
              <wp:posOffset>-252095</wp:posOffset>
            </wp:positionV>
            <wp:extent cx="4410075" cy="457817"/>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2441" cy="466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207E">
        <w:rPr>
          <w:lang w:val="sl-SI"/>
        </w:rPr>
        <w:tab/>
      </w:r>
    </w:p>
    <w:p w14:paraId="342C8D01" w14:textId="325686CD" w:rsidR="008A7037" w:rsidRPr="00FF207E" w:rsidRDefault="008A7037" w:rsidP="001E304B">
      <w:pPr>
        <w:jc w:val="both"/>
        <w:rPr>
          <w:rFonts w:cs="Arial"/>
          <w:b/>
          <w:spacing w:val="5"/>
          <w:kern w:val="28"/>
          <w:sz w:val="28"/>
          <w:szCs w:val="28"/>
          <w:lang w:val="sl-SI"/>
        </w:rPr>
      </w:pPr>
    </w:p>
    <w:p w14:paraId="6B1ACEF9" w14:textId="2BBD1580" w:rsidR="008A7037" w:rsidRPr="00FF207E" w:rsidRDefault="008A7037" w:rsidP="001E304B">
      <w:pPr>
        <w:jc w:val="both"/>
        <w:rPr>
          <w:rFonts w:cs="Arial"/>
          <w:b/>
          <w:spacing w:val="5"/>
          <w:kern w:val="28"/>
          <w:sz w:val="28"/>
          <w:szCs w:val="28"/>
          <w:lang w:val="sl-SI"/>
        </w:rPr>
      </w:pPr>
    </w:p>
    <w:p w14:paraId="55350110" w14:textId="77777777" w:rsidR="000A3AC2" w:rsidRPr="00FF207E" w:rsidRDefault="000A3AC2" w:rsidP="001E304B">
      <w:pPr>
        <w:pStyle w:val="datumtevilka"/>
        <w:jc w:val="both"/>
      </w:pPr>
    </w:p>
    <w:p w14:paraId="563494C7" w14:textId="77777777" w:rsidR="008A7037" w:rsidRPr="00FF207E" w:rsidRDefault="008A7037" w:rsidP="001E304B">
      <w:pPr>
        <w:jc w:val="both"/>
        <w:rPr>
          <w:rFonts w:cs="Arial"/>
          <w:b/>
          <w:spacing w:val="5"/>
          <w:kern w:val="28"/>
          <w:sz w:val="28"/>
          <w:szCs w:val="28"/>
          <w:lang w:val="sl-SI"/>
        </w:rPr>
      </w:pPr>
    </w:p>
    <w:p w14:paraId="3FDC94FE" w14:textId="77777777" w:rsidR="008A7037" w:rsidRPr="00FF207E" w:rsidRDefault="008A7037" w:rsidP="001E304B">
      <w:pPr>
        <w:jc w:val="both"/>
        <w:rPr>
          <w:rFonts w:cs="Arial"/>
          <w:b/>
          <w:spacing w:val="5"/>
          <w:kern w:val="28"/>
          <w:sz w:val="28"/>
          <w:szCs w:val="28"/>
          <w:lang w:val="sl-SI"/>
        </w:rPr>
      </w:pPr>
    </w:p>
    <w:p w14:paraId="71DAC192" w14:textId="77777777" w:rsidR="008A7037" w:rsidRPr="00FF207E" w:rsidRDefault="008A7037" w:rsidP="001E304B">
      <w:pPr>
        <w:jc w:val="both"/>
        <w:rPr>
          <w:rFonts w:cs="Arial"/>
          <w:b/>
          <w:spacing w:val="5"/>
          <w:kern w:val="28"/>
          <w:sz w:val="28"/>
          <w:szCs w:val="28"/>
          <w:lang w:val="sl-SI"/>
        </w:rPr>
      </w:pPr>
    </w:p>
    <w:p w14:paraId="06B175EE" w14:textId="51C6B69F" w:rsidR="008A7037" w:rsidRPr="00FF207E" w:rsidRDefault="008A7037" w:rsidP="001E304B">
      <w:pPr>
        <w:jc w:val="both"/>
        <w:rPr>
          <w:rFonts w:cs="Arial"/>
          <w:b/>
          <w:spacing w:val="5"/>
          <w:kern w:val="28"/>
          <w:sz w:val="28"/>
          <w:szCs w:val="28"/>
          <w:lang w:val="sl-SI"/>
        </w:rPr>
      </w:pPr>
    </w:p>
    <w:p w14:paraId="4F58E05B" w14:textId="7E0686B5" w:rsidR="000A3AC2" w:rsidRPr="00FF207E" w:rsidRDefault="000A3AC2" w:rsidP="001E304B">
      <w:pPr>
        <w:jc w:val="both"/>
        <w:rPr>
          <w:rFonts w:cs="Arial"/>
          <w:b/>
          <w:spacing w:val="5"/>
          <w:kern w:val="28"/>
          <w:sz w:val="28"/>
          <w:szCs w:val="28"/>
          <w:lang w:val="sl-SI"/>
        </w:rPr>
      </w:pPr>
    </w:p>
    <w:p w14:paraId="5B6ACF87" w14:textId="7A648456" w:rsidR="000A3AC2" w:rsidRPr="00FF207E" w:rsidRDefault="000A3AC2" w:rsidP="001E304B">
      <w:pPr>
        <w:jc w:val="both"/>
        <w:rPr>
          <w:rFonts w:cs="Arial"/>
          <w:b/>
          <w:spacing w:val="5"/>
          <w:kern w:val="28"/>
          <w:sz w:val="28"/>
          <w:szCs w:val="28"/>
          <w:lang w:val="sl-SI"/>
        </w:rPr>
      </w:pPr>
    </w:p>
    <w:p w14:paraId="7D35D724" w14:textId="249989C7" w:rsidR="000A3AC2" w:rsidRPr="00FF207E" w:rsidRDefault="000A3AC2" w:rsidP="001E304B">
      <w:pPr>
        <w:jc w:val="both"/>
        <w:rPr>
          <w:rFonts w:cs="Arial"/>
          <w:b/>
          <w:spacing w:val="5"/>
          <w:kern w:val="28"/>
          <w:sz w:val="28"/>
          <w:szCs w:val="28"/>
          <w:lang w:val="sl-SI"/>
        </w:rPr>
      </w:pPr>
    </w:p>
    <w:p w14:paraId="31476D63" w14:textId="1C3C3D7E" w:rsidR="000A3AC2" w:rsidRPr="00FF207E" w:rsidRDefault="000A3AC2" w:rsidP="001E304B">
      <w:pPr>
        <w:jc w:val="both"/>
        <w:rPr>
          <w:rFonts w:cs="Arial"/>
          <w:b/>
          <w:spacing w:val="5"/>
          <w:kern w:val="28"/>
          <w:sz w:val="28"/>
          <w:szCs w:val="28"/>
          <w:lang w:val="sl-SI"/>
        </w:rPr>
      </w:pPr>
    </w:p>
    <w:p w14:paraId="4E0FCC09" w14:textId="77777777" w:rsidR="000A3AC2" w:rsidRPr="00FF207E" w:rsidRDefault="000A3AC2" w:rsidP="001E304B">
      <w:pPr>
        <w:jc w:val="both"/>
        <w:rPr>
          <w:rFonts w:cs="Arial"/>
          <w:b/>
          <w:spacing w:val="5"/>
          <w:kern w:val="28"/>
          <w:sz w:val="28"/>
          <w:szCs w:val="28"/>
          <w:lang w:val="sl-SI"/>
        </w:rPr>
      </w:pPr>
    </w:p>
    <w:p w14:paraId="754FD2F0" w14:textId="75CC6FFE" w:rsidR="000A3AC2" w:rsidRPr="00FF207E" w:rsidRDefault="000A3AC2" w:rsidP="001E304B">
      <w:pPr>
        <w:jc w:val="both"/>
        <w:rPr>
          <w:rFonts w:cs="Arial"/>
          <w:b/>
          <w:spacing w:val="5"/>
          <w:kern w:val="28"/>
          <w:sz w:val="28"/>
          <w:szCs w:val="28"/>
          <w:lang w:val="sl-SI"/>
        </w:rPr>
      </w:pPr>
    </w:p>
    <w:p w14:paraId="3EF1505F" w14:textId="77777777" w:rsidR="000A3AC2" w:rsidRPr="00FF207E" w:rsidRDefault="000A3AC2" w:rsidP="001E304B">
      <w:pPr>
        <w:jc w:val="both"/>
        <w:rPr>
          <w:rFonts w:cs="Arial"/>
          <w:b/>
          <w:spacing w:val="5"/>
          <w:kern w:val="28"/>
          <w:sz w:val="28"/>
          <w:szCs w:val="28"/>
          <w:lang w:val="sl-SI"/>
        </w:rPr>
      </w:pPr>
    </w:p>
    <w:p w14:paraId="3C264DC1" w14:textId="77777777" w:rsidR="008A7037" w:rsidRPr="00FF207E" w:rsidRDefault="008A7037" w:rsidP="001E304B">
      <w:pPr>
        <w:jc w:val="both"/>
        <w:rPr>
          <w:rFonts w:cs="Arial"/>
          <w:b/>
          <w:spacing w:val="5"/>
          <w:kern w:val="28"/>
          <w:sz w:val="28"/>
          <w:szCs w:val="28"/>
          <w:lang w:val="sl-SI"/>
        </w:rPr>
      </w:pPr>
    </w:p>
    <w:p w14:paraId="1D964A33" w14:textId="77777777" w:rsidR="008A7037" w:rsidRPr="00FF207E" w:rsidRDefault="008A7037" w:rsidP="001E304B">
      <w:pPr>
        <w:jc w:val="both"/>
        <w:rPr>
          <w:rFonts w:cs="Arial"/>
          <w:b/>
          <w:spacing w:val="5"/>
          <w:kern w:val="28"/>
          <w:sz w:val="28"/>
          <w:szCs w:val="28"/>
          <w:lang w:val="sl-SI"/>
        </w:rPr>
      </w:pPr>
    </w:p>
    <w:p w14:paraId="7D8EB542" w14:textId="2481AB53" w:rsidR="008A7037" w:rsidRPr="00FF207E" w:rsidRDefault="008A7037" w:rsidP="00006F1A">
      <w:pPr>
        <w:jc w:val="center"/>
        <w:rPr>
          <w:rFonts w:eastAsiaTheme="minorHAnsi" w:cs="Arial"/>
          <w:b/>
          <w:bCs/>
          <w:smallCaps/>
          <w:color w:val="4F81BD" w:themeColor="accent1"/>
          <w:sz w:val="48"/>
          <w:szCs w:val="48"/>
          <w:lang w:val="sl-SI"/>
        </w:rPr>
      </w:pPr>
      <w:bookmarkStart w:id="0" w:name="_Hlk139453530"/>
      <w:r w:rsidRPr="00FF207E">
        <w:rPr>
          <w:rFonts w:eastAsiaTheme="minorHAnsi" w:cs="Arial"/>
          <w:b/>
          <w:bCs/>
          <w:smallCaps/>
          <w:color w:val="4F81BD" w:themeColor="accent1"/>
          <w:sz w:val="48"/>
          <w:szCs w:val="48"/>
          <w:lang w:val="sl-SI"/>
        </w:rPr>
        <w:t>Akcijski načrt za zmanjševanje energetske revščine</w:t>
      </w:r>
    </w:p>
    <w:bookmarkEnd w:id="0"/>
    <w:p w14:paraId="51DE7EFF" w14:textId="77777777" w:rsidR="008A7037" w:rsidRPr="00FF207E" w:rsidRDefault="008A7037" w:rsidP="001E304B">
      <w:pPr>
        <w:jc w:val="both"/>
        <w:rPr>
          <w:lang w:val="sl-SI"/>
        </w:rPr>
      </w:pPr>
    </w:p>
    <w:tbl>
      <w:tblPr>
        <w:tblW w:w="0" w:type="auto"/>
        <w:jc w:val="center"/>
        <w:tblLook w:val="00A0" w:firstRow="1" w:lastRow="0" w:firstColumn="1" w:lastColumn="0" w:noHBand="0" w:noVBand="0"/>
      </w:tblPr>
      <w:tblGrid>
        <w:gridCol w:w="3544"/>
        <w:gridCol w:w="4961"/>
      </w:tblGrid>
      <w:tr w:rsidR="00B018D7" w:rsidRPr="00FF207E" w14:paraId="3989953A" w14:textId="77777777" w:rsidTr="00713D82">
        <w:trPr>
          <w:jc w:val="center"/>
        </w:trPr>
        <w:tc>
          <w:tcPr>
            <w:tcW w:w="3544" w:type="dxa"/>
          </w:tcPr>
          <w:p w14:paraId="488D067E" w14:textId="775DB3C4" w:rsidR="00B018D7" w:rsidRPr="00FF207E" w:rsidRDefault="00B018D7" w:rsidP="001E304B">
            <w:pPr>
              <w:spacing w:before="120" w:after="120"/>
              <w:jc w:val="both"/>
              <w:rPr>
                <w:rFonts w:cs="Arial"/>
                <w:b/>
                <w:color w:val="4F81BD" w:themeColor="accent1"/>
                <w:szCs w:val="22"/>
                <w:lang w:val="sl-SI"/>
              </w:rPr>
            </w:pPr>
          </w:p>
        </w:tc>
        <w:tc>
          <w:tcPr>
            <w:tcW w:w="4961" w:type="dxa"/>
            <w:vAlign w:val="bottom"/>
          </w:tcPr>
          <w:p w14:paraId="5CE6813D" w14:textId="77777777" w:rsidR="008A7037" w:rsidRPr="00FF207E" w:rsidRDefault="008A7037" w:rsidP="001E304B">
            <w:pPr>
              <w:spacing w:before="120" w:after="120"/>
              <w:jc w:val="both"/>
              <w:rPr>
                <w:rFonts w:cs="Arial"/>
                <w:b/>
                <w:lang w:val="sl-SI"/>
              </w:rPr>
            </w:pPr>
          </w:p>
          <w:p w14:paraId="16E47369" w14:textId="77777777" w:rsidR="008A7037" w:rsidRPr="00FF207E" w:rsidRDefault="008A7037" w:rsidP="001E304B">
            <w:pPr>
              <w:spacing w:before="120" w:after="120"/>
              <w:jc w:val="both"/>
              <w:rPr>
                <w:rFonts w:cs="Arial"/>
                <w:b/>
                <w:lang w:val="sl-SI"/>
              </w:rPr>
            </w:pPr>
          </w:p>
          <w:p w14:paraId="1E772992" w14:textId="77777777" w:rsidR="008A7037" w:rsidRPr="00FF207E" w:rsidRDefault="008A7037" w:rsidP="001E304B">
            <w:pPr>
              <w:spacing w:before="120" w:after="120"/>
              <w:jc w:val="both"/>
              <w:rPr>
                <w:rFonts w:cs="Arial"/>
                <w:b/>
                <w:lang w:val="sl-SI"/>
              </w:rPr>
            </w:pPr>
          </w:p>
          <w:p w14:paraId="17622D43" w14:textId="77777777" w:rsidR="008A7037" w:rsidRPr="00FF207E" w:rsidRDefault="008A7037" w:rsidP="001E304B">
            <w:pPr>
              <w:spacing w:before="120" w:after="120"/>
              <w:jc w:val="both"/>
              <w:rPr>
                <w:rFonts w:cs="Arial"/>
                <w:b/>
                <w:lang w:val="sl-SI"/>
              </w:rPr>
            </w:pPr>
          </w:p>
          <w:p w14:paraId="3E5D8F7E" w14:textId="77777777" w:rsidR="008A7037" w:rsidRPr="00FF207E" w:rsidRDefault="008A7037" w:rsidP="001E304B">
            <w:pPr>
              <w:spacing w:before="120" w:after="120"/>
              <w:jc w:val="both"/>
              <w:rPr>
                <w:rFonts w:cs="Arial"/>
                <w:b/>
                <w:lang w:val="sl-SI"/>
              </w:rPr>
            </w:pPr>
          </w:p>
          <w:p w14:paraId="662AD211" w14:textId="77777777" w:rsidR="008A7037" w:rsidRPr="00FF207E" w:rsidRDefault="008A7037" w:rsidP="001E304B">
            <w:pPr>
              <w:spacing w:before="120" w:after="120"/>
              <w:jc w:val="both"/>
              <w:rPr>
                <w:rFonts w:cs="Arial"/>
                <w:b/>
                <w:lang w:val="sl-SI"/>
              </w:rPr>
            </w:pPr>
          </w:p>
          <w:p w14:paraId="352A1CC9" w14:textId="77777777" w:rsidR="008A7037" w:rsidRPr="00FF207E" w:rsidRDefault="008A7037" w:rsidP="001E304B">
            <w:pPr>
              <w:spacing w:before="120" w:after="120"/>
              <w:jc w:val="both"/>
              <w:rPr>
                <w:rFonts w:cs="Arial"/>
                <w:b/>
                <w:lang w:val="sl-SI"/>
              </w:rPr>
            </w:pPr>
          </w:p>
          <w:p w14:paraId="12D7634A" w14:textId="77777777" w:rsidR="008A7037" w:rsidRPr="00FF207E" w:rsidRDefault="008A7037" w:rsidP="001E304B">
            <w:pPr>
              <w:spacing w:before="120" w:after="120"/>
              <w:jc w:val="both"/>
              <w:rPr>
                <w:rFonts w:cs="Arial"/>
                <w:b/>
                <w:lang w:val="sl-SI"/>
              </w:rPr>
            </w:pPr>
          </w:p>
          <w:p w14:paraId="254B0AFA" w14:textId="77777777" w:rsidR="008A7037" w:rsidRPr="00FF207E" w:rsidRDefault="008A7037" w:rsidP="001E304B">
            <w:pPr>
              <w:spacing w:before="120" w:after="120"/>
              <w:jc w:val="both"/>
              <w:rPr>
                <w:rFonts w:cs="Arial"/>
                <w:b/>
                <w:lang w:val="sl-SI"/>
              </w:rPr>
            </w:pPr>
          </w:p>
          <w:p w14:paraId="16B724CC" w14:textId="77777777" w:rsidR="008A7037" w:rsidRPr="00FF207E" w:rsidRDefault="008A7037" w:rsidP="001E304B">
            <w:pPr>
              <w:spacing w:before="120" w:after="120"/>
              <w:jc w:val="both"/>
              <w:rPr>
                <w:rFonts w:cs="Arial"/>
                <w:b/>
                <w:lang w:val="sl-SI"/>
              </w:rPr>
            </w:pPr>
          </w:p>
          <w:p w14:paraId="4DAC5ED6" w14:textId="77777777" w:rsidR="008A7037" w:rsidRPr="00FF207E" w:rsidRDefault="008A7037" w:rsidP="001E304B">
            <w:pPr>
              <w:spacing w:before="120" w:after="120"/>
              <w:jc w:val="both"/>
              <w:rPr>
                <w:rFonts w:cs="Arial"/>
                <w:b/>
                <w:lang w:val="sl-SI"/>
              </w:rPr>
            </w:pPr>
          </w:p>
          <w:p w14:paraId="0562CF2F" w14:textId="77777777" w:rsidR="008A7037" w:rsidRPr="00FF207E" w:rsidRDefault="008A7037" w:rsidP="001E304B">
            <w:pPr>
              <w:spacing w:before="120" w:after="120"/>
              <w:jc w:val="both"/>
              <w:rPr>
                <w:rFonts w:cs="Arial"/>
                <w:b/>
                <w:lang w:val="sl-SI"/>
              </w:rPr>
            </w:pPr>
          </w:p>
          <w:p w14:paraId="3386ED5E" w14:textId="77777777" w:rsidR="008A7037" w:rsidRPr="00FF207E" w:rsidRDefault="008A7037" w:rsidP="001E304B">
            <w:pPr>
              <w:spacing w:before="120" w:after="120"/>
              <w:jc w:val="both"/>
              <w:rPr>
                <w:rFonts w:cs="Arial"/>
                <w:b/>
                <w:lang w:val="sl-SI"/>
              </w:rPr>
            </w:pPr>
          </w:p>
          <w:p w14:paraId="56AF76FB" w14:textId="508D5C9D" w:rsidR="008A7037" w:rsidRPr="00FF207E" w:rsidRDefault="008A7037" w:rsidP="001E304B">
            <w:pPr>
              <w:spacing w:before="120" w:after="120"/>
              <w:jc w:val="both"/>
              <w:rPr>
                <w:rFonts w:cs="Arial"/>
                <w:b/>
                <w:lang w:val="sl-SI"/>
              </w:rPr>
            </w:pPr>
          </w:p>
          <w:p w14:paraId="5A26C382" w14:textId="77777777" w:rsidR="006122F9" w:rsidRPr="00FF207E" w:rsidRDefault="006122F9" w:rsidP="001E304B">
            <w:pPr>
              <w:spacing w:before="120" w:after="120"/>
              <w:jc w:val="both"/>
              <w:rPr>
                <w:rFonts w:cs="Arial"/>
                <w:b/>
                <w:lang w:val="sl-SI"/>
              </w:rPr>
            </w:pPr>
          </w:p>
          <w:p w14:paraId="653EE950" w14:textId="1C272F37" w:rsidR="00B018D7" w:rsidRPr="00FF207E" w:rsidRDefault="008A7037" w:rsidP="006122F9">
            <w:pPr>
              <w:spacing w:before="120" w:after="240"/>
              <w:jc w:val="right"/>
              <w:rPr>
                <w:rStyle w:val="Intenzivensklic"/>
                <w:rFonts w:cs="Arial"/>
                <w:bCs w:val="0"/>
                <w:smallCaps w:val="0"/>
                <w:color w:val="auto"/>
                <w:spacing w:val="0"/>
                <w:u w:val="none"/>
                <w:lang w:val="sl-SI"/>
              </w:rPr>
            </w:pPr>
            <w:r w:rsidRPr="00FF207E">
              <w:rPr>
                <w:rFonts w:cs="Arial"/>
                <w:b/>
                <w:lang w:val="sl-SI"/>
              </w:rPr>
              <w:t xml:space="preserve">Ljubljana, </w:t>
            </w:r>
            <w:r w:rsidR="006122F9" w:rsidRPr="00FF207E">
              <w:rPr>
                <w:rFonts w:cs="Arial"/>
                <w:b/>
                <w:lang w:val="sl-SI"/>
              </w:rPr>
              <w:t>november</w:t>
            </w:r>
            <w:r w:rsidR="000A3AC2" w:rsidRPr="00FF207E">
              <w:rPr>
                <w:rFonts w:cs="Arial"/>
                <w:b/>
                <w:lang w:val="sl-SI"/>
              </w:rPr>
              <w:t xml:space="preserve"> </w:t>
            </w:r>
            <w:r w:rsidRPr="00FF207E">
              <w:rPr>
                <w:rFonts w:cs="Arial"/>
                <w:b/>
                <w:lang w:val="sl-SI"/>
              </w:rPr>
              <w:t>202</w:t>
            </w:r>
            <w:r w:rsidR="000A3AC2" w:rsidRPr="00FF207E">
              <w:rPr>
                <w:rFonts w:cs="Arial"/>
                <w:b/>
                <w:lang w:val="sl-SI"/>
              </w:rPr>
              <w:t>3</w:t>
            </w:r>
          </w:p>
        </w:tc>
      </w:tr>
    </w:tbl>
    <w:sdt>
      <w:sdtPr>
        <w:rPr>
          <w:rFonts w:asciiTheme="minorHAnsi" w:eastAsiaTheme="minorHAnsi" w:hAnsiTheme="minorHAnsi" w:cstheme="minorBidi"/>
          <w:noProof w:val="0"/>
          <w:color w:val="C0504D" w:themeColor="accent2"/>
          <w:spacing w:val="5"/>
          <w:szCs w:val="22"/>
          <w:lang w:val="sl-SI"/>
        </w:rPr>
        <w:id w:val="1531760321"/>
        <w:docPartObj>
          <w:docPartGallery w:val="Table of Contents"/>
          <w:docPartUnique/>
        </w:docPartObj>
      </w:sdtPr>
      <w:sdtEndPr>
        <w:rPr>
          <w:rStyle w:val="Hiperpovezava"/>
          <w:rFonts w:ascii="Calibri" w:hAnsi="Calibri" w:cstheme="minorHAnsi"/>
          <w:caps/>
          <w:color w:val="0000FF" w:themeColor="hyperlink"/>
          <w:spacing w:val="0"/>
          <w:sz w:val="20"/>
          <w:szCs w:val="20"/>
          <w:u w:val="single"/>
        </w:rPr>
      </w:sdtEndPr>
      <w:sdtContent>
        <w:p w14:paraId="3AACE7E7" w14:textId="77777777" w:rsidR="00A81F37" w:rsidRPr="00FF207E" w:rsidRDefault="00BD282F" w:rsidP="00EF1811">
          <w:pPr>
            <w:pStyle w:val="Kazalovsebine1"/>
          </w:pPr>
          <w:r w:rsidRPr="00FF207E">
            <w:rPr>
              <w:rFonts w:eastAsiaTheme="minorHAnsi"/>
              <w:noProof w:val="0"/>
              <w:sz w:val="28"/>
              <w:szCs w:val="28"/>
              <w:lang w:val="sl-SI"/>
            </w:rPr>
            <w:t>Vsebina</w:t>
          </w:r>
          <w:r w:rsidR="000849D9" w:rsidRPr="00FF207E">
            <w:rPr>
              <w:rStyle w:val="Hiperpovezava"/>
              <w:rFonts w:eastAsiaTheme="minorHAnsi"/>
              <w:caps/>
              <w:noProof w:val="0"/>
              <w:sz w:val="20"/>
              <w:szCs w:val="20"/>
              <w:lang w:val="sl-SI"/>
            </w:rPr>
            <w:fldChar w:fldCharType="begin"/>
          </w:r>
          <w:r w:rsidR="000849D9" w:rsidRPr="00FF207E">
            <w:rPr>
              <w:rStyle w:val="Hiperpovezava"/>
              <w:rFonts w:eastAsiaTheme="minorHAnsi"/>
              <w:caps/>
              <w:noProof w:val="0"/>
              <w:sz w:val="20"/>
              <w:szCs w:val="20"/>
              <w:lang w:val="sl-SI"/>
            </w:rPr>
            <w:instrText xml:space="preserve"> TOC \o "1-3" \h \z \u </w:instrText>
          </w:r>
          <w:r w:rsidR="000849D9" w:rsidRPr="00FF207E">
            <w:rPr>
              <w:rStyle w:val="Hiperpovezava"/>
              <w:rFonts w:eastAsiaTheme="minorHAnsi"/>
              <w:caps/>
              <w:noProof w:val="0"/>
              <w:sz w:val="20"/>
              <w:szCs w:val="20"/>
              <w:lang w:val="sl-SI"/>
            </w:rPr>
            <w:fldChar w:fldCharType="separate"/>
          </w:r>
        </w:p>
        <w:p w14:paraId="16496F1F" w14:textId="522BD023" w:rsidR="00A81F37" w:rsidRPr="00FF207E" w:rsidRDefault="005428A9">
          <w:pPr>
            <w:pStyle w:val="Kazalovsebine1"/>
            <w:rPr>
              <w:rFonts w:asciiTheme="minorHAnsi" w:eastAsiaTheme="minorEastAsia" w:hAnsiTheme="minorHAnsi" w:cstheme="minorBidi"/>
              <w:b w:val="0"/>
              <w:bCs w:val="0"/>
              <w:smallCaps w:val="0"/>
              <w:color w:val="auto"/>
              <w:szCs w:val="22"/>
              <w:lang w:val="sl-SI" w:eastAsia="sl-SI"/>
            </w:rPr>
          </w:pPr>
          <w:hyperlink w:anchor="_Toc151148773" w:history="1">
            <w:r w:rsidR="00A81F37" w:rsidRPr="00FF207E">
              <w:rPr>
                <w:rStyle w:val="Hiperpovezava"/>
                <w:lang w:val="sl-SI"/>
              </w:rPr>
              <w:t>Povzetek</w:t>
            </w:r>
            <w:r w:rsidR="00A81F37" w:rsidRPr="00FF207E">
              <w:rPr>
                <w:webHidden/>
              </w:rPr>
              <w:tab/>
            </w:r>
            <w:r w:rsidR="00A81F37" w:rsidRPr="00FF207E">
              <w:rPr>
                <w:webHidden/>
              </w:rPr>
              <w:fldChar w:fldCharType="begin"/>
            </w:r>
            <w:r w:rsidR="00A81F37" w:rsidRPr="00FF207E">
              <w:rPr>
                <w:webHidden/>
              </w:rPr>
              <w:instrText xml:space="preserve"> PAGEREF _Toc151148773 \h </w:instrText>
            </w:r>
            <w:r w:rsidR="00A81F37" w:rsidRPr="00FF207E">
              <w:rPr>
                <w:webHidden/>
              </w:rPr>
            </w:r>
            <w:r w:rsidR="00A81F37" w:rsidRPr="00FF207E">
              <w:rPr>
                <w:webHidden/>
              </w:rPr>
              <w:fldChar w:fldCharType="separate"/>
            </w:r>
            <w:r w:rsidR="00A81F37" w:rsidRPr="00FF207E">
              <w:rPr>
                <w:webHidden/>
              </w:rPr>
              <w:t>4</w:t>
            </w:r>
            <w:r w:rsidR="00A81F37" w:rsidRPr="00FF207E">
              <w:rPr>
                <w:webHidden/>
              </w:rPr>
              <w:fldChar w:fldCharType="end"/>
            </w:r>
          </w:hyperlink>
        </w:p>
        <w:p w14:paraId="1A38C8D0" w14:textId="499A413A" w:rsidR="00A81F37" w:rsidRPr="00FF207E" w:rsidRDefault="005428A9">
          <w:pPr>
            <w:pStyle w:val="Kazalovsebine1"/>
            <w:rPr>
              <w:rFonts w:asciiTheme="minorHAnsi" w:eastAsiaTheme="minorEastAsia" w:hAnsiTheme="minorHAnsi" w:cstheme="minorBidi"/>
              <w:b w:val="0"/>
              <w:bCs w:val="0"/>
              <w:smallCaps w:val="0"/>
              <w:color w:val="auto"/>
              <w:szCs w:val="22"/>
              <w:lang w:val="sl-SI" w:eastAsia="sl-SI"/>
            </w:rPr>
          </w:pPr>
          <w:hyperlink w:anchor="_Toc151148774" w:history="1">
            <w:r w:rsidR="00A81F37" w:rsidRPr="00FF207E">
              <w:rPr>
                <w:rStyle w:val="Hiperpovezava"/>
                <w:lang w:val="sl-SI"/>
              </w:rPr>
              <w:t>Uvod</w:t>
            </w:r>
            <w:r w:rsidR="00A81F37" w:rsidRPr="00FF207E">
              <w:rPr>
                <w:webHidden/>
              </w:rPr>
              <w:tab/>
            </w:r>
            <w:r w:rsidR="00A81F37" w:rsidRPr="00FF207E">
              <w:rPr>
                <w:webHidden/>
              </w:rPr>
              <w:fldChar w:fldCharType="begin"/>
            </w:r>
            <w:r w:rsidR="00A81F37" w:rsidRPr="00FF207E">
              <w:rPr>
                <w:webHidden/>
              </w:rPr>
              <w:instrText xml:space="preserve"> PAGEREF _Toc151148774 \h </w:instrText>
            </w:r>
            <w:r w:rsidR="00A81F37" w:rsidRPr="00FF207E">
              <w:rPr>
                <w:webHidden/>
              </w:rPr>
            </w:r>
            <w:r w:rsidR="00A81F37" w:rsidRPr="00FF207E">
              <w:rPr>
                <w:webHidden/>
              </w:rPr>
              <w:fldChar w:fldCharType="separate"/>
            </w:r>
            <w:r w:rsidR="00A81F37" w:rsidRPr="00FF207E">
              <w:rPr>
                <w:webHidden/>
              </w:rPr>
              <w:t>9</w:t>
            </w:r>
            <w:r w:rsidR="00A81F37" w:rsidRPr="00FF207E">
              <w:rPr>
                <w:webHidden/>
              </w:rPr>
              <w:fldChar w:fldCharType="end"/>
            </w:r>
          </w:hyperlink>
        </w:p>
        <w:p w14:paraId="0F7C9128" w14:textId="65BE9E70" w:rsidR="00A81F37" w:rsidRPr="00FF207E" w:rsidRDefault="005428A9">
          <w:pPr>
            <w:pStyle w:val="Kazalovsebine1"/>
            <w:rPr>
              <w:rFonts w:asciiTheme="minorHAnsi" w:eastAsiaTheme="minorEastAsia" w:hAnsiTheme="minorHAnsi" w:cstheme="minorBidi"/>
              <w:b w:val="0"/>
              <w:bCs w:val="0"/>
              <w:smallCaps w:val="0"/>
              <w:color w:val="auto"/>
              <w:szCs w:val="22"/>
              <w:lang w:val="sl-SI" w:eastAsia="sl-SI"/>
            </w:rPr>
          </w:pPr>
          <w:hyperlink w:anchor="_Toc151148775" w:history="1">
            <w:r w:rsidR="00A81F37" w:rsidRPr="00FF207E">
              <w:rPr>
                <w:rStyle w:val="Hiperpovezava"/>
                <w:lang w:val="sl-SI"/>
              </w:rPr>
              <w:t>1</w:t>
            </w:r>
            <w:r w:rsidR="00A81F37" w:rsidRPr="00FF207E">
              <w:rPr>
                <w:rFonts w:asciiTheme="minorHAnsi" w:eastAsiaTheme="minorEastAsia" w:hAnsiTheme="minorHAnsi" w:cstheme="minorBidi"/>
                <w:b w:val="0"/>
                <w:bCs w:val="0"/>
                <w:smallCaps w:val="0"/>
                <w:color w:val="auto"/>
                <w:szCs w:val="22"/>
                <w:lang w:val="sl-SI" w:eastAsia="sl-SI"/>
              </w:rPr>
              <w:tab/>
            </w:r>
            <w:r w:rsidR="00A81F37" w:rsidRPr="00FF207E">
              <w:rPr>
                <w:rStyle w:val="Hiperpovezava"/>
                <w:lang w:val="sl-SI"/>
              </w:rPr>
              <w:t>Izhodišča</w:t>
            </w:r>
            <w:r w:rsidR="00A81F37" w:rsidRPr="00FF207E">
              <w:rPr>
                <w:webHidden/>
              </w:rPr>
              <w:tab/>
            </w:r>
            <w:r w:rsidR="00A81F37" w:rsidRPr="00FF207E">
              <w:rPr>
                <w:webHidden/>
              </w:rPr>
              <w:fldChar w:fldCharType="begin"/>
            </w:r>
            <w:r w:rsidR="00A81F37" w:rsidRPr="00FF207E">
              <w:rPr>
                <w:webHidden/>
              </w:rPr>
              <w:instrText xml:space="preserve"> PAGEREF _Toc151148775 \h </w:instrText>
            </w:r>
            <w:r w:rsidR="00A81F37" w:rsidRPr="00FF207E">
              <w:rPr>
                <w:webHidden/>
              </w:rPr>
            </w:r>
            <w:r w:rsidR="00A81F37" w:rsidRPr="00FF207E">
              <w:rPr>
                <w:webHidden/>
              </w:rPr>
              <w:fldChar w:fldCharType="separate"/>
            </w:r>
            <w:r w:rsidR="00A81F37" w:rsidRPr="00FF207E">
              <w:rPr>
                <w:webHidden/>
              </w:rPr>
              <w:t>12</w:t>
            </w:r>
            <w:r w:rsidR="00A81F37" w:rsidRPr="00FF207E">
              <w:rPr>
                <w:webHidden/>
              </w:rPr>
              <w:fldChar w:fldCharType="end"/>
            </w:r>
          </w:hyperlink>
        </w:p>
        <w:p w14:paraId="38D96AD9" w14:textId="657DE0D3"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776" w:history="1">
            <w:r w:rsidR="00A81F37" w:rsidRPr="00FF207E">
              <w:rPr>
                <w:rStyle w:val="Hiperpovezava"/>
                <w:noProof/>
                <w:lang w:val="sl-SI"/>
              </w:rPr>
              <w:t>1.1</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Pravne podlage in usklajenost z razvojnimi dokumenti</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_Toc151148776 \h </w:instrText>
            </w:r>
            <w:r w:rsidR="00A81F37" w:rsidRPr="00FF207E">
              <w:rPr>
                <w:noProof/>
                <w:webHidden/>
              </w:rPr>
            </w:r>
            <w:r w:rsidR="00A81F37" w:rsidRPr="00FF207E">
              <w:rPr>
                <w:noProof/>
                <w:webHidden/>
              </w:rPr>
              <w:fldChar w:fldCharType="separate"/>
            </w:r>
            <w:r w:rsidR="00A81F37" w:rsidRPr="00FF207E">
              <w:rPr>
                <w:noProof/>
                <w:webHidden/>
              </w:rPr>
              <w:t>12</w:t>
            </w:r>
            <w:r w:rsidR="00A81F37" w:rsidRPr="00FF207E">
              <w:rPr>
                <w:noProof/>
                <w:webHidden/>
              </w:rPr>
              <w:fldChar w:fldCharType="end"/>
            </w:r>
          </w:hyperlink>
        </w:p>
        <w:p w14:paraId="07E4CCF8" w14:textId="7EC8F526"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777" w:history="1">
            <w:r w:rsidR="00A81F37" w:rsidRPr="00FF207E">
              <w:rPr>
                <w:rStyle w:val="Hiperpovezava"/>
                <w:noProof/>
                <w:lang w:val="sl-SI"/>
              </w:rPr>
              <w:t>1.2</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Stanje energetske revščine, izvajanja veljavnih ukrepov in financiranja</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_Toc151148777 \h </w:instrText>
            </w:r>
            <w:r w:rsidR="00A81F37" w:rsidRPr="00FF207E">
              <w:rPr>
                <w:noProof/>
                <w:webHidden/>
              </w:rPr>
            </w:r>
            <w:r w:rsidR="00A81F37" w:rsidRPr="00FF207E">
              <w:rPr>
                <w:noProof/>
                <w:webHidden/>
              </w:rPr>
              <w:fldChar w:fldCharType="separate"/>
            </w:r>
            <w:r w:rsidR="00A81F37" w:rsidRPr="00FF207E">
              <w:rPr>
                <w:noProof/>
                <w:webHidden/>
              </w:rPr>
              <w:t>13</w:t>
            </w:r>
            <w:r w:rsidR="00A81F37" w:rsidRPr="00FF207E">
              <w:rPr>
                <w:noProof/>
                <w:webHidden/>
              </w:rPr>
              <w:fldChar w:fldCharType="end"/>
            </w:r>
          </w:hyperlink>
        </w:p>
        <w:p w14:paraId="6F97FA2B" w14:textId="2B623852"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778" w:history="1">
            <w:r w:rsidR="00A81F37" w:rsidRPr="00FF207E">
              <w:rPr>
                <w:rStyle w:val="Hiperpovezava"/>
                <w:noProof/>
                <w:lang w:val="sl-SI"/>
              </w:rPr>
              <w:t>1.3</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Strokovne podlage in sodelovanje z deležniki</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_Toc151148778 \h </w:instrText>
            </w:r>
            <w:r w:rsidR="00A81F37" w:rsidRPr="00FF207E">
              <w:rPr>
                <w:noProof/>
                <w:webHidden/>
              </w:rPr>
            </w:r>
            <w:r w:rsidR="00A81F37" w:rsidRPr="00FF207E">
              <w:rPr>
                <w:noProof/>
                <w:webHidden/>
              </w:rPr>
              <w:fldChar w:fldCharType="separate"/>
            </w:r>
            <w:r w:rsidR="00A81F37" w:rsidRPr="00FF207E">
              <w:rPr>
                <w:noProof/>
                <w:webHidden/>
              </w:rPr>
              <w:t>15</w:t>
            </w:r>
            <w:r w:rsidR="00A81F37" w:rsidRPr="00FF207E">
              <w:rPr>
                <w:noProof/>
                <w:webHidden/>
              </w:rPr>
              <w:fldChar w:fldCharType="end"/>
            </w:r>
          </w:hyperlink>
        </w:p>
        <w:p w14:paraId="346526AD" w14:textId="586DC706" w:rsidR="00A81F37" w:rsidRPr="00FF207E" w:rsidRDefault="005428A9">
          <w:pPr>
            <w:pStyle w:val="Kazalovsebine1"/>
            <w:rPr>
              <w:rFonts w:asciiTheme="minorHAnsi" w:eastAsiaTheme="minorEastAsia" w:hAnsiTheme="minorHAnsi" w:cstheme="minorBidi"/>
              <w:b w:val="0"/>
              <w:bCs w:val="0"/>
              <w:smallCaps w:val="0"/>
              <w:color w:val="auto"/>
              <w:szCs w:val="22"/>
              <w:lang w:val="sl-SI" w:eastAsia="sl-SI"/>
            </w:rPr>
          </w:pPr>
          <w:hyperlink w:anchor="_Toc151148779" w:history="1">
            <w:r w:rsidR="00A81F37" w:rsidRPr="00FF207E">
              <w:rPr>
                <w:rStyle w:val="Hiperpovezava"/>
                <w:lang w:val="sl-SI"/>
              </w:rPr>
              <w:t>2</w:t>
            </w:r>
            <w:r w:rsidR="00A81F37" w:rsidRPr="00FF207E">
              <w:rPr>
                <w:rFonts w:asciiTheme="minorHAnsi" w:eastAsiaTheme="minorEastAsia" w:hAnsiTheme="minorHAnsi" w:cstheme="minorBidi"/>
                <w:b w:val="0"/>
                <w:bCs w:val="0"/>
                <w:smallCaps w:val="0"/>
                <w:color w:val="auto"/>
                <w:szCs w:val="22"/>
                <w:lang w:val="sl-SI" w:eastAsia="sl-SI"/>
              </w:rPr>
              <w:tab/>
            </w:r>
            <w:r w:rsidR="00A81F37" w:rsidRPr="00FF207E">
              <w:rPr>
                <w:rStyle w:val="Hiperpovezava"/>
                <w:lang w:val="sl-SI"/>
              </w:rPr>
              <w:t>Cilji na področju zmanjševanja energetske revščine</w:t>
            </w:r>
            <w:r w:rsidR="00A81F37" w:rsidRPr="00FF207E">
              <w:rPr>
                <w:webHidden/>
              </w:rPr>
              <w:tab/>
            </w:r>
            <w:r w:rsidR="00A81F37" w:rsidRPr="00FF207E">
              <w:rPr>
                <w:webHidden/>
              </w:rPr>
              <w:fldChar w:fldCharType="begin"/>
            </w:r>
            <w:r w:rsidR="00A81F37" w:rsidRPr="00FF207E">
              <w:rPr>
                <w:webHidden/>
              </w:rPr>
              <w:instrText xml:space="preserve"> PAGEREF _Toc151148779 \h </w:instrText>
            </w:r>
            <w:r w:rsidR="00A81F37" w:rsidRPr="00FF207E">
              <w:rPr>
                <w:webHidden/>
              </w:rPr>
            </w:r>
            <w:r w:rsidR="00A81F37" w:rsidRPr="00FF207E">
              <w:rPr>
                <w:webHidden/>
              </w:rPr>
              <w:fldChar w:fldCharType="separate"/>
            </w:r>
            <w:r w:rsidR="00A81F37" w:rsidRPr="00FF207E">
              <w:rPr>
                <w:webHidden/>
              </w:rPr>
              <w:t>16</w:t>
            </w:r>
            <w:r w:rsidR="00A81F37" w:rsidRPr="00FF207E">
              <w:rPr>
                <w:webHidden/>
              </w:rPr>
              <w:fldChar w:fldCharType="end"/>
            </w:r>
          </w:hyperlink>
        </w:p>
        <w:p w14:paraId="278999C9" w14:textId="144E71FD"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780" w:history="1">
            <w:r w:rsidR="00A81F37" w:rsidRPr="00FF207E">
              <w:rPr>
                <w:rStyle w:val="Hiperpovezava"/>
                <w:noProof/>
                <w:lang w:val="sl-SI"/>
              </w:rPr>
              <w:t>2.1</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Cilji do leta 2030</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_Toc151148780 \h </w:instrText>
            </w:r>
            <w:r w:rsidR="00A81F37" w:rsidRPr="00FF207E">
              <w:rPr>
                <w:noProof/>
                <w:webHidden/>
              </w:rPr>
            </w:r>
            <w:r w:rsidR="00A81F37" w:rsidRPr="00FF207E">
              <w:rPr>
                <w:noProof/>
                <w:webHidden/>
              </w:rPr>
              <w:fldChar w:fldCharType="separate"/>
            </w:r>
            <w:r w:rsidR="00A81F37" w:rsidRPr="00FF207E">
              <w:rPr>
                <w:noProof/>
                <w:webHidden/>
              </w:rPr>
              <w:t>16</w:t>
            </w:r>
            <w:r w:rsidR="00A81F37" w:rsidRPr="00FF207E">
              <w:rPr>
                <w:noProof/>
                <w:webHidden/>
              </w:rPr>
              <w:fldChar w:fldCharType="end"/>
            </w:r>
          </w:hyperlink>
        </w:p>
        <w:p w14:paraId="64DD6CD0" w14:textId="6C03334B"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781" w:history="1">
            <w:r w:rsidR="00A81F37" w:rsidRPr="00FF207E">
              <w:rPr>
                <w:rStyle w:val="Hiperpovezava"/>
                <w:noProof/>
                <w:lang w:val="sl-SI"/>
              </w:rPr>
              <w:t>2.2</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Cilji do leta 2026</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_Toc151148781 \h </w:instrText>
            </w:r>
            <w:r w:rsidR="00A81F37" w:rsidRPr="00FF207E">
              <w:rPr>
                <w:noProof/>
                <w:webHidden/>
              </w:rPr>
            </w:r>
            <w:r w:rsidR="00A81F37" w:rsidRPr="00FF207E">
              <w:rPr>
                <w:noProof/>
                <w:webHidden/>
              </w:rPr>
              <w:fldChar w:fldCharType="separate"/>
            </w:r>
            <w:r w:rsidR="00A81F37" w:rsidRPr="00FF207E">
              <w:rPr>
                <w:noProof/>
                <w:webHidden/>
              </w:rPr>
              <w:t>18</w:t>
            </w:r>
            <w:r w:rsidR="00A81F37" w:rsidRPr="00FF207E">
              <w:rPr>
                <w:noProof/>
                <w:webHidden/>
              </w:rPr>
              <w:fldChar w:fldCharType="end"/>
            </w:r>
          </w:hyperlink>
        </w:p>
        <w:p w14:paraId="1DA45BA1" w14:textId="326ECBF8" w:rsidR="00A81F37" w:rsidRPr="00FF207E" w:rsidRDefault="005428A9">
          <w:pPr>
            <w:pStyle w:val="Kazalovsebine1"/>
            <w:rPr>
              <w:rFonts w:asciiTheme="minorHAnsi" w:eastAsiaTheme="minorEastAsia" w:hAnsiTheme="minorHAnsi" w:cstheme="minorBidi"/>
              <w:b w:val="0"/>
              <w:bCs w:val="0"/>
              <w:smallCaps w:val="0"/>
              <w:color w:val="auto"/>
              <w:szCs w:val="22"/>
              <w:lang w:val="sl-SI" w:eastAsia="sl-SI"/>
            </w:rPr>
          </w:pPr>
          <w:hyperlink w:anchor="_Toc151148782" w:history="1">
            <w:r w:rsidR="00A81F37" w:rsidRPr="00FF207E">
              <w:rPr>
                <w:rStyle w:val="Hiperpovezava"/>
                <w:lang w:val="sl-SI"/>
              </w:rPr>
              <w:t>3</w:t>
            </w:r>
            <w:r w:rsidR="00A81F37" w:rsidRPr="00FF207E">
              <w:rPr>
                <w:rFonts w:asciiTheme="minorHAnsi" w:eastAsiaTheme="minorEastAsia" w:hAnsiTheme="minorHAnsi" w:cstheme="minorBidi"/>
                <w:b w:val="0"/>
                <w:bCs w:val="0"/>
                <w:smallCaps w:val="0"/>
                <w:color w:val="auto"/>
                <w:szCs w:val="22"/>
                <w:lang w:val="sl-SI" w:eastAsia="sl-SI"/>
              </w:rPr>
              <w:tab/>
            </w:r>
            <w:r w:rsidR="00A81F37" w:rsidRPr="00FF207E">
              <w:rPr>
                <w:rStyle w:val="Hiperpovezava"/>
                <w:lang w:val="sl-SI"/>
              </w:rPr>
              <w:t>Vzpostavitev sheme za zmanjševanje energetske revščine</w:t>
            </w:r>
            <w:r w:rsidR="00A81F37" w:rsidRPr="00FF207E">
              <w:rPr>
                <w:webHidden/>
              </w:rPr>
              <w:tab/>
            </w:r>
            <w:r w:rsidR="00A81F37" w:rsidRPr="00FF207E">
              <w:rPr>
                <w:webHidden/>
              </w:rPr>
              <w:fldChar w:fldCharType="begin"/>
            </w:r>
            <w:r w:rsidR="00A81F37" w:rsidRPr="00FF207E">
              <w:rPr>
                <w:webHidden/>
              </w:rPr>
              <w:instrText xml:space="preserve"> PAGEREF _Toc151148782 \h </w:instrText>
            </w:r>
            <w:r w:rsidR="00A81F37" w:rsidRPr="00FF207E">
              <w:rPr>
                <w:webHidden/>
              </w:rPr>
            </w:r>
            <w:r w:rsidR="00A81F37" w:rsidRPr="00FF207E">
              <w:rPr>
                <w:webHidden/>
              </w:rPr>
              <w:fldChar w:fldCharType="separate"/>
            </w:r>
            <w:r w:rsidR="00A81F37" w:rsidRPr="00FF207E">
              <w:rPr>
                <w:webHidden/>
              </w:rPr>
              <w:t>19</w:t>
            </w:r>
            <w:r w:rsidR="00A81F37" w:rsidRPr="00FF207E">
              <w:rPr>
                <w:webHidden/>
              </w:rPr>
              <w:fldChar w:fldCharType="end"/>
            </w:r>
          </w:hyperlink>
        </w:p>
        <w:p w14:paraId="455BF0D3" w14:textId="18D90D81"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783" w:history="1">
            <w:r w:rsidR="00A81F37" w:rsidRPr="00FF207E">
              <w:rPr>
                <w:rStyle w:val="Hiperpovezava"/>
                <w:noProof/>
                <w:lang w:val="sl-SI"/>
              </w:rPr>
              <w:t>3.1</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Izbira pilotne regije</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_Toc151148783 \h </w:instrText>
            </w:r>
            <w:r w:rsidR="00A81F37" w:rsidRPr="00FF207E">
              <w:rPr>
                <w:noProof/>
                <w:webHidden/>
              </w:rPr>
            </w:r>
            <w:r w:rsidR="00A81F37" w:rsidRPr="00FF207E">
              <w:rPr>
                <w:noProof/>
                <w:webHidden/>
              </w:rPr>
              <w:fldChar w:fldCharType="separate"/>
            </w:r>
            <w:r w:rsidR="00A81F37" w:rsidRPr="00FF207E">
              <w:rPr>
                <w:noProof/>
                <w:webHidden/>
              </w:rPr>
              <w:t>20</w:t>
            </w:r>
            <w:r w:rsidR="00A81F37" w:rsidRPr="00FF207E">
              <w:rPr>
                <w:noProof/>
                <w:webHidden/>
              </w:rPr>
              <w:fldChar w:fldCharType="end"/>
            </w:r>
          </w:hyperlink>
        </w:p>
        <w:p w14:paraId="7332B779" w14:textId="271FC656" w:rsidR="00A81F37" w:rsidRPr="00FF207E" w:rsidRDefault="005428A9">
          <w:pPr>
            <w:pStyle w:val="Kazalovsebine3"/>
            <w:tabs>
              <w:tab w:val="left" w:pos="1760"/>
              <w:tab w:val="right" w:leader="dot" w:pos="9062"/>
            </w:tabs>
            <w:rPr>
              <w:rFonts w:asciiTheme="minorHAnsi" w:eastAsiaTheme="minorEastAsia" w:hAnsiTheme="minorHAnsi" w:cstheme="minorBidi"/>
              <w:noProof/>
              <w:szCs w:val="22"/>
              <w:lang w:val="sl-SI" w:eastAsia="sl-SI"/>
            </w:rPr>
          </w:pPr>
          <w:hyperlink w:anchor="_Toc151148784" w:history="1">
            <w:r w:rsidR="00A81F37" w:rsidRPr="00FF207E">
              <w:rPr>
                <w:rStyle w:val="Hiperpovezava"/>
                <w:noProof/>
                <w:lang w:val="sl-SI"/>
              </w:rPr>
              <w:t>3.1.1</w:t>
            </w:r>
            <w:r w:rsidR="00A81F37" w:rsidRPr="00FF207E">
              <w:rPr>
                <w:rFonts w:asciiTheme="minorHAnsi" w:eastAsiaTheme="minorEastAsia" w:hAnsiTheme="minorHAnsi" w:cstheme="minorBidi"/>
                <w:noProof/>
                <w:szCs w:val="22"/>
                <w:lang w:val="sl-SI" w:eastAsia="sl-SI"/>
              </w:rPr>
              <w:tab/>
            </w:r>
            <w:r w:rsidR="00A81F37" w:rsidRPr="00FF207E">
              <w:rPr>
                <w:rStyle w:val="Hiperpovezava"/>
                <w:noProof/>
                <w:lang w:val="sl-SI"/>
              </w:rPr>
              <w:t>Merila za izbiro pilotne regije</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_Toc151148784 \h </w:instrText>
            </w:r>
            <w:r w:rsidR="00A81F37" w:rsidRPr="00FF207E">
              <w:rPr>
                <w:noProof/>
                <w:webHidden/>
              </w:rPr>
            </w:r>
            <w:r w:rsidR="00A81F37" w:rsidRPr="00FF207E">
              <w:rPr>
                <w:noProof/>
                <w:webHidden/>
              </w:rPr>
              <w:fldChar w:fldCharType="separate"/>
            </w:r>
            <w:r w:rsidR="00A81F37" w:rsidRPr="00FF207E">
              <w:rPr>
                <w:noProof/>
                <w:webHidden/>
              </w:rPr>
              <w:t>20</w:t>
            </w:r>
            <w:r w:rsidR="00A81F37" w:rsidRPr="00FF207E">
              <w:rPr>
                <w:noProof/>
                <w:webHidden/>
              </w:rPr>
              <w:fldChar w:fldCharType="end"/>
            </w:r>
          </w:hyperlink>
        </w:p>
        <w:p w14:paraId="7BB5A194" w14:textId="4057A232" w:rsidR="00A81F37" w:rsidRPr="00FF207E" w:rsidRDefault="005428A9">
          <w:pPr>
            <w:pStyle w:val="Kazalovsebine3"/>
            <w:tabs>
              <w:tab w:val="left" w:pos="1760"/>
              <w:tab w:val="right" w:leader="dot" w:pos="9062"/>
            </w:tabs>
            <w:rPr>
              <w:rFonts w:asciiTheme="minorHAnsi" w:eastAsiaTheme="minorEastAsia" w:hAnsiTheme="minorHAnsi" w:cstheme="minorBidi"/>
              <w:noProof/>
              <w:szCs w:val="22"/>
              <w:lang w:val="sl-SI" w:eastAsia="sl-SI"/>
            </w:rPr>
          </w:pPr>
          <w:hyperlink w:anchor="_Toc151148785" w:history="1">
            <w:r w:rsidR="00A81F37" w:rsidRPr="00FF207E">
              <w:rPr>
                <w:rStyle w:val="Hiperpovezava"/>
                <w:noProof/>
                <w:lang w:val="sl-SI"/>
              </w:rPr>
              <w:t>3.1.2</w:t>
            </w:r>
            <w:r w:rsidR="00A81F37" w:rsidRPr="00FF207E">
              <w:rPr>
                <w:rFonts w:asciiTheme="minorHAnsi" w:eastAsiaTheme="minorEastAsia" w:hAnsiTheme="minorHAnsi" w:cstheme="minorBidi"/>
                <w:noProof/>
                <w:szCs w:val="22"/>
                <w:lang w:val="sl-SI" w:eastAsia="sl-SI"/>
              </w:rPr>
              <w:tab/>
            </w:r>
            <w:r w:rsidR="00A81F37" w:rsidRPr="00FF207E">
              <w:rPr>
                <w:rStyle w:val="Hiperpovezava"/>
                <w:noProof/>
                <w:lang w:val="sl-SI"/>
              </w:rPr>
              <w:t>Postopek izbire pilotne regije in rezultati</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_Toc151148785 \h </w:instrText>
            </w:r>
            <w:r w:rsidR="00A81F37" w:rsidRPr="00FF207E">
              <w:rPr>
                <w:noProof/>
                <w:webHidden/>
              </w:rPr>
            </w:r>
            <w:r w:rsidR="00A81F37" w:rsidRPr="00FF207E">
              <w:rPr>
                <w:noProof/>
                <w:webHidden/>
              </w:rPr>
              <w:fldChar w:fldCharType="separate"/>
            </w:r>
            <w:r w:rsidR="00A81F37" w:rsidRPr="00FF207E">
              <w:rPr>
                <w:noProof/>
                <w:webHidden/>
              </w:rPr>
              <w:t>21</w:t>
            </w:r>
            <w:r w:rsidR="00A81F37" w:rsidRPr="00FF207E">
              <w:rPr>
                <w:noProof/>
                <w:webHidden/>
              </w:rPr>
              <w:fldChar w:fldCharType="end"/>
            </w:r>
          </w:hyperlink>
        </w:p>
        <w:p w14:paraId="02049817" w14:textId="20B1B068"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786" w:history="1">
            <w:r w:rsidR="00A81F37" w:rsidRPr="00FF207E">
              <w:rPr>
                <w:rStyle w:val="Hiperpovezava"/>
                <w:noProof/>
                <w:lang w:val="sl-SI"/>
              </w:rPr>
              <w:t>3.2</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Vzpostavitev strukture za delovanje sheme za energetsko revščino</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_Toc151148786 \h </w:instrText>
            </w:r>
            <w:r w:rsidR="00A81F37" w:rsidRPr="00FF207E">
              <w:rPr>
                <w:noProof/>
                <w:webHidden/>
              </w:rPr>
            </w:r>
            <w:r w:rsidR="00A81F37" w:rsidRPr="00FF207E">
              <w:rPr>
                <w:noProof/>
                <w:webHidden/>
              </w:rPr>
              <w:fldChar w:fldCharType="separate"/>
            </w:r>
            <w:r w:rsidR="00A81F37" w:rsidRPr="00FF207E">
              <w:rPr>
                <w:noProof/>
                <w:webHidden/>
              </w:rPr>
              <w:t>22</w:t>
            </w:r>
            <w:r w:rsidR="00A81F37" w:rsidRPr="00FF207E">
              <w:rPr>
                <w:noProof/>
                <w:webHidden/>
              </w:rPr>
              <w:fldChar w:fldCharType="end"/>
            </w:r>
          </w:hyperlink>
        </w:p>
        <w:p w14:paraId="054B5E6F" w14:textId="3C8674CD" w:rsidR="00A81F37" w:rsidRPr="00FF207E" w:rsidRDefault="005428A9">
          <w:pPr>
            <w:pStyle w:val="Kazalovsebine3"/>
            <w:tabs>
              <w:tab w:val="left" w:pos="1760"/>
              <w:tab w:val="right" w:leader="dot" w:pos="9062"/>
            </w:tabs>
            <w:rPr>
              <w:rFonts w:asciiTheme="minorHAnsi" w:eastAsiaTheme="minorEastAsia" w:hAnsiTheme="minorHAnsi" w:cstheme="minorBidi"/>
              <w:noProof/>
              <w:szCs w:val="22"/>
              <w:lang w:val="sl-SI" w:eastAsia="sl-SI"/>
            </w:rPr>
          </w:pPr>
          <w:hyperlink w:anchor="_Toc151148787" w:history="1">
            <w:r w:rsidR="00A81F37" w:rsidRPr="00FF207E">
              <w:rPr>
                <w:rStyle w:val="Hiperpovezava"/>
                <w:noProof/>
                <w:lang w:val="sl-SI"/>
              </w:rPr>
              <w:t>3.2.1</w:t>
            </w:r>
            <w:r w:rsidR="00A81F37" w:rsidRPr="00FF207E">
              <w:rPr>
                <w:rFonts w:asciiTheme="minorHAnsi" w:eastAsiaTheme="minorEastAsia" w:hAnsiTheme="minorHAnsi" w:cstheme="minorBidi"/>
                <w:noProof/>
                <w:szCs w:val="22"/>
                <w:lang w:val="sl-SI" w:eastAsia="sl-SI"/>
              </w:rPr>
              <w:tab/>
            </w:r>
            <w:r w:rsidR="00A81F37" w:rsidRPr="00FF207E">
              <w:rPr>
                <w:rStyle w:val="Hiperpovezava"/>
                <w:noProof/>
                <w:lang w:val="sl-SI"/>
              </w:rPr>
              <w:t xml:space="preserve">Projektna pisarna z regionalnimi svetovalnimi točkami za </w:t>
            </w:r>
            <w:r w:rsidR="00A77C1E" w:rsidRPr="00FF207E">
              <w:rPr>
                <w:rStyle w:val="Hiperpovezava"/>
                <w:noProof/>
                <w:lang w:val="sl-SI"/>
              </w:rPr>
              <w:t xml:space="preserve">blaženje </w:t>
            </w:r>
            <w:r w:rsidR="00A81F37" w:rsidRPr="00FF207E">
              <w:rPr>
                <w:rStyle w:val="Hiperpovezava"/>
                <w:noProof/>
                <w:lang w:val="sl-SI"/>
              </w:rPr>
              <w:t>energetsk</w:t>
            </w:r>
            <w:r w:rsidR="00A77C1E" w:rsidRPr="00FF207E">
              <w:rPr>
                <w:rStyle w:val="Hiperpovezava"/>
                <w:noProof/>
                <w:lang w:val="sl-SI"/>
              </w:rPr>
              <w:t>e</w:t>
            </w:r>
            <w:r w:rsidR="00A81F37" w:rsidRPr="00FF207E">
              <w:rPr>
                <w:rStyle w:val="Hiperpovezava"/>
                <w:noProof/>
                <w:lang w:val="sl-SI"/>
              </w:rPr>
              <w:t xml:space="preserve"> revščin</w:t>
            </w:r>
            <w:r w:rsidR="00A77C1E" w:rsidRPr="00FF207E">
              <w:rPr>
                <w:rStyle w:val="Hiperpovezava"/>
                <w:noProof/>
                <w:lang w:val="sl-SI"/>
              </w:rPr>
              <w:t>e</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_Toc151148787 \h </w:instrText>
            </w:r>
            <w:r w:rsidR="00A81F37" w:rsidRPr="00FF207E">
              <w:rPr>
                <w:noProof/>
                <w:webHidden/>
              </w:rPr>
            </w:r>
            <w:r w:rsidR="00A81F37" w:rsidRPr="00FF207E">
              <w:rPr>
                <w:noProof/>
                <w:webHidden/>
              </w:rPr>
              <w:fldChar w:fldCharType="separate"/>
            </w:r>
            <w:r w:rsidR="00A81F37" w:rsidRPr="00FF207E">
              <w:rPr>
                <w:noProof/>
                <w:webHidden/>
              </w:rPr>
              <w:t>22</w:t>
            </w:r>
            <w:r w:rsidR="00A81F37" w:rsidRPr="00FF207E">
              <w:rPr>
                <w:noProof/>
                <w:webHidden/>
              </w:rPr>
              <w:fldChar w:fldCharType="end"/>
            </w:r>
          </w:hyperlink>
        </w:p>
        <w:p w14:paraId="37728505" w14:textId="3971C016" w:rsidR="00A81F37" w:rsidRPr="00FF207E" w:rsidRDefault="005428A9">
          <w:pPr>
            <w:pStyle w:val="Kazalovsebine3"/>
            <w:tabs>
              <w:tab w:val="left" w:pos="1760"/>
              <w:tab w:val="right" w:leader="dot" w:pos="9062"/>
            </w:tabs>
            <w:rPr>
              <w:rFonts w:asciiTheme="minorHAnsi" w:eastAsiaTheme="minorEastAsia" w:hAnsiTheme="minorHAnsi" w:cstheme="minorBidi"/>
              <w:noProof/>
              <w:szCs w:val="22"/>
              <w:lang w:val="sl-SI" w:eastAsia="sl-SI"/>
            </w:rPr>
          </w:pPr>
          <w:hyperlink w:anchor="_Toc151148788" w:history="1">
            <w:r w:rsidR="00A81F37" w:rsidRPr="00FF207E">
              <w:rPr>
                <w:rStyle w:val="Hiperpovezava"/>
                <w:noProof/>
                <w:lang w:val="sl-SI"/>
              </w:rPr>
              <w:t>3.2.2</w:t>
            </w:r>
            <w:r w:rsidR="00A81F37" w:rsidRPr="00FF207E">
              <w:rPr>
                <w:rFonts w:asciiTheme="minorHAnsi" w:eastAsiaTheme="minorEastAsia" w:hAnsiTheme="minorHAnsi" w:cstheme="minorBidi"/>
                <w:noProof/>
                <w:szCs w:val="22"/>
                <w:lang w:val="sl-SI" w:eastAsia="sl-SI"/>
              </w:rPr>
              <w:tab/>
            </w:r>
            <w:r w:rsidR="00A81F37" w:rsidRPr="00FF207E">
              <w:rPr>
                <w:rStyle w:val="Hiperpovezava"/>
                <w:noProof/>
                <w:lang w:val="sl-SI"/>
              </w:rPr>
              <w:t>Neformalna mreža za informiranje in ozaveščanje</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_Toc151148788 \h </w:instrText>
            </w:r>
            <w:r w:rsidR="00A81F37" w:rsidRPr="00FF207E">
              <w:rPr>
                <w:noProof/>
                <w:webHidden/>
              </w:rPr>
            </w:r>
            <w:r w:rsidR="00A81F37" w:rsidRPr="00FF207E">
              <w:rPr>
                <w:noProof/>
                <w:webHidden/>
              </w:rPr>
              <w:fldChar w:fldCharType="separate"/>
            </w:r>
            <w:r w:rsidR="00A81F37" w:rsidRPr="00FF207E">
              <w:rPr>
                <w:noProof/>
                <w:webHidden/>
              </w:rPr>
              <w:t>26</w:t>
            </w:r>
            <w:r w:rsidR="00A81F37" w:rsidRPr="00FF207E">
              <w:rPr>
                <w:noProof/>
                <w:webHidden/>
              </w:rPr>
              <w:fldChar w:fldCharType="end"/>
            </w:r>
          </w:hyperlink>
        </w:p>
        <w:p w14:paraId="3F65E03B" w14:textId="77D75315" w:rsidR="00A81F37" w:rsidRPr="00FF207E" w:rsidRDefault="005428A9">
          <w:pPr>
            <w:pStyle w:val="Kazalovsebine3"/>
            <w:tabs>
              <w:tab w:val="left" w:pos="1760"/>
              <w:tab w:val="right" w:leader="dot" w:pos="9062"/>
            </w:tabs>
            <w:rPr>
              <w:rFonts w:asciiTheme="minorHAnsi" w:eastAsiaTheme="minorEastAsia" w:hAnsiTheme="minorHAnsi" w:cstheme="minorBidi"/>
              <w:noProof/>
              <w:szCs w:val="22"/>
              <w:lang w:val="sl-SI" w:eastAsia="sl-SI"/>
            </w:rPr>
          </w:pPr>
          <w:hyperlink w:anchor="_Toc151148789" w:history="1">
            <w:r w:rsidR="00A81F37" w:rsidRPr="00FF207E">
              <w:rPr>
                <w:rStyle w:val="Hiperpovezava"/>
                <w:noProof/>
                <w:lang w:val="sl-SI"/>
              </w:rPr>
              <w:t>3.2.3</w:t>
            </w:r>
            <w:r w:rsidR="00A81F37" w:rsidRPr="00FF207E">
              <w:rPr>
                <w:rFonts w:asciiTheme="minorHAnsi" w:eastAsiaTheme="minorEastAsia" w:hAnsiTheme="minorHAnsi" w:cstheme="minorBidi"/>
                <w:noProof/>
                <w:szCs w:val="22"/>
                <w:lang w:val="sl-SI" w:eastAsia="sl-SI"/>
              </w:rPr>
              <w:tab/>
            </w:r>
            <w:r w:rsidR="00A81F37" w:rsidRPr="00FF207E">
              <w:rPr>
                <w:rStyle w:val="Hiperpovezava"/>
                <w:noProof/>
                <w:lang w:val="sl-SI"/>
              </w:rPr>
              <w:t>Sosvet za energetsko revščino</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_Toc151148789 \h </w:instrText>
            </w:r>
            <w:r w:rsidR="00A81F37" w:rsidRPr="00FF207E">
              <w:rPr>
                <w:noProof/>
                <w:webHidden/>
              </w:rPr>
            </w:r>
            <w:r w:rsidR="00A81F37" w:rsidRPr="00FF207E">
              <w:rPr>
                <w:noProof/>
                <w:webHidden/>
              </w:rPr>
              <w:fldChar w:fldCharType="separate"/>
            </w:r>
            <w:r w:rsidR="00A81F37" w:rsidRPr="00FF207E">
              <w:rPr>
                <w:noProof/>
                <w:webHidden/>
              </w:rPr>
              <w:t>28</w:t>
            </w:r>
            <w:r w:rsidR="00A81F37" w:rsidRPr="00FF207E">
              <w:rPr>
                <w:noProof/>
                <w:webHidden/>
              </w:rPr>
              <w:fldChar w:fldCharType="end"/>
            </w:r>
          </w:hyperlink>
        </w:p>
        <w:p w14:paraId="425816AB" w14:textId="69329CE1" w:rsidR="00A81F37" w:rsidRPr="00FF207E" w:rsidRDefault="005428A9">
          <w:pPr>
            <w:pStyle w:val="Kazalovsebine1"/>
            <w:rPr>
              <w:rFonts w:asciiTheme="minorHAnsi" w:eastAsiaTheme="minorEastAsia" w:hAnsiTheme="minorHAnsi" w:cstheme="minorBidi"/>
              <w:b w:val="0"/>
              <w:bCs w:val="0"/>
              <w:smallCaps w:val="0"/>
              <w:color w:val="auto"/>
              <w:szCs w:val="22"/>
              <w:lang w:val="sl-SI" w:eastAsia="sl-SI"/>
            </w:rPr>
          </w:pPr>
          <w:hyperlink w:anchor="_Toc151148790" w:history="1">
            <w:r w:rsidR="00A81F37" w:rsidRPr="00FF207E">
              <w:rPr>
                <w:rStyle w:val="Hiperpovezava"/>
                <w:lang w:val="sl-SI"/>
              </w:rPr>
              <w:t>4</w:t>
            </w:r>
            <w:r w:rsidR="00A81F37" w:rsidRPr="00FF207E">
              <w:rPr>
                <w:rFonts w:asciiTheme="minorHAnsi" w:eastAsiaTheme="minorEastAsia" w:hAnsiTheme="minorHAnsi" w:cstheme="minorBidi"/>
                <w:b w:val="0"/>
                <w:bCs w:val="0"/>
                <w:smallCaps w:val="0"/>
                <w:color w:val="auto"/>
                <w:szCs w:val="22"/>
                <w:lang w:val="sl-SI" w:eastAsia="sl-SI"/>
              </w:rPr>
              <w:tab/>
            </w:r>
            <w:r w:rsidR="00A81F37" w:rsidRPr="00FF207E">
              <w:rPr>
                <w:rStyle w:val="Hiperpovezava"/>
                <w:lang w:val="sl-SI"/>
              </w:rPr>
              <w:t>Glavni ukrepi sheme za zmanjševanje energetske revščine</w:t>
            </w:r>
            <w:r w:rsidR="00A81F37" w:rsidRPr="00FF207E">
              <w:rPr>
                <w:webHidden/>
              </w:rPr>
              <w:tab/>
            </w:r>
            <w:r w:rsidR="00A81F37" w:rsidRPr="00FF207E">
              <w:rPr>
                <w:webHidden/>
              </w:rPr>
              <w:fldChar w:fldCharType="begin"/>
            </w:r>
            <w:r w:rsidR="00A81F37" w:rsidRPr="00FF207E">
              <w:rPr>
                <w:webHidden/>
              </w:rPr>
              <w:instrText xml:space="preserve"> PAGEREF _Toc151148790 \h </w:instrText>
            </w:r>
            <w:r w:rsidR="00A81F37" w:rsidRPr="00FF207E">
              <w:rPr>
                <w:webHidden/>
              </w:rPr>
            </w:r>
            <w:r w:rsidR="00A81F37" w:rsidRPr="00FF207E">
              <w:rPr>
                <w:webHidden/>
              </w:rPr>
              <w:fldChar w:fldCharType="separate"/>
            </w:r>
            <w:r w:rsidR="00A81F37" w:rsidRPr="00FF207E">
              <w:rPr>
                <w:webHidden/>
              </w:rPr>
              <w:t>31</w:t>
            </w:r>
            <w:r w:rsidR="00A81F37" w:rsidRPr="00FF207E">
              <w:rPr>
                <w:webHidden/>
              </w:rPr>
              <w:fldChar w:fldCharType="end"/>
            </w:r>
          </w:hyperlink>
        </w:p>
        <w:p w14:paraId="486A72CA" w14:textId="045C7BBE"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791" w:history="1">
            <w:r w:rsidR="00A81F37" w:rsidRPr="00FF207E">
              <w:rPr>
                <w:rStyle w:val="Hiperpovezava"/>
                <w:noProof/>
                <w:lang w:val="sl-SI"/>
              </w:rPr>
              <w:t>4.1</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Investicijske spodbude za ukrepe URE in rabe OVE za energetsko revne</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_Toc151148791 \h </w:instrText>
            </w:r>
            <w:r w:rsidR="00A81F37" w:rsidRPr="00FF207E">
              <w:rPr>
                <w:noProof/>
                <w:webHidden/>
              </w:rPr>
            </w:r>
            <w:r w:rsidR="00A81F37" w:rsidRPr="00FF207E">
              <w:rPr>
                <w:noProof/>
                <w:webHidden/>
              </w:rPr>
              <w:fldChar w:fldCharType="separate"/>
            </w:r>
            <w:r w:rsidR="00A81F37" w:rsidRPr="00FF207E">
              <w:rPr>
                <w:noProof/>
                <w:webHidden/>
              </w:rPr>
              <w:t>31</w:t>
            </w:r>
            <w:r w:rsidR="00A81F37" w:rsidRPr="00FF207E">
              <w:rPr>
                <w:noProof/>
                <w:webHidden/>
              </w:rPr>
              <w:fldChar w:fldCharType="end"/>
            </w:r>
          </w:hyperlink>
        </w:p>
        <w:p w14:paraId="36C292F7" w14:textId="3B264C6C"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792" w:history="1">
            <w:r w:rsidR="00A81F37" w:rsidRPr="00FF207E">
              <w:rPr>
                <w:rStyle w:val="Hiperpovezava"/>
                <w:noProof/>
                <w:lang w:val="sl-SI"/>
              </w:rPr>
              <w:t>4.2</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Energetsko svetovanje za energetsko revne</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_Toc151148792 \h </w:instrText>
            </w:r>
            <w:r w:rsidR="00A81F37" w:rsidRPr="00FF207E">
              <w:rPr>
                <w:noProof/>
                <w:webHidden/>
              </w:rPr>
            </w:r>
            <w:r w:rsidR="00A81F37" w:rsidRPr="00FF207E">
              <w:rPr>
                <w:noProof/>
                <w:webHidden/>
              </w:rPr>
              <w:fldChar w:fldCharType="separate"/>
            </w:r>
            <w:r w:rsidR="00A81F37" w:rsidRPr="00FF207E">
              <w:rPr>
                <w:noProof/>
                <w:webHidden/>
              </w:rPr>
              <w:t>34</w:t>
            </w:r>
            <w:r w:rsidR="00A81F37" w:rsidRPr="00FF207E">
              <w:rPr>
                <w:noProof/>
                <w:webHidden/>
              </w:rPr>
              <w:fldChar w:fldCharType="end"/>
            </w:r>
          </w:hyperlink>
        </w:p>
        <w:p w14:paraId="618CD091" w14:textId="307CE950"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793" w:history="1">
            <w:r w:rsidR="00A81F37" w:rsidRPr="00FF207E">
              <w:rPr>
                <w:rStyle w:val="Hiperpovezava"/>
                <w:noProof/>
                <w:lang w:val="sl-SI"/>
              </w:rPr>
              <w:t>4.3</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Stalno informiranje članov neformalne mreže za informiranje in ozaveščanje na regionalni ravni</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_Toc151148793 \h </w:instrText>
            </w:r>
            <w:r w:rsidR="00A81F37" w:rsidRPr="00FF207E">
              <w:rPr>
                <w:noProof/>
                <w:webHidden/>
              </w:rPr>
            </w:r>
            <w:r w:rsidR="00A81F37" w:rsidRPr="00FF207E">
              <w:rPr>
                <w:noProof/>
                <w:webHidden/>
              </w:rPr>
              <w:fldChar w:fldCharType="separate"/>
            </w:r>
            <w:r w:rsidR="00A81F37" w:rsidRPr="00FF207E">
              <w:rPr>
                <w:noProof/>
                <w:webHidden/>
              </w:rPr>
              <w:t>36</w:t>
            </w:r>
            <w:r w:rsidR="00A81F37" w:rsidRPr="00FF207E">
              <w:rPr>
                <w:noProof/>
                <w:webHidden/>
              </w:rPr>
              <w:fldChar w:fldCharType="end"/>
            </w:r>
          </w:hyperlink>
        </w:p>
        <w:p w14:paraId="722A2569" w14:textId="024BB451"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794" w:history="1">
            <w:r w:rsidR="00A81F37" w:rsidRPr="00FF207E">
              <w:rPr>
                <w:rStyle w:val="Hiperpovezava"/>
                <w:noProof/>
                <w:lang w:val="sl-SI"/>
              </w:rPr>
              <w:t>4.4</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Informiranje in ozaveščanje energetsko revnih</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_Toc151148794 \h </w:instrText>
            </w:r>
            <w:r w:rsidR="00A81F37" w:rsidRPr="00FF207E">
              <w:rPr>
                <w:noProof/>
                <w:webHidden/>
              </w:rPr>
            </w:r>
            <w:r w:rsidR="00A81F37" w:rsidRPr="00FF207E">
              <w:rPr>
                <w:noProof/>
                <w:webHidden/>
              </w:rPr>
              <w:fldChar w:fldCharType="separate"/>
            </w:r>
            <w:r w:rsidR="00A81F37" w:rsidRPr="00FF207E">
              <w:rPr>
                <w:noProof/>
                <w:webHidden/>
              </w:rPr>
              <w:t>37</w:t>
            </w:r>
            <w:r w:rsidR="00A81F37" w:rsidRPr="00FF207E">
              <w:rPr>
                <w:noProof/>
                <w:webHidden/>
              </w:rPr>
              <w:fldChar w:fldCharType="end"/>
            </w:r>
          </w:hyperlink>
        </w:p>
        <w:p w14:paraId="55EA2C12" w14:textId="1A5E3B09" w:rsidR="00A81F37" w:rsidRPr="00FF207E" w:rsidRDefault="005428A9">
          <w:pPr>
            <w:pStyle w:val="Kazalovsebine1"/>
            <w:rPr>
              <w:rFonts w:asciiTheme="minorHAnsi" w:eastAsiaTheme="minorEastAsia" w:hAnsiTheme="minorHAnsi" w:cstheme="minorBidi"/>
              <w:b w:val="0"/>
              <w:bCs w:val="0"/>
              <w:smallCaps w:val="0"/>
              <w:color w:val="auto"/>
              <w:szCs w:val="22"/>
              <w:lang w:val="sl-SI" w:eastAsia="sl-SI"/>
            </w:rPr>
          </w:pPr>
          <w:hyperlink w:anchor="_Toc151148795" w:history="1">
            <w:r w:rsidR="00A81F37" w:rsidRPr="00FF207E">
              <w:rPr>
                <w:rStyle w:val="Hiperpovezava"/>
                <w:lang w:val="sl-SI"/>
              </w:rPr>
              <w:t>5</w:t>
            </w:r>
            <w:r w:rsidR="00A81F37" w:rsidRPr="00FF207E">
              <w:rPr>
                <w:rFonts w:asciiTheme="minorHAnsi" w:eastAsiaTheme="minorEastAsia" w:hAnsiTheme="minorHAnsi" w:cstheme="minorBidi"/>
                <w:b w:val="0"/>
                <w:bCs w:val="0"/>
                <w:smallCaps w:val="0"/>
                <w:color w:val="auto"/>
                <w:szCs w:val="22"/>
                <w:lang w:val="sl-SI" w:eastAsia="sl-SI"/>
              </w:rPr>
              <w:tab/>
            </w:r>
            <w:r w:rsidR="00A81F37" w:rsidRPr="00FF207E">
              <w:rPr>
                <w:rStyle w:val="Hiperpovezava"/>
                <w:lang w:val="sl-SI"/>
              </w:rPr>
              <w:t>Drugi ukrepi za zmanjševanje energetske revščine</w:t>
            </w:r>
            <w:r w:rsidR="00A81F37" w:rsidRPr="00FF207E">
              <w:rPr>
                <w:webHidden/>
              </w:rPr>
              <w:tab/>
            </w:r>
            <w:r w:rsidR="00A81F37" w:rsidRPr="00FF207E">
              <w:rPr>
                <w:webHidden/>
              </w:rPr>
              <w:fldChar w:fldCharType="begin"/>
            </w:r>
            <w:r w:rsidR="00A81F37" w:rsidRPr="00FF207E">
              <w:rPr>
                <w:webHidden/>
              </w:rPr>
              <w:instrText xml:space="preserve"> PAGEREF _Toc151148795 \h </w:instrText>
            </w:r>
            <w:r w:rsidR="00A81F37" w:rsidRPr="00FF207E">
              <w:rPr>
                <w:webHidden/>
              </w:rPr>
            </w:r>
            <w:r w:rsidR="00A81F37" w:rsidRPr="00FF207E">
              <w:rPr>
                <w:webHidden/>
              </w:rPr>
              <w:fldChar w:fldCharType="separate"/>
            </w:r>
            <w:r w:rsidR="00A81F37" w:rsidRPr="00FF207E">
              <w:rPr>
                <w:webHidden/>
              </w:rPr>
              <w:t>39</w:t>
            </w:r>
            <w:r w:rsidR="00A81F37" w:rsidRPr="00FF207E">
              <w:rPr>
                <w:webHidden/>
              </w:rPr>
              <w:fldChar w:fldCharType="end"/>
            </w:r>
          </w:hyperlink>
        </w:p>
        <w:p w14:paraId="13A9A35B" w14:textId="7CB2FF01"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796" w:history="1">
            <w:r w:rsidR="00A81F37" w:rsidRPr="00FF207E">
              <w:rPr>
                <w:rStyle w:val="Hiperpovezava"/>
                <w:noProof/>
                <w:lang w:val="sl-SI"/>
              </w:rPr>
              <w:t>5.1</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Drugi ukrepi za zmanjševanje energetske revščine</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_Toc151148796 \h </w:instrText>
            </w:r>
            <w:r w:rsidR="00A81F37" w:rsidRPr="00FF207E">
              <w:rPr>
                <w:noProof/>
                <w:webHidden/>
              </w:rPr>
            </w:r>
            <w:r w:rsidR="00A81F37" w:rsidRPr="00FF207E">
              <w:rPr>
                <w:noProof/>
                <w:webHidden/>
              </w:rPr>
              <w:fldChar w:fldCharType="separate"/>
            </w:r>
            <w:r w:rsidR="00A81F37" w:rsidRPr="00FF207E">
              <w:rPr>
                <w:noProof/>
                <w:webHidden/>
              </w:rPr>
              <w:t>39</w:t>
            </w:r>
            <w:r w:rsidR="00A81F37" w:rsidRPr="00FF207E">
              <w:rPr>
                <w:noProof/>
                <w:webHidden/>
              </w:rPr>
              <w:fldChar w:fldCharType="end"/>
            </w:r>
          </w:hyperlink>
        </w:p>
        <w:p w14:paraId="6DEC945A" w14:textId="5D145160" w:rsidR="00A81F37" w:rsidRPr="00FF207E" w:rsidRDefault="005428A9">
          <w:pPr>
            <w:pStyle w:val="Kazalovsebine3"/>
            <w:tabs>
              <w:tab w:val="left" w:pos="1760"/>
              <w:tab w:val="right" w:leader="dot" w:pos="9062"/>
            </w:tabs>
            <w:rPr>
              <w:rFonts w:asciiTheme="minorHAnsi" w:eastAsiaTheme="minorEastAsia" w:hAnsiTheme="minorHAnsi" w:cstheme="minorBidi"/>
              <w:noProof/>
              <w:szCs w:val="22"/>
              <w:lang w:val="sl-SI" w:eastAsia="sl-SI"/>
            </w:rPr>
          </w:pPr>
          <w:hyperlink w:anchor="_Toc151148797" w:history="1">
            <w:r w:rsidR="00A81F37" w:rsidRPr="00FF207E">
              <w:rPr>
                <w:rStyle w:val="Hiperpovezava"/>
                <w:noProof/>
                <w:lang w:val="sl-SI"/>
              </w:rPr>
              <w:t>5.1.1</w:t>
            </w:r>
            <w:r w:rsidR="00A81F37" w:rsidRPr="00FF207E">
              <w:rPr>
                <w:rFonts w:asciiTheme="minorHAnsi" w:eastAsiaTheme="minorEastAsia" w:hAnsiTheme="minorHAnsi" w:cstheme="minorBidi"/>
                <w:noProof/>
                <w:szCs w:val="22"/>
                <w:lang w:val="sl-SI" w:eastAsia="sl-SI"/>
              </w:rPr>
              <w:tab/>
            </w:r>
            <w:r w:rsidR="00A81F37" w:rsidRPr="00FF207E">
              <w:rPr>
                <w:rStyle w:val="Hiperpovezava"/>
                <w:noProof/>
                <w:lang w:val="sl-SI"/>
              </w:rPr>
              <w:t>Sodelovanje v energetskih skupnostih</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_Toc151148797 \h </w:instrText>
            </w:r>
            <w:r w:rsidR="00A81F37" w:rsidRPr="00FF207E">
              <w:rPr>
                <w:noProof/>
                <w:webHidden/>
              </w:rPr>
            </w:r>
            <w:r w:rsidR="00A81F37" w:rsidRPr="00FF207E">
              <w:rPr>
                <w:noProof/>
                <w:webHidden/>
              </w:rPr>
              <w:fldChar w:fldCharType="separate"/>
            </w:r>
            <w:r w:rsidR="00A81F37" w:rsidRPr="00FF207E">
              <w:rPr>
                <w:noProof/>
                <w:webHidden/>
              </w:rPr>
              <w:t>39</w:t>
            </w:r>
            <w:r w:rsidR="00A81F37" w:rsidRPr="00FF207E">
              <w:rPr>
                <w:noProof/>
                <w:webHidden/>
              </w:rPr>
              <w:fldChar w:fldCharType="end"/>
            </w:r>
          </w:hyperlink>
        </w:p>
        <w:p w14:paraId="280426AD" w14:textId="36FAE6CE" w:rsidR="00A81F37" w:rsidRPr="00FF207E" w:rsidRDefault="005428A9">
          <w:pPr>
            <w:pStyle w:val="Kazalovsebine3"/>
            <w:tabs>
              <w:tab w:val="left" w:pos="1760"/>
              <w:tab w:val="right" w:leader="dot" w:pos="9062"/>
            </w:tabs>
            <w:rPr>
              <w:rFonts w:asciiTheme="minorHAnsi" w:eastAsiaTheme="minorEastAsia" w:hAnsiTheme="minorHAnsi" w:cstheme="minorBidi"/>
              <w:noProof/>
              <w:szCs w:val="22"/>
              <w:lang w:val="sl-SI" w:eastAsia="sl-SI"/>
            </w:rPr>
          </w:pPr>
          <w:hyperlink w:anchor="_Toc151148798" w:history="1">
            <w:r w:rsidR="00A81F37" w:rsidRPr="00FF207E">
              <w:rPr>
                <w:rStyle w:val="Hiperpovezava"/>
                <w:noProof/>
                <w:lang w:val="sl-SI"/>
              </w:rPr>
              <w:t>5.1.2</w:t>
            </w:r>
            <w:r w:rsidR="00A81F37" w:rsidRPr="00FF207E">
              <w:rPr>
                <w:rFonts w:asciiTheme="minorHAnsi" w:eastAsiaTheme="minorEastAsia" w:hAnsiTheme="minorHAnsi" w:cstheme="minorBidi"/>
                <w:noProof/>
                <w:szCs w:val="22"/>
                <w:lang w:val="sl-SI" w:eastAsia="sl-SI"/>
              </w:rPr>
              <w:tab/>
            </w:r>
            <w:r w:rsidR="00A81F37" w:rsidRPr="00FF207E">
              <w:rPr>
                <w:rStyle w:val="Hiperpovezava"/>
                <w:noProof/>
                <w:lang w:val="sl-SI"/>
              </w:rPr>
              <w:t>Denarna pomoč CSD pri ukrepih URE in rabe OVE</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_Toc151148798 \h </w:instrText>
            </w:r>
            <w:r w:rsidR="00A81F37" w:rsidRPr="00FF207E">
              <w:rPr>
                <w:noProof/>
                <w:webHidden/>
              </w:rPr>
            </w:r>
            <w:r w:rsidR="00A81F37" w:rsidRPr="00FF207E">
              <w:rPr>
                <w:noProof/>
                <w:webHidden/>
              </w:rPr>
              <w:fldChar w:fldCharType="separate"/>
            </w:r>
            <w:r w:rsidR="00A81F37" w:rsidRPr="00FF207E">
              <w:rPr>
                <w:noProof/>
                <w:webHidden/>
              </w:rPr>
              <w:t>41</w:t>
            </w:r>
            <w:r w:rsidR="00A81F37" w:rsidRPr="00FF207E">
              <w:rPr>
                <w:noProof/>
                <w:webHidden/>
              </w:rPr>
              <w:fldChar w:fldCharType="end"/>
            </w:r>
          </w:hyperlink>
        </w:p>
        <w:p w14:paraId="424C7691" w14:textId="7FC24738" w:rsidR="00A81F37" w:rsidRPr="00FF207E" w:rsidRDefault="005428A9">
          <w:pPr>
            <w:pStyle w:val="Kazalovsebine3"/>
            <w:tabs>
              <w:tab w:val="left" w:pos="1760"/>
              <w:tab w:val="right" w:leader="dot" w:pos="9062"/>
            </w:tabs>
            <w:rPr>
              <w:rFonts w:asciiTheme="minorHAnsi" w:eastAsiaTheme="minorEastAsia" w:hAnsiTheme="minorHAnsi" w:cstheme="minorBidi"/>
              <w:noProof/>
              <w:szCs w:val="22"/>
              <w:lang w:val="sl-SI" w:eastAsia="sl-SI"/>
            </w:rPr>
          </w:pPr>
          <w:hyperlink w:anchor="_Toc151148799" w:history="1">
            <w:r w:rsidR="00A81F37" w:rsidRPr="00FF207E">
              <w:rPr>
                <w:rStyle w:val="Hiperpovezava"/>
                <w:noProof/>
                <w:lang w:val="sl-SI"/>
              </w:rPr>
              <w:t>5.1.3</w:t>
            </w:r>
            <w:r w:rsidR="00A81F37" w:rsidRPr="00FF207E">
              <w:rPr>
                <w:rFonts w:asciiTheme="minorHAnsi" w:eastAsiaTheme="minorEastAsia" w:hAnsiTheme="minorHAnsi" w:cstheme="minorBidi"/>
                <w:noProof/>
                <w:szCs w:val="22"/>
                <w:lang w:val="sl-SI" w:eastAsia="sl-SI"/>
              </w:rPr>
              <w:tab/>
            </w:r>
            <w:r w:rsidR="00A81F37" w:rsidRPr="00FF207E">
              <w:rPr>
                <w:rStyle w:val="Hiperpovezava"/>
                <w:noProof/>
                <w:lang w:val="sl-SI"/>
              </w:rPr>
              <w:t xml:space="preserve">Sprememba </w:t>
            </w:r>
            <w:r w:rsidR="00A81F37" w:rsidRPr="00FF207E">
              <w:rPr>
                <w:rStyle w:val="Hiperpovezava"/>
                <w:i/>
                <w:noProof/>
                <w:lang w:val="sl-SI"/>
              </w:rPr>
              <w:t>Uredbe o merilih za opredelitev in ocenjevanje števila energetsko revnih gospodinjstev</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_Toc151148799 \h </w:instrText>
            </w:r>
            <w:r w:rsidR="00A81F37" w:rsidRPr="00FF207E">
              <w:rPr>
                <w:noProof/>
                <w:webHidden/>
              </w:rPr>
            </w:r>
            <w:r w:rsidR="00A81F37" w:rsidRPr="00FF207E">
              <w:rPr>
                <w:noProof/>
                <w:webHidden/>
              </w:rPr>
              <w:fldChar w:fldCharType="separate"/>
            </w:r>
            <w:r w:rsidR="00A81F37" w:rsidRPr="00FF207E">
              <w:rPr>
                <w:noProof/>
                <w:webHidden/>
              </w:rPr>
              <w:t>42</w:t>
            </w:r>
            <w:r w:rsidR="00A81F37" w:rsidRPr="00FF207E">
              <w:rPr>
                <w:noProof/>
                <w:webHidden/>
              </w:rPr>
              <w:fldChar w:fldCharType="end"/>
            </w:r>
          </w:hyperlink>
        </w:p>
        <w:p w14:paraId="0A6D699A" w14:textId="02995A05" w:rsidR="00A81F37" w:rsidRPr="00FF207E" w:rsidRDefault="005428A9">
          <w:pPr>
            <w:pStyle w:val="Kazalovsebine3"/>
            <w:tabs>
              <w:tab w:val="left" w:pos="1760"/>
              <w:tab w:val="right" w:leader="dot" w:pos="9062"/>
            </w:tabs>
            <w:rPr>
              <w:rFonts w:asciiTheme="minorHAnsi" w:eastAsiaTheme="minorEastAsia" w:hAnsiTheme="minorHAnsi" w:cstheme="minorBidi"/>
              <w:noProof/>
              <w:szCs w:val="22"/>
              <w:lang w:val="sl-SI" w:eastAsia="sl-SI"/>
            </w:rPr>
          </w:pPr>
          <w:hyperlink w:anchor="_Toc151148800" w:history="1">
            <w:r w:rsidR="00A81F37" w:rsidRPr="00FF207E">
              <w:rPr>
                <w:rStyle w:val="Hiperpovezava"/>
                <w:noProof/>
                <w:lang w:val="sl-SI"/>
              </w:rPr>
              <w:t>5.1.4</w:t>
            </w:r>
            <w:r w:rsidR="00A81F37" w:rsidRPr="00FF207E">
              <w:rPr>
                <w:rFonts w:asciiTheme="minorHAnsi" w:eastAsiaTheme="minorEastAsia" w:hAnsiTheme="minorHAnsi" w:cstheme="minorBidi"/>
                <w:noProof/>
                <w:szCs w:val="22"/>
                <w:lang w:val="sl-SI" w:eastAsia="sl-SI"/>
              </w:rPr>
              <w:tab/>
            </w:r>
            <w:r w:rsidR="00A81F37" w:rsidRPr="00FF207E">
              <w:rPr>
                <w:rStyle w:val="Hiperpovezava"/>
                <w:noProof/>
                <w:lang w:val="sl-SI"/>
              </w:rPr>
              <w:t>Vodenje in spremljanje izvajanja ter posodabljanje akcijskega načrta</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_Toc151148800 \h </w:instrText>
            </w:r>
            <w:r w:rsidR="00A81F37" w:rsidRPr="00FF207E">
              <w:rPr>
                <w:noProof/>
                <w:webHidden/>
              </w:rPr>
            </w:r>
            <w:r w:rsidR="00A81F37" w:rsidRPr="00FF207E">
              <w:rPr>
                <w:noProof/>
                <w:webHidden/>
              </w:rPr>
              <w:fldChar w:fldCharType="separate"/>
            </w:r>
            <w:r w:rsidR="00A81F37" w:rsidRPr="00FF207E">
              <w:rPr>
                <w:noProof/>
                <w:webHidden/>
              </w:rPr>
              <w:t>42</w:t>
            </w:r>
            <w:r w:rsidR="00A81F37" w:rsidRPr="00FF207E">
              <w:rPr>
                <w:noProof/>
                <w:webHidden/>
              </w:rPr>
              <w:fldChar w:fldCharType="end"/>
            </w:r>
          </w:hyperlink>
        </w:p>
        <w:p w14:paraId="2278F304" w14:textId="4464EDB0" w:rsidR="00A81F37" w:rsidRPr="00FF207E" w:rsidRDefault="005428A9">
          <w:pPr>
            <w:pStyle w:val="Kazalovsebine3"/>
            <w:tabs>
              <w:tab w:val="left" w:pos="1760"/>
              <w:tab w:val="right" w:leader="dot" w:pos="9062"/>
            </w:tabs>
            <w:rPr>
              <w:rFonts w:asciiTheme="minorHAnsi" w:eastAsiaTheme="minorEastAsia" w:hAnsiTheme="minorHAnsi" w:cstheme="minorBidi"/>
              <w:noProof/>
              <w:szCs w:val="22"/>
              <w:lang w:val="sl-SI" w:eastAsia="sl-SI"/>
            </w:rPr>
          </w:pPr>
          <w:hyperlink w:anchor="_Toc151148801" w:history="1">
            <w:r w:rsidR="00A81F37" w:rsidRPr="00FF207E">
              <w:rPr>
                <w:rStyle w:val="Hiperpovezava"/>
                <w:noProof/>
                <w:lang w:val="sl-SI"/>
              </w:rPr>
              <w:t>5.1.5</w:t>
            </w:r>
            <w:r w:rsidR="00A81F37" w:rsidRPr="00FF207E">
              <w:rPr>
                <w:rFonts w:asciiTheme="minorHAnsi" w:eastAsiaTheme="minorEastAsia" w:hAnsiTheme="minorHAnsi" w:cstheme="minorBidi"/>
                <w:noProof/>
                <w:szCs w:val="22"/>
                <w:lang w:val="sl-SI" w:eastAsia="sl-SI"/>
              </w:rPr>
              <w:tab/>
            </w:r>
            <w:r w:rsidR="00A81F37" w:rsidRPr="00FF207E">
              <w:rPr>
                <w:rStyle w:val="Hiperpovezava"/>
                <w:noProof/>
                <w:lang w:val="sl-SI"/>
              </w:rPr>
              <w:t>Zaščita pred odklopom in nujna oskrba</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_Toc151148801 \h </w:instrText>
            </w:r>
            <w:r w:rsidR="00A81F37" w:rsidRPr="00FF207E">
              <w:rPr>
                <w:noProof/>
                <w:webHidden/>
              </w:rPr>
            </w:r>
            <w:r w:rsidR="00A81F37" w:rsidRPr="00FF207E">
              <w:rPr>
                <w:noProof/>
                <w:webHidden/>
              </w:rPr>
              <w:fldChar w:fldCharType="separate"/>
            </w:r>
            <w:r w:rsidR="00A81F37" w:rsidRPr="00FF207E">
              <w:rPr>
                <w:noProof/>
                <w:webHidden/>
              </w:rPr>
              <w:t>44</w:t>
            </w:r>
            <w:r w:rsidR="00A81F37" w:rsidRPr="00FF207E">
              <w:rPr>
                <w:noProof/>
                <w:webHidden/>
              </w:rPr>
              <w:fldChar w:fldCharType="end"/>
            </w:r>
          </w:hyperlink>
        </w:p>
        <w:p w14:paraId="150FB187" w14:textId="28D3FB9A" w:rsidR="00A81F37" w:rsidRPr="00FF207E" w:rsidRDefault="005428A9">
          <w:pPr>
            <w:pStyle w:val="Kazalovsebine3"/>
            <w:tabs>
              <w:tab w:val="left" w:pos="1760"/>
              <w:tab w:val="right" w:leader="dot" w:pos="9062"/>
            </w:tabs>
            <w:rPr>
              <w:rFonts w:asciiTheme="minorHAnsi" w:eastAsiaTheme="minorEastAsia" w:hAnsiTheme="minorHAnsi" w:cstheme="minorBidi"/>
              <w:noProof/>
              <w:szCs w:val="22"/>
              <w:lang w:val="sl-SI" w:eastAsia="sl-SI"/>
            </w:rPr>
          </w:pPr>
          <w:hyperlink w:anchor="_Toc151148802" w:history="1">
            <w:r w:rsidR="00A81F37" w:rsidRPr="00FF207E">
              <w:rPr>
                <w:rStyle w:val="Hiperpovezava"/>
                <w:noProof/>
                <w:lang w:val="sl-SI"/>
              </w:rPr>
              <w:t>5.1.6</w:t>
            </w:r>
            <w:r w:rsidR="00A81F37" w:rsidRPr="00FF207E">
              <w:rPr>
                <w:rFonts w:asciiTheme="minorHAnsi" w:eastAsiaTheme="minorEastAsia" w:hAnsiTheme="minorHAnsi" w:cstheme="minorBidi"/>
                <w:noProof/>
                <w:szCs w:val="22"/>
                <w:lang w:val="sl-SI" w:eastAsia="sl-SI"/>
              </w:rPr>
              <w:tab/>
            </w:r>
            <w:r w:rsidR="00A81F37" w:rsidRPr="00FF207E">
              <w:rPr>
                <w:rStyle w:val="Hiperpovezava"/>
                <w:noProof/>
                <w:lang w:val="sl-SI"/>
              </w:rPr>
              <w:t>Vključevanje energetske revščine v lokalne energetske koncepte</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_Toc151148802 \h </w:instrText>
            </w:r>
            <w:r w:rsidR="00A81F37" w:rsidRPr="00FF207E">
              <w:rPr>
                <w:noProof/>
                <w:webHidden/>
              </w:rPr>
            </w:r>
            <w:r w:rsidR="00A81F37" w:rsidRPr="00FF207E">
              <w:rPr>
                <w:noProof/>
                <w:webHidden/>
              </w:rPr>
              <w:fldChar w:fldCharType="separate"/>
            </w:r>
            <w:r w:rsidR="00A81F37" w:rsidRPr="00FF207E">
              <w:rPr>
                <w:noProof/>
                <w:webHidden/>
              </w:rPr>
              <w:t>45</w:t>
            </w:r>
            <w:r w:rsidR="00A81F37" w:rsidRPr="00FF207E">
              <w:rPr>
                <w:noProof/>
                <w:webHidden/>
              </w:rPr>
              <w:fldChar w:fldCharType="end"/>
            </w:r>
          </w:hyperlink>
        </w:p>
        <w:p w14:paraId="161A500D" w14:textId="0BF11F78" w:rsidR="00A81F37" w:rsidRPr="00FF207E" w:rsidRDefault="005428A9">
          <w:pPr>
            <w:pStyle w:val="Kazalovsebine3"/>
            <w:tabs>
              <w:tab w:val="left" w:pos="1760"/>
              <w:tab w:val="right" w:leader="dot" w:pos="9062"/>
            </w:tabs>
            <w:rPr>
              <w:rFonts w:asciiTheme="minorHAnsi" w:eastAsiaTheme="minorEastAsia" w:hAnsiTheme="minorHAnsi" w:cstheme="minorBidi"/>
              <w:noProof/>
              <w:szCs w:val="22"/>
              <w:lang w:val="sl-SI" w:eastAsia="sl-SI"/>
            </w:rPr>
          </w:pPr>
          <w:hyperlink w:anchor="_Toc151148803" w:history="1">
            <w:r w:rsidR="00A81F37" w:rsidRPr="00FF207E">
              <w:rPr>
                <w:rStyle w:val="Hiperpovezava"/>
                <w:noProof/>
                <w:lang w:val="sl-SI"/>
              </w:rPr>
              <w:t>5.1.7</w:t>
            </w:r>
            <w:r w:rsidR="00A81F37" w:rsidRPr="00FF207E">
              <w:rPr>
                <w:rFonts w:asciiTheme="minorHAnsi" w:eastAsiaTheme="minorEastAsia" w:hAnsiTheme="minorHAnsi" w:cstheme="minorBidi"/>
                <w:noProof/>
                <w:szCs w:val="22"/>
                <w:lang w:val="sl-SI" w:eastAsia="sl-SI"/>
              </w:rPr>
              <w:tab/>
            </w:r>
            <w:r w:rsidR="00A81F37" w:rsidRPr="00FF207E">
              <w:rPr>
                <w:rStyle w:val="Hiperpovezava"/>
                <w:noProof/>
                <w:lang w:val="sl-SI"/>
              </w:rPr>
              <w:t>Energetsko opismenjevanje energetsko revnih</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_Toc151148803 \h </w:instrText>
            </w:r>
            <w:r w:rsidR="00A81F37" w:rsidRPr="00FF207E">
              <w:rPr>
                <w:noProof/>
                <w:webHidden/>
              </w:rPr>
            </w:r>
            <w:r w:rsidR="00A81F37" w:rsidRPr="00FF207E">
              <w:rPr>
                <w:noProof/>
                <w:webHidden/>
              </w:rPr>
              <w:fldChar w:fldCharType="separate"/>
            </w:r>
            <w:r w:rsidR="00A81F37" w:rsidRPr="00FF207E">
              <w:rPr>
                <w:noProof/>
                <w:webHidden/>
              </w:rPr>
              <w:t>46</w:t>
            </w:r>
            <w:r w:rsidR="00A81F37" w:rsidRPr="00FF207E">
              <w:rPr>
                <w:noProof/>
                <w:webHidden/>
              </w:rPr>
              <w:fldChar w:fldCharType="end"/>
            </w:r>
          </w:hyperlink>
        </w:p>
        <w:p w14:paraId="0A7DCB8E" w14:textId="2C0534E1"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804" w:history="1">
            <w:r w:rsidR="00A81F37" w:rsidRPr="00FF207E">
              <w:rPr>
                <w:rStyle w:val="Hiperpovezava"/>
                <w:noProof/>
                <w:lang w:val="sl-SI"/>
              </w:rPr>
              <w:t>5.2</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Ukrepi, priporočeni za naslednji akcijski načrt</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_Toc151148804 \h </w:instrText>
            </w:r>
            <w:r w:rsidR="00A81F37" w:rsidRPr="00FF207E">
              <w:rPr>
                <w:noProof/>
                <w:webHidden/>
              </w:rPr>
            </w:r>
            <w:r w:rsidR="00A81F37" w:rsidRPr="00FF207E">
              <w:rPr>
                <w:noProof/>
                <w:webHidden/>
              </w:rPr>
              <w:fldChar w:fldCharType="separate"/>
            </w:r>
            <w:r w:rsidR="00A81F37" w:rsidRPr="00FF207E">
              <w:rPr>
                <w:noProof/>
                <w:webHidden/>
              </w:rPr>
              <w:t>48</w:t>
            </w:r>
            <w:r w:rsidR="00A81F37" w:rsidRPr="00FF207E">
              <w:rPr>
                <w:noProof/>
                <w:webHidden/>
              </w:rPr>
              <w:fldChar w:fldCharType="end"/>
            </w:r>
          </w:hyperlink>
        </w:p>
        <w:p w14:paraId="16F6CF58" w14:textId="203B8592" w:rsidR="00A81F37" w:rsidRPr="00FF207E" w:rsidRDefault="005428A9">
          <w:pPr>
            <w:pStyle w:val="Kazalovsebine1"/>
            <w:rPr>
              <w:rFonts w:asciiTheme="minorHAnsi" w:eastAsiaTheme="minorEastAsia" w:hAnsiTheme="minorHAnsi" w:cstheme="minorBidi"/>
              <w:b w:val="0"/>
              <w:bCs w:val="0"/>
              <w:smallCaps w:val="0"/>
              <w:color w:val="auto"/>
              <w:szCs w:val="22"/>
              <w:lang w:val="sl-SI" w:eastAsia="sl-SI"/>
            </w:rPr>
          </w:pPr>
          <w:hyperlink w:anchor="_Toc151148805" w:history="1">
            <w:r w:rsidR="00A81F37" w:rsidRPr="00FF207E">
              <w:rPr>
                <w:rStyle w:val="Hiperpovezava"/>
                <w:lang w:val="sl-SI"/>
              </w:rPr>
              <w:t>6</w:t>
            </w:r>
            <w:r w:rsidR="00A81F37" w:rsidRPr="00FF207E">
              <w:rPr>
                <w:rFonts w:asciiTheme="minorHAnsi" w:eastAsiaTheme="minorEastAsia" w:hAnsiTheme="minorHAnsi" w:cstheme="minorBidi"/>
                <w:b w:val="0"/>
                <w:bCs w:val="0"/>
                <w:smallCaps w:val="0"/>
                <w:color w:val="auto"/>
                <w:szCs w:val="22"/>
                <w:lang w:val="sl-SI" w:eastAsia="sl-SI"/>
              </w:rPr>
              <w:tab/>
            </w:r>
            <w:r w:rsidR="00A81F37" w:rsidRPr="00FF207E">
              <w:rPr>
                <w:rStyle w:val="Hiperpovezava"/>
                <w:lang w:val="sl-SI"/>
              </w:rPr>
              <w:t>Ukrepi za blaženje energetske revščine</w:t>
            </w:r>
            <w:r w:rsidR="00A81F37" w:rsidRPr="00FF207E">
              <w:rPr>
                <w:webHidden/>
              </w:rPr>
              <w:tab/>
            </w:r>
            <w:r w:rsidR="00A81F37" w:rsidRPr="00FF207E">
              <w:rPr>
                <w:webHidden/>
              </w:rPr>
              <w:fldChar w:fldCharType="begin"/>
            </w:r>
            <w:r w:rsidR="00A81F37" w:rsidRPr="00FF207E">
              <w:rPr>
                <w:webHidden/>
              </w:rPr>
              <w:instrText xml:space="preserve"> PAGEREF _Toc151148805 \h </w:instrText>
            </w:r>
            <w:r w:rsidR="00A81F37" w:rsidRPr="00FF207E">
              <w:rPr>
                <w:webHidden/>
              </w:rPr>
            </w:r>
            <w:r w:rsidR="00A81F37" w:rsidRPr="00FF207E">
              <w:rPr>
                <w:webHidden/>
              </w:rPr>
              <w:fldChar w:fldCharType="separate"/>
            </w:r>
            <w:r w:rsidR="00A81F37" w:rsidRPr="00FF207E">
              <w:rPr>
                <w:webHidden/>
              </w:rPr>
              <w:t>49</w:t>
            </w:r>
            <w:r w:rsidR="00A81F37" w:rsidRPr="00FF207E">
              <w:rPr>
                <w:webHidden/>
              </w:rPr>
              <w:fldChar w:fldCharType="end"/>
            </w:r>
          </w:hyperlink>
        </w:p>
        <w:p w14:paraId="157D24C2" w14:textId="12D5CD97"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806" w:history="1">
            <w:r w:rsidR="00A81F37" w:rsidRPr="00FF207E">
              <w:rPr>
                <w:rStyle w:val="Hiperpovezava"/>
                <w:noProof/>
                <w:lang w:val="sl-SI"/>
              </w:rPr>
              <w:t>6.1</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Denarna pomoč CSD pri plačilu stroškov energije</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_Toc151148806 \h </w:instrText>
            </w:r>
            <w:r w:rsidR="00A81F37" w:rsidRPr="00FF207E">
              <w:rPr>
                <w:noProof/>
                <w:webHidden/>
              </w:rPr>
            </w:r>
            <w:r w:rsidR="00A81F37" w:rsidRPr="00FF207E">
              <w:rPr>
                <w:noProof/>
                <w:webHidden/>
              </w:rPr>
              <w:fldChar w:fldCharType="separate"/>
            </w:r>
            <w:r w:rsidR="00A81F37" w:rsidRPr="00FF207E">
              <w:rPr>
                <w:noProof/>
                <w:webHidden/>
              </w:rPr>
              <w:t>49</w:t>
            </w:r>
            <w:r w:rsidR="00A81F37" w:rsidRPr="00FF207E">
              <w:rPr>
                <w:noProof/>
                <w:webHidden/>
              </w:rPr>
              <w:fldChar w:fldCharType="end"/>
            </w:r>
          </w:hyperlink>
        </w:p>
        <w:p w14:paraId="7CF7EC62" w14:textId="7945F778"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807" w:history="1">
            <w:r w:rsidR="00A81F37" w:rsidRPr="00FF207E">
              <w:rPr>
                <w:rStyle w:val="Hiperpovezava"/>
                <w:noProof/>
                <w:lang w:val="sl-SI"/>
              </w:rPr>
              <w:t>6.2</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Dodatek za blaženje energetske revščine, tudi draginjski dodatek</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_Toc151148807 \h </w:instrText>
            </w:r>
            <w:r w:rsidR="00A81F37" w:rsidRPr="00FF207E">
              <w:rPr>
                <w:noProof/>
                <w:webHidden/>
              </w:rPr>
            </w:r>
            <w:r w:rsidR="00A81F37" w:rsidRPr="00FF207E">
              <w:rPr>
                <w:noProof/>
                <w:webHidden/>
              </w:rPr>
              <w:fldChar w:fldCharType="separate"/>
            </w:r>
            <w:r w:rsidR="00A81F37" w:rsidRPr="00FF207E">
              <w:rPr>
                <w:noProof/>
                <w:webHidden/>
              </w:rPr>
              <w:t>50</w:t>
            </w:r>
            <w:r w:rsidR="00A81F37" w:rsidRPr="00FF207E">
              <w:rPr>
                <w:noProof/>
                <w:webHidden/>
              </w:rPr>
              <w:fldChar w:fldCharType="end"/>
            </w:r>
          </w:hyperlink>
        </w:p>
        <w:p w14:paraId="4E34577F" w14:textId="6BE4A917" w:rsidR="00A81F37" w:rsidRPr="00FF207E" w:rsidRDefault="005428A9">
          <w:pPr>
            <w:pStyle w:val="Kazalovsebine1"/>
            <w:rPr>
              <w:rFonts w:asciiTheme="minorHAnsi" w:eastAsiaTheme="minorEastAsia" w:hAnsiTheme="minorHAnsi" w:cstheme="minorBidi"/>
              <w:b w:val="0"/>
              <w:bCs w:val="0"/>
              <w:smallCaps w:val="0"/>
              <w:color w:val="auto"/>
              <w:szCs w:val="22"/>
              <w:lang w:val="sl-SI" w:eastAsia="sl-SI"/>
            </w:rPr>
          </w:pPr>
          <w:hyperlink w:anchor="_Toc151148808" w:history="1">
            <w:r w:rsidR="00A81F37" w:rsidRPr="00FF207E">
              <w:rPr>
                <w:rStyle w:val="Hiperpovezava"/>
                <w:lang w:val="sl-SI"/>
              </w:rPr>
              <w:t>7</w:t>
            </w:r>
            <w:r w:rsidR="00A81F37" w:rsidRPr="00FF207E">
              <w:rPr>
                <w:rFonts w:asciiTheme="minorHAnsi" w:eastAsiaTheme="minorEastAsia" w:hAnsiTheme="minorHAnsi" w:cstheme="minorBidi"/>
                <w:b w:val="0"/>
                <w:bCs w:val="0"/>
                <w:smallCaps w:val="0"/>
                <w:color w:val="auto"/>
                <w:szCs w:val="22"/>
                <w:lang w:val="sl-SI" w:eastAsia="sl-SI"/>
              </w:rPr>
              <w:tab/>
            </w:r>
            <w:r w:rsidR="00A81F37" w:rsidRPr="00FF207E">
              <w:rPr>
                <w:rStyle w:val="Hiperpovezava"/>
                <w:lang w:val="sl-SI"/>
              </w:rPr>
              <w:t>Potrebna sredstva in viri za financiranje akcijskega načrta</w:t>
            </w:r>
            <w:r w:rsidR="00A81F37" w:rsidRPr="00FF207E">
              <w:rPr>
                <w:webHidden/>
              </w:rPr>
              <w:tab/>
            </w:r>
            <w:r w:rsidR="00A81F37" w:rsidRPr="00FF207E">
              <w:rPr>
                <w:webHidden/>
              </w:rPr>
              <w:fldChar w:fldCharType="begin"/>
            </w:r>
            <w:r w:rsidR="00A81F37" w:rsidRPr="00FF207E">
              <w:rPr>
                <w:webHidden/>
              </w:rPr>
              <w:instrText xml:space="preserve"> PAGEREF _Toc151148808 \h </w:instrText>
            </w:r>
            <w:r w:rsidR="00A81F37" w:rsidRPr="00FF207E">
              <w:rPr>
                <w:webHidden/>
              </w:rPr>
            </w:r>
            <w:r w:rsidR="00A81F37" w:rsidRPr="00FF207E">
              <w:rPr>
                <w:webHidden/>
              </w:rPr>
              <w:fldChar w:fldCharType="separate"/>
            </w:r>
            <w:r w:rsidR="00A81F37" w:rsidRPr="00FF207E">
              <w:rPr>
                <w:webHidden/>
              </w:rPr>
              <w:t>52</w:t>
            </w:r>
            <w:r w:rsidR="00A81F37" w:rsidRPr="00FF207E">
              <w:rPr>
                <w:webHidden/>
              </w:rPr>
              <w:fldChar w:fldCharType="end"/>
            </w:r>
          </w:hyperlink>
        </w:p>
        <w:p w14:paraId="490D928E" w14:textId="7F363CA0" w:rsidR="00A81F37" w:rsidRPr="00FF207E" w:rsidRDefault="005428A9">
          <w:pPr>
            <w:pStyle w:val="Kazalovsebine1"/>
            <w:rPr>
              <w:rFonts w:asciiTheme="minorHAnsi" w:eastAsiaTheme="minorEastAsia" w:hAnsiTheme="minorHAnsi" w:cstheme="minorBidi"/>
              <w:b w:val="0"/>
              <w:bCs w:val="0"/>
              <w:smallCaps w:val="0"/>
              <w:color w:val="auto"/>
              <w:szCs w:val="22"/>
              <w:lang w:val="sl-SI" w:eastAsia="sl-SI"/>
            </w:rPr>
          </w:pPr>
          <w:hyperlink w:anchor="_Toc151148809" w:history="1">
            <w:r w:rsidR="00A81F37" w:rsidRPr="00FF207E">
              <w:rPr>
                <w:rStyle w:val="Hiperpovezava"/>
                <w:lang w:val="sl-SI"/>
              </w:rPr>
              <w:t>8</w:t>
            </w:r>
            <w:r w:rsidR="00A81F37" w:rsidRPr="00FF207E">
              <w:rPr>
                <w:rFonts w:asciiTheme="minorHAnsi" w:eastAsiaTheme="minorEastAsia" w:hAnsiTheme="minorHAnsi" w:cstheme="minorBidi"/>
                <w:b w:val="0"/>
                <w:bCs w:val="0"/>
                <w:smallCaps w:val="0"/>
                <w:color w:val="auto"/>
                <w:szCs w:val="22"/>
                <w:lang w:val="sl-SI" w:eastAsia="sl-SI"/>
              </w:rPr>
              <w:tab/>
            </w:r>
            <w:r w:rsidR="00A81F37" w:rsidRPr="00FF207E">
              <w:rPr>
                <w:rStyle w:val="Hiperpovezava"/>
                <w:lang w:val="sl-SI"/>
              </w:rPr>
              <w:t>Organiziranost za izvajanje</w:t>
            </w:r>
            <w:r w:rsidR="00A81F37" w:rsidRPr="00FF207E">
              <w:rPr>
                <w:webHidden/>
              </w:rPr>
              <w:tab/>
            </w:r>
            <w:r w:rsidR="00A81F37" w:rsidRPr="00FF207E">
              <w:rPr>
                <w:webHidden/>
              </w:rPr>
              <w:fldChar w:fldCharType="begin"/>
            </w:r>
            <w:r w:rsidR="00A81F37" w:rsidRPr="00FF207E">
              <w:rPr>
                <w:webHidden/>
              </w:rPr>
              <w:instrText xml:space="preserve"> PAGEREF _Toc151148809 \h </w:instrText>
            </w:r>
            <w:r w:rsidR="00A81F37" w:rsidRPr="00FF207E">
              <w:rPr>
                <w:webHidden/>
              </w:rPr>
            </w:r>
            <w:r w:rsidR="00A81F37" w:rsidRPr="00FF207E">
              <w:rPr>
                <w:webHidden/>
              </w:rPr>
              <w:fldChar w:fldCharType="separate"/>
            </w:r>
            <w:r w:rsidR="00A81F37" w:rsidRPr="00FF207E">
              <w:rPr>
                <w:webHidden/>
              </w:rPr>
              <w:t>55</w:t>
            </w:r>
            <w:r w:rsidR="00A81F37" w:rsidRPr="00FF207E">
              <w:rPr>
                <w:webHidden/>
              </w:rPr>
              <w:fldChar w:fldCharType="end"/>
            </w:r>
          </w:hyperlink>
        </w:p>
        <w:p w14:paraId="28BC2F40" w14:textId="0180EF89"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810" w:history="1">
            <w:r w:rsidR="00A81F37" w:rsidRPr="00FF207E">
              <w:rPr>
                <w:rStyle w:val="Hiperpovezava"/>
                <w:noProof/>
                <w:lang w:val="sl-SI"/>
              </w:rPr>
              <w:t>8.1</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Organiziranost za izvajanje po obdobjih</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_Toc151148810 \h </w:instrText>
            </w:r>
            <w:r w:rsidR="00A81F37" w:rsidRPr="00FF207E">
              <w:rPr>
                <w:noProof/>
                <w:webHidden/>
              </w:rPr>
            </w:r>
            <w:r w:rsidR="00A81F37" w:rsidRPr="00FF207E">
              <w:rPr>
                <w:noProof/>
                <w:webHidden/>
              </w:rPr>
              <w:fldChar w:fldCharType="separate"/>
            </w:r>
            <w:r w:rsidR="00A81F37" w:rsidRPr="00FF207E">
              <w:rPr>
                <w:noProof/>
                <w:webHidden/>
              </w:rPr>
              <w:t>55</w:t>
            </w:r>
            <w:r w:rsidR="00A81F37" w:rsidRPr="00FF207E">
              <w:rPr>
                <w:noProof/>
                <w:webHidden/>
              </w:rPr>
              <w:fldChar w:fldCharType="end"/>
            </w:r>
          </w:hyperlink>
        </w:p>
        <w:p w14:paraId="566D5FAC" w14:textId="7E11BF05"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811" w:history="1">
            <w:r w:rsidR="00A81F37" w:rsidRPr="00FF207E">
              <w:rPr>
                <w:rStyle w:val="Hiperpovezava"/>
                <w:noProof/>
                <w:lang w:val="sl-SI"/>
              </w:rPr>
              <w:t>8.2</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Organiziranost za izvajanje po organizacijskih enotah</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_Toc151148811 \h </w:instrText>
            </w:r>
            <w:r w:rsidR="00A81F37" w:rsidRPr="00FF207E">
              <w:rPr>
                <w:noProof/>
                <w:webHidden/>
              </w:rPr>
            </w:r>
            <w:r w:rsidR="00A81F37" w:rsidRPr="00FF207E">
              <w:rPr>
                <w:noProof/>
                <w:webHidden/>
              </w:rPr>
              <w:fldChar w:fldCharType="separate"/>
            </w:r>
            <w:r w:rsidR="00A81F37" w:rsidRPr="00FF207E">
              <w:rPr>
                <w:noProof/>
                <w:webHidden/>
              </w:rPr>
              <w:t>56</w:t>
            </w:r>
            <w:r w:rsidR="00A81F37" w:rsidRPr="00FF207E">
              <w:rPr>
                <w:noProof/>
                <w:webHidden/>
              </w:rPr>
              <w:fldChar w:fldCharType="end"/>
            </w:r>
          </w:hyperlink>
        </w:p>
        <w:p w14:paraId="3CFC36E1" w14:textId="25B8615E" w:rsidR="00A81F37" w:rsidRPr="00FF207E" w:rsidRDefault="005428A9">
          <w:pPr>
            <w:pStyle w:val="Kazalovsebine1"/>
            <w:rPr>
              <w:rFonts w:asciiTheme="minorHAnsi" w:eastAsiaTheme="minorEastAsia" w:hAnsiTheme="minorHAnsi" w:cstheme="minorBidi"/>
              <w:b w:val="0"/>
              <w:bCs w:val="0"/>
              <w:smallCaps w:val="0"/>
              <w:color w:val="auto"/>
              <w:szCs w:val="22"/>
              <w:lang w:val="sl-SI" w:eastAsia="sl-SI"/>
            </w:rPr>
          </w:pPr>
          <w:hyperlink w:anchor="_Toc151148812" w:history="1">
            <w:r w:rsidR="00A81F37" w:rsidRPr="00FF207E">
              <w:rPr>
                <w:rStyle w:val="Hiperpovezava"/>
                <w:lang w:val="sl-SI"/>
              </w:rPr>
              <w:t>9</w:t>
            </w:r>
            <w:r w:rsidR="00A81F37" w:rsidRPr="00FF207E">
              <w:rPr>
                <w:rFonts w:asciiTheme="minorHAnsi" w:eastAsiaTheme="minorEastAsia" w:hAnsiTheme="minorHAnsi" w:cstheme="minorBidi"/>
                <w:b w:val="0"/>
                <w:bCs w:val="0"/>
                <w:smallCaps w:val="0"/>
                <w:color w:val="auto"/>
                <w:szCs w:val="22"/>
                <w:lang w:val="sl-SI" w:eastAsia="sl-SI"/>
              </w:rPr>
              <w:tab/>
            </w:r>
            <w:r w:rsidR="00A81F37" w:rsidRPr="00FF207E">
              <w:rPr>
                <w:rStyle w:val="Hiperpovezava"/>
                <w:lang w:val="sl-SI"/>
              </w:rPr>
              <w:t>Oznake, slike, tabele</w:t>
            </w:r>
            <w:r w:rsidR="00A81F37" w:rsidRPr="00FF207E">
              <w:rPr>
                <w:webHidden/>
              </w:rPr>
              <w:tab/>
            </w:r>
            <w:r w:rsidR="00A81F37" w:rsidRPr="00FF207E">
              <w:rPr>
                <w:webHidden/>
              </w:rPr>
              <w:fldChar w:fldCharType="begin"/>
            </w:r>
            <w:r w:rsidR="00A81F37" w:rsidRPr="00FF207E">
              <w:rPr>
                <w:webHidden/>
              </w:rPr>
              <w:instrText xml:space="preserve"> PAGEREF _Toc151148812 \h </w:instrText>
            </w:r>
            <w:r w:rsidR="00A81F37" w:rsidRPr="00FF207E">
              <w:rPr>
                <w:webHidden/>
              </w:rPr>
            </w:r>
            <w:r w:rsidR="00A81F37" w:rsidRPr="00FF207E">
              <w:rPr>
                <w:webHidden/>
              </w:rPr>
              <w:fldChar w:fldCharType="separate"/>
            </w:r>
            <w:r w:rsidR="00A81F37" w:rsidRPr="00FF207E">
              <w:rPr>
                <w:webHidden/>
              </w:rPr>
              <w:t>59</w:t>
            </w:r>
            <w:r w:rsidR="00A81F37" w:rsidRPr="00FF207E">
              <w:rPr>
                <w:webHidden/>
              </w:rPr>
              <w:fldChar w:fldCharType="end"/>
            </w:r>
          </w:hyperlink>
        </w:p>
        <w:p w14:paraId="32D23712" w14:textId="05CD2D7E"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813" w:history="1">
            <w:r w:rsidR="00A81F37" w:rsidRPr="00FF207E">
              <w:rPr>
                <w:rStyle w:val="Hiperpovezava"/>
                <w:noProof/>
                <w:lang w:val="sl-SI"/>
              </w:rPr>
              <w:t>9.1</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Seznam oznak in kratic</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_Toc151148813 \h </w:instrText>
            </w:r>
            <w:r w:rsidR="00A81F37" w:rsidRPr="00FF207E">
              <w:rPr>
                <w:noProof/>
                <w:webHidden/>
              </w:rPr>
            </w:r>
            <w:r w:rsidR="00A81F37" w:rsidRPr="00FF207E">
              <w:rPr>
                <w:noProof/>
                <w:webHidden/>
              </w:rPr>
              <w:fldChar w:fldCharType="separate"/>
            </w:r>
            <w:r w:rsidR="00A81F37" w:rsidRPr="00FF207E">
              <w:rPr>
                <w:noProof/>
                <w:webHidden/>
              </w:rPr>
              <w:t>59</w:t>
            </w:r>
            <w:r w:rsidR="00A81F37" w:rsidRPr="00FF207E">
              <w:rPr>
                <w:noProof/>
                <w:webHidden/>
              </w:rPr>
              <w:fldChar w:fldCharType="end"/>
            </w:r>
          </w:hyperlink>
        </w:p>
        <w:p w14:paraId="45978581" w14:textId="7E5F180A"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814" w:history="1">
            <w:r w:rsidR="00A81F37" w:rsidRPr="00FF207E">
              <w:rPr>
                <w:rStyle w:val="Hiperpovezava"/>
                <w:noProof/>
                <w:lang w:val="sl-SI"/>
              </w:rPr>
              <w:t>9.2</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Seznam slik</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_Toc151148814 \h </w:instrText>
            </w:r>
            <w:r w:rsidR="00A81F37" w:rsidRPr="00FF207E">
              <w:rPr>
                <w:noProof/>
                <w:webHidden/>
              </w:rPr>
            </w:r>
            <w:r w:rsidR="00A81F37" w:rsidRPr="00FF207E">
              <w:rPr>
                <w:noProof/>
                <w:webHidden/>
              </w:rPr>
              <w:fldChar w:fldCharType="separate"/>
            </w:r>
            <w:r w:rsidR="00A81F37" w:rsidRPr="00FF207E">
              <w:rPr>
                <w:noProof/>
                <w:webHidden/>
              </w:rPr>
              <w:t>60</w:t>
            </w:r>
            <w:r w:rsidR="00A81F37" w:rsidRPr="00FF207E">
              <w:rPr>
                <w:noProof/>
                <w:webHidden/>
              </w:rPr>
              <w:fldChar w:fldCharType="end"/>
            </w:r>
          </w:hyperlink>
        </w:p>
        <w:p w14:paraId="60E98924" w14:textId="5D03A75B" w:rsidR="00A81F37" w:rsidRPr="00FF207E" w:rsidRDefault="005428A9">
          <w:pPr>
            <w:pStyle w:val="Kazalovsebine2"/>
            <w:rPr>
              <w:rFonts w:asciiTheme="minorHAnsi" w:eastAsiaTheme="minorEastAsia" w:hAnsiTheme="minorHAnsi" w:cstheme="minorBidi"/>
              <w:b w:val="0"/>
              <w:smallCaps w:val="0"/>
              <w:noProof/>
              <w:szCs w:val="22"/>
              <w:lang w:val="sl-SI" w:eastAsia="sl-SI"/>
            </w:rPr>
          </w:pPr>
          <w:hyperlink w:anchor="_Toc151148815" w:history="1">
            <w:r w:rsidR="00A81F37" w:rsidRPr="00FF207E">
              <w:rPr>
                <w:rStyle w:val="Hiperpovezava"/>
                <w:noProof/>
                <w:lang w:val="sl-SI"/>
              </w:rPr>
              <w:t>9.3</w:t>
            </w:r>
            <w:r w:rsidR="00A81F37" w:rsidRPr="00FF207E">
              <w:rPr>
                <w:rFonts w:asciiTheme="minorHAnsi" w:eastAsiaTheme="minorEastAsia" w:hAnsiTheme="minorHAnsi" w:cstheme="minorBidi"/>
                <w:b w:val="0"/>
                <w:smallCaps w:val="0"/>
                <w:noProof/>
                <w:szCs w:val="22"/>
                <w:lang w:val="sl-SI" w:eastAsia="sl-SI"/>
              </w:rPr>
              <w:tab/>
            </w:r>
            <w:r w:rsidR="00A81F37" w:rsidRPr="00FF207E">
              <w:rPr>
                <w:rStyle w:val="Hiperpovezava"/>
                <w:noProof/>
                <w:lang w:val="sl-SI"/>
              </w:rPr>
              <w:t>Seznam tabel</w:t>
            </w:r>
            <w:r w:rsidR="00A81F37" w:rsidRPr="00FF207E">
              <w:rPr>
                <w:noProof/>
                <w:webHidden/>
              </w:rPr>
              <w:tab/>
            </w:r>
            <w:r w:rsidR="00A81F37" w:rsidRPr="00FF207E">
              <w:rPr>
                <w:noProof/>
                <w:webHidden/>
              </w:rPr>
              <w:fldChar w:fldCharType="begin"/>
            </w:r>
            <w:r w:rsidR="00A81F37" w:rsidRPr="00FF207E">
              <w:rPr>
                <w:noProof/>
                <w:webHidden/>
              </w:rPr>
              <w:instrText xml:space="preserve"> PAGEREF _Toc151148815 \h </w:instrText>
            </w:r>
            <w:r w:rsidR="00A81F37" w:rsidRPr="00FF207E">
              <w:rPr>
                <w:noProof/>
                <w:webHidden/>
              </w:rPr>
            </w:r>
            <w:r w:rsidR="00A81F37" w:rsidRPr="00FF207E">
              <w:rPr>
                <w:noProof/>
                <w:webHidden/>
              </w:rPr>
              <w:fldChar w:fldCharType="separate"/>
            </w:r>
            <w:r w:rsidR="00A81F37" w:rsidRPr="00FF207E">
              <w:rPr>
                <w:noProof/>
                <w:webHidden/>
              </w:rPr>
              <w:t>60</w:t>
            </w:r>
            <w:r w:rsidR="00A81F37" w:rsidRPr="00FF207E">
              <w:rPr>
                <w:noProof/>
                <w:webHidden/>
              </w:rPr>
              <w:fldChar w:fldCharType="end"/>
            </w:r>
          </w:hyperlink>
        </w:p>
        <w:p w14:paraId="7A3F1DC4" w14:textId="356AF70C" w:rsidR="00A81F37" w:rsidRPr="00FF207E" w:rsidRDefault="005428A9">
          <w:pPr>
            <w:pStyle w:val="Kazalovsebine1"/>
            <w:rPr>
              <w:rFonts w:asciiTheme="minorHAnsi" w:eastAsiaTheme="minorEastAsia" w:hAnsiTheme="minorHAnsi" w:cstheme="minorBidi"/>
              <w:b w:val="0"/>
              <w:bCs w:val="0"/>
              <w:smallCaps w:val="0"/>
              <w:color w:val="auto"/>
              <w:szCs w:val="22"/>
              <w:lang w:val="sl-SI" w:eastAsia="sl-SI"/>
            </w:rPr>
          </w:pPr>
          <w:hyperlink w:anchor="_Toc151148816" w:history="1">
            <w:r w:rsidR="00A81F37" w:rsidRPr="00FF207E">
              <w:rPr>
                <w:rStyle w:val="Hiperpovezava"/>
                <w:lang w:val="sl-SI"/>
              </w:rPr>
              <w:t xml:space="preserve">Priloga 1: </w:t>
            </w:r>
            <w:r w:rsidR="00A81F37" w:rsidRPr="00FF207E">
              <w:rPr>
                <w:rFonts w:asciiTheme="minorHAnsi" w:eastAsiaTheme="minorEastAsia" w:hAnsiTheme="minorHAnsi" w:cstheme="minorBidi"/>
                <w:b w:val="0"/>
                <w:bCs w:val="0"/>
                <w:smallCaps w:val="0"/>
                <w:color w:val="auto"/>
                <w:szCs w:val="22"/>
                <w:lang w:val="sl-SI" w:eastAsia="sl-SI"/>
              </w:rPr>
              <w:tab/>
            </w:r>
            <w:r w:rsidR="00A81F37" w:rsidRPr="00FF207E">
              <w:rPr>
                <w:rStyle w:val="Hiperpovezava"/>
                <w:lang w:val="sl-SI"/>
              </w:rPr>
              <w:t>Metodologija za izbor pilotnih regij</w:t>
            </w:r>
            <w:r w:rsidR="00A81F37" w:rsidRPr="00FF207E">
              <w:rPr>
                <w:webHidden/>
              </w:rPr>
              <w:tab/>
            </w:r>
            <w:r w:rsidR="00A81F37" w:rsidRPr="00FF207E">
              <w:rPr>
                <w:webHidden/>
              </w:rPr>
              <w:fldChar w:fldCharType="begin"/>
            </w:r>
            <w:r w:rsidR="00A81F37" w:rsidRPr="00FF207E">
              <w:rPr>
                <w:webHidden/>
              </w:rPr>
              <w:instrText xml:space="preserve"> PAGEREF _Toc151148816 \h </w:instrText>
            </w:r>
            <w:r w:rsidR="00A81F37" w:rsidRPr="00FF207E">
              <w:rPr>
                <w:webHidden/>
              </w:rPr>
            </w:r>
            <w:r w:rsidR="00A81F37" w:rsidRPr="00FF207E">
              <w:rPr>
                <w:webHidden/>
              </w:rPr>
              <w:fldChar w:fldCharType="separate"/>
            </w:r>
            <w:r w:rsidR="00A81F37" w:rsidRPr="00FF207E">
              <w:rPr>
                <w:webHidden/>
              </w:rPr>
              <w:t>- 1 -</w:t>
            </w:r>
            <w:r w:rsidR="00A81F37" w:rsidRPr="00FF207E">
              <w:rPr>
                <w:webHidden/>
              </w:rPr>
              <w:fldChar w:fldCharType="end"/>
            </w:r>
          </w:hyperlink>
        </w:p>
        <w:p w14:paraId="1F05E3F4" w14:textId="7F14A4EC" w:rsidR="00EA6955" w:rsidRPr="00FF207E" w:rsidRDefault="000849D9" w:rsidP="00EF1811">
          <w:pPr>
            <w:pStyle w:val="Kazalovsebine1"/>
            <w:rPr>
              <w:rStyle w:val="Hiperpovezava"/>
              <w:rFonts w:ascii="Calibri" w:eastAsiaTheme="minorHAnsi" w:hAnsi="Calibri" w:cstheme="minorHAnsi"/>
              <w:caps/>
              <w:noProof w:val="0"/>
              <w:sz w:val="20"/>
              <w:szCs w:val="20"/>
              <w:lang w:val="sl-SI"/>
            </w:rPr>
          </w:pPr>
          <w:r w:rsidRPr="00FF207E">
            <w:rPr>
              <w:rStyle w:val="Hiperpovezava"/>
              <w:rFonts w:eastAsiaTheme="minorHAnsi"/>
              <w:caps/>
              <w:noProof w:val="0"/>
              <w:sz w:val="20"/>
              <w:szCs w:val="20"/>
              <w:lang w:val="sl-SI"/>
            </w:rPr>
            <w:fldChar w:fldCharType="end"/>
          </w:r>
        </w:p>
      </w:sdtContent>
    </w:sdt>
    <w:p w14:paraId="77F39E4D" w14:textId="4EDC7C5D" w:rsidR="00DE5EEF" w:rsidRPr="00FF207E" w:rsidRDefault="00DE5EEF" w:rsidP="001E304B">
      <w:pPr>
        <w:jc w:val="both"/>
        <w:rPr>
          <w:lang w:val="sl-SI"/>
        </w:rPr>
      </w:pPr>
      <w:r w:rsidRPr="00FF207E">
        <w:rPr>
          <w:lang w:val="sl-SI"/>
        </w:rPr>
        <w:br w:type="page"/>
      </w:r>
    </w:p>
    <w:p w14:paraId="3E177975" w14:textId="6F2545D1" w:rsidR="00C43B4E" w:rsidRPr="00FF207E" w:rsidRDefault="00C43B4E" w:rsidP="001E304B">
      <w:pPr>
        <w:pStyle w:val="Naslov1"/>
        <w:numPr>
          <w:ilvl w:val="0"/>
          <w:numId w:val="0"/>
        </w:numPr>
        <w:jc w:val="both"/>
        <w:rPr>
          <w:lang w:val="sl-SI"/>
        </w:rPr>
      </w:pPr>
      <w:bookmarkStart w:id="1" w:name="_Toc151148773"/>
      <w:r w:rsidRPr="00FF207E">
        <w:rPr>
          <w:lang w:val="sl-SI"/>
        </w:rPr>
        <w:lastRenderedPageBreak/>
        <w:t>Povzetek</w:t>
      </w:r>
      <w:bookmarkEnd w:id="1"/>
    </w:p>
    <w:p w14:paraId="03F44C0E" w14:textId="61159C73" w:rsidR="00BA0397" w:rsidRPr="00FF207E" w:rsidRDefault="0077297B" w:rsidP="001E304B">
      <w:pPr>
        <w:spacing w:after="240"/>
        <w:jc w:val="both"/>
        <w:rPr>
          <w:iCs/>
          <w:szCs w:val="22"/>
          <w:lang w:val="sl-SI"/>
        </w:rPr>
      </w:pPr>
      <w:r w:rsidRPr="00FF207E">
        <w:rPr>
          <w:b/>
          <w:bCs/>
          <w:color w:val="4F81BD" w:themeColor="accent1"/>
          <w:szCs w:val="22"/>
          <w:lang w:val="sl-SI"/>
        </w:rPr>
        <w:t>Pravna podlaga</w:t>
      </w:r>
      <w:r w:rsidRPr="00FF207E">
        <w:rPr>
          <w:color w:val="4F81BD" w:themeColor="accent1"/>
          <w:szCs w:val="22"/>
          <w:lang w:val="sl-SI"/>
        </w:rPr>
        <w:t xml:space="preserve"> </w:t>
      </w:r>
      <w:r w:rsidRPr="00FF207E">
        <w:rPr>
          <w:szCs w:val="22"/>
          <w:lang w:val="sl-SI"/>
        </w:rPr>
        <w:t>za pripravo akcijskega načrta</w:t>
      </w:r>
      <w:r w:rsidR="00AC5912" w:rsidRPr="00FF207E">
        <w:rPr>
          <w:szCs w:val="22"/>
          <w:lang w:val="sl-SI"/>
        </w:rPr>
        <w:t xml:space="preserve"> za zmanjševanje energetske revščine</w:t>
      </w:r>
      <w:r w:rsidRPr="00FF207E">
        <w:rPr>
          <w:szCs w:val="22"/>
          <w:lang w:val="sl-SI"/>
        </w:rPr>
        <w:t xml:space="preserve"> je </w:t>
      </w:r>
      <w:r w:rsidRPr="00FF207E">
        <w:rPr>
          <w:i/>
          <w:iCs/>
          <w:szCs w:val="22"/>
          <w:lang w:val="sl-SI"/>
        </w:rPr>
        <w:t>Uredba o merilih za opredelitev in ocenjevanje števila energetsko revnih gospodinjstev</w:t>
      </w:r>
      <w:r w:rsidRPr="00FF207E">
        <w:rPr>
          <w:iCs/>
          <w:szCs w:val="22"/>
          <w:lang w:val="sl-SI"/>
        </w:rPr>
        <w:t xml:space="preserve">, ki je bila sprejeta oktobra 2022. </w:t>
      </w:r>
      <w:r w:rsidR="00AC5912" w:rsidRPr="00FF207E">
        <w:rPr>
          <w:iCs/>
          <w:szCs w:val="22"/>
          <w:lang w:val="sl-SI"/>
        </w:rPr>
        <w:t>Predlog za pripravo akcijskega načrta vključuje bistvene ukrepe za blaženje energetske revščine, vključno z oceno sredstev</w:t>
      </w:r>
      <w:r w:rsidR="003041CD" w:rsidRPr="00FF207E">
        <w:rPr>
          <w:iCs/>
          <w:szCs w:val="22"/>
          <w:lang w:val="sl-SI"/>
        </w:rPr>
        <w:t>,</w:t>
      </w:r>
      <w:r w:rsidR="00AC5912" w:rsidRPr="00FF207E">
        <w:rPr>
          <w:iCs/>
          <w:szCs w:val="22"/>
          <w:lang w:val="sl-SI"/>
        </w:rPr>
        <w:t xml:space="preserve"> </w:t>
      </w:r>
      <w:r w:rsidR="003041CD" w:rsidRPr="00FF207E">
        <w:rPr>
          <w:iCs/>
          <w:szCs w:val="22"/>
          <w:lang w:val="sl-SI"/>
        </w:rPr>
        <w:t xml:space="preserve">potrebnih </w:t>
      </w:r>
      <w:r w:rsidR="00AC5912" w:rsidRPr="00FF207E">
        <w:rPr>
          <w:iCs/>
          <w:szCs w:val="22"/>
          <w:lang w:val="sl-SI"/>
        </w:rPr>
        <w:t>za njihovo izvedbo.</w:t>
      </w:r>
    </w:p>
    <w:p w14:paraId="71EFA52E" w14:textId="7A8C2D94" w:rsidR="00AB0384" w:rsidRPr="00FF207E" w:rsidRDefault="00AB0384" w:rsidP="001E304B">
      <w:pPr>
        <w:spacing w:after="240"/>
        <w:jc w:val="both"/>
        <w:rPr>
          <w:i/>
          <w:iCs/>
          <w:szCs w:val="22"/>
          <w:lang w:val="sl-SI"/>
        </w:rPr>
      </w:pPr>
      <w:r w:rsidRPr="00FF207E">
        <w:rPr>
          <w:b/>
          <w:bCs/>
          <w:color w:val="4F81BD" w:themeColor="accent1"/>
          <w:szCs w:val="22"/>
          <w:lang w:val="sl-SI"/>
        </w:rPr>
        <w:t>Cilji na področju zmanjševanja energetske revščine</w:t>
      </w:r>
      <w:r w:rsidR="006F33B5" w:rsidRPr="00FF207E">
        <w:rPr>
          <w:b/>
          <w:bCs/>
          <w:color w:val="4F81BD" w:themeColor="accent1"/>
          <w:szCs w:val="22"/>
          <w:lang w:val="sl-SI"/>
        </w:rPr>
        <w:t xml:space="preserve"> do leta 2030</w:t>
      </w:r>
      <w:r w:rsidRPr="00FF207E">
        <w:rPr>
          <w:b/>
          <w:bCs/>
          <w:color w:val="4F81BD" w:themeColor="accent1"/>
          <w:szCs w:val="22"/>
          <w:lang w:val="sl-SI"/>
        </w:rPr>
        <w:t>.</w:t>
      </w:r>
      <w:r w:rsidRPr="00FF207E">
        <w:rPr>
          <w:szCs w:val="22"/>
          <w:lang w:val="sl-SI"/>
        </w:rPr>
        <w:t xml:space="preserve"> </w:t>
      </w:r>
      <w:r w:rsidR="00540CAA" w:rsidRPr="00FF207E">
        <w:rPr>
          <w:lang w:val="sl-SI"/>
        </w:rPr>
        <w:t xml:space="preserve">Za leto 2030 </w:t>
      </w:r>
      <w:r w:rsidR="00385EF3" w:rsidRPr="00FF207E">
        <w:rPr>
          <w:lang w:val="sl-SI"/>
        </w:rPr>
        <w:t xml:space="preserve">so </w:t>
      </w:r>
      <w:r w:rsidR="00540CAA" w:rsidRPr="00FF207E">
        <w:rPr>
          <w:lang w:val="sl-SI"/>
        </w:rPr>
        <w:t xml:space="preserve">na področju zmanjševanja energetske revščine </w:t>
      </w:r>
      <w:r w:rsidR="00385EF3" w:rsidRPr="00FF207E">
        <w:rPr>
          <w:lang w:val="sl-SI"/>
        </w:rPr>
        <w:t xml:space="preserve">zastavljeni </w:t>
      </w:r>
      <w:r w:rsidR="00EF525E" w:rsidRPr="00FF207E">
        <w:rPr>
          <w:b/>
          <w:lang w:val="sl-SI"/>
        </w:rPr>
        <w:t>trije cilji</w:t>
      </w:r>
      <w:r w:rsidR="00E14FB8" w:rsidRPr="00FF207E">
        <w:rPr>
          <w:lang w:val="sl-SI"/>
        </w:rPr>
        <w:t>.</w:t>
      </w:r>
      <w:r w:rsidR="00540CAA" w:rsidRPr="00FF207E">
        <w:rPr>
          <w:lang w:val="sl-SI"/>
        </w:rPr>
        <w:t xml:space="preserve"> </w:t>
      </w:r>
      <w:r w:rsidR="00E14FB8" w:rsidRPr="00FF207E">
        <w:rPr>
          <w:lang w:val="sl-SI"/>
        </w:rPr>
        <w:t xml:space="preserve">Dva od njih </w:t>
      </w:r>
      <w:r w:rsidR="00540CAA" w:rsidRPr="00FF207E">
        <w:rPr>
          <w:lang w:val="sl-SI"/>
        </w:rPr>
        <w:t xml:space="preserve">sta </w:t>
      </w:r>
      <w:r w:rsidR="00E14FB8" w:rsidRPr="00FF207E">
        <w:rPr>
          <w:lang w:val="sl-SI"/>
        </w:rPr>
        <w:t xml:space="preserve">že </w:t>
      </w:r>
      <w:r w:rsidR="00540CAA" w:rsidRPr="00FF207E">
        <w:rPr>
          <w:lang w:val="sl-SI"/>
        </w:rPr>
        <w:t xml:space="preserve">usklajena </w:t>
      </w:r>
      <w:r w:rsidR="00E14FB8" w:rsidRPr="00FF207E">
        <w:rPr>
          <w:lang w:val="sl-SI"/>
        </w:rPr>
        <w:t xml:space="preserve">z osnutkom predloga </w:t>
      </w:r>
      <w:r w:rsidR="00540CAA" w:rsidRPr="00FF207E">
        <w:rPr>
          <w:lang w:val="sl-SI"/>
        </w:rPr>
        <w:t xml:space="preserve">posodobitve </w:t>
      </w:r>
      <w:r w:rsidR="00540CAA" w:rsidRPr="00FF207E">
        <w:rPr>
          <w:rFonts w:cs="Arial"/>
          <w:i/>
          <w:iCs/>
          <w:szCs w:val="22"/>
          <w:lang w:val="sl-SI"/>
        </w:rPr>
        <w:t>Celovitega nacionalnega energetskega in podnebnega načrta</w:t>
      </w:r>
      <w:r w:rsidR="001E6160" w:rsidRPr="00FF207E">
        <w:rPr>
          <w:rFonts w:cs="Arial"/>
          <w:i/>
          <w:iCs/>
          <w:szCs w:val="22"/>
          <w:lang w:val="sl-SI"/>
        </w:rPr>
        <w:t xml:space="preserve"> (NEPN)</w:t>
      </w:r>
      <w:r w:rsidR="00E14FB8" w:rsidRPr="00FF207E">
        <w:rPr>
          <w:lang w:val="sl-SI"/>
        </w:rPr>
        <w:t xml:space="preserve">, </w:t>
      </w:r>
      <w:r w:rsidR="00E14FB8" w:rsidRPr="00FF207E">
        <w:rPr>
          <w:rFonts w:cs="Arial"/>
          <w:szCs w:val="22"/>
          <w:lang w:val="sl-SI"/>
        </w:rPr>
        <w:t xml:space="preserve">tretji pa izhaja iz 8. člena nove </w:t>
      </w:r>
      <w:r w:rsidR="00E14FB8" w:rsidRPr="00FF207E">
        <w:rPr>
          <w:rFonts w:cs="Arial"/>
          <w:i/>
          <w:szCs w:val="22"/>
          <w:lang w:val="sl-SI"/>
        </w:rPr>
        <w:t>Direktive o energetski učinkovitosti</w:t>
      </w:r>
      <w:r w:rsidR="001E6160" w:rsidRPr="00FF207E">
        <w:rPr>
          <w:rFonts w:cs="Arial"/>
          <w:i/>
          <w:szCs w:val="22"/>
          <w:lang w:val="sl-SI"/>
        </w:rPr>
        <w:t xml:space="preserve"> (EED)</w:t>
      </w:r>
      <w:r w:rsidR="00E14FB8" w:rsidRPr="00FF207E">
        <w:rPr>
          <w:rFonts w:cs="Arial"/>
          <w:szCs w:val="22"/>
          <w:lang w:val="sl-SI"/>
        </w:rPr>
        <w:t xml:space="preserve"> in bo dokončno oblikovan in vključen v končno verzijo posodobitve NEPN</w:t>
      </w:r>
      <w:r w:rsidR="003041CD" w:rsidRPr="00FF207E">
        <w:rPr>
          <w:rFonts w:cs="Arial"/>
          <w:szCs w:val="22"/>
          <w:lang w:val="sl-SI"/>
        </w:rPr>
        <w:t>.</w:t>
      </w:r>
      <w:r w:rsidR="00540CAA" w:rsidRPr="00FF207E">
        <w:rPr>
          <w:lang w:val="sl-SI"/>
        </w:rPr>
        <w:t xml:space="preserve"> </w:t>
      </w:r>
      <w:r w:rsidR="00E14FB8" w:rsidRPr="00FF207E">
        <w:rPr>
          <w:lang w:val="sl-SI"/>
        </w:rPr>
        <w:t xml:space="preserve">Vsi cilji bodo lahko doseženi </w:t>
      </w:r>
      <w:r w:rsidR="00E14FB8" w:rsidRPr="00FF207E">
        <w:rPr>
          <w:bCs/>
          <w:lang w:val="sl-SI"/>
        </w:rPr>
        <w:t>samo</w:t>
      </w:r>
      <w:r w:rsidR="00D90937" w:rsidRPr="00FF207E">
        <w:rPr>
          <w:bCs/>
          <w:lang w:val="sl-SI"/>
        </w:rPr>
        <w:t xml:space="preserve"> </w:t>
      </w:r>
      <w:r w:rsidR="001E304B" w:rsidRPr="00FF207E">
        <w:rPr>
          <w:bCs/>
          <w:lang w:val="sl-SI"/>
        </w:rPr>
        <w:t>ob</w:t>
      </w:r>
      <w:r w:rsidR="00D90937" w:rsidRPr="00FF207E">
        <w:rPr>
          <w:bCs/>
          <w:lang w:val="sl-SI"/>
        </w:rPr>
        <w:t xml:space="preserve"> vzpostavljeni</w:t>
      </w:r>
      <w:r w:rsidR="001E304B" w:rsidRPr="00FF207E">
        <w:rPr>
          <w:bCs/>
          <w:lang w:val="sl-SI"/>
        </w:rPr>
        <w:t>h</w:t>
      </w:r>
      <w:r w:rsidR="00D90937" w:rsidRPr="00FF207E">
        <w:rPr>
          <w:bCs/>
          <w:lang w:val="sl-SI"/>
        </w:rPr>
        <w:t xml:space="preserve"> </w:t>
      </w:r>
      <w:r w:rsidR="00540CAA" w:rsidRPr="00FF207E">
        <w:rPr>
          <w:bCs/>
          <w:lang w:val="sl-SI"/>
        </w:rPr>
        <w:t>ustrezni</w:t>
      </w:r>
      <w:r w:rsidR="001E304B" w:rsidRPr="00FF207E">
        <w:rPr>
          <w:bCs/>
          <w:lang w:val="sl-SI"/>
        </w:rPr>
        <w:t>h</w:t>
      </w:r>
      <w:r w:rsidR="00540CAA" w:rsidRPr="00FF207E">
        <w:rPr>
          <w:bCs/>
          <w:lang w:val="sl-SI"/>
        </w:rPr>
        <w:t xml:space="preserve"> </w:t>
      </w:r>
      <w:r w:rsidR="00EB4C1D" w:rsidRPr="00FF207E">
        <w:rPr>
          <w:bCs/>
          <w:lang w:val="sl-SI"/>
        </w:rPr>
        <w:t xml:space="preserve">razmerah </w:t>
      </w:r>
      <w:r w:rsidR="00540CAA" w:rsidRPr="00FF207E">
        <w:rPr>
          <w:bCs/>
          <w:lang w:val="sl-SI"/>
        </w:rPr>
        <w:t xml:space="preserve">za izvajanje ukrepov iz </w:t>
      </w:r>
      <w:r w:rsidR="00E14FB8" w:rsidRPr="00FF207E">
        <w:rPr>
          <w:bCs/>
          <w:lang w:val="sl-SI"/>
        </w:rPr>
        <w:t xml:space="preserve">tega in </w:t>
      </w:r>
      <w:r w:rsidR="00E14FB8" w:rsidRPr="00FF207E">
        <w:rPr>
          <w:lang w:val="sl-SI"/>
        </w:rPr>
        <w:t xml:space="preserve">naslednjih akcijskih načrtov za zmanjševanje energetske revščine </w:t>
      </w:r>
      <w:r w:rsidR="00540CAA" w:rsidRPr="00FF207E">
        <w:rPr>
          <w:lang w:val="sl-SI"/>
        </w:rPr>
        <w:t xml:space="preserve">(zagotovljena sredstva, kadri za vzpostavitev in delovanje načrtovane sheme za zmanjševanje energetske revščine </w:t>
      </w:r>
      <w:r w:rsidR="00B77973" w:rsidRPr="00FF207E">
        <w:rPr>
          <w:lang w:val="sl-SI"/>
        </w:rPr>
        <w:t>in tako dalje</w:t>
      </w:r>
      <w:r w:rsidR="00540CAA" w:rsidRPr="00FF207E">
        <w:rPr>
          <w:lang w:val="sl-SI"/>
        </w:rPr>
        <w:t>).</w:t>
      </w:r>
      <w:r w:rsidR="00D90937" w:rsidRPr="00FF207E">
        <w:rPr>
          <w:lang w:val="sl-SI"/>
        </w:rPr>
        <w:t xml:space="preserve"> </w:t>
      </w:r>
      <w:r w:rsidR="00267B42" w:rsidRPr="00FF207E">
        <w:rPr>
          <w:lang w:val="sl-SI"/>
        </w:rPr>
        <w:t xml:space="preserve">Za doseganje krovnega cilja je poleg tega treba zagotoviti tudi </w:t>
      </w:r>
      <w:r w:rsidR="003249EA" w:rsidRPr="00FF207E">
        <w:rPr>
          <w:lang w:val="sl-SI"/>
        </w:rPr>
        <w:t xml:space="preserve">dejavno </w:t>
      </w:r>
      <w:r w:rsidR="00267B42" w:rsidRPr="00FF207E">
        <w:rPr>
          <w:lang w:val="sl-SI"/>
        </w:rPr>
        <w:t xml:space="preserve">zmanjševanje in preprečevanje energetske revščine v okviru razvojne, plačne, zaposlitvene, davčne, stanovanjske, socialne in drugih </w:t>
      </w:r>
      <w:r w:rsidR="00F22E0A" w:rsidRPr="00FF207E">
        <w:rPr>
          <w:lang w:val="sl-SI"/>
        </w:rPr>
        <w:t xml:space="preserve">pomembnih </w:t>
      </w:r>
      <w:r w:rsidR="00267B42" w:rsidRPr="00FF207E">
        <w:rPr>
          <w:lang w:val="sl-SI"/>
        </w:rPr>
        <w:t>politik.</w:t>
      </w:r>
    </w:p>
    <w:p w14:paraId="03E033DD" w14:textId="7840727E" w:rsidR="00A46FBD" w:rsidRPr="00FF207E" w:rsidRDefault="00A46FBD" w:rsidP="001E304B">
      <w:pPr>
        <w:spacing w:after="120"/>
        <w:jc w:val="both"/>
        <w:rPr>
          <w:rFonts w:cs="Arial"/>
          <w:szCs w:val="22"/>
          <w:lang w:val="sl-SI"/>
        </w:rPr>
      </w:pPr>
      <w:r w:rsidRPr="00FF207E">
        <w:rPr>
          <w:noProof/>
          <w:color w:val="4F81BD" w:themeColor="accent1"/>
          <w:lang w:val="sl-SI" w:eastAsia="sl-SI"/>
        </w:rPr>
        <mc:AlternateContent>
          <mc:Choice Requires="wps">
            <w:drawing>
              <wp:inline distT="0" distB="0" distL="0" distR="0" wp14:anchorId="3027298E" wp14:editId="4D59361F">
                <wp:extent cx="5760720" cy="3263807"/>
                <wp:effectExtent l="12700" t="12700" r="17780" b="13335"/>
                <wp:docPr id="32" name="Rectangle: Rounded Corners 32"/>
                <wp:cNvGraphicFramePr/>
                <a:graphic xmlns:a="http://schemas.openxmlformats.org/drawingml/2006/main">
                  <a:graphicData uri="http://schemas.microsoft.com/office/word/2010/wordprocessingShape">
                    <wps:wsp>
                      <wps:cNvSpPr/>
                      <wps:spPr>
                        <a:xfrm>
                          <a:off x="0" y="0"/>
                          <a:ext cx="5760720" cy="3263807"/>
                        </a:xfrm>
                        <a:prstGeom prst="roundRect">
                          <a:avLst>
                            <a:gd name="adj" fmla="val 5866"/>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5A9D34" w14:textId="7BAB627A" w:rsidR="008140B0" w:rsidRPr="00683FA5" w:rsidRDefault="008140B0" w:rsidP="00A45595">
                            <w:pPr>
                              <w:spacing w:after="120"/>
                              <w:ind w:left="340" w:right="301" w:hanging="340"/>
                              <w:rPr>
                                <w:rFonts w:cs="Arial"/>
                                <w:b/>
                                <w:smallCaps/>
                                <w:color w:val="4F81BD" w:themeColor="accent1"/>
                                <w:lang w:val="sl-SI"/>
                              </w:rPr>
                            </w:pPr>
                            <w:r>
                              <w:rPr>
                                <w:rFonts w:cs="Arial"/>
                                <w:b/>
                                <w:smallCaps/>
                                <w:color w:val="4F81BD" w:themeColor="accent1"/>
                                <w:lang w:val="sl-SI"/>
                              </w:rPr>
                              <w:t>1.</w:t>
                            </w:r>
                            <w:r>
                              <w:rPr>
                                <w:rFonts w:cs="Arial"/>
                                <w:b/>
                                <w:smallCaps/>
                                <w:color w:val="4F81BD" w:themeColor="accent1"/>
                                <w:lang w:val="sl-SI"/>
                              </w:rPr>
                              <w:tab/>
                              <w:t>Krovni cilj za zmanjševanje energetske revščine</w:t>
                            </w:r>
                          </w:p>
                          <w:p w14:paraId="0137D197" w14:textId="5987087C" w:rsidR="008140B0" w:rsidRDefault="008140B0" w:rsidP="001E304B">
                            <w:pPr>
                              <w:spacing w:after="120"/>
                              <w:ind w:right="301"/>
                              <w:jc w:val="both"/>
                              <w:rPr>
                                <w:rFonts w:cs="Arial"/>
                                <w:color w:val="4F81BD" w:themeColor="accent1"/>
                                <w:szCs w:val="22"/>
                                <w:lang w:val="sl-SI"/>
                              </w:rPr>
                            </w:pPr>
                            <w:bookmarkStart w:id="2" w:name="_Hlk150438263"/>
                            <w:r>
                              <w:rPr>
                                <w:rFonts w:cs="Arial"/>
                                <w:color w:val="4F81BD" w:themeColor="accent1"/>
                                <w:szCs w:val="22"/>
                                <w:lang w:val="sl-SI"/>
                              </w:rPr>
                              <w:t>Krovni c</w:t>
                            </w:r>
                            <w:r w:rsidRPr="00774BF5">
                              <w:rPr>
                                <w:rFonts w:cs="Arial"/>
                                <w:color w:val="4F81BD" w:themeColor="accent1"/>
                                <w:szCs w:val="22"/>
                                <w:lang w:val="sl-SI"/>
                              </w:rPr>
                              <w:t xml:space="preserve">ilj na področju energetske revščine do leta 2030 je zmanjšanje deleža energetsko revnih gospodinjstev do vrednosti </w:t>
                            </w:r>
                            <w:r>
                              <w:rPr>
                                <w:rFonts w:cs="Arial"/>
                                <w:color w:val="4F81BD" w:themeColor="accent1"/>
                                <w:szCs w:val="22"/>
                                <w:lang w:val="sl-SI"/>
                              </w:rPr>
                              <w:t xml:space="preserve">največ med 3,8 in </w:t>
                            </w:r>
                            <w:r w:rsidRPr="00774BF5">
                              <w:rPr>
                                <w:rFonts w:cs="Arial"/>
                                <w:color w:val="4F81BD" w:themeColor="accent1"/>
                                <w:szCs w:val="22"/>
                                <w:lang w:val="sl-SI"/>
                              </w:rPr>
                              <w:t xml:space="preserve">4,6 </w:t>
                            </w:r>
                            <w:r>
                              <w:rPr>
                                <w:rFonts w:cs="Arial"/>
                                <w:color w:val="4F81BD" w:themeColor="accent1"/>
                                <w:szCs w:val="22"/>
                                <w:lang w:val="sl-SI"/>
                              </w:rPr>
                              <w:t>odstotka</w:t>
                            </w:r>
                            <w:r w:rsidRPr="00774BF5">
                              <w:rPr>
                                <w:rFonts w:cs="Arial"/>
                                <w:color w:val="4F81BD" w:themeColor="accent1"/>
                                <w:szCs w:val="22"/>
                                <w:lang w:val="sl-SI"/>
                              </w:rPr>
                              <w:t>.</w:t>
                            </w:r>
                          </w:p>
                          <w:bookmarkEnd w:id="2"/>
                          <w:p w14:paraId="2C5AA88A" w14:textId="59CE34A5" w:rsidR="008140B0" w:rsidRPr="00683FA5" w:rsidRDefault="008140B0" w:rsidP="006C14D5">
                            <w:pPr>
                              <w:spacing w:after="120"/>
                              <w:ind w:left="340" w:right="301" w:hanging="340"/>
                              <w:rPr>
                                <w:rFonts w:cs="Arial"/>
                                <w:b/>
                                <w:smallCaps/>
                                <w:color w:val="4F81BD" w:themeColor="accent1"/>
                                <w:lang w:val="sl-SI"/>
                              </w:rPr>
                            </w:pPr>
                            <w:r>
                              <w:rPr>
                                <w:rFonts w:cs="Arial"/>
                                <w:b/>
                                <w:smallCaps/>
                                <w:color w:val="4F81BD" w:themeColor="accent1"/>
                                <w:lang w:val="sl-SI"/>
                              </w:rPr>
                              <w:t>2.</w:t>
                            </w:r>
                            <w:r>
                              <w:rPr>
                                <w:rFonts w:cs="Arial"/>
                                <w:b/>
                                <w:smallCaps/>
                                <w:color w:val="4F81BD" w:themeColor="accent1"/>
                                <w:lang w:val="sl-SI"/>
                              </w:rPr>
                              <w:tab/>
                              <w:t>Število energetsko revnih gospodinjstev z izvedenimi naložbami za zmanjševanje energetske revščine</w:t>
                            </w:r>
                          </w:p>
                          <w:p w14:paraId="5CE8009D" w14:textId="31F90E66" w:rsidR="008140B0" w:rsidRDefault="008140B0" w:rsidP="001E304B">
                            <w:pPr>
                              <w:spacing w:after="120"/>
                              <w:ind w:right="301"/>
                              <w:jc w:val="both"/>
                              <w:rPr>
                                <w:rFonts w:cs="Arial"/>
                                <w:color w:val="4F81BD" w:themeColor="accent1"/>
                                <w:szCs w:val="22"/>
                                <w:lang w:val="sl-SI"/>
                              </w:rPr>
                            </w:pPr>
                            <w:bookmarkStart w:id="3" w:name="_Hlk150438276"/>
                            <w:r w:rsidRPr="00781924">
                              <w:rPr>
                                <w:rFonts w:cs="Arial"/>
                                <w:color w:val="4F81BD" w:themeColor="accent1"/>
                                <w:szCs w:val="22"/>
                                <w:lang w:val="sl-SI"/>
                              </w:rPr>
                              <w:t>Drugi cilj na področju energetske revščine do leta 2030 je izved</w:t>
                            </w:r>
                            <w:r>
                              <w:rPr>
                                <w:rFonts w:cs="Arial"/>
                                <w:color w:val="4F81BD" w:themeColor="accent1"/>
                                <w:szCs w:val="22"/>
                                <w:lang w:val="sl-SI"/>
                              </w:rPr>
                              <w:t>ba</w:t>
                            </w:r>
                            <w:r w:rsidRPr="00781924">
                              <w:rPr>
                                <w:rFonts w:cs="Arial"/>
                                <w:color w:val="4F81BD" w:themeColor="accent1"/>
                                <w:szCs w:val="22"/>
                                <w:lang w:val="sl-SI"/>
                              </w:rPr>
                              <w:t xml:space="preserve"> naložb na področju učinkovite rabe energije (URE) in rabe obnovljivih virov</w:t>
                            </w:r>
                            <w:r>
                              <w:rPr>
                                <w:rFonts w:cs="Arial"/>
                                <w:color w:val="4F81BD" w:themeColor="accent1"/>
                                <w:szCs w:val="22"/>
                                <w:lang w:val="sl-SI"/>
                              </w:rPr>
                              <w:t xml:space="preserve"> energije</w:t>
                            </w:r>
                            <w:r w:rsidRPr="00781924">
                              <w:rPr>
                                <w:rFonts w:cs="Arial"/>
                                <w:color w:val="4F81BD" w:themeColor="accent1"/>
                                <w:szCs w:val="22"/>
                                <w:lang w:val="sl-SI"/>
                              </w:rPr>
                              <w:t xml:space="preserve"> (OVE) </w:t>
                            </w:r>
                            <w:r>
                              <w:rPr>
                                <w:rFonts w:cs="Arial"/>
                                <w:color w:val="4F81BD" w:themeColor="accent1"/>
                                <w:szCs w:val="22"/>
                                <w:lang w:val="sl-SI"/>
                              </w:rPr>
                              <w:t>v najmanj 80</w:t>
                            </w:r>
                            <w:r w:rsidRPr="00EA4CCF">
                              <w:rPr>
                                <w:rFonts w:cs="Arial"/>
                                <w:color w:val="4F81BD" w:themeColor="accent1"/>
                                <w:szCs w:val="22"/>
                                <w:lang w:val="sl-SI"/>
                              </w:rPr>
                              <w:t>00</w:t>
                            </w:r>
                            <w:r>
                              <w:rPr>
                                <w:rFonts w:cs="Arial"/>
                                <w:color w:val="4F81BD" w:themeColor="accent1"/>
                                <w:szCs w:val="22"/>
                                <w:lang w:val="sl-SI"/>
                              </w:rPr>
                              <w:t xml:space="preserve"> </w:t>
                            </w:r>
                            <w:r w:rsidRPr="00781924">
                              <w:rPr>
                                <w:rFonts w:cs="Arial"/>
                                <w:color w:val="4F81BD" w:themeColor="accent1"/>
                                <w:szCs w:val="22"/>
                                <w:lang w:val="sl-SI"/>
                              </w:rPr>
                              <w:t>energetsko revnih gospodinjstvih</w:t>
                            </w:r>
                            <w:r w:rsidRPr="00B262A5">
                              <w:rPr>
                                <w:rFonts w:cs="Arial"/>
                                <w:color w:val="4F81BD" w:themeColor="accent1"/>
                                <w:szCs w:val="22"/>
                                <w:lang w:val="sl-SI"/>
                              </w:rPr>
                              <w:t>.</w:t>
                            </w:r>
                            <w:bookmarkEnd w:id="3"/>
                            <w:r>
                              <w:rPr>
                                <w:rFonts w:cs="Arial"/>
                                <w:color w:val="4F81BD" w:themeColor="accent1"/>
                                <w:szCs w:val="22"/>
                                <w:lang w:val="sl-SI"/>
                              </w:rPr>
                              <w:t xml:space="preserve"> </w:t>
                            </w:r>
                          </w:p>
                          <w:p w14:paraId="4099D01B" w14:textId="72802CA0" w:rsidR="008140B0" w:rsidRPr="00683FA5" w:rsidRDefault="008140B0" w:rsidP="001E6160">
                            <w:pPr>
                              <w:spacing w:after="120"/>
                              <w:ind w:left="340" w:right="301" w:hanging="340"/>
                              <w:rPr>
                                <w:rFonts w:cs="Arial"/>
                                <w:b/>
                                <w:smallCaps/>
                                <w:color w:val="4F81BD" w:themeColor="accent1"/>
                                <w:lang w:val="sl-SI"/>
                              </w:rPr>
                            </w:pPr>
                            <w:r>
                              <w:rPr>
                                <w:rFonts w:cs="Arial"/>
                                <w:b/>
                                <w:smallCaps/>
                                <w:color w:val="4F81BD" w:themeColor="accent1"/>
                                <w:lang w:val="sl-SI"/>
                              </w:rPr>
                              <w:t>3.</w:t>
                            </w:r>
                            <w:r>
                              <w:rPr>
                                <w:rFonts w:cs="Arial"/>
                                <w:b/>
                                <w:smallCaps/>
                                <w:color w:val="4F81BD" w:themeColor="accent1"/>
                                <w:lang w:val="sl-SI"/>
                              </w:rPr>
                              <w:tab/>
                              <w:t>Kumulativni prihranek energije z izvedbo ukrepov v energetsko revnih gospodinjstvih</w:t>
                            </w:r>
                          </w:p>
                          <w:p w14:paraId="457F52D7" w14:textId="0A493B65" w:rsidR="008140B0" w:rsidRDefault="008140B0" w:rsidP="001E304B">
                            <w:pPr>
                              <w:spacing w:after="120"/>
                              <w:ind w:right="301"/>
                              <w:jc w:val="both"/>
                              <w:rPr>
                                <w:rFonts w:cs="Arial"/>
                                <w:color w:val="4F81BD" w:themeColor="accent1"/>
                                <w:szCs w:val="22"/>
                                <w:lang w:val="sl-SI"/>
                              </w:rPr>
                            </w:pPr>
                            <w:r>
                              <w:rPr>
                                <w:rFonts w:cs="Arial"/>
                                <w:color w:val="4F81BD" w:themeColor="accent1"/>
                                <w:szCs w:val="22"/>
                                <w:lang w:val="sl-SI"/>
                              </w:rPr>
                              <w:t xml:space="preserve">Tretji cilj je določen na podlagi 8. člena EED. Po preliminarnih izračunih znaša ciljni kumulativni prihranek energije v energetsko revnih gospodinjstvih v obdobju 2021–2030 573 GWh. Navedeni cilj bo </w:t>
                            </w:r>
                            <w:r w:rsidRPr="00840C02">
                              <w:rPr>
                                <w:rFonts w:cs="Arial"/>
                                <w:color w:val="4F81BD" w:themeColor="accent1"/>
                                <w:szCs w:val="22"/>
                                <w:lang w:val="sl-SI"/>
                              </w:rPr>
                              <w:t>dokončno oblikovan in</w:t>
                            </w:r>
                            <w:r>
                              <w:rPr>
                                <w:rFonts w:cs="Arial"/>
                                <w:szCs w:val="22"/>
                                <w:lang w:val="sl-SI"/>
                              </w:rPr>
                              <w:t xml:space="preserve"> </w:t>
                            </w:r>
                            <w:r>
                              <w:rPr>
                                <w:rFonts w:cs="Arial"/>
                                <w:color w:val="4F81BD" w:themeColor="accent1"/>
                                <w:szCs w:val="22"/>
                                <w:lang w:val="sl-SI"/>
                              </w:rPr>
                              <w:t>vključen v končno verzijo posodobitve NEPN.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027298E" id="Rectangle: Rounded Corners 32" o:spid="_x0000_s1026" style="width:453.6pt;height:257pt;visibility:visible;mso-wrap-style:square;mso-left-percent:-10001;mso-top-percent:-10001;mso-position-horizontal:absolute;mso-position-horizontal-relative:char;mso-position-vertical:absolute;mso-position-vertical-relative:line;mso-left-percent:-10001;mso-top-percent:-10001;v-text-anchor:top" arcsize="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" fillcolor="#dbe5f1 [660]" strokecolor="#4f81bd [3204]" strokeweight="2pt">
                <v:textbox>
                  <w:txbxContent>
                    <w:p w14:paraId="5D5A9D34" w14:textId="7BAB627A" w:rsidR="008140B0" w:rsidRPr="00683FA5" w:rsidRDefault="008140B0" w:rsidP="00A45595">
                      <w:pPr>
                        <w:spacing w:after="120"/>
                        <w:ind w:left="340" w:right="301" w:hanging="340"/>
                        <w:rPr>
                          <w:rFonts w:cs="Arial"/>
                          <w:b/>
                          <w:smallCaps/>
                          <w:color w:val="4F81BD" w:themeColor="accent1"/>
                          <w:lang w:val="sl-SI"/>
                        </w:rPr>
                      </w:pPr>
                      <w:r>
                        <w:rPr>
                          <w:rFonts w:cs="Arial"/>
                          <w:b/>
                          <w:smallCaps/>
                          <w:color w:val="4F81BD" w:themeColor="accent1"/>
                          <w:lang w:val="sl-SI"/>
                        </w:rPr>
                        <w:t>1.</w:t>
                      </w:r>
                      <w:r>
                        <w:rPr>
                          <w:rFonts w:cs="Arial"/>
                          <w:b/>
                          <w:smallCaps/>
                          <w:color w:val="4F81BD" w:themeColor="accent1"/>
                          <w:lang w:val="sl-SI"/>
                        </w:rPr>
                        <w:tab/>
                        <w:t>Krovni cilj za zmanjševanje energetske revščine</w:t>
                      </w:r>
                    </w:p>
                    <w:p w14:paraId="0137D197" w14:textId="5987087C" w:rsidR="008140B0" w:rsidRDefault="008140B0" w:rsidP="001E304B">
                      <w:pPr>
                        <w:spacing w:after="120"/>
                        <w:ind w:right="301"/>
                        <w:jc w:val="both"/>
                        <w:rPr>
                          <w:rFonts w:cs="Arial"/>
                          <w:color w:val="4F81BD" w:themeColor="accent1"/>
                          <w:szCs w:val="22"/>
                          <w:lang w:val="sl-SI"/>
                        </w:rPr>
                      </w:pPr>
                      <w:bookmarkStart w:id="4" w:name="_Hlk150438263"/>
                      <w:r>
                        <w:rPr>
                          <w:rFonts w:cs="Arial"/>
                          <w:color w:val="4F81BD" w:themeColor="accent1"/>
                          <w:szCs w:val="22"/>
                          <w:lang w:val="sl-SI"/>
                        </w:rPr>
                        <w:t>Krovni c</w:t>
                      </w:r>
                      <w:r w:rsidRPr="00774BF5">
                        <w:rPr>
                          <w:rFonts w:cs="Arial"/>
                          <w:color w:val="4F81BD" w:themeColor="accent1"/>
                          <w:szCs w:val="22"/>
                          <w:lang w:val="sl-SI"/>
                        </w:rPr>
                        <w:t xml:space="preserve">ilj na področju energetske revščine do leta 2030 je zmanjšanje deleža energetsko revnih gospodinjstev do vrednosti </w:t>
                      </w:r>
                      <w:r>
                        <w:rPr>
                          <w:rFonts w:cs="Arial"/>
                          <w:color w:val="4F81BD" w:themeColor="accent1"/>
                          <w:szCs w:val="22"/>
                          <w:lang w:val="sl-SI"/>
                        </w:rPr>
                        <w:t xml:space="preserve">največ med 3,8 in </w:t>
                      </w:r>
                      <w:r w:rsidRPr="00774BF5">
                        <w:rPr>
                          <w:rFonts w:cs="Arial"/>
                          <w:color w:val="4F81BD" w:themeColor="accent1"/>
                          <w:szCs w:val="22"/>
                          <w:lang w:val="sl-SI"/>
                        </w:rPr>
                        <w:t xml:space="preserve">4,6 </w:t>
                      </w:r>
                      <w:r>
                        <w:rPr>
                          <w:rFonts w:cs="Arial"/>
                          <w:color w:val="4F81BD" w:themeColor="accent1"/>
                          <w:szCs w:val="22"/>
                          <w:lang w:val="sl-SI"/>
                        </w:rPr>
                        <w:t>odstotka</w:t>
                      </w:r>
                      <w:r w:rsidRPr="00774BF5">
                        <w:rPr>
                          <w:rFonts w:cs="Arial"/>
                          <w:color w:val="4F81BD" w:themeColor="accent1"/>
                          <w:szCs w:val="22"/>
                          <w:lang w:val="sl-SI"/>
                        </w:rPr>
                        <w:t>.</w:t>
                      </w:r>
                    </w:p>
                    <w:bookmarkEnd w:id="4"/>
                    <w:p w14:paraId="2C5AA88A" w14:textId="59CE34A5" w:rsidR="008140B0" w:rsidRPr="00683FA5" w:rsidRDefault="008140B0" w:rsidP="006C14D5">
                      <w:pPr>
                        <w:spacing w:after="120"/>
                        <w:ind w:left="340" w:right="301" w:hanging="340"/>
                        <w:rPr>
                          <w:rFonts w:cs="Arial"/>
                          <w:b/>
                          <w:smallCaps/>
                          <w:color w:val="4F81BD" w:themeColor="accent1"/>
                          <w:lang w:val="sl-SI"/>
                        </w:rPr>
                      </w:pPr>
                      <w:r>
                        <w:rPr>
                          <w:rFonts w:cs="Arial"/>
                          <w:b/>
                          <w:smallCaps/>
                          <w:color w:val="4F81BD" w:themeColor="accent1"/>
                          <w:lang w:val="sl-SI"/>
                        </w:rPr>
                        <w:t>2.</w:t>
                      </w:r>
                      <w:r>
                        <w:rPr>
                          <w:rFonts w:cs="Arial"/>
                          <w:b/>
                          <w:smallCaps/>
                          <w:color w:val="4F81BD" w:themeColor="accent1"/>
                          <w:lang w:val="sl-SI"/>
                        </w:rPr>
                        <w:tab/>
                        <w:t>Število energetsko revnih gospodinjstev z izvedenimi naložbami za zmanjševanje energetske revščine</w:t>
                      </w:r>
                    </w:p>
                    <w:p w14:paraId="5CE8009D" w14:textId="31F90E66" w:rsidR="008140B0" w:rsidRDefault="008140B0" w:rsidP="001E304B">
                      <w:pPr>
                        <w:spacing w:after="120"/>
                        <w:ind w:right="301"/>
                        <w:jc w:val="both"/>
                        <w:rPr>
                          <w:rFonts w:cs="Arial"/>
                          <w:color w:val="4F81BD" w:themeColor="accent1"/>
                          <w:szCs w:val="22"/>
                          <w:lang w:val="sl-SI"/>
                        </w:rPr>
                      </w:pPr>
                      <w:bookmarkStart w:id="5" w:name="_Hlk150438276"/>
                      <w:r w:rsidRPr="00781924">
                        <w:rPr>
                          <w:rFonts w:cs="Arial"/>
                          <w:color w:val="4F81BD" w:themeColor="accent1"/>
                          <w:szCs w:val="22"/>
                          <w:lang w:val="sl-SI"/>
                        </w:rPr>
                        <w:t>Drugi cilj na področju energetske revščine do leta 2030 je izved</w:t>
                      </w:r>
                      <w:r>
                        <w:rPr>
                          <w:rFonts w:cs="Arial"/>
                          <w:color w:val="4F81BD" w:themeColor="accent1"/>
                          <w:szCs w:val="22"/>
                          <w:lang w:val="sl-SI"/>
                        </w:rPr>
                        <w:t>ba</w:t>
                      </w:r>
                      <w:r w:rsidRPr="00781924">
                        <w:rPr>
                          <w:rFonts w:cs="Arial"/>
                          <w:color w:val="4F81BD" w:themeColor="accent1"/>
                          <w:szCs w:val="22"/>
                          <w:lang w:val="sl-SI"/>
                        </w:rPr>
                        <w:t xml:space="preserve"> naložb na področju učinkovite rabe energije (URE) in rabe obnovljivih virov</w:t>
                      </w:r>
                      <w:r>
                        <w:rPr>
                          <w:rFonts w:cs="Arial"/>
                          <w:color w:val="4F81BD" w:themeColor="accent1"/>
                          <w:szCs w:val="22"/>
                          <w:lang w:val="sl-SI"/>
                        </w:rPr>
                        <w:t xml:space="preserve"> energije</w:t>
                      </w:r>
                      <w:r w:rsidRPr="00781924">
                        <w:rPr>
                          <w:rFonts w:cs="Arial"/>
                          <w:color w:val="4F81BD" w:themeColor="accent1"/>
                          <w:szCs w:val="22"/>
                          <w:lang w:val="sl-SI"/>
                        </w:rPr>
                        <w:t xml:space="preserve"> (OVE) </w:t>
                      </w:r>
                      <w:r>
                        <w:rPr>
                          <w:rFonts w:cs="Arial"/>
                          <w:color w:val="4F81BD" w:themeColor="accent1"/>
                          <w:szCs w:val="22"/>
                          <w:lang w:val="sl-SI"/>
                        </w:rPr>
                        <w:t>v najmanj 80</w:t>
                      </w:r>
                      <w:r w:rsidRPr="00EA4CCF">
                        <w:rPr>
                          <w:rFonts w:cs="Arial"/>
                          <w:color w:val="4F81BD" w:themeColor="accent1"/>
                          <w:szCs w:val="22"/>
                          <w:lang w:val="sl-SI"/>
                        </w:rPr>
                        <w:t>00</w:t>
                      </w:r>
                      <w:r>
                        <w:rPr>
                          <w:rFonts w:cs="Arial"/>
                          <w:color w:val="4F81BD" w:themeColor="accent1"/>
                          <w:szCs w:val="22"/>
                          <w:lang w:val="sl-SI"/>
                        </w:rPr>
                        <w:t xml:space="preserve"> </w:t>
                      </w:r>
                      <w:r w:rsidRPr="00781924">
                        <w:rPr>
                          <w:rFonts w:cs="Arial"/>
                          <w:color w:val="4F81BD" w:themeColor="accent1"/>
                          <w:szCs w:val="22"/>
                          <w:lang w:val="sl-SI"/>
                        </w:rPr>
                        <w:t>energetsko revnih gospodinjstvih</w:t>
                      </w:r>
                      <w:r w:rsidRPr="00B262A5">
                        <w:rPr>
                          <w:rFonts w:cs="Arial"/>
                          <w:color w:val="4F81BD" w:themeColor="accent1"/>
                          <w:szCs w:val="22"/>
                          <w:lang w:val="sl-SI"/>
                        </w:rPr>
                        <w:t>.</w:t>
                      </w:r>
                      <w:bookmarkEnd w:id="5"/>
                      <w:r>
                        <w:rPr>
                          <w:rFonts w:cs="Arial"/>
                          <w:color w:val="4F81BD" w:themeColor="accent1"/>
                          <w:szCs w:val="22"/>
                          <w:lang w:val="sl-SI"/>
                        </w:rPr>
                        <w:t xml:space="preserve"> </w:t>
                      </w:r>
                    </w:p>
                    <w:p w14:paraId="4099D01B" w14:textId="72802CA0" w:rsidR="008140B0" w:rsidRPr="00683FA5" w:rsidRDefault="008140B0" w:rsidP="001E6160">
                      <w:pPr>
                        <w:spacing w:after="120"/>
                        <w:ind w:left="340" w:right="301" w:hanging="340"/>
                        <w:rPr>
                          <w:rFonts w:cs="Arial"/>
                          <w:b/>
                          <w:smallCaps/>
                          <w:color w:val="4F81BD" w:themeColor="accent1"/>
                          <w:lang w:val="sl-SI"/>
                        </w:rPr>
                      </w:pPr>
                      <w:r>
                        <w:rPr>
                          <w:rFonts w:cs="Arial"/>
                          <w:b/>
                          <w:smallCaps/>
                          <w:color w:val="4F81BD" w:themeColor="accent1"/>
                          <w:lang w:val="sl-SI"/>
                        </w:rPr>
                        <w:t>3.</w:t>
                      </w:r>
                      <w:r>
                        <w:rPr>
                          <w:rFonts w:cs="Arial"/>
                          <w:b/>
                          <w:smallCaps/>
                          <w:color w:val="4F81BD" w:themeColor="accent1"/>
                          <w:lang w:val="sl-SI"/>
                        </w:rPr>
                        <w:tab/>
                        <w:t>Kumulativni prihranek energije z izvedbo ukrepov v energetsko revnih gospodinjstvih</w:t>
                      </w:r>
                    </w:p>
                    <w:p w14:paraId="457F52D7" w14:textId="0A493B65" w:rsidR="008140B0" w:rsidRDefault="008140B0" w:rsidP="001E304B">
                      <w:pPr>
                        <w:spacing w:after="120"/>
                        <w:ind w:right="301"/>
                        <w:jc w:val="both"/>
                        <w:rPr>
                          <w:rFonts w:cs="Arial"/>
                          <w:color w:val="4F81BD" w:themeColor="accent1"/>
                          <w:szCs w:val="22"/>
                          <w:lang w:val="sl-SI"/>
                        </w:rPr>
                      </w:pPr>
                      <w:r>
                        <w:rPr>
                          <w:rFonts w:cs="Arial"/>
                          <w:color w:val="4F81BD" w:themeColor="accent1"/>
                          <w:szCs w:val="22"/>
                          <w:lang w:val="sl-SI"/>
                        </w:rPr>
                        <w:t xml:space="preserve">Tretji cilj je določen na podlagi 8. člena EED. Po preliminarnih izračunih znaša ciljni kumulativni prihranek energije v energetsko revnih gospodinjstvih v obdobju 2021–2030 573 GWh. Navedeni cilj bo </w:t>
                      </w:r>
                      <w:r w:rsidRPr="00840C02">
                        <w:rPr>
                          <w:rFonts w:cs="Arial"/>
                          <w:color w:val="4F81BD" w:themeColor="accent1"/>
                          <w:szCs w:val="22"/>
                          <w:lang w:val="sl-SI"/>
                        </w:rPr>
                        <w:t>dokončno oblikovan in</w:t>
                      </w:r>
                      <w:r>
                        <w:rPr>
                          <w:rFonts w:cs="Arial"/>
                          <w:szCs w:val="22"/>
                          <w:lang w:val="sl-SI"/>
                        </w:rPr>
                        <w:t xml:space="preserve"> </w:t>
                      </w:r>
                      <w:r>
                        <w:rPr>
                          <w:rFonts w:cs="Arial"/>
                          <w:color w:val="4F81BD" w:themeColor="accent1"/>
                          <w:szCs w:val="22"/>
                          <w:lang w:val="sl-SI"/>
                        </w:rPr>
                        <w:t>vključen v končno verzijo posodobitve NEPN.</w:t>
                      </w:r>
                    </w:p>
                  </w:txbxContent>
                </v:textbox>
                <w10:anchorlock/>
              </v:roundrect>
            </w:pict>
          </mc:Fallback>
        </mc:AlternateContent>
      </w:r>
    </w:p>
    <w:p w14:paraId="61A49376" w14:textId="55F13E6B" w:rsidR="006F33B5" w:rsidRPr="00FF207E" w:rsidRDefault="006F33B5" w:rsidP="001E304B">
      <w:pPr>
        <w:spacing w:after="240"/>
        <w:jc w:val="both"/>
        <w:rPr>
          <w:szCs w:val="22"/>
          <w:lang w:val="sl-SI"/>
        </w:rPr>
      </w:pPr>
      <w:r w:rsidRPr="00FF207E">
        <w:rPr>
          <w:b/>
          <w:bCs/>
          <w:color w:val="4F81BD" w:themeColor="accent1"/>
          <w:szCs w:val="22"/>
          <w:lang w:val="sl-SI"/>
        </w:rPr>
        <w:t>Cilji na področju zmanjševanja energetske revščine do leta 2026.</w:t>
      </w:r>
      <w:r w:rsidRPr="00FF207E">
        <w:rPr>
          <w:szCs w:val="22"/>
          <w:lang w:val="sl-SI"/>
        </w:rPr>
        <w:t xml:space="preserve"> </w:t>
      </w:r>
      <w:r w:rsidR="003925D5" w:rsidRPr="00FF207E">
        <w:rPr>
          <w:szCs w:val="22"/>
          <w:lang w:val="sl-SI"/>
        </w:rPr>
        <w:t>Glavni cilj v obdobju 2024</w:t>
      </w:r>
      <w:r w:rsidR="003925D5" w:rsidRPr="00FF207E">
        <w:rPr>
          <w:rFonts w:cs="Arial"/>
          <w:szCs w:val="22"/>
          <w:lang w:val="sl-SI"/>
        </w:rPr>
        <w:t xml:space="preserve">–2026 </w:t>
      </w:r>
      <w:r w:rsidR="008F03F6" w:rsidRPr="00FF207E">
        <w:rPr>
          <w:szCs w:val="22"/>
          <w:lang w:val="sl-SI"/>
        </w:rPr>
        <w:t xml:space="preserve">je nadgradnja obstoječe skupine, ki deluje na področju izvajanja ukrepov za zmanjševanje energetske revščine pri </w:t>
      </w:r>
      <w:proofErr w:type="spellStart"/>
      <w:r w:rsidR="008F03F6" w:rsidRPr="00FF207E">
        <w:rPr>
          <w:szCs w:val="22"/>
          <w:lang w:val="sl-SI"/>
        </w:rPr>
        <w:t>Eko</w:t>
      </w:r>
      <w:proofErr w:type="spellEnd"/>
      <w:r w:rsidR="008F03F6" w:rsidRPr="00FF207E">
        <w:rPr>
          <w:szCs w:val="22"/>
          <w:lang w:val="sl-SI"/>
        </w:rPr>
        <w:t xml:space="preserve"> skladu, </w:t>
      </w:r>
      <w:r w:rsidR="008F03F6" w:rsidRPr="00FF207E">
        <w:rPr>
          <w:b/>
          <w:szCs w:val="22"/>
          <w:lang w:val="sl-SI"/>
        </w:rPr>
        <w:t>z vzpostavitvijo in delovanjem sheme za zmanjševanje energetske revščine v pilotnem obsegu</w:t>
      </w:r>
      <w:r w:rsidR="008F03F6" w:rsidRPr="00FF207E">
        <w:rPr>
          <w:szCs w:val="22"/>
          <w:lang w:val="sl-SI"/>
        </w:rPr>
        <w:t>.</w:t>
      </w:r>
      <w:r w:rsidR="003925D5" w:rsidRPr="00FF207E">
        <w:rPr>
          <w:szCs w:val="22"/>
          <w:lang w:val="sl-SI"/>
        </w:rPr>
        <w:t xml:space="preserve"> </w:t>
      </w:r>
      <w:r w:rsidR="008F03F6" w:rsidRPr="00FF207E">
        <w:rPr>
          <w:lang w:val="sl-SI"/>
        </w:rPr>
        <w:t>S tem bodo zagotovljen</w:t>
      </w:r>
      <w:r w:rsidR="00EB4C1D" w:rsidRPr="00FF207E">
        <w:rPr>
          <w:lang w:val="sl-SI"/>
        </w:rPr>
        <w:t>e</w:t>
      </w:r>
      <w:r w:rsidR="008F03F6" w:rsidRPr="00FF207E">
        <w:rPr>
          <w:lang w:val="sl-SI"/>
        </w:rPr>
        <w:t xml:space="preserve"> </w:t>
      </w:r>
      <w:r w:rsidR="00EB4C1D" w:rsidRPr="00FF207E">
        <w:rPr>
          <w:lang w:val="sl-SI"/>
        </w:rPr>
        <w:t xml:space="preserve">možnosti </w:t>
      </w:r>
      <w:r w:rsidR="008F03F6" w:rsidRPr="00FF207E">
        <w:rPr>
          <w:lang w:val="sl-SI"/>
        </w:rPr>
        <w:t xml:space="preserve">za dodeljevanje spodbud energetsko revnim v povečanem obsegu in podprto doseganje ciljev do leta 2030. </w:t>
      </w:r>
      <w:r w:rsidR="00195E6F" w:rsidRPr="00FF207E">
        <w:rPr>
          <w:szCs w:val="22"/>
          <w:lang w:val="sl-SI"/>
        </w:rPr>
        <w:t>V</w:t>
      </w:r>
      <w:r w:rsidR="0035244C" w:rsidRPr="00FF207E">
        <w:rPr>
          <w:szCs w:val="22"/>
          <w:lang w:val="sl-SI"/>
        </w:rPr>
        <w:t xml:space="preserve"> pilotnih in </w:t>
      </w:r>
      <w:r w:rsidR="0006530A" w:rsidRPr="00FF207E">
        <w:rPr>
          <w:szCs w:val="22"/>
          <w:lang w:val="sl-SI"/>
        </w:rPr>
        <w:t xml:space="preserve">drugih </w:t>
      </w:r>
      <w:r w:rsidR="0035244C" w:rsidRPr="00FF207E">
        <w:rPr>
          <w:szCs w:val="22"/>
          <w:lang w:val="sl-SI"/>
        </w:rPr>
        <w:t xml:space="preserve">regijah </w:t>
      </w:r>
      <w:r w:rsidR="00635613" w:rsidRPr="00FF207E">
        <w:rPr>
          <w:szCs w:val="22"/>
          <w:lang w:val="sl-SI"/>
        </w:rPr>
        <w:t xml:space="preserve">je </w:t>
      </w:r>
      <w:r w:rsidR="00CB584D" w:rsidRPr="00FF207E">
        <w:rPr>
          <w:szCs w:val="22"/>
          <w:lang w:val="sl-SI"/>
        </w:rPr>
        <w:t xml:space="preserve">do konca leta 2026 </w:t>
      </w:r>
      <w:r w:rsidR="00635613" w:rsidRPr="00FF207E">
        <w:rPr>
          <w:szCs w:val="22"/>
          <w:lang w:val="sl-SI"/>
        </w:rPr>
        <w:t xml:space="preserve">načrtovana </w:t>
      </w:r>
      <w:r w:rsidR="00606007" w:rsidRPr="00FF207E">
        <w:rPr>
          <w:szCs w:val="22"/>
          <w:lang w:val="sl-SI"/>
        </w:rPr>
        <w:t>izvedba</w:t>
      </w:r>
      <w:r w:rsidR="003925D5" w:rsidRPr="00FF207E">
        <w:rPr>
          <w:szCs w:val="22"/>
          <w:lang w:val="sl-SI"/>
        </w:rPr>
        <w:t xml:space="preserve"> </w:t>
      </w:r>
      <w:r w:rsidR="003925D5" w:rsidRPr="00FF207E">
        <w:rPr>
          <w:bCs/>
          <w:szCs w:val="22"/>
          <w:lang w:val="sl-SI"/>
        </w:rPr>
        <w:t>naložb</w:t>
      </w:r>
      <w:r w:rsidR="003925D5" w:rsidRPr="00FF207E">
        <w:rPr>
          <w:szCs w:val="22"/>
          <w:lang w:val="sl-SI"/>
        </w:rPr>
        <w:t xml:space="preserve"> na področju </w:t>
      </w:r>
      <w:r w:rsidR="00351BA0" w:rsidRPr="00FF207E">
        <w:rPr>
          <w:szCs w:val="22"/>
          <w:lang w:val="sl-SI"/>
        </w:rPr>
        <w:t>URE</w:t>
      </w:r>
      <w:r w:rsidR="003925D5" w:rsidRPr="00FF207E">
        <w:rPr>
          <w:szCs w:val="22"/>
          <w:lang w:val="sl-SI"/>
        </w:rPr>
        <w:t xml:space="preserve"> in rabe </w:t>
      </w:r>
      <w:r w:rsidR="00351BA0" w:rsidRPr="00FF207E">
        <w:rPr>
          <w:szCs w:val="22"/>
          <w:lang w:val="sl-SI"/>
        </w:rPr>
        <w:t xml:space="preserve">OVE </w:t>
      </w:r>
      <w:r w:rsidR="003925D5" w:rsidRPr="00FF207E">
        <w:rPr>
          <w:szCs w:val="22"/>
          <w:lang w:val="sl-SI"/>
        </w:rPr>
        <w:t>pri energetsko revnih gospodinjstvih</w:t>
      </w:r>
      <w:r w:rsidR="00635613" w:rsidRPr="00FF207E">
        <w:rPr>
          <w:szCs w:val="22"/>
          <w:lang w:val="sl-SI"/>
        </w:rPr>
        <w:t>,</w:t>
      </w:r>
      <w:r w:rsidR="0035244C" w:rsidRPr="00FF207E">
        <w:rPr>
          <w:szCs w:val="22"/>
          <w:lang w:val="sl-SI"/>
        </w:rPr>
        <w:t xml:space="preserve"> </w:t>
      </w:r>
      <w:r w:rsidR="00B6745C" w:rsidRPr="00FF207E">
        <w:rPr>
          <w:szCs w:val="22"/>
          <w:lang w:val="sl-SI"/>
        </w:rPr>
        <w:t xml:space="preserve">vključno z </w:t>
      </w:r>
      <w:r w:rsidR="0035244C" w:rsidRPr="00FF207E">
        <w:rPr>
          <w:bCs/>
          <w:szCs w:val="22"/>
          <w:lang w:val="sl-SI"/>
        </w:rPr>
        <w:t>naložb</w:t>
      </w:r>
      <w:r w:rsidR="00B6745C" w:rsidRPr="00FF207E">
        <w:rPr>
          <w:bCs/>
          <w:szCs w:val="22"/>
          <w:lang w:val="sl-SI"/>
        </w:rPr>
        <w:t>ami</w:t>
      </w:r>
      <w:r w:rsidR="0035244C" w:rsidRPr="00FF207E">
        <w:rPr>
          <w:bCs/>
          <w:szCs w:val="22"/>
          <w:lang w:val="sl-SI"/>
        </w:rPr>
        <w:t xml:space="preserve"> za</w:t>
      </w:r>
      <w:r w:rsidR="0035244C" w:rsidRPr="00FF207E">
        <w:rPr>
          <w:szCs w:val="22"/>
          <w:lang w:val="sl-SI"/>
        </w:rPr>
        <w:t xml:space="preserve"> vgradnjo novih kurilnih naprav na lesno biomaso</w:t>
      </w:r>
      <w:r w:rsidR="00635613" w:rsidRPr="00FF207E">
        <w:rPr>
          <w:szCs w:val="22"/>
          <w:lang w:val="sl-SI"/>
        </w:rPr>
        <w:t xml:space="preserve">, </w:t>
      </w:r>
      <w:r w:rsidR="006F11CF" w:rsidRPr="00FF207E">
        <w:rPr>
          <w:bCs/>
          <w:szCs w:val="22"/>
          <w:lang w:val="sl-SI"/>
        </w:rPr>
        <w:t xml:space="preserve">naložb </w:t>
      </w:r>
      <w:r w:rsidR="006F11CF" w:rsidRPr="00FF207E">
        <w:rPr>
          <w:szCs w:val="22"/>
          <w:lang w:val="sl-SI"/>
        </w:rPr>
        <w:t xml:space="preserve">v skupne ukrepe pri energetski prenovi večstanovanjskih stavb in </w:t>
      </w:r>
      <w:r w:rsidR="006F11CF" w:rsidRPr="00FF207E">
        <w:rPr>
          <w:bCs/>
          <w:szCs w:val="22"/>
          <w:lang w:val="sl-SI"/>
        </w:rPr>
        <w:t>naložb</w:t>
      </w:r>
      <w:r w:rsidR="006F11CF" w:rsidRPr="00FF207E">
        <w:rPr>
          <w:szCs w:val="22"/>
          <w:lang w:val="sl-SI"/>
        </w:rPr>
        <w:t xml:space="preserve"> za vključevanje energetsko revnih v energetske </w:t>
      </w:r>
      <w:r w:rsidR="006F11CF" w:rsidRPr="00FF207E">
        <w:rPr>
          <w:szCs w:val="22"/>
          <w:lang w:val="sl-SI"/>
        </w:rPr>
        <w:lastRenderedPageBreak/>
        <w:t xml:space="preserve">skupnosti. </w:t>
      </w:r>
      <w:r w:rsidR="00276ED9" w:rsidRPr="00FF207E">
        <w:rPr>
          <w:szCs w:val="22"/>
          <w:lang w:val="sl-SI"/>
        </w:rPr>
        <w:t xml:space="preserve">Tudi za doseganje teh ciljev morajo biti </w:t>
      </w:r>
      <w:r w:rsidR="00276ED9" w:rsidRPr="00FF207E">
        <w:rPr>
          <w:b/>
          <w:szCs w:val="22"/>
          <w:lang w:val="sl-SI"/>
        </w:rPr>
        <w:t>vzpostavljen</w:t>
      </w:r>
      <w:r w:rsidR="00D55FFB" w:rsidRPr="00FF207E">
        <w:rPr>
          <w:b/>
          <w:szCs w:val="22"/>
          <w:lang w:val="sl-SI"/>
        </w:rPr>
        <w:t>e</w:t>
      </w:r>
      <w:r w:rsidR="00276ED9" w:rsidRPr="00FF207E">
        <w:rPr>
          <w:b/>
          <w:szCs w:val="22"/>
          <w:lang w:val="sl-SI"/>
        </w:rPr>
        <w:t xml:space="preserve"> ustrezn</w:t>
      </w:r>
      <w:r w:rsidR="00D55FFB" w:rsidRPr="00FF207E">
        <w:rPr>
          <w:b/>
          <w:szCs w:val="22"/>
          <w:lang w:val="sl-SI"/>
        </w:rPr>
        <w:t>e</w:t>
      </w:r>
      <w:r w:rsidR="00276ED9" w:rsidRPr="00FF207E">
        <w:rPr>
          <w:b/>
          <w:szCs w:val="22"/>
          <w:lang w:val="sl-SI"/>
        </w:rPr>
        <w:t xml:space="preserve"> </w:t>
      </w:r>
      <w:r w:rsidR="00D55FFB" w:rsidRPr="00FF207E">
        <w:rPr>
          <w:b/>
          <w:szCs w:val="22"/>
          <w:lang w:val="sl-SI"/>
        </w:rPr>
        <w:t xml:space="preserve">razmere </w:t>
      </w:r>
      <w:r w:rsidR="00276ED9" w:rsidRPr="00FF207E">
        <w:rPr>
          <w:b/>
          <w:szCs w:val="22"/>
          <w:lang w:val="sl-SI"/>
        </w:rPr>
        <w:t xml:space="preserve">za izvajanje ukrepov iz </w:t>
      </w:r>
      <w:r w:rsidR="00CC3789" w:rsidRPr="00FF207E">
        <w:rPr>
          <w:b/>
          <w:szCs w:val="22"/>
          <w:lang w:val="sl-SI"/>
        </w:rPr>
        <w:t xml:space="preserve">tega </w:t>
      </w:r>
      <w:r w:rsidR="00276ED9" w:rsidRPr="00FF207E">
        <w:rPr>
          <w:b/>
          <w:szCs w:val="22"/>
          <w:lang w:val="sl-SI"/>
        </w:rPr>
        <w:t>akcijskega načrta</w:t>
      </w:r>
      <w:r w:rsidR="00276ED9" w:rsidRPr="00FF207E">
        <w:rPr>
          <w:szCs w:val="22"/>
          <w:lang w:val="sl-SI"/>
        </w:rPr>
        <w:t>.</w:t>
      </w:r>
    </w:p>
    <w:p w14:paraId="2E93EE2C" w14:textId="6D7B220C" w:rsidR="00540CAA" w:rsidRPr="00FF207E" w:rsidRDefault="00DF68A1" w:rsidP="001E304B">
      <w:pPr>
        <w:spacing w:after="240"/>
        <w:jc w:val="both"/>
        <w:rPr>
          <w:lang w:val="sl-SI"/>
        </w:rPr>
      </w:pPr>
      <w:r w:rsidRPr="00FF207E">
        <w:rPr>
          <w:b/>
          <w:bCs/>
          <w:color w:val="4F81BD" w:themeColor="accent1"/>
          <w:szCs w:val="22"/>
          <w:lang w:val="sl-SI"/>
        </w:rPr>
        <w:t>Uspešnost izvajanja ukrepov iz akcijskega načrta</w:t>
      </w:r>
      <w:r w:rsidR="00540CAA" w:rsidRPr="00FF207E">
        <w:rPr>
          <w:b/>
          <w:bCs/>
          <w:color w:val="4F81BD" w:themeColor="accent1"/>
          <w:szCs w:val="22"/>
          <w:lang w:val="sl-SI"/>
        </w:rPr>
        <w:t>.</w:t>
      </w:r>
      <w:r w:rsidR="00540CAA" w:rsidRPr="00FF207E">
        <w:rPr>
          <w:szCs w:val="22"/>
          <w:lang w:val="sl-SI"/>
        </w:rPr>
        <w:t xml:space="preserve"> </w:t>
      </w:r>
      <w:r w:rsidR="006F57AF" w:rsidRPr="00FF207E">
        <w:rPr>
          <w:lang w:val="sl-SI"/>
        </w:rPr>
        <w:t xml:space="preserve">Izvajanje ukrepov iz akcijskega načrta </w:t>
      </w:r>
      <w:r w:rsidR="00B02E08" w:rsidRPr="00FF207E">
        <w:rPr>
          <w:lang w:val="sl-SI"/>
        </w:rPr>
        <w:t xml:space="preserve">ni pomembno samo zaradi doseganja zastavljenih ciljev, ampak je </w:t>
      </w:r>
      <w:r w:rsidR="00B02E08" w:rsidRPr="00FF207E">
        <w:rPr>
          <w:rFonts w:cs="Arial"/>
          <w:szCs w:val="22"/>
          <w:lang w:val="sl-SI"/>
        </w:rPr>
        <w:t xml:space="preserve">ključno </w:t>
      </w:r>
      <w:r w:rsidR="008B648F" w:rsidRPr="00FF207E">
        <w:rPr>
          <w:rFonts w:cs="Arial"/>
          <w:szCs w:val="22"/>
          <w:lang w:val="sl-SI"/>
        </w:rPr>
        <w:t>tako</w:t>
      </w:r>
      <w:r w:rsidR="00B02E08" w:rsidRPr="00FF207E">
        <w:rPr>
          <w:rFonts w:cs="Arial"/>
          <w:szCs w:val="22"/>
          <w:lang w:val="sl-SI"/>
        </w:rPr>
        <w:t xml:space="preserve"> zaradi </w:t>
      </w:r>
      <w:r w:rsidR="00B02E08" w:rsidRPr="00FF207E">
        <w:rPr>
          <w:rFonts w:cs="Arial"/>
          <w:b/>
          <w:szCs w:val="22"/>
          <w:lang w:val="sl-SI"/>
        </w:rPr>
        <w:t xml:space="preserve">zagotavljanja pravičnega prehoda v </w:t>
      </w:r>
      <w:proofErr w:type="spellStart"/>
      <w:r w:rsidR="00B02E08" w:rsidRPr="00FF207E">
        <w:rPr>
          <w:rFonts w:cs="Arial"/>
          <w:b/>
          <w:szCs w:val="22"/>
          <w:lang w:val="sl-SI"/>
        </w:rPr>
        <w:t>nizkoogljično</w:t>
      </w:r>
      <w:proofErr w:type="spellEnd"/>
      <w:r w:rsidR="00B02E08" w:rsidRPr="00FF207E">
        <w:rPr>
          <w:rFonts w:cs="Arial"/>
          <w:b/>
          <w:szCs w:val="22"/>
          <w:lang w:val="sl-SI"/>
        </w:rPr>
        <w:t xml:space="preserve"> družbo za vse</w:t>
      </w:r>
      <w:r w:rsidR="00B02E08" w:rsidRPr="00FF207E">
        <w:rPr>
          <w:rFonts w:cs="Arial"/>
          <w:szCs w:val="22"/>
          <w:lang w:val="sl-SI"/>
        </w:rPr>
        <w:t xml:space="preserve"> kot tudi </w:t>
      </w:r>
      <w:r w:rsidR="00B02E08" w:rsidRPr="00FF207E">
        <w:rPr>
          <w:lang w:val="sl-SI"/>
        </w:rPr>
        <w:t>za</w:t>
      </w:r>
      <w:r w:rsidR="00B02E08" w:rsidRPr="00FF207E">
        <w:rPr>
          <w:rFonts w:cs="Arial"/>
          <w:szCs w:val="22"/>
          <w:lang w:val="sl-SI"/>
        </w:rPr>
        <w:t xml:space="preserve"> </w:t>
      </w:r>
      <w:r w:rsidR="00B02E08" w:rsidRPr="00FF207E">
        <w:rPr>
          <w:rFonts w:cs="Arial"/>
          <w:b/>
          <w:szCs w:val="22"/>
          <w:lang w:val="sl-SI"/>
        </w:rPr>
        <w:t>uspešno upravljanje sredstev</w:t>
      </w:r>
      <w:r w:rsidR="00B02E08" w:rsidRPr="00FF207E">
        <w:rPr>
          <w:rFonts w:cs="Arial"/>
          <w:szCs w:val="22"/>
          <w:lang w:val="sl-SI"/>
        </w:rPr>
        <w:t xml:space="preserve">, ki so za zmanjševanje energetske revščine že na voljo </w:t>
      </w:r>
      <w:r w:rsidR="00135B23" w:rsidRPr="00FF207E">
        <w:rPr>
          <w:rFonts w:cs="Arial"/>
          <w:szCs w:val="22"/>
          <w:lang w:val="sl-SI"/>
        </w:rPr>
        <w:t>v</w:t>
      </w:r>
      <w:r w:rsidR="00E85100" w:rsidRPr="00FF207E">
        <w:rPr>
          <w:rFonts w:cs="Arial"/>
          <w:szCs w:val="22"/>
          <w:lang w:val="sl-SI"/>
        </w:rPr>
        <w:t xml:space="preserve"> </w:t>
      </w:r>
      <w:r w:rsidR="00B02E08" w:rsidRPr="00FF207E">
        <w:rPr>
          <w:rFonts w:cs="Arial"/>
          <w:szCs w:val="22"/>
          <w:lang w:val="sl-SI"/>
        </w:rPr>
        <w:t>Sklad</w:t>
      </w:r>
      <w:r w:rsidR="00E85100" w:rsidRPr="00FF207E">
        <w:rPr>
          <w:rFonts w:cs="Arial"/>
          <w:szCs w:val="22"/>
          <w:lang w:val="sl-SI"/>
        </w:rPr>
        <w:t>u</w:t>
      </w:r>
      <w:r w:rsidR="00B02E08" w:rsidRPr="00FF207E">
        <w:rPr>
          <w:rFonts w:cs="Arial"/>
          <w:szCs w:val="22"/>
          <w:lang w:val="sl-SI"/>
        </w:rPr>
        <w:t xml:space="preserve"> za podnebne spremembe in </w:t>
      </w:r>
      <w:r w:rsidR="00E85100" w:rsidRPr="00FF207E">
        <w:rPr>
          <w:rFonts w:cs="Arial"/>
          <w:szCs w:val="22"/>
          <w:lang w:val="sl-SI"/>
        </w:rPr>
        <w:t xml:space="preserve">Evropskem </w:t>
      </w:r>
      <w:r w:rsidR="00932020" w:rsidRPr="00FF207E">
        <w:rPr>
          <w:rFonts w:cs="Arial"/>
          <w:szCs w:val="22"/>
          <w:lang w:val="sl-SI"/>
        </w:rPr>
        <w:t>sklad</w:t>
      </w:r>
      <w:r w:rsidR="00E85100" w:rsidRPr="00FF207E">
        <w:rPr>
          <w:rFonts w:cs="Arial"/>
          <w:szCs w:val="22"/>
          <w:lang w:val="sl-SI"/>
        </w:rPr>
        <w:t>u</w:t>
      </w:r>
      <w:r w:rsidR="00932020" w:rsidRPr="00FF207E">
        <w:rPr>
          <w:rFonts w:cs="Arial"/>
          <w:szCs w:val="22"/>
          <w:lang w:val="sl-SI"/>
        </w:rPr>
        <w:t xml:space="preserve"> za regionalni razvoj</w:t>
      </w:r>
      <w:r w:rsidR="009C229D" w:rsidRPr="00FF207E">
        <w:rPr>
          <w:rFonts w:cs="Arial"/>
          <w:szCs w:val="22"/>
          <w:lang w:val="sl-SI"/>
        </w:rPr>
        <w:t>.</w:t>
      </w:r>
      <w:r w:rsidR="00B02E08" w:rsidRPr="00FF207E">
        <w:rPr>
          <w:rFonts w:cs="Arial"/>
          <w:szCs w:val="22"/>
          <w:lang w:val="sl-SI"/>
        </w:rPr>
        <w:t xml:space="preserve"> </w:t>
      </w:r>
      <w:r w:rsidR="009C229D" w:rsidRPr="00FF207E">
        <w:rPr>
          <w:rFonts w:cs="Arial"/>
          <w:szCs w:val="22"/>
          <w:lang w:val="sl-SI"/>
        </w:rPr>
        <w:t>V</w:t>
      </w:r>
      <w:r w:rsidR="00B02E08" w:rsidRPr="00FF207E">
        <w:rPr>
          <w:rFonts w:cs="Arial"/>
          <w:szCs w:val="22"/>
          <w:lang w:val="sl-SI"/>
        </w:rPr>
        <w:t xml:space="preserve"> prihodnosti </w:t>
      </w:r>
      <w:r w:rsidR="009C229D" w:rsidRPr="00FF207E">
        <w:rPr>
          <w:rFonts w:cs="Arial"/>
          <w:szCs w:val="22"/>
          <w:lang w:val="sl-SI"/>
        </w:rPr>
        <w:t xml:space="preserve">bodo sredstva </w:t>
      </w:r>
      <w:r w:rsidR="00B02E08" w:rsidRPr="00FF207E">
        <w:rPr>
          <w:rFonts w:cs="Arial"/>
          <w:szCs w:val="22"/>
          <w:lang w:val="sl-SI"/>
        </w:rPr>
        <w:t xml:space="preserve">v večjem obsegu na voljo tudi </w:t>
      </w:r>
      <w:r w:rsidR="00E85100" w:rsidRPr="00FF207E">
        <w:rPr>
          <w:rFonts w:cs="Arial"/>
          <w:szCs w:val="22"/>
          <w:lang w:val="sl-SI"/>
        </w:rPr>
        <w:t xml:space="preserve">v Socialnem </w:t>
      </w:r>
      <w:r w:rsidR="00B02E08" w:rsidRPr="00FF207E">
        <w:rPr>
          <w:rFonts w:cs="Arial"/>
          <w:szCs w:val="22"/>
          <w:lang w:val="sl-SI"/>
        </w:rPr>
        <w:t>sklad</w:t>
      </w:r>
      <w:r w:rsidR="00E85100" w:rsidRPr="00FF207E">
        <w:rPr>
          <w:rFonts w:cs="Arial"/>
          <w:szCs w:val="22"/>
          <w:lang w:val="sl-SI"/>
        </w:rPr>
        <w:t>u</w:t>
      </w:r>
      <w:r w:rsidR="00B02E08" w:rsidRPr="00FF207E">
        <w:rPr>
          <w:rFonts w:cs="Arial"/>
          <w:szCs w:val="22"/>
          <w:lang w:val="sl-SI"/>
        </w:rPr>
        <w:t xml:space="preserve"> za podnebje</w:t>
      </w:r>
      <w:r w:rsidR="003911D8" w:rsidRPr="00FF207E">
        <w:rPr>
          <w:rFonts w:cs="Arial"/>
          <w:szCs w:val="22"/>
          <w:lang w:val="sl-SI"/>
        </w:rPr>
        <w:t xml:space="preserve"> na ravni </w:t>
      </w:r>
      <w:r w:rsidR="00E85100" w:rsidRPr="00FF207E">
        <w:rPr>
          <w:rFonts w:cs="Arial"/>
          <w:szCs w:val="22"/>
          <w:lang w:val="sl-SI"/>
        </w:rPr>
        <w:t>Evropske unije (</w:t>
      </w:r>
      <w:r w:rsidR="003911D8" w:rsidRPr="00FF207E">
        <w:rPr>
          <w:rFonts w:cs="Arial"/>
          <w:szCs w:val="22"/>
          <w:lang w:val="sl-SI"/>
        </w:rPr>
        <w:t>EU</w:t>
      </w:r>
      <w:r w:rsidR="00E85100" w:rsidRPr="00FF207E">
        <w:rPr>
          <w:rFonts w:cs="Arial"/>
          <w:szCs w:val="22"/>
          <w:lang w:val="sl-SI"/>
        </w:rPr>
        <w:t>)</w:t>
      </w:r>
      <w:r w:rsidR="0084608A" w:rsidRPr="00FF207E">
        <w:rPr>
          <w:rFonts w:cs="Arial"/>
          <w:szCs w:val="22"/>
          <w:lang w:val="sl-SI"/>
        </w:rPr>
        <w:t>.</w:t>
      </w:r>
      <w:r w:rsidR="006B7776" w:rsidRPr="00FF207E">
        <w:rPr>
          <w:rFonts w:cs="Arial"/>
          <w:szCs w:val="22"/>
          <w:lang w:val="sl-SI"/>
        </w:rPr>
        <w:t xml:space="preserve"> </w:t>
      </w:r>
      <w:r w:rsidR="006A2622" w:rsidRPr="00FF207E">
        <w:rPr>
          <w:rFonts w:cs="Arial"/>
          <w:szCs w:val="22"/>
          <w:lang w:val="sl-SI"/>
        </w:rPr>
        <w:t xml:space="preserve">Za </w:t>
      </w:r>
      <w:r w:rsidR="00E205E7" w:rsidRPr="00FF207E">
        <w:rPr>
          <w:rFonts w:cs="Arial"/>
          <w:szCs w:val="22"/>
          <w:lang w:val="sl-SI"/>
        </w:rPr>
        <w:t xml:space="preserve">njihovo </w:t>
      </w:r>
      <w:r w:rsidR="006A2622" w:rsidRPr="00FF207E">
        <w:rPr>
          <w:rFonts w:cs="Arial"/>
          <w:szCs w:val="22"/>
          <w:lang w:val="sl-SI"/>
        </w:rPr>
        <w:t>črpanje mora</w:t>
      </w:r>
      <w:r w:rsidR="00EE7AED" w:rsidRPr="00FF207E">
        <w:rPr>
          <w:rFonts w:cs="Arial"/>
          <w:szCs w:val="22"/>
          <w:lang w:val="sl-SI"/>
        </w:rPr>
        <w:t>jo</w:t>
      </w:r>
      <w:r w:rsidR="006A2622" w:rsidRPr="00FF207E">
        <w:rPr>
          <w:rFonts w:cs="Arial"/>
          <w:szCs w:val="22"/>
          <w:lang w:val="sl-SI"/>
        </w:rPr>
        <w:t xml:space="preserve"> Slovenij</w:t>
      </w:r>
      <w:r w:rsidR="00EE7AED" w:rsidRPr="00FF207E">
        <w:rPr>
          <w:rFonts w:cs="Arial"/>
          <w:szCs w:val="22"/>
          <w:lang w:val="sl-SI"/>
        </w:rPr>
        <w:t xml:space="preserve">a in </w:t>
      </w:r>
      <w:r w:rsidR="0006530A" w:rsidRPr="00FF207E">
        <w:rPr>
          <w:rFonts w:cs="Arial"/>
          <w:szCs w:val="22"/>
          <w:lang w:val="sl-SI"/>
        </w:rPr>
        <w:t xml:space="preserve">druge </w:t>
      </w:r>
      <w:r w:rsidR="00EE7AED" w:rsidRPr="00FF207E">
        <w:rPr>
          <w:rFonts w:cs="Arial"/>
          <w:szCs w:val="22"/>
          <w:lang w:val="sl-SI"/>
        </w:rPr>
        <w:t xml:space="preserve">države članice </w:t>
      </w:r>
      <w:r w:rsidR="008D61D4" w:rsidRPr="00FF207E">
        <w:rPr>
          <w:rFonts w:cs="Arial"/>
          <w:szCs w:val="22"/>
          <w:lang w:val="sl-SI"/>
        </w:rPr>
        <w:t xml:space="preserve">najpozneje </w:t>
      </w:r>
      <w:r w:rsidR="00EE7AED" w:rsidRPr="00FF207E">
        <w:rPr>
          <w:rFonts w:cs="Arial"/>
          <w:szCs w:val="22"/>
          <w:lang w:val="sl-SI"/>
        </w:rPr>
        <w:t xml:space="preserve">do junija 2025 pripraviti </w:t>
      </w:r>
      <w:r w:rsidR="00EE7AED" w:rsidRPr="00FF207E">
        <w:rPr>
          <w:rFonts w:cs="Arial"/>
          <w:b/>
          <w:szCs w:val="22"/>
          <w:lang w:val="sl-SI"/>
        </w:rPr>
        <w:t>socialne načrte za podnebje</w:t>
      </w:r>
      <w:r w:rsidR="00EE7AED" w:rsidRPr="00FF207E">
        <w:rPr>
          <w:rFonts w:cs="Arial"/>
          <w:szCs w:val="22"/>
          <w:lang w:val="sl-SI"/>
        </w:rPr>
        <w:t xml:space="preserve">. Zagotoviti je treba, da bo Slovenija v ta načrt </w:t>
      </w:r>
      <w:r w:rsidR="00EE7AED" w:rsidRPr="00FF207E">
        <w:rPr>
          <w:rFonts w:cs="Arial"/>
          <w:b/>
          <w:szCs w:val="22"/>
          <w:lang w:val="sl-SI"/>
        </w:rPr>
        <w:t>ustrezno vključila tudi zmanjševanje energetske revščine</w:t>
      </w:r>
      <w:r w:rsidR="00EE7AED" w:rsidRPr="00FF207E">
        <w:rPr>
          <w:rFonts w:cs="Arial"/>
          <w:szCs w:val="22"/>
          <w:lang w:val="sl-SI"/>
        </w:rPr>
        <w:t>.</w:t>
      </w:r>
      <w:r w:rsidR="006A2622" w:rsidRPr="00FF207E">
        <w:rPr>
          <w:rFonts w:cs="Arial"/>
          <w:szCs w:val="22"/>
          <w:lang w:val="sl-SI"/>
        </w:rPr>
        <w:t xml:space="preserve"> </w:t>
      </w:r>
      <w:r w:rsidR="00E205E7" w:rsidRPr="00FF207E">
        <w:rPr>
          <w:rFonts w:cs="Arial"/>
          <w:szCs w:val="22"/>
          <w:lang w:val="sl-SI"/>
        </w:rPr>
        <w:t>Zmanjševanju energetske revščine se na ravni EU na splošno namenja vedno večj</w:t>
      </w:r>
      <w:r w:rsidR="00E85100" w:rsidRPr="00FF207E">
        <w:rPr>
          <w:rFonts w:cs="Arial"/>
          <w:szCs w:val="22"/>
          <w:lang w:val="sl-SI"/>
        </w:rPr>
        <w:t>a</w:t>
      </w:r>
      <w:r w:rsidR="00E205E7" w:rsidRPr="00FF207E">
        <w:rPr>
          <w:rFonts w:cs="Arial"/>
          <w:szCs w:val="22"/>
          <w:lang w:val="sl-SI"/>
        </w:rPr>
        <w:t xml:space="preserve"> pozornost. </w:t>
      </w:r>
      <w:r w:rsidR="00EE7AED" w:rsidRPr="00FF207E">
        <w:rPr>
          <w:rFonts w:cs="Arial"/>
          <w:szCs w:val="22"/>
          <w:lang w:val="sl-SI"/>
        </w:rPr>
        <w:t>Nova</w:t>
      </w:r>
      <w:r w:rsidR="007B75AB" w:rsidRPr="00FF207E">
        <w:rPr>
          <w:rFonts w:cs="Arial"/>
          <w:b/>
          <w:szCs w:val="22"/>
          <w:lang w:val="sl-SI"/>
        </w:rPr>
        <w:t xml:space="preserve"> </w:t>
      </w:r>
      <w:r w:rsidR="00EE7AED" w:rsidRPr="00FF207E">
        <w:rPr>
          <w:rFonts w:cs="Arial"/>
          <w:b/>
          <w:szCs w:val="22"/>
          <w:lang w:val="sl-SI"/>
        </w:rPr>
        <w:t xml:space="preserve">Direktiva </w:t>
      </w:r>
      <w:r w:rsidR="007B75AB" w:rsidRPr="00FF207E">
        <w:rPr>
          <w:rFonts w:cs="Arial"/>
          <w:b/>
          <w:szCs w:val="22"/>
          <w:lang w:val="sl-SI"/>
        </w:rPr>
        <w:t xml:space="preserve">o energetski </w:t>
      </w:r>
      <w:r w:rsidR="00C477A1" w:rsidRPr="00FF207E">
        <w:rPr>
          <w:rFonts w:cs="Arial"/>
          <w:b/>
          <w:szCs w:val="22"/>
          <w:lang w:val="sl-SI"/>
        </w:rPr>
        <w:t>učinkovitosti</w:t>
      </w:r>
      <w:r w:rsidR="00BE0E09" w:rsidRPr="00FF207E">
        <w:rPr>
          <w:rFonts w:cs="Arial"/>
          <w:b/>
          <w:szCs w:val="22"/>
          <w:lang w:val="sl-SI"/>
        </w:rPr>
        <w:t xml:space="preserve"> </w:t>
      </w:r>
      <w:proofErr w:type="spellStart"/>
      <w:r w:rsidR="00C477A1" w:rsidRPr="00FF207E">
        <w:rPr>
          <w:rFonts w:cs="Arial"/>
          <w:b/>
          <w:szCs w:val="22"/>
          <w:lang w:val="sl-SI"/>
        </w:rPr>
        <w:t>opolnomočenje</w:t>
      </w:r>
      <w:proofErr w:type="spellEnd"/>
      <w:r w:rsidR="00C477A1" w:rsidRPr="00FF207E">
        <w:rPr>
          <w:rFonts w:cs="Arial"/>
          <w:b/>
          <w:szCs w:val="22"/>
          <w:lang w:val="sl-SI"/>
        </w:rPr>
        <w:t xml:space="preserve"> in </w:t>
      </w:r>
      <w:r w:rsidR="00D61271" w:rsidRPr="00FF207E">
        <w:rPr>
          <w:rFonts w:cs="Arial"/>
          <w:b/>
          <w:szCs w:val="22"/>
          <w:lang w:val="sl-SI"/>
        </w:rPr>
        <w:t xml:space="preserve">zaščito </w:t>
      </w:r>
      <w:r w:rsidR="00C477A1" w:rsidRPr="00FF207E">
        <w:rPr>
          <w:rFonts w:cs="Arial"/>
          <w:b/>
          <w:szCs w:val="22"/>
          <w:lang w:val="sl-SI"/>
        </w:rPr>
        <w:t>ranljivih odjemalcev ter zmanjševanje energetske revščine zaje</w:t>
      </w:r>
      <w:r w:rsidR="00E205E7" w:rsidRPr="00FF207E">
        <w:rPr>
          <w:rFonts w:cs="Arial"/>
          <w:b/>
          <w:szCs w:val="22"/>
          <w:lang w:val="sl-SI"/>
        </w:rPr>
        <w:t>ma</w:t>
      </w:r>
      <w:r w:rsidR="00C477A1" w:rsidRPr="00FF207E">
        <w:rPr>
          <w:rFonts w:cs="Arial"/>
          <w:b/>
          <w:szCs w:val="22"/>
          <w:lang w:val="sl-SI"/>
        </w:rPr>
        <w:t xml:space="preserve"> v posebnem členu</w:t>
      </w:r>
      <w:r w:rsidR="00C477A1" w:rsidRPr="00FF207E">
        <w:rPr>
          <w:rFonts w:cs="Arial"/>
          <w:szCs w:val="22"/>
          <w:lang w:val="sl-SI"/>
        </w:rPr>
        <w:t>. Ta spodbuja tako izvajanje ukrepov učinkovite rabe energije</w:t>
      </w:r>
      <w:r w:rsidR="00C110D4" w:rsidRPr="00FF207E">
        <w:rPr>
          <w:rFonts w:cs="Arial"/>
          <w:szCs w:val="22"/>
          <w:lang w:val="sl-SI"/>
        </w:rPr>
        <w:t xml:space="preserve"> kot tudi sodelovanje strokovnjakov z različnih področij </w:t>
      </w:r>
      <w:r w:rsidR="00E85100" w:rsidRPr="00FF207E">
        <w:rPr>
          <w:rFonts w:cs="Arial"/>
          <w:szCs w:val="22"/>
          <w:lang w:val="sl-SI"/>
        </w:rPr>
        <w:t xml:space="preserve">pri </w:t>
      </w:r>
      <w:r w:rsidR="00C110D4" w:rsidRPr="00FF207E">
        <w:rPr>
          <w:rFonts w:cs="Arial"/>
          <w:szCs w:val="22"/>
          <w:lang w:val="sl-SI"/>
        </w:rPr>
        <w:t>podpor</w:t>
      </w:r>
      <w:r w:rsidR="00E85100" w:rsidRPr="00FF207E">
        <w:rPr>
          <w:rFonts w:cs="Arial"/>
          <w:szCs w:val="22"/>
          <w:lang w:val="sl-SI"/>
        </w:rPr>
        <w:t>i</w:t>
      </w:r>
      <w:r w:rsidR="00C110D4" w:rsidRPr="00FF207E">
        <w:rPr>
          <w:rFonts w:cs="Arial"/>
          <w:szCs w:val="22"/>
          <w:lang w:val="sl-SI"/>
        </w:rPr>
        <w:t xml:space="preserve"> oblikovanju strategij za zmanjševanje energetske revščine na </w:t>
      </w:r>
      <w:r w:rsidR="00E85100" w:rsidRPr="00FF207E">
        <w:rPr>
          <w:rFonts w:cs="Arial"/>
          <w:szCs w:val="22"/>
          <w:lang w:val="sl-SI"/>
        </w:rPr>
        <w:t xml:space="preserve">državni </w:t>
      </w:r>
      <w:r w:rsidR="00C110D4" w:rsidRPr="00FF207E">
        <w:rPr>
          <w:rFonts w:cs="Arial"/>
          <w:szCs w:val="22"/>
          <w:lang w:val="sl-SI"/>
        </w:rPr>
        <w:t>in lokalni ravni</w:t>
      </w:r>
      <w:r w:rsidR="006E1CFE" w:rsidRPr="00FF207E">
        <w:rPr>
          <w:rFonts w:cs="Arial"/>
          <w:szCs w:val="22"/>
          <w:lang w:val="sl-SI"/>
        </w:rPr>
        <w:t>,</w:t>
      </w:r>
      <w:r w:rsidR="00C110D4" w:rsidRPr="00FF207E">
        <w:rPr>
          <w:rFonts w:cs="Arial"/>
          <w:szCs w:val="22"/>
          <w:lang w:val="sl-SI"/>
        </w:rPr>
        <w:t xml:space="preserve"> vzpostavitev svetovanja in podpore ranljiv</w:t>
      </w:r>
      <w:r w:rsidR="004075AD" w:rsidRPr="00FF207E">
        <w:rPr>
          <w:rFonts w:cs="Arial"/>
          <w:szCs w:val="22"/>
          <w:lang w:val="sl-SI"/>
        </w:rPr>
        <w:t>im</w:t>
      </w:r>
      <w:r w:rsidR="00C110D4" w:rsidRPr="00FF207E">
        <w:rPr>
          <w:rFonts w:cs="Arial"/>
          <w:szCs w:val="22"/>
          <w:lang w:val="sl-SI"/>
        </w:rPr>
        <w:t xml:space="preserve"> skupin</w:t>
      </w:r>
      <w:r w:rsidR="004075AD" w:rsidRPr="00FF207E">
        <w:rPr>
          <w:rFonts w:cs="Arial"/>
          <w:szCs w:val="22"/>
          <w:lang w:val="sl-SI"/>
        </w:rPr>
        <w:t>am</w:t>
      </w:r>
      <w:r w:rsidR="00F51935" w:rsidRPr="00FF207E">
        <w:rPr>
          <w:rFonts w:cs="Arial"/>
          <w:szCs w:val="22"/>
          <w:lang w:val="sl-SI"/>
        </w:rPr>
        <w:t xml:space="preserve"> po principu </w:t>
      </w:r>
      <w:r w:rsidR="004075AD" w:rsidRPr="00FF207E">
        <w:rPr>
          <w:rFonts w:cs="Arial"/>
          <w:lang w:val="sl-SI"/>
        </w:rPr>
        <w:t>»</w:t>
      </w:r>
      <w:r w:rsidR="00F51935" w:rsidRPr="00FF207E">
        <w:rPr>
          <w:rFonts w:cs="Arial"/>
          <w:szCs w:val="22"/>
          <w:lang w:val="sl-SI"/>
        </w:rPr>
        <w:t>vse na enem mestu</w:t>
      </w:r>
      <w:r w:rsidR="004075AD" w:rsidRPr="00FF207E">
        <w:rPr>
          <w:rFonts w:cs="Arial"/>
          <w:lang w:val="sl-SI"/>
        </w:rPr>
        <w:t>«</w:t>
      </w:r>
      <w:r w:rsidR="004075AD" w:rsidRPr="00FF207E">
        <w:rPr>
          <w:rFonts w:cs="Arial"/>
          <w:szCs w:val="22"/>
          <w:lang w:val="sl-SI"/>
        </w:rPr>
        <w:t xml:space="preserve"> ter njihovo vključevanje v energetske skupnosti.</w:t>
      </w:r>
      <w:r w:rsidR="00E205E7" w:rsidRPr="00FF207E">
        <w:rPr>
          <w:rFonts w:cs="Arial"/>
          <w:szCs w:val="22"/>
          <w:lang w:val="sl-SI"/>
        </w:rPr>
        <w:t xml:space="preserve"> Oktobra 2023 je Evropska komisija objavila tudi priporočilo o energetski revščini.</w:t>
      </w:r>
      <w:r w:rsidR="00D61271" w:rsidRPr="00FF207E">
        <w:rPr>
          <w:rFonts w:cs="Arial"/>
          <w:szCs w:val="22"/>
          <w:lang w:val="sl-SI"/>
        </w:rPr>
        <w:t xml:space="preserve"> Ob energetski revščini se vedno bolj </w:t>
      </w:r>
      <w:r w:rsidR="000A7FCC" w:rsidRPr="00FF207E">
        <w:rPr>
          <w:rFonts w:cs="Arial"/>
          <w:szCs w:val="22"/>
          <w:lang w:val="sl-SI"/>
        </w:rPr>
        <w:t xml:space="preserve">poudarja </w:t>
      </w:r>
      <w:r w:rsidR="00D61271" w:rsidRPr="00FF207E">
        <w:rPr>
          <w:rFonts w:cs="Arial"/>
          <w:szCs w:val="22"/>
          <w:lang w:val="sl-SI"/>
        </w:rPr>
        <w:t xml:space="preserve">tudi </w:t>
      </w:r>
      <w:r w:rsidR="00176B4B" w:rsidRPr="00FF207E">
        <w:rPr>
          <w:rFonts w:cs="Arial"/>
          <w:szCs w:val="22"/>
          <w:lang w:val="sl-SI"/>
        </w:rPr>
        <w:t xml:space="preserve">problematika </w:t>
      </w:r>
      <w:proofErr w:type="spellStart"/>
      <w:r w:rsidR="00D61271" w:rsidRPr="00FF207E">
        <w:rPr>
          <w:rFonts w:cs="Arial"/>
          <w:szCs w:val="22"/>
          <w:lang w:val="sl-SI"/>
        </w:rPr>
        <w:t>mobilnostn</w:t>
      </w:r>
      <w:r w:rsidR="00176B4B" w:rsidRPr="00FF207E">
        <w:rPr>
          <w:rFonts w:cs="Arial"/>
          <w:szCs w:val="22"/>
          <w:lang w:val="sl-SI"/>
        </w:rPr>
        <w:t>e</w:t>
      </w:r>
      <w:proofErr w:type="spellEnd"/>
      <w:r w:rsidR="00D61271" w:rsidRPr="00FF207E">
        <w:rPr>
          <w:rFonts w:cs="Arial"/>
          <w:szCs w:val="22"/>
          <w:lang w:val="sl-SI"/>
        </w:rPr>
        <w:t xml:space="preserve"> revščin</w:t>
      </w:r>
      <w:r w:rsidR="00176B4B" w:rsidRPr="00FF207E">
        <w:rPr>
          <w:rFonts w:cs="Arial"/>
          <w:szCs w:val="22"/>
          <w:lang w:val="sl-SI"/>
        </w:rPr>
        <w:t>e</w:t>
      </w:r>
      <w:r w:rsidR="00971A04" w:rsidRPr="00FF207E">
        <w:rPr>
          <w:rFonts w:cs="Arial"/>
          <w:szCs w:val="22"/>
          <w:lang w:val="sl-SI"/>
        </w:rPr>
        <w:t>.</w:t>
      </w:r>
      <w:r w:rsidR="00D61271" w:rsidRPr="00FF207E">
        <w:rPr>
          <w:rFonts w:cs="Arial"/>
          <w:szCs w:val="22"/>
          <w:lang w:val="sl-SI"/>
        </w:rPr>
        <w:t xml:space="preserve"> </w:t>
      </w:r>
      <w:r w:rsidR="00971A04" w:rsidRPr="00FF207E">
        <w:rPr>
          <w:rFonts w:cs="Arial"/>
          <w:szCs w:val="22"/>
          <w:lang w:val="sl-SI"/>
        </w:rPr>
        <w:t>T</w:t>
      </w:r>
      <w:r w:rsidR="00D61271" w:rsidRPr="00FF207E">
        <w:rPr>
          <w:rFonts w:cs="Arial"/>
          <w:szCs w:val="22"/>
          <w:lang w:val="sl-SI"/>
        </w:rPr>
        <w:t>a se</w:t>
      </w:r>
      <w:r w:rsidR="00971A04" w:rsidRPr="00FF207E">
        <w:rPr>
          <w:rFonts w:cs="Arial"/>
          <w:szCs w:val="22"/>
          <w:lang w:val="sl-SI"/>
        </w:rPr>
        <w:t>, v grobem,</w:t>
      </w:r>
      <w:r w:rsidR="00D61271" w:rsidRPr="00FF207E">
        <w:rPr>
          <w:rFonts w:cs="Arial"/>
          <w:szCs w:val="22"/>
          <w:lang w:val="sl-SI"/>
        </w:rPr>
        <w:t xml:space="preserve"> nanaša na pomanjkanje </w:t>
      </w:r>
      <w:r w:rsidR="00FB254D" w:rsidRPr="00FF207E">
        <w:rPr>
          <w:rFonts w:cs="Arial"/>
          <w:szCs w:val="22"/>
          <w:lang w:val="sl-SI"/>
        </w:rPr>
        <w:t xml:space="preserve">ustreznega prevoza za dostop do storitev </w:t>
      </w:r>
      <w:r w:rsidR="00971A04" w:rsidRPr="00FF207E">
        <w:rPr>
          <w:rFonts w:cs="Arial"/>
          <w:szCs w:val="22"/>
          <w:lang w:val="sl-SI"/>
        </w:rPr>
        <w:t xml:space="preserve">splošnega pomena </w:t>
      </w:r>
      <w:r w:rsidR="00FB254D" w:rsidRPr="00FF207E">
        <w:rPr>
          <w:rFonts w:cs="Arial"/>
          <w:szCs w:val="22"/>
          <w:lang w:val="sl-SI"/>
        </w:rPr>
        <w:t xml:space="preserve">in </w:t>
      </w:r>
      <w:r w:rsidR="00971A04" w:rsidRPr="00FF207E">
        <w:rPr>
          <w:rFonts w:cs="Arial"/>
          <w:szCs w:val="22"/>
          <w:lang w:val="sl-SI"/>
        </w:rPr>
        <w:t>delovnega mesta ali na nezmožnost za plačilo takšnega prevoza in ni predmet tega akcijskega načrta.</w:t>
      </w:r>
    </w:p>
    <w:p w14:paraId="7D2F2F1A" w14:textId="65D9E3FF" w:rsidR="003D7D62" w:rsidRPr="00FF207E" w:rsidRDefault="00456898" w:rsidP="001E304B">
      <w:pPr>
        <w:spacing w:after="240"/>
        <w:jc w:val="both"/>
        <w:rPr>
          <w:rFonts w:cs="Arial"/>
          <w:szCs w:val="22"/>
          <w:lang w:val="sl-SI"/>
        </w:rPr>
      </w:pPr>
      <w:r w:rsidRPr="00FF207E">
        <w:rPr>
          <w:b/>
          <w:bCs/>
          <w:color w:val="4F81BD" w:themeColor="accent1"/>
          <w:szCs w:val="22"/>
          <w:lang w:val="sl-SI"/>
        </w:rPr>
        <w:t>Ukrepi akcijskega načrta</w:t>
      </w:r>
      <w:r w:rsidR="003D4C66" w:rsidRPr="00FF207E">
        <w:rPr>
          <w:b/>
          <w:bCs/>
          <w:color w:val="4F81BD" w:themeColor="accent1"/>
          <w:szCs w:val="22"/>
          <w:lang w:val="sl-SI"/>
        </w:rPr>
        <w:t xml:space="preserve"> in glavni deležniki</w:t>
      </w:r>
      <w:r w:rsidR="00B66526" w:rsidRPr="00FF207E">
        <w:rPr>
          <w:b/>
          <w:bCs/>
          <w:color w:val="4F81BD" w:themeColor="accent1"/>
          <w:szCs w:val="22"/>
          <w:lang w:val="sl-SI"/>
        </w:rPr>
        <w:t>.</w:t>
      </w:r>
      <w:r w:rsidR="00B66526" w:rsidRPr="00FF207E">
        <w:rPr>
          <w:szCs w:val="22"/>
          <w:lang w:val="sl-SI"/>
        </w:rPr>
        <w:t xml:space="preserve"> </w:t>
      </w:r>
      <w:r w:rsidR="00A17917" w:rsidRPr="00FF207E">
        <w:rPr>
          <w:lang w:val="sl-SI"/>
        </w:rPr>
        <w:t xml:space="preserve">V predlog </w:t>
      </w:r>
      <w:r w:rsidR="002C0EFF" w:rsidRPr="00FF207E">
        <w:rPr>
          <w:lang w:val="sl-SI"/>
        </w:rPr>
        <w:t xml:space="preserve">ukrepov </w:t>
      </w:r>
      <w:r w:rsidR="00A17917" w:rsidRPr="00FF207E">
        <w:rPr>
          <w:lang w:val="sl-SI"/>
        </w:rPr>
        <w:t>akcijskega načrta</w:t>
      </w:r>
      <w:r w:rsidR="002C0EFF" w:rsidRPr="00FF207E">
        <w:rPr>
          <w:lang w:val="sl-SI"/>
        </w:rPr>
        <w:t xml:space="preserve"> (</w:t>
      </w:r>
      <w:r w:rsidR="002C0EFF" w:rsidRPr="00FF207E">
        <w:rPr>
          <w:lang w:val="sl-SI"/>
        </w:rPr>
        <w:fldChar w:fldCharType="begin"/>
      </w:r>
      <w:r w:rsidR="002C0EFF" w:rsidRPr="00FF207E">
        <w:rPr>
          <w:lang w:val="sl-SI"/>
        </w:rPr>
        <w:instrText xml:space="preserve"> REF _Ref136367051 \h </w:instrText>
      </w:r>
      <w:r w:rsidR="001E304B" w:rsidRPr="00FF207E">
        <w:rPr>
          <w:lang w:val="sl-SI"/>
        </w:rPr>
        <w:instrText xml:space="preserve"> \* MERGEFORMAT </w:instrText>
      </w:r>
      <w:r w:rsidR="002C0EFF" w:rsidRPr="00FF207E">
        <w:rPr>
          <w:lang w:val="sl-SI"/>
        </w:rPr>
      </w:r>
      <w:r w:rsidR="002C0EFF" w:rsidRPr="00FF207E">
        <w:rPr>
          <w:lang w:val="sl-SI"/>
        </w:rPr>
        <w:fldChar w:fldCharType="separate"/>
      </w:r>
      <w:r w:rsidR="003249EA" w:rsidRPr="00FF207E">
        <w:rPr>
          <w:lang w:val="sl-SI"/>
        </w:rPr>
        <w:t>t</w:t>
      </w:r>
      <w:r w:rsidR="00F37FD1" w:rsidRPr="00FF207E">
        <w:rPr>
          <w:lang w:val="sl-SI"/>
        </w:rPr>
        <w:t>abela 1</w:t>
      </w:r>
      <w:r w:rsidR="002C0EFF" w:rsidRPr="00FF207E">
        <w:rPr>
          <w:lang w:val="sl-SI"/>
        </w:rPr>
        <w:fldChar w:fldCharType="end"/>
      </w:r>
      <w:r w:rsidR="002C0EFF" w:rsidRPr="00FF207E">
        <w:rPr>
          <w:lang w:val="sl-SI"/>
        </w:rPr>
        <w:t>)</w:t>
      </w:r>
      <w:r w:rsidR="00A17917" w:rsidRPr="00FF207E">
        <w:rPr>
          <w:lang w:val="sl-SI"/>
        </w:rPr>
        <w:t xml:space="preserve"> so vključeni </w:t>
      </w:r>
      <w:r w:rsidR="00A17917" w:rsidRPr="00FF207E">
        <w:rPr>
          <w:b/>
          <w:lang w:val="sl-SI"/>
        </w:rPr>
        <w:t xml:space="preserve">ukrepi </w:t>
      </w:r>
      <w:r w:rsidR="00704407" w:rsidRPr="00FF207E">
        <w:rPr>
          <w:rFonts w:cs="Arial"/>
          <w:b/>
          <w:szCs w:val="22"/>
          <w:lang w:val="sl-SI"/>
        </w:rPr>
        <w:t>za zmanjševanje energetske revščine</w:t>
      </w:r>
      <w:r w:rsidR="00704407" w:rsidRPr="00FF207E">
        <w:rPr>
          <w:rFonts w:cs="Arial"/>
          <w:szCs w:val="22"/>
          <w:lang w:val="sl-SI"/>
        </w:rPr>
        <w:t xml:space="preserve"> – to so prednostno ukrepi energetske učinkovitosti, s katerimi se </w:t>
      </w:r>
      <w:r w:rsidR="003249EA" w:rsidRPr="00FF207E">
        <w:rPr>
          <w:rFonts w:cs="Arial"/>
          <w:szCs w:val="22"/>
          <w:lang w:val="sl-SI"/>
        </w:rPr>
        <w:t xml:space="preserve">zmanjšujejo </w:t>
      </w:r>
      <w:r w:rsidR="00704407" w:rsidRPr="00FF207E">
        <w:rPr>
          <w:rFonts w:cs="Arial"/>
          <w:szCs w:val="22"/>
          <w:lang w:val="sl-SI"/>
        </w:rPr>
        <w:t>raba energije in emisije toplogrednih plinov ter izboljšujejo bivaln</w:t>
      </w:r>
      <w:r w:rsidR="00D55FFB" w:rsidRPr="00FF207E">
        <w:rPr>
          <w:rFonts w:cs="Arial"/>
          <w:szCs w:val="22"/>
          <w:lang w:val="sl-SI"/>
        </w:rPr>
        <w:t>e</w:t>
      </w:r>
      <w:r w:rsidR="00704407" w:rsidRPr="00FF207E">
        <w:rPr>
          <w:rFonts w:cs="Arial"/>
          <w:szCs w:val="22"/>
          <w:lang w:val="sl-SI"/>
        </w:rPr>
        <w:t xml:space="preserve"> </w:t>
      </w:r>
      <w:r w:rsidR="00D55FFB" w:rsidRPr="00FF207E">
        <w:rPr>
          <w:rFonts w:cs="Arial"/>
          <w:szCs w:val="22"/>
          <w:lang w:val="sl-SI"/>
        </w:rPr>
        <w:t>razmere</w:t>
      </w:r>
      <w:r w:rsidR="00704407" w:rsidRPr="00FF207E">
        <w:rPr>
          <w:rFonts w:cs="Arial"/>
          <w:szCs w:val="22"/>
          <w:lang w:val="sl-SI"/>
        </w:rPr>
        <w:t xml:space="preserve"> (nosilec: </w:t>
      </w:r>
      <w:r w:rsidR="00704407" w:rsidRPr="00FF207E">
        <w:rPr>
          <w:rFonts w:cs="Arial"/>
          <w:b/>
          <w:szCs w:val="22"/>
          <w:lang w:val="sl-SI"/>
        </w:rPr>
        <w:t>Ministrstvo za okolje, podnebje in energijo</w:t>
      </w:r>
      <w:r w:rsidR="00CE5592" w:rsidRPr="00FF207E">
        <w:rPr>
          <w:rFonts w:cs="Arial"/>
          <w:b/>
          <w:szCs w:val="22"/>
          <w:lang w:val="sl-SI"/>
        </w:rPr>
        <w:t xml:space="preserve"> Republike Slovenije</w:t>
      </w:r>
      <w:r w:rsidR="00704407" w:rsidRPr="00FF207E">
        <w:rPr>
          <w:rFonts w:cs="Arial"/>
          <w:szCs w:val="22"/>
          <w:lang w:val="sl-SI"/>
        </w:rPr>
        <w:t xml:space="preserve">), in </w:t>
      </w:r>
      <w:r w:rsidR="00704407" w:rsidRPr="00FF207E">
        <w:rPr>
          <w:rFonts w:cs="Arial"/>
          <w:b/>
          <w:szCs w:val="22"/>
          <w:lang w:val="sl-SI"/>
        </w:rPr>
        <w:t xml:space="preserve">ukrepi za </w:t>
      </w:r>
      <w:r w:rsidR="00DE7C60" w:rsidRPr="00FF207E">
        <w:rPr>
          <w:rFonts w:cs="Arial"/>
          <w:b/>
          <w:szCs w:val="22"/>
          <w:lang w:val="sl-SI"/>
        </w:rPr>
        <w:t xml:space="preserve">začasno </w:t>
      </w:r>
      <w:r w:rsidR="00704407" w:rsidRPr="00FF207E">
        <w:rPr>
          <w:rFonts w:cs="Arial"/>
          <w:b/>
          <w:szCs w:val="22"/>
          <w:lang w:val="sl-SI"/>
        </w:rPr>
        <w:t>blaženje energetske revščine</w:t>
      </w:r>
      <w:r w:rsidR="00704407" w:rsidRPr="00FF207E">
        <w:rPr>
          <w:rFonts w:cs="Arial"/>
          <w:szCs w:val="22"/>
          <w:lang w:val="sl-SI"/>
        </w:rPr>
        <w:t xml:space="preserve"> – to so ukrepi, ki so usmerjeni v trenutno razbremenitev energetsko revnih, običajno s finančno pomočjo pri plačilu stroškov energije (nosilec: </w:t>
      </w:r>
      <w:r w:rsidR="00704407" w:rsidRPr="00FF207E">
        <w:rPr>
          <w:rFonts w:cs="Arial"/>
          <w:b/>
          <w:szCs w:val="22"/>
          <w:lang w:val="sl-SI"/>
        </w:rPr>
        <w:t>Ministrstvo za delo, družino, socialne zadeve in enake</w:t>
      </w:r>
      <w:r w:rsidR="002C0EFF" w:rsidRPr="00FF207E">
        <w:rPr>
          <w:rFonts w:cs="Arial"/>
          <w:b/>
          <w:szCs w:val="22"/>
          <w:lang w:val="sl-SI"/>
        </w:rPr>
        <w:t xml:space="preserve"> </w:t>
      </w:r>
      <w:r w:rsidR="00704407" w:rsidRPr="00FF207E">
        <w:rPr>
          <w:rFonts w:cs="Arial"/>
          <w:b/>
          <w:szCs w:val="22"/>
          <w:lang w:val="sl-SI"/>
        </w:rPr>
        <w:t>možnosti</w:t>
      </w:r>
      <w:r w:rsidR="00CE5592" w:rsidRPr="00FF207E">
        <w:rPr>
          <w:rFonts w:cs="Arial"/>
          <w:b/>
          <w:szCs w:val="22"/>
          <w:lang w:val="sl-SI"/>
        </w:rPr>
        <w:t xml:space="preserve"> Republike Slovenije</w:t>
      </w:r>
      <w:r w:rsidR="00704407" w:rsidRPr="00FF207E">
        <w:rPr>
          <w:rFonts w:cs="Arial"/>
          <w:szCs w:val="22"/>
          <w:lang w:val="sl-SI"/>
        </w:rPr>
        <w:t>).</w:t>
      </w:r>
      <w:r w:rsidR="003D4C66" w:rsidRPr="00FF207E">
        <w:rPr>
          <w:rFonts w:cs="Arial"/>
          <w:szCs w:val="22"/>
          <w:lang w:val="sl-SI"/>
        </w:rPr>
        <w:t xml:space="preserve"> Poleg </w:t>
      </w:r>
      <w:r w:rsidR="00627DF8" w:rsidRPr="00FF207E">
        <w:rPr>
          <w:rFonts w:cs="Arial"/>
          <w:szCs w:val="22"/>
          <w:lang w:val="sl-SI"/>
        </w:rPr>
        <w:t xml:space="preserve">navedenih </w:t>
      </w:r>
      <w:r w:rsidR="003D4C66" w:rsidRPr="00FF207E">
        <w:rPr>
          <w:rFonts w:cs="Arial"/>
          <w:szCs w:val="22"/>
          <w:lang w:val="sl-SI"/>
        </w:rPr>
        <w:t xml:space="preserve">ministrstev je glavni deležnik še </w:t>
      </w:r>
      <w:proofErr w:type="spellStart"/>
      <w:r w:rsidR="003D4C66" w:rsidRPr="00FF207E">
        <w:rPr>
          <w:rFonts w:cs="Arial"/>
          <w:b/>
          <w:szCs w:val="22"/>
          <w:lang w:val="sl-SI"/>
        </w:rPr>
        <w:t>Eko</w:t>
      </w:r>
      <w:proofErr w:type="spellEnd"/>
      <w:r w:rsidR="003D4C66" w:rsidRPr="00FF207E">
        <w:rPr>
          <w:rFonts w:cs="Arial"/>
          <w:b/>
          <w:szCs w:val="22"/>
          <w:lang w:val="sl-SI"/>
        </w:rPr>
        <w:t xml:space="preserve"> sklad</w:t>
      </w:r>
      <w:r w:rsidR="003D4C66" w:rsidRPr="00FF207E">
        <w:rPr>
          <w:rFonts w:cs="Arial"/>
          <w:szCs w:val="22"/>
          <w:lang w:val="sl-SI"/>
        </w:rPr>
        <w:t xml:space="preserve">, kot glavni izvajalec ukrepov za zmanjševanje energetske revščine. </w:t>
      </w:r>
      <w:r w:rsidR="003249EA" w:rsidRPr="00FF207E">
        <w:rPr>
          <w:rFonts w:cs="Arial"/>
          <w:szCs w:val="22"/>
          <w:lang w:val="sl-SI"/>
        </w:rPr>
        <w:t xml:space="preserve">Dejavno </w:t>
      </w:r>
      <w:r w:rsidR="003D4C66" w:rsidRPr="00FF207E">
        <w:rPr>
          <w:rFonts w:cs="Arial"/>
          <w:szCs w:val="22"/>
          <w:lang w:val="sl-SI"/>
        </w:rPr>
        <w:t xml:space="preserve">medsebojno sodelovanje glavnih deležnikov in njihovo vključevanje v </w:t>
      </w:r>
      <w:r w:rsidR="003249EA" w:rsidRPr="00FF207E">
        <w:rPr>
          <w:rFonts w:cs="Arial"/>
          <w:szCs w:val="22"/>
          <w:lang w:val="sl-SI"/>
        </w:rPr>
        <w:t xml:space="preserve">dejavnosti </w:t>
      </w:r>
      <w:r w:rsidR="003D4C66" w:rsidRPr="00FF207E">
        <w:rPr>
          <w:rFonts w:cs="Arial"/>
          <w:szCs w:val="22"/>
          <w:lang w:val="sl-SI"/>
        </w:rPr>
        <w:t xml:space="preserve">za zmanjševanje energetske revščine sta ključna za učinkovito in uspešno </w:t>
      </w:r>
      <w:r w:rsidR="000A7FCC" w:rsidRPr="00FF207E">
        <w:rPr>
          <w:rFonts w:cs="Arial"/>
          <w:szCs w:val="22"/>
          <w:lang w:val="sl-SI"/>
        </w:rPr>
        <w:t xml:space="preserve">reševanje </w:t>
      </w:r>
      <w:r w:rsidR="003D4C66" w:rsidRPr="00FF207E">
        <w:rPr>
          <w:rFonts w:cs="Arial"/>
          <w:szCs w:val="22"/>
          <w:lang w:val="sl-SI"/>
        </w:rPr>
        <w:t>problematike energetske revščine.</w:t>
      </w:r>
      <w:r w:rsidR="00BF0D63" w:rsidRPr="00FF207E">
        <w:rPr>
          <w:rFonts w:cs="Arial"/>
          <w:szCs w:val="22"/>
          <w:lang w:val="sl-SI"/>
        </w:rPr>
        <w:t xml:space="preserve"> </w:t>
      </w:r>
    </w:p>
    <w:p w14:paraId="5F201BC4" w14:textId="169DCB43" w:rsidR="00B66526" w:rsidRPr="00FF207E" w:rsidRDefault="00BF0D63" w:rsidP="001E304B">
      <w:pPr>
        <w:spacing w:after="240"/>
        <w:jc w:val="both"/>
        <w:rPr>
          <w:i/>
          <w:iCs/>
          <w:szCs w:val="22"/>
          <w:lang w:val="sl-SI"/>
        </w:rPr>
      </w:pPr>
      <w:r w:rsidRPr="00FF207E">
        <w:rPr>
          <w:rFonts w:cs="Arial"/>
          <w:b/>
          <w:szCs w:val="22"/>
          <w:lang w:val="sl-SI"/>
        </w:rPr>
        <w:t>Ukrepi</w:t>
      </w:r>
      <w:r w:rsidR="00C57AAD" w:rsidRPr="00FF207E">
        <w:rPr>
          <w:rFonts w:cs="Arial"/>
          <w:szCs w:val="22"/>
          <w:lang w:val="sl-SI"/>
        </w:rPr>
        <w:t xml:space="preserve"> </w:t>
      </w:r>
      <w:r w:rsidRPr="00FF207E">
        <w:rPr>
          <w:rFonts w:cs="Arial"/>
          <w:szCs w:val="22"/>
          <w:lang w:val="sl-SI"/>
        </w:rPr>
        <w:t xml:space="preserve">v predlogu akcijskega načrta </w:t>
      </w:r>
      <w:r w:rsidRPr="00FF207E">
        <w:rPr>
          <w:rFonts w:cs="Arial"/>
          <w:b/>
          <w:szCs w:val="22"/>
          <w:lang w:val="sl-SI"/>
        </w:rPr>
        <w:t xml:space="preserve">so zastavljeni </w:t>
      </w:r>
      <w:r w:rsidR="009E087A" w:rsidRPr="00FF207E">
        <w:rPr>
          <w:rFonts w:cs="Arial"/>
          <w:b/>
          <w:szCs w:val="22"/>
          <w:lang w:val="sl-SI"/>
        </w:rPr>
        <w:t>dolgoročno</w:t>
      </w:r>
      <w:r w:rsidR="009E087A" w:rsidRPr="00FF207E">
        <w:rPr>
          <w:rFonts w:cs="Arial"/>
          <w:szCs w:val="22"/>
          <w:lang w:val="sl-SI"/>
        </w:rPr>
        <w:t>, s poudarkom na njihovi kratkoročni izvedbi v obdobju 2024–2026.</w:t>
      </w:r>
      <w:r w:rsidR="009A0CC3" w:rsidRPr="00FF207E">
        <w:rPr>
          <w:rFonts w:cs="Arial"/>
          <w:szCs w:val="22"/>
          <w:lang w:val="sl-SI"/>
        </w:rPr>
        <w:t xml:space="preserve"> Z njihovo uveljavitvijo se daje </w:t>
      </w:r>
      <w:r w:rsidR="009A0CC3" w:rsidRPr="00FF207E">
        <w:rPr>
          <w:rFonts w:cs="Arial"/>
          <w:b/>
          <w:szCs w:val="22"/>
          <w:lang w:val="sl-SI"/>
        </w:rPr>
        <w:t>večji pomen regionalnim deležnikom</w:t>
      </w:r>
      <w:r w:rsidR="009A0CC3" w:rsidRPr="00FF207E">
        <w:rPr>
          <w:rFonts w:cs="Arial"/>
          <w:szCs w:val="22"/>
          <w:lang w:val="sl-SI"/>
        </w:rPr>
        <w:t xml:space="preserve">, </w:t>
      </w:r>
      <w:r w:rsidR="004910B8" w:rsidRPr="00FF207E">
        <w:rPr>
          <w:rFonts w:cs="Arial"/>
          <w:szCs w:val="22"/>
          <w:lang w:val="sl-SI"/>
        </w:rPr>
        <w:t>še zlasti na področj</w:t>
      </w:r>
      <w:r w:rsidR="00C44D1D" w:rsidRPr="00FF207E">
        <w:rPr>
          <w:rFonts w:cs="Arial"/>
          <w:szCs w:val="22"/>
          <w:lang w:val="sl-SI"/>
        </w:rPr>
        <w:t>ih</w:t>
      </w:r>
      <w:r w:rsidR="004910B8" w:rsidRPr="00FF207E">
        <w:rPr>
          <w:rFonts w:cs="Arial"/>
          <w:szCs w:val="22"/>
          <w:lang w:val="sl-SI"/>
        </w:rPr>
        <w:t xml:space="preserve"> </w:t>
      </w:r>
      <w:r w:rsidR="004910B8" w:rsidRPr="00FF207E">
        <w:rPr>
          <w:rFonts w:cs="Arial"/>
          <w:b/>
          <w:szCs w:val="22"/>
          <w:lang w:val="sl-SI"/>
        </w:rPr>
        <w:t xml:space="preserve">energetskega </w:t>
      </w:r>
      <w:r w:rsidR="00AE40CC" w:rsidRPr="00FF207E">
        <w:rPr>
          <w:rFonts w:cs="Arial"/>
          <w:b/>
          <w:szCs w:val="22"/>
          <w:lang w:val="sl-SI"/>
        </w:rPr>
        <w:t>svetovanja</w:t>
      </w:r>
      <w:r w:rsidR="00AE40CC" w:rsidRPr="00FF207E">
        <w:rPr>
          <w:rFonts w:cs="Arial"/>
          <w:szCs w:val="22"/>
          <w:lang w:val="sl-SI"/>
        </w:rPr>
        <w:t xml:space="preserve"> energetsko revnim ter </w:t>
      </w:r>
      <w:r w:rsidR="00AE40CC" w:rsidRPr="00FF207E">
        <w:rPr>
          <w:rFonts w:cs="Arial"/>
          <w:b/>
          <w:szCs w:val="22"/>
          <w:lang w:val="sl-SI"/>
        </w:rPr>
        <w:t>njihovega informiranja in ozaveščanja</w:t>
      </w:r>
      <w:r w:rsidR="00275850" w:rsidRPr="00FF207E">
        <w:rPr>
          <w:rFonts w:cs="Arial"/>
          <w:szCs w:val="22"/>
          <w:lang w:val="sl-SI"/>
        </w:rPr>
        <w:t xml:space="preserve">. Regionalne svetovalne točke so </w:t>
      </w:r>
      <w:r w:rsidR="00232C75" w:rsidRPr="00FF207E">
        <w:rPr>
          <w:rFonts w:cs="Arial"/>
          <w:szCs w:val="22"/>
          <w:lang w:val="sl-SI"/>
        </w:rPr>
        <w:t xml:space="preserve">s svojimi </w:t>
      </w:r>
      <w:r w:rsidR="000713D5" w:rsidRPr="00FF207E">
        <w:rPr>
          <w:rFonts w:cs="Arial"/>
          <w:szCs w:val="22"/>
          <w:lang w:val="sl-SI"/>
        </w:rPr>
        <w:t xml:space="preserve">dejavnostmi </w:t>
      </w:r>
      <w:r w:rsidR="00275850" w:rsidRPr="00FF207E">
        <w:rPr>
          <w:rFonts w:cs="Arial"/>
          <w:szCs w:val="22"/>
          <w:lang w:val="sl-SI"/>
        </w:rPr>
        <w:t xml:space="preserve">glavna podpora </w:t>
      </w:r>
      <w:r w:rsidR="00232C75" w:rsidRPr="00FF207E">
        <w:rPr>
          <w:rFonts w:cs="Arial"/>
          <w:szCs w:val="22"/>
          <w:lang w:val="sl-SI"/>
        </w:rPr>
        <w:t xml:space="preserve">projektni pisarni na </w:t>
      </w:r>
      <w:r w:rsidR="000713D5" w:rsidRPr="00FF207E">
        <w:rPr>
          <w:rFonts w:cs="Arial"/>
          <w:szCs w:val="22"/>
          <w:lang w:val="sl-SI"/>
        </w:rPr>
        <w:t>državni</w:t>
      </w:r>
      <w:r w:rsidR="00232C75" w:rsidRPr="00FF207E">
        <w:rPr>
          <w:rFonts w:cs="Arial"/>
          <w:szCs w:val="22"/>
          <w:lang w:val="sl-SI"/>
        </w:rPr>
        <w:t xml:space="preserve"> ravni pri dodeljevanju investicijskih spodbud za zmanjševanje energetske revščine.</w:t>
      </w:r>
    </w:p>
    <w:p w14:paraId="67364263" w14:textId="77777777" w:rsidR="003D4C66" w:rsidRPr="00FF207E" w:rsidRDefault="003D4C66" w:rsidP="001E304B">
      <w:pPr>
        <w:spacing w:after="120"/>
        <w:jc w:val="both"/>
        <w:rPr>
          <w:rFonts w:cs="Arial"/>
          <w:szCs w:val="22"/>
          <w:lang w:val="sl-SI"/>
        </w:rPr>
      </w:pPr>
      <w:r w:rsidRPr="00FF207E">
        <w:rPr>
          <w:noProof/>
          <w:color w:val="4F81BD" w:themeColor="accent1"/>
          <w:lang w:val="sl-SI" w:eastAsia="sl-SI"/>
        </w:rPr>
        <w:lastRenderedPageBreak/>
        <mc:AlternateContent>
          <mc:Choice Requires="wps">
            <w:drawing>
              <wp:inline distT="0" distB="0" distL="0" distR="0" wp14:anchorId="279DB652" wp14:editId="5DCAD738">
                <wp:extent cx="5760720" cy="3459708"/>
                <wp:effectExtent l="0" t="0" r="11430" b="26670"/>
                <wp:docPr id="2" name="Rectangle: Rounded Corners 2"/>
                <wp:cNvGraphicFramePr/>
                <a:graphic xmlns:a="http://schemas.openxmlformats.org/drawingml/2006/main">
                  <a:graphicData uri="http://schemas.microsoft.com/office/word/2010/wordprocessingShape">
                    <wps:wsp>
                      <wps:cNvSpPr/>
                      <wps:spPr>
                        <a:xfrm>
                          <a:off x="0" y="0"/>
                          <a:ext cx="5760720" cy="3459708"/>
                        </a:xfrm>
                        <a:prstGeom prst="roundRect">
                          <a:avLst>
                            <a:gd name="adj" fmla="val 5866"/>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37574B" w14:textId="66604A82" w:rsidR="008140B0" w:rsidRPr="00683FA5" w:rsidRDefault="008140B0" w:rsidP="003D4C66">
                            <w:pPr>
                              <w:spacing w:after="120"/>
                              <w:ind w:left="340" w:right="301" w:hanging="340"/>
                              <w:rPr>
                                <w:rFonts w:cs="Arial"/>
                                <w:b/>
                                <w:smallCaps/>
                                <w:color w:val="4F81BD" w:themeColor="accent1"/>
                                <w:lang w:val="sl-SI"/>
                              </w:rPr>
                            </w:pPr>
                            <w:r>
                              <w:rPr>
                                <w:rFonts w:cs="Arial"/>
                                <w:b/>
                                <w:smallCaps/>
                                <w:color w:val="4F81BD" w:themeColor="accent1"/>
                                <w:lang w:val="sl-SI"/>
                              </w:rPr>
                              <w:t>Shema za zmanjševanje energetske revščine</w:t>
                            </w:r>
                          </w:p>
                          <w:p w14:paraId="4B1C9C81" w14:textId="6B7BEC4D" w:rsidR="008140B0" w:rsidRDefault="008140B0" w:rsidP="001E304B">
                            <w:pPr>
                              <w:spacing w:after="120"/>
                              <w:ind w:right="301"/>
                              <w:jc w:val="both"/>
                              <w:rPr>
                                <w:rFonts w:cs="Arial"/>
                                <w:color w:val="4F81BD" w:themeColor="accent1"/>
                                <w:szCs w:val="22"/>
                                <w:lang w:val="sl-SI"/>
                              </w:rPr>
                            </w:pPr>
                            <w:r w:rsidRPr="0098567A">
                              <w:rPr>
                                <w:rFonts w:cs="Arial"/>
                                <w:color w:val="4F81BD" w:themeColor="accent1"/>
                                <w:szCs w:val="22"/>
                                <w:lang w:val="sl-SI"/>
                              </w:rPr>
                              <w:t xml:space="preserve">Shema za zmanjševanje energetske revščine </w:t>
                            </w:r>
                            <w:r>
                              <w:rPr>
                                <w:rFonts w:cs="Arial"/>
                                <w:color w:val="4F81BD" w:themeColor="accent1"/>
                                <w:szCs w:val="22"/>
                                <w:lang w:val="sl-SI"/>
                              </w:rPr>
                              <w:t>zajema</w:t>
                            </w:r>
                            <w:r w:rsidRPr="0098567A">
                              <w:rPr>
                                <w:rFonts w:cs="Arial"/>
                                <w:color w:val="4F81BD" w:themeColor="accent1"/>
                                <w:szCs w:val="22"/>
                                <w:lang w:val="sl-SI"/>
                              </w:rPr>
                              <w:t xml:space="preserve"> </w:t>
                            </w:r>
                            <w:r w:rsidRPr="0098567A">
                              <w:rPr>
                                <w:rFonts w:cs="Arial"/>
                                <w:b/>
                                <w:color w:val="4F81BD" w:themeColor="accent1"/>
                                <w:szCs w:val="22"/>
                                <w:lang w:val="sl-SI"/>
                              </w:rPr>
                              <w:t>ključni sklop ukrepov za zmanjševanje energetske revščine</w:t>
                            </w:r>
                            <w:r w:rsidRPr="0098567A">
                              <w:rPr>
                                <w:rFonts w:cs="Arial"/>
                                <w:color w:val="4F81BD" w:themeColor="accent1"/>
                                <w:szCs w:val="22"/>
                                <w:lang w:val="sl-SI"/>
                              </w:rPr>
                              <w:t>, ki se izvajajo sočasno in se medsebojno podpirajo, saj lahko na sistemski ravni le tako dolgoročno zagotovijo celost</w:t>
                            </w:r>
                            <w:r>
                              <w:rPr>
                                <w:rFonts w:cs="Arial"/>
                                <w:color w:val="4F81BD" w:themeColor="accent1"/>
                                <w:szCs w:val="22"/>
                                <w:lang w:val="sl-SI"/>
                              </w:rPr>
                              <w:t>no</w:t>
                            </w:r>
                            <w:r w:rsidRPr="0098567A">
                              <w:rPr>
                                <w:rFonts w:cs="Arial"/>
                                <w:color w:val="4F81BD" w:themeColor="accent1"/>
                                <w:szCs w:val="22"/>
                                <w:lang w:val="sl-SI"/>
                              </w:rPr>
                              <w:t xml:space="preserve">  zmanjševanj</w:t>
                            </w:r>
                            <w:r>
                              <w:rPr>
                                <w:rFonts w:cs="Arial"/>
                                <w:color w:val="4F81BD" w:themeColor="accent1"/>
                                <w:szCs w:val="22"/>
                                <w:lang w:val="sl-SI"/>
                              </w:rPr>
                              <w:t>e</w:t>
                            </w:r>
                            <w:r w:rsidRPr="0098567A">
                              <w:rPr>
                                <w:rFonts w:cs="Arial"/>
                                <w:color w:val="4F81BD" w:themeColor="accent1"/>
                                <w:szCs w:val="22"/>
                                <w:lang w:val="sl-SI"/>
                              </w:rPr>
                              <w:t xml:space="preserve"> energetske revščine. Gradi na že obstoječih ukrepih (</w:t>
                            </w:r>
                            <w:r>
                              <w:rPr>
                                <w:rFonts w:cs="Arial"/>
                                <w:color w:val="4F81BD" w:themeColor="accent1"/>
                                <w:szCs w:val="22"/>
                                <w:lang w:val="sl-SI"/>
                              </w:rPr>
                              <w:t>na primer</w:t>
                            </w:r>
                            <w:r w:rsidRPr="0098567A">
                              <w:rPr>
                                <w:rFonts w:cs="Arial"/>
                                <w:color w:val="4F81BD" w:themeColor="accent1"/>
                                <w:szCs w:val="22"/>
                                <w:lang w:val="sl-SI"/>
                              </w:rPr>
                              <w:t xml:space="preserve"> program ZERO500, projekt ZERO</w:t>
                            </w:r>
                            <w:r>
                              <w:rPr>
                                <w:rFonts w:cs="Arial"/>
                                <w:color w:val="4F81BD" w:themeColor="accent1"/>
                                <w:szCs w:val="22"/>
                                <w:lang w:val="sl-SI"/>
                              </w:rPr>
                              <w:t xml:space="preserve"> in tako dalje</w:t>
                            </w:r>
                            <w:r w:rsidRPr="0098567A">
                              <w:rPr>
                                <w:rFonts w:cs="Arial"/>
                                <w:color w:val="4F81BD" w:themeColor="accent1"/>
                                <w:szCs w:val="22"/>
                                <w:lang w:val="sl-SI"/>
                              </w:rPr>
                              <w:t>) in do</w:t>
                            </w:r>
                            <w:r>
                              <w:rPr>
                                <w:rFonts w:cs="Arial"/>
                                <w:color w:val="4F81BD" w:themeColor="accent1"/>
                                <w:szCs w:val="22"/>
                                <w:lang w:val="sl-SI"/>
                              </w:rPr>
                              <w:t>zdajšnjih</w:t>
                            </w:r>
                            <w:r w:rsidRPr="0098567A">
                              <w:rPr>
                                <w:rFonts w:cs="Arial"/>
                                <w:color w:val="4F81BD" w:themeColor="accent1"/>
                                <w:szCs w:val="22"/>
                                <w:lang w:val="sl-SI"/>
                              </w:rPr>
                              <w:t xml:space="preserve"> izkušnjah.</w:t>
                            </w:r>
                            <w:r>
                              <w:rPr>
                                <w:rFonts w:cs="Arial"/>
                                <w:color w:val="4F81BD" w:themeColor="accent1"/>
                                <w:szCs w:val="22"/>
                                <w:lang w:val="sl-SI"/>
                              </w:rPr>
                              <w:t xml:space="preserve"> Vanjo so vključeni ukrepi:</w:t>
                            </w:r>
                          </w:p>
                          <w:p w14:paraId="7D3E2935" w14:textId="0C2541C2" w:rsidR="008140B0" w:rsidRDefault="008140B0" w:rsidP="001E304B">
                            <w:pPr>
                              <w:pStyle w:val="Odstavekseznama"/>
                              <w:numPr>
                                <w:ilvl w:val="0"/>
                                <w:numId w:val="29"/>
                              </w:numPr>
                              <w:spacing w:after="240"/>
                              <w:ind w:right="301"/>
                              <w:jc w:val="both"/>
                              <w:rPr>
                                <w:rFonts w:cs="Arial"/>
                                <w:color w:val="4F81BD" w:themeColor="accent1"/>
                                <w:szCs w:val="22"/>
                                <w:lang w:val="sl-SI"/>
                              </w:rPr>
                            </w:pPr>
                            <w:r>
                              <w:rPr>
                                <w:rFonts w:cs="Arial"/>
                                <w:b/>
                                <w:i/>
                                <w:color w:val="4F81BD" w:themeColor="accent1"/>
                                <w:szCs w:val="22"/>
                                <w:lang w:val="sl-SI"/>
                              </w:rPr>
                              <w:t>i</w:t>
                            </w:r>
                            <w:r w:rsidRPr="00920C53">
                              <w:rPr>
                                <w:rFonts w:cs="Arial"/>
                                <w:b/>
                                <w:i/>
                                <w:color w:val="4F81BD" w:themeColor="accent1"/>
                                <w:szCs w:val="22"/>
                                <w:lang w:val="sl-SI"/>
                              </w:rPr>
                              <w:t>nvesticijsk</w:t>
                            </w:r>
                            <w:r>
                              <w:rPr>
                                <w:rFonts w:cs="Arial"/>
                                <w:b/>
                                <w:i/>
                                <w:color w:val="4F81BD" w:themeColor="accent1"/>
                                <w:szCs w:val="22"/>
                                <w:lang w:val="sl-SI"/>
                              </w:rPr>
                              <w:t>e</w:t>
                            </w:r>
                            <w:r w:rsidRPr="00920C53">
                              <w:rPr>
                                <w:rFonts w:cs="Arial"/>
                                <w:b/>
                                <w:i/>
                                <w:color w:val="4F81BD" w:themeColor="accent1"/>
                                <w:szCs w:val="22"/>
                                <w:lang w:val="sl-SI"/>
                              </w:rPr>
                              <w:t xml:space="preserve"> spodbud</w:t>
                            </w:r>
                            <w:r>
                              <w:rPr>
                                <w:rFonts w:cs="Arial"/>
                                <w:b/>
                                <w:i/>
                                <w:color w:val="4F81BD" w:themeColor="accent1"/>
                                <w:szCs w:val="22"/>
                                <w:lang w:val="sl-SI"/>
                              </w:rPr>
                              <w:t>e</w:t>
                            </w:r>
                            <w:r w:rsidRPr="00920C53">
                              <w:rPr>
                                <w:rFonts w:cs="Arial"/>
                                <w:b/>
                                <w:i/>
                                <w:color w:val="4F81BD" w:themeColor="accent1"/>
                                <w:szCs w:val="22"/>
                                <w:lang w:val="sl-SI"/>
                              </w:rPr>
                              <w:t xml:space="preserve"> za ukrepe </w:t>
                            </w:r>
                            <w:r>
                              <w:rPr>
                                <w:rFonts w:cs="Arial"/>
                                <w:b/>
                                <w:i/>
                                <w:color w:val="4F81BD" w:themeColor="accent1"/>
                                <w:szCs w:val="22"/>
                                <w:lang w:val="sl-SI"/>
                              </w:rPr>
                              <w:t xml:space="preserve">URE in rabe OVE </w:t>
                            </w:r>
                            <w:r w:rsidRPr="00920C53">
                              <w:rPr>
                                <w:rFonts w:cs="Arial"/>
                                <w:b/>
                                <w:i/>
                                <w:color w:val="4F81BD" w:themeColor="accent1"/>
                                <w:szCs w:val="22"/>
                                <w:lang w:val="sl-SI"/>
                              </w:rPr>
                              <w:t>za energetsko revne</w:t>
                            </w:r>
                            <w:r w:rsidRPr="00920C53">
                              <w:rPr>
                                <w:rFonts w:cs="Arial"/>
                                <w:color w:val="4F81BD" w:themeColor="accent1"/>
                                <w:szCs w:val="22"/>
                                <w:lang w:val="sl-SI"/>
                              </w:rPr>
                              <w:t xml:space="preserve">, ki </w:t>
                            </w:r>
                            <w:r>
                              <w:rPr>
                                <w:rFonts w:cs="Arial"/>
                                <w:color w:val="4F81BD" w:themeColor="accent1"/>
                                <w:szCs w:val="22"/>
                                <w:lang w:val="sl-SI"/>
                              </w:rPr>
                              <w:t>so</w:t>
                            </w:r>
                            <w:r w:rsidRPr="00920C53">
                              <w:rPr>
                                <w:rFonts w:cs="Arial"/>
                                <w:color w:val="4F81BD" w:themeColor="accent1"/>
                                <w:szCs w:val="22"/>
                                <w:lang w:val="sl-SI"/>
                              </w:rPr>
                              <w:t xml:space="preserve"> osrednji finančni ukrep</w:t>
                            </w:r>
                            <w:r>
                              <w:rPr>
                                <w:rFonts w:cs="Arial"/>
                                <w:color w:val="4F81BD" w:themeColor="accent1"/>
                                <w:szCs w:val="22"/>
                                <w:lang w:val="sl-SI"/>
                              </w:rPr>
                              <w:t>i</w:t>
                            </w:r>
                            <w:r w:rsidRPr="00920C53">
                              <w:rPr>
                                <w:rFonts w:cs="Arial"/>
                                <w:color w:val="4F81BD" w:themeColor="accent1"/>
                                <w:szCs w:val="22"/>
                                <w:lang w:val="sl-SI"/>
                              </w:rPr>
                              <w:t xml:space="preserve"> za zmanjševanje energetske revščine</w:t>
                            </w:r>
                            <w:r>
                              <w:rPr>
                                <w:rFonts w:cs="Arial"/>
                                <w:color w:val="4F81BD" w:themeColor="accent1"/>
                                <w:szCs w:val="22"/>
                                <w:lang w:val="sl-SI"/>
                              </w:rPr>
                              <w:t>;</w:t>
                            </w:r>
                          </w:p>
                          <w:p w14:paraId="54BFCB24" w14:textId="715A1333" w:rsidR="008140B0" w:rsidRDefault="008140B0" w:rsidP="001E304B">
                            <w:pPr>
                              <w:pStyle w:val="Odstavekseznama"/>
                              <w:numPr>
                                <w:ilvl w:val="0"/>
                                <w:numId w:val="29"/>
                              </w:numPr>
                              <w:spacing w:after="120"/>
                              <w:ind w:left="714" w:right="301" w:hanging="357"/>
                              <w:jc w:val="both"/>
                              <w:rPr>
                                <w:rFonts w:cs="Arial"/>
                                <w:color w:val="4F81BD" w:themeColor="accent1"/>
                                <w:szCs w:val="22"/>
                                <w:lang w:val="sl-SI"/>
                              </w:rPr>
                            </w:pPr>
                            <w:r>
                              <w:rPr>
                                <w:rFonts w:cs="Arial"/>
                                <w:b/>
                                <w:bCs/>
                                <w:i/>
                                <w:color w:val="4F81BD" w:themeColor="accent1"/>
                                <w:szCs w:val="22"/>
                                <w:lang w:val="sl-SI"/>
                              </w:rPr>
                              <w:t>e</w:t>
                            </w:r>
                            <w:r w:rsidRPr="00920C53">
                              <w:rPr>
                                <w:rFonts w:cs="Arial"/>
                                <w:b/>
                                <w:bCs/>
                                <w:i/>
                                <w:color w:val="4F81BD" w:themeColor="accent1"/>
                                <w:szCs w:val="22"/>
                                <w:lang w:val="sl-SI"/>
                              </w:rPr>
                              <w:t xml:space="preserve">nergetsko svetovanje </w:t>
                            </w:r>
                            <w:r w:rsidRPr="00920C53">
                              <w:rPr>
                                <w:rFonts w:cs="Arial"/>
                                <w:b/>
                                <w:i/>
                                <w:color w:val="4F81BD" w:themeColor="accent1"/>
                                <w:szCs w:val="22"/>
                                <w:lang w:val="sl-SI"/>
                              </w:rPr>
                              <w:t>za energetsko revne</w:t>
                            </w:r>
                            <w:r w:rsidRPr="00E414E0">
                              <w:rPr>
                                <w:rFonts w:cs="Arial"/>
                                <w:color w:val="4F81BD" w:themeColor="accent1"/>
                                <w:szCs w:val="22"/>
                                <w:lang w:val="sl-SI"/>
                              </w:rPr>
                              <w:t xml:space="preserve">, </w:t>
                            </w:r>
                            <w:r>
                              <w:rPr>
                                <w:rFonts w:cs="Arial"/>
                                <w:color w:val="4F81BD" w:themeColor="accent1"/>
                                <w:szCs w:val="22"/>
                                <w:lang w:val="sl-SI"/>
                              </w:rPr>
                              <w:t>kjer gre za celostno podporo tej ciljni skupini pri izvedbi ukrepov URE in rabe OVE, in sicer tudi za reševanje težav, ki niso nujno tehnične narave;</w:t>
                            </w:r>
                          </w:p>
                          <w:p w14:paraId="5DA20B0E" w14:textId="0C5865A7" w:rsidR="008140B0" w:rsidRPr="00D8509D" w:rsidRDefault="008140B0" w:rsidP="001E304B">
                            <w:pPr>
                              <w:pStyle w:val="Odstavekseznama"/>
                              <w:numPr>
                                <w:ilvl w:val="0"/>
                                <w:numId w:val="29"/>
                              </w:numPr>
                              <w:spacing w:after="120"/>
                              <w:ind w:left="714" w:right="301" w:hanging="357"/>
                              <w:jc w:val="both"/>
                              <w:rPr>
                                <w:rFonts w:cs="Arial"/>
                                <w:color w:val="4F81BD" w:themeColor="accent1"/>
                                <w:szCs w:val="22"/>
                                <w:lang w:val="sl-SI"/>
                              </w:rPr>
                            </w:pPr>
                            <w:r>
                              <w:rPr>
                                <w:rFonts w:cs="Arial"/>
                                <w:bCs/>
                                <w:color w:val="4F81BD" w:themeColor="accent1"/>
                                <w:szCs w:val="22"/>
                                <w:lang w:val="sl-SI"/>
                              </w:rPr>
                              <w:t>i</w:t>
                            </w:r>
                            <w:r w:rsidRPr="00E414E0">
                              <w:rPr>
                                <w:rFonts w:cs="Arial"/>
                                <w:bCs/>
                                <w:color w:val="4F81BD" w:themeColor="accent1"/>
                                <w:szCs w:val="22"/>
                                <w:lang w:val="sl-SI"/>
                              </w:rPr>
                              <w:t xml:space="preserve">nformiranje energetsko revnih prek akterjev v </w:t>
                            </w:r>
                            <w:r>
                              <w:rPr>
                                <w:rFonts w:cs="Arial"/>
                                <w:b/>
                                <w:bCs/>
                                <w:i/>
                                <w:color w:val="4F81BD" w:themeColor="accent1"/>
                                <w:szCs w:val="22"/>
                                <w:lang w:val="sl-SI"/>
                              </w:rPr>
                              <w:t>neformalni mreži za informiranje in ozaveščanje na regionalni ravni</w:t>
                            </w:r>
                            <w:r>
                              <w:rPr>
                                <w:rFonts w:cs="Arial"/>
                                <w:bCs/>
                                <w:color w:val="4F81BD" w:themeColor="accent1"/>
                                <w:szCs w:val="22"/>
                                <w:lang w:val="sl-SI"/>
                              </w:rPr>
                              <w:t>;</w:t>
                            </w:r>
                          </w:p>
                          <w:p w14:paraId="64B8D8FE" w14:textId="7825F4E5" w:rsidR="008140B0" w:rsidRPr="00D8509D" w:rsidRDefault="008140B0" w:rsidP="001E304B">
                            <w:pPr>
                              <w:pStyle w:val="Odstavekseznama"/>
                              <w:numPr>
                                <w:ilvl w:val="0"/>
                                <w:numId w:val="29"/>
                              </w:numPr>
                              <w:spacing w:after="120"/>
                              <w:ind w:left="714" w:right="301" w:hanging="357"/>
                              <w:jc w:val="both"/>
                              <w:rPr>
                                <w:rFonts w:cs="Arial"/>
                                <w:color w:val="4F81BD" w:themeColor="accent1"/>
                                <w:szCs w:val="22"/>
                                <w:lang w:val="sl-SI"/>
                              </w:rPr>
                            </w:pPr>
                            <w:r w:rsidRPr="00D8509D">
                              <w:rPr>
                                <w:rFonts w:cs="Arial"/>
                                <w:b/>
                                <w:bCs/>
                                <w:i/>
                                <w:color w:val="4F81BD" w:themeColor="accent1"/>
                                <w:szCs w:val="22"/>
                                <w:lang w:val="sl-SI"/>
                              </w:rPr>
                              <w:t xml:space="preserve">projektna pisarna z </w:t>
                            </w:r>
                            <w:r>
                              <w:rPr>
                                <w:rFonts w:cs="Arial"/>
                                <w:b/>
                                <w:bCs/>
                                <w:i/>
                                <w:color w:val="4F81BD" w:themeColor="accent1"/>
                                <w:szCs w:val="22"/>
                                <w:lang w:val="sl-SI"/>
                              </w:rPr>
                              <w:t>regionalnimi</w:t>
                            </w:r>
                            <w:r w:rsidRPr="00D8509D">
                              <w:rPr>
                                <w:rFonts w:cs="Arial"/>
                                <w:b/>
                                <w:bCs/>
                                <w:i/>
                                <w:color w:val="4F81BD" w:themeColor="accent1"/>
                                <w:szCs w:val="22"/>
                                <w:lang w:val="sl-SI"/>
                              </w:rPr>
                              <w:t xml:space="preserve"> svetovaln</w:t>
                            </w:r>
                            <w:r>
                              <w:rPr>
                                <w:rFonts w:cs="Arial"/>
                                <w:b/>
                                <w:bCs/>
                                <w:i/>
                                <w:color w:val="4F81BD" w:themeColor="accent1"/>
                                <w:szCs w:val="22"/>
                                <w:lang w:val="sl-SI"/>
                              </w:rPr>
                              <w:t>imi</w:t>
                            </w:r>
                            <w:r w:rsidRPr="00D8509D">
                              <w:rPr>
                                <w:rFonts w:cs="Arial"/>
                                <w:b/>
                                <w:bCs/>
                                <w:i/>
                                <w:color w:val="4F81BD" w:themeColor="accent1"/>
                                <w:szCs w:val="22"/>
                                <w:lang w:val="sl-SI"/>
                              </w:rPr>
                              <w:t xml:space="preserve"> </w:t>
                            </w:r>
                            <w:r w:rsidRPr="00FF207E">
                              <w:rPr>
                                <w:rFonts w:cs="Arial"/>
                                <w:b/>
                                <w:bCs/>
                                <w:i/>
                                <w:color w:val="4F81BD" w:themeColor="accent1"/>
                                <w:szCs w:val="22"/>
                                <w:lang w:val="sl-SI"/>
                              </w:rPr>
                              <w:t xml:space="preserve">točkami </w:t>
                            </w:r>
                            <w:r w:rsidRPr="00FF207E">
                              <w:rPr>
                                <w:rFonts w:cs="Arial"/>
                                <w:b/>
                                <w:i/>
                                <w:color w:val="4F81BD" w:themeColor="accent1"/>
                                <w:szCs w:val="22"/>
                                <w:lang w:val="sl-SI"/>
                              </w:rPr>
                              <w:t xml:space="preserve">za </w:t>
                            </w:r>
                            <w:r w:rsidR="00957A06" w:rsidRPr="00FF207E">
                              <w:rPr>
                                <w:rFonts w:cs="Arial"/>
                                <w:b/>
                                <w:i/>
                                <w:color w:val="4F81BD" w:themeColor="accent1"/>
                                <w:szCs w:val="22"/>
                                <w:lang w:val="sl-SI"/>
                              </w:rPr>
                              <w:t>blaženje</w:t>
                            </w:r>
                            <w:r w:rsidR="00957A06">
                              <w:rPr>
                                <w:rFonts w:cs="Arial"/>
                                <w:b/>
                                <w:i/>
                                <w:color w:val="4F81BD" w:themeColor="accent1"/>
                                <w:szCs w:val="22"/>
                                <w:lang w:val="sl-SI"/>
                              </w:rPr>
                              <w:t xml:space="preserve"> </w:t>
                            </w:r>
                            <w:r w:rsidRPr="00D8509D">
                              <w:rPr>
                                <w:rFonts w:cs="Arial"/>
                                <w:b/>
                                <w:i/>
                                <w:color w:val="4F81BD" w:themeColor="accent1"/>
                                <w:szCs w:val="22"/>
                                <w:lang w:val="sl-SI"/>
                              </w:rPr>
                              <w:t>energetsk</w:t>
                            </w:r>
                            <w:r w:rsidR="00957A06">
                              <w:rPr>
                                <w:rFonts w:cs="Arial"/>
                                <w:b/>
                                <w:i/>
                                <w:color w:val="4F81BD" w:themeColor="accent1"/>
                                <w:szCs w:val="22"/>
                                <w:lang w:val="sl-SI"/>
                              </w:rPr>
                              <w:t>e</w:t>
                            </w:r>
                            <w:r w:rsidRPr="00D8509D">
                              <w:rPr>
                                <w:rFonts w:cs="Arial"/>
                                <w:b/>
                                <w:i/>
                                <w:color w:val="4F81BD" w:themeColor="accent1"/>
                                <w:szCs w:val="22"/>
                                <w:lang w:val="sl-SI"/>
                              </w:rPr>
                              <w:t xml:space="preserve"> revščin</w:t>
                            </w:r>
                            <w:r w:rsidR="00957A06">
                              <w:rPr>
                                <w:rFonts w:cs="Arial"/>
                                <w:b/>
                                <w:i/>
                                <w:color w:val="4F81BD" w:themeColor="accent1"/>
                                <w:szCs w:val="22"/>
                                <w:lang w:val="sl-SI"/>
                              </w:rPr>
                              <w:t>e</w:t>
                            </w:r>
                            <w:r w:rsidRPr="00D8509D">
                              <w:rPr>
                                <w:rFonts w:cs="Arial"/>
                                <w:color w:val="4F81BD" w:themeColor="accent1"/>
                                <w:szCs w:val="22"/>
                                <w:lang w:val="sl-SI"/>
                              </w:rPr>
                              <w:t>, ki zagotavlja celostno multidisciplinarno pomoč (tehnična, socialna in osebna pomoč) za energetsko revne na enem mestu.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79DB652" id="Rectangle: Rounded Corners 2" o:spid="_x0000_s1027" style="width:453.6pt;height:272.4pt;visibility:visible;mso-wrap-style:square;mso-left-percent:-10001;mso-top-percent:-10001;mso-position-horizontal:absolute;mso-position-horizontal-relative:char;mso-position-vertical:absolute;mso-position-vertical-relative:line;mso-left-percent:-10001;mso-top-percent:-10001;v-text-anchor:top" arcsize="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" fillcolor="#dbe5f1 [660]" strokecolor="#4f81bd [3204]" strokeweight="2pt">
                <v:textbox>
                  <w:txbxContent>
                    <w:p w14:paraId="2937574B" w14:textId="66604A82" w:rsidR="008140B0" w:rsidRPr="00683FA5" w:rsidRDefault="008140B0" w:rsidP="003D4C66">
                      <w:pPr>
                        <w:spacing w:after="120"/>
                        <w:ind w:left="340" w:right="301" w:hanging="340"/>
                        <w:rPr>
                          <w:rFonts w:cs="Arial"/>
                          <w:b/>
                          <w:smallCaps/>
                          <w:color w:val="4F81BD" w:themeColor="accent1"/>
                          <w:lang w:val="sl-SI"/>
                        </w:rPr>
                      </w:pPr>
                      <w:r>
                        <w:rPr>
                          <w:rFonts w:cs="Arial"/>
                          <w:b/>
                          <w:smallCaps/>
                          <w:color w:val="4F81BD" w:themeColor="accent1"/>
                          <w:lang w:val="sl-SI"/>
                        </w:rPr>
                        <w:t>Shema za zmanjševanje energetske revščine</w:t>
                      </w:r>
                    </w:p>
                    <w:p w14:paraId="4B1C9C81" w14:textId="6B7BEC4D" w:rsidR="008140B0" w:rsidRDefault="008140B0" w:rsidP="001E304B">
                      <w:pPr>
                        <w:spacing w:after="120"/>
                        <w:ind w:right="301"/>
                        <w:jc w:val="both"/>
                        <w:rPr>
                          <w:rFonts w:cs="Arial"/>
                          <w:color w:val="4F81BD" w:themeColor="accent1"/>
                          <w:szCs w:val="22"/>
                          <w:lang w:val="sl-SI"/>
                        </w:rPr>
                      </w:pPr>
                      <w:r w:rsidRPr="0098567A">
                        <w:rPr>
                          <w:rFonts w:cs="Arial"/>
                          <w:color w:val="4F81BD" w:themeColor="accent1"/>
                          <w:szCs w:val="22"/>
                          <w:lang w:val="sl-SI"/>
                        </w:rPr>
                        <w:t xml:space="preserve">Shema za zmanjševanje energetske revščine </w:t>
                      </w:r>
                      <w:r>
                        <w:rPr>
                          <w:rFonts w:cs="Arial"/>
                          <w:color w:val="4F81BD" w:themeColor="accent1"/>
                          <w:szCs w:val="22"/>
                          <w:lang w:val="sl-SI"/>
                        </w:rPr>
                        <w:t>zajema</w:t>
                      </w:r>
                      <w:r w:rsidRPr="0098567A">
                        <w:rPr>
                          <w:rFonts w:cs="Arial"/>
                          <w:color w:val="4F81BD" w:themeColor="accent1"/>
                          <w:szCs w:val="22"/>
                          <w:lang w:val="sl-SI"/>
                        </w:rPr>
                        <w:t xml:space="preserve"> </w:t>
                      </w:r>
                      <w:r w:rsidRPr="0098567A">
                        <w:rPr>
                          <w:rFonts w:cs="Arial"/>
                          <w:b/>
                          <w:color w:val="4F81BD" w:themeColor="accent1"/>
                          <w:szCs w:val="22"/>
                          <w:lang w:val="sl-SI"/>
                        </w:rPr>
                        <w:t>ključni sklop ukrepov za zmanjševanje energetske revščine</w:t>
                      </w:r>
                      <w:r w:rsidRPr="0098567A">
                        <w:rPr>
                          <w:rFonts w:cs="Arial"/>
                          <w:color w:val="4F81BD" w:themeColor="accent1"/>
                          <w:szCs w:val="22"/>
                          <w:lang w:val="sl-SI"/>
                        </w:rPr>
                        <w:t>, ki se izvajajo sočasno in se medsebojno podpirajo, saj lahko na sistemski ravni le tako dolgoročno zagotovijo celost</w:t>
                      </w:r>
                      <w:r>
                        <w:rPr>
                          <w:rFonts w:cs="Arial"/>
                          <w:color w:val="4F81BD" w:themeColor="accent1"/>
                          <w:szCs w:val="22"/>
                          <w:lang w:val="sl-SI"/>
                        </w:rPr>
                        <w:t>no</w:t>
                      </w:r>
                      <w:r w:rsidRPr="0098567A">
                        <w:rPr>
                          <w:rFonts w:cs="Arial"/>
                          <w:color w:val="4F81BD" w:themeColor="accent1"/>
                          <w:szCs w:val="22"/>
                          <w:lang w:val="sl-SI"/>
                        </w:rPr>
                        <w:t xml:space="preserve">  zmanjševanj</w:t>
                      </w:r>
                      <w:r>
                        <w:rPr>
                          <w:rFonts w:cs="Arial"/>
                          <w:color w:val="4F81BD" w:themeColor="accent1"/>
                          <w:szCs w:val="22"/>
                          <w:lang w:val="sl-SI"/>
                        </w:rPr>
                        <w:t>e</w:t>
                      </w:r>
                      <w:r w:rsidRPr="0098567A">
                        <w:rPr>
                          <w:rFonts w:cs="Arial"/>
                          <w:color w:val="4F81BD" w:themeColor="accent1"/>
                          <w:szCs w:val="22"/>
                          <w:lang w:val="sl-SI"/>
                        </w:rPr>
                        <w:t xml:space="preserve"> energetske revščine. Gradi na že obstoječih ukrepih (</w:t>
                      </w:r>
                      <w:r>
                        <w:rPr>
                          <w:rFonts w:cs="Arial"/>
                          <w:color w:val="4F81BD" w:themeColor="accent1"/>
                          <w:szCs w:val="22"/>
                          <w:lang w:val="sl-SI"/>
                        </w:rPr>
                        <w:t>na primer</w:t>
                      </w:r>
                      <w:r w:rsidRPr="0098567A">
                        <w:rPr>
                          <w:rFonts w:cs="Arial"/>
                          <w:color w:val="4F81BD" w:themeColor="accent1"/>
                          <w:szCs w:val="22"/>
                          <w:lang w:val="sl-SI"/>
                        </w:rPr>
                        <w:t xml:space="preserve"> program ZERO500, projekt ZERO</w:t>
                      </w:r>
                      <w:r>
                        <w:rPr>
                          <w:rFonts w:cs="Arial"/>
                          <w:color w:val="4F81BD" w:themeColor="accent1"/>
                          <w:szCs w:val="22"/>
                          <w:lang w:val="sl-SI"/>
                        </w:rPr>
                        <w:t xml:space="preserve"> in tako dalje</w:t>
                      </w:r>
                      <w:r w:rsidRPr="0098567A">
                        <w:rPr>
                          <w:rFonts w:cs="Arial"/>
                          <w:color w:val="4F81BD" w:themeColor="accent1"/>
                          <w:szCs w:val="22"/>
                          <w:lang w:val="sl-SI"/>
                        </w:rPr>
                        <w:t>) in do</w:t>
                      </w:r>
                      <w:r>
                        <w:rPr>
                          <w:rFonts w:cs="Arial"/>
                          <w:color w:val="4F81BD" w:themeColor="accent1"/>
                          <w:szCs w:val="22"/>
                          <w:lang w:val="sl-SI"/>
                        </w:rPr>
                        <w:t>zdajšnjih</w:t>
                      </w:r>
                      <w:r w:rsidRPr="0098567A">
                        <w:rPr>
                          <w:rFonts w:cs="Arial"/>
                          <w:color w:val="4F81BD" w:themeColor="accent1"/>
                          <w:szCs w:val="22"/>
                          <w:lang w:val="sl-SI"/>
                        </w:rPr>
                        <w:t xml:space="preserve"> izkušnjah.</w:t>
                      </w:r>
                      <w:r>
                        <w:rPr>
                          <w:rFonts w:cs="Arial"/>
                          <w:color w:val="4F81BD" w:themeColor="accent1"/>
                          <w:szCs w:val="22"/>
                          <w:lang w:val="sl-SI"/>
                        </w:rPr>
                        <w:t xml:space="preserve"> Vanjo so vključeni ukrepi:</w:t>
                      </w:r>
                    </w:p>
                    <w:p w14:paraId="7D3E2935" w14:textId="0C2541C2" w:rsidR="008140B0" w:rsidRDefault="008140B0" w:rsidP="001E304B">
                      <w:pPr>
                        <w:pStyle w:val="Odstavekseznama"/>
                        <w:numPr>
                          <w:ilvl w:val="0"/>
                          <w:numId w:val="29"/>
                        </w:numPr>
                        <w:spacing w:after="240"/>
                        <w:ind w:right="301"/>
                        <w:jc w:val="both"/>
                        <w:rPr>
                          <w:rFonts w:cs="Arial"/>
                          <w:color w:val="4F81BD" w:themeColor="accent1"/>
                          <w:szCs w:val="22"/>
                          <w:lang w:val="sl-SI"/>
                        </w:rPr>
                      </w:pPr>
                      <w:r>
                        <w:rPr>
                          <w:rFonts w:cs="Arial"/>
                          <w:b/>
                          <w:i/>
                          <w:color w:val="4F81BD" w:themeColor="accent1"/>
                          <w:szCs w:val="22"/>
                          <w:lang w:val="sl-SI"/>
                        </w:rPr>
                        <w:t>i</w:t>
                      </w:r>
                      <w:r w:rsidRPr="00920C53">
                        <w:rPr>
                          <w:rFonts w:cs="Arial"/>
                          <w:b/>
                          <w:i/>
                          <w:color w:val="4F81BD" w:themeColor="accent1"/>
                          <w:szCs w:val="22"/>
                          <w:lang w:val="sl-SI"/>
                        </w:rPr>
                        <w:t>nvesticijsk</w:t>
                      </w:r>
                      <w:r>
                        <w:rPr>
                          <w:rFonts w:cs="Arial"/>
                          <w:b/>
                          <w:i/>
                          <w:color w:val="4F81BD" w:themeColor="accent1"/>
                          <w:szCs w:val="22"/>
                          <w:lang w:val="sl-SI"/>
                        </w:rPr>
                        <w:t>e</w:t>
                      </w:r>
                      <w:r w:rsidRPr="00920C53">
                        <w:rPr>
                          <w:rFonts w:cs="Arial"/>
                          <w:b/>
                          <w:i/>
                          <w:color w:val="4F81BD" w:themeColor="accent1"/>
                          <w:szCs w:val="22"/>
                          <w:lang w:val="sl-SI"/>
                        </w:rPr>
                        <w:t xml:space="preserve"> spodbud</w:t>
                      </w:r>
                      <w:r>
                        <w:rPr>
                          <w:rFonts w:cs="Arial"/>
                          <w:b/>
                          <w:i/>
                          <w:color w:val="4F81BD" w:themeColor="accent1"/>
                          <w:szCs w:val="22"/>
                          <w:lang w:val="sl-SI"/>
                        </w:rPr>
                        <w:t>e</w:t>
                      </w:r>
                      <w:r w:rsidRPr="00920C53">
                        <w:rPr>
                          <w:rFonts w:cs="Arial"/>
                          <w:b/>
                          <w:i/>
                          <w:color w:val="4F81BD" w:themeColor="accent1"/>
                          <w:szCs w:val="22"/>
                          <w:lang w:val="sl-SI"/>
                        </w:rPr>
                        <w:t xml:space="preserve"> za ukrepe </w:t>
                      </w:r>
                      <w:r>
                        <w:rPr>
                          <w:rFonts w:cs="Arial"/>
                          <w:b/>
                          <w:i/>
                          <w:color w:val="4F81BD" w:themeColor="accent1"/>
                          <w:szCs w:val="22"/>
                          <w:lang w:val="sl-SI"/>
                        </w:rPr>
                        <w:t xml:space="preserve">URE in rabe OVE </w:t>
                      </w:r>
                      <w:r w:rsidRPr="00920C53">
                        <w:rPr>
                          <w:rFonts w:cs="Arial"/>
                          <w:b/>
                          <w:i/>
                          <w:color w:val="4F81BD" w:themeColor="accent1"/>
                          <w:szCs w:val="22"/>
                          <w:lang w:val="sl-SI"/>
                        </w:rPr>
                        <w:t>za energetsko revne</w:t>
                      </w:r>
                      <w:r w:rsidRPr="00920C53">
                        <w:rPr>
                          <w:rFonts w:cs="Arial"/>
                          <w:color w:val="4F81BD" w:themeColor="accent1"/>
                          <w:szCs w:val="22"/>
                          <w:lang w:val="sl-SI"/>
                        </w:rPr>
                        <w:t xml:space="preserve">, ki </w:t>
                      </w:r>
                      <w:r>
                        <w:rPr>
                          <w:rFonts w:cs="Arial"/>
                          <w:color w:val="4F81BD" w:themeColor="accent1"/>
                          <w:szCs w:val="22"/>
                          <w:lang w:val="sl-SI"/>
                        </w:rPr>
                        <w:t>so</w:t>
                      </w:r>
                      <w:r w:rsidRPr="00920C53">
                        <w:rPr>
                          <w:rFonts w:cs="Arial"/>
                          <w:color w:val="4F81BD" w:themeColor="accent1"/>
                          <w:szCs w:val="22"/>
                          <w:lang w:val="sl-SI"/>
                        </w:rPr>
                        <w:t xml:space="preserve"> osrednji finančni ukrep</w:t>
                      </w:r>
                      <w:r>
                        <w:rPr>
                          <w:rFonts w:cs="Arial"/>
                          <w:color w:val="4F81BD" w:themeColor="accent1"/>
                          <w:szCs w:val="22"/>
                          <w:lang w:val="sl-SI"/>
                        </w:rPr>
                        <w:t>i</w:t>
                      </w:r>
                      <w:r w:rsidRPr="00920C53">
                        <w:rPr>
                          <w:rFonts w:cs="Arial"/>
                          <w:color w:val="4F81BD" w:themeColor="accent1"/>
                          <w:szCs w:val="22"/>
                          <w:lang w:val="sl-SI"/>
                        </w:rPr>
                        <w:t xml:space="preserve"> za zmanjševanje energetske revščine</w:t>
                      </w:r>
                      <w:r>
                        <w:rPr>
                          <w:rFonts w:cs="Arial"/>
                          <w:color w:val="4F81BD" w:themeColor="accent1"/>
                          <w:szCs w:val="22"/>
                          <w:lang w:val="sl-SI"/>
                        </w:rPr>
                        <w:t>;</w:t>
                      </w:r>
                    </w:p>
                    <w:p w14:paraId="54BFCB24" w14:textId="715A1333" w:rsidR="008140B0" w:rsidRDefault="008140B0" w:rsidP="001E304B">
                      <w:pPr>
                        <w:pStyle w:val="Odstavekseznama"/>
                        <w:numPr>
                          <w:ilvl w:val="0"/>
                          <w:numId w:val="29"/>
                        </w:numPr>
                        <w:spacing w:after="120"/>
                        <w:ind w:left="714" w:right="301" w:hanging="357"/>
                        <w:jc w:val="both"/>
                        <w:rPr>
                          <w:rFonts w:cs="Arial"/>
                          <w:color w:val="4F81BD" w:themeColor="accent1"/>
                          <w:szCs w:val="22"/>
                          <w:lang w:val="sl-SI"/>
                        </w:rPr>
                      </w:pPr>
                      <w:r>
                        <w:rPr>
                          <w:rFonts w:cs="Arial"/>
                          <w:b/>
                          <w:bCs/>
                          <w:i/>
                          <w:color w:val="4F81BD" w:themeColor="accent1"/>
                          <w:szCs w:val="22"/>
                          <w:lang w:val="sl-SI"/>
                        </w:rPr>
                        <w:t>e</w:t>
                      </w:r>
                      <w:r w:rsidRPr="00920C53">
                        <w:rPr>
                          <w:rFonts w:cs="Arial"/>
                          <w:b/>
                          <w:bCs/>
                          <w:i/>
                          <w:color w:val="4F81BD" w:themeColor="accent1"/>
                          <w:szCs w:val="22"/>
                          <w:lang w:val="sl-SI"/>
                        </w:rPr>
                        <w:t xml:space="preserve">nergetsko svetovanje </w:t>
                      </w:r>
                      <w:r w:rsidRPr="00920C53">
                        <w:rPr>
                          <w:rFonts w:cs="Arial"/>
                          <w:b/>
                          <w:i/>
                          <w:color w:val="4F81BD" w:themeColor="accent1"/>
                          <w:szCs w:val="22"/>
                          <w:lang w:val="sl-SI"/>
                        </w:rPr>
                        <w:t>za energetsko revne</w:t>
                      </w:r>
                      <w:r w:rsidRPr="00E414E0">
                        <w:rPr>
                          <w:rFonts w:cs="Arial"/>
                          <w:color w:val="4F81BD" w:themeColor="accent1"/>
                          <w:szCs w:val="22"/>
                          <w:lang w:val="sl-SI"/>
                        </w:rPr>
                        <w:t xml:space="preserve">, </w:t>
                      </w:r>
                      <w:r>
                        <w:rPr>
                          <w:rFonts w:cs="Arial"/>
                          <w:color w:val="4F81BD" w:themeColor="accent1"/>
                          <w:szCs w:val="22"/>
                          <w:lang w:val="sl-SI"/>
                        </w:rPr>
                        <w:t>kjer gre za celostno podporo tej ciljni skupini pri izvedbi ukrepov URE in rabe OVE, in sicer tudi za reševanje težav, ki niso nujno tehnične narave;</w:t>
                      </w:r>
                    </w:p>
                    <w:p w14:paraId="5DA20B0E" w14:textId="0C5865A7" w:rsidR="008140B0" w:rsidRPr="00D8509D" w:rsidRDefault="008140B0" w:rsidP="001E304B">
                      <w:pPr>
                        <w:pStyle w:val="Odstavekseznama"/>
                        <w:numPr>
                          <w:ilvl w:val="0"/>
                          <w:numId w:val="29"/>
                        </w:numPr>
                        <w:spacing w:after="120"/>
                        <w:ind w:left="714" w:right="301" w:hanging="357"/>
                        <w:jc w:val="both"/>
                        <w:rPr>
                          <w:rFonts w:cs="Arial"/>
                          <w:color w:val="4F81BD" w:themeColor="accent1"/>
                          <w:szCs w:val="22"/>
                          <w:lang w:val="sl-SI"/>
                        </w:rPr>
                      </w:pPr>
                      <w:r>
                        <w:rPr>
                          <w:rFonts w:cs="Arial"/>
                          <w:bCs/>
                          <w:color w:val="4F81BD" w:themeColor="accent1"/>
                          <w:szCs w:val="22"/>
                          <w:lang w:val="sl-SI"/>
                        </w:rPr>
                        <w:t>i</w:t>
                      </w:r>
                      <w:r w:rsidRPr="00E414E0">
                        <w:rPr>
                          <w:rFonts w:cs="Arial"/>
                          <w:bCs/>
                          <w:color w:val="4F81BD" w:themeColor="accent1"/>
                          <w:szCs w:val="22"/>
                          <w:lang w:val="sl-SI"/>
                        </w:rPr>
                        <w:t xml:space="preserve">nformiranje energetsko revnih prek akterjev v </w:t>
                      </w:r>
                      <w:r>
                        <w:rPr>
                          <w:rFonts w:cs="Arial"/>
                          <w:b/>
                          <w:bCs/>
                          <w:i/>
                          <w:color w:val="4F81BD" w:themeColor="accent1"/>
                          <w:szCs w:val="22"/>
                          <w:lang w:val="sl-SI"/>
                        </w:rPr>
                        <w:t>neformalni mreži za informiranje in ozaveščanje na regionalni ravni</w:t>
                      </w:r>
                      <w:r>
                        <w:rPr>
                          <w:rFonts w:cs="Arial"/>
                          <w:bCs/>
                          <w:color w:val="4F81BD" w:themeColor="accent1"/>
                          <w:szCs w:val="22"/>
                          <w:lang w:val="sl-SI"/>
                        </w:rPr>
                        <w:t>;</w:t>
                      </w:r>
                    </w:p>
                    <w:p w14:paraId="64B8D8FE" w14:textId="7825F4E5" w:rsidR="008140B0" w:rsidRPr="00D8509D" w:rsidRDefault="008140B0" w:rsidP="001E304B">
                      <w:pPr>
                        <w:pStyle w:val="Odstavekseznama"/>
                        <w:numPr>
                          <w:ilvl w:val="0"/>
                          <w:numId w:val="29"/>
                        </w:numPr>
                        <w:spacing w:after="120"/>
                        <w:ind w:left="714" w:right="301" w:hanging="357"/>
                        <w:jc w:val="both"/>
                        <w:rPr>
                          <w:rFonts w:cs="Arial"/>
                          <w:color w:val="4F81BD" w:themeColor="accent1"/>
                          <w:szCs w:val="22"/>
                          <w:lang w:val="sl-SI"/>
                        </w:rPr>
                      </w:pPr>
                      <w:r w:rsidRPr="00D8509D">
                        <w:rPr>
                          <w:rFonts w:cs="Arial"/>
                          <w:b/>
                          <w:bCs/>
                          <w:i/>
                          <w:color w:val="4F81BD" w:themeColor="accent1"/>
                          <w:szCs w:val="22"/>
                          <w:lang w:val="sl-SI"/>
                        </w:rPr>
                        <w:t xml:space="preserve">projektna pisarna z </w:t>
                      </w:r>
                      <w:r>
                        <w:rPr>
                          <w:rFonts w:cs="Arial"/>
                          <w:b/>
                          <w:bCs/>
                          <w:i/>
                          <w:color w:val="4F81BD" w:themeColor="accent1"/>
                          <w:szCs w:val="22"/>
                          <w:lang w:val="sl-SI"/>
                        </w:rPr>
                        <w:t>regionalnimi</w:t>
                      </w:r>
                      <w:r w:rsidRPr="00D8509D">
                        <w:rPr>
                          <w:rFonts w:cs="Arial"/>
                          <w:b/>
                          <w:bCs/>
                          <w:i/>
                          <w:color w:val="4F81BD" w:themeColor="accent1"/>
                          <w:szCs w:val="22"/>
                          <w:lang w:val="sl-SI"/>
                        </w:rPr>
                        <w:t xml:space="preserve"> svetovaln</w:t>
                      </w:r>
                      <w:r>
                        <w:rPr>
                          <w:rFonts w:cs="Arial"/>
                          <w:b/>
                          <w:bCs/>
                          <w:i/>
                          <w:color w:val="4F81BD" w:themeColor="accent1"/>
                          <w:szCs w:val="22"/>
                          <w:lang w:val="sl-SI"/>
                        </w:rPr>
                        <w:t>imi</w:t>
                      </w:r>
                      <w:r w:rsidRPr="00D8509D">
                        <w:rPr>
                          <w:rFonts w:cs="Arial"/>
                          <w:b/>
                          <w:bCs/>
                          <w:i/>
                          <w:color w:val="4F81BD" w:themeColor="accent1"/>
                          <w:szCs w:val="22"/>
                          <w:lang w:val="sl-SI"/>
                        </w:rPr>
                        <w:t xml:space="preserve"> </w:t>
                      </w:r>
                      <w:r w:rsidRPr="00FF207E">
                        <w:rPr>
                          <w:rFonts w:cs="Arial"/>
                          <w:b/>
                          <w:bCs/>
                          <w:i/>
                          <w:color w:val="4F81BD" w:themeColor="accent1"/>
                          <w:szCs w:val="22"/>
                          <w:lang w:val="sl-SI"/>
                        </w:rPr>
                        <w:t xml:space="preserve">točkami </w:t>
                      </w:r>
                      <w:r w:rsidRPr="00FF207E">
                        <w:rPr>
                          <w:rFonts w:cs="Arial"/>
                          <w:b/>
                          <w:i/>
                          <w:color w:val="4F81BD" w:themeColor="accent1"/>
                          <w:szCs w:val="22"/>
                          <w:lang w:val="sl-SI"/>
                        </w:rPr>
                        <w:t xml:space="preserve">za </w:t>
                      </w:r>
                      <w:r w:rsidR="00957A06" w:rsidRPr="00FF207E">
                        <w:rPr>
                          <w:rFonts w:cs="Arial"/>
                          <w:b/>
                          <w:i/>
                          <w:color w:val="4F81BD" w:themeColor="accent1"/>
                          <w:szCs w:val="22"/>
                          <w:lang w:val="sl-SI"/>
                        </w:rPr>
                        <w:t>blaženje</w:t>
                      </w:r>
                      <w:r w:rsidR="00957A06">
                        <w:rPr>
                          <w:rFonts w:cs="Arial"/>
                          <w:b/>
                          <w:i/>
                          <w:color w:val="4F81BD" w:themeColor="accent1"/>
                          <w:szCs w:val="22"/>
                          <w:lang w:val="sl-SI"/>
                        </w:rPr>
                        <w:t xml:space="preserve"> </w:t>
                      </w:r>
                      <w:r w:rsidRPr="00D8509D">
                        <w:rPr>
                          <w:rFonts w:cs="Arial"/>
                          <w:b/>
                          <w:i/>
                          <w:color w:val="4F81BD" w:themeColor="accent1"/>
                          <w:szCs w:val="22"/>
                          <w:lang w:val="sl-SI"/>
                        </w:rPr>
                        <w:t>energetsk</w:t>
                      </w:r>
                      <w:r w:rsidR="00957A06">
                        <w:rPr>
                          <w:rFonts w:cs="Arial"/>
                          <w:b/>
                          <w:i/>
                          <w:color w:val="4F81BD" w:themeColor="accent1"/>
                          <w:szCs w:val="22"/>
                          <w:lang w:val="sl-SI"/>
                        </w:rPr>
                        <w:t>e</w:t>
                      </w:r>
                      <w:r w:rsidRPr="00D8509D">
                        <w:rPr>
                          <w:rFonts w:cs="Arial"/>
                          <w:b/>
                          <w:i/>
                          <w:color w:val="4F81BD" w:themeColor="accent1"/>
                          <w:szCs w:val="22"/>
                          <w:lang w:val="sl-SI"/>
                        </w:rPr>
                        <w:t xml:space="preserve"> revščin</w:t>
                      </w:r>
                      <w:r w:rsidR="00957A06">
                        <w:rPr>
                          <w:rFonts w:cs="Arial"/>
                          <w:b/>
                          <w:i/>
                          <w:color w:val="4F81BD" w:themeColor="accent1"/>
                          <w:szCs w:val="22"/>
                          <w:lang w:val="sl-SI"/>
                        </w:rPr>
                        <w:t>e</w:t>
                      </w:r>
                      <w:r w:rsidRPr="00D8509D">
                        <w:rPr>
                          <w:rFonts w:cs="Arial"/>
                          <w:color w:val="4F81BD" w:themeColor="accent1"/>
                          <w:szCs w:val="22"/>
                          <w:lang w:val="sl-SI"/>
                        </w:rPr>
                        <w:t>, ki zagotavlja celostno multidisciplinarno pomoč (tehnična, socialna in osebna pomoč) za energetsko revne na enem mestu.</w:t>
                      </w:r>
                    </w:p>
                  </w:txbxContent>
                </v:textbox>
                <w10:anchorlock/>
              </v:roundrect>
            </w:pict>
          </mc:Fallback>
        </mc:AlternateContent>
      </w:r>
    </w:p>
    <w:p w14:paraId="605E9EB0" w14:textId="662B7242" w:rsidR="00AE6A69" w:rsidRPr="00FF207E" w:rsidRDefault="00656DAC" w:rsidP="001E304B">
      <w:pPr>
        <w:spacing w:after="120"/>
        <w:jc w:val="both"/>
        <w:rPr>
          <w:szCs w:val="22"/>
          <w:lang w:val="sl-SI"/>
        </w:rPr>
      </w:pPr>
      <w:r w:rsidRPr="00FF207E">
        <w:rPr>
          <w:b/>
          <w:bCs/>
          <w:color w:val="4F81BD" w:themeColor="accent1"/>
          <w:szCs w:val="22"/>
          <w:lang w:val="sl-SI"/>
        </w:rPr>
        <w:t xml:space="preserve">Časovni načrt </w:t>
      </w:r>
      <w:r w:rsidR="00AE6A69" w:rsidRPr="00FF207E">
        <w:rPr>
          <w:b/>
          <w:bCs/>
          <w:color w:val="4F81BD" w:themeColor="accent1"/>
          <w:szCs w:val="22"/>
          <w:lang w:val="sl-SI"/>
        </w:rPr>
        <w:t>izvajanja ukrepov iz akcijskega načrta.</w:t>
      </w:r>
      <w:r w:rsidR="00AE6A69" w:rsidRPr="00FF207E">
        <w:rPr>
          <w:szCs w:val="22"/>
          <w:lang w:val="sl-SI"/>
        </w:rPr>
        <w:t xml:space="preserve"> </w:t>
      </w:r>
      <w:r w:rsidR="00165426" w:rsidRPr="00FF207E">
        <w:rPr>
          <w:szCs w:val="22"/>
          <w:lang w:val="sl-SI"/>
        </w:rPr>
        <w:t>Z akcijskim načrtom je predvidena naslednja dinamika izvajanja ukrepov:</w:t>
      </w:r>
    </w:p>
    <w:p w14:paraId="13D4DA1A" w14:textId="06567B17" w:rsidR="00165426" w:rsidRPr="00FF207E" w:rsidRDefault="00E34117" w:rsidP="001E304B">
      <w:pPr>
        <w:pStyle w:val="Odstavekseznama"/>
        <w:numPr>
          <w:ilvl w:val="0"/>
          <w:numId w:val="30"/>
        </w:numPr>
        <w:spacing w:after="240"/>
        <w:jc w:val="both"/>
        <w:rPr>
          <w:lang w:val="sl-SI"/>
        </w:rPr>
      </w:pPr>
      <w:r w:rsidRPr="00FF207E">
        <w:rPr>
          <w:b/>
          <w:lang w:val="sl-SI"/>
        </w:rPr>
        <w:t>I</w:t>
      </w:r>
      <w:r w:rsidR="00165426" w:rsidRPr="00FF207E">
        <w:rPr>
          <w:b/>
          <w:lang w:val="sl-SI"/>
        </w:rPr>
        <w:t xml:space="preserve">zvajanje </w:t>
      </w:r>
      <w:r w:rsidR="00736A5E" w:rsidRPr="00FF207E">
        <w:rPr>
          <w:b/>
          <w:lang w:val="sl-SI"/>
        </w:rPr>
        <w:t xml:space="preserve">veljavnih </w:t>
      </w:r>
      <w:r w:rsidR="00165426" w:rsidRPr="00FF207E">
        <w:rPr>
          <w:b/>
          <w:lang w:val="sl-SI"/>
        </w:rPr>
        <w:t xml:space="preserve">ukrepov se </w:t>
      </w:r>
      <w:r w:rsidR="003878C2" w:rsidRPr="00FF207E">
        <w:rPr>
          <w:b/>
          <w:lang w:val="sl-SI"/>
        </w:rPr>
        <w:t xml:space="preserve">bo </w:t>
      </w:r>
      <w:r w:rsidR="00541396" w:rsidRPr="00FF207E">
        <w:rPr>
          <w:b/>
          <w:lang w:val="sl-SI"/>
        </w:rPr>
        <w:t xml:space="preserve">v letu 2024 </w:t>
      </w:r>
      <w:r w:rsidR="003878C2" w:rsidRPr="00FF207E">
        <w:rPr>
          <w:b/>
          <w:lang w:val="sl-SI"/>
        </w:rPr>
        <w:t xml:space="preserve">nadaljevalo </w:t>
      </w:r>
      <w:r w:rsidR="00165426" w:rsidRPr="00FF207E">
        <w:rPr>
          <w:lang w:val="sl-SI"/>
        </w:rPr>
        <w:t>(</w:t>
      </w:r>
      <w:r w:rsidR="00B77973" w:rsidRPr="00FF207E">
        <w:rPr>
          <w:lang w:val="sl-SI"/>
        </w:rPr>
        <w:t>na primer</w:t>
      </w:r>
      <w:r w:rsidR="00165426" w:rsidRPr="00FF207E">
        <w:rPr>
          <w:lang w:val="sl-SI"/>
        </w:rPr>
        <w:t xml:space="preserve"> spodbude </w:t>
      </w:r>
      <w:proofErr w:type="spellStart"/>
      <w:r w:rsidR="00165426" w:rsidRPr="00FF207E">
        <w:rPr>
          <w:lang w:val="sl-SI"/>
        </w:rPr>
        <w:t>Eko</w:t>
      </w:r>
      <w:proofErr w:type="spellEnd"/>
      <w:r w:rsidR="00165426" w:rsidRPr="00FF207E">
        <w:rPr>
          <w:lang w:val="sl-SI"/>
        </w:rPr>
        <w:t xml:space="preserve"> sklada za skupne ukrepe pri energetski prenovi večstanovanjskih stavb, svetovanje mreže ENSVET energetsko revnim</w:t>
      </w:r>
      <w:r w:rsidR="00953F19" w:rsidRPr="00FF207E">
        <w:rPr>
          <w:lang w:val="sl-SI"/>
        </w:rPr>
        <w:t xml:space="preserve"> v</w:t>
      </w:r>
      <w:r w:rsidR="00C07CC1" w:rsidRPr="00FF207E">
        <w:rPr>
          <w:lang w:val="sl-SI"/>
        </w:rPr>
        <w:t xml:space="preserve"> okviru projekta ZERO, ki se bo z letom 2024 </w:t>
      </w:r>
      <w:r w:rsidR="00AA2AB7" w:rsidRPr="00FF207E">
        <w:rPr>
          <w:lang w:val="sl-SI"/>
        </w:rPr>
        <w:t xml:space="preserve">v tej obliki </w:t>
      </w:r>
      <w:r w:rsidR="00C07CC1" w:rsidRPr="00FF207E">
        <w:rPr>
          <w:lang w:val="sl-SI"/>
        </w:rPr>
        <w:t>predvidoma iztekel</w:t>
      </w:r>
      <w:r w:rsidR="00165426" w:rsidRPr="00FF207E">
        <w:rPr>
          <w:lang w:val="sl-SI"/>
        </w:rPr>
        <w:t xml:space="preserve">, </w:t>
      </w:r>
      <w:r w:rsidR="00F96B04" w:rsidRPr="00FF207E">
        <w:rPr>
          <w:lang w:val="sl-SI"/>
        </w:rPr>
        <w:t xml:space="preserve">izredna denarna pomoč za plačilo stroškov energije, ki jo lahko dodelijo </w:t>
      </w:r>
      <w:r w:rsidR="005F05B4" w:rsidRPr="00FF207E">
        <w:rPr>
          <w:lang w:val="sl-SI"/>
        </w:rPr>
        <w:t>c</w:t>
      </w:r>
      <w:r w:rsidR="00F96B04" w:rsidRPr="00FF207E">
        <w:rPr>
          <w:lang w:val="sl-SI"/>
        </w:rPr>
        <w:t>entri za socialno delo</w:t>
      </w:r>
      <w:r w:rsidR="00C57AAD" w:rsidRPr="00FF207E">
        <w:rPr>
          <w:lang w:val="sl-SI"/>
        </w:rPr>
        <w:t>,</w:t>
      </w:r>
      <w:r w:rsidR="00F96B04" w:rsidRPr="00FF207E">
        <w:rPr>
          <w:lang w:val="sl-SI"/>
        </w:rPr>
        <w:t xml:space="preserve"> </w:t>
      </w:r>
      <w:r w:rsidR="00B77973" w:rsidRPr="00FF207E">
        <w:rPr>
          <w:lang w:val="sl-SI"/>
        </w:rPr>
        <w:t>in tako dalje</w:t>
      </w:r>
      <w:r w:rsidR="00F96B04" w:rsidRPr="00FF207E">
        <w:rPr>
          <w:lang w:val="sl-SI"/>
        </w:rPr>
        <w:t>)</w:t>
      </w:r>
      <w:r w:rsidRPr="00FF207E">
        <w:rPr>
          <w:b/>
          <w:lang w:val="sl-SI"/>
        </w:rPr>
        <w:t xml:space="preserve"> brez večjih sprememb organiziranosti za izvajanje</w:t>
      </w:r>
      <w:r w:rsidRPr="00FF207E">
        <w:rPr>
          <w:lang w:val="sl-SI"/>
        </w:rPr>
        <w:t xml:space="preserve">. </w:t>
      </w:r>
      <w:proofErr w:type="spellStart"/>
      <w:r w:rsidRPr="00FF207E">
        <w:rPr>
          <w:lang w:val="sl-SI"/>
        </w:rPr>
        <w:t>Eko</w:t>
      </w:r>
      <w:proofErr w:type="spellEnd"/>
      <w:r w:rsidRPr="00FF207E">
        <w:rPr>
          <w:lang w:val="sl-SI"/>
        </w:rPr>
        <w:t xml:space="preserve"> sklad </w:t>
      </w:r>
      <w:r w:rsidR="00C07CC1" w:rsidRPr="00FF207E">
        <w:rPr>
          <w:lang w:val="sl-SI"/>
        </w:rPr>
        <w:t xml:space="preserve">pripravlja in </w:t>
      </w:r>
      <w:r w:rsidR="00AA2AB7" w:rsidRPr="00FF207E">
        <w:rPr>
          <w:lang w:val="sl-SI"/>
        </w:rPr>
        <w:t>bo predvidoma do konca leta 2023 objavil</w:t>
      </w:r>
      <w:r w:rsidR="00C07CC1" w:rsidRPr="00FF207E">
        <w:rPr>
          <w:lang w:val="sl-SI"/>
        </w:rPr>
        <w:t xml:space="preserve"> </w:t>
      </w:r>
      <w:r w:rsidR="00AA2AB7" w:rsidRPr="00FF207E">
        <w:rPr>
          <w:b/>
          <w:lang w:val="sl-SI"/>
        </w:rPr>
        <w:t xml:space="preserve">nov </w:t>
      </w:r>
      <w:r w:rsidRPr="00FF207E">
        <w:rPr>
          <w:b/>
          <w:lang w:val="sl-SI"/>
        </w:rPr>
        <w:t>poziv za</w:t>
      </w:r>
      <w:r w:rsidRPr="00FF207E">
        <w:rPr>
          <w:lang w:val="sl-SI"/>
        </w:rPr>
        <w:t xml:space="preserve"> </w:t>
      </w:r>
      <w:r w:rsidRPr="00FF207E">
        <w:rPr>
          <w:b/>
          <w:bCs/>
          <w:lang w:val="sl-SI"/>
        </w:rPr>
        <w:t xml:space="preserve">nepovratne finančne spodbude socialno šibkim občanom </w:t>
      </w:r>
      <w:r w:rsidR="00DE7C60" w:rsidRPr="00FF207E">
        <w:rPr>
          <w:b/>
          <w:bCs/>
          <w:lang w:val="sl-SI"/>
        </w:rPr>
        <w:t xml:space="preserve">(višina upravičenosti do bodoče pomoči se določi upoštevajoč razpoložljivi  oz. prilagojeni razpoložljivi dohodek gospodinjstva) </w:t>
      </w:r>
      <w:r w:rsidRPr="00FF207E">
        <w:rPr>
          <w:b/>
          <w:bCs/>
          <w:lang w:val="sl-SI"/>
        </w:rPr>
        <w:t xml:space="preserve">za investicije v ukrepe </w:t>
      </w:r>
      <w:r w:rsidR="00953F19" w:rsidRPr="00FF207E">
        <w:rPr>
          <w:b/>
          <w:bCs/>
          <w:lang w:val="sl-SI"/>
        </w:rPr>
        <w:t xml:space="preserve">URE in </w:t>
      </w:r>
      <w:r w:rsidR="00026105" w:rsidRPr="00FF207E">
        <w:rPr>
          <w:b/>
          <w:bCs/>
          <w:lang w:val="sl-SI"/>
        </w:rPr>
        <w:t xml:space="preserve">rabe </w:t>
      </w:r>
      <w:r w:rsidR="00953F19" w:rsidRPr="00FF207E">
        <w:rPr>
          <w:b/>
          <w:bCs/>
          <w:lang w:val="sl-SI"/>
        </w:rPr>
        <w:t>OVE</w:t>
      </w:r>
      <w:r w:rsidR="00C07CC1" w:rsidRPr="00FF207E">
        <w:rPr>
          <w:bCs/>
          <w:lang w:val="sl-SI"/>
        </w:rPr>
        <w:t xml:space="preserve">, vključno </w:t>
      </w:r>
      <w:r w:rsidR="00AA2AB7" w:rsidRPr="00FF207E">
        <w:rPr>
          <w:bCs/>
          <w:lang w:val="sl-SI"/>
        </w:rPr>
        <w:t>z vgradnjo novih kurilnih naprav na lesno biomaso in energetskim svetovanjem kot sestavnim delom postopka za dodeljevanje spodbud</w:t>
      </w:r>
      <w:r w:rsidRPr="00FF207E">
        <w:rPr>
          <w:bCs/>
          <w:lang w:val="sl-SI"/>
        </w:rPr>
        <w:t>.</w:t>
      </w:r>
      <w:r w:rsidR="00AA2AB7" w:rsidRPr="00FF207E">
        <w:rPr>
          <w:bCs/>
          <w:lang w:val="sl-SI"/>
        </w:rPr>
        <w:t xml:space="preserve"> Za </w:t>
      </w:r>
      <w:r w:rsidR="00AA2AB7" w:rsidRPr="00FF207E">
        <w:rPr>
          <w:lang w:val="sl-SI"/>
        </w:rPr>
        <w:t xml:space="preserve">leto 2024 </w:t>
      </w:r>
      <w:r w:rsidR="00195E6F" w:rsidRPr="00FF207E">
        <w:rPr>
          <w:lang w:val="sl-SI"/>
        </w:rPr>
        <w:t xml:space="preserve">sta </w:t>
      </w:r>
      <w:r w:rsidR="00AA2AB7" w:rsidRPr="00FF207E">
        <w:rPr>
          <w:lang w:val="sl-SI"/>
        </w:rPr>
        <w:t>načrtovan</w:t>
      </w:r>
      <w:r w:rsidR="00195E6F" w:rsidRPr="00FF207E">
        <w:rPr>
          <w:lang w:val="sl-SI"/>
        </w:rPr>
        <w:t>a</w:t>
      </w:r>
      <w:r w:rsidR="00AA2AB7" w:rsidRPr="00FF207E">
        <w:rPr>
          <w:lang w:val="sl-SI"/>
        </w:rPr>
        <w:t xml:space="preserve"> </w:t>
      </w:r>
      <w:r w:rsidR="00541396" w:rsidRPr="00FF207E">
        <w:rPr>
          <w:lang w:val="sl-SI"/>
        </w:rPr>
        <w:t>tudi</w:t>
      </w:r>
      <w:r w:rsidR="00AA2AB7" w:rsidRPr="00FF207E">
        <w:rPr>
          <w:lang w:val="sl-SI"/>
        </w:rPr>
        <w:t xml:space="preserve"> </w:t>
      </w:r>
      <w:r w:rsidR="00AA2AB7" w:rsidRPr="00FF207E">
        <w:rPr>
          <w:b/>
          <w:lang w:val="sl-SI"/>
        </w:rPr>
        <w:t>začetek delovanja sosveta za energetsko revščino</w:t>
      </w:r>
      <w:r w:rsidR="00254C29" w:rsidRPr="00FF207E">
        <w:rPr>
          <w:lang w:val="sl-SI"/>
        </w:rPr>
        <w:t>, ki sicer ni izvajalsko telo</w:t>
      </w:r>
      <w:r w:rsidR="00195E6F" w:rsidRPr="00FF207E">
        <w:rPr>
          <w:lang w:val="sl-SI"/>
        </w:rPr>
        <w:t>, in pa prvi poziv za dodeljevanje sredstev iz Kohezijskega sklada</w:t>
      </w:r>
      <w:r w:rsidR="00AA2AB7" w:rsidRPr="00FF207E">
        <w:rPr>
          <w:lang w:val="sl-SI"/>
        </w:rPr>
        <w:t>.</w:t>
      </w:r>
    </w:p>
    <w:p w14:paraId="0C5AF084" w14:textId="2CA5FD5E" w:rsidR="00E34117" w:rsidRPr="00FF207E" w:rsidRDefault="00E34117" w:rsidP="001E304B">
      <w:pPr>
        <w:pStyle w:val="Odstavekseznama"/>
        <w:numPr>
          <w:ilvl w:val="0"/>
          <w:numId w:val="30"/>
        </w:numPr>
        <w:spacing w:after="240"/>
        <w:jc w:val="both"/>
        <w:rPr>
          <w:lang w:val="sl-SI"/>
        </w:rPr>
      </w:pPr>
      <w:r w:rsidRPr="00FF207E">
        <w:rPr>
          <w:b/>
          <w:lang w:val="sl-SI"/>
        </w:rPr>
        <w:t xml:space="preserve">Leta </w:t>
      </w:r>
      <w:r w:rsidR="00AA2AB7" w:rsidRPr="00FF207E">
        <w:rPr>
          <w:b/>
          <w:lang w:val="sl-SI"/>
        </w:rPr>
        <w:t xml:space="preserve">2025 </w:t>
      </w:r>
      <w:r w:rsidRPr="00FF207E">
        <w:rPr>
          <w:b/>
          <w:lang w:val="sl-SI"/>
        </w:rPr>
        <w:t xml:space="preserve">se </w:t>
      </w:r>
      <w:r w:rsidR="003878C2" w:rsidRPr="00FF207E">
        <w:rPr>
          <w:b/>
          <w:lang w:val="sl-SI"/>
        </w:rPr>
        <w:t xml:space="preserve">bo </w:t>
      </w:r>
      <w:r w:rsidRPr="00FF207E">
        <w:rPr>
          <w:b/>
          <w:lang w:val="sl-SI"/>
        </w:rPr>
        <w:t>vzpostavi</w:t>
      </w:r>
      <w:r w:rsidR="003878C2" w:rsidRPr="00FF207E">
        <w:rPr>
          <w:b/>
          <w:lang w:val="sl-SI"/>
        </w:rPr>
        <w:t>la</w:t>
      </w:r>
      <w:r w:rsidRPr="00FF207E">
        <w:rPr>
          <w:b/>
          <w:lang w:val="sl-SI"/>
        </w:rPr>
        <w:t xml:space="preserve"> shema za zmanjševanje energetske revščine</w:t>
      </w:r>
      <w:r w:rsidRPr="00FF207E">
        <w:rPr>
          <w:lang w:val="sl-SI"/>
        </w:rPr>
        <w:t xml:space="preserve"> v pilotnem obsegu. Shema vključuje oblikovanje </w:t>
      </w:r>
      <w:r w:rsidRPr="00FF207E">
        <w:rPr>
          <w:b/>
          <w:lang w:val="sl-SI"/>
        </w:rPr>
        <w:t xml:space="preserve">projektne pisarne za energetsko revščino pri </w:t>
      </w:r>
      <w:proofErr w:type="spellStart"/>
      <w:r w:rsidRPr="00FF207E">
        <w:rPr>
          <w:b/>
          <w:lang w:val="sl-SI"/>
        </w:rPr>
        <w:t>Eko</w:t>
      </w:r>
      <w:proofErr w:type="spellEnd"/>
      <w:r w:rsidRPr="00FF207E">
        <w:rPr>
          <w:b/>
          <w:lang w:val="sl-SI"/>
        </w:rPr>
        <w:t xml:space="preserve"> skladu </w:t>
      </w:r>
      <w:r w:rsidR="003878C2" w:rsidRPr="00FF207E">
        <w:rPr>
          <w:b/>
          <w:lang w:val="sl-SI"/>
        </w:rPr>
        <w:t xml:space="preserve">in </w:t>
      </w:r>
      <w:r w:rsidRPr="00FF207E">
        <w:rPr>
          <w:b/>
          <w:lang w:val="sl-SI"/>
        </w:rPr>
        <w:t>regionalnih svetovalnih točk ter neformalnih mrež za informiranje in ozaveščanje v dveh pilotnih regijah</w:t>
      </w:r>
      <w:r w:rsidRPr="00FF207E">
        <w:rPr>
          <w:lang w:val="sl-SI"/>
        </w:rPr>
        <w:t>. V okviru pilotnega projekta se</w:t>
      </w:r>
      <w:r w:rsidR="00AC0D80" w:rsidRPr="00FF207E">
        <w:rPr>
          <w:lang w:val="sl-SI"/>
        </w:rPr>
        <w:t xml:space="preserve"> najprej</w:t>
      </w:r>
      <w:r w:rsidRPr="00FF207E">
        <w:rPr>
          <w:lang w:val="sl-SI"/>
        </w:rPr>
        <w:t xml:space="preserve"> testirata tako nov </w:t>
      </w:r>
      <w:r w:rsidR="00A5027A" w:rsidRPr="00FF207E">
        <w:rPr>
          <w:lang w:val="sl-SI"/>
        </w:rPr>
        <w:t xml:space="preserve">način </w:t>
      </w:r>
      <w:r w:rsidRPr="00FF207E">
        <w:rPr>
          <w:lang w:val="sl-SI"/>
        </w:rPr>
        <w:t>izvedb</w:t>
      </w:r>
      <w:r w:rsidR="00A5027A" w:rsidRPr="00FF207E">
        <w:rPr>
          <w:lang w:val="sl-SI"/>
        </w:rPr>
        <w:t>e</w:t>
      </w:r>
      <w:r w:rsidRPr="00FF207E">
        <w:rPr>
          <w:lang w:val="sl-SI"/>
        </w:rPr>
        <w:t xml:space="preserve"> ukrepov večje energetske učinkovitosti z izbiro izvajalcev kot tudi prenos svetovanja in komunikacije z energetsko revnimi, izvajalci ukrepov in deležniki, ki lahko podprejo informativno-ozaveščevalne </w:t>
      </w:r>
      <w:r w:rsidR="003249EA" w:rsidRPr="00FF207E">
        <w:rPr>
          <w:lang w:val="sl-SI"/>
        </w:rPr>
        <w:t>dejavnosti</w:t>
      </w:r>
      <w:r w:rsidRPr="00FF207E">
        <w:rPr>
          <w:lang w:val="sl-SI"/>
        </w:rPr>
        <w:t>, na regionaln</w:t>
      </w:r>
      <w:r w:rsidR="003878C2" w:rsidRPr="00FF207E">
        <w:rPr>
          <w:lang w:val="sl-SI"/>
        </w:rPr>
        <w:t>i</w:t>
      </w:r>
      <w:r w:rsidRPr="00FF207E">
        <w:rPr>
          <w:lang w:val="sl-SI"/>
        </w:rPr>
        <w:t xml:space="preserve"> </w:t>
      </w:r>
      <w:r w:rsidR="003878C2" w:rsidRPr="00FF207E">
        <w:rPr>
          <w:lang w:val="sl-SI"/>
        </w:rPr>
        <w:t>ravni</w:t>
      </w:r>
      <w:r w:rsidRPr="00FF207E">
        <w:rPr>
          <w:lang w:val="sl-SI"/>
        </w:rPr>
        <w:t xml:space="preserve">. </w:t>
      </w:r>
      <w:r w:rsidR="003878C2" w:rsidRPr="00FF207E">
        <w:rPr>
          <w:b/>
          <w:lang w:val="sl-SI"/>
        </w:rPr>
        <w:t xml:space="preserve">V </w:t>
      </w:r>
      <w:r w:rsidRPr="00FF207E">
        <w:rPr>
          <w:b/>
          <w:lang w:val="sl-SI"/>
        </w:rPr>
        <w:t>vse</w:t>
      </w:r>
      <w:r w:rsidR="003878C2" w:rsidRPr="00FF207E">
        <w:rPr>
          <w:b/>
          <w:lang w:val="sl-SI"/>
        </w:rPr>
        <w:t>h</w:t>
      </w:r>
      <w:r w:rsidRPr="00FF207E">
        <w:rPr>
          <w:b/>
          <w:lang w:val="sl-SI"/>
        </w:rPr>
        <w:t xml:space="preserve"> </w:t>
      </w:r>
      <w:r w:rsidR="0006530A" w:rsidRPr="00FF207E">
        <w:rPr>
          <w:b/>
          <w:lang w:val="sl-SI"/>
        </w:rPr>
        <w:t xml:space="preserve">drugih </w:t>
      </w:r>
      <w:r w:rsidR="003878C2" w:rsidRPr="00FF207E">
        <w:rPr>
          <w:b/>
          <w:lang w:val="sl-SI"/>
        </w:rPr>
        <w:t>regijah</w:t>
      </w:r>
      <w:r w:rsidRPr="00FF207E">
        <w:rPr>
          <w:b/>
          <w:lang w:val="sl-SI"/>
        </w:rPr>
        <w:t xml:space="preserve">, ki niso del pilotnega projekta, se izvajanje ukrepov nadaljuje na že uveljavljen način. </w:t>
      </w:r>
      <w:r w:rsidR="00C51029" w:rsidRPr="00FF207E">
        <w:rPr>
          <w:b/>
          <w:lang w:val="sl-SI"/>
        </w:rPr>
        <w:t xml:space="preserve">Do </w:t>
      </w:r>
      <w:r w:rsidR="00DB0027" w:rsidRPr="00FF207E">
        <w:rPr>
          <w:b/>
          <w:lang w:val="sl-SI"/>
        </w:rPr>
        <w:t xml:space="preserve">junija 2025 je treba pripraviti </w:t>
      </w:r>
      <w:r w:rsidR="00541396" w:rsidRPr="00FF207E">
        <w:rPr>
          <w:b/>
          <w:lang w:val="sl-SI"/>
        </w:rPr>
        <w:t xml:space="preserve">tudi </w:t>
      </w:r>
      <w:r w:rsidR="00DB0027" w:rsidRPr="00FF207E">
        <w:rPr>
          <w:b/>
          <w:lang w:val="sl-SI"/>
        </w:rPr>
        <w:t>socialni načrt za podnebje</w:t>
      </w:r>
      <w:r w:rsidR="00DE7C60" w:rsidRPr="00FF207E">
        <w:rPr>
          <w:b/>
          <w:lang w:val="sl-SI"/>
        </w:rPr>
        <w:t xml:space="preserve">, ki upošteva </w:t>
      </w:r>
      <w:r w:rsidR="00DE7C60" w:rsidRPr="00FF207E">
        <w:rPr>
          <w:rStyle w:val="ui-provider"/>
          <w:rFonts w:eastAsiaTheme="majorEastAsia"/>
          <w:b/>
          <w:bCs/>
          <w:lang w:val="sl-SI"/>
        </w:rPr>
        <w:t xml:space="preserve">razvojne, plačne, zaposlitvene, davčne, </w:t>
      </w:r>
      <w:r w:rsidR="00DE7C60" w:rsidRPr="00FF207E">
        <w:rPr>
          <w:rStyle w:val="ui-provider"/>
          <w:rFonts w:eastAsiaTheme="majorEastAsia"/>
          <w:b/>
          <w:bCs/>
          <w:lang w:val="sl-SI"/>
        </w:rPr>
        <w:lastRenderedPageBreak/>
        <w:t>stanovanjske, socialne in druge relevantne politike,</w:t>
      </w:r>
      <w:r w:rsidR="00DE7C60" w:rsidRPr="00FF207E">
        <w:rPr>
          <w:rStyle w:val="ui-provider"/>
          <w:rFonts w:eastAsiaTheme="majorEastAsia"/>
          <w:b/>
          <w:bCs/>
          <w:lang w:val="sl-SI"/>
        </w:rPr>
        <w:t xml:space="preserve"> </w:t>
      </w:r>
      <w:r w:rsidR="00DB0027" w:rsidRPr="00FF207E">
        <w:rPr>
          <w:lang w:val="sl-SI"/>
        </w:rPr>
        <w:t>in vanj ustrezno vključiti tudi zmanjševanje energetske revščine.</w:t>
      </w:r>
    </w:p>
    <w:p w14:paraId="1DD1F31F" w14:textId="383107D6" w:rsidR="00E34117" w:rsidRPr="00FF207E" w:rsidRDefault="00E34117" w:rsidP="001E304B">
      <w:pPr>
        <w:pStyle w:val="Odstavekseznama"/>
        <w:numPr>
          <w:ilvl w:val="0"/>
          <w:numId w:val="30"/>
        </w:numPr>
        <w:spacing w:after="240"/>
        <w:jc w:val="both"/>
        <w:rPr>
          <w:lang w:val="sl-SI"/>
        </w:rPr>
      </w:pPr>
      <w:r w:rsidRPr="00FF207E">
        <w:rPr>
          <w:b/>
          <w:lang w:val="sl-SI"/>
        </w:rPr>
        <w:t xml:space="preserve">Od vključno leta 2027 dalje je načrtovano, da bo </w:t>
      </w:r>
      <w:r w:rsidR="0089245A" w:rsidRPr="00FF207E">
        <w:rPr>
          <w:b/>
          <w:lang w:val="sl-SI"/>
        </w:rPr>
        <w:t xml:space="preserve">v primeru pozitivnih </w:t>
      </w:r>
      <w:r w:rsidR="00A5027A" w:rsidRPr="00FF207E">
        <w:rPr>
          <w:b/>
          <w:lang w:val="sl-SI"/>
        </w:rPr>
        <w:t xml:space="preserve">izidov </w:t>
      </w:r>
      <w:r w:rsidR="0089245A" w:rsidRPr="00FF207E">
        <w:rPr>
          <w:b/>
          <w:lang w:val="sl-SI"/>
        </w:rPr>
        <w:t xml:space="preserve">v dveh pilotnih regijah </w:t>
      </w:r>
      <w:r w:rsidRPr="00FF207E">
        <w:rPr>
          <w:b/>
          <w:lang w:val="sl-SI"/>
        </w:rPr>
        <w:t>shema za zmanjševanje energetske revščine delovala v polnem obsegu</w:t>
      </w:r>
      <w:r w:rsidRPr="00FF207E">
        <w:rPr>
          <w:lang w:val="sl-SI"/>
        </w:rPr>
        <w:t xml:space="preserve">, kar pomeni dodatno kadrovsko okrepitev projektne pisarne in vzpostavitev regionalnih svetovalnih točk </w:t>
      </w:r>
      <w:r w:rsidR="003241BF" w:rsidRPr="00FF207E">
        <w:rPr>
          <w:lang w:val="sl-SI"/>
        </w:rPr>
        <w:t xml:space="preserve">in </w:t>
      </w:r>
      <w:r w:rsidRPr="00FF207E">
        <w:rPr>
          <w:lang w:val="sl-SI"/>
        </w:rPr>
        <w:t>neformalnih mrež za informiranje in ozaveščanje v vseh regijah, z možnostjo povezovanja manjših oz</w:t>
      </w:r>
      <w:r w:rsidR="00B77973" w:rsidRPr="00FF207E">
        <w:rPr>
          <w:lang w:val="sl-SI"/>
        </w:rPr>
        <w:t>iroma</w:t>
      </w:r>
      <w:r w:rsidRPr="00FF207E">
        <w:rPr>
          <w:lang w:val="sl-SI"/>
        </w:rPr>
        <w:t xml:space="preserve"> podobnih regij.</w:t>
      </w:r>
    </w:p>
    <w:p w14:paraId="2E8DEC8D" w14:textId="096DF13C" w:rsidR="00656DAC" w:rsidRPr="00FF207E" w:rsidRDefault="00656DAC" w:rsidP="00A82301">
      <w:pPr>
        <w:spacing w:after="240"/>
        <w:jc w:val="both"/>
        <w:rPr>
          <w:lang w:val="sl-SI"/>
        </w:rPr>
      </w:pPr>
      <w:r w:rsidRPr="00FF207E">
        <w:rPr>
          <w:b/>
          <w:bCs/>
          <w:color w:val="4F81BD" w:themeColor="accent1"/>
          <w:szCs w:val="22"/>
          <w:lang w:val="sl-SI"/>
        </w:rPr>
        <w:t>Financiranje ukrepov iz akcijskega načrta.</w:t>
      </w:r>
      <w:r w:rsidRPr="00FF207E">
        <w:rPr>
          <w:szCs w:val="22"/>
          <w:lang w:val="sl-SI"/>
        </w:rPr>
        <w:t xml:space="preserve"> </w:t>
      </w:r>
      <w:bookmarkStart w:id="6" w:name="_Hlk150438093"/>
      <w:r w:rsidR="006D2EA2" w:rsidRPr="00FF207E">
        <w:rPr>
          <w:szCs w:val="22"/>
          <w:lang w:val="sl-SI"/>
        </w:rPr>
        <w:t xml:space="preserve">Za </w:t>
      </w:r>
      <w:r w:rsidR="006D2EA2" w:rsidRPr="00FF207E">
        <w:rPr>
          <w:lang w:val="sl-SI"/>
        </w:rPr>
        <w:t>i</w:t>
      </w:r>
      <w:r w:rsidRPr="00FF207E">
        <w:rPr>
          <w:lang w:val="sl-SI"/>
        </w:rPr>
        <w:t>zvajanje ukrepov iz akcijskega načrta</w:t>
      </w:r>
      <w:r w:rsidR="009C2231" w:rsidRPr="00FF207E">
        <w:rPr>
          <w:lang w:val="sl-SI"/>
        </w:rPr>
        <w:t xml:space="preserve"> v obdobju </w:t>
      </w:r>
      <w:r w:rsidR="009C2231" w:rsidRPr="00FF207E">
        <w:rPr>
          <w:rFonts w:cs="Arial"/>
          <w:szCs w:val="22"/>
          <w:lang w:val="sl-SI"/>
        </w:rPr>
        <w:t>2024–2026</w:t>
      </w:r>
      <w:r w:rsidRPr="00FF207E">
        <w:rPr>
          <w:lang w:val="sl-SI"/>
        </w:rPr>
        <w:t xml:space="preserve"> </w:t>
      </w:r>
      <w:r w:rsidR="006D2EA2" w:rsidRPr="00FF207E">
        <w:rPr>
          <w:lang w:val="sl-SI"/>
        </w:rPr>
        <w:t xml:space="preserve">je </w:t>
      </w:r>
      <w:r w:rsidR="009C2231" w:rsidRPr="00FF207E">
        <w:rPr>
          <w:lang w:val="sl-SI"/>
        </w:rPr>
        <w:t>treba</w:t>
      </w:r>
      <w:r w:rsidR="006D2EA2" w:rsidRPr="00FF207E">
        <w:rPr>
          <w:lang w:val="sl-SI"/>
        </w:rPr>
        <w:t xml:space="preserve"> zagotoviti </w:t>
      </w:r>
      <w:r w:rsidR="0040400A" w:rsidRPr="00FF207E">
        <w:rPr>
          <w:b/>
          <w:lang w:val="sl-SI"/>
        </w:rPr>
        <w:t xml:space="preserve">33,8 </w:t>
      </w:r>
      <w:r w:rsidR="00F11B9E" w:rsidRPr="00FF207E">
        <w:rPr>
          <w:b/>
          <w:lang w:val="sl-SI"/>
        </w:rPr>
        <w:t xml:space="preserve">milijona </w:t>
      </w:r>
      <w:r w:rsidR="006D2EA2" w:rsidRPr="00FF207E">
        <w:rPr>
          <w:b/>
          <w:lang w:val="sl-SI"/>
        </w:rPr>
        <w:t>evrov</w:t>
      </w:r>
      <w:r w:rsidR="006D2EA2" w:rsidRPr="00FF207E">
        <w:rPr>
          <w:lang w:val="sl-SI"/>
        </w:rPr>
        <w:t xml:space="preserve">, od tega </w:t>
      </w:r>
      <w:r w:rsidR="0040400A" w:rsidRPr="00FF207E">
        <w:rPr>
          <w:lang w:val="sl-SI"/>
        </w:rPr>
        <w:t>27,0</w:t>
      </w:r>
      <w:r w:rsidR="006D196B" w:rsidRPr="00FF207E">
        <w:rPr>
          <w:lang w:val="sl-SI"/>
        </w:rPr>
        <w:t xml:space="preserve"> </w:t>
      </w:r>
      <w:r w:rsidR="00F11B9E" w:rsidRPr="00FF207E">
        <w:rPr>
          <w:lang w:val="sl-SI"/>
        </w:rPr>
        <w:t xml:space="preserve">milijona </w:t>
      </w:r>
      <w:r w:rsidR="006D2EA2" w:rsidRPr="00FF207E">
        <w:rPr>
          <w:lang w:val="sl-SI"/>
        </w:rPr>
        <w:t>evrov za</w:t>
      </w:r>
      <w:r w:rsidR="006D196B" w:rsidRPr="00FF207E">
        <w:rPr>
          <w:lang w:val="sl-SI"/>
        </w:rPr>
        <w:t xml:space="preserve"> investicijske ukrepe URE in </w:t>
      </w:r>
      <w:r w:rsidR="00026105" w:rsidRPr="00FF207E">
        <w:rPr>
          <w:lang w:val="sl-SI"/>
        </w:rPr>
        <w:t xml:space="preserve">rabe </w:t>
      </w:r>
      <w:r w:rsidR="006D196B" w:rsidRPr="00FF207E">
        <w:rPr>
          <w:lang w:val="sl-SI"/>
        </w:rPr>
        <w:t>OVE</w:t>
      </w:r>
      <w:r w:rsidR="006D2EA2" w:rsidRPr="00FF207E">
        <w:rPr>
          <w:lang w:val="sl-SI"/>
        </w:rPr>
        <w:t xml:space="preserve">, </w:t>
      </w:r>
      <w:r w:rsidR="00B33CD1" w:rsidRPr="00FF207E">
        <w:rPr>
          <w:lang w:val="sl-SI"/>
        </w:rPr>
        <w:t>5</w:t>
      </w:r>
      <w:r w:rsidR="006D2EA2" w:rsidRPr="00FF207E">
        <w:rPr>
          <w:lang w:val="sl-SI"/>
        </w:rPr>
        <w:t xml:space="preserve"> milijonov evrov za vključevanje energetsko revnih v energetske skupnosti</w:t>
      </w:r>
      <w:r w:rsidR="00B33CD1" w:rsidRPr="00FF207E">
        <w:rPr>
          <w:lang w:val="sl-SI"/>
        </w:rPr>
        <w:t xml:space="preserve"> </w:t>
      </w:r>
      <w:r w:rsidR="006D2EA2" w:rsidRPr="00FF207E">
        <w:rPr>
          <w:lang w:val="sl-SI"/>
        </w:rPr>
        <w:t xml:space="preserve">in </w:t>
      </w:r>
      <w:r w:rsidR="0040400A" w:rsidRPr="00FF207E">
        <w:rPr>
          <w:lang w:val="sl-SI"/>
        </w:rPr>
        <w:t>1,8</w:t>
      </w:r>
      <w:r w:rsidR="006D2EA2" w:rsidRPr="00FF207E">
        <w:rPr>
          <w:lang w:val="sl-SI"/>
        </w:rPr>
        <w:t xml:space="preserve"> </w:t>
      </w:r>
      <w:r w:rsidR="00A82301" w:rsidRPr="00FF207E">
        <w:rPr>
          <w:lang w:val="sl-SI"/>
        </w:rPr>
        <w:t xml:space="preserve">milijona </w:t>
      </w:r>
      <w:r w:rsidR="006D2EA2" w:rsidRPr="00FF207E">
        <w:rPr>
          <w:lang w:val="sl-SI"/>
        </w:rPr>
        <w:t xml:space="preserve">evrov </w:t>
      </w:r>
      <w:r w:rsidR="000257EF" w:rsidRPr="00FF207E">
        <w:rPr>
          <w:lang w:val="sl-SI"/>
        </w:rPr>
        <w:t xml:space="preserve">za delovanje projektne pisarne z regionalnimi svetovalnimi točkami </w:t>
      </w:r>
      <w:r w:rsidR="005450F3" w:rsidRPr="00FF207E">
        <w:rPr>
          <w:lang w:val="sl-SI"/>
        </w:rPr>
        <w:t>ter</w:t>
      </w:r>
      <w:r w:rsidR="000257EF" w:rsidRPr="00FF207E">
        <w:rPr>
          <w:lang w:val="sl-SI"/>
        </w:rPr>
        <w:t xml:space="preserve"> neformalno mrežo za </w:t>
      </w:r>
      <w:r w:rsidR="002B45A8" w:rsidRPr="00FF207E">
        <w:rPr>
          <w:lang w:val="sl-SI"/>
        </w:rPr>
        <w:t>informiranje</w:t>
      </w:r>
      <w:r w:rsidR="000257EF" w:rsidRPr="00FF207E">
        <w:rPr>
          <w:lang w:val="sl-SI"/>
        </w:rPr>
        <w:t xml:space="preserve"> in ozaveščanje</w:t>
      </w:r>
      <w:r w:rsidR="006D2EA2" w:rsidRPr="00FF207E">
        <w:rPr>
          <w:lang w:val="sl-SI"/>
        </w:rPr>
        <w:t xml:space="preserve">. </w:t>
      </w:r>
      <w:r w:rsidR="00F11B9E" w:rsidRPr="00FF207E">
        <w:rPr>
          <w:lang w:val="sl-SI"/>
        </w:rPr>
        <w:t>D</w:t>
      </w:r>
      <w:r w:rsidR="006D2EA2" w:rsidRPr="00FF207E">
        <w:rPr>
          <w:lang w:val="sl-SI"/>
        </w:rPr>
        <w:t xml:space="preserve">o konca leta 2026 sta glavna vira sredstev </w:t>
      </w:r>
      <w:r w:rsidR="006D2EA2" w:rsidRPr="00FF207E">
        <w:rPr>
          <w:b/>
          <w:lang w:val="sl-SI"/>
        </w:rPr>
        <w:t>Sklad za podnebne spremembe</w:t>
      </w:r>
      <w:r w:rsidR="006D2EA2" w:rsidRPr="00FF207E">
        <w:rPr>
          <w:lang w:val="sl-SI"/>
        </w:rPr>
        <w:t xml:space="preserve"> </w:t>
      </w:r>
      <w:r w:rsidR="00D1479A" w:rsidRPr="00FF207E">
        <w:rPr>
          <w:lang w:val="sl-SI"/>
        </w:rPr>
        <w:t xml:space="preserve">in </w:t>
      </w:r>
      <w:r w:rsidR="00932020" w:rsidRPr="00FF207E">
        <w:rPr>
          <w:b/>
          <w:lang w:val="sl-SI"/>
        </w:rPr>
        <w:t xml:space="preserve">Evropski </w:t>
      </w:r>
      <w:r w:rsidR="00D1479A" w:rsidRPr="00FF207E">
        <w:rPr>
          <w:b/>
          <w:lang w:val="sl-SI"/>
        </w:rPr>
        <w:t>sklad</w:t>
      </w:r>
      <w:r w:rsidR="00932020" w:rsidRPr="00FF207E">
        <w:rPr>
          <w:b/>
          <w:lang w:val="sl-SI"/>
        </w:rPr>
        <w:t xml:space="preserve"> za regionalni razvoj</w:t>
      </w:r>
      <w:r w:rsidR="00D1479A" w:rsidRPr="00FF207E">
        <w:rPr>
          <w:lang w:val="sl-SI"/>
        </w:rPr>
        <w:t>.</w:t>
      </w:r>
      <w:r w:rsidR="00F11B9E" w:rsidRPr="00FF207E">
        <w:rPr>
          <w:lang w:val="sl-SI"/>
        </w:rPr>
        <w:t xml:space="preserve"> </w:t>
      </w:r>
      <w:r w:rsidR="00DE6F70" w:rsidRPr="00FF207E">
        <w:rPr>
          <w:lang w:val="sl-SI"/>
        </w:rPr>
        <w:t>Stroški izvajanja programa so usk</w:t>
      </w:r>
      <w:r w:rsidR="007312D4" w:rsidRPr="00FF207E">
        <w:rPr>
          <w:lang w:val="sl-SI"/>
        </w:rPr>
        <w:t>lajeni</w:t>
      </w:r>
      <w:r w:rsidR="00DE6F70" w:rsidRPr="00FF207E">
        <w:rPr>
          <w:lang w:val="sl-SI"/>
        </w:rPr>
        <w:t xml:space="preserve"> z zagotovljenimi sredstvi.</w:t>
      </w:r>
      <w:r w:rsidR="00DE7C60" w:rsidRPr="00FF207E">
        <w:rPr>
          <w:lang w:val="sl-SI"/>
        </w:rPr>
        <w:t xml:space="preserve"> </w:t>
      </w:r>
      <w:r w:rsidR="00DE7C60" w:rsidRPr="00FF207E">
        <w:rPr>
          <w:lang w:val="sl-SI"/>
        </w:rPr>
        <w:t xml:space="preserve">Za nekatere ukrepe (npr.: za blaženje energetske </w:t>
      </w:r>
      <w:proofErr w:type="spellStart"/>
      <w:r w:rsidR="00DE7C60" w:rsidRPr="00FF207E">
        <w:rPr>
          <w:lang w:val="sl-SI"/>
        </w:rPr>
        <w:t>revšine</w:t>
      </w:r>
      <w:proofErr w:type="spellEnd"/>
      <w:r w:rsidR="00DE7C60" w:rsidRPr="00FF207E">
        <w:rPr>
          <w:lang w:val="sl-SI"/>
        </w:rPr>
        <w:t xml:space="preserve">) pa je </w:t>
      </w:r>
      <w:proofErr w:type="spellStart"/>
      <w:r w:rsidR="00DE7C60" w:rsidRPr="00FF207E">
        <w:rPr>
          <w:lang w:val="sl-SI"/>
        </w:rPr>
        <w:t>predivdeno</w:t>
      </w:r>
      <w:proofErr w:type="spellEnd"/>
      <w:r w:rsidR="00DE7C60" w:rsidRPr="00FF207E">
        <w:rPr>
          <w:lang w:val="sl-SI"/>
        </w:rPr>
        <w:t xml:space="preserve"> financiranje iz državnega proračuna.</w:t>
      </w:r>
    </w:p>
    <w:bookmarkEnd w:id="6"/>
    <w:p w14:paraId="64B91888" w14:textId="06DE4E6B" w:rsidR="00656DAC" w:rsidRPr="00FF207E" w:rsidRDefault="00656DAC" w:rsidP="001E304B">
      <w:pPr>
        <w:spacing w:after="240"/>
        <w:jc w:val="both"/>
        <w:rPr>
          <w:szCs w:val="22"/>
          <w:lang w:val="sl-SI"/>
        </w:rPr>
      </w:pPr>
      <w:r w:rsidRPr="00FF207E">
        <w:rPr>
          <w:b/>
          <w:bCs/>
          <w:color w:val="4F81BD" w:themeColor="accent1"/>
          <w:szCs w:val="22"/>
          <w:lang w:val="sl-SI"/>
        </w:rPr>
        <w:t>Spremljanje izvajanja akcijskega načrta.</w:t>
      </w:r>
      <w:r w:rsidRPr="00FF207E">
        <w:rPr>
          <w:szCs w:val="22"/>
          <w:lang w:val="sl-SI"/>
        </w:rPr>
        <w:t xml:space="preserve"> </w:t>
      </w:r>
      <w:r w:rsidR="00F1160C" w:rsidRPr="00FF207E">
        <w:rPr>
          <w:szCs w:val="22"/>
          <w:lang w:val="sl-SI"/>
        </w:rPr>
        <w:t xml:space="preserve">Za uspešno izvajanje akcijskega načrta je treba zagotoviti </w:t>
      </w:r>
      <w:r w:rsidR="00F1160C" w:rsidRPr="00FF207E">
        <w:rPr>
          <w:b/>
          <w:szCs w:val="22"/>
          <w:lang w:val="sl-SI"/>
        </w:rPr>
        <w:t>redno vodenje, spremljanje in vrednotenje izvajanja</w:t>
      </w:r>
      <w:r w:rsidR="00F1160C" w:rsidRPr="00FF207E">
        <w:rPr>
          <w:szCs w:val="22"/>
          <w:lang w:val="sl-SI"/>
        </w:rPr>
        <w:t xml:space="preserve"> akcijskega načrta ter po potrebi </w:t>
      </w:r>
      <w:r w:rsidR="00F1160C" w:rsidRPr="00FF207E">
        <w:rPr>
          <w:b/>
          <w:szCs w:val="22"/>
          <w:lang w:val="sl-SI"/>
        </w:rPr>
        <w:t>kratkoročno prilagajanje, spreminjanje in nadgrajevanje izvajanja</w:t>
      </w:r>
      <w:r w:rsidR="00F1160C" w:rsidRPr="00FF207E">
        <w:rPr>
          <w:szCs w:val="22"/>
          <w:lang w:val="sl-SI"/>
        </w:rPr>
        <w:t xml:space="preserve"> načrtovanih ukrepov.</w:t>
      </w:r>
      <w:r w:rsidR="00D170AB" w:rsidRPr="00FF207E">
        <w:rPr>
          <w:szCs w:val="22"/>
          <w:lang w:val="sl-SI"/>
        </w:rPr>
        <w:t xml:space="preserve"> Vlado R</w:t>
      </w:r>
      <w:r w:rsidR="00F11B9E" w:rsidRPr="00FF207E">
        <w:rPr>
          <w:szCs w:val="22"/>
          <w:lang w:val="sl-SI"/>
        </w:rPr>
        <w:t xml:space="preserve">epublike </w:t>
      </w:r>
      <w:r w:rsidR="00D170AB" w:rsidRPr="00FF207E">
        <w:rPr>
          <w:szCs w:val="22"/>
          <w:lang w:val="sl-SI"/>
        </w:rPr>
        <w:t>S</w:t>
      </w:r>
      <w:r w:rsidR="00F11B9E" w:rsidRPr="00FF207E">
        <w:rPr>
          <w:szCs w:val="22"/>
          <w:lang w:val="sl-SI"/>
        </w:rPr>
        <w:t>lovenije</w:t>
      </w:r>
      <w:r w:rsidR="00D170AB" w:rsidRPr="00FF207E">
        <w:rPr>
          <w:szCs w:val="22"/>
          <w:lang w:val="sl-SI"/>
        </w:rPr>
        <w:t xml:space="preserve"> je treba </w:t>
      </w:r>
      <w:r w:rsidR="00B266A4" w:rsidRPr="00FF207E">
        <w:rPr>
          <w:szCs w:val="22"/>
          <w:lang w:val="sl-SI"/>
        </w:rPr>
        <w:t xml:space="preserve">v skladu </w:t>
      </w:r>
      <w:r w:rsidR="00D170AB" w:rsidRPr="00FF207E">
        <w:rPr>
          <w:szCs w:val="22"/>
          <w:lang w:val="sl-SI"/>
        </w:rPr>
        <w:t xml:space="preserve">z </w:t>
      </w:r>
      <w:r w:rsidR="00F11B9E" w:rsidRPr="00FF207E">
        <w:rPr>
          <w:szCs w:val="22"/>
          <w:lang w:val="sl-SI"/>
        </w:rPr>
        <w:t>u</w:t>
      </w:r>
      <w:r w:rsidR="00D170AB" w:rsidRPr="00FF207E">
        <w:rPr>
          <w:szCs w:val="22"/>
          <w:lang w:val="sl-SI"/>
        </w:rPr>
        <w:t>redbo seznaniti z izvajanjem ukrepov vsako leto najpozneje do 30. maja. Obenem je tre</w:t>
      </w:r>
      <w:r w:rsidR="00C57AAD" w:rsidRPr="00FF207E">
        <w:rPr>
          <w:szCs w:val="22"/>
          <w:lang w:val="sl-SI"/>
        </w:rPr>
        <w:t>b</w:t>
      </w:r>
      <w:r w:rsidR="00D170AB" w:rsidRPr="00FF207E">
        <w:rPr>
          <w:szCs w:val="22"/>
          <w:lang w:val="sl-SI"/>
        </w:rPr>
        <w:t xml:space="preserve">a zagotoviti tudi, da se bo akcijski načrt, ki naj bi se pripravljal za triletna obdobja, </w:t>
      </w:r>
      <w:r w:rsidR="00D170AB" w:rsidRPr="00FF207E">
        <w:rPr>
          <w:b/>
          <w:szCs w:val="22"/>
          <w:lang w:val="sl-SI"/>
        </w:rPr>
        <w:t>redno in pravočasno posodablja</w:t>
      </w:r>
      <w:r w:rsidR="00F85DC4" w:rsidRPr="00FF207E">
        <w:rPr>
          <w:b/>
          <w:szCs w:val="22"/>
          <w:lang w:val="sl-SI"/>
        </w:rPr>
        <w:t>l</w:t>
      </w:r>
      <w:r w:rsidR="00D170AB" w:rsidRPr="00FF207E">
        <w:rPr>
          <w:b/>
          <w:szCs w:val="22"/>
          <w:lang w:val="sl-SI"/>
        </w:rPr>
        <w:t xml:space="preserve"> in nadgrajeva</w:t>
      </w:r>
      <w:r w:rsidR="00F85DC4" w:rsidRPr="00FF207E">
        <w:rPr>
          <w:b/>
          <w:szCs w:val="22"/>
          <w:lang w:val="sl-SI"/>
        </w:rPr>
        <w:t>l</w:t>
      </w:r>
      <w:r w:rsidR="00D170AB" w:rsidRPr="00FF207E">
        <w:rPr>
          <w:szCs w:val="22"/>
          <w:lang w:val="sl-SI"/>
        </w:rPr>
        <w:t>.</w:t>
      </w:r>
    </w:p>
    <w:p w14:paraId="0816095C" w14:textId="06CAEC15" w:rsidR="0077297B" w:rsidRPr="00FF207E" w:rsidRDefault="0077297B" w:rsidP="001E304B">
      <w:pPr>
        <w:pStyle w:val="Table"/>
        <w:jc w:val="both"/>
      </w:pPr>
      <w:bookmarkStart w:id="7" w:name="_Ref136367051"/>
      <w:bookmarkStart w:id="8" w:name="_Toc138161831"/>
      <w:r w:rsidRPr="00FF207E">
        <w:t xml:space="preserve">Tabela </w:t>
      </w:r>
      <w:r w:rsidR="005428A9" w:rsidRPr="00FF207E">
        <w:fldChar w:fldCharType="begin"/>
      </w:r>
      <w:r w:rsidR="005428A9" w:rsidRPr="00FF207E">
        <w:instrText xml:space="preserve"> </w:instrText>
      </w:r>
      <w:r w:rsidR="005428A9" w:rsidRPr="00FF207E">
        <w:instrText xml:space="preserve">SEQ Tabela \* ARABIC </w:instrText>
      </w:r>
      <w:r w:rsidR="005428A9" w:rsidRPr="00FF207E">
        <w:fldChar w:fldCharType="separate"/>
      </w:r>
      <w:r w:rsidR="00F37FD1" w:rsidRPr="00FF207E">
        <w:t>1</w:t>
      </w:r>
      <w:r w:rsidR="005428A9" w:rsidRPr="00FF207E">
        <w:fldChar w:fldCharType="end"/>
      </w:r>
      <w:bookmarkEnd w:id="7"/>
      <w:r w:rsidRPr="00FF207E">
        <w:t>:</w:t>
      </w:r>
      <w:r w:rsidRPr="00FF207E">
        <w:tab/>
        <w:t>Ukrepi akcijskega načrta za zmanjševanje energetske revščine</w:t>
      </w:r>
      <w:r w:rsidR="004572A1" w:rsidRPr="00FF207E">
        <w:rPr>
          <w:rStyle w:val="Sprotnaopomba-sklic"/>
        </w:rPr>
        <w:footnoteReference w:id="1"/>
      </w:r>
      <w:bookmarkEnd w:id="8"/>
    </w:p>
    <w:tbl>
      <w:tblPr>
        <w:tblStyle w:val="Tabelamrea"/>
        <w:tblW w:w="0" w:type="auto"/>
        <w:tblBorders>
          <w:top w:val="none" w:sz="0" w:space="0" w:color="auto"/>
          <w:left w:val="none" w:sz="0" w:space="0" w:color="auto"/>
          <w:bottom w:val="none" w:sz="0" w:space="0" w:color="auto"/>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1418"/>
        <w:gridCol w:w="3362"/>
        <w:gridCol w:w="1410"/>
        <w:gridCol w:w="1410"/>
        <w:gridCol w:w="1472"/>
      </w:tblGrid>
      <w:tr w:rsidR="0077297B" w:rsidRPr="00FF207E" w14:paraId="40AF0817" w14:textId="77777777" w:rsidTr="0077297B">
        <w:trPr>
          <w:tblHeader/>
        </w:trPr>
        <w:tc>
          <w:tcPr>
            <w:tcW w:w="1418" w:type="dxa"/>
            <w:shd w:val="clear" w:color="auto" w:fill="548DD4" w:themeFill="text2" w:themeFillTint="99"/>
            <w:vAlign w:val="center"/>
          </w:tcPr>
          <w:p w14:paraId="5071B5C2" w14:textId="77777777" w:rsidR="0077297B" w:rsidRPr="00FF207E" w:rsidRDefault="0077297B"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Oznaka ukrepa</w:t>
            </w:r>
          </w:p>
        </w:tc>
        <w:tc>
          <w:tcPr>
            <w:tcW w:w="3362" w:type="dxa"/>
            <w:shd w:val="clear" w:color="auto" w:fill="548DD4" w:themeFill="text2" w:themeFillTint="99"/>
            <w:vAlign w:val="center"/>
          </w:tcPr>
          <w:p w14:paraId="3556BB2E" w14:textId="77777777" w:rsidR="0077297B" w:rsidRPr="00FF207E" w:rsidRDefault="0077297B"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Ime ukrepa</w:t>
            </w:r>
          </w:p>
        </w:tc>
        <w:tc>
          <w:tcPr>
            <w:tcW w:w="1410" w:type="dxa"/>
            <w:shd w:val="clear" w:color="auto" w:fill="548DD4" w:themeFill="text2" w:themeFillTint="99"/>
            <w:vAlign w:val="center"/>
          </w:tcPr>
          <w:p w14:paraId="5B57962C" w14:textId="77777777" w:rsidR="0077297B" w:rsidRPr="00FF207E" w:rsidRDefault="0077297B"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Status ukrepa</w:t>
            </w:r>
          </w:p>
        </w:tc>
        <w:tc>
          <w:tcPr>
            <w:tcW w:w="1410" w:type="dxa"/>
            <w:shd w:val="clear" w:color="auto" w:fill="548DD4" w:themeFill="text2" w:themeFillTint="99"/>
            <w:vAlign w:val="center"/>
          </w:tcPr>
          <w:p w14:paraId="4A28F43E" w14:textId="77777777" w:rsidR="0077297B" w:rsidRPr="00FF207E" w:rsidRDefault="0077297B"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Vrsta ukrepa</w:t>
            </w:r>
          </w:p>
        </w:tc>
        <w:tc>
          <w:tcPr>
            <w:tcW w:w="1472" w:type="dxa"/>
            <w:shd w:val="clear" w:color="auto" w:fill="548DD4" w:themeFill="text2" w:themeFillTint="99"/>
            <w:vAlign w:val="center"/>
          </w:tcPr>
          <w:p w14:paraId="202EDBB2" w14:textId="77777777" w:rsidR="0077297B" w:rsidRPr="00FF207E" w:rsidRDefault="0077297B"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Odgovornost</w:t>
            </w:r>
          </w:p>
        </w:tc>
      </w:tr>
      <w:tr w:rsidR="0077297B" w:rsidRPr="00FF207E" w14:paraId="572FA1BB" w14:textId="77777777" w:rsidTr="0077297B">
        <w:tc>
          <w:tcPr>
            <w:tcW w:w="9072" w:type="dxa"/>
            <w:gridSpan w:val="5"/>
            <w:shd w:val="clear" w:color="auto" w:fill="C6D9F1" w:themeFill="text2" w:themeFillTint="33"/>
            <w:vAlign w:val="center"/>
          </w:tcPr>
          <w:p w14:paraId="15D63EB0" w14:textId="77777777" w:rsidR="0077297B" w:rsidRPr="00FF207E" w:rsidRDefault="0077297B" w:rsidP="001E304B">
            <w:pPr>
              <w:spacing w:before="40" w:after="40" w:line="240" w:lineRule="auto"/>
              <w:jc w:val="both"/>
              <w:rPr>
                <w:rFonts w:cs="Arial"/>
                <w:b/>
                <w:sz w:val="18"/>
                <w:szCs w:val="18"/>
                <w:lang w:val="sl-SI"/>
              </w:rPr>
            </w:pPr>
            <w:r w:rsidRPr="00FF207E">
              <w:rPr>
                <w:rFonts w:cs="Arial"/>
                <w:b/>
                <w:sz w:val="18"/>
                <w:szCs w:val="18"/>
                <w:lang w:val="sl-SI"/>
              </w:rPr>
              <w:t>SHEMA ZA ZMANJŠEVANJE ENERGETSKE REVŠČINE</w:t>
            </w:r>
          </w:p>
        </w:tc>
      </w:tr>
      <w:tr w:rsidR="0077297B" w:rsidRPr="00FF207E" w14:paraId="663074BD" w14:textId="77777777" w:rsidTr="0077297B">
        <w:trPr>
          <w:trHeight w:val="427"/>
        </w:trPr>
        <w:tc>
          <w:tcPr>
            <w:tcW w:w="1418" w:type="dxa"/>
            <w:shd w:val="clear" w:color="auto" w:fill="D6E3BC" w:themeFill="accent3" w:themeFillTint="66"/>
            <w:vAlign w:val="center"/>
          </w:tcPr>
          <w:p w14:paraId="595C5AD3" w14:textId="77777777" w:rsidR="0077297B" w:rsidRPr="00FF207E" w:rsidRDefault="0077297B" w:rsidP="001E304B">
            <w:pPr>
              <w:spacing w:line="240" w:lineRule="auto"/>
              <w:jc w:val="both"/>
              <w:rPr>
                <w:rFonts w:cs="Arial"/>
                <w:b/>
                <w:sz w:val="18"/>
                <w:szCs w:val="18"/>
                <w:lang w:val="sl-SI"/>
              </w:rPr>
            </w:pPr>
            <w:r w:rsidRPr="00FF207E">
              <w:rPr>
                <w:rFonts w:cs="Arial"/>
                <w:b/>
                <w:sz w:val="18"/>
                <w:szCs w:val="18"/>
                <w:lang w:val="sl-SI"/>
              </w:rPr>
              <w:t>ER_Shema-01</w:t>
            </w:r>
          </w:p>
        </w:tc>
        <w:tc>
          <w:tcPr>
            <w:tcW w:w="3362" w:type="dxa"/>
            <w:vAlign w:val="center"/>
          </w:tcPr>
          <w:p w14:paraId="47152CF7" w14:textId="75434805" w:rsidR="0077297B" w:rsidRPr="00FF207E" w:rsidRDefault="005428A9" w:rsidP="001E304B">
            <w:pPr>
              <w:spacing w:line="240" w:lineRule="auto"/>
              <w:jc w:val="both"/>
              <w:rPr>
                <w:rFonts w:cs="Arial"/>
                <w:color w:val="4F81BD" w:themeColor="accent1"/>
                <w:sz w:val="18"/>
                <w:szCs w:val="18"/>
                <w:u w:val="single"/>
                <w:lang w:val="sl-SI"/>
              </w:rPr>
            </w:pPr>
            <w:hyperlink w:anchor="_Investicijske_spodbude_za" w:history="1">
              <w:r w:rsidR="0077297B" w:rsidRPr="00FF207E">
                <w:rPr>
                  <w:rStyle w:val="Hiperpovezava"/>
                  <w:rFonts w:cs="Arial"/>
                  <w:color w:val="4F81BD" w:themeColor="accent1"/>
                  <w:sz w:val="18"/>
                  <w:szCs w:val="18"/>
                  <w:lang w:val="sl-SI"/>
                </w:rPr>
                <w:t xml:space="preserve">Investicijske spodbude za ukrepe URE in </w:t>
              </w:r>
              <w:r w:rsidR="00026105" w:rsidRPr="00FF207E">
                <w:rPr>
                  <w:rStyle w:val="Hiperpovezava"/>
                  <w:rFonts w:cs="Arial"/>
                  <w:color w:val="4F81BD" w:themeColor="accent1"/>
                  <w:sz w:val="18"/>
                  <w:szCs w:val="18"/>
                  <w:lang w:val="sl-SI"/>
                </w:rPr>
                <w:t xml:space="preserve">rabe </w:t>
              </w:r>
              <w:r w:rsidR="0077297B" w:rsidRPr="00FF207E">
                <w:rPr>
                  <w:rStyle w:val="Hiperpovezava"/>
                  <w:rFonts w:cs="Arial"/>
                  <w:color w:val="4F81BD" w:themeColor="accent1"/>
                  <w:sz w:val="18"/>
                  <w:szCs w:val="18"/>
                  <w:lang w:val="sl-SI"/>
                </w:rPr>
                <w:t>OVE za energetsko revne</w:t>
              </w:r>
            </w:hyperlink>
          </w:p>
        </w:tc>
        <w:tc>
          <w:tcPr>
            <w:tcW w:w="1410" w:type="dxa"/>
            <w:vAlign w:val="center"/>
          </w:tcPr>
          <w:p w14:paraId="126AD12E" w14:textId="49EDAB24" w:rsidR="0077297B" w:rsidRPr="00FF207E" w:rsidRDefault="00736A5E" w:rsidP="00736A5E">
            <w:pPr>
              <w:spacing w:line="240" w:lineRule="auto"/>
              <w:jc w:val="both"/>
              <w:rPr>
                <w:rFonts w:cs="Arial"/>
                <w:sz w:val="18"/>
                <w:szCs w:val="18"/>
                <w:lang w:val="sl-SI"/>
              </w:rPr>
            </w:pPr>
            <w:r w:rsidRPr="00FF207E">
              <w:rPr>
                <w:rFonts w:cs="Arial"/>
                <w:sz w:val="18"/>
                <w:szCs w:val="18"/>
                <w:lang w:val="sl-SI"/>
              </w:rPr>
              <w:t xml:space="preserve">veljavni </w:t>
            </w:r>
            <w:r w:rsidR="0077297B" w:rsidRPr="00FF207E">
              <w:rPr>
                <w:rFonts w:cs="Arial"/>
                <w:sz w:val="18"/>
                <w:szCs w:val="18"/>
                <w:lang w:val="sl-SI"/>
              </w:rPr>
              <w:t>ukrepi z nadgradnjo</w:t>
            </w:r>
          </w:p>
        </w:tc>
        <w:tc>
          <w:tcPr>
            <w:tcW w:w="1410" w:type="dxa"/>
            <w:vAlign w:val="center"/>
          </w:tcPr>
          <w:p w14:paraId="26E79632"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ekonomski (finančne spodbude)</w:t>
            </w:r>
          </w:p>
        </w:tc>
        <w:tc>
          <w:tcPr>
            <w:tcW w:w="1472" w:type="dxa"/>
            <w:vAlign w:val="center"/>
          </w:tcPr>
          <w:p w14:paraId="1D79D6C1" w14:textId="77777777" w:rsidR="0077297B" w:rsidRPr="00FF207E" w:rsidRDefault="0077297B" w:rsidP="001E304B">
            <w:pPr>
              <w:spacing w:line="240" w:lineRule="auto"/>
              <w:jc w:val="both"/>
              <w:rPr>
                <w:rFonts w:cs="Arial"/>
                <w:sz w:val="18"/>
                <w:szCs w:val="18"/>
                <w:lang w:val="sl-SI"/>
              </w:rPr>
            </w:pPr>
            <w:proofErr w:type="spellStart"/>
            <w:r w:rsidRPr="00FF207E">
              <w:rPr>
                <w:rFonts w:cs="Arial"/>
                <w:sz w:val="18"/>
                <w:szCs w:val="18"/>
                <w:lang w:val="sl-SI"/>
              </w:rPr>
              <w:t>Eko</w:t>
            </w:r>
            <w:proofErr w:type="spellEnd"/>
            <w:r w:rsidRPr="00FF207E">
              <w:rPr>
                <w:rFonts w:cs="Arial"/>
                <w:sz w:val="18"/>
                <w:szCs w:val="18"/>
                <w:lang w:val="sl-SI"/>
              </w:rPr>
              <w:t xml:space="preserve"> sklad</w:t>
            </w:r>
          </w:p>
        </w:tc>
      </w:tr>
      <w:tr w:rsidR="0077297B" w:rsidRPr="00FF207E" w14:paraId="7CAE6C1F" w14:textId="77777777" w:rsidTr="0077297B">
        <w:tc>
          <w:tcPr>
            <w:tcW w:w="1418" w:type="dxa"/>
            <w:shd w:val="clear" w:color="auto" w:fill="FFD966"/>
            <w:vAlign w:val="center"/>
          </w:tcPr>
          <w:p w14:paraId="6BFB7390" w14:textId="77777777" w:rsidR="0077297B" w:rsidRPr="00FF207E" w:rsidRDefault="0077297B" w:rsidP="001E304B">
            <w:pPr>
              <w:spacing w:line="240" w:lineRule="auto"/>
              <w:jc w:val="both"/>
              <w:rPr>
                <w:rFonts w:cs="Arial"/>
                <w:b/>
                <w:sz w:val="18"/>
                <w:szCs w:val="18"/>
                <w:lang w:val="sl-SI"/>
              </w:rPr>
            </w:pPr>
            <w:r w:rsidRPr="00FF207E">
              <w:rPr>
                <w:rFonts w:cs="Arial"/>
                <w:b/>
                <w:sz w:val="18"/>
                <w:szCs w:val="18"/>
                <w:lang w:val="sl-SI"/>
              </w:rPr>
              <w:t>ER_Shema-02</w:t>
            </w:r>
          </w:p>
        </w:tc>
        <w:tc>
          <w:tcPr>
            <w:tcW w:w="3362" w:type="dxa"/>
            <w:vAlign w:val="center"/>
          </w:tcPr>
          <w:p w14:paraId="288D53A6" w14:textId="0C80C20E" w:rsidR="0077297B" w:rsidRPr="00FF207E" w:rsidRDefault="005428A9" w:rsidP="001E304B">
            <w:pPr>
              <w:spacing w:line="240" w:lineRule="auto"/>
              <w:jc w:val="both"/>
              <w:rPr>
                <w:rFonts w:cs="Arial"/>
                <w:color w:val="4F81BD" w:themeColor="accent1"/>
                <w:sz w:val="18"/>
                <w:szCs w:val="18"/>
                <w:u w:val="single"/>
                <w:lang w:val="sl-SI"/>
              </w:rPr>
            </w:pPr>
            <w:hyperlink w:anchor="_Projektna_pisarna_z" w:history="1">
              <w:r w:rsidR="0077297B" w:rsidRPr="00FF207E">
                <w:rPr>
                  <w:rStyle w:val="Hiperpovezava"/>
                  <w:rFonts w:cs="Arial"/>
                  <w:color w:val="4F81BD" w:themeColor="accent1"/>
                  <w:sz w:val="18"/>
                  <w:szCs w:val="18"/>
                  <w:lang w:val="sl-SI"/>
                </w:rPr>
                <w:t>Projektna pisarna z regionalnimi svetovalnimi točkami za energetsko revščino</w:t>
              </w:r>
            </w:hyperlink>
          </w:p>
        </w:tc>
        <w:tc>
          <w:tcPr>
            <w:tcW w:w="1410" w:type="dxa"/>
            <w:vAlign w:val="center"/>
          </w:tcPr>
          <w:p w14:paraId="50CED65A"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nov ukrep</w:t>
            </w:r>
          </w:p>
        </w:tc>
        <w:tc>
          <w:tcPr>
            <w:tcW w:w="1410" w:type="dxa"/>
            <w:vAlign w:val="center"/>
          </w:tcPr>
          <w:p w14:paraId="2A022CBD"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organizacijski</w:t>
            </w:r>
          </w:p>
        </w:tc>
        <w:tc>
          <w:tcPr>
            <w:tcW w:w="1472" w:type="dxa"/>
            <w:vAlign w:val="center"/>
          </w:tcPr>
          <w:p w14:paraId="307B13AC"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 xml:space="preserve">MOPE, </w:t>
            </w:r>
            <w:r w:rsidRPr="00FF207E">
              <w:rPr>
                <w:rFonts w:cs="Arial"/>
                <w:sz w:val="18"/>
                <w:szCs w:val="18"/>
                <w:lang w:val="sl-SI"/>
              </w:rPr>
              <w:br/>
            </w:r>
            <w:proofErr w:type="spellStart"/>
            <w:r w:rsidRPr="00FF207E">
              <w:rPr>
                <w:rFonts w:cs="Arial"/>
                <w:sz w:val="18"/>
                <w:szCs w:val="18"/>
                <w:lang w:val="sl-SI"/>
              </w:rPr>
              <w:t>Eko</w:t>
            </w:r>
            <w:proofErr w:type="spellEnd"/>
            <w:r w:rsidRPr="00FF207E">
              <w:rPr>
                <w:rFonts w:cs="Arial"/>
                <w:sz w:val="18"/>
                <w:szCs w:val="18"/>
                <w:lang w:val="sl-SI"/>
              </w:rPr>
              <w:t xml:space="preserve"> sklad</w:t>
            </w:r>
          </w:p>
        </w:tc>
      </w:tr>
      <w:tr w:rsidR="0077297B" w:rsidRPr="00FF207E" w14:paraId="19250EA8" w14:textId="77777777" w:rsidTr="0077297B">
        <w:tc>
          <w:tcPr>
            <w:tcW w:w="1418" w:type="dxa"/>
            <w:shd w:val="clear" w:color="auto" w:fill="FFD966"/>
            <w:vAlign w:val="center"/>
          </w:tcPr>
          <w:p w14:paraId="4A76DBC5" w14:textId="77777777" w:rsidR="0077297B" w:rsidRPr="00FF207E" w:rsidRDefault="0077297B" w:rsidP="001E304B">
            <w:pPr>
              <w:spacing w:line="240" w:lineRule="auto"/>
              <w:jc w:val="both"/>
              <w:rPr>
                <w:rFonts w:cs="Arial"/>
                <w:sz w:val="18"/>
                <w:szCs w:val="18"/>
                <w:lang w:val="sl-SI"/>
              </w:rPr>
            </w:pPr>
            <w:r w:rsidRPr="00FF207E">
              <w:rPr>
                <w:rFonts w:cs="Arial"/>
                <w:b/>
                <w:sz w:val="18"/>
                <w:szCs w:val="18"/>
                <w:lang w:val="sl-SI"/>
              </w:rPr>
              <w:t>ER_Shema-03</w:t>
            </w:r>
          </w:p>
        </w:tc>
        <w:tc>
          <w:tcPr>
            <w:tcW w:w="3362" w:type="dxa"/>
            <w:vAlign w:val="center"/>
          </w:tcPr>
          <w:p w14:paraId="4CD9EDCE" w14:textId="42A13A93" w:rsidR="0077297B" w:rsidRPr="00FF207E" w:rsidRDefault="005428A9" w:rsidP="001E304B">
            <w:pPr>
              <w:spacing w:line="240" w:lineRule="auto"/>
              <w:jc w:val="both"/>
              <w:rPr>
                <w:rFonts w:cs="Arial"/>
                <w:color w:val="4F81BD" w:themeColor="accent1"/>
                <w:sz w:val="18"/>
                <w:szCs w:val="18"/>
                <w:u w:val="single"/>
                <w:lang w:val="sl-SI"/>
              </w:rPr>
            </w:pPr>
            <w:hyperlink w:anchor="_Neformalna_mreža_za" w:history="1">
              <w:r w:rsidR="0077297B" w:rsidRPr="00FF207E">
                <w:rPr>
                  <w:rStyle w:val="Hiperpovezava"/>
                  <w:rFonts w:cs="Arial"/>
                  <w:color w:val="4F81BD" w:themeColor="accent1"/>
                  <w:sz w:val="18"/>
                  <w:szCs w:val="18"/>
                  <w:lang w:val="sl-SI"/>
                </w:rPr>
                <w:t>Neformalna mreža za informiranje in ozaveščanje</w:t>
              </w:r>
            </w:hyperlink>
          </w:p>
        </w:tc>
        <w:tc>
          <w:tcPr>
            <w:tcW w:w="1410" w:type="dxa"/>
            <w:vAlign w:val="center"/>
          </w:tcPr>
          <w:p w14:paraId="5F84DE7C"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nov ukrep</w:t>
            </w:r>
          </w:p>
        </w:tc>
        <w:tc>
          <w:tcPr>
            <w:tcW w:w="1410" w:type="dxa"/>
            <w:vAlign w:val="center"/>
          </w:tcPr>
          <w:p w14:paraId="07583569"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organizacijski</w:t>
            </w:r>
          </w:p>
        </w:tc>
        <w:tc>
          <w:tcPr>
            <w:tcW w:w="1472" w:type="dxa"/>
            <w:vAlign w:val="center"/>
          </w:tcPr>
          <w:p w14:paraId="5E05A202"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 xml:space="preserve">MOPE, </w:t>
            </w:r>
            <w:r w:rsidRPr="00FF207E">
              <w:rPr>
                <w:rFonts w:cs="Arial"/>
                <w:sz w:val="18"/>
                <w:szCs w:val="18"/>
                <w:lang w:val="sl-SI"/>
              </w:rPr>
              <w:br/>
            </w:r>
            <w:proofErr w:type="spellStart"/>
            <w:r w:rsidRPr="00FF207E">
              <w:rPr>
                <w:rFonts w:cs="Arial"/>
                <w:sz w:val="18"/>
                <w:szCs w:val="18"/>
                <w:lang w:val="sl-SI"/>
              </w:rPr>
              <w:t>Eko</w:t>
            </w:r>
            <w:proofErr w:type="spellEnd"/>
            <w:r w:rsidRPr="00FF207E">
              <w:rPr>
                <w:rFonts w:cs="Arial"/>
                <w:sz w:val="18"/>
                <w:szCs w:val="18"/>
                <w:lang w:val="sl-SI"/>
              </w:rPr>
              <w:t xml:space="preserve"> sklad</w:t>
            </w:r>
          </w:p>
        </w:tc>
      </w:tr>
      <w:tr w:rsidR="0077297B" w:rsidRPr="00FF207E" w14:paraId="6B7AE350" w14:textId="77777777" w:rsidTr="0077297B">
        <w:tc>
          <w:tcPr>
            <w:tcW w:w="1418" w:type="dxa"/>
            <w:tcBorders>
              <w:bottom w:val="single" w:sz="4" w:space="0" w:color="548DD4" w:themeColor="text2" w:themeTint="99"/>
            </w:tcBorders>
            <w:shd w:val="clear" w:color="auto" w:fill="D6E3BC" w:themeFill="accent3" w:themeFillTint="66"/>
            <w:vAlign w:val="center"/>
          </w:tcPr>
          <w:p w14:paraId="3DAFF409" w14:textId="77777777" w:rsidR="0077297B" w:rsidRPr="00FF207E" w:rsidRDefault="0077297B" w:rsidP="001E304B">
            <w:pPr>
              <w:spacing w:line="240" w:lineRule="auto"/>
              <w:jc w:val="both"/>
              <w:rPr>
                <w:rFonts w:cs="Arial"/>
                <w:sz w:val="18"/>
                <w:szCs w:val="18"/>
                <w:lang w:val="sl-SI"/>
              </w:rPr>
            </w:pPr>
            <w:r w:rsidRPr="00FF207E">
              <w:rPr>
                <w:rFonts w:cs="Arial"/>
                <w:b/>
                <w:sz w:val="18"/>
                <w:szCs w:val="18"/>
                <w:lang w:val="sl-SI"/>
              </w:rPr>
              <w:t>ER_Shema-04</w:t>
            </w:r>
          </w:p>
        </w:tc>
        <w:tc>
          <w:tcPr>
            <w:tcW w:w="3362" w:type="dxa"/>
            <w:tcBorders>
              <w:bottom w:val="single" w:sz="4" w:space="0" w:color="548DD4" w:themeColor="text2" w:themeTint="99"/>
            </w:tcBorders>
            <w:vAlign w:val="center"/>
          </w:tcPr>
          <w:p w14:paraId="2231CF2B" w14:textId="3E50E8AD" w:rsidR="0077297B" w:rsidRPr="00FF207E" w:rsidRDefault="005428A9" w:rsidP="001E304B">
            <w:pPr>
              <w:spacing w:line="240" w:lineRule="auto"/>
              <w:jc w:val="both"/>
              <w:rPr>
                <w:rFonts w:cs="Arial"/>
                <w:bCs/>
                <w:color w:val="4F81BD" w:themeColor="accent1"/>
                <w:sz w:val="18"/>
                <w:szCs w:val="18"/>
                <w:u w:val="single"/>
                <w:lang w:val="sl-SI"/>
              </w:rPr>
            </w:pPr>
            <w:hyperlink w:anchor="_Energetsko_svetovanje_za" w:history="1">
              <w:r w:rsidR="0077297B" w:rsidRPr="00FF207E">
                <w:rPr>
                  <w:rFonts w:cs="Arial"/>
                  <w:color w:val="4F81BD" w:themeColor="accent1"/>
                  <w:sz w:val="18"/>
                  <w:szCs w:val="18"/>
                  <w:u w:val="single"/>
                  <w:lang w:val="sl-SI"/>
                </w:rPr>
                <w:t>Energetsko svetovanje za energetsko revne</w:t>
              </w:r>
            </w:hyperlink>
          </w:p>
        </w:tc>
        <w:tc>
          <w:tcPr>
            <w:tcW w:w="1410" w:type="dxa"/>
            <w:tcBorders>
              <w:bottom w:val="single" w:sz="4" w:space="0" w:color="548DD4" w:themeColor="text2" w:themeTint="99"/>
            </w:tcBorders>
            <w:vAlign w:val="center"/>
          </w:tcPr>
          <w:p w14:paraId="6BE56C8D" w14:textId="3DCB6A22" w:rsidR="0077297B" w:rsidRPr="00FF207E" w:rsidRDefault="00736A5E" w:rsidP="001E304B">
            <w:pPr>
              <w:spacing w:line="240" w:lineRule="auto"/>
              <w:jc w:val="both"/>
              <w:rPr>
                <w:rFonts w:cs="Arial"/>
                <w:sz w:val="18"/>
                <w:szCs w:val="18"/>
                <w:lang w:val="sl-SI"/>
              </w:rPr>
            </w:pPr>
            <w:r w:rsidRPr="00FF207E">
              <w:rPr>
                <w:rFonts w:cs="Arial"/>
                <w:sz w:val="18"/>
                <w:szCs w:val="18"/>
                <w:lang w:val="sl-SI"/>
              </w:rPr>
              <w:t xml:space="preserve">veljaven </w:t>
            </w:r>
            <w:r w:rsidR="0077297B" w:rsidRPr="00FF207E">
              <w:rPr>
                <w:rFonts w:cs="Arial"/>
                <w:sz w:val="18"/>
                <w:szCs w:val="18"/>
                <w:lang w:val="sl-SI"/>
              </w:rPr>
              <w:t>ukrep z nadgradnjo</w:t>
            </w:r>
          </w:p>
        </w:tc>
        <w:tc>
          <w:tcPr>
            <w:tcW w:w="1410" w:type="dxa"/>
            <w:tcBorders>
              <w:bottom w:val="single" w:sz="4" w:space="0" w:color="548DD4" w:themeColor="text2" w:themeTint="99"/>
            </w:tcBorders>
            <w:vAlign w:val="center"/>
          </w:tcPr>
          <w:p w14:paraId="5B824572"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svetovanje, usposabljanje</w:t>
            </w:r>
          </w:p>
        </w:tc>
        <w:tc>
          <w:tcPr>
            <w:tcW w:w="1472" w:type="dxa"/>
            <w:tcBorders>
              <w:bottom w:val="single" w:sz="4" w:space="0" w:color="548DD4" w:themeColor="text2" w:themeTint="99"/>
            </w:tcBorders>
            <w:vAlign w:val="center"/>
          </w:tcPr>
          <w:p w14:paraId="2FAF19BB" w14:textId="77777777" w:rsidR="0077297B" w:rsidRPr="00FF207E" w:rsidRDefault="0077297B" w:rsidP="001E304B">
            <w:pPr>
              <w:spacing w:line="240" w:lineRule="auto"/>
              <w:jc w:val="both"/>
              <w:rPr>
                <w:rFonts w:cs="Arial"/>
                <w:sz w:val="18"/>
                <w:szCs w:val="18"/>
                <w:lang w:val="sl-SI"/>
              </w:rPr>
            </w:pPr>
            <w:proofErr w:type="spellStart"/>
            <w:r w:rsidRPr="00FF207E">
              <w:rPr>
                <w:rFonts w:cs="Arial"/>
                <w:sz w:val="18"/>
                <w:szCs w:val="18"/>
                <w:lang w:val="sl-SI"/>
              </w:rPr>
              <w:t>Eko</w:t>
            </w:r>
            <w:proofErr w:type="spellEnd"/>
            <w:r w:rsidRPr="00FF207E">
              <w:rPr>
                <w:rFonts w:cs="Arial"/>
                <w:sz w:val="18"/>
                <w:szCs w:val="18"/>
                <w:lang w:val="sl-SI"/>
              </w:rPr>
              <w:t xml:space="preserve"> sklad</w:t>
            </w:r>
          </w:p>
        </w:tc>
      </w:tr>
      <w:tr w:rsidR="0077297B" w:rsidRPr="00FF207E" w14:paraId="0551C2F7" w14:textId="77777777" w:rsidTr="0077297B">
        <w:tc>
          <w:tcPr>
            <w:tcW w:w="1418" w:type="dxa"/>
            <w:tcBorders>
              <w:top w:val="single" w:sz="4" w:space="0" w:color="548DD4" w:themeColor="text2" w:themeTint="99"/>
              <w:bottom w:val="single" w:sz="4" w:space="0" w:color="548DD4" w:themeColor="text2" w:themeTint="99"/>
            </w:tcBorders>
            <w:shd w:val="clear" w:color="auto" w:fill="D6E3BC" w:themeFill="accent3" w:themeFillTint="66"/>
            <w:vAlign w:val="center"/>
          </w:tcPr>
          <w:p w14:paraId="646F5FBC" w14:textId="77777777" w:rsidR="0077297B" w:rsidRPr="00FF207E" w:rsidRDefault="0077297B" w:rsidP="001E304B">
            <w:pPr>
              <w:spacing w:line="240" w:lineRule="auto"/>
              <w:jc w:val="both"/>
              <w:rPr>
                <w:rFonts w:cs="Arial"/>
                <w:sz w:val="18"/>
                <w:szCs w:val="18"/>
                <w:lang w:val="sl-SI"/>
              </w:rPr>
            </w:pPr>
            <w:r w:rsidRPr="00FF207E">
              <w:rPr>
                <w:rFonts w:cs="Arial"/>
                <w:b/>
                <w:sz w:val="18"/>
                <w:szCs w:val="18"/>
                <w:lang w:val="sl-SI"/>
              </w:rPr>
              <w:t>ER_Shema-05</w:t>
            </w:r>
          </w:p>
        </w:tc>
        <w:tc>
          <w:tcPr>
            <w:tcW w:w="3362" w:type="dxa"/>
            <w:tcBorders>
              <w:top w:val="single" w:sz="4" w:space="0" w:color="548DD4" w:themeColor="text2" w:themeTint="99"/>
              <w:bottom w:val="single" w:sz="4" w:space="0" w:color="548DD4" w:themeColor="text2" w:themeTint="99"/>
            </w:tcBorders>
            <w:vAlign w:val="center"/>
          </w:tcPr>
          <w:p w14:paraId="1FB889E3" w14:textId="40FB156E" w:rsidR="0077297B" w:rsidRPr="00FF207E" w:rsidRDefault="005428A9" w:rsidP="001E304B">
            <w:pPr>
              <w:spacing w:line="240" w:lineRule="auto"/>
              <w:jc w:val="both"/>
              <w:rPr>
                <w:rFonts w:cs="Arial"/>
                <w:color w:val="4F81BD" w:themeColor="accent1"/>
                <w:sz w:val="18"/>
                <w:szCs w:val="18"/>
                <w:u w:val="single"/>
                <w:lang w:val="sl-SI"/>
              </w:rPr>
            </w:pPr>
            <w:hyperlink w:anchor="_Informiranje_članov_neformalne" w:history="1">
              <w:r w:rsidR="00DC567D" w:rsidRPr="00FF207E">
                <w:rPr>
                  <w:rStyle w:val="Hiperpovezava"/>
                  <w:rFonts w:cs="Arial"/>
                  <w:color w:val="4F81BD" w:themeColor="accent1"/>
                  <w:sz w:val="18"/>
                  <w:szCs w:val="18"/>
                  <w:lang w:val="sl-SI"/>
                </w:rPr>
                <w:t>Stalno i</w:t>
              </w:r>
              <w:r w:rsidR="0077297B" w:rsidRPr="00FF207E">
                <w:rPr>
                  <w:rStyle w:val="Hiperpovezava"/>
                  <w:rFonts w:cs="Arial"/>
                  <w:color w:val="4F81BD" w:themeColor="accent1"/>
                  <w:sz w:val="18"/>
                  <w:szCs w:val="18"/>
                  <w:lang w:val="sl-SI"/>
                </w:rPr>
                <w:t>nformiranje članov neformalne mreže za informiranje in ozaveščanje na regionalni ravni</w:t>
              </w:r>
            </w:hyperlink>
          </w:p>
        </w:tc>
        <w:tc>
          <w:tcPr>
            <w:tcW w:w="1410" w:type="dxa"/>
            <w:tcBorders>
              <w:top w:val="single" w:sz="4" w:space="0" w:color="548DD4" w:themeColor="text2" w:themeTint="99"/>
              <w:bottom w:val="single" w:sz="4" w:space="0" w:color="548DD4" w:themeColor="text2" w:themeTint="99"/>
            </w:tcBorders>
            <w:vAlign w:val="center"/>
          </w:tcPr>
          <w:p w14:paraId="058E9419"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nov ukrep</w:t>
            </w:r>
          </w:p>
        </w:tc>
        <w:tc>
          <w:tcPr>
            <w:tcW w:w="1410" w:type="dxa"/>
            <w:tcBorders>
              <w:top w:val="single" w:sz="4" w:space="0" w:color="548DD4" w:themeColor="text2" w:themeTint="99"/>
              <w:bottom w:val="single" w:sz="4" w:space="0" w:color="548DD4" w:themeColor="text2" w:themeTint="99"/>
            </w:tcBorders>
            <w:vAlign w:val="center"/>
          </w:tcPr>
          <w:p w14:paraId="49D43343"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informiranje, ozaveščanje, usposabljanje</w:t>
            </w:r>
          </w:p>
        </w:tc>
        <w:tc>
          <w:tcPr>
            <w:tcW w:w="1472" w:type="dxa"/>
            <w:tcBorders>
              <w:top w:val="single" w:sz="4" w:space="0" w:color="548DD4" w:themeColor="text2" w:themeTint="99"/>
              <w:bottom w:val="single" w:sz="4" w:space="0" w:color="548DD4" w:themeColor="text2" w:themeTint="99"/>
            </w:tcBorders>
            <w:vAlign w:val="center"/>
          </w:tcPr>
          <w:p w14:paraId="6CBF634F" w14:textId="77777777" w:rsidR="0077297B" w:rsidRPr="00FF207E" w:rsidRDefault="0077297B" w:rsidP="001E304B">
            <w:pPr>
              <w:spacing w:line="240" w:lineRule="auto"/>
              <w:jc w:val="both"/>
              <w:rPr>
                <w:rFonts w:cs="Arial"/>
                <w:sz w:val="18"/>
                <w:szCs w:val="18"/>
                <w:lang w:val="sl-SI"/>
              </w:rPr>
            </w:pPr>
            <w:proofErr w:type="spellStart"/>
            <w:r w:rsidRPr="00FF207E">
              <w:rPr>
                <w:rFonts w:cs="Arial"/>
                <w:sz w:val="18"/>
                <w:szCs w:val="18"/>
                <w:lang w:val="sl-SI"/>
              </w:rPr>
              <w:t>Eko</w:t>
            </w:r>
            <w:proofErr w:type="spellEnd"/>
            <w:r w:rsidRPr="00FF207E">
              <w:rPr>
                <w:rFonts w:cs="Arial"/>
                <w:sz w:val="18"/>
                <w:szCs w:val="18"/>
                <w:lang w:val="sl-SI"/>
              </w:rPr>
              <w:t xml:space="preserve"> sklad</w:t>
            </w:r>
          </w:p>
        </w:tc>
      </w:tr>
      <w:tr w:rsidR="0077297B" w:rsidRPr="00FF207E" w14:paraId="4BB53FFA" w14:textId="77777777" w:rsidTr="0077297B">
        <w:tc>
          <w:tcPr>
            <w:tcW w:w="1418" w:type="dxa"/>
            <w:tcBorders>
              <w:top w:val="single" w:sz="4" w:space="0" w:color="548DD4" w:themeColor="text2" w:themeTint="99"/>
              <w:bottom w:val="single" w:sz="4" w:space="0" w:color="548DD4" w:themeColor="text2" w:themeTint="99"/>
            </w:tcBorders>
            <w:shd w:val="clear" w:color="auto" w:fill="D6E3BC" w:themeFill="accent3" w:themeFillTint="66"/>
            <w:vAlign w:val="center"/>
          </w:tcPr>
          <w:p w14:paraId="2CB13B8C" w14:textId="77777777" w:rsidR="0077297B" w:rsidRPr="00FF207E" w:rsidRDefault="0077297B" w:rsidP="001E304B">
            <w:pPr>
              <w:spacing w:line="240" w:lineRule="auto"/>
              <w:jc w:val="both"/>
              <w:rPr>
                <w:rFonts w:cs="Arial"/>
                <w:sz w:val="18"/>
                <w:szCs w:val="18"/>
                <w:lang w:val="sl-SI"/>
              </w:rPr>
            </w:pPr>
            <w:r w:rsidRPr="00FF207E">
              <w:rPr>
                <w:rFonts w:cs="Arial"/>
                <w:b/>
                <w:sz w:val="18"/>
                <w:szCs w:val="18"/>
                <w:lang w:val="sl-SI"/>
              </w:rPr>
              <w:t>ER_Shema-06</w:t>
            </w:r>
          </w:p>
        </w:tc>
        <w:tc>
          <w:tcPr>
            <w:tcW w:w="3362" w:type="dxa"/>
            <w:tcBorders>
              <w:top w:val="single" w:sz="4" w:space="0" w:color="548DD4" w:themeColor="text2" w:themeTint="99"/>
              <w:bottom w:val="single" w:sz="4" w:space="0" w:color="548DD4" w:themeColor="text2" w:themeTint="99"/>
            </w:tcBorders>
            <w:vAlign w:val="center"/>
          </w:tcPr>
          <w:p w14:paraId="26463E15" w14:textId="7B71FBF7" w:rsidR="0077297B" w:rsidRPr="00FF207E" w:rsidRDefault="005428A9" w:rsidP="001E304B">
            <w:pPr>
              <w:spacing w:line="240" w:lineRule="auto"/>
              <w:jc w:val="both"/>
              <w:rPr>
                <w:rFonts w:cs="Arial"/>
                <w:bCs/>
                <w:color w:val="4F81BD" w:themeColor="accent1"/>
                <w:sz w:val="18"/>
                <w:szCs w:val="18"/>
                <w:u w:val="single"/>
                <w:lang w:val="sl-SI"/>
              </w:rPr>
            </w:pPr>
            <w:hyperlink w:anchor="_Informiranje_in_ozaveščanje" w:history="1">
              <w:r w:rsidR="0077297B" w:rsidRPr="00FF207E">
                <w:rPr>
                  <w:rStyle w:val="Hiperpovezava"/>
                  <w:rFonts w:cs="Arial"/>
                  <w:bCs/>
                  <w:color w:val="4F81BD" w:themeColor="accent1"/>
                  <w:sz w:val="18"/>
                  <w:szCs w:val="18"/>
                  <w:lang w:val="sl-SI"/>
                </w:rPr>
                <w:t>Informiranje in ozaveščanje energetsko revnih</w:t>
              </w:r>
            </w:hyperlink>
          </w:p>
        </w:tc>
        <w:tc>
          <w:tcPr>
            <w:tcW w:w="1410" w:type="dxa"/>
            <w:tcBorders>
              <w:top w:val="single" w:sz="4" w:space="0" w:color="548DD4" w:themeColor="text2" w:themeTint="99"/>
              <w:bottom w:val="single" w:sz="4" w:space="0" w:color="548DD4" w:themeColor="text2" w:themeTint="99"/>
            </w:tcBorders>
            <w:vAlign w:val="center"/>
          </w:tcPr>
          <w:p w14:paraId="6FC86565"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nov ukrep</w:t>
            </w:r>
          </w:p>
        </w:tc>
        <w:tc>
          <w:tcPr>
            <w:tcW w:w="1410" w:type="dxa"/>
            <w:tcBorders>
              <w:top w:val="single" w:sz="4" w:space="0" w:color="548DD4" w:themeColor="text2" w:themeTint="99"/>
              <w:bottom w:val="single" w:sz="4" w:space="0" w:color="548DD4" w:themeColor="text2" w:themeTint="99"/>
            </w:tcBorders>
            <w:vAlign w:val="center"/>
          </w:tcPr>
          <w:p w14:paraId="75E6D59D"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informiranje, ozaveščanje</w:t>
            </w:r>
          </w:p>
        </w:tc>
        <w:tc>
          <w:tcPr>
            <w:tcW w:w="1472" w:type="dxa"/>
            <w:tcBorders>
              <w:top w:val="single" w:sz="4" w:space="0" w:color="548DD4" w:themeColor="text2" w:themeTint="99"/>
              <w:bottom w:val="single" w:sz="4" w:space="0" w:color="548DD4" w:themeColor="text2" w:themeTint="99"/>
            </w:tcBorders>
            <w:shd w:val="clear" w:color="auto" w:fill="auto"/>
            <w:vAlign w:val="center"/>
          </w:tcPr>
          <w:p w14:paraId="339DE70A" w14:textId="77777777" w:rsidR="0077297B" w:rsidRPr="00FF207E" w:rsidRDefault="0077297B" w:rsidP="001E304B">
            <w:pPr>
              <w:spacing w:line="240" w:lineRule="auto"/>
              <w:jc w:val="both"/>
              <w:rPr>
                <w:rFonts w:cs="Arial"/>
                <w:sz w:val="18"/>
                <w:szCs w:val="18"/>
                <w:lang w:val="sl-SI"/>
              </w:rPr>
            </w:pPr>
            <w:proofErr w:type="spellStart"/>
            <w:r w:rsidRPr="00FF207E">
              <w:rPr>
                <w:rFonts w:cs="Arial"/>
                <w:sz w:val="18"/>
                <w:szCs w:val="18"/>
                <w:lang w:val="sl-SI"/>
              </w:rPr>
              <w:t>Eko</w:t>
            </w:r>
            <w:proofErr w:type="spellEnd"/>
            <w:r w:rsidRPr="00FF207E">
              <w:rPr>
                <w:rFonts w:cs="Arial"/>
                <w:sz w:val="18"/>
                <w:szCs w:val="18"/>
                <w:lang w:val="sl-SI"/>
              </w:rPr>
              <w:t xml:space="preserve"> sklad</w:t>
            </w:r>
          </w:p>
        </w:tc>
      </w:tr>
      <w:tr w:rsidR="0077297B" w:rsidRPr="00FF207E" w14:paraId="7E28FEF1" w14:textId="77777777" w:rsidTr="0077297B">
        <w:tc>
          <w:tcPr>
            <w:tcW w:w="1418" w:type="dxa"/>
            <w:tcBorders>
              <w:top w:val="single" w:sz="4" w:space="0" w:color="548DD4" w:themeColor="text2" w:themeTint="99"/>
              <w:bottom w:val="single" w:sz="4" w:space="0" w:color="548DD4" w:themeColor="text2" w:themeTint="99"/>
            </w:tcBorders>
            <w:shd w:val="clear" w:color="auto" w:fill="FFD966"/>
            <w:vAlign w:val="center"/>
          </w:tcPr>
          <w:p w14:paraId="03642F64" w14:textId="77777777" w:rsidR="0077297B" w:rsidRPr="00FF207E" w:rsidRDefault="0077297B" w:rsidP="001E304B">
            <w:pPr>
              <w:spacing w:line="240" w:lineRule="auto"/>
              <w:jc w:val="both"/>
              <w:rPr>
                <w:rFonts w:cs="Arial"/>
                <w:sz w:val="18"/>
                <w:szCs w:val="18"/>
                <w:lang w:val="sl-SI"/>
              </w:rPr>
            </w:pPr>
            <w:r w:rsidRPr="00FF207E">
              <w:rPr>
                <w:rFonts w:cs="Arial"/>
                <w:b/>
                <w:sz w:val="18"/>
                <w:szCs w:val="18"/>
                <w:lang w:val="sl-SI"/>
              </w:rPr>
              <w:t>ER_Shema-07</w:t>
            </w:r>
          </w:p>
        </w:tc>
        <w:tc>
          <w:tcPr>
            <w:tcW w:w="3362" w:type="dxa"/>
            <w:tcBorders>
              <w:top w:val="single" w:sz="4" w:space="0" w:color="548DD4" w:themeColor="text2" w:themeTint="99"/>
              <w:bottom w:val="single" w:sz="4" w:space="0" w:color="548DD4" w:themeColor="text2" w:themeTint="99"/>
            </w:tcBorders>
            <w:vAlign w:val="center"/>
          </w:tcPr>
          <w:p w14:paraId="357AD370" w14:textId="5EDC3F38" w:rsidR="0077297B" w:rsidRPr="00FF207E" w:rsidRDefault="005428A9" w:rsidP="001E304B">
            <w:pPr>
              <w:spacing w:line="240" w:lineRule="auto"/>
              <w:jc w:val="both"/>
              <w:rPr>
                <w:rFonts w:cs="Arial"/>
                <w:color w:val="4F81BD" w:themeColor="accent1"/>
                <w:sz w:val="18"/>
                <w:szCs w:val="18"/>
                <w:u w:val="single"/>
                <w:lang w:val="sl-SI"/>
              </w:rPr>
            </w:pPr>
            <w:hyperlink w:anchor="_Sosvet_za_energetsko" w:history="1">
              <w:r w:rsidR="0077297B" w:rsidRPr="00FF207E">
                <w:rPr>
                  <w:rStyle w:val="Hiperpovezava"/>
                  <w:rFonts w:cs="Arial"/>
                  <w:color w:val="4F81BD" w:themeColor="accent1"/>
                  <w:sz w:val="18"/>
                  <w:szCs w:val="18"/>
                  <w:lang w:val="sl-SI"/>
                </w:rPr>
                <w:t>Sosvet za energetsko revščino</w:t>
              </w:r>
            </w:hyperlink>
          </w:p>
        </w:tc>
        <w:tc>
          <w:tcPr>
            <w:tcW w:w="1410" w:type="dxa"/>
            <w:tcBorders>
              <w:top w:val="single" w:sz="4" w:space="0" w:color="548DD4" w:themeColor="text2" w:themeTint="99"/>
              <w:bottom w:val="single" w:sz="4" w:space="0" w:color="548DD4" w:themeColor="text2" w:themeTint="99"/>
            </w:tcBorders>
            <w:vAlign w:val="center"/>
          </w:tcPr>
          <w:p w14:paraId="440E4DCC"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nov ukrep</w:t>
            </w:r>
          </w:p>
        </w:tc>
        <w:tc>
          <w:tcPr>
            <w:tcW w:w="1410" w:type="dxa"/>
            <w:tcBorders>
              <w:top w:val="single" w:sz="4" w:space="0" w:color="548DD4" w:themeColor="text2" w:themeTint="99"/>
              <w:bottom w:val="single" w:sz="4" w:space="0" w:color="548DD4" w:themeColor="text2" w:themeTint="99"/>
            </w:tcBorders>
            <w:vAlign w:val="center"/>
          </w:tcPr>
          <w:p w14:paraId="73CB6A57"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organizacijski</w:t>
            </w:r>
          </w:p>
        </w:tc>
        <w:tc>
          <w:tcPr>
            <w:tcW w:w="1472" w:type="dxa"/>
            <w:tcBorders>
              <w:top w:val="single" w:sz="4" w:space="0" w:color="548DD4" w:themeColor="text2" w:themeTint="99"/>
              <w:bottom w:val="single" w:sz="4" w:space="0" w:color="548DD4" w:themeColor="text2" w:themeTint="99"/>
            </w:tcBorders>
            <w:vAlign w:val="center"/>
          </w:tcPr>
          <w:p w14:paraId="5DBB86A3" w14:textId="75F76339" w:rsidR="0077297B" w:rsidRPr="00FF207E" w:rsidRDefault="00DE7C60" w:rsidP="001E304B">
            <w:pPr>
              <w:spacing w:line="240" w:lineRule="auto"/>
              <w:jc w:val="both"/>
              <w:rPr>
                <w:rFonts w:cs="Arial"/>
                <w:sz w:val="18"/>
                <w:szCs w:val="18"/>
                <w:lang w:val="sl-SI"/>
              </w:rPr>
            </w:pPr>
            <w:r w:rsidRPr="00FF207E">
              <w:rPr>
                <w:rFonts w:cs="Arial"/>
                <w:sz w:val="18"/>
                <w:szCs w:val="18"/>
                <w:lang w:val="sl-SI"/>
              </w:rPr>
              <w:t>MOPE v sodelovanju z MDDSZ</w:t>
            </w:r>
          </w:p>
        </w:tc>
      </w:tr>
      <w:tr w:rsidR="0077297B" w:rsidRPr="00FF207E" w14:paraId="0FFB0C91" w14:textId="77777777" w:rsidTr="0077297B">
        <w:tc>
          <w:tcPr>
            <w:tcW w:w="9072" w:type="dxa"/>
            <w:gridSpan w:val="5"/>
            <w:shd w:val="clear" w:color="auto" w:fill="C6D9F1" w:themeFill="text2" w:themeFillTint="33"/>
            <w:vAlign w:val="center"/>
          </w:tcPr>
          <w:p w14:paraId="1C269A52" w14:textId="3FB35CF7" w:rsidR="0077297B" w:rsidRPr="00FF207E" w:rsidRDefault="0006530A" w:rsidP="001E304B">
            <w:pPr>
              <w:spacing w:before="40" w:after="40" w:line="240" w:lineRule="auto"/>
              <w:jc w:val="both"/>
              <w:rPr>
                <w:rFonts w:cs="Arial"/>
                <w:b/>
                <w:sz w:val="18"/>
                <w:szCs w:val="18"/>
                <w:lang w:val="sl-SI"/>
              </w:rPr>
            </w:pPr>
            <w:r w:rsidRPr="00FF207E">
              <w:rPr>
                <w:rFonts w:cs="Arial"/>
                <w:b/>
                <w:sz w:val="18"/>
                <w:szCs w:val="18"/>
                <w:lang w:val="sl-SI"/>
              </w:rPr>
              <w:t xml:space="preserve">DRUGI </w:t>
            </w:r>
            <w:r w:rsidR="0077297B" w:rsidRPr="00FF207E">
              <w:rPr>
                <w:rFonts w:cs="Arial"/>
                <w:b/>
                <w:sz w:val="18"/>
                <w:szCs w:val="18"/>
                <w:lang w:val="sl-SI"/>
              </w:rPr>
              <w:t>FINANČNI UKREPI ZA ZMANJŠEVANJE ENERGETSKE REVŠČINE</w:t>
            </w:r>
          </w:p>
        </w:tc>
      </w:tr>
      <w:tr w:rsidR="0077297B" w:rsidRPr="00FF207E" w14:paraId="18C12248" w14:textId="77777777" w:rsidTr="0077297B">
        <w:tc>
          <w:tcPr>
            <w:tcW w:w="1418" w:type="dxa"/>
            <w:tcBorders>
              <w:bottom w:val="single" w:sz="4" w:space="0" w:color="548DD4" w:themeColor="text2" w:themeTint="99"/>
            </w:tcBorders>
            <w:shd w:val="clear" w:color="auto" w:fill="DAEEF3" w:themeFill="accent5" w:themeFillTint="33"/>
            <w:vAlign w:val="center"/>
          </w:tcPr>
          <w:p w14:paraId="2D1DC2CF" w14:textId="77777777" w:rsidR="0077297B" w:rsidRPr="00FF207E" w:rsidRDefault="0077297B" w:rsidP="001E304B">
            <w:pPr>
              <w:spacing w:line="240" w:lineRule="auto"/>
              <w:jc w:val="both"/>
              <w:rPr>
                <w:rFonts w:cs="Arial"/>
                <w:b/>
                <w:sz w:val="18"/>
                <w:szCs w:val="18"/>
                <w:lang w:val="sl-SI"/>
              </w:rPr>
            </w:pPr>
            <w:r w:rsidRPr="00FF207E">
              <w:rPr>
                <w:rFonts w:cs="Arial"/>
                <w:b/>
                <w:sz w:val="18"/>
                <w:szCs w:val="18"/>
                <w:lang w:val="sl-SI"/>
              </w:rPr>
              <w:lastRenderedPageBreak/>
              <w:t>ER_Fin-01</w:t>
            </w:r>
          </w:p>
        </w:tc>
        <w:tc>
          <w:tcPr>
            <w:tcW w:w="3362" w:type="dxa"/>
            <w:tcBorders>
              <w:bottom w:val="single" w:sz="4" w:space="0" w:color="548DD4" w:themeColor="text2" w:themeTint="99"/>
            </w:tcBorders>
            <w:vAlign w:val="center"/>
          </w:tcPr>
          <w:p w14:paraId="69C75883" w14:textId="4272375D" w:rsidR="0077297B" w:rsidRPr="00FF207E" w:rsidRDefault="005428A9" w:rsidP="001E304B">
            <w:pPr>
              <w:spacing w:line="240" w:lineRule="auto"/>
              <w:jc w:val="both"/>
              <w:rPr>
                <w:rFonts w:cs="Arial"/>
                <w:color w:val="4F81BD" w:themeColor="accent1"/>
                <w:sz w:val="18"/>
                <w:szCs w:val="18"/>
                <w:u w:val="single"/>
                <w:lang w:val="sl-SI"/>
              </w:rPr>
            </w:pPr>
            <w:hyperlink w:anchor="_Sodelovanje_v_energetskih_1" w:history="1">
              <w:r w:rsidR="0077297B" w:rsidRPr="00FF207E">
                <w:rPr>
                  <w:rStyle w:val="Hiperpovezava"/>
                  <w:rFonts w:cs="Arial"/>
                  <w:color w:val="4F81BD" w:themeColor="accent1"/>
                  <w:sz w:val="18"/>
                  <w:szCs w:val="18"/>
                  <w:lang w:val="sl-SI"/>
                </w:rPr>
                <w:t>Sodelovanje v energetskih skupnostih</w:t>
              </w:r>
            </w:hyperlink>
          </w:p>
        </w:tc>
        <w:tc>
          <w:tcPr>
            <w:tcW w:w="1410" w:type="dxa"/>
            <w:tcBorders>
              <w:bottom w:val="single" w:sz="4" w:space="0" w:color="548DD4" w:themeColor="text2" w:themeTint="99"/>
            </w:tcBorders>
            <w:vAlign w:val="center"/>
          </w:tcPr>
          <w:p w14:paraId="1F9B8736"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nov ukrep</w:t>
            </w:r>
          </w:p>
        </w:tc>
        <w:tc>
          <w:tcPr>
            <w:tcW w:w="1410" w:type="dxa"/>
            <w:tcBorders>
              <w:bottom w:val="single" w:sz="4" w:space="0" w:color="548DD4" w:themeColor="text2" w:themeTint="99"/>
            </w:tcBorders>
            <w:vAlign w:val="center"/>
          </w:tcPr>
          <w:p w14:paraId="2C9EF27E"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sklop ukrepov (ekonomski, predpisi, pilotni projekt)</w:t>
            </w:r>
          </w:p>
        </w:tc>
        <w:tc>
          <w:tcPr>
            <w:tcW w:w="1472" w:type="dxa"/>
            <w:tcBorders>
              <w:bottom w:val="single" w:sz="4" w:space="0" w:color="548DD4" w:themeColor="text2" w:themeTint="99"/>
            </w:tcBorders>
            <w:vAlign w:val="center"/>
          </w:tcPr>
          <w:p w14:paraId="68C99760"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MOPE</w:t>
            </w:r>
          </w:p>
        </w:tc>
      </w:tr>
      <w:tr w:rsidR="0077297B" w:rsidRPr="00FF207E" w14:paraId="6A73DEE5" w14:textId="77777777" w:rsidTr="0077297B">
        <w:tc>
          <w:tcPr>
            <w:tcW w:w="1418" w:type="dxa"/>
            <w:tcBorders>
              <w:top w:val="single" w:sz="4" w:space="0" w:color="548DD4" w:themeColor="text2" w:themeTint="99"/>
              <w:bottom w:val="single" w:sz="4" w:space="0" w:color="548DD4" w:themeColor="text2" w:themeTint="99"/>
            </w:tcBorders>
            <w:shd w:val="clear" w:color="auto" w:fill="DAEEF3" w:themeFill="accent5" w:themeFillTint="33"/>
            <w:vAlign w:val="center"/>
          </w:tcPr>
          <w:p w14:paraId="444CE6EB" w14:textId="77777777" w:rsidR="0077297B" w:rsidRPr="00FF207E" w:rsidRDefault="0077297B" w:rsidP="001E304B">
            <w:pPr>
              <w:spacing w:line="240" w:lineRule="auto"/>
              <w:jc w:val="both"/>
              <w:rPr>
                <w:rFonts w:cs="Arial"/>
                <w:b/>
                <w:sz w:val="18"/>
                <w:szCs w:val="18"/>
                <w:lang w:val="sl-SI"/>
              </w:rPr>
            </w:pPr>
            <w:r w:rsidRPr="00FF207E">
              <w:rPr>
                <w:rFonts w:cs="Arial"/>
                <w:b/>
                <w:sz w:val="18"/>
                <w:szCs w:val="18"/>
                <w:lang w:val="sl-SI"/>
              </w:rPr>
              <w:t>ER_Fin-02</w:t>
            </w:r>
          </w:p>
        </w:tc>
        <w:tc>
          <w:tcPr>
            <w:tcW w:w="3362" w:type="dxa"/>
            <w:tcBorders>
              <w:top w:val="single" w:sz="4" w:space="0" w:color="548DD4" w:themeColor="text2" w:themeTint="99"/>
              <w:bottom w:val="single" w:sz="4" w:space="0" w:color="548DD4" w:themeColor="text2" w:themeTint="99"/>
            </w:tcBorders>
            <w:vAlign w:val="center"/>
          </w:tcPr>
          <w:p w14:paraId="55439924" w14:textId="312EDFDA" w:rsidR="0077297B" w:rsidRPr="00FF207E" w:rsidRDefault="005428A9" w:rsidP="001E304B">
            <w:pPr>
              <w:spacing w:line="240" w:lineRule="auto"/>
              <w:jc w:val="both"/>
              <w:rPr>
                <w:rFonts w:cs="Arial"/>
                <w:color w:val="4F81BD" w:themeColor="accent1"/>
                <w:sz w:val="18"/>
                <w:szCs w:val="18"/>
                <w:u w:val="single"/>
                <w:lang w:val="sl-SI"/>
              </w:rPr>
            </w:pPr>
            <w:hyperlink w:anchor="_Denarna_pomoč_CSD_3" w:history="1">
              <w:r w:rsidR="0077297B" w:rsidRPr="00FF207E">
                <w:rPr>
                  <w:rStyle w:val="Hiperpovezava"/>
                  <w:rFonts w:cs="Arial"/>
                  <w:color w:val="4F81BD" w:themeColor="accent1"/>
                  <w:sz w:val="18"/>
                  <w:szCs w:val="18"/>
                  <w:lang w:val="sl-SI"/>
                </w:rPr>
                <w:t xml:space="preserve">Denarna pomoč CSD pri ukrepih URE in </w:t>
              </w:r>
              <w:r w:rsidR="00026105" w:rsidRPr="00FF207E">
                <w:rPr>
                  <w:rStyle w:val="Hiperpovezava"/>
                  <w:rFonts w:cs="Arial"/>
                  <w:color w:val="4F81BD" w:themeColor="accent1"/>
                  <w:sz w:val="18"/>
                  <w:szCs w:val="18"/>
                  <w:lang w:val="sl-SI"/>
                </w:rPr>
                <w:t xml:space="preserve">rabe </w:t>
              </w:r>
              <w:r w:rsidR="0077297B" w:rsidRPr="00FF207E">
                <w:rPr>
                  <w:rStyle w:val="Hiperpovezava"/>
                  <w:rFonts w:cs="Arial"/>
                  <w:color w:val="4F81BD" w:themeColor="accent1"/>
                  <w:sz w:val="18"/>
                  <w:szCs w:val="18"/>
                  <w:lang w:val="sl-SI"/>
                </w:rPr>
                <w:t>OVE</w:t>
              </w:r>
            </w:hyperlink>
          </w:p>
        </w:tc>
        <w:tc>
          <w:tcPr>
            <w:tcW w:w="1410" w:type="dxa"/>
            <w:tcBorders>
              <w:top w:val="single" w:sz="4" w:space="0" w:color="548DD4" w:themeColor="text2" w:themeTint="99"/>
              <w:bottom w:val="single" w:sz="4" w:space="0" w:color="548DD4" w:themeColor="text2" w:themeTint="99"/>
            </w:tcBorders>
            <w:vAlign w:val="center"/>
          </w:tcPr>
          <w:p w14:paraId="1D56D6C4" w14:textId="5F023590" w:rsidR="0077297B" w:rsidRPr="00FF207E" w:rsidRDefault="00736A5E" w:rsidP="001E304B">
            <w:pPr>
              <w:spacing w:line="240" w:lineRule="auto"/>
              <w:jc w:val="both"/>
              <w:rPr>
                <w:rFonts w:cs="Arial"/>
                <w:sz w:val="18"/>
                <w:szCs w:val="18"/>
                <w:lang w:val="sl-SI"/>
              </w:rPr>
            </w:pPr>
            <w:r w:rsidRPr="00FF207E">
              <w:rPr>
                <w:rFonts w:cs="Arial"/>
                <w:sz w:val="18"/>
                <w:szCs w:val="18"/>
                <w:lang w:val="sl-SI"/>
              </w:rPr>
              <w:t xml:space="preserve">veljaven </w:t>
            </w:r>
            <w:r w:rsidR="0077297B" w:rsidRPr="00FF207E">
              <w:rPr>
                <w:rFonts w:cs="Arial"/>
                <w:sz w:val="18"/>
                <w:szCs w:val="18"/>
                <w:lang w:val="sl-SI"/>
              </w:rPr>
              <w:t>ukrep z nadgradnjo</w:t>
            </w:r>
          </w:p>
        </w:tc>
        <w:tc>
          <w:tcPr>
            <w:tcW w:w="1410" w:type="dxa"/>
            <w:tcBorders>
              <w:top w:val="single" w:sz="4" w:space="0" w:color="548DD4" w:themeColor="text2" w:themeTint="99"/>
              <w:bottom w:val="single" w:sz="4" w:space="0" w:color="548DD4" w:themeColor="text2" w:themeTint="99"/>
            </w:tcBorders>
            <w:vAlign w:val="center"/>
          </w:tcPr>
          <w:p w14:paraId="2779EB21"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ekonomski</w:t>
            </w:r>
          </w:p>
        </w:tc>
        <w:tc>
          <w:tcPr>
            <w:tcW w:w="1472" w:type="dxa"/>
            <w:tcBorders>
              <w:top w:val="single" w:sz="4" w:space="0" w:color="548DD4" w:themeColor="text2" w:themeTint="99"/>
              <w:bottom w:val="single" w:sz="4" w:space="0" w:color="548DD4" w:themeColor="text2" w:themeTint="99"/>
            </w:tcBorders>
            <w:vAlign w:val="center"/>
          </w:tcPr>
          <w:p w14:paraId="0B3E273C"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MDDSZ</w:t>
            </w:r>
          </w:p>
        </w:tc>
      </w:tr>
      <w:tr w:rsidR="0077297B" w:rsidRPr="00FF207E" w14:paraId="3E46A802" w14:textId="77777777" w:rsidTr="0077297B">
        <w:tc>
          <w:tcPr>
            <w:tcW w:w="9072" w:type="dxa"/>
            <w:gridSpan w:val="5"/>
            <w:shd w:val="clear" w:color="auto" w:fill="C6D9F1" w:themeFill="text2" w:themeFillTint="33"/>
            <w:vAlign w:val="center"/>
          </w:tcPr>
          <w:p w14:paraId="7A3AD692" w14:textId="72CDBA3D" w:rsidR="0077297B" w:rsidRPr="00FF207E" w:rsidRDefault="0006530A" w:rsidP="00195E6F">
            <w:pPr>
              <w:keepNext/>
              <w:spacing w:before="40" w:after="40" w:line="240" w:lineRule="auto"/>
              <w:jc w:val="both"/>
              <w:rPr>
                <w:rFonts w:cs="Arial"/>
                <w:b/>
                <w:sz w:val="18"/>
                <w:szCs w:val="18"/>
                <w:lang w:val="sl-SI"/>
              </w:rPr>
            </w:pPr>
            <w:r w:rsidRPr="00FF207E">
              <w:rPr>
                <w:rFonts w:cs="Arial"/>
                <w:b/>
                <w:sz w:val="18"/>
                <w:szCs w:val="18"/>
                <w:lang w:val="sl-SI"/>
              </w:rPr>
              <w:t xml:space="preserve">DRUGI </w:t>
            </w:r>
            <w:r w:rsidR="0077297B" w:rsidRPr="00FF207E">
              <w:rPr>
                <w:rFonts w:cs="Arial"/>
                <w:b/>
                <w:sz w:val="18"/>
                <w:szCs w:val="18"/>
                <w:lang w:val="sl-SI"/>
              </w:rPr>
              <w:t>NEFINANČNI UKREPI ZA ZMANJŠEVANJE ENERGETSKE REVŠČINE</w:t>
            </w:r>
          </w:p>
        </w:tc>
      </w:tr>
      <w:tr w:rsidR="0077297B" w:rsidRPr="00FF207E" w14:paraId="05CCC760" w14:textId="77777777" w:rsidTr="0077297B">
        <w:tc>
          <w:tcPr>
            <w:tcW w:w="1418" w:type="dxa"/>
            <w:shd w:val="clear" w:color="auto" w:fill="DAEEF3" w:themeFill="accent5" w:themeFillTint="33"/>
            <w:vAlign w:val="center"/>
          </w:tcPr>
          <w:p w14:paraId="37A83011" w14:textId="77777777" w:rsidR="0077297B" w:rsidRPr="00FF207E" w:rsidRDefault="0077297B" w:rsidP="001E304B">
            <w:pPr>
              <w:spacing w:line="240" w:lineRule="auto"/>
              <w:jc w:val="both"/>
              <w:rPr>
                <w:rFonts w:cs="Arial"/>
                <w:b/>
                <w:sz w:val="18"/>
                <w:szCs w:val="18"/>
                <w:lang w:val="sl-SI"/>
              </w:rPr>
            </w:pPr>
            <w:r w:rsidRPr="00FF207E">
              <w:rPr>
                <w:rFonts w:cs="Arial"/>
                <w:b/>
                <w:sz w:val="18"/>
                <w:szCs w:val="18"/>
                <w:lang w:val="sl-SI"/>
              </w:rPr>
              <w:t>ER_NeFin-01</w:t>
            </w:r>
          </w:p>
        </w:tc>
        <w:tc>
          <w:tcPr>
            <w:tcW w:w="3362" w:type="dxa"/>
            <w:vAlign w:val="center"/>
          </w:tcPr>
          <w:p w14:paraId="4A48BFC3" w14:textId="726BBD69" w:rsidR="0077297B" w:rsidRPr="00FF207E" w:rsidRDefault="005428A9" w:rsidP="001E304B">
            <w:pPr>
              <w:spacing w:line="240" w:lineRule="auto"/>
              <w:jc w:val="both"/>
              <w:rPr>
                <w:rFonts w:cs="Arial"/>
                <w:color w:val="4F81BD" w:themeColor="accent1"/>
                <w:sz w:val="18"/>
                <w:szCs w:val="18"/>
                <w:u w:val="single"/>
                <w:lang w:val="sl-SI"/>
              </w:rPr>
            </w:pPr>
            <w:hyperlink w:anchor="_Sprememba_Uredbe_o" w:history="1">
              <w:r w:rsidR="0077297B" w:rsidRPr="00FF207E">
                <w:rPr>
                  <w:rStyle w:val="Hiperpovezava"/>
                  <w:rFonts w:cs="Arial"/>
                  <w:color w:val="4F81BD" w:themeColor="accent1"/>
                  <w:sz w:val="18"/>
                  <w:szCs w:val="18"/>
                  <w:lang w:val="sl-SI"/>
                </w:rPr>
                <w:t>Sprememba Uredbe o merilih za opredelitev in ocenjevanje števila energetsko revnih gospodinjstev</w:t>
              </w:r>
            </w:hyperlink>
          </w:p>
        </w:tc>
        <w:tc>
          <w:tcPr>
            <w:tcW w:w="1410" w:type="dxa"/>
            <w:vAlign w:val="center"/>
          </w:tcPr>
          <w:p w14:paraId="63F16F88" w14:textId="596EA9B3" w:rsidR="0077297B" w:rsidRPr="00FF207E" w:rsidRDefault="00736A5E" w:rsidP="001E304B">
            <w:pPr>
              <w:spacing w:line="240" w:lineRule="auto"/>
              <w:jc w:val="both"/>
              <w:rPr>
                <w:rFonts w:cs="Arial"/>
                <w:sz w:val="18"/>
                <w:szCs w:val="18"/>
                <w:lang w:val="sl-SI"/>
              </w:rPr>
            </w:pPr>
            <w:r w:rsidRPr="00FF207E">
              <w:rPr>
                <w:rFonts w:cs="Arial"/>
                <w:sz w:val="18"/>
                <w:szCs w:val="18"/>
                <w:lang w:val="sl-SI"/>
              </w:rPr>
              <w:t xml:space="preserve">veljaven </w:t>
            </w:r>
            <w:r w:rsidR="0077297B" w:rsidRPr="00FF207E">
              <w:rPr>
                <w:rFonts w:cs="Arial"/>
                <w:sz w:val="18"/>
                <w:szCs w:val="18"/>
                <w:lang w:val="sl-SI"/>
              </w:rPr>
              <w:t>ukrep z nadgradnjo</w:t>
            </w:r>
          </w:p>
        </w:tc>
        <w:tc>
          <w:tcPr>
            <w:tcW w:w="1410" w:type="dxa"/>
            <w:vAlign w:val="center"/>
          </w:tcPr>
          <w:p w14:paraId="4050B07D"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predpis</w:t>
            </w:r>
          </w:p>
        </w:tc>
        <w:tc>
          <w:tcPr>
            <w:tcW w:w="1472" w:type="dxa"/>
            <w:vAlign w:val="center"/>
          </w:tcPr>
          <w:p w14:paraId="728F7D74"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MOPE</w:t>
            </w:r>
          </w:p>
        </w:tc>
      </w:tr>
      <w:tr w:rsidR="0077297B" w:rsidRPr="00FF207E" w14:paraId="7C432176" w14:textId="77777777" w:rsidTr="0077297B">
        <w:tc>
          <w:tcPr>
            <w:tcW w:w="1418" w:type="dxa"/>
            <w:shd w:val="clear" w:color="auto" w:fill="DAEEF3" w:themeFill="accent5" w:themeFillTint="33"/>
            <w:vAlign w:val="center"/>
          </w:tcPr>
          <w:p w14:paraId="1C0967A6" w14:textId="77777777" w:rsidR="0077297B" w:rsidRPr="00FF207E" w:rsidRDefault="0077297B" w:rsidP="001E304B">
            <w:pPr>
              <w:spacing w:line="240" w:lineRule="auto"/>
              <w:jc w:val="both"/>
              <w:rPr>
                <w:rFonts w:cs="Arial"/>
                <w:b/>
                <w:sz w:val="18"/>
                <w:szCs w:val="18"/>
                <w:lang w:val="sl-SI"/>
              </w:rPr>
            </w:pPr>
            <w:r w:rsidRPr="00FF207E">
              <w:rPr>
                <w:rFonts w:cs="Arial"/>
                <w:b/>
                <w:sz w:val="18"/>
                <w:szCs w:val="18"/>
                <w:lang w:val="sl-SI"/>
              </w:rPr>
              <w:t>ER_NeFin-02</w:t>
            </w:r>
          </w:p>
        </w:tc>
        <w:tc>
          <w:tcPr>
            <w:tcW w:w="3362" w:type="dxa"/>
            <w:vAlign w:val="center"/>
          </w:tcPr>
          <w:p w14:paraId="2FDA0081" w14:textId="73655077" w:rsidR="0077297B" w:rsidRPr="00FF207E" w:rsidRDefault="005428A9" w:rsidP="00331F1E">
            <w:pPr>
              <w:spacing w:line="240" w:lineRule="auto"/>
              <w:jc w:val="both"/>
              <w:rPr>
                <w:rFonts w:cs="Arial"/>
                <w:color w:val="4F81BD" w:themeColor="accent1"/>
                <w:sz w:val="18"/>
                <w:szCs w:val="18"/>
                <w:u w:val="single"/>
                <w:lang w:val="sl-SI"/>
              </w:rPr>
            </w:pPr>
            <w:hyperlink w:anchor="_Vodenje_izvajanja,_spremljanje" w:history="1">
              <w:r w:rsidR="0077297B" w:rsidRPr="00FF207E">
                <w:rPr>
                  <w:rStyle w:val="Hiperpovezava"/>
                  <w:rFonts w:cs="Arial"/>
                  <w:color w:val="4F81BD" w:themeColor="accent1"/>
                  <w:sz w:val="18"/>
                  <w:szCs w:val="18"/>
                  <w:lang w:val="sl-SI"/>
                </w:rPr>
                <w:t>Vodenje izvajanja, spremljanje izvajanja in posodabljanje akcijskega načrta</w:t>
              </w:r>
            </w:hyperlink>
          </w:p>
        </w:tc>
        <w:tc>
          <w:tcPr>
            <w:tcW w:w="1410" w:type="dxa"/>
            <w:vAlign w:val="center"/>
          </w:tcPr>
          <w:p w14:paraId="59522D5A" w14:textId="05711578" w:rsidR="0077297B" w:rsidRPr="00FF207E" w:rsidRDefault="00736A5E" w:rsidP="001E304B">
            <w:pPr>
              <w:spacing w:line="240" w:lineRule="auto"/>
              <w:jc w:val="both"/>
              <w:rPr>
                <w:rFonts w:cs="Arial"/>
                <w:sz w:val="18"/>
                <w:szCs w:val="18"/>
                <w:lang w:val="sl-SI"/>
              </w:rPr>
            </w:pPr>
            <w:r w:rsidRPr="00FF207E">
              <w:rPr>
                <w:rFonts w:cs="Arial"/>
                <w:sz w:val="18"/>
                <w:szCs w:val="18"/>
                <w:lang w:val="sl-SI"/>
              </w:rPr>
              <w:t xml:space="preserve">veljaven </w:t>
            </w:r>
            <w:r w:rsidR="0077297B" w:rsidRPr="00FF207E">
              <w:rPr>
                <w:rFonts w:cs="Arial"/>
                <w:sz w:val="18"/>
                <w:szCs w:val="18"/>
                <w:lang w:val="sl-SI"/>
              </w:rPr>
              <w:t>ukrep z nadgradnjo</w:t>
            </w:r>
          </w:p>
        </w:tc>
        <w:tc>
          <w:tcPr>
            <w:tcW w:w="1410" w:type="dxa"/>
            <w:vAlign w:val="center"/>
          </w:tcPr>
          <w:p w14:paraId="40A2C364"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predpis</w:t>
            </w:r>
          </w:p>
        </w:tc>
        <w:tc>
          <w:tcPr>
            <w:tcW w:w="1472" w:type="dxa"/>
            <w:vAlign w:val="center"/>
          </w:tcPr>
          <w:p w14:paraId="3F2EAA2C"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MOPE</w:t>
            </w:r>
          </w:p>
        </w:tc>
      </w:tr>
      <w:tr w:rsidR="0077297B" w:rsidRPr="00FF207E" w14:paraId="34E27961" w14:textId="77777777" w:rsidTr="0077297B">
        <w:tc>
          <w:tcPr>
            <w:tcW w:w="1418" w:type="dxa"/>
            <w:shd w:val="clear" w:color="auto" w:fill="DAEEF3" w:themeFill="accent5" w:themeFillTint="33"/>
            <w:vAlign w:val="center"/>
          </w:tcPr>
          <w:p w14:paraId="3667B703" w14:textId="77777777" w:rsidR="0077297B" w:rsidRPr="00FF207E" w:rsidRDefault="0077297B" w:rsidP="001E304B">
            <w:pPr>
              <w:spacing w:line="240" w:lineRule="auto"/>
              <w:jc w:val="both"/>
              <w:rPr>
                <w:rFonts w:cs="Arial"/>
                <w:b/>
                <w:sz w:val="18"/>
                <w:szCs w:val="18"/>
                <w:lang w:val="sl-SI"/>
              </w:rPr>
            </w:pPr>
            <w:r w:rsidRPr="00FF207E">
              <w:rPr>
                <w:rFonts w:cs="Arial"/>
                <w:b/>
                <w:sz w:val="18"/>
                <w:szCs w:val="18"/>
                <w:lang w:val="sl-SI"/>
              </w:rPr>
              <w:t>ER_NeFin-03</w:t>
            </w:r>
          </w:p>
        </w:tc>
        <w:tc>
          <w:tcPr>
            <w:tcW w:w="3362" w:type="dxa"/>
            <w:vAlign w:val="center"/>
          </w:tcPr>
          <w:p w14:paraId="43E4AD68" w14:textId="1A34544B" w:rsidR="0077297B" w:rsidRPr="00FF207E" w:rsidRDefault="005428A9" w:rsidP="001E304B">
            <w:pPr>
              <w:spacing w:line="240" w:lineRule="auto"/>
              <w:jc w:val="both"/>
              <w:rPr>
                <w:rFonts w:cs="Arial"/>
                <w:bCs/>
                <w:color w:val="4F81BD" w:themeColor="accent1"/>
                <w:sz w:val="18"/>
                <w:szCs w:val="18"/>
                <w:u w:val="single"/>
                <w:lang w:val="sl-SI"/>
              </w:rPr>
            </w:pPr>
            <w:hyperlink w:anchor="_Zaščita_pred_odklopom" w:history="1">
              <w:r w:rsidR="0077297B" w:rsidRPr="00FF207E">
                <w:rPr>
                  <w:rStyle w:val="Hiperpovezava"/>
                  <w:rFonts w:cs="Arial"/>
                  <w:bCs/>
                  <w:color w:val="4F81BD" w:themeColor="accent1"/>
                  <w:sz w:val="18"/>
                  <w:szCs w:val="18"/>
                  <w:lang w:val="sl-SI"/>
                </w:rPr>
                <w:t>Zaščita pred odklopom in nujna oskrba</w:t>
              </w:r>
            </w:hyperlink>
          </w:p>
        </w:tc>
        <w:tc>
          <w:tcPr>
            <w:tcW w:w="1410" w:type="dxa"/>
            <w:vAlign w:val="center"/>
          </w:tcPr>
          <w:p w14:paraId="36DD34EA" w14:textId="5E513D1C" w:rsidR="0077297B" w:rsidRPr="00FF207E" w:rsidRDefault="00736A5E" w:rsidP="001E304B">
            <w:pPr>
              <w:spacing w:line="240" w:lineRule="auto"/>
              <w:jc w:val="both"/>
              <w:rPr>
                <w:rFonts w:cs="Arial"/>
                <w:sz w:val="18"/>
                <w:szCs w:val="18"/>
                <w:lang w:val="sl-SI"/>
              </w:rPr>
            </w:pPr>
            <w:r w:rsidRPr="00FF207E">
              <w:rPr>
                <w:rFonts w:cs="Arial"/>
                <w:sz w:val="18"/>
                <w:szCs w:val="18"/>
                <w:lang w:val="sl-SI"/>
              </w:rPr>
              <w:t xml:space="preserve">veljaven </w:t>
            </w:r>
            <w:r w:rsidR="0077297B" w:rsidRPr="00FF207E">
              <w:rPr>
                <w:rFonts w:cs="Arial"/>
                <w:sz w:val="18"/>
                <w:szCs w:val="18"/>
                <w:lang w:val="sl-SI"/>
              </w:rPr>
              <w:t>ukrep z nadgradnjo</w:t>
            </w:r>
          </w:p>
        </w:tc>
        <w:tc>
          <w:tcPr>
            <w:tcW w:w="1410" w:type="dxa"/>
            <w:vAlign w:val="center"/>
          </w:tcPr>
          <w:p w14:paraId="5F43CF72"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sklop ukrepov (predpis, informiranje in ozaveščanje)</w:t>
            </w:r>
          </w:p>
        </w:tc>
        <w:tc>
          <w:tcPr>
            <w:tcW w:w="1472" w:type="dxa"/>
            <w:vAlign w:val="center"/>
          </w:tcPr>
          <w:p w14:paraId="477A2B78"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MOPE, Agencija za energijo</w:t>
            </w:r>
          </w:p>
        </w:tc>
      </w:tr>
      <w:tr w:rsidR="0077297B" w:rsidRPr="00FF207E" w14:paraId="04DB717C" w14:textId="77777777" w:rsidTr="0077297B">
        <w:tc>
          <w:tcPr>
            <w:tcW w:w="1418" w:type="dxa"/>
            <w:shd w:val="clear" w:color="auto" w:fill="DAEEF3" w:themeFill="accent5" w:themeFillTint="33"/>
            <w:vAlign w:val="center"/>
          </w:tcPr>
          <w:p w14:paraId="6F574F75" w14:textId="77777777" w:rsidR="0077297B" w:rsidRPr="00FF207E" w:rsidRDefault="0077297B" w:rsidP="001E304B">
            <w:pPr>
              <w:spacing w:line="240" w:lineRule="auto"/>
              <w:jc w:val="both"/>
              <w:rPr>
                <w:rFonts w:cs="Arial"/>
                <w:b/>
                <w:sz w:val="18"/>
                <w:szCs w:val="18"/>
                <w:lang w:val="sl-SI"/>
              </w:rPr>
            </w:pPr>
            <w:r w:rsidRPr="00FF207E">
              <w:rPr>
                <w:rFonts w:cs="Arial"/>
                <w:b/>
                <w:sz w:val="18"/>
                <w:szCs w:val="18"/>
                <w:lang w:val="sl-SI"/>
              </w:rPr>
              <w:t>ER_NeFin-04</w:t>
            </w:r>
          </w:p>
        </w:tc>
        <w:tc>
          <w:tcPr>
            <w:tcW w:w="3362" w:type="dxa"/>
            <w:vAlign w:val="center"/>
          </w:tcPr>
          <w:p w14:paraId="039037D0" w14:textId="64928DD2" w:rsidR="0077297B" w:rsidRPr="00FF207E" w:rsidRDefault="005428A9" w:rsidP="001E304B">
            <w:pPr>
              <w:spacing w:line="240" w:lineRule="auto"/>
              <w:jc w:val="both"/>
              <w:rPr>
                <w:rFonts w:cs="Arial"/>
                <w:bCs/>
                <w:color w:val="4F81BD" w:themeColor="accent1"/>
                <w:sz w:val="18"/>
                <w:szCs w:val="18"/>
                <w:u w:val="single"/>
                <w:lang w:val="sl-SI"/>
              </w:rPr>
            </w:pPr>
            <w:hyperlink w:anchor="_Vključevanje_energetske_revščine" w:history="1">
              <w:r w:rsidR="0077297B" w:rsidRPr="00FF207E">
                <w:rPr>
                  <w:rStyle w:val="Hiperpovezava"/>
                  <w:rFonts w:cs="Arial"/>
                  <w:bCs/>
                  <w:color w:val="4F81BD" w:themeColor="accent1"/>
                  <w:sz w:val="18"/>
                  <w:szCs w:val="18"/>
                  <w:lang w:val="sl-SI"/>
                </w:rPr>
                <w:t>Vključevanje energetske revščine v lokalne energetske koncepte</w:t>
              </w:r>
            </w:hyperlink>
          </w:p>
        </w:tc>
        <w:tc>
          <w:tcPr>
            <w:tcW w:w="1410" w:type="dxa"/>
            <w:vAlign w:val="center"/>
          </w:tcPr>
          <w:p w14:paraId="4EB9E73A"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nov ukrep</w:t>
            </w:r>
          </w:p>
        </w:tc>
        <w:tc>
          <w:tcPr>
            <w:tcW w:w="1410" w:type="dxa"/>
            <w:vAlign w:val="center"/>
          </w:tcPr>
          <w:p w14:paraId="4CE86C8B"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načrtovanje</w:t>
            </w:r>
          </w:p>
        </w:tc>
        <w:tc>
          <w:tcPr>
            <w:tcW w:w="1472" w:type="dxa"/>
            <w:vAlign w:val="center"/>
          </w:tcPr>
          <w:p w14:paraId="0B98ED7C"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MOPE, občine</w:t>
            </w:r>
          </w:p>
        </w:tc>
      </w:tr>
      <w:tr w:rsidR="0077297B" w:rsidRPr="00FF207E" w14:paraId="45F6EFA3" w14:textId="77777777" w:rsidTr="0077297B">
        <w:tc>
          <w:tcPr>
            <w:tcW w:w="1418" w:type="dxa"/>
            <w:tcBorders>
              <w:top w:val="single" w:sz="4" w:space="0" w:color="548DD4" w:themeColor="text2" w:themeTint="99"/>
              <w:bottom w:val="single" w:sz="4" w:space="0" w:color="548DD4" w:themeColor="text2" w:themeTint="99"/>
            </w:tcBorders>
            <w:shd w:val="clear" w:color="auto" w:fill="DAEEF3" w:themeFill="accent5" w:themeFillTint="33"/>
            <w:vAlign w:val="center"/>
          </w:tcPr>
          <w:p w14:paraId="719D67CD" w14:textId="77777777" w:rsidR="0077297B" w:rsidRPr="00FF207E" w:rsidRDefault="0077297B" w:rsidP="001E304B">
            <w:pPr>
              <w:spacing w:line="240" w:lineRule="auto"/>
              <w:jc w:val="both"/>
              <w:rPr>
                <w:rFonts w:cs="Arial"/>
                <w:b/>
                <w:sz w:val="18"/>
                <w:szCs w:val="18"/>
                <w:lang w:val="sl-SI"/>
              </w:rPr>
            </w:pPr>
            <w:r w:rsidRPr="00FF207E">
              <w:rPr>
                <w:rFonts w:cs="Arial"/>
                <w:b/>
                <w:sz w:val="18"/>
                <w:szCs w:val="18"/>
                <w:lang w:val="sl-SI"/>
              </w:rPr>
              <w:t>ER_NeFin-05</w:t>
            </w:r>
          </w:p>
        </w:tc>
        <w:tc>
          <w:tcPr>
            <w:tcW w:w="3362" w:type="dxa"/>
            <w:tcBorders>
              <w:top w:val="single" w:sz="4" w:space="0" w:color="548DD4" w:themeColor="text2" w:themeTint="99"/>
              <w:bottom w:val="single" w:sz="4" w:space="0" w:color="548DD4" w:themeColor="text2" w:themeTint="99"/>
            </w:tcBorders>
            <w:vAlign w:val="center"/>
          </w:tcPr>
          <w:p w14:paraId="3EA427CC" w14:textId="6557A38E" w:rsidR="0077297B" w:rsidRPr="00FF207E" w:rsidRDefault="005428A9" w:rsidP="001E304B">
            <w:pPr>
              <w:spacing w:line="240" w:lineRule="auto"/>
              <w:jc w:val="both"/>
              <w:rPr>
                <w:rFonts w:cs="Arial"/>
                <w:color w:val="4F81BD" w:themeColor="accent1"/>
                <w:sz w:val="18"/>
                <w:szCs w:val="18"/>
                <w:u w:val="single"/>
                <w:lang w:val="sl-SI"/>
              </w:rPr>
            </w:pPr>
            <w:hyperlink w:anchor="_Energetsko_opismenjevanje_energetsk" w:history="1">
              <w:r w:rsidR="0077297B" w:rsidRPr="00FF207E">
                <w:rPr>
                  <w:rStyle w:val="Hiperpovezava"/>
                  <w:rFonts w:cs="Arial"/>
                  <w:color w:val="4F81BD" w:themeColor="accent1"/>
                  <w:sz w:val="18"/>
                  <w:szCs w:val="18"/>
                  <w:lang w:val="sl-SI"/>
                </w:rPr>
                <w:t>Energetsko opismenjevanje energetsko revnih</w:t>
              </w:r>
            </w:hyperlink>
          </w:p>
        </w:tc>
        <w:tc>
          <w:tcPr>
            <w:tcW w:w="1410" w:type="dxa"/>
            <w:tcBorders>
              <w:top w:val="single" w:sz="4" w:space="0" w:color="548DD4" w:themeColor="text2" w:themeTint="99"/>
              <w:bottom w:val="single" w:sz="4" w:space="0" w:color="548DD4" w:themeColor="text2" w:themeTint="99"/>
            </w:tcBorders>
            <w:vAlign w:val="center"/>
          </w:tcPr>
          <w:p w14:paraId="3A978E8F"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nov ukrep</w:t>
            </w:r>
          </w:p>
        </w:tc>
        <w:tc>
          <w:tcPr>
            <w:tcW w:w="1410" w:type="dxa"/>
            <w:tcBorders>
              <w:top w:val="single" w:sz="4" w:space="0" w:color="548DD4" w:themeColor="text2" w:themeTint="99"/>
              <w:bottom w:val="single" w:sz="4" w:space="0" w:color="548DD4" w:themeColor="text2" w:themeTint="99"/>
            </w:tcBorders>
            <w:vAlign w:val="center"/>
          </w:tcPr>
          <w:p w14:paraId="6344C86F"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izobraževanje, usposabljanje</w:t>
            </w:r>
          </w:p>
        </w:tc>
        <w:tc>
          <w:tcPr>
            <w:tcW w:w="1472" w:type="dxa"/>
            <w:tcBorders>
              <w:top w:val="single" w:sz="4" w:space="0" w:color="548DD4" w:themeColor="text2" w:themeTint="99"/>
              <w:bottom w:val="single" w:sz="4" w:space="0" w:color="548DD4" w:themeColor="text2" w:themeTint="99"/>
            </w:tcBorders>
            <w:vAlign w:val="center"/>
          </w:tcPr>
          <w:p w14:paraId="60CA24E9" w14:textId="77777777" w:rsidR="0077297B" w:rsidRPr="00FF207E" w:rsidRDefault="0077297B" w:rsidP="001E304B">
            <w:pPr>
              <w:spacing w:line="240" w:lineRule="auto"/>
              <w:jc w:val="both"/>
              <w:rPr>
                <w:rFonts w:cs="Arial"/>
                <w:sz w:val="18"/>
                <w:szCs w:val="18"/>
                <w:lang w:val="sl-SI"/>
              </w:rPr>
            </w:pPr>
            <w:proofErr w:type="spellStart"/>
            <w:r w:rsidRPr="00FF207E">
              <w:rPr>
                <w:rFonts w:cs="Arial"/>
                <w:sz w:val="18"/>
                <w:szCs w:val="18"/>
                <w:lang w:val="sl-SI"/>
              </w:rPr>
              <w:t>Eko</w:t>
            </w:r>
            <w:proofErr w:type="spellEnd"/>
            <w:r w:rsidRPr="00FF207E">
              <w:rPr>
                <w:rFonts w:cs="Arial"/>
                <w:sz w:val="18"/>
                <w:szCs w:val="18"/>
                <w:lang w:val="sl-SI"/>
              </w:rPr>
              <w:t xml:space="preserve"> sklad (projektna pisarna)</w:t>
            </w:r>
          </w:p>
        </w:tc>
      </w:tr>
      <w:tr w:rsidR="0077297B" w:rsidRPr="00FF207E" w14:paraId="43711339" w14:textId="77777777" w:rsidTr="0077297B">
        <w:tc>
          <w:tcPr>
            <w:tcW w:w="9072" w:type="dxa"/>
            <w:gridSpan w:val="5"/>
            <w:shd w:val="clear" w:color="auto" w:fill="C6D9F1" w:themeFill="text2" w:themeFillTint="33"/>
            <w:vAlign w:val="center"/>
          </w:tcPr>
          <w:p w14:paraId="16909356" w14:textId="0201D33B" w:rsidR="0077297B" w:rsidRPr="00FF207E" w:rsidRDefault="0077297B" w:rsidP="001E304B">
            <w:pPr>
              <w:spacing w:before="40" w:after="40" w:line="240" w:lineRule="auto"/>
              <w:jc w:val="both"/>
              <w:rPr>
                <w:rFonts w:cs="Arial"/>
                <w:b/>
                <w:sz w:val="18"/>
                <w:szCs w:val="18"/>
                <w:lang w:val="sl-SI"/>
              </w:rPr>
            </w:pPr>
            <w:r w:rsidRPr="00FF207E">
              <w:rPr>
                <w:rFonts w:cs="Arial"/>
                <w:b/>
                <w:sz w:val="18"/>
                <w:szCs w:val="18"/>
                <w:lang w:val="sl-SI"/>
              </w:rPr>
              <w:t>UKREPI ZA BLAŽENJE ENERGETSKE REVŠČINE</w:t>
            </w:r>
          </w:p>
        </w:tc>
      </w:tr>
      <w:tr w:rsidR="0077297B" w:rsidRPr="00FF207E" w14:paraId="3B5D600A" w14:textId="77777777" w:rsidTr="0077297B">
        <w:tc>
          <w:tcPr>
            <w:tcW w:w="1418" w:type="dxa"/>
            <w:tcBorders>
              <w:bottom w:val="single" w:sz="4" w:space="0" w:color="548DD4" w:themeColor="text2" w:themeTint="99"/>
            </w:tcBorders>
            <w:shd w:val="clear" w:color="auto" w:fill="FDE9D9" w:themeFill="accent6" w:themeFillTint="33"/>
            <w:vAlign w:val="center"/>
          </w:tcPr>
          <w:p w14:paraId="38C836A4" w14:textId="77777777" w:rsidR="0077297B" w:rsidRPr="00FF207E" w:rsidRDefault="0077297B" w:rsidP="001E304B">
            <w:pPr>
              <w:spacing w:line="240" w:lineRule="auto"/>
              <w:jc w:val="both"/>
              <w:rPr>
                <w:rFonts w:cs="Arial"/>
                <w:b/>
                <w:sz w:val="18"/>
                <w:szCs w:val="18"/>
                <w:lang w:val="sl-SI"/>
              </w:rPr>
            </w:pPr>
            <w:r w:rsidRPr="00FF207E">
              <w:rPr>
                <w:rFonts w:cs="Arial"/>
                <w:b/>
                <w:sz w:val="18"/>
                <w:szCs w:val="18"/>
                <w:lang w:val="sl-SI"/>
              </w:rPr>
              <w:t>ER_Blž-01</w:t>
            </w:r>
          </w:p>
        </w:tc>
        <w:tc>
          <w:tcPr>
            <w:tcW w:w="3362" w:type="dxa"/>
            <w:tcBorders>
              <w:bottom w:val="single" w:sz="4" w:space="0" w:color="548DD4" w:themeColor="text2" w:themeTint="99"/>
            </w:tcBorders>
            <w:vAlign w:val="center"/>
          </w:tcPr>
          <w:p w14:paraId="73E4FBFB" w14:textId="6E2A587F" w:rsidR="0077297B" w:rsidRPr="00FF207E" w:rsidRDefault="005428A9" w:rsidP="001E304B">
            <w:pPr>
              <w:spacing w:line="240" w:lineRule="auto"/>
              <w:jc w:val="both"/>
              <w:rPr>
                <w:rStyle w:val="Hiperpovezava"/>
                <w:rFonts w:cs="Arial"/>
                <w:bCs/>
                <w:color w:val="4F81BD" w:themeColor="accent1"/>
                <w:sz w:val="18"/>
                <w:szCs w:val="18"/>
                <w:lang w:val="sl-SI"/>
              </w:rPr>
            </w:pPr>
            <w:hyperlink w:anchor="_Denarna_pomoč_CSD_2" w:history="1">
              <w:r w:rsidR="0077297B" w:rsidRPr="00FF207E">
                <w:rPr>
                  <w:rStyle w:val="Hiperpovezava"/>
                  <w:rFonts w:cs="Arial"/>
                  <w:bCs/>
                  <w:color w:val="4F81BD" w:themeColor="accent1"/>
                  <w:sz w:val="18"/>
                  <w:szCs w:val="18"/>
                  <w:lang w:val="sl-SI"/>
                </w:rPr>
                <w:t>Denarna pomoč CSD pri plačilu stroškov energije</w:t>
              </w:r>
            </w:hyperlink>
            <w:r w:rsidR="0077297B" w:rsidRPr="00FF207E">
              <w:rPr>
                <w:rStyle w:val="Hiperpovezava"/>
                <w:rFonts w:cs="Arial"/>
                <w:bCs/>
                <w:color w:val="4F81BD" w:themeColor="accent1"/>
                <w:sz w:val="18"/>
                <w:szCs w:val="18"/>
                <w:lang w:val="sl-SI"/>
              </w:rPr>
              <w:t xml:space="preserve"> </w:t>
            </w:r>
          </w:p>
        </w:tc>
        <w:tc>
          <w:tcPr>
            <w:tcW w:w="1410" w:type="dxa"/>
            <w:tcBorders>
              <w:bottom w:val="single" w:sz="4" w:space="0" w:color="548DD4" w:themeColor="text2" w:themeTint="99"/>
            </w:tcBorders>
            <w:vAlign w:val="center"/>
          </w:tcPr>
          <w:p w14:paraId="32A3B42F" w14:textId="6DA254EE" w:rsidR="0077297B" w:rsidRPr="00FF207E" w:rsidRDefault="00736A5E" w:rsidP="001E304B">
            <w:pPr>
              <w:spacing w:line="240" w:lineRule="auto"/>
              <w:jc w:val="both"/>
              <w:rPr>
                <w:rFonts w:cs="Arial"/>
                <w:sz w:val="18"/>
                <w:szCs w:val="18"/>
                <w:lang w:val="sl-SI"/>
              </w:rPr>
            </w:pPr>
            <w:r w:rsidRPr="00FF207E">
              <w:rPr>
                <w:rFonts w:cs="Arial"/>
                <w:sz w:val="18"/>
                <w:szCs w:val="18"/>
                <w:lang w:val="sl-SI"/>
              </w:rPr>
              <w:t xml:space="preserve">veljaven </w:t>
            </w:r>
            <w:r w:rsidR="0077297B" w:rsidRPr="00FF207E">
              <w:rPr>
                <w:rFonts w:cs="Arial"/>
                <w:sz w:val="18"/>
                <w:szCs w:val="18"/>
                <w:lang w:val="sl-SI"/>
              </w:rPr>
              <w:t>ukrep z nadgradnjo</w:t>
            </w:r>
          </w:p>
        </w:tc>
        <w:tc>
          <w:tcPr>
            <w:tcW w:w="1410" w:type="dxa"/>
            <w:tcBorders>
              <w:bottom w:val="single" w:sz="4" w:space="0" w:color="548DD4" w:themeColor="text2" w:themeTint="99"/>
            </w:tcBorders>
            <w:vAlign w:val="center"/>
          </w:tcPr>
          <w:p w14:paraId="4D444D69"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ekonomski</w:t>
            </w:r>
          </w:p>
        </w:tc>
        <w:tc>
          <w:tcPr>
            <w:tcW w:w="1472" w:type="dxa"/>
            <w:tcBorders>
              <w:bottom w:val="single" w:sz="4" w:space="0" w:color="548DD4" w:themeColor="text2" w:themeTint="99"/>
            </w:tcBorders>
            <w:vAlign w:val="center"/>
          </w:tcPr>
          <w:p w14:paraId="505A82EB"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MDDSZ</w:t>
            </w:r>
          </w:p>
        </w:tc>
      </w:tr>
      <w:tr w:rsidR="0077297B" w:rsidRPr="00FF207E" w14:paraId="08A4CB55" w14:textId="77777777" w:rsidTr="0077297B">
        <w:tc>
          <w:tcPr>
            <w:tcW w:w="1418" w:type="dxa"/>
            <w:tcBorders>
              <w:top w:val="single" w:sz="4" w:space="0" w:color="548DD4" w:themeColor="text2" w:themeTint="99"/>
              <w:bottom w:val="single" w:sz="4" w:space="0" w:color="548DD4" w:themeColor="text2" w:themeTint="99"/>
            </w:tcBorders>
            <w:shd w:val="clear" w:color="auto" w:fill="FDE9D9" w:themeFill="accent6" w:themeFillTint="33"/>
            <w:vAlign w:val="center"/>
          </w:tcPr>
          <w:p w14:paraId="083A4457" w14:textId="77777777" w:rsidR="0077297B" w:rsidRPr="00FF207E" w:rsidRDefault="0077297B" w:rsidP="001E304B">
            <w:pPr>
              <w:spacing w:line="240" w:lineRule="auto"/>
              <w:jc w:val="both"/>
              <w:rPr>
                <w:rFonts w:cs="Arial"/>
                <w:b/>
                <w:sz w:val="18"/>
                <w:szCs w:val="18"/>
                <w:lang w:val="sl-SI"/>
              </w:rPr>
            </w:pPr>
            <w:r w:rsidRPr="00FF207E">
              <w:rPr>
                <w:rFonts w:cs="Arial"/>
                <w:b/>
                <w:sz w:val="18"/>
                <w:szCs w:val="18"/>
                <w:lang w:val="sl-SI"/>
              </w:rPr>
              <w:t>ER_Blž-02</w:t>
            </w:r>
          </w:p>
        </w:tc>
        <w:tc>
          <w:tcPr>
            <w:tcW w:w="3362" w:type="dxa"/>
            <w:tcBorders>
              <w:top w:val="single" w:sz="4" w:space="0" w:color="548DD4" w:themeColor="text2" w:themeTint="99"/>
              <w:bottom w:val="single" w:sz="4" w:space="0" w:color="548DD4" w:themeColor="text2" w:themeTint="99"/>
            </w:tcBorders>
            <w:vAlign w:val="center"/>
          </w:tcPr>
          <w:p w14:paraId="3E5C75E1" w14:textId="6991FF23" w:rsidR="0077297B" w:rsidRPr="00FF207E" w:rsidRDefault="005428A9" w:rsidP="001E304B">
            <w:pPr>
              <w:spacing w:line="240" w:lineRule="auto"/>
              <w:jc w:val="both"/>
              <w:rPr>
                <w:rStyle w:val="Hiperpovezava"/>
                <w:bCs/>
                <w:color w:val="4F81BD" w:themeColor="accent1"/>
                <w:lang w:val="sl-SI"/>
              </w:rPr>
            </w:pPr>
            <w:hyperlink w:anchor="_Dodatek_za_blaženje" w:history="1">
              <w:r w:rsidR="0077297B" w:rsidRPr="00FF207E">
                <w:rPr>
                  <w:rStyle w:val="Hiperpovezava"/>
                  <w:rFonts w:cs="Arial"/>
                  <w:bCs/>
                  <w:color w:val="4F81BD" w:themeColor="accent1"/>
                  <w:sz w:val="18"/>
                  <w:szCs w:val="18"/>
                  <w:lang w:val="sl-SI"/>
                </w:rPr>
                <w:t>Dodatek za blaženje energetske revščine, tudi draginjski dodatek</w:t>
              </w:r>
            </w:hyperlink>
            <w:r w:rsidR="0077297B" w:rsidRPr="00FF207E">
              <w:rPr>
                <w:rStyle w:val="Hiperpovezava"/>
                <w:bCs/>
                <w:color w:val="4F81BD" w:themeColor="accent1"/>
                <w:lang w:val="sl-SI"/>
              </w:rPr>
              <w:t xml:space="preserve"> </w:t>
            </w:r>
          </w:p>
        </w:tc>
        <w:tc>
          <w:tcPr>
            <w:tcW w:w="1410" w:type="dxa"/>
            <w:tcBorders>
              <w:top w:val="single" w:sz="4" w:space="0" w:color="548DD4" w:themeColor="text2" w:themeTint="99"/>
              <w:bottom w:val="single" w:sz="4" w:space="0" w:color="548DD4" w:themeColor="text2" w:themeTint="99"/>
            </w:tcBorders>
            <w:vAlign w:val="center"/>
          </w:tcPr>
          <w:p w14:paraId="7C22FC05"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izredni ukrep</w:t>
            </w:r>
          </w:p>
        </w:tc>
        <w:tc>
          <w:tcPr>
            <w:tcW w:w="1410" w:type="dxa"/>
            <w:tcBorders>
              <w:top w:val="single" w:sz="4" w:space="0" w:color="548DD4" w:themeColor="text2" w:themeTint="99"/>
              <w:bottom w:val="single" w:sz="4" w:space="0" w:color="548DD4" w:themeColor="text2" w:themeTint="99"/>
            </w:tcBorders>
            <w:vAlign w:val="center"/>
          </w:tcPr>
          <w:p w14:paraId="652B505D" w14:textId="77777777" w:rsidR="0077297B" w:rsidRPr="00FF207E" w:rsidRDefault="0077297B" w:rsidP="001E304B">
            <w:pPr>
              <w:spacing w:line="240" w:lineRule="auto"/>
              <w:jc w:val="both"/>
              <w:rPr>
                <w:rFonts w:cs="Arial"/>
                <w:sz w:val="18"/>
                <w:szCs w:val="18"/>
                <w:lang w:val="sl-SI"/>
              </w:rPr>
            </w:pPr>
            <w:r w:rsidRPr="00FF207E">
              <w:rPr>
                <w:rFonts w:cs="Arial"/>
                <w:sz w:val="18"/>
                <w:szCs w:val="18"/>
                <w:lang w:val="sl-SI"/>
              </w:rPr>
              <w:t>ekonomski</w:t>
            </w:r>
          </w:p>
        </w:tc>
        <w:tc>
          <w:tcPr>
            <w:tcW w:w="1472" w:type="dxa"/>
            <w:tcBorders>
              <w:top w:val="single" w:sz="4" w:space="0" w:color="548DD4" w:themeColor="text2" w:themeTint="99"/>
              <w:bottom w:val="single" w:sz="4" w:space="0" w:color="548DD4" w:themeColor="text2" w:themeTint="99"/>
            </w:tcBorders>
            <w:vAlign w:val="center"/>
          </w:tcPr>
          <w:p w14:paraId="49B6E610" w14:textId="46CCC67D" w:rsidR="0077297B" w:rsidRPr="00FF207E" w:rsidRDefault="0077297B" w:rsidP="001E304B">
            <w:pPr>
              <w:spacing w:line="240" w:lineRule="auto"/>
              <w:jc w:val="both"/>
              <w:rPr>
                <w:rFonts w:cs="Arial"/>
                <w:sz w:val="18"/>
                <w:szCs w:val="18"/>
                <w:lang w:val="sl-SI"/>
              </w:rPr>
            </w:pPr>
            <w:r w:rsidRPr="00FF207E">
              <w:rPr>
                <w:rFonts w:cs="Arial"/>
                <w:sz w:val="18"/>
                <w:szCs w:val="18"/>
                <w:lang w:val="sl-SI"/>
              </w:rPr>
              <w:t>MDDSZ</w:t>
            </w:r>
          </w:p>
        </w:tc>
      </w:tr>
    </w:tbl>
    <w:p w14:paraId="04D29BBD" w14:textId="1EAD6792" w:rsidR="004572A1" w:rsidRPr="00FF207E" w:rsidRDefault="004572A1" w:rsidP="001E304B">
      <w:pPr>
        <w:jc w:val="both"/>
        <w:rPr>
          <w:rFonts w:cs="Arial"/>
          <w:szCs w:val="22"/>
          <w:lang w:val="sl-SI"/>
        </w:rPr>
      </w:pPr>
    </w:p>
    <w:p w14:paraId="7D6B1192" w14:textId="77777777" w:rsidR="004572A1" w:rsidRPr="00FF207E" w:rsidRDefault="004572A1" w:rsidP="001E304B">
      <w:pPr>
        <w:jc w:val="both"/>
        <w:rPr>
          <w:rFonts w:cs="Arial"/>
          <w:szCs w:val="22"/>
          <w:lang w:val="sl-SI"/>
        </w:rPr>
      </w:pPr>
    </w:p>
    <w:p w14:paraId="4AA3BF86" w14:textId="77777777" w:rsidR="003B02C8" w:rsidRPr="00FF207E" w:rsidRDefault="003B02C8" w:rsidP="001E304B">
      <w:pPr>
        <w:spacing w:after="200" w:line="276" w:lineRule="auto"/>
        <w:jc w:val="both"/>
        <w:rPr>
          <w:rFonts w:eastAsiaTheme="majorEastAsia" w:cstheme="majorBidi"/>
          <w:b/>
          <w:bCs/>
          <w:color w:val="4F81BD" w:themeColor="accent1"/>
          <w:sz w:val="28"/>
          <w:szCs w:val="28"/>
          <w:lang w:val="sl-SI"/>
        </w:rPr>
      </w:pPr>
      <w:r w:rsidRPr="00FF207E">
        <w:rPr>
          <w:lang w:val="sl-SI"/>
        </w:rPr>
        <w:br w:type="page"/>
      </w:r>
    </w:p>
    <w:p w14:paraId="4920B4E4" w14:textId="1F3FE870" w:rsidR="00DE5EEF" w:rsidRPr="00FF207E" w:rsidRDefault="00DE5EEF" w:rsidP="001E304B">
      <w:pPr>
        <w:pStyle w:val="Naslov1"/>
        <w:numPr>
          <w:ilvl w:val="0"/>
          <w:numId w:val="0"/>
        </w:numPr>
        <w:jc w:val="both"/>
        <w:rPr>
          <w:lang w:val="sl-SI"/>
        </w:rPr>
      </w:pPr>
      <w:bookmarkStart w:id="9" w:name="_Toc151148774"/>
      <w:r w:rsidRPr="00FF207E">
        <w:rPr>
          <w:lang w:val="sl-SI"/>
        </w:rPr>
        <w:lastRenderedPageBreak/>
        <w:t>Uvod</w:t>
      </w:r>
      <w:bookmarkEnd w:id="9"/>
    </w:p>
    <w:p w14:paraId="78BBCB9D" w14:textId="191EC9EC" w:rsidR="009A2069" w:rsidRPr="00FF207E" w:rsidRDefault="009A2069" w:rsidP="001E304B">
      <w:pPr>
        <w:spacing w:after="120"/>
        <w:jc w:val="both"/>
        <w:rPr>
          <w:rFonts w:cs="Arial"/>
          <w:szCs w:val="22"/>
          <w:lang w:val="sl-SI"/>
        </w:rPr>
      </w:pPr>
      <w:r w:rsidRPr="00FF207E">
        <w:rPr>
          <w:rFonts w:cs="Arial"/>
          <w:szCs w:val="22"/>
          <w:lang w:val="sl-SI"/>
        </w:rPr>
        <w:t xml:space="preserve">Poročilo, ki je bilo pripravljeno v okviru projekta </w:t>
      </w:r>
      <w:r w:rsidRPr="00FF207E">
        <w:rPr>
          <w:rFonts w:cs="Arial"/>
          <w:i/>
          <w:szCs w:val="22"/>
          <w:lang w:val="sl-SI"/>
        </w:rPr>
        <w:t>Preučitev in strokovne podlage za razvoj ukrepov za boj proti energetski revščini</w:t>
      </w:r>
      <w:bookmarkStart w:id="10" w:name="_Ref137479916"/>
      <w:r w:rsidR="00C13308" w:rsidRPr="00FF207E">
        <w:rPr>
          <w:rFonts w:cs="Arial"/>
          <w:szCs w:val="22"/>
          <w:lang w:val="sl-SI"/>
        </w:rPr>
        <w:t>,</w:t>
      </w:r>
      <w:r w:rsidR="00723652" w:rsidRPr="00FF207E">
        <w:rPr>
          <w:rStyle w:val="Sprotnaopomba-sklic"/>
          <w:rFonts w:cs="Arial"/>
          <w:szCs w:val="22"/>
          <w:lang w:val="sl-SI"/>
        </w:rPr>
        <w:footnoteReference w:id="2"/>
      </w:r>
      <w:bookmarkEnd w:id="10"/>
      <w:r w:rsidRPr="00FF207E">
        <w:rPr>
          <w:rFonts w:cs="Arial"/>
          <w:szCs w:val="22"/>
          <w:lang w:val="sl-SI"/>
        </w:rPr>
        <w:t xml:space="preserve"> </w:t>
      </w:r>
      <w:r w:rsidR="00D93CC9" w:rsidRPr="00FF207E">
        <w:rPr>
          <w:rFonts w:cs="Arial"/>
          <w:szCs w:val="22"/>
          <w:lang w:val="sl-SI"/>
        </w:rPr>
        <w:t>je ključna</w:t>
      </w:r>
      <w:r w:rsidRPr="00FF207E">
        <w:rPr>
          <w:rFonts w:cs="Arial"/>
          <w:szCs w:val="22"/>
          <w:lang w:val="sl-SI"/>
        </w:rPr>
        <w:t xml:space="preserve"> </w:t>
      </w:r>
      <w:r w:rsidRPr="00FF207E">
        <w:rPr>
          <w:rFonts w:cs="Arial"/>
          <w:b/>
          <w:szCs w:val="22"/>
          <w:lang w:val="sl-SI"/>
        </w:rPr>
        <w:t>strokovn</w:t>
      </w:r>
      <w:r w:rsidR="001651C0" w:rsidRPr="00FF207E">
        <w:rPr>
          <w:rFonts w:cs="Arial"/>
          <w:b/>
          <w:szCs w:val="22"/>
          <w:lang w:val="sl-SI"/>
        </w:rPr>
        <w:t>a</w:t>
      </w:r>
      <w:r w:rsidRPr="00FF207E">
        <w:rPr>
          <w:rFonts w:cs="Arial"/>
          <w:b/>
          <w:szCs w:val="22"/>
          <w:lang w:val="sl-SI"/>
        </w:rPr>
        <w:t xml:space="preserve"> podlag</w:t>
      </w:r>
      <w:r w:rsidR="001651C0" w:rsidRPr="00FF207E">
        <w:rPr>
          <w:rFonts w:cs="Arial"/>
          <w:b/>
          <w:szCs w:val="22"/>
          <w:lang w:val="sl-SI"/>
        </w:rPr>
        <w:t>a</w:t>
      </w:r>
      <w:r w:rsidRPr="00FF207E">
        <w:rPr>
          <w:rFonts w:cs="Arial"/>
          <w:b/>
          <w:szCs w:val="22"/>
          <w:lang w:val="sl-SI"/>
        </w:rPr>
        <w:t xml:space="preserve"> za pripravo akcijskega načrta za zmanjševanje energetske revščine</w:t>
      </w:r>
      <w:r w:rsidRPr="00FF207E">
        <w:rPr>
          <w:rFonts w:cs="Arial"/>
          <w:szCs w:val="22"/>
          <w:lang w:val="sl-SI"/>
        </w:rPr>
        <w:t>.</w:t>
      </w:r>
    </w:p>
    <w:p w14:paraId="21A5BFE5" w14:textId="4D3529FE" w:rsidR="009A2069" w:rsidRPr="00FF207E" w:rsidRDefault="009A2069" w:rsidP="001E304B">
      <w:pPr>
        <w:spacing w:after="120"/>
        <w:jc w:val="both"/>
        <w:rPr>
          <w:rFonts w:cs="Arial"/>
          <w:szCs w:val="22"/>
          <w:lang w:val="sl-SI"/>
        </w:rPr>
      </w:pPr>
      <w:r w:rsidRPr="00FF207E">
        <w:rPr>
          <w:b/>
          <w:bCs/>
          <w:szCs w:val="22"/>
          <w:lang w:val="sl-SI"/>
        </w:rPr>
        <w:t>Pravna podlaga</w:t>
      </w:r>
      <w:r w:rsidRPr="00FF207E">
        <w:rPr>
          <w:szCs w:val="22"/>
          <w:lang w:val="sl-SI"/>
        </w:rPr>
        <w:t xml:space="preserve"> za pripravo tega akcijskega načrta je </w:t>
      </w:r>
      <w:r w:rsidRPr="00FF207E">
        <w:rPr>
          <w:i/>
          <w:iCs/>
          <w:szCs w:val="22"/>
          <w:lang w:val="sl-SI"/>
        </w:rPr>
        <w:t>Uredba o merilih za opredelitev in ocenjevanje števila energetsko revnih gospodinjstev</w:t>
      </w:r>
      <w:r w:rsidRPr="00FF207E">
        <w:rPr>
          <w:iCs/>
          <w:szCs w:val="22"/>
          <w:lang w:val="sl-SI"/>
        </w:rPr>
        <w:t xml:space="preserve">, ki je bila sprejeta oktobra 2022. </w:t>
      </w:r>
      <w:r w:rsidR="009E47D7" w:rsidRPr="00FF207E">
        <w:rPr>
          <w:iCs/>
          <w:szCs w:val="22"/>
          <w:lang w:val="sl-SI"/>
        </w:rPr>
        <w:t>Uredba opredeljuje tudi vsebino in postopek sprejema</w:t>
      </w:r>
      <w:r w:rsidR="00CB3F8C" w:rsidRPr="00FF207E">
        <w:rPr>
          <w:iCs/>
          <w:szCs w:val="22"/>
          <w:lang w:val="sl-SI"/>
        </w:rPr>
        <w:t>nja</w:t>
      </w:r>
      <w:r w:rsidR="009E47D7" w:rsidRPr="00FF207E">
        <w:rPr>
          <w:iCs/>
          <w:szCs w:val="22"/>
          <w:lang w:val="sl-SI"/>
        </w:rPr>
        <w:t xml:space="preserve"> akcijskega načrta</w:t>
      </w:r>
      <w:r w:rsidR="00E843B1" w:rsidRPr="00FF207E">
        <w:rPr>
          <w:iCs/>
          <w:szCs w:val="22"/>
          <w:lang w:val="sl-SI"/>
        </w:rPr>
        <w:t>.</w:t>
      </w:r>
      <w:r w:rsidR="009E47D7" w:rsidRPr="00FF207E">
        <w:rPr>
          <w:iCs/>
          <w:szCs w:val="22"/>
          <w:lang w:val="sl-SI"/>
        </w:rPr>
        <w:t xml:space="preserve"> </w:t>
      </w:r>
      <w:r w:rsidR="00E843B1" w:rsidRPr="00FF207E">
        <w:rPr>
          <w:iCs/>
          <w:szCs w:val="22"/>
          <w:lang w:val="sl-SI"/>
        </w:rPr>
        <w:t>Ta</w:t>
      </w:r>
      <w:r w:rsidR="009E47D7" w:rsidRPr="00FF207E">
        <w:rPr>
          <w:iCs/>
          <w:szCs w:val="22"/>
          <w:lang w:val="sl-SI"/>
        </w:rPr>
        <w:t xml:space="preserve"> mora biti usklajen tudi z drugimi </w:t>
      </w:r>
      <w:r w:rsidR="00E843B1" w:rsidRPr="00FF207E">
        <w:rPr>
          <w:iCs/>
          <w:szCs w:val="22"/>
          <w:lang w:val="sl-SI"/>
        </w:rPr>
        <w:t xml:space="preserve">razvojnimi dokumenti, ki </w:t>
      </w:r>
      <w:r w:rsidR="007F018F" w:rsidRPr="00FF207E">
        <w:rPr>
          <w:iCs/>
          <w:szCs w:val="22"/>
          <w:lang w:val="sl-SI"/>
        </w:rPr>
        <w:t>vključujejo</w:t>
      </w:r>
      <w:r w:rsidR="00E843B1" w:rsidRPr="00FF207E">
        <w:rPr>
          <w:iCs/>
          <w:szCs w:val="22"/>
          <w:lang w:val="sl-SI"/>
        </w:rPr>
        <w:t xml:space="preserve"> </w:t>
      </w:r>
      <w:r w:rsidR="00A10C4B" w:rsidRPr="00FF207E">
        <w:rPr>
          <w:iCs/>
          <w:szCs w:val="22"/>
          <w:lang w:val="sl-SI"/>
        </w:rPr>
        <w:t xml:space="preserve">področje energetske revščine (glej poglavje </w:t>
      </w:r>
      <w:r w:rsidR="00AB5C69" w:rsidRPr="00FF207E">
        <w:rPr>
          <w:iCs/>
          <w:szCs w:val="22"/>
          <w:lang w:val="sl-SI"/>
        </w:rPr>
        <w:fldChar w:fldCharType="begin"/>
      </w:r>
      <w:r w:rsidR="00AB5C69" w:rsidRPr="00FF207E">
        <w:rPr>
          <w:iCs/>
          <w:szCs w:val="22"/>
          <w:lang w:val="sl-SI"/>
        </w:rPr>
        <w:instrText xml:space="preserve"> REF _Ref136359238 \r \h </w:instrText>
      </w:r>
      <w:r w:rsidR="001E304B" w:rsidRPr="00FF207E">
        <w:rPr>
          <w:iCs/>
          <w:szCs w:val="22"/>
          <w:lang w:val="sl-SI"/>
        </w:rPr>
        <w:instrText xml:space="preserve"> \* MERGEFORMAT </w:instrText>
      </w:r>
      <w:r w:rsidR="00AB5C69" w:rsidRPr="00FF207E">
        <w:rPr>
          <w:iCs/>
          <w:szCs w:val="22"/>
          <w:lang w:val="sl-SI"/>
        </w:rPr>
      </w:r>
      <w:r w:rsidR="00AB5C69" w:rsidRPr="00FF207E">
        <w:rPr>
          <w:iCs/>
          <w:szCs w:val="22"/>
          <w:lang w:val="sl-SI"/>
        </w:rPr>
        <w:fldChar w:fldCharType="separate"/>
      </w:r>
      <w:r w:rsidR="00F37FD1" w:rsidRPr="00FF207E">
        <w:rPr>
          <w:iCs/>
          <w:szCs w:val="22"/>
          <w:lang w:val="sl-SI"/>
        </w:rPr>
        <w:t>1</w:t>
      </w:r>
      <w:r w:rsidR="00AB5C69" w:rsidRPr="00FF207E">
        <w:rPr>
          <w:iCs/>
          <w:szCs w:val="22"/>
          <w:lang w:val="sl-SI"/>
        </w:rPr>
        <w:fldChar w:fldCharType="end"/>
      </w:r>
      <w:r w:rsidR="00A10C4B" w:rsidRPr="00FF207E">
        <w:rPr>
          <w:iCs/>
          <w:szCs w:val="22"/>
          <w:lang w:val="sl-SI"/>
        </w:rPr>
        <w:t>).</w:t>
      </w:r>
      <w:r w:rsidR="00AB5C69" w:rsidRPr="00FF207E">
        <w:rPr>
          <w:iCs/>
          <w:szCs w:val="22"/>
          <w:lang w:val="sl-SI"/>
        </w:rPr>
        <w:t xml:space="preserve"> Poglavje z izhodišči vključuje tudi </w:t>
      </w:r>
      <w:r w:rsidR="00AB5C69" w:rsidRPr="00FF207E">
        <w:rPr>
          <w:b/>
          <w:iCs/>
          <w:szCs w:val="22"/>
          <w:lang w:val="sl-SI"/>
        </w:rPr>
        <w:t xml:space="preserve">pregled trenutnega stanja energetske revščine, izvajanja </w:t>
      </w:r>
      <w:r w:rsidR="00736A5E" w:rsidRPr="00FF207E">
        <w:rPr>
          <w:b/>
          <w:iCs/>
          <w:szCs w:val="22"/>
          <w:lang w:val="sl-SI"/>
        </w:rPr>
        <w:t xml:space="preserve">veljavnih </w:t>
      </w:r>
      <w:r w:rsidR="00AB5C69" w:rsidRPr="00FF207E">
        <w:rPr>
          <w:b/>
          <w:iCs/>
          <w:szCs w:val="22"/>
          <w:lang w:val="sl-SI"/>
        </w:rPr>
        <w:t>ukrepov in razpoložljivih virov za financiranje ukrepov</w:t>
      </w:r>
      <w:r w:rsidR="00AB5C69" w:rsidRPr="00FF207E">
        <w:rPr>
          <w:iCs/>
          <w:szCs w:val="22"/>
          <w:lang w:val="sl-SI"/>
        </w:rPr>
        <w:t xml:space="preserve"> za zmanjševanje energetske revščine v prihodnje.</w:t>
      </w:r>
      <w:r w:rsidR="00B47EA9" w:rsidRPr="00FF207E">
        <w:rPr>
          <w:iCs/>
          <w:szCs w:val="22"/>
          <w:lang w:val="sl-SI"/>
        </w:rPr>
        <w:t xml:space="preserve"> Navedene so tudi strokovne podlage za pripravo tega poročila in opisan</w:t>
      </w:r>
      <w:r w:rsidR="009A0EB7" w:rsidRPr="00FF207E">
        <w:rPr>
          <w:iCs/>
          <w:szCs w:val="22"/>
          <w:lang w:val="sl-SI"/>
        </w:rPr>
        <w:t xml:space="preserve"> </w:t>
      </w:r>
      <w:r w:rsidR="00CB151C" w:rsidRPr="00FF207E">
        <w:rPr>
          <w:iCs/>
          <w:szCs w:val="22"/>
          <w:lang w:val="sl-SI"/>
        </w:rPr>
        <w:t>je</w:t>
      </w:r>
      <w:r w:rsidR="00B47EA9" w:rsidRPr="00FF207E">
        <w:rPr>
          <w:iCs/>
          <w:szCs w:val="22"/>
          <w:lang w:val="sl-SI"/>
        </w:rPr>
        <w:t xml:space="preserve"> </w:t>
      </w:r>
      <w:r w:rsidR="00B47EA9" w:rsidRPr="00FF207E">
        <w:rPr>
          <w:b/>
          <w:iCs/>
          <w:szCs w:val="22"/>
          <w:lang w:val="sl-SI"/>
        </w:rPr>
        <w:t>proces sodelovanja deležnikov</w:t>
      </w:r>
      <w:r w:rsidR="00B47EA9" w:rsidRPr="00FF207E">
        <w:rPr>
          <w:iCs/>
          <w:szCs w:val="22"/>
          <w:lang w:val="sl-SI"/>
        </w:rPr>
        <w:t xml:space="preserve"> </w:t>
      </w:r>
      <w:r w:rsidR="00B47EA9" w:rsidRPr="00FF207E">
        <w:rPr>
          <w:rFonts w:cs="Arial"/>
          <w:szCs w:val="22"/>
          <w:lang w:val="sl-SI"/>
        </w:rPr>
        <w:t>pri oblikovanju ukrepov za zmanjševanje energetske revščine.</w:t>
      </w:r>
    </w:p>
    <w:p w14:paraId="4F69A763" w14:textId="3A4FFD89" w:rsidR="00902F46" w:rsidRPr="00FF207E" w:rsidRDefault="00B92691" w:rsidP="001E304B">
      <w:pPr>
        <w:spacing w:after="120"/>
        <w:jc w:val="both"/>
        <w:rPr>
          <w:rFonts w:cs="Arial"/>
          <w:szCs w:val="22"/>
          <w:lang w:val="sl-SI"/>
        </w:rPr>
      </w:pPr>
      <w:r w:rsidRPr="00FF207E">
        <w:rPr>
          <w:lang w:val="sl-SI"/>
        </w:rPr>
        <w:t xml:space="preserve">Za zmanjševanje energetske revščine </w:t>
      </w:r>
      <w:r w:rsidR="007B1740" w:rsidRPr="00FF207E">
        <w:rPr>
          <w:lang w:val="sl-SI"/>
        </w:rPr>
        <w:t xml:space="preserve">so </w:t>
      </w:r>
      <w:r w:rsidRPr="00FF207E">
        <w:rPr>
          <w:b/>
          <w:lang w:val="sl-SI"/>
        </w:rPr>
        <w:t xml:space="preserve">za leto 2030 </w:t>
      </w:r>
      <w:r w:rsidR="00E4230D" w:rsidRPr="00FF207E">
        <w:rPr>
          <w:b/>
          <w:lang w:val="sl-SI"/>
        </w:rPr>
        <w:t xml:space="preserve">zastavljeni trije </w:t>
      </w:r>
      <w:r w:rsidRPr="00FF207E">
        <w:rPr>
          <w:b/>
          <w:lang w:val="sl-SI"/>
        </w:rPr>
        <w:t>cilj</w:t>
      </w:r>
      <w:r w:rsidR="00E4230D" w:rsidRPr="00FF207E">
        <w:rPr>
          <w:b/>
          <w:lang w:val="sl-SI"/>
        </w:rPr>
        <w:t>i</w:t>
      </w:r>
      <w:r w:rsidR="00E4230D" w:rsidRPr="00FF207E">
        <w:rPr>
          <w:lang w:val="sl-SI"/>
        </w:rPr>
        <w:t>.</w:t>
      </w:r>
      <w:r w:rsidR="0077211A" w:rsidRPr="00FF207E">
        <w:rPr>
          <w:lang w:val="sl-SI"/>
        </w:rPr>
        <w:t xml:space="preserve"> </w:t>
      </w:r>
      <w:r w:rsidR="00E4230D" w:rsidRPr="00FF207E">
        <w:rPr>
          <w:lang w:val="sl-SI"/>
        </w:rPr>
        <w:t xml:space="preserve">Dva od njih sta že </w:t>
      </w:r>
      <w:r w:rsidRPr="00FF207E">
        <w:rPr>
          <w:lang w:val="sl-SI"/>
        </w:rPr>
        <w:t xml:space="preserve">usklajena s predlogom posodobitve </w:t>
      </w:r>
      <w:r w:rsidRPr="00FF207E">
        <w:rPr>
          <w:rFonts w:cs="Arial"/>
          <w:i/>
          <w:iCs/>
          <w:szCs w:val="22"/>
          <w:lang w:val="sl-SI"/>
        </w:rPr>
        <w:t>Celovitega nacionalnega energetskega in podnebnega načrta</w:t>
      </w:r>
      <w:r w:rsidR="00E4230D" w:rsidRPr="00FF207E">
        <w:rPr>
          <w:rFonts w:cs="Arial"/>
          <w:iCs/>
          <w:szCs w:val="22"/>
          <w:lang w:val="sl-SI"/>
        </w:rPr>
        <w:t xml:space="preserve">, </w:t>
      </w:r>
      <w:r w:rsidR="00E4230D" w:rsidRPr="00FF207E">
        <w:rPr>
          <w:rFonts w:cs="Arial"/>
          <w:szCs w:val="22"/>
          <w:lang w:val="sl-SI"/>
        </w:rPr>
        <w:t xml:space="preserve">tretji pa izhaja iz 8. člena nove </w:t>
      </w:r>
      <w:r w:rsidR="00E4230D" w:rsidRPr="00FF207E">
        <w:rPr>
          <w:rFonts w:cs="Arial"/>
          <w:i/>
          <w:szCs w:val="22"/>
          <w:lang w:val="sl-SI"/>
        </w:rPr>
        <w:t>Direktive o energetski učinkovitosti</w:t>
      </w:r>
      <w:r w:rsidR="00E4230D" w:rsidRPr="00FF207E">
        <w:rPr>
          <w:rFonts w:cs="Arial"/>
          <w:szCs w:val="22"/>
          <w:lang w:val="sl-SI"/>
        </w:rPr>
        <w:t xml:space="preserve"> in bo dokončno oblikovan in vključen v končno verzijo posodobitve NEPN</w:t>
      </w:r>
      <w:r w:rsidR="00CB151C" w:rsidRPr="00FF207E">
        <w:rPr>
          <w:rFonts w:cs="Arial"/>
          <w:szCs w:val="22"/>
          <w:lang w:val="sl-SI"/>
        </w:rPr>
        <w:t>.</w:t>
      </w:r>
      <w:r w:rsidRPr="00FF207E">
        <w:rPr>
          <w:rFonts w:cs="Arial"/>
          <w:iCs/>
          <w:szCs w:val="22"/>
          <w:lang w:val="sl-SI"/>
        </w:rPr>
        <w:t xml:space="preserve"> </w:t>
      </w:r>
      <w:r w:rsidR="00E4230D" w:rsidRPr="00FF207E">
        <w:rPr>
          <w:lang w:val="sl-SI"/>
        </w:rPr>
        <w:t xml:space="preserve">Cilji </w:t>
      </w:r>
      <w:r w:rsidRPr="00FF207E">
        <w:rPr>
          <w:lang w:val="sl-SI"/>
        </w:rPr>
        <w:t>temelji</w:t>
      </w:r>
      <w:r w:rsidR="00E4230D" w:rsidRPr="00FF207E">
        <w:rPr>
          <w:lang w:val="sl-SI"/>
        </w:rPr>
        <w:t>jo</w:t>
      </w:r>
      <w:r w:rsidRPr="00FF207E">
        <w:rPr>
          <w:lang w:val="sl-SI"/>
        </w:rPr>
        <w:t xml:space="preserve"> na </w:t>
      </w:r>
      <w:r w:rsidR="009A0EB7" w:rsidRPr="00FF207E">
        <w:rPr>
          <w:lang w:val="sl-SI"/>
        </w:rPr>
        <w:t>domnevi</w:t>
      </w:r>
      <w:r w:rsidRPr="00FF207E">
        <w:rPr>
          <w:lang w:val="sl-SI"/>
        </w:rPr>
        <w:t xml:space="preserve">, da bodo </w:t>
      </w:r>
      <w:r w:rsidRPr="00FF207E">
        <w:rPr>
          <w:b/>
          <w:lang w:val="sl-SI"/>
        </w:rPr>
        <w:t xml:space="preserve">za </w:t>
      </w:r>
      <w:r w:rsidR="00367BD1" w:rsidRPr="00FF207E">
        <w:rPr>
          <w:b/>
          <w:lang w:val="sl-SI"/>
        </w:rPr>
        <w:t xml:space="preserve">njihovo </w:t>
      </w:r>
      <w:r w:rsidRPr="00FF207E">
        <w:rPr>
          <w:b/>
          <w:lang w:val="sl-SI"/>
        </w:rPr>
        <w:t>doseganje vzpostavljen</w:t>
      </w:r>
      <w:r w:rsidR="00D55FFB" w:rsidRPr="00FF207E">
        <w:rPr>
          <w:b/>
          <w:lang w:val="sl-SI"/>
        </w:rPr>
        <w:t>e</w:t>
      </w:r>
      <w:r w:rsidRPr="00FF207E">
        <w:rPr>
          <w:b/>
          <w:lang w:val="sl-SI"/>
        </w:rPr>
        <w:t xml:space="preserve"> ustrezn</w:t>
      </w:r>
      <w:r w:rsidR="00D55FFB" w:rsidRPr="00FF207E">
        <w:rPr>
          <w:b/>
          <w:lang w:val="sl-SI"/>
        </w:rPr>
        <w:t>e</w:t>
      </w:r>
      <w:r w:rsidRPr="00FF207E">
        <w:rPr>
          <w:b/>
          <w:lang w:val="sl-SI"/>
        </w:rPr>
        <w:t xml:space="preserve"> </w:t>
      </w:r>
      <w:r w:rsidR="009A0EB7" w:rsidRPr="00FF207E">
        <w:rPr>
          <w:b/>
          <w:lang w:val="sl-SI"/>
        </w:rPr>
        <w:t xml:space="preserve">razmere </w:t>
      </w:r>
      <w:r w:rsidRPr="00FF207E">
        <w:rPr>
          <w:b/>
          <w:lang w:val="sl-SI"/>
        </w:rPr>
        <w:t>za izvajanje ukrepov iz akcijskega načrta</w:t>
      </w:r>
      <w:r w:rsidRPr="00FF207E">
        <w:rPr>
          <w:lang w:val="sl-SI"/>
        </w:rPr>
        <w:t xml:space="preserve"> (zagotovljena sredstva, kadri za vzpostavitev in delovanje načrtovane sheme za zmanjševanje energetske revščine </w:t>
      </w:r>
      <w:r w:rsidR="00B77973" w:rsidRPr="00FF207E">
        <w:rPr>
          <w:lang w:val="sl-SI"/>
        </w:rPr>
        <w:t>in tako dalje</w:t>
      </w:r>
      <w:r w:rsidRPr="00FF207E">
        <w:rPr>
          <w:lang w:val="sl-SI"/>
        </w:rPr>
        <w:t>).</w:t>
      </w:r>
      <w:r w:rsidR="00367BD1" w:rsidRPr="00FF207E">
        <w:rPr>
          <w:lang w:val="sl-SI"/>
        </w:rPr>
        <w:t xml:space="preserve"> Za doseganje krovnega cilja bo poleg tega treba zagotoviti tudi </w:t>
      </w:r>
      <w:r w:rsidR="003249EA" w:rsidRPr="00FF207E">
        <w:rPr>
          <w:lang w:val="sl-SI"/>
        </w:rPr>
        <w:t xml:space="preserve">dejavno </w:t>
      </w:r>
      <w:r w:rsidR="00367BD1" w:rsidRPr="00FF207E">
        <w:rPr>
          <w:lang w:val="sl-SI"/>
        </w:rPr>
        <w:t xml:space="preserve">zmanjševanje in preprečevanje energetske revščine v okviru razvojne, plačne, zaposlitvene, davčne, stanovanjske, socialne in drugih </w:t>
      </w:r>
      <w:r w:rsidR="00757D08" w:rsidRPr="00FF207E">
        <w:rPr>
          <w:lang w:val="sl-SI"/>
        </w:rPr>
        <w:t xml:space="preserve">pomembnih </w:t>
      </w:r>
      <w:r w:rsidR="00367BD1" w:rsidRPr="00FF207E">
        <w:rPr>
          <w:lang w:val="sl-SI"/>
        </w:rPr>
        <w:t>politik.</w:t>
      </w:r>
      <w:r w:rsidR="00E75F4E" w:rsidRPr="00FF207E">
        <w:rPr>
          <w:lang w:val="sl-SI"/>
        </w:rPr>
        <w:t xml:space="preserve"> Opredeljeni so tudi </w:t>
      </w:r>
      <w:r w:rsidR="00E75F4E" w:rsidRPr="00FF207E">
        <w:rPr>
          <w:b/>
          <w:lang w:val="sl-SI"/>
        </w:rPr>
        <w:t>glavni cilji do leta 2026</w:t>
      </w:r>
      <w:r w:rsidR="00CD4D49" w:rsidRPr="00FF207E">
        <w:rPr>
          <w:lang w:val="sl-SI"/>
        </w:rPr>
        <w:t>, ki se navezujejo na dodeljevanje spodbud energetsko revnim v povečanem obsegu.</w:t>
      </w:r>
    </w:p>
    <w:p w14:paraId="6376B24B" w14:textId="3A6B5FB0" w:rsidR="00F70793" w:rsidRPr="00FF207E" w:rsidRDefault="001651C0" w:rsidP="001E304B">
      <w:pPr>
        <w:spacing w:after="120"/>
        <w:jc w:val="both"/>
        <w:rPr>
          <w:rFonts w:cs="Arial"/>
          <w:szCs w:val="22"/>
          <w:lang w:val="sl-SI"/>
        </w:rPr>
      </w:pPr>
      <w:r w:rsidRPr="00FF207E">
        <w:rPr>
          <w:rFonts w:cs="Arial"/>
          <w:b/>
          <w:szCs w:val="22"/>
          <w:lang w:val="sl-SI"/>
        </w:rPr>
        <w:t>Za zmanjševanje energetske revščine se prednostno izvaja</w:t>
      </w:r>
      <w:r w:rsidR="00CB151C" w:rsidRPr="00FF207E">
        <w:rPr>
          <w:rFonts w:cs="Arial"/>
          <w:b/>
          <w:szCs w:val="22"/>
          <w:lang w:val="sl-SI"/>
        </w:rPr>
        <w:t>jo</w:t>
      </w:r>
      <w:r w:rsidRPr="00FF207E">
        <w:rPr>
          <w:rFonts w:cs="Arial"/>
          <w:b/>
          <w:szCs w:val="22"/>
          <w:lang w:val="sl-SI"/>
        </w:rPr>
        <w:t xml:space="preserve"> ukrep</w:t>
      </w:r>
      <w:r w:rsidR="00CB151C" w:rsidRPr="00FF207E">
        <w:rPr>
          <w:rFonts w:cs="Arial"/>
          <w:b/>
          <w:szCs w:val="22"/>
          <w:lang w:val="sl-SI"/>
        </w:rPr>
        <w:t>i</w:t>
      </w:r>
      <w:r w:rsidRPr="00FF207E">
        <w:rPr>
          <w:rFonts w:cs="Arial"/>
          <w:b/>
          <w:szCs w:val="22"/>
          <w:lang w:val="sl-SI"/>
        </w:rPr>
        <w:t xml:space="preserve"> energetske učinkovitosti</w:t>
      </w:r>
      <w:r w:rsidRPr="00FF207E">
        <w:rPr>
          <w:rFonts w:cs="Arial"/>
          <w:szCs w:val="22"/>
          <w:lang w:val="sl-SI"/>
        </w:rPr>
        <w:t xml:space="preserve">, s katerimi se </w:t>
      </w:r>
      <w:r w:rsidR="00CB151C" w:rsidRPr="00FF207E">
        <w:rPr>
          <w:rFonts w:cs="Arial"/>
          <w:szCs w:val="22"/>
          <w:lang w:val="sl-SI"/>
        </w:rPr>
        <w:t xml:space="preserve">zmanjšujejo </w:t>
      </w:r>
      <w:r w:rsidRPr="00FF207E">
        <w:rPr>
          <w:rFonts w:cs="Arial"/>
          <w:szCs w:val="22"/>
          <w:lang w:val="sl-SI"/>
        </w:rPr>
        <w:t>raba energije in emisije toplogrednih plinov ter izboljšujejo bivaln</w:t>
      </w:r>
      <w:r w:rsidR="00D55FFB" w:rsidRPr="00FF207E">
        <w:rPr>
          <w:rFonts w:cs="Arial"/>
          <w:szCs w:val="22"/>
          <w:lang w:val="sl-SI"/>
        </w:rPr>
        <w:t>e</w:t>
      </w:r>
      <w:r w:rsidRPr="00FF207E">
        <w:rPr>
          <w:rFonts w:cs="Arial"/>
          <w:szCs w:val="22"/>
          <w:lang w:val="sl-SI"/>
        </w:rPr>
        <w:t xml:space="preserve"> </w:t>
      </w:r>
      <w:r w:rsidR="00D55FFB" w:rsidRPr="00FF207E">
        <w:rPr>
          <w:rFonts w:cs="Arial"/>
          <w:szCs w:val="22"/>
          <w:lang w:val="sl-SI"/>
        </w:rPr>
        <w:t>razmere</w:t>
      </w:r>
      <w:r w:rsidRPr="00FF207E">
        <w:rPr>
          <w:rFonts w:cs="Arial"/>
          <w:szCs w:val="22"/>
          <w:lang w:val="sl-SI"/>
        </w:rPr>
        <w:t xml:space="preserve">. S tem se </w:t>
      </w:r>
      <w:r w:rsidR="00453BF2" w:rsidRPr="00FF207E">
        <w:rPr>
          <w:rFonts w:cs="Arial"/>
          <w:szCs w:val="22"/>
          <w:lang w:val="sl-SI"/>
        </w:rPr>
        <w:t xml:space="preserve">sledi </w:t>
      </w:r>
      <w:r w:rsidRPr="00FF207E">
        <w:rPr>
          <w:rFonts w:cs="Arial"/>
          <w:szCs w:val="22"/>
          <w:lang w:val="sl-SI"/>
        </w:rPr>
        <w:t>tudi evropsk</w:t>
      </w:r>
      <w:r w:rsidR="00453BF2" w:rsidRPr="00FF207E">
        <w:rPr>
          <w:rFonts w:cs="Arial"/>
          <w:szCs w:val="22"/>
          <w:lang w:val="sl-SI"/>
        </w:rPr>
        <w:t>i</w:t>
      </w:r>
      <w:r w:rsidRPr="00FF207E">
        <w:rPr>
          <w:rFonts w:cs="Arial"/>
          <w:szCs w:val="22"/>
          <w:lang w:val="sl-SI"/>
        </w:rPr>
        <w:t xml:space="preserve"> smernic</w:t>
      </w:r>
      <w:r w:rsidR="00453BF2" w:rsidRPr="00FF207E">
        <w:rPr>
          <w:rFonts w:cs="Arial"/>
          <w:szCs w:val="22"/>
          <w:lang w:val="sl-SI"/>
        </w:rPr>
        <w:t>i</w:t>
      </w:r>
      <w:r w:rsidRPr="00FF207E">
        <w:rPr>
          <w:rFonts w:cs="Arial"/>
          <w:szCs w:val="22"/>
          <w:lang w:val="sl-SI"/>
        </w:rPr>
        <w:t xml:space="preserve"> </w:t>
      </w:r>
      <w:r w:rsidRPr="00FF207E">
        <w:rPr>
          <w:rFonts w:cs="Arial"/>
          <w:i/>
          <w:szCs w:val="22"/>
          <w:lang w:val="sl-SI"/>
        </w:rPr>
        <w:t>energetska učinkovitost na prvem mestu</w:t>
      </w:r>
      <w:r w:rsidRPr="00FF207E">
        <w:rPr>
          <w:rFonts w:cs="Arial"/>
          <w:szCs w:val="22"/>
          <w:lang w:val="sl-SI"/>
        </w:rPr>
        <w:t xml:space="preserve"> (</w:t>
      </w:r>
      <w:proofErr w:type="spellStart"/>
      <w:r w:rsidRPr="00FF207E">
        <w:rPr>
          <w:rFonts w:cs="Arial"/>
          <w:szCs w:val="22"/>
          <w:lang w:val="sl-SI"/>
        </w:rPr>
        <w:t>energy</w:t>
      </w:r>
      <w:proofErr w:type="spellEnd"/>
      <w:r w:rsidRPr="00FF207E">
        <w:rPr>
          <w:rFonts w:cs="Arial"/>
          <w:szCs w:val="22"/>
          <w:lang w:val="sl-SI"/>
        </w:rPr>
        <w:t xml:space="preserve"> </w:t>
      </w:r>
      <w:proofErr w:type="spellStart"/>
      <w:r w:rsidRPr="00FF207E">
        <w:rPr>
          <w:rFonts w:cs="Arial"/>
          <w:szCs w:val="22"/>
          <w:lang w:val="sl-SI"/>
        </w:rPr>
        <w:t>efficiency</w:t>
      </w:r>
      <w:proofErr w:type="spellEnd"/>
      <w:r w:rsidRPr="00FF207E">
        <w:rPr>
          <w:rFonts w:cs="Arial"/>
          <w:szCs w:val="22"/>
          <w:lang w:val="sl-SI"/>
        </w:rPr>
        <w:t xml:space="preserve"> </w:t>
      </w:r>
      <w:proofErr w:type="spellStart"/>
      <w:r w:rsidRPr="00FF207E">
        <w:rPr>
          <w:rFonts w:cs="Arial"/>
          <w:szCs w:val="22"/>
          <w:lang w:val="sl-SI"/>
        </w:rPr>
        <w:t>first</w:t>
      </w:r>
      <w:proofErr w:type="spellEnd"/>
      <w:r w:rsidRPr="00FF207E">
        <w:rPr>
          <w:rFonts w:cs="Arial"/>
          <w:szCs w:val="22"/>
          <w:lang w:val="sl-SI"/>
        </w:rPr>
        <w:t xml:space="preserve">). </w:t>
      </w:r>
      <w:r w:rsidR="006A1429" w:rsidRPr="00FF207E">
        <w:rPr>
          <w:rFonts w:cs="Arial"/>
          <w:szCs w:val="22"/>
          <w:lang w:val="sl-SI"/>
        </w:rPr>
        <w:t xml:space="preserve">Akcijski načrt ohranja že </w:t>
      </w:r>
      <w:r w:rsidR="00736A5E" w:rsidRPr="00FF207E">
        <w:rPr>
          <w:rFonts w:cs="Arial"/>
          <w:szCs w:val="22"/>
          <w:lang w:val="sl-SI"/>
        </w:rPr>
        <w:t xml:space="preserve">veljavne </w:t>
      </w:r>
      <w:r w:rsidR="006A1429" w:rsidRPr="00FF207E">
        <w:rPr>
          <w:rFonts w:cs="Arial"/>
          <w:szCs w:val="22"/>
          <w:lang w:val="sl-SI"/>
        </w:rPr>
        <w:t>ukrepe (</w:t>
      </w:r>
      <w:r w:rsidR="00B77973" w:rsidRPr="00FF207E">
        <w:rPr>
          <w:rFonts w:cs="Arial"/>
          <w:szCs w:val="22"/>
          <w:lang w:val="sl-SI"/>
        </w:rPr>
        <w:t>na primer</w:t>
      </w:r>
      <w:r w:rsidR="00B75869" w:rsidRPr="00FF207E">
        <w:rPr>
          <w:rFonts w:cs="Arial"/>
          <w:szCs w:val="22"/>
          <w:lang w:val="sl-SI"/>
        </w:rPr>
        <w:t xml:space="preserve"> </w:t>
      </w:r>
      <w:r w:rsidR="006A1429" w:rsidRPr="00FF207E">
        <w:rPr>
          <w:lang w:val="sl-SI"/>
        </w:rPr>
        <w:t xml:space="preserve">spodbude </w:t>
      </w:r>
      <w:proofErr w:type="spellStart"/>
      <w:r w:rsidR="006A1429" w:rsidRPr="00FF207E">
        <w:rPr>
          <w:lang w:val="sl-SI"/>
        </w:rPr>
        <w:t>Eko</w:t>
      </w:r>
      <w:proofErr w:type="spellEnd"/>
      <w:r w:rsidR="006A1429" w:rsidRPr="00FF207E">
        <w:rPr>
          <w:lang w:val="sl-SI"/>
        </w:rPr>
        <w:t xml:space="preserve"> sklada za skupne ukrepe pri energetski prenovi večstanovanjskih stavb in </w:t>
      </w:r>
      <w:r w:rsidR="006A1429" w:rsidRPr="00FF207E">
        <w:rPr>
          <w:bCs/>
          <w:lang w:val="sl-SI"/>
        </w:rPr>
        <w:t xml:space="preserve">investicije v ukrepe </w:t>
      </w:r>
      <w:r w:rsidR="00367BD1" w:rsidRPr="00FF207E">
        <w:rPr>
          <w:bCs/>
          <w:lang w:val="sl-SI"/>
        </w:rPr>
        <w:t xml:space="preserve">URE in </w:t>
      </w:r>
      <w:r w:rsidR="00026105" w:rsidRPr="00FF207E">
        <w:rPr>
          <w:bCs/>
          <w:lang w:val="sl-SI"/>
        </w:rPr>
        <w:t xml:space="preserve">rabe </w:t>
      </w:r>
      <w:r w:rsidR="00367BD1" w:rsidRPr="00FF207E">
        <w:rPr>
          <w:bCs/>
          <w:lang w:val="sl-SI"/>
        </w:rPr>
        <w:t>OVE</w:t>
      </w:r>
      <w:r w:rsidR="006A1429" w:rsidRPr="00FF207E">
        <w:rPr>
          <w:lang w:val="sl-SI"/>
        </w:rPr>
        <w:t>,</w:t>
      </w:r>
      <w:r w:rsidR="00B666CF" w:rsidRPr="00FF207E">
        <w:rPr>
          <w:lang w:val="sl-SI"/>
        </w:rPr>
        <w:t xml:space="preserve"> vključno z vgradnjo novih kurilnih naprav na lesno biomaso</w:t>
      </w:r>
      <w:r w:rsidR="00C36FC1" w:rsidRPr="00FF207E">
        <w:rPr>
          <w:lang w:val="sl-SI"/>
        </w:rPr>
        <w:t xml:space="preserve"> (KNLB)</w:t>
      </w:r>
      <w:r w:rsidR="00B666CF" w:rsidRPr="00FF207E">
        <w:rPr>
          <w:lang w:val="sl-SI"/>
        </w:rPr>
        <w:t>,</w:t>
      </w:r>
      <w:r w:rsidR="006A1429" w:rsidRPr="00FF207E">
        <w:rPr>
          <w:lang w:val="sl-SI"/>
        </w:rPr>
        <w:t xml:space="preserve"> svetovanje mreže ENSVET energetsko revnim </w:t>
      </w:r>
      <w:r w:rsidR="00B77973" w:rsidRPr="00FF207E">
        <w:rPr>
          <w:lang w:val="sl-SI"/>
        </w:rPr>
        <w:t>in tako dalje</w:t>
      </w:r>
      <w:r w:rsidR="00746765" w:rsidRPr="00FF207E">
        <w:rPr>
          <w:lang w:val="sl-SI"/>
        </w:rPr>
        <w:t>)</w:t>
      </w:r>
      <w:r w:rsidR="00B75869" w:rsidRPr="00FF207E">
        <w:rPr>
          <w:lang w:val="sl-SI"/>
        </w:rPr>
        <w:t xml:space="preserve"> </w:t>
      </w:r>
      <w:r w:rsidR="001569C7" w:rsidRPr="00FF207E">
        <w:rPr>
          <w:lang w:val="sl-SI"/>
        </w:rPr>
        <w:t>in</w:t>
      </w:r>
      <w:r w:rsidR="00746765" w:rsidRPr="00FF207E">
        <w:rPr>
          <w:lang w:val="sl-SI"/>
        </w:rPr>
        <w:t xml:space="preserve"> jih </w:t>
      </w:r>
      <w:r w:rsidR="001569C7" w:rsidRPr="00FF207E">
        <w:rPr>
          <w:lang w:val="sl-SI"/>
        </w:rPr>
        <w:t>nadgrajuje</w:t>
      </w:r>
      <w:r w:rsidR="00746765" w:rsidRPr="00FF207E">
        <w:rPr>
          <w:lang w:val="sl-SI"/>
        </w:rPr>
        <w:t xml:space="preserve"> s </w:t>
      </w:r>
      <w:r w:rsidR="00746765" w:rsidRPr="00FF207E">
        <w:rPr>
          <w:rFonts w:cs="Arial"/>
          <w:b/>
          <w:szCs w:val="22"/>
          <w:lang w:val="sl-SI"/>
        </w:rPr>
        <w:t>shemo za zmanjševanje energetske revščine</w:t>
      </w:r>
      <w:r w:rsidR="00746765" w:rsidRPr="00FF207E">
        <w:rPr>
          <w:rFonts w:cs="Arial"/>
          <w:szCs w:val="22"/>
          <w:lang w:val="sl-SI"/>
        </w:rPr>
        <w:t xml:space="preserve"> (glej poglavji </w:t>
      </w:r>
      <w:r w:rsidR="00746765" w:rsidRPr="00FF207E">
        <w:rPr>
          <w:rFonts w:cs="Arial"/>
          <w:szCs w:val="22"/>
          <w:lang w:val="sl-SI"/>
        </w:rPr>
        <w:fldChar w:fldCharType="begin"/>
      </w:r>
      <w:r w:rsidR="00746765" w:rsidRPr="00FF207E">
        <w:rPr>
          <w:rFonts w:cs="Arial"/>
          <w:szCs w:val="22"/>
          <w:lang w:val="sl-SI"/>
        </w:rPr>
        <w:instrText xml:space="preserve"> REF _Ref136360324 \r \h </w:instrText>
      </w:r>
      <w:r w:rsidR="001E304B" w:rsidRPr="00FF207E">
        <w:rPr>
          <w:rFonts w:cs="Arial"/>
          <w:szCs w:val="22"/>
          <w:lang w:val="sl-SI"/>
        </w:rPr>
        <w:instrText xml:space="preserve"> \* MERGEFORMAT </w:instrText>
      </w:r>
      <w:r w:rsidR="00746765" w:rsidRPr="00FF207E">
        <w:rPr>
          <w:rFonts w:cs="Arial"/>
          <w:szCs w:val="22"/>
          <w:lang w:val="sl-SI"/>
        </w:rPr>
      </w:r>
      <w:r w:rsidR="00746765" w:rsidRPr="00FF207E">
        <w:rPr>
          <w:rFonts w:cs="Arial"/>
          <w:szCs w:val="22"/>
          <w:lang w:val="sl-SI"/>
        </w:rPr>
        <w:fldChar w:fldCharType="separate"/>
      </w:r>
      <w:r w:rsidR="00F37FD1" w:rsidRPr="00FF207E">
        <w:rPr>
          <w:rFonts w:cs="Arial"/>
          <w:szCs w:val="22"/>
          <w:lang w:val="sl-SI"/>
        </w:rPr>
        <w:t>3</w:t>
      </w:r>
      <w:r w:rsidR="00746765" w:rsidRPr="00FF207E">
        <w:rPr>
          <w:rFonts w:cs="Arial"/>
          <w:szCs w:val="22"/>
          <w:lang w:val="sl-SI"/>
        </w:rPr>
        <w:fldChar w:fldCharType="end"/>
      </w:r>
      <w:r w:rsidR="00746765" w:rsidRPr="00FF207E">
        <w:rPr>
          <w:rFonts w:cs="Arial"/>
          <w:szCs w:val="22"/>
          <w:lang w:val="sl-SI"/>
        </w:rPr>
        <w:t xml:space="preserve"> in </w:t>
      </w:r>
      <w:r w:rsidR="00746765" w:rsidRPr="00FF207E">
        <w:rPr>
          <w:rFonts w:cs="Arial"/>
          <w:szCs w:val="22"/>
          <w:lang w:val="sl-SI"/>
        </w:rPr>
        <w:fldChar w:fldCharType="begin"/>
      </w:r>
      <w:r w:rsidR="00746765" w:rsidRPr="00FF207E">
        <w:rPr>
          <w:rFonts w:cs="Arial"/>
          <w:szCs w:val="22"/>
          <w:lang w:val="sl-SI"/>
        </w:rPr>
        <w:instrText xml:space="preserve"> REF _Ref135394392 \r \h </w:instrText>
      </w:r>
      <w:r w:rsidR="001E304B" w:rsidRPr="00FF207E">
        <w:rPr>
          <w:rFonts w:cs="Arial"/>
          <w:szCs w:val="22"/>
          <w:lang w:val="sl-SI"/>
        </w:rPr>
        <w:instrText xml:space="preserve"> \* MERGEFORMAT </w:instrText>
      </w:r>
      <w:r w:rsidR="00746765" w:rsidRPr="00FF207E">
        <w:rPr>
          <w:rFonts w:cs="Arial"/>
          <w:szCs w:val="22"/>
          <w:lang w:val="sl-SI"/>
        </w:rPr>
      </w:r>
      <w:r w:rsidR="00746765" w:rsidRPr="00FF207E">
        <w:rPr>
          <w:rFonts w:cs="Arial"/>
          <w:szCs w:val="22"/>
          <w:lang w:val="sl-SI"/>
        </w:rPr>
        <w:fldChar w:fldCharType="separate"/>
      </w:r>
      <w:r w:rsidR="00F37FD1" w:rsidRPr="00FF207E">
        <w:rPr>
          <w:rFonts w:cs="Arial"/>
          <w:szCs w:val="22"/>
          <w:lang w:val="sl-SI"/>
        </w:rPr>
        <w:t>4</w:t>
      </w:r>
      <w:r w:rsidR="00746765" w:rsidRPr="00FF207E">
        <w:rPr>
          <w:rFonts w:cs="Arial"/>
          <w:szCs w:val="22"/>
          <w:lang w:val="sl-SI"/>
        </w:rPr>
        <w:fldChar w:fldCharType="end"/>
      </w:r>
      <w:r w:rsidR="00746765" w:rsidRPr="00FF207E">
        <w:rPr>
          <w:rFonts w:cs="Arial"/>
          <w:szCs w:val="22"/>
          <w:lang w:val="sl-SI"/>
        </w:rPr>
        <w:t xml:space="preserve">). Ta </w:t>
      </w:r>
      <w:r w:rsidR="00DA1EDE" w:rsidRPr="00FF207E">
        <w:rPr>
          <w:rFonts w:cs="Arial"/>
          <w:szCs w:val="22"/>
          <w:lang w:val="sl-SI"/>
        </w:rPr>
        <w:t xml:space="preserve">zajema </w:t>
      </w:r>
      <w:r w:rsidR="00746765" w:rsidRPr="00FF207E">
        <w:rPr>
          <w:rFonts w:cs="Arial"/>
          <w:szCs w:val="22"/>
          <w:lang w:val="sl-SI"/>
        </w:rPr>
        <w:t>k</w:t>
      </w:r>
      <w:r w:rsidR="0056324A" w:rsidRPr="00FF207E">
        <w:rPr>
          <w:rFonts w:cs="Arial"/>
          <w:szCs w:val="22"/>
          <w:lang w:val="sl-SI"/>
        </w:rPr>
        <w:t xml:space="preserve">ljučni sklop ukrepov </w:t>
      </w:r>
      <w:r w:rsidR="00F70793" w:rsidRPr="00FF207E">
        <w:rPr>
          <w:rFonts w:cs="Arial"/>
          <w:szCs w:val="22"/>
          <w:lang w:val="sl-SI"/>
        </w:rPr>
        <w:t xml:space="preserve">tega akcijskega </w:t>
      </w:r>
      <w:r w:rsidR="00021241" w:rsidRPr="00FF207E">
        <w:rPr>
          <w:rFonts w:cs="Arial"/>
          <w:szCs w:val="22"/>
          <w:lang w:val="sl-SI"/>
        </w:rPr>
        <w:t xml:space="preserve">načrta </w:t>
      </w:r>
      <w:r w:rsidR="00746765" w:rsidRPr="00FF207E">
        <w:rPr>
          <w:rFonts w:cs="Arial"/>
          <w:szCs w:val="22"/>
          <w:lang w:val="sl-SI"/>
        </w:rPr>
        <w:t>in</w:t>
      </w:r>
      <w:r w:rsidR="0056324A" w:rsidRPr="00FF207E">
        <w:rPr>
          <w:rFonts w:cs="Arial"/>
          <w:szCs w:val="22"/>
          <w:lang w:val="sl-SI"/>
        </w:rPr>
        <w:t xml:space="preserve"> povezuje stalno razpoložljivost finančnih spodbud za izvajanje ukrepov URE in </w:t>
      </w:r>
      <w:r w:rsidR="00026105" w:rsidRPr="00FF207E">
        <w:rPr>
          <w:rFonts w:cs="Arial"/>
          <w:szCs w:val="22"/>
          <w:lang w:val="sl-SI"/>
        </w:rPr>
        <w:t xml:space="preserve">rabe </w:t>
      </w:r>
      <w:r w:rsidR="0056324A" w:rsidRPr="00FF207E">
        <w:rPr>
          <w:rFonts w:cs="Arial"/>
          <w:szCs w:val="22"/>
          <w:lang w:val="sl-SI"/>
        </w:rPr>
        <w:t xml:space="preserve">OVE za energetsko revne </w:t>
      </w:r>
      <w:r w:rsidR="00B226D4" w:rsidRPr="00FF207E">
        <w:rPr>
          <w:rFonts w:cs="Arial"/>
          <w:szCs w:val="22"/>
          <w:lang w:val="sl-SI"/>
        </w:rPr>
        <w:t>z</w:t>
      </w:r>
      <w:r w:rsidR="00323BB2" w:rsidRPr="00FF207E">
        <w:rPr>
          <w:rFonts w:cs="Arial"/>
          <w:szCs w:val="22"/>
          <w:lang w:val="sl-SI"/>
        </w:rPr>
        <w:t xml:space="preserve"> vzpostavit</w:t>
      </w:r>
      <w:r w:rsidR="00B226D4" w:rsidRPr="00FF207E">
        <w:rPr>
          <w:rFonts w:cs="Arial"/>
          <w:szCs w:val="22"/>
          <w:lang w:val="sl-SI"/>
        </w:rPr>
        <w:t>vijo</w:t>
      </w:r>
      <w:r w:rsidR="0056324A" w:rsidRPr="00FF207E">
        <w:rPr>
          <w:rFonts w:cs="Arial"/>
          <w:szCs w:val="22"/>
          <w:lang w:val="sl-SI"/>
        </w:rPr>
        <w:t xml:space="preserve"> </w:t>
      </w:r>
      <w:r w:rsidR="0056324A" w:rsidRPr="00FF207E">
        <w:rPr>
          <w:rFonts w:cs="Arial"/>
          <w:b/>
          <w:szCs w:val="22"/>
          <w:lang w:val="sl-SI"/>
        </w:rPr>
        <w:t>projektne pisarne z regionalnimi svetovalnimi točkami</w:t>
      </w:r>
      <w:r w:rsidR="0056324A" w:rsidRPr="00FF207E">
        <w:rPr>
          <w:rFonts w:cs="Arial"/>
          <w:szCs w:val="22"/>
          <w:lang w:val="sl-SI"/>
        </w:rPr>
        <w:t>, ki bo energetsko revnim poleg spodbud zagotavljala celostno multidisciplinarno pomoč (tehnična, socialna in osebna pomoč) na enem mestu, vključno z energetskim svetovanjem in informiranjem</w:t>
      </w:r>
      <w:r w:rsidR="00684B50" w:rsidRPr="00FF207E">
        <w:rPr>
          <w:rFonts w:cs="Arial"/>
          <w:szCs w:val="22"/>
          <w:lang w:val="sl-SI"/>
        </w:rPr>
        <w:t>. Slednje</w:t>
      </w:r>
      <w:r w:rsidR="003B6567" w:rsidRPr="00FF207E">
        <w:rPr>
          <w:rFonts w:cs="Arial"/>
          <w:szCs w:val="22"/>
          <w:lang w:val="sl-SI"/>
        </w:rPr>
        <w:t xml:space="preserve"> </w:t>
      </w:r>
      <w:r w:rsidR="007063B7" w:rsidRPr="00FF207E">
        <w:rPr>
          <w:rFonts w:cs="Arial"/>
          <w:szCs w:val="22"/>
          <w:lang w:val="sl-SI"/>
        </w:rPr>
        <w:t xml:space="preserve">bo </w:t>
      </w:r>
      <w:r w:rsidR="00684B50" w:rsidRPr="00FF207E">
        <w:rPr>
          <w:rFonts w:cs="Arial"/>
          <w:szCs w:val="22"/>
          <w:lang w:val="sl-SI"/>
        </w:rPr>
        <w:t xml:space="preserve">na regionalni ravni </w:t>
      </w:r>
      <w:r w:rsidR="007063B7" w:rsidRPr="00FF207E">
        <w:rPr>
          <w:rFonts w:cs="Arial"/>
          <w:szCs w:val="22"/>
          <w:lang w:val="sl-SI"/>
        </w:rPr>
        <w:t xml:space="preserve">potekalo prek </w:t>
      </w:r>
      <w:r w:rsidR="007063B7" w:rsidRPr="00FF207E">
        <w:rPr>
          <w:rFonts w:cs="Arial"/>
          <w:b/>
          <w:szCs w:val="22"/>
          <w:lang w:val="sl-SI"/>
        </w:rPr>
        <w:t>neformalnih mrež za informiranje in ozaveščanje</w:t>
      </w:r>
      <w:r w:rsidR="007063B7" w:rsidRPr="00FF207E">
        <w:rPr>
          <w:rFonts w:cs="Arial"/>
          <w:szCs w:val="22"/>
          <w:lang w:val="sl-SI"/>
        </w:rPr>
        <w:t>.</w:t>
      </w:r>
      <w:r w:rsidR="003B6567" w:rsidRPr="00FF207E">
        <w:rPr>
          <w:rFonts w:cs="Arial"/>
          <w:szCs w:val="22"/>
          <w:lang w:val="sl-SI"/>
        </w:rPr>
        <w:t xml:space="preserve"> </w:t>
      </w:r>
      <w:r w:rsidR="0056324A" w:rsidRPr="00FF207E">
        <w:rPr>
          <w:rFonts w:cs="Arial"/>
          <w:szCs w:val="22"/>
          <w:lang w:val="sl-SI"/>
        </w:rPr>
        <w:t xml:space="preserve">Del nalog projektne pisarne </w:t>
      </w:r>
      <w:r w:rsidR="0042545D" w:rsidRPr="00FF207E">
        <w:rPr>
          <w:rFonts w:cs="Arial"/>
          <w:szCs w:val="22"/>
          <w:lang w:val="sl-SI"/>
        </w:rPr>
        <w:t xml:space="preserve">je </w:t>
      </w:r>
      <w:r w:rsidR="0056324A" w:rsidRPr="00FF207E">
        <w:rPr>
          <w:rFonts w:cs="Arial"/>
          <w:szCs w:val="22"/>
          <w:lang w:val="sl-SI"/>
        </w:rPr>
        <w:t>tudi</w:t>
      </w:r>
      <w:r w:rsidR="007063B7" w:rsidRPr="00FF207E">
        <w:rPr>
          <w:rFonts w:cs="Arial"/>
          <w:szCs w:val="22"/>
          <w:lang w:val="sl-SI"/>
        </w:rPr>
        <w:t xml:space="preserve"> </w:t>
      </w:r>
      <w:r w:rsidR="00756F65" w:rsidRPr="00FF207E">
        <w:rPr>
          <w:rFonts w:cs="Arial"/>
          <w:szCs w:val="22"/>
          <w:lang w:val="sl-SI"/>
        </w:rPr>
        <w:t>stalno</w:t>
      </w:r>
      <w:r w:rsidR="0056324A" w:rsidRPr="00FF207E">
        <w:rPr>
          <w:rFonts w:cs="Arial"/>
          <w:szCs w:val="22"/>
          <w:lang w:val="sl-SI"/>
        </w:rPr>
        <w:t xml:space="preserve"> informiranje članov</w:t>
      </w:r>
      <w:r w:rsidR="00684B50" w:rsidRPr="00FF207E">
        <w:rPr>
          <w:rFonts w:cs="Arial"/>
          <w:szCs w:val="22"/>
          <w:lang w:val="sl-SI"/>
        </w:rPr>
        <w:t xml:space="preserve"> teh mrež</w:t>
      </w:r>
      <w:r w:rsidR="0056324A" w:rsidRPr="00FF207E">
        <w:rPr>
          <w:rFonts w:cs="Arial"/>
          <w:szCs w:val="22"/>
          <w:lang w:val="sl-SI"/>
        </w:rPr>
        <w:t>, ki naj bi bile oblikovane z namenom čim bolj ciljno usmerjenega in učinkovitega informiranja energetsko revnih.</w:t>
      </w:r>
    </w:p>
    <w:p w14:paraId="5B3841E6" w14:textId="6AA847B9" w:rsidR="00684B50" w:rsidRPr="00FF207E" w:rsidRDefault="003155F2" w:rsidP="001E304B">
      <w:pPr>
        <w:spacing w:after="120"/>
        <w:jc w:val="both"/>
        <w:rPr>
          <w:rFonts w:cs="Arial"/>
          <w:szCs w:val="22"/>
          <w:lang w:val="sl-SI"/>
        </w:rPr>
      </w:pPr>
      <w:r w:rsidRPr="00FF207E">
        <w:rPr>
          <w:rFonts w:cs="Arial"/>
          <w:b/>
          <w:szCs w:val="22"/>
          <w:lang w:val="sl-SI"/>
        </w:rPr>
        <w:lastRenderedPageBreak/>
        <w:t xml:space="preserve">Konec leta </w:t>
      </w:r>
      <w:r w:rsidR="00684B50" w:rsidRPr="00FF207E">
        <w:rPr>
          <w:rFonts w:cs="Arial"/>
          <w:b/>
          <w:szCs w:val="22"/>
          <w:lang w:val="sl-SI"/>
        </w:rPr>
        <w:t>2023</w:t>
      </w:r>
      <w:r w:rsidR="00684B50" w:rsidRPr="00FF207E">
        <w:rPr>
          <w:rFonts w:cs="Arial"/>
          <w:szCs w:val="22"/>
          <w:lang w:val="sl-SI"/>
        </w:rPr>
        <w:t xml:space="preserve"> </w:t>
      </w:r>
      <w:r w:rsidR="00190131" w:rsidRPr="00FF207E">
        <w:rPr>
          <w:rFonts w:cs="Arial"/>
          <w:szCs w:val="22"/>
          <w:lang w:val="sl-SI"/>
        </w:rPr>
        <w:t xml:space="preserve">bo objavljen nov poziv </w:t>
      </w:r>
      <w:proofErr w:type="spellStart"/>
      <w:r w:rsidR="00190131" w:rsidRPr="00FF207E">
        <w:rPr>
          <w:rFonts w:cs="Arial"/>
          <w:szCs w:val="22"/>
          <w:lang w:val="sl-SI"/>
        </w:rPr>
        <w:t>Eko</w:t>
      </w:r>
      <w:proofErr w:type="spellEnd"/>
      <w:r w:rsidR="00190131" w:rsidRPr="00FF207E">
        <w:rPr>
          <w:rFonts w:cs="Arial"/>
          <w:szCs w:val="22"/>
          <w:lang w:val="sl-SI"/>
        </w:rPr>
        <w:t xml:space="preserve"> sklada za </w:t>
      </w:r>
      <w:r w:rsidR="00190131" w:rsidRPr="00FF207E">
        <w:rPr>
          <w:bCs/>
          <w:lang w:val="sl-SI"/>
        </w:rPr>
        <w:t xml:space="preserve">nepovratne finančne spodbude socialno šibkim občanom za investicije v ukrepe </w:t>
      </w:r>
      <w:r w:rsidRPr="00FF207E">
        <w:rPr>
          <w:bCs/>
          <w:lang w:val="sl-SI"/>
        </w:rPr>
        <w:t xml:space="preserve">URE in </w:t>
      </w:r>
      <w:r w:rsidR="00026105" w:rsidRPr="00FF207E">
        <w:rPr>
          <w:bCs/>
          <w:lang w:val="sl-SI"/>
        </w:rPr>
        <w:t xml:space="preserve">rabe </w:t>
      </w:r>
      <w:r w:rsidRPr="00FF207E">
        <w:rPr>
          <w:bCs/>
          <w:lang w:val="sl-SI"/>
        </w:rPr>
        <w:t>OVE</w:t>
      </w:r>
      <w:r w:rsidR="00190131" w:rsidRPr="00FF207E">
        <w:rPr>
          <w:bCs/>
          <w:lang w:val="sl-SI"/>
        </w:rPr>
        <w:t>, ki se financira iz sredstev Sklada za podnebne spremembe</w:t>
      </w:r>
      <w:r w:rsidR="00190131" w:rsidRPr="00FF207E">
        <w:rPr>
          <w:rFonts w:cs="Arial"/>
          <w:szCs w:val="22"/>
          <w:lang w:val="sl-SI"/>
        </w:rPr>
        <w:t>, drugače pa</w:t>
      </w:r>
      <w:r w:rsidR="00540BCD" w:rsidRPr="00FF207E">
        <w:rPr>
          <w:rFonts w:cs="Arial"/>
          <w:szCs w:val="22"/>
          <w:lang w:val="sl-SI"/>
        </w:rPr>
        <w:t xml:space="preserve"> bo</w:t>
      </w:r>
      <w:r w:rsidR="00190131" w:rsidRPr="00FF207E">
        <w:rPr>
          <w:rFonts w:cs="Arial"/>
          <w:szCs w:val="22"/>
          <w:lang w:val="sl-SI"/>
        </w:rPr>
        <w:t xml:space="preserve"> </w:t>
      </w:r>
      <w:r w:rsidR="00684B50" w:rsidRPr="00FF207E">
        <w:rPr>
          <w:rFonts w:cs="Arial"/>
          <w:szCs w:val="22"/>
          <w:lang w:val="sl-SI"/>
        </w:rPr>
        <w:t xml:space="preserve">izvajanje </w:t>
      </w:r>
      <w:r w:rsidR="00736A5E" w:rsidRPr="00FF207E">
        <w:rPr>
          <w:rFonts w:cs="Arial"/>
          <w:szCs w:val="22"/>
          <w:lang w:val="sl-SI"/>
        </w:rPr>
        <w:t xml:space="preserve">veljavnih </w:t>
      </w:r>
      <w:r w:rsidR="00684B50" w:rsidRPr="00FF207E">
        <w:rPr>
          <w:rFonts w:cs="Arial"/>
          <w:szCs w:val="22"/>
          <w:lang w:val="sl-SI"/>
        </w:rPr>
        <w:t xml:space="preserve">ukrepov </w:t>
      </w:r>
      <w:r w:rsidR="004215DF" w:rsidRPr="00FF207E">
        <w:rPr>
          <w:rFonts w:cs="Arial"/>
          <w:szCs w:val="22"/>
          <w:lang w:val="sl-SI"/>
        </w:rPr>
        <w:t>do konca leta</w:t>
      </w:r>
      <w:r w:rsidRPr="00FF207E">
        <w:rPr>
          <w:rFonts w:cs="Arial"/>
          <w:szCs w:val="22"/>
          <w:lang w:val="sl-SI"/>
        </w:rPr>
        <w:t xml:space="preserve"> 2024 </w:t>
      </w:r>
      <w:r w:rsidR="00684B50" w:rsidRPr="00FF207E">
        <w:rPr>
          <w:rFonts w:cs="Arial"/>
          <w:szCs w:val="22"/>
          <w:lang w:val="sl-SI"/>
        </w:rPr>
        <w:t>poteka</w:t>
      </w:r>
      <w:r w:rsidR="00540BCD" w:rsidRPr="00FF207E">
        <w:rPr>
          <w:rFonts w:cs="Arial"/>
          <w:szCs w:val="22"/>
          <w:lang w:val="sl-SI"/>
        </w:rPr>
        <w:t>lo</w:t>
      </w:r>
      <w:r w:rsidR="00684B50" w:rsidRPr="00FF207E">
        <w:rPr>
          <w:rFonts w:cs="Arial"/>
          <w:szCs w:val="22"/>
          <w:lang w:val="sl-SI"/>
        </w:rPr>
        <w:t xml:space="preserve"> brez večjih sprememb</w:t>
      </w:r>
      <w:r w:rsidR="001261D2" w:rsidRPr="00FF207E">
        <w:rPr>
          <w:rFonts w:cs="Arial"/>
          <w:szCs w:val="22"/>
          <w:lang w:val="sl-SI"/>
        </w:rPr>
        <w:t>.</w:t>
      </w:r>
      <w:r w:rsidR="00F70793" w:rsidRPr="00FF207E">
        <w:rPr>
          <w:rFonts w:cs="Arial"/>
          <w:szCs w:val="22"/>
          <w:lang w:val="sl-SI"/>
        </w:rPr>
        <w:t xml:space="preserve"> </w:t>
      </w:r>
      <w:r w:rsidR="001261D2" w:rsidRPr="00FF207E">
        <w:rPr>
          <w:rFonts w:cs="Arial"/>
          <w:b/>
          <w:szCs w:val="22"/>
          <w:lang w:val="sl-SI"/>
        </w:rPr>
        <w:t>V</w:t>
      </w:r>
      <w:r w:rsidR="00684B50" w:rsidRPr="00FF207E">
        <w:rPr>
          <w:rFonts w:cs="Arial"/>
          <w:b/>
          <w:szCs w:val="22"/>
          <w:lang w:val="sl-SI"/>
        </w:rPr>
        <w:t xml:space="preserve"> obdobju </w:t>
      </w:r>
      <w:r w:rsidRPr="00FF207E">
        <w:rPr>
          <w:rFonts w:cs="Arial"/>
          <w:b/>
          <w:szCs w:val="22"/>
          <w:lang w:val="sl-SI"/>
        </w:rPr>
        <w:t>2025</w:t>
      </w:r>
      <w:r w:rsidR="00684B50" w:rsidRPr="00FF207E">
        <w:rPr>
          <w:rFonts w:cs="Arial"/>
          <w:b/>
          <w:szCs w:val="22"/>
          <w:lang w:val="sl-SI"/>
        </w:rPr>
        <w:t xml:space="preserve">–2026 </w:t>
      </w:r>
      <w:r w:rsidR="001261D2" w:rsidRPr="00FF207E">
        <w:rPr>
          <w:rFonts w:cs="Arial"/>
          <w:b/>
          <w:szCs w:val="22"/>
          <w:lang w:val="sl-SI"/>
        </w:rPr>
        <w:t xml:space="preserve">je nato </w:t>
      </w:r>
      <w:r w:rsidR="00684B50" w:rsidRPr="00FF207E">
        <w:rPr>
          <w:rFonts w:cs="Arial"/>
          <w:b/>
          <w:szCs w:val="22"/>
          <w:lang w:val="sl-SI"/>
        </w:rPr>
        <w:t>načrtovana postopna vzpostavitev sheme</w:t>
      </w:r>
      <w:r w:rsidR="00F70793" w:rsidRPr="00FF207E">
        <w:rPr>
          <w:rFonts w:cs="Arial"/>
          <w:b/>
          <w:szCs w:val="22"/>
          <w:lang w:val="sl-SI"/>
        </w:rPr>
        <w:t xml:space="preserve"> za zmanjševanje energetske revščine</w:t>
      </w:r>
      <w:r w:rsidR="001261D2" w:rsidRPr="00FF207E">
        <w:rPr>
          <w:rFonts w:cs="Arial"/>
          <w:szCs w:val="22"/>
          <w:lang w:val="sl-SI"/>
        </w:rPr>
        <w:t>,</w:t>
      </w:r>
      <w:r w:rsidR="00684B50" w:rsidRPr="00FF207E">
        <w:rPr>
          <w:rFonts w:cs="Arial"/>
          <w:szCs w:val="22"/>
          <w:lang w:val="sl-SI"/>
        </w:rPr>
        <w:t xml:space="preserve"> kot pilotni projekt z regionalnimi svetovalnimi točkami ter neformalno mrežo za informiranje in ozaveščanje v dveh regijah</w:t>
      </w:r>
      <w:r w:rsidR="006A1429" w:rsidRPr="00FF207E">
        <w:rPr>
          <w:rFonts w:cs="Arial"/>
          <w:szCs w:val="22"/>
          <w:lang w:val="sl-SI"/>
        </w:rPr>
        <w:t>,</w:t>
      </w:r>
      <w:r w:rsidR="00190131" w:rsidRPr="00FF207E">
        <w:rPr>
          <w:rFonts w:cs="Arial"/>
          <w:szCs w:val="22"/>
          <w:lang w:val="sl-SI"/>
        </w:rPr>
        <w:t xml:space="preserve"> </w:t>
      </w:r>
      <w:r w:rsidR="006A1429" w:rsidRPr="00FF207E">
        <w:rPr>
          <w:rFonts w:cs="Arial"/>
          <w:szCs w:val="22"/>
          <w:lang w:val="sl-SI"/>
        </w:rPr>
        <w:t>i</w:t>
      </w:r>
      <w:r w:rsidR="00190131" w:rsidRPr="00FF207E">
        <w:rPr>
          <w:rFonts w:cs="Arial"/>
          <w:szCs w:val="22"/>
          <w:lang w:val="sl-SI"/>
        </w:rPr>
        <w:t xml:space="preserve">zbranih v skladu s postopkom za </w:t>
      </w:r>
      <w:r w:rsidR="00190131" w:rsidRPr="00FF207E">
        <w:rPr>
          <w:rFonts w:cs="Arial"/>
          <w:b/>
          <w:szCs w:val="22"/>
          <w:lang w:val="sl-SI"/>
        </w:rPr>
        <w:t>izbiro pilotnih regij</w:t>
      </w:r>
      <w:r w:rsidR="00190131" w:rsidRPr="00FF207E">
        <w:rPr>
          <w:rFonts w:cs="Arial"/>
          <w:szCs w:val="22"/>
          <w:lang w:val="sl-SI"/>
        </w:rPr>
        <w:t xml:space="preserve"> (glej poglavje </w:t>
      </w:r>
      <w:r w:rsidR="00540BCD" w:rsidRPr="00FF207E">
        <w:rPr>
          <w:rFonts w:cs="Arial"/>
          <w:szCs w:val="22"/>
          <w:lang w:val="sl-SI"/>
        </w:rPr>
        <w:fldChar w:fldCharType="begin"/>
      </w:r>
      <w:r w:rsidR="00540BCD" w:rsidRPr="00FF207E">
        <w:rPr>
          <w:rFonts w:cs="Arial"/>
          <w:szCs w:val="22"/>
          <w:lang w:val="sl-SI"/>
        </w:rPr>
        <w:instrText xml:space="preserve"> REF _Ref134003890 \r \h </w:instrText>
      </w:r>
      <w:r w:rsidR="001E304B" w:rsidRPr="00FF207E">
        <w:rPr>
          <w:rFonts w:cs="Arial"/>
          <w:szCs w:val="22"/>
          <w:lang w:val="sl-SI"/>
        </w:rPr>
        <w:instrText xml:space="preserve"> \* MERGEFORMAT </w:instrText>
      </w:r>
      <w:r w:rsidR="00540BCD" w:rsidRPr="00FF207E">
        <w:rPr>
          <w:rFonts w:cs="Arial"/>
          <w:szCs w:val="22"/>
          <w:lang w:val="sl-SI"/>
        </w:rPr>
      </w:r>
      <w:r w:rsidR="00540BCD" w:rsidRPr="00FF207E">
        <w:rPr>
          <w:rFonts w:cs="Arial"/>
          <w:szCs w:val="22"/>
          <w:lang w:val="sl-SI"/>
        </w:rPr>
        <w:fldChar w:fldCharType="separate"/>
      </w:r>
      <w:r w:rsidR="00F37FD1" w:rsidRPr="00FF207E">
        <w:rPr>
          <w:rFonts w:cs="Arial"/>
          <w:szCs w:val="22"/>
          <w:lang w:val="sl-SI"/>
        </w:rPr>
        <w:t>3.1</w:t>
      </w:r>
      <w:r w:rsidR="00540BCD" w:rsidRPr="00FF207E">
        <w:rPr>
          <w:rFonts w:cs="Arial"/>
          <w:szCs w:val="22"/>
          <w:lang w:val="sl-SI"/>
        </w:rPr>
        <w:fldChar w:fldCharType="end"/>
      </w:r>
      <w:r w:rsidR="00190131" w:rsidRPr="00FF207E">
        <w:rPr>
          <w:rFonts w:cs="Arial"/>
          <w:szCs w:val="22"/>
          <w:lang w:val="sl-SI"/>
        </w:rPr>
        <w:t>)</w:t>
      </w:r>
      <w:r w:rsidR="001261D2" w:rsidRPr="00FF207E">
        <w:rPr>
          <w:rFonts w:cs="Arial"/>
          <w:szCs w:val="22"/>
          <w:lang w:val="sl-SI"/>
        </w:rPr>
        <w:t xml:space="preserve">. </w:t>
      </w:r>
      <w:r w:rsidR="00021241" w:rsidRPr="00FF207E">
        <w:rPr>
          <w:rFonts w:cs="Arial"/>
          <w:szCs w:val="22"/>
          <w:lang w:val="sl-SI"/>
        </w:rPr>
        <w:t xml:space="preserve">Hkrati </w:t>
      </w:r>
      <w:r w:rsidR="00B3435C" w:rsidRPr="00FF207E">
        <w:rPr>
          <w:rFonts w:cs="Arial"/>
          <w:szCs w:val="22"/>
          <w:lang w:val="sl-SI"/>
        </w:rPr>
        <w:t>bo izvajanje</w:t>
      </w:r>
      <w:r w:rsidR="00021241" w:rsidRPr="00FF207E">
        <w:rPr>
          <w:rFonts w:cs="Arial"/>
          <w:szCs w:val="22"/>
          <w:lang w:val="sl-SI"/>
        </w:rPr>
        <w:t xml:space="preserve"> </w:t>
      </w:r>
      <w:r w:rsidR="00B3435C" w:rsidRPr="00FF207E">
        <w:rPr>
          <w:rFonts w:cs="Arial"/>
          <w:szCs w:val="22"/>
          <w:lang w:val="sl-SI"/>
        </w:rPr>
        <w:t xml:space="preserve">vseh </w:t>
      </w:r>
      <w:r w:rsidR="00736A5E" w:rsidRPr="00FF207E">
        <w:rPr>
          <w:rFonts w:cs="Arial"/>
          <w:szCs w:val="22"/>
          <w:lang w:val="sl-SI"/>
        </w:rPr>
        <w:t xml:space="preserve">veljavnih </w:t>
      </w:r>
      <w:r w:rsidR="00B3435C" w:rsidRPr="00FF207E">
        <w:rPr>
          <w:rFonts w:cs="Arial"/>
          <w:szCs w:val="22"/>
          <w:lang w:val="sl-SI"/>
        </w:rPr>
        <w:t xml:space="preserve">ukrepov v </w:t>
      </w:r>
      <w:r w:rsidR="00021241" w:rsidRPr="00FF207E">
        <w:rPr>
          <w:rFonts w:cs="Arial"/>
          <w:szCs w:val="22"/>
          <w:lang w:val="sl-SI"/>
        </w:rPr>
        <w:t xml:space="preserve">vseh drugih regijah </w:t>
      </w:r>
      <w:r w:rsidR="00B3435C" w:rsidRPr="00FF207E">
        <w:rPr>
          <w:rFonts w:cs="Arial"/>
          <w:szCs w:val="22"/>
          <w:lang w:val="sl-SI"/>
        </w:rPr>
        <w:t>še naprej potekalo</w:t>
      </w:r>
      <w:r w:rsidR="00021241" w:rsidRPr="00FF207E">
        <w:rPr>
          <w:rFonts w:cs="Arial"/>
          <w:szCs w:val="22"/>
          <w:lang w:val="sl-SI"/>
        </w:rPr>
        <w:t xml:space="preserve"> na enak način kot do zdaj.</w:t>
      </w:r>
      <w:r w:rsidR="00B3435C" w:rsidRPr="00FF207E">
        <w:rPr>
          <w:rFonts w:cs="Arial"/>
          <w:szCs w:val="22"/>
          <w:lang w:val="sl-SI"/>
        </w:rPr>
        <w:t xml:space="preserve"> </w:t>
      </w:r>
      <w:r w:rsidR="00B3435C" w:rsidRPr="00FF207E">
        <w:rPr>
          <w:rFonts w:cs="Arial"/>
          <w:b/>
          <w:szCs w:val="22"/>
          <w:lang w:val="sl-SI"/>
        </w:rPr>
        <w:t>O</w:t>
      </w:r>
      <w:r w:rsidR="00684B50" w:rsidRPr="00FF207E">
        <w:rPr>
          <w:rFonts w:cs="Arial"/>
          <w:b/>
          <w:szCs w:val="22"/>
          <w:lang w:val="sl-SI"/>
        </w:rPr>
        <w:t xml:space="preserve">d vključno leta 2027 dalje </w:t>
      </w:r>
      <w:r w:rsidR="00B3435C" w:rsidRPr="00FF207E">
        <w:rPr>
          <w:rFonts w:cs="Arial"/>
          <w:b/>
          <w:szCs w:val="22"/>
          <w:lang w:val="sl-SI"/>
        </w:rPr>
        <w:t>je</w:t>
      </w:r>
      <w:r w:rsidR="00684B50" w:rsidRPr="00FF207E">
        <w:rPr>
          <w:rFonts w:cs="Arial"/>
          <w:b/>
          <w:szCs w:val="22"/>
          <w:lang w:val="sl-SI"/>
        </w:rPr>
        <w:t xml:space="preserve"> delovanje</w:t>
      </w:r>
      <w:r w:rsidR="00B3435C" w:rsidRPr="00FF207E">
        <w:rPr>
          <w:rFonts w:cs="Arial"/>
          <w:b/>
          <w:szCs w:val="22"/>
          <w:lang w:val="sl-SI"/>
        </w:rPr>
        <w:t xml:space="preserve"> sheme predvideno</w:t>
      </w:r>
      <w:r w:rsidR="00684B50" w:rsidRPr="00FF207E">
        <w:rPr>
          <w:rFonts w:cs="Arial"/>
          <w:b/>
          <w:szCs w:val="22"/>
          <w:lang w:val="sl-SI"/>
        </w:rPr>
        <w:t xml:space="preserve"> </w:t>
      </w:r>
      <w:r w:rsidR="0089245A" w:rsidRPr="00FF207E">
        <w:rPr>
          <w:rFonts w:cs="Arial"/>
          <w:b/>
          <w:szCs w:val="22"/>
          <w:lang w:val="sl-SI"/>
        </w:rPr>
        <w:t xml:space="preserve">v primeru pozitivnih izkušenj v pilotnih regijah </w:t>
      </w:r>
      <w:r w:rsidR="00684B50" w:rsidRPr="00FF207E">
        <w:rPr>
          <w:rFonts w:cs="Arial"/>
          <w:b/>
          <w:szCs w:val="22"/>
          <w:lang w:val="sl-SI"/>
        </w:rPr>
        <w:t>v polnem obsegu</w:t>
      </w:r>
      <w:r w:rsidR="00684B50" w:rsidRPr="00FF207E">
        <w:rPr>
          <w:rFonts w:cs="Arial"/>
          <w:szCs w:val="22"/>
          <w:lang w:val="sl-SI"/>
        </w:rPr>
        <w:t>, torej v vseh regijah</w:t>
      </w:r>
      <w:r w:rsidR="00323BB2" w:rsidRPr="00FF207E">
        <w:rPr>
          <w:rFonts w:cs="Arial"/>
          <w:szCs w:val="22"/>
          <w:lang w:val="sl-SI"/>
        </w:rPr>
        <w:t xml:space="preserve">, s čimer se bo na </w:t>
      </w:r>
      <w:r w:rsidR="0042545D" w:rsidRPr="00FF207E">
        <w:rPr>
          <w:rFonts w:cs="Arial"/>
          <w:szCs w:val="22"/>
          <w:lang w:val="sl-SI"/>
        </w:rPr>
        <w:t xml:space="preserve">državni </w:t>
      </w:r>
      <w:r w:rsidR="00323BB2" w:rsidRPr="00FF207E">
        <w:rPr>
          <w:rFonts w:cs="Arial"/>
          <w:szCs w:val="22"/>
          <w:lang w:val="sl-SI"/>
        </w:rPr>
        <w:t>ravni razbremenil</w:t>
      </w:r>
      <w:r w:rsidR="00EB155D" w:rsidRPr="00FF207E">
        <w:rPr>
          <w:rFonts w:cs="Arial"/>
          <w:szCs w:val="22"/>
          <w:lang w:val="sl-SI"/>
        </w:rPr>
        <w:t>a</w:t>
      </w:r>
      <w:r w:rsidR="00323BB2" w:rsidRPr="00FF207E">
        <w:rPr>
          <w:rFonts w:cs="Arial"/>
          <w:szCs w:val="22"/>
          <w:lang w:val="sl-SI"/>
        </w:rPr>
        <w:t xml:space="preserve"> projektn</w:t>
      </w:r>
      <w:r w:rsidR="00EB155D" w:rsidRPr="00FF207E">
        <w:rPr>
          <w:rFonts w:cs="Arial"/>
          <w:szCs w:val="22"/>
          <w:lang w:val="sl-SI"/>
        </w:rPr>
        <w:t>a</w:t>
      </w:r>
      <w:r w:rsidR="00323BB2" w:rsidRPr="00FF207E">
        <w:rPr>
          <w:rFonts w:cs="Arial"/>
          <w:szCs w:val="22"/>
          <w:lang w:val="sl-SI"/>
        </w:rPr>
        <w:t xml:space="preserve"> pisarn</w:t>
      </w:r>
      <w:r w:rsidR="00EB155D" w:rsidRPr="00FF207E">
        <w:rPr>
          <w:rFonts w:cs="Arial"/>
          <w:szCs w:val="22"/>
          <w:lang w:val="sl-SI"/>
        </w:rPr>
        <w:t>a</w:t>
      </w:r>
      <w:r w:rsidR="00323BB2" w:rsidRPr="00FF207E">
        <w:rPr>
          <w:rFonts w:cs="Arial"/>
          <w:szCs w:val="22"/>
          <w:lang w:val="sl-SI"/>
        </w:rPr>
        <w:t xml:space="preserve">, energetsko revnim pa </w:t>
      </w:r>
      <w:r w:rsidR="00EB155D" w:rsidRPr="00FF207E">
        <w:rPr>
          <w:rFonts w:cs="Arial"/>
          <w:szCs w:val="22"/>
          <w:lang w:val="sl-SI"/>
        </w:rPr>
        <w:t xml:space="preserve">se bodo </w:t>
      </w:r>
      <w:r w:rsidR="00323BB2" w:rsidRPr="00FF207E">
        <w:rPr>
          <w:rFonts w:cs="Arial"/>
          <w:szCs w:val="22"/>
          <w:lang w:val="sl-SI"/>
        </w:rPr>
        <w:t>omogočil</w:t>
      </w:r>
      <w:r w:rsidR="00EB155D" w:rsidRPr="00FF207E">
        <w:rPr>
          <w:rFonts w:cs="Arial"/>
          <w:szCs w:val="22"/>
          <w:lang w:val="sl-SI"/>
        </w:rPr>
        <w:t>i</w:t>
      </w:r>
      <w:r w:rsidR="00323BB2" w:rsidRPr="00FF207E">
        <w:rPr>
          <w:rFonts w:cs="Arial"/>
          <w:szCs w:val="22"/>
          <w:lang w:val="sl-SI"/>
        </w:rPr>
        <w:t xml:space="preserve"> informiranje, svetovanje in podpor</w:t>
      </w:r>
      <w:r w:rsidR="0042545D" w:rsidRPr="00FF207E">
        <w:rPr>
          <w:rFonts w:cs="Arial"/>
          <w:szCs w:val="22"/>
          <w:lang w:val="sl-SI"/>
        </w:rPr>
        <w:t>a</w:t>
      </w:r>
      <w:r w:rsidR="00323BB2" w:rsidRPr="00FF207E">
        <w:rPr>
          <w:rFonts w:cs="Arial"/>
          <w:szCs w:val="22"/>
          <w:lang w:val="sl-SI"/>
        </w:rPr>
        <w:t xml:space="preserve"> bližje domu.</w:t>
      </w:r>
    </w:p>
    <w:p w14:paraId="4563E711" w14:textId="1D44545B" w:rsidR="009A2069" w:rsidRPr="00FF207E" w:rsidRDefault="0056324A" w:rsidP="001E304B">
      <w:pPr>
        <w:spacing w:after="120"/>
        <w:jc w:val="both"/>
        <w:rPr>
          <w:rFonts w:cs="Arial"/>
          <w:szCs w:val="22"/>
          <w:lang w:val="sl-SI"/>
        </w:rPr>
      </w:pPr>
      <w:r w:rsidRPr="00FF207E">
        <w:rPr>
          <w:rFonts w:cs="Arial"/>
          <w:szCs w:val="22"/>
          <w:lang w:val="sl-SI"/>
        </w:rPr>
        <w:t xml:space="preserve">Krovni organizacijski ukrep </w:t>
      </w:r>
      <w:r w:rsidR="0042545D" w:rsidRPr="00FF207E">
        <w:rPr>
          <w:rFonts w:cs="Arial"/>
          <w:szCs w:val="22"/>
          <w:lang w:val="sl-SI"/>
        </w:rPr>
        <w:t xml:space="preserve">je </w:t>
      </w:r>
      <w:r w:rsidR="00946174" w:rsidRPr="00FF207E">
        <w:rPr>
          <w:rFonts w:cs="Arial"/>
          <w:b/>
          <w:szCs w:val="22"/>
          <w:lang w:val="sl-SI"/>
        </w:rPr>
        <w:t>so</w:t>
      </w:r>
      <w:r w:rsidRPr="00FF207E">
        <w:rPr>
          <w:rFonts w:cs="Arial"/>
          <w:b/>
          <w:szCs w:val="22"/>
          <w:lang w:val="sl-SI"/>
        </w:rPr>
        <w:t>svet za energetsko revščino</w:t>
      </w:r>
      <w:r w:rsidRPr="00FF207E">
        <w:rPr>
          <w:rFonts w:cs="Arial"/>
          <w:szCs w:val="22"/>
          <w:lang w:val="sl-SI"/>
        </w:rPr>
        <w:t xml:space="preserve">, posvetovalno in usmerjevalno telo, </w:t>
      </w:r>
      <w:r w:rsidR="00AD637A" w:rsidRPr="00FF207E">
        <w:rPr>
          <w:rFonts w:cs="Arial"/>
          <w:szCs w:val="22"/>
          <w:lang w:val="sl-SI"/>
        </w:rPr>
        <w:t>ki celostno spremlja in obravnava energetsko revščino</w:t>
      </w:r>
      <w:r w:rsidRPr="00FF207E">
        <w:rPr>
          <w:rFonts w:cs="Arial"/>
          <w:szCs w:val="22"/>
          <w:lang w:val="sl-SI"/>
        </w:rPr>
        <w:t xml:space="preserve"> in ima tako pomembno vlogo pri zagotavljanju pravičnega prehoda v </w:t>
      </w:r>
      <w:proofErr w:type="spellStart"/>
      <w:r w:rsidRPr="00FF207E">
        <w:rPr>
          <w:rFonts w:cs="Arial"/>
          <w:szCs w:val="22"/>
          <w:lang w:val="sl-SI"/>
        </w:rPr>
        <w:t>nizkoogljično</w:t>
      </w:r>
      <w:proofErr w:type="spellEnd"/>
      <w:r w:rsidRPr="00FF207E">
        <w:rPr>
          <w:rFonts w:cs="Arial"/>
          <w:szCs w:val="22"/>
          <w:lang w:val="sl-SI"/>
        </w:rPr>
        <w:t xml:space="preserve"> družbo za vse.</w:t>
      </w:r>
      <w:r w:rsidR="003B6567" w:rsidRPr="00FF207E">
        <w:rPr>
          <w:rFonts w:cs="Arial"/>
          <w:szCs w:val="22"/>
          <w:lang w:val="sl-SI"/>
        </w:rPr>
        <w:t xml:space="preserve"> V prvi fazi delovanja</w:t>
      </w:r>
      <w:r w:rsidR="00684B50" w:rsidRPr="00FF207E">
        <w:rPr>
          <w:rFonts w:cs="Arial"/>
          <w:szCs w:val="22"/>
          <w:lang w:val="sl-SI"/>
        </w:rPr>
        <w:t>,</w:t>
      </w:r>
      <w:r w:rsidR="003B6567" w:rsidRPr="00FF207E">
        <w:rPr>
          <w:rFonts w:cs="Arial"/>
          <w:szCs w:val="22"/>
          <w:lang w:val="sl-SI"/>
        </w:rPr>
        <w:t xml:space="preserve"> do leta 2026, je cilj sosveta zlasti podpora izvajanju ukrepov s področja </w:t>
      </w:r>
      <w:r w:rsidR="00684B50" w:rsidRPr="00FF207E">
        <w:rPr>
          <w:rFonts w:cs="Arial"/>
          <w:szCs w:val="22"/>
          <w:lang w:val="sl-SI"/>
        </w:rPr>
        <w:t>energetske revščine</w:t>
      </w:r>
      <w:r w:rsidR="000A3F24" w:rsidRPr="00FF207E">
        <w:rPr>
          <w:rFonts w:cs="Arial"/>
          <w:szCs w:val="22"/>
          <w:lang w:val="sl-SI"/>
        </w:rPr>
        <w:t>, pa tudi spodbujanje drugi</w:t>
      </w:r>
      <w:r w:rsidR="0042545D" w:rsidRPr="00FF207E">
        <w:rPr>
          <w:rFonts w:cs="Arial"/>
          <w:szCs w:val="22"/>
          <w:lang w:val="sl-SI"/>
        </w:rPr>
        <w:t>h</w:t>
      </w:r>
      <w:r w:rsidR="000A3F24" w:rsidRPr="00FF207E">
        <w:rPr>
          <w:rFonts w:cs="Arial"/>
          <w:szCs w:val="22"/>
          <w:lang w:val="sl-SI"/>
        </w:rPr>
        <w:t xml:space="preserve"> </w:t>
      </w:r>
      <w:r w:rsidR="0042545D" w:rsidRPr="00FF207E">
        <w:rPr>
          <w:rFonts w:cs="Arial"/>
          <w:szCs w:val="22"/>
          <w:lang w:val="sl-SI"/>
        </w:rPr>
        <w:t xml:space="preserve">ministrstev </w:t>
      </w:r>
      <w:r w:rsidR="000A3F24" w:rsidRPr="00FF207E">
        <w:rPr>
          <w:rFonts w:cs="Arial"/>
          <w:szCs w:val="22"/>
          <w:lang w:val="sl-SI"/>
        </w:rPr>
        <w:t xml:space="preserve">pri razvoju </w:t>
      </w:r>
      <w:r w:rsidR="00E70A72" w:rsidRPr="00FF207E">
        <w:rPr>
          <w:rFonts w:cs="Arial"/>
          <w:szCs w:val="22"/>
          <w:lang w:val="sl-SI"/>
        </w:rPr>
        <w:t xml:space="preserve">načinov </w:t>
      </w:r>
      <w:r w:rsidR="000A3F24" w:rsidRPr="00FF207E">
        <w:rPr>
          <w:rFonts w:cs="Arial"/>
          <w:szCs w:val="22"/>
          <w:lang w:val="sl-SI"/>
        </w:rPr>
        <w:t>zmanjševanj</w:t>
      </w:r>
      <w:r w:rsidR="00E70A72" w:rsidRPr="00FF207E">
        <w:rPr>
          <w:rFonts w:cs="Arial"/>
          <w:szCs w:val="22"/>
          <w:lang w:val="sl-SI"/>
        </w:rPr>
        <w:t>a</w:t>
      </w:r>
      <w:r w:rsidR="000A3F24" w:rsidRPr="00FF207E">
        <w:rPr>
          <w:rFonts w:cs="Arial"/>
          <w:szCs w:val="22"/>
          <w:lang w:val="sl-SI"/>
        </w:rPr>
        <w:t xml:space="preserve"> in preprečevanj</w:t>
      </w:r>
      <w:r w:rsidR="00E70A72" w:rsidRPr="00FF207E">
        <w:rPr>
          <w:rFonts w:cs="Arial"/>
          <w:szCs w:val="22"/>
          <w:lang w:val="sl-SI"/>
        </w:rPr>
        <w:t>a</w:t>
      </w:r>
      <w:r w:rsidR="000A3F24" w:rsidRPr="00FF207E">
        <w:rPr>
          <w:rFonts w:cs="Arial"/>
          <w:szCs w:val="22"/>
          <w:lang w:val="sl-SI"/>
        </w:rPr>
        <w:t xml:space="preserve"> energetske revščine v okviru razvojne, plačne, zaposlitvene, davčne, stanovanjske, socialne in drugih </w:t>
      </w:r>
      <w:r w:rsidR="008A52D9" w:rsidRPr="00FF207E">
        <w:rPr>
          <w:rFonts w:cs="Arial"/>
          <w:szCs w:val="22"/>
          <w:lang w:val="sl-SI"/>
        </w:rPr>
        <w:t xml:space="preserve">pomembnih </w:t>
      </w:r>
      <w:r w:rsidR="000A3F24" w:rsidRPr="00FF207E">
        <w:rPr>
          <w:rFonts w:cs="Arial"/>
          <w:szCs w:val="22"/>
          <w:lang w:val="sl-SI"/>
        </w:rPr>
        <w:t>politik</w:t>
      </w:r>
      <w:r w:rsidR="0042545D" w:rsidRPr="00FF207E">
        <w:rPr>
          <w:rFonts w:cs="Arial"/>
          <w:szCs w:val="22"/>
          <w:lang w:val="sl-SI"/>
        </w:rPr>
        <w:t xml:space="preserve"> ter podpora drugim ministrstvom pri tem</w:t>
      </w:r>
      <w:r w:rsidR="003B6567" w:rsidRPr="00FF207E">
        <w:rPr>
          <w:rFonts w:cs="Arial"/>
          <w:szCs w:val="22"/>
          <w:lang w:val="sl-SI"/>
        </w:rPr>
        <w:t>.</w:t>
      </w:r>
    </w:p>
    <w:p w14:paraId="501DC89B" w14:textId="71F72A25" w:rsidR="009A2069" w:rsidRPr="00FF207E" w:rsidRDefault="00F42F3D" w:rsidP="001E304B">
      <w:pPr>
        <w:spacing w:after="120"/>
        <w:jc w:val="both"/>
        <w:rPr>
          <w:rFonts w:cs="Arial"/>
          <w:i/>
          <w:szCs w:val="22"/>
          <w:lang w:val="sl-SI"/>
        </w:rPr>
      </w:pPr>
      <w:r w:rsidRPr="00FF207E">
        <w:rPr>
          <w:rFonts w:cs="Arial"/>
          <w:szCs w:val="22"/>
          <w:lang w:val="sl-SI"/>
        </w:rPr>
        <w:t>Akcijski načrt</w:t>
      </w:r>
      <w:r w:rsidR="003542EA" w:rsidRPr="00FF207E">
        <w:rPr>
          <w:rFonts w:cs="Arial"/>
          <w:szCs w:val="22"/>
          <w:lang w:val="sl-SI"/>
        </w:rPr>
        <w:t xml:space="preserve"> nadaljuje </w:t>
      </w:r>
      <w:r w:rsidR="0006530A" w:rsidRPr="00FF207E">
        <w:rPr>
          <w:rFonts w:cs="Arial"/>
          <w:b/>
          <w:szCs w:val="22"/>
          <w:lang w:val="sl-SI"/>
        </w:rPr>
        <w:t>druge</w:t>
      </w:r>
      <w:r w:rsidR="00EB155D" w:rsidRPr="00FF207E">
        <w:rPr>
          <w:rFonts w:cs="Arial"/>
          <w:b/>
          <w:szCs w:val="22"/>
          <w:lang w:val="sl-SI"/>
        </w:rPr>
        <w:t xml:space="preserve"> </w:t>
      </w:r>
      <w:r w:rsidR="003542EA" w:rsidRPr="00FF207E">
        <w:rPr>
          <w:rFonts w:cs="Arial"/>
          <w:b/>
          <w:szCs w:val="22"/>
          <w:lang w:val="sl-SI"/>
        </w:rPr>
        <w:t>ukrep</w:t>
      </w:r>
      <w:r w:rsidR="00EB155D" w:rsidRPr="00FF207E">
        <w:rPr>
          <w:rFonts w:cs="Arial"/>
          <w:b/>
          <w:szCs w:val="22"/>
          <w:lang w:val="sl-SI"/>
        </w:rPr>
        <w:t>e</w:t>
      </w:r>
      <w:r w:rsidR="003542EA" w:rsidRPr="00FF207E">
        <w:rPr>
          <w:rFonts w:cs="Arial"/>
          <w:b/>
          <w:szCs w:val="22"/>
          <w:lang w:val="sl-SI"/>
        </w:rPr>
        <w:t xml:space="preserve"> za zmanjševanje energetske revščine</w:t>
      </w:r>
      <w:r w:rsidR="003542EA" w:rsidRPr="00FF207E">
        <w:rPr>
          <w:rFonts w:cs="Arial"/>
          <w:szCs w:val="22"/>
          <w:lang w:val="sl-SI"/>
        </w:rPr>
        <w:t xml:space="preserve"> (glej poglavje </w:t>
      </w:r>
      <w:r w:rsidR="003542EA" w:rsidRPr="00FF207E">
        <w:rPr>
          <w:rFonts w:cs="Arial"/>
          <w:szCs w:val="22"/>
          <w:lang w:val="sl-SI"/>
        </w:rPr>
        <w:fldChar w:fldCharType="begin"/>
      </w:r>
      <w:r w:rsidR="003542EA" w:rsidRPr="00FF207E">
        <w:rPr>
          <w:rFonts w:cs="Arial"/>
          <w:szCs w:val="22"/>
          <w:lang w:val="sl-SI"/>
        </w:rPr>
        <w:instrText xml:space="preserve"> REF _Ref136361027 \r \h </w:instrText>
      </w:r>
      <w:r w:rsidR="001E304B" w:rsidRPr="00FF207E">
        <w:rPr>
          <w:rFonts w:cs="Arial"/>
          <w:szCs w:val="22"/>
          <w:lang w:val="sl-SI"/>
        </w:rPr>
        <w:instrText xml:space="preserve"> \* MERGEFORMAT </w:instrText>
      </w:r>
      <w:r w:rsidR="003542EA" w:rsidRPr="00FF207E">
        <w:rPr>
          <w:rFonts w:cs="Arial"/>
          <w:szCs w:val="22"/>
          <w:lang w:val="sl-SI"/>
        </w:rPr>
      </w:r>
      <w:r w:rsidR="003542EA" w:rsidRPr="00FF207E">
        <w:rPr>
          <w:rFonts w:cs="Arial"/>
          <w:szCs w:val="22"/>
          <w:lang w:val="sl-SI"/>
        </w:rPr>
        <w:fldChar w:fldCharType="separate"/>
      </w:r>
      <w:r w:rsidR="00F37FD1" w:rsidRPr="00FF207E">
        <w:rPr>
          <w:rFonts w:cs="Arial"/>
          <w:szCs w:val="22"/>
          <w:lang w:val="sl-SI"/>
        </w:rPr>
        <w:t>5</w:t>
      </w:r>
      <w:r w:rsidR="003542EA" w:rsidRPr="00FF207E">
        <w:rPr>
          <w:rFonts w:cs="Arial"/>
          <w:szCs w:val="22"/>
          <w:lang w:val="sl-SI"/>
        </w:rPr>
        <w:fldChar w:fldCharType="end"/>
      </w:r>
      <w:r w:rsidR="003542EA" w:rsidRPr="00FF207E">
        <w:rPr>
          <w:rFonts w:cs="Arial"/>
          <w:szCs w:val="22"/>
          <w:lang w:val="sl-SI"/>
        </w:rPr>
        <w:t xml:space="preserve">) in </w:t>
      </w:r>
      <w:r w:rsidR="003542EA" w:rsidRPr="00FF207E">
        <w:rPr>
          <w:rFonts w:cs="Arial"/>
          <w:b/>
          <w:szCs w:val="22"/>
          <w:lang w:val="sl-SI"/>
        </w:rPr>
        <w:t>ukrep</w:t>
      </w:r>
      <w:r w:rsidR="00EB155D" w:rsidRPr="00FF207E">
        <w:rPr>
          <w:rFonts w:cs="Arial"/>
          <w:b/>
          <w:szCs w:val="22"/>
          <w:lang w:val="sl-SI"/>
        </w:rPr>
        <w:t>e</w:t>
      </w:r>
      <w:r w:rsidR="003542EA" w:rsidRPr="00FF207E">
        <w:rPr>
          <w:rFonts w:cs="Arial"/>
          <w:b/>
          <w:szCs w:val="22"/>
          <w:lang w:val="sl-SI"/>
        </w:rPr>
        <w:t xml:space="preserve"> za blaženje energetske revščine</w:t>
      </w:r>
      <w:r w:rsidR="003542EA" w:rsidRPr="00FF207E">
        <w:rPr>
          <w:rFonts w:cs="Arial"/>
          <w:szCs w:val="22"/>
          <w:lang w:val="sl-SI"/>
        </w:rPr>
        <w:t xml:space="preserve"> – to so ukrepi, ki so usmerjeni v trenutno razbremenitev energetsko revnih, običajno s finančno pomočjo pri plačilu stroškov energije (glej poglavje </w:t>
      </w:r>
      <w:r w:rsidR="003542EA" w:rsidRPr="00FF207E">
        <w:rPr>
          <w:rFonts w:cs="Arial"/>
          <w:szCs w:val="22"/>
          <w:lang w:val="sl-SI"/>
        </w:rPr>
        <w:fldChar w:fldCharType="begin"/>
      </w:r>
      <w:r w:rsidR="003542EA" w:rsidRPr="00FF207E">
        <w:rPr>
          <w:rFonts w:cs="Arial"/>
          <w:szCs w:val="22"/>
          <w:lang w:val="sl-SI"/>
        </w:rPr>
        <w:instrText xml:space="preserve"> REF _Ref135394409 \r \h </w:instrText>
      </w:r>
      <w:r w:rsidR="001E304B" w:rsidRPr="00FF207E">
        <w:rPr>
          <w:rFonts w:cs="Arial"/>
          <w:szCs w:val="22"/>
          <w:lang w:val="sl-SI"/>
        </w:rPr>
        <w:instrText xml:space="preserve"> \* MERGEFORMAT </w:instrText>
      </w:r>
      <w:r w:rsidR="003542EA" w:rsidRPr="00FF207E">
        <w:rPr>
          <w:rFonts w:cs="Arial"/>
          <w:szCs w:val="22"/>
          <w:lang w:val="sl-SI"/>
        </w:rPr>
      </w:r>
      <w:r w:rsidR="003542EA" w:rsidRPr="00FF207E">
        <w:rPr>
          <w:rFonts w:cs="Arial"/>
          <w:szCs w:val="22"/>
          <w:lang w:val="sl-SI"/>
        </w:rPr>
        <w:fldChar w:fldCharType="separate"/>
      </w:r>
      <w:r w:rsidR="00F37FD1" w:rsidRPr="00FF207E">
        <w:rPr>
          <w:rFonts w:cs="Arial"/>
          <w:szCs w:val="22"/>
          <w:lang w:val="sl-SI"/>
        </w:rPr>
        <w:t>6</w:t>
      </w:r>
      <w:r w:rsidR="003542EA" w:rsidRPr="00FF207E">
        <w:rPr>
          <w:rFonts w:cs="Arial"/>
          <w:szCs w:val="22"/>
          <w:lang w:val="sl-SI"/>
        </w:rPr>
        <w:fldChar w:fldCharType="end"/>
      </w:r>
      <w:r w:rsidR="003542EA" w:rsidRPr="00FF207E">
        <w:rPr>
          <w:rFonts w:cs="Arial"/>
          <w:szCs w:val="22"/>
          <w:lang w:val="sl-SI"/>
        </w:rPr>
        <w:t xml:space="preserve">). </w:t>
      </w:r>
    </w:p>
    <w:p w14:paraId="15CA4317" w14:textId="177C76B3" w:rsidR="009A2069" w:rsidRPr="00FF207E" w:rsidRDefault="00305AC0" w:rsidP="00D87F54">
      <w:pPr>
        <w:tabs>
          <w:tab w:val="left" w:pos="1134"/>
        </w:tabs>
        <w:spacing w:after="240"/>
        <w:jc w:val="both"/>
        <w:rPr>
          <w:rFonts w:cs="Arial"/>
          <w:szCs w:val="22"/>
          <w:lang w:val="sl-SI"/>
        </w:rPr>
      </w:pPr>
      <w:r w:rsidRPr="00FF207E">
        <w:rPr>
          <w:rFonts w:cs="Arial"/>
          <w:szCs w:val="22"/>
          <w:lang w:val="sl-SI"/>
        </w:rPr>
        <w:t>Pripravljena</w:t>
      </w:r>
      <w:r w:rsidR="009A2069" w:rsidRPr="00FF207E">
        <w:rPr>
          <w:rFonts w:cs="Arial"/>
          <w:szCs w:val="22"/>
          <w:lang w:val="sl-SI"/>
        </w:rPr>
        <w:t xml:space="preserve"> je bila tudi </w:t>
      </w:r>
      <w:r w:rsidR="009A2069" w:rsidRPr="00FF207E">
        <w:rPr>
          <w:rFonts w:cs="Arial"/>
          <w:b/>
          <w:szCs w:val="22"/>
          <w:lang w:val="sl-SI"/>
        </w:rPr>
        <w:t>okvirna ocena sredstev, potrebnih za izvedbo ukrepov</w:t>
      </w:r>
      <w:r w:rsidR="0077064A" w:rsidRPr="00FF207E">
        <w:rPr>
          <w:rFonts w:cs="Arial"/>
          <w:b/>
          <w:szCs w:val="22"/>
          <w:lang w:val="sl-SI"/>
        </w:rPr>
        <w:t xml:space="preserve">, in opredeljeni </w:t>
      </w:r>
      <w:r w:rsidR="0042545D" w:rsidRPr="00FF207E">
        <w:rPr>
          <w:rFonts w:cs="Arial"/>
          <w:b/>
          <w:szCs w:val="22"/>
          <w:lang w:val="sl-SI"/>
        </w:rPr>
        <w:t xml:space="preserve">so bili </w:t>
      </w:r>
      <w:r w:rsidR="0077064A" w:rsidRPr="00FF207E">
        <w:rPr>
          <w:rFonts w:cs="Arial"/>
          <w:b/>
          <w:szCs w:val="22"/>
          <w:lang w:val="sl-SI"/>
        </w:rPr>
        <w:t>viri za njihovo zagotovitev</w:t>
      </w:r>
      <w:r w:rsidR="00404B0E" w:rsidRPr="00FF207E">
        <w:rPr>
          <w:rFonts w:cs="Arial"/>
          <w:szCs w:val="22"/>
          <w:lang w:val="sl-SI"/>
        </w:rPr>
        <w:t xml:space="preserve">, med katerimi izstopata Sklad za podnebne spremembe in </w:t>
      </w:r>
      <w:r w:rsidR="00B44576" w:rsidRPr="00FF207E">
        <w:rPr>
          <w:rFonts w:cs="Arial"/>
          <w:szCs w:val="22"/>
          <w:lang w:val="sl-SI"/>
        </w:rPr>
        <w:t xml:space="preserve">Evropski </w:t>
      </w:r>
      <w:r w:rsidR="00404B0E" w:rsidRPr="00FF207E">
        <w:rPr>
          <w:rFonts w:cs="Arial"/>
          <w:szCs w:val="22"/>
          <w:lang w:val="sl-SI"/>
        </w:rPr>
        <w:t>sklad</w:t>
      </w:r>
      <w:r w:rsidR="00B44576" w:rsidRPr="00FF207E">
        <w:rPr>
          <w:rFonts w:cs="Arial"/>
          <w:szCs w:val="22"/>
          <w:lang w:val="sl-SI"/>
        </w:rPr>
        <w:t xml:space="preserve"> za </w:t>
      </w:r>
      <w:proofErr w:type="spellStart"/>
      <w:r w:rsidR="00B44576" w:rsidRPr="00FF207E">
        <w:rPr>
          <w:rFonts w:cs="Arial"/>
          <w:szCs w:val="22"/>
          <w:lang w:val="sl-SI"/>
        </w:rPr>
        <w:t>regonalni</w:t>
      </w:r>
      <w:proofErr w:type="spellEnd"/>
      <w:r w:rsidR="00B44576" w:rsidRPr="00FF207E">
        <w:rPr>
          <w:rFonts w:cs="Arial"/>
          <w:szCs w:val="22"/>
          <w:lang w:val="sl-SI"/>
        </w:rPr>
        <w:t xml:space="preserve"> razvoj</w:t>
      </w:r>
      <w:r w:rsidR="00404B0E" w:rsidRPr="00FF207E">
        <w:rPr>
          <w:rFonts w:cs="Arial"/>
          <w:szCs w:val="22"/>
          <w:lang w:val="sl-SI"/>
        </w:rPr>
        <w:t>, od leta 2026 dalje pa tudi Socialni sklad za podnebje</w:t>
      </w:r>
      <w:r w:rsidR="0077064A" w:rsidRPr="00FF207E">
        <w:rPr>
          <w:rFonts w:cs="Arial"/>
          <w:szCs w:val="22"/>
          <w:lang w:val="sl-SI"/>
        </w:rPr>
        <w:t xml:space="preserve"> </w:t>
      </w:r>
      <w:r w:rsidR="00A26847" w:rsidRPr="00FF207E">
        <w:rPr>
          <w:rFonts w:cs="Arial"/>
          <w:szCs w:val="22"/>
          <w:lang w:val="sl-SI"/>
        </w:rPr>
        <w:t xml:space="preserve">na ravni EU </w:t>
      </w:r>
      <w:r w:rsidR="009A2069" w:rsidRPr="00FF207E">
        <w:rPr>
          <w:rFonts w:cs="Arial"/>
          <w:szCs w:val="22"/>
          <w:lang w:val="sl-SI"/>
        </w:rPr>
        <w:t>(glej poglavje</w:t>
      </w:r>
      <w:r w:rsidR="0077064A" w:rsidRPr="00FF207E">
        <w:rPr>
          <w:rFonts w:cs="Arial"/>
          <w:szCs w:val="22"/>
          <w:lang w:val="sl-SI"/>
        </w:rPr>
        <w:t> </w:t>
      </w:r>
      <w:r w:rsidR="0077064A" w:rsidRPr="00FF207E">
        <w:rPr>
          <w:rFonts w:cs="Arial"/>
          <w:szCs w:val="22"/>
          <w:lang w:val="sl-SI"/>
        </w:rPr>
        <w:fldChar w:fldCharType="begin"/>
      </w:r>
      <w:r w:rsidR="0077064A" w:rsidRPr="00FF207E">
        <w:rPr>
          <w:rFonts w:cs="Arial"/>
          <w:szCs w:val="22"/>
          <w:lang w:val="sl-SI"/>
        </w:rPr>
        <w:instrText xml:space="preserve"> REF _Ref136361246 \r \h  \* MERGEFORMAT </w:instrText>
      </w:r>
      <w:r w:rsidR="0077064A" w:rsidRPr="00FF207E">
        <w:rPr>
          <w:rFonts w:cs="Arial"/>
          <w:szCs w:val="22"/>
          <w:lang w:val="sl-SI"/>
        </w:rPr>
      </w:r>
      <w:r w:rsidR="0077064A" w:rsidRPr="00FF207E">
        <w:rPr>
          <w:rFonts w:cs="Arial"/>
          <w:szCs w:val="22"/>
          <w:lang w:val="sl-SI"/>
        </w:rPr>
        <w:fldChar w:fldCharType="separate"/>
      </w:r>
      <w:r w:rsidR="00F37FD1" w:rsidRPr="00FF207E">
        <w:rPr>
          <w:rFonts w:cs="Arial"/>
          <w:szCs w:val="22"/>
          <w:lang w:val="sl-SI"/>
        </w:rPr>
        <w:t>7</w:t>
      </w:r>
      <w:r w:rsidR="0077064A" w:rsidRPr="00FF207E">
        <w:rPr>
          <w:rFonts w:cs="Arial"/>
          <w:szCs w:val="22"/>
          <w:lang w:val="sl-SI"/>
        </w:rPr>
        <w:fldChar w:fldCharType="end"/>
      </w:r>
      <w:r w:rsidR="009A2069" w:rsidRPr="00FF207E">
        <w:rPr>
          <w:rFonts w:cs="Arial"/>
          <w:szCs w:val="22"/>
          <w:lang w:val="sl-SI"/>
        </w:rPr>
        <w:t xml:space="preserve">). </w:t>
      </w:r>
      <w:r w:rsidR="0013513A" w:rsidRPr="00FF207E">
        <w:rPr>
          <w:rFonts w:cs="Arial"/>
          <w:szCs w:val="22"/>
          <w:lang w:val="sl-SI"/>
        </w:rPr>
        <w:t xml:space="preserve">Zagotoviti je treba, da bo Slovenija </w:t>
      </w:r>
      <w:r w:rsidR="0013513A" w:rsidRPr="00FF207E">
        <w:rPr>
          <w:rFonts w:cs="Arial"/>
          <w:b/>
          <w:szCs w:val="22"/>
          <w:lang w:val="sl-SI"/>
        </w:rPr>
        <w:t>zmanjševanje energetske revščine</w:t>
      </w:r>
      <w:r w:rsidR="0013513A" w:rsidRPr="00FF207E">
        <w:rPr>
          <w:rFonts w:cs="Arial"/>
          <w:szCs w:val="22"/>
          <w:lang w:val="sl-SI"/>
        </w:rPr>
        <w:t xml:space="preserve"> </w:t>
      </w:r>
      <w:r w:rsidR="0013513A" w:rsidRPr="00FF207E">
        <w:rPr>
          <w:rFonts w:cs="Arial"/>
          <w:b/>
          <w:szCs w:val="22"/>
          <w:lang w:val="sl-SI"/>
        </w:rPr>
        <w:t>ustrezno vključila v socialni načrt za podnebje</w:t>
      </w:r>
      <w:r w:rsidR="0042545D" w:rsidRPr="00FF207E">
        <w:rPr>
          <w:rFonts w:cs="Arial"/>
          <w:szCs w:val="22"/>
          <w:lang w:val="sl-SI"/>
        </w:rPr>
        <w:t>;</w:t>
      </w:r>
      <w:r w:rsidR="0013513A" w:rsidRPr="00FF207E">
        <w:rPr>
          <w:rFonts w:cs="Arial"/>
          <w:szCs w:val="22"/>
          <w:lang w:val="sl-SI"/>
        </w:rPr>
        <w:t xml:space="preserve"> ta mora biti pripravljen </w:t>
      </w:r>
      <w:r w:rsidR="008D61D4" w:rsidRPr="00FF207E">
        <w:rPr>
          <w:rFonts w:cs="Arial"/>
          <w:szCs w:val="22"/>
          <w:lang w:val="sl-SI"/>
        </w:rPr>
        <w:t xml:space="preserve">najpozneje </w:t>
      </w:r>
      <w:r w:rsidR="0013513A" w:rsidRPr="00FF207E">
        <w:rPr>
          <w:rFonts w:cs="Arial"/>
          <w:szCs w:val="22"/>
          <w:lang w:val="sl-SI"/>
        </w:rPr>
        <w:t xml:space="preserve">do junija 2025, kar je </w:t>
      </w:r>
      <w:r w:rsidR="00D55FFB" w:rsidRPr="00FF207E">
        <w:rPr>
          <w:rFonts w:cs="Arial"/>
          <w:szCs w:val="22"/>
          <w:lang w:val="sl-SI"/>
        </w:rPr>
        <w:t xml:space="preserve">prvi pogoj </w:t>
      </w:r>
      <w:r w:rsidR="0013513A" w:rsidRPr="00FF207E">
        <w:rPr>
          <w:rFonts w:cs="Arial"/>
          <w:szCs w:val="22"/>
          <w:lang w:val="sl-SI"/>
        </w:rPr>
        <w:t xml:space="preserve">za črpanje sredstev iz tega sklada. </w:t>
      </w:r>
      <w:r w:rsidR="00205DA1" w:rsidRPr="00FF207E">
        <w:rPr>
          <w:rFonts w:cs="Arial"/>
          <w:szCs w:val="22"/>
          <w:lang w:val="sl-SI"/>
        </w:rPr>
        <w:t xml:space="preserve">Poleg </w:t>
      </w:r>
      <w:r w:rsidR="00205DA1" w:rsidRPr="00FF207E">
        <w:rPr>
          <w:rFonts w:cs="Arial"/>
          <w:b/>
          <w:szCs w:val="22"/>
          <w:lang w:val="sl-SI"/>
        </w:rPr>
        <w:t>sredstev za investicijske spodbude</w:t>
      </w:r>
      <w:r w:rsidR="00205DA1" w:rsidRPr="00FF207E">
        <w:rPr>
          <w:rFonts w:cs="Arial"/>
          <w:szCs w:val="22"/>
          <w:lang w:val="sl-SI"/>
        </w:rPr>
        <w:t xml:space="preserve"> </w:t>
      </w:r>
      <w:r w:rsidR="0036268D" w:rsidRPr="00FF207E">
        <w:rPr>
          <w:rFonts w:cs="Arial"/>
          <w:szCs w:val="22"/>
          <w:lang w:val="sl-SI"/>
        </w:rPr>
        <w:t xml:space="preserve">so v oceno </w:t>
      </w:r>
      <w:r w:rsidR="007B2C5E" w:rsidRPr="00FF207E">
        <w:rPr>
          <w:rFonts w:cs="Arial"/>
          <w:szCs w:val="22"/>
          <w:lang w:val="sl-SI"/>
        </w:rPr>
        <w:t xml:space="preserve">sredstev, potrebnih za izvedbo ukrepov, </w:t>
      </w:r>
      <w:r w:rsidR="0036268D" w:rsidRPr="00FF207E">
        <w:rPr>
          <w:rFonts w:cs="Arial"/>
          <w:szCs w:val="22"/>
          <w:lang w:val="sl-SI"/>
        </w:rPr>
        <w:t>vključena</w:t>
      </w:r>
      <w:r w:rsidR="009A2069" w:rsidRPr="00FF207E">
        <w:rPr>
          <w:rFonts w:cs="Arial"/>
          <w:szCs w:val="22"/>
          <w:lang w:val="sl-SI"/>
        </w:rPr>
        <w:t xml:space="preserve"> </w:t>
      </w:r>
      <w:r w:rsidR="0036268D" w:rsidRPr="00FF207E">
        <w:rPr>
          <w:rFonts w:cs="Arial"/>
          <w:szCs w:val="22"/>
          <w:lang w:val="sl-SI"/>
        </w:rPr>
        <w:t>še</w:t>
      </w:r>
      <w:r w:rsidR="009A2069" w:rsidRPr="00FF207E">
        <w:rPr>
          <w:lang w:val="sl-SI"/>
        </w:rPr>
        <w:t xml:space="preserve"> </w:t>
      </w:r>
      <w:r w:rsidR="009A2069" w:rsidRPr="00FF207E">
        <w:rPr>
          <w:b/>
          <w:lang w:val="sl-SI"/>
        </w:rPr>
        <w:t xml:space="preserve">sredstva </w:t>
      </w:r>
      <w:r w:rsidR="009A2069" w:rsidRPr="00FF207E">
        <w:rPr>
          <w:b/>
          <w:bCs/>
          <w:lang w:val="sl-SI"/>
        </w:rPr>
        <w:t>za vključevanje energetsko revnih v energetske skupnosti</w:t>
      </w:r>
      <w:r w:rsidR="0036268D" w:rsidRPr="00FF207E">
        <w:rPr>
          <w:bCs/>
          <w:lang w:val="sl-SI"/>
        </w:rPr>
        <w:t xml:space="preserve"> </w:t>
      </w:r>
      <w:r w:rsidR="0042545D" w:rsidRPr="00FF207E">
        <w:rPr>
          <w:bCs/>
          <w:lang w:val="sl-SI"/>
        </w:rPr>
        <w:t xml:space="preserve">in </w:t>
      </w:r>
      <w:r w:rsidR="0036268D" w:rsidRPr="00FF207E">
        <w:rPr>
          <w:b/>
          <w:bCs/>
          <w:lang w:val="sl-SI"/>
        </w:rPr>
        <w:t xml:space="preserve">sredstva za </w:t>
      </w:r>
      <w:r w:rsidR="00D32523" w:rsidRPr="00FF207E">
        <w:rPr>
          <w:b/>
          <w:lang w:val="sl-SI"/>
        </w:rPr>
        <w:t xml:space="preserve">delovanje projektne pisarne z regionalnimi svetovalnimi točkami </w:t>
      </w:r>
      <w:r w:rsidR="005450F3" w:rsidRPr="00FF207E">
        <w:rPr>
          <w:b/>
          <w:lang w:val="sl-SI"/>
        </w:rPr>
        <w:t>ter</w:t>
      </w:r>
      <w:r w:rsidR="00D32523" w:rsidRPr="00FF207E">
        <w:rPr>
          <w:b/>
          <w:lang w:val="sl-SI"/>
        </w:rPr>
        <w:t xml:space="preserve"> neformalno mrežo za </w:t>
      </w:r>
      <w:r w:rsidR="00753B7D" w:rsidRPr="00FF207E">
        <w:rPr>
          <w:b/>
          <w:lang w:val="sl-SI"/>
        </w:rPr>
        <w:t>informiranje</w:t>
      </w:r>
      <w:r w:rsidR="00D32523" w:rsidRPr="00FF207E">
        <w:rPr>
          <w:b/>
          <w:lang w:val="sl-SI"/>
        </w:rPr>
        <w:t xml:space="preserve"> in ozaveščanje</w:t>
      </w:r>
      <w:r w:rsidR="009A2069" w:rsidRPr="00FF207E">
        <w:rPr>
          <w:lang w:val="sl-SI" w:eastAsia="sl-SI"/>
        </w:rPr>
        <w:t>.</w:t>
      </w:r>
    </w:p>
    <w:p w14:paraId="0813B671" w14:textId="33A6C101" w:rsidR="00684B50" w:rsidRPr="00FF207E" w:rsidRDefault="00A51D55" w:rsidP="001E304B">
      <w:pPr>
        <w:spacing w:after="240"/>
        <w:jc w:val="both"/>
        <w:rPr>
          <w:rFonts w:cs="Arial"/>
          <w:szCs w:val="22"/>
          <w:lang w:val="sl-SI"/>
        </w:rPr>
      </w:pPr>
      <w:r w:rsidRPr="00FF207E">
        <w:rPr>
          <w:rFonts w:cs="Arial"/>
          <w:szCs w:val="22"/>
          <w:lang w:val="sl-SI"/>
        </w:rPr>
        <w:t xml:space="preserve">Akcijski načrt v nadaljevanju predstavlja </w:t>
      </w:r>
      <w:r w:rsidR="00357141" w:rsidRPr="00FF207E">
        <w:rPr>
          <w:rFonts w:cs="Arial"/>
          <w:szCs w:val="22"/>
          <w:lang w:val="sl-SI"/>
        </w:rPr>
        <w:t>organiziranosti za izvajanje</w:t>
      </w:r>
      <w:r w:rsidR="00EC384B" w:rsidRPr="00FF207E">
        <w:rPr>
          <w:rFonts w:cs="Arial"/>
          <w:szCs w:val="22"/>
          <w:lang w:val="sl-SI"/>
        </w:rPr>
        <w:t xml:space="preserve">, in sicer </w:t>
      </w:r>
      <w:r w:rsidR="00FA7C18" w:rsidRPr="00FF207E">
        <w:rPr>
          <w:rFonts w:cs="Arial"/>
          <w:szCs w:val="22"/>
          <w:lang w:val="sl-SI"/>
        </w:rPr>
        <w:t>po obdobjih in organizacijskih enotah</w:t>
      </w:r>
      <w:r w:rsidR="00030CBD" w:rsidRPr="00FF207E">
        <w:rPr>
          <w:rFonts w:cs="Arial"/>
          <w:szCs w:val="22"/>
          <w:lang w:val="sl-SI"/>
        </w:rPr>
        <w:t xml:space="preserve"> (glej poglavje </w:t>
      </w:r>
      <w:r w:rsidR="00030CBD" w:rsidRPr="00FF207E">
        <w:rPr>
          <w:rFonts w:cs="Arial"/>
          <w:szCs w:val="22"/>
          <w:lang w:val="sl-SI"/>
        </w:rPr>
        <w:fldChar w:fldCharType="begin"/>
      </w:r>
      <w:r w:rsidR="00030CBD" w:rsidRPr="00FF207E">
        <w:rPr>
          <w:rFonts w:cs="Arial"/>
          <w:szCs w:val="22"/>
          <w:lang w:val="sl-SI"/>
        </w:rPr>
        <w:instrText xml:space="preserve"> REF _Ref136362942 \r \h </w:instrText>
      </w:r>
      <w:r w:rsidR="00930074" w:rsidRPr="00FF207E">
        <w:rPr>
          <w:rFonts w:cs="Arial"/>
          <w:szCs w:val="22"/>
          <w:lang w:val="sl-SI"/>
        </w:rPr>
        <w:instrText xml:space="preserve"> \* MERGEFORMAT </w:instrText>
      </w:r>
      <w:r w:rsidR="00030CBD" w:rsidRPr="00FF207E">
        <w:rPr>
          <w:rFonts w:cs="Arial"/>
          <w:szCs w:val="22"/>
          <w:lang w:val="sl-SI"/>
        </w:rPr>
      </w:r>
      <w:r w:rsidR="00030CBD" w:rsidRPr="00FF207E">
        <w:rPr>
          <w:rFonts w:cs="Arial"/>
          <w:szCs w:val="22"/>
          <w:lang w:val="sl-SI"/>
        </w:rPr>
        <w:fldChar w:fldCharType="separate"/>
      </w:r>
      <w:r w:rsidR="00F37FD1" w:rsidRPr="00FF207E">
        <w:rPr>
          <w:rFonts w:cs="Arial"/>
          <w:szCs w:val="22"/>
          <w:lang w:val="sl-SI"/>
        </w:rPr>
        <w:t>8</w:t>
      </w:r>
      <w:r w:rsidR="00030CBD" w:rsidRPr="00FF207E">
        <w:rPr>
          <w:rFonts w:cs="Arial"/>
          <w:szCs w:val="22"/>
          <w:lang w:val="sl-SI"/>
        </w:rPr>
        <w:fldChar w:fldCharType="end"/>
      </w:r>
      <w:r w:rsidR="00030CBD" w:rsidRPr="00FF207E">
        <w:rPr>
          <w:rFonts w:cs="Arial"/>
          <w:szCs w:val="22"/>
          <w:lang w:val="sl-SI"/>
        </w:rPr>
        <w:t>)</w:t>
      </w:r>
      <w:r w:rsidR="009A2069" w:rsidRPr="00FF207E">
        <w:rPr>
          <w:rFonts w:cs="Arial"/>
          <w:szCs w:val="22"/>
          <w:lang w:val="sl-SI"/>
        </w:rPr>
        <w:t>.</w:t>
      </w:r>
      <w:r w:rsidR="0071695C" w:rsidRPr="00FF207E">
        <w:rPr>
          <w:rFonts w:cs="Arial"/>
          <w:szCs w:val="22"/>
          <w:lang w:val="sl-SI"/>
        </w:rPr>
        <w:t xml:space="preserve"> </w:t>
      </w:r>
      <w:r w:rsidR="0071695C" w:rsidRPr="00FF207E">
        <w:rPr>
          <w:rFonts w:cs="Arial"/>
          <w:b/>
          <w:szCs w:val="22"/>
          <w:lang w:val="sl-SI"/>
        </w:rPr>
        <w:t>Oblikovanje ustrezne organizacijske strukture</w:t>
      </w:r>
      <w:r w:rsidR="003D4320" w:rsidRPr="00FF207E">
        <w:rPr>
          <w:rFonts w:cs="Arial"/>
          <w:szCs w:val="22"/>
          <w:lang w:val="sl-SI"/>
        </w:rPr>
        <w:t xml:space="preserve">, projektne pisarne z regionalnimi svetovalnimi točkami, neformalne mreže za informiranje in ozaveščanje in sosveta za energetsko revščino </w:t>
      </w:r>
      <w:r w:rsidR="003D4320" w:rsidRPr="00FF207E">
        <w:rPr>
          <w:rFonts w:cs="Arial"/>
          <w:b/>
          <w:szCs w:val="22"/>
          <w:lang w:val="sl-SI"/>
        </w:rPr>
        <w:t>je ključno za stabilno in sistemsko podprto izvajanje ukrepov</w:t>
      </w:r>
      <w:r w:rsidR="003D4320" w:rsidRPr="00FF207E">
        <w:rPr>
          <w:rFonts w:cs="Arial"/>
          <w:szCs w:val="22"/>
          <w:lang w:val="sl-SI"/>
        </w:rPr>
        <w:t xml:space="preserve"> za zmanjševanje energetske revščine. Obenem je </w:t>
      </w:r>
      <w:r w:rsidR="00184362" w:rsidRPr="00FF207E">
        <w:rPr>
          <w:rFonts w:cs="Arial"/>
          <w:szCs w:val="22"/>
          <w:lang w:val="sl-SI"/>
        </w:rPr>
        <w:t xml:space="preserve">ustrezna organizacijska struktura </w:t>
      </w:r>
      <w:r w:rsidR="00184362" w:rsidRPr="00FF207E">
        <w:rPr>
          <w:rFonts w:cs="Arial"/>
          <w:b/>
          <w:szCs w:val="22"/>
          <w:lang w:val="sl-SI"/>
        </w:rPr>
        <w:t>pomembna tudi za dodeljevanje večjega obsega sredstev</w:t>
      </w:r>
      <w:r w:rsidR="00184362" w:rsidRPr="00FF207E">
        <w:rPr>
          <w:rFonts w:cs="Arial"/>
          <w:szCs w:val="22"/>
          <w:lang w:val="sl-SI"/>
        </w:rPr>
        <w:t>, ki bodo v prihodnosti za ta namen na voljo tudi iz Socialnega sklada za podnebje</w:t>
      </w:r>
      <w:r w:rsidR="007A1590" w:rsidRPr="00FF207E">
        <w:rPr>
          <w:rFonts w:cs="Arial"/>
          <w:szCs w:val="22"/>
          <w:lang w:val="sl-SI"/>
        </w:rPr>
        <w:t xml:space="preserve"> na ravni EU</w:t>
      </w:r>
      <w:r w:rsidR="00184362" w:rsidRPr="00FF207E">
        <w:rPr>
          <w:rFonts w:cs="Arial"/>
          <w:szCs w:val="22"/>
          <w:lang w:val="sl-SI"/>
        </w:rPr>
        <w:t>.</w:t>
      </w:r>
      <w:r w:rsidR="00CF08B5" w:rsidRPr="00FF207E">
        <w:rPr>
          <w:rFonts w:cs="Arial"/>
          <w:szCs w:val="22"/>
          <w:lang w:val="sl-SI"/>
        </w:rPr>
        <w:t xml:space="preserve"> </w:t>
      </w:r>
      <w:proofErr w:type="spellStart"/>
      <w:r w:rsidR="00CF08B5" w:rsidRPr="00FF207E">
        <w:rPr>
          <w:rFonts w:cs="Arial"/>
          <w:szCs w:val="22"/>
          <w:lang w:val="sl-SI"/>
        </w:rPr>
        <w:t>Eko</w:t>
      </w:r>
      <w:proofErr w:type="spellEnd"/>
      <w:r w:rsidR="00CF08B5" w:rsidRPr="00FF207E">
        <w:rPr>
          <w:rFonts w:cs="Arial"/>
          <w:szCs w:val="22"/>
          <w:lang w:val="sl-SI"/>
        </w:rPr>
        <w:t xml:space="preserve"> sklad </w:t>
      </w:r>
      <w:r w:rsidR="00F95093" w:rsidRPr="00FF207E">
        <w:rPr>
          <w:rFonts w:cs="Arial"/>
          <w:szCs w:val="22"/>
          <w:lang w:val="sl-SI"/>
        </w:rPr>
        <w:t xml:space="preserve">je </w:t>
      </w:r>
      <w:r w:rsidR="00CF08B5" w:rsidRPr="00FF207E">
        <w:rPr>
          <w:rFonts w:cs="Arial"/>
          <w:szCs w:val="22"/>
          <w:lang w:val="sl-SI"/>
        </w:rPr>
        <w:t xml:space="preserve">ob trenutni kadrovski zasedbi in organizaciji dela </w:t>
      </w:r>
      <w:r w:rsidR="00480976" w:rsidRPr="00FF207E">
        <w:rPr>
          <w:rFonts w:cs="Arial"/>
          <w:szCs w:val="22"/>
          <w:lang w:val="sl-SI"/>
        </w:rPr>
        <w:t>letno izvede</w:t>
      </w:r>
      <w:r w:rsidR="00F95093" w:rsidRPr="00FF207E">
        <w:rPr>
          <w:rFonts w:cs="Arial"/>
          <w:szCs w:val="22"/>
          <w:lang w:val="sl-SI"/>
        </w:rPr>
        <w:t>l</w:t>
      </w:r>
      <w:r w:rsidR="00480976" w:rsidRPr="00FF207E">
        <w:rPr>
          <w:rFonts w:cs="Arial"/>
          <w:szCs w:val="22"/>
          <w:lang w:val="sl-SI"/>
        </w:rPr>
        <w:t xml:space="preserve"> naložb</w:t>
      </w:r>
      <w:r w:rsidR="00F95093" w:rsidRPr="00FF207E">
        <w:rPr>
          <w:rFonts w:cs="Arial"/>
          <w:szCs w:val="22"/>
          <w:lang w:val="sl-SI"/>
        </w:rPr>
        <w:t>e</w:t>
      </w:r>
      <w:r w:rsidR="00480976" w:rsidRPr="00FF207E">
        <w:rPr>
          <w:rFonts w:cs="Arial"/>
          <w:szCs w:val="22"/>
          <w:lang w:val="sl-SI"/>
        </w:rPr>
        <w:t xml:space="preserve"> </w:t>
      </w:r>
      <w:r w:rsidR="00CF08B5" w:rsidRPr="00FF207E">
        <w:rPr>
          <w:rFonts w:cs="Arial"/>
          <w:szCs w:val="22"/>
          <w:lang w:val="sl-SI"/>
        </w:rPr>
        <w:t xml:space="preserve">na področju URE in </w:t>
      </w:r>
      <w:r w:rsidR="00B135A8" w:rsidRPr="00FF207E">
        <w:rPr>
          <w:rFonts w:cs="Arial"/>
          <w:szCs w:val="22"/>
          <w:lang w:val="sl-SI"/>
        </w:rPr>
        <w:t xml:space="preserve">rabe </w:t>
      </w:r>
      <w:r w:rsidR="00CF08B5" w:rsidRPr="00FF207E">
        <w:rPr>
          <w:rFonts w:cs="Arial"/>
          <w:szCs w:val="22"/>
          <w:lang w:val="sl-SI"/>
        </w:rPr>
        <w:t>OVE</w:t>
      </w:r>
      <w:r w:rsidR="00184F55" w:rsidRPr="00FF207E">
        <w:rPr>
          <w:rFonts w:cs="Arial"/>
          <w:szCs w:val="22"/>
          <w:lang w:val="sl-SI"/>
        </w:rPr>
        <w:t xml:space="preserve"> </w:t>
      </w:r>
      <w:r w:rsidR="00F95093" w:rsidRPr="00FF207E">
        <w:rPr>
          <w:rFonts w:cs="Arial"/>
          <w:szCs w:val="22"/>
          <w:lang w:val="sl-SI"/>
        </w:rPr>
        <w:t xml:space="preserve">v 200 do 250 </w:t>
      </w:r>
      <w:r w:rsidR="00CF08B5" w:rsidRPr="00FF207E">
        <w:rPr>
          <w:rFonts w:cs="Arial"/>
          <w:szCs w:val="22"/>
          <w:lang w:val="sl-SI"/>
        </w:rPr>
        <w:t>energetsko revnih gospodinjstvih</w:t>
      </w:r>
      <w:r w:rsidR="00480976" w:rsidRPr="00FF207E">
        <w:rPr>
          <w:rFonts w:cs="Arial"/>
          <w:szCs w:val="22"/>
          <w:lang w:val="sl-SI"/>
        </w:rPr>
        <w:t xml:space="preserve"> (program ZERO500)</w:t>
      </w:r>
      <w:r w:rsidR="00F95093" w:rsidRPr="00FF207E">
        <w:rPr>
          <w:rFonts w:cs="Arial"/>
          <w:szCs w:val="22"/>
          <w:lang w:val="sl-SI"/>
        </w:rPr>
        <w:t>, poleg tega pa še naložbe pri okoli 200 socialno šibkih občanih v okviru pozivov za vgradnjo KNLB</w:t>
      </w:r>
      <w:r w:rsidR="008E2B75" w:rsidRPr="00FF207E">
        <w:rPr>
          <w:rFonts w:cs="Arial"/>
          <w:szCs w:val="22"/>
          <w:lang w:val="sl-SI"/>
        </w:rPr>
        <w:t xml:space="preserve">, kar je </w:t>
      </w:r>
      <w:r w:rsidR="009C6012" w:rsidRPr="00FF207E">
        <w:rPr>
          <w:rFonts w:cs="Arial"/>
          <w:szCs w:val="22"/>
          <w:lang w:val="sl-SI"/>
        </w:rPr>
        <w:t xml:space="preserve">tudi zgornja meja, ki jo lahko pri izvajanju ukrepov za zmanjševanje energetske revščine trenutno </w:t>
      </w:r>
      <w:r w:rsidR="009C6012" w:rsidRPr="00FF207E">
        <w:rPr>
          <w:rFonts w:cs="Arial"/>
          <w:szCs w:val="22"/>
          <w:lang w:val="sl-SI"/>
        </w:rPr>
        <w:lastRenderedPageBreak/>
        <w:t>doseže</w:t>
      </w:r>
      <w:r w:rsidR="00D55FFB" w:rsidRPr="00FF207E">
        <w:rPr>
          <w:rFonts w:cs="Arial"/>
          <w:szCs w:val="22"/>
          <w:lang w:val="sl-SI"/>
        </w:rPr>
        <w:t>.</w:t>
      </w:r>
      <w:r w:rsidR="00CF08B5" w:rsidRPr="00FF207E">
        <w:rPr>
          <w:rFonts w:cs="Arial"/>
          <w:szCs w:val="22"/>
          <w:lang w:val="sl-SI"/>
        </w:rPr>
        <w:t xml:space="preserve"> </w:t>
      </w:r>
      <w:r w:rsidR="00CF08B5" w:rsidRPr="00FF207E">
        <w:rPr>
          <w:b/>
          <w:lang w:val="sl-SI"/>
        </w:rPr>
        <w:t xml:space="preserve">Izvajanje ukrepov v načrtovanem obsegu iz tega akcijskega načrta in doseganje zastavljenih ciljev </w:t>
      </w:r>
      <w:r w:rsidR="00480976" w:rsidRPr="00FF207E">
        <w:rPr>
          <w:rFonts w:cs="Arial"/>
          <w:b/>
          <w:szCs w:val="22"/>
          <w:lang w:val="sl-SI"/>
        </w:rPr>
        <w:t xml:space="preserve">sta </w:t>
      </w:r>
      <w:r w:rsidR="00930074" w:rsidRPr="00FF207E">
        <w:rPr>
          <w:rFonts w:cs="Arial"/>
          <w:b/>
          <w:szCs w:val="22"/>
          <w:lang w:val="sl-SI"/>
        </w:rPr>
        <w:t xml:space="preserve">zato </w:t>
      </w:r>
      <w:r w:rsidR="00480976" w:rsidRPr="00FF207E">
        <w:rPr>
          <w:rFonts w:cs="Arial"/>
          <w:b/>
          <w:szCs w:val="22"/>
          <w:lang w:val="sl-SI"/>
        </w:rPr>
        <w:t>mogoča samo</w:t>
      </w:r>
      <w:r w:rsidR="00CF08B5" w:rsidRPr="00FF207E">
        <w:rPr>
          <w:rFonts w:cs="Arial"/>
          <w:b/>
          <w:szCs w:val="22"/>
          <w:lang w:val="sl-SI"/>
        </w:rPr>
        <w:t xml:space="preserve"> </w:t>
      </w:r>
      <w:r w:rsidR="00480976" w:rsidRPr="00FF207E">
        <w:rPr>
          <w:rFonts w:cs="Arial"/>
          <w:b/>
          <w:szCs w:val="22"/>
          <w:lang w:val="sl-SI"/>
        </w:rPr>
        <w:t>z zagotovitvijo</w:t>
      </w:r>
      <w:r w:rsidR="00CF08B5" w:rsidRPr="00FF207E">
        <w:rPr>
          <w:rFonts w:cs="Arial"/>
          <w:b/>
          <w:szCs w:val="22"/>
          <w:lang w:val="sl-SI"/>
        </w:rPr>
        <w:t xml:space="preserve"> </w:t>
      </w:r>
      <w:r w:rsidR="00CF08B5" w:rsidRPr="00FF207E">
        <w:rPr>
          <w:b/>
          <w:lang w:val="sl-SI"/>
        </w:rPr>
        <w:t xml:space="preserve">ustreznih kadrovskih in finančnih </w:t>
      </w:r>
      <w:r w:rsidR="00D55FFB" w:rsidRPr="00FF207E">
        <w:rPr>
          <w:b/>
          <w:lang w:val="sl-SI"/>
        </w:rPr>
        <w:t>možnosti</w:t>
      </w:r>
      <w:r w:rsidR="00323BB2" w:rsidRPr="00FF207E">
        <w:rPr>
          <w:b/>
          <w:lang w:val="sl-SI"/>
        </w:rPr>
        <w:t>.</w:t>
      </w:r>
    </w:p>
    <w:p w14:paraId="5B00412F" w14:textId="1D4631C4" w:rsidR="004A0CE2" w:rsidRPr="00FF207E" w:rsidRDefault="004A0CE2" w:rsidP="001E304B">
      <w:pPr>
        <w:pStyle w:val="Naslov1"/>
        <w:numPr>
          <w:ilvl w:val="0"/>
          <w:numId w:val="2"/>
        </w:numPr>
        <w:jc w:val="both"/>
        <w:rPr>
          <w:lang w:val="sl-SI"/>
        </w:rPr>
      </w:pPr>
      <w:bookmarkStart w:id="11" w:name="_Toc131497280"/>
      <w:bookmarkStart w:id="12" w:name="_Ref136359238"/>
      <w:bookmarkStart w:id="13" w:name="_Toc151148775"/>
      <w:r w:rsidRPr="00FF207E">
        <w:rPr>
          <w:lang w:val="sl-SI"/>
        </w:rPr>
        <w:lastRenderedPageBreak/>
        <w:t>Izhodišča</w:t>
      </w:r>
      <w:bookmarkEnd w:id="11"/>
      <w:bookmarkEnd w:id="12"/>
      <w:bookmarkEnd w:id="13"/>
    </w:p>
    <w:p w14:paraId="33D19B9D" w14:textId="77777777" w:rsidR="004A0CE2" w:rsidRPr="00FF207E" w:rsidRDefault="004A0CE2" w:rsidP="001E304B">
      <w:pPr>
        <w:pStyle w:val="Naslov2"/>
        <w:numPr>
          <w:ilvl w:val="1"/>
          <w:numId w:val="23"/>
        </w:numPr>
        <w:ind w:left="578" w:hanging="578"/>
        <w:jc w:val="both"/>
        <w:rPr>
          <w:lang w:val="sl-SI"/>
        </w:rPr>
      </w:pPr>
      <w:bookmarkStart w:id="14" w:name="_Toc151148776"/>
      <w:r w:rsidRPr="00FF207E">
        <w:rPr>
          <w:lang w:val="sl-SI"/>
        </w:rPr>
        <w:t>Pravne podlage in usklajenost z razvojnimi dokumenti</w:t>
      </w:r>
      <w:bookmarkEnd w:id="14"/>
    </w:p>
    <w:p w14:paraId="0B4BB353" w14:textId="53E66D6F" w:rsidR="004A0CE2" w:rsidRPr="00FF207E" w:rsidRDefault="004A0CE2" w:rsidP="001E304B">
      <w:pPr>
        <w:spacing w:after="240"/>
        <w:jc w:val="both"/>
        <w:rPr>
          <w:i/>
          <w:iCs/>
          <w:szCs w:val="22"/>
          <w:lang w:val="sl-SI"/>
        </w:rPr>
      </w:pPr>
      <w:r w:rsidRPr="00FF207E">
        <w:rPr>
          <w:b/>
          <w:bCs/>
          <w:color w:val="4F81BD" w:themeColor="accent1"/>
          <w:szCs w:val="22"/>
          <w:lang w:val="sl-SI"/>
        </w:rPr>
        <w:t>Pravna podlaga</w:t>
      </w:r>
      <w:r w:rsidRPr="00FF207E">
        <w:rPr>
          <w:szCs w:val="22"/>
          <w:lang w:val="sl-SI"/>
        </w:rPr>
        <w:t xml:space="preserve"> za pripravo akcijskega načrta</w:t>
      </w:r>
      <w:r w:rsidR="00691D8C" w:rsidRPr="00FF207E">
        <w:rPr>
          <w:szCs w:val="22"/>
          <w:lang w:val="sl-SI"/>
        </w:rPr>
        <w:t xml:space="preserve"> </w:t>
      </w:r>
      <w:r w:rsidRPr="00FF207E">
        <w:rPr>
          <w:szCs w:val="22"/>
          <w:lang w:val="sl-SI"/>
        </w:rPr>
        <w:t xml:space="preserve">je </w:t>
      </w:r>
      <w:r w:rsidRPr="00FF207E">
        <w:rPr>
          <w:i/>
          <w:iCs/>
          <w:szCs w:val="22"/>
          <w:lang w:val="sl-SI"/>
        </w:rPr>
        <w:t>Uredba o merilih za opredelitev in ocenjevanje števila energetsko revnih gospodinjstev</w:t>
      </w:r>
      <w:bookmarkStart w:id="15" w:name="_Ref136271135"/>
      <w:r w:rsidR="00C13308" w:rsidRPr="00FF207E">
        <w:rPr>
          <w:iCs/>
          <w:szCs w:val="22"/>
          <w:lang w:val="sl-SI"/>
        </w:rPr>
        <w:t>,</w:t>
      </w:r>
      <w:r w:rsidRPr="00FF207E">
        <w:rPr>
          <w:rStyle w:val="Sprotnaopomba-sklic"/>
          <w:iCs/>
          <w:szCs w:val="22"/>
          <w:lang w:val="sl-SI"/>
        </w:rPr>
        <w:footnoteReference w:id="3"/>
      </w:r>
      <w:bookmarkEnd w:id="15"/>
      <w:r w:rsidRPr="00FF207E">
        <w:rPr>
          <w:szCs w:val="22"/>
          <w:lang w:val="sl-SI"/>
        </w:rPr>
        <w:t xml:space="preserve"> ki določa pripravo triletnega načrta ukrepov za izboljšanje energetske učinkovitosti z namenom zmanjšanja energetske revščine, </w:t>
      </w:r>
      <w:r w:rsidR="00B266A4" w:rsidRPr="00FF207E">
        <w:rPr>
          <w:szCs w:val="22"/>
          <w:lang w:val="sl-SI"/>
        </w:rPr>
        <w:t xml:space="preserve">usklajenega </w:t>
      </w:r>
      <w:r w:rsidRPr="00FF207E">
        <w:rPr>
          <w:szCs w:val="22"/>
          <w:lang w:val="sl-SI"/>
        </w:rPr>
        <w:t xml:space="preserve">s cilji </w:t>
      </w:r>
      <w:r w:rsidRPr="00FF207E">
        <w:rPr>
          <w:i/>
          <w:iCs/>
          <w:szCs w:val="22"/>
          <w:lang w:val="sl-SI"/>
        </w:rPr>
        <w:t xml:space="preserve">nacionalnega energetskega in podnebnega načrta. </w:t>
      </w:r>
    </w:p>
    <w:p w14:paraId="722B3018" w14:textId="2EF876B2" w:rsidR="004A0CE2" w:rsidRPr="00FF207E" w:rsidRDefault="004A0CE2" w:rsidP="001E304B">
      <w:pPr>
        <w:spacing w:after="240"/>
        <w:jc w:val="both"/>
        <w:rPr>
          <w:szCs w:val="22"/>
          <w:lang w:val="sl-SI"/>
        </w:rPr>
      </w:pPr>
      <w:r w:rsidRPr="00FF207E">
        <w:rPr>
          <w:b/>
          <w:bCs/>
          <w:color w:val="4F81BD" w:themeColor="accent1"/>
          <w:szCs w:val="22"/>
          <w:lang w:val="sl-SI"/>
        </w:rPr>
        <w:t xml:space="preserve">Vsebino </w:t>
      </w:r>
      <w:r w:rsidR="00A473C7" w:rsidRPr="00FF207E">
        <w:rPr>
          <w:b/>
          <w:bCs/>
          <w:color w:val="4F81BD" w:themeColor="accent1"/>
          <w:szCs w:val="22"/>
          <w:lang w:val="sl-SI"/>
        </w:rPr>
        <w:t>akcijskega načrta</w:t>
      </w:r>
      <w:r w:rsidRPr="00FF207E">
        <w:rPr>
          <w:color w:val="4F81BD" w:themeColor="accent1"/>
          <w:szCs w:val="22"/>
          <w:lang w:val="sl-SI"/>
        </w:rPr>
        <w:t xml:space="preserve"> </w:t>
      </w:r>
      <w:r w:rsidR="00A473C7" w:rsidRPr="00FF207E">
        <w:rPr>
          <w:szCs w:val="22"/>
          <w:lang w:val="sl-SI"/>
        </w:rPr>
        <w:t>opredeljuje</w:t>
      </w:r>
      <w:r w:rsidRPr="00FF207E">
        <w:rPr>
          <w:szCs w:val="22"/>
          <w:lang w:val="sl-SI"/>
        </w:rPr>
        <w:t xml:space="preserve"> </w:t>
      </w:r>
      <w:r w:rsidR="00F21B04" w:rsidRPr="00FF207E">
        <w:rPr>
          <w:szCs w:val="22"/>
          <w:lang w:val="sl-SI"/>
        </w:rPr>
        <w:t>u</w:t>
      </w:r>
      <w:r w:rsidRPr="00FF207E">
        <w:rPr>
          <w:szCs w:val="22"/>
          <w:lang w:val="sl-SI"/>
        </w:rPr>
        <w:t xml:space="preserve">redba, ki določa, da ukrepi vsebujejo cilje za </w:t>
      </w:r>
      <w:r w:rsidR="00D234E4" w:rsidRPr="00FF207E">
        <w:rPr>
          <w:szCs w:val="22"/>
          <w:lang w:val="sl-SI"/>
        </w:rPr>
        <w:t>blaženje</w:t>
      </w:r>
      <w:r w:rsidRPr="00FF207E">
        <w:rPr>
          <w:szCs w:val="22"/>
          <w:lang w:val="sl-SI"/>
        </w:rPr>
        <w:t xml:space="preserve"> energetske revščine, kazalnike, odgovorne nosilce izvajanja ukrepov in opredelitev virov finančnih sredstev za izvedbo ukrepov ter da so razdeljeni na kratkoročne in dolgoročne ukrepe.</w:t>
      </w:r>
    </w:p>
    <w:p w14:paraId="7DE10AB7" w14:textId="60E4BF47" w:rsidR="004A0CE2" w:rsidRPr="00FF207E" w:rsidRDefault="004A0CE2" w:rsidP="001E304B">
      <w:pPr>
        <w:spacing w:after="240"/>
        <w:jc w:val="both"/>
        <w:rPr>
          <w:szCs w:val="22"/>
          <w:lang w:val="sl-SI"/>
        </w:rPr>
      </w:pPr>
      <w:r w:rsidRPr="00FF207E">
        <w:rPr>
          <w:szCs w:val="22"/>
          <w:lang w:val="sl-SI"/>
        </w:rPr>
        <w:t>Glede na pravila, ki veljajo za dokumente razvojnega načrtovanja</w:t>
      </w:r>
      <w:r w:rsidR="00C13308" w:rsidRPr="00FF207E">
        <w:rPr>
          <w:szCs w:val="22"/>
          <w:lang w:val="sl-SI"/>
        </w:rPr>
        <w:t>,</w:t>
      </w:r>
      <w:r w:rsidRPr="00FF207E">
        <w:rPr>
          <w:rStyle w:val="Sprotnaopomba-sklic"/>
          <w:szCs w:val="22"/>
          <w:lang w:val="sl-SI"/>
        </w:rPr>
        <w:footnoteReference w:id="4"/>
      </w:r>
      <w:r w:rsidRPr="00FF207E">
        <w:rPr>
          <w:szCs w:val="22"/>
          <w:lang w:val="sl-SI"/>
        </w:rPr>
        <w:t xml:space="preserve"> </w:t>
      </w:r>
      <w:r w:rsidR="00F21B04" w:rsidRPr="00FF207E">
        <w:rPr>
          <w:szCs w:val="22"/>
          <w:lang w:val="sl-SI"/>
        </w:rPr>
        <w:t xml:space="preserve">sta </w:t>
      </w:r>
      <w:r w:rsidRPr="00FF207E">
        <w:rPr>
          <w:szCs w:val="22"/>
          <w:lang w:val="sl-SI"/>
        </w:rPr>
        <w:t xml:space="preserve">v okviru </w:t>
      </w:r>
      <w:r w:rsidR="00A473C7" w:rsidRPr="00FF207E">
        <w:rPr>
          <w:szCs w:val="22"/>
          <w:lang w:val="sl-SI"/>
        </w:rPr>
        <w:t>akcijskega načrta</w:t>
      </w:r>
      <w:r w:rsidRPr="00FF207E">
        <w:rPr>
          <w:szCs w:val="22"/>
          <w:lang w:val="sl-SI"/>
        </w:rPr>
        <w:t xml:space="preserve"> opredeljen</w:t>
      </w:r>
      <w:r w:rsidR="00F21B04" w:rsidRPr="00FF207E">
        <w:rPr>
          <w:szCs w:val="22"/>
          <w:lang w:val="sl-SI"/>
        </w:rPr>
        <w:t>a</w:t>
      </w:r>
      <w:r w:rsidRPr="00FF207E">
        <w:rPr>
          <w:szCs w:val="22"/>
          <w:lang w:val="sl-SI"/>
        </w:rPr>
        <w:t xml:space="preserve"> tudi institucionalni okvir in organizacija izvajanja, vrednotenja in spremljanja (vključno z ustrezno kadrovsko zasedb</w:t>
      </w:r>
      <w:r w:rsidR="00423B22" w:rsidRPr="00FF207E">
        <w:rPr>
          <w:szCs w:val="22"/>
          <w:lang w:val="sl-SI"/>
        </w:rPr>
        <w:t>o</w:t>
      </w:r>
      <w:r w:rsidRPr="00FF207E">
        <w:rPr>
          <w:szCs w:val="22"/>
          <w:lang w:val="sl-SI"/>
        </w:rPr>
        <w:t xml:space="preserve"> za izvajanje ukrepov </w:t>
      </w:r>
      <w:r w:rsidR="00F21B04" w:rsidRPr="00FF207E">
        <w:rPr>
          <w:szCs w:val="22"/>
          <w:lang w:val="sl-SI"/>
        </w:rPr>
        <w:t xml:space="preserve">in </w:t>
      </w:r>
      <w:r w:rsidRPr="00FF207E">
        <w:rPr>
          <w:szCs w:val="22"/>
          <w:lang w:val="sl-SI"/>
        </w:rPr>
        <w:t>način</w:t>
      </w:r>
      <w:r w:rsidR="00A473C7" w:rsidRPr="00FF207E">
        <w:rPr>
          <w:szCs w:val="22"/>
          <w:lang w:val="sl-SI"/>
        </w:rPr>
        <w:t>om</w:t>
      </w:r>
      <w:r w:rsidRPr="00FF207E">
        <w:rPr>
          <w:szCs w:val="22"/>
          <w:lang w:val="sl-SI"/>
        </w:rPr>
        <w:t xml:space="preserve"> spremljanja izvajanja ukrepov) ter načrt financiranja s prikazom povzetka skupnih stroškov in virov financiranja.</w:t>
      </w:r>
    </w:p>
    <w:p w14:paraId="3D651461" w14:textId="4F8399CF" w:rsidR="004A0CE2" w:rsidRPr="00FF207E" w:rsidRDefault="004A0CE2" w:rsidP="001E304B">
      <w:pPr>
        <w:spacing w:after="240"/>
        <w:jc w:val="both"/>
        <w:rPr>
          <w:szCs w:val="22"/>
          <w:lang w:val="sl-SI"/>
        </w:rPr>
      </w:pPr>
      <w:r w:rsidRPr="00FF207E">
        <w:rPr>
          <w:b/>
          <w:bCs/>
          <w:color w:val="4F81BD" w:themeColor="accent1"/>
          <w:szCs w:val="22"/>
          <w:lang w:val="sl-SI"/>
        </w:rPr>
        <w:t>Postopek sprejema</w:t>
      </w:r>
      <w:r w:rsidR="00F21B04" w:rsidRPr="00FF207E">
        <w:rPr>
          <w:b/>
          <w:bCs/>
          <w:color w:val="4F81BD" w:themeColor="accent1"/>
          <w:szCs w:val="22"/>
          <w:lang w:val="sl-SI"/>
        </w:rPr>
        <w:t>nja</w:t>
      </w:r>
      <w:r w:rsidRPr="00FF207E">
        <w:rPr>
          <w:b/>
          <w:bCs/>
          <w:color w:val="4F81BD" w:themeColor="accent1"/>
          <w:szCs w:val="22"/>
          <w:lang w:val="sl-SI"/>
        </w:rPr>
        <w:t xml:space="preserve"> </w:t>
      </w:r>
      <w:r w:rsidR="00A473C7" w:rsidRPr="00FF207E">
        <w:rPr>
          <w:b/>
          <w:bCs/>
          <w:color w:val="4F81BD" w:themeColor="accent1"/>
          <w:szCs w:val="22"/>
          <w:lang w:val="sl-SI"/>
        </w:rPr>
        <w:t>a</w:t>
      </w:r>
      <w:r w:rsidRPr="00FF207E">
        <w:rPr>
          <w:b/>
          <w:bCs/>
          <w:color w:val="4F81BD" w:themeColor="accent1"/>
          <w:szCs w:val="22"/>
          <w:lang w:val="sl-SI"/>
        </w:rPr>
        <w:t>kcijskega načrta.</w:t>
      </w:r>
      <w:r w:rsidRPr="00FF207E">
        <w:rPr>
          <w:bCs/>
          <w:szCs w:val="22"/>
          <w:lang w:val="sl-SI"/>
        </w:rPr>
        <w:t xml:space="preserve"> </w:t>
      </w:r>
      <w:r w:rsidRPr="00FF207E">
        <w:rPr>
          <w:szCs w:val="22"/>
          <w:lang w:val="sl-SI"/>
        </w:rPr>
        <w:t>Akcijski načrt pripravi ministrstvo, pristojno za energijo, sprejme ga Vlada Republike Slovenije. Ključni deležniki in izvajalci ukrepov so bili vključeni v pripravo akcijskega načrta prek delavnic in sestankov</w:t>
      </w:r>
      <w:r w:rsidR="00A473C7" w:rsidRPr="00FF207E">
        <w:rPr>
          <w:szCs w:val="22"/>
          <w:lang w:val="sl-SI"/>
        </w:rPr>
        <w:t xml:space="preserve"> (glej poglavje </w:t>
      </w:r>
      <w:r w:rsidR="00A473C7" w:rsidRPr="00FF207E">
        <w:rPr>
          <w:szCs w:val="22"/>
          <w:lang w:val="sl-SI"/>
        </w:rPr>
        <w:fldChar w:fldCharType="begin"/>
      </w:r>
      <w:r w:rsidR="00A473C7" w:rsidRPr="00FF207E">
        <w:rPr>
          <w:szCs w:val="22"/>
          <w:lang w:val="sl-SI"/>
        </w:rPr>
        <w:instrText xml:space="preserve"> REF _Ref136261109 \r \h </w:instrText>
      </w:r>
      <w:r w:rsidR="006F0480" w:rsidRPr="00FF207E">
        <w:rPr>
          <w:szCs w:val="22"/>
          <w:lang w:val="sl-SI"/>
        </w:rPr>
        <w:instrText xml:space="preserve"> \* MERGEFORMAT </w:instrText>
      </w:r>
      <w:r w:rsidR="00A473C7" w:rsidRPr="00FF207E">
        <w:rPr>
          <w:szCs w:val="22"/>
          <w:lang w:val="sl-SI"/>
        </w:rPr>
      </w:r>
      <w:r w:rsidR="00A473C7" w:rsidRPr="00FF207E">
        <w:rPr>
          <w:szCs w:val="22"/>
          <w:lang w:val="sl-SI"/>
        </w:rPr>
        <w:fldChar w:fldCharType="separate"/>
      </w:r>
      <w:r w:rsidR="00F37FD1" w:rsidRPr="00FF207E">
        <w:rPr>
          <w:szCs w:val="22"/>
          <w:lang w:val="sl-SI"/>
        </w:rPr>
        <w:t>1.3</w:t>
      </w:r>
      <w:r w:rsidR="00A473C7" w:rsidRPr="00FF207E">
        <w:rPr>
          <w:szCs w:val="22"/>
          <w:lang w:val="sl-SI"/>
        </w:rPr>
        <w:fldChar w:fldCharType="end"/>
      </w:r>
      <w:r w:rsidR="00A473C7" w:rsidRPr="00FF207E">
        <w:rPr>
          <w:szCs w:val="22"/>
          <w:lang w:val="sl-SI"/>
        </w:rPr>
        <w:t>)</w:t>
      </w:r>
      <w:r w:rsidRPr="00FF207E">
        <w:rPr>
          <w:szCs w:val="22"/>
          <w:lang w:val="sl-SI"/>
        </w:rPr>
        <w:t xml:space="preserve">. </w:t>
      </w:r>
      <w:r w:rsidR="00A473C7" w:rsidRPr="00FF207E">
        <w:rPr>
          <w:szCs w:val="22"/>
          <w:lang w:val="sl-SI"/>
        </w:rPr>
        <w:t xml:space="preserve">Končna verzija akcijskega načrta </w:t>
      </w:r>
      <w:r w:rsidR="00086EBB" w:rsidRPr="00FF207E">
        <w:rPr>
          <w:szCs w:val="22"/>
          <w:lang w:val="sl-SI"/>
        </w:rPr>
        <w:t xml:space="preserve">za </w:t>
      </w:r>
      <w:r w:rsidR="00F21B04" w:rsidRPr="00FF207E">
        <w:rPr>
          <w:szCs w:val="22"/>
          <w:lang w:val="sl-SI"/>
        </w:rPr>
        <w:t xml:space="preserve">sprejetje </w:t>
      </w:r>
      <w:r w:rsidR="00086EBB" w:rsidRPr="00FF207E">
        <w:rPr>
          <w:szCs w:val="22"/>
          <w:lang w:val="sl-SI"/>
        </w:rPr>
        <w:t xml:space="preserve">na </w:t>
      </w:r>
      <w:r w:rsidR="00F21B04" w:rsidRPr="00FF207E">
        <w:rPr>
          <w:szCs w:val="22"/>
          <w:lang w:val="sl-SI"/>
        </w:rPr>
        <w:t>v</w:t>
      </w:r>
      <w:r w:rsidR="00086EBB" w:rsidRPr="00FF207E">
        <w:rPr>
          <w:szCs w:val="22"/>
          <w:lang w:val="sl-SI"/>
        </w:rPr>
        <w:t xml:space="preserve">ladi </w:t>
      </w:r>
      <w:r w:rsidR="00A473C7" w:rsidRPr="00FF207E">
        <w:rPr>
          <w:szCs w:val="22"/>
          <w:lang w:val="sl-SI"/>
        </w:rPr>
        <w:t xml:space="preserve">se </w:t>
      </w:r>
      <w:r w:rsidR="00086EBB" w:rsidRPr="00FF207E">
        <w:rPr>
          <w:szCs w:val="22"/>
          <w:lang w:val="sl-SI"/>
        </w:rPr>
        <w:t>pripravi po izvedeni</w:t>
      </w:r>
      <w:r w:rsidR="006F0480" w:rsidRPr="00FF207E">
        <w:rPr>
          <w:szCs w:val="22"/>
          <w:lang w:val="sl-SI"/>
        </w:rPr>
        <w:t>h medresorskem usklajevanju in</w:t>
      </w:r>
      <w:r w:rsidR="00086EBB" w:rsidRPr="00FF207E">
        <w:rPr>
          <w:szCs w:val="22"/>
          <w:lang w:val="sl-SI"/>
        </w:rPr>
        <w:t xml:space="preserve"> javni obravnavi.</w:t>
      </w:r>
    </w:p>
    <w:p w14:paraId="51E1EE66" w14:textId="4F8B7084" w:rsidR="006F0480" w:rsidRPr="00FF207E" w:rsidRDefault="004A0CE2" w:rsidP="001E304B">
      <w:pPr>
        <w:spacing w:after="240"/>
        <w:jc w:val="both"/>
        <w:rPr>
          <w:rFonts w:eastAsia="SimSun" w:cs="Arial"/>
          <w:szCs w:val="22"/>
          <w:lang w:val="sl-SI"/>
        </w:rPr>
      </w:pPr>
      <w:r w:rsidRPr="00FF207E">
        <w:rPr>
          <w:rFonts w:cs="Arial"/>
          <w:b/>
          <w:bCs/>
          <w:color w:val="4F81BD" w:themeColor="accent1"/>
          <w:szCs w:val="22"/>
          <w:lang w:val="sl-SI"/>
        </w:rPr>
        <w:t>Usklajenost z NEPN.</w:t>
      </w:r>
      <w:r w:rsidRPr="00FF207E">
        <w:rPr>
          <w:rFonts w:cs="Arial"/>
          <w:bCs/>
          <w:szCs w:val="22"/>
          <w:lang w:val="sl-SI"/>
        </w:rPr>
        <w:t xml:space="preserve"> </w:t>
      </w:r>
      <w:r w:rsidRPr="00FF207E">
        <w:rPr>
          <w:rFonts w:cs="Arial"/>
          <w:szCs w:val="22"/>
          <w:lang w:val="sl-SI"/>
        </w:rPr>
        <w:t xml:space="preserve">Dokument je </w:t>
      </w:r>
      <w:r w:rsidR="006D72A1" w:rsidRPr="00FF207E">
        <w:rPr>
          <w:rFonts w:cs="Arial"/>
          <w:szCs w:val="22"/>
          <w:lang w:val="sl-SI"/>
        </w:rPr>
        <w:t>usklajen</w:t>
      </w:r>
      <w:r w:rsidR="00B266A4" w:rsidRPr="00FF207E">
        <w:rPr>
          <w:rFonts w:cs="Arial"/>
          <w:szCs w:val="22"/>
          <w:lang w:val="sl-SI"/>
        </w:rPr>
        <w:t xml:space="preserve"> </w:t>
      </w:r>
      <w:r w:rsidRPr="00FF207E">
        <w:rPr>
          <w:rFonts w:cs="Arial"/>
          <w:szCs w:val="22"/>
          <w:lang w:val="sl-SI"/>
        </w:rPr>
        <w:t xml:space="preserve">s </w:t>
      </w:r>
      <w:r w:rsidRPr="00FF207E">
        <w:rPr>
          <w:rFonts w:cs="Arial"/>
          <w:i/>
          <w:iCs/>
          <w:szCs w:val="22"/>
          <w:lang w:val="sl-SI"/>
        </w:rPr>
        <w:t>Celovitim nacionalnim energetsk</w:t>
      </w:r>
      <w:r w:rsidR="00423B22" w:rsidRPr="00FF207E">
        <w:rPr>
          <w:rFonts w:cs="Arial"/>
          <w:i/>
          <w:iCs/>
          <w:szCs w:val="22"/>
          <w:lang w:val="sl-SI"/>
        </w:rPr>
        <w:t>im</w:t>
      </w:r>
      <w:r w:rsidRPr="00FF207E">
        <w:rPr>
          <w:rFonts w:cs="Arial"/>
          <w:i/>
          <w:iCs/>
          <w:szCs w:val="22"/>
          <w:lang w:val="sl-SI"/>
        </w:rPr>
        <w:t xml:space="preserve"> in podnebnim načrtom Republike Slovenije (NEPN</w:t>
      </w:r>
      <w:r w:rsidRPr="00FF207E">
        <w:rPr>
          <w:rFonts w:cs="Arial"/>
          <w:iCs/>
          <w:szCs w:val="22"/>
          <w:lang w:val="sl-SI"/>
        </w:rPr>
        <w:t>), sprejetim leta 2020</w:t>
      </w:r>
      <w:r w:rsidR="00F21B04" w:rsidRPr="00FF207E">
        <w:rPr>
          <w:rFonts w:cs="Arial"/>
          <w:iCs/>
          <w:szCs w:val="22"/>
          <w:lang w:val="sl-SI"/>
        </w:rPr>
        <w:t>,</w:t>
      </w:r>
      <w:r w:rsidRPr="00FF207E">
        <w:rPr>
          <w:rFonts w:cs="Arial"/>
          <w:szCs w:val="22"/>
          <w:vertAlign w:val="superscript"/>
          <w:lang w:val="sl-SI"/>
        </w:rPr>
        <w:footnoteReference w:id="5"/>
      </w:r>
      <w:r w:rsidRPr="00FF207E">
        <w:rPr>
          <w:rFonts w:cs="Arial"/>
          <w:i/>
          <w:iCs/>
          <w:szCs w:val="22"/>
          <w:lang w:val="sl-SI"/>
        </w:rPr>
        <w:t xml:space="preserve"> </w:t>
      </w:r>
      <w:r w:rsidR="002C39C6" w:rsidRPr="00FF207E">
        <w:rPr>
          <w:rFonts w:cs="Arial"/>
          <w:iCs/>
          <w:szCs w:val="22"/>
          <w:lang w:val="sl-SI"/>
        </w:rPr>
        <w:t xml:space="preserve">ter </w:t>
      </w:r>
      <w:r w:rsidRPr="00FF207E">
        <w:rPr>
          <w:rFonts w:cs="Arial"/>
          <w:szCs w:val="22"/>
          <w:lang w:val="sl-SI"/>
        </w:rPr>
        <w:t xml:space="preserve">z osnutkom </w:t>
      </w:r>
      <w:r w:rsidR="008778F3" w:rsidRPr="00FF207E">
        <w:rPr>
          <w:rFonts w:cs="Arial"/>
          <w:szCs w:val="22"/>
          <w:lang w:val="sl-SI"/>
        </w:rPr>
        <w:t xml:space="preserve">predloga posodobitve </w:t>
      </w:r>
      <w:r w:rsidRPr="00FF207E">
        <w:rPr>
          <w:rFonts w:cs="Arial"/>
          <w:szCs w:val="22"/>
          <w:lang w:val="sl-SI"/>
        </w:rPr>
        <w:t>NEPN</w:t>
      </w:r>
      <w:bookmarkStart w:id="16" w:name="_Ref150249854"/>
      <w:r w:rsidR="002C3264" w:rsidRPr="00FF207E">
        <w:rPr>
          <w:rStyle w:val="Sprotnaopomba-sklic"/>
          <w:rFonts w:cs="Arial"/>
          <w:szCs w:val="22"/>
          <w:lang w:val="sl-SI"/>
        </w:rPr>
        <w:footnoteReference w:id="6"/>
      </w:r>
      <w:bookmarkEnd w:id="16"/>
      <w:r w:rsidRPr="00FF207E">
        <w:rPr>
          <w:rFonts w:cs="Arial"/>
          <w:szCs w:val="22"/>
          <w:lang w:val="sl-SI"/>
        </w:rPr>
        <w:t xml:space="preserve"> </w:t>
      </w:r>
      <w:r w:rsidR="00F21B04" w:rsidRPr="00FF207E">
        <w:rPr>
          <w:rFonts w:cs="Arial"/>
          <w:szCs w:val="22"/>
          <w:lang w:val="sl-SI"/>
        </w:rPr>
        <w:t xml:space="preserve">in </w:t>
      </w:r>
      <w:r w:rsidRPr="00FF207E">
        <w:rPr>
          <w:rFonts w:cs="Arial"/>
          <w:szCs w:val="22"/>
          <w:lang w:val="sl-SI"/>
        </w:rPr>
        <w:t xml:space="preserve">tam predlaganimi cilji zmanjšanja deleža energetsko revnih gospodinjstev do leta 2030 do vrednosti med </w:t>
      </w:r>
      <w:r w:rsidR="00021359" w:rsidRPr="00FF207E">
        <w:rPr>
          <w:rFonts w:cs="Arial"/>
          <w:szCs w:val="22"/>
          <w:lang w:val="sl-SI"/>
        </w:rPr>
        <w:t xml:space="preserve">3,8 in </w:t>
      </w:r>
      <w:r w:rsidRPr="00FF207E">
        <w:rPr>
          <w:rFonts w:cs="Arial"/>
          <w:szCs w:val="22"/>
          <w:lang w:val="sl-SI"/>
        </w:rPr>
        <w:t>4,6 </w:t>
      </w:r>
      <w:r w:rsidR="003041CD" w:rsidRPr="00FF207E">
        <w:rPr>
          <w:rFonts w:cs="Arial"/>
          <w:szCs w:val="22"/>
          <w:lang w:val="sl-SI"/>
        </w:rPr>
        <w:t>odstotka</w:t>
      </w:r>
      <w:r w:rsidRPr="00FF207E">
        <w:rPr>
          <w:rFonts w:cs="Arial"/>
          <w:szCs w:val="22"/>
          <w:lang w:val="sl-SI"/>
        </w:rPr>
        <w:t xml:space="preserve"> ter izvedbe naložb na področju URE in </w:t>
      </w:r>
      <w:r w:rsidR="00026105" w:rsidRPr="00FF207E">
        <w:rPr>
          <w:rFonts w:cs="Arial"/>
          <w:szCs w:val="22"/>
          <w:lang w:val="sl-SI"/>
        </w:rPr>
        <w:t xml:space="preserve">rabe </w:t>
      </w:r>
      <w:r w:rsidRPr="00FF207E">
        <w:rPr>
          <w:rFonts w:cs="Arial"/>
          <w:szCs w:val="22"/>
          <w:lang w:val="sl-SI"/>
        </w:rPr>
        <w:t>OVE</w:t>
      </w:r>
      <w:r w:rsidR="006F0480" w:rsidRPr="00FF207E">
        <w:rPr>
          <w:rFonts w:cs="Arial"/>
          <w:szCs w:val="22"/>
          <w:lang w:val="sl-SI"/>
        </w:rPr>
        <w:t xml:space="preserve"> </w:t>
      </w:r>
      <w:r w:rsidR="003944CF" w:rsidRPr="00FF207E">
        <w:rPr>
          <w:rFonts w:cs="Arial"/>
          <w:szCs w:val="22"/>
          <w:lang w:val="sl-SI"/>
        </w:rPr>
        <w:t xml:space="preserve">v </w:t>
      </w:r>
      <w:r w:rsidR="00195E6F" w:rsidRPr="00FF207E">
        <w:rPr>
          <w:rFonts w:cs="Arial"/>
          <w:szCs w:val="22"/>
          <w:lang w:val="sl-SI"/>
        </w:rPr>
        <w:t>najmanj 8</w:t>
      </w:r>
      <w:r w:rsidR="006213A4" w:rsidRPr="00FF207E">
        <w:rPr>
          <w:rFonts w:cs="Arial"/>
          <w:szCs w:val="22"/>
          <w:lang w:val="sl-SI"/>
        </w:rPr>
        <w:t>.</w:t>
      </w:r>
      <w:r w:rsidR="00195E6F" w:rsidRPr="00FF207E">
        <w:rPr>
          <w:rFonts w:cs="Arial"/>
          <w:szCs w:val="22"/>
          <w:lang w:val="sl-SI"/>
        </w:rPr>
        <w:t>000</w:t>
      </w:r>
      <w:r w:rsidR="003944CF" w:rsidRPr="00FF207E">
        <w:rPr>
          <w:rFonts w:cs="Arial"/>
          <w:szCs w:val="22"/>
          <w:lang w:val="sl-SI"/>
        </w:rPr>
        <w:t xml:space="preserve"> </w:t>
      </w:r>
      <w:r w:rsidR="006F0480" w:rsidRPr="00FF207E">
        <w:rPr>
          <w:rFonts w:cs="Arial"/>
          <w:szCs w:val="22"/>
          <w:lang w:val="sl-SI"/>
        </w:rPr>
        <w:t>energetsko revnih gospodinjstvih</w:t>
      </w:r>
      <w:r w:rsidR="006F0480" w:rsidRPr="00FF207E">
        <w:rPr>
          <w:rFonts w:eastAsia="SimSun" w:cs="Arial"/>
          <w:szCs w:val="22"/>
          <w:lang w:val="sl-SI"/>
        </w:rPr>
        <w:t>.</w:t>
      </w:r>
      <w:r w:rsidR="00E926BA" w:rsidRPr="00FF207E">
        <w:rPr>
          <w:rFonts w:eastAsia="SimSun" w:cs="Arial"/>
          <w:szCs w:val="22"/>
          <w:lang w:val="sl-SI"/>
        </w:rPr>
        <w:t xml:space="preserve"> </w:t>
      </w:r>
      <w:r w:rsidR="003944CF" w:rsidRPr="00FF207E">
        <w:rPr>
          <w:rFonts w:eastAsia="SimSun" w:cs="Arial"/>
          <w:szCs w:val="22"/>
          <w:lang w:val="sl-SI"/>
        </w:rPr>
        <w:t xml:space="preserve">V končni verziji posodobitve NEPN bo </w:t>
      </w:r>
      <w:r w:rsidR="004F175F" w:rsidRPr="00FF207E">
        <w:rPr>
          <w:rFonts w:eastAsia="SimSun" w:cs="Arial"/>
          <w:szCs w:val="22"/>
          <w:lang w:val="sl-SI"/>
        </w:rPr>
        <w:t xml:space="preserve">navedenima ciljema </w:t>
      </w:r>
      <w:r w:rsidR="003944CF" w:rsidRPr="00FF207E">
        <w:rPr>
          <w:rFonts w:eastAsia="SimSun" w:cs="Arial"/>
          <w:szCs w:val="22"/>
          <w:lang w:val="sl-SI"/>
        </w:rPr>
        <w:t>dodan še tretji, ki izhaja iz nove Direktive o energetski učinkovitosti in bo določal ciljni kumulativni prihranek energije v energetsko revnih gospodinjstvih v obdobju 2021</w:t>
      </w:r>
      <w:r w:rsidR="003944CF" w:rsidRPr="00FF207E">
        <w:rPr>
          <w:rFonts w:cs="Arial"/>
          <w:szCs w:val="22"/>
          <w:lang w:val="sl-SI"/>
        </w:rPr>
        <w:t>–</w:t>
      </w:r>
      <w:r w:rsidR="003944CF" w:rsidRPr="00FF207E">
        <w:rPr>
          <w:rFonts w:eastAsia="SimSun" w:cs="Arial"/>
          <w:szCs w:val="22"/>
          <w:lang w:val="sl-SI"/>
        </w:rPr>
        <w:t xml:space="preserve">2030. </w:t>
      </w:r>
      <w:r w:rsidR="00E926BA" w:rsidRPr="00FF207E">
        <w:rPr>
          <w:rFonts w:eastAsia="SimSun" w:cs="Arial"/>
          <w:szCs w:val="22"/>
          <w:lang w:val="sl-SI"/>
        </w:rPr>
        <w:t xml:space="preserve">Akcijski načrt opredeljuje </w:t>
      </w:r>
      <w:r w:rsidR="002C39C6" w:rsidRPr="00FF207E">
        <w:rPr>
          <w:rFonts w:eastAsia="SimSun" w:cs="Arial"/>
          <w:szCs w:val="22"/>
          <w:lang w:val="sl-SI"/>
        </w:rPr>
        <w:t>razmere</w:t>
      </w:r>
      <w:r w:rsidR="00E926BA" w:rsidRPr="00FF207E">
        <w:rPr>
          <w:rFonts w:eastAsia="SimSun" w:cs="Arial"/>
          <w:szCs w:val="22"/>
          <w:lang w:val="sl-SI"/>
        </w:rPr>
        <w:t>, ki morajo biti vzpostavljen</w:t>
      </w:r>
      <w:r w:rsidR="002C39C6" w:rsidRPr="00FF207E">
        <w:rPr>
          <w:rFonts w:eastAsia="SimSun" w:cs="Arial"/>
          <w:szCs w:val="22"/>
          <w:lang w:val="sl-SI"/>
        </w:rPr>
        <w:t>e</w:t>
      </w:r>
      <w:r w:rsidR="00E926BA" w:rsidRPr="00FF207E">
        <w:rPr>
          <w:rFonts w:eastAsia="SimSun" w:cs="Arial"/>
          <w:szCs w:val="22"/>
          <w:lang w:val="sl-SI"/>
        </w:rPr>
        <w:t xml:space="preserve"> do leta 2026, </w:t>
      </w:r>
      <w:r w:rsidR="00A575FE" w:rsidRPr="00FF207E">
        <w:rPr>
          <w:rFonts w:eastAsia="SimSun" w:cs="Arial"/>
          <w:szCs w:val="22"/>
          <w:lang w:val="sl-SI"/>
        </w:rPr>
        <w:t>in so potrebn</w:t>
      </w:r>
      <w:r w:rsidR="002C39C6" w:rsidRPr="00FF207E">
        <w:rPr>
          <w:rFonts w:eastAsia="SimSun" w:cs="Arial"/>
          <w:szCs w:val="22"/>
          <w:lang w:val="sl-SI"/>
        </w:rPr>
        <w:t>e</w:t>
      </w:r>
      <w:r w:rsidR="00A575FE" w:rsidRPr="00FF207E">
        <w:rPr>
          <w:rFonts w:eastAsia="SimSun" w:cs="Arial"/>
          <w:szCs w:val="22"/>
          <w:lang w:val="sl-SI"/>
        </w:rPr>
        <w:t xml:space="preserve"> </w:t>
      </w:r>
      <w:r w:rsidR="00E926BA" w:rsidRPr="00FF207E">
        <w:rPr>
          <w:rFonts w:eastAsia="SimSun" w:cs="Arial"/>
          <w:szCs w:val="22"/>
          <w:lang w:val="sl-SI"/>
        </w:rPr>
        <w:t>za doseganje ciljev NEPN.</w:t>
      </w:r>
    </w:p>
    <w:p w14:paraId="69CB977D" w14:textId="46920F20" w:rsidR="004A0CE2" w:rsidRPr="00FF207E" w:rsidRDefault="00133B94" w:rsidP="001E304B">
      <w:pPr>
        <w:spacing w:after="240"/>
        <w:jc w:val="both"/>
        <w:rPr>
          <w:iCs/>
          <w:lang w:val="sl-SI"/>
        </w:rPr>
      </w:pPr>
      <w:r w:rsidRPr="00FF207E">
        <w:rPr>
          <w:rFonts w:cs="Arial"/>
          <w:b/>
          <w:bCs/>
          <w:color w:val="4F81BD" w:themeColor="accent1"/>
          <w:szCs w:val="22"/>
          <w:lang w:val="sl-SI"/>
        </w:rPr>
        <w:t xml:space="preserve">Usklajenost z </w:t>
      </w:r>
      <w:r w:rsidRPr="00FF207E">
        <w:rPr>
          <w:b/>
          <w:bCs/>
          <w:iCs/>
          <w:color w:val="4F81BD" w:themeColor="accent1"/>
          <w:lang w:val="sl-SI"/>
        </w:rPr>
        <w:t>ReDPS50</w:t>
      </w:r>
      <w:r w:rsidRPr="00FF207E">
        <w:rPr>
          <w:rFonts w:cs="Arial"/>
          <w:b/>
          <w:bCs/>
          <w:color w:val="4F81BD" w:themeColor="accent1"/>
          <w:szCs w:val="22"/>
          <w:lang w:val="sl-SI"/>
        </w:rPr>
        <w:t>.</w:t>
      </w:r>
      <w:r w:rsidRPr="00FF207E">
        <w:rPr>
          <w:rFonts w:cs="Arial"/>
          <w:bCs/>
          <w:szCs w:val="22"/>
          <w:lang w:val="sl-SI"/>
        </w:rPr>
        <w:t xml:space="preserve"> </w:t>
      </w:r>
      <w:r w:rsidR="004A0CE2" w:rsidRPr="00FF207E">
        <w:rPr>
          <w:rFonts w:cs="Arial"/>
          <w:szCs w:val="22"/>
          <w:lang w:val="sl-SI"/>
        </w:rPr>
        <w:t xml:space="preserve">Dokument je </w:t>
      </w:r>
      <w:r w:rsidR="0013441E" w:rsidRPr="00FF207E">
        <w:rPr>
          <w:rFonts w:cs="Arial"/>
          <w:szCs w:val="22"/>
          <w:lang w:val="sl-SI"/>
        </w:rPr>
        <w:t xml:space="preserve">usklajen </w:t>
      </w:r>
      <w:r w:rsidR="004A0CE2" w:rsidRPr="00FF207E">
        <w:rPr>
          <w:rFonts w:cs="Arial"/>
          <w:szCs w:val="22"/>
          <w:lang w:val="sl-SI"/>
        </w:rPr>
        <w:t xml:space="preserve">tudi z </w:t>
      </w:r>
      <w:r w:rsidR="004A0CE2" w:rsidRPr="00FF207E">
        <w:rPr>
          <w:rFonts w:cs="Arial"/>
          <w:i/>
          <w:iCs/>
          <w:szCs w:val="22"/>
          <w:lang w:val="sl-SI"/>
        </w:rPr>
        <w:t>Resolucijo o Dolgoročni podnebni strategiji Slovenije do leta 2050 (ReDPS50)</w:t>
      </w:r>
      <w:r w:rsidR="00C13308" w:rsidRPr="00FF207E">
        <w:rPr>
          <w:rFonts w:cs="Arial"/>
          <w:iCs/>
          <w:szCs w:val="22"/>
          <w:lang w:val="sl-SI"/>
        </w:rPr>
        <w:t>,</w:t>
      </w:r>
      <w:r w:rsidR="00C95579" w:rsidRPr="00FF207E">
        <w:rPr>
          <w:rStyle w:val="Sprotnaopomba-sklic"/>
          <w:rFonts w:cs="Arial"/>
          <w:iCs/>
          <w:szCs w:val="22"/>
          <w:lang w:val="sl-SI"/>
        </w:rPr>
        <w:footnoteReference w:id="7"/>
      </w:r>
      <w:r w:rsidR="004A0CE2" w:rsidRPr="00FF207E">
        <w:rPr>
          <w:rFonts w:eastAsia="SimSun" w:cs="Arial"/>
          <w:szCs w:val="22"/>
          <w:lang w:val="sl-SI"/>
        </w:rPr>
        <w:t xml:space="preserve"> </w:t>
      </w:r>
      <w:r w:rsidR="004A0CE2" w:rsidRPr="00FF207E">
        <w:rPr>
          <w:rFonts w:cs="Arial"/>
          <w:szCs w:val="22"/>
          <w:lang w:val="sl-SI"/>
        </w:rPr>
        <w:t xml:space="preserve">ki opredeljuje usmeritve za doseganje podnebne pravičnosti. </w:t>
      </w:r>
      <w:r w:rsidRPr="00FF207E">
        <w:rPr>
          <w:bCs/>
          <w:iCs/>
          <w:lang w:val="sl-SI"/>
        </w:rPr>
        <w:t>Ključna usmeritev ReDPS50 glede podnebne pravičnosti</w:t>
      </w:r>
      <w:r w:rsidRPr="00FF207E">
        <w:rPr>
          <w:iCs/>
          <w:lang w:val="sl-SI"/>
        </w:rPr>
        <w:t xml:space="preserve"> je, da bo Slovenija </w:t>
      </w:r>
      <w:r w:rsidRPr="00FF207E">
        <w:rPr>
          <w:iCs/>
          <w:lang w:val="sl-SI"/>
        </w:rPr>
        <w:lastRenderedPageBreak/>
        <w:t xml:space="preserve">zagotovila: da bodo stroški in koristi prehoda porazdeljeni pravično; da pri prehodu v </w:t>
      </w:r>
      <w:proofErr w:type="spellStart"/>
      <w:r w:rsidRPr="00FF207E">
        <w:rPr>
          <w:iCs/>
          <w:lang w:val="sl-SI"/>
        </w:rPr>
        <w:t>nizkoogljično</w:t>
      </w:r>
      <w:proofErr w:type="spellEnd"/>
      <w:r w:rsidRPr="00FF207E">
        <w:rPr>
          <w:iCs/>
          <w:lang w:val="sl-SI"/>
        </w:rPr>
        <w:t xml:space="preserve"> družbo</w:t>
      </w:r>
      <w:r w:rsidR="00EA5B77" w:rsidRPr="00FF207E">
        <w:rPr>
          <w:iCs/>
          <w:lang w:val="sl-SI"/>
        </w:rPr>
        <w:t xml:space="preserve"> (NOD)</w:t>
      </w:r>
      <w:r w:rsidRPr="00FF207E">
        <w:rPr>
          <w:iCs/>
          <w:lang w:val="sl-SI"/>
        </w:rPr>
        <w:t xml:space="preserve"> nihče ne bo ostal prezrt; da bo tudi najranljivejšim skupinam prebivalstva omogočeno izvajanje ukrepov blaženja podnebnih sprememb in prilagajanja nanje ter da bodo subjekti, ki jih bo prehod najbolj prizadel, deležni pravočasne pomoči za potrebno ukrepanje.</w:t>
      </w:r>
    </w:p>
    <w:p w14:paraId="7100ED1A" w14:textId="461CA635" w:rsidR="00133B94" w:rsidRPr="00FF207E" w:rsidRDefault="00133B94" w:rsidP="001E304B">
      <w:pPr>
        <w:spacing w:after="240"/>
        <w:jc w:val="both"/>
        <w:rPr>
          <w:iCs/>
          <w:lang w:val="sl-SI"/>
        </w:rPr>
      </w:pPr>
      <w:r w:rsidRPr="00FF207E">
        <w:rPr>
          <w:iCs/>
          <w:lang w:val="sl-SI"/>
        </w:rPr>
        <w:t xml:space="preserve">Za zagotavljanje pravičnega prehoda bo pri tem zelo pomembno tudi oblikovanje in izvajanje drugih politik, ki prispevajo k zmanjševanju ravni neenakosti v družbi. Slovenija bo poskrbela, da bo tudi najranljivejšim skupinam prebivalstva omogočeno izvajanje ukrepov za prehod v NOD ter zlasti da ukrepi ne bodo poslabšali finančnega stanja za skupine prebivalstva iz prvega in drugega dohodkovnega </w:t>
      </w:r>
      <w:proofErr w:type="spellStart"/>
      <w:r w:rsidRPr="00FF207E">
        <w:rPr>
          <w:iCs/>
          <w:lang w:val="sl-SI"/>
        </w:rPr>
        <w:t>kvintilnega</w:t>
      </w:r>
      <w:proofErr w:type="spellEnd"/>
      <w:r w:rsidRPr="00FF207E">
        <w:rPr>
          <w:iCs/>
          <w:lang w:val="sl-SI"/>
        </w:rPr>
        <w:t xml:space="preserve"> razreda. Ukrepi, ki bi prizadeli </w:t>
      </w:r>
      <w:r w:rsidR="005B385E" w:rsidRPr="00FF207E">
        <w:rPr>
          <w:iCs/>
          <w:lang w:val="sl-SI"/>
        </w:rPr>
        <w:t>najranljivejše</w:t>
      </w:r>
      <w:r w:rsidRPr="00FF207E">
        <w:rPr>
          <w:iCs/>
          <w:lang w:val="sl-SI"/>
        </w:rPr>
        <w:t xml:space="preserve"> skupine, bodo za te skupine </w:t>
      </w:r>
      <w:r w:rsidR="00104BDF" w:rsidRPr="00FF207E">
        <w:rPr>
          <w:iCs/>
          <w:lang w:val="sl-SI"/>
        </w:rPr>
        <w:t xml:space="preserve">nadomeščeni </w:t>
      </w:r>
      <w:r w:rsidRPr="00FF207E">
        <w:rPr>
          <w:iCs/>
          <w:lang w:val="sl-SI"/>
        </w:rPr>
        <w:t>z ustreznimi mehanizmi.</w:t>
      </w:r>
      <w:r w:rsidR="00DE7C60" w:rsidRPr="00FF207E">
        <w:rPr>
          <w:iCs/>
          <w:lang w:val="sl-SI"/>
        </w:rPr>
        <w:t xml:space="preserve"> </w:t>
      </w:r>
      <w:r w:rsidR="00DE7C60" w:rsidRPr="00FF207E">
        <w:rPr>
          <w:iCs/>
          <w:lang w:val="sl-SI"/>
        </w:rPr>
        <w:t>Pri čemer se, za zagotovitev pravične razdelitve pomoči, višina upravičenosti do bodoče pomoči določi upoštevajoč razpoložljivi  oz. prilagojeni razpoložljivi dohodek gospodinjstva.</w:t>
      </w:r>
    </w:p>
    <w:p w14:paraId="71E663F1" w14:textId="445A4650" w:rsidR="00EB6FEA" w:rsidRPr="00FF207E" w:rsidRDefault="00E64EAB" w:rsidP="001E304B">
      <w:pPr>
        <w:spacing w:after="240"/>
        <w:jc w:val="both"/>
        <w:rPr>
          <w:rFonts w:cs="Arial"/>
          <w:szCs w:val="22"/>
          <w:lang w:val="sl-SI"/>
        </w:rPr>
      </w:pPr>
      <w:r w:rsidRPr="00FF207E">
        <w:rPr>
          <w:rFonts w:cs="Arial"/>
          <w:b/>
          <w:bCs/>
          <w:color w:val="4F81BD" w:themeColor="accent1"/>
          <w:szCs w:val="22"/>
          <w:lang w:val="sl-SI"/>
        </w:rPr>
        <w:t xml:space="preserve">Usklajenost z </w:t>
      </w:r>
      <w:r w:rsidRPr="00FF207E">
        <w:rPr>
          <w:b/>
          <w:bCs/>
          <w:iCs/>
          <w:color w:val="4F81BD" w:themeColor="accent1"/>
          <w:lang w:val="sl-SI"/>
        </w:rPr>
        <w:t>novo zakonodajo</w:t>
      </w:r>
      <w:r w:rsidRPr="00FF207E">
        <w:rPr>
          <w:rFonts w:cs="Arial"/>
          <w:b/>
          <w:bCs/>
          <w:color w:val="4F81BD" w:themeColor="accent1"/>
          <w:szCs w:val="22"/>
          <w:lang w:val="sl-SI"/>
        </w:rPr>
        <w:t>.</w:t>
      </w:r>
      <w:r w:rsidRPr="00FF207E">
        <w:rPr>
          <w:rFonts w:cs="Arial"/>
          <w:bCs/>
          <w:color w:val="000000" w:themeColor="text1"/>
          <w:szCs w:val="22"/>
          <w:lang w:val="sl-SI"/>
        </w:rPr>
        <w:t xml:space="preserve"> </w:t>
      </w:r>
      <w:r w:rsidR="003A573B" w:rsidRPr="00FF207E">
        <w:rPr>
          <w:rFonts w:cs="Arial"/>
          <w:bCs/>
          <w:color w:val="000000" w:themeColor="text1"/>
          <w:szCs w:val="22"/>
          <w:lang w:val="sl-SI"/>
        </w:rPr>
        <w:t xml:space="preserve">V </w:t>
      </w:r>
      <w:r w:rsidR="008778F3" w:rsidRPr="00FF207E">
        <w:rPr>
          <w:rFonts w:cs="Arial"/>
          <w:szCs w:val="22"/>
          <w:lang w:val="sl-SI"/>
        </w:rPr>
        <w:t xml:space="preserve">prenovljeni </w:t>
      </w:r>
      <w:r w:rsidR="008778F3" w:rsidRPr="00FF207E">
        <w:rPr>
          <w:rFonts w:cs="Arial"/>
          <w:i/>
          <w:szCs w:val="22"/>
          <w:lang w:val="sl-SI"/>
        </w:rPr>
        <w:t xml:space="preserve">Direktivi </w:t>
      </w:r>
      <w:r w:rsidRPr="00FF207E">
        <w:rPr>
          <w:rFonts w:cs="Arial"/>
          <w:i/>
          <w:szCs w:val="22"/>
          <w:lang w:val="sl-SI"/>
        </w:rPr>
        <w:t>o energetski učinkovitosti</w:t>
      </w:r>
      <w:r w:rsidR="008778F3" w:rsidRPr="00FF207E">
        <w:rPr>
          <w:rStyle w:val="Sprotnaopomba-sklic"/>
          <w:rFonts w:cs="Arial"/>
          <w:i/>
          <w:szCs w:val="22"/>
          <w:lang w:val="sl-SI"/>
        </w:rPr>
        <w:footnoteReference w:id="8"/>
      </w:r>
      <w:r w:rsidR="001674E6" w:rsidRPr="00FF207E">
        <w:rPr>
          <w:rFonts w:cs="Arial"/>
          <w:i/>
          <w:szCs w:val="22"/>
          <w:lang w:val="sl-SI"/>
        </w:rPr>
        <w:t xml:space="preserve"> (EED)</w:t>
      </w:r>
      <w:r w:rsidRPr="00FF207E">
        <w:rPr>
          <w:rFonts w:cs="Arial"/>
          <w:szCs w:val="22"/>
          <w:lang w:val="sl-SI"/>
        </w:rPr>
        <w:t>, ki je bil</w:t>
      </w:r>
      <w:r w:rsidR="008778F3" w:rsidRPr="00FF207E">
        <w:rPr>
          <w:rFonts w:cs="Arial"/>
          <w:szCs w:val="22"/>
          <w:lang w:val="sl-SI"/>
        </w:rPr>
        <w:t>a</w:t>
      </w:r>
      <w:r w:rsidRPr="00FF207E">
        <w:rPr>
          <w:rFonts w:cs="Arial"/>
          <w:szCs w:val="22"/>
          <w:lang w:val="sl-SI"/>
        </w:rPr>
        <w:t xml:space="preserve"> pripravljen</w:t>
      </w:r>
      <w:r w:rsidR="008778F3" w:rsidRPr="00FF207E">
        <w:rPr>
          <w:rFonts w:cs="Arial"/>
          <w:szCs w:val="22"/>
          <w:lang w:val="sl-SI"/>
        </w:rPr>
        <w:t>a</w:t>
      </w:r>
      <w:r w:rsidRPr="00FF207E">
        <w:rPr>
          <w:rFonts w:cs="Arial"/>
          <w:szCs w:val="22"/>
          <w:lang w:val="sl-SI"/>
        </w:rPr>
        <w:t xml:space="preserve"> v skladu z ambicioznejšimi cilji iz svežnja predlogov predpisov </w:t>
      </w:r>
      <w:r w:rsidRPr="00FF207E">
        <w:rPr>
          <w:rFonts w:cs="Arial"/>
          <w:i/>
          <w:szCs w:val="22"/>
          <w:lang w:val="sl-SI"/>
        </w:rPr>
        <w:t>Pripravljeni na 55</w:t>
      </w:r>
      <w:r w:rsidRPr="00FF207E">
        <w:rPr>
          <w:rFonts w:cs="Arial"/>
          <w:szCs w:val="22"/>
          <w:lang w:val="sl-SI"/>
        </w:rPr>
        <w:t xml:space="preserve"> (»</w:t>
      </w:r>
      <w:proofErr w:type="spellStart"/>
      <w:r w:rsidRPr="00FF207E">
        <w:rPr>
          <w:rFonts w:cs="Arial"/>
          <w:szCs w:val="22"/>
          <w:lang w:val="sl-SI"/>
        </w:rPr>
        <w:t>Fit</w:t>
      </w:r>
      <w:proofErr w:type="spellEnd"/>
      <w:r w:rsidRPr="00FF207E">
        <w:rPr>
          <w:rFonts w:cs="Arial"/>
          <w:szCs w:val="22"/>
          <w:lang w:val="sl-SI"/>
        </w:rPr>
        <w:t xml:space="preserve"> </w:t>
      </w:r>
      <w:proofErr w:type="spellStart"/>
      <w:r w:rsidRPr="00FF207E">
        <w:rPr>
          <w:rFonts w:cs="Arial"/>
          <w:szCs w:val="22"/>
          <w:lang w:val="sl-SI"/>
        </w:rPr>
        <w:t>for</w:t>
      </w:r>
      <w:proofErr w:type="spellEnd"/>
      <w:r w:rsidRPr="00FF207E">
        <w:rPr>
          <w:rFonts w:cs="Arial"/>
          <w:szCs w:val="22"/>
          <w:lang w:val="sl-SI"/>
        </w:rPr>
        <w:t xml:space="preserve"> 55«) in načrta </w:t>
      </w:r>
      <w:proofErr w:type="spellStart"/>
      <w:r w:rsidRPr="00FF207E">
        <w:rPr>
          <w:rFonts w:cs="Arial"/>
          <w:i/>
          <w:szCs w:val="22"/>
          <w:lang w:val="sl-SI"/>
        </w:rPr>
        <w:t>REPowerEU</w:t>
      </w:r>
      <w:proofErr w:type="spellEnd"/>
      <w:r w:rsidRPr="00FF207E">
        <w:rPr>
          <w:rFonts w:cs="Arial"/>
          <w:szCs w:val="22"/>
          <w:lang w:val="sl-SI"/>
        </w:rPr>
        <w:t xml:space="preserve">, </w:t>
      </w:r>
      <w:r w:rsidR="003A573B" w:rsidRPr="00FF207E">
        <w:rPr>
          <w:rFonts w:cs="Arial"/>
          <w:szCs w:val="22"/>
          <w:lang w:val="sl-SI"/>
        </w:rPr>
        <w:t xml:space="preserve">so </w:t>
      </w:r>
      <w:proofErr w:type="spellStart"/>
      <w:r w:rsidRPr="00FF207E">
        <w:rPr>
          <w:rFonts w:cs="Arial"/>
          <w:szCs w:val="22"/>
          <w:lang w:val="sl-SI"/>
        </w:rPr>
        <w:t>opolnomočenje</w:t>
      </w:r>
      <w:proofErr w:type="spellEnd"/>
      <w:r w:rsidRPr="00FF207E">
        <w:rPr>
          <w:rFonts w:cs="Arial"/>
          <w:szCs w:val="22"/>
          <w:lang w:val="sl-SI"/>
        </w:rPr>
        <w:t xml:space="preserve"> in zaščita ranljivih odjemalcev ter zmanjševanje energetske revščine zajeti v </w:t>
      </w:r>
      <w:r w:rsidR="00EB6FEA" w:rsidRPr="00FF207E">
        <w:rPr>
          <w:rFonts w:cs="Arial"/>
          <w:szCs w:val="22"/>
          <w:lang w:val="sl-SI"/>
        </w:rPr>
        <w:t>22. </w:t>
      </w:r>
      <w:r w:rsidRPr="00FF207E">
        <w:rPr>
          <w:rFonts w:cs="Arial"/>
          <w:szCs w:val="22"/>
          <w:lang w:val="sl-SI"/>
        </w:rPr>
        <w:t xml:space="preserve">členu. Ta spodbuja tako izvajanje ukrepov </w:t>
      </w:r>
      <w:r w:rsidR="00104BDF" w:rsidRPr="00FF207E">
        <w:rPr>
          <w:rFonts w:cs="Arial"/>
          <w:szCs w:val="22"/>
          <w:lang w:val="sl-SI"/>
        </w:rPr>
        <w:t xml:space="preserve">URE, </w:t>
      </w:r>
      <w:r w:rsidRPr="00FF207E">
        <w:rPr>
          <w:rFonts w:cs="Arial"/>
          <w:szCs w:val="22"/>
          <w:lang w:val="sl-SI"/>
        </w:rPr>
        <w:t xml:space="preserve">podprto z različnimi oblikami financiranja in tehnično pomočjo energetsko revnim, kot tudi sodelovanje strokovnjakov z različnih področij (zdravje, gradnja, sociala </w:t>
      </w:r>
      <w:r w:rsidR="00B77973" w:rsidRPr="00FF207E">
        <w:rPr>
          <w:rFonts w:cs="Arial"/>
          <w:szCs w:val="22"/>
          <w:lang w:val="sl-SI"/>
        </w:rPr>
        <w:t>in tako dalje</w:t>
      </w:r>
      <w:r w:rsidRPr="00FF207E">
        <w:rPr>
          <w:rFonts w:cs="Arial"/>
          <w:szCs w:val="22"/>
          <w:lang w:val="sl-SI"/>
        </w:rPr>
        <w:t xml:space="preserve">) za podporo oblikovanju strategij za zmanjševanje energetske revščine na </w:t>
      </w:r>
      <w:r w:rsidR="00104BDF" w:rsidRPr="00FF207E">
        <w:rPr>
          <w:rFonts w:cs="Arial"/>
          <w:szCs w:val="22"/>
          <w:lang w:val="sl-SI"/>
        </w:rPr>
        <w:t xml:space="preserve">državni </w:t>
      </w:r>
      <w:r w:rsidRPr="00FF207E">
        <w:rPr>
          <w:rFonts w:cs="Arial"/>
          <w:szCs w:val="22"/>
          <w:lang w:val="sl-SI"/>
        </w:rPr>
        <w:t xml:space="preserve">in lokalni ravni. Obenem </w:t>
      </w:r>
      <w:r w:rsidR="008778F3" w:rsidRPr="00FF207E">
        <w:rPr>
          <w:rFonts w:cs="Arial"/>
          <w:szCs w:val="22"/>
          <w:lang w:val="sl-SI"/>
        </w:rPr>
        <w:t xml:space="preserve">direktiva </w:t>
      </w:r>
      <w:r w:rsidRPr="00FF207E">
        <w:rPr>
          <w:rFonts w:cs="Arial"/>
          <w:szCs w:val="22"/>
          <w:lang w:val="sl-SI"/>
        </w:rPr>
        <w:t xml:space="preserve">spodbuja tudi vzpostavitev svetovanja in podpore ranljivim skupinam po principu </w:t>
      </w:r>
      <w:r w:rsidRPr="00FF207E">
        <w:rPr>
          <w:rFonts w:cs="Arial"/>
          <w:lang w:val="sl-SI"/>
        </w:rPr>
        <w:t>»</w:t>
      </w:r>
      <w:r w:rsidRPr="00FF207E">
        <w:rPr>
          <w:rFonts w:cs="Arial"/>
          <w:szCs w:val="22"/>
          <w:lang w:val="sl-SI"/>
        </w:rPr>
        <w:t>vse na enem mestu« ter njihovo vključevanje v energetske skupnosti</w:t>
      </w:r>
      <w:r w:rsidR="00D15005" w:rsidRPr="00FF207E">
        <w:rPr>
          <w:rFonts w:cs="Arial"/>
          <w:szCs w:val="22"/>
          <w:lang w:val="sl-SI"/>
        </w:rPr>
        <w:t xml:space="preserve">, v 8. členu pa zastavlja zelo ambiciozne cilje, ki naj bi jih države članice </w:t>
      </w:r>
      <w:r w:rsidR="00B2538A" w:rsidRPr="00FF207E">
        <w:rPr>
          <w:rFonts w:cs="Arial"/>
          <w:szCs w:val="22"/>
          <w:lang w:val="sl-SI"/>
        </w:rPr>
        <w:t xml:space="preserve">dosegle </w:t>
      </w:r>
      <w:r w:rsidR="00D15005" w:rsidRPr="00FF207E">
        <w:rPr>
          <w:rFonts w:cs="Arial"/>
          <w:szCs w:val="22"/>
          <w:lang w:val="sl-SI"/>
        </w:rPr>
        <w:t>na področju prihrankov energije v energetsko revnih gospodinjstvih.</w:t>
      </w:r>
    </w:p>
    <w:p w14:paraId="776C1195" w14:textId="3A6EB9F0" w:rsidR="00F95780" w:rsidRPr="00FF207E" w:rsidRDefault="00F95780" w:rsidP="001E304B">
      <w:pPr>
        <w:spacing w:after="240"/>
        <w:jc w:val="both"/>
        <w:rPr>
          <w:rFonts w:cs="Arial"/>
          <w:szCs w:val="22"/>
          <w:lang w:val="sl-SI"/>
        </w:rPr>
      </w:pPr>
      <w:r w:rsidRPr="00FF207E">
        <w:rPr>
          <w:rFonts w:cs="Arial"/>
          <w:szCs w:val="22"/>
          <w:lang w:val="sl-SI"/>
        </w:rPr>
        <w:t xml:space="preserve">Oktobra 2023 je Evropska komisija </w:t>
      </w:r>
      <w:r w:rsidR="007261BD" w:rsidRPr="00FF207E">
        <w:rPr>
          <w:rFonts w:cs="Arial"/>
          <w:szCs w:val="22"/>
          <w:lang w:val="sl-SI"/>
        </w:rPr>
        <w:t>objavila</w:t>
      </w:r>
      <w:r w:rsidRPr="00FF207E">
        <w:rPr>
          <w:rFonts w:cs="Arial"/>
          <w:szCs w:val="22"/>
          <w:lang w:val="sl-SI"/>
        </w:rPr>
        <w:t xml:space="preserve"> tudi priporočilo o energetski revščini</w:t>
      </w:r>
      <w:r w:rsidR="00C13308" w:rsidRPr="00FF207E">
        <w:rPr>
          <w:rFonts w:cs="Arial"/>
          <w:szCs w:val="22"/>
          <w:lang w:val="sl-SI"/>
        </w:rPr>
        <w:t>.</w:t>
      </w:r>
      <w:r w:rsidR="00DD23FF" w:rsidRPr="00FF207E">
        <w:rPr>
          <w:rStyle w:val="Sprotnaopomba-sklic"/>
          <w:rFonts w:cs="Arial"/>
          <w:szCs w:val="22"/>
          <w:lang w:val="sl-SI"/>
        </w:rPr>
        <w:footnoteReference w:id="9"/>
      </w:r>
      <w:r w:rsidR="007261BD" w:rsidRPr="00FF207E">
        <w:rPr>
          <w:rFonts w:cs="Arial"/>
          <w:szCs w:val="22"/>
          <w:lang w:val="sl-SI"/>
        </w:rPr>
        <w:t xml:space="preserve"> V njem je za države članice pripravila 25 priporočil za zmanjševanje energetske revščine, ki so strukturirana v osmih oddelkih. </w:t>
      </w:r>
      <w:r w:rsidR="006F3A09" w:rsidRPr="00FF207E">
        <w:rPr>
          <w:rFonts w:cs="Arial"/>
          <w:szCs w:val="22"/>
          <w:lang w:val="sl-SI"/>
        </w:rPr>
        <w:t xml:space="preserve">Priporočilo razlikuje med strukturnimi ukrepi za odpravo energetske revščine (v tem </w:t>
      </w:r>
      <w:r w:rsidR="00474F7A" w:rsidRPr="00FF207E">
        <w:rPr>
          <w:rFonts w:cs="Arial"/>
          <w:szCs w:val="22"/>
          <w:lang w:val="sl-SI"/>
        </w:rPr>
        <w:t xml:space="preserve">akcijskem načrtu </w:t>
      </w:r>
      <w:r w:rsidR="006F3A09" w:rsidRPr="00FF207E">
        <w:rPr>
          <w:rFonts w:cs="Arial"/>
          <w:szCs w:val="22"/>
          <w:lang w:val="sl-SI"/>
        </w:rPr>
        <w:t xml:space="preserve">ukrepi za zmanjševanje energetske revščine) in ukrepi za izboljšanje cenovne dostopnosti energije (v tem </w:t>
      </w:r>
      <w:r w:rsidR="00474F7A" w:rsidRPr="00FF207E">
        <w:rPr>
          <w:rFonts w:cs="Arial"/>
          <w:szCs w:val="22"/>
          <w:lang w:val="sl-SI"/>
        </w:rPr>
        <w:t xml:space="preserve">akcijskem načrtu </w:t>
      </w:r>
      <w:r w:rsidR="006F3A09" w:rsidRPr="00FF207E">
        <w:rPr>
          <w:rFonts w:cs="Arial"/>
          <w:szCs w:val="22"/>
          <w:lang w:val="sl-SI"/>
        </w:rPr>
        <w:t>ukrepi za blaženje energetske revščine) ter spodbuja celostn</w:t>
      </w:r>
      <w:r w:rsidR="00E70A72" w:rsidRPr="00FF207E">
        <w:rPr>
          <w:rFonts w:cs="Arial"/>
          <w:szCs w:val="22"/>
          <w:lang w:val="sl-SI"/>
        </w:rPr>
        <w:t>o</w:t>
      </w:r>
      <w:r w:rsidR="006F3A09" w:rsidRPr="00FF207E">
        <w:rPr>
          <w:rFonts w:cs="Arial"/>
          <w:szCs w:val="22"/>
          <w:lang w:val="sl-SI"/>
        </w:rPr>
        <w:t xml:space="preserve"> zmanjševanj</w:t>
      </w:r>
      <w:r w:rsidR="00E70A72" w:rsidRPr="00FF207E">
        <w:rPr>
          <w:rFonts w:cs="Arial"/>
          <w:szCs w:val="22"/>
          <w:lang w:val="sl-SI"/>
        </w:rPr>
        <w:t>e</w:t>
      </w:r>
      <w:r w:rsidR="006F3A09" w:rsidRPr="00FF207E">
        <w:rPr>
          <w:rFonts w:cs="Arial"/>
          <w:szCs w:val="22"/>
          <w:lang w:val="sl-SI"/>
        </w:rPr>
        <w:t xml:space="preserve"> energetske revščine. Večina priporočil je s tem akcijskim načrtom že zajeta.</w:t>
      </w:r>
    </w:p>
    <w:p w14:paraId="1435346D" w14:textId="6C141E33" w:rsidR="00E64EAB" w:rsidRPr="00FF207E" w:rsidRDefault="009D590B" w:rsidP="001E304B">
      <w:pPr>
        <w:spacing w:after="240"/>
        <w:jc w:val="both"/>
        <w:rPr>
          <w:rFonts w:eastAsia="SimSun" w:cs="Arial"/>
          <w:szCs w:val="22"/>
          <w:lang w:val="sl-SI"/>
        </w:rPr>
      </w:pPr>
      <w:r w:rsidRPr="00FF207E">
        <w:rPr>
          <w:rFonts w:cs="Arial"/>
          <w:szCs w:val="22"/>
          <w:lang w:val="sl-SI"/>
        </w:rPr>
        <w:t>Prenovljena</w:t>
      </w:r>
      <w:r w:rsidR="00EB6FEA" w:rsidRPr="00FF207E">
        <w:rPr>
          <w:rFonts w:cs="Arial"/>
          <w:szCs w:val="22"/>
          <w:lang w:val="sl-SI"/>
        </w:rPr>
        <w:t xml:space="preserve"> </w:t>
      </w:r>
      <w:r w:rsidRPr="00FF207E">
        <w:rPr>
          <w:rFonts w:cs="Arial"/>
          <w:i/>
          <w:szCs w:val="22"/>
          <w:lang w:val="sl-SI"/>
        </w:rPr>
        <w:t xml:space="preserve">Direktiva </w:t>
      </w:r>
      <w:r w:rsidR="0047768B" w:rsidRPr="00FF207E">
        <w:rPr>
          <w:rFonts w:cs="Arial"/>
          <w:i/>
          <w:szCs w:val="22"/>
          <w:lang w:val="sl-SI"/>
        </w:rPr>
        <w:t>o spodbujanju uporabe energije iz obnovljivih virov</w:t>
      </w:r>
      <w:r w:rsidR="00BA2DE0" w:rsidRPr="00FF207E">
        <w:rPr>
          <w:rFonts w:cs="Arial"/>
          <w:szCs w:val="22"/>
          <w:lang w:val="sl-SI"/>
        </w:rPr>
        <w:t>, ki bo sprejeta do konca leta 2023,</w:t>
      </w:r>
      <w:r w:rsidR="00EB6FEA" w:rsidRPr="00FF207E">
        <w:rPr>
          <w:rFonts w:cs="Arial"/>
          <w:szCs w:val="22"/>
          <w:lang w:val="sl-SI"/>
        </w:rPr>
        <w:t xml:space="preserve"> se energetske revščine dotika samo v delu, ki se nanaša na izvedbo ukrepov za povečanje rabe OVE v sektorju ogrevanja in hlajenja, in sicer morajo biti ti ukrepi dostopni vsem, še posebno </w:t>
      </w:r>
      <w:r w:rsidR="00B40A0F" w:rsidRPr="00FF207E">
        <w:rPr>
          <w:rFonts w:cs="Arial"/>
          <w:szCs w:val="22"/>
          <w:lang w:val="sl-SI"/>
        </w:rPr>
        <w:t xml:space="preserve">pa </w:t>
      </w:r>
      <w:r w:rsidR="00EB6FEA" w:rsidRPr="00FF207E">
        <w:rPr>
          <w:rFonts w:cs="Arial"/>
          <w:szCs w:val="22"/>
          <w:lang w:val="sl-SI"/>
        </w:rPr>
        <w:t xml:space="preserve">ranljivim skupinam, </w:t>
      </w:r>
      <w:r w:rsidR="00B40A0F" w:rsidRPr="00FF207E">
        <w:rPr>
          <w:rFonts w:cs="Arial"/>
          <w:szCs w:val="22"/>
          <w:lang w:val="sl-SI"/>
        </w:rPr>
        <w:t>ki so brez sredstev za naložbe v te ukrepe.</w:t>
      </w:r>
    </w:p>
    <w:p w14:paraId="427F96D6" w14:textId="44DFFE3C" w:rsidR="004A0CE2" w:rsidRPr="00FF207E" w:rsidRDefault="004A0CE2" w:rsidP="001E304B">
      <w:pPr>
        <w:pStyle w:val="Naslov2"/>
        <w:numPr>
          <w:ilvl w:val="1"/>
          <w:numId w:val="23"/>
        </w:numPr>
        <w:ind w:left="578" w:hanging="578"/>
        <w:jc w:val="both"/>
        <w:rPr>
          <w:lang w:val="sl-SI"/>
        </w:rPr>
      </w:pPr>
      <w:bookmarkStart w:id="17" w:name="_Toc151148777"/>
      <w:r w:rsidRPr="00FF207E">
        <w:rPr>
          <w:lang w:val="sl-SI"/>
        </w:rPr>
        <w:lastRenderedPageBreak/>
        <w:t xml:space="preserve">Stanje energetske revščine, izvajanja </w:t>
      </w:r>
      <w:r w:rsidR="00736A5E" w:rsidRPr="00FF207E">
        <w:rPr>
          <w:lang w:val="sl-SI"/>
        </w:rPr>
        <w:t xml:space="preserve">veljavnih </w:t>
      </w:r>
      <w:r w:rsidRPr="00FF207E">
        <w:rPr>
          <w:lang w:val="sl-SI"/>
        </w:rPr>
        <w:t>ukrepov in financiranja</w:t>
      </w:r>
      <w:bookmarkEnd w:id="17"/>
    </w:p>
    <w:p w14:paraId="33CA7652" w14:textId="71BA8BD6" w:rsidR="004A0CE2" w:rsidRPr="00FF207E" w:rsidRDefault="006933E2" w:rsidP="001E304B">
      <w:pPr>
        <w:spacing w:after="240"/>
        <w:jc w:val="both"/>
        <w:rPr>
          <w:rFonts w:cs="Arial"/>
          <w:szCs w:val="22"/>
          <w:lang w:val="sl-SI"/>
        </w:rPr>
      </w:pPr>
      <w:r w:rsidRPr="00FF207E">
        <w:rPr>
          <w:rFonts w:cs="Arial"/>
          <w:b/>
          <w:color w:val="4F81BD" w:themeColor="accent1"/>
          <w:szCs w:val="22"/>
          <w:lang w:val="sl-SI"/>
        </w:rPr>
        <w:t>Stanje energetske revščine.</w:t>
      </w:r>
      <w:r w:rsidRPr="00FF207E">
        <w:rPr>
          <w:rFonts w:cs="Arial"/>
          <w:szCs w:val="22"/>
          <w:lang w:val="sl-SI"/>
        </w:rPr>
        <w:t xml:space="preserve"> </w:t>
      </w:r>
      <w:r w:rsidR="007A0BB7" w:rsidRPr="00FF207E">
        <w:rPr>
          <w:rFonts w:cs="Arial"/>
          <w:szCs w:val="22"/>
          <w:lang w:val="sl-SI"/>
        </w:rPr>
        <w:t xml:space="preserve">Po podatkih Statističnega urada Republike Slovenije (SURS) je bilo leta 2022 energetsko revnih </w:t>
      </w:r>
      <w:r w:rsidR="00061B48" w:rsidRPr="00FF207E">
        <w:rPr>
          <w:rFonts w:cs="Arial"/>
          <w:b/>
          <w:szCs w:val="22"/>
          <w:lang w:val="sl-SI"/>
        </w:rPr>
        <w:t>7,2</w:t>
      </w:r>
      <w:r w:rsidR="007A0BB7" w:rsidRPr="00FF207E">
        <w:rPr>
          <w:rFonts w:cs="Arial"/>
          <w:b/>
          <w:szCs w:val="22"/>
          <w:lang w:val="sl-SI"/>
        </w:rPr>
        <w:t xml:space="preserve"> </w:t>
      </w:r>
      <w:r w:rsidR="003041CD" w:rsidRPr="00FF207E">
        <w:rPr>
          <w:rFonts w:cs="Arial"/>
          <w:b/>
          <w:szCs w:val="22"/>
          <w:lang w:val="sl-SI"/>
        </w:rPr>
        <w:t>odstotka</w:t>
      </w:r>
      <w:r w:rsidR="007A0BB7" w:rsidRPr="00FF207E">
        <w:rPr>
          <w:rFonts w:cs="Arial"/>
          <w:b/>
          <w:szCs w:val="22"/>
          <w:lang w:val="sl-SI"/>
        </w:rPr>
        <w:t xml:space="preserve"> oz</w:t>
      </w:r>
      <w:r w:rsidR="00B77973" w:rsidRPr="00FF207E">
        <w:rPr>
          <w:rFonts w:cs="Arial"/>
          <w:b/>
          <w:szCs w:val="22"/>
          <w:lang w:val="sl-SI"/>
        </w:rPr>
        <w:t>iroma</w:t>
      </w:r>
      <w:r w:rsidR="007A0BB7" w:rsidRPr="00FF207E">
        <w:rPr>
          <w:rFonts w:cs="Arial"/>
          <w:b/>
          <w:szCs w:val="22"/>
          <w:lang w:val="sl-SI"/>
        </w:rPr>
        <w:t xml:space="preserve"> </w:t>
      </w:r>
      <w:r w:rsidR="003A0FEF" w:rsidRPr="00FF207E">
        <w:rPr>
          <w:rFonts w:cs="Arial"/>
          <w:b/>
          <w:szCs w:val="22"/>
          <w:lang w:val="sl-SI"/>
        </w:rPr>
        <w:t>62</w:t>
      </w:r>
      <w:r w:rsidR="007A0BB7" w:rsidRPr="00FF207E">
        <w:rPr>
          <w:rFonts w:cs="Arial"/>
          <w:b/>
          <w:szCs w:val="22"/>
          <w:lang w:val="sl-SI"/>
        </w:rPr>
        <w:t>.000 gospodinjstev</w:t>
      </w:r>
      <w:r w:rsidR="007A0BB7" w:rsidRPr="00FF207E">
        <w:rPr>
          <w:rFonts w:cs="Arial"/>
          <w:szCs w:val="22"/>
          <w:lang w:val="sl-SI"/>
        </w:rPr>
        <w:t xml:space="preserve"> ali 4,9 </w:t>
      </w:r>
      <w:r w:rsidR="003041CD" w:rsidRPr="00FF207E">
        <w:rPr>
          <w:rFonts w:cs="Arial"/>
          <w:szCs w:val="22"/>
          <w:lang w:val="sl-SI"/>
        </w:rPr>
        <w:t>odstotka</w:t>
      </w:r>
      <w:r w:rsidR="007A0BB7" w:rsidRPr="00FF207E">
        <w:rPr>
          <w:rFonts w:cs="Arial"/>
          <w:szCs w:val="22"/>
          <w:lang w:val="sl-SI"/>
        </w:rPr>
        <w:t xml:space="preserve"> oz</w:t>
      </w:r>
      <w:r w:rsidR="00B77973" w:rsidRPr="00FF207E">
        <w:rPr>
          <w:rFonts w:cs="Arial"/>
          <w:szCs w:val="22"/>
          <w:lang w:val="sl-SI"/>
        </w:rPr>
        <w:t>iroma</w:t>
      </w:r>
      <w:r w:rsidR="007A0BB7" w:rsidRPr="00FF207E">
        <w:rPr>
          <w:rFonts w:cs="Arial"/>
          <w:szCs w:val="22"/>
          <w:lang w:val="sl-SI"/>
        </w:rPr>
        <w:t xml:space="preserve"> 10</w:t>
      </w:r>
      <w:r w:rsidR="003A0FEF" w:rsidRPr="00FF207E">
        <w:rPr>
          <w:rFonts w:cs="Arial"/>
          <w:szCs w:val="22"/>
          <w:lang w:val="sl-SI"/>
        </w:rPr>
        <w:t>2</w:t>
      </w:r>
      <w:r w:rsidR="007A0BB7" w:rsidRPr="00FF207E">
        <w:rPr>
          <w:rFonts w:cs="Arial"/>
          <w:szCs w:val="22"/>
          <w:lang w:val="sl-SI"/>
        </w:rPr>
        <w:t>.000 oseb. V izračun števila in deleža energetsko revnih gospodinjstev (oseb) so vključena gospodinjstva (osebe), ki so imela dohodek nižji od praga tveganja revščine in so izpolnjevala vsaj enega od naslednjih pogojev: finančno niso bila zmožna zagotoviti primerno ogrevanega stanovanja; zaradi finančne stiske so zamujala s plačili stanovanjskih stroškov, med katere so vključene tudi energetske storitve; živela so v stanovanjih, v katerih je puščala streha, so bile vlažne stene/tla/temelji ali trhli okenski okvirji/tla. Kazalnik zajema stanje energetske revščine celovito.</w:t>
      </w:r>
    </w:p>
    <w:p w14:paraId="472F8A07" w14:textId="42C832AD" w:rsidR="003A0FEF" w:rsidRPr="00FF207E" w:rsidRDefault="003A0FEF" w:rsidP="001E304B">
      <w:pPr>
        <w:spacing w:after="240"/>
        <w:jc w:val="both"/>
        <w:rPr>
          <w:rFonts w:cs="Arial"/>
          <w:szCs w:val="22"/>
          <w:lang w:val="sl-SI"/>
        </w:rPr>
      </w:pPr>
      <w:r w:rsidRPr="00FF207E">
        <w:rPr>
          <w:rFonts w:cs="Arial"/>
          <w:b/>
          <w:color w:val="4F81BD" w:themeColor="accent1"/>
          <w:szCs w:val="22"/>
          <w:lang w:val="sl-SI"/>
        </w:rPr>
        <w:t>Ukrepe za zmanjševanje energetske revščine Slovenija že izvaja.</w:t>
      </w:r>
      <w:r w:rsidRPr="00FF207E">
        <w:rPr>
          <w:rFonts w:cs="Arial"/>
          <w:szCs w:val="22"/>
          <w:lang w:val="sl-SI"/>
        </w:rPr>
        <w:t xml:space="preserve"> </w:t>
      </w:r>
      <w:proofErr w:type="spellStart"/>
      <w:r w:rsidRPr="00FF207E">
        <w:rPr>
          <w:rFonts w:cs="Arial"/>
          <w:szCs w:val="22"/>
          <w:lang w:val="sl-SI"/>
        </w:rPr>
        <w:t>Eko</w:t>
      </w:r>
      <w:proofErr w:type="spellEnd"/>
      <w:r w:rsidRPr="00FF207E">
        <w:rPr>
          <w:rFonts w:cs="Arial"/>
          <w:szCs w:val="22"/>
          <w:lang w:val="sl-SI"/>
        </w:rPr>
        <w:t xml:space="preserve"> sklad socialno šibkim </w:t>
      </w:r>
      <w:r w:rsidR="00DE3579" w:rsidRPr="00FF207E">
        <w:rPr>
          <w:rFonts w:cs="Arial"/>
          <w:szCs w:val="22"/>
          <w:lang w:val="sl-SI"/>
        </w:rPr>
        <w:t xml:space="preserve">že </w:t>
      </w:r>
      <w:r w:rsidR="00B03779" w:rsidRPr="00FF207E">
        <w:rPr>
          <w:rFonts w:cs="Arial"/>
          <w:szCs w:val="22"/>
          <w:lang w:val="sl-SI"/>
        </w:rPr>
        <w:t>namenja</w:t>
      </w:r>
      <w:r w:rsidRPr="00FF207E">
        <w:rPr>
          <w:rFonts w:cs="Arial"/>
          <w:szCs w:val="22"/>
          <w:lang w:val="sl-SI"/>
        </w:rPr>
        <w:t xml:space="preserve"> nepovratn</w:t>
      </w:r>
      <w:r w:rsidR="00B03779" w:rsidRPr="00FF207E">
        <w:rPr>
          <w:rFonts w:cs="Arial"/>
          <w:szCs w:val="22"/>
          <w:lang w:val="sl-SI"/>
        </w:rPr>
        <w:t>a</w:t>
      </w:r>
      <w:r w:rsidRPr="00FF207E">
        <w:rPr>
          <w:rFonts w:cs="Arial"/>
          <w:szCs w:val="22"/>
          <w:lang w:val="sl-SI"/>
        </w:rPr>
        <w:t xml:space="preserve"> sredst</w:t>
      </w:r>
      <w:r w:rsidR="00B03779" w:rsidRPr="00FF207E">
        <w:rPr>
          <w:rFonts w:cs="Arial"/>
          <w:szCs w:val="22"/>
          <w:lang w:val="sl-SI"/>
        </w:rPr>
        <w:t>va</w:t>
      </w:r>
      <w:r w:rsidRPr="00FF207E">
        <w:rPr>
          <w:rFonts w:cs="Arial"/>
          <w:szCs w:val="22"/>
          <w:lang w:val="sl-SI"/>
        </w:rPr>
        <w:t xml:space="preserve"> za zamenjavo starih kurilnih naprav na trdna goriva z novimi na lesno biomaso</w:t>
      </w:r>
      <w:r w:rsidR="008C7972" w:rsidRPr="00FF207E">
        <w:rPr>
          <w:rFonts w:cs="Arial"/>
          <w:szCs w:val="22"/>
          <w:lang w:val="sl-SI"/>
        </w:rPr>
        <w:t xml:space="preserve"> (KNLB)</w:t>
      </w:r>
      <w:r w:rsidRPr="00FF207E">
        <w:rPr>
          <w:rFonts w:cs="Arial"/>
          <w:szCs w:val="22"/>
          <w:lang w:val="sl-SI"/>
        </w:rPr>
        <w:t xml:space="preserve"> </w:t>
      </w:r>
      <w:r w:rsidR="00DE3579" w:rsidRPr="00FF207E">
        <w:rPr>
          <w:rFonts w:cs="Arial"/>
          <w:szCs w:val="22"/>
          <w:lang w:val="sl-SI"/>
        </w:rPr>
        <w:t xml:space="preserve">in izvedbo skupnih ukrepov pri </w:t>
      </w:r>
      <w:r w:rsidRPr="00FF207E">
        <w:rPr>
          <w:rFonts w:cs="Arial"/>
          <w:szCs w:val="22"/>
          <w:lang w:val="sl-SI"/>
        </w:rPr>
        <w:t>energetsk</w:t>
      </w:r>
      <w:r w:rsidR="00DE3579" w:rsidRPr="00FF207E">
        <w:rPr>
          <w:rFonts w:cs="Arial"/>
          <w:szCs w:val="22"/>
          <w:lang w:val="sl-SI"/>
        </w:rPr>
        <w:t>i</w:t>
      </w:r>
      <w:r w:rsidRPr="00FF207E">
        <w:rPr>
          <w:rFonts w:cs="Arial"/>
          <w:szCs w:val="22"/>
          <w:lang w:val="sl-SI"/>
        </w:rPr>
        <w:t xml:space="preserve"> prenov</w:t>
      </w:r>
      <w:r w:rsidR="00DE3579" w:rsidRPr="00FF207E">
        <w:rPr>
          <w:rFonts w:cs="Arial"/>
          <w:szCs w:val="22"/>
          <w:lang w:val="sl-SI"/>
        </w:rPr>
        <w:t>i</w:t>
      </w:r>
      <w:r w:rsidRPr="00FF207E">
        <w:rPr>
          <w:rFonts w:cs="Arial"/>
          <w:szCs w:val="22"/>
          <w:lang w:val="sl-SI"/>
        </w:rPr>
        <w:t xml:space="preserve"> večstanovanjskih stavb</w:t>
      </w:r>
      <w:r w:rsidR="008C7972" w:rsidRPr="00FF207E">
        <w:rPr>
          <w:rFonts w:cs="Arial"/>
          <w:szCs w:val="22"/>
          <w:lang w:val="sl-SI"/>
        </w:rPr>
        <w:t xml:space="preserve"> (VSS)</w:t>
      </w:r>
      <w:r w:rsidRPr="00FF207E">
        <w:rPr>
          <w:rFonts w:cs="Arial"/>
          <w:szCs w:val="22"/>
          <w:lang w:val="sl-SI"/>
        </w:rPr>
        <w:t xml:space="preserve">. </w:t>
      </w:r>
      <w:r w:rsidR="00516781" w:rsidRPr="00FF207E">
        <w:rPr>
          <w:rFonts w:cs="Arial"/>
          <w:szCs w:val="22"/>
          <w:lang w:val="sl-SI"/>
        </w:rPr>
        <w:t xml:space="preserve">Za zdaj </w:t>
      </w:r>
      <w:r w:rsidR="005521E5" w:rsidRPr="00FF207E">
        <w:rPr>
          <w:rFonts w:cs="Arial"/>
          <w:szCs w:val="22"/>
          <w:lang w:val="sl-SI"/>
        </w:rPr>
        <w:t>i</w:t>
      </w:r>
      <w:r w:rsidR="00DE3579" w:rsidRPr="00FF207E">
        <w:rPr>
          <w:rFonts w:cs="Arial"/>
          <w:szCs w:val="22"/>
          <w:lang w:val="sl-SI"/>
        </w:rPr>
        <w:t xml:space="preserve">zvaja tudi projekt ZERO, v okviru katerega so socialno šibki upravičeni do brezplačnega energetskega svetovanja in </w:t>
      </w:r>
      <w:r w:rsidRPr="00FF207E">
        <w:rPr>
          <w:rFonts w:cs="Arial"/>
          <w:szCs w:val="22"/>
          <w:lang w:val="sl-SI"/>
        </w:rPr>
        <w:t>paket</w:t>
      </w:r>
      <w:r w:rsidR="00DE3579" w:rsidRPr="00FF207E">
        <w:rPr>
          <w:rFonts w:cs="Arial"/>
          <w:szCs w:val="22"/>
          <w:lang w:val="sl-SI"/>
        </w:rPr>
        <w:t>a</w:t>
      </w:r>
      <w:r w:rsidRPr="00FF207E">
        <w:rPr>
          <w:rFonts w:cs="Arial"/>
          <w:szCs w:val="22"/>
          <w:lang w:val="sl-SI"/>
        </w:rPr>
        <w:t xml:space="preserve"> </w:t>
      </w:r>
      <w:r w:rsidR="00DE3579" w:rsidRPr="00FF207E">
        <w:rPr>
          <w:rFonts w:cs="Arial"/>
          <w:szCs w:val="22"/>
          <w:lang w:val="sl-SI"/>
        </w:rPr>
        <w:t xml:space="preserve">enostavnih naprav za zmanjšanje rabe energije in vode. </w:t>
      </w:r>
      <w:r w:rsidRPr="00FF207E">
        <w:rPr>
          <w:rFonts w:cs="Arial"/>
          <w:szCs w:val="22"/>
          <w:lang w:val="sl-SI"/>
        </w:rPr>
        <w:t xml:space="preserve">Vsi </w:t>
      </w:r>
      <w:r w:rsidR="00516781" w:rsidRPr="00FF207E">
        <w:rPr>
          <w:rFonts w:cs="Arial"/>
          <w:szCs w:val="22"/>
          <w:lang w:val="sl-SI"/>
        </w:rPr>
        <w:t xml:space="preserve">navedeni </w:t>
      </w:r>
      <w:r w:rsidRPr="00FF207E">
        <w:rPr>
          <w:rFonts w:cs="Arial"/>
          <w:szCs w:val="22"/>
          <w:lang w:val="sl-SI"/>
        </w:rPr>
        <w:t xml:space="preserve">ukrepi se financirajo iz sredstev Sklada za podnebne spremembe. </w:t>
      </w:r>
      <w:r w:rsidR="00CD1AA5" w:rsidRPr="00FF207E">
        <w:rPr>
          <w:rFonts w:cs="Arial"/>
          <w:szCs w:val="22"/>
          <w:lang w:val="sl-SI"/>
        </w:rPr>
        <w:t>Leta</w:t>
      </w:r>
      <w:r w:rsidR="00697109" w:rsidRPr="00FF207E">
        <w:rPr>
          <w:rFonts w:cs="Arial"/>
          <w:szCs w:val="22"/>
          <w:lang w:val="sl-SI"/>
        </w:rPr>
        <w:t xml:space="preserve"> 2023 </w:t>
      </w:r>
      <w:r w:rsidR="00CD1AA5" w:rsidRPr="00FF207E">
        <w:rPr>
          <w:rFonts w:cs="Arial"/>
          <w:szCs w:val="22"/>
          <w:lang w:val="sl-SI"/>
        </w:rPr>
        <w:t xml:space="preserve">je bil </w:t>
      </w:r>
      <w:r w:rsidR="00516781" w:rsidRPr="00FF207E">
        <w:rPr>
          <w:rFonts w:cs="Arial"/>
          <w:szCs w:val="22"/>
          <w:lang w:val="sl-SI"/>
        </w:rPr>
        <w:t xml:space="preserve">končan </w:t>
      </w:r>
      <w:r w:rsidR="00DE3579" w:rsidRPr="00FF207E">
        <w:rPr>
          <w:rFonts w:cs="Arial"/>
          <w:szCs w:val="22"/>
          <w:lang w:val="sl-SI"/>
        </w:rPr>
        <w:t xml:space="preserve">program ZERO500, </w:t>
      </w:r>
      <w:r w:rsidR="00C5002B" w:rsidRPr="00FF207E">
        <w:rPr>
          <w:rFonts w:cs="Arial"/>
          <w:szCs w:val="22"/>
          <w:lang w:val="sl-SI"/>
        </w:rPr>
        <w:t>kjer</w:t>
      </w:r>
      <w:r w:rsidR="00DE3579" w:rsidRPr="00FF207E">
        <w:rPr>
          <w:rFonts w:cs="Arial"/>
          <w:szCs w:val="22"/>
          <w:lang w:val="sl-SI"/>
        </w:rPr>
        <w:t xml:space="preserve"> </w:t>
      </w:r>
      <w:r w:rsidR="00CD1AA5" w:rsidRPr="00FF207E">
        <w:rPr>
          <w:rFonts w:cs="Arial"/>
          <w:szCs w:val="22"/>
          <w:lang w:val="sl-SI"/>
        </w:rPr>
        <w:t xml:space="preserve">so </w:t>
      </w:r>
      <w:r w:rsidR="00DE3579" w:rsidRPr="00FF207E">
        <w:rPr>
          <w:rFonts w:cs="Arial"/>
          <w:szCs w:val="22"/>
          <w:lang w:val="sl-SI"/>
        </w:rPr>
        <w:t xml:space="preserve">se spodbude za energetsko revne </w:t>
      </w:r>
      <w:r w:rsidR="00CD1AA5" w:rsidRPr="00FF207E">
        <w:rPr>
          <w:rFonts w:cs="Arial"/>
          <w:szCs w:val="22"/>
          <w:lang w:val="sl-SI"/>
        </w:rPr>
        <w:t xml:space="preserve">zagotavljale </w:t>
      </w:r>
      <w:r w:rsidR="00DE3579" w:rsidRPr="00FF207E">
        <w:rPr>
          <w:rFonts w:cs="Arial"/>
          <w:szCs w:val="22"/>
          <w:lang w:val="sl-SI"/>
        </w:rPr>
        <w:t>iz kohezijskih sredstev.</w:t>
      </w:r>
      <w:r w:rsidR="00697109" w:rsidRPr="00FF207E">
        <w:rPr>
          <w:rFonts w:cs="Arial"/>
          <w:szCs w:val="22"/>
          <w:lang w:val="sl-SI"/>
        </w:rPr>
        <w:t xml:space="preserve"> Najpogosteje izvedeni ukrepi so </w:t>
      </w:r>
      <w:r w:rsidR="00CD1AA5" w:rsidRPr="00FF207E">
        <w:rPr>
          <w:rFonts w:cs="Arial"/>
          <w:szCs w:val="22"/>
          <w:lang w:val="sl-SI"/>
        </w:rPr>
        <w:t>bili toplotn</w:t>
      </w:r>
      <w:r w:rsidR="003A4D91" w:rsidRPr="00FF207E">
        <w:rPr>
          <w:rFonts w:cs="Arial"/>
          <w:szCs w:val="22"/>
          <w:lang w:val="sl-SI"/>
        </w:rPr>
        <w:t>a</w:t>
      </w:r>
      <w:r w:rsidR="00CD1AA5" w:rsidRPr="00FF207E">
        <w:rPr>
          <w:rFonts w:cs="Arial"/>
          <w:szCs w:val="22"/>
          <w:lang w:val="sl-SI"/>
        </w:rPr>
        <w:t xml:space="preserve"> izolacij</w:t>
      </w:r>
      <w:r w:rsidR="003A4D91" w:rsidRPr="00FF207E">
        <w:rPr>
          <w:rFonts w:cs="Arial"/>
          <w:szCs w:val="22"/>
          <w:lang w:val="sl-SI"/>
        </w:rPr>
        <w:t>a</w:t>
      </w:r>
      <w:r w:rsidR="00CD1AA5" w:rsidRPr="00FF207E">
        <w:rPr>
          <w:rFonts w:cs="Arial"/>
          <w:szCs w:val="22"/>
          <w:lang w:val="sl-SI"/>
        </w:rPr>
        <w:t xml:space="preserve"> strehe in fasade ter </w:t>
      </w:r>
      <w:r w:rsidR="00697109" w:rsidRPr="00FF207E">
        <w:rPr>
          <w:rFonts w:cs="Arial"/>
          <w:szCs w:val="22"/>
          <w:lang w:val="sl-SI"/>
        </w:rPr>
        <w:t xml:space="preserve">vgradnja </w:t>
      </w:r>
      <w:r w:rsidR="00B4094A" w:rsidRPr="00FF207E">
        <w:rPr>
          <w:rFonts w:cs="Arial"/>
          <w:szCs w:val="22"/>
          <w:lang w:val="sl-SI"/>
        </w:rPr>
        <w:t xml:space="preserve">energetsko </w:t>
      </w:r>
      <w:r w:rsidR="00697109" w:rsidRPr="00FF207E">
        <w:rPr>
          <w:rFonts w:cs="Arial"/>
          <w:szCs w:val="22"/>
          <w:lang w:val="sl-SI"/>
        </w:rPr>
        <w:t>učinkovitih oken in/ali vhodnih vrat</w:t>
      </w:r>
      <w:r w:rsidR="00CD1AA5" w:rsidRPr="00FF207E">
        <w:rPr>
          <w:rFonts w:cs="Arial"/>
          <w:szCs w:val="22"/>
          <w:lang w:val="sl-SI"/>
        </w:rPr>
        <w:t>.</w:t>
      </w:r>
      <w:r w:rsidR="00697109" w:rsidRPr="00FF207E">
        <w:rPr>
          <w:rFonts w:cs="Arial"/>
          <w:szCs w:val="22"/>
          <w:lang w:val="sl-SI"/>
        </w:rPr>
        <w:t xml:space="preserve"> Izkušnje tega programa kažejo, da upravičenci običajno potrebujejo celostno podporo skozi celoten postopek pridobivanja spodbud, od priprave prijave do izvedbe ukrepov. Podrobnejši pregled izvajanja ukrepov za zmanjševanje energetske revščine je dostopen v okviru </w:t>
      </w:r>
      <w:r w:rsidR="00697109" w:rsidRPr="00FF207E">
        <w:rPr>
          <w:rFonts w:cs="Arial"/>
          <w:i/>
          <w:szCs w:val="22"/>
          <w:lang w:val="sl-SI"/>
        </w:rPr>
        <w:t>Podnebnih ogledal</w:t>
      </w:r>
      <w:r w:rsidR="00697109" w:rsidRPr="00FF207E">
        <w:rPr>
          <w:rStyle w:val="Sprotnaopomba-sklic"/>
          <w:rFonts w:cs="Arial"/>
          <w:szCs w:val="22"/>
          <w:lang w:val="sl-SI"/>
        </w:rPr>
        <w:footnoteReference w:id="10"/>
      </w:r>
      <w:r w:rsidR="00697109" w:rsidRPr="00FF207E">
        <w:rPr>
          <w:rFonts w:cs="Arial"/>
          <w:szCs w:val="22"/>
          <w:lang w:val="sl-SI"/>
        </w:rPr>
        <w:t xml:space="preserve"> in letnih poročil </w:t>
      </w:r>
      <w:proofErr w:type="spellStart"/>
      <w:r w:rsidR="00697109" w:rsidRPr="00FF207E">
        <w:rPr>
          <w:rFonts w:cs="Arial"/>
          <w:szCs w:val="22"/>
          <w:lang w:val="sl-SI"/>
        </w:rPr>
        <w:t>Eko</w:t>
      </w:r>
      <w:proofErr w:type="spellEnd"/>
      <w:r w:rsidR="00697109" w:rsidRPr="00FF207E">
        <w:rPr>
          <w:rFonts w:cs="Arial"/>
          <w:szCs w:val="22"/>
          <w:lang w:val="sl-SI"/>
        </w:rPr>
        <w:t xml:space="preserve"> sklada</w:t>
      </w:r>
      <w:r w:rsidR="00C13308" w:rsidRPr="00FF207E">
        <w:rPr>
          <w:rFonts w:cs="Arial"/>
          <w:szCs w:val="22"/>
          <w:lang w:val="sl-SI"/>
        </w:rPr>
        <w:t>.</w:t>
      </w:r>
      <w:r w:rsidR="00697109" w:rsidRPr="00FF207E">
        <w:rPr>
          <w:rStyle w:val="Sprotnaopomba-sklic"/>
          <w:rFonts w:cs="Arial"/>
          <w:szCs w:val="22"/>
          <w:lang w:val="sl-SI"/>
        </w:rPr>
        <w:footnoteReference w:id="11"/>
      </w:r>
    </w:p>
    <w:p w14:paraId="388E41F4" w14:textId="3440D98E" w:rsidR="00C5002B" w:rsidRPr="00FF207E" w:rsidRDefault="00841D61" w:rsidP="001E304B">
      <w:pPr>
        <w:spacing w:after="240"/>
        <w:jc w:val="both"/>
        <w:rPr>
          <w:rFonts w:cs="Arial"/>
          <w:szCs w:val="22"/>
          <w:lang w:val="sl-SI"/>
        </w:rPr>
      </w:pPr>
      <w:r w:rsidRPr="00FF207E">
        <w:rPr>
          <w:rFonts w:cs="Arial"/>
          <w:b/>
          <w:color w:val="4F81BD" w:themeColor="accent1"/>
          <w:szCs w:val="22"/>
          <w:lang w:val="sl-SI"/>
        </w:rPr>
        <w:t>Financiranje.</w:t>
      </w:r>
      <w:r w:rsidRPr="00FF207E">
        <w:rPr>
          <w:rFonts w:cs="Arial"/>
          <w:szCs w:val="22"/>
          <w:lang w:val="sl-SI"/>
        </w:rPr>
        <w:t xml:space="preserve"> Oktobra </w:t>
      </w:r>
      <w:r w:rsidR="008778F3" w:rsidRPr="00FF207E">
        <w:rPr>
          <w:rFonts w:cs="Arial"/>
          <w:szCs w:val="22"/>
          <w:lang w:val="sl-SI"/>
        </w:rPr>
        <w:t xml:space="preserve">2023 </w:t>
      </w:r>
      <w:r w:rsidRPr="00FF207E">
        <w:rPr>
          <w:rFonts w:cs="Arial"/>
          <w:szCs w:val="22"/>
          <w:lang w:val="sl-SI"/>
        </w:rPr>
        <w:t xml:space="preserve">je bil sprejet </w:t>
      </w:r>
      <w:r w:rsidRPr="00FF207E">
        <w:rPr>
          <w:rFonts w:cs="Arial"/>
          <w:i/>
          <w:szCs w:val="22"/>
          <w:lang w:val="sl-SI"/>
        </w:rPr>
        <w:t>Odlok o Programu porabe sredstev Sklada za podnebne spremembe za let</w:t>
      </w:r>
      <w:r w:rsidR="008778F3" w:rsidRPr="00FF207E">
        <w:rPr>
          <w:rFonts w:cs="Arial"/>
          <w:i/>
          <w:szCs w:val="22"/>
          <w:lang w:val="sl-SI"/>
        </w:rPr>
        <w:t>a</w:t>
      </w:r>
      <w:r w:rsidRPr="00FF207E">
        <w:rPr>
          <w:rFonts w:cs="Arial"/>
          <w:i/>
          <w:szCs w:val="22"/>
          <w:lang w:val="sl-SI"/>
        </w:rPr>
        <w:t xml:space="preserve"> </w:t>
      </w:r>
      <w:r w:rsidR="0016077C" w:rsidRPr="00FF207E">
        <w:rPr>
          <w:rFonts w:cs="Arial"/>
          <w:i/>
          <w:szCs w:val="22"/>
          <w:lang w:val="sl-SI"/>
        </w:rPr>
        <w:t>2023–2026</w:t>
      </w:r>
      <w:bookmarkStart w:id="18" w:name="_Ref150257316"/>
      <w:r w:rsidR="00C13308" w:rsidRPr="00FF207E">
        <w:rPr>
          <w:rFonts w:cs="Arial"/>
          <w:szCs w:val="22"/>
          <w:lang w:val="sl-SI"/>
        </w:rPr>
        <w:t>,</w:t>
      </w:r>
      <w:r w:rsidRPr="00FF207E">
        <w:rPr>
          <w:rStyle w:val="Sprotnaopomba-sklic"/>
          <w:rFonts w:cs="Arial"/>
          <w:szCs w:val="22"/>
          <w:lang w:val="sl-SI"/>
        </w:rPr>
        <w:footnoteReference w:id="12"/>
      </w:r>
      <w:bookmarkEnd w:id="18"/>
      <w:r w:rsidRPr="00FF207E">
        <w:rPr>
          <w:rFonts w:cs="Arial"/>
          <w:szCs w:val="22"/>
          <w:lang w:val="sl-SI"/>
        </w:rPr>
        <w:t xml:space="preserve"> v okviru katerega je z namenom zmanjšanja energetske revščine 24 milijonov evrov sredstev namenjenih tudi naložbam v ukrepe URE</w:t>
      </w:r>
      <w:r w:rsidR="008234AB" w:rsidRPr="00FF207E">
        <w:rPr>
          <w:rFonts w:cs="Arial"/>
          <w:szCs w:val="22"/>
          <w:lang w:val="sl-SI"/>
        </w:rPr>
        <w:t xml:space="preserve"> in rabe OVE</w:t>
      </w:r>
      <w:r w:rsidRPr="00FF207E">
        <w:rPr>
          <w:rFonts w:cs="Arial"/>
          <w:szCs w:val="22"/>
          <w:lang w:val="sl-SI"/>
        </w:rPr>
        <w:t xml:space="preserve"> v gospodinjstvih z nizkimi prihodki</w:t>
      </w:r>
      <w:r w:rsidR="008234AB" w:rsidRPr="00FF207E">
        <w:rPr>
          <w:rFonts w:cs="Arial"/>
          <w:szCs w:val="22"/>
          <w:lang w:val="sl-SI"/>
        </w:rPr>
        <w:t xml:space="preserve">, vzpostavitvi projektne pisarne za energetsko revščino pri </w:t>
      </w:r>
      <w:proofErr w:type="spellStart"/>
      <w:r w:rsidR="008234AB" w:rsidRPr="00FF207E">
        <w:rPr>
          <w:rFonts w:cs="Arial"/>
          <w:szCs w:val="22"/>
          <w:lang w:val="sl-SI"/>
        </w:rPr>
        <w:t>Eko</w:t>
      </w:r>
      <w:proofErr w:type="spellEnd"/>
      <w:r w:rsidR="008234AB" w:rsidRPr="00FF207E">
        <w:rPr>
          <w:rFonts w:cs="Arial"/>
          <w:szCs w:val="22"/>
          <w:lang w:val="sl-SI"/>
        </w:rPr>
        <w:t xml:space="preserve"> skladu</w:t>
      </w:r>
      <w:r w:rsidR="005521E5" w:rsidRPr="00FF207E">
        <w:rPr>
          <w:rFonts w:cs="Arial"/>
          <w:szCs w:val="22"/>
          <w:lang w:val="sl-SI"/>
        </w:rPr>
        <w:t xml:space="preserve"> in</w:t>
      </w:r>
      <w:r w:rsidR="008234AB" w:rsidRPr="00FF207E">
        <w:rPr>
          <w:rFonts w:cs="Arial"/>
          <w:szCs w:val="22"/>
          <w:lang w:val="sl-SI"/>
        </w:rPr>
        <w:t xml:space="preserve"> regionalnih svetovalnih točk </w:t>
      </w:r>
      <w:r w:rsidR="005521E5" w:rsidRPr="00FF207E">
        <w:rPr>
          <w:rFonts w:cs="Arial"/>
          <w:szCs w:val="22"/>
          <w:lang w:val="sl-SI"/>
        </w:rPr>
        <w:t>ter izvedbi</w:t>
      </w:r>
      <w:r w:rsidR="008234AB" w:rsidRPr="00FF207E">
        <w:rPr>
          <w:rFonts w:cs="Arial"/>
          <w:szCs w:val="22"/>
          <w:lang w:val="sl-SI"/>
        </w:rPr>
        <w:t xml:space="preserve"> drugih predvidenih </w:t>
      </w:r>
      <w:r w:rsidR="003249EA" w:rsidRPr="00FF207E">
        <w:rPr>
          <w:rFonts w:cs="Arial"/>
          <w:szCs w:val="22"/>
          <w:lang w:val="sl-SI"/>
        </w:rPr>
        <w:t xml:space="preserve">dejavnosti </w:t>
      </w:r>
      <w:r w:rsidR="008234AB" w:rsidRPr="00FF207E">
        <w:rPr>
          <w:rFonts w:cs="Arial"/>
          <w:szCs w:val="22"/>
          <w:lang w:val="sl-SI"/>
        </w:rPr>
        <w:t>iz tega akcijskega načrta</w:t>
      </w:r>
      <w:r w:rsidRPr="00FF207E">
        <w:rPr>
          <w:rFonts w:cs="Arial"/>
          <w:szCs w:val="22"/>
          <w:lang w:val="sl-SI"/>
        </w:rPr>
        <w:t xml:space="preserve">. </w:t>
      </w:r>
      <w:r w:rsidR="00C50BAB" w:rsidRPr="00FF207E">
        <w:rPr>
          <w:rFonts w:cs="Arial"/>
          <w:szCs w:val="22"/>
          <w:lang w:val="sl-SI"/>
        </w:rPr>
        <w:t>Sredstva za zagotavljanj</w:t>
      </w:r>
      <w:r w:rsidR="007820F3" w:rsidRPr="00FF207E">
        <w:rPr>
          <w:rFonts w:cs="Arial"/>
          <w:szCs w:val="22"/>
          <w:lang w:val="sl-SI"/>
        </w:rPr>
        <w:t>e</w:t>
      </w:r>
      <w:r w:rsidR="00C50BAB" w:rsidRPr="00FF207E">
        <w:rPr>
          <w:rFonts w:cs="Arial"/>
          <w:szCs w:val="22"/>
          <w:lang w:val="sl-SI"/>
        </w:rPr>
        <w:t xml:space="preserve"> pravičnega prehoda v </w:t>
      </w:r>
      <w:proofErr w:type="spellStart"/>
      <w:r w:rsidR="00C50BAB" w:rsidRPr="00FF207E">
        <w:rPr>
          <w:rFonts w:cs="Arial"/>
          <w:szCs w:val="22"/>
          <w:lang w:val="sl-SI"/>
        </w:rPr>
        <w:t>nizkoogljično</w:t>
      </w:r>
      <w:proofErr w:type="spellEnd"/>
      <w:r w:rsidR="00C50BAB" w:rsidRPr="00FF207E">
        <w:rPr>
          <w:rFonts w:cs="Arial"/>
          <w:szCs w:val="22"/>
          <w:lang w:val="sl-SI"/>
        </w:rPr>
        <w:t xml:space="preserve"> družbo za vse bodo na ravni EU v obdobju 2026</w:t>
      </w:r>
      <w:r w:rsidR="00543316" w:rsidRPr="00FF207E">
        <w:rPr>
          <w:rFonts w:cs="Arial"/>
          <w:szCs w:val="22"/>
          <w:lang w:val="sl-SI"/>
        </w:rPr>
        <w:t>–</w:t>
      </w:r>
      <w:r w:rsidR="00C50BAB" w:rsidRPr="00FF207E">
        <w:rPr>
          <w:rFonts w:cs="Arial"/>
          <w:szCs w:val="22"/>
          <w:lang w:val="sl-SI"/>
        </w:rPr>
        <w:t>20</w:t>
      </w:r>
      <w:r w:rsidR="00E746C2" w:rsidRPr="00FF207E">
        <w:rPr>
          <w:rFonts w:cs="Arial"/>
          <w:szCs w:val="22"/>
          <w:lang w:val="sl-SI"/>
        </w:rPr>
        <w:t>32</w:t>
      </w:r>
      <w:r w:rsidR="00C50BAB" w:rsidRPr="00FF207E">
        <w:rPr>
          <w:rFonts w:cs="Arial"/>
          <w:szCs w:val="22"/>
          <w:lang w:val="sl-SI"/>
        </w:rPr>
        <w:t xml:space="preserve"> na voljo tudi iz Socialnega sklada za podnebje</w:t>
      </w:r>
      <w:r w:rsidR="00BF1D74" w:rsidRPr="00FF207E">
        <w:rPr>
          <w:rFonts w:cs="Arial"/>
          <w:szCs w:val="22"/>
          <w:lang w:val="sl-SI"/>
        </w:rPr>
        <w:t>,</w:t>
      </w:r>
      <w:r w:rsidR="007820F3" w:rsidRPr="00FF207E">
        <w:rPr>
          <w:rStyle w:val="Sprotnaopomba-sklic"/>
          <w:rFonts w:cs="Arial"/>
          <w:szCs w:val="22"/>
          <w:lang w:val="sl-SI"/>
        </w:rPr>
        <w:footnoteReference w:id="13"/>
      </w:r>
      <w:r w:rsidR="00624A0C" w:rsidRPr="00FF207E">
        <w:rPr>
          <w:rFonts w:cs="Arial"/>
          <w:szCs w:val="22"/>
          <w:lang w:val="sl-SI"/>
        </w:rPr>
        <w:t xml:space="preserve"> kjer je za različne namene za Slovenijo predvidenih dobrih 300 milijonov evrov sredstev. </w:t>
      </w:r>
      <w:r w:rsidR="005341B1" w:rsidRPr="00FF207E">
        <w:rPr>
          <w:rFonts w:cs="Arial"/>
          <w:szCs w:val="22"/>
          <w:lang w:val="sl-SI"/>
        </w:rPr>
        <w:t xml:space="preserve">Za črpanje teh sredstev mora </w:t>
      </w:r>
      <w:r w:rsidR="00624A0C" w:rsidRPr="00FF207E">
        <w:rPr>
          <w:rFonts w:cs="Arial"/>
          <w:szCs w:val="22"/>
          <w:lang w:val="sl-SI"/>
        </w:rPr>
        <w:t>Slovenija</w:t>
      </w:r>
      <w:r w:rsidR="005341B1" w:rsidRPr="00FF207E">
        <w:rPr>
          <w:rFonts w:cs="Arial"/>
          <w:szCs w:val="22"/>
          <w:lang w:val="sl-SI"/>
        </w:rPr>
        <w:t xml:space="preserve"> </w:t>
      </w:r>
      <w:r w:rsidR="008D61D4" w:rsidRPr="00FF207E">
        <w:rPr>
          <w:rFonts w:cs="Arial"/>
          <w:szCs w:val="22"/>
          <w:lang w:val="sl-SI"/>
        </w:rPr>
        <w:t xml:space="preserve">najpozneje </w:t>
      </w:r>
      <w:r w:rsidR="005341B1" w:rsidRPr="00FF207E">
        <w:rPr>
          <w:rFonts w:cs="Arial"/>
          <w:szCs w:val="22"/>
          <w:lang w:val="sl-SI"/>
        </w:rPr>
        <w:t xml:space="preserve">do junija 2025 pripraviti in Evropski komisiji </w:t>
      </w:r>
      <w:r w:rsidR="00A179E1" w:rsidRPr="00FF207E">
        <w:rPr>
          <w:rFonts w:cs="Arial"/>
          <w:szCs w:val="22"/>
          <w:lang w:val="sl-SI"/>
        </w:rPr>
        <w:t xml:space="preserve">poslati </w:t>
      </w:r>
      <w:r w:rsidR="005341B1" w:rsidRPr="00FF207E">
        <w:rPr>
          <w:rFonts w:cs="Arial"/>
          <w:szCs w:val="22"/>
          <w:lang w:val="sl-SI"/>
        </w:rPr>
        <w:t xml:space="preserve">socialni načrt za podnebje. V </w:t>
      </w:r>
      <w:r w:rsidR="001F2B69" w:rsidRPr="00FF207E">
        <w:rPr>
          <w:rFonts w:cs="Arial"/>
          <w:szCs w:val="22"/>
          <w:lang w:val="sl-SI"/>
        </w:rPr>
        <w:t>njegovem okviru</w:t>
      </w:r>
      <w:r w:rsidR="005341B1" w:rsidRPr="00FF207E">
        <w:rPr>
          <w:rFonts w:cs="Arial"/>
          <w:szCs w:val="22"/>
          <w:lang w:val="sl-SI"/>
        </w:rPr>
        <w:t xml:space="preserve"> </w:t>
      </w:r>
      <w:r w:rsidR="001F2B69" w:rsidRPr="00FF207E">
        <w:rPr>
          <w:rFonts w:cs="Arial"/>
          <w:szCs w:val="22"/>
          <w:lang w:val="sl-SI"/>
        </w:rPr>
        <w:t xml:space="preserve">je </w:t>
      </w:r>
      <w:r w:rsidR="00A179E1" w:rsidRPr="00FF207E">
        <w:rPr>
          <w:rFonts w:cs="Arial"/>
          <w:szCs w:val="22"/>
          <w:lang w:val="sl-SI"/>
        </w:rPr>
        <w:t xml:space="preserve">treba </w:t>
      </w:r>
      <w:r w:rsidR="001F2B69" w:rsidRPr="00FF207E">
        <w:rPr>
          <w:rFonts w:cs="Arial"/>
          <w:szCs w:val="22"/>
          <w:lang w:val="sl-SI"/>
        </w:rPr>
        <w:t>zagotoviti tudi manjkajoča sredstva</w:t>
      </w:r>
      <w:r w:rsidR="00DF1991" w:rsidRPr="00FF207E">
        <w:rPr>
          <w:rFonts w:cs="Arial"/>
          <w:szCs w:val="22"/>
          <w:lang w:val="sl-SI"/>
        </w:rPr>
        <w:t>,</w:t>
      </w:r>
      <w:r w:rsidR="001F2B69" w:rsidRPr="00FF207E">
        <w:rPr>
          <w:rFonts w:cs="Arial"/>
          <w:szCs w:val="22"/>
          <w:lang w:val="sl-SI"/>
        </w:rPr>
        <w:t xml:space="preserve"> </w:t>
      </w:r>
      <w:r w:rsidR="001674E6" w:rsidRPr="00FF207E">
        <w:rPr>
          <w:rFonts w:cs="Arial"/>
          <w:szCs w:val="22"/>
          <w:lang w:val="sl-SI"/>
        </w:rPr>
        <w:t>ki bodo namenjena zmanjševanju energetske revščine v obdobju 2026–</w:t>
      </w:r>
      <w:r w:rsidR="001674E6" w:rsidRPr="00FF207E">
        <w:rPr>
          <w:rFonts w:cs="Arial"/>
          <w:szCs w:val="22"/>
          <w:lang w:val="sl-SI"/>
        </w:rPr>
        <w:lastRenderedPageBreak/>
        <w:t>2030</w:t>
      </w:r>
      <w:r w:rsidR="00DF1991" w:rsidRPr="00FF207E">
        <w:rPr>
          <w:rFonts w:cs="Arial"/>
          <w:szCs w:val="22"/>
          <w:lang w:val="sl-SI"/>
        </w:rPr>
        <w:t xml:space="preserve">, okvirno </w:t>
      </w:r>
      <w:r w:rsidR="002B2E0B" w:rsidRPr="00FF207E">
        <w:rPr>
          <w:rFonts w:cs="Arial"/>
          <w:szCs w:val="22"/>
          <w:lang w:val="sl-SI"/>
        </w:rPr>
        <w:t>85 </w:t>
      </w:r>
      <w:r w:rsidR="00DF1991" w:rsidRPr="00FF207E">
        <w:rPr>
          <w:rFonts w:cs="Arial"/>
          <w:szCs w:val="22"/>
          <w:lang w:val="sl-SI"/>
        </w:rPr>
        <w:t>milijonov evrov</w:t>
      </w:r>
      <w:r w:rsidR="0055078F" w:rsidRPr="00FF207E">
        <w:rPr>
          <w:rStyle w:val="Sprotnaopomba-sklic"/>
          <w:rFonts w:cs="Arial"/>
          <w:szCs w:val="22"/>
          <w:lang w:val="sl-SI"/>
        </w:rPr>
        <w:footnoteReference w:id="14"/>
      </w:r>
      <w:r w:rsidR="00DF1991" w:rsidRPr="00FF207E">
        <w:rPr>
          <w:rFonts w:cs="Arial"/>
          <w:szCs w:val="22"/>
          <w:lang w:val="sl-SI"/>
        </w:rPr>
        <w:t>,</w:t>
      </w:r>
      <w:r w:rsidR="001674E6" w:rsidRPr="00FF207E">
        <w:rPr>
          <w:rFonts w:cs="Arial"/>
          <w:szCs w:val="22"/>
          <w:lang w:val="sl-SI"/>
        </w:rPr>
        <w:t xml:space="preserve"> in s tem doseganju cilja, ki izhaja iz 8. člena EED (glej poglavje </w:t>
      </w:r>
      <w:r w:rsidR="00F95780" w:rsidRPr="00FF207E">
        <w:rPr>
          <w:rFonts w:cs="Arial"/>
          <w:szCs w:val="22"/>
          <w:lang w:val="sl-SI"/>
        </w:rPr>
        <w:fldChar w:fldCharType="begin"/>
      </w:r>
      <w:r w:rsidR="00F95780" w:rsidRPr="00FF207E">
        <w:rPr>
          <w:rFonts w:cs="Arial"/>
          <w:szCs w:val="22"/>
          <w:lang w:val="sl-SI"/>
        </w:rPr>
        <w:instrText xml:space="preserve"> REF _Ref150249089 \r \h </w:instrText>
      </w:r>
      <w:r w:rsidR="00F95780" w:rsidRPr="00FF207E">
        <w:rPr>
          <w:rFonts w:cs="Arial"/>
          <w:szCs w:val="22"/>
          <w:lang w:val="sl-SI"/>
        </w:rPr>
      </w:r>
      <w:r w:rsidR="00FF207E">
        <w:rPr>
          <w:rFonts w:cs="Arial"/>
          <w:szCs w:val="22"/>
          <w:lang w:val="sl-SI"/>
        </w:rPr>
        <w:instrText xml:space="preserve"> \* MERGEFORMAT </w:instrText>
      </w:r>
      <w:r w:rsidR="00F95780" w:rsidRPr="00FF207E">
        <w:rPr>
          <w:rFonts w:cs="Arial"/>
          <w:szCs w:val="22"/>
          <w:lang w:val="sl-SI"/>
        </w:rPr>
        <w:fldChar w:fldCharType="separate"/>
      </w:r>
      <w:r w:rsidR="00F37FD1" w:rsidRPr="00FF207E">
        <w:rPr>
          <w:rFonts w:cs="Arial"/>
          <w:szCs w:val="22"/>
          <w:lang w:val="sl-SI"/>
        </w:rPr>
        <w:t>2.1</w:t>
      </w:r>
      <w:r w:rsidR="00F95780" w:rsidRPr="00FF207E">
        <w:rPr>
          <w:rFonts w:cs="Arial"/>
          <w:szCs w:val="22"/>
          <w:lang w:val="sl-SI"/>
        </w:rPr>
        <w:fldChar w:fldCharType="end"/>
      </w:r>
      <w:r w:rsidR="00F95780" w:rsidRPr="00FF207E">
        <w:rPr>
          <w:rFonts w:cs="Arial"/>
          <w:szCs w:val="22"/>
          <w:lang w:val="sl-SI"/>
        </w:rPr>
        <w:t>).</w:t>
      </w:r>
      <w:r w:rsidR="00624A0C" w:rsidRPr="00FF207E">
        <w:rPr>
          <w:rFonts w:cs="Arial"/>
          <w:szCs w:val="22"/>
          <w:lang w:val="sl-SI"/>
        </w:rPr>
        <w:t xml:space="preserve"> </w:t>
      </w:r>
      <w:r w:rsidR="00F95780" w:rsidRPr="00FF207E">
        <w:rPr>
          <w:rFonts w:cs="Arial"/>
          <w:szCs w:val="22"/>
          <w:lang w:val="sl-SI"/>
        </w:rPr>
        <w:t>S</w:t>
      </w:r>
      <w:r w:rsidR="00624A0C" w:rsidRPr="00FF207E">
        <w:rPr>
          <w:rFonts w:cs="Arial"/>
          <w:szCs w:val="22"/>
          <w:lang w:val="sl-SI"/>
        </w:rPr>
        <w:t xml:space="preserve"> tem akcijskim načrtom </w:t>
      </w:r>
      <w:r w:rsidR="00F95780" w:rsidRPr="00FF207E">
        <w:rPr>
          <w:rFonts w:cs="Arial"/>
          <w:szCs w:val="22"/>
          <w:lang w:val="sl-SI"/>
        </w:rPr>
        <w:t xml:space="preserve">se Slovenija tako že </w:t>
      </w:r>
      <w:r w:rsidR="00624A0C" w:rsidRPr="00FF207E">
        <w:rPr>
          <w:rFonts w:cs="Arial"/>
          <w:szCs w:val="22"/>
          <w:lang w:val="sl-SI"/>
        </w:rPr>
        <w:t xml:space="preserve">pripravlja </w:t>
      </w:r>
      <w:r w:rsidR="002B0134" w:rsidRPr="00FF207E">
        <w:rPr>
          <w:rFonts w:cs="Arial"/>
          <w:szCs w:val="22"/>
          <w:lang w:val="sl-SI"/>
        </w:rPr>
        <w:t xml:space="preserve">tudi </w:t>
      </w:r>
      <w:r w:rsidR="00624A0C" w:rsidRPr="00FF207E">
        <w:rPr>
          <w:rFonts w:cs="Arial"/>
          <w:szCs w:val="22"/>
          <w:lang w:val="sl-SI"/>
        </w:rPr>
        <w:t xml:space="preserve">na spodbujanje zmanjšanja </w:t>
      </w:r>
      <w:r w:rsidR="002B0134" w:rsidRPr="00FF207E">
        <w:rPr>
          <w:rFonts w:cs="Arial"/>
          <w:szCs w:val="22"/>
          <w:lang w:val="sl-SI"/>
        </w:rPr>
        <w:t>energetske revščine</w:t>
      </w:r>
      <w:r w:rsidR="00624A0C" w:rsidRPr="00FF207E">
        <w:rPr>
          <w:rFonts w:cs="Arial"/>
          <w:szCs w:val="22"/>
          <w:lang w:val="sl-SI"/>
        </w:rPr>
        <w:t xml:space="preserve"> v večjem obsegu po letu 2026, ko bodo na voljo dodatna namenska sredstva.</w:t>
      </w:r>
    </w:p>
    <w:p w14:paraId="7929F4D0" w14:textId="77777777" w:rsidR="004A0CE2" w:rsidRPr="00FF207E" w:rsidRDefault="004A0CE2" w:rsidP="001E304B">
      <w:pPr>
        <w:pStyle w:val="Naslov2"/>
        <w:numPr>
          <w:ilvl w:val="1"/>
          <w:numId w:val="23"/>
        </w:numPr>
        <w:ind w:left="578" w:hanging="578"/>
        <w:jc w:val="both"/>
        <w:rPr>
          <w:lang w:val="sl-SI"/>
        </w:rPr>
      </w:pPr>
      <w:bookmarkStart w:id="19" w:name="_Ref136261109"/>
      <w:bookmarkStart w:id="20" w:name="_Toc151148778"/>
      <w:r w:rsidRPr="00FF207E">
        <w:rPr>
          <w:lang w:val="sl-SI"/>
        </w:rPr>
        <w:t>Strokovne podlage in sodelovanje z deležniki</w:t>
      </w:r>
      <w:bookmarkEnd w:id="19"/>
      <w:bookmarkEnd w:id="20"/>
    </w:p>
    <w:p w14:paraId="59A1C546" w14:textId="7EDCFB33" w:rsidR="004A0CE2" w:rsidRPr="00FF207E" w:rsidRDefault="00E746C2" w:rsidP="001E304B">
      <w:pPr>
        <w:spacing w:after="240"/>
        <w:jc w:val="both"/>
        <w:rPr>
          <w:rFonts w:cs="Arial"/>
          <w:szCs w:val="22"/>
          <w:lang w:val="sl-SI"/>
        </w:rPr>
      </w:pPr>
      <w:r w:rsidRPr="00FF207E">
        <w:rPr>
          <w:rFonts w:cs="Arial"/>
          <w:b/>
          <w:color w:val="4F81BD" w:themeColor="accent1"/>
          <w:szCs w:val="22"/>
          <w:lang w:val="sl-SI"/>
        </w:rPr>
        <w:t>Strokovne podlage.</w:t>
      </w:r>
      <w:r w:rsidRPr="00FF207E">
        <w:rPr>
          <w:rFonts w:cs="Arial"/>
          <w:szCs w:val="22"/>
          <w:lang w:val="sl-SI"/>
        </w:rPr>
        <w:t xml:space="preserve"> </w:t>
      </w:r>
      <w:r w:rsidR="004A0CE2" w:rsidRPr="00FF207E">
        <w:rPr>
          <w:rFonts w:cs="Arial"/>
          <w:szCs w:val="22"/>
          <w:lang w:val="sl-SI"/>
        </w:rPr>
        <w:t xml:space="preserve">V skladu z </w:t>
      </w:r>
      <w:r w:rsidR="004A0CE2" w:rsidRPr="00FF207E">
        <w:rPr>
          <w:rFonts w:cs="Arial"/>
          <w:i/>
          <w:iCs/>
          <w:szCs w:val="22"/>
          <w:lang w:val="sl-SI"/>
        </w:rPr>
        <w:t>Dolgoročno strategijo energetske prenove stavb do leta 2050 (DSEPS 2050)</w:t>
      </w:r>
      <w:r w:rsidR="004A0CE2" w:rsidRPr="00FF207E">
        <w:rPr>
          <w:rStyle w:val="Sprotnaopomba-sklic"/>
          <w:rFonts w:eastAsiaTheme="minorEastAsia" w:cs="Arial"/>
          <w:bCs/>
          <w:szCs w:val="22"/>
          <w:lang w:val="sl-SI"/>
        </w:rPr>
        <w:footnoteReference w:id="15"/>
      </w:r>
      <w:r w:rsidR="004A0CE2" w:rsidRPr="00FF207E">
        <w:rPr>
          <w:rFonts w:cs="Arial"/>
          <w:i/>
          <w:iCs/>
          <w:szCs w:val="22"/>
          <w:lang w:val="sl-SI"/>
        </w:rPr>
        <w:t xml:space="preserve"> </w:t>
      </w:r>
      <w:r w:rsidR="004A0CE2" w:rsidRPr="00FF207E">
        <w:rPr>
          <w:rFonts w:cs="Arial"/>
          <w:szCs w:val="22"/>
          <w:lang w:val="sl-SI"/>
        </w:rPr>
        <w:t xml:space="preserve">so bile pripravljene strokovne podlage za ta akcijski načrt v okviru projekta </w:t>
      </w:r>
      <w:r w:rsidR="004A0CE2" w:rsidRPr="00FF207E">
        <w:rPr>
          <w:rFonts w:cs="Arial"/>
          <w:i/>
          <w:iCs/>
          <w:szCs w:val="22"/>
          <w:lang w:val="sl-SI"/>
        </w:rPr>
        <w:t xml:space="preserve">Preučitev in strokovne podlage za razvoj ukrepov za boj proti energetski revščini, </w:t>
      </w:r>
      <w:r w:rsidR="004A0CE2" w:rsidRPr="00FF207E">
        <w:rPr>
          <w:rFonts w:cs="Arial"/>
          <w:szCs w:val="22"/>
          <w:lang w:val="sl-SI"/>
        </w:rPr>
        <w:t>ki so jih po naročilu ministrstva</w:t>
      </w:r>
      <w:r w:rsidRPr="00FF207E">
        <w:rPr>
          <w:rFonts w:cs="Arial"/>
          <w:szCs w:val="22"/>
          <w:lang w:val="sl-SI"/>
        </w:rPr>
        <w:t>,</w:t>
      </w:r>
      <w:r w:rsidR="004A0CE2" w:rsidRPr="00FF207E">
        <w:rPr>
          <w:rFonts w:cs="Arial"/>
          <w:szCs w:val="22"/>
          <w:lang w:val="sl-SI"/>
        </w:rPr>
        <w:t xml:space="preserve"> pristojnega za energijo, izdelali Institut »Jožef Stefan« </w:t>
      </w:r>
      <w:r w:rsidRPr="00FF207E">
        <w:rPr>
          <w:rFonts w:cs="Arial"/>
          <w:szCs w:val="22"/>
          <w:lang w:val="sl-SI"/>
        </w:rPr>
        <w:t>–</w:t>
      </w:r>
      <w:r w:rsidR="004A0CE2" w:rsidRPr="00FF207E">
        <w:rPr>
          <w:rFonts w:cs="Arial"/>
          <w:szCs w:val="22"/>
          <w:lang w:val="sl-SI"/>
        </w:rPr>
        <w:t xml:space="preserve"> Center za energetsko učinkovitost, Inštitut za ekonomska raziskovanja in </w:t>
      </w:r>
      <w:proofErr w:type="spellStart"/>
      <w:r w:rsidR="004A0CE2" w:rsidRPr="00FF207E">
        <w:rPr>
          <w:rFonts w:cs="Arial"/>
          <w:szCs w:val="22"/>
          <w:lang w:val="sl-SI"/>
        </w:rPr>
        <w:t>Focus</w:t>
      </w:r>
      <w:proofErr w:type="spellEnd"/>
      <w:r w:rsidR="004A0CE2" w:rsidRPr="00FF207E">
        <w:rPr>
          <w:rFonts w:cs="Arial"/>
          <w:szCs w:val="22"/>
          <w:lang w:val="sl-SI"/>
        </w:rPr>
        <w:t>, društvo za sonaraven razvoj</w:t>
      </w:r>
      <w:r w:rsidR="00377DB9" w:rsidRPr="00FF207E">
        <w:rPr>
          <w:rFonts w:cs="Arial"/>
          <w:szCs w:val="22"/>
          <w:lang w:val="sl-SI"/>
        </w:rPr>
        <w:t>.</w:t>
      </w:r>
      <w:r w:rsidR="004A0CE2" w:rsidRPr="00FF207E">
        <w:rPr>
          <w:rStyle w:val="Sprotnaopomba-sklic"/>
          <w:rFonts w:cs="Arial"/>
          <w:iCs/>
          <w:szCs w:val="22"/>
          <w:lang w:val="sl-SI"/>
        </w:rPr>
        <w:footnoteReference w:id="16"/>
      </w:r>
    </w:p>
    <w:p w14:paraId="2E19F60F" w14:textId="0CDB19FA" w:rsidR="004A0CE2" w:rsidRPr="00FF207E" w:rsidRDefault="004A0CE2" w:rsidP="001E304B">
      <w:pPr>
        <w:spacing w:after="240"/>
        <w:jc w:val="both"/>
        <w:rPr>
          <w:rFonts w:cs="Arial"/>
          <w:szCs w:val="22"/>
          <w:lang w:val="sl-SI"/>
        </w:rPr>
      </w:pPr>
      <w:r w:rsidRPr="00FF207E">
        <w:rPr>
          <w:rFonts w:cs="Arial"/>
          <w:szCs w:val="22"/>
          <w:lang w:val="sl-SI"/>
        </w:rPr>
        <w:t xml:space="preserve">Strokovne podlage vključujejo: analizo stanja na področju zmanjševanja energetske revščine v Sloveniji, državah EU in širše, predlog opredelitve energetske revščine na </w:t>
      </w:r>
      <w:r w:rsidR="009441D2" w:rsidRPr="00FF207E">
        <w:rPr>
          <w:rFonts w:cs="Arial"/>
          <w:szCs w:val="22"/>
          <w:lang w:val="sl-SI"/>
        </w:rPr>
        <w:t xml:space="preserve">državni </w:t>
      </w:r>
      <w:r w:rsidRPr="00FF207E">
        <w:rPr>
          <w:rFonts w:cs="Arial"/>
          <w:szCs w:val="22"/>
          <w:lang w:val="sl-SI"/>
        </w:rPr>
        <w:t xml:space="preserve">ravni, razširjen nabor 24 </w:t>
      </w:r>
      <w:r w:rsidR="00D331D7" w:rsidRPr="00FF207E">
        <w:rPr>
          <w:rFonts w:cs="Arial"/>
          <w:szCs w:val="22"/>
          <w:lang w:val="sl-SI"/>
        </w:rPr>
        <w:t xml:space="preserve">meril </w:t>
      </w:r>
      <w:r w:rsidRPr="00FF207E">
        <w:rPr>
          <w:rFonts w:cs="Arial"/>
          <w:szCs w:val="22"/>
          <w:lang w:val="sl-SI"/>
        </w:rPr>
        <w:t xml:space="preserve">s kazalniki za usmerjanje ukrepov in izbiro prednostnih skupin, predlog za oblikovanje nacionalnih ciljev na področju zmanjševanja energetske revščine </w:t>
      </w:r>
      <w:r w:rsidR="00E746C2" w:rsidRPr="00FF207E">
        <w:rPr>
          <w:rFonts w:cs="Arial"/>
          <w:szCs w:val="22"/>
          <w:lang w:val="sl-SI"/>
        </w:rPr>
        <w:t xml:space="preserve">ter </w:t>
      </w:r>
      <w:r w:rsidRPr="00FF207E">
        <w:rPr>
          <w:rFonts w:cs="Arial"/>
          <w:szCs w:val="22"/>
          <w:lang w:val="sl-SI"/>
        </w:rPr>
        <w:t xml:space="preserve">tehnike za ocenjevanje učinkov ukrepov. Na tej podlagi, na podlagi izvedenih delavnic in sestankov s ključnimi deležniki, pregleda dobrih praks iz tujine ter na </w:t>
      </w:r>
      <w:r w:rsidR="00196103" w:rsidRPr="00FF207E">
        <w:rPr>
          <w:rFonts w:cs="Arial"/>
          <w:szCs w:val="22"/>
          <w:lang w:val="sl-SI"/>
        </w:rPr>
        <w:t xml:space="preserve">podlagi veljavnih </w:t>
      </w:r>
      <w:r w:rsidRPr="00FF207E">
        <w:rPr>
          <w:rFonts w:cs="Arial"/>
          <w:szCs w:val="22"/>
          <w:lang w:val="sl-SI"/>
        </w:rPr>
        <w:t xml:space="preserve">ukrepov v Sloveniji je bil pripravljen predlog ukrepov za zmanjševanje energetske revščine, </w:t>
      </w:r>
      <w:r w:rsidR="00082556" w:rsidRPr="00FF207E">
        <w:rPr>
          <w:rFonts w:cs="Arial"/>
          <w:szCs w:val="22"/>
          <w:lang w:val="sl-SI"/>
        </w:rPr>
        <w:t>ki so</w:t>
      </w:r>
      <w:r w:rsidRPr="00FF207E">
        <w:rPr>
          <w:rFonts w:cs="Arial"/>
          <w:szCs w:val="22"/>
          <w:lang w:val="sl-SI"/>
        </w:rPr>
        <w:t xml:space="preserve"> </w:t>
      </w:r>
      <w:r w:rsidR="00E746C2" w:rsidRPr="00FF207E">
        <w:rPr>
          <w:rFonts w:cs="Arial"/>
          <w:szCs w:val="22"/>
          <w:lang w:val="sl-SI"/>
        </w:rPr>
        <w:t>bil</w:t>
      </w:r>
      <w:r w:rsidR="00082556" w:rsidRPr="00FF207E">
        <w:rPr>
          <w:rFonts w:cs="Arial"/>
          <w:szCs w:val="22"/>
          <w:lang w:val="sl-SI"/>
        </w:rPr>
        <w:t>i</w:t>
      </w:r>
      <w:r w:rsidR="00E746C2" w:rsidRPr="00FF207E">
        <w:rPr>
          <w:rFonts w:cs="Arial"/>
          <w:szCs w:val="22"/>
          <w:lang w:val="sl-SI"/>
        </w:rPr>
        <w:t xml:space="preserve"> </w:t>
      </w:r>
      <w:r w:rsidR="00196103" w:rsidRPr="00FF207E">
        <w:rPr>
          <w:rFonts w:cs="Arial"/>
          <w:szCs w:val="22"/>
          <w:lang w:val="sl-SI"/>
        </w:rPr>
        <w:t xml:space="preserve">podlaga </w:t>
      </w:r>
      <w:r w:rsidRPr="00FF207E">
        <w:rPr>
          <w:rFonts w:cs="Arial"/>
          <w:szCs w:val="22"/>
          <w:lang w:val="sl-SI"/>
        </w:rPr>
        <w:t xml:space="preserve">za pripravo </w:t>
      </w:r>
      <w:r w:rsidR="00723652" w:rsidRPr="00FF207E">
        <w:rPr>
          <w:rFonts w:cs="Arial"/>
          <w:szCs w:val="22"/>
          <w:lang w:val="sl-SI"/>
        </w:rPr>
        <w:t xml:space="preserve">tega </w:t>
      </w:r>
      <w:r w:rsidR="00E746C2" w:rsidRPr="00FF207E">
        <w:rPr>
          <w:rFonts w:cs="Arial"/>
          <w:szCs w:val="22"/>
          <w:lang w:val="sl-SI"/>
        </w:rPr>
        <w:t>akcijskega načrta</w:t>
      </w:r>
      <w:r w:rsidRPr="00FF207E">
        <w:rPr>
          <w:rFonts w:cs="Arial"/>
          <w:szCs w:val="22"/>
          <w:lang w:val="sl-SI"/>
        </w:rPr>
        <w:t>.</w:t>
      </w:r>
    </w:p>
    <w:p w14:paraId="350158F1" w14:textId="3C0C40E2" w:rsidR="004A0CE2" w:rsidRPr="00FF207E" w:rsidRDefault="00DC2A95" w:rsidP="001E304B">
      <w:pPr>
        <w:spacing w:after="60" w:line="276" w:lineRule="auto"/>
        <w:jc w:val="both"/>
        <w:rPr>
          <w:rFonts w:cs="Arial"/>
          <w:lang w:val="sl-SI"/>
        </w:rPr>
      </w:pPr>
      <w:r w:rsidRPr="00FF207E">
        <w:rPr>
          <w:rFonts w:cs="Arial"/>
          <w:b/>
          <w:color w:val="4F81BD" w:themeColor="accent1"/>
          <w:szCs w:val="22"/>
          <w:lang w:val="sl-SI"/>
        </w:rPr>
        <w:t>Sodelovanje z deležniki.</w:t>
      </w:r>
      <w:r w:rsidRPr="00FF207E">
        <w:rPr>
          <w:rFonts w:cs="Arial"/>
          <w:szCs w:val="22"/>
          <w:lang w:val="sl-SI"/>
        </w:rPr>
        <w:t xml:space="preserve"> V projekt </w:t>
      </w:r>
      <w:r w:rsidRPr="00FF207E">
        <w:rPr>
          <w:rFonts w:cs="Arial"/>
          <w:i/>
          <w:iCs/>
          <w:szCs w:val="22"/>
          <w:lang w:val="sl-SI"/>
        </w:rPr>
        <w:t>Preučitev in strokovne podlage za razvoj ukrepov za boj proti energetski revščini</w:t>
      </w:r>
      <w:r w:rsidR="00027697" w:rsidRPr="00FF207E">
        <w:rPr>
          <w:rFonts w:cs="Arial"/>
          <w:iCs/>
          <w:szCs w:val="22"/>
          <w:lang w:val="sl-SI"/>
        </w:rPr>
        <w:fldChar w:fldCharType="begin"/>
      </w:r>
      <w:r w:rsidR="00027697" w:rsidRPr="00FF207E">
        <w:rPr>
          <w:rFonts w:cs="Arial"/>
          <w:iCs/>
          <w:szCs w:val="22"/>
          <w:lang w:val="sl-SI"/>
        </w:rPr>
        <w:instrText xml:space="preserve"> NOTEREF _Ref137479916 \f \h  \* MERGEFORMAT </w:instrText>
      </w:r>
      <w:r w:rsidR="00027697" w:rsidRPr="00FF207E">
        <w:rPr>
          <w:rFonts w:cs="Arial"/>
          <w:iCs/>
          <w:szCs w:val="22"/>
          <w:lang w:val="sl-SI"/>
        </w:rPr>
      </w:r>
      <w:r w:rsidR="00027697" w:rsidRPr="00FF207E">
        <w:rPr>
          <w:rFonts w:cs="Arial"/>
          <w:iCs/>
          <w:szCs w:val="22"/>
          <w:lang w:val="sl-SI"/>
        </w:rPr>
        <w:fldChar w:fldCharType="separate"/>
      </w:r>
      <w:r w:rsidR="00F37FD1" w:rsidRPr="00FF207E">
        <w:rPr>
          <w:rStyle w:val="Sprotnaopomba-sklic"/>
          <w:lang w:val="sl-SI"/>
        </w:rPr>
        <w:t>2</w:t>
      </w:r>
      <w:r w:rsidR="00027697" w:rsidRPr="00FF207E">
        <w:rPr>
          <w:rFonts w:cs="Arial"/>
          <w:iCs/>
          <w:szCs w:val="22"/>
          <w:lang w:val="sl-SI"/>
        </w:rPr>
        <w:fldChar w:fldCharType="end"/>
      </w:r>
      <w:r w:rsidRPr="00FF207E">
        <w:rPr>
          <w:rFonts w:cs="Arial"/>
          <w:i/>
          <w:iCs/>
          <w:szCs w:val="22"/>
          <w:lang w:val="sl-SI"/>
        </w:rPr>
        <w:t xml:space="preserve"> </w:t>
      </w:r>
      <w:r w:rsidRPr="00FF207E">
        <w:rPr>
          <w:rFonts w:cs="Arial"/>
          <w:lang w:val="sl-SI"/>
        </w:rPr>
        <w:t xml:space="preserve">so se že od samega začetka lahko </w:t>
      </w:r>
      <w:r w:rsidR="00723652" w:rsidRPr="00FF207E">
        <w:rPr>
          <w:rFonts w:cs="Arial"/>
          <w:lang w:val="sl-SI"/>
        </w:rPr>
        <w:t xml:space="preserve">prek delavnic in sestankov </w:t>
      </w:r>
      <w:r w:rsidRPr="00FF207E">
        <w:rPr>
          <w:rFonts w:cs="Arial"/>
          <w:lang w:val="sl-SI"/>
        </w:rPr>
        <w:t xml:space="preserve">vključevali tudi različni pomembni akterji/deležniki, ki delujejo na področju energetske revščine tako na </w:t>
      </w:r>
      <w:r w:rsidR="00F7294A" w:rsidRPr="00FF207E">
        <w:rPr>
          <w:rFonts w:cs="Arial"/>
          <w:lang w:val="sl-SI"/>
        </w:rPr>
        <w:t>državni</w:t>
      </w:r>
      <w:r w:rsidRPr="00FF207E">
        <w:rPr>
          <w:rFonts w:cs="Arial"/>
          <w:lang w:val="sl-SI"/>
        </w:rPr>
        <w:t xml:space="preserve"> kot tudi na lokalnih/regionalnih ravneh. Organiziranih je bilo več sestankov oz</w:t>
      </w:r>
      <w:r w:rsidR="00B77973" w:rsidRPr="00FF207E">
        <w:rPr>
          <w:rFonts w:cs="Arial"/>
          <w:lang w:val="sl-SI"/>
        </w:rPr>
        <w:t>iroma</w:t>
      </w:r>
      <w:r w:rsidRPr="00FF207E">
        <w:rPr>
          <w:rFonts w:cs="Arial"/>
          <w:lang w:val="sl-SI"/>
        </w:rPr>
        <w:t xml:space="preserve"> srečanj (</w:t>
      </w:r>
      <w:r w:rsidR="00B77973" w:rsidRPr="00FF207E">
        <w:rPr>
          <w:rFonts w:cs="Arial"/>
          <w:lang w:val="sl-SI"/>
        </w:rPr>
        <w:t>na primer</w:t>
      </w:r>
      <w:r w:rsidRPr="00FF207E">
        <w:rPr>
          <w:rFonts w:cs="Arial"/>
          <w:lang w:val="sl-SI"/>
        </w:rPr>
        <w:t xml:space="preserve"> z </w:t>
      </w:r>
      <w:proofErr w:type="spellStart"/>
      <w:r w:rsidRPr="00FF207E">
        <w:rPr>
          <w:rFonts w:cs="Arial"/>
          <w:lang w:val="sl-SI"/>
        </w:rPr>
        <w:t>Eko</w:t>
      </w:r>
      <w:proofErr w:type="spellEnd"/>
      <w:r w:rsidRPr="00FF207E">
        <w:rPr>
          <w:rFonts w:cs="Arial"/>
          <w:lang w:val="sl-SI"/>
        </w:rPr>
        <w:t xml:space="preserve"> skladom, lokalnimi energetskimi agencijami (LEA), humanitarnimi organizacijami, centri za socialno delo (CSD)</w:t>
      </w:r>
      <w:r w:rsidR="00A41C9B" w:rsidRPr="00FF207E">
        <w:rPr>
          <w:rFonts w:cs="Arial"/>
          <w:lang w:val="sl-SI"/>
        </w:rPr>
        <w:t>) in</w:t>
      </w:r>
      <w:r w:rsidRPr="00FF207E">
        <w:rPr>
          <w:rFonts w:cs="Arial"/>
          <w:lang w:val="sl-SI"/>
        </w:rPr>
        <w:t xml:space="preserve"> delavnica za oblikovanje ukrepov za zmanjševanje energetske revščine. </w:t>
      </w:r>
      <w:r w:rsidR="00A41C9B" w:rsidRPr="00FF207E">
        <w:rPr>
          <w:rFonts w:cs="Arial"/>
          <w:lang w:val="sl-SI"/>
        </w:rPr>
        <w:t xml:space="preserve">Dodatno sta bili dve delavnici organizirani še v času </w:t>
      </w:r>
      <w:r w:rsidR="002A0284" w:rsidRPr="00FF207E">
        <w:rPr>
          <w:rFonts w:cs="Arial"/>
          <w:lang w:val="sl-SI"/>
        </w:rPr>
        <w:t xml:space="preserve">priprave </w:t>
      </w:r>
      <w:r w:rsidR="00723652" w:rsidRPr="00FF207E">
        <w:rPr>
          <w:rFonts w:cs="Arial"/>
          <w:lang w:val="sl-SI"/>
        </w:rPr>
        <w:t>osnutka akcijskega načrta</w:t>
      </w:r>
      <w:r w:rsidR="002A0284" w:rsidRPr="00FF207E">
        <w:rPr>
          <w:rFonts w:cs="Arial"/>
          <w:lang w:val="sl-SI"/>
        </w:rPr>
        <w:t xml:space="preserve">, in sicer je bila prva namenjena vprašanju povezovanja politik za </w:t>
      </w:r>
      <w:r w:rsidR="00B266A4" w:rsidRPr="00FF207E">
        <w:rPr>
          <w:rFonts w:cs="Arial"/>
          <w:lang w:val="sl-SI"/>
        </w:rPr>
        <w:t xml:space="preserve">usklajeno </w:t>
      </w:r>
      <w:r w:rsidR="00D21E59" w:rsidRPr="00FF207E">
        <w:rPr>
          <w:rFonts w:cs="Arial"/>
          <w:lang w:val="sl-SI"/>
        </w:rPr>
        <w:t xml:space="preserve">spopadanje z </w:t>
      </w:r>
      <w:r w:rsidR="002A0284" w:rsidRPr="00FF207E">
        <w:rPr>
          <w:rFonts w:cs="Arial"/>
          <w:lang w:val="sl-SI"/>
        </w:rPr>
        <w:t>izziv</w:t>
      </w:r>
      <w:r w:rsidR="00D21E59" w:rsidRPr="00FF207E">
        <w:rPr>
          <w:rFonts w:cs="Arial"/>
          <w:lang w:val="sl-SI"/>
        </w:rPr>
        <w:t>om</w:t>
      </w:r>
      <w:r w:rsidR="002A0284" w:rsidRPr="00FF207E">
        <w:rPr>
          <w:rFonts w:cs="Arial"/>
          <w:lang w:val="sl-SI"/>
        </w:rPr>
        <w:t xml:space="preserve"> energetske revščine, druga pa neformalni mreži za informiranje in ozaveščanje energetsko revnih. </w:t>
      </w:r>
      <w:r w:rsidRPr="00FF207E">
        <w:rPr>
          <w:rFonts w:cs="Arial"/>
          <w:lang w:val="sl-SI"/>
        </w:rPr>
        <w:t>Informacije in predlogi deležnikov s teh sestankov</w:t>
      </w:r>
      <w:r w:rsidR="002A0284" w:rsidRPr="00FF207E">
        <w:rPr>
          <w:rFonts w:cs="Arial"/>
          <w:lang w:val="sl-SI"/>
        </w:rPr>
        <w:t>,</w:t>
      </w:r>
      <w:r w:rsidRPr="00FF207E">
        <w:rPr>
          <w:rFonts w:cs="Arial"/>
          <w:lang w:val="sl-SI"/>
        </w:rPr>
        <w:t xml:space="preserve"> srečanj</w:t>
      </w:r>
      <w:r w:rsidR="002A0284" w:rsidRPr="00FF207E">
        <w:rPr>
          <w:rFonts w:cs="Arial"/>
          <w:lang w:val="sl-SI"/>
        </w:rPr>
        <w:t xml:space="preserve"> in delavnic</w:t>
      </w:r>
      <w:r w:rsidRPr="00FF207E">
        <w:rPr>
          <w:rFonts w:cs="Arial"/>
          <w:lang w:val="sl-SI"/>
        </w:rPr>
        <w:t xml:space="preserve"> so bili upoštevani pri pripravi politik in ukrepov.</w:t>
      </w:r>
    </w:p>
    <w:p w14:paraId="31EFDE04" w14:textId="77777777" w:rsidR="002A0284" w:rsidRPr="00FF207E" w:rsidRDefault="002A0284" w:rsidP="001E304B">
      <w:pPr>
        <w:spacing w:after="60" w:line="276" w:lineRule="auto"/>
        <w:jc w:val="both"/>
        <w:rPr>
          <w:rFonts w:cs="Arial"/>
          <w:lang w:val="sl-SI"/>
        </w:rPr>
      </w:pPr>
    </w:p>
    <w:p w14:paraId="0A29A9A5" w14:textId="5F61A4F6" w:rsidR="008130A6" w:rsidRPr="00FF207E" w:rsidRDefault="00DC54A8" w:rsidP="001E304B">
      <w:pPr>
        <w:pStyle w:val="Naslov1"/>
        <w:numPr>
          <w:ilvl w:val="0"/>
          <w:numId w:val="2"/>
        </w:numPr>
        <w:jc w:val="both"/>
        <w:rPr>
          <w:lang w:val="sl-SI"/>
        </w:rPr>
      </w:pPr>
      <w:bookmarkStart w:id="21" w:name="_Ref136344611"/>
      <w:bookmarkStart w:id="22" w:name="_Ref136359789"/>
      <w:bookmarkStart w:id="23" w:name="_Toc151148779"/>
      <w:r w:rsidRPr="00FF207E">
        <w:rPr>
          <w:lang w:val="sl-SI"/>
        </w:rPr>
        <w:lastRenderedPageBreak/>
        <w:t xml:space="preserve">Cilji </w:t>
      </w:r>
      <w:r w:rsidR="00AB5314" w:rsidRPr="00FF207E">
        <w:rPr>
          <w:lang w:val="sl-SI"/>
        </w:rPr>
        <w:t>na področju</w:t>
      </w:r>
      <w:r w:rsidRPr="00FF207E">
        <w:rPr>
          <w:lang w:val="sl-SI"/>
        </w:rPr>
        <w:t xml:space="preserve"> zmanjševanj</w:t>
      </w:r>
      <w:r w:rsidR="00AB5314" w:rsidRPr="00FF207E">
        <w:rPr>
          <w:lang w:val="sl-SI"/>
        </w:rPr>
        <w:t>a</w:t>
      </w:r>
      <w:r w:rsidRPr="00FF207E">
        <w:rPr>
          <w:lang w:val="sl-SI"/>
        </w:rPr>
        <w:t xml:space="preserve"> energetske revščine</w:t>
      </w:r>
      <w:bookmarkEnd w:id="21"/>
      <w:bookmarkEnd w:id="22"/>
      <w:bookmarkEnd w:id="23"/>
    </w:p>
    <w:p w14:paraId="656EEB17" w14:textId="268F8584" w:rsidR="001C1AA8" w:rsidRPr="00FF207E" w:rsidRDefault="001C1AA8" w:rsidP="001E304B">
      <w:pPr>
        <w:pStyle w:val="Naslov2"/>
        <w:jc w:val="both"/>
        <w:rPr>
          <w:lang w:val="sl-SI"/>
        </w:rPr>
      </w:pPr>
      <w:bookmarkStart w:id="24" w:name="_Ref150249089"/>
      <w:bookmarkStart w:id="25" w:name="_Ref150324805"/>
      <w:bookmarkStart w:id="26" w:name="_Toc151148780"/>
      <w:r w:rsidRPr="00FF207E">
        <w:rPr>
          <w:lang w:val="sl-SI"/>
        </w:rPr>
        <w:t>Cilji do leta 2030</w:t>
      </w:r>
      <w:bookmarkEnd w:id="24"/>
      <w:bookmarkEnd w:id="25"/>
      <w:bookmarkEnd w:id="26"/>
    </w:p>
    <w:p w14:paraId="51D61452" w14:textId="36E6E784" w:rsidR="00C70A3B" w:rsidRPr="00FF207E" w:rsidRDefault="00C70A3B" w:rsidP="001E304B">
      <w:pPr>
        <w:spacing w:after="240"/>
        <w:jc w:val="both"/>
        <w:rPr>
          <w:lang w:val="sl-SI"/>
        </w:rPr>
      </w:pPr>
      <w:r w:rsidRPr="00FF207E">
        <w:rPr>
          <w:lang w:val="sl-SI"/>
        </w:rPr>
        <w:t xml:space="preserve">Na področju zmanjševanja energetske revščine </w:t>
      </w:r>
      <w:r w:rsidR="002C3264" w:rsidRPr="00FF207E">
        <w:rPr>
          <w:lang w:val="sl-SI"/>
        </w:rPr>
        <w:t xml:space="preserve">so </w:t>
      </w:r>
      <w:r w:rsidR="00A316C2" w:rsidRPr="00FF207E">
        <w:rPr>
          <w:lang w:val="sl-SI"/>
        </w:rPr>
        <w:t xml:space="preserve">za leto 2030 </w:t>
      </w:r>
      <w:r w:rsidR="002C3264" w:rsidRPr="00FF207E">
        <w:rPr>
          <w:lang w:val="sl-SI"/>
        </w:rPr>
        <w:t xml:space="preserve">zastavljeni trije </w:t>
      </w:r>
      <w:r w:rsidR="00A316C2" w:rsidRPr="00FF207E">
        <w:rPr>
          <w:lang w:val="sl-SI"/>
        </w:rPr>
        <w:t>cilj</w:t>
      </w:r>
      <w:r w:rsidR="002C3264" w:rsidRPr="00FF207E">
        <w:rPr>
          <w:lang w:val="sl-SI"/>
        </w:rPr>
        <w:t>i</w:t>
      </w:r>
      <w:r w:rsidR="00A316C2" w:rsidRPr="00FF207E">
        <w:rPr>
          <w:lang w:val="sl-SI"/>
        </w:rPr>
        <w:t xml:space="preserve">. </w:t>
      </w:r>
      <w:r w:rsidR="002C3264" w:rsidRPr="00FF207E">
        <w:rPr>
          <w:lang w:val="sl-SI"/>
        </w:rPr>
        <w:t xml:space="preserve">Dva od njih sta že vključena v osnutek </w:t>
      </w:r>
      <w:r w:rsidR="002C3264" w:rsidRPr="00FF207E">
        <w:rPr>
          <w:rFonts w:cs="Arial"/>
          <w:szCs w:val="22"/>
          <w:lang w:val="sl-SI"/>
        </w:rPr>
        <w:t>predloga posodobitve NEPN</w:t>
      </w:r>
      <w:r w:rsidR="002C3264" w:rsidRPr="00FF207E">
        <w:rPr>
          <w:rFonts w:cs="Arial"/>
          <w:szCs w:val="22"/>
          <w:lang w:val="sl-SI"/>
        </w:rPr>
        <w:fldChar w:fldCharType="begin"/>
      </w:r>
      <w:r w:rsidR="002C3264" w:rsidRPr="00FF207E">
        <w:rPr>
          <w:rFonts w:cs="Arial"/>
          <w:szCs w:val="22"/>
          <w:lang w:val="sl-SI"/>
        </w:rPr>
        <w:instrText xml:space="preserve"> NOTEREF _Ref150249854 \f \h </w:instrText>
      </w:r>
      <w:r w:rsidR="002C3264" w:rsidRPr="00FF207E">
        <w:rPr>
          <w:rFonts w:cs="Arial"/>
          <w:szCs w:val="22"/>
          <w:lang w:val="sl-SI"/>
        </w:rPr>
      </w:r>
      <w:r w:rsidR="00FF207E">
        <w:rPr>
          <w:rFonts w:cs="Arial"/>
          <w:szCs w:val="22"/>
          <w:lang w:val="sl-SI"/>
        </w:rPr>
        <w:instrText xml:space="preserve"> \* MERGEFORMAT </w:instrText>
      </w:r>
      <w:r w:rsidR="002C3264" w:rsidRPr="00FF207E">
        <w:rPr>
          <w:rFonts w:cs="Arial"/>
          <w:szCs w:val="22"/>
          <w:lang w:val="sl-SI"/>
        </w:rPr>
        <w:fldChar w:fldCharType="separate"/>
      </w:r>
      <w:r w:rsidR="00F37FD1" w:rsidRPr="00FF207E">
        <w:rPr>
          <w:rStyle w:val="Sprotnaopomba-sklic"/>
          <w:lang w:val="sl-SI"/>
        </w:rPr>
        <w:t>6</w:t>
      </w:r>
      <w:r w:rsidR="002C3264" w:rsidRPr="00FF207E">
        <w:rPr>
          <w:rFonts w:cs="Arial"/>
          <w:szCs w:val="22"/>
          <w:lang w:val="sl-SI"/>
        </w:rPr>
        <w:fldChar w:fldCharType="end"/>
      </w:r>
      <w:r w:rsidR="002C3264" w:rsidRPr="00FF207E">
        <w:rPr>
          <w:rFonts w:cs="Arial"/>
          <w:szCs w:val="22"/>
          <w:lang w:val="sl-SI"/>
        </w:rPr>
        <w:t xml:space="preserve">, </w:t>
      </w:r>
      <w:r w:rsidR="00F65BEB" w:rsidRPr="00FF207E">
        <w:rPr>
          <w:rFonts w:cs="Arial"/>
          <w:szCs w:val="22"/>
          <w:lang w:val="sl-SI"/>
        </w:rPr>
        <w:t>s katerim se je Vlada R</w:t>
      </w:r>
      <w:r w:rsidR="00943875" w:rsidRPr="00FF207E">
        <w:rPr>
          <w:rFonts w:cs="Arial"/>
          <w:szCs w:val="22"/>
          <w:lang w:val="sl-SI"/>
        </w:rPr>
        <w:t xml:space="preserve">epublike </w:t>
      </w:r>
      <w:r w:rsidR="00F65BEB" w:rsidRPr="00FF207E">
        <w:rPr>
          <w:rFonts w:cs="Arial"/>
          <w:szCs w:val="22"/>
          <w:lang w:val="sl-SI"/>
        </w:rPr>
        <w:t>S</w:t>
      </w:r>
      <w:r w:rsidR="00943875" w:rsidRPr="00FF207E">
        <w:rPr>
          <w:rFonts w:cs="Arial"/>
          <w:szCs w:val="22"/>
          <w:lang w:val="sl-SI"/>
        </w:rPr>
        <w:t>lovenije</w:t>
      </w:r>
      <w:r w:rsidR="00F65BEB" w:rsidRPr="00FF207E">
        <w:rPr>
          <w:rFonts w:cs="Arial"/>
          <w:szCs w:val="22"/>
          <w:lang w:val="sl-SI"/>
        </w:rPr>
        <w:t xml:space="preserve"> seznanila junija 2023, tretji pa izhaja iz 8. člena nove EED in bo </w:t>
      </w:r>
      <w:r w:rsidR="00014F5D" w:rsidRPr="00FF207E">
        <w:rPr>
          <w:rFonts w:cs="Arial"/>
          <w:szCs w:val="22"/>
          <w:lang w:val="sl-SI"/>
        </w:rPr>
        <w:t xml:space="preserve">dokončno oblikovan in </w:t>
      </w:r>
      <w:r w:rsidR="00F65BEB" w:rsidRPr="00FF207E">
        <w:rPr>
          <w:rFonts w:cs="Arial"/>
          <w:szCs w:val="22"/>
          <w:lang w:val="sl-SI"/>
        </w:rPr>
        <w:t>vključen v končn</w:t>
      </w:r>
      <w:r w:rsidR="00966E71" w:rsidRPr="00FF207E">
        <w:rPr>
          <w:rFonts w:cs="Arial"/>
          <w:szCs w:val="22"/>
          <w:lang w:val="sl-SI"/>
        </w:rPr>
        <w:t>o</w:t>
      </w:r>
      <w:r w:rsidR="00F65BEB" w:rsidRPr="00FF207E">
        <w:rPr>
          <w:rFonts w:cs="Arial"/>
          <w:szCs w:val="22"/>
          <w:lang w:val="sl-SI"/>
        </w:rPr>
        <w:t xml:space="preserve"> verzij</w:t>
      </w:r>
      <w:r w:rsidR="00966E71" w:rsidRPr="00FF207E">
        <w:rPr>
          <w:rFonts w:cs="Arial"/>
          <w:szCs w:val="22"/>
          <w:lang w:val="sl-SI"/>
        </w:rPr>
        <w:t>o</w:t>
      </w:r>
      <w:r w:rsidR="00F65BEB" w:rsidRPr="00FF207E">
        <w:rPr>
          <w:rFonts w:cs="Arial"/>
          <w:szCs w:val="22"/>
          <w:lang w:val="sl-SI"/>
        </w:rPr>
        <w:t xml:space="preserve"> posodobitve NEPN.</w:t>
      </w:r>
      <w:r w:rsidR="002C3264" w:rsidRPr="00FF207E">
        <w:rPr>
          <w:lang w:val="sl-SI"/>
        </w:rPr>
        <w:t xml:space="preserve"> </w:t>
      </w:r>
      <w:r w:rsidR="00F65BEB" w:rsidRPr="00FF207E">
        <w:rPr>
          <w:lang w:val="sl-SI"/>
        </w:rPr>
        <w:t xml:space="preserve">Vsi cilji bodo lahko doseženi </w:t>
      </w:r>
      <w:r w:rsidR="001C1AA8" w:rsidRPr="00FF207E">
        <w:rPr>
          <w:lang w:val="sl-SI"/>
        </w:rPr>
        <w:t xml:space="preserve"> samo, če bodo </w:t>
      </w:r>
      <w:r w:rsidR="00A316C2" w:rsidRPr="00FF207E">
        <w:rPr>
          <w:lang w:val="sl-SI"/>
        </w:rPr>
        <w:t>vzpostavljen</w:t>
      </w:r>
      <w:r w:rsidR="00D55FFB" w:rsidRPr="00FF207E">
        <w:rPr>
          <w:lang w:val="sl-SI"/>
        </w:rPr>
        <w:t>e</w:t>
      </w:r>
      <w:r w:rsidR="00A316C2" w:rsidRPr="00FF207E">
        <w:rPr>
          <w:lang w:val="sl-SI"/>
        </w:rPr>
        <w:t xml:space="preserve"> ustrezn</w:t>
      </w:r>
      <w:r w:rsidR="00D55FFB" w:rsidRPr="00FF207E">
        <w:rPr>
          <w:lang w:val="sl-SI"/>
        </w:rPr>
        <w:t>e</w:t>
      </w:r>
      <w:r w:rsidR="00A316C2" w:rsidRPr="00FF207E">
        <w:rPr>
          <w:lang w:val="sl-SI"/>
        </w:rPr>
        <w:t xml:space="preserve"> </w:t>
      </w:r>
      <w:r w:rsidR="00D55FFB" w:rsidRPr="00FF207E">
        <w:rPr>
          <w:lang w:val="sl-SI"/>
        </w:rPr>
        <w:t xml:space="preserve">razmere </w:t>
      </w:r>
      <w:r w:rsidR="00FC3718" w:rsidRPr="00FF207E">
        <w:rPr>
          <w:lang w:val="sl-SI"/>
        </w:rPr>
        <w:t xml:space="preserve">za izvajanje ukrepov iz </w:t>
      </w:r>
      <w:r w:rsidR="00F65BEB" w:rsidRPr="00FF207E">
        <w:rPr>
          <w:lang w:val="sl-SI"/>
        </w:rPr>
        <w:t xml:space="preserve">tega in naslednjih akcijskih </w:t>
      </w:r>
      <w:r w:rsidR="00FC3718" w:rsidRPr="00FF207E">
        <w:rPr>
          <w:lang w:val="sl-SI"/>
        </w:rPr>
        <w:t>načrt</w:t>
      </w:r>
      <w:r w:rsidR="00F65BEB" w:rsidRPr="00FF207E">
        <w:rPr>
          <w:lang w:val="sl-SI"/>
        </w:rPr>
        <w:t>ov</w:t>
      </w:r>
      <w:r w:rsidR="009C058A" w:rsidRPr="00FF207E">
        <w:rPr>
          <w:lang w:val="sl-SI"/>
        </w:rPr>
        <w:t xml:space="preserve"> za zmanjševanje energetske revščine</w:t>
      </w:r>
      <w:r w:rsidR="00FC3718" w:rsidRPr="00FF207E">
        <w:rPr>
          <w:lang w:val="sl-SI"/>
        </w:rPr>
        <w:t xml:space="preserve"> </w:t>
      </w:r>
      <w:r w:rsidR="00A316C2" w:rsidRPr="00FF207E">
        <w:rPr>
          <w:lang w:val="sl-SI"/>
        </w:rPr>
        <w:t xml:space="preserve">(zagotovljena sredstva, kadri za vzpostavitev in delovanje načrtovane sheme za zmanjševanje energetske revščine </w:t>
      </w:r>
      <w:r w:rsidR="00B77973" w:rsidRPr="00FF207E">
        <w:rPr>
          <w:lang w:val="sl-SI"/>
        </w:rPr>
        <w:t>in tako dalje</w:t>
      </w:r>
      <w:r w:rsidR="00A316C2" w:rsidRPr="00FF207E">
        <w:rPr>
          <w:lang w:val="sl-SI"/>
        </w:rPr>
        <w:t>)</w:t>
      </w:r>
      <w:r w:rsidR="00780BEA" w:rsidRPr="00FF207E">
        <w:rPr>
          <w:lang w:val="sl-SI"/>
        </w:rPr>
        <w:t xml:space="preserve">. </w:t>
      </w:r>
      <w:r w:rsidR="00440676" w:rsidRPr="00FF207E">
        <w:rPr>
          <w:lang w:val="sl-SI"/>
        </w:rPr>
        <w:t>Za d</w:t>
      </w:r>
      <w:r w:rsidR="00780BEA" w:rsidRPr="00FF207E">
        <w:rPr>
          <w:lang w:val="sl-SI"/>
        </w:rPr>
        <w:t xml:space="preserve">oseganje </w:t>
      </w:r>
      <w:r w:rsidR="00267B42" w:rsidRPr="00FF207E">
        <w:rPr>
          <w:lang w:val="sl-SI"/>
        </w:rPr>
        <w:t>krovnega</w:t>
      </w:r>
      <w:r w:rsidR="00780BEA" w:rsidRPr="00FF207E">
        <w:rPr>
          <w:lang w:val="sl-SI"/>
        </w:rPr>
        <w:t xml:space="preserve"> cilja </w:t>
      </w:r>
      <w:r w:rsidR="00966E71" w:rsidRPr="00FF207E">
        <w:rPr>
          <w:lang w:val="sl-SI"/>
        </w:rPr>
        <w:t>je</w:t>
      </w:r>
      <w:r w:rsidR="00440676" w:rsidRPr="00FF207E">
        <w:rPr>
          <w:lang w:val="sl-SI"/>
        </w:rPr>
        <w:t xml:space="preserve"> </w:t>
      </w:r>
      <w:r w:rsidR="00780BEA" w:rsidRPr="00FF207E">
        <w:rPr>
          <w:lang w:val="sl-SI"/>
        </w:rPr>
        <w:t xml:space="preserve">poleg tega </w:t>
      </w:r>
      <w:r w:rsidR="009C058A" w:rsidRPr="00FF207E">
        <w:rPr>
          <w:lang w:val="sl-SI"/>
        </w:rPr>
        <w:t>treba zagotoviti</w:t>
      </w:r>
      <w:r w:rsidR="00440676" w:rsidRPr="00FF207E">
        <w:rPr>
          <w:lang w:val="sl-SI"/>
        </w:rPr>
        <w:t xml:space="preserve"> tudi</w:t>
      </w:r>
      <w:r w:rsidR="008A4454" w:rsidRPr="00FF207E">
        <w:rPr>
          <w:lang w:val="sl-SI"/>
        </w:rPr>
        <w:t xml:space="preserve"> </w:t>
      </w:r>
      <w:r w:rsidR="003249EA" w:rsidRPr="00FF207E">
        <w:rPr>
          <w:lang w:val="sl-SI"/>
        </w:rPr>
        <w:t xml:space="preserve">dejavno </w:t>
      </w:r>
      <w:r w:rsidR="00440676" w:rsidRPr="00FF207E">
        <w:rPr>
          <w:lang w:val="sl-SI"/>
        </w:rPr>
        <w:t>z</w:t>
      </w:r>
      <w:r w:rsidR="008A4454" w:rsidRPr="00FF207E">
        <w:rPr>
          <w:lang w:val="sl-SI"/>
        </w:rPr>
        <w:t xml:space="preserve">manjševanje in preprečevanje energetske revščine v okviru razvojne, </w:t>
      </w:r>
      <w:r w:rsidR="00440676" w:rsidRPr="00FF207E">
        <w:rPr>
          <w:lang w:val="sl-SI"/>
        </w:rPr>
        <w:t xml:space="preserve">plačne, zaposlitvene, </w:t>
      </w:r>
      <w:r w:rsidR="008A4454" w:rsidRPr="00FF207E">
        <w:rPr>
          <w:lang w:val="sl-SI"/>
        </w:rPr>
        <w:t xml:space="preserve">davčne, stanovanjske, socialne in drugih </w:t>
      </w:r>
      <w:r w:rsidR="00AB5B90" w:rsidRPr="00FF207E">
        <w:rPr>
          <w:lang w:val="sl-SI"/>
        </w:rPr>
        <w:t xml:space="preserve">pomembnih </w:t>
      </w:r>
      <w:r w:rsidR="008A4454" w:rsidRPr="00FF207E">
        <w:rPr>
          <w:lang w:val="sl-SI"/>
        </w:rPr>
        <w:t>politik</w:t>
      </w:r>
      <w:r w:rsidR="006B5A34" w:rsidRPr="00FF207E">
        <w:rPr>
          <w:lang w:val="sl-SI"/>
        </w:rPr>
        <w:t>.</w:t>
      </w:r>
    </w:p>
    <w:p w14:paraId="55C5E787" w14:textId="77777777" w:rsidR="00DC54A8" w:rsidRPr="00FF207E" w:rsidRDefault="00DC54A8" w:rsidP="001E304B">
      <w:pPr>
        <w:spacing w:after="120"/>
        <w:jc w:val="both"/>
        <w:rPr>
          <w:rFonts w:cs="Arial"/>
          <w:szCs w:val="22"/>
          <w:lang w:val="sl-SI"/>
        </w:rPr>
      </w:pPr>
      <w:r w:rsidRPr="00FF207E">
        <w:rPr>
          <w:noProof/>
          <w:color w:val="4F81BD" w:themeColor="accent1"/>
          <w:lang w:val="sl-SI" w:eastAsia="sl-SI"/>
        </w:rPr>
        <mc:AlternateContent>
          <mc:Choice Requires="wps">
            <w:drawing>
              <wp:inline distT="0" distB="0" distL="0" distR="0" wp14:anchorId="244FF6E5" wp14:editId="114799CD">
                <wp:extent cx="5760720" cy="1054563"/>
                <wp:effectExtent l="12700" t="12700" r="17780" b="12700"/>
                <wp:docPr id="1152" name="Rectangle: Rounded Corners 1152"/>
                <wp:cNvGraphicFramePr/>
                <a:graphic xmlns:a="http://schemas.openxmlformats.org/drawingml/2006/main">
                  <a:graphicData uri="http://schemas.microsoft.com/office/word/2010/wordprocessingShape">
                    <wps:wsp>
                      <wps:cNvSpPr/>
                      <wps:spPr>
                        <a:xfrm>
                          <a:off x="0" y="0"/>
                          <a:ext cx="5760720" cy="1054563"/>
                        </a:xfrm>
                        <a:prstGeom prst="roundRect">
                          <a:avLst>
                            <a:gd name="adj" fmla="val 5866"/>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382419" w14:textId="190D7BA4" w:rsidR="008140B0" w:rsidRPr="00683FA5" w:rsidRDefault="008140B0" w:rsidP="00DC54A8">
                            <w:pPr>
                              <w:spacing w:after="120"/>
                              <w:ind w:left="340" w:right="301" w:hanging="340"/>
                              <w:rPr>
                                <w:rFonts w:cs="Arial"/>
                                <w:b/>
                                <w:smallCaps/>
                                <w:color w:val="4F81BD" w:themeColor="accent1"/>
                                <w:lang w:val="sl-SI"/>
                              </w:rPr>
                            </w:pPr>
                            <w:r>
                              <w:rPr>
                                <w:rFonts w:cs="Arial"/>
                                <w:b/>
                                <w:smallCaps/>
                                <w:color w:val="4F81BD" w:themeColor="accent1"/>
                                <w:lang w:val="sl-SI"/>
                              </w:rPr>
                              <w:t>1.</w:t>
                            </w:r>
                            <w:r>
                              <w:rPr>
                                <w:rFonts w:cs="Arial"/>
                                <w:b/>
                                <w:smallCaps/>
                                <w:color w:val="4F81BD" w:themeColor="accent1"/>
                                <w:lang w:val="sl-SI"/>
                              </w:rPr>
                              <w:tab/>
                              <w:t>Krovni cilj za zmanjševanje energetske revščine</w:t>
                            </w:r>
                          </w:p>
                          <w:p w14:paraId="08CDAF2C" w14:textId="170D11AB" w:rsidR="008140B0" w:rsidRPr="00A46FBD" w:rsidRDefault="008140B0" w:rsidP="0089245A">
                            <w:pPr>
                              <w:spacing w:after="120"/>
                              <w:ind w:right="301"/>
                              <w:jc w:val="both"/>
                              <w:rPr>
                                <w:rFonts w:cs="Arial"/>
                                <w:color w:val="4F81BD" w:themeColor="accent1"/>
                                <w:szCs w:val="22"/>
                                <w:lang w:val="sl-SI"/>
                              </w:rPr>
                            </w:pPr>
                            <w:r>
                              <w:rPr>
                                <w:rFonts w:cs="Arial"/>
                                <w:color w:val="4F81BD" w:themeColor="accent1"/>
                                <w:szCs w:val="22"/>
                                <w:lang w:val="sl-SI"/>
                              </w:rPr>
                              <w:t>Krovni c</w:t>
                            </w:r>
                            <w:r w:rsidRPr="00774BF5">
                              <w:rPr>
                                <w:rFonts w:cs="Arial"/>
                                <w:color w:val="4F81BD" w:themeColor="accent1"/>
                                <w:szCs w:val="22"/>
                                <w:lang w:val="sl-SI"/>
                              </w:rPr>
                              <w:t xml:space="preserve">ilj na področju energetske revščine do leta 2030 je zmanjšanje deleža energetsko revnih gospodinjstev do vrednosti </w:t>
                            </w:r>
                            <w:r>
                              <w:rPr>
                                <w:rFonts w:cs="Arial"/>
                                <w:color w:val="4F81BD" w:themeColor="accent1"/>
                                <w:szCs w:val="22"/>
                                <w:lang w:val="sl-SI"/>
                              </w:rPr>
                              <w:t>največ</w:t>
                            </w:r>
                            <w:r w:rsidRPr="00774BF5">
                              <w:rPr>
                                <w:rFonts w:cs="Arial"/>
                                <w:color w:val="4F81BD" w:themeColor="accent1"/>
                                <w:szCs w:val="22"/>
                                <w:lang w:val="sl-SI"/>
                              </w:rPr>
                              <w:t xml:space="preserve"> </w:t>
                            </w:r>
                            <w:r>
                              <w:rPr>
                                <w:rFonts w:cs="Arial"/>
                                <w:color w:val="4F81BD" w:themeColor="accent1"/>
                                <w:szCs w:val="22"/>
                                <w:lang w:val="sl-SI"/>
                              </w:rPr>
                              <w:t xml:space="preserve">med </w:t>
                            </w:r>
                            <w:r w:rsidRPr="00774BF5">
                              <w:rPr>
                                <w:rFonts w:cs="Arial"/>
                                <w:color w:val="4F81BD" w:themeColor="accent1"/>
                                <w:szCs w:val="22"/>
                                <w:lang w:val="sl-SI"/>
                              </w:rPr>
                              <w:t xml:space="preserve">3,8 </w:t>
                            </w:r>
                            <w:r>
                              <w:rPr>
                                <w:rFonts w:cs="Arial"/>
                                <w:color w:val="4F81BD" w:themeColor="accent1"/>
                                <w:szCs w:val="22"/>
                                <w:lang w:val="sl-SI"/>
                              </w:rPr>
                              <w:t xml:space="preserve">in </w:t>
                            </w:r>
                            <w:r w:rsidRPr="00774BF5">
                              <w:rPr>
                                <w:rFonts w:cs="Arial"/>
                                <w:color w:val="4F81BD" w:themeColor="accent1"/>
                                <w:szCs w:val="22"/>
                                <w:lang w:val="sl-SI"/>
                              </w:rPr>
                              <w:t xml:space="preserve">4,6 </w:t>
                            </w:r>
                            <w:r>
                              <w:rPr>
                                <w:rFonts w:cs="Arial"/>
                                <w:color w:val="4F81BD" w:themeColor="accent1"/>
                                <w:szCs w:val="22"/>
                                <w:lang w:val="sl-SI"/>
                              </w:rPr>
                              <w:t>odstotka</w:t>
                            </w:r>
                            <w:r w:rsidRPr="00774BF5">
                              <w:rPr>
                                <w:rFonts w:cs="Arial"/>
                                <w:color w:val="4F81BD" w:themeColor="accent1"/>
                                <w:szCs w:val="22"/>
                                <w:lang w:val="sl-SI"/>
                              </w:rPr>
                              <w:t xml:space="preserve">. Cilj je </w:t>
                            </w:r>
                            <w:r>
                              <w:rPr>
                                <w:rFonts w:cs="Arial"/>
                                <w:color w:val="4F81BD" w:themeColor="accent1"/>
                                <w:szCs w:val="22"/>
                                <w:lang w:val="sl-SI"/>
                              </w:rPr>
                              <w:t xml:space="preserve">usklajen </w:t>
                            </w:r>
                            <w:r w:rsidRPr="00774BF5">
                              <w:rPr>
                                <w:rFonts w:cs="Arial"/>
                                <w:color w:val="4F81BD" w:themeColor="accent1"/>
                                <w:szCs w:val="22"/>
                                <w:lang w:val="sl-SI"/>
                              </w:rPr>
                              <w:t>s kazalnikom</w:t>
                            </w:r>
                            <w:r>
                              <w:rPr>
                                <w:rFonts w:cs="Arial"/>
                                <w:color w:val="4F81BD" w:themeColor="accent1"/>
                                <w:szCs w:val="22"/>
                                <w:lang w:val="sl-SI"/>
                              </w:rPr>
                              <w:t>,</w:t>
                            </w:r>
                            <w:r w:rsidRPr="00774BF5">
                              <w:rPr>
                                <w:rFonts w:cs="Arial"/>
                                <w:color w:val="4F81BD" w:themeColor="accent1"/>
                                <w:szCs w:val="22"/>
                                <w:lang w:val="sl-SI"/>
                              </w:rPr>
                              <w:t xml:space="preserve"> uporabljenim za izračun deleža energetsko revnih.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44FF6E5" id="Rectangle: Rounded Corners 1152" o:spid="_x0000_s1028" style="width:453.6pt;height:83.05pt;visibility:visible;mso-wrap-style:square;mso-left-percent:-10001;mso-top-percent:-10001;mso-position-horizontal:absolute;mso-position-horizontal-relative:char;mso-position-vertical:absolute;mso-position-vertical-relative:line;mso-left-percent:-10001;mso-top-percent:-10001;v-text-anchor:top" arcsize="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" fillcolor="#dbe5f1 [660]" strokecolor="#4f81bd [3204]" strokeweight="2pt">
                <v:textbox>
                  <w:txbxContent>
                    <w:p w14:paraId="54382419" w14:textId="190D7BA4" w:rsidR="008140B0" w:rsidRPr="00683FA5" w:rsidRDefault="008140B0" w:rsidP="00DC54A8">
                      <w:pPr>
                        <w:spacing w:after="120"/>
                        <w:ind w:left="340" w:right="301" w:hanging="340"/>
                        <w:rPr>
                          <w:rFonts w:cs="Arial"/>
                          <w:b/>
                          <w:smallCaps/>
                          <w:color w:val="4F81BD" w:themeColor="accent1"/>
                          <w:lang w:val="sl-SI"/>
                        </w:rPr>
                      </w:pPr>
                      <w:r>
                        <w:rPr>
                          <w:rFonts w:cs="Arial"/>
                          <w:b/>
                          <w:smallCaps/>
                          <w:color w:val="4F81BD" w:themeColor="accent1"/>
                          <w:lang w:val="sl-SI"/>
                        </w:rPr>
                        <w:t>1.</w:t>
                      </w:r>
                      <w:r>
                        <w:rPr>
                          <w:rFonts w:cs="Arial"/>
                          <w:b/>
                          <w:smallCaps/>
                          <w:color w:val="4F81BD" w:themeColor="accent1"/>
                          <w:lang w:val="sl-SI"/>
                        </w:rPr>
                        <w:tab/>
                        <w:t>Krovni cilj za zmanjševanje energetske revščine</w:t>
                      </w:r>
                    </w:p>
                    <w:p w14:paraId="08CDAF2C" w14:textId="170D11AB" w:rsidR="008140B0" w:rsidRPr="00A46FBD" w:rsidRDefault="008140B0" w:rsidP="0089245A">
                      <w:pPr>
                        <w:spacing w:after="120"/>
                        <w:ind w:right="301"/>
                        <w:jc w:val="both"/>
                        <w:rPr>
                          <w:rFonts w:cs="Arial"/>
                          <w:color w:val="4F81BD" w:themeColor="accent1"/>
                          <w:szCs w:val="22"/>
                          <w:lang w:val="sl-SI"/>
                        </w:rPr>
                      </w:pPr>
                      <w:r>
                        <w:rPr>
                          <w:rFonts w:cs="Arial"/>
                          <w:color w:val="4F81BD" w:themeColor="accent1"/>
                          <w:szCs w:val="22"/>
                          <w:lang w:val="sl-SI"/>
                        </w:rPr>
                        <w:t>Krovni c</w:t>
                      </w:r>
                      <w:r w:rsidRPr="00774BF5">
                        <w:rPr>
                          <w:rFonts w:cs="Arial"/>
                          <w:color w:val="4F81BD" w:themeColor="accent1"/>
                          <w:szCs w:val="22"/>
                          <w:lang w:val="sl-SI"/>
                        </w:rPr>
                        <w:t xml:space="preserve">ilj na področju energetske revščine do leta 2030 je zmanjšanje deleža energetsko revnih gospodinjstev do vrednosti </w:t>
                      </w:r>
                      <w:r>
                        <w:rPr>
                          <w:rFonts w:cs="Arial"/>
                          <w:color w:val="4F81BD" w:themeColor="accent1"/>
                          <w:szCs w:val="22"/>
                          <w:lang w:val="sl-SI"/>
                        </w:rPr>
                        <w:t>največ</w:t>
                      </w:r>
                      <w:r w:rsidRPr="00774BF5">
                        <w:rPr>
                          <w:rFonts w:cs="Arial"/>
                          <w:color w:val="4F81BD" w:themeColor="accent1"/>
                          <w:szCs w:val="22"/>
                          <w:lang w:val="sl-SI"/>
                        </w:rPr>
                        <w:t xml:space="preserve"> </w:t>
                      </w:r>
                      <w:r>
                        <w:rPr>
                          <w:rFonts w:cs="Arial"/>
                          <w:color w:val="4F81BD" w:themeColor="accent1"/>
                          <w:szCs w:val="22"/>
                          <w:lang w:val="sl-SI"/>
                        </w:rPr>
                        <w:t xml:space="preserve">med </w:t>
                      </w:r>
                      <w:r w:rsidRPr="00774BF5">
                        <w:rPr>
                          <w:rFonts w:cs="Arial"/>
                          <w:color w:val="4F81BD" w:themeColor="accent1"/>
                          <w:szCs w:val="22"/>
                          <w:lang w:val="sl-SI"/>
                        </w:rPr>
                        <w:t xml:space="preserve">3,8 </w:t>
                      </w:r>
                      <w:r>
                        <w:rPr>
                          <w:rFonts w:cs="Arial"/>
                          <w:color w:val="4F81BD" w:themeColor="accent1"/>
                          <w:szCs w:val="22"/>
                          <w:lang w:val="sl-SI"/>
                        </w:rPr>
                        <w:t xml:space="preserve">in </w:t>
                      </w:r>
                      <w:r w:rsidRPr="00774BF5">
                        <w:rPr>
                          <w:rFonts w:cs="Arial"/>
                          <w:color w:val="4F81BD" w:themeColor="accent1"/>
                          <w:szCs w:val="22"/>
                          <w:lang w:val="sl-SI"/>
                        </w:rPr>
                        <w:t xml:space="preserve">4,6 </w:t>
                      </w:r>
                      <w:r>
                        <w:rPr>
                          <w:rFonts w:cs="Arial"/>
                          <w:color w:val="4F81BD" w:themeColor="accent1"/>
                          <w:szCs w:val="22"/>
                          <w:lang w:val="sl-SI"/>
                        </w:rPr>
                        <w:t>odstotka</w:t>
                      </w:r>
                      <w:r w:rsidRPr="00774BF5">
                        <w:rPr>
                          <w:rFonts w:cs="Arial"/>
                          <w:color w:val="4F81BD" w:themeColor="accent1"/>
                          <w:szCs w:val="22"/>
                          <w:lang w:val="sl-SI"/>
                        </w:rPr>
                        <w:t xml:space="preserve">. Cilj je </w:t>
                      </w:r>
                      <w:r>
                        <w:rPr>
                          <w:rFonts w:cs="Arial"/>
                          <w:color w:val="4F81BD" w:themeColor="accent1"/>
                          <w:szCs w:val="22"/>
                          <w:lang w:val="sl-SI"/>
                        </w:rPr>
                        <w:t xml:space="preserve">usklajen </w:t>
                      </w:r>
                      <w:r w:rsidRPr="00774BF5">
                        <w:rPr>
                          <w:rFonts w:cs="Arial"/>
                          <w:color w:val="4F81BD" w:themeColor="accent1"/>
                          <w:szCs w:val="22"/>
                          <w:lang w:val="sl-SI"/>
                        </w:rPr>
                        <w:t>s kazalnikom</w:t>
                      </w:r>
                      <w:r>
                        <w:rPr>
                          <w:rFonts w:cs="Arial"/>
                          <w:color w:val="4F81BD" w:themeColor="accent1"/>
                          <w:szCs w:val="22"/>
                          <w:lang w:val="sl-SI"/>
                        </w:rPr>
                        <w:t>,</w:t>
                      </w:r>
                      <w:r w:rsidRPr="00774BF5">
                        <w:rPr>
                          <w:rFonts w:cs="Arial"/>
                          <w:color w:val="4F81BD" w:themeColor="accent1"/>
                          <w:szCs w:val="22"/>
                          <w:lang w:val="sl-SI"/>
                        </w:rPr>
                        <w:t xml:space="preserve"> uporabljenim za izračun deleža energetsko revnih.</w:t>
                      </w:r>
                    </w:p>
                  </w:txbxContent>
                </v:textbox>
                <w10:anchorlock/>
              </v:roundrect>
            </w:pict>
          </mc:Fallback>
        </mc:AlternateContent>
      </w:r>
    </w:p>
    <w:p w14:paraId="21431A3A" w14:textId="01B76641" w:rsidR="00FC78EB" w:rsidRPr="00FF207E" w:rsidRDefault="00FC78EB" w:rsidP="001E304B">
      <w:pPr>
        <w:spacing w:after="240"/>
        <w:jc w:val="both"/>
        <w:rPr>
          <w:rFonts w:cs="Arial"/>
          <w:szCs w:val="22"/>
          <w:lang w:val="sl-SI"/>
        </w:rPr>
      </w:pPr>
      <w:r w:rsidRPr="00FF207E">
        <w:rPr>
          <w:rFonts w:cs="Arial"/>
          <w:b/>
          <w:color w:val="4F81BD" w:themeColor="accent1"/>
          <w:szCs w:val="22"/>
          <w:lang w:val="sl-SI"/>
        </w:rPr>
        <w:t>Trenutno stanje.</w:t>
      </w:r>
      <w:r w:rsidRPr="00FF207E">
        <w:rPr>
          <w:rFonts w:cs="Arial"/>
          <w:szCs w:val="22"/>
          <w:lang w:val="sl-SI"/>
        </w:rPr>
        <w:t xml:space="preserve"> Po podatkih SURS je bilo leta 2022 energetsko revnih </w:t>
      </w:r>
      <w:r w:rsidRPr="00FF207E">
        <w:rPr>
          <w:rFonts w:cs="Arial"/>
          <w:b/>
          <w:szCs w:val="22"/>
          <w:lang w:val="sl-SI"/>
        </w:rPr>
        <w:t xml:space="preserve">7,2 </w:t>
      </w:r>
      <w:r w:rsidR="003041CD" w:rsidRPr="00FF207E">
        <w:rPr>
          <w:rFonts w:cs="Arial"/>
          <w:b/>
          <w:szCs w:val="22"/>
          <w:lang w:val="sl-SI"/>
        </w:rPr>
        <w:t>odstotka</w:t>
      </w:r>
      <w:r w:rsidRPr="00FF207E">
        <w:rPr>
          <w:rFonts w:cs="Arial"/>
          <w:b/>
          <w:szCs w:val="22"/>
          <w:lang w:val="sl-SI"/>
        </w:rPr>
        <w:t xml:space="preserve"> oz</w:t>
      </w:r>
      <w:r w:rsidR="00B77973" w:rsidRPr="00FF207E">
        <w:rPr>
          <w:rFonts w:cs="Arial"/>
          <w:b/>
          <w:szCs w:val="22"/>
          <w:lang w:val="sl-SI"/>
        </w:rPr>
        <w:t>iroma</w:t>
      </w:r>
      <w:r w:rsidRPr="00FF207E">
        <w:rPr>
          <w:rFonts w:cs="Arial"/>
          <w:b/>
          <w:szCs w:val="22"/>
          <w:lang w:val="sl-SI"/>
        </w:rPr>
        <w:t xml:space="preserve"> 62.000 gospodinjstev.</w:t>
      </w:r>
    </w:p>
    <w:p w14:paraId="23169380" w14:textId="7046E7B6" w:rsidR="00002610" w:rsidRPr="00FF207E" w:rsidRDefault="00002610" w:rsidP="001E304B">
      <w:pPr>
        <w:spacing w:after="240"/>
        <w:jc w:val="both"/>
        <w:rPr>
          <w:rFonts w:cs="Arial"/>
          <w:szCs w:val="22"/>
          <w:lang w:val="sl-SI"/>
        </w:rPr>
      </w:pPr>
      <w:r w:rsidRPr="00FF207E">
        <w:rPr>
          <w:rFonts w:cs="Arial"/>
          <w:b/>
          <w:color w:val="4F81BD" w:themeColor="accent1"/>
          <w:szCs w:val="22"/>
          <w:lang w:val="sl-SI"/>
        </w:rPr>
        <w:t>Opredelitev deleža energetsko revnih.</w:t>
      </w:r>
      <w:r w:rsidRPr="00FF207E">
        <w:rPr>
          <w:rFonts w:cs="Arial"/>
          <w:szCs w:val="22"/>
          <w:lang w:val="sl-SI"/>
        </w:rPr>
        <w:t xml:space="preserve"> Kot energetsko revna v skladu z </w:t>
      </w:r>
      <w:r w:rsidR="0035118D" w:rsidRPr="00FF207E">
        <w:rPr>
          <w:rFonts w:cs="Arial"/>
          <w:szCs w:val="22"/>
          <w:lang w:val="sl-SI"/>
        </w:rPr>
        <w:t>u</w:t>
      </w:r>
      <w:r w:rsidRPr="00FF207E">
        <w:rPr>
          <w:rFonts w:cs="Arial"/>
          <w:szCs w:val="22"/>
          <w:lang w:val="sl-SI"/>
        </w:rPr>
        <w:t>redbo</w:t>
      </w:r>
      <w:r w:rsidRPr="00FF207E">
        <w:rPr>
          <w:rFonts w:cs="Arial"/>
          <w:szCs w:val="22"/>
          <w:lang w:val="sl-SI"/>
        </w:rPr>
        <w:fldChar w:fldCharType="begin"/>
      </w:r>
      <w:r w:rsidRPr="00FF207E">
        <w:rPr>
          <w:rFonts w:cs="Arial"/>
          <w:szCs w:val="22"/>
          <w:lang w:val="sl-SI"/>
        </w:rPr>
        <w:instrText xml:space="preserve"> NOTEREF _Ref136271135 \f \h </w:instrText>
      </w:r>
      <w:r w:rsidR="001E304B" w:rsidRPr="00FF207E">
        <w:rPr>
          <w:rFonts w:cs="Arial"/>
          <w:szCs w:val="22"/>
          <w:lang w:val="sl-SI"/>
        </w:rPr>
        <w:instrText xml:space="preserve"> \* MERGEFORMAT </w:instrText>
      </w:r>
      <w:r w:rsidRPr="00FF207E">
        <w:rPr>
          <w:rFonts w:cs="Arial"/>
          <w:szCs w:val="22"/>
          <w:lang w:val="sl-SI"/>
        </w:rPr>
      </w:r>
      <w:r w:rsidRPr="00FF207E">
        <w:rPr>
          <w:rFonts w:cs="Arial"/>
          <w:szCs w:val="22"/>
          <w:lang w:val="sl-SI"/>
        </w:rPr>
        <w:fldChar w:fldCharType="separate"/>
      </w:r>
      <w:r w:rsidR="00F37FD1" w:rsidRPr="00FF207E">
        <w:rPr>
          <w:rStyle w:val="Sprotnaopomba-sklic"/>
          <w:lang w:val="sl-SI"/>
        </w:rPr>
        <w:t>3</w:t>
      </w:r>
      <w:r w:rsidRPr="00FF207E">
        <w:rPr>
          <w:rFonts w:cs="Arial"/>
          <w:szCs w:val="22"/>
          <w:lang w:val="sl-SI"/>
        </w:rPr>
        <w:fldChar w:fldCharType="end"/>
      </w:r>
      <w:r w:rsidRPr="00FF207E">
        <w:rPr>
          <w:rFonts w:cs="Arial"/>
          <w:szCs w:val="22"/>
          <w:lang w:val="sl-SI"/>
        </w:rPr>
        <w:t xml:space="preserve"> opredelimo gospodinjstva, ki so v letu pred izvedbo </w:t>
      </w:r>
      <w:bookmarkStart w:id="27" w:name="_Hlk132287469"/>
      <w:r w:rsidRPr="00FF207E">
        <w:rPr>
          <w:rFonts w:cs="Arial"/>
          <w:szCs w:val="22"/>
          <w:lang w:val="sl-SI"/>
        </w:rPr>
        <w:t xml:space="preserve">raziskovanja Življenjski pogoji (EU-SILC) </w:t>
      </w:r>
      <w:bookmarkEnd w:id="27"/>
      <w:r w:rsidRPr="00FF207E">
        <w:rPr>
          <w:rFonts w:cs="Arial"/>
          <w:szCs w:val="22"/>
          <w:lang w:val="sl-SI"/>
        </w:rPr>
        <w:t xml:space="preserve">imela dohodek, nižji od praga tveganja revščine, in so izpolnjevala vsaj enega </w:t>
      </w:r>
      <w:r w:rsidR="003873E7" w:rsidRPr="00FF207E">
        <w:rPr>
          <w:rFonts w:cs="Arial"/>
          <w:szCs w:val="22"/>
          <w:lang w:val="sl-SI"/>
        </w:rPr>
        <w:t xml:space="preserve">od </w:t>
      </w:r>
      <w:r w:rsidRPr="00FF207E">
        <w:rPr>
          <w:rFonts w:cs="Arial"/>
          <w:szCs w:val="22"/>
          <w:lang w:val="sl-SI"/>
        </w:rPr>
        <w:t xml:space="preserve">naslednjih treh pogojev: </w:t>
      </w:r>
      <w:bookmarkStart w:id="28" w:name="_Hlk132287020"/>
      <w:r w:rsidRPr="00FF207E">
        <w:rPr>
          <w:rFonts w:cs="Arial"/>
          <w:szCs w:val="22"/>
          <w:lang w:val="sl-SI"/>
        </w:rPr>
        <w:t xml:space="preserve">finančno niso bila zmožna zagotoviti primerno ogrevanega stanovanja; zaradi finančne stiske so (v zadnjih 12 mesecih pred anketiranjem) zamujala s plačili stanovanjskih stroškov (komunalnih storitev, vode, elektrike, stroškov za ogrevanje </w:t>
      </w:r>
      <w:r w:rsidR="00B77973" w:rsidRPr="00FF207E">
        <w:rPr>
          <w:rFonts w:cs="Arial"/>
          <w:szCs w:val="22"/>
          <w:lang w:val="sl-SI"/>
        </w:rPr>
        <w:t>in podobno</w:t>
      </w:r>
      <w:r w:rsidRPr="00FF207E">
        <w:rPr>
          <w:rFonts w:cs="Arial"/>
          <w:szCs w:val="22"/>
          <w:lang w:val="sl-SI"/>
        </w:rPr>
        <w:t xml:space="preserve">), med katere so vključene tudi energetske storitve; živela so v stanovanjih, v katerih so imela težave s puščajočo streho, z vlažnimi stenami/tlemi/temelji ali trhlimi okenskimi okvirji/tlemi (v neustreznih </w:t>
      </w:r>
      <w:r w:rsidR="00F31862" w:rsidRPr="00FF207E">
        <w:rPr>
          <w:rFonts w:cs="Arial"/>
          <w:szCs w:val="22"/>
          <w:lang w:val="sl-SI"/>
        </w:rPr>
        <w:t xml:space="preserve">bivalnih </w:t>
      </w:r>
      <w:r w:rsidRPr="00FF207E">
        <w:rPr>
          <w:rFonts w:cs="Arial"/>
          <w:szCs w:val="22"/>
          <w:lang w:val="sl-SI"/>
        </w:rPr>
        <w:t>razmerah)</w:t>
      </w:r>
      <w:bookmarkEnd w:id="28"/>
      <w:r w:rsidRPr="00FF207E">
        <w:rPr>
          <w:rFonts w:cs="Arial"/>
          <w:szCs w:val="22"/>
          <w:lang w:val="sl-SI"/>
        </w:rPr>
        <w:t>.</w:t>
      </w:r>
      <w:r w:rsidRPr="00FF207E">
        <w:rPr>
          <w:rStyle w:val="Sprotnaopomba-sklic"/>
          <w:rFonts w:cs="Arial"/>
          <w:szCs w:val="22"/>
          <w:lang w:val="sl-SI"/>
        </w:rPr>
        <w:footnoteReference w:id="17"/>
      </w:r>
    </w:p>
    <w:p w14:paraId="0EC0D5EB" w14:textId="0B93B772" w:rsidR="00E646AF" w:rsidRPr="00FF207E" w:rsidRDefault="00002610" w:rsidP="001E304B">
      <w:pPr>
        <w:spacing w:after="120"/>
        <w:jc w:val="both"/>
        <w:rPr>
          <w:rFonts w:cs="Arial"/>
          <w:szCs w:val="22"/>
          <w:lang w:val="sl-SI"/>
        </w:rPr>
      </w:pPr>
      <w:r w:rsidRPr="00FF207E">
        <w:rPr>
          <w:rFonts w:cs="Arial"/>
          <w:b/>
          <w:color w:val="4F81BD" w:themeColor="accent1"/>
          <w:szCs w:val="22"/>
          <w:lang w:val="sl-SI"/>
        </w:rPr>
        <w:t>Spremljajoči kazalniki.</w:t>
      </w:r>
      <w:r w:rsidRPr="00FF207E">
        <w:rPr>
          <w:rFonts w:cs="Arial"/>
          <w:szCs w:val="22"/>
          <w:lang w:val="sl-SI"/>
        </w:rPr>
        <w:t xml:space="preserve"> </w:t>
      </w:r>
      <w:r w:rsidR="00E646AF" w:rsidRPr="00FF207E">
        <w:rPr>
          <w:rFonts w:cs="Arial"/>
          <w:szCs w:val="22"/>
          <w:lang w:val="sl-SI"/>
        </w:rPr>
        <w:t>Na spremembo deleža energetsko revnih gospodinjstev</w:t>
      </w:r>
      <w:r w:rsidR="00FE74B8" w:rsidRPr="00FF207E">
        <w:rPr>
          <w:rFonts w:cs="Arial"/>
          <w:szCs w:val="22"/>
          <w:lang w:val="sl-SI"/>
        </w:rPr>
        <w:t xml:space="preserve"> </w:t>
      </w:r>
      <w:r w:rsidR="00E646AF" w:rsidRPr="00FF207E">
        <w:rPr>
          <w:rFonts w:cs="Arial"/>
          <w:szCs w:val="22"/>
          <w:lang w:val="sl-SI"/>
        </w:rPr>
        <w:t>vplivajo različni dejavniki, ki jih lahko spremljamo z naslednjimi spremljajočimi kazalniki</w:t>
      </w:r>
      <w:r w:rsidR="0080631C" w:rsidRPr="00FF207E">
        <w:rPr>
          <w:rFonts w:cs="Arial"/>
          <w:szCs w:val="22"/>
          <w:lang w:val="sl-SI"/>
        </w:rPr>
        <w:t>:</w:t>
      </w:r>
      <w:r w:rsidR="00B557FF" w:rsidRPr="00FF207E">
        <w:rPr>
          <w:rStyle w:val="Sprotnaopomba-sklic"/>
          <w:rFonts w:cs="Arial"/>
          <w:szCs w:val="22"/>
          <w:lang w:val="sl-SI"/>
        </w:rPr>
        <w:footnoteReference w:id="18"/>
      </w:r>
    </w:p>
    <w:p w14:paraId="77C580CF" w14:textId="3CF14FF4" w:rsidR="00E646AF" w:rsidRPr="00FF207E" w:rsidRDefault="00E646AF" w:rsidP="001E304B">
      <w:pPr>
        <w:pStyle w:val="Odstavekseznama"/>
        <w:numPr>
          <w:ilvl w:val="0"/>
          <w:numId w:val="25"/>
        </w:numPr>
        <w:spacing w:after="240"/>
        <w:jc w:val="both"/>
        <w:rPr>
          <w:rFonts w:cs="Arial"/>
          <w:szCs w:val="22"/>
          <w:lang w:val="sl-SI"/>
        </w:rPr>
      </w:pPr>
      <w:r w:rsidRPr="00FF207E">
        <w:rPr>
          <w:rFonts w:cs="Arial"/>
          <w:lang w:val="sl-SI"/>
        </w:rPr>
        <w:t xml:space="preserve">delež gospodinjstev z ekvivalentnim razpoložljivim dohodkom pod 60 </w:t>
      </w:r>
      <w:r w:rsidR="0016533A" w:rsidRPr="00FF207E">
        <w:rPr>
          <w:rFonts w:cs="Arial"/>
          <w:lang w:val="sl-SI"/>
        </w:rPr>
        <w:t>odstotki</w:t>
      </w:r>
      <w:r w:rsidR="003041CD" w:rsidRPr="00FF207E">
        <w:rPr>
          <w:rFonts w:cs="Arial"/>
          <w:lang w:val="sl-SI"/>
        </w:rPr>
        <w:t xml:space="preserve"> </w:t>
      </w:r>
      <w:r w:rsidRPr="00FF207E">
        <w:rPr>
          <w:rFonts w:cs="Arial"/>
          <w:lang w:val="sl-SI"/>
        </w:rPr>
        <w:t>mediane, ki hkrati finančno niso zmožna zagotoviti primerno ogrevanega stanovanja;</w:t>
      </w:r>
    </w:p>
    <w:p w14:paraId="37054A7D" w14:textId="10951EAF" w:rsidR="00E646AF" w:rsidRPr="00FF207E" w:rsidRDefault="00E646AF" w:rsidP="001E304B">
      <w:pPr>
        <w:pStyle w:val="Odstavekseznama"/>
        <w:numPr>
          <w:ilvl w:val="0"/>
          <w:numId w:val="25"/>
        </w:numPr>
        <w:spacing w:after="240"/>
        <w:jc w:val="both"/>
        <w:rPr>
          <w:rFonts w:cs="Arial"/>
          <w:szCs w:val="22"/>
          <w:lang w:val="sl-SI"/>
        </w:rPr>
      </w:pPr>
      <w:r w:rsidRPr="00FF207E">
        <w:rPr>
          <w:rFonts w:cs="Arial"/>
          <w:lang w:val="sl-SI"/>
        </w:rPr>
        <w:t xml:space="preserve">delež gospodinjstev z ekvivalentnim razpoložljivim dohodkom pod 60 </w:t>
      </w:r>
      <w:r w:rsidR="0016533A" w:rsidRPr="00FF207E">
        <w:rPr>
          <w:rFonts w:cs="Arial"/>
          <w:lang w:val="sl-SI"/>
        </w:rPr>
        <w:t>odstotki</w:t>
      </w:r>
      <w:r w:rsidR="003041CD" w:rsidRPr="00FF207E">
        <w:rPr>
          <w:rFonts w:cs="Arial"/>
          <w:lang w:val="sl-SI"/>
        </w:rPr>
        <w:t xml:space="preserve"> </w:t>
      </w:r>
      <w:r w:rsidRPr="00FF207E">
        <w:rPr>
          <w:rFonts w:cs="Arial"/>
          <w:lang w:val="sl-SI"/>
        </w:rPr>
        <w:t>mediane, ki zaradi finančne stiske zamujajo s plačili stanovanjskih stroškov, vključno s stroški energetskih storitev;</w:t>
      </w:r>
    </w:p>
    <w:p w14:paraId="6FC84774" w14:textId="43C6C749" w:rsidR="00E646AF" w:rsidRPr="00FF207E" w:rsidRDefault="00E646AF" w:rsidP="001E304B">
      <w:pPr>
        <w:pStyle w:val="Odstavekseznama"/>
        <w:numPr>
          <w:ilvl w:val="0"/>
          <w:numId w:val="25"/>
        </w:numPr>
        <w:spacing w:after="120"/>
        <w:ind w:left="714" w:hanging="357"/>
        <w:jc w:val="both"/>
        <w:rPr>
          <w:rFonts w:cs="Arial"/>
          <w:szCs w:val="22"/>
          <w:lang w:val="sl-SI"/>
        </w:rPr>
      </w:pPr>
      <w:r w:rsidRPr="00FF207E">
        <w:rPr>
          <w:rFonts w:cs="Arial"/>
          <w:szCs w:val="22"/>
          <w:lang w:val="sl-SI"/>
        </w:rPr>
        <w:lastRenderedPageBreak/>
        <w:t xml:space="preserve">delež prebivalcev, ki živijo v stanovanju, v katerem pušča streha, so vlažne stene ali trhla tla, okenski okvirji (gospodinjstva pod 60 </w:t>
      </w:r>
      <w:r w:rsidR="0016533A" w:rsidRPr="00FF207E">
        <w:rPr>
          <w:rFonts w:cs="Arial"/>
          <w:szCs w:val="22"/>
          <w:lang w:val="sl-SI"/>
        </w:rPr>
        <w:t>odstotki</w:t>
      </w:r>
      <w:r w:rsidR="003041CD" w:rsidRPr="00FF207E">
        <w:rPr>
          <w:rFonts w:cs="Arial"/>
          <w:szCs w:val="22"/>
          <w:lang w:val="sl-SI"/>
        </w:rPr>
        <w:t xml:space="preserve"> </w:t>
      </w:r>
      <w:r w:rsidRPr="00FF207E">
        <w:rPr>
          <w:rFonts w:cs="Arial"/>
          <w:szCs w:val="22"/>
          <w:lang w:val="sl-SI"/>
        </w:rPr>
        <w:t>mediane ekvivalentnega dohodka).</w:t>
      </w:r>
    </w:p>
    <w:p w14:paraId="59FE0E4E" w14:textId="61A72425" w:rsidR="00002610" w:rsidRPr="00FF207E" w:rsidRDefault="00B557FF" w:rsidP="001E304B">
      <w:pPr>
        <w:spacing w:after="240"/>
        <w:jc w:val="both"/>
        <w:rPr>
          <w:rFonts w:cs="Arial"/>
          <w:szCs w:val="22"/>
          <w:lang w:val="sl-SI"/>
        </w:rPr>
      </w:pPr>
      <w:r w:rsidRPr="00FF207E">
        <w:rPr>
          <w:rFonts w:cs="Arial"/>
          <w:szCs w:val="22"/>
          <w:lang w:val="sl-SI"/>
        </w:rPr>
        <w:t xml:space="preserve">Ti kazalniki omogočajo </w:t>
      </w:r>
      <w:r w:rsidR="00E646AF" w:rsidRPr="00FF207E">
        <w:rPr>
          <w:rFonts w:cs="Arial"/>
          <w:szCs w:val="22"/>
          <w:lang w:val="sl-SI"/>
        </w:rPr>
        <w:t>ločeno vrednotenje posameznega vidika energetske revščine</w:t>
      </w:r>
      <w:r w:rsidR="00601F55" w:rsidRPr="00FF207E">
        <w:rPr>
          <w:rFonts w:cs="Arial"/>
          <w:szCs w:val="22"/>
          <w:lang w:val="sl-SI"/>
        </w:rPr>
        <w:t>, zato jih je smiselno spremljati hkrati z deležem energetsko revnih gospodinjstev, ki ga dodatno pojasnjujejo.</w:t>
      </w:r>
    </w:p>
    <w:p w14:paraId="580CCC3A" w14:textId="77777777" w:rsidR="00EA05ED" w:rsidRPr="00FF207E" w:rsidRDefault="00EA05ED" w:rsidP="001E304B">
      <w:pPr>
        <w:spacing w:after="120"/>
        <w:jc w:val="both"/>
        <w:rPr>
          <w:rFonts w:cs="Arial"/>
          <w:szCs w:val="22"/>
          <w:lang w:val="sl-SI"/>
        </w:rPr>
      </w:pPr>
      <w:r w:rsidRPr="00FF207E">
        <w:rPr>
          <w:noProof/>
          <w:color w:val="4F81BD" w:themeColor="accent1"/>
          <w:lang w:val="sl-SI" w:eastAsia="sl-SI"/>
        </w:rPr>
        <mc:AlternateContent>
          <mc:Choice Requires="wps">
            <w:drawing>
              <wp:inline distT="0" distB="0" distL="0" distR="0" wp14:anchorId="6C1036DC" wp14:editId="45798CF2">
                <wp:extent cx="5760720" cy="1221425"/>
                <wp:effectExtent l="12700" t="12700" r="17780" b="10795"/>
                <wp:docPr id="1159" name="Rectangle: Rounded Corners 1159"/>
                <wp:cNvGraphicFramePr/>
                <a:graphic xmlns:a="http://schemas.openxmlformats.org/drawingml/2006/main">
                  <a:graphicData uri="http://schemas.microsoft.com/office/word/2010/wordprocessingShape">
                    <wps:wsp>
                      <wps:cNvSpPr/>
                      <wps:spPr>
                        <a:xfrm>
                          <a:off x="0" y="0"/>
                          <a:ext cx="5760720" cy="1221425"/>
                        </a:xfrm>
                        <a:prstGeom prst="roundRect">
                          <a:avLst>
                            <a:gd name="adj" fmla="val 5866"/>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AEF653" w14:textId="40153C99" w:rsidR="008140B0" w:rsidRPr="00683FA5" w:rsidRDefault="008140B0" w:rsidP="00EA05ED">
                            <w:pPr>
                              <w:spacing w:after="120"/>
                              <w:ind w:left="340" w:right="301" w:hanging="340"/>
                              <w:rPr>
                                <w:rFonts w:cs="Arial"/>
                                <w:b/>
                                <w:smallCaps/>
                                <w:color w:val="4F81BD" w:themeColor="accent1"/>
                                <w:lang w:val="sl-SI"/>
                              </w:rPr>
                            </w:pPr>
                            <w:r>
                              <w:rPr>
                                <w:rFonts w:cs="Arial"/>
                                <w:b/>
                                <w:smallCaps/>
                                <w:color w:val="4F81BD" w:themeColor="accent1"/>
                                <w:lang w:val="sl-SI"/>
                              </w:rPr>
                              <w:t>2.</w:t>
                            </w:r>
                            <w:r>
                              <w:rPr>
                                <w:rFonts w:cs="Arial"/>
                                <w:b/>
                                <w:smallCaps/>
                                <w:color w:val="4F81BD" w:themeColor="accent1"/>
                                <w:lang w:val="sl-SI"/>
                              </w:rPr>
                              <w:tab/>
                              <w:t>Število energetsko revnih gospodinjstev z izvedenimi naložbami za zmanjševanje energetske revščine</w:t>
                            </w:r>
                          </w:p>
                          <w:p w14:paraId="1D2CBAF3" w14:textId="6B6B8D2F" w:rsidR="008140B0" w:rsidRPr="00A46FBD" w:rsidRDefault="008140B0" w:rsidP="0089245A">
                            <w:pPr>
                              <w:spacing w:after="120"/>
                              <w:ind w:right="301"/>
                              <w:jc w:val="both"/>
                              <w:rPr>
                                <w:rFonts w:cs="Arial"/>
                                <w:color w:val="4F81BD" w:themeColor="accent1"/>
                                <w:szCs w:val="22"/>
                                <w:lang w:val="sl-SI"/>
                              </w:rPr>
                            </w:pPr>
                            <w:r w:rsidRPr="00781924">
                              <w:rPr>
                                <w:rFonts w:cs="Arial"/>
                                <w:color w:val="4F81BD" w:themeColor="accent1"/>
                                <w:szCs w:val="22"/>
                                <w:lang w:val="sl-SI"/>
                              </w:rPr>
                              <w:t xml:space="preserve">Drugi cilj na področju energetske </w:t>
                            </w:r>
                            <w:r w:rsidRPr="00EA4CCF">
                              <w:rPr>
                                <w:rFonts w:cs="Arial"/>
                                <w:color w:val="4F81BD" w:themeColor="accent1"/>
                                <w:szCs w:val="22"/>
                                <w:lang w:val="sl-SI"/>
                              </w:rPr>
                              <w:t>revščine do leta 2030 je iz</w:t>
                            </w:r>
                            <w:r w:rsidRPr="00781924">
                              <w:rPr>
                                <w:rFonts w:cs="Arial"/>
                                <w:color w:val="4F81BD" w:themeColor="accent1"/>
                                <w:szCs w:val="22"/>
                                <w:lang w:val="sl-SI"/>
                              </w:rPr>
                              <w:t>ved</w:t>
                            </w:r>
                            <w:r>
                              <w:rPr>
                                <w:rFonts w:cs="Arial"/>
                                <w:color w:val="4F81BD" w:themeColor="accent1"/>
                                <w:szCs w:val="22"/>
                                <w:lang w:val="sl-SI"/>
                              </w:rPr>
                              <w:t>ba</w:t>
                            </w:r>
                            <w:r w:rsidRPr="00781924">
                              <w:rPr>
                                <w:rFonts w:cs="Arial"/>
                                <w:color w:val="4F81BD" w:themeColor="accent1"/>
                                <w:szCs w:val="22"/>
                                <w:lang w:val="sl-SI"/>
                              </w:rPr>
                              <w:t xml:space="preserve"> naložb na področju učinkovite rabe energije (URE) in rabe obnovljivih virov (OVE) </w:t>
                            </w:r>
                            <w:r>
                              <w:rPr>
                                <w:rFonts w:cs="Arial"/>
                                <w:color w:val="4F81BD" w:themeColor="accent1"/>
                                <w:szCs w:val="22"/>
                                <w:lang w:val="sl-SI"/>
                              </w:rPr>
                              <w:t>v najmanj 80</w:t>
                            </w:r>
                            <w:r w:rsidRPr="00EA4CCF">
                              <w:rPr>
                                <w:rFonts w:cs="Arial"/>
                                <w:color w:val="4F81BD" w:themeColor="accent1"/>
                                <w:szCs w:val="22"/>
                                <w:lang w:val="sl-SI"/>
                              </w:rPr>
                              <w:t>00</w:t>
                            </w:r>
                            <w:r>
                              <w:rPr>
                                <w:rFonts w:cs="Arial"/>
                                <w:color w:val="4F81BD" w:themeColor="accent1"/>
                                <w:szCs w:val="22"/>
                                <w:lang w:val="sl-SI"/>
                              </w:rPr>
                              <w:t xml:space="preserve"> </w:t>
                            </w:r>
                            <w:r w:rsidRPr="00781924">
                              <w:rPr>
                                <w:rFonts w:cs="Arial"/>
                                <w:color w:val="4F81BD" w:themeColor="accent1"/>
                                <w:szCs w:val="22"/>
                                <w:lang w:val="sl-SI"/>
                              </w:rPr>
                              <w:t>energetsko revnih gospodinjstvih</w:t>
                            </w:r>
                            <w:r w:rsidRPr="003D4760">
                              <w:rPr>
                                <w:rFonts w:cs="Arial"/>
                                <w:color w:val="4F81BD" w:themeColor="accent1"/>
                                <w:szCs w:val="22"/>
                                <w:lang w:val="sl-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6C1036DC" id="Rectangle: Rounded Corners 1159" o:spid="_x0000_s1029" style="width:453.6pt;height:96.2pt;visibility:visible;mso-wrap-style:square;mso-left-percent:-10001;mso-top-percent:-10001;mso-position-horizontal:absolute;mso-position-horizontal-relative:char;mso-position-vertical:absolute;mso-position-vertical-relative:line;mso-left-percent:-10001;mso-top-percent:-10001;v-text-anchor:top" arcsize="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" fillcolor="#dbe5f1 [660]" strokecolor="#4f81bd [3204]" strokeweight="2pt">
                <v:textbox>
                  <w:txbxContent>
                    <w:p w14:paraId="52AEF653" w14:textId="40153C99" w:rsidR="008140B0" w:rsidRPr="00683FA5" w:rsidRDefault="008140B0" w:rsidP="00EA05ED">
                      <w:pPr>
                        <w:spacing w:after="120"/>
                        <w:ind w:left="340" w:right="301" w:hanging="340"/>
                        <w:rPr>
                          <w:rFonts w:cs="Arial"/>
                          <w:b/>
                          <w:smallCaps/>
                          <w:color w:val="4F81BD" w:themeColor="accent1"/>
                          <w:lang w:val="sl-SI"/>
                        </w:rPr>
                      </w:pPr>
                      <w:r>
                        <w:rPr>
                          <w:rFonts w:cs="Arial"/>
                          <w:b/>
                          <w:smallCaps/>
                          <w:color w:val="4F81BD" w:themeColor="accent1"/>
                          <w:lang w:val="sl-SI"/>
                        </w:rPr>
                        <w:t>2.</w:t>
                      </w:r>
                      <w:r>
                        <w:rPr>
                          <w:rFonts w:cs="Arial"/>
                          <w:b/>
                          <w:smallCaps/>
                          <w:color w:val="4F81BD" w:themeColor="accent1"/>
                          <w:lang w:val="sl-SI"/>
                        </w:rPr>
                        <w:tab/>
                        <w:t>Število energetsko revnih gospodinjstev z izvedenimi naložbami za zmanjševanje energetske revščine</w:t>
                      </w:r>
                    </w:p>
                    <w:p w14:paraId="1D2CBAF3" w14:textId="6B6B8D2F" w:rsidR="008140B0" w:rsidRPr="00A46FBD" w:rsidRDefault="008140B0" w:rsidP="0089245A">
                      <w:pPr>
                        <w:spacing w:after="120"/>
                        <w:ind w:right="301"/>
                        <w:jc w:val="both"/>
                        <w:rPr>
                          <w:rFonts w:cs="Arial"/>
                          <w:color w:val="4F81BD" w:themeColor="accent1"/>
                          <w:szCs w:val="22"/>
                          <w:lang w:val="sl-SI"/>
                        </w:rPr>
                      </w:pPr>
                      <w:r w:rsidRPr="00781924">
                        <w:rPr>
                          <w:rFonts w:cs="Arial"/>
                          <w:color w:val="4F81BD" w:themeColor="accent1"/>
                          <w:szCs w:val="22"/>
                          <w:lang w:val="sl-SI"/>
                        </w:rPr>
                        <w:t xml:space="preserve">Drugi cilj na področju energetske </w:t>
                      </w:r>
                      <w:r w:rsidRPr="00EA4CCF">
                        <w:rPr>
                          <w:rFonts w:cs="Arial"/>
                          <w:color w:val="4F81BD" w:themeColor="accent1"/>
                          <w:szCs w:val="22"/>
                          <w:lang w:val="sl-SI"/>
                        </w:rPr>
                        <w:t>revščine do leta 2030 je iz</w:t>
                      </w:r>
                      <w:r w:rsidRPr="00781924">
                        <w:rPr>
                          <w:rFonts w:cs="Arial"/>
                          <w:color w:val="4F81BD" w:themeColor="accent1"/>
                          <w:szCs w:val="22"/>
                          <w:lang w:val="sl-SI"/>
                        </w:rPr>
                        <w:t>ved</w:t>
                      </w:r>
                      <w:r>
                        <w:rPr>
                          <w:rFonts w:cs="Arial"/>
                          <w:color w:val="4F81BD" w:themeColor="accent1"/>
                          <w:szCs w:val="22"/>
                          <w:lang w:val="sl-SI"/>
                        </w:rPr>
                        <w:t>ba</w:t>
                      </w:r>
                      <w:r w:rsidRPr="00781924">
                        <w:rPr>
                          <w:rFonts w:cs="Arial"/>
                          <w:color w:val="4F81BD" w:themeColor="accent1"/>
                          <w:szCs w:val="22"/>
                          <w:lang w:val="sl-SI"/>
                        </w:rPr>
                        <w:t xml:space="preserve"> naložb na področju učinkovite rabe energije (URE) in rabe obnovljivih virov (OVE) </w:t>
                      </w:r>
                      <w:r>
                        <w:rPr>
                          <w:rFonts w:cs="Arial"/>
                          <w:color w:val="4F81BD" w:themeColor="accent1"/>
                          <w:szCs w:val="22"/>
                          <w:lang w:val="sl-SI"/>
                        </w:rPr>
                        <w:t>v najmanj 80</w:t>
                      </w:r>
                      <w:r w:rsidRPr="00EA4CCF">
                        <w:rPr>
                          <w:rFonts w:cs="Arial"/>
                          <w:color w:val="4F81BD" w:themeColor="accent1"/>
                          <w:szCs w:val="22"/>
                          <w:lang w:val="sl-SI"/>
                        </w:rPr>
                        <w:t>00</w:t>
                      </w:r>
                      <w:r>
                        <w:rPr>
                          <w:rFonts w:cs="Arial"/>
                          <w:color w:val="4F81BD" w:themeColor="accent1"/>
                          <w:szCs w:val="22"/>
                          <w:lang w:val="sl-SI"/>
                        </w:rPr>
                        <w:t xml:space="preserve"> </w:t>
                      </w:r>
                      <w:r w:rsidRPr="00781924">
                        <w:rPr>
                          <w:rFonts w:cs="Arial"/>
                          <w:color w:val="4F81BD" w:themeColor="accent1"/>
                          <w:szCs w:val="22"/>
                          <w:lang w:val="sl-SI"/>
                        </w:rPr>
                        <w:t>energetsko revnih gospodinjstvih</w:t>
                      </w:r>
                      <w:r w:rsidRPr="003D4760">
                        <w:rPr>
                          <w:rFonts w:cs="Arial"/>
                          <w:color w:val="4F81BD" w:themeColor="accent1"/>
                          <w:szCs w:val="22"/>
                          <w:lang w:val="sl-SI"/>
                        </w:rPr>
                        <w:t>.</w:t>
                      </w:r>
                    </w:p>
                  </w:txbxContent>
                </v:textbox>
                <w10:anchorlock/>
              </v:roundrect>
            </w:pict>
          </mc:Fallback>
        </mc:AlternateContent>
      </w:r>
    </w:p>
    <w:p w14:paraId="584EBB0F" w14:textId="44A63694" w:rsidR="005E7F33" w:rsidRPr="00FF207E" w:rsidRDefault="005E7F33" w:rsidP="001E304B">
      <w:pPr>
        <w:spacing w:after="240"/>
        <w:jc w:val="both"/>
        <w:rPr>
          <w:rFonts w:cs="Arial"/>
          <w:szCs w:val="22"/>
          <w:lang w:val="sl-SI"/>
        </w:rPr>
      </w:pPr>
      <w:r w:rsidRPr="00FF207E">
        <w:rPr>
          <w:rFonts w:cs="Arial"/>
          <w:b/>
          <w:color w:val="4F81BD" w:themeColor="accent1"/>
          <w:szCs w:val="22"/>
          <w:lang w:val="sl-SI"/>
        </w:rPr>
        <w:t>Trenutno stanje.</w:t>
      </w:r>
      <w:r w:rsidRPr="00FF207E">
        <w:rPr>
          <w:rFonts w:cs="Arial"/>
          <w:szCs w:val="22"/>
          <w:lang w:val="sl-SI"/>
        </w:rPr>
        <w:t xml:space="preserve"> Po podatkih </w:t>
      </w:r>
      <w:proofErr w:type="spellStart"/>
      <w:r w:rsidRPr="00FF207E">
        <w:rPr>
          <w:rFonts w:cs="Arial"/>
          <w:szCs w:val="22"/>
          <w:lang w:val="sl-SI"/>
        </w:rPr>
        <w:t>Eko</w:t>
      </w:r>
      <w:proofErr w:type="spellEnd"/>
      <w:r w:rsidRPr="00FF207E">
        <w:rPr>
          <w:rFonts w:cs="Arial"/>
          <w:szCs w:val="22"/>
          <w:lang w:val="sl-SI"/>
        </w:rPr>
        <w:t xml:space="preserve"> sklad</w:t>
      </w:r>
      <w:r w:rsidR="008A3FE5" w:rsidRPr="00FF207E">
        <w:rPr>
          <w:rFonts w:cs="Arial"/>
          <w:szCs w:val="22"/>
          <w:lang w:val="sl-SI"/>
        </w:rPr>
        <w:t>a</w:t>
      </w:r>
      <w:r w:rsidRPr="00FF207E">
        <w:rPr>
          <w:rFonts w:cs="Arial"/>
          <w:szCs w:val="22"/>
          <w:lang w:val="sl-SI"/>
        </w:rPr>
        <w:t xml:space="preserve"> </w:t>
      </w:r>
      <w:r w:rsidR="001D6EF5" w:rsidRPr="00FF207E">
        <w:rPr>
          <w:rFonts w:cs="Arial"/>
          <w:szCs w:val="22"/>
          <w:lang w:val="sl-SI"/>
        </w:rPr>
        <w:t xml:space="preserve">so bile </w:t>
      </w:r>
      <w:r w:rsidRPr="00FF207E">
        <w:rPr>
          <w:rFonts w:cs="Arial"/>
          <w:szCs w:val="22"/>
          <w:lang w:val="sl-SI"/>
        </w:rPr>
        <w:t xml:space="preserve">v okviru programa ZERO500 </w:t>
      </w:r>
      <w:r w:rsidRPr="00FF207E">
        <w:rPr>
          <w:rFonts w:cs="Arial"/>
          <w:b/>
          <w:szCs w:val="22"/>
          <w:lang w:val="sl-SI"/>
        </w:rPr>
        <w:t xml:space="preserve">letno </w:t>
      </w:r>
      <w:r w:rsidR="001D6EF5" w:rsidRPr="00FF207E">
        <w:rPr>
          <w:rFonts w:cs="Arial"/>
          <w:b/>
          <w:szCs w:val="22"/>
          <w:lang w:val="sl-SI"/>
        </w:rPr>
        <w:t xml:space="preserve">izvedene </w:t>
      </w:r>
      <w:r w:rsidR="00542175" w:rsidRPr="00FF207E">
        <w:rPr>
          <w:rFonts w:cs="Arial"/>
          <w:b/>
          <w:szCs w:val="22"/>
          <w:lang w:val="sl-SI"/>
        </w:rPr>
        <w:t>naložb</w:t>
      </w:r>
      <w:r w:rsidR="001D6EF5" w:rsidRPr="00FF207E">
        <w:rPr>
          <w:rFonts w:cs="Arial"/>
          <w:b/>
          <w:szCs w:val="22"/>
          <w:lang w:val="sl-SI"/>
        </w:rPr>
        <w:t>e</w:t>
      </w:r>
      <w:r w:rsidR="00542175" w:rsidRPr="00FF207E">
        <w:rPr>
          <w:rFonts w:cs="Arial"/>
          <w:b/>
          <w:szCs w:val="22"/>
          <w:lang w:val="sl-SI"/>
        </w:rPr>
        <w:t xml:space="preserve"> </w:t>
      </w:r>
      <w:r w:rsidR="00787D32" w:rsidRPr="00FF207E">
        <w:rPr>
          <w:rFonts w:cs="Arial"/>
          <w:b/>
          <w:szCs w:val="22"/>
          <w:lang w:val="sl-SI"/>
        </w:rPr>
        <w:t xml:space="preserve">na področju URE in </w:t>
      </w:r>
      <w:r w:rsidR="001D6EF5" w:rsidRPr="00FF207E">
        <w:rPr>
          <w:rFonts w:cs="Arial"/>
          <w:b/>
          <w:szCs w:val="22"/>
          <w:lang w:val="sl-SI"/>
        </w:rPr>
        <w:t xml:space="preserve">rabe </w:t>
      </w:r>
      <w:r w:rsidR="00787D32" w:rsidRPr="00FF207E">
        <w:rPr>
          <w:rFonts w:cs="Arial"/>
          <w:b/>
          <w:szCs w:val="22"/>
          <w:lang w:val="sl-SI"/>
        </w:rPr>
        <w:t xml:space="preserve">OVE </w:t>
      </w:r>
      <w:r w:rsidR="001D6EF5" w:rsidRPr="00FF207E">
        <w:rPr>
          <w:rFonts w:cs="Arial"/>
          <w:b/>
          <w:szCs w:val="22"/>
          <w:lang w:val="sl-SI"/>
        </w:rPr>
        <w:t>v 200 do 250</w:t>
      </w:r>
      <w:r w:rsidR="00787D32" w:rsidRPr="00FF207E">
        <w:rPr>
          <w:rFonts w:cs="Arial"/>
          <w:b/>
          <w:szCs w:val="22"/>
          <w:lang w:val="sl-SI"/>
        </w:rPr>
        <w:t xml:space="preserve"> energetsko revnih gospodinjstvih</w:t>
      </w:r>
      <w:r w:rsidR="00787D32" w:rsidRPr="00FF207E">
        <w:rPr>
          <w:rFonts w:cs="Arial"/>
          <w:szCs w:val="22"/>
          <w:lang w:val="sl-SI"/>
        </w:rPr>
        <w:t>.</w:t>
      </w:r>
      <w:r w:rsidR="00793CEF" w:rsidRPr="00FF207E">
        <w:rPr>
          <w:rFonts w:cs="Arial"/>
          <w:szCs w:val="22"/>
          <w:lang w:val="sl-SI"/>
        </w:rPr>
        <w:t xml:space="preserve"> Podobno so bile tudi v okviru pozivov za </w:t>
      </w:r>
      <w:r w:rsidR="00793CEF" w:rsidRPr="00FF207E">
        <w:rPr>
          <w:rFonts w:cs="Arial"/>
          <w:b/>
          <w:szCs w:val="22"/>
          <w:lang w:val="sl-SI"/>
        </w:rPr>
        <w:t>vgradnjo KNLB</w:t>
      </w:r>
      <w:r w:rsidR="00793CEF" w:rsidRPr="00FF207E">
        <w:rPr>
          <w:rFonts w:cs="Arial"/>
          <w:szCs w:val="22"/>
          <w:lang w:val="sl-SI"/>
        </w:rPr>
        <w:t xml:space="preserve"> v zadnjem obdobju letno izveden</w:t>
      </w:r>
      <w:r w:rsidR="00D22BD4" w:rsidRPr="00FF207E">
        <w:rPr>
          <w:rFonts w:cs="Arial"/>
          <w:szCs w:val="22"/>
          <w:lang w:val="sl-SI"/>
        </w:rPr>
        <w:t>e</w:t>
      </w:r>
      <w:r w:rsidR="00793CEF" w:rsidRPr="00FF207E">
        <w:rPr>
          <w:rFonts w:cs="Arial"/>
          <w:szCs w:val="22"/>
          <w:lang w:val="sl-SI"/>
        </w:rPr>
        <w:t xml:space="preserve"> naložbe pri </w:t>
      </w:r>
      <w:r w:rsidR="00793CEF" w:rsidRPr="00FF207E">
        <w:rPr>
          <w:rFonts w:cs="Arial"/>
          <w:b/>
          <w:szCs w:val="22"/>
          <w:lang w:val="sl-SI"/>
        </w:rPr>
        <w:t>okoli 200 socialno šibkih občanih</w:t>
      </w:r>
      <w:r w:rsidR="00793CEF" w:rsidRPr="00FF207E">
        <w:rPr>
          <w:rFonts w:cs="Arial"/>
          <w:szCs w:val="22"/>
          <w:lang w:val="sl-SI"/>
        </w:rPr>
        <w:t>.</w:t>
      </w:r>
      <w:r w:rsidR="00787D32" w:rsidRPr="00FF207E">
        <w:rPr>
          <w:rFonts w:cs="Arial"/>
          <w:szCs w:val="22"/>
          <w:lang w:val="sl-SI"/>
        </w:rPr>
        <w:t xml:space="preserve"> To je tudi zgornja meja</w:t>
      </w:r>
      <w:r w:rsidR="002F0F92" w:rsidRPr="00FF207E">
        <w:rPr>
          <w:rFonts w:cs="Arial"/>
          <w:szCs w:val="22"/>
          <w:lang w:val="sl-SI"/>
        </w:rPr>
        <w:t xml:space="preserve">, ki jo </w:t>
      </w:r>
      <w:r w:rsidR="00927487" w:rsidRPr="00FF207E">
        <w:rPr>
          <w:rFonts w:cs="Arial"/>
          <w:szCs w:val="22"/>
          <w:lang w:val="sl-SI"/>
        </w:rPr>
        <w:t xml:space="preserve">lahko </w:t>
      </w:r>
      <w:proofErr w:type="spellStart"/>
      <w:r w:rsidR="00927487" w:rsidRPr="00FF207E">
        <w:rPr>
          <w:rFonts w:cs="Arial"/>
          <w:szCs w:val="22"/>
          <w:lang w:val="sl-SI"/>
        </w:rPr>
        <w:t>Eko</w:t>
      </w:r>
      <w:proofErr w:type="spellEnd"/>
      <w:r w:rsidR="00927487" w:rsidRPr="00FF207E">
        <w:rPr>
          <w:rFonts w:cs="Arial"/>
          <w:szCs w:val="22"/>
          <w:lang w:val="sl-SI"/>
        </w:rPr>
        <w:t xml:space="preserve"> sklad</w:t>
      </w:r>
      <w:r w:rsidR="002F0F92" w:rsidRPr="00FF207E">
        <w:rPr>
          <w:rFonts w:cs="Arial"/>
          <w:szCs w:val="22"/>
          <w:lang w:val="sl-SI"/>
        </w:rPr>
        <w:t xml:space="preserve"> </w:t>
      </w:r>
      <w:r w:rsidR="00927487" w:rsidRPr="00FF207E">
        <w:rPr>
          <w:rFonts w:cs="Arial"/>
          <w:szCs w:val="22"/>
          <w:lang w:val="sl-SI"/>
        </w:rPr>
        <w:t>doseže</w:t>
      </w:r>
      <w:r w:rsidR="002F0F92" w:rsidRPr="00FF207E">
        <w:rPr>
          <w:rFonts w:cs="Arial"/>
          <w:szCs w:val="22"/>
          <w:lang w:val="sl-SI"/>
        </w:rPr>
        <w:t xml:space="preserve"> ob trenutn</w:t>
      </w:r>
      <w:r w:rsidR="00927487" w:rsidRPr="00FF207E">
        <w:rPr>
          <w:rFonts w:cs="Arial"/>
          <w:szCs w:val="22"/>
          <w:lang w:val="sl-SI"/>
        </w:rPr>
        <w:t>i</w:t>
      </w:r>
      <w:r w:rsidR="002F0F92" w:rsidRPr="00FF207E">
        <w:rPr>
          <w:rFonts w:cs="Arial"/>
          <w:szCs w:val="22"/>
          <w:lang w:val="sl-SI"/>
        </w:rPr>
        <w:t xml:space="preserve"> kadrovski zasedbi in </w:t>
      </w:r>
      <w:r w:rsidR="00927487" w:rsidRPr="00FF207E">
        <w:rPr>
          <w:rFonts w:cs="Arial"/>
          <w:szCs w:val="22"/>
          <w:lang w:val="sl-SI"/>
        </w:rPr>
        <w:t>organizaciji dela z energetsko revnimi.</w:t>
      </w:r>
    </w:p>
    <w:p w14:paraId="45AF4F37" w14:textId="040CC275" w:rsidR="00927487" w:rsidRPr="00FF207E" w:rsidRDefault="00927487" w:rsidP="001E304B">
      <w:pPr>
        <w:spacing w:after="240"/>
        <w:jc w:val="both"/>
        <w:rPr>
          <w:rFonts w:cs="Arial"/>
          <w:szCs w:val="22"/>
          <w:lang w:val="sl-SI"/>
        </w:rPr>
      </w:pPr>
      <w:r w:rsidRPr="00FF207E">
        <w:rPr>
          <w:rFonts w:cs="Arial"/>
          <w:b/>
          <w:color w:val="4F81BD" w:themeColor="accent1"/>
          <w:szCs w:val="22"/>
          <w:lang w:val="sl-SI"/>
        </w:rPr>
        <w:t>Opredelitev števila izvedenih naložb.</w:t>
      </w:r>
      <w:r w:rsidRPr="00FF207E">
        <w:rPr>
          <w:rFonts w:cs="Arial"/>
          <w:szCs w:val="22"/>
          <w:lang w:val="sl-SI"/>
        </w:rPr>
        <w:t xml:space="preserve"> V kazalniku so </w:t>
      </w:r>
      <w:r w:rsidR="002E35B0" w:rsidRPr="00FF207E">
        <w:rPr>
          <w:rFonts w:cs="Arial"/>
          <w:szCs w:val="22"/>
          <w:lang w:val="sl-SI"/>
        </w:rPr>
        <w:t xml:space="preserve">upoštevana energetsko revna gospodinjstva, v katerih so bile izvedene </w:t>
      </w:r>
      <w:r w:rsidRPr="00FF207E">
        <w:rPr>
          <w:rFonts w:cs="Arial"/>
          <w:szCs w:val="22"/>
          <w:lang w:val="sl-SI"/>
        </w:rPr>
        <w:t>naložbe</w:t>
      </w:r>
      <w:r w:rsidR="008414FC" w:rsidRPr="00FF207E">
        <w:rPr>
          <w:rFonts w:cs="Arial"/>
          <w:szCs w:val="22"/>
          <w:lang w:val="sl-SI"/>
        </w:rPr>
        <w:t xml:space="preserve"> </w:t>
      </w:r>
      <w:r w:rsidR="000268DD" w:rsidRPr="00FF207E">
        <w:rPr>
          <w:rFonts w:cs="Arial"/>
          <w:szCs w:val="22"/>
          <w:lang w:val="sl-SI"/>
        </w:rPr>
        <w:t>v ukrepe, primerljive</w:t>
      </w:r>
      <w:r w:rsidR="008414FC" w:rsidRPr="00FF207E">
        <w:rPr>
          <w:rFonts w:cs="Arial"/>
          <w:szCs w:val="22"/>
          <w:lang w:val="sl-SI"/>
        </w:rPr>
        <w:t xml:space="preserve"> </w:t>
      </w:r>
      <w:r w:rsidR="000268DD" w:rsidRPr="00FF207E">
        <w:rPr>
          <w:rFonts w:cs="Arial"/>
          <w:szCs w:val="22"/>
          <w:lang w:val="sl-SI"/>
        </w:rPr>
        <w:t>s tistimi iz programa ZERO500</w:t>
      </w:r>
      <w:r w:rsidR="00D22BD4" w:rsidRPr="00FF207E">
        <w:rPr>
          <w:rFonts w:cs="Arial"/>
          <w:szCs w:val="22"/>
          <w:lang w:val="sl-SI"/>
        </w:rPr>
        <w:t xml:space="preserve"> in pozivov za vgradnjo KNLB</w:t>
      </w:r>
      <w:r w:rsidR="002E35B0" w:rsidRPr="00FF207E">
        <w:rPr>
          <w:rFonts w:cs="Arial"/>
          <w:szCs w:val="22"/>
          <w:lang w:val="sl-SI"/>
        </w:rPr>
        <w:t xml:space="preserve"> pri socialno šibkih občanih</w:t>
      </w:r>
      <w:r w:rsidR="000268DD" w:rsidRPr="00FF207E">
        <w:rPr>
          <w:rFonts w:cs="Arial"/>
          <w:szCs w:val="22"/>
          <w:lang w:val="sl-SI"/>
        </w:rPr>
        <w:t xml:space="preserve">. Mednje </w:t>
      </w:r>
      <w:r w:rsidR="004963C7" w:rsidRPr="00FF207E">
        <w:rPr>
          <w:rFonts w:cs="Arial"/>
          <w:szCs w:val="22"/>
          <w:lang w:val="sl-SI"/>
        </w:rPr>
        <w:t xml:space="preserve">spadajo </w:t>
      </w:r>
      <w:r w:rsidR="000268DD" w:rsidRPr="00FF207E">
        <w:rPr>
          <w:rFonts w:cs="Arial"/>
          <w:szCs w:val="22"/>
          <w:lang w:val="sl-SI"/>
        </w:rPr>
        <w:t xml:space="preserve">vgradnja </w:t>
      </w:r>
      <w:r w:rsidR="00B4094A" w:rsidRPr="00FF207E">
        <w:rPr>
          <w:rFonts w:cs="Arial"/>
          <w:szCs w:val="22"/>
          <w:lang w:val="sl-SI"/>
        </w:rPr>
        <w:t xml:space="preserve">energetsko </w:t>
      </w:r>
      <w:r w:rsidR="000268DD" w:rsidRPr="00FF207E">
        <w:rPr>
          <w:rFonts w:cs="Arial"/>
          <w:szCs w:val="22"/>
          <w:lang w:val="sl-SI"/>
        </w:rPr>
        <w:t xml:space="preserve">učinkovitih oken in/ali vhodnih vrat, izvedba toplotne izolacije strehe ali stropa ter fasade, </w:t>
      </w:r>
      <w:r w:rsidR="000268DD" w:rsidRPr="00FF207E">
        <w:rPr>
          <w:lang w:val="sl-SI"/>
        </w:rPr>
        <w:t>zamenjava sistema priprave tople vode z grelnikom vode s sprejemniki sončne energije, zamenjava neučinkovitega sistema priprave tople vode z grelnikom vode s toplotno črpalko</w:t>
      </w:r>
      <w:r w:rsidR="002E35B0" w:rsidRPr="00FF207E">
        <w:rPr>
          <w:lang w:val="sl-SI"/>
        </w:rPr>
        <w:t>,</w:t>
      </w:r>
      <w:r w:rsidR="000268DD" w:rsidRPr="00FF207E">
        <w:rPr>
          <w:lang w:val="sl-SI"/>
        </w:rPr>
        <w:t xml:space="preserve"> vgradnja lokalnega prezračevanja z vračanjem toplote odpadnega zraka</w:t>
      </w:r>
      <w:r w:rsidR="002E35B0" w:rsidRPr="00FF207E">
        <w:rPr>
          <w:lang w:val="sl-SI"/>
        </w:rPr>
        <w:t xml:space="preserve"> ter zamenjava </w:t>
      </w:r>
      <w:r w:rsidR="002E35B0" w:rsidRPr="00FF207E">
        <w:rPr>
          <w:rFonts w:cs="Arial"/>
          <w:szCs w:val="22"/>
          <w:lang w:val="sl-SI"/>
        </w:rPr>
        <w:t>starih kurilnih naprav na trdna goriva z novimi na lesno biomaso</w:t>
      </w:r>
      <w:r w:rsidR="000268DD" w:rsidRPr="00FF207E">
        <w:rPr>
          <w:lang w:val="sl-SI"/>
        </w:rPr>
        <w:t xml:space="preserve">. Nabor podprtih ukrepov se lahko </w:t>
      </w:r>
      <w:r w:rsidR="00B266A4" w:rsidRPr="00FF207E">
        <w:rPr>
          <w:lang w:val="sl-SI"/>
        </w:rPr>
        <w:t xml:space="preserve">v skladu </w:t>
      </w:r>
      <w:r w:rsidR="000268DD" w:rsidRPr="00FF207E">
        <w:rPr>
          <w:lang w:val="sl-SI"/>
        </w:rPr>
        <w:t xml:space="preserve">z ugotovljenimi potrebami, razpoložljivimi tehničnimi rešitvami in po presoji </w:t>
      </w:r>
      <w:proofErr w:type="spellStart"/>
      <w:r w:rsidR="000268DD" w:rsidRPr="00FF207E">
        <w:rPr>
          <w:lang w:val="sl-SI"/>
        </w:rPr>
        <w:t>Eko</w:t>
      </w:r>
      <w:proofErr w:type="spellEnd"/>
      <w:r w:rsidR="000268DD" w:rsidRPr="00FF207E">
        <w:rPr>
          <w:lang w:val="sl-SI"/>
        </w:rPr>
        <w:t xml:space="preserve"> sklada dopolnjuje in spreminja.</w:t>
      </w:r>
      <w:r w:rsidR="002E35B0" w:rsidRPr="00FF207E">
        <w:rPr>
          <w:lang w:val="sl-SI"/>
        </w:rPr>
        <w:t xml:space="preserve"> Razširi se lahko tudi z ukrepi, ki so namenjeni zmanjševanju poletne energetske revščine.</w:t>
      </w:r>
      <w:r w:rsidR="00E708C2" w:rsidRPr="00FF207E">
        <w:rPr>
          <w:lang w:val="sl-SI"/>
        </w:rPr>
        <w:t xml:space="preserve"> Naložba </w:t>
      </w:r>
      <w:r w:rsidR="00843618" w:rsidRPr="00FF207E">
        <w:rPr>
          <w:lang w:val="sl-SI"/>
        </w:rPr>
        <w:t xml:space="preserve">se </w:t>
      </w:r>
      <w:r w:rsidR="00E708C2" w:rsidRPr="00FF207E">
        <w:rPr>
          <w:lang w:val="sl-SI"/>
        </w:rPr>
        <w:t xml:space="preserve">pri tem </w:t>
      </w:r>
      <w:r w:rsidR="00843618" w:rsidRPr="00FF207E">
        <w:rPr>
          <w:lang w:val="sl-SI"/>
        </w:rPr>
        <w:t>navezuje na</w:t>
      </w:r>
      <w:r w:rsidR="00E708C2" w:rsidRPr="00FF207E">
        <w:rPr>
          <w:lang w:val="sl-SI"/>
        </w:rPr>
        <w:t xml:space="preserve"> </w:t>
      </w:r>
      <w:r w:rsidR="00843618" w:rsidRPr="00FF207E">
        <w:rPr>
          <w:lang w:val="sl-SI"/>
        </w:rPr>
        <w:t xml:space="preserve">spodbudo, ki jo prejme </w:t>
      </w:r>
      <w:r w:rsidR="005D4880" w:rsidRPr="00FF207E">
        <w:rPr>
          <w:lang w:val="sl-SI"/>
        </w:rPr>
        <w:t>posamezni</w:t>
      </w:r>
      <w:r w:rsidR="00793CEF" w:rsidRPr="00FF207E">
        <w:rPr>
          <w:lang w:val="sl-SI"/>
        </w:rPr>
        <w:t xml:space="preserve"> upravičenec</w:t>
      </w:r>
      <w:r w:rsidR="002E35B0" w:rsidRPr="00FF207E">
        <w:rPr>
          <w:lang w:val="sl-SI"/>
        </w:rPr>
        <w:t xml:space="preserve"> oz</w:t>
      </w:r>
      <w:r w:rsidR="00B77973" w:rsidRPr="00FF207E">
        <w:rPr>
          <w:lang w:val="sl-SI"/>
        </w:rPr>
        <w:t>iroma</w:t>
      </w:r>
      <w:r w:rsidR="002E35B0" w:rsidRPr="00FF207E">
        <w:rPr>
          <w:lang w:val="sl-SI"/>
        </w:rPr>
        <w:t xml:space="preserve"> energetsko revno gospodinjstvo</w:t>
      </w:r>
      <w:r w:rsidR="00737129" w:rsidRPr="00FF207E">
        <w:rPr>
          <w:lang w:val="sl-SI"/>
        </w:rPr>
        <w:t xml:space="preserve"> za</w:t>
      </w:r>
      <w:r w:rsidR="00843618" w:rsidRPr="00FF207E">
        <w:rPr>
          <w:lang w:val="sl-SI"/>
        </w:rPr>
        <w:t xml:space="preserve"> izvedbo enega ali več ukrepov</w:t>
      </w:r>
      <w:r w:rsidR="005450A6" w:rsidRPr="00FF207E">
        <w:rPr>
          <w:lang w:val="sl-SI"/>
        </w:rPr>
        <w:t xml:space="preserve"> </w:t>
      </w:r>
      <w:r w:rsidR="00737129" w:rsidRPr="00FF207E">
        <w:rPr>
          <w:lang w:val="sl-SI"/>
        </w:rPr>
        <w:t xml:space="preserve">energetske učinkovitosti </w:t>
      </w:r>
      <w:r w:rsidR="005450A6" w:rsidRPr="00FF207E">
        <w:rPr>
          <w:lang w:val="sl-SI"/>
        </w:rPr>
        <w:t>na posamezni stavbi</w:t>
      </w:r>
      <w:r w:rsidR="00737129" w:rsidRPr="00FF207E">
        <w:rPr>
          <w:lang w:val="sl-SI"/>
        </w:rPr>
        <w:t>. Število izvedenih ukrepov je</w:t>
      </w:r>
      <w:r w:rsidR="00E708C2" w:rsidRPr="00FF207E">
        <w:rPr>
          <w:lang w:val="sl-SI"/>
        </w:rPr>
        <w:t xml:space="preserve"> odvisno</w:t>
      </w:r>
      <w:r w:rsidR="005450A6" w:rsidRPr="00FF207E">
        <w:rPr>
          <w:lang w:val="sl-SI"/>
        </w:rPr>
        <w:t xml:space="preserve"> od potreb </w:t>
      </w:r>
      <w:r w:rsidR="002E35B0" w:rsidRPr="00FF207E">
        <w:rPr>
          <w:lang w:val="sl-SI"/>
        </w:rPr>
        <w:t xml:space="preserve">gospodinjstva </w:t>
      </w:r>
      <w:r w:rsidR="005450A6" w:rsidRPr="00FF207E">
        <w:rPr>
          <w:lang w:val="sl-SI"/>
        </w:rPr>
        <w:t>in možnosti izvedbe ukrepov.</w:t>
      </w:r>
    </w:p>
    <w:p w14:paraId="2E4D9265" w14:textId="5ED3B690" w:rsidR="00373EB1" w:rsidRPr="00FF207E" w:rsidRDefault="00927487" w:rsidP="001E304B">
      <w:pPr>
        <w:spacing w:after="120"/>
        <w:jc w:val="both"/>
        <w:rPr>
          <w:rFonts w:cs="Arial"/>
          <w:szCs w:val="22"/>
          <w:lang w:val="sl-SI"/>
        </w:rPr>
      </w:pPr>
      <w:r w:rsidRPr="00FF207E">
        <w:rPr>
          <w:rFonts w:cs="Arial"/>
          <w:b/>
          <w:color w:val="4F81BD" w:themeColor="accent1"/>
          <w:szCs w:val="22"/>
          <w:lang w:val="sl-SI"/>
        </w:rPr>
        <w:t>Spremljajoči kazalniki.</w:t>
      </w:r>
      <w:r w:rsidRPr="00FF207E">
        <w:rPr>
          <w:rFonts w:cs="Arial"/>
          <w:szCs w:val="22"/>
          <w:lang w:val="sl-SI"/>
        </w:rPr>
        <w:t xml:space="preserve"> </w:t>
      </w:r>
      <w:r w:rsidR="000268DD" w:rsidRPr="00FF207E">
        <w:rPr>
          <w:rFonts w:cs="Arial"/>
          <w:szCs w:val="22"/>
          <w:lang w:val="sl-SI"/>
        </w:rPr>
        <w:t xml:space="preserve">Poleg skupnega števila </w:t>
      </w:r>
      <w:r w:rsidR="00DF257F" w:rsidRPr="00FF207E">
        <w:rPr>
          <w:rFonts w:cs="Arial"/>
          <w:szCs w:val="22"/>
          <w:lang w:val="sl-SI"/>
        </w:rPr>
        <w:t xml:space="preserve">energetsko revnih gospodinjstev z izvedenimi </w:t>
      </w:r>
      <w:r w:rsidR="000268DD" w:rsidRPr="00FF207E">
        <w:rPr>
          <w:rFonts w:cs="Arial"/>
          <w:szCs w:val="22"/>
          <w:lang w:val="sl-SI"/>
        </w:rPr>
        <w:t>naložb</w:t>
      </w:r>
      <w:r w:rsidR="00DF257F" w:rsidRPr="00FF207E">
        <w:rPr>
          <w:rFonts w:cs="Arial"/>
          <w:szCs w:val="22"/>
          <w:lang w:val="sl-SI"/>
        </w:rPr>
        <w:t>ami</w:t>
      </w:r>
      <w:r w:rsidR="000268DD" w:rsidRPr="00FF207E">
        <w:rPr>
          <w:rFonts w:cs="Arial"/>
          <w:szCs w:val="22"/>
          <w:lang w:val="sl-SI"/>
        </w:rPr>
        <w:t xml:space="preserve"> je </w:t>
      </w:r>
      <w:r w:rsidR="00FE18AC" w:rsidRPr="00FF207E">
        <w:rPr>
          <w:rFonts w:cs="Arial"/>
          <w:szCs w:val="22"/>
          <w:lang w:val="sl-SI"/>
        </w:rPr>
        <w:t xml:space="preserve">za usmerjanje </w:t>
      </w:r>
      <w:r w:rsidR="00DF257F" w:rsidRPr="00FF207E">
        <w:rPr>
          <w:rFonts w:cs="Arial"/>
          <w:szCs w:val="22"/>
          <w:lang w:val="sl-SI"/>
        </w:rPr>
        <w:t xml:space="preserve">izvajanja ukrepov </w:t>
      </w:r>
      <w:r w:rsidR="000268DD" w:rsidRPr="00FF207E">
        <w:rPr>
          <w:rFonts w:cs="Arial"/>
          <w:szCs w:val="22"/>
          <w:lang w:val="sl-SI"/>
        </w:rPr>
        <w:t xml:space="preserve">smiselno </w:t>
      </w:r>
      <w:r w:rsidR="00FE18AC" w:rsidRPr="00FF207E">
        <w:rPr>
          <w:rFonts w:cs="Arial"/>
          <w:szCs w:val="22"/>
          <w:lang w:val="sl-SI"/>
        </w:rPr>
        <w:t xml:space="preserve">na letni ravni </w:t>
      </w:r>
      <w:r w:rsidR="000268DD" w:rsidRPr="00FF207E">
        <w:rPr>
          <w:rFonts w:cs="Arial"/>
          <w:szCs w:val="22"/>
          <w:lang w:val="sl-SI"/>
        </w:rPr>
        <w:t>spremljati še:</w:t>
      </w:r>
    </w:p>
    <w:p w14:paraId="3C6604AD" w14:textId="0D90DB52" w:rsidR="000315C3" w:rsidRPr="00FF207E" w:rsidRDefault="000315C3" w:rsidP="001E304B">
      <w:pPr>
        <w:pStyle w:val="Odstavekseznama"/>
        <w:numPr>
          <w:ilvl w:val="0"/>
          <w:numId w:val="25"/>
        </w:numPr>
        <w:spacing w:after="240"/>
        <w:jc w:val="both"/>
        <w:rPr>
          <w:rFonts w:cs="Arial"/>
          <w:szCs w:val="22"/>
          <w:lang w:val="sl-SI"/>
        </w:rPr>
      </w:pPr>
      <w:r w:rsidRPr="00FF207E">
        <w:rPr>
          <w:rFonts w:cs="Arial"/>
          <w:lang w:val="sl-SI"/>
        </w:rPr>
        <w:t xml:space="preserve">skupno letno </w:t>
      </w:r>
      <w:r w:rsidR="00DF257F" w:rsidRPr="00FF207E">
        <w:rPr>
          <w:rFonts w:cs="Arial"/>
          <w:lang w:val="sl-SI"/>
        </w:rPr>
        <w:t xml:space="preserve">število in </w:t>
      </w:r>
      <w:r w:rsidRPr="00FF207E">
        <w:rPr>
          <w:rFonts w:cs="Arial"/>
          <w:lang w:val="sl-SI"/>
        </w:rPr>
        <w:t>vrednost naložb;</w:t>
      </w:r>
    </w:p>
    <w:p w14:paraId="25D40760" w14:textId="66D67359" w:rsidR="000268DD" w:rsidRPr="00FF207E" w:rsidRDefault="00FE18AC" w:rsidP="001E304B">
      <w:pPr>
        <w:pStyle w:val="Odstavekseznama"/>
        <w:numPr>
          <w:ilvl w:val="0"/>
          <w:numId w:val="25"/>
        </w:numPr>
        <w:spacing w:after="240"/>
        <w:jc w:val="both"/>
        <w:rPr>
          <w:rFonts w:cs="Arial"/>
          <w:szCs w:val="22"/>
          <w:lang w:val="sl-SI"/>
        </w:rPr>
      </w:pPr>
      <w:r w:rsidRPr="00FF207E">
        <w:rPr>
          <w:rFonts w:cs="Arial"/>
          <w:lang w:val="sl-SI"/>
        </w:rPr>
        <w:t xml:space="preserve">letno </w:t>
      </w:r>
      <w:r w:rsidR="000315C3" w:rsidRPr="00FF207E">
        <w:rPr>
          <w:rFonts w:cs="Arial"/>
          <w:lang w:val="sl-SI"/>
        </w:rPr>
        <w:t xml:space="preserve">število naložb </w:t>
      </w:r>
      <w:r w:rsidRPr="00FF207E">
        <w:rPr>
          <w:rFonts w:cs="Arial"/>
          <w:lang w:val="sl-SI"/>
        </w:rPr>
        <w:t xml:space="preserve">in letno vrednost naložb </w:t>
      </w:r>
      <w:r w:rsidR="000315C3" w:rsidRPr="00FF207E">
        <w:rPr>
          <w:rFonts w:cs="Arial"/>
          <w:lang w:val="sl-SI"/>
        </w:rPr>
        <w:t xml:space="preserve">po posameznih ukrepih URE in </w:t>
      </w:r>
      <w:r w:rsidR="00026105" w:rsidRPr="00FF207E">
        <w:rPr>
          <w:rFonts w:cs="Arial"/>
          <w:lang w:val="sl-SI"/>
        </w:rPr>
        <w:t xml:space="preserve">rabe </w:t>
      </w:r>
      <w:r w:rsidR="000315C3" w:rsidRPr="00FF207E">
        <w:rPr>
          <w:rFonts w:cs="Arial"/>
          <w:lang w:val="sl-SI"/>
        </w:rPr>
        <w:t>OVE</w:t>
      </w:r>
      <w:r w:rsidR="000268DD" w:rsidRPr="00FF207E">
        <w:rPr>
          <w:rFonts w:cs="Arial"/>
          <w:lang w:val="sl-SI"/>
        </w:rPr>
        <w:t>;</w:t>
      </w:r>
    </w:p>
    <w:p w14:paraId="522BC46B" w14:textId="368BD712" w:rsidR="000268DD" w:rsidRPr="00FF207E" w:rsidRDefault="00FE18AC" w:rsidP="001E304B">
      <w:pPr>
        <w:pStyle w:val="Odstavekseznama"/>
        <w:numPr>
          <w:ilvl w:val="0"/>
          <w:numId w:val="25"/>
        </w:numPr>
        <w:spacing w:after="240"/>
        <w:ind w:left="714" w:hanging="357"/>
        <w:contextualSpacing w:val="0"/>
        <w:jc w:val="both"/>
        <w:rPr>
          <w:rFonts w:cs="Arial"/>
          <w:szCs w:val="22"/>
          <w:lang w:val="sl-SI"/>
        </w:rPr>
      </w:pPr>
      <w:r w:rsidRPr="00FF207E">
        <w:rPr>
          <w:rFonts w:cs="Arial"/>
          <w:lang w:val="sl-SI"/>
        </w:rPr>
        <w:t>letno število naložb in letno vrednost naložb po regijah.</w:t>
      </w:r>
    </w:p>
    <w:p w14:paraId="4F3367E2" w14:textId="784BEC28" w:rsidR="00BC1ACD" w:rsidRPr="00FF207E" w:rsidRDefault="00BC1ACD" w:rsidP="001E304B">
      <w:pPr>
        <w:jc w:val="both"/>
        <w:rPr>
          <w:lang w:val="sl-SI"/>
        </w:rPr>
      </w:pPr>
      <w:r w:rsidRPr="00FF207E">
        <w:rPr>
          <w:noProof/>
          <w:color w:val="4F81BD" w:themeColor="accent1"/>
          <w:lang w:val="sl-SI" w:eastAsia="sl-SI"/>
        </w:rPr>
        <w:lastRenderedPageBreak/>
        <mc:AlternateContent>
          <mc:Choice Requires="wps">
            <w:drawing>
              <wp:inline distT="0" distB="0" distL="0" distR="0" wp14:anchorId="13AFA5C2" wp14:editId="487D6D2C">
                <wp:extent cx="5760720" cy="1781175"/>
                <wp:effectExtent l="0" t="0" r="11430" b="28575"/>
                <wp:docPr id="6" name="Rectangle: Rounded Corners 6"/>
                <wp:cNvGraphicFramePr/>
                <a:graphic xmlns:a="http://schemas.openxmlformats.org/drawingml/2006/main">
                  <a:graphicData uri="http://schemas.microsoft.com/office/word/2010/wordprocessingShape">
                    <wps:wsp>
                      <wps:cNvSpPr/>
                      <wps:spPr>
                        <a:xfrm>
                          <a:off x="0" y="0"/>
                          <a:ext cx="5760720" cy="1781175"/>
                        </a:xfrm>
                        <a:prstGeom prst="roundRect">
                          <a:avLst>
                            <a:gd name="adj" fmla="val 5866"/>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7C0D26" w14:textId="74DD366D" w:rsidR="008140B0" w:rsidRPr="00683FA5" w:rsidRDefault="008140B0" w:rsidP="00BC1ACD">
                            <w:pPr>
                              <w:spacing w:after="120"/>
                              <w:ind w:left="340" w:right="301" w:hanging="340"/>
                              <w:rPr>
                                <w:rFonts w:cs="Arial"/>
                                <w:b/>
                                <w:smallCaps/>
                                <w:color w:val="4F81BD" w:themeColor="accent1"/>
                                <w:lang w:val="sl-SI"/>
                              </w:rPr>
                            </w:pPr>
                            <w:r>
                              <w:rPr>
                                <w:rFonts w:cs="Arial"/>
                                <w:b/>
                                <w:smallCaps/>
                                <w:color w:val="4F81BD" w:themeColor="accent1"/>
                                <w:lang w:val="sl-SI"/>
                              </w:rPr>
                              <w:t>3.</w:t>
                            </w:r>
                            <w:r>
                              <w:rPr>
                                <w:rFonts w:cs="Arial"/>
                                <w:b/>
                                <w:smallCaps/>
                                <w:color w:val="4F81BD" w:themeColor="accent1"/>
                                <w:lang w:val="sl-SI"/>
                              </w:rPr>
                              <w:tab/>
                              <w:t>Kumulativni prihranek energije z izvedbo ukrepov v energetsko revnih gospodinjstvih</w:t>
                            </w:r>
                          </w:p>
                          <w:p w14:paraId="5A1142C5" w14:textId="01900462" w:rsidR="008140B0" w:rsidRPr="009475E8" w:rsidRDefault="008140B0" w:rsidP="00225C55">
                            <w:pPr>
                              <w:spacing w:after="120"/>
                              <w:ind w:right="301"/>
                              <w:jc w:val="both"/>
                              <w:rPr>
                                <w:rFonts w:cs="Arial"/>
                                <w:color w:val="4F81BD" w:themeColor="accent1"/>
                                <w:szCs w:val="22"/>
                                <w:lang w:val="sl-SI"/>
                              </w:rPr>
                            </w:pPr>
                            <w:r w:rsidRPr="009475E8">
                              <w:rPr>
                                <w:rFonts w:cs="Arial"/>
                                <w:color w:val="4F81BD" w:themeColor="accent1"/>
                                <w:szCs w:val="22"/>
                                <w:lang w:val="sl-SI"/>
                              </w:rPr>
                              <w:t xml:space="preserve">V </w:t>
                            </w:r>
                            <w:r>
                              <w:rPr>
                                <w:rFonts w:cs="Arial"/>
                                <w:color w:val="4F81BD" w:themeColor="accent1"/>
                                <w:szCs w:val="22"/>
                                <w:lang w:val="sl-SI"/>
                              </w:rPr>
                              <w:t xml:space="preserve">skladu z 8. členom </w:t>
                            </w:r>
                            <w:r w:rsidRPr="009475E8">
                              <w:rPr>
                                <w:rFonts w:cs="Arial"/>
                                <w:color w:val="4F81BD" w:themeColor="accent1"/>
                                <w:szCs w:val="22"/>
                                <w:lang w:val="sl-SI"/>
                              </w:rPr>
                              <w:t>prenovljen</w:t>
                            </w:r>
                            <w:r>
                              <w:rPr>
                                <w:rFonts w:cs="Arial"/>
                                <w:color w:val="4F81BD" w:themeColor="accent1"/>
                                <w:szCs w:val="22"/>
                                <w:lang w:val="sl-SI"/>
                              </w:rPr>
                              <w:t>e</w:t>
                            </w:r>
                            <w:r w:rsidRPr="009475E8">
                              <w:rPr>
                                <w:rFonts w:cs="Arial"/>
                                <w:color w:val="4F81BD" w:themeColor="accent1"/>
                                <w:szCs w:val="22"/>
                                <w:lang w:val="sl-SI"/>
                              </w:rPr>
                              <w:t xml:space="preserve"> </w:t>
                            </w:r>
                            <w:r w:rsidRPr="009475E8">
                              <w:rPr>
                                <w:rFonts w:cs="Arial"/>
                                <w:i/>
                                <w:color w:val="4F81BD" w:themeColor="accent1"/>
                                <w:szCs w:val="22"/>
                                <w:lang w:val="sl-SI"/>
                              </w:rPr>
                              <w:t>Direktive o energetski učinkovitosti</w:t>
                            </w:r>
                            <w:r>
                              <w:rPr>
                                <w:rFonts w:cs="Arial"/>
                                <w:color w:val="4F81BD" w:themeColor="accent1"/>
                                <w:szCs w:val="22"/>
                                <w:lang w:val="sl-SI"/>
                              </w:rPr>
                              <w:t xml:space="preserve"> si morajo Slovenija in druge države članice EU zastaviti tudi zelo ambiciozen </w:t>
                            </w:r>
                            <w:r w:rsidRPr="009475E8">
                              <w:rPr>
                                <w:rFonts w:cs="Arial"/>
                                <w:color w:val="4F81BD" w:themeColor="accent1"/>
                                <w:szCs w:val="22"/>
                                <w:lang w:val="sl-SI"/>
                              </w:rPr>
                              <w:t xml:space="preserve">cilj </w:t>
                            </w:r>
                            <w:r>
                              <w:rPr>
                                <w:rFonts w:cs="Arial"/>
                                <w:color w:val="4F81BD" w:themeColor="accent1"/>
                                <w:szCs w:val="22"/>
                                <w:lang w:val="sl-SI"/>
                              </w:rPr>
                              <w:t>na področju doseganja</w:t>
                            </w:r>
                            <w:r w:rsidRPr="009475E8">
                              <w:rPr>
                                <w:rFonts w:cs="Arial"/>
                                <w:color w:val="4F81BD" w:themeColor="accent1"/>
                                <w:szCs w:val="22"/>
                                <w:lang w:val="sl-SI"/>
                              </w:rPr>
                              <w:t xml:space="preserve"> prihrankov energije v energetsko revnih gospodinjstvih</w:t>
                            </w:r>
                            <w:r>
                              <w:rPr>
                                <w:rFonts w:cs="Arial"/>
                                <w:color w:val="4F81BD" w:themeColor="accent1"/>
                                <w:szCs w:val="22"/>
                                <w:lang w:val="sl-SI"/>
                              </w:rPr>
                              <w:t xml:space="preserve">. Po preliminarnih izračunih je ciljni kumulativni prihranek energije v teh gospodinjstvih v obdobju 2021–2030 ocenjen na 573 GWh. Navedeni cilj bo </w:t>
                            </w:r>
                            <w:r w:rsidRPr="00840C02">
                              <w:rPr>
                                <w:rFonts w:cs="Arial"/>
                                <w:color w:val="4F81BD" w:themeColor="accent1"/>
                                <w:szCs w:val="22"/>
                                <w:lang w:val="sl-SI"/>
                              </w:rPr>
                              <w:t>dokončno oblikovan in</w:t>
                            </w:r>
                            <w:r>
                              <w:rPr>
                                <w:rFonts w:cs="Arial"/>
                                <w:szCs w:val="22"/>
                                <w:lang w:val="sl-SI"/>
                              </w:rPr>
                              <w:t xml:space="preserve"> </w:t>
                            </w:r>
                            <w:r>
                              <w:rPr>
                                <w:rFonts w:cs="Arial"/>
                                <w:color w:val="4F81BD" w:themeColor="accent1"/>
                                <w:szCs w:val="22"/>
                                <w:lang w:val="sl-SI"/>
                              </w:rPr>
                              <w:t>vključen v končno verzijo posodobitve NEPN.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3AFA5C2" id="Rectangle: Rounded Corners 6" o:spid="_x0000_s1030" style="width:453.6pt;height:140.25pt;visibility:visible;mso-wrap-style:square;mso-left-percent:-10001;mso-top-percent:-10001;mso-position-horizontal:absolute;mso-position-horizontal-relative:char;mso-position-vertical:absolute;mso-position-vertical-relative:line;mso-left-percent:-10001;mso-top-percent:-10001;v-text-anchor:top" arcsize="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" fillcolor="#dbe5f1 [660]" strokecolor="#4f81bd [3204]" strokeweight="2pt">
                <v:textbox>
                  <w:txbxContent>
                    <w:p w14:paraId="487C0D26" w14:textId="74DD366D" w:rsidR="008140B0" w:rsidRPr="00683FA5" w:rsidRDefault="008140B0" w:rsidP="00BC1ACD">
                      <w:pPr>
                        <w:spacing w:after="120"/>
                        <w:ind w:left="340" w:right="301" w:hanging="340"/>
                        <w:rPr>
                          <w:rFonts w:cs="Arial"/>
                          <w:b/>
                          <w:smallCaps/>
                          <w:color w:val="4F81BD" w:themeColor="accent1"/>
                          <w:lang w:val="sl-SI"/>
                        </w:rPr>
                      </w:pPr>
                      <w:r>
                        <w:rPr>
                          <w:rFonts w:cs="Arial"/>
                          <w:b/>
                          <w:smallCaps/>
                          <w:color w:val="4F81BD" w:themeColor="accent1"/>
                          <w:lang w:val="sl-SI"/>
                        </w:rPr>
                        <w:t>3.</w:t>
                      </w:r>
                      <w:r>
                        <w:rPr>
                          <w:rFonts w:cs="Arial"/>
                          <w:b/>
                          <w:smallCaps/>
                          <w:color w:val="4F81BD" w:themeColor="accent1"/>
                          <w:lang w:val="sl-SI"/>
                        </w:rPr>
                        <w:tab/>
                        <w:t>Kumulativni prihranek energije z izvedbo ukrepov v energetsko revnih gospodinjstvih</w:t>
                      </w:r>
                    </w:p>
                    <w:p w14:paraId="5A1142C5" w14:textId="01900462" w:rsidR="008140B0" w:rsidRPr="009475E8" w:rsidRDefault="008140B0" w:rsidP="00225C55">
                      <w:pPr>
                        <w:spacing w:after="120"/>
                        <w:ind w:right="301"/>
                        <w:jc w:val="both"/>
                        <w:rPr>
                          <w:rFonts w:cs="Arial"/>
                          <w:color w:val="4F81BD" w:themeColor="accent1"/>
                          <w:szCs w:val="22"/>
                          <w:lang w:val="sl-SI"/>
                        </w:rPr>
                      </w:pPr>
                      <w:r w:rsidRPr="009475E8">
                        <w:rPr>
                          <w:rFonts w:cs="Arial"/>
                          <w:color w:val="4F81BD" w:themeColor="accent1"/>
                          <w:szCs w:val="22"/>
                          <w:lang w:val="sl-SI"/>
                        </w:rPr>
                        <w:t xml:space="preserve">V </w:t>
                      </w:r>
                      <w:r>
                        <w:rPr>
                          <w:rFonts w:cs="Arial"/>
                          <w:color w:val="4F81BD" w:themeColor="accent1"/>
                          <w:szCs w:val="22"/>
                          <w:lang w:val="sl-SI"/>
                        </w:rPr>
                        <w:t xml:space="preserve">skladu z 8. členom </w:t>
                      </w:r>
                      <w:r w:rsidRPr="009475E8">
                        <w:rPr>
                          <w:rFonts w:cs="Arial"/>
                          <w:color w:val="4F81BD" w:themeColor="accent1"/>
                          <w:szCs w:val="22"/>
                          <w:lang w:val="sl-SI"/>
                        </w:rPr>
                        <w:t>prenovljen</w:t>
                      </w:r>
                      <w:r>
                        <w:rPr>
                          <w:rFonts w:cs="Arial"/>
                          <w:color w:val="4F81BD" w:themeColor="accent1"/>
                          <w:szCs w:val="22"/>
                          <w:lang w:val="sl-SI"/>
                        </w:rPr>
                        <w:t>e</w:t>
                      </w:r>
                      <w:r w:rsidRPr="009475E8">
                        <w:rPr>
                          <w:rFonts w:cs="Arial"/>
                          <w:color w:val="4F81BD" w:themeColor="accent1"/>
                          <w:szCs w:val="22"/>
                          <w:lang w:val="sl-SI"/>
                        </w:rPr>
                        <w:t xml:space="preserve"> </w:t>
                      </w:r>
                      <w:r w:rsidRPr="009475E8">
                        <w:rPr>
                          <w:rFonts w:cs="Arial"/>
                          <w:i/>
                          <w:color w:val="4F81BD" w:themeColor="accent1"/>
                          <w:szCs w:val="22"/>
                          <w:lang w:val="sl-SI"/>
                        </w:rPr>
                        <w:t>Direktive o energetski učinkovitosti</w:t>
                      </w:r>
                      <w:r>
                        <w:rPr>
                          <w:rFonts w:cs="Arial"/>
                          <w:color w:val="4F81BD" w:themeColor="accent1"/>
                          <w:szCs w:val="22"/>
                          <w:lang w:val="sl-SI"/>
                        </w:rPr>
                        <w:t xml:space="preserve"> si morajo Slovenija in druge države članice EU zastaviti tudi zelo ambiciozen </w:t>
                      </w:r>
                      <w:r w:rsidRPr="009475E8">
                        <w:rPr>
                          <w:rFonts w:cs="Arial"/>
                          <w:color w:val="4F81BD" w:themeColor="accent1"/>
                          <w:szCs w:val="22"/>
                          <w:lang w:val="sl-SI"/>
                        </w:rPr>
                        <w:t xml:space="preserve">cilj </w:t>
                      </w:r>
                      <w:r>
                        <w:rPr>
                          <w:rFonts w:cs="Arial"/>
                          <w:color w:val="4F81BD" w:themeColor="accent1"/>
                          <w:szCs w:val="22"/>
                          <w:lang w:val="sl-SI"/>
                        </w:rPr>
                        <w:t>na področju doseganja</w:t>
                      </w:r>
                      <w:r w:rsidRPr="009475E8">
                        <w:rPr>
                          <w:rFonts w:cs="Arial"/>
                          <w:color w:val="4F81BD" w:themeColor="accent1"/>
                          <w:szCs w:val="22"/>
                          <w:lang w:val="sl-SI"/>
                        </w:rPr>
                        <w:t xml:space="preserve"> prihrankov energije v energetsko revnih gospodinjstvih</w:t>
                      </w:r>
                      <w:r>
                        <w:rPr>
                          <w:rFonts w:cs="Arial"/>
                          <w:color w:val="4F81BD" w:themeColor="accent1"/>
                          <w:szCs w:val="22"/>
                          <w:lang w:val="sl-SI"/>
                        </w:rPr>
                        <w:t xml:space="preserve">. Po preliminarnih izračunih je ciljni kumulativni prihranek energije v teh gospodinjstvih v obdobju 2021–2030 ocenjen na 573 GWh. Navedeni cilj bo </w:t>
                      </w:r>
                      <w:r w:rsidRPr="00840C02">
                        <w:rPr>
                          <w:rFonts w:cs="Arial"/>
                          <w:color w:val="4F81BD" w:themeColor="accent1"/>
                          <w:szCs w:val="22"/>
                          <w:lang w:val="sl-SI"/>
                        </w:rPr>
                        <w:t>dokončno oblikovan in</w:t>
                      </w:r>
                      <w:r>
                        <w:rPr>
                          <w:rFonts w:cs="Arial"/>
                          <w:szCs w:val="22"/>
                          <w:lang w:val="sl-SI"/>
                        </w:rPr>
                        <w:t xml:space="preserve"> </w:t>
                      </w:r>
                      <w:r>
                        <w:rPr>
                          <w:rFonts w:cs="Arial"/>
                          <w:color w:val="4F81BD" w:themeColor="accent1"/>
                          <w:szCs w:val="22"/>
                          <w:lang w:val="sl-SI"/>
                        </w:rPr>
                        <w:t>vključen v končno verzijo posodobitve NEPN.</w:t>
                      </w:r>
                    </w:p>
                  </w:txbxContent>
                </v:textbox>
                <w10:anchorlock/>
              </v:roundrect>
            </w:pict>
          </mc:Fallback>
        </mc:AlternateContent>
      </w:r>
    </w:p>
    <w:p w14:paraId="6B331F85" w14:textId="43E69B32" w:rsidR="001C1AA8" w:rsidRPr="00FF207E" w:rsidRDefault="001C1AA8" w:rsidP="001E304B">
      <w:pPr>
        <w:pStyle w:val="Naslov2"/>
        <w:jc w:val="both"/>
        <w:rPr>
          <w:lang w:val="sl-SI"/>
        </w:rPr>
      </w:pPr>
      <w:bookmarkStart w:id="29" w:name="_Ref137574115"/>
      <w:bookmarkStart w:id="30" w:name="_Toc151148781"/>
      <w:r w:rsidRPr="00FF207E">
        <w:rPr>
          <w:lang w:val="sl-SI"/>
        </w:rPr>
        <w:t>Cilji do leta 2026</w:t>
      </w:r>
      <w:bookmarkEnd w:id="29"/>
      <w:bookmarkEnd w:id="30"/>
    </w:p>
    <w:p w14:paraId="39E95C05" w14:textId="5A8FC3D2" w:rsidR="00BC1ACD" w:rsidRPr="00FF207E" w:rsidRDefault="00714ED5" w:rsidP="001E304B">
      <w:pPr>
        <w:spacing w:after="240"/>
        <w:jc w:val="both"/>
        <w:rPr>
          <w:lang w:val="sl-SI"/>
        </w:rPr>
      </w:pPr>
      <w:r w:rsidRPr="00FF207E">
        <w:rPr>
          <w:lang w:val="sl-SI"/>
        </w:rPr>
        <w:t>Glavni cilj v obdobju 2024</w:t>
      </w:r>
      <w:r w:rsidRPr="00FF207E">
        <w:rPr>
          <w:rFonts w:cs="Arial"/>
          <w:szCs w:val="22"/>
          <w:lang w:val="sl-SI"/>
        </w:rPr>
        <w:t xml:space="preserve">–2026 </w:t>
      </w:r>
      <w:r w:rsidRPr="00FF207E">
        <w:rPr>
          <w:lang w:val="sl-SI"/>
        </w:rPr>
        <w:t xml:space="preserve">je nadgradnja obstoječe skupine, ki deluje na področju izvajanja ukrepov za zmanjševanje energetske revščine pri </w:t>
      </w:r>
      <w:proofErr w:type="spellStart"/>
      <w:r w:rsidRPr="00FF207E">
        <w:rPr>
          <w:lang w:val="sl-SI"/>
        </w:rPr>
        <w:t>Eko</w:t>
      </w:r>
      <w:proofErr w:type="spellEnd"/>
      <w:r w:rsidRPr="00FF207E">
        <w:rPr>
          <w:lang w:val="sl-SI"/>
        </w:rPr>
        <w:t xml:space="preserve"> skladu, </w:t>
      </w:r>
      <w:r w:rsidRPr="00FF207E">
        <w:rPr>
          <w:b/>
          <w:lang w:val="sl-SI"/>
        </w:rPr>
        <w:t>z vzpostavitvijo in delovanje</w:t>
      </w:r>
      <w:r w:rsidR="00652FFE" w:rsidRPr="00FF207E">
        <w:rPr>
          <w:b/>
          <w:lang w:val="sl-SI"/>
        </w:rPr>
        <w:t>m</w:t>
      </w:r>
      <w:r w:rsidRPr="00FF207E">
        <w:rPr>
          <w:b/>
          <w:lang w:val="sl-SI"/>
        </w:rPr>
        <w:t xml:space="preserve"> sheme za zmanjševanje energetske revščine v pilotnem obsegu</w:t>
      </w:r>
      <w:r w:rsidRPr="00FF207E">
        <w:rPr>
          <w:lang w:val="sl-SI"/>
        </w:rPr>
        <w:t xml:space="preserve">. S tem bodo </w:t>
      </w:r>
      <w:r w:rsidR="00652FFE" w:rsidRPr="00FF207E">
        <w:rPr>
          <w:lang w:val="sl-SI"/>
        </w:rPr>
        <w:t>zagotovljen</w:t>
      </w:r>
      <w:r w:rsidR="00D55FFB" w:rsidRPr="00FF207E">
        <w:rPr>
          <w:lang w:val="sl-SI"/>
        </w:rPr>
        <w:t>e</w:t>
      </w:r>
      <w:r w:rsidR="00652FFE" w:rsidRPr="00FF207E">
        <w:rPr>
          <w:lang w:val="sl-SI"/>
        </w:rPr>
        <w:t xml:space="preserve"> </w:t>
      </w:r>
      <w:r w:rsidR="00D55FFB" w:rsidRPr="00FF207E">
        <w:rPr>
          <w:lang w:val="sl-SI"/>
        </w:rPr>
        <w:t xml:space="preserve">razmere </w:t>
      </w:r>
      <w:r w:rsidR="00652FFE" w:rsidRPr="00FF207E">
        <w:rPr>
          <w:lang w:val="sl-SI"/>
        </w:rPr>
        <w:t>za dodeljevanje spodbud energetsko revnim v povečanem obsegu in podprto</w:t>
      </w:r>
      <w:r w:rsidR="006013C2" w:rsidRPr="00FF207E">
        <w:rPr>
          <w:lang w:val="sl-SI"/>
        </w:rPr>
        <w:t xml:space="preserve"> </w:t>
      </w:r>
      <w:r w:rsidR="00136B1B" w:rsidRPr="00FF207E">
        <w:rPr>
          <w:lang w:val="sl-SI"/>
        </w:rPr>
        <w:t xml:space="preserve">bo </w:t>
      </w:r>
      <w:r w:rsidR="00D15005" w:rsidRPr="00FF207E">
        <w:rPr>
          <w:lang w:val="sl-SI"/>
        </w:rPr>
        <w:t>dosegan</w:t>
      </w:r>
      <w:r w:rsidR="00652FFE" w:rsidRPr="00FF207E">
        <w:rPr>
          <w:lang w:val="sl-SI"/>
        </w:rPr>
        <w:t>je</w:t>
      </w:r>
      <w:r w:rsidR="00D15005" w:rsidRPr="00FF207E">
        <w:rPr>
          <w:lang w:val="sl-SI"/>
        </w:rPr>
        <w:t xml:space="preserve"> ciljev do leta 2030. </w:t>
      </w:r>
      <w:r w:rsidR="00F17303" w:rsidRPr="00FF207E">
        <w:rPr>
          <w:lang w:val="sl-SI"/>
        </w:rPr>
        <w:t xml:space="preserve">V tem okviru so opredeljeni tudi cilji za različne </w:t>
      </w:r>
      <w:r w:rsidR="00F83B7B" w:rsidRPr="00FF207E">
        <w:rPr>
          <w:lang w:val="sl-SI"/>
        </w:rPr>
        <w:t>namene</w:t>
      </w:r>
      <w:r w:rsidR="00F17303" w:rsidRPr="00FF207E">
        <w:rPr>
          <w:lang w:val="sl-SI"/>
        </w:rPr>
        <w:t xml:space="preserve"> spodbud</w:t>
      </w:r>
      <w:r w:rsidR="00F83B7B" w:rsidRPr="00FF207E">
        <w:rPr>
          <w:lang w:val="sl-SI"/>
        </w:rPr>
        <w:t xml:space="preserve">, </w:t>
      </w:r>
      <w:r w:rsidR="00F17303" w:rsidRPr="00FF207E">
        <w:rPr>
          <w:lang w:val="sl-SI"/>
        </w:rPr>
        <w:t>in sicer po letih in skupno za obdobje 2024</w:t>
      </w:r>
      <w:r w:rsidR="00F17303" w:rsidRPr="00FF207E">
        <w:rPr>
          <w:rFonts w:cs="Arial"/>
          <w:szCs w:val="22"/>
          <w:lang w:val="sl-SI"/>
        </w:rPr>
        <w:t>–2026 (</w:t>
      </w:r>
      <w:r w:rsidR="00F17303" w:rsidRPr="00FF207E">
        <w:rPr>
          <w:rFonts w:cs="Arial"/>
          <w:szCs w:val="22"/>
          <w:lang w:val="sl-SI"/>
        </w:rPr>
        <w:fldChar w:fldCharType="begin"/>
      </w:r>
      <w:r w:rsidR="00F17303" w:rsidRPr="00FF207E">
        <w:rPr>
          <w:rFonts w:cs="Arial"/>
          <w:szCs w:val="22"/>
          <w:lang w:val="sl-SI"/>
        </w:rPr>
        <w:instrText xml:space="preserve"> REF _Ref137555136 \h </w:instrText>
      </w:r>
      <w:r w:rsidR="001E304B" w:rsidRPr="00FF207E">
        <w:rPr>
          <w:rFonts w:cs="Arial"/>
          <w:szCs w:val="22"/>
          <w:lang w:val="sl-SI"/>
        </w:rPr>
        <w:instrText xml:space="preserve"> \* MERGEFORMAT </w:instrText>
      </w:r>
      <w:r w:rsidR="00F17303" w:rsidRPr="00FF207E">
        <w:rPr>
          <w:rFonts w:cs="Arial"/>
          <w:szCs w:val="22"/>
          <w:lang w:val="sl-SI"/>
        </w:rPr>
      </w:r>
      <w:r w:rsidR="00F17303" w:rsidRPr="00FF207E">
        <w:rPr>
          <w:rFonts w:cs="Arial"/>
          <w:szCs w:val="22"/>
          <w:lang w:val="sl-SI"/>
        </w:rPr>
        <w:fldChar w:fldCharType="separate"/>
      </w:r>
      <w:r w:rsidR="00086058" w:rsidRPr="00FF207E">
        <w:rPr>
          <w:lang w:val="sl-SI"/>
        </w:rPr>
        <w:t>t</w:t>
      </w:r>
      <w:r w:rsidR="00F37FD1" w:rsidRPr="00FF207E">
        <w:rPr>
          <w:lang w:val="sl-SI"/>
        </w:rPr>
        <w:t>abela 2</w:t>
      </w:r>
      <w:r w:rsidR="00F17303" w:rsidRPr="00FF207E">
        <w:rPr>
          <w:rFonts w:cs="Arial"/>
          <w:szCs w:val="22"/>
          <w:lang w:val="sl-SI"/>
        </w:rPr>
        <w:fldChar w:fldCharType="end"/>
      </w:r>
      <w:r w:rsidR="00F17303" w:rsidRPr="00FF207E">
        <w:rPr>
          <w:rFonts w:cs="Arial"/>
          <w:szCs w:val="22"/>
          <w:lang w:val="sl-SI"/>
        </w:rPr>
        <w:t xml:space="preserve">). </w:t>
      </w:r>
      <w:r w:rsidR="008769BF" w:rsidRPr="00FF207E">
        <w:rPr>
          <w:rFonts w:cs="Arial"/>
          <w:szCs w:val="22"/>
          <w:lang w:val="sl-SI"/>
        </w:rPr>
        <w:t xml:space="preserve">Dodatno so </w:t>
      </w:r>
      <w:r w:rsidR="00AB5DC7" w:rsidRPr="00FF207E">
        <w:rPr>
          <w:rFonts w:cs="Arial"/>
          <w:szCs w:val="22"/>
          <w:lang w:val="sl-SI"/>
        </w:rPr>
        <w:t xml:space="preserve">kratkoročni </w:t>
      </w:r>
      <w:r w:rsidR="008769BF" w:rsidRPr="00FF207E">
        <w:rPr>
          <w:rFonts w:cs="Arial"/>
          <w:szCs w:val="22"/>
          <w:lang w:val="sl-SI"/>
        </w:rPr>
        <w:t xml:space="preserve">cilji </w:t>
      </w:r>
      <w:r w:rsidR="008769BF" w:rsidRPr="00FF207E">
        <w:rPr>
          <w:lang w:val="sl-SI"/>
        </w:rPr>
        <w:t>za obdobje do leta 2026 opredeljeni tudi pri posameznih ukrepih.</w:t>
      </w:r>
    </w:p>
    <w:p w14:paraId="51349DF1" w14:textId="3B68DF09" w:rsidR="00892BD4" w:rsidRPr="00FF207E" w:rsidRDefault="00892BD4" w:rsidP="001E304B">
      <w:pPr>
        <w:pStyle w:val="Table"/>
        <w:jc w:val="both"/>
      </w:pPr>
      <w:bookmarkStart w:id="31" w:name="_Ref137555136"/>
      <w:bookmarkStart w:id="32" w:name="_Toc138161832"/>
      <w:r w:rsidRPr="00FF207E">
        <w:t xml:space="preserve">Tabela </w:t>
      </w:r>
      <w:r w:rsidR="005428A9" w:rsidRPr="00FF207E">
        <w:fldChar w:fldCharType="begin"/>
      </w:r>
      <w:r w:rsidR="005428A9" w:rsidRPr="00FF207E">
        <w:instrText xml:space="preserve"> SEQ Tabela \* ARABIC </w:instrText>
      </w:r>
      <w:r w:rsidR="005428A9" w:rsidRPr="00FF207E">
        <w:fldChar w:fldCharType="separate"/>
      </w:r>
      <w:r w:rsidR="00F37FD1" w:rsidRPr="00FF207E">
        <w:t>2</w:t>
      </w:r>
      <w:r w:rsidR="005428A9" w:rsidRPr="00FF207E">
        <w:fldChar w:fldCharType="end"/>
      </w:r>
      <w:bookmarkEnd w:id="31"/>
      <w:r w:rsidRPr="00FF207E">
        <w:t>:</w:t>
      </w:r>
      <w:r w:rsidRPr="00FF207E">
        <w:tab/>
      </w:r>
      <w:r w:rsidR="00AB5DC7" w:rsidRPr="00FF207E">
        <w:t xml:space="preserve">Ciljne vrednosti </w:t>
      </w:r>
      <w:r w:rsidR="00FA46B3" w:rsidRPr="00FF207E">
        <w:t xml:space="preserve">za </w:t>
      </w:r>
      <w:r w:rsidR="00F359CA" w:rsidRPr="00FF207E">
        <w:t xml:space="preserve">število </w:t>
      </w:r>
      <w:r w:rsidR="005A4AC0" w:rsidRPr="00FF207E">
        <w:t xml:space="preserve">energetsko revnih gospodinjstev z </w:t>
      </w:r>
      <w:r w:rsidR="00FA46B3" w:rsidRPr="00FF207E">
        <w:t>izveden</w:t>
      </w:r>
      <w:r w:rsidR="00F359CA" w:rsidRPr="00FF207E">
        <w:t>i</w:t>
      </w:r>
      <w:r w:rsidR="005A4AC0" w:rsidRPr="00FF207E">
        <w:t>mi</w:t>
      </w:r>
      <w:r w:rsidR="00FA46B3" w:rsidRPr="00FF207E">
        <w:t xml:space="preserve"> naložb</w:t>
      </w:r>
      <w:r w:rsidR="005A4AC0" w:rsidRPr="00FF207E">
        <w:t>ami</w:t>
      </w:r>
      <w:r w:rsidR="00FA46B3" w:rsidRPr="00FF207E">
        <w:t xml:space="preserve"> </w:t>
      </w:r>
      <w:r w:rsidR="00F83B7B" w:rsidRPr="00FF207E">
        <w:t>za različne namene</w:t>
      </w:r>
      <w:r w:rsidR="00F47BD0" w:rsidRPr="00FF207E">
        <w:t xml:space="preserve"> </w:t>
      </w:r>
      <w:r w:rsidR="00F359CA" w:rsidRPr="00FF207E">
        <w:t xml:space="preserve">dodeljevanja spodbud, </w:t>
      </w:r>
      <w:r w:rsidR="00F47BD0" w:rsidRPr="00FF207E">
        <w:t>letno in skupno v obdobju 2024</w:t>
      </w:r>
      <w:r w:rsidR="00F47BD0" w:rsidRPr="00FF207E">
        <w:rPr>
          <w:szCs w:val="22"/>
        </w:rPr>
        <w:t>–2026</w:t>
      </w:r>
      <w:bookmarkEnd w:id="32"/>
    </w:p>
    <w:tbl>
      <w:tblPr>
        <w:tblStyle w:val="Tabelamrea"/>
        <w:tblW w:w="9074" w:type="dxa"/>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3402"/>
        <w:gridCol w:w="1418"/>
        <w:gridCol w:w="1418"/>
        <w:gridCol w:w="1418"/>
        <w:gridCol w:w="1418"/>
      </w:tblGrid>
      <w:tr w:rsidR="000344C4" w:rsidRPr="00FF207E" w14:paraId="6B35014C" w14:textId="77777777" w:rsidTr="000344C4">
        <w:tc>
          <w:tcPr>
            <w:tcW w:w="3402" w:type="dxa"/>
            <w:vMerge w:val="restart"/>
            <w:tcBorders>
              <w:left w:val="single" w:sz="4" w:space="0" w:color="548DD4" w:themeColor="text2" w:themeTint="99"/>
              <w:right w:val="single" w:sz="4" w:space="0" w:color="FFFFFF" w:themeColor="background1"/>
            </w:tcBorders>
            <w:shd w:val="clear" w:color="auto" w:fill="548DD4" w:themeFill="text2" w:themeFillTint="99"/>
            <w:vAlign w:val="center"/>
          </w:tcPr>
          <w:p w14:paraId="408C3461" w14:textId="77777777" w:rsidR="000344C4" w:rsidRPr="00FF207E" w:rsidRDefault="000344C4" w:rsidP="001E304B">
            <w:pPr>
              <w:spacing w:before="40" w:after="40" w:line="240" w:lineRule="auto"/>
              <w:jc w:val="both"/>
              <w:rPr>
                <w:b/>
                <w:color w:val="FFFFFF" w:themeColor="background1"/>
                <w:sz w:val="20"/>
                <w:szCs w:val="20"/>
                <w:lang w:val="sl-SI"/>
              </w:rPr>
            </w:pPr>
            <w:r w:rsidRPr="00FF207E">
              <w:rPr>
                <w:b/>
                <w:color w:val="FFFFFF" w:themeColor="background1"/>
                <w:sz w:val="20"/>
                <w:szCs w:val="20"/>
                <w:lang w:val="sl-SI"/>
              </w:rPr>
              <w:t>Namen spodbude</w:t>
            </w:r>
          </w:p>
        </w:tc>
        <w:tc>
          <w:tcPr>
            <w:tcW w:w="5672" w:type="dxa"/>
            <w:gridSpan w:val="4"/>
            <w:tcBorders>
              <w:left w:val="single" w:sz="4" w:space="0" w:color="FFFFFF" w:themeColor="background1"/>
              <w:bottom w:val="single" w:sz="4" w:space="0" w:color="FFFFFF" w:themeColor="background1"/>
            </w:tcBorders>
            <w:shd w:val="clear" w:color="auto" w:fill="548DD4" w:themeFill="text2" w:themeFillTint="99"/>
          </w:tcPr>
          <w:p w14:paraId="18CC285C" w14:textId="023D9192" w:rsidR="000344C4" w:rsidRPr="00FF207E" w:rsidRDefault="000344C4" w:rsidP="00076703">
            <w:pPr>
              <w:spacing w:before="40" w:after="40" w:line="240" w:lineRule="auto"/>
              <w:rPr>
                <w:b/>
                <w:color w:val="FFFFFF" w:themeColor="background1"/>
                <w:sz w:val="20"/>
                <w:szCs w:val="20"/>
                <w:lang w:val="sl-SI"/>
              </w:rPr>
            </w:pPr>
            <w:r w:rsidRPr="00FF207E">
              <w:rPr>
                <w:b/>
                <w:color w:val="FFFFFF" w:themeColor="background1"/>
                <w:sz w:val="20"/>
                <w:szCs w:val="20"/>
                <w:lang w:val="sl-SI"/>
              </w:rPr>
              <w:t xml:space="preserve">Število </w:t>
            </w:r>
            <w:r w:rsidR="00DA0266" w:rsidRPr="00FF207E">
              <w:rPr>
                <w:b/>
                <w:color w:val="FFFFFF" w:themeColor="background1"/>
                <w:sz w:val="20"/>
                <w:szCs w:val="20"/>
                <w:lang w:val="sl-SI"/>
              </w:rPr>
              <w:t xml:space="preserve">energetsko revnih gospodinjstev z </w:t>
            </w:r>
            <w:r w:rsidRPr="00FF207E">
              <w:rPr>
                <w:b/>
                <w:color w:val="FFFFFF" w:themeColor="background1"/>
                <w:sz w:val="20"/>
                <w:szCs w:val="20"/>
                <w:lang w:val="sl-SI"/>
              </w:rPr>
              <w:t>izvedeni</w:t>
            </w:r>
            <w:r w:rsidR="00DA0266" w:rsidRPr="00FF207E">
              <w:rPr>
                <w:b/>
                <w:color w:val="FFFFFF" w:themeColor="background1"/>
                <w:sz w:val="20"/>
                <w:szCs w:val="20"/>
                <w:lang w:val="sl-SI"/>
              </w:rPr>
              <w:t>mi</w:t>
            </w:r>
            <w:r w:rsidRPr="00FF207E">
              <w:rPr>
                <w:b/>
                <w:color w:val="FFFFFF" w:themeColor="background1"/>
                <w:sz w:val="20"/>
                <w:szCs w:val="20"/>
                <w:lang w:val="sl-SI"/>
              </w:rPr>
              <w:t xml:space="preserve"> naložb</w:t>
            </w:r>
            <w:r w:rsidR="00DA0266" w:rsidRPr="00FF207E">
              <w:rPr>
                <w:b/>
                <w:color w:val="FFFFFF" w:themeColor="background1"/>
                <w:sz w:val="20"/>
                <w:szCs w:val="20"/>
                <w:lang w:val="sl-SI"/>
              </w:rPr>
              <w:t>ami</w:t>
            </w:r>
          </w:p>
        </w:tc>
      </w:tr>
      <w:tr w:rsidR="000344C4" w:rsidRPr="00FF207E" w14:paraId="7351E0C0" w14:textId="77777777" w:rsidTr="000344C4">
        <w:tc>
          <w:tcPr>
            <w:tcW w:w="3402" w:type="dxa"/>
            <w:vMerge/>
            <w:tcBorders>
              <w:left w:val="single" w:sz="4" w:space="0" w:color="548DD4" w:themeColor="text2" w:themeTint="99"/>
              <w:right w:val="single" w:sz="4" w:space="0" w:color="FFFFFF" w:themeColor="background1"/>
            </w:tcBorders>
            <w:shd w:val="clear" w:color="auto" w:fill="548DD4" w:themeFill="text2" w:themeFillTint="99"/>
          </w:tcPr>
          <w:p w14:paraId="0AE12BA7" w14:textId="0C8DDCB0" w:rsidR="000344C4" w:rsidRPr="00FF207E" w:rsidRDefault="000344C4" w:rsidP="001E304B">
            <w:pPr>
              <w:spacing w:before="40" w:after="40" w:line="240" w:lineRule="auto"/>
              <w:jc w:val="both"/>
              <w:rPr>
                <w:b/>
                <w:color w:val="FFFFFF" w:themeColor="background1"/>
                <w:sz w:val="20"/>
                <w:szCs w:val="20"/>
                <w:lang w:val="sl-SI"/>
              </w:rPr>
            </w:pPr>
          </w:p>
        </w:tc>
        <w:tc>
          <w:tcPr>
            <w:tcW w:w="1418"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tcPr>
          <w:p w14:paraId="7B54564B" w14:textId="0527C689" w:rsidR="000344C4" w:rsidRPr="00FF207E" w:rsidRDefault="000344C4" w:rsidP="001E304B">
            <w:pPr>
              <w:spacing w:before="40" w:after="40" w:line="240" w:lineRule="auto"/>
              <w:jc w:val="both"/>
              <w:rPr>
                <w:b/>
                <w:color w:val="FFFFFF" w:themeColor="background1"/>
                <w:sz w:val="20"/>
                <w:szCs w:val="20"/>
                <w:lang w:val="sl-SI"/>
              </w:rPr>
            </w:pPr>
            <w:r w:rsidRPr="00FF207E">
              <w:rPr>
                <w:b/>
                <w:color w:val="FFFFFF" w:themeColor="background1"/>
                <w:sz w:val="20"/>
                <w:szCs w:val="20"/>
                <w:lang w:val="sl-SI"/>
              </w:rPr>
              <w:t>2024</w:t>
            </w:r>
          </w:p>
        </w:tc>
        <w:tc>
          <w:tcPr>
            <w:tcW w:w="1418"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tcPr>
          <w:p w14:paraId="6D7F7706" w14:textId="44A4F4DF" w:rsidR="000344C4" w:rsidRPr="00FF207E" w:rsidRDefault="000344C4" w:rsidP="001E304B">
            <w:pPr>
              <w:spacing w:before="40" w:after="40" w:line="240" w:lineRule="auto"/>
              <w:jc w:val="both"/>
              <w:rPr>
                <w:b/>
                <w:color w:val="FFFFFF" w:themeColor="background1"/>
                <w:sz w:val="20"/>
                <w:szCs w:val="20"/>
                <w:lang w:val="sl-SI"/>
              </w:rPr>
            </w:pPr>
            <w:r w:rsidRPr="00FF207E">
              <w:rPr>
                <w:b/>
                <w:color w:val="FFFFFF" w:themeColor="background1"/>
                <w:sz w:val="20"/>
                <w:szCs w:val="20"/>
                <w:lang w:val="sl-SI"/>
              </w:rPr>
              <w:t>2025</w:t>
            </w:r>
          </w:p>
        </w:tc>
        <w:tc>
          <w:tcPr>
            <w:tcW w:w="1418"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tcPr>
          <w:p w14:paraId="4E062414" w14:textId="17BD72A0" w:rsidR="000344C4" w:rsidRPr="00FF207E" w:rsidRDefault="000344C4" w:rsidP="001E304B">
            <w:pPr>
              <w:spacing w:before="40" w:after="40" w:line="240" w:lineRule="auto"/>
              <w:jc w:val="both"/>
              <w:rPr>
                <w:b/>
                <w:color w:val="FFFFFF" w:themeColor="background1"/>
                <w:sz w:val="20"/>
                <w:szCs w:val="20"/>
                <w:lang w:val="sl-SI"/>
              </w:rPr>
            </w:pPr>
            <w:r w:rsidRPr="00FF207E">
              <w:rPr>
                <w:b/>
                <w:color w:val="FFFFFF" w:themeColor="background1"/>
                <w:sz w:val="20"/>
                <w:szCs w:val="20"/>
                <w:lang w:val="sl-SI"/>
              </w:rPr>
              <w:t>2026</w:t>
            </w:r>
          </w:p>
        </w:tc>
        <w:tc>
          <w:tcPr>
            <w:tcW w:w="1418" w:type="dxa"/>
            <w:tcBorders>
              <w:top w:val="single" w:sz="4" w:space="0" w:color="FFFFFF" w:themeColor="background1"/>
              <w:left w:val="single" w:sz="4" w:space="0" w:color="FFFFFF" w:themeColor="background1"/>
            </w:tcBorders>
            <w:shd w:val="clear" w:color="auto" w:fill="548DD4" w:themeFill="text2" w:themeFillTint="99"/>
          </w:tcPr>
          <w:p w14:paraId="5CA2F9B1" w14:textId="5393568C" w:rsidR="000344C4" w:rsidRPr="00FF207E" w:rsidRDefault="000344C4" w:rsidP="001E304B">
            <w:pPr>
              <w:spacing w:before="40" w:after="40" w:line="240" w:lineRule="auto"/>
              <w:jc w:val="both"/>
              <w:rPr>
                <w:b/>
                <w:color w:val="FFFFFF" w:themeColor="background1"/>
                <w:sz w:val="20"/>
                <w:szCs w:val="20"/>
                <w:lang w:val="sl-SI"/>
              </w:rPr>
            </w:pPr>
            <w:r w:rsidRPr="00FF207E">
              <w:rPr>
                <w:b/>
                <w:color w:val="FFFFFF" w:themeColor="background1"/>
                <w:sz w:val="20"/>
                <w:szCs w:val="20"/>
                <w:lang w:val="sl-SI"/>
              </w:rPr>
              <w:t>2024</w:t>
            </w:r>
            <w:r w:rsidRPr="00FF207E">
              <w:rPr>
                <w:rFonts w:cs="Arial"/>
                <w:b/>
                <w:color w:val="FFFFFF" w:themeColor="background1"/>
                <w:sz w:val="20"/>
                <w:szCs w:val="20"/>
                <w:lang w:val="sl-SI"/>
              </w:rPr>
              <w:t>–2026</w:t>
            </w:r>
          </w:p>
        </w:tc>
      </w:tr>
      <w:tr w:rsidR="00F47BD0" w:rsidRPr="00FF207E" w14:paraId="63E34812" w14:textId="77777777" w:rsidTr="000344C4">
        <w:tc>
          <w:tcPr>
            <w:tcW w:w="3402" w:type="dxa"/>
          </w:tcPr>
          <w:p w14:paraId="272823B5" w14:textId="5EFE9B24" w:rsidR="00F47BD0" w:rsidRPr="00FF207E" w:rsidRDefault="00F83B7B" w:rsidP="001E304B">
            <w:pPr>
              <w:spacing w:before="40" w:after="40" w:line="240" w:lineRule="auto"/>
              <w:jc w:val="both"/>
              <w:rPr>
                <w:sz w:val="20"/>
                <w:szCs w:val="20"/>
                <w:lang w:val="sl-SI"/>
              </w:rPr>
            </w:pPr>
            <w:r w:rsidRPr="00FF207E">
              <w:rPr>
                <w:sz w:val="20"/>
                <w:szCs w:val="20"/>
                <w:lang w:val="sl-SI"/>
              </w:rPr>
              <w:t>Vgradnja kotlov na lesno biomaso</w:t>
            </w:r>
            <w:r w:rsidR="009C058A" w:rsidRPr="00FF207E">
              <w:rPr>
                <w:sz w:val="20"/>
                <w:szCs w:val="20"/>
                <w:lang w:val="sl-SI"/>
              </w:rPr>
              <w:t xml:space="preserve"> (v ločenih </w:t>
            </w:r>
            <w:r w:rsidR="00DA0266" w:rsidRPr="00FF207E">
              <w:rPr>
                <w:sz w:val="20"/>
                <w:szCs w:val="20"/>
                <w:lang w:val="sl-SI"/>
              </w:rPr>
              <w:t xml:space="preserve">ali skupnih </w:t>
            </w:r>
            <w:r w:rsidR="00952432" w:rsidRPr="00FF207E">
              <w:rPr>
                <w:sz w:val="20"/>
                <w:szCs w:val="20"/>
                <w:lang w:val="sl-SI"/>
              </w:rPr>
              <w:t>pozivih)</w:t>
            </w:r>
          </w:p>
        </w:tc>
        <w:tc>
          <w:tcPr>
            <w:tcW w:w="1418" w:type="dxa"/>
            <w:vAlign w:val="center"/>
          </w:tcPr>
          <w:p w14:paraId="49EE9744" w14:textId="0F187432" w:rsidR="00F47BD0" w:rsidRPr="00FF207E" w:rsidRDefault="00F83B7B" w:rsidP="001E304B">
            <w:pPr>
              <w:spacing w:before="40" w:after="40" w:line="240" w:lineRule="auto"/>
              <w:jc w:val="both"/>
              <w:rPr>
                <w:sz w:val="20"/>
                <w:szCs w:val="20"/>
                <w:lang w:val="sl-SI"/>
              </w:rPr>
            </w:pPr>
            <w:r w:rsidRPr="00FF207E">
              <w:rPr>
                <w:sz w:val="20"/>
                <w:szCs w:val="20"/>
                <w:lang w:val="sl-SI"/>
              </w:rPr>
              <w:t>200</w:t>
            </w:r>
          </w:p>
        </w:tc>
        <w:tc>
          <w:tcPr>
            <w:tcW w:w="1418" w:type="dxa"/>
            <w:vAlign w:val="center"/>
          </w:tcPr>
          <w:p w14:paraId="612DF49A" w14:textId="6FC8454C" w:rsidR="00F47BD0" w:rsidRPr="00FF207E" w:rsidRDefault="00F83B7B" w:rsidP="001E304B">
            <w:pPr>
              <w:spacing w:before="40" w:after="40" w:line="240" w:lineRule="auto"/>
              <w:jc w:val="both"/>
              <w:rPr>
                <w:sz w:val="20"/>
                <w:szCs w:val="20"/>
                <w:lang w:val="sl-SI"/>
              </w:rPr>
            </w:pPr>
            <w:r w:rsidRPr="00FF207E">
              <w:rPr>
                <w:sz w:val="20"/>
                <w:szCs w:val="20"/>
                <w:lang w:val="sl-SI"/>
              </w:rPr>
              <w:t>200</w:t>
            </w:r>
          </w:p>
        </w:tc>
        <w:tc>
          <w:tcPr>
            <w:tcW w:w="1418" w:type="dxa"/>
            <w:vAlign w:val="center"/>
          </w:tcPr>
          <w:p w14:paraId="3B0D9D2D" w14:textId="16AACB7F" w:rsidR="00F47BD0" w:rsidRPr="00FF207E" w:rsidRDefault="00F83B7B" w:rsidP="001E304B">
            <w:pPr>
              <w:spacing w:before="40" w:after="40" w:line="240" w:lineRule="auto"/>
              <w:jc w:val="both"/>
              <w:rPr>
                <w:sz w:val="20"/>
                <w:szCs w:val="20"/>
                <w:lang w:val="sl-SI"/>
              </w:rPr>
            </w:pPr>
            <w:r w:rsidRPr="00FF207E">
              <w:rPr>
                <w:sz w:val="20"/>
                <w:szCs w:val="20"/>
                <w:lang w:val="sl-SI"/>
              </w:rPr>
              <w:t>200</w:t>
            </w:r>
          </w:p>
        </w:tc>
        <w:tc>
          <w:tcPr>
            <w:tcW w:w="1418" w:type="dxa"/>
            <w:vAlign w:val="center"/>
          </w:tcPr>
          <w:p w14:paraId="14538A09" w14:textId="395AEAD2" w:rsidR="00F47BD0" w:rsidRPr="00FF207E" w:rsidRDefault="00F83B7B" w:rsidP="001E304B">
            <w:pPr>
              <w:spacing w:before="40" w:after="40" w:line="240" w:lineRule="auto"/>
              <w:jc w:val="both"/>
              <w:rPr>
                <w:b/>
                <w:sz w:val="20"/>
                <w:szCs w:val="20"/>
                <w:lang w:val="sl-SI"/>
              </w:rPr>
            </w:pPr>
            <w:r w:rsidRPr="00FF207E">
              <w:rPr>
                <w:b/>
                <w:sz w:val="20"/>
                <w:szCs w:val="20"/>
                <w:lang w:val="sl-SI"/>
              </w:rPr>
              <w:t>600</w:t>
            </w:r>
          </w:p>
        </w:tc>
      </w:tr>
      <w:tr w:rsidR="00F47BD0" w:rsidRPr="00FF207E" w14:paraId="019E7D1C" w14:textId="77777777" w:rsidTr="000344C4">
        <w:tc>
          <w:tcPr>
            <w:tcW w:w="3402" w:type="dxa"/>
          </w:tcPr>
          <w:p w14:paraId="2150BB59" w14:textId="0CCF9732" w:rsidR="00F47BD0" w:rsidRPr="00FF207E" w:rsidRDefault="00F83B7B" w:rsidP="001E304B">
            <w:pPr>
              <w:spacing w:before="40" w:after="40" w:line="240" w:lineRule="auto"/>
              <w:jc w:val="both"/>
              <w:rPr>
                <w:sz w:val="20"/>
                <w:szCs w:val="20"/>
                <w:lang w:val="sl-SI"/>
              </w:rPr>
            </w:pPr>
            <w:r w:rsidRPr="00FF207E">
              <w:rPr>
                <w:sz w:val="20"/>
                <w:szCs w:val="20"/>
                <w:lang w:val="sl-SI"/>
              </w:rPr>
              <w:t xml:space="preserve">Skupni ukrepi </w:t>
            </w:r>
            <w:r w:rsidR="001C7F23" w:rsidRPr="00FF207E">
              <w:rPr>
                <w:sz w:val="20"/>
                <w:szCs w:val="20"/>
                <w:lang w:val="sl-SI"/>
              </w:rPr>
              <w:t xml:space="preserve">pri energetski prenovi </w:t>
            </w:r>
            <w:r w:rsidRPr="00FF207E">
              <w:rPr>
                <w:sz w:val="20"/>
                <w:szCs w:val="20"/>
                <w:lang w:val="sl-SI"/>
              </w:rPr>
              <w:t>večstanovanjskih stavb</w:t>
            </w:r>
          </w:p>
        </w:tc>
        <w:tc>
          <w:tcPr>
            <w:tcW w:w="1418" w:type="dxa"/>
            <w:vAlign w:val="center"/>
          </w:tcPr>
          <w:p w14:paraId="313012E2" w14:textId="771CB651" w:rsidR="00F47BD0" w:rsidRPr="00FF207E" w:rsidRDefault="00A61ACB" w:rsidP="001E304B">
            <w:pPr>
              <w:spacing w:before="40" w:after="40" w:line="240" w:lineRule="auto"/>
              <w:jc w:val="both"/>
              <w:rPr>
                <w:sz w:val="20"/>
                <w:szCs w:val="20"/>
                <w:lang w:val="sl-SI"/>
              </w:rPr>
            </w:pPr>
            <w:r w:rsidRPr="00FF207E">
              <w:rPr>
                <w:sz w:val="20"/>
                <w:szCs w:val="20"/>
                <w:lang w:val="sl-SI"/>
              </w:rPr>
              <w:t>183</w:t>
            </w:r>
          </w:p>
        </w:tc>
        <w:tc>
          <w:tcPr>
            <w:tcW w:w="1418" w:type="dxa"/>
            <w:vAlign w:val="center"/>
          </w:tcPr>
          <w:p w14:paraId="1C5141DE" w14:textId="3BF9BB90" w:rsidR="00F47BD0" w:rsidRPr="00FF207E" w:rsidRDefault="00A61ACB" w:rsidP="001E304B">
            <w:pPr>
              <w:spacing w:before="40" w:after="40" w:line="240" w:lineRule="auto"/>
              <w:jc w:val="both"/>
              <w:rPr>
                <w:sz w:val="20"/>
                <w:szCs w:val="20"/>
                <w:lang w:val="sl-SI"/>
              </w:rPr>
            </w:pPr>
            <w:r w:rsidRPr="00FF207E">
              <w:rPr>
                <w:sz w:val="20"/>
                <w:szCs w:val="20"/>
                <w:lang w:val="sl-SI"/>
              </w:rPr>
              <w:t>183</w:t>
            </w:r>
          </w:p>
        </w:tc>
        <w:tc>
          <w:tcPr>
            <w:tcW w:w="1418" w:type="dxa"/>
            <w:vAlign w:val="center"/>
          </w:tcPr>
          <w:p w14:paraId="7458AC59" w14:textId="42E76B36" w:rsidR="00F47BD0" w:rsidRPr="00FF207E" w:rsidRDefault="00A61ACB" w:rsidP="001E304B">
            <w:pPr>
              <w:spacing w:before="40" w:after="40" w:line="240" w:lineRule="auto"/>
              <w:jc w:val="both"/>
              <w:rPr>
                <w:sz w:val="20"/>
                <w:szCs w:val="20"/>
                <w:lang w:val="sl-SI"/>
              </w:rPr>
            </w:pPr>
            <w:r w:rsidRPr="00FF207E">
              <w:rPr>
                <w:sz w:val="20"/>
                <w:szCs w:val="20"/>
                <w:lang w:val="sl-SI"/>
              </w:rPr>
              <w:t>184</w:t>
            </w:r>
          </w:p>
        </w:tc>
        <w:tc>
          <w:tcPr>
            <w:tcW w:w="1418" w:type="dxa"/>
            <w:vAlign w:val="center"/>
          </w:tcPr>
          <w:p w14:paraId="08D8D636" w14:textId="5760F34A" w:rsidR="00F47BD0" w:rsidRPr="00FF207E" w:rsidRDefault="00A61ACB" w:rsidP="001E304B">
            <w:pPr>
              <w:spacing w:before="40" w:after="40" w:line="240" w:lineRule="auto"/>
              <w:jc w:val="both"/>
              <w:rPr>
                <w:b/>
                <w:sz w:val="20"/>
                <w:szCs w:val="20"/>
                <w:lang w:val="sl-SI"/>
              </w:rPr>
            </w:pPr>
            <w:r w:rsidRPr="00FF207E">
              <w:rPr>
                <w:b/>
                <w:sz w:val="20"/>
                <w:szCs w:val="20"/>
                <w:lang w:val="sl-SI"/>
              </w:rPr>
              <w:t>550</w:t>
            </w:r>
          </w:p>
        </w:tc>
      </w:tr>
      <w:tr w:rsidR="00F47BD0" w:rsidRPr="00FF207E" w14:paraId="77142BC9" w14:textId="77777777" w:rsidTr="000344C4">
        <w:tc>
          <w:tcPr>
            <w:tcW w:w="3402" w:type="dxa"/>
          </w:tcPr>
          <w:p w14:paraId="38324415" w14:textId="5AA8B30A" w:rsidR="00F47BD0" w:rsidRPr="00FF207E" w:rsidRDefault="00820391" w:rsidP="00076703">
            <w:pPr>
              <w:spacing w:before="40" w:after="40" w:line="240" w:lineRule="auto"/>
              <w:rPr>
                <w:sz w:val="20"/>
                <w:szCs w:val="20"/>
                <w:lang w:val="sl-SI"/>
              </w:rPr>
            </w:pPr>
            <w:r w:rsidRPr="00FF207E">
              <w:rPr>
                <w:sz w:val="20"/>
                <w:szCs w:val="20"/>
                <w:lang w:val="sl-SI"/>
              </w:rPr>
              <w:t xml:space="preserve">Drugi </w:t>
            </w:r>
            <w:r w:rsidR="00A61ACB" w:rsidRPr="00FF207E">
              <w:rPr>
                <w:sz w:val="20"/>
                <w:szCs w:val="20"/>
                <w:lang w:val="sl-SI"/>
              </w:rPr>
              <w:t xml:space="preserve">investicijski ukrepi URE in </w:t>
            </w:r>
            <w:r w:rsidR="005A4AC0" w:rsidRPr="00FF207E">
              <w:rPr>
                <w:sz w:val="20"/>
                <w:szCs w:val="20"/>
                <w:lang w:val="sl-SI"/>
              </w:rPr>
              <w:t xml:space="preserve">rabe </w:t>
            </w:r>
            <w:r w:rsidR="00A61ACB" w:rsidRPr="00FF207E">
              <w:rPr>
                <w:sz w:val="20"/>
                <w:szCs w:val="20"/>
                <w:lang w:val="sl-SI"/>
              </w:rPr>
              <w:t>OVE</w:t>
            </w:r>
          </w:p>
        </w:tc>
        <w:tc>
          <w:tcPr>
            <w:tcW w:w="1418" w:type="dxa"/>
            <w:vAlign w:val="center"/>
          </w:tcPr>
          <w:p w14:paraId="7B6ABA36" w14:textId="5D4520E1" w:rsidR="00F47BD0" w:rsidRPr="00FF207E" w:rsidRDefault="00544F6A" w:rsidP="001E304B">
            <w:pPr>
              <w:spacing w:before="40" w:after="40" w:line="240" w:lineRule="auto"/>
              <w:jc w:val="both"/>
              <w:rPr>
                <w:sz w:val="20"/>
                <w:szCs w:val="20"/>
                <w:lang w:val="sl-SI"/>
              </w:rPr>
            </w:pPr>
            <w:r w:rsidRPr="00FF207E">
              <w:rPr>
                <w:sz w:val="20"/>
                <w:szCs w:val="20"/>
                <w:lang w:val="sl-SI"/>
              </w:rPr>
              <w:t>100</w:t>
            </w:r>
          </w:p>
        </w:tc>
        <w:tc>
          <w:tcPr>
            <w:tcW w:w="1418" w:type="dxa"/>
            <w:vAlign w:val="center"/>
          </w:tcPr>
          <w:p w14:paraId="48769417" w14:textId="23834FEE" w:rsidR="00F47BD0" w:rsidRPr="00FF207E" w:rsidRDefault="00544F6A" w:rsidP="001E304B">
            <w:pPr>
              <w:spacing w:before="40" w:after="40" w:line="240" w:lineRule="auto"/>
              <w:jc w:val="both"/>
              <w:rPr>
                <w:sz w:val="20"/>
                <w:szCs w:val="20"/>
                <w:lang w:val="sl-SI"/>
              </w:rPr>
            </w:pPr>
            <w:r w:rsidRPr="00FF207E">
              <w:rPr>
                <w:sz w:val="20"/>
                <w:szCs w:val="20"/>
                <w:lang w:val="sl-SI"/>
              </w:rPr>
              <w:t>350</w:t>
            </w:r>
          </w:p>
        </w:tc>
        <w:tc>
          <w:tcPr>
            <w:tcW w:w="1418" w:type="dxa"/>
            <w:vAlign w:val="center"/>
          </w:tcPr>
          <w:p w14:paraId="081C148B" w14:textId="2FE9127C" w:rsidR="00F47BD0" w:rsidRPr="00FF207E" w:rsidRDefault="00544F6A" w:rsidP="001E304B">
            <w:pPr>
              <w:spacing w:before="40" w:after="40" w:line="240" w:lineRule="auto"/>
              <w:jc w:val="both"/>
              <w:rPr>
                <w:sz w:val="20"/>
                <w:szCs w:val="20"/>
                <w:lang w:val="sl-SI"/>
              </w:rPr>
            </w:pPr>
            <w:r w:rsidRPr="00FF207E">
              <w:rPr>
                <w:sz w:val="20"/>
                <w:szCs w:val="20"/>
                <w:lang w:val="sl-SI"/>
              </w:rPr>
              <w:t>550</w:t>
            </w:r>
          </w:p>
        </w:tc>
        <w:tc>
          <w:tcPr>
            <w:tcW w:w="1418" w:type="dxa"/>
            <w:vAlign w:val="center"/>
          </w:tcPr>
          <w:p w14:paraId="384CD856" w14:textId="356B6256" w:rsidR="00F47BD0" w:rsidRPr="00FF207E" w:rsidRDefault="00544F6A" w:rsidP="001E304B">
            <w:pPr>
              <w:spacing w:before="40" w:after="40" w:line="240" w:lineRule="auto"/>
              <w:jc w:val="both"/>
              <w:rPr>
                <w:b/>
                <w:sz w:val="20"/>
                <w:szCs w:val="20"/>
                <w:lang w:val="sl-SI"/>
              </w:rPr>
            </w:pPr>
            <w:r w:rsidRPr="00FF207E">
              <w:rPr>
                <w:b/>
                <w:sz w:val="20"/>
                <w:szCs w:val="20"/>
                <w:lang w:val="sl-SI"/>
              </w:rPr>
              <w:t>1000</w:t>
            </w:r>
          </w:p>
        </w:tc>
      </w:tr>
      <w:tr w:rsidR="00FC1DDF" w:rsidRPr="00FF207E" w14:paraId="754E51F1" w14:textId="77777777" w:rsidTr="000344C4">
        <w:tc>
          <w:tcPr>
            <w:tcW w:w="3402" w:type="dxa"/>
          </w:tcPr>
          <w:p w14:paraId="1A204054" w14:textId="560B62F1" w:rsidR="00FC1DDF" w:rsidRPr="00FF207E" w:rsidRDefault="00FC1DDF" w:rsidP="001E304B">
            <w:pPr>
              <w:spacing w:before="40" w:after="40" w:line="240" w:lineRule="auto"/>
              <w:jc w:val="both"/>
              <w:rPr>
                <w:sz w:val="20"/>
                <w:szCs w:val="20"/>
                <w:lang w:val="sl-SI"/>
              </w:rPr>
            </w:pPr>
            <w:r w:rsidRPr="00FF207E">
              <w:rPr>
                <w:sz w:val="20"/>
                <w:szCs w:val="20"/>
                <w:lang w:val="sl-SI"/>
              </w:rPr>
              <w:t>Vključitev v energetske skupnosti</w:t>
            </w:r>
          </w:p>
        </w:tc>
        <w:tc>
          <w:tcPr>
            <w:tcW w:w="1418" w:type="dxa"/>
            <w:vAlign w:val="center"/>
          </w:tcPr>
          <w:p w14:paraId="62508EA3" w14:textId="58584094" w:rsidR="00FC1DDF" w:rsidRPr="00FF207E" w:rsidRDefault="00FC1DDF" w:rsidP="001E304B">
            <w:pPr>
              <w:spacing w:before="40" w:after="40" w:line="240" w:lineRule="auto"/>
              <w:jc w:val="both"/>
              <w:rPr>
                <w:sz w:val="20"/>
                <w:szCs w:val="20"/>
                <w:lang w:val="sl-SI"/>
              </w:rPr>
            </w:pPr>
            <w:r w:rsidRPr="00FF207E">
              <w:rPr>
                <w:sz w:val="20"/>
                <w:szCs w:val="20"/>
                <w:lang w:val="sl-SI"/>
              </w:rPr>
              <w:t>1166</w:t>
            </w:r>
          </w:p>
        </w:tc>
        <w:tc>
          <w:tcPr>
            <w:tcW w:w="1418" w:type="dxa"/>
            <w:vAlign w:val="center"/>
          </w:tcPr>
          <w:p w14:paraId="477CDEED" w14:textId="17A26AA6" w:rsidR="00FC1DDF" w:rsidRPr="00FF207E" w:rsidRDefault="00FC1DDF" w:rsidP="00194EFB">
            <w:pPr>
              <w:spacing w:before="40" w:after="40" w:line="240" w:lineRule="auto"/>
              <w:jc w:val="both"/>
              <w:rPr>
                <w:sz w:val="20"/>
                <w:szCs w:val="20"/>
                <w:lang w:val="sl-SI"/>
              </w:rPr>
            </w:pPr>
            <w:r w:rsidRPr="00FF207E">
              <w:rPr>
                <w:sz w:val="20"/>
                <w:szCs w:val="20"/>
                <w:lang w:val="sl-SI"/>
              </w:rPr>
              <w:t>116</w:t>
            </w:r>
            <w:r w:rsidR="00194EFB" w:rsidRPr="00FF207E">
              <w:rPr>
                <w:sz w:val="20"/>
                <w:szCs w:val="20"/>
                <w:lang w:val="sl-SI"/>
              </w:rPr>
              <w:t>7</w:t>
            </w:r>
          </w:p>
        </w:tc>
        <w:tc>
          <w:tcPr>
            <w:tcW w:w="1418" w:type="dxa"/>
            <w:vAlign w:val="center"/>
          </w:tcPr>
          <w:p w14:paraId="1C811087" w14:textId="7220AC8F" w:rsidR="00FC1DDF" w:rsidRPr="00FF207E" w:rsidRDefault="00FC1DDF" w:rsidP="001E304B">
            <w:pPr>
              <w:spacing w:before="40" w:after="40" w:line="240" w:lineRule="auto"/>
              <w:jc w:val="both"/>
              <w:rPr>
                <w:sz w:val="20"/>
                <w:szCs w:val="20"/>
                <w:lang w:val="sl-SI"/>
              </w:rPr>
            </w:pPr>
            <w:r w:rsidRPr="00FF207E">
              <w:rPr>
                <w:sz w:val="20"/>
                <w:szCs w:val="20"/>
                <w:lang w:val="sl-SI"/>
              </w:rPr>
              <w:t>1167</w:t>
            </w:r>
          </w:p>
        </w:tc>
        <w:tc>
          <w:tcPr>
            <w:tcW w:w="1418" w:type="dxa"/>
            <w:vAlign w:val="center"/>
          </w:tcPr>
          <w:p w14:paraId="1E63CA23" w14:textId="6A88E0B5" w:rsidR="00FC1DDF" w:rsidRPr="00FF207E" w:rsidRDefault="00FC1DDF" w:rsidP="001E304B">
            <w:pPr>
              <w:spacing w:before="40" w:after="40" w:line="240" w:lineRule="auto"/>
              <w:jc w:val="both"/>
              <w:rPr>
                <w:b/>
                <w:sz w:val="20"/>
                <w:szCs w:val="20"/>
                <w:lang w:val="sl-SI"/>
              </w:rPr>
            </w:pPr>
            <w:r w:rsidRPr="00FF207E">
              <w:rPr>
                <w:b/>
                <w:sz w:val="20"/>
                <w:szCs w:val="20"/>
                <w:lang w:val="sl-SI"/>
              </w:rPr>
              <w:t>3500</w:t>
            </w:r>
          </w:p>
        </w:tc>
      </w:tr>
    </w:tbl>
    <w:p w14:paraId="7989FDAB" w14:textId="6F196608" w:rsidR="009C058A" w:rsidRPr="00FF207E" w:rsidRDefault="009C058A" w:rsidP="00076703">
      <w:pPr>
        <w:spacing w:before="240" w:after="240"/>
        <w:jc w:val="both"/>
        <w:rPr>
          <w:lang w:val="sl-SI"/>
        </w:rPr>
      </w:pPr>
      <w:r w:rsidRPr="00FF207E">
        <w:rPr>
          <w:lang w:val="sl-SI"/>
        </w:rPr>
        <w:t xml:space="preserve">Z upoštevanjem izvedenih aktivnosti </w:t>
      </w:r>
      <w:proofErr w:type="spellStart"/>
      <w:r w:rsidRPr="00FF207E">
        <w:rPr>
          <w:lang w:val="sl-SI"/>
        </w:rPr>
        <w:t>Eko</w:t>
      </w:r>
      <w:proofErr w:type="spellEnd"/>
      <w:r w:rsidRPr="00FF207E">
        <w:rPr>
          <w:lang w:val="sl-SI"/>
        </w:rPr>
        <w:t xml:space="preserve"> sklada v</w:t>
      </w:r>
      <w:r w:rsidR="00952432" w:rsidRPr="00FF207E">
        <w:rPr>
          <w:lang w:val="sl-SI"/>
        </w:rPr>
        <w:t xml:space="preserve"> okviru programa ZERO500 in pozivov za vgradnjo KNLB v</w:t>
      </w:r>
      <w:r w:rsidRPr="00FF207E">
        <w:rPr>
          <w:lang w:val="sl-SI"/>
        </w:rPr>
        <w:t xml:space="preserve"> obdobju 2021–2023 </w:t>
      </w:r>
      <w:r w:rsidR="00952432" w:rsidRPr="00FF207E">
        <w:rPr>
          <w:lang w:val="sl-SI"/>
        </w:rPr>
        <w:t>ter</w:t>
      </w:r>
      <w:r w:rsidRPr="00FF207E">
        <w:rPr>
          <w:lang w:val="sl-SI"/>
        </w:rPr>
        <w:t xml:space="preserve"> načrtovanim izvajanjem </w:t>
      </w:r>
      <w:r w:rsidR="00596ED7" w:rsidRPr="00FF207E">
        <w:rPr>
          <w:lang w:val="sl-SI"/>
        </w:rPr>
        <w:t xml:space="preserve">ukrepov v obdobju 2024–2026 </w:t>
      </w:r>
      <w:r w:rsidR="00CD7F63" w:rsidRPr="00FF207E">
        <w:rPr>
          <w:lang w:val="sl-SI"/>
        </w:rPr>
        <w:t xml:space="preserve">znašajo </w:t>
      </w:r>
      <w:r w:rsidR="00544F6A" w:rsidRPr="00FF207E">
        <w:rPr>
          <w:lang w:val="sl-SI"/>
        </w:rPr>
        <w:t xml:space="preserve">indikativni </w:t>
      </w:r>
      <w:r w:rsidR="00CD7F63" w:rsidRPr="00FF207E">
        <w:rPr>
          <w:lang w:val="sl-SI"/>
        </w:rPr>
        <w:t>ciljni kumulativni prihranki energije</w:t>
      </w:r>
      <w:r w:rsidR="00952432" w:rsidRPr="00FF207E">
        <w:rPr>
          <w:lang w:val="sl-SI"/>
        </w:rPr>
        <w:t>, doseženi v energetsko revnih gospodinjstvih,</w:t>
      </w:r>
      <w:r w:rsidR="00CD7F63" w:rsidRPr="00FF207E">
        <w:rPr>
          <w:lang w:val="sl-SI"/>
        </w:rPr>
        <w:t xml:space="preserve"> </w:t>
      </w:r>
      <w:r w:rsidR="00952432" w:rsidRPr="00FF207E">
        <w:rPr>
          <w:lang w:val="sl-SI"/>
        </w:rPr>
        <w:t>leta</w:t>
      </w:r>
      <w:r w:rsidR="00CD7F63" w:rsidRPr="00FF207E">
        <w:rPr>
          <w:lang w:val="sl-SI"/>
        </w:rPr>
        <w:t xml:space="preserve"> 2024 </w:t>
      </w:r>
      <w:r w:rsidR="00544F6A" w:rsidRPr="00FF207E">
        <w:rPr>
          <w:lang w:val="sl-SI"/>
        </w:rPr>
        <w:t xml:space="preserve">52 </w:t>
      </w:r>
      <w:r w:rsidR="00CD7F63" w:rsidRPr="00FF207E">
        <w:rPr>
          <w:lang w:val="sl-SI"/>
        </w:rPr>
        <w:t>GWh, let</w:t>
      </w:r>
      <w:r w:rsidR="00952432" w:rsidRPr="00FF207E">
        <w:rPr>
          <w:lang w:val="sl-SI"/>
        </w:rPr>
        <w:t>a</w:t>
      </w:r>
      <w:r w:rsidR="00CD7F63" w:rsidRPr="00FF207E">
        <w:rPr>
          <w:lang w:val="sl-SI"/>
        </w:rPr>
        <w:t xml:space="preserve"> 2025 </w:t>
      </w:r>
      <w:r w:rsidR="00544F6A" w:rsidRPr="00FF207E">
        <w:rPr>
          <w:lang w:val="sl-SI"/>
        </w:rPr>
        <w:t xml:space="preserve">82 </w:t>
      </w:r>
      <w:r w:rsidR="00CD7F63" w:rsidRPr="00FF207E">
        <w:rPr>
          <w:lang w:val="sl-SI"/>
        </w:rPr>
        <w:t>GWh in let</w:t>
      </w:r>
      <w:r w:rsidR="00952432" w:rsidRPr="00FF207E">
        <w:rPr>
          <w:lang w:val="sl-SI"/>
        </w:rPr>
        <w:t>a</w:t>
      </w:r>
      <w:r w:rsidR="00CD7F63" w:rsidRPr="00FF207E">
        <w:rPr>
          <w:lang w:val="sl-SI"/>
        </w:rPr>
        <w:t xml:space="preserve"> 2026 </w:t>
      </w:r>
      <w:r w:rsidR="00544F6A" w:rsidRPr="00FF207E">
        <w:rPr>
          <w:lang w:val="sl-SI"/>
        </w:rPr>
        <w:t xml:space="preserve">125 </w:t>
      </w:r>
      <w:r w:rsidR="00CD7F63" w:rsidRPr="00FF207E">
        <w:rPr>
          <w:lang w:val="sl-SI"/>
        </w:rPr>
        <w:t>GWh.</w:t>
      </w:r>
      <w:r w:rsidR="00952432" w:rsidRPr="00FF207E">
        <w:rPr>
          <w:lang w:val="sl-SI"/>
        </w:rPr>
        <w:t xml:space="preserve"> </w:t>
      </w:r>
      <w:r w:rsidR="00627DF8" w:rsidRPr="00FF207E">
        <w:rPr>
          <w:lang w:val="sl-SI"/>
        </w:rPr>
        <w:t xml:space="preserve">Navedene </w:t>
      </w:r>
      <w:r w:rsidR="00952432" w:rsidRPr="00FF207E">
        <w:rPr>
          <w:lang w:val="sl-SI"/>
        </w:rPr>
        <w:t xml:space="preserve">ciljne vrednosti so določene na podlagi preliminarne ocene </w:t>
      </w:r>
      <w:r w:rsidR="00DA0266" w:rsidRPr="00FF207E">
        <w:rPr>
          <w:lang w:val="sl-SI"/>
        </w:rPr>
        <w:t xml:space="preserve">tretjega </w:t>
      </w:r>
      <w:r w:rsidR="00707B45" w:rsidRPr="00FF207E">
        <w:rPr>
          <w:lang w:val="sl-SI"/>
        </w:rPr>
        <w:t xml:space="preserve">cilja </w:t>
      </w:r>
      <w:r w:rsidR="00DA0266" w:rsidRPr="00FF207E">
        <w:rPr>
          <w:lang w:val="sl-SI"/>
        </w:rPr>
        <w:t>za leto 2030</w:t>
      </w:r>
      <w:r w:rsidR="00952432" w:rsidRPr="00FF207E">
        <w:rPr>
          <w:lang w:val="sl-SI"/>
        </w:rPr>
        <w:t xml:space="preserve"> </w:t>
      </w:r>
      <w:r w:rsidR="00260DF1" w:rsidRPr="00FF207E">
        <w:rPr>
          <w:lang w:val="sl-SI"/>
        </w:rPr>
        <w:t xml:space="preserve">in </w:t>
      </w:r>
      <w:r w:rsidR="00DA0266" w:rsidRPr="00FF207E">
        <w:rPr>
          <w:lang w:val="sl-SI"/>
        </w:rPr>
        <w:t xml:space="preserve">predvidene časovne dinamike izvajanja ukrepov </w:t>
      </w:r>
      <w:r w:rsidR="00260DF1" w:rsidRPr="00FF207E">
        <w:rPr>
          <w:lang w:val="sl-SI"/>
        </w:rPr>
        <w:t xml:space="preserve">ter </w:t>
      </w:r>
      <w:r w:rsidR="00DA0266" w:rsidRPr="00FF207E">
        <w:rPr>
          <w:lang w:val="sl-SI"/>
        </w:rPr>
        <w:t>se lahko po potrebi še uskladijo z vrednostjo cilja iz končne verzije posodobitve NEPN.</w:t>
      </w:r>
      <w:r w:rsidR="00544F6A" w:rsidRPr="00FF207E">
        <w:rPr>
          <w:lang w:val="sl-SI"/>
        </w:rPr>
        <w:t xml:space="preserve"> </w:t>
      </w:r>
      <w:r w:rsidR="00EC56EB" w:rsidRPr="00FF207E">
        <w:rPr>
          <w:lang w:val="sl-SI"/>
        </w:rPr>
        <w:t>Če se bodo ukrepi za zmanjševanje energetske revščine v obdobju 2024–2026 izvajali hitreje in v večjem številu, kot je to načrtovano s tem akcijskim načrtom, bo to ugodno vplivalo na doseganje tretjega cilja za leto 2030 in zmanjšalo potrebno intenzivnost izvedbe naložb v obdobju 2027–2030</w:t>
      </w:r>
      <w:r w:rsidR="00B65545" w:rsidRPr="00FF207E">
        <w:rPr>
          <w:lang w:val="sl-SI"/>
        </w:rPr>
        <w:t>.</w:t>
      </w:r>
      <w:r w:rsidR="00EC56EB" w:rsidRPr="00FF207E">
        <w:rPr>
          <w:lang w:val="sl-SI"/>
        </w:rPr>
        <w:t xml:space="preserve"> </w:t>
      </w:r>
      <w:r w:rsidR="00B65545" w:rsidRPr="00FF207E">
        <w:rPr>
          <w:lang w:val="sl-SI"/>
        </w:rPr>
        <w:t>Ta</w:t>
      </w:r>
      <w:r w:rsidR="00EC56EB" w:rsidRPr="00FF207E">
        <w:rPr>
          <w:lang w:val="sl-SI"/>
        </w:rPr>
        <w:t xml:space="preserve"> je v skladu s trenutno časovno dinamiko </w:t>
      </w:r>
      <w:r w:rsidR="00B65545" w:rsidRPr="00FF207E">
        <w:rPr>
          <w:lang w:val="sl-SI"/>
        </w:rPr>
        <w:t xml:space="preserve">v tem obdobju </w:t>
      </w:r>
      <w:r w:rsidR="00EC56EB" w:rsidRPr="00FF207E">
        <w:rPr>
          <w:lang w:val="sl-SI"/>
        </w:rPr>
        <w:t>ocenjena na izvedbo naložb v vsaj 6400 energetsko revnih gospodinjstvih.</w:t>
      </w:r>
    </w:p>
    <w:p w14:paraId="7B5DD2DD" w14:textId="56835FC1" w:rsidR="008D09F9" w:rsidRPr="00FF207E" w:rsidRDefault="008D09F9" w:rsidP="001E304B">
      <w:pPr>
        <w:spacing w:after="200" w:line="276" w:lineRule="auto"/>
        <w:jc w:val="both"/>
        <w:rPr>
          <w:rFonts w:cs="Arial"/>
          <w:lang w:val="sl-SI"/>
        </w:rPr>
      </w:pPr>
      <w:r w:rsidRPr="00FF207E">
        <w:rPr>
          <w:rFonts w:cs="Arial"/>
          <w:lang w:val="sl-SI"/>
        </w:rPr>
        <w:br w:type="page"/>
      </w:r>
    </w:p>
    <w:p w14:paraId="596F63C4" w14:textId="16AE0088" w:rsidR="008130A6" w:rsidRPr="00FF207E" w:rsidRDefault="00726EAA" w:rsidP="001E304B">
      <w:pPr>
        <w:pStyle w:val="Naslov1"/>
        <w:jc w:val="both"/>
        <w:rPr>
          <w:lang w:val="sl-SI"/>
        </w:rPr>
      </w:pPr>
      <w:bookmarkStart w:id="33" w:name="_Ref136356036"/>
      <w:bookmarkStart w:id="34" w:name="_Ref136360324"/>
      <w:bookmarkStart w:id="35" w:name="_Toc151148782"/>
      <w:r w:rsidRPr="00FF207E">
        <w:rPr>
          <w:lang w:val="sl-SI"/>
        </w:rPr>
        <w:lastRenderedPageBreak/>
        <w:t>Vzpostavitev sheme za zmanjševanje energetske revščine</w:t>
      </w:r>
      <w:bookmarkEnd w:id="33"/>
      <w:bookmarkEnd w:id="34"/>
      <w:bookmarkEnd w:id="35"/>
    </w:p>
    <w:p w14:paraId="243C81DB" w14:textId="62D2A93E" w:rsidR="00252918" w:rsidRPr="00FF207E" w:rsidRDefault="000B390C" w:rsidP="001E304B">
      <w:pPr>
        <w:spacing w:after="120"/>
        <w:jc w:val="both"/>
        <w:rPr>
          <w:rFonts w:cs="Arial"/>
          <w:szCs w:val="22"/>
          <w:lang w:val="sl-SI"/>
        </w:rPr>
      </w:pPr>
      <w:r w:rsidRPr="00FF207E">
        <w:rPr>
          <w:rFonts w:cs="Arial"/>
          <w:szCs w:val="22"/>
          <w:lang w:val="sl-SI"/>
        </w:rPr>
        <w:t>Shema za zmanjševanje energetske revščine</w:t>
      </w:r>
      <w:r w:rsidR="00AE229D" w:rsidRPr="00FF207E">
        <w:rPr>
          <w:rFonts w:cs="Arial"/>
          <w:szCs w:val="22"/>
          <w:lang w:val="sl-SI"/>
        </w:rPr>
        <w:t xml:space="preserve"> (</w:t>
      </w:r>
      <w:r w:rsidR="00AE229D" w:rsidRPr="00FF207E">
        <w:rPr>
          <w:rFonts w:cs="Arial"/>
          <w:szCs w:val="22"/>
          <w:lang w:val="sl-SI"/>
        </w:rPr>
        <w:fldChar w:fldCharType="begin"/>
      </w:r>
      <w:r w:rsidR="00AE229D" w:rsidRPr="00FF207E">
        <w:rPr>
          <w:rFonts w:cs="Arial"/>
          <w:szCs w:val="22"/>
          <w:lang w:val="sl-SI"/>
        </w:rPr>
        <w:instrText xml:space="preserve"> REF _Ref130899898 \h </w:instrText>
      </w:r>
      <w:r w:rsidR="001E304B" w:rsidRPr="00FF207E">
        <w:rPr>
          <w:rFonts w:cs="Arial"/>
          <w:szCs w:val="22"/>
          <w:lang w:val="sl-SI"/>
        </w:rPr>
        <w:instrText xml:space="preserve"> \* MERGEFORMAT </w:instrText>
      </w:r>
      <w:r w:rsidR="00AE229D" w:rsidRPr="00FF207E">
        <w:rPr>
          <w:rFonts w:cs="Arial"/>
          <w:szCs w:val="22"/>
          <w:lang w:val="sl-SI"/>
        </w:rPr>
      </w:r>
      <w:r w:rsidR="00AE229D" w:rsidRPr="00FF207E">
        <w:rPr>
          <w:rFonts w:cs="Arial"/>
          <w:szCs w:val="22"/>
          <w:lang w:val="sl-SI"/>
        </w:rPr>
        <w:fldChar w:fldCharType="separate"/>
      </w:r>
      <w:r w:rsidR="001B0970" w:rsidRPr="00FF207E">
        <w:rPr>
          <w:lang w:val="sl-SI"/>
        </w:rPr>
        <w:t>s</w:t>
      </w:r>
      <w:r w:rsidR="00F37FD1" w:rsidRPr="00FF207E">
        <w:rPr>
          <w:lang w:val="sl-SI"/>
        </w:rPr>
        <w:t>lika 1</w:t>
      </w:r>
      <w:r w:rsidR="00AE229D" w:rsidRPr="00FF207E">
        <w:rPr>
          <w:rFonts w:cs="Arial"/>
          <w:szCs w:val="22"/>
          <w:lang w:val="sl-SI"/>
        </w:rPr>
        <w:fldChar w:fldCharType="end"/>
      </w:r>
      <w:r w:rsidR="00AE229D" w:rsidRPr="00FF207E">
        <w:rPr>
          <w:rFonts w:cs="Arial"/>
          <w:szCs w:val="22"/>
          <w:lang w:val="sl-SI"/>
        </w:rPr>
        <w:t>)</w:t>
      </w:r>
      <w:r w:rsidRPr="00FF207E">
        <w:rPr>
          <w:rFonts w:cs="Arial"/>
          <w:szCs w:val="22"/>
          <w:lang w:val="sl-SI"/>
        </w:rPr>
        <w:t xml:space="preserve"> </w:t>
      </w:r>
      <w:r w:rsidR="00A95776" w:rsidRPr="00FF207E">
        <w:rPr>
          <w:rFonts w:cs="Arial"/>
          <w:szCs w:val="22"/>
          <w:lang w:val="sl-SI"/>
        </w:rPr>
        <w:t xml:space="preserve">zajema </w:t>
      </w:r>
      <w:r w:rsidR="00153381" w:rsidRPr="00FF207E">
        <w:rPr>
          <w:rFonts w:cs="Arial"/>
          <w:szCs w:val="22"/>
          <w:lang w:val="sl-SI"/>
        </w:rPr>
        <w:t>ključni sklop ukrepov za zmanjševanje energetske revščine</w:t>
      </w:r>
      <w:r w:rsidR="00AE229D" w:rsidRPr="00FF207E">
        <w:rPr>
          <w:rFonts w:cs="Arial"/>
          <w:szCs w:val="22"/>
          <w:lang w:val="sl-SI"/>
        </w:rPr>
        <w:t xml:space="preserve">, ki se izvajajo sočasno in se medsebojno podpirajo, saj lahko na sistemski ravni le tako dolgoročno zagotovijo </w:t>
      </w:r>
      <w:r w:rsidR="00E70A72" w:rsidRPr="00FF207E">
        <w:rPr>
          <w:rFonts w:cs="Arial"/>
          <w:szCs w:val="22"/>
          <w:lang w:val="sl-SI"/>
        </w:rPr>
        <w:t xml:space="preserve">celostno </w:t>
      </w:r>
      <w:r w:rsidR="00AE229D" w:rsidRPr="00FF207E">
        <w:rPr>
          <w:rFonts w:cs="Arial"/>
          <w:szCs w:val="22"/>
          <w:lang w:val="sl-SI"/>
        </w:rPr>
        <w:t>zmanjševanj</w:t>
      </w:r>
      <w:r w:rsidR="00E70A72" w:rsidRPr="00FF207E">
        <w:rPr>
          <w:rFonts w:cs="Arial"/>
          <w:szCs w:val="22"/>
          <w:lang w:val="sl-SI"/>
        </w:rPr>
        <w:t>e</w:t>
      </w:r>
      <w:r w:rsidR="00AE229D" w:rsidRPr="00FF207E">
        <w:rPr>
          <w:rFonts w:cs="Arial"/>
          <w:szCs w:val="22"/>
          <w:lang w:val="sl-SI"/>
        </w:rPr>
        <w:t xml:space="preserve"> energetske revščine.</w:t>
      </w:r>
      <w:r w:rsidR="00153381" w:rsidRPr="00FF207E">
        <w:rPr>
          <w:rFonts w:cs="Arial"/>
          <w:szCs w:val="22"/>
          <w:lang w:val="sl-SI"/>
        </w:rPr>
        <w:t xml:space="preserve"> Gradi na </w:t>
      </w:r>
      <w:r w:rsidR="00736A5E" w:rsidRPr="00FF207E">
        <w:rPr>
          <w:rFonts w:cs="Arial"/>
          <w:szCs w:val="22"/>
          <w:lang w:val="sl-SI"/>
        </w:rPr>
        <w:t xml:space="preserve">veljavnih </w:t>
      </w:r>
      <w:r w:rsidR="00153381" w:rsidRPr="00FF207E">
        <w:rPr>
          <w:rFonts w:cs="Arial"/>
          <w:szCs w:val="22"/>
          <w:lang w:val="sl-SI"/>
        </w:rPr>
        <w:t>ukrepih</w:t>
      </w:r>
      <w:r w:rsidR="003B00F7" w:rsidRPr="00FF207E">
        <w:rPr>
          <w:rFonts w:cs="Arial"/>
          <w:szCs w:val="22"/>
          <w:lang w:val="sl-SI"/>
        </w:rPr>
        <w:t xml:space="preserve"> (</w:t>
      </w:r>
      <w:r w:rsidR="00B77973" w:rsidRPr="00FF207E">
        <w:rPr>
          <w:rFonts w:cs="Arial"/>
          <w:szCs w:val="22"/>
          <w:lang w:val="sl-SI"/>
        </w:rPr>
        <w:t>na primer</w:t>
      </w:r>
      <w:r w:rsidR="003B00F7" w:rsidRPr="00FF207E">
        <w:rPr>
          <w:rFonts w:cs="Arial"/>
          <w:szCs w:val="22"/>
          <w:lang w:val="sl-SI"/>
        </w:rPr>
        <w:t xml:space="preserve"> program ZERO500, projekt ZERO </w:t>
      </w:r>
      <w:r w:rsidR="00B77973" w:rsidRPr="00FF207E">
        <w:rPr>
          <w:rFonts w:cs="Arial"/>
          <w:szCs w:val="22"/>
          <w:lang w:val="sl-SI"/>
        </w:rPr>
        <w:t>in tako dalje</w:t>
      </w:r>
      <w:r w:rsidR="003B00F7" w:rsidRPr="00FF207E">
        <w:rPr>
          <w:rFonts w:cs="Arial"/>
          <w:szCs w:val="22"/>
          <w:lang w:val="sl-SI"/>
        </w:rPr>
        <w:t>)</w:t>
      </w:r>
      <w:r w:rsidR="00153381" w:rsidRPr="00FF207E">
        <w:rPr>
          <w:rFonts w:cs="Arial"/>
          <w:szCs w:val="22"/>
          <w:lang w:val="sl-SI"/>
        </w:rPr>
        <w:t xml:space="preserve"> in </w:t>
      </w:r>
      <w:r w:rsidR="008D61D4" w:rsidRPr="00FF207E">
        <w:rPr>
          <w:rFonts w:cs="Arial"/>
          <w:szCs w:val="22"/>
          <w:lang w:val="sl-SI"/>
        </w:rPr>
        <w:t xml:space="preserve">dozdajšnjih </w:t>
      </w:r>
      <w:r w:rsidR="00153381" w:rsidRPr="00FF207E">
        <w:rPr>
          <w:rFonts w:cs="Arial"/>
          <w:szCs w:val="22"/>
          <w:lang w:val="sl-SI"/>
        </w:rPr>
        <w:t xml:space="preserve">izkušnjah. </w:t>
      </w:r>
      <w:r w:rsidR="008E3AF7" w:rsidRPr="00FF207E">
        <w:rPr>
          <w:rFonts w:cs="Arial"/>
          <w:szCs w:val="22"/>
          <w:lang w:val="sl-SI"/>
        </w:rPr>
        <w:t xml:space="preserve">V </w:t>
      </w:r>
      <w:r w:rsidR="00F74CB8" w:rsidRPr="00FF207E">
        <w:rPr>
          <w:rFonts w:cs="Arial"/>
          <w:szCs w:val="22"/>
          <w:lang w:val="sl-SI"/>
        </w:rPr>
        <w:t>let</w:t>
      </w:r>
      <w:r w:rsidR="008E3AF7" w:rsidRPr="00FF207E">
        <w:rPr>
          <w:rFonts w:cs="Arial"/>
          <w:szCs w:val="22"/>
          <w:lang w:val="sl-SI"/>
        </w:rPr>
        <w:t>u</w:t>
      </w:r>
      <w:r w:rsidR="00F74CB8" w:rsidRPr="00FF207E">
        <w:rPr>
          <w:rFonts w:cs="Arial"/>
          <w:szCs w:val="22"/>
          <w:lang w:val="sl-SI"/>
        </w:rPr>
        <w:t xml:space="preserve"> 2023 </w:t>
      </w:r>
      <w:r w:rsidR="00AC1E72" w:rsidRPr="00FF207E">
        <w:rPr>
          <w:rFonts w:cs="Arial"/>
          <w:szCs w:val="22"/>
          <w:lang w:val="sl-SI"/>
        </w:rPr>
        <w:t xml:space="preserve">je </w:t>
      </w:r>
      <w:r w:rsidR="00F74CB8" w:rsidRPr="00FF207E">
        <w:rPr>
          <w:rFonts w:cs="Arial"/>
          <w:szCs w:val="22"/>
          <w:lang w:val="sl-SI"/>
        </w:rPr>
        <w:t xml:space="preserve">izvajanje </w:t>
      </w:r>
      <w:r w:rsidR="00736A5E" w:rsidRPr="00FF207E">
        <w:rPr>
          <w:rFonts w:cs="Arial"/>
          <w:szCs w:val="22"/>
          <w:lang w:val="sl-SI"/>
        </w:rPr>
        <w:t xml:space="preserve">veljavnih </w:t>
      </w:r>
      <w:r w:rsidR="00F74CB8" w:rsidRPr="00FF207E">
        <w:rPr>
          <w:rFonts w:cs="Arial"/>
          <w:szCs w:val="22"/>
          <w:lang w:val="sl-SI"/>
        </w:rPr>
        <w:t>ukrepov za zmanjševanje energetske revščine poteka</w:t>
      </w:r>
      <w:r w:rsidR="00AC1E72" w:rsidRPr="00FF207E">
        <w:rPr>
          <w:rFonts w:cs="Arial"/>
          <w:szCs w:val="22"/>
          <w:lang w:val="sl-SI"/>
        </w:rPr>
        <w:t>lo</w:t>
      </w:r>
      <w:r w:rsidR="00F74CB8" w:rsidRPr="00FF207E">
        <w:rPr>
          <w:rFonts w:cs="Arial"/>
          <w:szCs w:val="22"/>
          <w:lang w:val="sl-SI"/>
        </w:rPr>
        <w:t xml:space="preserve"> brez večjih sprememb</w:t>
      </w:r>
      <w:r w:rsidR="003F7FBF" w:rsidRPr="00FF207E">
        <w:rPr>
          <w:rFonts w:cs="Arial"/>
          <w:szCs w:val="22"/>
          <w:lang w:val="sl-SI"/>
        </w:rPr>
        <w:t>. V</w:t>
      </w:r>
      <w:r w:rsidR="00252918" w:rsidRPr="00FF207E">
        <w:rPr>
          <w:rFonts w:cs="Arial"/>
          <w:szCs w:val="22"/>
          <w:lang w:val="sl-SI"/>
        </w:rPr>
        <w:t xml:space="preserve"> obdobju 2024</w:t>
      </w:r>
      <w:r w:rsidR="0001316A" w:rsidRPr="00FF207E">
        <w:rPr>
          <w:rFonts w:cs="Arial"/>
          <w:szCs w:val="22"/>
          <w:lang w:val="sl-SI"/>
        </w:rPr>
        <w:t>–</w:t>
      </w:r>
      <w:r w:rsidR="00252918" w:rsidRPr="00FF207E">
        <w:rPr>
          <w:rFonts w:cs="Arial"/>
          <w:szCs w:val="22"/>
          <w:lang w:val="sl-SI"/>
        </w:rPr>
        <w:t xml:space="preserve">2026 </w:t>
      </w:r>
      <w:r w:rsidR="003F7FBF" w:rsidRPr="00FF207E">
        <w:rPr>
          <w:rFonts w:cs="Arial"/>
          <w:szCs w:val="22"/>
          <w:lang w:val="sl-SI"/>
        </w:rPr>
        <w:t xml:space="preserve">je </w:t>
      </w:r>
      <w:r w:rsidR="00252918" w:rsidRPr="00FF207E">
        <w:rPr>
          <w:rFonts w:cs="Arial"/>
          <w:szCs w:val="22"/>
          <w:lang w:val="sl-SI"/>
        </w:rPr>
        <w:t xml:space="preserve">načrtovana </w:t>
      </w:r>
      <w:r w:rsidR="00F84262" w:rsidRPr="00FF207E">
        <w:rPr>
          <w:rFonts w:cs="Arial"/>
          <w:szCs w:val="22"/>
          <w:lang w:val="sl-SI"/>
        </w:rPr>
        <w:t xml:space="preserve">postopna vzpostavitev sheme, </w:t>
      </w:r>
      <w:r w:rsidR="006E2CC9" w:rsidRPr="00FF207E">
        <w:rPr>
          <w:rFonts w:cs="Arial"/>
          <w:szCs w:val="22"/>
          <w:lang w:val="sl-SI"/>
        </w:rPr>
        <w:t xml:space="preserve">s projektno pisarno na </w:t>
      </w:r>
      <w:r w:rsidR="009441D2" w:rsidRPr="00FF207E">
        <w:rPr>
          <w:rFonts w:cs="Arial"/>
          <w:szCs w:val="22"/>
          <w:lang w:val="sl-SI"/>
        </w:rPr>
        <w:t xml:space="preserve">državni </w:t>
      </w:r>
      <w:r w:rsidR="006E2CC9" w:rsidRPr="00FF207E">
        <w:rPr>
          <w:rFonts w:cs="Arial"/>
          <w:szCs w:val="22"/>
          <w:lang w:val="sl-SI"/>
        </w:rPr>
        <w:t>ravni ter pilotnim</w:t>
      </w:r>
      <w:r w:rsidR="00F84262" w:rsidRPr="00FF207E">
        <w:rPr>
          <w:rFonts w:cs="Arial"/>
          <w:szCs w:val="22"/>
          <w:lang w:val="sl-SI"/>
        </w:rPr>
        <w:t xml:space="preserve"> projekt</w:t>
      </w:r>
      <w:r w:rsidR="006E2CC9" w:rsidRPr="00FF207E">
        <w:rPr>
          <w:rFonts w:cs="Arial"/>
          <w:szCs w:val="22"/>
          <w:lang w:val="sl-SI"/>
        </w:rPr>
        <w:t>om</w:t>
      </w:r>
      <w:r w:rsidR="00F84262" w:rsidRPr="00FF207E">
        <w:rPr>
          <w:rFonts w:cs="Arial"/>
          <w:szCs w:val="22"/>
          <w:lang w:val="sl-SI"/>
        </w:rPr>
        <w:t xml:space="preserve"> z </w:t>
      </w:r>
      <w:r w:rsidR="00857FC9" w:rsidRPr="00FF207E">
        <w:rPr>
          <w:rFonts w:cs="Arial"/>
          <w:szCs w:val="22"/>
          <w:lang w:val="sl-SI"/>
        </w:rPr>
        <w:t>regionalnimi</w:t>
      </w:r>
      <w:r w:rsidR="00F84262" w:rsidRPr="00FF207E">
        <w:rPr>
          <w:rFonts w:cs="Arial"/>
          <w:szCs w:val="22"/>
          <w:lang w:val="sl-SI"/>
        </w:rPr>
        <w:t xml:space="preserve"> svetovaln</w:t>
      </w:r>
      <w:r w:rsidR="00857FC9" w:rsidRPr="00FF207E">
        <w:rPr>
          <w:rFonts w:cs="Arial"/>
          <w:szCs w:val="22"/>
          <w:lang w:val="sl-SI"/>
        </w:rPr>
        <w:t>imi</w:t>
      </w:r>
      <w:r w:rsidR="00F84262" w:rsidRPr="00FF207E">
        <w:rPr>
          <w:rFonts w:cs="Arial"/>
          <w:szCs w:val="22"/>
          <w:lang w:val="sl-SI"/>
        </w:rPr>
        <w:t xml:space="preserve"> </w:t>
      </w:r>
      <w:r w:rsidR="00857FC9" w:rsidRPr="00FF207E">
        <w:rPr>
          <w:rFonts w:cs="Arial"/>
          <w:szCs w:val="22"/>
          <w:lang w:val="sl-SI"/>
        </w:rPr>
        <w:t>točkami</w:t>
      </w:r>
      <w:r w:rsidR="00F84262" w:rsidRPr="00FF207E">
        <w:rPr>
          <w:rFonts w:cs="Arial"/>
          <w:szCs w:val="22"/>
          <w:lang w:val="sl-SI"/>
        </w:rPr>
        <w:t xml:space="preserve"> ter neformalno mrežo za informiranje in ozaveščanje v dveh regijah</w:t>
      </w:r>
      <w:r w:rsidR="00970083" w:rsidRPr="00FF207E">
        <w:rPr>
          <w:rFonts w:cs="Arial"/>
          <w:szCs w:val="22"/>
          <w:lang w:val="sl-SI"/>
        </w:rPr>
        <w:t>.</w:t>
      </w:r>
      <w:r w:rsidR="008E7BB4" w:rsidRPr="00FF207E">
        <w:rPr>
          <w:rFonts w:cs="Arial"/>
          <w:szCs w:val="22"/>
          <w:lang w:val="sl-SI"/>
        </w:rPr>
        <w:t xml:space="preserve"> </w:t>
      </w:r>
      <w:r w:rsidR="00F74CB8" w:rsidRPr="00FF207E">
        <w:rPr>
          <w:rFonts w:cs="Arial"/>
          <w:szCs w:val="22"/>
          <w:lang w:val="sl-SI"/>
        </w:rPr>
        <w:t xml:space="preserve">Hkrati bo izvajanje vseh </w:t>
      </w:r>
      <w:r w:rsidR="00736A5E" w:rsidRPr="00FF207E">
        <w:rPr>
          <w:rFonts w:cs="Arial"/>
          <w:szCs w:val="22"/>
          <w:lang w:val="sl-SI"/>
        </w:rPr>
        <w:t xml:space="preserve">veljavnih </w:t>
      </w:r>
      <w:r w:rsidR="00F74CB8" w:rsidRPr="00FF207E">
        <w:rPr>
          <w:rFonts w:cs="Arial"/>
          <w:szCs w:val="22"/>
          <w:lang w:val="sl-SI"/>
        </w:rPr>
        <w:t xml:space="preserve">ukrepov v vseh drugih regijah še naprej potekalo na enak način kot do zdaj. Od vključno leta 2027 dalje je </w:t>
      </w:r>
      <w:r w:rsidR="007033AE" w:rsidRPr="00FF207E">
        <w:rPr>
          <w:rFonts w:cs="Arial"/>
          <w:szCs w:val="22"/>
          <w:lang w:val="sl-SI"/>
        </w:rPr>
        <w:t xml:space="preserve">v primeru pozitivnih izkušenj predvideno </w:t>
      </w:r>
      <w:r w:rsidR="00F74CB8" w:rsidRPr="00FF207E">
        <w:rPr>
          <w:rFonts w:cs="Arial"/>
          <w:szCs w:val="22"/>
          <w:lang w:val="sl-SI"/>
        </w:rPr>
        <w:t xml:space="preserve">delovanje sheme v polnem obsegu, torej v vseh regijah, s čimer se bo na </w:t>
      </w:r>
      <w:r w:rsidR="009441D2" w:rsidRPr="00FF207E">
        <w:rPr>
          <w:rFonts w:cs="Arial"/>
          <w:szCs w:val="22"/>
          <w:lang w:val="sl-SI"/>
        </w:rPr>
        <w:t xml:space="preserve">državni </w:t>
      </w:r>
      <w:r w:rsidR="00F74CB8" w:rsidRPr="00FF207E">
        <w:rPr>
          <w:rFonts w:cs="Arial"/>
          <w:szCs w:val="22"/>
          <w:lang w:val="sl-SI"/>
        </w:rPr>
        <w:t>ravni razbremenil</w:t>
      </w:r>
      <w:r w:rsidR="009441D2" w:rsidRPr="00FF207E">
        <w:rPr>
          <w:rFonts w:cs="Arial"/>
          <w:szCs w:val="22"/>
          <w:lang w:val="sl-SI"/>
        </w:rPr>
        <w:t>a</w:t>
      </w:r>
      <w:r w:rsidR="00F74CB8" w:rsidRPr="00FF207E">
        <w:rPr>
          <w:rFonts w:cs="Arial"/>
          <w:szCs w:val="22"/>
          <w:lang w:val="sl-SI"/>
        </w:rPr>
        <w:t xml:space="preserve"> projektn</w:t>
      </w:r>
      <w:r w:rsidR="009441D2" w:rsidRPr="00FF207E">
        <w:rPr>
          <w:rFonts w:cs="Arial"/>
          <w:szCs w:val="22"/>
          <w:lang w:val="sl-SI"/>
        </w:rPr>
        <w:t>a</w:t>
      </w:r>
      <w:r w:rsidR="00F74CB8" w:rsidRPr="00FF207E">
        <w:rPr>
          <w:rFonts w:cs="Arial"/>
          <w:szCs w:val="22"/>
          <w:lang w:val="sl-SI"/>
        </w:rPr>
        <w:t xml:space="preserve"> pisarn</w:t>
      </w:r>
      <w:r w:rsidR="009441D2" w:rsidRPr="00FF207E">
        <w:rPr>
          <w:rFonts w:cs="Arial"/>
          <w:szCs w:val="22"/>
          <w:lang w:val="sl-SI"/>
        </w:rPr>
        <w:t>a</w:t>
      </w:r>
      <w:r w:rsidR="00F74CB8" w:rsidRPr="00FF207E">
        <w:rPr>
          <w:rFonts w:cs="Arial"/>
          <w:szCs w:val="22"/>
          <w:lang w:val="sl-SI"/>
        </w:rPr>
        <w:t xml:space="preserve">, energetsko revnim pa </w:t>
      </w:r>
      <w:r w:rsidR="009441D2" w:rsidRPr="00FF207E">
        <w:rPr>
          <w:rFonts w:cs="Arial"/>
          <w:szCs w:val="22"/>
          <w:lang w:val="sl-SI"/>
        </w:rPr>
        <w:t xml:space="preserve">se bodo </w:t>
      </w:r>
      <w:r w:rsidR="00F74CB8" w:rsidRPr="00FF207E">
        <w:rPr>
          <w:rFonts w:cs="Arial"/>
          <w:szCs w:val="22"/>
          <w:lang w:val="sl-SI"/>
        </w:rPr>
        <w:t>omogočil</w:t>
      </w:r>
      <w:r w:rsidR="009441D2" w:rsidRPr="00FF207E">
        <w:rPr>
          <w:rFonts w:cs="Arial"/>
          <w:szCs w:val="22"/>
          <w:lang w:val="sl-SI"/>
        </w:rPr>
        <w:t>i</w:t>
      </w:r>
      <w:r w:rsidR="00F74CB8" w:rsidRPr="00FF207E">
        <w:rPr>
          <w:rFonts w:cs="Arial"/>
          <w:szCs w:val="22"/>
          <w:lang w:val="sl-SI"/>
        </w:rPr>
        <w:t xml:space="preserve"> informiranje, svetovanje in podpor</w:t>
      </w:r>
      <w:r w:rsidR="009441D2" w:rsidRPr="00FF207E">
        <w:rPr>
          <w:rFonts w:cs="Arial"/>
          <w:szCs w:val="22"/>
          <w:lang w:val="sl-SI"/>
        </w:rPr>
        <w:t>a</w:t>
      </w:r>
      <w:r w:rsidR="00F74CB8" w:rsidRPr="00FF207E">
        <w:rPr>
          <w:rFonts w:cs="Arial"/>
          <w:szCs w:val="22"/>
          <w:lang w:val="sl-SI"/>
        </w:rPr>
        <w:t xml:space="preserve"> bližje domu.</w:t>
      </w:r>
      <w:r w:rsidR="006E2CC9" w:rsidRPr="00FF207E">
        <w:rPr>
          <w:rFonts w:cs="Arial"/>
          <w:szCs w:val="22"/>
          <w:lang w:val="sl-SI"/>
        </w:rPr>
        <w:t xml:space="preserve"> </w:t>
      </w:r>
      <w:r w:rsidR="00574FF6" w:rsidRPr="00FF207E">
        <w:rPr>
          <w:rFonts w:cs="Arial"/>
          <w:szCs w:val="22"/>
          <w:lang w:val="sl-SI"/>
        </w:rPr>
        <w:t xml:space="preserve">Časovni </w:t>
      </w:r>
      <w:r w:rsidR="00776049" w:rsidRPr="00FF207E">
        <w:rPr>
          <w:rFonts w:cs="Arial"/>
          <w:szCs w:val="22"/>
          <w:lang w:val="sl-SI"/>
        </w:rPr>
        <w:t>osnutek</w:t>
      </w:r>
      <w:r w:rsidR="00574FF6" w:rsidRPr="00FF207E">
        <w:rPr>
          <w:rFonts w:cs="Arial"/>
          <w:szCs w:val="22"/>
          <w:lang w:val="sl-SI"/>
        </w:rPr>
        <w:t xml:space="preserve"> ukrepov iz tega akcijskega načrta je podrobneje predstavljen tudi v </w:t>
      </w:r>
      <w:hyperlink w:anchor="_Priloga_2:_" w:history="1">
        <w:r w:rsidR="00997A23" w:rsidRPr="00FF207E">
          <w:rPr>
            <w:rStyle w:val="Hiperpovezava"/>
            <w:rFonts w:cs="Arial"/>
            <w:i/>
            <w:szCs w:val="22"/>
            <w:lang w:val="sl-SI"/>
          </w:rPr>
          <w:t>p</w:t>
        </w:r>
        <w:r w:rsidR="00574FF6" w:rsidRPr="00FF207E">
          <w:rPr>
            <w:rStyle w:val="Hiperpovezava"/>
            <w:rFonts w:cs="Arial"/>
            <w:i/>
            <w:szCs w:val="22"/>
            <w:lang w:val="sl-SI"/>
          </w:rPr>
          <w:t xml:space="preserve">rilogi </w:t>
        </w:r>
        <w:r w:rsidR="004B5540" w:rsidRPr="00FF207E">
          <w:rPr>
            <w:rStyle w:val="Hiperpovezava"/>
            <w:rFonts w:cs="Arial"/>
            <w:i/>
            <w:szCs w:val="22"/>
            <w:lang w:val="sl-SI"/>
          </w:rPr>
          <w:t>2</w:t>
        </w:r>
      </w:hyperlink>
      <w:r w:rsidR="00574FF6" w:rsidRPr="00FF207E">
        <w:rPr>
          <w:rFonts w:cs="Arial"/>
          <w:szCs w:val="22"/>
          <w:lang w:val="sl-SI"/>
        </w:rPr>
        <w:t>.</w:t>
      </w:r>
    </w:p>
    <w:p w14:paraId="329A07FF" w14:textId="30F87959" w:rsidR="00DD79C4" w:rsidRPr="00FF207E" w:rsidRDefault="00DD79C4" w:rsidP="001E304B">
      <w:pPr>
        <w:ind w:left="-284"/>
        <w:jc w:val="both"/>
        <w:rPr>
          <w:rFonts w:cs="Arial"/>
          <w:szCs w:val="22"/>
          <w:lang w:val="sl-SI"/>
        </w:rPr>
      </w:pPr>
      <w:r w:rsidRPr="00FF207E">
        <w:rPr>
          <w:rFonts w:cs="Arial"/>
          <w:noProof/>
          <w:szCs w:val="22"/>
          <w:lang w:val="sl-SI" w:eastAsia="sl-SI"/>
        </w:rPr>
        <w:drawing>
          <wp:inline distT="0" distB="0" distL="0" distR="0" wp14:anchorId="4754192F" wp14:editId="19F45BD0">
            <wp:extent cx="6197047" cy="27965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21952" cy="2807835"/>
                    </a:xfrm>
                    <a:prstGeom prst="rect">
                      <a:avLst/>
                    </a:prstGeom>
                  </pic:spPr>
                </pic:pic>
              </a:graphicData>
            </a:graphic>
          </wp:inline>
        </w:drawing>
      </w:r>
    </w:p>
    <w:p w14:paraId="28CE6E4F" w14:textId="52B7411D" w:rsidR="003B00F7" w:rsidRPr="00FF207E" w:rsidRDefault="003B00F7" w:rsidP="001E304B">
      <w:pPr>
        <w:pStyle w:val="Slika"/>
        <w:jc w:val="both"/>
      </w:pPr>
      <w:bookmarkStart w:id="36" w:name="_Ref130899898"/>
      <w:bookmarkStart w:id="37" w:name="_Toc138161829"/>
      <w:r w:rsidRPr="00FF207E">
        <w:t xml:space="preserve">Slika </w:t>
      </w:r>
      <w:r w:rsidR="005428A9" w:rsidRPr="00FF207E">
        <w:fldChar w:fldCharType="begin"/>
      </w:r>
      <w:r w:rsidR="005428A9" w:rsidRPr="00FF207E">
        <w:instrText xml:space="preserve"> SEQ Slika \* ARABIC </w:instrText>
      </w:r>
      <w:r w:rsidR="005428A9" w:rsidRPr="00FF207E">
        <w:fldChar w:fldCharType="separate"/>
      </w:r>
      <w:r w:rsidR="00F37FD1" w:rsidRPr="00FF207E">
        <w:t>1</w:t>
      </w:r>
      <w:r w:rsidR="005428A9" w:rsidRPr="00FF207E">
        <w:fldChar w:fldCharType="end"/>
      </w:r>
      <w:bookmarkEnd w:id="36"/>
      <w:r w:rsidRPr="00FF207E">
        <w:t>:</w:t>
      </w:r>
      <w:r w:rsidRPr="00FF207E">
        <w:tab/>
      </w:r>
      <w:r w:rsidR="00AE229D" w:rsidRPr="00FF207E">
        <w:t>Shema za zmanjševanje energetske revščine</w:t>
      </w:r>
      <w:bookmarkEnd w:id="37"/>
    </w:p>
    <w:p w14:paraId="3D7008DD" w14:textId="753891F3" w:rsidR="00F84262" w:rsidRPr="00FF207E" w:rsidRDefault="005E1179" w:rsidP="001E304B">
      <w:pPr>
        <w:spacing w:after="240"/>
        <w:jc w:val="both"/>
        <w:rPr>
          <w:rFonts w:cs="Arial"/>
          <w:szCs w:val="22"/>
          <w:lang w:val="sl-SI"/>
        </w:rPr>
      </w:pPr>
      <w:r w:rsidRPr="00FF207E">
        <w:rPr>
          <w:rFonts w:cs="Arial"/>
          <w:szCs w:val="22"/>
          <w:lang w:val="sl-SI"/>
        </w:rPr>
        <w:t>V shemo je vključenih šest ukrepov (</w:t>
      </w:r>
      <w:r w:rsidRPr="00FF207E">
        <w:rPr>
          <w:rFonts w:cs="Arial"/>
          <w:szCs w:val="22"/>
          <w:lang w:val="sl-SI"/>
        </w:rPr>
        <w:fldChar w:fldCharType="begin"/>
      </w:r>
      <w:r w:rsidRPr="00FF207E">
        <w:rPr>
          <w:rFonts w:cs="Arial"/>
          <w:szCs w:val="22"/>
          <w:lang w:val="sl-SI"/>
        </w:rPr>
        <w:instrText xml:space="preserve"> REF _Ref130900696 \h </w:instrText>
      </w:r>
      <w:r w:rsidR="001E304B" w:rsidRPr="00FF207E">
        <w:rPr>
          <w:rFonts w:cs="Arial"/>
          <w:szCs w:val="22"/>
          <w:lang w:val="sl-SI"/>
        </w:rPr>
        <w:instrText xml:space="preserve"> \* MERGEFORMAT </w:instrText>
      </w:r>
      <w:r w:rsidRPr="00FF207E">
        <w:rPr>
          <w:rFonts w:cs="Arial"/>
          <w:szCs w:val="22"/>
          <w:lang w:val="sl-SI"/>
        </w:rPr>
      </w:r>
      <w:r w:rsidRPr="00FF207E">
        <w:rPr>
          <w:rFonts w:cs="Arial"/>
          <w:szCs w:val="22"/>
          <w:lang w:val="sl-SI"/>
        </w:rPr>
        <w:fldChar w:fldCharType="separate"/>
      </w:r>
      <w:r w:rsidR="00086058" w:rsidRPr="00FF207E">
        <w:rPr>
          <w:lang w:val="sl-SI"/>
        </w:rPr>
        <w:t>t</w:t>
      </w:r>
      <w:r w:rsidR="00F37FD1" w:rsidRPr="00FF207E">
        <w:rPr>
          <w:lang w:val="sl-SI"/>
        </w:rPr>
        <w:t>abela 3</w:t>
      </w:r>
      <w:r w:rsidRPr="00FF207E">
        <w:rPr>
          <w:rFonts w:cs="Arial"/>
          <w:szCs w:val="22"/>
          <w:lang w:val="sl-SI"/>
        </w:rPr>
        <w:fldChar w:fldCharType="end"/>
      </w:r>
      <w:r w:rsidRPr="00FF207E">
        <w:rPr>
          <w:rFonts w:cs="Arial"/>
          <w:szCs w:val="22"/>
          <w:lang w:val="sl-SI"/>
        </w:rPr>
        <w:t>)</w:t>
      </w:r>
      <w:r w:rsidR="00023B3C" w:rsidRPr="00FF207E">
        <w:rPr>
          <w:rFonts w:cs="Arial"/>
          <w:szCs w:val="22"/>
          <w:lang w:val="sl-SI"/>
        </w:rPr>
        <w:t xml:space="preserve">, ki jih dopolnjuje ukrep vzpostavitve </w:t>
      </w:r>
      <w:r w:rsidR="00017CE5" w:rsidRPr="00FF207E">
        <w:rPr>
          <w:rFonts w:cs="Arial"/>
          <w:szCs w:val="22"/>
          <w:lang w:val="sl-SI"/>
        </w:rPr>
        <w:t>so</w:t>
      </w:r>
      <w:r w:rsidR="00023B3C" w:rsidRPr="00FF207E">
        <w:rPr>
          <w:rFonts w:cs="Arial"/>
          <w:szCs w:val="22"/>
          <w:lang w:val="sl-SI"/>
        </w:rPr>
        <w:t xml:space="preserve">sveta za energetsko revščino, kot posvetovalnega in usmerjevalnega telesa, ki z namenom celostnega spremljanja (medsektorsko, interdisciplinarno in </w:t>
      </w:r>
      <w:proofErr w:type="spellStart"/>
      <w:r w:rsidR="00023B3C" w:rsidRPr="00FF207E">
        <w:rPr>
          <w:rFonts w:cs="Arial"/>
          <w:szCs w:val="22"/>
          <w:lang w:val="sl-SI"/>
        </w:rPr>
        <w:t>večnivojsko</w:t>
      </w:r>
      <w:proofErr w:type="spellEnd"/>
      <w:r w:rsidR="00023B3C" w:rsidRPr="00FF207E">
        <w:rPr>
          <w:rFonts w:cs="Arial"/>
          <w:szCs w:val="22"/>
          <w:lang w:val="sl-SI"/>
        </w:rPr>
        <w:t xml:space="preserve">) in </w:t>
      </w:r>
      <w:r w:rsidR="006F6DCF" w:rsidRPr="00FF207E">
        <w:rPr>
          <w:rFonts w:cs="Arial"/>
          <w:szCs w:val="22"/>
          <w:lang w:val="sl-SI"/>
        </w:rPr>
        <w:t xml:space="preserve">reševanja </w:t>
      </w:r>
      <w:r w:rsidR="00F3662F" w:rsidRPr="00FF207E">
        <w:rPr>
          <w:rFonts w:cs="Arial"/>
          <w:szCs w:val="22"/>
          <w:lang w:val="sl-SI"/>
        </w:rPr>
        <w:t xml:space="preserve">problematike </w:t>
      </w:r>
      <w:r w:rsidR="00023B3C" w:rsidRPr="00FF207E">
        <w:rPr>
          <w:rFonts w:cs="Arial"/>
          <w:szCs w:val="22"/>
          <w:lang w:val="sl-SI"/>
        </w:rPr>
        <w:t xml:space="preserve">energetske revščine redno spremlja dogajanje in </w:t>
      </w:r>
      <w:r w:rsidR="00EC693D" w:rsidRPr="00FF207E">
        <w:rPr>
          <w:rFonts w:cs="Arial"/>
          <w:szCs w:val="22"/>
          <w:lang w:val="sl-SI"/>
        </w:rPr>
        <w:t>usmerja delovanje</w:t>
      </w:r>
      <w:r w:rsidR="00023B3C" w:rsidRPr="00FF207E">
        <w:rPr>
          <w:rFonts w:cs="Arial"/>
          <w:szCs w:val="22"/>
          <w:lang w:val="sl-SI"/>
        </w:rPr>
        <w:t xml:space="preserve"> na tem področju.</w:t>
      </w:r>
    </w:p>
    <w:p w14:paraId="0E10E659" w14:textId="590EABA4" w:rsidR="00F84262" w:rsidRPr="00FF207E" w:rsidRDefault="00F84262" w:rsidP="001E304B">
      <w:pPr>
        <w:pStyle w:val="Table"/>
        <w:jc w:val="both"/>
      </w:pPr>
      <w:bookmarkStart w:id="38" w:name="_Ref130900696"/>
      <w:bookmarkStart w:id="39" w:name="_Toc138161833"/>
      <w:r w:rsidRPr="00FF207E">
        <w:t xml:space="preserve">Tabela </w:t>
      </w:r>
      <w:r w:rsidR="005428A9" w:rsidRPr="00FF207E">
        <w:fldChar w:fldCharType="begin"/>
      </w:r>
      <w:r w:rsidR="005428A9" w:rsidRPr="00FF207E">
        <w:instrText xml:space="preserve"> SEQ Tabela \* ARABIC </w:instrText>
      </w:r>
      <w:r w:rsidR="005428A9" w:rsidRPr="00FF207E">
        <w:fldChar w:fldCharType="separate"/>
      </w:r>
      <w:r w:rsidR="00F37FD1" w:rsidRPr="00FF207E">
        <w:t>3</w:t>
      </w:r>
      <w:r w:rsidR="005428A9" w:rsidRPr="00FF207E">
        <w:fldChar w:fldCharType="end"/>
      </w:r>
      <w:bookmarkEnd w:id="38"/>
      <w:r w:rsidRPr="00FF207E">
        <w:t>:</w:t>
      </w:r>
      <w:r w:rsidRPr="00FF207E">
        <w:tab/>
        <w:t>Ukrepi, vključeni v shemo za zmanjševanje energetske revščine</w:t>
      </w:r>
      <w:bookmarkEnd w:id="39"/>
    </w:p>
    <w:tbl>
      <w:tblPr>
        <w:tblStyle w:val="Tabelamrea"/>
        <w:tblW w:w="0" w:type="auto"/>
        <w:tblBorders>
          <w:top w:val="none" w:sz="0" w:space="0" w:color="auto"/>
          <w:left w:val="none" w:sz="0" w:space="0" w:color="auto"/>
          <w:bottom w:val="none" w:sz="0" w:space="0" w:color="auto"/>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1418"/>
        <w:gridCol w:w="3362"/>
        <w:gridCol w:w="1410"/>
        <w:gridCol w:w="1410"/>
        <w:gridCol w:w="1472"/>
      </w:tblGrid>
      <w:tr w:rsidR="005E1179" w:rsidRPr="00FF207E" w14:paraId="3D4DDB7B" w14:textId="77777777" w:rsidTr="00140594">
        <w:trPr>
          <w:tblHeader/>
        </w:trPr>
        <w:tc>
          <w:tcPr>
            <w:tcW w:w="1418" w:type="dxa"/>
            <w:shd w:val="clear" w:color="auto" w:fill="548DD4" w:themeFill="text2" w:themeFillTint="99"/>
            <w:vAlign w:val="center"/>
          </w:tcPr>
          <w:p w14:paraId="1C36098A" w14:textId="77777777" w:rsidR="005E1179" w:rsidRPr="00FF207E" w:rsidRDefault="005E1179"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Oznaka ukrepa</w:t>
            </w:r>
          </w:p>
        </w:tc>
        <w:tc>
          <w:tcPr>
            <w:tcW w:w="3362" w:type="dxa"/>
            <w:shd w:val="clear" w:color="auto" w:fill="548DD4" w:themeFill="text2" w:themeFillTint="99"/>
            <w:vAlign w:val="center"/>
          </w:tcPr>
          <w:p w14:paraId="6018ADCD" w14:textId="77777777" w:rsidR="005E1179" w:rsidRPr="00FF207E" w:rsidRDefault="005E1179"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Ime ukrepa</w:t>
            </w:r>
          </w:p>
        </w:tc>
        <w:tc>
          <w:tcPr>
            <w:tcW w:w="1410" w:type="dxa"/>
            <w:shd w:val="clear" w:color="auto" w:fill="548DD4" w:themeFill="text2" w:themeFillTint="99"/>
            <w:vAlign w:val="center"/>
          </w:tcPr>
          <w:p w14:paraId="2DD073EE" w14:textId="77777777" w:rsidR="005E1179" w:rsidRPr="00FF207E" w:rsidRDefault="005E1179"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Status ukrepa</w:t>
            </w:r>
          </w:p>
        </w:tc>
        <w:tc>
          <w:tcPr>
            <w:tcW w:w="1410" w:type="dxa"/>
            <w:shd w:val="clear" w:color="auto" w:fill="548DD4" w:themeFill="text2" w:themeFillTint="99"/>
            <w:vAlign w:val="center"/>
          </w:tcPr>
          <w:p w14:paraId="30FC3EDD" w14:textId="77777777" w:rsidR="005E1179" w:rsidRPr="00FF207E" w:rsidRDefault="005E1179"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Vrsta ukrepa</w:t>
            </w:r>
          </w:p>
        </w:tc>
        <w:tc>
          <w:tcPr>
            <w:tcW w:w="1472" w:type="dxa"/>
            <w:shd w:val="clear" w:color="auto" w:fill="548DD4" w:themeFill="text2" w:themeFillTint="99"/>
            <w:vAlign w:val="center"/>
          </w:tcPr>
          <w:p w14:paraId="5804701D" w14:textId="77777777" w:rsidR="005E1179" w:rsidRPr="00FF207E" w:rsidRDefault="005E1179"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Odgovornost</w:t>
            </w:r>
          </w:p>
        </w:tc>
      </w:tr>
      <w:tr w:rsidR="005E1179" w:rsidRPr="00FF207E" w14:paraId="1C6E1C4F" w14:textId="77777777" w:rsidTr="00574FF6">
        <w:tc>
          <w:tcPr>
            <w:tcW w:w="9072" w:type="dxa"/>
            <w:gridSpan w:val="5"/>
            <w:tcBorders>
              <w:bottom w:val="single" w:sz="4" w:space="0" w:color="548DD4" w:themeColor="text2" w:themeTint="99"/>
            </w:tcBorders>
            <w:shd w:val="clear" w:color="auto" w:fill="C6D9F1" w:themeFill="text2" w:themeFillTint="33"/>
            <w:vAlign w:val="center"/>
          </w:tcPr>
          <w:p w14:paraId="6EE9DA71" w14:textId="77777777" w:rsidR="005E1179" w:rsidRPr="00FF207E" w:rsidRDefault="005E1179" w:rsidP="001E304B">
            <w:pPr>
              <w:spacing w:before="40" w:after="40" w:line="240" w:lineRule="auto"/>
              <w:jc w:val="both"/>
              <w:rPr>
                <w:rFonts w:cs="Arial"/>
                <w:b/>
                <w:sz w:val="18"/>
                <w:szCs w:val="18"/>
                <w:lang w:val="sl-SI"/>
              </w:rPr>
            </w:pPr>
            <w:r w:rsidRPr="00FF207E">
              <w:rPr>
                <w:rFonts w:cs="Arial"/>
                <w:b/>
                <w:sz w:val="18"/>
                <w:szCs w:val="18"/>
                <w:lang w:val="sl-SI"/>
              </w:rPr>
              <w:t>SHEMA ZA ZMANJŠEVANJE ENERGETSKE REVŠČINE</w:t>
            </w:r>
          </w:p>
        </w:tc>
      </w:tr>
      <w:tr w:rsidR="005E1179" w:rsidRPr="00FF207E" w14:paraId="0D70900D" w14:textId="77777777" w:rsidTr="00574FF6">
        <w:trPr>
          <w:trHeight w:val="427"/>
        </w:trPr>
        <w:tc>
          <w:tcPr>
            <w:tcW w:w="1418" w:type="dxa"/>
            <w:tcBorders>
              <w:top w:val="single" w:sz="4" w:space="0" w:color="548DD4" w:themeColor="text2" w:themeTint="99"/>
              <w:bottom w:val="single" w:sz="4" w:space="0" w:color="548DD4" w:themeColor="text2" w:themeTint="99"/>
            </w:tcBorders>
            <w:shd w:val="clear" w:color="auto" w:fill="D6E3BC" w:themeFill="accent3" w:themeFillTint="66"/>
            <w:vAlign w:val="center"/>
          </w:tcPr>
          <w:p w14:paraId="4740D4E5" w14:textId="77777777" w:rsidR="005E1179" w:rsidRPr="00FF207E" w:rsidRDefault="005E1179" w:rsidP="001E304B">
            <w:pPr>
              <w:spacing w:line="240" w:lineRule="auto"/>
              <w:jc w:val="both"/>
              <w:rPr>
                <w:rFonts w:cs="Arial"/>
                <w:b/>
                <w:sz w:val="18"/>
                <w:szCs w:val="18"/>
                <w:lang w:val="sl-SI"/>
              </w:rPr>
            </w:pPr>
            <w:r w:rsidRPr="00FF207E">
              <w:rPr>
                <w:rFonts w:cs="Arial"/>
                <w:b/>
                <w:sz w:val="18"/>
                <w:szCs w:val="18"/>
                <w:lang w:val="sl-SI"/>
              </w:rPr>
              <w:t>ER_Shema-01</w:t>
            </w:r>
          </w:p>
        </w:tc>
        <w:tc>
          <w:tcPr>
            <w:tcW w:w="3362" w:type="dxa"/>
            <w:tcBorders>
              <w:top w:val="single" w:sz="4" w:space="0" w:color="548DD4" w:themeColor="text2" w:themeTint="99"/>
              <w:bottom w:val="single" w:sz="4" w:space="0" w:color="548DD4" w:themeColor="text2" w:themeTint="99"/>
            </w:tcBorders>
            <w:vAlign w:val="center"/>
          </w:tcPr>
          <w:p w14:paraId="1D343900" w14:textId="4C14161E" w:rsidR="005E1179" w:rsidRPr="00FF207E" w:rsidRDefault="005428A9" w:rsidP="001E304B">
            <w:pPr>
              <w:spacing w:line="240" w:lineRule="auto"/>
              <w:jc w:val="both"/>
              <w:rPr>
                <w:rFonts w:cs="Arial"/>
                <w:color w:val="4F81BD" w:themeColor="accent1"/>
                <w:sz w:val="18"/>
                <w:szCs w:val="18"/>
                <w:u w:val="single"/>
                <w:lang w:val="sl-SI"/>
              </w:rPr>
            </w:pPr>
            <w:hyperlink w:anchor="_Investicijske_spodbude_za" w:history="1">
              <w:r w:rsidR="00440451" w:rsidRPr="00FF207E">
                <w:rPr>
                  <w:rStyle w:val="Hiperpovezava"/>
                  <w:rFonts w:cs="Arial"/>
                  <w:color w:val="4F81BD" w:themeColor="accent1"/>
                  <w:sz w:val="18"/>
                  <w:szCs w:val="18"/>
                  <w:lang w:val="sl-SI"/>
                </w:rPr>
                <w:t xml:space="preserve">Investicijske spodbude za ukrepe URE in </w:t>
              </w:r>
              <w:r w:rsidR="00026105" w:rsidRPr="00FF207E">
                <w:rPr>
                  <w:rStyle w:val="Hiperpovezava"/>
                  <w:rFonts w:cs="Arial"/>
                  <w:color w:val="4F81BD" w:themeColor="accent1"/>
                  <w:sz w:val="18"/>
                  <w:szCs w:val="18"/>
                  <w:lang w:val="sl-SI"/>
                </w:rPr>
                <w:t xml:space="preserve">rabe </w:t>
              </w:r>
              <w:r w:rsidR="00440451" w:rsidRPr="00FF207E">
                <w:rPr>
                  <w:rStyle w:val="Hiperpovezava"/>
                  <w:rFonts w:cs="Arial"/>
                  <w:color w:val="4F81BD" w:themeColor="accent1"/>
                  <w:sz w:val="18"/>
                  <w:szCs w:val="18"/>
                  <w:lang w:val="sl-SI"/>
                </w:rPr>
                <w:t>OVE za energetsko revne</w:t>
              </w:r>
            </w:hyperlink>
          </w:p>
        </w:tc>
        <w:tc>
          <w:tcPr>
            <w:tcW w:w="1410" w:type="dxa"/>
            <w:tcBorders>
              <w:top w:val="single" w:sz="4" w:space="0" w:color="548DD4" w:themeColor="text2" w:themeTint="99"/>
              <w:bottom w:val="single" w:sz="4" w:space="0" w:color="548DD4" w:themeColor="text2" w:themeTint="99"/>
            </w:tcBorders>
            <w:vAlign w:val="center"/>
          </w:tcPr>
          <w:p w14:paraId="777B6660" w14:textId="1643FF81" w:rsidR="005E1179" w:rsidRPr="00FF207E" w:rsidRDefault="00736A5E" w:rsidP="00736A5E">
            <w:pPr>
              <w:spacing w:line="240" w:lineRule="auto"/>
              <w:jc w:val="both"/>
              <w:rPr>
                <w:rFonts w:cs="Arial"/>
                <w:sz w:val="18"/>
                <w:szCs w:val="18"/>
                <w:lang w:val="sl-SI"/>
              </w:rPr>
            </w:pPr>
            <w:r w:rsidRPr="00FF207E">
              <w:rPr>
                <w:rFonts w:cs="Arial"/>
                <w:sz w:val="18"/>
                <w:szCs w:val="18"/>
                <w:lang w:val="sl-SI"/>
              </w:rPr>
              <w:t xml:space="preserve">veljavni </w:t>
            </w:r>
            <w:r w:rsidR="005E1179" w:rsidRPr="00FF207E">
              <w:rPr>
                <w:rFonts w:cs="Arial"/>
                <w:sz w:val="18"/>
                <w:szCs w:val="18"/>
                <w:lang w:val="sl-SI"/>
              </w:rPr>
              <w:t>ukrepi z nadgradnjo</w:t>
            </w:r>
          </w:p>
        </w:tc>
        <w:tc>
          <w:tcPr>
            <w:tcW w:w="1410" w:type="dxa"/>
            <w:tcBorders>
              <w:top w:val="single" w:sz="4" w:space="0" w:color="548DD4" w:themeColor="text2" w:themeTint="99"/>
              <w:bottom w:val="single" w:sz="4" w:space="0" w:color="548DD4" w:themeColor="text2" w:themeTint="99"/>
            </w:tcBorders>
            <w:vAlign w:val="center"/>
          </w:tcPr>
          <w:p w14:paraId="5413659D" w14:textId="77777777" w:rsidR="005E1179" w:rsidRPr="00FF207E" w:rsidRDefault="005E1179" w:rsidP="001E304B">
            <w:pPr>
              <w:spacing w:line="240" w:lineRule="auto"/>
              <w:jc w:val="both"/>
              <w:rPr>
                <w:rFonts w:cs="Arial"/>
                <w:sz w:val="18"/>
                <w:szCs w:val="18"/>
                <w:lang w:val="sl-SI"/>
              </w:rPr>
            </w:pPr>
            <w:r w:rsidRPr="00FF207E">
              <w:rPr>
                <w:rFonts w:cs="Arial"/>
                <w:sz w:val="18"/>
                <w:szCs w:val="18"/>
                <w:lang w:val="sl-SI"/>
              </w:rPr>
              <w:t>ekonomski (finančne spodbude)</w:t>
            </w:r>
          </w:p>
        </w:tc>
        <w:tc>
          <w:tcPr>
            <w:tcW w:w="1472" w:type="dxa"/>
            <w:tcBorders>
              <w:top w:val="single" w:sz="4" w:space="0" w:color="548DD4" w:themeColor="text2" w:themeTint="99"/>
              <w:bottom w:val="single" w:sz="4" w:space="0" w:color="548DD4" w:themeColor="text2" w:themeTint="99"/>
            </w:tcBorders>
            <w:vAlign w:val="center"/>
          </w:tcPr>
          <w:p w14:paraId="072E11E1" w14:textId="77777777" w:rsidR="005E1179" w:rsidRPr="00FF207E" w:rsidRDefault="005E1179" w:rsidP="001E304B">
            <w:pPr>
              <w:spacing w:line="240" w:lineRule="auto"/>
              <w:jc w:val="both"/>
              <w:rPr>
                <w:rFonts w:cs="Arial"/>
                <w:sz w:val="18"/>
                <w:szCs w:val="18"/>
                <w:lang w:val="sl-SI"/>
              </w:rPr>
            </w:pPr>
            <w:proofErr w:type="spellStart"/>
            <w:r w:rsidRPr="00FF207E">
              <w:rPr>
                <w:rFonts w:cs="Arial"/>
                <w:sz w:val="18"/>
                <w:szCs w:val="18"/>
                <w:lang w:val="sl-SI"/>
              </w:rPr>
              <w:t>Eko</w:t>
            </w:r>
            <w:proofErr w:type="spellEnd"/>
            <w:r w:rsidRPr="00FF207E">
              <w:rPr>
                <w:rFonts w:cs="Arial"/>
                <w:sz w:val="18"/>
                <w:szCs w:val="18"/>
                <w:lang w:val="sl-SI"/>
              </w:rPr>
              <w:t xml:space="preserve"> sklad</w:t>
            </w:r>
          </w:p>
        </w:tc>
      </w:tr>
      <w:tr w:rsidR="005E1179" w:rsidRPr="00FF207E" w14:paraId="783BC4C7" w14:textId="77777777" w:rsidTr="00574FF6">
        <w:tc>
          <w:tcPr>
            <w:tcW w:w="1418" w:type="dxa"/>
            <w:tcBorders>
              <w:top w:val="single" w:sz="4" w:space="0" w:color="548DD4" w:themeColor="text2" w:themeTint="99"/>
              <w:bottom w:val="single" w:sz="4" w:space="0" w:color="548DD4" w:themeColor="text2" w:themeTint="99"/>
            </w:tcBorders>
            <w:shd w:val="clear" w:color="auto" w:fill="FFD966"/>
            <w:vAlign w:val="center"/>
          </w:tcPr>
          <w:p w14:paraId="3252F5C0" w14:textId="77777777" w:rsidR="005E1179" w:rsidRPr="00FF207E" w:rsidRDefault="005E1179" w:rsidP="001E304B">
            <w:pPr>
              <w:spacing w:line="240" w:lineRule="auto"/>
              <w:jc w:val="both"/>
              <w:rPr>
                <w:rFonts w:cs="Arial"/>
                <w:b/>
                <w:sz w:val="18"/>
                <w:szCs w:val="18"/>
                <w:lang w:val="sl-SI"/>
              </w:rPr>
            </w:pPr>
            <w:r w:rsidRPr="00FF207E">
              <w:rPr>
                <w:rFonts w:cs="Arial"/>
                <w:b/>
                <w:sz w:val="18"/>
                <w:szCs w:val="18"/>
                <w:lang w:val="sl-SI"/>
              </w:rPr>
              <w:t>ER_Shema-02</w:t>
            </w:r>
          </w:p>
        </w:tc>
        <w:tc>
          <w:tcPr>
            <w:tcW w:w="3362" w:type="dxa"/>
            <w:tcBorders>
              <w:top w:val="single" w:sz="4" w:space="0" w:color="548DD4" w:themeColor="text2" w:themeTint="99"/>
              <w:bottom w:val="single" w:sz="4" w:space="0" w:color="548DD4" w:themeColor="text2" w:themeTint="99"/>
            </w:tcBorders>
            <w:vAlign w:val="center"/>
          </w:tcPr>
          <w:p w14:paraId="33AA94FA" w14:textId="196A5753" w:rsidR="005E1179" w:rsidRPr="00FF207E" w:rsidRDefault="005428A9" w:rsidP="001E304B">
            <w:pPr>
              <w:spacing w:line="240" w:lineRule="auto"/>
              <w:jc w:val="both"/>
              <w:rPr>
                <w:rFonts w:cs="Arial"/>
                <w:color w:val="4F81BD" w:themeColor="accent1"/>
                <w:sz w:val="18"/>
                <w:szCs w:val="18"/>
                <w:u w:val="single"/>
                <w:lang w:val="sl-SI"/>
              </w:rPr>
            </w:pPr>
            <w:hyperlink w:anchor="_Projektna_pisarna_z" w:history="1">
              <w:r w:rsidR="00E82E77" w:rsidRPr="00FF207E">
                <w:rPr>
                  <w:rStyle w:val="Hiperpovezava"/>
                  <w:rFonts w:cs="Arial"/>
                  <w:color w:val="4F81BD" w:themeColor="accent1"/>
                  <w:sz w:val="18"/>
                  <w:szCs w:val="18"/>
                  <w:lang w:val="sl-SI"/>
                </w:rPr>
                <w:t>Projektna pisarna z regionalnimi svetovalnimi točkami za energetsko revščino</w:t>
              </w:r>
            </w:hyperlink>
          </w:p>
        </w:tc>
        <w:tc>
          <w:tcPr>
            <w:tcW w:w="1410" w:type="dxa"/>
            <w:tcBorders>
              <w:top w:val="single" w:sz="4" w:space="0" w:color="548DD4" w:themeColor="text2" w:themeTint="99"/>
              <w:bottom w:val="single" w:sz="4" w:space="0" w:color="548DD4" w:themeColor="text2" w:themeTint="99"/>
            </w:tcBorders>
            <w:vAlign w:val="center"/>
          </w:tcPr>
          <w:p w14:paraId="32220693" w14:textId="77777777" w:rsidR="005E1179" w:rsidRPr="00FF207E" w:rsidRDefault="005E1179" w:rsidP="001E304B">
            <w:pPr>
              <w:spacing w:line="240" w:lineRule="auto"/>
              <w:jc w:val="both"/>
              <w:rPr>
                <w:rFonts w:cs="Arial"/>
                <w:sz w:val="18"/>
                <w:szCs w:val="18"/>
                <w:lang w:val="sl-SI"/>
              </w:rPr>
            </w:pPr>
            <w:r w:rsidRPr="00FF207E">
              <w:rPr>
                <w:rFonts w:cs="Arial"/>
                <w:sz w:val="18"/>
                <w:szCs w:val="18"/>
                <w:lang w:val="sl-SI"/>
              </w:rPr>
              <w:t>nov ukrep</w:t>
            </w:r>
          </w:p>
        </w:tc>
        <w:tc>
          <w:tcPr>
            <w:tcW w:w="1410" w:type="dxa"/>
            <w:tcBorders>
              <w:top w:val="single" w:sz="4" w:space="0" w:color="548DD4" w:themeColor="text2" w:themeTint="99"/>
              <w:bottom w:val="single" w:sz="4" w:space="0" w:color="548DD4" w:themeColor="text2" w:themeTint="99"/>
            </w:tcBorders>
            <w:vAlign w:val="center"/>
          </w:tcPr>
          <w:p w14:paraId="5E630161" w14:textId="77777777" w:rsidR="005E1179" w:rsidRPr="00FF207E" w:rsidRDefault="005E1179" w:rsidP="001E304B">
            <w:pPr>
              <w:spacing w:line="240" w:lineRule="auto"/>
              <w:jc w:val="both"/>
              <w:rPr>
                <w:rFonts w:cs="Arial"/>
                <w:sz w:val="18"/>
                <w:szCs w:val="18"/>
                <w:lang w:val="sl-SI"/>
              </w:rPr>
            </w:pPr>
            <w:r w:rsidRPr="00FF207E">
              <w:rPr>
                <w:rFonts w:cs="Arial"/>
                <w:sz w:val="18"/>
                <w:szCs w:val="18"/>
                <w:lang w:val="sl-SI"/>
              </w:rPr>
              <w:t>organizacijski</w:t>
            </w:r>
          </w:p>
        </w:tc>
        <w:tc>
          <w:tcPr>
            <w:tcW w:w="1472" w:type="dxa"/>
            <w:tcBorders>
              <w:top w:val="single" w:sz="4" w:space="0" w:color="548DD4" w:themeColor="text2" w:themeTint="99"/>
              <w:bottom w:val="single" w:sz="4" w:space="0" w:color="548DD4" w:themeColor="text2" w:themeTint="99"/>
            </w:tcBorders>
            <w:vAlign w:val="center"/>
          </w:tcPr>
          <w:p w14:paraId="1738C720" w14:textId="4C506C6C" w:rsidR="005E1179" w:rsidRPr="00FF207E" w:rsidRDefault="00477292" w:rsidP="001E304B">
            <w:pPr>
              <w:spacing w:line="240" w:lineRule="auto"/>
              <w:jc w:val="both"/>
              <w:rPr>
                <w:rFonts w:cs="Arial"/>
                <w:sz w:val="18"/>
                <w:szCs w:val="18"/>
                <w:lang w:val="sl-SI"/>
              </w:rPr>
            </w:pPr>
            <w:r w:rsidRPr="00FF207E">
              <w:rPr>
                <w:rFonts w:cs="Arial"/>
                <w:sz w:val="18"/>
                <w:szCs w:val="18"/>
                <w:lang w:val="sl-SI"/>
              </w:rPr>
              <w:t>MOPE</w:t>
            </w:r>
            <w:r w:rsidR="005E1179" w:rsidRPr="00FF207E">
              <w:rPr>
                <w:rFonts w:cs="Arial"/>
                <w:sz w:val="18"/>
                <w:szCs w:val="18"/>
                <w:lang w:val="sl-SI"/>
              </w:rPr>
              <w:t xml:space="preserve">, </w:t>
            </w:r>
            <w:r w:rsidRPr="00FF207E">
              <w:rPr>
                <w:rFonts w:cs="Arial"/>
                <w:sz w:val="18"/>
                <w:szCs w:val="18"/>
                <w:lang w:val="sl-SI"/>
              </w:rPr>
              <w:br/>
            </w:r>
            <w:proofErr w:type="spellStart"/>
            <w:r w:rsidR="005E1179" w:rsidRPr="00FF207E">
              <w:rPr>
                <w:rFonts w:cs="Arial"/>
                <w:sz w:val="18"/>
                <w:szCs w:val="18"/>
                <w:lang w:val="sl-SI"/>
              </w:rPr>
              <w:t>Eko</w:t>
            </w:r>
            <w:proofErr w:type="spellEnd"/>
            <w:r w:rsidR="005E1179" w:rsidRPr="00FF207E">
              <w:rPr>
                <w:rFonts w:cs="Arial"/>
                <w:sz w:val="18"/>
                <w:szCs w:val="18"/>
                <w:lang w:val="sl-SI"/>
              </w:rPr>
              <w:t xml:space="preserve"> sklad</w:t>
            </w:r>
          </w:p>
        </w:tc>
      </w:tr>
      <w:tr w:rsidR="005E1179" w:rsidRPr="00FF207E" w14:paraId="19407131" w14:textId="77777777" w:rsidTr="003D4760">
        <w:tc>
          <w:tcPr>
            <w:tcW w:w="1418" w:type="dxa"/>
            <w:tcBorders>
              <w:top w:val="single" w:sz="4" w:space="0" w:color="548DD4" w:themeColor="text2" w:themeTint="99"/>
              <w:bottom w:val="single" w:sz="4" w:space="0" w:color="548DD4" w:themeColor="text2" w:themeTint="99"/>
            </w:tcBorders>
            <w:shd w:val="clear" w:color="auto" w:fill="FFD966"/>
            <w:vAlign w:val="center"/>
          </w:tcPr>
          <w:p w14:paraId="27F9024D" w14:textId="77777777" w:rsidR="005E1179" w:rsidRPr="00FF207E" w:rsidRDefault="005E1179" w:rsidP="001E304B">
            <w:pPr>
              <w:spacing w:line="240" w:lineRule="auto"/>
              <w:jc w:val="both"/>
              <w:rPr>
                <w:rFonts w:cs="Arial"/>
                <w:sz w:val="18"/>
                <w:szCs w:val="18"/>
                <w:lang w:val="sl-SI"/>
              </w:rPr>
            </w:pPr>
            <w:r w:rsidRPr="00FF207E">
              <w:rPr>
                <w:rFonts w:cs="Arial"/>
                <w:b/>
                <w:sz w:val="18"/>
                <w:szCs w:val="18"/>
                <w:lang w:val="sl-SI"/>
              </w:rPr>
              <w:lastRenderedPageBreak/>
              <w:t>ER_Shema-03</w:t>
            </w:r>
          </w:p>
        </w:tc>
        <w:tc>
          <w:tcPr>
            <w:tcW w:w="3362" w:type="dxa"/>
            <w:tcBorders>
              <w:top w:val="single" w:sz="4" w:space="0" w:color="548DD4" w:themeColor="text2" w:themeTint="99"/>
              <w:bottom w:val="single" w:sz="4" w:space="0" w:color="548DD4" w:themeColor="text2" w:themeTint="99"/>
            </w:tcBorders>
            <w:vAlign w:val="center"/>
          </w:tcPr>
          <w:p w14:paraId="16DA0F21" w14:textId="1FA4DACE" w:rsidR="005E1179" w:rsidRPr="00FF207E" w:rsidRDefault="005428A9" w:rsidP="001E304B">
            <w:pPr>
              <w:spacing w:line="240" w:lineRule="auto"/>
              <w:jc w:val="both"/>
              <w:rPr>
                <w:rFonts w:cs="Arial"/>
                <w:color w:val="4F81BD" w:themeColor="accent1"/>
                <w:sz w:val="18"/>
                <w:szCs w:val="18"/>
                <w:u w:val="single"/>
                <w:lang w:val="sl-SI"/>
              </w:rPr>
            </w:pPr>
            <w:hyperlink w:anchor="_Neformalna_mreža_za" w:history="1">
              <w:r w:rsidR="00E82E77" w:rsidRPr="00FF207E">
                <w:rPr>
                  <w:rStyle w:val="Hiperpovezava"/>
                  <w:rFonts w:cs="Arial"/>
                  <w:color w:val="4F81BD" w:themeColor="accent1"/>
                  <w:sz w:val="18"/>
                  <w:szCs w:val="18"/>
                  <w:lang w:val="sl-SI"/>
                </w:rPr>
                <w:t>Neformalna mreža za informiranje in ozaveščanje</w:t>
              </w:r>
            </w:hyperlink>
          </w:p>
        </w:tc>
        <w:tc>
          <w:tcPr>
            <w:tcW w:w="1410" w:type="dxa"/>
            <w:tcBorders>
              <w:top w:val="single" w:sz="4" w:space="0" w:color="548DD4" w:themeColor="text2" w:themeTint="99"/>
              <w:bottom w:val="single" w:sz="4" w:space="0" w:color="548DD4" w:themeColor="text2" w:themeTint="99"/>
            </w:tcBorders>
            <w:vAlign w:val="center"/>
          </w:tcPr>
          <w:p w14:paraId="46831F95" w14:textId="77777777" w:rsidR="005E1179" w:rsidRPr="00FF207E" w:rsidRDefault="005E1179" w:rsidP="001E304B">
            <w:pPr>
              <w:spacing w:line="240" w:lineRule="auto"/>
              <w:jc w:val="both"/>
              <w:rPr>
                <w:rFonts w:cs="Arial"/>
                <w:sz w:val="18"/>
                <w:szCs w:val="18"/>
                <w:lang w:val="sl-SI"/>
              </w:rPr>
            </w:pPr>
            <w:r w:rsidRPr="00FF207E">
              <w:rPr>
                <w:rFonts w:cs="Arial"/>
                <w:sz w:val="18"/>
                <w:szCs w:val="18"/>
                <w:lang w:val="sl-SI"/>
              </w:rPr>
              <w:t>nov ukrep</w:t>
            </w:r>
          </w:p>
        </w:tc>
        <w:tc>
          <w:tcPr>
            <w:tcW w:w="1410" w:type="dxa"/>
            <w:tcBorders>
              <w:top w:val="single" w:sz="4" w:space="0" w:color="548DD4" w:themeColor="text2" w:themeTint="99"/>
              <w:bottom w:val="single" w:sz="4" w:space="0" w:color="548DD4" w:themeColor="text2" w:themeTint="99"/>
            </w:tcBorders>
            <w:vAlign w:val="center"/>
          </w:tcPr>
          <w:p w14:paraId="2F5F729E" w14:textId="77777777" w:rsidR="005E1179" w:rsidRPr="00FF207E" w:rsidRDefault="005E1179" w:rsidP="001E304B">
            <w:pPr>
              <w:spacing w:line="240" w:lineRule="auto"/>
              <w:jc w:val="both"/>
              <w:rPr>
                <w:rFonts w:cs="Arial"/>
                <w:sz w:val="18"/>
                <w:szCs w:val="18"/>
                <w:lang w:val="sl-SI"/>
              </w:rPr>
            </w:pPr>
            <w:r w:rsidRPr="00FF207E">
              <w:rPr>
                <w:rFonts w:cs="Arial"/>
                <w:sz w:val="18"/>
                <w:szCs w:val="18"/>
                <w:lang w:val="sl-SI"/>
              </w:rPr>
              <w:t>organizacijski</w:t>
            </w:r>
          </w:p>
        </w:tc>
        <w:tc>
          <w:tcPr>
            <w:tcW w:w="1472" w:type="dxa"/>
            <w:tcBorders>
              <w:top w:val="single" w:sz="4" w:space="0" w:color="548DD4" w:themeColor="text2" w:themeTint="99"/>
              <w:bottom w:val="single" w:sz="4" w:space="0" w:color="548DD4" w:themeColor="text2" w:themeTint="99"/>
            </w:tcBorders>
            <w:vAlign w:val="center"/>
          </w:tcPr>
          <w:p w14:paraId="7BBCE8EB" w14:textId="3A1BF53A" w:rsidR="005E1179" w:rsidRPr="00FF207E" w:rsidRDefault="00477292" w:rsidP="001E304B">
            <w:pPr>
              <w:spacing w:line="240" w:lineRule="auto"/>
              <w:jc w:val="both"/>
              <w:rPr>
                <w:rFonts w:cs="Arial"/>
                <w:sz w:val="18"/>
                <w:szCs w:val="18"/>
                <w:lang w:val="sl-SI"/>
              </w:rPr>
            </w:pPr>
            <w:r w:rsidRPr="00FF207E">
              <w:rPr>
                <w:rFonts w:cs="Arial"/>
                <w:sz w:val="18"/>
                <w:szCs w:val="18"/>
                <w:lang w:val="sl-SI"/>
              </w:rPr>
              <w:t>MOPE</w:t>
            </w:r>
            <w:r w:rsidR="005E1179" w:rsidRPr="00FF207E">
              <w:rPr>
                <w:rFonts w:cs="Arial"/>
                <w:sz w:val="18"/>
                <w:szCs w:val="18"/>
                <w:lang w:val="sl-SI"/>
              </w:rPr>
              <w:t xml:space="preserve">, </w:t>
            </w:r>
            <w:r w:rsidRPr="00FF207E">
              <w:rPr>
                <w:rFonts w:cs="Arial"/>
                <w:sz w:val="18"/>
                <w:szCs w:val="18"/>
                <w:lang w:val="sl-SI"/>
              </w:rPr>
              <w:br/>
            </w:r>
            <w:proofErr w:type="spellStart"/>
            <w:r w:rsidR="005E1179" w:rsidRPr="00FF207E">
              <w:rPr>
                <w:rFonts w:cs="Arial"/>
                <w:sz w:val="18"/>
                <w:szCs w:val="18"/>
                <w:lang w:val="sl-SI"/>
              </w:rPr>
              <w:t>Eko</w:t>
            </w:r>
            <w:proofErr w:type="spellEnd"/>
            <w:r w:rsidR="005E1179" w:rsidRPr="00FF207E">
              <w:rPr>
                <w:rFonts w:cs="Arial"/>
                <w:sz w:val="18"/>
                <w:szCs w:val="18"/>
                <w:lang w:val="sl-SI"/>
              </w:rPr>
              <w:t xml:space="preserve"> sklad</w:t>
            </w:r>
          </w:p>
        </w:tc>
      </w:tr>
      <w:tr w:rsidR="005E1179" w:rsidRPr="00FF207E" w14:paraId="6EFC12D9" w14:textId="77777777" w:rsidTr="003D4760">
        <w:tc>
          <w:tcPr>
            <w:tcW w:w="1418" w:type="dxa"/>
            <w:tcBorders>
              <w:top w:val="single" w:sz="4" w:space="0" w:color="548DD4" w:themeColor="text2" w:themeTint="99"/>
              <w:bottom w:val="single" w:sz="4" w:space="0" w:color="548DD4" w:themeColor="text2" w:themeTint="99"/>
            </w:tcBorders>
            <w:shd w:val="clear" w:color="auto" w:fill="D6E3BC" w:themeFill="accent3" w:themeFillTint="66"/>
            <w:vAlign w:val="center"/>
          </w:tcPr>
          <w:p w14:paraId="584314FB" w14:textId="77777777" w:rsidR="005E1179" w:rsidRPr="00FF207E" w:rsidRDefault="005E1179" w:rsidP="001E304B">
            <w:pPr>
              <w:spacing w:line="240" w:lineRule="auto"/>
              <w:jc w:val="both"/>
              <w:rPr>
                <w:rFonts w:cs="Arial"/>
                <w:sz w:val="18"/>
                <w:szCs w:val="18"/>
                <w:lang w:val="sl-SI"/>
              </w:rPr>
            </w:pPr>
            <w:r w:rsidRPr="00FF207E">
              <w:rPr>
                <w:rFonts w:cs="Arial"/>
                <w:b/>
                <w:sz w:val="18"/>
                <w:szCs w:val="18"/>
                <w:lang w:val="sl-SI"/>
              </w:rPr>
              <w:t>ER_Shema-04</w:t>
            </w:r>
          </w:p>
        </w:tc>
        <w:tc>
          <w:tcPr>
            <w:tcW w:w="3362" w:type="dxa"/>
            <w:tcBorders>
              <w:top w:val="single" w:sz="4" w:space="0" w:color="548DD4" w:themeColor="text2" w:themeTint="99"/>
              <w:bottom w:val="single" w:sz="4" w:space="0" w:color="548DD4" w:themeColor="text2" w:themeTint="99"/>
            </w:tcBorders>
            <w:vAlign w:val="center"/>
          </w:tcPr>
          <w:p w14:paraId="2088B328" w14:textId="126AC789" w:rsidR="005E1179" w:rsidRPr="00FF207E" w:rsidRDefault="005428A9" w:rsidP="001E304B">
            <w:pPr>
              <w:spacing w:line="240" w:lineRule="auto"/>
              <w:jc w:val="both"/>
              <w:rPr>
                <w:rFonts w:cs="Arial"/>
                <w:bCs/>
                <w:color w:val="4F81BD" w:themeColor="accent1"/>
                <w:sz w:val="18"/>
                <w:szCs w:val="18"/>
                <w:u w:val="single"/>
                <w:lang w:val="sl-SI"/>
              </w:rPr>
            </w:pPr>
            <w:hyperlink w:anchor="_Energetsko_svetovanje_za" w:history="1">
              <w:r w:rsidR="005E1179" w:rsidRPr="00FF207E">
                <w:rPr>
                  <w:rFonts w:cs="Arial"/>
                  <w:color w:val="4F81BD" w:themeColor="accent1"/>
                  <w:sz w:val="18"/>
                  <w:szCs w:val="18"/>
                  <w:u w:val="single"/>
                  <w:lang w:val="sl-SI"/>
                </w:rPr>
                <w:t>Energetsko svetovanje za energetsko revne</w:t>
              </w:r>
            </w:hyperlink>
          </w:p>
        </w:tc>
        <w:tc>
          <w:tcPr>
            <w:tcW w:w="1410" w:type="dxa"/>
            <w:tcBorders>
              <w:top w:val="single" w:sz="4" w:space="0" w:color="548DD4" w:themeColor="text2" w:themeTint="99"/>
              <w:bottom w:val="single" w:sz="4" w:space="0" w:color="548DD4" w:themeColor="text2" w:themeTint="99"/>
            </w:tcBorders>
            <w:vAlign w:val="center"/>
          </w:tcPr>
          <w:p w14:paraId="374DD46E" w14:textId="49ADC4D0" w:rsidR="005E1179" w:rsidRPr="00FF207E" w:rsidRDefault="00736A5E" w:rsidP="001E304B">
            <w:pPr>
              <w:spacing w:line="240" w:lineRule="auto"/>
              <w:jc w:val="both"/>
              <w:rPr>
                <w:rFonts w:cs="Arial"/>
                <w:sz w:val="18"/>
                <w:szCs w:val="18"/>
                <w:lang w:val="sl-SI"/>
              </w:rPr>
            </w:pPr>
            <w:r w:rsidRPr="00FF207E">
              <w:rPr>
                <w:rFonts w:cs="Arial"/>
                <w:sz w:val="18"/>
                <w:szCs w:val="18"/>
                <w:lang w:val="sl-SI"/>
              </w:rPr>
              <w:t xml:space="preserve">veljaven </w:t>
            </w:r>
            <w:r w:rsidR="005E1179" w:rsidRPr="00FF207E">
              <w:rPr>
                <w:rFonts w:cs="Arial"/>
                <w:sz w:val="18"/>
                <w:szCs w:val="18"/>
                <w:lang w:val="sl-SI"/>
              </w:rPr>
              <w:t>ukrep z nadgradnjo</w:t>
            </w:r>
          </w:p>
        </w:tc>
        <w:tc>
          <w:tcPr>
            <w:tcW w:w="1410" w:type="dxa"/>
            <w:tcBorders>
              <w:top w:val="single" w:sz="4" w:space="0" w:color="548DD4" w:themeColor="text2" w:themeTint="99"/>
              <w:bottom w:val="single" w:sz="4" w:space="0" w:color="548DD4" w:themeColor="text2" w:themeTint="99"/>
            </w:tcBorders>
            <w:vAlign w:val="center"/>
          </w:tcPr>
          <w:p w14:paraId="3FDB6411" w14:textId="77777777" w:rsidR="005E1179" w:rsidRPr="00FF207E" w:rsidRDefault="005E1179" w:rsidP="001E304B">
            <w:pPr>
              <w:spacing w:line="240" w:lineRule="auto"/>
              <w:jc w:val="both"/>
              <w:rPr>
                <w:rFonts w:cs="Arial"/>
                <w:sz w:val="18"/>
                <w:szCs w:val="18"/>
                <w:lang w:val="sl-SI"/>
              </w:rPr>
            </w:pPr>
            <w:r w:rsidRPr="00FF207E">
              <w:rPr>
                <w:rFonts w:cs="Arial"/>
                <w:sz w:val="18"/>
                <w:szCs w:val="18"/>
                <w:lang w:val="sl-SI"/>
              </w:rPr>
              <w:t>svetovanje, usposabljanje</w:t>
            </w:r>
          </w:p>
        </w:tc>
        <w:tc>
          <w:tcPr>
            <w:tcW w:w="1472" w:type="dxa"/>
            <w:tcBorders>
              <w:top w:val="single" w:sz="4" w:space="0" w:color="548DD4" w:themeColor="text2" w:themeTint="99"/>
              <w:bottom w:val="single" w:sz="4" w:space="0" w:color="548DD4" w:themeColor="text2" w:themeTint="99"/>
            </w:tcBorders>
            <w:vAlign w:val="center"/>
          </w:tcPr>
          <w:p w14:paraId="5E9AAD6D" w14:textId="77777777" w:rsidR="005E1179" w:rsidRPr="00FF207E" w:rsidRDefault="005E1179" w:rsidP="001E304B">
            <w:pPr>
              <w:spacing w:line="240" w:lineRule="auto"/>
              <w:jc w:val="both"/>
              <w:rPr>
                <w:rFonts w:cs="Arial"/>
                <w:sz w:val="18"/>
                <w:szCs w:val="18"/>
                <w:lang w:val="sl-SI"/>
              </w:rPr>
            </w:pPr>
            <w:proofErr w:type="spellStart"/>
            <w:r w:rsidRPr="00FF207E">
              <w:rPr>
                <w:rFonts w:cs="Arial"/>
                <w:sz w:val="18"/>
                <w:szCs w:val="18"/>
                <w:lang w:val="sl-SI"/>
              </w:rPr>
              <w:t>Eko</w:t>
            </w:r>
            <w:proofErr w:type="spellEnd"/>
            <w:r w:rsidRPr="00FF207E">
              <w:rPr>
                <w:rFonts w:cs="Arial"/>
                <w:sz w:val="18"/>
                <w:szCs w:val="18"/>
                <w:lang w:val="sl-SI"/>
              </w:rPr>
              <w:t xml:space="preserve"> sklad</w:t>
            </w:r>
          </w:p>
        </w:tc>
      </w:tr>
      <w:tr w:rsidR="005E1179" w:rsidRPr="00FF207E" w14:paraId="4660082C" w14:textId="77777777" w:rsidTr="00140594">
        <w:tc>
          <w:tcPr>
            <w:tcW w:w="1418" w:type="dxa"/>
            <w:tcBorders>
              <w:top w:val="single" w:sz="4" w:space="0" w:color="548DD4" w:themeColor="text2" w:themeTint="99"/>
              <w:bottom w:val="single" w:sz="4" w:space="0" w:color="548DD4" w:themeColor="text2" w:themeTint="99"/>
            </w:tcBorders>
            <w:shd w:val="clear" w:color="auto" w:fill="D6E3BC" w:themeFill="accent3" w:themeFillTint="66"/>
            <w:vAlign w:val="center"/>
          </w:tcPr>
          <w:p w14:paraId="576C1062" w14:textId="77777777" w:rsidR="005E1179" w:rsidRPr="00FF207E" w:rsidRDefault="005E1179" w:rsidP="001E304B">
            <w:pPr>
              <w:spacing w:line="240" w:lineRule="auto"/>
              <w:jc w:val="both"/>
              <w:rPr>
                <w:rFonts w:cs="Arial"/>
                <w:sz w:val="18"/>
                <w:szCs w:val="18"/>
                <w:lang w:val="sl-SI"/>
              </w:rPr>
            </w:pPr>
            <w:r w:rsidRPr="00FF207E">
              <w:rPr>
                <w:rFonts w:cs="Arial"/>
                <w:b/>
                <w:sz w:val="18"/>
                <w:szCs w:val="18"/>
                <w:lang w:val="sl-SI"/>
              </w:rPr>
              <w:t>ER_Shema-05</w:t>
            </w:r>
          </w:p>
        </w:tc>
        <w:tc>
          <w:tcPr>
            <w:tcW w:w="3362" w:type="dxa"/>
            <w:tcBorders>
              <w:top w:val="single" w:sz="4" w:space="0" w:color="548DD4" w:themeColor="text2" w:themeTint="99"/>
              <w:bottom w:val="single" w:sz="4" w:space="0" w:color="548DD4" w:themeColor="text2" w:themeTint="99"/>
            </w:tcBorders>
            <w:vAlign w:val="center"/>
          </w:tcPr>
          <w:p w14:paraId="67BD5BB0" w14:textId="25759D2D" w:rsidR="005E1179" w:rsidRPr="00FF207E" w:rsidRDefault="005428A9" w:rsidP="001E304B">
            <w:pPr>
              <w:spacing w:line="240" w:lineRule="auto"/>
              <w:jc w:val="both"/>
              <w:rPr>
                <w:rFonts w:cs="Arial"/>
                <w:color w:val="4F81BD" w:themeColor="accent1"/>
                <w:sz w:val="18"/>
                <w:szCs w:val="18"/>
                <w:u w:val="single"/>
                <w:lang w:val="sl-SI"/>
              </w:rPr>
            </w:pPr>
            <w:hyperlink w:anchor="_Informiranje_članov_neformalne" w:history="1">
              <w:r w:rsidR="00DC567D" w:rsidRPr="00FF207E">
                <w:rPr>
                  <w:rStyle w:val="Hiperpovezava"/>
                  <w:rFonts w:cs="Arial"/>
                  <w:color w:val="4F81BD" w:themeColor="accent1"/>
                  <w:sz w:val="18"/>
                  <w:szCs w:val="18"/>
                  <w:lang w:val="sl-SI"/>
                </w:rPr>
                <w:t>Stalno i</w:t>
              </w:r>
              <w:r w:rsidR="00E82E77" w:rsidRPr="00FF207E">
                <w:rPr>
                  <w:rStyle w:val="Hiperpovezava"/>
                  <w:rFonts w:cs="Arial"/>
                  <w:color w:val="4F81BD" w:themeColor="accent1"/>
                  <w:sz w:val="18"/>
                  <w:szCs w:val="18"/>
                  <w:lang w:val="sl-SI"/>
                </w:rPr>
                <w:t>nformiranje članov neformalne mreže za informiranje in ozaveščanje na regionalni ravni</w:t>
              </w:r>
            </w:hyperlink>
          </w:p>
        </w:tc>
        <w:tc>
          <w:tcPr>
            <w:tcW w:w="1410" w:type="dxa"/>
            <w:tcBorders>
              <w:top w:val="single" w:sz="4" w:space="0" w:color="548DD4" w:themeColor="text2" w:themeTint="99"/>
              <w:bottom w:val="single" w:sz="4" w:space="0" w:color="548DD4" w:themeColor="text2" w:themeTint="99"/>
            </w:tcBorders>
            <w:vAlign w:val="center"/>
          </w:tcPr>
          <w:p w14:paraId="667351D7" w14:textId="77777777" w:rsidR="005E1179" w:rsidRPr="00FF207E" w:rsidRDefault="005E1179" w:rsidP="001E304B">
            <w:pPr>
              <w:spacing w:line="240" w:lineRule="auto"/>
              <w:jc w:val="both"/>
              <w:rPr>
                <w:rFonts w:cs="Arial"/>
                <w:sz w:val="18"/>
                <w:szCs w:val="18"/>
                <w:lang w:val="sl-SI"/>
              </w:rPr>
            </w:pPr>
            <w:r w:rsidRPr="00FF207E">
              <w:rPr>
                <w:rFonts w:cs="Arial"/>
                <w:sz w:val="18"/>
                <w:szCs w:val="18"/>
                <w:lang w:val="sl-SI"/>
              </w:rPr>
              <w:t>nov ukrep</w:t>
            </w:r>
          </w:p>
        </w:tc>
        <w:tc>
          <w:tcPr>
            <w:tcW w:w="1410" w:type="dxa"/>
            <w:tcBorders>
              <w:top w:val="single" w:sz="4" w:space="0" w:color="548DD4" w:themeColor="text2" w:themeTint="99"/>
              <w:bottom w:val="single" w:sz="4" w:space="0" w:color="548DD4" w:themeColor="text2" w:themeTint="99"/>
            </w:tcBorders>
            <w:vAlign w:val="center"/>
          </w:tcPr>
          <w:p w14:paraId="71179C50" w14:textId="77777777" w:rsidR="005E1179" w:rsidRPr="00FF207E" w:rsidRDefault="005E1179" w:rsidP="001E304B">
            <w:pPr>
              <w:spacing w:line="240" w:lineRule="auto"/>
              <w:jc w:val="both"/>
              <w:rPr>
                <w:rFonts w:cs="Arial"/>
                <w:sz w:val="18"/>
                <w:szCs w:val="18"/>
                <w:lang w:val="sl-SI"/>
              </w:rPr>
            </w:pPr>
            <w:r w:rsidRPr="00FF207E">
              <w:rPr>
                <w:rFonts w:cs="Arial"/>
                <w:sz w:val="18"/>
                <w:szCs w:val="18"/>
                <w:lang w:val="sl-SI"/>
              </w:rPr>
              <w:t>informiranje, ozaveščanje, usposabljanje</w:t>
            </w:r>
          </w:p>
        </w:tc>
        <w:tc>
          <w:tcPr>
            <w:tcW w:w="1472" w:type="dxa"/>
            <w:tcBorders>
              <w:top w:val="single" w:sz="4" w:space="0" w:color="548DD4" w:themeColor="text2" w:themeTint="99"/>
              <w:bottom w:val="single" w:sz="4" w:space="0" w:color="548DD4" w:themeColor="text2" w:themeTint="99"/>
            </w:tcBorders>
            <w:vAlign w:val="center"/>
          </w:tcPr>
          <w:p w14:paraId="31D4A8E4" w14:textId="77777777" w:rsidR="005E1179" w:rsidRPr="00FF207E" w:rsidRDefault="005E1179" w:rsidP="001E304B">
            <w:pPr>
              <w:spacing w:line="240" w:lineRule="auto"/>
              <w:jc w:val="both"/>
              <w:rPr>
                <w:rFonts w:cs="Arial"/>
                <w:sz w:val="18"/>
                <w:szCs w:val="18"/>
                <w:lang w:val="sl-SI"/>
              </w:rPr>
            </w:pPr>
            <w:proofErr w:type="spellStart"/>
            <w:r w:rsidRPr="00FF207E">
              <w:rPr>
                <w:rFonts w:cs="Arial"/>
                <w:sz w:val="18"/>
                <w:szCs w:val="18"/>
                <w:lang w:val="sl-SI"/>
              </w:rPr>
              <w:t>Eko</w:t>
            </w:r>
            <w:proofErr w:type="spellEnd"/>
            <w:r w:rsidRPr="00FF207E">
              <w:rPr>
                <w:rFonts w:cs="Arial"/>
                <w:sz w:val="18"/>
                <w:szCs w:val="18"/>
                <w:lang w:val="sl-SI"/>
              </w:rPr>
              <w:t xml:space="preserve"> sklad</w:t>
            </w:r>
          </w:p>
        </w:tc>
      </w:tr>
      <w:tr w:rsidR="005E1179" w:rsidRPr="00FF207E" w14:paraId="070EC5A5" w14:textId="77777777" w:rsidTr="00140594">
        <w:tc>
          <w:tcPr>
            <w:tcW w:w="1418" w:type="dxa"/>
            <w:tcBorders>
              <w:top w:val="single" w:sz="4" w:space="0" w:color="548DD4" w:themeColor="text2" w:themeTint="99"/>
              <w:bottom w:val="single" w:sz="4" w:space="0" w:color="548DD4" w:themeColor="text2" w:themeTint="99"/>
            </w:tcBorders>
            <w:shd w:val="clear" w:color="auto" w:fill="D6E3BC" w:themeFill="accent3" w:themeFillTint="66"/>
            <w:vAlign w:val="center"/>
          </w:tcPr>
          <w:p w14:paraId="6D26558D" w14:textId="77777777" w:rsidR="005E1179" w:rsidRPr="00FF207E" w:rsidRDefault="005E1179" w:rsidP="001E304B">
            <w:pPr>
              <w:spacing w:line="240" w:lineRule="auto"/>
              <w:jc w:val="both"/>
              <w:rPr>
                <w:rFonts w:cs="Arial"/>
                <w:sz w:val="18"/>
                <w:szCs w:val="18"/>
                <w:lang w:val="sl-SI"/>
              </w:rPr>
            </w:pPr>
            <w:r w:rsidRPr="00FF207E">
              <w:rPr>
                <w:rFonts w:cs="Arial"/>
                <w:b/>
                <w:sz w:val="18"/>
                <w:szCs w:val="18"/>
                <w:lang w:val="sl-SI"/>
              </w:rPr>
              <w:t>ER_Shema-06</w:t>
            </w:r>
          </w:p>
        </w:tc>
        <w:tc>
          <w:tcPr>
            <w:tcW w:w="3362" w:type="dxa"/>
            <w:tcBorders>
              <w:top w:val="single" w:sz="4" w:space="0" w:color="548DD4" w:themeColor="text2" w:themeTint="99"/>
              <w:bottom w:val="single" w:sz="4" w:space="0" w:color="548DD4" w:themeColor="text2" w:themeTint="99"/>
            </w:tcBorders>
            <w:vAlign w:val="center"/>
          </w:tcPr>
          <w:p w14:paraId="72ACECB1" w14:textId="2C1B88FD" w:rsidR="005E1179" w:rsidRPr="00FF207E" w:rsidRDefault="005428A9" w:rsidP="001E304B">
            <w:pPr>
              <w:spacing w:line="240" w:lineRule="auto"/>
              <w:jc w:val="both"/>
              <w:rPr>
                <w:rFonts w:cs="Arial"/>
                <w:bCs/>
                <w:color w:val="4F81BD" w:themeColor="accent1"/>
                <w:sz w:val="18"/>
                <w:szCs w:val="18"/>
                <w:u w:val="single"/>
                <w:lang w:val="sl-SI"/>
              </w:rPr>
            </w:pPr>
            <w:hyperlink w:anchor="_Informiranje_in_ozaveščanje" w:history="1">
              <w:r w:rsidR="005E1179" w:rsidRPr="00FF207E">
                <w:rPr>
                  <w:rStyle w:val="Hiperpovezava"/>
                  <w:rFonts w:cs="Arial"/>
                  <w:bCs/>
                  <w:color w:val="4F81BD" w:themeColor="accent1"/>
                  <w:sz w:val="18"/>
                  <w:szCs w:val="18"/>
                  <w:lang w:val="sl-SI"/>
                </w:rPr>
                <w:t>Informiranje in ozaveščanje energetsko revnih</w:t>
              </w:r>
            </w:hyperlink>
          </w:p>
        </w:tc>
        <w:tc>
          <w:tcPr>
            <w:tcW w:w="1410" w:type="dxa"/>
            <w:tcBorders>
              <w:top w:val="single" w:sz="4" w:space="0" w:color="548DD4" w:themeColor="text2" w:themeTint="99"/>
              <w:bottom w:val="single" w:sz="4" w:space="0" w:color="548DD4" w:themeColor="text2" w:themeTint="99"/>
            </w:tcBorders>
            <w:vAlign w:val="center"/>
          </w:tcPr>
          <w:p w14:paraId="6F0146D9" w14:textId="77777777" w:rsidR="005E1179" w:rsidRPr="00FF207E" w:rsidRDefault="005E1179" w:rsidP="001E304B">
            <w:pPr>
              <w:spacing w:line="240" w:lineRule="auto"/>
              <w:jc w:val="both"/>
              <w:rPr>
                <w:rFonts w:cs="Arial"/>
                <w:sz w:val="18"/>
                <w:szCs w:val="18"/>
                <w:lang w:val="sl-SI"/>
              </w:rPr>
            </w:pPr>
            <w:r w:rsidRPr="00FF207E">
              <w:rPr>
                <w:rFonts w:cs="Arial"/>
                <w:sz w:val="18"/>
                <w:szCs w:val="18"/>
                <w:lang w:val="sl-SI"/>
              </w:rPr>
              <w:t>nov ukrep</w:t>
            </w:r>
          </w:p>
        </w:tc>
        <w:tc>
          <w:tcPr>
            <w:tcW w:w="1410" w:type="dxa"/>
            <w:tcBorders>
              <w:top w:val="single" w:sz="4" w:space="0" w:color="548DD4" w:themeColor="text2" w:themeTint="99"/>
              <w:bottom w:val="single" w:sz="4" w:space="0" w:color="548DD4" w:themeColor="text2" w:themeTint="99"/>
            </w:tcBorders>
            <w:vAlign w:val="center"/>
          </w:tcPr>
          <w:p w14:paraId="1F07D91D" w14:textId="77777777" w:rsidR="005E1179" w:rsidRPr="00FF207E" w:rsidRDefault="005E1179" w:rsidP="001E304B">
            <w:pPr>
              <w:spacing w:line="240" w:lineRule="auto"/>
              <w:jc w:val="both"/>
              <w:rPr>
                <w:rFonts w:cs="Arial"/>
                <w:sz w:val="18"/>
                <w:szCs w:val="18"/>
                <w:lang w:val="sl-SI"/>
              </w:rPr>
            </w:pPr>
            <w:r w:rsidRPr="00FF207E">
              <w:rPr>
                <w:rFonts w:cs="Arial"/>
                <w:sz w:val="18"/>
                <w:szCs w:val="18"/>
                <w:lang w:val="sl-SI"/>
              </w:rPr>
              <w:t>informiranje, ozaveščanje</w:t>
            </w:r>
          </w:p>
        </w:tc>
        <w:tc>
          <w:tcPr>
            <w:tcW w:w="1472" w:type="dxa"/>
            <w:tcBorders>
              <w:top w:val="single" w:sz="4" w:space="0" w:color="548DD4" w:themeColor="text2" w:themeTint="99"/>
              <w:bottom w:val="single" w:sz="4" w:space="0" w:color="548DD4" w:themeColor="text2" w:themeTint="99"/>
            </w:tcBorders>
            <w:shd w:val="clear" w:color="auto" w:fill="auto"/>
            <w:vAlign w:val="center"/>
          </w:tcPr>
          <w:p w14:paraId="0B20DEC4" w14:textId="77777777" w:rsidR="005E1179" w:rsidRPr="00FF207E" w:rsidRDefault="005E1179" w:rsidP="001E304B">
            <w:pPr>
              <w:spacing w:line="240" w:lineRule="auto"/>
              <w:jc w:val="both"/>
              <w:rPr>
                <w:rFonts w:cs="Arial"/>
                <w:sz w:val="18"/>
                <w:szCs w:val="18"/>
                <w:lang w:val="sl-SI"/>
              </w:rPr>
            </w:pPr>
            <w:proofErr w:type="spellStart"/>
            <w:r w:rsidRPr="00FF207E">
              <w:rPr>
                <w:rFonts w:cs="Arial"/>
                <w:sz w:val="18"/>
                <w:szCs w:val="18"/>
                <w:lang w:val="sl-SI"/>
              </w:rPr>
              <w:t>Eko</w:t>
            </w:r>
            <w:proofErr w:type="spellEnd"/>
            <w:r w:rsidRPr="00FF207E">
              <w:rPr>
                <w:rFonts w:cs="Arial"/>
                <w:sz w:val="18"/>
                <w:szCs w:val="18"/>
                <w:lang w:val="sl-SI"/>
              </w:rPr>
              <w:t xml:space="preserve"> sklad</w:t>
            </w:r>
          </w:p>
        </w:tc>
      </w:tr>
      <w:tr w:rsidR="005E1179" w:rsidRPr="00FF207E" w14:paraId="0802B5DA" w14:textId="77777777" w:rsidTr="00140594">
        <w:tc>
          <w:tcPr>
            <w:tcW w:w="1418" w:type="dxa"/>
            <w:tcBorders>
              <w:top w:val="single" w:sz="4" w:space="0" w:color="548DD4" w:themeColor="text2" w:themeTint="99"/>
              <w:bottom w:val="single" w:sz="4" w:space="0" w:color="548DD4" w:themeColor="text2" w:themeTint="99"/>
            </w:tcBorders>
            <w:shd w:val="clear" w:color="auto" w:fill="FFD966"/>
            <w:vAlign w:val="center"/>
          </w:tcPr>
          <w:p w14:paraId="5CC10682" w14:textId="77777777" w:rsidR="005E1179" w:rsidRPr="00FF207E" w:rsidRDefault="005E1179" w:rsidP="001E304B">
            <w:pPr>
              <w:spacing w:line="240" w:lineRule="auto"/>
              <w:jc w:val="both"/>
              <w:rPr>
                <w:rFonts w:cs="Arial"/>
                <w:sz w:val="18"/>
                <w:szCs w:val="18"/>
                <w:lang w:val="sl-SI"/>
              </w:rPr>
            </w:pPr>
            <w:r w:rsidRPr="00FF207E">
              <w:rPr>
                <w:rFonts w:cs="Arial"/>
                <w:b/>
                <w:sz w:val="18"/>
                <w:szCs w:val="18"/>
                <w:lang w:val="sl-SI"/>
              </w:rPr>
              <w:t>ER_Shema-07</w:t>
            </w:r>
          </w:p>
        </w:tc>
        <w:tc>
          <w:tcPr>
            <w:tcW w:w="3362" w:type="dxa"/>
            <w:tcBorders>
              <w:top w:val="single" w:sz="4" w:space="0" w:color="548DD4" w:themeColor="text2" w:themeTint="99"/>
              <w:bottom w:val="single" w:sz="4" w:space="0" w:color="548DD4" w:themeColor="text2" w:themeTint="99"/>
            </w:tcBorders>
            <w:vAlign w:val="center"/>
          </w:tcPr>
          <w:p w14:paraId="74239293" w14:textId="376309E2" w:rsidR="005E1179" w:rsidRPr="00FF207E" w:rsidRDefault="005428A9" w:rsidP="001E304B">
            <w:pPr>
              <w:spacing w:line="240" w:lineRule="auto"/>
              <w:jc w:val="both"/>
              <w:rPr>
                <w:rFonts w:cs="Arial"/>
                <w:color w:val="4F81BD" w:themeColor="accent1"/>
                <w:sz w:val="18"/>
                <w:szCs w:val="18"/>
                <w:u w:val="single"/>
                <w:lang w:val="sl-SI"/>
              </w:rPr>
            </w:pPr>
            <w:hyperlink w:anchor="_Sosvet_za_energetsko" w:history="1">
              <w:r w:rsidR="0036017E" w:rsidRPr="00FF207E">
                <w:rPr>
                  <w:rStyle w:val="Hiperpovezava"/>
                  <w:rFonts w:cs="Arial"/>
                  <w:color w:val="4F81BD" w:themeColor="accent1"/>
                  <w:sz w:val="18"/>
                  <w:szCs w:val="18"/>
                  <w:lang w:val="sl-SI"/>
                </w:rPr>
                <w:t>Sosvet za energetsko revščino</w:t>
              </w:r>
            </w:hyperlink>
          </w:p>
        </w:tc>
        <w:tc>
          <w:tcPr>
            <w:tcW w:w="1410" w:type="dxa"/>
            <w:tcBorders>
              <w:top w:val="single" w:sz="4" w:space="0" w:color="548DD4" w:themeColor="text2" w:themeTint="99"/>
              <w:bottom w:val="single" w:sz="4" w:space="0" w:color="548DD4" w:themeColor="text2" w:themeTint="99"/>
            </w:tcBorders>
            <w:vAlign w:val="center"/>
          </w:tcPr>
          <w:p w14:paraId="13BAFA15" w14:textId="77777777" w:rsidR="005E1179" w:rsidRPr="00FF207E" w:rsidRDefault="005E1179" w:rsidP="001E304B">
            <w:pPr>
              <w:spacing w:line="240" w:lineRule="auto"/>
              <w:jc w:val="both"/>
              <w:rPr>
                <w:rFonts w:cs="Arial"/>
                <w:sz w:val="18"/>
                <w:szCs w:val="18"/>
                <w:lang w:val="sl-SI"/>
              </w:rPr>
            </w:pPr>
            <w:r w:rsidRPr="00FF207E">
              <w:rPr>
                <w:rFonts w:cs="Arial"/>
                <w:sz w:val="18"/>
                <w:szCs w:val="18"/>
                <w:lang w:val="sl-SI"/>
              </w:rPr>
              <w:t>nov ukrep</w:t>
            </w:r>
          </w:p>
        </w:tc>
        <w:tc>
          <w:tcPr>
            <w:tcW w:w="1410" w:type="dxa"/>
            <w:tcBorders>
              <w:top w:val="single" w:sz="4" w:space="0" w:color="548DD4" w:themeColor="text2" w:themeTint="99"/>
              <w:bottom w:val="single" w:sz="4" w:space="0" w:color="548DD4" w:themeColor="text2" w:themeTint="99"/>
            </w:tcBorders>
            <w:vAlign w:val="center"/>
          </w:tcPr>
          <w:p w14:paraId="0718A1AB" w14:textId="77777777" w:rsidR="005E1179" w:rsidRPr="00FF207E" w:rsidRDefault="005E1179" w:rsidP="001E304B">
            <w:pPr>
              <w:spacing w:line="240" w:lineRule="auto"/>
              <w:jc w:val="both"/>
              <w:rPr>
                <w:rFonts w:cs="Arial"/>
                <w:sz w:val="18"/>
                <w:szCs w:val="18"/>
                <w:lang w:val="sl-SI"/>
              </w:rPr>
            </w:pPr>
            <w:r w:rsidRPr="00FF207E">
              <w:rPr>
                <w:rFonts w:cs="Arial"/>
                <w:sz w:val="18"/>
                <w:szCs w:val="18"/>
                <w:lang w:val="sl-SI"/>
              </w:rPr>
              <w:t>organizacijski</w:t>
            </w:r>
          </w:p>
        </w:tc>
        <w:tc>
          <w:tcPr>
            <w:tcW w:w="1472" w:type="dxa"/>
            <w:tcBorders>
              <w:top w:val="single" w:sz="4" w:space="0" w:color="548DD4" w:themeColor="text2" w:themeTint="99"/>
              <w:bottom w:val="single" w:sz="4" w:space="0" w:color="548DD4" w:themeColor="text2" w:themeTint="99"/>
            </w:tcBorders>
            <w:vAlign w:val="center"/>
          </w:tcPr>
          <w:p w14:paraId="56FECCC6" w14:textId="6051AE1B" w:rsidR="005E1179" w:rsidRPr="00FF207E" w:rsidRDefault="00D60BAD" w:rsidP="001E304B">
            <w:pPr>
              <w:spacing w:line="240" w:lineRule="auto"/>
              <w:jc w:val="both"/>
              <w:rPr>
                <w:rFonts w:cs="Arial"/>
                <w:sz w:val="18"/>
                <w:szCs w:val="18"/>
                <w:lang w:val="sl-SI"/>
              </w:rPr>
            </w:pPr>
            <w:r w:rsidRPr="00FF207E">
              <w:rPr>
                <w:rFonts w:cs="Arial"/>
                <w:sz w:val="18"/>
                <w:szCs w:val="18"/>
                <w:lang w:val="sl-SI"/>
              </w:rPr>
              <w:t>MOPE v sodelovanju z MDDSZ</w:t>
            </w:r>
          </w:p>
        </w:tc>
      </w:tr>
    </w:tbl>
    <w:p w14:paraId="21533D3B" w14:textId="3CB8DCE8" w:rsidR="008130A6" w:rsidRPr="00FF207E" w:rsidRDefault="004A160B" w:rsidP="001E304B">
      <w:pPr>
        <w:pStyle w:val="Naslov2"/>
        <w:jc w:val="both"/>
        <w:rPr>
          <w:lang w:val="sl-SI"/>
        </w:rPr>
      </w:pPr>
      <w:bookmarkStart w:id="40" w:name="_Ref134003890"/>
      <w:bookmarkStart w:id="41" w:name="_Toc151148783"/>
      <w:r w:rsidRPr="00FF207E">
        <w:rPr>
          <w:lang w:val="sl-SI"/>
        </w:rPr>
        <w:t>Izbira pilotne regije</w:t>
      </w:r>
      <w:bookmarkEnd w:id="40"/>
      <w:bookmarkEnd w:id="41"/>
    </w:p>
    <w:p w14:paraId="7CB77090" w14:textId="2A644E4F" w:rsidR="00282EBB" w:rsidRPr="00FF207E" w:rsidRDefault="00D331D7" w:rsidP="001E304B">
      <w:pPr>
        <w:pStyle w:val="Naslov3"/>
        <w:jc w:val="both"/>
        <w:rPr>
          <w:lang w:val="sl-SI"/>
        </w:rPr>
      </w:pPr>
      <w:bookmarkStart w:id="42" w:name="_Toc151148784"/>
      <w:r w:rsidRPr="00FF207E">
        <w:rPr>
          <w:lang w:val="sl-SI"/>
        </w:rPr>
        <w:t xml:space="preserve">Merila </w:t>
      </w:r>
      <w:r w:rsidR="00282EBB" w:rsidRPr="00FF207E">
        <w:rPr>
          <w:lang w:val="sl-SI"/>
        </w:rPr>
        <w:t>za izbiro pilotne regije</w:t>
      </w:r>
      <w:bookmarkEnd w:id="42"/>
    </w:p>
    <w:p w14:paraId="2466329C" w14:textId="5E25D50B" w:rsidR="00282EBB" w:rsidRPr="00FF207E" w:rsidRDefault="00282EBB" w:rsidP="001E304B">
      <w:pPr>
        <w:spacing w:after="240"/>
        <w:jc w:val="both"/>
        <w:rPr>
          <w:lang w:val="sl-SI"/>
        </w:rPr>
      </w:pPr>
      <w:r w:rsidRPr="00FF207E">
        <w:rPr>
          <w:lang w:val="sl-SI"/>
        </w:rPr>
        <w:t xml:space="preserve">Pri izbiri pilotne regije </w:t>
      </w:r>
      <w:r w:rsidR="00DF2CFF" w:rsidRPr="00FF207E">
        <w:rPr>
          <w:lang w:val="sl-SI"/>
        </w:rPr>
        <w:t>se upoštevajo</w:t>
      </w:r>
      <w:r w:rsidRPr="00FF207E">
        <w:rPr>
          <w:lang w:val="sl-SI"/>
        </w:rPr>
        <w:t xml:space="preserve"> različn</w:t>
      </w:r>
      <w:r w:rsidR="00D331D7" w:rsidRPr="00FF207E">
        <w:rPr>
          <w:lang w:val="sl-SI"/>
        </w:rPr>
        <w:t>a</w:t>
      </w:r>
      <w:r w:rsidRPr="00FF207E">
        <w:rPr>
          <w:lang w:val="sl-SI"/>
        </w:rPr>
        <w:t xml:space="preserve"> kvantitativn</w:t>
      </w:r>
      <w:r w:rsidR="00D331D7" w:rsidRPr="00FF207E">
        <w:rPr>
          <w:lang w:val="sl-SI"/>
        </w:rPr>
        <w:t>a merila</w:t>
      </w:r>
      <w:r w:rsidRPr="00FF207E">
        <w:rPr>
          <w:lang w:val="sl-SI"/>
        </w:rPr>
        <w:t xml:space="preserve">, ki se delijo na </w:t>
      </w:r>
      <w:r w:rsidR="005C4556" w:rsidRPr="00FF207E">
        <w:rPr>
          <w:lang w:val="sl-SI"/>
        </w:rPr>
        <w:t xml:space="preserve">merila </w:t>
      </w:r>
      <w:r w:rsidRPr="00FF207E">
        <w:rPr>
          <w:lang w:val="sl-SI"/>
        </w:rPr>
        <w:t xml:space="preserve">razvitosti in </w:t>
      </w:r>
      <w:r w:rsidR="003249EA" w:rsidRPr="00FF207E">
        <w:rPr>
          <w:lang w:val="sl-SI"/>
        </w:rPr>
        <w:t xml:space="preserve">dejavnosti </w:t>
      </w:r>
      <w:r w:rsidRPr="00FF207E">
        <w:rPr>
          <w:lang w:val="sl-SI"/>
        </w:rPr>
        <w:t>regije (</w:t>
      </w:r>
      <w:r w:rsidRPr="00FF207E">
        <w:rPr>
          <w:lang w:val="sl-SI"/>
        </w:rPr>
        <w:fldChar w:fldCharType="begin"/>
      </w:r>
      <w:r w:rsidRPr="00FF207E">
        <w:rPr>
          <w:lang w:val="sl-SI"/>
        </w:rPr>
        <w:instrText xml:space="preserve"> REF _Ref136010301 \h </w:instrText>
      </w:r>
      <w:r w:rsidR="001E304B" w:rsidRPr="00FF207E">
        <w:rPr>
          <w:lang w:val="sl-SI"/>
        </w:rPr>
        <w:instrText xml:space="preserve"> \* MERGEFORMAT </w:instrText>
      </w:r>
      <w:r w:rsidRPr="00FF207E">
        <w:rPr>
          <w:lang w:val="sl-SI"/>
        </w:rPr>
      </w:r>
      <w:r w:rsidRPr="00FF207E">
        <w:rPr>
          <w:lang w:val="sl-SI"/>
        </w:rPr>
        <w:fldChar w:fldCharType="separate"/>
      </w:r>
      <w:r w:rsidR="00086058" w:rsidRPr="00FF207E">
        <w:rPr>
          <w:lang w:val="sl-SI"/>
        </w:rPr>
        <w:t>t</w:t>
      </w:r>
      <w:r w:rsidR="00F37FD1" w:rsidRPr="00FF207E">
        <w:rPr>
          <w:lang w:val="sl-SI"/>
        </w:rPr>
        <w:t>abela 4</w:t>
      </w:r>
      <w:r w:rsidRPr="00FF207E">
        <w:rPr>
          <w:lang w:val="sl-SI"/>
        </w:rPr>
        <w:fldChar w:fldCharType="end"/>
      </w:r>
      <w:r w:rsidRPr="00FF207E">
        <w:rPr>
          <w:lang w:val="sl-SI"/>
        </w:rPr>
        <w:t xml:space="preserve">). Med </w:t>
      </w:r>
      <w:r w:rsidR="00D331D7" w:rsidRPr="00FF207E">
        <w:rPr>
          <w:lang w:val="sl-SI"/>
        </w:rPr>
        <w:t xml:space="preserve">merila </w:t>
      </w:r>
      <w:r w:rsidRPr="00FF207E">
        <w:rPr>
          <w:lang w:val="sl-SI"/>
        </w:rPr>
        <w:t xml:space="preserve">razvitosti so vključeni statistični </w:t>
      </w:r>
      <w:r w:rsidR="00EB5576" w:rsidRPr="00FF207E">
        <w:rPr>
          <w:lang w:val="sl-SI"/>
        </w:rPr>
        <w:t>kazalniki</w:t>
      </w:r>
      <w:r w:rsidRPr="00FF207E">
        <w:rPr>
          <w:lang w:val="sl-SI"/>
        </w:rPr>
        <w:t xml:space="preserve"> energetske revščine, razvitosti posamezne regije in socialnih transferj</w:t>
      </w:r>
      <w:r w:rsidR="00DD1E53" w:rsidRPr="00FF207E">
        <w:rPr>
          <w:lang w:val="sl-SI"/>
        </w:rPr>
        <w:t>ev</w:t>
      </w:r>
      <w:r w:rsidRPr="00FF207E">
        <w:rPr>
          <w:lang w:val="sl-SI"/>
        </w:rPr>
        <w:t xml:space="preserve">. </w:t>
      </w:r>
      <w:r w:rsidR="003249EA" w:rsidRPr="00FF207E">
        <w:rPr>
          <w:lang w:val="sl-SI"/>
        </w:rPr>
        <w:t xml:space="preserve">Dejavnost </w:t>
      </w:r>
      <w:r w:rsidRPr="00FF207E">
        <w:rPr>
          <w:lang w:val="sl-SI"/>
        </w:rPr>
        <w:t xml:space="preserve">regije je vrednotena glede na (pro)aktivnost regije na področju </w:t>
      </w:r>
      <w:r w:rsidR="006F6DCF" w:rsidRPr="00FF207E">
        <w:rPr>
          <w:lang w:val="sl-SI"/>
        </w:rPr>
        <w:t xml:space="preserve">reševanja </w:t>
      </w:r>
      <w:r w:rsidR="00F3662F" w:rsidRPr="00FF207E">
        <w:rPr>
          <w:lang w:val="sl-SI"/>
        </w:rPr>
        <w:t xml:space="preserve">problematike </w:t>
      </w:r>
      <w:r w:rsidRPr="00FF207E">
        <w:rPr>
          <w:lang w:val="sl-SI"/>
        </w:rPr>
        <w:t xml:space="preserve">energetske revščine, </w:t>
      </w:r>
      <w:r w:rsidR="00F3662F" w:rsidRPr="00FF207E">
        <w:rPr>
          <w:lang w:val="sl-SI"/>
        </w:rPr>
        <w:t xml:space="preserve">glede na </w:t>
      </w:r>
      <w:r w:rsidRPr="00FF207E">
        <w:rPr>
          <w:lang w:val="sl-SI"/>
        </w:rPr>
        <w:t>podporn</w:t>
      </w:r>
      <w:r w:rsidR="00EB5576" w:rsidRPr="00FF207E">
        <w:rPr>
          <w:lang w:val="sl-SI"/>
        </w:rPr>
        <w:t>o</w:t>
      </w:r>
      <w:r w:rsidRPr="00FF207E">
        <w:rPr>
          <w:lang w:val="sl-SI"/>
        </w:rPr>
        <w:t xml:space="preserve"> okolj</w:t>
      </w:r>
      <w:r w:rsidR="00EB5576" w:rsidRPr="00FF207E">
        <w:rPr>
          <w:lang w:val="sl-SI"/>
        </w:rPr>
        <w:t>e</w:t>
      </w:r>
      <w:r w:rsidRPr="00FF207E">
        <w:rPr>
          <w:lang w:val="sl-SI"/>
        </w:rPr>
        <w:t xml:space="preserve"> in mrež</w:t>
      </w:r>
      <w:r w:rsidR="00EB5576" w:rsidRPr="00FF207E">
        <w:rPr>
          <w:lang w:val="sl-SI"/>
        </w:rPr>
        <w:t>o</w:t>
      </w:r>
      <w:r w:rsidRPr="00FF207E">
        <w:rPr>
          <w:lang w:val="sl-SI"/>
        </w:rPr>
        <w:t xml:space="preserve"> za </w:t>
      </w:r>
      <w:r w:rsidR="00EB5576" w:rsidRPr="00FF207E">
        <w:rPr>
          <w:lang w:val="sl-SI"/>
        </w:rPr>
        <w:t>izvajanje</w:t>
      </w:r>
      <w:r w:rsidRPr="00FF207E">
        <w:rPr>
          <w:lang w:val="sl-SI"/>
        </w:rPr>
        <w:t xml:space="preserve"> humanitarnih akcij, pretekl</w:t>
      </w:r>
      <w:r w:rsidR="00EB5576" w:rsidRPr="00FF207E">
        <w:rPr>
          <w:lang w:val="sl-SI"/>
        </w:rPr>
        <w:t>e</w:t>
      </w:r>
      <w:r w:rsidRPr="00FF207E">
        <w:rPr>
          <w:lang w:val="sl-SI"/>
        </w:rPr>
        <w:t xml:space="preserve"> </w:t>
      </w:r>
      <w:r w:rsidR="003249EA" w:rsidRPr="00FF207E">
        <w:rPr>
          <w:lang w:val="sl-SI"/>
        </w:rPr>
        <w:t xml:space="preserve">dejavnosti </w:t>
      </w:r>
      <w:proofErr w:type="spellStart"/>
      <w:r w:rsidRPr="00FF207E">
        <w:rPr>
          <w:lang w:val="sl-SI"/>
        </w:rPr>
        <w:t>Eko</w:t>
      </w:r>
      <w:proofErr w:type="spellEnd"/>
      <w:r w:rsidRPr="00FF207E">
        <w:rPr>
          <w:lang w:val="sl-SI"/>
        </w:rPr>
        <w:t xml:space="preserve"> sklada v okviru </w:t>
      </w:r>
      <w:r w:rsidR="00DD1E53" w:rsidRPr="00FF207E">
        <w:rPr>
          <w:lang w:val="sl-SI"/>
        </w:rPr>
        <w:t xml:space="preserve">programa </w:t>
      </w:r>
      <w:r w:rsidRPr="00FF207E">
        <w:rPr>
          <w:lang w:val="sl-SI"/>
        </w:rPr>
        <w:t>ZERO500</w:t>
      </w:r>
      <w:r w:rsidR="00AA58A0" w:rsidRPr="00FF207E">
        <w:rPr>
          <w:lang w:val="sl-SI"/>
        </w:rPr>
        <w:t xml:space="preserve"> </w:t>
      </w:r>
      <w:r w:rsidR="004F1555" w:rsidRPr="00FF207E">
        <w:rPr>
          <w:lang w:val="sl-SI"/>
        </w:rPr>
        <w:t>in</w:t>
      </w:r>
      <w:r w:rsidRPr="00FF207E">
        <w:rPr>
          <w:lang w:val="sl-SI"/>
        </w:rPr>
        <w:t xml:space="preserve"> starost stavbnega fonda v regiji.</w:t>
      </w:r>
    </w:p>
    <w:p w14:paraId="1033A0B6" w14:textId="30844795" w:rsidR="00282EBB" w:rsidRPr="00FF207E" w:rsidRDefault="00282EBB" w:rsidP="001E304B">
      <w:pPr>
        <w:pStyle w:val="Table"/>
        <w:jc w:val="both"/>
      </w:pPr>
      <w:bookmarkStart w:id="43" w:name="_Ref136010301"/>
      <w:bookmarkStart w:id="44" w:name="_Ref136010293"/>
      <w:bookmarkStart w:id="45" w:name="_Toc138161834"/>
      <w:r w:rsidRPr="00FF207E">
        <w:t xml:space="preserve">Tabela </w:t>
      </w:r>
      <w:r w:rsidR="005428A9" w:rsidRPr="00FF207E">
        <w:fldChar w:fldCharType="begin"/>
      </w:r>
      <w:r w:rsidR="005428A9" w:rsidRPr="00FF207E">
        <w:instrText xml:space="preserve"> SEQ Tabela \* ARABIC </w:instrText>
      </w:r>
      <w:r w:rsidR="005428A9" w:rsidRPr="00FF207E">
        <w:fldChar w:fldCharType="separate"/>
      </w:r>
      <w:r w:rsidR="00F37FD1" w:rsidRPr="00FF207E">
        <w:t>4</w:t>
      </w:r>
      <w:r w:rsidR="005428A9" w:rsidRPr="00FF207E">
        <w:fldChar w:fldCharType="end"/>
      </w:r>
      <w:bookmarkEnd w:id="43"/>
      <w:r w:rsidRPr="00FF207E">
        <w:t>:</w:t>
      </w:r>
      <w:r w:rsidRPr="00FF207E">
        <w:tab/>
        <w:t>Pregled kazalnikov, uporabljenih za izbor pilotne regije</w:t>
      </w:r>
      <w:bookmarkEnd w:id="44"/>
      <w:bookmarkEnd w:id="45"/>
    </w:p>
    <w:tbl>
      <w:tblPr>
        <w:tblStyle w:val="Tabelamrea"/>
        <w:tblW w:w="9319" w:type="dxa"/>
        <w:tblLook w:val="04A0" w:firstRow="1" w:lastRow="0" w:firstColumn="1" w:lastColumn="0" w:noHBand="0" w:noVBand="1"/>
      </w:tblPr>
      <w:tblGrid>
        <w:gridCol w:w="2689"/>
        <w:gridCol w:w="6630"/>
      </w:tblGrid>
      <w:tr w:rsidR="00282EBB" w:rsidRPr="00FF207E" w14:paraId="0640D1DF" w14:textId="77777777" w:rsidTr="00281B6F">
        <w:tc>
          <w:tcPr>
            <w:tcW w:w="2689" w:type="dxa"/>
            <w:tcBorders>
              <w:top w:val="nil"/>
              <w:left w:val="nil"/>
              <w:bottom w:val="nil"/>
              <w:right w:val="single" w:sz="4" w:space="0" w:color="548DD4" w:themeColor="text2" w:themeTint="99"/>
            </w:tcBorders>
            <w:shd w:val="clear" w:color="auto" w:fill="548DD4" w:themeFill="text2" w:themeFillTint="99"/>
            <w:vAlign w:val="center"/>
          </w:tcPr>
          <w:p w14:paraId="7FB04C88" w14:textId="480991DB" w:rsidR="00282EBB" w:rsidRPr="00FF207E" w:rsidRDefault="00282EBB" w:rsidP="001E304B">
            <w:pPr>
              <w:spacing w:before="40" w:after="40"/>
              <w:jc w:val="both"/>
              <w:rPr>
                <w:rFonts w:cs="Arial"/>
                <w:b/>
                <w:color w:val="FFFFFF" w:themeColor="background1"/>
                <w:lang w:val="sl-SI"/>
              </w:rPr>
            </w:pPr>
            <w:r w:rsidRPr="00FF207E">
              <w:rPr>
                <w:rFonts w:cs="Arial"/>
                <w:b/>
                <w:color w:val="FFFFFF" w:themeColor="background1"/>
                <w:lang w:val="sl-SI"/>
              </w:rPr>
              <w:t>Kazal</w:t>
            </w:r>
            <w:r w:rsidR="00EB5576" w:rsidRPr="00FF207E">
              <w:rPr>
                <w:rFonts w:cs="Arial"/>
                <w:b/>
                <w:color w:val="FFFFFF" w:themeColor="background1"/>
                <w:lang w:val="sl-SI"/>
              </w:rPr>
              <w:t>nik</w:t>
            </w:r>
          </w:p>
        </w:tc>
        <w:tc>
          <w:tcPr>
            <w:tcW w:w="6630" w:type="dxa"/>
            <w:tcBorders>
              <w:top w:val="nil"/>
              <w:left w:val="single" w:sz="4" w:space="0" w:color="548DD4" w:themeColor="text2" w:themeTint="99"/>
              <w:bottom w:val="nil"/>
              <w:right w:val="nil"/>
            </w:tcBorders>
            <w:shd w:val="clear" w:color="auto" w:fill="548DD4" w:themeFill="text2" w:themeFillTint="99"/>
          </w:tcPr>
          <w:p w14:paraId="2974F0A6" w14:textId="77777777" w:rsidR="00282EBB" w:rsidRPr="00FF207E" w:rsidRDefault="00282EBB" w:rsidP="001E304B">
            <w:pPr>
              <w:pStyle w:val="Naslov5"/>
              <w:jc w:val="both"/>
            </w:pPr>
            <w:r w:rsidRPr="00FF207E">
              <w:t>Pojasnilo in vir</w:t>
            </w:r>
          </w:p>
        </w:tc>
      </w:tr>
      <w:tr w:rsidR="00282EBB" w:rsidRPr="00FF207E" w14:paraId="0526B05B" w14:textId="77777777" w:rsidTr="00281B6F">
        <w:tc>
          <w:tcPr>
            <w:tcW w:w="9319" w:type="dxa"/>
            <w:gridSpan w:val="2"/>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7FC00903" w14:textId="77777777" w:rsidR="00282EBB" w:rsidRPr="00FF207E" w:rsidRDefault="00282EBB" w:rsidP="001E304B">
            <w:pPr>
              <w:spacing w:before="60" w:after="60" w:line="240" w:lineRule="atLeast"/>
              <w:jc w:val="both"/>
              <w:rPr>
                <w:rFonts w:cs="Arial"/>
                <w:b/>
                <w:szCs w:val="22"/>
                <w:lang w:val="sl-SI"/>
              </w:rPr>
            </w:pPr>
            <w:r w:rsidRPr="00FF207E">
              <w:rPr>
                <w:rFonts w:cs="Arial"/>
                <w:b/>
                <w:szCs w:val="22"/>
                <w:lang w:val="sl-SI"/>
              </w:rPr>
              <w:t>Razvitost regije</w:t>
            </w:r>
          </w:p>
        </w:tc>
      </w:tr>
      <w:tr w:rsidR="00282EBB" w:rsidRPr="00FF207E" w14:paraId="2A67A177" w14:textId="77777777" w:rsidTr="00281B6F">
        <w:tc>
          <w:tcPr>
            <w:tcW w:w="2689" w:type="dxa"/>
            <w:tcBorders>
              <w:top w:val="nil"/>
              <w:left w:val="nil"/>
              <w:bottom w:val="single" w:sz="4" w:space="0" w:color="548DD4" w:themeColor="text2" w:themeTint="99"/>
              <w:right w:val="single" w:sz="4" w:space="0" w:color="548DD4" w:themeColor="text2" w:themeTint="99"/>
            </w:tcBorders>
          </w:tcPr>
          <w:p w14:paraId="384834B4" w14:textId="6347280E" w:rsidR="00282EBB" w:rsidRPr="00FF207E" w:rsidRDefault="00282EBB" w:rsidP="001E304B">
            <w:pPr>
              <w:spacing w:line="240" w:lineRule="atLeast"/>
              <w:jc w:val="both"/>
              <w:rPr>
                <w:rFonts w:cs="Arial"/>
                <w:spacing w:val="-4"/>
                <w:sz w:val="20"/>
                <w:szCs w:val="20"/>
                <w:lang w:val="sl-SI"/>
              </w:rPr>
            </w:pPr>
            <w:r w:rsidRPr="00FF207E">
              <w:rPr>
                <w:rFonts w:cs="Arial"/>
                <w:sz w:val="20"/>
                <w:szCs w:val="20"/>
                <w:lang w:val="sl-SI"/>
              </w:rPr>
              <w:t>Delež energetsko revnih gospodinjstev v regiji</w:t>
            </w:r>
          </w:p>
        </w:tc>
        <w:tc>
          <w:tcPr>
            <w:tcW w:w="6630" w:type="dxa"/>
            <w:tcBorders>
              <w:top w:val="nil"/>
              <w:left w:val="single" w:sz="4" w:space="0" w:color="548DD4" w:themeColor="text2" w:themeTint="99"/>
              <w:bottom w:val="single" w:sz="4" w:space="0" w:color="548DD4" w:themeColor="text2" w:themeTint="99"/>
              <w:right w:val="nil"/>
            </w:tcBorders>
          </w:tcPr>
          <w:p w14:paraId="5C485EE5" w14:textId="2B6A498C" w:rsidR="00BD436A" w:rsidRPr="00FF207E" w:rsidRDefault="00BD436A" w:rsidP="001E304B">
            <w:pPr>
              <w:spacing w:line="240" w:lineRule="atLeast"/>
              <w:jc w:val="both"/>
              <w:rPr>
                <w:sz w:val="20"/>
                <w:szCs w:val="20"/>
                <w:lang w:val="sl-SI"/>
              </w:rPr>
            </w:pPr>
            <w:r w:rsidRPr="00FF207E">
              <w:rPr>
                <w:sz w:val="20"/>
                <w:szCs w:val="20"/>
                <w:lang w:val="sl-SI"/>
              </w:rPr>
              <w:t>Podatek o deležu energetsko revnih gospodinjstev se vzame za zadnje razpoložljivo leto. Višja vrednost prinaša več točk.</w:t>
            </w:r>
          </w:p>
          <w:p w14:paraId="451AA639" w14:textId="6B90B8DA" w:rsidR="00282EBB" w:rsidRPr="00FF207E" w:rsidRDefault="00282EBB" w:rsidP="001E304B">
            <w:pPr>
              <w:spacing w:before="60" w:line="240" w:lineRule="atLeast"/>
              <w:jc w:val="both"/>
              <w:rPr>
                <w:rFonts w:cs="Arial"/>
                <w:sz w:val="20"/>
                <w:szCs w:val="20"/>
                <w:lang w:val="sl-SI"/>
              </w:rPr>
            </w:pPr>
            <w:r w:rsidRPr="00FF207E">
              <w:rPr>
                <w:sz w:val="20"/>
                <w:szCs w:val="20"/>
                <w:lang w:val="sl-SI"/>
              </w:rPr>
              <w:t xml:space="preserve">Vir: </w:t>
            </w:r>
            <w:hyperlink r:id="rId10" w:history="1">
              <w:r w:rsidRPr="00FF207E">
                <w:rPr>
                  <w:rStyle w:val="Hiperpovezava"/>
                  <w:rFonts w:eastAsiaTheme="majorEastAsia"/>
                  <w:sz w:val="20"/>
                  <w:szCs w:val="20"/>
                  <w:lang w:val="sl-SI"/>
                </w:rPr>
                <w:t>https://pxweb.stat.si/SiStatData/pxweb/sl/Data/Data/0886704S.px/</w:t>
              </w:r>
            </w:hyperlink>
            <w:r w:rsidR="00751D1E" w:rsidRPr="00FF207E">
              <w:rPr>
                <w:rStyle w:val="Hiperpovezava"/>
                <w:rFonts w:eastAsiaTheme="majorEastAsia"/>
                <w:sz w:val="20"/>
                <w:szCs w:val="20"/>
                <w:lang w:val="sl-SI"/>
              </w:rPr>
              <w:t>.</w:t>
            </w:r>
          </w:p>
        </w:tc>
      </w:tr>
      <w:tr w:rsidR="00282EBB" w:rsidRPr="00FF207E" w14:paraId="328F7A06" w14:textId="77777777" w:rsidTr="00281B6F">
        <w:tc>
          <w:tcPr>
            <w:tcW w:w="2689"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64AA1404" w14:textId="6C6AE361" w:rsidR="00282EBB" w:rsidRPr="00FF207E" w:rsidRDefault="00282EBB" w:rsidP="001E304B">
            <w:pPr>
              <w:spacing w:line="240" w:lineRule="atLeast"/>
              <w:jc w:val="both"/>
              <w:rPr>
                <w:rFonts w:cs="Arial"/>
                <w:sz w:val="20"/>
                <w:szCs w:val="20"/>
                <w:lang w:val="sl-SI"/>
              </w:rPr>
            </w:pPr>
            <w:r w:rsidRPr="00FF207E">
              <w:rPr>
                <w:rFonts w:cs="Arial"/>
                <w:sz w:val="20"/>
                <w:szCs w:val="20"/>
                <w:lang w:val="sl-SI"/>
              </w:rPr>
              <w:t>Sprememba kazalnika delež energetsko revnih gospodinjstev v regiji</w:t>
            </w:r>
          </w:p>
        </w:tc>
        <w:tc>
          <w:tcPr>
            <w:tcW w:w="663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7F8294CF" w14:textId="5BA1FF04" w:rsidR="00BD436A" w:rsidRPr="00FF207E" w:rsidRDefault="00BD436A" w:rsidP="001E304B">
            <w:pPr>
              <w:spacing w:line="240" w:lineRule="atLeast"/>
              <w:jc w:val="both"/>
              <w:rPr>
                <w:rFonts w:cs="Arial"/>
                <w:sz w:val="20"/>
                <w:szCs w:val="20"/>
                <w:lang w:val="sl-SI"/>
              </w:rPr>
            </w:pPr>
            <w:r w:rsidRPr="00FF207E">
              <w:rPr>
                <w:rFonts w:cs="Arial"/>
                <w:sz w:val="20"/>
                <w:szCs w:val="20"/>
                <w:lang w:val="sl-SI"/>
              </w:rPr>
              <w:t xml:space="preserve">V letu 2022 se je spremenila metodologija merjenja energetske revščine. </w:t>
            </w:r>
            <w:r w:rsidR="00970083" w:rsidRPr="00FF207E">
              <w:rPr>
                <w:rFonts w:cs="Arial"/>
                <w:sz w:val="20"/>
                <w:szCs w:val="20"/>
                <w:lang w:val="sl-SI"/>
              </w:rPr>
              <w:t>S kazalnikom se zato preveri</w:t>
            </w:r>
            <w:r w:rsidR="00101107" w:rsidRPr="00FF207E">
              <w:rPr>
                <w:rFonts w:cs="Arial"/>
                <w:sz w:val="20"/>
                <w:szCs w:val="20"/>
                <w:lang w:val="sl-SI"/>
              </w:rPr>
              <w:t>,</w:t>
            </w:r>
            <w:r w:rsidR="00970083" w:rsidRPr="00FF207E">
              <w:rPr>
                <w:rFonts w:cs="Arial"/>
                <w:sz w:val="20"/>
                <w:szCs w:val="20"/>
                <w:lang w:val="sl-SI"/>
              </w:rPr>
              <w:t xml:space="preserve"> za koliko (v </w:t>
            </w:r>
            <w:r w:rsidR="00101107" w:rsidRPr="00FF207E">
              <w:rPr>
                <w:rFonts w:cs="Arial"/>
                <w:sz w:val="20"/>
                <w:szCs w:val="20"/>
                <w:lang w:val="sl-SI"/>
              </w:rPr>
              <w:t>odstotkih</w:t>
            </w:r>
            <w:r w:rsidR="00970083" w:rsidRPr="00FF207E">
              <w:rPr>
                <w:rFonts w:cs="Arial"/>
                <w:sz w:val="20"/>
                <w:szCs w:val="20"/>
                <w:lang w:val="sl-SI"/>
              </w:rPr>
              <w:t>) se je energetska revščina v posamezni regiji spremenila leta 2021 v primerjavi z letom 2017.</w:t>
            </w:r>
            <w:r w:rsidRPr="00FF207E">
              <w:rPr>
                <w:rFonts w:cs="Arial"/>
                <w:sz w:val="20"/>
                <w:szCs w:val="20"/>
                <w:lang w:val="sl-SI"/>
              </w:rPr>
              <w:t>Višja vrednost prinaša več točk.</w:t>
            </w:r>
          </w:p>
          <w:p w14:paraId="481396DD" w14:textId="7EC6B647" w:rsidR="00282EBB" w:rsidRPr="00FF207E" w:rsidRDefault="00282EBB" w:rsidP="001E304B">
            <w:pPr>
              <w:spacing w:before="60" w:line="240" w:lineRule="atLeast"/>
              <w:jc w:val="both"/>
              <w:rPr>
                <w:rFonts w:cs="Arial"/>
                <w:sz w:val="20"/>
                <w:szCs w:val="20"/>
                <w:lang w:val="sl-SI"/>
              </w:rPr>
            </w:pPr>
            <w:r w:rsidRPr="00FF207E">
              <w:rPr>
                <w:rFonts w:cs="Arial"/>
                <w:sz w:val="20"/>
                <w:szCs w:val="20"/>
                <w:lang w:val="sl-SI"/>
              </w:rPr>
              <w:t xml:space="preserve">Vir: </w:t>
            </w:r>
            <w:hyperlink r:id="rId11" w:history="1">
              <w:r w:rsidRPr="00FF207E">
                <w:rPr>
                  <w:rStyle w:val="Hiperpovezava"/>
                  <w:rFonts w:eastAsiaTheme="majorEastAsia"/>
                  <w:sz w:val="20"/>
                  <w:szCs w:val="20"/>
                  <w:lang w:val="sl-SI"/>
                </w:rPr>
                <w:t>https://pxweb.stat.si/SiStatData/pxweb/sl/Data/Data/0886704S.px/</w:t>
              </w:r>
            </w:hyperlink>
            <w:r w:rsidR="00751D1E" w:rsidRPr="00FF207E">
              <w:rPr>
                <w:rStyle w:val="Hiperpovezava"/>
                <w:rFonts w:eastAsiaTheme="majorEastAsia"/>
                <w:sz w:val="20"/>
                <w:szCs w:val="20"/>
                <w:lang w:val="sl-SI"/>
              </w:rPr>
              <w:t>.</w:t>
            </w:r>
          </w:p>
        </w:tc>
      </w:tr>
      <w:tr w:rsidR="00282EBB" w:rsidRPr="00FF207E" w14:paraId="4CA65E03" w14:textId="77777777" w:rsidTr="00281B6F">
        <w:tc>
          <w:tcPr>
            <w:tcW w:w="2689"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4548F492" w14:textId="77777777" w:rsidR="00282EBB" w:rsidRPr="00FF207E" w:rsidRDefault="00282EBB" w:rsidP="001E304B">
            <w:pPr>
              <w:spacing w:line="240" w:lineRule="atLeast"/>
              <w:jc w:val="both"/>
              <w:rPr>
                <w:rFonts w:cs="Arial"/>
                <w:sz w:val="20"/>
                <w:szCs w:val="20"/>
                <w:lang w:val="sl-SI"/>
              </w:rPr>
            </w:pPr>
            <w:r w:rsidRPr="00FF207E">
              <w:rPr>
                <w:rFonts w:cs="Arial"/>
                <w:sz w:val="20"/>
                <w:szCs w:val="20"/>
                <w:lang w:val="sl-SI"/>
              </w:rPr>
              <w:t>Koeficient razvitosti regije</w:t>
            </w:r>
          </w:p>
        </w:tc>
        <w:tc>
          <w:tcPr>
            <w:tcW w:w="663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9510440" w14:textId="7E79E5AE" w:rsidR="006918A6" w:rsidRPr="00FF207E" w:rsidRDefault="006918A6" w:rsidP="001E304B">
            <w:pPr>
              <w:spacing w:line="240" w:lineRule="atLeast"/>
              <w:jc w:val="both"/>
              <w:rPr>
                <w:rFonts w:cs="Arial"/>
                <w:sz w:val="20"/>
                <w:szCs w:val="20"/>
                <w:lang w:val="sl-SI"/>
              </w:rPr>
            </w:pPr>
            <w:r w:rsidRPr="00FF207E">
              <w:rPr>
                <w:rFonts w:cs="Arial"/>
                <w:sz w:val="20"/>
                <w:szCs w:val="20"/>
                <w:lang w:val="sl-SI"/>
              </w:rPr>
              <w:t>Koeficient</w:t>
            </w:r>
            <w:r w:rsidR="00101107" w:rsidRPr="00FF207E">
              <w:rPr>
                <w:rFonts w:cs="Arial"/>
                <w:sz w:val="20"/>
                <w:szCs w:val="20"/>
                <w:lang w:val="sl-SI"/>
              </w:rPr>
              <w:t>i</w:t>
            </w:r>
            <w:r w:rsidRPr="00FF207E">
              <w:rPr>
                <w:rFonts w:cs="Arial"/>
                <w:sz w:val="20"/>
                <w:szCs w:val="20"/>
                <w:lang w:val="sl-SI"/>
              </w:rPr>
              <w:t xml:space="preserve"> razvitosti statističnih regij se izračuna</w:t>
            </w:r>
            <w:r w:rsidR="00101107" w:rsidRPr="00FF207E">
              <w:rPr>
                <w:rFonts w:cs="Arial"/>
                <w:sz w:val="20"/>
                <w:szCs w:val="20"/>
                <w:lang w:val="sl-SI"/>
              </w:rPr>
              <w:t>jo</w:t>
            </w:r>
            <w:r w:rsidRPr="00FF207E">
              <w:rPr>
                <w:rFonts w:cs="Arial"/>
                <w:sz w:val="20"/>
                <w:szCs w:val="20"/>
                <w:lang w:val="sl-SI"/>
              </w:rPr>
              <w:t xml:space="preserve"> na podlagi zadnjih razpoložljivih koeficientov razvitosti občin in števila prebivalcev v posamezni občini. Ker se občine po velikosti razlikujejo (</w:t>
            </w:r>
            <w:r w:rsidR="00B77973" w:rsidRPr="00FF207E">
              <w:rPr>
                <w:rFonts w:cs="Arial"/>
                <w:sz w:val="20"/>
                <w:szCs w:val="20"/>
                <w:lang w:val="sl-SI"/>
              </w:rPr>
              <w:t>to je</w:t>
            </w:r>
            <w:r w:rsidRPr="00FF207E">
              <w:rPr>
                <w:rFonts w:cs="Arial"/>
                <w:sz w:val="20"/>
                <w:szCs w:val="20"/>
                <w:lang w:val="sl-SI"/>
              </w:rPr>
              <w:t xml:space="preserve"> nekatere so zelo majhne in </w:t>
            </w:r>
            <w:r w:rsidR="00352753" w:rsidRPr="00FF207E">
              <w:rPr>
                <w:rFonts w:cs="Arial"/>
                <w:sz w:val="20"/>
                <w:szCs w:val="20"/>
                <w:lang w:val="sl-SI"/>
              </w:rPr>
              <w:t xml:space="preserve">zato </w:t>
            </w:r>
            <w:r w:rsidRPr="00FF207E">
              <w:rPr>
                <w:rFonts w:cs="Arial"/>
                <w:sz w:val="20"/>
                <w:szCs w:val="20"/>
                <w:lang w:val="sl-SI"/>
              </w:rPr>
              <w:t xml:space="preserve">niso primerljive z večjimi občinami), je podatke treba </w:t>
            </w:r>
            <w:proofErr w:type="spellStart"/>
            <w:r w:rsidRPr="00FF207E">
              <w:rPr>
                <w:rFonts w:cs="Arial"/>
                <w:sz w:val="20"/>
                <w:szCs w:val="20"/>
                <w:lang w:val="sl-SI"/>
              </w:rPr>
              <w:t>utežiti</w:t>
            </w:r>
            <w:proofErr w:type="spellEnd"/>
            <w:r w:rsidRPr="00FF207E">
              <w:rPr>
                <w:rFonts w:cs="Arial"/>
                <w:sz w:val="20"/>
                <w:szCs w:val="20"/>
                <w:lang w:val="sl-SI"/>
              </w:rPr>
              <w:t xml:space="preserve"> glede na število prebivalcev občine. To poteka v treh korakih: (1) utež se preračuna tako, da se število prebivalcev občine deli z vsoto vseh prebivalcev v regiji; (2) uteži se množi</w:t>
            </w:r>
            <w:r w:rsidR="00101107" w:rsidRPr="00FF207E">
              <w:rPr>
                <w:rFonts w:cs="Arial"/>
                <w:sz w:val="20"/>
                <w:szCs w:val="20"/>
                <w:lang w:val="sl-SI"/>
              </w:rPr>
              <w:t>jo</w:t>
            </w:r>
            <w:r w:rsidRPr="00FF207E">
              <w:rPr>
                <w:rFonts w:cs="Arial"/>
                <w:sz w:val="20"/>
                <w:szCs w:val="20"/>
                <w:lang w:val="sl-SI"/>
              </w:rPr>
              <w:t xml:space="preserve"> s koeficienti razvitosti občine; (3) sešteje</w:t>
            </w:r>
            <w:r w:rsidR="00101107" w:rsidRPr="00FF207E">
              <w:rPr>
                <w:rFonts w:cs="Arial"/>
                <w:sz w:val="20"/>
                <w:szCs w:val="20"/>
                <w:lang w:val="sl-SI"/>
              </w:rPr>
              <w:t>jo</w:t>
            </w:r>
            <w:r w:rsidRPr="00FF207E">
              <w:rPr>
                <w:rFonts w:cs="Arial"/>
                <w:sz w:val="20"/>
                <w:szCs w:val="20"/>
                <w:lang w:val="sl-SI"/>
              </w:rPr>
              <w:t xml:space="preserve"> se podatk</w:t>
            </w:r>
            <w:r w:rsidR="00101107" w:rsidRPr="00FF207E">
              <w:rPr>
                <w:rFonts w:cs="Arial"/>
                <w:sz w:val="20"/>
                <w:szCs w:val="20"/>
                <w:lang w:val="sl-SI"/>
              </w:rPr>
              <w:t>i</w:t>
            </w:r>
            <w:r w:rsidRPr="00FF207E">
              <w:rPr>
                <w:rFonts w:cs="Arial"/>
                <w:sz w:val="20"/>
                <w:szCs w:val="20"/>
                <w:lang w:val="sl-SI"/>
              </w:rPr>
              <w:t xml:space="preserve"> za občine, ki so v isti statistični regiji. Višja vrednost prinaša manj točk, saj je regija bolj razvita od drugih.</w:t>
            </w:r>
          </w:p>
          <w:p w14:paraId="71C23BAF" w14:textId="356DA984" w:rsidR="00BD436A" w:rsidRPr="00FF207E" w:rsidRDefault="006918A6" w:rsidP="001E304B">
            <w:pPr>
              <w:spacing w:before="60" w:line="240" w:lineRule="atLeast"/>
              <w:jc w:val="both"/>
              <w:rPr>
                <w:rFonts w:cs="Arial"/>
                <w:sz w:val="20"/>
                <w:szCs w:val="20"/>
                <w:lang w:val="sl-SI"/>
              </w:rPr>
            </w:pPr>
            <w:r w:rsidRPr="00FF207E">
              <w:rPr>
                <w:rFonts w:cs="Arial"/>
                <w:sz w:val="20"/>
                <w:szCs w:val="20"/>
                <w:lang w:val="sl-SI"/>
              </w:rPr>
              <w:t>Uporabijo se podatki (koeficient razvitosti občine), ki so bili na podlagi Uredbe o metodologiji za določitev razvitosti občin</w:t>
            </w:r>
            <w:r w:rsidRPr="00FF207E">
              <w:rPr>
                <w:rStyle w:val="Sprotnaopomba-sklic"/>
                <w:rFonts w:cs="Arial"/>
                <w:sz w:val="20"/>
                <w:szCs w:val="20"/>
                <w:lang w:val="sl-SI"/>
              </w:rPr>
              <w:footnoteReference w:id="19"/>
            </w:r>
            <w:r w:rsidR="009D5B36" w:rsidRPr="00FF207E">
              <w:rPr>
                <w:rFonts w:cs="Arial"/>
                <w:sz w:val="20"/>
                <w:szCs w:val="20"/>
                <w:lang w:val="sl-SI"/>
              </w:rPr>
              <w:t xml:space="preserve"> zadnji pripravljeni</w:t>
            </w:r>
            <w:r w:rsidRPr="00FF207E">
              <w:rPr>
                <w:rFonts w:cs="Arial"/>
                <w:sz w:val="20"/>
                <w:szCs w:val="20"/>
                <w:lang w:val="sl-SI"/>
              </w:rPr>
              <w:t>.</w:t>
            </w:r>
          </w:p>
          <w:p w14:paraId="6F23D4C4" w14:textId="7BCE9748" w:rsidR="00282EBB" w:rsidRPr="00FF207E" w:rsidRDefault="00282EBB" w:rsidP="001E304B">
            <w:pPr>
              <w:spacing w:before="60" w:line="240" w:lineRule="atLeast"/>
              <w:jc w:val="both"/>
              <w:rPr>
                <w:rFonts w:cs="Arial"/>
                <w:sz w:val="20"/>
                <w:szCs w:val="20"/>
                <w:lang w:val="sl-SI"/>
              </w:rPr>
            </w:pPr>
            <w:r w:rsidRPr="00FF207E">
              <w:rPr>
                <w:rFonts w:cs="Arial"/>
                <w:sz w:val="20"/>
                <w:szCs w:val="20"/>
                <w:lang w:val="sl-SI"/>
              </w:rPr>
              <w:t xml:space="preserve">Vir: </w:t>
            </w:r>
            <w:hyperlink r:id="rId12" w:history="1">
              <w:r w:rsidRPr="00FF207E">
                <w:rPr>
                  <w:rStyle w:val="Hiperpovezava"/>
                  <w:rFonts w:eastAsiaTheme="majorEastAsia"/>
                  <w:sz w:val="20"/>
                  <w:szCs w:val="20"/>
                  <w:lang w:val="sl-SI"/>
                </w:rPr>
                <w:t>https://www.gov.si/assets/ministrstva/MF/Proracun-direktorat/DP-SSFLS/Izracuni/Koeficienti-razvitosti/Koeficienti_razvitosti_obcin_in_odstorek_sofinanciranja-22-23-tabela.pdf</w:t>
              </w:r>
            </w:hyperlink>
            <w:r w:rsidR="00751D1E" w:rsidRPr="00FF207E">
              <w:rPr>
                <w:rStyle w:val="Hiperpovezava"/>
                <w:rFonts w:eastAsiaTheme="majorEastAsia"/>
                <w:sz w:val="20"/>
                <w:szCs w:val="20"/>
                <w:lang w:val="sl-SI"/>
              </w:rPr>
              <w:t>.</w:t>
            </w:r>
            <w:r w:rsidRPr="00FF207E">
              <w:rPr>
                <w:rStyle w:val="Hiperpovezava"/>
                <w:rFonts w:eastAsiaTheme="majorEastAsia"/>
                <w:sz w:val="20"/>
                <w:szCs w:val="20"/>
                <w:lang w:val="sl-SI"/>
              </w:rPr>
              <w:t xml:space="preserve"> </w:t>
            </w:r>
          </w:p>
        </w:tc>
      </w:tr>
      <w:tr w:rsidR="00282EBB" w:rsidRPr="00FF207E" w14:paraId="229E47ED" w14:textId="77777777" w:rsidTr="00281B6F">
        <w:tc>
          <w:tcPr>
            <w:tcW w:w="2689"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257167D7" w14:textId="7BBBFCC5" w:rsidR="00282EBB" w:rsidRPr="00FF207E" w:rsidRDefault="00282EBB" w:rsidP="001E304B">
            <w:pPr>
              <w:spacing w:line="240" w:lineRule="atLeast"/>
              <w:jc w:val="both"/>
              <w:rPr>
                <w:rFonts w:cs="Arial"/>
                <w:sz w:val="20"/>
                <w:szCs w:val="20"/>
                <w:lang w:val="sl-SI"/>
              </w:rPr>
            </w:pPr>
            <w:r w:rsidRPr="00FF207E">
              <w:rPr>
                <w:rFonts w:cs="Arial"/>
                <w:sz w:val="20"/>
                <w:szCs w:val="20"/>
                <w:lang w:val="sl-SI"/>
              </w:rPr>
              <w:lastRenderedPageBreak/>
              <w:t>Povprečni letni znesek socialnih transferjev na prebivalca po statističnih regijah</w:t>
            </w:r>
          </w:p>
        </w:tc>
        <w:tc>
          <w:tcPr>
            <w:tcW w:w="663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68550E7" w14:textId="3E1EF762" w:rsidR="00BD436A" w:rsidRPr="00FF207E" w:rsidRDefault="00BD436A" w:rsidP="001E304B">
            <w:pPr>
              <w:spacing w:line="240" w:lineRule="atLeast"/>
              <w:jc w:val="both"/>
              <w:rPr>
                <w:rFonts w:cs="Arial"/>
                <w:sz w:val="20"/>
                <w:szCs w:val="20"/>
                <w:lang w:val="sl-SI"/>
              </w:rPr>
            </w:pPr>
            <w:r w:rsidRPr="00FF207E">
              <w:rPr>
                <w:rFonts w:cs="Arial"/>
                <w:sz w:val="20"/>
                <w:szCs w:val="20"/>
                <w:lang w:val="sl-SI"/>
              </w:rPr>
              <w:t>Iz zadnjega poročila o socialnih transferjih, ki jih pripravlja MDDSZ, se za preteklo leto vzame povprečni letni znesek socialnih transferjev na prebivalca v milijonih evrov.</w:t>
            </w:r>
            <w:r w:rsidRPr="00FF207E">
              <w:rPr>
                <w:sz w:val="20"/>
                <w:szCs w:val="20"/>
                <w:lang w:val="sl-SI"/>
              </w:rPr>
              <w:t xml:space="preserve"> </w:t>
            </w:r>
            <w:r w:rsidRPr="00FF207E">
              <w:rPr>
                <w:rFonts w:cs="Arial"/>
                <w:sz w:val="20"/>
                <w:szCs w:val="20"/>
                <w:lang w:val="sl-SI"/>
              </w:rPr>
              <w:t>Višja vrednost prinaša več točk.</w:t>
            </w:r>
          </w:p>
          <w:p w14:paraId="0AA97947" w14:textId="3F8EA249" w:rsidR="00282EBB" w:rsidRPr="00FF207E" w:rsidRDefault="00282EBB" w:rsidP="001E304B">
            <w:pPr>
              <w:spacing w:before="60" w:line="240" w:lineRule="atLeast"/>
              <w:jc w:val="both"/>
              <w:rPr>
                <w:rFonts w:cs="Arial"/>
                <w:sz w:val="20"/>
                <w:szCs w:val="20"/>
                <w:lang w:val="sl-SI"/>
              </w:rPr>
            </w:pPr>
            <w:r w:rsidRPr="00FF207E">
              <w:rPr>
                <w:rFonts w:cs="Arial"/>
                <w:sz w:val="20"/>
                <w:szCs w:val="20"/>
                <w:lang w:val="sl-SI"/>
              </w:rPr>
              <w:t xml:space="preserve">Vir: </w:t>
            </w:r>
            <w:hyperlink r:id="rId13" w:history="1">
              <w:r w:rsidRPr="00FF207E">
                <w:rPr>
                  <w:rStyle w:val="Hiperpovezava"/>
                  <w:rFonts w:cs="Arial"/>
                  <w:sz w:val="20"/>
                  <w:szCs w:val="20"/>
                  <w:lang w:val="sl-SI"/>
                </w:rPr>
                <w:t>https://www.gov.si/drzavni-organi/ministrstva/ministrstvo-za-delo-druzino-socialne-zadeve-in-enake-moznosti/o-ministrstvu/sluzba-za-analize-in-razvoj/</w:t>
              </w:r>
            </w:hyperlink>
            <w:r w:rsidR="00751D1E" w:rsidRPr="00FF207E">
              <w:rPr>
                <w:rStyle w:val="Hiperpovezava"/>
                <w:rFonts w:cs="Arial"/>
                <w:sz w:val="20"/>
                <w:szCs w:val="20"/>
                <w:lang w:val="sl-SI"/>
              </w:rPr>
              <w:t>.</w:t>
            </w:r>
            <w:r w:rsidRPr="00FF207E">
              <w:rPr>
                <w:rFonts w:cs="Arial"/>
                <w:sz w:val="20"/>
                <w:szCs w:val="20"/>
                <w:lang w:val="sl-SI"/>
              </w:rPr>
              <w:t xml:space="preserve"> </w:t>
            </w:r>
          </w:p>
        </w:tc>
      </w:tr>
      <w:tr w:rsidR="00282EBB" w:rsidRPr="00FF207E" w14:paraId="26F46265" w14:textId="77777777" w:rsidTr="00281B6F">
        <w:trPr>
          <w:trHeight w:val="481"/>
        </w:trPr>
        <w:tc>
          <w:tcPr>
            <w:tcW w:w="9319" w:type="dxa"/>
            <w:gridSpan w:val="2"/>
            <w:tcBorders>
              <w:top w:val="single" w:sz="4" w:space="0" w:color="548DD4" w:themeColor="text2" w:themeTint="99"/>
              <w:left w:val="nil"/>
              <w:bottom w:val="single" w:sz="4" w:space="0" w:color="548DD4" w:themeColor="text2" w:themeTint="99"/>
              <w:right w:val="nil"/>
            </w:tcBorders>
            <w:shd w:val="clear" w:color="auto" w:fill="C6D9F1" w:themeFill="text2" w:themeFillTint="33"/>
            <w:vAlign w:val="center"/>
          </w:tcPr>
          <w:p w14:paraId="2D3A0C3E" w14:textId="256D362E" w:rsidR="00282EBB" w:rsidRPr="00FF207E" w:rsidRDefault="003249EA" w:rsidP="001E304B">
            <w:pPr>
              <w:spacing w:line="240" w:lineRule="atLeast"/>
              <w:jc w:val="both"/>
              <w:rPr>
                <w:rFonts w:cs="Arial"/>
                <w:sz w:val="20"/>
                <w:szCs w:val="20"/>
                <w:lang w:val="sl-SI"/>
              </w:rPr>
            </w:pPr>
            <w:r w:rsidRPr="00FF207E">
              <w:rPr>
                <w:rFonts w:cs="Arial"/>
                <w:b/>
                <w:szCs w:val="22"/>
                <w:lang w:val="sl-SI"/>
              </w:rPr>
              <w:t xml:space="preserve">Dejavnost </w:t>
            </w:r>
            <w:r w:rsidR="00282EBB" w:rsidRPr="00FF207E">
              <w:rPr>
                <w:rFonts w:cs="Arial"/>
                <w:b/>
                <w:szCs w:val="22"/>
                <w:lang w:val="sl-SI"/>
              </w:rPr>
              <w:t>regije</w:t>
            </w:r>
          </w:p>
        </w:tc>
      </w:tr>
      <w:tr w:rsidR="00282EBB" w:rsidRPr="00FF207E" w14:paraId="64660206" w14:textId="77777777" w:rsidTr="00281B6F">
        <w:tc>
          <w:tcPr>
            <w:tcW w:w="2689"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086F7531" w14:textId="28F7CEBF" w:rsidR="00282EBB" w:rsidRPr="00FF207E" w:rsidRDefault="003249EA" w:rsidP="00097EB2">
            <w:pPr>
              <w:spacing w:line="240" w:lineRule="atLeast"/>
              <w:jc w:val="both"/>
              <w:rPr>
                <w:rFonts w:cs="Arial"/>
                <w:sz w:val="20"/>
                <w:szCs w:val="20"/>
                <w:lang w:val="sl-SI"/>
              </w:rPr>
            </w:pPr>
            <w:r w:rsidRPr="00FF207E">
              <w:rPr>
                <w:sz w:val="20"/>
                <w:szCs w:val="20"/>
                <w:lang w:val="sl-SI"/>
              </w:rPr>
              <w:t xml:space="preserve">Obravnavanje </w:t>
            </w:r>
            <w:r w:rsidR="00097EB2" w:rsidRPr="00FF207E">
              <w:rPr>
                <w:sz w:val="20"/>
                <w:szCs w:val="20"/>
                <w:lang w:val="sl-SI"/>
              </w:rPr>
              <w:t xml:space="preserve">energetske revščine </w:t>
            </w:r>
            <w:r w:rsidR="00282EBB" w:rsidRPr="00FF207E">
              <w:rPr>
                <w:sz w:val="20"/>
                <w:szCs w:val="20"/>
                <w:lang w:val="sl-SI"/>
              </w:rPr>
              <w:t>v Regionalnem razvojnem programu 2021</w:t>
            </w:r>
            <w:r w:rsidR="00EB5576" w:rsidRPr="00FF207E">
              <w:rPr>
                <w:rFonts w:cs="Arial"/>
                <w:sz w:val="20"/>
                <w:szCs w:val="20"/>
                <w:lang w:val="sl-SI"/>
              </w:rPr>
              <w:t>–</w:t>
            </w:r>
            <w:r w:rsidR="00282EBB" w:rsidRPr="00FF207E">
              <w:rPr>
                <w:sz w:val="20"/>
                <w:szCs w:val="20"/>
                <w:lang w:val="sl-SI"/>
              </w:rPr>
              <w:t>2027</w:t>
            </w:r>
          </w:p>
        </w:tc>
        <w:tc>
          <w:tcPr>
            <w:tcW w:w="6630"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14:paraId="4B0D2792" w14:textId="1878C8D0" w:rsidR="005674F1" w:rsidRPr="00FF207E" w:rsidRDefault="005674F1" w:rsidP="001E304B">
            <w:pPr>
              <w:spacing w:line="240" w:lineRule="atLeast"/>
              <w:jc w:val="both"/>
              <w:rPr>
                <w:sz w:val="20"/>
                <w:szCs w:val="20"/>
                <w:lang w:val="sl-SI"/>
              </w:rPr>
            </w:pPr>
            <w:r w:rsidRPr="00FF207E">
              <w:rPr>
                <w:sz w:val="20"/>
                <w:szCs w:val="20"/>
                <w:lang w:val="sl-SI"/>
              </w:rPr>
              <w:t>Regija omeni/prepozna problematiko energetske revščine v svojem razvojnem programu za obdobje 2021</w:t>
            </w:r>
            <w:r w:rsidRPr="00FF207E">
              <w:rPr>
                <w:rFonts w:cs="Arial"/>
                <w:sz w:val="20"/>
                <w:szCs w:val="20"/>
                <w:lang w:val="sl-SI"/>
              </w:rPr>
              <w:t>–</w:t>
            </w:r>
            <w:r w:rsidRPr="00FF207E">
              <w:rPr>
                <w:sz w:val="20"/>
                <w:szCs w:val="20"/>
                <w:lang w:val="sl-SI"/>
              </w:rPr>
              <w:t>2027</w:t>
            </w:r>
            <w:r w:rsidR="00CD667D" w:rsidRPr="00FF207E">
              <w:rPr>
                <w:sz w:val="20"/>
                <w:szCs w:val="20"/>
                <w:lang w:val="sl-SI"/>
              </w:rPr>
              <w:t xml:space="preserve"> (glej </w:t>
            </w:r>
            <w:hyperlink w:anchor="_Priloga_1:_" w:history="1">
              <w:r w:rsidR="00086058" w:rsidRPr="00FF207E">
                <w:rPr>
                  <w:rStyle w:val="Hiperpovezava"/>
                  <w:sz w:val="20"/>
                  <w:szCs w:val="20"/>
                  <w:lang w:val="sl-SI"/>
                </w:rPr>
                <w:t>p</w:t>
              </w:r>
              <w:r w:rsidR="00CD667D" w:rsidRPr="00FF207E">
                <w:rPr>
                  <w:rStyle w:val="Hiperpovezava"/>
                  <w:sz w:val="20"/>
                  <w:szCs w:val="20"/>
                  <w:lang w:val="sl-SI"/>
                </w:rPr>
                <w:t>rilog</w:t>
              </w:r>
              <w:r w:rsidR="00086058" w:rsidRPr="00FF207E">
                <w:rPr>
                  <w:rStyle w:val="Hiperpovezava"/>
                  <w:sz w:val="20"/>
                  <w:szCs w:val="20"/>
                  <w:lang w:val="sl-SI"/>
                </w:rPr>
                <w:t>o</w:t>
              </w:r>
              <w:r w:rsidR="00CD667D" w:rsidRPr="00FF207E">
                <w:rPr>
                  <w:rStyle w:val="Hiperpovezava"/>
                  <w:sz w:val="20"/>
                  <w:szCs w:val="20"/>
                  <w:lang w:val="sl-SI"/>
                </w:rPr>
                <w:t xml:space="preserve"> </w:t>
              </w:r>
              <w:r w:rsidR="00B65E4D" w:rsidRPr="00FF207E">
                <w:rPr>
                  <w:rStyle w:val="Hiperpovezava"/>
                  <w:sz w:val="20"/>
                  <w:szCs w:val="20"/>
                  <w:lang w:val="sl-SI"/>
                </w:rPr>
                <w:t>1</w:t>
              </w:r>
            </w:hyperlink>
            <w:r w:rsidR="00CD667D" w:rsidRPr="00FF207E">
              <w:rPr>
                <w:sz w:val="20"/>
                <w:szCs w:val="20"/>
                <w:lang w:val="sl-SI"/>
              </w:rPr>
              <w:t xml:space="preserve">, </w:t>
            </w:r>
            <w:r w:rsidR="00086058" w:rsidRPr="00FF207E">
              <w:rPr>
                <w:sz w:val="20"/>
                <w:szCs w:val="20"/>
                <w:lang w:val="sl-SI"/>
              </w:rPr>
              <w:t>t</w:t>
            </w:r>
            <w:r w:rsidR="00CD667D" w:rsidRPr="00FF207E">
              <w:rPr>
                <w:sz w:val="20"/>
                <w:szCs w:val="20"/>
                <w:lang w:val="sl-SI"/>
              </w:rPr>
              <w:t>abel</w:t>
            </w:r>
            <w:r w:rsidR="00086058" w:rsidRPr="00FF207E">
              <w:rPr>
                <w:sz w:val="20"/>
                <w:szCs w:val="20"/>
                <w:lang w:val="sl-SI"/>
              </w:rPr>
              <w:t>o</w:t>
            </w:r>
            <w:r w:rsidR="00CD667D" w:rsidRPr="00FF207E">
              <w:rPr>
                <w:sz w:val="20"/>
                <w:szCs w:val="20"/>
                <w:lang w:val="sl-SI"/>
              </w:rPr>
              <w:t xml:space="preserve"> 2)</w:t>
            </w:r>
            <w:r w:rsidR="00101107" w:rsidRPr="00FF207E">
              <w:rPr>
                <w:sz w:val="20"/>
                <w:szCs w:val="20"/>
                <w:lang w:val="sl-SI"/>
              </w:rPr>
              <w:t>.</w:t>
            </w:r>
            <w:r w:rsidR="00E9072E" w:rsidRPr="00FF207E">
              <w:rPr>
                <w:sz w:val="20"/>
                <w:szCs w:val="20"/>
                <w:lang w:val="sl-SI"/>
              </w:rPr>
              <w:t xml:space="preserve"> Merilo regiji prinese vse </w:t>
            </w:r>
            <w:r w:rsidR="00101107" w:rsidRPr="00FF207E">
              <w:rPr>
                <w:sz w:val="20"/>
                <w:szCs w:val="20"/>
                <w:lang w:val="sl-SI"/>
              </w:rPr>
              <w:t xml:space="preserve">točke </w:t>
            </w:r>
            <w:r w:rsidR="00E9072E" w:rsidRPr="00FF207E">
              <w:rPr>
                <w:sz w:val="20"/>
                <w:szCs w:val="20"/>
                <w:lang w:val="sl-SI"/>
              </w:rPr>
              <w:t xml:space="preserve">ali </w:t>
            </w:r>
            <w:r w:rsidR="00101107" w:rsidRPr="00FF207E">
              <w:rPr>
                <w:sz w:val="20"/>
                <w:szCs w:val="20"/>
                <w:lang w:val="sl-SI"/>
              </w:rPr>
              <w:t>nobene</w:t>
            </w:r>
            <w:r w:rsidR="00E9072E" w:rsidRPr="00FF207E">
              <w:rPr>
                <w:sz w:val="20"/>
                <w:szCs w:val="20"/>
                <w:lang w:val="sl-SI"/>
              </w:rPr>
              <w:t>.</w:t>
            </w:r>
          </w:p>
          <w:p w14:paraId="1EA61450" w14:textId="5DF4B18B" w:rsidR="00282EBB" w:rsidRPr="00FF207E" w:rsidRDefault="00282EBB" w:rsidP="001E304B">
            <w:pPr>
              <w:spacing w:before="60" w:line="240" w:lineRule="atLeast"/>
              <w:jc w:val="both"/>
              <w:rPr>
                <w:sz w:val="20"/>
                <w:szCs w:val="20"/>
                <w:lang w:val="sl-SI"/>
              </w:rPr>
            </w:pPr>
            <w:r w:rsidRPr="00FF207E">
              <w:rPr>
                <w:sz w:val="20"/>
                <w:szCs w:val="20"/>
                <w:lang w:val="sl-SI"/>
              </w:rPr>
              <w:t xml:space="preserve">Vir: </w:t>
            </w:r>
            <w:hyperlink r:id="rId14" w:history="1">
              <w:r w:rsidRPr="00FF207E">
                <w:rPr>
                  <w:rStyle w:val="Hiperpovezava"/>
                  <w:rFonts w:eastAsiaTheme="majorEastAsia" w:cs="Arial"/>
                  <w:sz w:val="20"/>
                  <w:szCs w:val="20"/>
                  <w:lang w:val="sl-SI"/>
                </w:rPr>
                <w:t>https://www.gov.si/teme/razvojne-regije/</w:t>
              </w:r>
            </w:hyperlink>
            <w:r w:rsidR="00751D1E" w:rsidRPr="00FF207E">
              <w:rPr>
                <w:rStyle w:val="Hiperpovezava"/>
                <w:rFonts w:eastAsiaTheme="majorEastAsia" w:cs="Arial"/>
                <w:sz w:val="20"/>
                <w:szCs w:val="20"/>
                <w:lang w:val="sl-SI"/>
              </w:rPr>
              <w:t>.</w:t>
            </w:r>
            <w:r w:rsidRPr="00FF207E">
              <w:rPr>
                <w:rFonts w:cs="Arial"/>
                <w:sz w:val="20"/>
                <w:szCs w:val="20"/>
                <w:lang w:val="sl-SI"/>
              </w:rPr>
              <w:t xml:space="preserve"> </w:t>
            </w:r>
          </w:p>
        </w:tc>
      </w:tr>
      <w:tr w:rsidR="00282EBB" w:rsidRPr="00FF207E" w14:paraId="0C4BE7C9" w14:textId="77777777" w:rsidTr="00281B6F">
        <w:tc>
          <w:tcPr>
            <w:tcW w:w="2689"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38688C87" w14:textId="6CDA4178" w:rsidR="00282EBB" w:rsidRPr="00FF207E" w:rsidRDefault="00282EBB" w:rsidP="001E304B">
            <w:pPr>
              <w:spacing w:line="240" w:lineRule="atLeast"/>
              <w:jc w:val="both"/>
              <w:rPr>
                <w:sz w:val="20"/>
                <w:szCs w:val="20"/>
                <w:lang w:val="sl-SI"/>
              </w:rPr>
            </w:pPr>
            <w:r w:rsidRPr="00FF207E">
              <w:rPr>
                <w:sz w:val="20"/>
                <w:szCs w:val="20"/>
                <w:lang w:val="sl-SI"/>
              </w:rPr>
              <w:t>Št</w:t>
            </w:r>
            <w:r w:rsidR="00EB5576" w:rsidRPr="00FF207E">
              <w:rPr>
                <w:sz w:val="20"/>
                <w:szCs w:val="20"/>
                <w:lang w:val="sl-SI"/>
              </w:rPr>
              <w:t>evilo</w:t>
            </w:r>
            <w:r w:rsidRPr="00FF207E">
              <w:rPr>
                <w:sz w:val="20"/>
                <w:szCs w:val="20"/>
                <w:lang w:val="sl-SI"/>
              </w:rPr>
              <w:t xml:space="preserve"> opravljenih prostovoljskih ur na področju socialne dejavnosti v regiji na prebivalca</w:t>
            </w:r>
          </w:p>
        </w:tc>
        <w:tc>
          <w:tcPr>
            <w:tcW w:w="6630"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14:paraId="5877A5D3" w14:textId="6CBCA42F" w:rsidR="001958D1" w:rsidRPr="00FF207E" w:rsidRDefault="001958D1" w:rsidP="001E304B">
            <w:pPr>
              <w:spacing w:line="240" w:lineRule="atLeast"/>
              <w:jc w:val="both"/>
              <w:rPr>
                <w:sz w:val="20"/>
                <w:szCs w:val="20"/>
                <w:lang w:val="sl-SI"/>
              </w:rPr>
            </w:pPr>
            <w:r w:rsidRPr="00FF207E">
              <w:rPr>
                <w:sz w:val="20"/>
                <w:szCs w:val="20"/>
                <w:lang w:val="sl-SI"/>
              </w:rPr>
              <w:t>Na podlagi zadnjega razpoložljivega skupnega poročila o prostovoljstvu v Sloveniji, ki ga pripravlja Ministrstvo za javno upravo</w:t>
            </w:r>
            <w:r w:rsidR="00CE5592" w:rsidRPr="00FF207E">
              <w:rPr>
                <w:sz w:val="20"/>
                <w:szCs w:val="20"/>
                <w:lang w:val="sl-SI"/>
              </w:rPr>
              <w:t xml:space="preserve"> Republike Slovenije</w:t>
            </w:r>
            <w:r w:rsidRPr="00FF207E">
              <w:rPr>
                <w:sz w:val="20"/>
                <w:szCs w:val="20"/>
                <w:lang w:val="sl-SI"/>
              </w:rPr>
              <w:t xml:space="preserve">, se število opravljenih prostovoljskih ur na področju socialne dejavnosti v regiji deli s številom prebivalcev v regiji. </w:t>
            </w:r>
            <w:r w:rsidR="00D331D7" w:rsidRPr="00FF207E">
              <w:rPr>
                <w:sz w:val="20"/>
                <w:szCs w:val="20"/>
                <w:lang w:val="sl-SI"/>
              </w:rPr>
              <w:t xml:space="preserve">Z merilom </w:t>
            </w:r>
            <w:r w:rsidRPr="00FF207E">
              <w:rPr>
                <w:sz w:val="20"/>
                <w:szCs w:val="20"/>
                <w:lang w:val="sl-SI"/>
              </w:rPr>
              <w:t>se ocenjuje pripravljenost lokalnega prebivalstva v regiji na izvajanje dejavnosti v okviru pilotnega projekta. Višja vrednost prinaša več točk.</w:t>
            </w:r>
          </w:p>
          <w:p w14:paraId="4A9D36CB" w14:textId="0F4C1856" w:rsidR="00282EBB" w:rsidRPr="00FF207E" w:rsidRDefault="00282EBB" w:rsidP="001E304B">
            <w:pPr>
              <w:spacing w:before="60" w:line="240" w:lineRule="atLeast"/>
              <w:jc w:val="both"/>
              <w:rPr>
                <w:sz w:val="20"/>
                <w:szCs w:val="20"/>
                <w:lang w:val="sl-SI"/>
              </w:rPr>
            </w:pPr>
            <w:r w:rsidRPr="00FF207E">
              <w:rPr>
                <w:sz w:val="20"/>
                <w:szCs w:val="20"/>
                <w:lang w:val="sl-SI"/>
              </w:rPr>
              <w:t xml:space="preserve">Vir: </w:t>
            </w:r>
            <w:hyperlink r:id="rId15" w:anchor="content" w:history="1">
              <w:r w:rsidRPr="00FF207E">
                <w:rPr>
                  <w:rStyle w:val="Hiperpovezava"/>
                  <w:sz w:val="20"/>
                  <w:szCs w:val="20"/>
                  <w:lang w:val="sl-SI"/>
                </w:rPr>
                <w:t>https://www.gov.si/teme/prostovoljstvo/#content</w:t>
              </w:r>
            </w:hyperlink>
            <w:r w:rsidR="00751D1E" w:rsidRPr="00FF207E">
              <w:rPr>
                <w:rStyle w:val="Hiperpovezava"/>
                <w:sz w:val="20"/>
                <w:szCs w:val="20"/>
                <w:lang w:val="sl-SI"/>
              </w:rPr>
              <w:t>.</w:t>
            </w:r>
            <w:r w:rsidRPr="00FF207E">
              <w:rPr>
                <w:sz w:val="20"/>
                <w:szCs w:val="20"/>
                <w:lang w:val="sl-SI"/>
              </w:rPr>
              <w:t xml:space="preserve"> </w:t>
            </w:r>
          </w:p>
        </w:tc>
      </w:tr>
      <w:tr w:rsidR="00282EBB" w:rsidRPr="00FF207E" w14:paraId="171271A3" w14:textId="77777777" w:rsidTr="00281B6F">
        <w:tc>
          <w:tcPr>
            <w:tcW w:w="2689"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5707BBEC" w14:textId="7AAD8EDF" w:rsidR="00282EBB" w:rsidRPr="00FF207E" w:rsidRDefault="001958D1" w:rsidP="001E304B">
            <w:pPr>
              <w:spacing w:line="240" w:lineRule="atLeast"/>
              <w:jc w:val="both"/>
              <w:rPr>
                <w:sz w:val="20"/>
                <w:szCs w:val="20"/>
                <w:lang w:val="sl-SI"/>
              </w:rPr>
            </w:pPr>
            <w:r w:rsidRPr="00FF207E">
              <w:rPr>
                <w:sz w:val="20"/>
                <w:szCs w:val="20"/>
                <w:lang w:val="sl-SI"/>
              </w:rPr>
              <w:t>Š</w:t>
            </w:r>
            <w:r w:rsidR="00282EBB" w:rsidRPr="00FF207E">
              <w:rPr>
                <w:sz w:val="20"/>
                <w:szCs w:val="20"/>
                <w:lang w:val="sl-SI"/>
              </w:rPr>
              <w:t>tevilo uspešnih vlog programa ZERO500 na regijo na prebivalca</w:t>
            </w:r>
          </w:p>
        </w:tc>
        <w:tc>
          <w:tcPr>
            <w:tcW w:w="6630"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14:paraId="25BD3A4D" w14:textId="1BF38A00" w:rsidR="001958D1" w:rsidRPr="00FF207E" w:rsidRDefault="001958D1" w:rsidP="001E304B">
            <w:pPr>
              <w:spacing w:line="240" w:lineRule="atLeast"/>
              <w:jc w:val="both"/>
              <w:rPr>
                <w:sz w:val="20"/>
                <w:szCs w:val="20"/>
                <w:lang w:val="sl-SI"/>
              </w:rPr>
            </w:pPr>
            <w:r w:rsidRPr="00FF207E">
              <w:rPr>
                <w:sz w:val="20"/>
                <w:szCs w:val="20"/>
                <w:lang w:val="sl-SI"/>
              </w:rPr>
              <w:t>Število uspešnih vlog (</w:t>
            </w:r>
            <w:r w:rsidR="00B77973" w:rsidRPr="00FF207E">
              <w:rPr>
                <w:sz w:val="20"/>
                <w:szCs w:val="20"/>
                <w:lang w:val="sl-SI"/>
              </w:rPr>
              <w:t>to je</w:t>
            </w:r>
            <w:r w:rsidRPr="00FF207E">
              <w:rPr>
                <w:sz w:val="20"/>
                <w:szCs w:val="20"/>
                <w:lang w:val="sl-SI"/>
              </w:rPr>
              <w:t xml:space="preserve"> vlog, na podlagi katerih so vlagatelji prejeli sredstva) v okviru programa ZERO500 se deli s številom prebivalcev v regiji. Višja vrednost prinaša več točk.</w:t>
            </w:r>
          </w:p>
          <w:p w14:paraId="73C992D2" w14:textId="46BDFD3A" w:rsidR="00282EBB" w:rsidRPr="00FF207E" w:rsidRDefault="00282EBB" w:rsidP="001E304B">
            <w:pPr>
              <w:spacing w:before="60" w:line="240" w:lineRule="atLeast"/>
              <w:jc w:val="both"/>
              <w:rPr>
                <w:rFonts w:cs="Arial"/>
                <w:sz w:val="20"/>
                <w:szCs w:val="20"/>
                <w:lang w:val="sl-SI"/>
              </w:rPr>
            </w:pPr>
            <w:r w:rsidRPr="00FF207E">
              <w:rPr>
                <w:rFonts w:cs="Arial"/>
                <w:sz w:val="20"/>
                <w:szCs w:val="20"/>
                <w:lang w:val="sl-SI"/>
              </w:rPr>
              <w:t xml:space="preserve">Vir: </w:t>
            </w:r>
            <w:r w:rsidR="00CD05D3" w:rsidRPr="00FF207E">
              <w:rPr>
                <w:rFonts w:cs="Arial"/>
                <w:sz w:val="20"/>
                <w:szCs w:val="20"/>
                <w:lang w:val="sl-SI"/>
              </w:rPr>
              <w:t>r</w:t>
            </w:r>
            <w:r w:rsidRPr="00FF207E">
              <w:rPr>
                <w:rFonts w:cs="Arial"/>
                <w:sz w:val="20"/>
                <w:szCs w:val="20"/>
                <w:lang w:val="sl-SI"/>
              </w:rPr>
              <w:t xml:space="preserve">ezultati </w:t>
            </w:r>
            <w:r w:rsidR="00CD05D3" w:rsidRPr="00FF207E">
              <w:rPr>
                <w:rFonts w:cs="Arial"/>
                <w:sz w:val="20"/>
                <w:szCs w:val="20"/>
                <w:lang w:val="sl-SI"/>
              </w:rPr>
              <w:t>programa</w:t>
            </w:r>
            <w:r w:rsidRPr="00FF207E">
              <w:rPr>
                <w:rFonts w:cs="Arial"/>
                <w:sz w:val="20"/>
                <w:szCs w:val="20"/>
                <w:lang w:val="sl-SI"/>
              </w:rPr>
              <w:t xml:space="preserve"> ZERO500, </w:t>
            </w:r>
            <w:proofErr w:type="spellStart"/>
            <w:r w:rsidRPr="00FF207E">
              <w:rPr>
                <w:rFonts w:cs="Arial"/>
                <w:sz w:val="20"/>
                <w:szCs w:val="20"/>
                <w:lang w:val="sl-SI"/>
              </w:rPr>
              <w:t>Eko</w:t>
            </w:r>
            <w:proofErr w:type="spellEnd"/>
            <w:r w:rsidRPr="00FF207E">
              <w:rPr>
                <w:rFonts w:cs="Arial"/>
                <w:sz w:val="20"/>
                <w:szCs w:val="20"/>
                <w:lang w:val="sl-SI"/>
              </w:rPr>
              <w:t xml:space="preserve"> sklad</w:t>
            </w:r>
            <w:r w:rsidR="00751D1E" w:rsidRPr="00FF207E">
              <w:rPr>
                <w:rFonts w:cs="Arial"/>
                <w:sz w:val="20"/>
                <w:szCs w:val="20"/>
                <w:lang w:val="sl-SI"/>
              </w:rPr>
              <w:t>.</w:t>
            </w:r>
          </w:p>
        </w:tc>
      </w:tr>
      <w:tr w:rsidR="00282EBB" w:rsidRPr="00FF207E" w14:paraId="39CECF4E" w14:textId="77777777" w:rsidTr="00281B6F">
        <w:tc>
          <w:tcPr>
            <w:tcW w:w="2689"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15AAAAED" w14:textId="77777777" w:rsidR="00282EBB" w:rsidRPr="00FF207E" w:rsidRDefault="00282EBB" w:rsidP="001E304B">
            <w:pPr>
              <w:spacing w:line="240" w:lineRule="atLeast"/>
              <w:jc w:val="both"/>
              <w:rPr>
                <w:rFonts w:cs="Arial"/>
                <w:sz w:val="20"/>
                <w:szCs w:val="20"/>
                <w:lang w:val="sl-SI"/>
              </w:rPr>
            </w:pPr>
            <w:r w:rsidRPr="00FF207E">
              <w:rPr>
                <w:sz w:val="20"/>
                <w:szCs w:val="20"/>
                <w:lang w:val="sl-SI"/>
              </w:rPr>
              <w:t>Starost stavbnega fonda v regiji glede na število prebivalcev</w:t>
            </w:r>
          </w:p>
        </w:tc>
        <w:tc>
          <w:tcPr>
            <w:tcW w:w="6630"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14:paraId="2B443393" w14:textId="6778511F" w:rsidR="001958D1" w:rsidRPr="00FF207E" w:rsidRDefault="00C521CC" w:rsidP="001E304B">
            <w:pPr>
              <w:spacing w:line="240" w:lineRule="atLeast"/>
              <w:jc w:val="both"/>
              <w:rPr>
                <w:sz w:val="20"/>
                <w:szCs w:val="20"/>
                <w:lang w:val="sl-SI"/>
              </w:rPr>
            </w:pPr>
            <w:r w:rsidRPr="00FF207E">
              <w:rPr>
                <w:sz w:val="20"/>
                <w:szCs w:val="20"/>
                <w:lang w:val="sl-SI"/>
              </w:rPr>
              <w:t xml:space="preserve">Kazalnik </w:t>
            </w:r>
            <w:r w:rsidR="00B65E4D" w:rsidRPr="00FF207E">
              <w:rPr>
                <w:sz w:val="20"/>
                <w:szCs w:val="20"/>
                <w:lang w:val="sl-SI"/>
              </w:rPr>
              <w:t xml:space="preserve">se pripravi na podlagi podatkov o starosti stavbne površine v posamezni regiji iz registra nepremičnin. Za stavbe, ki so bile zgrajene pred letom 2002 in bi </w:t>
            </w:r>
            <w:r w:rsidR="00E94394" w:rsidRPr="00FF207E">
              <w:rPr>
                <w:sz w:val="20"/>
                <w:szCs w:val="20"/>
                <w:lang w:val="sl-SI"/>
              </w:rPr>
              <w:t xml:space="preserve">jih </w:t>
            </w:r>
            <w:r w:rsidR="00B65E4D" w:rsidRPr="00FF207E">
              <w:rPr>
                <w:sz w:val="20"/>
                <w:szCs w:val="20"/>
                <w:lang w:val="sl-SI"/>
              </w:rPr>
              <w:t>bil</w:t>
            </w:r>
            <w:r w:rsidR="00E94394" w:rsidRPr="00FF207E">
              <w:rPr>
                <w:sz w:val="20"/>
                <w:szCs w:val="20"/>
                <w:lang w:val="sl-SI"/>
              </w:rPr>
              <w:t>o</w:t>
            </w:r>
            <w:r w:rsidR="00B65E4D" w:rsidRPr="00FF207E">
              <w:rPr>
                <w:sz w:val="20"/>
                <w:szCs w:val="20"/>
                <w:lang w:val="sl-SI"/>
              </w:rPr>
              <w:t xml:space="preserve"> </w:t>
            </w:r>
            <w:r w:rsidR="00352753" w:rsidRPr="00FF207E">
              <w:rPr>
                <w:sz w:val="20"/>
                <w:szCs w:val="20"/>
                <w:lang w:val="sl-SI"/>
              </w:rPr>
              <w:t xml:space="preserve">zato </w:t>
            </w:r>
            <w:r w:rsidR="00E94394" w:rsidRPr="00FF207E">
              <w:rPr>
                <w:sz w:val="20"/>
                <w:szCs w:val="20"/>
                <w:lang w:val="sl-SI"/>
              </w:rPr>
              <w:t>treba obnoviti</w:t>
            </w:r>
            <w:r w:rsidR="00B65E4D" w:rsidRPr="00FF207E">
              <w:rPr>
                <w:sz w:val="20"/>
                <w:szCs w:val="20"/>
                <w:lang w:val="sl-SI"/>
              </w:rPr>
              <w:t>, se upoštevajo podatki o površini stavb z razredi 1</w:t>
            </w:r>
            <w:r w:rsidR="00B65E4D" w:rsidRPr="00FF207E">
              <w:rPr>
                <w:rFonts w:cs="Arial"/>
                <w:sz w:val="20"/>
                <w:szCs w:val="20"/>
                <w:lang w:val="sl-SI"/>
              </w:rPr>
              <w:t>–</w:t>
            </w:r>
            <w:r w:rsidR="00B65E4D" w:rsidRPr="00FF207E">
              <w:rPr>
                <w:sz w:val="20"/>
                <w:szCs w:val="20"/>
                <w:lang w:val="sl-SI"/>
              </w:rPr>
              <w:t xml:space="preserve">4. Površina se deli s številom prebivalcev v regiji (glej </w:t>
            </w:r>
            <w:hyperlink w:anchor="_Priloga_1:_" w:history="1">
              <w:r w:rsidR="00086058" w:rsidRPr="00FF207E">
                <w:rPr>
                  <w:rStyle w:val="Hiperpovezava"/>
                  <w:sz w:val="20"/>
                  <w:szCs w:val="20"/>
                  <w:lang w:val="sl-SI"/>
                </w:rPr>
                <w:t>p</w:t>
              </w:r>
              <w:r w:rsidR="00B65E4D" w:rsidRPr="00FF207E">
                <w:rPr>
                  <w:rStyle w:val="Hiperpovezava"/>
                  <w:sz w:val="20"/>
                  <w:szCs w:val="20"/>
                  <w:lang w:val="sl-SI"/>
                </w:rPr>
                <w:t>rilog</w:t>
              </w:r>
              <w:r w:rsidR="00086058" w:rsidRPr="00FF207E">
                <w:rPr>
                  <w:rStyle w:val="Hiperpovezava"/>
                  <w:sz w:val="20"/>
                  <w:szCs w:val="20"/>
                  <w:lang w:val="sl-SI"/>
                </w:rPr>
                <w:t>o</w:t>
              </w:r>
              <w:r w:rsidR="00B65E4D" w:rsidRPr="00FF207E">
                <w:rPr>
                  <w:rStyle w:val="Hiperpovezava"/>
                  <w:sz w:val="20"/>
                  <w:szCs w:val="20"/>
                  <w:lang w:val="sl-SI"/>
                </w:rPr>
                <w:t xml:space="preserve"> 1</w:t>
              </w:r>
            </w:hyperlink>
            <w:r w:rsidR="00B65E4D" w:rsidRPr="00FF207E">
              <w:rPr>
                <w:sz w:val="20"/>
                <w:szCs w:val="20"/>
                <w:lang w:val="sl-SI"/>
              </w:rPr>
              <w:t xml:space="preserve">, </w:t>
            </w:r>
            <w:r w:rsidR="00086058" w:rsidRPr="00FF207E">
              <w:rPr>
                <w:sz w:val="20"/>
                <w:szCs w:val="20"/>
                <w:lang w:val="sl-SI"/>
              </w:rPr>
              <w:t>t</w:t>
            </w:r>
            <w:r w:rsidR="00B65E4D" w:rsidRPr="00FF207E">
              <w:rPr>
                <w:sz w:val="20"/>
                <w:szCs w:val="20"/>
                <w:lang w:val="sl-SI"/>
              </w:rPr>
              <w:t>abel</w:t>
            </w:r>
            <w:r w:rsidR="00086058" w:rsidRPr="00FF207E">
              <w:rPr>
                <w:sz w:val="20"/>
                <w:szCs w:val="20"/>
                <w:lang w:val="sl-SI"/>
              </w:rPr>
              <w:t>o</w:t>
            </w:r>
            <w:r w:rsidR="00B65E4D" w:rsidRPr="00FF207E">
              <w:rPr>
                <w:sz w:val="20"/>
                <w:szCs w:val="20"/>
                <w:lang w:val="sl-SI"/>
              </w:rPr>
              <w:t xml:space="preserve"> 3). Višja vrednost prinaša več točk.</w:t>
            </w:r>
          </w:p>
          <w:p w14:paraId="7AFC3D76" w14:textId="58A77515" w:rsidR="00282EBB" w:rsidRPr="00FF207E" w:rsidRDefault="00282EBB" w:rsidP="001E304B">
            <w:pPr>
              <w:spacing w:before="60" w:line="240" w:lineRule="atLeast"/>
              <w:jc w:val="both"/>
              <w:rPr>
                <w:rFonts w:cs="Arial"/>
                <w:sz w:val="20"/>
                <w:szCs w:val="20"/>
                <w:lang w:val="sl-SI"/>
              </w:rPr>
            </w:pPr>
            <w:r w:rsidRPr="00FF207E">
              <w:rPr>
                <w:rFonts w:cs="Arial"/>
                <w:sz w:val="20"/>
                <w:szCs w:val="20"/>
                <w:lang w:val="sl-SI"/>
              </w:rPr>
              <w:t xml:space="preserve">Vir: </w:t>
            </w:r>
            <w:r w:rsidR="00E10047" w:rsidRPr="00FF207E">
              <w:rPr>
                <w:rFonts w:cs="Arial"/>
                <w:sz w:val="20"/>
                <w:szCs w:val="20"/>
                <w:lang w:val="sl-SI"/>
              </w:rPr>
              <w:t>t</w:t>
            </w:r>
            <w:r w:rsidRPr="00FF207E">
              <w:rPr>
                <w:rFonts w:cs="Arial"/>
                <w:sz w:val="20"/>
                <w:szCs w:val="20"/>
                <w:lang w:val="sl-SI"/>
              </w:rPr>
              <w:t>oplotna karta IJS</w:t>
            </w:r>
            <w:r w:rsidR="00EB5576" w:rsidRPr="00FF207E">
              <w:rPr>
                <w:rFonts w:cs="Arial"/>
                <w:sz w:val="20"/>
                <w:szCs w:val="20"/>
                <w:lang w:val="sl-SI"/>
              </w:rPr>
              <w:t>-</w:t>
            </w:r>
            <w:r w:rsidRPr="00FF207E">
              <w:rPr>
                <w:rFonts w:cs="Arial"/>
                <w:sz w:val="20"/>
                <w:szCs w:val="20"/>
                <w:lang w:val="sl-SI"/>
              </w:rPr>
              <w:t>CEU</w:t>
            </w:r>
            <w:r w:rsidR="00751D1E" w:rsidRPr="00FF207E">
              <w:rPr>
                <w:rFonts w:cs="Arial"/>
                <w:sz w:val="20"/>
                <w:szCs w:val="20"/>
                <w:lang w:val="sl-SI"/>
              </w:rPr>
              <w:t>.</w:t>
            </w:r>
          </w:p>
        </w:tc>
      </w:tr>
    </w:tbl>
    <w:p w14:paraId="4DF3AB7E" w14:textId="3F022751" w:rsidR="00282EBB" w:rsidRPr="00FF207E" w:rsidRDefault="00282EBB" w:rsidP="001E304B">
      <w:pPr>
        <w:pStyle w:val="Naslov3"/>
        <w:jc w:val="both"/>
        <w:rPr>
          <w:lang w:val="sl-SI"/>
        </w:rPr>
      </w:pPr>
      <w:bookmarkStart w:id="46" w:name="_Toc151148785"/>
      <w:r w:rsidRPr="00FF207E">
        <w:rPr>
          <w:lang w:val="sl-SI"/>
        </w:rPr>
        <w:t>Postopek izbire pilotne regije in rezultati</w:t>
      </w:r>
      <w:bookmarkEnd w:id="46"/>
    </w:p>
    <w:p w14:paraId="3D1D5442" w14:textId="5ADD19C3" w:rsidR="00422EBE" w:rsidRPr="00FF207E" w:rsidRDefault="001958D1" w:rsidP="001E304B">
      <w:pPr>
        <w:spacing w:before="240" w:after="240"/>
        <w:jc w:val="both"/>
        <w:rPr>
          <w:lang w:val="sl-SI"/>
        </w:rPr>
      </w:pPr>
      <w:r w:rsidRPr="00FF207E">
        <w:rPr>
          <w:lang w:val="sl-SI"/>
        </w:rPr>
        <w:t xml:space="preserve">Izbor regije, primerne za izvedbo pilotnega projekta, se izvede v dveh korakih. V prvem koraku so regije razvrščene glede na število točk po </w:t>
      </w:r>
      <w:r w:rsidR="00D331D7" w:rsidRPr="00FF207E">
        <w:rPr>
          <w:lang w:val="sl-SI"/>
        </w:rPr>
        <w:t xml:space="preserve">merilih </w:t>
      </w:r>
      <w:r w:rsidRPr="00FF207E">
        <w:rPr>
          <w:lang w:val="sl-SI"/>
        </w:rPr>
        <w:t xml:space="preserve">razvitosti. Prvih pet regij se uvrsti v drugi krog, kjer so razvrščene glede na število točk po </w:t>
      </w:r>
      <w:r w:rsidR="00D331D7" w:rsidRPr="00FF207E">
        <w:rPr>
          <w:lang w:val="sl-SI"/>
        </w:rPr>
        <w:t xml:space="preserve">merilih </w:t>
      </w:r>
      <w:r w:rsidR="003249EA" w:rsidRPr="00FF207E">
        <w:rPr>
          <w:lang w:val="sl-SI"/>
        </w:rPr>
        <w:t>dejavnosti</w:t>
      </w:r>
      <w:r w:rsidRPr="00FF207E">
        <w:rPr>
          <w:lang w:val="sl-SI"/>
        </w:rPr>
        <w:t xml:space="preserve">. Za izvedbo pilotnega projekta, ki se bo vzporedno izvajal v dveh regijah, so primerne regije, ki po številu točk zasedajo prva tri mesta. Prednost pri izbiri imajo regije, ki spadajo pod kohezijsko regijo </w:t>
      </w:r>
      <w:r w:rsidR="009441D2" w:rsidRPr="00FF207E">
        <w:rPr>
          <w:lang w:val="sl-SI"/>
        </w:rPr>
        <w:t>v</w:t>
      </w:r>
      <w:r w:rsidRPr="00FF207E">
        <w:rPr>
          <w:lang w:val="sl-SI"/>
        </w:rPr>
        <w:t xml:space="preserve">zhodna Slovenija, saj ta na ravni EU </w:t>
      </w:r>
      <w:r w:rsidR="004963C7" w:rsidRPr="00FF207E">
        <w:rPr>
          <w:lang w:val="sl-SI"/>
        </w:rPr>
        <w:t xml:space="preserve">spada </w:t>
      </w:r>
      <w:r w:rsidRPr="00FF207E">
        <w:rPr>
          <w:lang w:val="sl-SI"/>
        </w:rPr>
        <w:t xml:space="preserve">v kategorijo manj razvitih regij in je </w:t>
      </w:r>
      <w:r w:rsidR="00352753" w:rsidRPr="00FF207E">
        <w:rPr>
          <w:lang w:val="sl-SI"/>
        </w:rPr>
        <w:t xml:space="preserve">zato </w:t>
      </w:r>
      <w:r w:rsidRPr="00FF207E">
        <w:rPr>
          <w:lang w:val="sl-SI"/>
        </w:rPr>
        <w:t>upravičena do večjega deleža kohezijskih sredstev.</w:t>
      </w:r>
    </w:p>
    <w:p w14:paraId="4C230577" w14:textId="6F323038" w:rsidR="001958D1" w:rsidRPr="00FF207E" w:rsidRDefault="001958D1" w:rsidP="001E304B">
      <w:pPr>
        <w:spacing w:before="240" w:after="240"/>
        <w:jc w:val="both"/>
        <w:rPr>
          <w:lang w:val="sl-SI"/>
        </w:rPr>
      </w:pPr>
      <w:r w:rsidRPr="00FF207E">
        <w:rPr>
          <w:lang w:val="sl-SI"/>
        </w:rPr>
        <w:t xml:space="preserve">Metodologija za izbiro pilotne regije je </w:t>
      </w:r>
      <w:r w:rsidR="00422EBE" w:rsidRPr="00FF207E">
        <w:rPr>
          <w:lang w:val="sl-SI"/>
        </w:rPr>
        <w:t>podrobneje</w:t>
      </w:r>
      <w:r w:rsidRPr="00FF207E">
        <w:rPr>
          <w:lang w:val="sl-SI"/>
        </w:rPr>
        <w:t xml:space="preserve"> predstavljena v </w:t>
      </w:r>
      <w:hyperlink w:anchor="_Priloga_1:_" w:history="1">
        <w:r w:rsidR="00297630" w:rsidRPr="00FF207E">
          <w:rPr>
            <w:rStyle w:val="Hiperpovezava"/>
            <w:lang w:val="sl-SI"/>
          </w:rPr>
          <w:t>p</w:t>
        </w:r>
        <w:r w:rsidRPr="00FF207E">
          <w:rPr>
            <w:rStyle w:val="Hiperpovezava"/>
            <w:lang w:val="sl-SI"/>
          </w:rPr>
          <w:t xml:space="preserve">rilogi </w:t>
        </w:r>
        <w:r w:rsidR="00422EBE" w:rsidRPr="00FF207E">
          <w:rPr>
            <w:rStyle w:val="Hiperpovezava"/>
            <w:lang w:val="sl-SI"/>
          </w:rPr>
          <w:t>1</w:t>
        </w:r>
      </w:hyperlink>
      <w:r w:rsidRPr="00FF207E">
        <w:rPr>
          <w:lang w:val="sl-SI"/>
        </w:rPr>
        <w:t>.</w:t>
      </w:r>
    </w:p>
    <w:p w14:paraId="0AEDCD98" w14:textId="77777777" w:rsidR="00160308" w:rsidRPr="00FF207E" w:rsidRDefault="00160308" w:rsidP="001E304B">
      <w:pPr>
        <w:jc w:val="both"/>
        <w:rPr>
          <w:lang w:val="sl-SI"/>
        </w:rPr>
      </w:pPr>
    </w:p>
    <w:p w14:paraId="51447BB5" w14:textId="37728775" w:rsidR="00160308" w:rsidRPr="00FF207E" w:rsidRDefault="00160308" w:rsidP="001E304B">
      <w:pPr>
        <w:pStyle w:val="Naslov2"/>
        <w:pageBreakBefore/>
        <w:jc w:val="both"/>
        <w:rPr>
          <w:lang w:val="sl-SI"/>
        </w:rPr>
      </w:pPr>
      <w:bookmarkStart w:id="47" w:name="_Ref135643131"/>
      <w:bookmarkStart w:id="48" w:name="_Toc151148786"/>
      <w:r w:rsidRPr="00FF207E">
        <w:rPr>
          <w:lang w:val="sl-SI"/>
        </w:rPr>
        <w:lastRenderedPageBreak/>
        <w:t>Vzpostavitev strukture za delovanje sheme za energetsko revščino</w:t>
      </w:r>
      <w:bookmarkEnd w:id="47"/>
      <w:bookmarkEnd w:id="48"/>
    </w:p>
    <w:p w14:paraId="08242F13" w14:textId="26354E1B" w:rsidR="00160308" w:rsidRPr="00FF207E" w:rsidRDefault="00FC7B7B" w:rsidP="001E304B">
      <w:pPr>
        <w:spacing w:after="240"/>
        <w:jc w:val="both"/>
        <w:rPr>
          <w:rFonts w:cs="Arial"/>
          <w:szCs w:val="22"/>
          <w:lang w:val="sl-SI"/>
        </w:rPr>
      </w:pPr>
      <w:r w:rsidRPr="00FF207E">
        <w:rPr>
          <w:rFonts w:cs="Arial"/>
          <w:szCs w:val="22"/>
          <w:lang w:val="sl-SI"/>
        </w:rPr>
        <w:t xml:space="preserve">Za celovito in dolgoročno usmerjeno izvajanje ukrepov za zmanjševanje energetske revščine je treba vzpostaviti ustrezno organizacijsko strukturo. Ta vključuje projektno pisarno z </w:t>
      </w:r>
      <w:r w:rsidR="00A60F48" w:rsidRPr="00FF207E">
        <w:rPr>
          <w:rFonts w:cs="Arial"/>
          <w:szCs w:val="22"/>
          <w:lang w:val="sl-SI"/>
        </w:rPr>
        <w:t>regionalnimi</w:t>
      </w:r>
      <w:r w:rsidRPr="00FF207E">
        <w:rPr>
          <w:rFonts w:cs="Arial"/>
          <w:szCs w:val="22"/>
          <w:lang w:val="sl-SI"/>
        </w:rPr>
        <w:t xml:space="preserve"> svetovaln</w:t>
      </w:r>
      <w:r w:rsidR="00A60F48" w:rsidRPr="00FF207E">
        <w:rPr>
          <w:rFonts w:cs="Arial"/>
          <w:szCs w:val="22"/>
          <w:lang w:val="sl-SI"/>
        </w:rPr>
        <w:t>imi</w:t>
      </w:r>
      <w:r w:rsidRPr="00FF207E">
        <w:rPr>
          <w:rFonts w:cs="Arial"/>
          <w:szCs w:val="22"/>
          <w:lang w:val="sl-SI"/>
        </w:rPr>
        <w:t xml:space="preserve"> </w:t>
      </w:r>
      <w:r w:rsidR="00A60F48" w:rsidRPr="00FF207E">
        <w:rPr>
          <w:rFonts w:cs="Arial"/>
          <w:szCs w:val="22"/>
          <w:lang w:val="sl-SI"/>
        </w:rPr>
        <w:t>točkami</w:t>
      </w:r>
      <w:r w:rsidRPr="00FF207E">
        <w:rPr>
          <w:rFonts w:cs="Arial"/>
          <w:szCs w:val="22"/>
          <w:lang w:val="sl-SI"/>
        </w:rPr>
        <w:t xml:space="preserve"> za energetsko revščino (poglavje </w:t>
      </w:r>
      <w:r w:rsidRPr="00FF207E">
        <w:rPr>
          <w:rFonts w:cs="Arial"/>
          <w:szCs w:val="22"/>
          <w:lang w:val="sl-SI"/>
        </w:rPr>
        <w:fldChar w:fldCharType="begin"/>
      </w:r>
      <w:r w:rsidRPr="00FF207E">
        <w:rPr>
          <w:rFonts w:cs="Arial"/>
          <w:szCs w:val="22"/>
          <w:lang w:val="sl-SI"/>
        </w:rPr>
        <w:instrText xml:space="preserve"> REF _Ref131498652 \r \h </w:instrText>
      </w:r>
      <w:r w:rsidR="001E304B" w:rsidRPr="00FF207E">
        <w:rPr>
          <w:rFonts w:cs="Arial"/>
          <w:szCs w:val="22"/>
          <w:lang w:val="sl-SI"/>
        </w:rPr>
        <w:instrText xml:space="preserve"> \* MERGEFORMAT </w:instrText>
      </w:r>
      <w:r w:rsidRPr="00FF207E">
        <w:rPr>
          <w:rFonts w:cs="Arial"/>
          <w:szCs w:val="22"/>
          <w:lang w:val="sl-SI"/>
        </w:rPr>
      </w:r>
      <w:r w:rsidRPr="00FF207E">
        <w:rPr>
          <w:rFonts w:cs="Arial"/>
          <w:szCs w:val="22"/>
          <w:lang w:val="sl-SI"/>
        </w:rPr>
        <w:fldChar w:fldCharType="separate"/>
      </w:r>
      <w:r w:rsidR="00F37FD1" w:rsidRPr="00FF207E">
        <w:rPr>
          <w:rFonts w:cs="Arial"/>
          <w:szCs w:val="22"/>
          <w:lang w:val="sl-SI"/>
        </w:rPr>
        <w:t>3.2.1</w:t>
      </w:r>
      <w:r w:rsidRPr="00FF207E">
        <w:rPr>
          <w:rFonts w:cs="Arial"/>
          <w:szCs w:val="22"/>
          <w:lang w:val="sl-SI"/>
        </w:rPr>
        <w:fldChar w:fldCharType="end"/>
      </w:r>
      <w:r w:rsidRPr="00FF207E">
        <w:rPr>
          <w:rFonts w:cs="Arial"/>
          <w:szCs w:val="22"/>
          <w:lang w:val="sl-SI"/>
        </w:rPr>
        <w:t xml:space="preserve">), neformalno mrežo za informiranje in ozaveščanje (poglavje </w:t>
      </w:r>
      <w:r w:rsidR="00DF4799" w:rsidRPr="00FF207E">
        <w:rPr>
          <w:rFonts w:cs="Arial"/>
          <w:szCs w:val="22"/>
          <w:lang w:val="sl-SI"/>
        </w:rPr>
        <w:fldChar w:fldCharType="begin"/>
      </w:r>
      <w:r w:rsidR="00DF4799" w:rsidRPr="00FF207E">
        <w:rPr>
          <w:rFonts w:cs="Arial"/>
          <w:szCs w:val="22"/>
          <w:lang w:val="sl-SI"/>
        </w:rPr>
        <w:instrText xml:space="preserve"> REF _Ref131589834 \r \h </w:instrText>
      </w:r>
      <w:r w:rsidR="001E304B" w:rsidRPr="00FF207E">
        <w:rPr>
          <w:rFonts w:cs="Arial"/>
          <w:szCs w:val="22"/>
          <w:lang w:val="sl-SI"/>
        </w:rPr>
        <w:instrText xml:space="preserve"> \* MERGEFORMAT </w:instrText>
      </w:r>
      <w:r w:rsidR="00DF4799" w:rsidRPr="00FF207E">
        <w:rPr>
          <w:rFonts w:cs="Arial"/>
          <w:szCs w:val="22"/>
          <w:lang w:val="sl-SI"/>
        </w:rPr>
      </w:r>
      <w:r w:rsidR="00DF4799" w:rsidRPr="00FF207E">
        <w:rPr>
          <w:rFonts w:cs="Arial"/>
          <w:szCs w:val="22"/>
          <w:lang w:val="sl-SI"/>
        </w:rPr>
        <w:fldChar w:fldCharType="separate"/>
      </w:r>
      <w:r w:rsidR="00F37FD1" w:rsidRPr="00FF207E">
        <w:rPr>
          <w:rFonts w:cs="Arial"/>
          <w:szCs w:val="22"/>
          <w:lang w:val="sl-SI"/>
        </w:rPr>
        <w:t>3.2.2</w:t>
      </w:r>
      <w:r w:rsidR="00DF4799" w:rsidRPr="00FF207E">
        <w:rPr>
          <w:rFonts w:cs="Arial"/>
          <w:szCs w:val="22"/>
          <w:lang w:val="sl-SI"/>
        </w:rPr>
        <w:fldChar w:fldCharType="end"/>
      </w:r>
      <w:r w:rsidR="00DF4799" w:rsidRPr="00FF207E">
        <w:rPr>
          <w:rFonts w:cs="Arial"/>
          <w:szCs w:val="22"/>
          <w:lang w:val="sl-SI"/>
        </w:rPr>
        <w:t xml:space="preserve">) in </w:t>
      </w:r>
      <w:r w:rsidR="001F3996" w:rsidRPr="00FF207E">
        <w:rPr>
          <w:rFonts w:cs="Arial"/>
          <w:szCs w:val="22"/>
          <w:lang w:val="sl-SI"/>
        </w:rPr>
        <w:t>so</w:t>
      </w:r>
      <w:r w:rsidR="00DF4799" w:rsidRPr="00FF207E">
        <w:rPr>
          <w:rFonts w:cs="Arial"/>
          <w:szCs w:val="22"/>
          <w:lang w:val="sl-SI"/>
        </w:rPr>
        <w:t xml:space="preserve">svet za energetsko revščino (poglavje </w:t>
      </w:r>
      <w:r w:rsidR="001005CB" w:rsidRPr="00FF207E">
        <w:rPr>
          <w:rFonts w:cs="Arial"/>
          <w:szCs w:val="22"/>
          <w:lang w:val="sl-SI"/>
        </w:rPr>
        <w:fldChar w:fldCharType="begin"/>
      </w:r>
      <w:r w:rsidR="001005CB" w:rsidRPr="00FF207E">
        <w:rPr>
          <w:rFonts w:cs="Arial"/>
          <w:szCs w:val="22"/>
          <w:lang w:val="sl-SI"/>
        </w:rPr>
        <w:instrText xml:space="preserve"> REF _Ref131589906 \r \h </w:instrText>
      </w:r>
      <w:r w:rsidR="001E304B" w:rsidRPr="00FF207E">
        <w:rPr>
          <w:rFonts w:cs="Arial"/>
          <w:szCs w:val="22"/>
          <w:lang w:val="sl-SI"/>
        </w:rPr>
        <w:instrText xml:space="preserve"> \* MERGEFORMAT </w:instrText>
      </w:r>
      <w:r w:rsidR="001005CB" w:rsidRPr="00FF207E">
        <w:rPr>
          <w:rFonts w:cs="Arial"/>
          <w:szCs w:val="22"/>
          <w:lang w:val="sl-SI"/>
        </w:rPr>
      </w:r>
      <w:r w:rsidR="001005CB" w:rsidRPr="00FF207E">
        <w:rPr>
          <w:rFonts w:cs="Arial"/>
          <w:szCs w:val="22"/>
          <w:lang w:val="sl-SI"/>
        </w:rPr>
        <w:fldChar w:fldCharType="separate"/>
      </w:r>
      <w:r w:rsidR="00F37FD1" w:rsidRPr="00FF207E">
        <w:rPr>
          <w:rFonts w:cs="Arial"/>
          <w:szCs w:val="22"/>
          <w:lang w:val="sl-SI"/>
        </w:rPr>
        <w:t>3.2.3</w:t>
      </w:r>
      <w:r w:rsidR="001005CB" w:rsidRPr="00FF207E">
        <w:rPr>
          <w:rFonts w:cs="Arial"/>
          <w:szCs w:val="22"/>
          <w:lang w:val="sl-SI"/>
        </w:rPr>
        <w:fldChar w:fldCharType="end"/>
      </w:r>
      <w:r w:rsidR="00DF4799" w:rsidRPr="00FF207E">
        <w:rPr>
          <w:rFonts w:cs="Arial"/>
          <w:szCs w:val="22"/>
          <w:lang w:val="sl-SI"/>
        </w:rPr>
        <w:t>).</w:t>
      </w:r>
    </w:p>
    <w:p w14:paraId="51373FA2" w14:textId="6B95C262" w:rsidR="00EE5D12" w:rsidRPr="00FF207E" w:rsidRDefault="000F2455" w:rsidP="001E304B">
      <w:pPr>
        <w:pStyle w:val="Naslov3"/>
        <w:jc w:val="both"/>
        <w:rPr>
          <w:lang w:val="sl-SI"/>
        </w:rPr>
      </w:pPr>
      <w:bookmarkStart w:id="49" w:name="_Ref131498652"/>
      <w:bookmarkStart w:id="50" w:name="_Toc151148787"/>
      <w:r w:rsidRPr="00FF207E">
        <w:rPr>
          <w:lang w:val="sl-SI"/>
        </w:rPr>
        <w:t xml:space="preserve">Projektna pisarna z </w:t>
      </w:r>
      <w:r w:rsidR="00A60F48" w:rsidRPr="00FF207E">
        <w:rPr>
          <w:lang w:val="sl-SI"/>
        </w:rPr>
        <w:t>regionalnimi</w:t>
      </w:r>
      <w:r w:rsidRPr="00FF207E">
        <w:rPr>
          <w:lang w:val="sl-SI"/>
        </w:rPr>
        <w:t xml:space="preserve"> svetovaln</w:t>
      </w:r>
      <w:r w:rsidR="00A60F48" w:rsidRPr="00FF207E">
        <w:rPr>
          <w:lang w:val="sl-SI"/>
        </w:rPr>
        <w:t>imi</w:t>
      </w:r>
      <w:r w:rsidRPr="00FF207E">
        <w:rPr>
          <w:lang w:val="sl-SI"/>
        </w:rPr>
        <w:t xml:space="preserve"> </w:t>
      </w:r>
      <w:r w:rsidR="00A60F48" w:rsidRPr="00FF207E">
        <w:rPr>
          <w:lang w:val="sl-SI"/>
        </w:rPr>
        <w:t>točkami</w:t>
      </w:r>
      <w:r w:rsidRPr="00FF207E">
        <w:rPr>
          <w:lang w:val="sl-SI"/>
        </w:rPr>
        <w:t xml:space="preserve"> za </w:t>
      </w:r>
      <w:r w:rsidR="00A77C1E" w:rsidRPr="00FF207E">
        <w:rPr>
          <w:lang w:val="sl-SI"/>
        </w:rPr>
        <w:t xml:space="preserve">blaženje </w:t>
      </w:r>
      <w:r w:rsidRPr="00FF207E">
        <w:rPr>
          <w:lang w:val="sl-SI"/>
        </w:rPr>
        <w:t>energetsk</w:t>
      </w:r>
      <w:r w:rsidR="00957A06" w:rsidRPr="00FF207E">
        <w:rPr>
          <w:lang w:val="sl-SI"/>
        </w:rPr>
        <w:t>e</w:t>
      </w:r>
      <w:r w:rsidRPr="00FF207E">
        <w:rPr>
          <w:lang w:val="sl-SI"/>
        </w:rPr>
        <w:t xml:space="preserve"> revščin</w:t>
      </w:r>
      <w:bookmarkEnd w:id="49"/>
      <w:bookmarkEnd w:id="50"/>
      <w:r w:rsidR="00957A06" w:rsidRPr="00FF207E">
        <w:rPr>
          <w:lang w:val="sl-SI"/>
        </w:rPr>
        <w:t>e</w:t>
      </w:r>
    </w:p>
    <w:p w14:paraId="1C59A303" w14:textId="7370C123" w:rsidR="000F2455" w:rsidRPr="00FF207E" w:rsidRDefault="00872290" w:rsidP="001E304B">
      <w:pPr>
        <w:spacing w:after="240"/>
        <w:jc w:val="both"/>
        <w:rPr>
          <w:rFonts w:cs="Arial"/>
          <w:szCs w:val="22"/>
          <w:lang w:val="sl-SI"/>
        </w:rPr>
      </w:pPr>
      <w:r w:rsidRPr="00FF207E">
        <w:rPr>
          <w:rFonts w:cs="Arial"/>
          <w:szCs w:val="22"/>
          <w:lang w:val="sl-SI"/>
        </w:rPr>
        <w:t xml:space="preserve">Predvidena je vzpostavitev projektne pisarne na </w:t>
      </w:r>
      <w:r w:rsidR="009441D2" w:rsidRPr="00FF207E">
        <w:rPr>
          <w:rFonts w:cs="Arial"/>
          <w:szCs w:val="22"/>
          <w:lang w:val="sl-SI"/>
        </w:rPr>
        <w:t xml:space="preserve">državni </w:t>
      </w:r>
      <w:r w:rsidRPr="00FF207E">
        <w:rPr>
          <w:rFonts w:cs="Arial"/>
          <w:szCs w:val="22"/>
          <w:lang w:val="sl-SI"/>
        </w:rPr>
        <w:t>ravni, ki jo bo</w:t>
      </w:r>
      <w:r w:rsidR="008C203F" w:rsidRPr="00FF207E">
        <w:rPr>
          <w:rFonts w:cs="Arial"/>
          <w:szCs w:val="22"/>
          <w:lang w:val="sl-SI"/>
        </w:rPr>
        <w:t>do</w:t>
      </w:r>
      <w:r w:rsidRPr="00FF207E">
        <w:rPr>
          <w:rFonts w:cs="Arial"/>
          <w:szCs w:val="22"/>
          <w:lang w:val="sl-SI"/>
        </w:rPr>
        <w:t xml:space="preserve"> dopolnjeval</w:t>
      </w:r>
      <w:r w:rsidR="008C203F" w:rsidRPr="00FF207E">
        <w:rPr>
          <w:rFonts w:cs="Arial"/>
          <w:szCs w:val="22"/>
          <w:lang w:val="sl-SI"/>
        </w:rPr>
        <w:t xml:space="preserve">e </w:t>
      </w:r>
      <w:r w:rsidRPr="00FF207E">
        <w:rPr>
          <w:rFonts w:cs="Arial"/>
          <w:szCs w:val="22"/>
          <w:lang w:val="sl-SI"/>
        </w:rPr>
        <w:t>svetovaln</w:t>
      </w:r>
      <w:r w:rsidR="00A60F48" w:rsidRPr="00FF207E">
        <w:rPr>
          <w:rFonts w:cs="Arial"/>
          <w:szCs w:val="22"/>
          <w:lang w:val="sl-SI"/>
        </w:rPr>
        <w:t>e</w:t>
      </w:r>
      <w:r w:rsidRPr="00FF207E">
        <w:rPr>
          <w:rFonts w:cs="Arial"/>
          <w:szCs w:val="22"/>
          <w:lang w:val="sl-SI"/>
        </w:rPr>
        <w:t xml:space="preserve"> </w:t>
      </w:r>
      <w:r w:rsidR="008C203F" w:rsidRPr="00FF207E">
        <w:rPr>
          <w:rFonts w:cs="Arial"/>
          <w:szCs w:val="22"/>
          <w:lang w:val="sl-SI"/>
        </w:rPr>
        <w:t>točke</w:t>
      </w:r>
      <w:r w:rsidRPr="00FF207E">
        <w:rPr>
          <w:rFonts w:cs="Arial"/>
          <w:szCs w:val="22"/>
          <w:lang w:val="sl-SI"/>
        </w:rPr>
        <w:t xml:space="preserve"> za energetsko revščino na </w:t>
      </w:r>
      <w:r w:rsidR="008C203F" w:rsidRPr="00FF207E">
        <w:rPr>
          <w:rFonts w:cs="Arial"/>
          <w:szCs w:val="22"/>
          <w:lang w:val="sl-SI"/>
        </w:rPr>
        <w:t>regionalni</w:t>
      </w:r>
      <w:r w:rsidRPr="00FF207E">
        <w:rPr>
          <w:rFonts w:cs="Arial"/>
          <w:szCs w:val="22"/>
          <w:lang w:val="sl-SI"/>
        </w:rPr>
        <w:t xml:space="preserve"> ravni.</w:t>
      </w:r>
      <w:r w:rsidR="006A5D31" w:rsidRPr="00FF207E">
        <w:rPr>
          <w:rFonts w:cs="Arial"/>
          <w:szCs w:val="22"/>
          <w:lang w:val="sl-SI"/>
        </w:rPr>
        <w:t xml:space="preserve"> S tem akcijskim načrtom je načrtovana </w:t>
      </w:r>
      <w:r w:rsidR="00C3023C" w:rsidRPr="00FF207E">
        <w:rPr>
          <w:rFonts w:cs="Arial"/>
          <w:szCs w:val="22"/>
          <w:lang w:val="sl-SI"/>
        </w:rPr>
        <w:t>izvedba ukrepa v obsegu pilotnega projekta.</w:t>
      </w:r>
    </w:p>
    <w:tbl>
      <w:tblPr>
        <w:tblStyle w:val="Tabelamrea"/>
        <w:tblW w:w="0" w:type="auto"/>
        <w:tblLook w:val="04A0" w:firstRow="1" w:lastRow="0" w:firstColumn="1" w:lastColumn="0" w:noHBand="0" w:noVBand="1"/>
      </w:tblPr>
      <w:tblGrid>
        <w:gridCol w:w="567"/>
        <w:gridCol w:w="2405"/>
        <w:gridCol w:w="6090"/>
      </w:tblGrid>
      <w:tr w:rsidR="001A05EF" w:rsidRPr="00FF207E" w14:paraId="31A95FA2" w14:textId="77777777" w:rsidTr="00EE4B68">
        <w:tc>
          <w:tcPr>
            <w:tcW w:w="2972" w:type="dxa"/>
            <w:gridSpan w:val="2"/>
            <w:tcBorders>
              <w:top w:val="nil"/>
              <w:left w:val="nil"/>
              <w:bottom w:val="nil"/>
              <w:right w:val="single" w:sz="4" w:space="0" w:color="548DD4" w:themeColor="text2" w:themeTint="99"/>
            </w:tcBorders>
            <w:shd w:val="clear" w:color="auto" w:fill="548DD4" w:themeFill="text2" w:themeFillTint="99"/>
            <w:vAlign w:val="center"/>
          </w:tcPr>
          <w:p w14:paraId="08407301" w14:textId="6D44A907" w:rsidR="001A05EF" w:rsidRPr="00FF207E" w:rsidRDefault="001A05EF" w:rsidP="001E304B">
            <w:pPr>
              <w:spacing w:before="40" w:after="40"/>
              <w:jc w:val="both"/>
              <w:rPr>
                <w:rFonts w:cs="Arial"/>
                <w:b/>
                <w:color w:val="FFFFFF" w:themeColor="background1"/>
                <w:lang w:val="sl-SI"/>
              </w:rPr>
            </w:pPr>
            <w:r w:rsidRPr="00FF207E">
              <w:rPr>
                <w:rFonts w:cs="Arial"/>
                <w:b/>
                <w:color w:val="FFFFFF" w:themeColor="background1"/>
                <w:lang w:val="sl-SI"/>
              </w:rPr>
              <w:t>ER_Shema-02</w:t>
            </w:r>
          </w:p>
        </w:tc>
        <w:tc>
          <w:tcPr>
            <w:tcW w:w="6090" w:type="dxa"/>
            <w:tcBorders>
              <w:top w:val="nil"/>
              <w:left w:val="single" w:sz="4" w:space="0" w:color="548DD4" w:themeColor="text2" w:themeTint="99"/>
              <w:bottom w:val="nil"/>
              <w:right w:val="nil"/>
            </w:tcBorders>
            <w:shd w:val="clear" w:color="auto" w:fill="548DD4" w:themeFill="text2" w:themeFillTint="99"/>
          </w:tcPr>
          <w:p w14:paraId="2B88942D" w14:textId="0DBDB48C" w:rsidR="001A05EF" w:rsidRPr="00FF207E" w:rsidRDefault="001A05EF" w:rsidP="001E304B">
            <w:pPr>
              <w:pStyle w:val="Naslov5"/>
              <w:spacing w:line="260" w:lineRule="atLeast"/>
              <w:jc w:val="both"/>
            </w:pPr>
            <w:bookmarkStart w:id="51" w:name="_Projektna_pisarna_z"/>
            <w:bookmarkEnd w:id="51"/>
            <w:r w:rsidRPr="00FF207E">
              <w:t xml:space="preserve">Projektna pisarna z </w:t>
            </w:r>
            <w:r w:rsidR="008C203F" w:rsidRPr="00FF207E">
              <w:t>regionalnimi</w:t>
            </w:r>
            <w:r w:rsidRPr="00FF207E">
              <w:t xml:space="preserve"> svetovaln</w:t>
            </w:r>
            <w:r w:rsidR="00E275E1" w:rsidRPr="00FF207E">
              <w:t>imi</w:t>
            </w:r>
            <w:r w:rsidRPr="00FF207E">
              <w:t xml:space="preserve"> </w:t>
            </w:r>
            <w:r w:rsidR="00E275E1" w:rsidRPr="00FF207E">
              <w:t>točkami</w:t>
            </w:r>
            <w:r w:rsidRPr="00FF207E">
              <w:t xml:space="preserve"> za energetsko revščino</w:t>
            </w:r>
          </w:p>
        </w:tc>
      </w:tr>
      <w:tr w:rsidR="00922994" w:rsidRPr="00FF207E" w14:paraId="184CFA0C" w14:textId="77777777" w:rsidTr="00EE4B68">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7354D3C4" w14:textId="1272CA30" w:rsidR="00922994" w:rsidRPr="00FF207E" w:rsidRDefault="00922994" w:rsidP="001E304B">
            <w:pPr>
              <w:spacing w:before="60" w:after="60" w:line="240" w:lineRule="atLeast"/>
              <w:jc w:val="both"/>
              <w:rPr>
                <w:rFonts w:cs="Arial"/>
                <w:b/>
                <w:szCs w:val="22"/>
                <w:lang w:val="sl-SI"/>
              </w:rPr>
            </w:pPr>
            <w:r w:rsidRPr="00FF207E">
              <w:rPr>
                <w:rFonts w:cs="Arial"/>
                <w:b/>
                <w:szCs w:val="22"/>
                <w:lang w:val="sl-SI"/>
              </w:rPr>
              <w:t>Osnovne informacije</w:t>
            </w:r>
          </w:p>
        </w:tc>
      </w:tr>
      <w:tr w:rsidR="001A05EF" w:rsidRPr="00FF207E" w14:paraId="71C7F1DD" w14:textId="77777777" w:rsidTr="005203BA">
        <w:tc>
          <w:tcPr>
            <w:tcW w:w="2972" w:type="dxa"/>
            <w:gridSpan w:val="2"/>
            <w:tcBorders>
              <w:top w:val="nil"/>
              <w:left w:val="nil"/>
              <w:bottom w:val="single" w:sz="4" w:space="0" w:color="548DD4" w:themeColor="text2" w:themeTint="99"/>
              <w:right w:val="single" w:sz="4" w:space="0" w:color="548DD4" w:themeColor="text2" w:themeTint="99"/>
            </w:tcBorders>
          </w:tcPr>
          <w:p w14:paraId="49C6A929" w14:textId="77777777" w:rsidR="001A05EF" w:rsidRPr="00FF207E" w:rsidRDefault="001A05EF" w:rsidP="001E304B">
            <w:pPr>
              <w:spacing w:line="240" w:lineRule="atLeast"/>
              <w:jc w:val="both"/>
              <w:rPr>
                <w:rFonts w:cs="Arial"/>
                <w:spacing w:val="-4"/>
                <w:sz w:val="20"/>
                <w:szCs w:val="20"/>
                <w:lang w:val="sl-SI"/>
              </w:rPr>
            </w:pPr>
            <w:r w:rsidRPr="00FF207E">
              <w:rPr>
                <w:rFonts w:cs="Arial"/>
                <w:spacing w:val="-4"/>
                <w:sz w:val="20"/>
                <w:szCs w:val="20"/>
                <w:lang w:val="sl-SI"/>
              </w:rPr>
              <w:t>Odgovornost za izvedbo ukrepa</w:t>
            </w:r>
          </w:p>
        </w:tc>
        <w:tc>
          <w:tcPr>
            <w:tcW w:w="6090" w:type="dxa"/>
            <w:tcBorders>
              <w:top w:val="nil"/>
              <w:left w:val="single" w:sz="4" w:space="0" w:color="548DD4" w:themeColor="text2" w:themeTint="99"/>
              <w:bottom w:val="single" w:sz="4" w:space="0" w:color="548DD4" w:themeColor="text2" w:themeTint="99"/>
              <w:right w:val="nil"/>
            </w:tcBorders>
          </w:tcPr>
          <w:p w14:paraId="65546588" w14:textId="0CC57A81" w:rsidR="001A05EF" w:rsidRPr="00FF207E" w:rsidRDefault="001A05EF" w:rsidP="001E304B">
            <w:pPr>
              <w:spacing w:line="240" w:lineRule="atLeast"/>
              <w:jc w:val="both"/>
              <w:rPr>
                <w:rFonts w:cs="Arial"/>
                <w:sz w:val="20"/>
                <w:szCs w:val="20"/>
                <w:lang w:val="sl-SI"/>
              </w:rPr>
            </w:pPr>
            <w:r w:rsidRPr="00FF207E">
              <w:rPr>
                <w:rFonts w:cs="Arial"/>
                <w:sz w:val="20"/>
                <w:szCs w:val="20"/>
                <w:lang w:val="sl-SI"/>
              </w:rPr>
              <w:t xml:space="preserve">MOPE, </w:t>
            </w: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1A05EF" w:rsidRPr="00FF207E" w14:paraId="62F16FE8" w14:textId="77777777" w:rsidTr="005203BA">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1E9694DD" w14:textId="77777777" w:rsidR="001A05EF" w:rsidRPr="00FF207E" w:rsidRDefault="001A05EF"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11D99337" w14:textId="47AE5207" w:rsidR="001A05EF" w:rsidRPr="00FF207E" w:rsidRDefault="001A05EF" w:rsidP="001E304B">
            <w:pPr>
              <w:spacing w:line="240" w:lineRule="atLeast"/>
              <w:jc w:val="both"/>
              <w:rPr>
                <w:rFonts w:cs="Arial"/>
                <w:sz w:val="20"/>
                <w:szCs w:val="20"/>
                <w:lang w:val="sl-SI"/>
              </w:rPr>
            </w:pPr>
            <w:r w:rsidRPr="00FF207E">
              <w:rPr>
                <w:rFonts w:cs="Arial"/>
                <w:sz w:val="20"/>
                <w:szCs w:val="20"/>
                <w:lang w:val="sl-SI"/>
              </w:rPr>
              <w:t>ENSVET, lokalne energetske agencije / MDDSZ, CSD, humanitarne organizacije</w:t>
            </w:r>
          </w:p>
        </w:tc>
      </w:tr>
      <w:tr w:rsidR="001A05EF" w:rsidRPr="00FF207E" w14:paraId="3EBC6D5A" w14:textId="77777777" w:rsidTr="005203BA">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635F09B2" w14:textId="77777777" w:rsidR="001A05EF" w:rsidRPr="00FF207E" w:rsidRDefault="001A05EF" w:rsidP="001E304B">
            <w:pPr>
              <w:spacing w:line="240" w:lineRule="atLeast"/>
              <w:jc w:val="both"/>
              <w:rPr>
                <w:rFonts w:cs="Arial"/>
                <w:sz w:val="20"/>
                <w:szCs w:val="20"/>
                <w:lang w:val="sl-SI"/>
              </w:rPr>
            </w:pPr>
            <w:r w:rsidRPr="00FF207E">
              <w:rPr>
                <w:rFonts w:cs="Arial"/>
                <w:sz w:val="20"/>
                <w:szCs w:val="20"/>
                <w:lang w:val="sl-SI"/>
              </w:rPr>
              <w:t>Strateške podlage in njihova veljavnost</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003D984" w14:textId="6B837878" w:rsidR="001A05EF" w:rsidRPr="00FF207E" w:rsidRDefault="001A05EF" w:rsidP="001E304B">
            <w:pPr>
              <w:spacing w:line="240" w:lineRule="atLeast"/>
              <w:jc w:val="both"/>
              <w:rPr>
                <w:rFonts w:cs="Arial"/>
                <w:sz w:val="20"/>
                <w:szCs w:val="20"/>
                <w:lang w:val="sl-SI"/>
              </w:rPr>
            </w:pPr>
            <w:r w:rsidRPr="00FF207E">
              <w:rPr>
                <w:rFonts w:cs="Arial"/>
                <w:sz w:val="20"/>
                <w:szCs w:val="20"/>
                <w:lang w:val="sl-SI"/>
              </w:rPr>
              <w:t xml:space="preserve">NEPN, veljavnost do </w:t>
            </w:r>
            <w:r w:rsidR="00441226" w:rsidRPr="00FF207E">
              <w:rPr>
                <w:rFonts w:cs="Arial"/>
                <w:sz w:val="20"/>
                <w:szCs w:val="20"/>
                <w:lang w:val="sl-SI"/>
              </w:rPr>
              <w:t xml:space="preserve">leta </w:t>
            </w:r>
            <w:r w:rsidRPr="00FF207E">
              <w:rPr>
                <w:rFonts w:cs="Arial"/>
                <w:sz w:val="20"/>
                <w:szCs w:val="20"/>
                <w:lang w:val="sl-SI"/>
              </w:rPr>
              <w:t xml:space="preserve">2030 (ukrep </w:t>
            </w:r>
            <w:r w:rsidRPr="00FF207E">
              <w:rPr>
                <w:rFonts w:cs="Arial"/>
                <w:i/>
                <w:sz w:val="20"/>
                <w:szCs w:val="20"/>
                <w:lang w:val="sl-SI"/>
              </w:rPr>
              <w:t>Shema pomoči za učinkovito rabo energije v gospodinjstvih za ranljive skupine prebivalstva</w:t>
            </w:r>
            <w:r w:rsidRPr="00FF207E">
              <w:rPr>
                <w:rFonts w:cs="Arial"/>
                <w:sz w:val="20"/>
                <w:szCs w:val="20"/>
                <w:lang w:val="sl-SI"/>
              </w:rPr>
              <w:t>)</w:t>
            </w:r>
            <w:r w:rsidRPr="00FF207E">
              <w:rPr>
                <w:rFonts w:cs="Arial"/>
                <w:sz w:val="20"/>
                <w:szCs w:val="20"/>
                <w:lang w:val="sl-SI"/>
              </w:rPr>
              <w:br/>
              <w:t xml:space="preserve">DSEPS 2050, veljavnost do </w:t>
            </w:r>
            <w:r w:rsidR="00441226" w:rsidRPr="00FF207E">
              <w:rPr>
                <w:rFonts w:cs="Arial"/>
                <w:sz w:val="20"/>
                <w:szCs w:val="20"/>
                <w:lang w:val="sl-SI"/>
              </w:rPr>
              <w:t xml:space="preserve">leta </w:t>
            </w:r>
            <w:r w:rsidRPr="00FF207E">
              <w:rPr>
                <w:rFonts w:cs="Arial"/>
                <w:sz w:val="20"/>
                <w:szCs w:val="20"/>
                <w:lang w:val="sl-SI"/>
              </w:rPr>
              <w:t xml:space="preserve">2030 (ukrep </w:t>
            </w:r>
            <w:r w:rsidRPr="00FF207E">
              <w:rPr>
                <w:rFonts w:cs="Arial"/>
                <w:i/>
                <w:sz w:val="20"/>
                <w:szCs w:val="20"/>
                <w:lang w:val="sl-SI"/>
              </w:rPr>
              <w:t>G-1</w:t>
            </w:r>
            <w:r w:rsidRPr="00FF207E">
              <w:rPr>
                <w:rFonts w:cs="Arial"/>
                <w:sz w:val="20"/>
                <w:szCs w:val="20"/>
                <w:lang w:val="sl-SI"/>
              </w:rPr>
              <w:t>)</w:t>
            </w:r>
          </w:p>
        </w:tc>
      </w:tr>
      <w:tr w:rsidR="001A05EF" w:rsidRPr="00FF207E" w14:paraId="1A6BAC05" w14:textId="77777777" w:rsidTr="005203BA">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DBBEBB6" w14:textId="77777777" w:rsidR="001A05EF" w:rsidRPr="00FF207E" w:rsidRDefault="001A05EF" w:rsidP="001E304B">
            <w:pPr>
              <w:spacing w:line="240" w:lineRule="atLeast"/>
              <w:jc w:val="both"/>
              <w:rPr>
                <w:rFonts w:cs="Arial"/>
                <w:sz w:val="20"/>
                <w:szCs w:val="20"/>
                <w:lang w:val="sl-SI"/>
              </w:rPr>
            </w:pPr>
            <w:r w:rsidRPr="00FF207E">
              <w:rPr>
                <w:rFonts w:cs="Arial"/>
                <w:sz w:val="20"/>
                <w:szCs w:val="20"/>
                <w:lang w:val="sl-SI"/>
              </w:rPr>
              <w:t>Veljavnost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D4E930A" w14:textId="77777777" w:rsidR="001A05EF" w:rsidRPr="00FF207E" w:rsidRDefault="001A05EF" w:rsidP="001E304B">
            <w:pPr>
              <w:spacing w:line="240" w:lineRule="atLeast"/>
              <w:jc w:val="both"/>
              <w:rPr>
                <w:rFonts w:cs="Arial"/>
                <w:sz w:val="20"/>
                <w:szCs w:val="20"/>
                <w:lang w:val="sl-SI"/>
              </w:rPr>
            </w:pPr>
            <w:r w:rsidRPr="00FF207E">
              <w:rPr>
                <w:rFonts w:cs="Arial"/>
                <w:sz w:val="20"/>
                <w:szCs w:val="20"/>
                <w:lang w:val="sl-SI"/>
              </w:rPr>
              <w:t>2030</w:t>
            </w:r>
          </w:p>
        </w:tc>
      </w:tr>
      <w:tr w:rsidR="001A05EF" w:rsidRPr="00FF207E" w14:paraId="53FFFE9B" w14:textId="77777777" w:rsidTr="005203BA">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FB2F6F0" w14:textId="77777777" w:rsidR="001A05EF" w:rsidRPr="00FF207E" w:rsidRDefault="001A05EF" w:rsidP="001E304B">
            <w:pPr>
              <w:spacing w:line="240" w:lineRule="atLeast"/>
              <w:jc w:val="both"/>
              <w:rPr>
                <w:rFonts w:cs="Arial"/>
                <w:sz w:val="20"/>
                <w:szCs w:val="20"/>
                <w:lang w:val="sl-SI"/>
              </w:rPr>
            </w:pPr>
            <w:r w:rsidRPr="00FF207E">
              <w:rPr>
                <w:rFonts w:cs="Arial"/>
                <w:sz w:val="20"/>
                <w:szCs w:val="20"/>
                <w:lang w:val="sl-SI"/>
              </w:rPr>
              <w:t>Vrsta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7FB814B9" w14:textId="77777777" w:rsidR="001A05EF" w:rsidRPr="00FF207E" w:rsidRDefault="001A05EF" w:rsidP="001E304B">
            <w:pPr>
              <w:spacing w:line="240" w:lineRule="atLeast"/>
              <w:jc w:val="both"/>
              <w:rPr>
                <w:rFonts w:cs="Arial"/>
                <w:sz w:val="20"/>
                <w:szCs w:val="20"/>
                <w:lang w:val="sl-SI"/>
              </w:rPr>
            </w:pPr>
            <w:r w:rsidRPr="00FF207E">
              <w:rPr>
                <w:rFonts w:cs="Arial"/>
                <w:sz w:val="20"/>
                <w:szCs w:val="20"/>
                <w:lang w:val="sl-SI"/>
              </w:rPr>
              <w:t>organizacijski</w:t>
            </w:r>
          </w:p>
        </w:tc>
      </w:tr>
      <w:tr w:rsidR="001A05EF" w:rsidRPr="00FF207E" w14:paraId="64BDA3C9" w14:textId="77777777" w:rsidTr="005203BA">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1ED774D3" w14:textId="77777777" w:rsidR="001A05EF" w:rsidRPr="00FF207E" w:rsidRDefault="001A05EF" w:rsidP="001E304B">
            <w:pPr>
              <w:spacing w:line="240" w:lineRule="atLeast"/>
              <w:jc w:val="both"/>
              <w:rPr>
                <w:rFonts w:cs="Arial"/>
                <w:sz w:val="20"/>
                <w:szCs w:val="20"/>
                <w:lang w:val="sl-SI"/>
              </w:rPr>
            </w:pPr>
            <w:r w:rsidRPr="00FF207E">
              <w:rPr>
                <w:rFonts w:cs="Arial"/>
                <w:sz w:val="20"/>
                <w:szCs w:val="20"/>
                <w:lang w:val="sl-SI"/>
              </w:rPr>
              <w:t>Pričakovani učinki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AA98770" w14:textId="1FAFBB54" w:rsidR="001A05EF" w:rsidRPr="00FF207E" w:rsidRDefault="00EC56E8" w:rsidP="00A77C1E">
            <w:pPr>
              <w:spacing w:line="240" w:lineRule="atLeast"/>
              <w:jc w:val="both"/>
              <w:rPr>
                <w:rFonts w:cs="Arial"/>
                <w:sz w:val="20"/>
                <w:szCs w:val="20"/>
                <w:lang w:val="sl-SI"/>
              </w:rPr>
            </w:pPr>
            <w:r w:rsidRPr="00FF207E">
              <w:rPr>
                <w:rFonts w:cs="Arial"/>
                <w:sz w:val="20"/>
                <w:szCs w:val="20"/>
                <w:lang w:val="sl-SI"/>
              </w:rPr>
              <w:t>D</w:t>
            </w:r>
            <w:r w:rsidR="00B64E58" w:rsidRPr="00FF207E">
              <w:rPr>
                <w:rFonts w:cs="Arial"/>
                <w:sz w:val="20"/>
                <w:szCs w:val="20"/>
                <w:lang w:val="sl-SI"/>
              </w:rPr>
              <w:t>elujoč</w:t>
            </w:r>
            <w:r w:rsidR="0017273F" w:rsidRPr="00FF207E">
              <w:rPr>
                <w:rFonts w:cs="Arial"/>
                <w:sz w:val="20"/>
                <w:szCs w:val="20"/>
                <w:lang w:val="sl-SI"/>
              </w:rPr>
              <w:t>a</w:t>
            </w:r>
            <w:r w:rsidR="00B64E58" w:rsidRPr="00FF207E">
              <w:rPr>
                <w:rFonts w:cs="Arial"/>
                <w:sz w:val="20"/>
                <w:szCs w:val="20"/>
                <w:lang w:val="sl-SI"/>
              </w:rPr>
              <w:t xml:space="preserve"> projektna </w:t>
            </w:r>
            <w:r w:rsidR="0017273F" w:rsidRPr="00FF207E">
              <w:rPr>
                <w:rFonts w:cs="Arial"/>
                <w:sz w:val="20"/>
                <w:szCs w:val="20"/>
                <w:lang w:val="sl-SI"/>
              </w:rPr>
              <w:t xml:space="preserve">pisarna </w:t>
            </w:r>
            <w:r w:rsidR="00B874E3" w:rsidRPr="00FF207E">
              <w:rPr>
                <w:rFonts w:cs="Arial"/>
                <w:sz w:val="20"/>
                <w:szCs w:val="20"/>
                <w:lang w:val="sl-SI"/>
              </w:rPr>
              <w:t xml:space="preserve">za </w:t>
            </w:r>
            <w:r w:rsidR="00A77C1E" w:rsidRPr="00FF207E">
              <w:rPr>
                <w:rFonts w:cs="Arial"/>
                <w:sz w:val="20"/>
                <w:szCs w:val="20"/>
                <w:lang w:val="sl-SI"/>
              </w:rPr>
              <w:t xml:space="preserve">blaženje </w:t>
            </w:r>
            <w:r w:rsidR="00B874E3" w:rsidRPr="00FF207E">
              <w:rPr>
                <w:rFonts w:cs="Arial"/>
                <w:sz w:val="20"/>
                <w:szCs w:val="20"/>
                <w:lang w:val="sl-SI"/>
              </w:rPr>
              <w:t>energetsk</w:t>
            </w:r>
            <w:r w:rsidR="00A77C1E" w:rsidRPr="00FF207E">
              <w:rPr>
                <w:rFonts w:cs="Arial"/>
                <w:sz w:val="20"/>
                <w:szCs w:val="20"/>
                <w:lang w:val="sl-SI"/>
              </w:rPr>
              <w:t>e</w:t>
            </w:r>
            <w:r w:rsidR="00B874E3" w:rsidRPr="00FF207E">
              <w:rPr>
                <w:rFonts w:cs="Arial"/>
                <w:sz w:val="20"/>
                <w:szCs w:val="20"/>
                <w:lang w:val="sl-SI"/>
              </w:rPr>
              <w:t xml:space="preserve"> revščin</w:t>
            </w:r>
            <w:r w:rsidR="00A77C1E" w:rsidRPr="00FF207E">
              <w:rPr>
                <w:rFonts w:cs="Arial"/>
                <w:sz w:val="20"/>
                <w:szCs w:val="20"/>
                <w:lang w:val="sl-SI"/>
              </w:rPr>
              <w:t>e</w:t>
            </w:r>
            <w:r w:rsidR="00B874E3" w:rsidRPr="00FF207E">
              <w:rPr>
                <w:rFonts w:cs="Arial"/>
                <w:sz w:val="20"/>
                <w:szCs w:val="20"/>
                <w:lang w:val="sl-SI"/>
              </w:rPr>
              <w:t xml:space="preserve"> </w:t>
            </w:r>
            <w:r w:rsidR="002452C9" w:rsidRPr="00FF207E">
              <w:rPr>
                <w:rFonts w:cs="Arial"/>
                <w:sz w:val="20"/>
                <w:szCs w:val="20"/>
                <w:lang w:val="sl-SI"/>
              </w:rPr>
              <w:t xml:space="preserve">na </w:t>
            </w:r>
            <w:r w:rsidR="009441D2" w:rsidRPr="00FF207E">
              <w:rPr>
                <w:rFonts w:cs="Arial"/>
                <w:sz w:val="20"/>
                <w:szCs w:val="20"/>
                <w:lang w:val="sl-SI"/>
              </w:rPr>
              <w:t xml:space="preserve">državni </w:t>
            </w:r>
            <w:r w:rsidR="002452C9" w:rsidRPr="00FF207E">
              <w:rPr>
                <w:rFonts w:cs="Arial"/>
                <w:sz w:val="20"/>
                <w:szCs w:val="20"/>
                <w:lang w:val="sl-SI"/>
              </w:rPr>
              <w:t>ravni</w:t>
            </w:r>
            <w:r w:rsidR="00B92F71" w:rsidRPr="00FF207E">
              <w:rPr>
                <w:rFonts w:cs="Arial"/>
                <w:sz w:val="20"/>
                <w:szCs w:val="20"/>
                <w:lang w:val="sl-SI"/>
              </w:rPr>
              <w:t>, pristojna za</w:t>
            </w:r>
            <w:r w:rsidR="00392A3C" w:rsidRPr="00FF207E">
              <w:rPr>
                <w:rFonts w:cs="Arial"/>
                <w:sz w:val="20"/>
                <w:szCs w:val="20"/>
                <w:lang w:val="sl-SI"/>
              </w:rPr>
              <w:t xml:space="preserve"> dodeljevanje investicijskih spodbud energetsko revnim</w:t>
            </w:r>
            <w:r w:rsidR="00B874E3" w:rsidRPr="00FF207E">
              <w:rPr>
                <w:rFonts w:cs="Arial"/>
                <w:sz w:val="20"/>
                <w:szCs w:val="20"/>
                <w:lang w:val="sl-SI"/>
              </w:rPr>
              <w:t>, in delujoče</w:t>
            </w:r>
            <w:r w:rsidR="0017273F" w:rsidRPr="00FF207E">
              <w:rPr>
                <w:rFonts w:cs="Arial"/>
                <w:sz w:val="20"/>
                <w:szCs w:val="20"/>
                <w:lang w:val="sl-SI"/>
              </w:rPr>
              <w:t xml:space="preserve"> </w:t>
            </w:r>
            <w:r w:rsidR="00A60F48" w:rsidRPr="00FF207E">
              <w:rPr>
                <w:rFonts w:cs="Arial"/>
                <w:sz w:val="20"/>
                <w:szCs w:val="20"/>
                <w:lang w:val="sl-SI"/>
              </w:rPr>
              <w:t>regionaln</w:t>
            </w:r>
            <w:r w:rsidR="00B874E3" w:rsidRPr="00FF207E">
              <w:rPr>
                <w:rFonts w:cs="Arial"/>
                <w:sz w:val="20"/>
                <w:szCs w:val="20"/>
                <w:lang w:val="sl-SI"/>
              </w:rPr>
              <w:t>e</w:t>
            </w:r>
            <w:r w:rsidR="00A60F48" w:rsidRPr="00FF207E">
              <w:rPr>
                <w:rFonts w:cs="Arial"/>
                <w:sz w:val="20"/>
                <w:szCs w:val="20"/>
                <w:lang w:val="sl-SI"/>
              </w:rPr>
              <w:t xml:space="preserve"> svetovaln</w:t>
            </w:r>
            <w:r w:rsidR="00B874E3" w:rsidRPr="00FF207E">
              <w:rPr>
                <w:rFonts w:cs="Arial"/>
                <w:sz w:val="20"/>
                <w:szCs w:val="20"/>
                <w:lang w:val="sl-SI"/>
              </w:rPr>
              <w:t>e</w:t>
            </w:r>
            <w:r w:rsidR="00A60F48" w:rsidRPr="00FF207E">
              <w:rPr>
                <w:rFonts w:cs="Arial"/>
                <w:sz w:val="20"/>
                <w:szCs w:val="20"/>
                <w:lang w:val="sl-SI"/>
              </w:rPr>
              <w:t xml:space="preserve"> točk</w:t>
            </w:r>
            <w:r w:rsidR="00B874E3" w:rsidRPr="00FF207E">
              <w:rPr>
                <w:rFonts w:cs="Arial"/>
                <w:sz w:val="20"/>
                <w:szCs w:val="20"/>
                <w:lang w:val="sl-SI"/>
              </w:rPr>
              <w:t>e</w:t>
            </w:r>
            <w:r w:rsidR="00A60F48" w:rsidRPr="00FF207E">
              <w:rPr>
                <w:rFonts w:cs="Arial"/>
                <w:sz w:val="20"/>
                <w:szCs w:val="20"/>
                <w:lang w:val="sl-SI"/>
              </w:rPr>
              <w:t xml:space="preserve">, ki bodo celostno podpirale energetsko revne pri prizadevanjih za zmanjševanje energetske revščine (podpora pri pridobivanju spodbud, svetovanje za izvedbo ukrepov </w:t>
            </w:r>
            <w:r w:rsidR="00B77973" w:rsidRPr="00FF207E">
              <w:rPr>
                <w:rFonts w:cs="Arial"/>
                <w:sz w:val="20"/>
                <w:szCs w:val="20"/>
                <w:lang w:val="sl-SI"/>
              </w:rPr>
              <w:t>in tako dalje</w:t>
            </w:r>
            <w:r w:rsidR="00A60F48" w:rsidRPr="00FF207E">
              <w:rPr>
                <w:rFonts w:cs="Arial"/>
                <w:sz w:val="20"/>
                <w:szCs w:val="20"/>
                <w:lang w:val="sl-SI"/>
              </w:rPr>
              <w:t>)</w:t>
            </w:r>
            <w:r w:rsidR="00B874E3" w:rsidRPr="00FF207E">
              <w:rPr>
                <w:rFonts w:cs="Arial"/>
                <w:sz w:val="20"/>
                <w:szCs w:val="20"/>
                <w:lang w:val="sl-SI"/>
              </w:rPr>
              <w:t>, projektno pisarno pa pri dodeljevanju spodbud</w:t>
            </w:r>
            <w:r w:rsidRPr="00FF207E">
              <w:rPr>
                <w:rFonts w:cs="Arial"/>
                <w:sz w:val="20"/>
                <w:szCs w:val="20"/>
                <w:lang w:val="sl-SI"/>
              </w:rPr>
              <w:t xml:space="preserve">. Delovanje projektne pisarne </w:t>
            </w:r>
            <w:r w:rsidR="00C5553E" w:rsidRPr="00FF207E">
              <w:rPr>
                <w:rFonts w:cs="Arial"/>
                <w:sz w:val="20"/>
                <w:szCs w:val="20"/>
                <w:lang w:val="sl-SI"/>
              </w:rPr>
              <w:t xml:space="preserve">in regionalnih svetovalnih točk je v obdobju </w:t>
            </w:r>
            <w:r w:rsidR="0020602F" w:rsidRPr="00FF207E">
              <w:rPr>
                <w:rFonts w:cs="Arial"/>
                <w:sz w:val="20"/>
                <w:szCs w:val="20"/>
                <w:lang w:val="sl-SI"/>
              </w:rPr>
              <w:t>2024</w:t>
            </w:r>
            <w:r w:rsidR="0020602F" w:rsidRPr="00FF207E">
              <w:rPr>
                <w:rFonts w:cs="Arial"/>
                <w:sz w:val="20"/>
                <w:szCs w:val="20"/>
                <w:lang w:val="sl-SI"/>
              </w:rPr>
              <w:sym w:font="Symbol" w:char="F02D"/>
            </w:r>
            <w:r w:rsidR="0020602F" w:rsidRPr="00FF207E">
              <w:rPr>
                <w:rFonts w:cs="Arial"/>
                <w:sz w:val="20"/>
                <w:szCs w:val="20"/>
                <w:lang w:val="sl-SI"/>
              </w:rPr>
              <w:t>2026 načrtovano v pilotnem obsegu</w:t>
            </w:r>
            <w:r w:rsidR="007033AE" w:rsidRPr="00FF207E">
              <w:rPr>
                <w:rFonts w:cs="Arial"/>
                <w:sz w:val="20"/>
                <w:szCs w:val="20"/>
                <w:lang w:val="sl-SI"/>
              </w:rPr>
              <w:t>. V primeru pozitivnih rezultatov</w:t>
            </w:r>
            <w:r w:rsidR="0020602F" w:rsidRPr="00FF207E">
              <w:rPr>
                <w:rFonts w:cs="Arial"/>
                <w:sz w:val="20"/>
                <w:szCs w:val="20"/>
                <w:lang w:val="sl-SI"/>
              </w:rPr>
              <w:t xml:space="preserve"> </w:t>
            </w:r>
            <w:r w:rsidR="005D3D35" w:rsidRPr="00FF207E">
              <w:rPr>
                <w:rFonts w:cs="Arial"/>
                <w:sz w:val="20"/>
                <w:szCs w:val="20"/>
                <w:lang w:val="sl-SI"/>
              </w:rPr>
              <w:t xml:space="preserve">pa </w:t>
            </w:r>
            <w:r w:rsidR="0020602F" w:rsidRPr="00FF207E">
              <w:rPr>
                <w:rFonts w:cs="Arial"/>
                <w:sz w:val="20"/>
                <w:szCs w:val="20"/>
                <w:lang w:val="sl-SI"/>
              </w:rPr>
              <w:t>z letom 2027 v polnem obsegu</w:t>
            </w:r>
            <w:r w:rsidR="008A6B6A" w:rsidRPr="00FF207E">
              <w:rPr>
                <w:rFonts w:cs="Arial"/>
                <w:sz w:val="20"/>
                <w:szCs w:val="20"/>
                <w:lang w:val="sl-SI"/>
              </w:rPr>
              <w:t>, torej v vseh regijah.</w:t>
            </w:r>
          </w:p>
        </w:tc>
      </w:tr>
      <w:tr w:rsidR="001A05EF" w:rsidRPr="00FF207E" w14:paraId="2AF75CE1" w14:textId="77777777" w:rsidTr="00EE4B68">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A413687" w14:textId="77777777" w:rsidR="001A05EF" w:rsidRPr="00FF207E" w:rsidRDefault="001A05EF" w:rsidP="001E304B">
            <w:pPr>
              <w:spacing w:line="240" w:lineRule="atLeast"/>
              <w:jc w:val="both"/>
              <w:rPr>
                <w:rFonts w:cs="Arial"/>
                <w:sz w:val="20"/>
                <w:szCs w:val="20"/>
                <w:lang w:val="sl-SI"/>
              </w:rPr>
            </w:pPr>
            <w:r w:rsidRPr="00FF207E">
              <w:rPr>
                <w:rFonts w:cs="Arial"/>
                <w:sz w:val="20"/>
                <w:szCs w:val="20"/>
                <w:lang w:val="sl-SI"/>
              </w:rPr>
              <w:t>Status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12D5B116" w14:textId="1331D9EB" w:rsidR="001A05EF" w:rsidRPr="00FF207E" w:rsidRDefault="007033AE" w:rsidP="001E304B">
            <w:pPr>
              <w:spacing w:line="240" w:lineRule="atLeast"/>
              <w:jc w:val="both"/>
              <w:rPr>
                <w:rFonts w:cs="Arial"/>
                <w:sz w:val="20"/>
                <w:szCs w:val="20"/>
                <w:lang w:val="sl-SI"/>
              </w:rPr>
            </w:pPr>
            <w:r w:rsidRPr="00FF207E">
              <w:rPr>
                <w:rFonts w:cs="Arial"/>
                <w:sz w:val="20"/>
                <w:szCs w:val="20"/>
                <w:lang w:val="sl-SI"/>
              </w:rPr>
              <w:t>N</w:t>
            </w:r>
            <w:r w:rsidR="00264419" w:rsidRPr="00FF207E">
              <w:rPr>
                <w:rFonts w:cs="Arial"/>
                <w:sz w:val="20"/>
                <w:szCs w:val="20"/>
                <w:lang w:val="sl-SI"/>
              </w:rPr>
              <w:t>ov</w:t>
            </w:r>
            <w:r w:rsidR="001A05EF" w:rsidRPr="00FF207E">
              <w:rPr>
                <w:rFonts w:cs="Arial"/>
                <w:sz w:val="20"/>
                <w:szCs w:val="20"/>
                <w:lang w:val="sl-SI"/>
              </w:rPr>
              <w:t xml:space="preserve"> ukrep</w:t>
            </w:r>
            <w:r w:rsidR="00264419" w:rsidRPr="00FF207E">
              <w:rPr>
                <w:rFonts w:cs="Arial"/>
                <w:sz w:val="20"/>
                <w:szCs w:val="20"/>
                <w:lang w:val="sl-SI"/>
              </w:rPr>
              <w:t xml:space="preserve">. Pri </w:t>
            </w:r>
            <w:proofErr w:type="spellStart"/>
            <w:r w:rsidR="00264419" w:rsidRPr="00FF207E">
              <w:rPr>
                <w:rFonts w:cs="Arial"/>
                <w:sz w:val="20"/>
                <w:szCs w:val="20"/>
                <w:lang w:val="sl-SI"/>
              </w:rPr>
              <w:t>Eko</w:t>
            </w:r>
            <w:proofErr w:type="spellEnd"/>
            <w:r w:rsidR="00264419" w:rsidRPr="00FF207E">
              <w:rPr>
                <w:rFonts w:cs="Arial"/>
                <w:sz w:val="20"/>
                <w:szCs w:val="20"/>
                <w:lang w:val="sl-SI"/>
              </w:rPr>
              <w:t xml:space="preserve"> skladu sicer že deluje skupina za izvajanje ukrepov za zmanjševanje energetske revščine, vendar ni organizirana kot projektna pisarna.</w:t>
            </w:r>
          </w:p>
        </w:tc>
      </w:tr>
      <w:tr w:rsidR="00922994" w:rsidRPr="00FF207E" w14:paraId="2DF23EDC" w14:textId="77777777" w:rsidTr="00EE4B68">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33570F49" w14:textId="77777777" w:rsidR="00922994" w:rsidRPr="00FF207E" w:rsidRDefault="00922994" w:rsidP="001E304B">
            <w:pPr>
              <w:spacing w:before="60" w:after="60" w:line="240" w:lineRule="atLeast"/>
              <w:jc w:val="both"/>
              <w:rPr>
                <w:rFonts w:cs="Arial"/>
                <w:b/>
                <w:lang w:val="sl-SI"/>
              </w:rPr>
            </w:pPr>
            <w:r w:rsidRPr="00FF207E">
              <w:rPr>
                <w:rFonts w:cs="Arial"/>
                <w:b/>
                <w:lang w:val="sl-SI"/>
              </w:rPr>
              <w:t>Dolgoročna vsebina ukrepa</w:t>
            </w:r>
          </w:p>
        </w:tc>
      </w:tr>
      <w:tr w:rsidR="00922994" w:rsidRPr="00FF207E" w14:paraId="04338D4F" w14:textId="77777777" w:rsidTr="00EE4B68">
        <w:tc>
          <w:tcPr>
            <w:tcW w:w="9062" w:type="dxa"/>
            <w:gridSpan w:val="3"/>
            <w:tcBorders>
              <w:top w:val="single" w:sz="4" w:space="0" w:color="548DD4" w:themeColor="text2" w:themeTint="99"/>
              <w:left w:val="nil"/>
              <w:bottom w:val="single" w:sz="4" w:space="0" w:color="548DD4" w:themeColor="text2" w:themeTint="99"/>
              <w:right w:val="nil"/>
            </w:tcBorders>
          </w:tcPr>
          <w:p w14:paraId="41624182" w14:textId="77777777" w:rsidR="00922994" w:rsidRPr="00FF207E" w:rsidRDefault="00922994" w:rsidP="001E304B">
            <w:pPr>
              <w:spacing w:line="240" w:lineRule="atLeast"/>
              <w:jc w:val="both"/>
              <w:rPr>
                <w:rFonts w:cs="Arial"/>
                <w:sz w:val="20"/>
                <w:szCs w:val="20"/>
                <w:lang w:val="sl-SI"/>
              </w:rPr>
            </w:pPr>
            <w:r w:rsidRPr="00FF207E">
              <w:rPr>
                <w:rFonts w:cs="Arial"/>
                <w:sz w:val="20"/>
                <w:szCs w:val="20"/>
                <w:lang w:val="sl-SI"/>
              </w:rPr>
              <w:t>V okviru ukrepa je treba dolgoročno:</w:t>
            </w:r>
          </w:p>
          <w:p w14:paraId="7177EBEB" w14:textId="5FE62A0C" w:rsidR="00922994" w:rsidRPr="00FF207E" w:rsidRDefault="000405F4" w:rsidP="001E304B">
            <w:pPr>
              <w:pStyle w:val="Odstavekseznama"/>
              <w:numPr>
                <w:ilvl w:val="0"/>
                <w:numId w:val="4"/>
              </w:numPr>
              <w:spacing w:line="240" w:lineRule="atLeast"/>
              <w:ind w:left="357" w:hanging="357"/>
              <w:jc w:val="both"/>
              <w:rPr>
                <w:rFonts w:cs="Arial"/>
                <w:sz w:val="20"/>
                <w:szCs w:val="20"/>
                <w:lang w:val="sl-SI"/>
              </w:rPr>
            </w:pPr>
            <w:r w:rsidRPr="00FF207E">
              <w:rPr>
                <w:rFonts w:cs="Arial"/>
                <w:b/>
                <w:sz w:val="20"/>
                <w:szCs w:val="20"/>
                <w:lang w:val="sl-SI"/>
              </w:rPr>
              <w:t xml:space="preserve">na </w:t>
            </w:r>
            <w:r w:rsidR="009441D2" w:rsidRPr="00FF207E">
              <w:rPr>
                <w:rFonts w:cs="Arial"/>
                <w:b/>
                <w:sz w:val="20"/>
                <w:szCs w:val="20"/>
                <w:lang w:val="sl-SI"/>
              </w:rPr>
              <w:t xml:space="preserve">državni </w:t>
            </w:r>
            <w:r w:rsidRPr="00FF207E">
              <w:rPr>
                <w:rFonts w:cs="Arial"/>
                <w:b/>
                <w:sz w:val="20"/>
                <w:szCs w:val="20"/>
                <w:lang w:val="sl-SI"/>
              </w:rPr>
              <w:t xml:space="preserve">ravni </w:t>
            </w:r>
            <w:r w:rsidR="00922994" w:rsidRPr="00FF207E">
              <w:rPr>
                <w:rFonts w:cs="Arial"/>
                <w:b/>
                <w:sz w:val="20"/>
                <w:szCs w:val="20"/>
                <w:lang w:val="sl-SI"/>
              </w:rPr>
              <w:t xml:space="preserve">vzpostaviti </w:t>
            </w:r>
            <w:r w:rsidR="00682482" w:rsidRPr="00FF207E">
              <w:rPr>
                <w:rFonts w:cs="Arial"/>
                <w:b/>
                <w:sz w:val="20"/>
                <w:szCs w:val="20"/>
                <w:lang w:val="sl-SI"/>
              </w:rPr>
              <w:t xml:space="preserve">in zagotoviti delovanje </w:t>
            </w:r>
            <w:r w:rsidR="00922994" w:rsidRPr="00FF207E">
              <w:rPr>
                <w:rFonts w:cs="Arial"/>
                <w:b/>
                <w:sz w:val="20"/>
                <w:szCs w:val="20"/>
                <w:lang w:val="sl-SI"/>
              </w:rPr>
              <w:t>projektn</w:t>
            </w:r>
            <w:r w:rsidR="00682482" w:rsidRPr="00FF207E">
              <w:rPr>
                <w:rFonts w:cs="Arial"/>
                <w:b/>
                <w:sz w:val="20"/>
                <w:szCs w:val="20"/>
                <w:lang w:val="sl-SI"/>
              </w:rPr>
              <w:t>e</w:t>
            </w:r>
            <w:r w:rsidR="00922994" w:rsidRPr="00FF207E">
              <w:rPr>
                <w:rFonts w:cs="Arial"/>
                <w:b/>
                <w:sz w:val="20"/>
                <w:szCs w:val="20"/>
                <w:lang w:val="sl-SI"/>
              </w:rPr>
              <w:t xml:space="preserve"> pisarn</w:t>
            </w:r>
            <w:r w:rsidR="00682482" w:rsidRPr="00FF207E">
              <w:rPr>
                <w:rFonts w:cs="Arial"/>
                <w:b/>
                <w:sz w:val="20"/>
                <w:szCs w:val="20"/>
                <w:lang w:val="sl-SI"/>
              </w:rPr>
              <w:t>e</w:t>
            </w:r>
            <w:r w:rsidR="00922994" w:rsidRPr="00FF207E">
              <w:rPr>
                <w:rFonts w:cs="Arial"/>
                <w:b/>
                <w:sz w:val="20"/>
                <w:szCs w:val="20"/>
                <w:lang w:val="sl-SI"/>
              </w:rPr>
              <w:t xml:space="preserve"> za energetsko revščino</w:t>
            </w:r>
            <w:r w:rsidR="00922994" w:rsidRPr="00FF207E">
              <w:rPr>
                <w:rFonts w:cs="Arial"/>
                <w:sz w:val="20"/>
                <w:szCs w:val="20"/>
                <w:lang w:val="sl-SI"/>
              </w:rPr>
              <w:t>. Projektna pisarna</w:t>
            </w:r>
            <w:r w:rsidR="00EA45D0" w:rsidRPr="00FF207E">
              <w:rPr>
                <w:rFonts w:cs="Arial"/>
                <w:sz w:val="20"/>
                <w:szCs w:val="20"/>
                <w:lang w:val="sl-SI"/>
              </w:rPr>
              <w:t xml:space="preserve"> je pristojna za dodeljevanje investicijskih spodbud energetsko revnim (ukrep </w:t>
            </w:r>
            <w:hyperlink w:anchor="_Investicijske_spodbude_za" w:history="1">
              <w:r w:rsidR="00EA45D0" w:rsidRPr="00FF207E">
                <w:rPr>
                  <w:rStyle w:val="Hiperpovezava"/>
                  <w:rFonts w:cs="Arial"/>
                  <w:sz w:val="20"/>
                  <w:szCs w:val="20"/>
                  <w:lang w:val="sl-SI"/>
                </w:rPr>
                <w:t>ER_Shema-01</w:t>
              </w:r>
            </w:hyperlink>
            <w:r w:rsidR="00EA45D0" w:rsidRPr="00FF207E">
              <w:rPr>
                <w:rFonts w:cs="Arial"/>
                <w:sz w:val="20"/>
                <w:szCs w:val="20"/>
                <w:lang w:val="sl-SI"/>
              </w:rPr>
              <w:t>),</w:t>
            </w:r>
            <w:r w:rsidR="00922994" w:rsidRPr="00FF207E">
              <w:rPr>
                <w:rFonts w:cs="Arial"/>
                <w:sz w:val="20"/>
                <w:szCs w:val="20"/>
                <w:lang w:val="sl-SI"/>
              </w:rPr>
              <w:t xml:space="preserve"> </w:t>
            </w:r>
            <w:r w:rsidR="004E6BDF" w:rsidRPr="00FF207E">
              <w:rPr>
                <w:rFonts w:cs="Arial"/>
                <w:sz w:val="20"/>
                <w:szCs w:val="20"/>
                <w:lang w:val="sl-SI"/>
              </w:rPr>
              <w:t xml:space="preserve">skupaj z regionalnimi svetovalnimi točkami </w:t>
            </w:r>
            <w:r w:rsidR="00EA45D0" w:rsidRPr="00FF207E">
              <w:rPr>
                <w:rFonts w:cs="Arial"/>
                <w:sz w:val="20"/>
                <w:szCs w:val="20"/>
                <w:lang w:val="sl-SI"/>
              </w:rPr>
              <w:t xml:space="preserve">pa </w:t>
            </w:r>
            <w:r w:rsidR="00922994" w:rsidRPr="00FF207E">
              <w:rPr>
                <w:rFonts w:cs="Arial"/>
                <w:sz w:val="20"/>
                <w:szCs w:val="20"/>
                <w:lang w:val="sl-SI"/>
              </w:rPr>
              <w:t xml:space="preserve">zagotavlja celostno multidisciplinarno pomoč (tehnična, socialna in osebna pomoč) za energetsko revne </w:t>
            </w:r>
            <w:r w:rsidR="00922994" w:rsidRPr="00FF207E">
              <w:rPr>
                <w:rFonts w:cs="Arial"/>
                <w:spacing w:val="-2"/>
                <w:sz w:val="20"/>
                <w:szCs w:val="20"/>
                <w:lang w:val="sl-SI"/>
              </w:rPr>
              <w:t xml:space="preserve">na enem mestu, vključno </w:t>
            </w:r>
            <w:r w:rsidR="001B340D" w:rsidRPr="00FF207E">
              <w:rPr>
                <w:rFonts w:cs="Arial"/>
                <w:spacing w:val="-2"/>
                <w:sz w:val="20"/>
                <w:szCs w:val="20"/>
                <w:lang w:val="sl-SI"/>
              </w:rPr>
              <w:t xml:space="preserve">z </w:t>
            </w:r>
            <w:r w:rsidR="00922994" w:rsidRPr="00FF207E">
              <w:rPr>
                <w:rFonts w:cs="Arial"/>
                <w:spacing w:val="-2"/>
                <w:sz w:val="20"/>
                <w:szCs w:val="20"/>
                <w:lang w:val="sl-SI"/>
              </w:rPr>
              <w:t>energetskim svetovanjem</w:t>
            </w:r>
            <w:r w:rsidR="003D4760" w:rsidRPr="00FF207E">
              <w:rPr>
                <w:rFonts w:cs="Arial"/>
                <w:spacing w:val="-2"/>
                <w:sz w:val="20"/>
                <w:szCs w:val="20"/>
                <w:lang w:val="sl-SI"/>
              </w:rPr>
              <w:t xml:space="preserve"> za izvedbo ukrepov</w:t>
            </w:r>
            <w:r w:rsidR="00922994" w:rsidRPr="00FF207E">
              <w:rPr>
                <w:rFonts w:cs="Arial"/>
                <w:spacing w:val="-2"/>
                <w:sz w:val="20"/>
                <w:szCs w:val="20"/>
                <w:lang w:val="sl-SI"/>
              </w:rPr>
              <w:t xml:space="preserve"> (ukrep </w:t>
            </w:r>
            <w:hyperlink w:anchor="_Energetsko_svetovanje_za" w:history="1">
              <w:r w:rsidR="00922994" w:rsidRPr="00FF207E">
                <w:rPr>
                  <w:rStyle w:val="Hiperpovezava"/>
                  <w:rFonts w:cs="Arial"/>
                  <w:spacing w:val="-2"/>
                  <w:sz w:val="20"/>
                  <w:szCs w:val="20"/>
                  <w:lang w:val="sl-SI"/>
                </w:rPr>
                <w:t>ER_Shema-04</w:t>
              </w:r>
            </w:hyperlink>
            <w:r w:rsidR="00922994" w:rsidRPr="00FF207E">
              <w:rPr>
                <w:rFonts w:cs="Arial"/>
                <w:spacing w:val="-2"/>
                <w:sz w:val="20"/>
                <w:szCs w:val="20"/>
                <w:lang w:val="sl-SI"/>
              </w:rPr>
              <w:t>)</w:t>
            </w:r>
            <w:r w:rsidR="00922994" w:rsidRPr="00FF207E">
              <w:rPr>
                <w:rFonts w:cs="Arial"/>
                <w:sz w:val="20"/>
                <w:szCs w:val="20"/>
                <w:lang w:val="sl-SI"/>
              </w:rPr>
              <w:t>, tudi glede možnosti za financiranje, ter informiranjem in ozaveščanjem</w:t>
            </w:r>
            <w:r w:rsidR="009C00BE" w:rsidRPr="00FF207E">
              <w:rPr>
                <w:rFonts w:cs="Arial"/>
                <w:sz w:val="20"/>
                <w:szCs w:val="20"/>
                <w:lang w:val="sl-SI"/>
              </w:rPr>
              <w:t xml:space="preserve"> (ukrep </w:t>
            </w:r>
            <w:hyperlink w:anchor="_Informiranje_in_ozaveščanje_1" w:history="1">
              <w:r w:rsidR="009C00BE" w:rsidRPr="00FF207E">
                <w:rPr>
                  <w:rStyle w:val="Hiperpovezava"/>
                  <w:rFonts w:cs="Arial"/>
                  <w:sz w:val="20"/>
                  <w:szCs w:val="20"/>
                  <w:lang w:val="sl-SI"/>
                </w:rPr>
                <w:t>ER_Shema-06</w:t>
              </w:r>
            </w:hyperlink>
            <w:r w:rsidR="009C00BE" w:rsidRPr="00FF207E">
              <w:rPr>
                <w:rFonts w:cs="Arial"/>
                <w:sz w:val="20"/>
                <w:szCs w:val="20"/>
                <w:lang w:val="sl-SI"/>
              </w:rPr>
              <w:t>)</w:t>
            </w:r>
            <w:r w:rsidR="00922994" w:rsidRPr="00FF207E">
              <w:rPr>
                <w:rFonts w:cs="Arial"/>
                <w:sz w:val="20"/>
                <w:szCs w:val="20"/>
                <w:lang w:val="sl-SI"/>
              </w:rPr>
              <w:t>;</w:t>
            </w:r>
          </w:p>
          <w:p w14:paraId="47F17667" w14:textId="1BE7F949" w:rsidR="00580A6F" w:rsidRPr="00FF207E" w:rsidRDefault="00CF69E1" w:rsidP="001E304B">
            <w:pPr>
              <w:pStyle w:val="Odstavekseznama"/>
              <w:numPr>
                <w:ilvl w:val="0"/>
                <w:numId w:val="4"/>
              </w:numPr>
              <w:spacing w:line="240" w:lineRule="atLeast"/>
              <w:ind w:left="357" w:hanging="357"/>
              <w:jc w:val="both"/>
              <w:rPr>
                <w:rFonts w:cs="Arial"/>
                <w:sz w:val="20"/>
                <w:szCs w:val="20"/>
                <w:lang w:val="sl-SI"/>
              </w:rPr>
            </w:pPr>
            <w:r w:rsidRPr="00FF207E">
              <w:rPr>
                <w:rFonts w:cs="Arial"/>
                <w:b/>
                <w:sz w:val="20"/>
                <w:szCs w:val="20"/>
                <w:lang w:val="sl-SI"/>
              </w:rPr>
              <w:t xml:space="preserve">na regionalni ravni </w:t>
            </w:r>
            <w:r w:rsidR="00580A6F" w:rsidRPr="00FF207E">
              <w:rPr>
                <w:rFonts w:cs="Arial"/>
                <w:b/>
                <w:sz w:val="20"/>
                <w:szCs w:val="20"/>
                <w:lang w:val="sl-SI"/>
              </w:rPr>
              <w:t xml:space="preserve">vzpostaviti </w:t>
            </w:r>
            <w:r w:rsidRPr="00FF207E">
              <w:rPr>
                <w:rFonts w:cs="Arial"/>
                <w:b/>
                <w:sz w:val="20"/>
                <w:szCs w:val="20"/>
                <w:lang w:val="sl-SI"/>
              </w:rPr>
              <w:t xml:space="preserve">in zagotoviti delovanje </w:t>
            </w:r>
            <w:r w:rsidR="001B6F61" w:rsidRPr="00FF207E">
              <w:rPr>
                <w:rFonts w:cs="Arial"/>
                <w:b/>
                <w:bCs/>
                <w:sz w:val="20"/>
                <w:szCs w:val="20"/>
                <w:lang w:val="sl-SI"/>
              </w:rPr>
              <w:t>regionaln</w:t>
            </w:r>
            <w:r w:rsidRPr="00FF207E">
              <w:rPr>
                <w:rFonts w:cs="Arial"/>
                <w:b/>
                <w:bCs/>
                <w:sz w:val="20"/>
                <w:szCs w:val="20"/>
                <w:lang w:val="sl-SI"/>
              </w:rPr>
              <w:t>ih</w:t>
            </w:r>
            <w:r w:rsidR="00580A6F" w:rsidRPr="00FF207E">
              <w:rPr>
                <w:rFonts w:cs="Arial"/>
                <w:b/>
                <w:bCs/>
                <w:sz w:val="20"/>
                <w:szCs w:val="20"/>
                <w:lang w:val="sl-SI"/>
              </w:rPr>
              <w:t xml:space="preserve"> svetovaln</w:t>
            </w:r>
            <w:r w:rsidRPr="00FF207E">
              <w:rPr>
                <w:rFonts w:cs="Arial"/>
                <w:b/>
                <w:bCs/>
                <w:sz w:val="20"/>
                <w:szCs w:val="20"/>
                <w:lang w:val="sl-SI"/>
              </w:rPr>
              <w:t>ih</w:t>
            </w:r>
            <w:r w:rsidR="00580A6F" w:rsidRPr="00FF207E">
              <w:rPr>
                <w:rFonts w:cs="Arial"/>
                <w:b/>
                <w:bCs/>
                <w:sz w:val="20"/>
                <w:szCs w:val="20"/>
                <w:lang w:val="sl-SI"/>
              </w:rPr>
              <w:t xml:space="preserve"> </w:t>
            </w:r>
            <w:r w:rsidR="001B6F61" w:rsidRPr="00FF207E">
              <w:rPr>
                <w:rFonts w:cs="Arial"/>
                <w:b/>
                <w:bCs/>
                <w:sz w:val="20"/>
                <w:szCs w:val="20"/>
                <w:lang w:val="sl-SI"/>
              </w:rPr>
              <w:t>točk</w:t>
            </w:r>
            <w:r w:rsidRPr="00FF207E">
              <w:rPr>
                <w:rFonts w:cs="Arial"/>
                <w:b/>
                <w:bCs/>
                <w:sz w:val="20"/>
                <w:szCs w:val="20"/>
                <w:lang w:val="sl-SI"/>
              </w:rPr>
              <w:t xml:space="preserve"> v vseh regijah</w:t>
            </w:r>
            <w:r w:rsidR="00580A6F" w:rsidRPr="00FF207E">
              <w:rPr>
                <w:rFonts w:cs="Arial"/>
                <w:sz w:val="20"/>
                <w:szCs w:val="20"/>
                <w:lang w:val="sl-SI"/>
              </w:rPr>
              <w:t>, prek kater</w:t>
            </w:r>
            <w:r w:rsidR="001B6F61" w:rsidRPr="00FF207E">
              <w:rPr>
                <w:rFonts w:cs="Arial"/>
                <w:sz w:val="20"/>
                <w:szCs w:val="20"/>
                <w:lang w:val="sl-SI"/>
              </w:rPr>
              <w:t>ih</w:t>
            </w:r>
            <w:r w:rsidR="00580A6F" w:rsidRPr="00FF207E">
              <w:rPr>
                <w:rFonts w:cs="Arial"/>
                <w:sz w:val="20"/>
                <w:szCs w:val="20"/>
                <w:lang w:val="sl-SI"/>
              </w:rPr>
              <w:t xml:space="preserve"> bosta podpora in svetovanje energetsko revnim dostopna </w:t>
            </w:r>
            <w:r w:rsidR="001B6F61" w:rsidRPr="00FF207E">
              <w:rPr>
                <w:rFonts w:cs="Arial"/>
                <w:sz w:val="20"/>
                <w:szCs w:val="20"/>
                <w:lang w:val="sl-SI"/>
              </w:rPr>
              <w:t>regionalno</w:t>
            </w:r>
            <w:r w:rsidRPr="00FF207E">
              <w:rPr>
                <w:rFonts w:cs="Arial"/>
                <w:sz w:val="20"/>
                <w:szCs w:val="20"/>
                <w:lang w:val="sl-SI"/>
              </w:rPr>
              <w:t>;</w:t>
            </w:r>
            <w:r w:rsidR="009C00BE" w:rsidRPr="00FF207E">
              <w:rPr>
                <w:rFonts w:cs="Arial"/>
                <w:sz w:val="20"/>
                <w:szCs w:val="20"/>
                <w:lang w:val="sl-SI"/>
              </w:rPr>
              <w:t xml:space="preserve"> regionalne svetovalne točke so ob tem tudi koordinatorj</w:t>
            </w:r>
            <w:r w:rsidR="005F35A6" w:rsidRPr="00FF207E">
              <w:rPr>
                <w:rFonts w:cs="Arial"/>
                <w:sz w:val="20"/>
                <w:szCs w:val="20"/>
                <w:lang w:val="sl-SI"/>
              </w:rPr>
              <w:t>i</w:t>
            </w:r>
            <w:r w:rsidR="009C00BE" w:rsidRPr="00FF207E">
              <w:rPr>
                <w:rFonts w:cs="Arial"/>
                <w:sz w:val="20"/>
                <w:szCs w:val="20"/>
                <w:lang w:val="sl-SI"/>
              </w:rPr>
              <w:t xml:space="preserve"> regionalnih </w:t>
            </w:r>
            <w:r w:rsidR="005F35A6" w:rsidRPr="00FF207E">
              <w:rPr>
                <w:rFonts w:cs="Arial"/>
                <w:sz w:val="20"/>
                <w:szCs w:val="20"/>
                <w:lang w:val="sl-SI"/>
              </w:rPr>
              <w:t>neformalnih</w:t>
            </w:r>
            <w:r w:rsidR="009C00BE" w:rsidRPr="00FF207E">
              <w:rPr>
                <w:rFonts w:cs="Arial"/>
                <w:sz w:val="20"/>
                <w:szCs w:val="20"/>
                <w:lang w:val="sl-SI"/>
              </w:rPr>
              <w:t xml:space="preserve"> mrež za informiranje in </w:t>
            </w:r>
            <w:r w:rsidR="005F35A6" w:rsidRPr="00FF207E">
              <w:rPr>
                <w:rFonts w:cs="Arial"/>
                <w:sz w:val="20"/>
                <w:szCs w:val="20"/>
                <w:lang w:val="sl-SI"/>
              </w:rPr>
              <w:t xml:space="preserve">ozaveščanje (ukrep </w:t>
            </w:r>
            <w:hyperlink w:anchor="_Neformalna_mreža_za" w:history="1">
              <w:r w:rsidR="005F35A6" w:rsidRPr="00FF207E">
                <w:rPr>
                  <w:rStyle w:val="Hiperpovezava"/>
                  <w:rFonts w:cs="Arial"/>
                  <w:sz w:val="20"/>
                  <w:szCs w:val="20"/>
                  <w:lang w:val="sl-SI"/>
                </w:rPr>
                <w:t>ER_Shema-03</w:t>
              </w:r>
            </w:hyperlink>
            <w:r w:rsidR="005F35A6" w:rsidRPr="00FF207E">
              <w:rPr>
                <w:rFonts w:cs="Arial"/>
                <w:sz w:val="20"/>
                <w:szCs w:val="20"/>
                <w:lang w:val="sl-SI"/>
              </w:rPr>
              <w:t>);</w:t>
            </w:r>
          </w:p>
          <w:p w14:paraId="17D93E31" w14:textId="691AD2FC" w:rsidR="00CF69E1" w:rsidRPr="00FF207E" w:rsidRDefault="00CF69E1" w:rsidP="005D3D35">
            <w:pPr>
              <w:pStyle w:val="Odstavekseznama"/>
              <w:numPr>
                <w:ilvl w:val="0"/>
                <w:numId w:val="4"/>
              </w:numPr>
              <w:spacing w:line="240" w:lineRule="atLeast"/>
              <w:ind w:left="357" w:hanging="357"/>
              <w:jc w:val="both"/>
              <w:rPr>
                <w:rFonts w:cs="Arial"/>
                <w:sz w:val="20"/>
                <w:szCs w:val="20"/>
                <w:lang w:val="sl-SI"/>
              </w:rPr>
            </w:pPr>
            <w:r w:rsidRPr="00FF207E">
              <w:rPr>
                <w:rFonts w:cs="Arial"/>
                <w:b/>
                <w:sz w:val="20"/>
                <w:szCs w:val="20"/>
                <w:lang w:val="sl-SI"/>
              </w:rPr>
              <w:t>zagotoviti kadre</w:t>
            </w:r>
            <w:r w:rsidRPr="00FF207E">
              <w:rPr>
                <w:rFonts w:cs="Arial"/>
                <w:sz w:val="20"/>
                <w:szCs w:val="20"/>
                <w:lang w:val="sl-SI"/>
              </w:rPr>
              <w:t xml:space="preserve"> (s tehničnega, organizacijskega, socialnega, psihološkega, komunikacijskega področja) </w:t>
            </w:r>
            <w:r w:rsidR="005D3D35" w:rsidRPr="00FF207E">
              <w:rPr>
                <w:rFonts w:cs="Arial"/>
                <w:b/>
                <w:sz w:val="20"/>
                <w:szCs w:val="20"/>
                <w:lang w:val="sl-SI"/>
              </w:rPr>
              <w:t xml:space="preserve">ter </w:t>
            </w:r>
            <w:r w:rsidRPr="00FF207E">
              <w:rPr>
                <w:rFonts w:cs="Arial"/>
                <w:b/>
                <w:sz w:val="20"/>
                <w:szCs w:val="20"/>
                <w:lang w:val="sl-SI"/>
              </w:rPr>
              <w:t>sredstva</w:t>
            </w:r>
            <w:r w:rsidRPr="00FF207E">
              <w:rPr>
                <w:rFonts w:cs="Arial"/>
                <w:sz w:val="20"/>
                <w:szCs w:val="20"/>
                <w:lang w:val="sl-SI"/>
              </w:rPr>
              <w:t xml:space="preserve"> za delovanje pisarne in regionalnih svetovalnih točk.</w:t>
            </w:r>
          </w:p>
        </w:tc>
      </w:tr>
      <w:tr w:rsidR="00922994" w:rsidRPr="00FF207E" w14:paraId="26F81C6B" w14:textId="77777777" w:rsidTr="00EE4B68">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48C0C952" w14:textId="451D0AD4" w:rsidR="00922994" w:rsidRPr="00FF207E" w:rsidRDefault="00922994" w:rsidP="009441D2">
            <w:pPr>
              <w:keepNext/>
              <w:spacing w:before="60" w:after="60" w:line="240" w:lineRule="atLeast"/>
              <w:jc w:val="both"/>
              <w:rPr>
                <w:rFonts w:cs="Arial"/>
                <w:b/>
                <w:lang w:val="sl-SI"/>
              </w:rPr>
            </w:pPr>
            <w:r w:rsidRPr="00FF207E">
              <w:rPr>
                <w:rFonts w:cs="Arial"/>
                <w:b/>
                <w:lang w:val="sl-SI"/>
              </w:rPr>
              <w:lastRenderedPageBreak/>
              <w:t>Kratkoročna izvedba ukrepa v obdobju 2024–2026</w:t>
            </w:r>
            <w:r w:rsidR="00580A6F" w:rsidRPr="00FF207E">
              <w:rPr>
                <w:rFonts w:cs="Arial"/>
                <w:b/>
                <w:lang w:val="sl-SI"/>
              </w:rPr>
              <w:t xml:space="preserve"> na </w:t>
            </w:r>
            <w:r w:rsidR="009441D2" w:rsidRPr="00FF207E">
              <w:rPr>
                <w:rFonts w:cs="Arial"/>
                <w:b/>
                <w:lang w:val="sl-SI"/>
              </w:rPr>
              <w:t xml:space="preserve">državni </w:t>
            </w:r>
            <w:r w:rsidR="00580A6F" w:rsidRPr="00FF207E">
              <w:rPr>
                <w:rFonts w:cs="Arial"/>
                <w:b/>
                <w:lang w:val="sl-SI"/>
              </w:rPr>
              <w:t>ravni</w:t>
            </w:r>
          </w:p>
        </w:tc>
      </w:tr>
      <w:tr w:rsidR="00922994" w:rsidRPr="00FF207E" w14:paraId="67DFBDB1" w14:textId="77777777" w:rsidTr="00140594">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1766EF3E" w14:textId="77777777" w:rsidR="00922994" w:rsidRPr="00FF207E" w:rsidRDefault="00922994" w:rsidP="001E304B">
            <w:pPr>
              <w:spacing w:line="240" w:lineRule="atLeast"/>
              <w:jc w:val="both"/>
              <w:rPr>
                <w:rFonts w:cs="Arial"/>
                <w:sz w:val="20"/>
                <w:szCs w:val="20"/>
                <w:lang w:val="sl-SI"/>
              </w:rPr>
            </w:pPr>
            <w:r w:rsidRPr="00FF207E">
              <w:rPr>
                <w:rFonts w:cs="Arial"/>
                <w:sz w:val="20"/>
                <w:szCs w:val="20"/>
                <w:lang w:val="sl-SI"/>
              </w:rPr>
              <w:t>Kratkoročni cilj</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2F4E41B" w14:textId="2C258329" w:rsidR="00922994" w:rsidRPr="00FF207E" w:rsidRDefault="00922994" w:rsidP="003E3875">
            <w:pPr>
              <w:spacing w:line="240" w:lineRule="atLeast"/>
              <w:jc w:val="both"/>
              <w:rPr>
                <w:rFonts w:cs="Arial"/>
                <w:sz w:val="20"/>
                <w:szCs w:val="20"/>
                <w:lang w:val="sl-SI"/>
              </w:rPr>
            </w:pPr>
            <w:r w:rsidRPr="00FF207E">
              <w:rPr>
                <w:rFonts w:cs="Arial"/>
                <w:sz w:val="20"/>
                <w:szCs w:val="20"/>
                <w:lang w:val="sl-SI"/>
              </w:rPr>
              <w:t xml:space="preserve">Vzpostaviti delujočo </w:t>
            </w:r>
            <w:r w:rsidR="005F35A6" w:rsidRPr="00FF207E">
              <w:rPr>
                <w:rFonts w:cs="Arial"/>
                <w:sz w:val="20"/>
                <w:szCs w:val="20"/>
                <w:lang w:val="sl-SI"/>
              </w:rPr>
              <w:t xml:space="preserve">projektno </w:t>
            </w:r>
            <w:r w:rsidRPr="00FF207E">
              <w:rPr>
                <w:rFonts w:cs="Arial"/>
                <w:sz w:val="20"/>
                <w:szCs w:val="20"/>
                <w:lang w:val="sl-SI"/>
              </w:rPr>
              <w:t xml:space="preserve">pisarno </w:t>
            </w:r>
            <w:r w:rsidR="005768C1" w:rsidRPr="00FF207E">
              <w:rPr>
                <w:rFonts w:cs="Arial"/>
                <w:sz w:val="20"/>
                <w:szCs w:val="20"/>
                <w:lang w:val="sl-SI"/>
              </w:rPr>
              <w:t xml:space="preserve">v pilotnem obsegu </w:t>
            </w:r>
            <w:r w:rsidRPr="00FF207E">
              <w:rPr>
                <w:rFonts w:cs="Arial"/>
                <w:sz w:val="20"/>
                <w:szCs w:val="20"/>
                <w:lang w:val="sl-SI"/>
              </w:rPr>
              <w:t xml:space="preserve">s </w:t>
            </w:r>
            <w:r w:rsidR="003E3875" w:rsidRPr="00FF207E">
              <w:rPr>
                <w:rFonts w:cs="Arial"/>
                <w:sz w:val="20"/>
                <w:szCs w:val="20"/>
                <w:lang w:val="sl-SI"/>
              </w:rPr>
              <w:t xml:space="preserve">osmimi </w:t>
            </w:r>
            <w:r w:rsidR="002452C9" w:rsidRPr="00FF207E">
              <w:rPr>
                <w:rFonts w:cs="Arial"/>
                <w:sz w:val="20"/>
                <w:szCs w:val="20"/>
                <w:lang w:val="sl-SI"/>
              </w:rPr>
              <w:t xml:space="preserve"> </w:t>
            </w:r>
            <w:r w:rsidRPr="00FF207E">
              <w:rPr>
                <w:rFonts w:cs="Arial"/>
                <w:sz w:val="20"/>
                <w:szCs w:val="20"/>
                <w:lang w:val="sl-SI"/>
              </w:rPr>
              <w:t>zaposlenimi</w:t>
            </w:r>
            <w:r w:rsidR="001B6F61" w:rsidRPr="00FF207E">
              <w:rPr>
                <w:rFonts w:cs="Arial"/>
                <w:sz w:val="20"/>
                <w:szCs w:val="20"/>
                <w:lang w:val="sl-SI"/>
              </w:rPr>
              <w:t xml:space="preserve">, ki se pri </w:t>
            </w:r>
            <w:proofErr w:type="spellStart"/>
            <w:r w:rsidR="001B6F61" w:rsidRPr="00FF207E">
              <w:rPr>
                <w:rFonts w:cs="Arial"/>
                <w:sz w:val="20"/>
                <w:szCs w:val="20"/>
                <w:lang w:val="sl-SI"/>
              </w:rPr>
              <w:t>Eko</w:t>
            </w:r>
            <w:proofErr w:type="spellEnd"/>
            <w:r w:rsidR="001B6F61" w:rsidRPr="00FF207E">
              <w:rPr>
                <w:rFonts w:cs="Arial"/>
                <w:sz w:val="20"/>
                <w:szCs w:val="20"/>
                <w:lang w:val="sl-SI"/>
              </w:rPr>
              <w:t xml:space="preserve"> skladu ukvarja</w:t>
            </w:r>
            <w:r w:rsidR="003E3875" w:rsidRPr="00FF207E">
              <w:rPr>
                <w:rFonts w:cs="Arial"/>
                <w:sz w:val="20"/>
                <w:szCs w:val="20"/>
                <w:lang w:val="sl-SI"/>
              </w:rPr>
              <w:t>jo</w:t>
            </w:r>
            <w:r w:rsidR="001B6F61" w:rsidRPr="00FF207E">
              <w:rPr>
                <w:rFonts w:cs="Arial"/>
                <w:sz w:val="20"/>
                <w:szCs w:val="20"/>
                <w:lang w:val="sl-SI"/>
              </w:rPr>
              <w:t xml:space="preserve"> s to tematiko</w:t>
            </w:r>
            <w:r w:rsidR="00537177" w:rsidRPr="00FF207E">
              <w:rPr>
                <w:rFonts w:cs="Arial"/>
                <w:sz w:val="20"/>
                <w:szCs w:val="20"/>
                <w:lang w:val="sl-SI"/>
              </w:rPr>
              <w:t>. Projektna pisarna</w:t>
            </w:r>
            <w:r w:rsidRPr="00FF207E">
              <w:rPr>
                <w:rFonts w:cs="Arial"/>
                <w:sz w:val="20"/>
                <w:szCs w:val="20"/>
                <w:lang w:val="sl-SI"/>
              </w:rPr>
              <w:t xml:space="preserve"> bo </w:t>
            </w:r>
            <w:r w:rsidR="009B292D" w:rsidRPr="00FF207E">
              <w:rPr>
                <w:rFonts w:cs="Arial"/>
                <w:sz w:val="20"/>
                <w:szCs w:val="20"/>
                <w:lang w:val="sl-SI"/>
              </w:rPr>
              <w:t xml:space="preserve">skrbela za </w:t>
            </w:r>
            <w:r w:rsidR="005F35A6" w:rsidRPr="00FF207E">
              <w:rPr>
                <w:rFonts w:cs="Arial"/>
                <w:sz w:val="20"/>
                <w:szCs w:val="20"/>
                <w:lang w:val="sl-SI"/>
              </w:rPr>
              <w:t>dodeljevanje investicijskih spodbud</w:t>
            </w:r>
            <w:r w:rsidR="00CF3189" w:rsidRPr="00FF207E">
              <w:rPr>
                <w:rFonts w:cs="Arial"/>
                <w:sz w:val="20"/>
                <w:szCs w:val="20"/>
                <w:lang w:val="sl-SI"/>
              </w:rPr>
              <w:t xml:space="preserve"> za zmanjševanje energetske revščine,</w:t>
            </w:r>
            <w:r w:rsidR="005F35A6" w:rsidRPr="00FF207E">
              <w:rPr>
                <w:rFonts w:cs="Arial"/>
                <w:sz w:val="20"/>
                <w:szCs w:val="20"/>
                <w:lang w:val="sl-SI"/>
              </w:rPr>
              <w:t xml:space="preserve"> </w:t>
            </w:r>
            <w:r w:rsidRPr="00FF207E">
              <w:rPr>
                <w:rFonts w:cs="Arial"/>
                <w:sz w:val="20"/>
                <w:szCs w:val="20"/>
                <w:lang w:val="sl-SI"/>
              </w:rPr>
              <w:t>zagotavljala multidisciplinarno pomoč energetsko revnim</w:t>
            </w:r>
            <w:r w:rsidR="00C24955" w:rsidRPr="00FF207E">
              <w:rPr>
                <w:rFonts w:cs="Arial"/>
                <w:sz w:val="20"/>
                <w:szCs w:val="20"/>
                <w:lang w:val="sl-SI"/>
              </w:rPr>
              <w:t xml:space="preserve"> na </w:t>
            </w:r>
            <w:r w:rsidR="009441D2" w:rsidRPr="00FF207E">
              <w:rPr>
                <w:rFonts w:cs="Arial"/>
                <w:sz w:val="20"/>
                <w:szCs w:val="20"/>
                <w:lang w:val="sl-SI"/>
              </w:rPr>
              <w:t xml:space="preserve">državni </w:t>
            </w:r>
            <w:r w:rsidR="00C24955" w:rsidRPr="00FF207E">
              <w:rPr>
                <w:rFonts w:cs="Arial"/>
                <w:sz w:val="20"/>
                <w:szCs w:val="20"/>
                <w:lang w:val="sl-SI"/>
              </w:rPr>
              <w:t>ravni</w:t>
            </w:r>
            <w:r w:rsidR="00D738F9" w:rsidRPr="00FF207E">
              <w:rPr>
                <w:rFonts w:cs="Arial"/>
                <w:sz w:val="20"/>
                <w:szCs w:val="20"/>
                <w:lang w:val="sl-SI"/>
              </w:rPr>
              <w:t xml:space="preserve"> ter koordinirala delovanje regionalnih svetovalnih točk </w:t>
            </w:r>
            <w:r w:rsidR="00E65156" w:rsidRPr="00FF207E">
              <w:rPr>
                <w:rFonts w:cs="Arial"/>
                <w:sz w:val="20"/>
                <w:szCs w:val="20"/>
                <w:lang w:val="sl-SI"/>
              </w:rPr>
              <w:t>in</w:t>
            </w:r>
            <w:r w:rsidR="00D738F9" w:rsidRPr="00FF207E">
              <w:rPr>
                <w:rFonts w:cs="Arial"/>
                <w:sz w:val="20"/>
                <w:szCs w:val="20"/>
                <w:lang w:val="sl-SI"/>
              </w:rPr>
              <w:t xml:space="preserve"> neformaln</w:t>
            </w:r>
            <w:r w:rsidR="00E65156" w:rsidRPr="00FF207E">
              <w:rPr>
                <w:rFonts w:cs="Arial"/>
                <w:sz w:val="20"/>
                <w:szCs w:val="20"/>
                <w:lang w:val="sl-SI"/>
              </w:rPr>
              <w:t>ih</w:t>
            </w:r>
            <w:r w:rsidR="00D738F9" w:rsidRPr="00FF207E">
              <w:rPr>
                <w:rFonts w:cs="Arial"/>
                <w:sz w:val="20"/>
                <w:szCs w:val="20"/>
                <w:lang w:val="sl-SI"/>
              </w:rPr>
              <w:t xml:space="preserve"> mrež za informiranje in </w:t>
            </w:r>
            <w:r w:rsidR="00D738F9" w:rsidRPr="00FF207E">
              <w:rPr>
                <w:rFonts w:cs="Arial"/>
                <w:spacing w:val="-2"/>
                <w:sz w:val="20"/>
                <w:szCs w:val="20"/>
                <w:lang w:val="sl-SI"/>
              </w:rPr>
              <w:t>ozaveščanje</w:t>
            </w:r>
            <w:r w:rsidR="00D346A7" w:rsidRPr="00FF207E">
              <w:rPr>
                <w:rFonts w:cs="Arial"/>
                <w:spacing w:val="-2"/>
                <w:sz w:val="20"/>
                <w:szCs w:val="20"/>
                <w:lang w:val="sl-SI"/>
              </w:rPr>
              <w:t xml:space="preserve">, vse z namenom povečanja letnega </w:t>
            </w:r>
            <w:r w:rsidR="00D745B4" w:rsidRPr="00FF207E">
              <w:rPr>
                <w:rFonts w:cs="Arial"/>
                <w:spacing w:val="-2"/>
                <w:sz w:val="20"/>
                <w:szCs w:val="20"/>
                <w:lang w:val="sl-SI"/>
              </w:rPr>
              <w:t>števila</w:t>
            </w:r>
            <w:r w:rsidR="00D745B4" w:rsidRPr="00FF207E">
              <w:rPr>
                <w:rFonts w:cs="Arial"/>
                <w:sz w:val="20"/>
                <w:szCs w:val="20"/>
                <w:lang w:val="sl-SI"/>
              </w:rPr>
              <w:t xml:space="preserve"> energetsko revnih gospodinjstev z </w:t>
            </w:r>
            <w:r w:rsidR="00D346A7" w:rsidRPr="00FF207E">
              <w:rPr>
                <w:rFonts w:cs="Arial"/>
                <w:sz w:val="20"/>
                <w:szCs w:val="20"/>
                <w:lang w:val="sl-SI"/>
              </w:rPr>
              <w:t>dodeljeni</w:t>
            </w:r>
            <w:r w:rsidR="00D745B4" w:rsidRPr="00FF207E">
              <w:rPr>
                <w:rFonts w:cs="Arial"/>
                <w:sz w:val="20"/>
                <w:szCs w:val="20"/>
                <w:lang w:val="sl-SI"/>
              </w:rPr>
              <w:t>mi</w:t>
            </w:r>
            <w:r w:rsidR="00D346A7" w:rsidRPr="00FF207E">
              <w:rPr>
                <w:rFonts w:cs="Arial"/>
                <w:sz w:val="20"/>
                <w:szCs w:val="20"/>
                <w:lang w:val="sl-SI"/>
              </w:rPr>
              <w:t xml:space="preserve"> spodbud</w:t>
            </w:r>
            <w:r w:rsidR="00D745B4" w:rsidRPr="00FF207E">
              <w:rPr>
                <w:rFonts w:cs="Arial"/>
                <w:sz w:val="20"/>
                <w:szCs w:val="20"/>
                <w:lang w:val="sl-SI"/>
              </w:rPr>
              <w:t>ami</w:t>
            </w:r>
            <w:r w:rsidR="00D346A7" w:rsidRPr="00FF207E">
              <w:rPr>
                <w:rFonts w:cs="Arial"/>
                <w:sz w:val="20"/>
                <w:szCs w:val="20"/>
                <w:lang w:val="sl-SI"/>
              </w:rPr>
              <w:t xml:space="preserve"> za različne namene v obdobju 2024–2026 v skladu s cilji v poglavju </w:t>
            </w:r>
            <w:r w:rsidR="00D346A7" w:rsidRPr="00FF207E">
              <w:rPr>
                <w:rFonts w:cs="Arial"/>
                <w:sz w:val="20"/>
                <w:szCs w:val="20"/>
                <w:lang w:val="sl-SI"/>
              </w:rPr>
              <w:fldChar w:fldCharType="begin"/>
            </w:r>
            <w:r w:rsidR="00D346A7" w:rsidRPr="00FF207E">
              <w:rPr>
                <w:rFonts w:cs="Arial"/>
                <w:sz w:val="20"/>
                <w:szCs w:val="20"/>
                <w:lang w:val="sl-SI"/>
              </w:rPr>
              <w:instrText xml:space="preserve"> REF _Ref137574115 \r \h </w:instrText>
            </w:r>
            <w:r w:rsidR="001E304B" w:rsidRPr="00FF207E">
              <w:rPr>
                <w:rFonts w:cs="Arial"/>
                <w:sz w:val="20"/>
                <w:szCs w:val="20"/>
                <w:lang w:val="sl-SI"/>
              </w:rPr>
              <w:instrText xml:space="preserve"> \* MERGEFORMAT </w:instrText>
            </w:r>
            <w:r w:rsidR="00D346A7" w:rsidRPr="00FF207E">
              <w:rPr>
                <w:rFonts w:cs="Arial"/>
                <w:sz w:val="20"/>
                <w:szCs w:val="20"/>
                <w:lang w:val="sl-SI"/>
              </w:rPr>
            </w:r>
            <w:r w:rsidR="00D346A7" w:rsidRPr="00FF207E">
              <w:rPr>
                <w:rFonts w:cs="Arial"/>
                <w:sz w:val="20"/>
                <w:szCs w:val="20"/>
                <w:lang w:val="sl-SI"/>
              </w:rPr>
              <w:fldChar w:fldCharType="separate"/>
            </w:r>
            <w:r w:rsidR="00F37FD1" w:rsidRPr="00FF207E">
              <w:rPr>
                <w:rFonts w:cs="Arial"/>
                <w:sz w:val="20"/>
                <w:szCs w:val="20"/>
                <w:lang w:val="sl-SI"/>
              </w:rPr>
              <w:t>2.2</w:t>
            </w:r>
            <w:r w:rsidR="00D346A7" w:rsidRPr="00FF207E">
              <w:rPr>
                <w:rFonts w:cs="Arial"/>
                <w:sz w:val="20"/>
                <w:szCs w:val="20"/>
                <w:lang w:val="sl-SI"/>
              </w:rPr>
              <w:fldChar w:fldCharType="end"/>
            </w:r>
            <w:r w:rsidR="005D3D35" w:rsidRPr="00FF207E">
              <w:rPr>
                <w:rFonts w:cs="Arial"/>
                <w:sz w:val="20"/>
                <w:szCs w:val="20"/>
                <w:lang w:val="sl-SI"/>
              </w:rPr>
              <w:t>.</w:t>
            </w:r>
          </w:p>
        </w:tc>
      </w:tr>
      <w:tr w:rsidR="00922994" w:rsidRPr="00FF207E" w14:paraId="248076CB" w14:textId="77777777" w:rsidTr="00140594">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0D7D1FFF" w14:textId="77777777" w:rsidR="00922994" w:rsidRPr="00FF207E" w:rsidRDefault="00922994" w:rsidP="001E304B">
            <w:pPr>
              <w:spacing w:line="240" w:lineRule="atLeast"/>
              <w:jc w:val="both"/>
              <w:rPr>
                <w:rFonts w:cs="Arial"/>
                <w:sz w:val="20"/>
                <w:szCs w:val="20"/>
                <w:lang w:val="sl-SI"/>
              </w:rPr>
            </w:pPr>
            <w:r w:rsidRPr="00FF207E">
              <w:rPr>
                <w:rFonts w:cs="Arial"/>
                <w:sz w:val="20"/>
                <w:szCs w:val="20"/>
                <w:lang w:val="sl-SI"/>
              </w:rPr>
              <w:t>Naloge pisarne</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B43866E" w14:textId="1549ECFF" w:rsidR="009E2329" w:rsidRPr="00FF207E" w:rsidRDefault="006B2A48" w:rsidP="001E304B">
            <w:pPr>
              <w:spacing w:line="240" w:lineRule="atLeast"/>
              <w:jc w:val="both"/>
              <w:rPr>
                <w:rFonts w:cs="Arial"/>
                <w:sz w:val="20"/>
                <w:szCs w:val="20"/>
                <w:lang w:val="sl-SI"/>
              </w:rPr>
            </w:pPr>
            <w:r w:rsidRPr="00FF207E">
              <w:rPr>
                <w:rFonts w:cs="Arial"/>
                <w:sz w:val="20"/>
                <w:szCs w:val="20"/>
                <w:lang w:val="sl-SI"/>
              </w:rPr>
              <w:t xml:space="preserve">Glavna naloga projektne pisarne je </w:t>
            </w:r>
            <w:r w:rsidRPr="00FF207E">
              <w:rPr>
                <w:rFonts w:cs="Arial"/>
                <w:b/>
                <w:sz w:val="20"/>
                <w:szCs w:val="20"/>
                <w:lang w:val="sl-SI"/>
              </w:rPr>
              <w:t>dodeljevanje investicijskih spodbud za zmanjševanje energetske revščine</w:t>
            </w:r>
            <w:r w:rsidRPr="00FF207E">
              <w:rPr>
                <w:rFonts w:cs="Arial"/>
                <w:sz w:val="20"/>
                <w:szCs w:val="20"/>
                <w:lang w:val="sl-SI"/>
              </w:rPr>
              <w:t xml:space="preserve">. Odgovorna je tudi za </w:t>
            </w:r>
            <w:r w:rsidRPr="00FF207E">
              <w:rPr>
                <w:rFonts w:cs="Arial"/>
                <w:b/>
                <w:sz w:val="20"/>
                <w:szCs w:val="20"/>
                <w:lang w:val="sl-SI"/>
              </w:rPr>
              <w:t>vzpostavitev in delovanje ustrezne strukture</w:t>
            </w:r>
            <w:r w:rsidRPr="00FF207E">
              <w:rPr>
                <w:rFonts w:cs="Arial"/>
                <w:sz w:val="20"/>
                <w:szCs w:val="20"/>
                <w:lang w:val="sl-SI"/>
              </w:rPr>
              <w:t xml:space="preserve">, ki bo dodeljevanje spodbud podprla </w:t>
            </w:r>
            <w:r w:rsidR="00127FC9" w:rsidRPr="00FF207E">
              <w:rPr>
                <w:rFonts w:cs="Arial"/>
                <w:sz w:val="20"/>
                <w:szCs w:val="20"/>
                <w:lang w:val="sl-SI"/>
              </w:rPr>
              <w:t>z energetskim svetovanjem energetsko revnim ter njihovim informiranjem in</w:t>
            </w:r>
            <w:r w:rsidRPr="00FF207E">
              <w:rPr>
                <w:rFonts w:cs="Arial"/>
                <w:sz w:val="20"/>
                <w:szCs w:val="20"/>
                <w:lang w:val="sl-SI"/>
              </w:rPr>
              <w:t xml:space="preserve"> </w:t>
            </w:r>
            <w:r w:rsidR="00127FC9" w:rsidRPr="00FF207E">
              <w:rPr>
                <w:rFonts w:cs="Arial"/>
                <w:sz w:val="20"/>
                <w:szCs w:val="20"/>
                <w:lang w:val="sl-SI"/>
              </w:rPr>
              <w:t xml:space="preserve">ozaveščanjem. </w:t>
            </w:r>
            <w:r w:rsidRPr="00FF207E">
              <w:rPr>
                <w:rFonts w:cs="Arial"/>
                <w:sz w:val="20"/>
                <w:szCs w:val="20"/>
                <w:lang w:val="sl-SI"/>
              </w:rPr>
              <w:t>V nadaljevanju so okvirne naloge projektne pisarne opredeljene po posameznih ukrepih.</w:t>
            </w:r>
          </w:p>
          <w:p w14:paraId="3110D0A1" w14:textId="371C4871" w:rsidR="005822CB" w:rsidRPr="00FF207E" w:rsidRDefault="00727FBB" w:rsidP="001E304B">
            <w:pPr>
              <w:pStyle w:val="Odstavekseznama"/>
              <w:numPr>
                <w:ilvl w:val="0"/>
                <w:numId w:val="21"/>
              </w:numPr>
              <w:spacing w:line="240" w:lineRule="atLeast"/>
              <w:ind w:left="357" w:hanging="357"/>
              <w:jc w:val="both"/>
              <w:rPr>
                <w:rFonts w:cs="Arial"/>
                <w:sz w:val="20"/>
                <w:szCs w:val="20"/>
                <w:lang w:val="sl-SI"/>
              </w:rPr>
            </w:pPr>
            <w:r w:rsidRPr="00FF207E">
              <w:rPr>
                <w:rFonts w:cs="Arial"/>
                <w:sz w:val="20"/>
                <w:szCs w:val="20"/>
                <w:lang w:val="sl-SI"/>
              </w:rPr>
              <w:t xml:space="preserve">V okviru ukrepa </w:t>
            </w:r>
            <w:hyperlink w:anchor="_Investicijske_spodbude_za" w:history="1">
              <w:r w:rsidR="00192233" w:rsidRPr="00FF207E">
                <w:rPr>
                  <w:rStyle w:val="Hiperpovezava"/>
                  <w:rFonts w:cs="Arial"/>
                  <w:sz w:val="20"/>
                  <w:szCs w:val="20"/>
                  <w:lang w:val="sl-SI"/>
                </w:rPr>
                <w:t>ER_Shema-01</w:t>
              </w:r>
            </w:hyperlink>
            <w:r w:rsidRPr="00FF207E">
              <w:rPr>
                <w:rFonts w:cs="Arial"/>
                <w:sz w:val="20"/>
                <w:szCs w:val="20"/>
                <w:lang w:val="sl-SI"/>
              </w:rPr>
              <w:t>:</w:t>
            </w:r>
            <w:r w:rsidR="001B6F61" w:rsidRPr="00FF207E">
              <w:rPr>
                <w:rFonts w:cs="Arial"/>
                <w:sz w:val="20"/>
                <w:szCs w:val="20"/>
                <w:lang w:val="sl-SI"/>
              </w:rPr>
              <w:t xml:space="preserve"> dodeljevanje investicijskih spodbud</w:t>
            </w:r>
            <w:r w:rsidR="00295CCF" w:rsidRPr="00FF207E">
              <w:rPr>
                <w:rFonts w:cs="Arial"/>
                <w:sz w:val="20"/>
                <w:szCs w:val="20"/>
                <w:lang w:val="sl-SI"/>
              </w:rPr>
              <w:t xml:space="preserve"> energetsko revnim</w:t>
            </w:r>
            <w:r w:rsidR="000A190D" w:rsidRPr="00FF207E">
              <w:rPr>
                <w:rFonts w:cs="Arial"/>
                <w:sz w:val="20"/>
                <w:szCs w:val="20"/>
                <w:lang w:val="sl-SI"/>
              </w:rPr>
              <w:t xml:space="preserve"> (priprava in objava javnih pozivov, obdelava prejetih vlog </w:t>
            </w:r>
            <w:r w:rsidR="00B77973" w:rsidRPr="00FF207E">
              <w:rPr>
                <w:rFonts w:cs="Arial"/>
                <w:sz w:val="20"/>
                <w:szCs w:val="20"/>
                <w:lang w:val="sl-SI"/>
              </w:rPr>
              <w:t>in tako dalje</w:t>
            </w:r>
            <w:r w:rsidR="000A190D" w:rsidRPr="00FF207E">
              <w:rPr>
                <w:rFonts w:cs="Arial"/>
                <w:sz w:val="20"/>
                <w:szCs w:val="20"/>
                <w:lang w:val="sl-SI"/>
              </w:rPr>
              <w:t>)</w:t>
            </w:r>
            <w:r w:rsidR="00A276C3" w:rsidRPr="00FF207E">
              <w:rPr>
                <w:rFonts w:cs="Arial"/>
                <w:sz w:val="20"/>
                <w:szCs w:val="20"/>
                <w:lang w:val="sl-SI"/>
              </w:rPr>
              <w:t>;</w:t>
            </w:r>
            <w:r w:rsidR="001B6F61" w:rsidRPr="00FF207E">
              <w:rPr>
                <w:rFonts w:cs="Arial"/>
                <w:sz w:val="20"/>
                <w:szCs w:val="20"/>
                <w:lang w:val="sl-SI"/>
              </w:rPr>
              <w:t xml:space="preserve"> </w:t>
            </w:r>
            <w:r w:rsidR="001B6F61" w:rsidRPr="00FF207E">
              <w:rPr>
                <w:rFonts w:cs="Arial"/>
                <w:bCs/>
                <w:sz w:val="20"/>
                <w:szCs w:val="20"/>
                <w:lang w:val="sl-SI"/>
              </w:rPr>
              <w:t xml:space="preserve">redna izmenjava izkušenj in reševanje odprtih vprašanj </w:t>
            </w:r>
            <w:r w:rsidR="005F7414" w:rsidRPr="00FF207E">
              <w:rPr>
                <w:rFonts w:cs="Arial"/>
                <w:bCs/>
                <w:sz w:val="20"/>
                <w:szCs w:val="20"/>
                <w:lang w:val="sl-SI"/>
              </w:rPr>
              <w:t>z regionalnimi</w:t>
            </w:r>
            <w:r w:rsidR="001B6F61" w:rsidRPr="00FF207E">
              <w:rPr>
                <w:rFonts w:cs="Arial"/>
                <w:bCs/>
                <w:sz w:val="20"/>
                <w:szCs w:val="20"/>
                <w:lang w:val="sl-SI"/>
              </w:rPr>
              <w:t xml:space="preserve"> svetovalnimi točkami</w:t>
            </w:r>
            <w:r w:rsidR="00D738F9" w:rsidRPr="00FF207E">
              <w:rPr>
                <w:rFonts w:cs="Arial"/>
                <w:bCs/>
                <w:sz w:val="20"/>
                <w:szCs w:val="20"/>
                <w:lang w:val="sl-SI"/>
              </w:rPr>
              <w:t xml:space="preserve"> in med njimi</w:t>
            </w:r>
            <w:r w:rsidR="00A276C3" w:rsidRPr="00FF207E">
              <w:rPr>
                <w:rFonts w:cs="Arial"/>
                <w:bCs/>
                <w:sz w:val="20"/>
                <w:szCs w:val="20"/>
                <w:lang w:val="sl-SI"/>
              </w:rPr>
              <w:t>;</w:t>
            </w:r>
            <w:r w:rsidR="001B6F61" w:rsidRPr="00FF207E">
              <w:rPr>
                <w:rFonts w:cs="Arial"/>
                <w:bCs/>
                <w:sz w:val="20"/>
                <w:szCs w:val="20"/>
                <w:lang w:val="sl-SI"/>
              </w:rPr>
              <w:t xml:space="preserve"> </w:t>
            </w:r>
            <w:r w:rsidR="00D738F9" w:rsidRPr="00FF207E">
              <w:rPr>
                <w:rFonts w:cs="Arial"/>
                <w:sz w:val="20"/>
                <w:szCs w:val="20"/>
                <w:lang w:val="sl-SI"/>
              </w:rPr>
              <w:t>izvajanje</w:t>
            </w:r>
            <w:r w:rsidR="001B6F61" w:rsidRPr="00FF207E">
              <w:rPr>
                <w:rFonts w:cs="Arial"/>
                <w:sz w:val="20"/>
                <w:szCs w:val="20"/>
                <w:lang w:val="sl-SI"/>
              </w:rPr>
              <w:t xml:space="preserve"> </w:t>
            </w:r>
            <w:r w:rsidR="00D738F9" w:rsidRPr="00FF207E">
              <w:rPr>
                <w:rFonts w:cs="Arial"/>
                <w:sz w:val="20"/>
                <w:szCs w:val="20"/>
                <w:lang w:val="sl-SI"/>
              </w:rPr>
              <w:t>analiz</w:t>
            </w:r>
            <w:r w:rsidR="001B6F61" w:rsidRPr="00FF207E">
              <w:rPr>
                <w:rFonts w:cs="Arial"/>
                <w:sz w:val="20"/>
                <w:szCs w:val="20"/>
                <w:lang w:val="sl-SI"/>
              </w:rPr>
              <w:t xml:space="preserve"> </w:t>
            </w:r>
            <w:r w:rsidR="00D738F9" w:rsidRPr="00FF207E">
              <w:rPr>
                <w:rFonts w:cs="Arial"/>
                <w:sz w:val="20"/>
                <w:szCs w:val="20"/>
                <w:lang w:val="sl-SI"/>
              </w:rPr>
              <w:t>in naročanje analitičnih podlag</w:t>
            </w:r>
            <w:r w:rsidR="001B6F61" w:rsidRPr="00FF207E">
              <w:rPr>
                <w:rFonts w:cs="Arial"/>
                <w:sz w:val="20"/>
                <w:szCs w:val="20"/>
                <w:lang w:val="sl-SI"/>
              </w:rPr>
              <w:t xml:space="preserve"> </w:t>
            </w:r>
            <w:r w:rsidR="00B77973" w:rsidRPr="00FF207E">
              <w:rPr>
                <w:rFonts w:cs="Arial"/>
                <w:sz w:val="20"/>
                <w:szCs w:val="20"/>
                <w:lang w:val="sl-SI"/>
              </w:rPr>
              <w:t>in tako dalje</w:t>
            </w:r>
            <w:r w:rsidR="005D3D35" w:rsidRPr="00FF207E">
              <w:rPr>
                <w:rFonts w:cs="Arial"/>
                <w:sz w:val="20"/>
                <w:szCs w:val="20"/>
                <w:lang w:val="sl-SI"/>
              </w:rPr>
              <w:t>.</w:t>
            </w:r>
          </w:p>
          <w:p w14:paraId="240B9070" w14:textId="40467E67" w:rsidR="005822CB" w:rsidRPr="00FF207E" w:rsidRDefault="009F17D6" w:rsidP="001E304B">
            <w:pPr>
              <w:pStyle w:val="Odstavekseznama"/>
              <w:numPr>
                <w:ilvl w:val="0"/>
                <w:numId w:val="21"/>
              </w:numPr>
              <w:spacing w:line="240" w:lineRule="atLeast"/>
              <w:ind w:left="357" w:hanging="357"/>
              <w:jc w:val="both"/>
              <w:rPr>
                <w:rFonts w:cs="Arial"/>
                <w:sz w:val="20"/>
                <w:szCs w:val="20"/>
                <w:lang w:val="sl-SI"/>
              </w:rPr>
            </w:pPr>
            <w:r w:rsidRPr="00FF207E">
              <w:rPr>
                <w:rFonts w:cs="Arial"/>
                <w:sz w:val="20"/>
                <w:szCs w:val="20"/>
                <w:lang w:val="sl-SI"/>
              </w:rPr>
              <w:t xml:space="preserve">V okviru ukrepa </w:t>
            </w:r>
            <w:hyperlink w:anchor="_Energetsko_svetovanje_za" w:history="1">
              <w:r w:rsidR="0049433E" w:rsidRPr="00FF207E">
                <w:rPr>
                  <w:rStyle w:val="Hiperpovezava"/>
                  <w:rFonts w:cs="Arial"/>
                  <w:sz w:val="20"/>
                  <w:szCs w:val="20"/>
                  <w:lang w:val="sl-SI"/>
                </w:rPr>
                <w:t>ER_Shema-04</w:t>
              </w:r>
            </w:hyperlink>
            <w:r w:rsidRPr="00FF207E">
              <w:rPr>
                <w:rFonts w:cs="Arial"/>
                <w:sz w:val="20"/>
                <w:szCs w:val="20"/>
                <w:lang w:val="sl-SI"/>
              </w:rPr>
              <w:t>:</w:t>
            </w:r>
            <w:r w:rsidR="001B6F61" w:rsidRPr="00FF207E">
              <w:rPr>
                <w:rFonts w:cs="Arial"/>
                <w:sz w:val="20"/>
                <w:szCs w:val="20"/>
                <w:lang w:val="sl-SI"/>
              </w:rPr>
              <w:t xml:space="preserve"> priprava in vzpostavitev regionalnih svetovalnih točk</w:t>
            </w:r>
            <w:r w:rsidR="00A276C3" w:rsidRPr="00FF207E">
              <w:rPr>
                <w:rFonts w:cs="Arial"/>
                <w:sz w:val="20"/>
                <w:szCs w:val="20"/>
                <w:lang w:val="sl-SI"/>
              </w:rPr>
              <w:t>;</w:t>
            </w:r>
            <w:r w:rsidR="001B6F61" w:rsidRPr="00FF207E">
              <w:rPr>
                <w:rFonts w:cs="Arial"/>
                <w:sz w:val="20"/>
                <w:szCs w:val="20"/>
                <w:lang w:val="sl-SI"/>
              </w:rPr>
              <w:t xml:space="preserve"> izvajanje energetskega in drugega svetovanja energetsko revnim v sodelovanju z </w:t>
            </w:r>
            <w:r w:rsidR="008438AB" w:rsidRPr="00FF207E">
              <w:rPr>
                <w:rFonts w:cs="Arial"/>
                <w:sz w:val="20"/>
                <w:szCs w:val="20"/>
                <w:lang w:val="sl-SI"/>
              </w:rPr>
              <w:t xml:space="preserve">regionalnimi svetovalnimi točkami in </w:t>
            </w:r>
            <w:r w:rsidR="001B6F61" w:rsidRPr="00FF207E">
              <w:rPr>
                <w:rFonts w:cs="Arial"/>
                <w:sz w:val="20"/>
                <w:szCs w:val="20"/>
                <w:lang w:val="sl-SI"/>
              </w:rPr>
              <w:t>ENSVET</w:t>
            </w:r>
            <w:r w:rsidR="00A276C3" w:rsidRPr="00FF207E">
              <w:rPr>
                <w:rFonts w:cs="Arial"/>
                <w:sz w:val="20"/>
                <w:szCs w:val="20"/>
                <w:lang w:val="sl-SI"/>
              </w:rPr>
              <w:t>;</w:t>
            </w:r>
            <w:r w:rsidR="008438AB" w:rsidRPr="00FF207E">
              <w:rPr>
                <w:rFonts w:cs="Arial"/>
                <w:sz w:val="20"/>
                <w:szCs w:val="20"/>
                <w:lang w:val="sl-SI"/>
              </w:rPr>
              <w:t xml:space="preserve"> </w:t>
            </w:r>
            <w:r w:rsidR="001B6F61" w:rsidRPr="00FF207E">
              <w:rPr>
                <w:rFonts w:cs="Arial"/>
                <w:sz w:val="20"/>
                <w:szCs w:val="20"/>
                <w:lang w:val="sl-SI"/>
              </w:rPr>
              <w:t>koordinacija in podpora regionalni ravni</w:t>
            </w:r>
            <w:r w:rsidR="00A276C3" w:rsidRPr="00FF207E">
              <w:rPr>
                <w:rFonts w:cs="Arial"/>
                <w:sz w:val="20"/>
                <w:szCs w:val="20"/>
                <w:lang w:val="sl-SI"/>
              </w:rPr>
              <w:t>;</w:t>
            </w:r>
            <w:r w:rsidR="001B6F61" w:rsidRPr="00FF207E">
              <w:rPr>
                <w:rFonts w:cs="Arial"/>
                <w:sz w:val="20"/>
                <w:szCs w:val="20"/>
                <w:lang w:val="sl-SI"/>
              </w:rPr>
              <w:t xml:space="preserve"> priprava, koordinacija in izvedba usposabljanj (vsaj dvakrat letno) za </w:t>
            </w:r>
            <w:r w:rsidR="001B6F61" w:rsidRPr="00FF207E">
              <w:rPr>
                <w:rFonts w:cs="Arial"/>
                <w:bCs/>
                <w:sz w:val="20"/>
                <w:szCs w:val="20"/>
                <w:lang w:val="sl-SI"/>
              </w:rPr>
              <w:t xml:space="preserve">zaposlene </w:t>
            </w:r>
            <w:r w:rsidR="008438AB" w:rsidRPr="00FF207E">
              <w:rPr>
                <w:rFonts w:cs="Arial"/>
                <w:bCs/>
                <w:sz w:val="20"/>
                <w:szCs w:val="20"/>
                <w:lang w:val="sl-SI"/>
              </w:rPr>
              <w:t xml:space="preserve">na </w:t>
            </w:r>
            <w:r w:rsidR="009441D2" w:rsidRPr="00FF207E">
              <w:rPr>
                <w:rFonts w:cs="Arial"/>
                <w:bCs/>
                <w:sz w:val="20"/>
                <w:szCs w:val="20"/>
                <w:lang w:val="sl-SI"/>
              </w:rPr>
              <w:t xml:space="preserve">državni </w:t>
            </w:r>
            <w:r w:rsidR="008438AB" w:rsidRPr="00FF207E">
              <w:rPr>
                <w:rFonts w:cs="Arial"/>
                <w:bCs/>
                <w:sz w:val="20"/>
                <w:szCs w:val="20"/>
                <w:lang w:val="sl-SI"/>
              </w:rPr>
              <w:t>in regionalni ravni</w:t>
            </w:r>
            <w:r w:rsidR="001B6F61" w:rsidRPr="00FF207E">
              <w:rPr>
                <w:rFonts w:cs="Arial"/>
                <w:sz w:val="20"/>
                <w:szCs w:val="20"/>
                <w:lang w:val="sl-SI"/>
              </w:rPr>
              <w:t xml:space="preserve">, </w:t>
            </w:r>
            <w:r w:rsidR="001B6F61" w:rsidRPr="00FF207E">
              <w:rPr>
                <w:rFonts w:cs="Arial"/>
                <w:bCs/>
                <w:sz w:val="20"/>
                <w:szCs w:val="20"/>
                <w:lang w:val="sl-SI"/>
              </w:rPr>
              <w:t xml:space="preserve">in sicer na tehničnem </w:t>
            </w:r>
            <w:r w:rsidR="008438AB" w:rsidRPr="00FF207E">
              <w:rPr>
                <w:rFonts w:cs="Arial"/>
                <w:bCs/>
                <w:sz w:val="20"/>
                <w:szCs w:val="20"/>
                <w:lang w:val="sl-SI"/>
              </w:rPr>
              <w:t xml:space="preserve">in socialnem </w:t>
            </w:r>
            <w:r w:rsidR="001B6F61" w:rsidRPr="00FF207E">
              <w:rPr>
                <w:rFonts w:cs="Arial"/>
                <w:bCs/>
                <w:sz w:val="20"/>
                <w:szCs w:val="20"/>
                <w:lang w:val="sl-SI"/>
              </w:rPr>
              <w:t>področju</w:t>
            </w:r>
            <w:r w:rsidR="00A276C3" w:rsidRPr="00FF207E">
              <w:rPr>
                <w:rFonts w:cs="Arial"/>
                <w:bCs/>
                <w:sz w:val="20"/>
                <w:szCs w:val="20"/>
                <w:lang w:val="sl-SI"/>
              </w:rPr>
              <w:t xml:space="preserve">, </w:t>
            </w:r>
            <w:r w:rsidR="00B77973" w:rsidRPr="00FF207E">
              <w:rPr>
                <w:rFonts w:cs="Arial"/>
                <w:bCs/>
                <w:sz w:val="20"/>
                <w:szCs w:val="20"/>
                <w:lang w:val="sl-SI"/>
              </w:rPr>
              <w:t>in tako dalje</w:t>
            </w:r>
            <w:r w:rsidR="005D3D35" w:rsidRPr="00FF207E">
              <w:rPr>
                <w:rFonts w:cs="Arial"/>
                <w:bCs/>
                <w:sz w:val="20"/>
                <w:szCs w:val="20"/>
                <w:lang w:val="sl-SI"/>
              </w:rPr>
              <w:t>.</w:t>
            </w:r>
          </w:p>
          <w:p w14:paraId="2C157B42" w14:textId="22F4A785" w:rsidR="00152DA6" w:rsidRPr="00FF207E" w:rsidRDefault="00152DA6" w:rsidP="001E304B">
            <w:pPr>
              <w:pStyle w:val="Odstavekseznama"/>
              <w:numPr>
                <w:ilvl w:val="0"/>
                <w:numId w:val="21"/>
              </w:numPr>
              <w:spacing w:line="240" w:lineRule="atLeast"/>
              <w:ind w:left="357" w:hanging="357"/>
              <w:jc w:val="both"/>
              <w:rPr>
                <w:rFonts w:cs="Arial"/>
                <w:sz w:val="20"/>
                <w:szCs w:val="20"/>
                <w:lang w:val="sl-SI"/>
              </w:rPr>
            </w:pPr>
            <w:r w:rsidRPr="00FF207E">
              <w:rPr>
                <w:rFonts w:cs="Arial"/>
                <w:sz w:val="20"/>
                <w:szCs w:val="20"/>
                <w:lang w:val="sl-SI"/>
              </w:rPr>
              <w:t xml:space="preserve">V okviru ukrepa </w:t>
            </w:r>
            <w:hyperlink w:anchor="_Neformalna_mreža_za" w:history="1">
              <w:r w:rsidR="0049433E" w:rsidRPr="00FF207E">
                <w:rPr>
                  <w:rStyle w:val="Hiperpovezava"/>
                  <w:rFonts w:cs="Arial"/>
                  <w:sz w:val="20"/>
                  <w:szCs w:val="20"/>
                  <w:lang w:val="sl-SI"/>
                </w:rPr>
                <w:t>ER_Shema-03</w:t>
              </w:r>
            </w:hyperlink>
            <w:r w:rsidR="007F590A" w:rsidRPr="00FF207E">
              <w:rPr>
                <w:rFonts w:cs="Arial"/>
                <w:sz w:val="20"/>
                <w:szCs w:val="20"/>
                <w:lang w:val="sl-SI"/>
              </w:rPr>
              <w:t xml:space="preserve">, skupaj z regionalnimi svetovalnimi točkami: </w:t>
            </w:r>
            <w:r w:rsidR="008438AB" w:rsidRPr="00FF207E">
              <w:rPr>
                <w:rFonts w:cs="Arial"/>
                <w:sz w:val="20"/>
                <w:szCs w:val="20"/>
                <w:lang w:val="sl-SI"/>
              </w:rPr>
              <w:t>priprava, vzpostavitev in koordinacija neformaln</w:t>
            </w:r>
            <w:r w:rsidR="007F590A" w:rsidRPr="00FF207E">
              <w:rPr>
                <w:rFonts w:cs="Arial"/>
                <w:sz w:val="20"/>
                <w:szCs w:val="20"/>
                <w:lang w:val="sl-SI"/>
              </w:rPr>
              <w:t>ih</w:t>
            </w:r>
            <w:r w:rsidR="008438AB" w:rsidRPr="00FF207E">
              <w:rPr>
                <w:rFonts w:cs="Arial"/>
                <w:sz w:val="20"/>
                <w:szCs w:val="20"/>
                <w:lang w:val="sl-SI"/>
              </w:rPr>
              <w:t xml:space="preserve"> mrež za informiranje in ozaveščanje</w:t>
            </w:r>
            <w:r w:rsidR="008F4BAF" w:rsidRPr="00FF207E">
              <w:rPr>
                <w:rFonts w:cs="Arial"/>
                <w:sz w:val="20"/>
                <w:szCs w:val="20"/>
                <w:lang w:val="sl-SI"/>
              </w:rPr>
              <w:t>.</w:t>
            </w:r>
          </w:p>
          <w:p w14:paraId="2FC44F83" w14:textId="6B6C19F8" w:rsidR="005C416F" w:rsidRPr="00FF207E" w:rsidRDefault="005822CB" w:rsidP="001E304B">
            <w:pPr>
              <w:pStyle w:val="Odstavekseznama"/>
              <w:numPr>
                <w:ilvl w:val="0"/>
                <w:numId w:val="21"/>
              </w:numPr>
              <w:spacing w:line="240" w:lineRule="atLeast"/>
              <w:ind w:left="357" w:hanging="357"/>
              <w:jc w:val="both"/>
              <w:rPr>
                <w:rFonts w:cs="Arial"/>
                <w:sz w:val="20"/>
                <w:szCs w:val="20"/>
                <w:lang w:val="sl-SI"/>
              </w:rPr>
            </w:pPr>
            <w:r w:rsidRPr="00FF207E">
              <w:rPr>
                <w:rFonts w:cs="Arial"/>
                <w:sz w:val="20"/>
                <w:szCs w:val="20"/>
                <w:lang w:val="sl-SI"/>
              </w:rPr>
              <w:t xml:space="preserve">V okviru ukrepa </w:t>
            </w:r>
            <w:hyperlink w:anchor="_Informiranje_in_ozaveščanje" w:history="1">
              <w:r w:rsidRPr="00FF207E">
                <w:rPr>
                  <w:rStyle w:val="Hiperpovezava"/>
                  <w:rFonts w:cs="Arial"/>
                  <w:sz w:val="20"/>
                  <w:szCs w:val="20"/>
                  <w:lang w:val="sl-SI"/>
                </w:rPr>
                <w:t>ER_Shema-06</w:t>
              </w:r>
            </w:hyperlink>
            <w:bookmarkStart w:id="52" w:name="_Hlk137652091"/>
            <w:r w:rsidR="00334D81" w:rsidRPr="00FF207E">
              <w:rPr>
                <w:rFonts w:cs="Arial"/>
                <w:sz w:val="20"/>
                <w:szCs w:val="20"/>
                <w:lang w:val="sl-SI"/>
              </w:rPr>
              <w:t>, skupaj z regionalnimi svetovalnimi točkami</w:t>
            </w:r>
            <w:r w:rsidRPr="00FF207E">
              <w:rPr>
                <w:rFonts w:cs="Arial"/>
                <w:sz w:val="20"/>
                <w:szCs w:val="20"/>
                <w:lang w:val="sl-SI"/>
              </w:rPr>
              <w:t>:</w:t>
            </w:r>
            <w:r w:rsidR="008438AB" w:rsidRPr="00FF207E">
              <w:rPr>
                <w:rFonts w:cs="Arial"/>
                <w:sz w:val="20"/>
                <w:szCs w:val="20"/>
                <w:lang w:val="sl-SI"/>
              </w:rPr>
              <w:t xml:space="preserve"> </w:t>
            </w:r>
            <w:bookmarkEnd w:id="52"/>
            <w:r w:rsidR="008438AB" w:rsidRPr="00FF207E">
              <w:rPr>
                <w:rFonts w:cs="Arial"/>
                <w:sz w:val="20"/>
                <w:szCs w:val="20"/>
                <w:lang w:val="sl-SI"/>
              </w:rPr>
              <w:t xml:space="preserve">priprava komunikacijskega načrta za zmanjševanje energetske revščine </w:t>
            </w:r>
            <w:r w:rsidR="00A276C3" w:rsidRPr="00FF207E">
              <w:rPr>
                <w:rFonts w:cs="Arial"/>
                <w:sz w:val="20"/>
                <w:szCs w:val="20"/>
                <w:lang w:val="sl-SI"/>
              </w:rPr>
              <w:t xml:space="preserve">in podpora njegovemu izvajanju </w:t>
            </w:r>
            <w:r w:rsidR="008438AB" w:rsidRPr="00FF207E">
              <w:rPr>
                <w:rFonts w:cs="Arial"/>
                <w:sz w:val="20"/>
                <w:szCs w:val="20"/>
                <w:lang w:val="sl-SI"/>
              </w:rPr>
              <w:t xml:space="preserve">na </w:t>
            </w:r>
            <w:r w:rsidR="009441D2" w:rsidRPr="00FF207E">
              <w:rPr>
                <w:rFonts w:cs="Arial"/>
                <w:sz w:val="20"/>
                <w:szCs w:val="20"/>
                <w:lang w:val="sl-SI"/>
              </w:rPr>
              <w:t xml:space="preserve">državni </w:t>
            </w:r>
            <w:r w:rsidR="008438AB" w:rsidRPr="00FF207E">
              <w:rPr>
                <w:rFonts w:cs="Arial"/>
                <w:sz w:val="20"/>
                <w:szCs w:val="20"/>
                <w:lang w:val="sl-SI"/>
              </w:rPr>
              <w:t>in regionalnih ravneh</w:t>
            </w:r>
            <w:r w:rsidR="008F4BAF" w:rsidRPr="00FF207E">
              <w:rPr>
                <w:rFonts w:cs="Arial"/>
                <w:sz w:val="20"/>
                <w:szCs w:val="20"/>
                <w:lang w:val="sl-SI"/>
              </w:rPr>
              <w:t>.</w:t>
            </w:r>
          </w:p>
          <w:p w14:paraId="51615D41" w14:textId="7ADD3BEE" w:rsidR="005C416F" w:rsidRPr="00FF207E" w:rsidRDefault="005822CB" w:rsidP="001E304B">
            <w:pPr>
              <w:pStyle w:val="Odstavekseznama"/>
              <w:numPr>
                <w:ilvl w:val="0"/>
                <w:numId w:val="21"/>
              </w:numPr>
              <w:spacing w:line="240" w:lineRule="atLeast"/>
              <w:ind w:left="357" w:hanging="357"/>
              <w:jc w:val="both"/>
              <w:rPr>
                <w:rFonts w:cs="Arial"/>
                <w:sz w:val="20"/>
                <w:szCs w:val="20"/>
                <w:lang w:val="sl-SI"/>
              </w:rPr>
            </w:pPr>
            <w:r w:rsidRPr="00FF207E">
              <w:rPr>
                <w:rFonts w:cs="Arial"/>
                <w:sz w:val="20"/>
                <w:szCs w:val="20"/>
                <w:lang w:val="sl-SI"/>
              </w:rPr>
              <w:t xml:space="preserve">V okviru ukrepa </w:t>
            </w:r>
            <w:hyperlink w:anchor="_Informiranje_članov_neformalne" w:history="1">
              <w:r w:rsidRPr="00FF207E">
                <w:rPr>
                  <w:rStyle w:val="Hiperpovezava"/>
                  <w:rFonts w:cs="Arial"/>
                  <w:sz w:val="20"/>
                  <w:szCs w:val="20"/>
                  <w:lang w:val="sl-SI"/>
                </w:rPr>
                <w:t>ER_Shema-05</w:t>
              </w:r>
            </w:hyperlink>
            <w:r w:rsidR="00334D81" w:rsidRPr="00FF207E">
              <w:rPr>
                <w:rFonts w:cs="Arial"/>
                <w:sz w:val="20"/>
                <w:szCs w:val="20"/>
                <w:lang w:val="sl-SI"/>
              </w:rPr>
              <w:t>, skupaj z regionalnimi svetovalnimi točkami</w:t>
            </w:r>
            <w:r w:rsidRPr="00FF207E">
              <w:rPr>
                <w:rFonts w:cs="Arial"/>
                <w:sz w:val="20"/>
                <w:szCs w:val="20"/>
                <w:lang w:val="sl-SI"/>
              </w:rPr>
              <w:t>:</w:t>
            </w:r>
            <w:r w:rsidR="00A276C3" w:rsidRPr="00FF207E">
              <w:rPr>
                <w:rFonts w:cs="Arial"/>
                <w:sz w:val="20"/>
                <w:szCs w:val="20"/>
                <w:lang w:val="sl-SI"/>
              </w:rPr>
              <w:t xml:space="preserve"> </w:t>
            </w:r>
            <w:r w:rsidR="00575738" w:rsidRPr="00FF207E">
              <w:rPr>
                <w:rFonts w:cs="Arial"/>
                <w:sz w:val="20"/>
                <w:szCs w:val="20"/>
                <w:lang w:val="sl-SI"/>
              </w:rPr>
              <w:t>p</w:t>
            </w:r>
            <w:r w:rsidR="005C416F" w:rsidRPr="00FF207E">
              <w:rPr>
                <w:rFonts w:cs="Arial"/>
                <w:sz w:val="20"/>
                <w:szCs w:val="20"/>
                <w:lang w:val="sl-SI"/>
              </w:rPr>
              <w:t>riprava, koordinacija in izvedba usposabljanj</w:t>
            </w:r>
            <w:r w:rsidR="0096465C" w:rsidRPr="00FF207E">
              <w:rPr>
                <w:rFonts w:cs="Arial"/>
                <w:sz w:val="20"/>
                <w:szCs w:val="20"/>
                <w:lang w:val="sl-SI"/>
              </w:rPr>
              <w:t xml:space="preserve"> za člane neformalnih mrež za informiranje in ozaveščanje</w:t>
            </w:r>
            <w:r w:rsidR="00A276C3" w:rsidRPr="00FF207E">
              <w:rPr>
                <w:rFonts w:cs="Arial"/>
                <w:sz w:val="20"/>
                <w:szCs w:val="20"/>
                <w:lang w:val="sl-SI"/>
              </w:rPr>
              <w:t xml:space="preserve"> (dvakrat letno); </w:t>
            </w:r>
            <w:r w:rsidR="00A276C3" w:rsidRPr="00FF207E">
              <w:rPr>
                <w:rFonts w:cs="Arial"/>
                <w:bCs/>
                <w:sz w:val="20"/>
                <w:szCs w:val="20"/>
                <w:lang w:val="sl-SI"/>
              </w:rPr>
              <w:t xml:space="preserve">redna izmenjava informacij med projektno pisarno, </w:t>
            </w:r>
            <w:r w:rsidR="00F70CBF" w:rsidRPr="00FF207E">
              <w:rPr>
                <w:rFonts w:cs="Arial"/>
                <w:bCs/>
                <w:sz w:val="20"/>
                <w:szCs w:val="20"/>
                <w:lang w:val="sl-SI"/>
              </w:rPr>
              <w:t>regionalnimi</w:t>
            </w:r>
            <w:r w:rsidR="00A276C3" w:rsidRPr="00FF207E">
              <w:rPr>
                <w:rFonts w:cs="Arial"/>
                <w:bCs/>
                <w:sz w:val="20"/>
                <w:szCs w:val="20"/>
                <w:lang w:val="sl-SI"/>
              </w:rPr>
              <w:t xml:space="preserve"> svetovaln</w:t>
            </w:r>
            <w:r w:rsidR="00F70CBF" w:rsidRPr="00FF207E">
              <w:rPr>
                <w:rFonts w:cs="Arial"/>
                <w:bCs/>
                <w:sz w:val="20"/>
                <w:szCs w:val="20"/>
                <w:lang w:val="sl-SI"/>
              </w:rPr>
              <w:t>imi</w:t>
            </w:r>
            <w:r w:rsidR="00A276C3" w:rsidRPr="00FF207E">
              <w:rPr>
                <w:rFonts w:cs="Arial"/>
                <w:bCs/>
                <w:sz w:val="20"/>
                <w:szCs w:val="20"/>
                <w:lang w:val="sl-SI"/>
              </w:rPr>
              <w:t xml:space="preserve"> </w:t>
            </w:r>
            <w:r w:rsidR="00F70CBF" w:rsidRPr="00FF207E">
              <w:rPr>
                <w:rFonts w:cs="Arial"/>
                <w:bCs/>
                <w:sz w:val="20"/>
                <w:szCs w:val="20"/>
                <w:lang w:val="sl-SI"/>
              </w:rPr>
              <w:t>točkami</w:t>
            </w:r>
            <w:r w:rsidR="00A276C3" w:rsidRPr="00FF207E">
              <w:rPr>
                <w:rFonts w:cs="Arial"/>
                <w:bCs/>
                <w:sz w:val="20"/>
                <w:szCs w:val="20"/>
                <w:lang w:val="sl-SI"/>
              </w:rPr>
              <w:t xml:space="preserve"> in </w:t>
            </w:r>
            <w:r w:rsidR="00A276C3" w:rsidRPr="00FF207E">
              <w:rPr>
                <w:rFonts w:cs="Arial"/>
                <w:sz w:val="20"/>
                <w:szCs w:val="20"/>
                <w:lang w:val="sl-SI"/>
              </w:rPr>
              <w:t>neformaln</w:t>
            </w:r>
            <w:r w:rsidR="007F590A" w:rsidRPr="00FF207E">
              <w:rPr>
                <w:rFonts w:cs="Arial"/>
                <w:sz w:val="20"/>
                <w:szCs w:val="20"/>
                <w:lang w:val="sl-SI"/>
              </w:rPr>
              <w:t>imi</w:t>
            </w:r>
            <w:r w:rsidR="00A276C3" w:rsidRPr="00FF207E">
              <w:rPr>
                <w:rFonts w:cs="Arial"/>
                <w:sz w:val="20"/>
                <w:szCs w:val="20"/>
                <w:lang w:val="sl-SI"/>
              </w:rPr>
              <w:t xml:space="preserve"> mrež</w:t>
            </w:r>
            <w:r w:rsidR="007F590A" w:rsidRPr="00FF207E">
              <w:rPr>
                <w:rFonts w:cs="Arial"/>
                <w:sz w:val="20"/>
                <w:szCs w:val="20"/>
                <w:lang w:val="sl-SI"/>
              </w:rPr>
              <w:t>ami</w:t>
            </w:r>
            <w:r w:rsidR="00A276C3" w:rsidRPr="00FF207E">
              <w:rPr>
                <w:rFonts w:cs="Arial"/>
                <w:sz w:val="20"/>
                <w:szCs w:val="20"/>
                <w:lang w:val="sl-SI"/>
              </w:rPr>
              <w:t xml:space="preserve"> za informiranje in ozaveščanje</w:t>
            </w:r>
            <w:r w:rsidR="008F4BAF" w:rsidRPr="00FF207E">
              <w:rPr>
                <w:rFonts w:cs="Arial"/>
                <w:sz w:val="20"/>
                <w:szCs w:val="20"/>
                <w:lang w:val="sl-SI"/>
              </w:rPr>
              <w:t>.</w:t>
            </w:r>
          </w:p>
          <w:p w14:paraId="03CBC653" w14:textId="14510656" w:rsidR="00FB14FD" w:rsidRPr="00FF207E" w:rsidRDefault="0024443D" w:rsidP="001E304B">
            <w:pPr>
              <w:pStyle w:val="Odstavekseznama"/>
              <w:numPr>
                <w:ilvl w:val="0"/>
                <w:numId w:val="21"/>
              </w:numPr>
              <w:spacing w:line="240" w:lineRule="atLeast"/>
              <w:ind w:left="357" w:hanging="357"/>
              <w:jc w:val="both"/>
              <w:rPr>
                <w:rFonts w:cs="Arial"/>
                <w:sz w:val="20"/>
                <w:szCs w:val="20"/>
                <w:lang w:val="sl-SI"/>
              </w:rPr>
            </w:pPr>
            <w:r w:rsidRPr="00FF207E">
              <w:rPr>
                <w:rFonts w:cs="Arial"/>
                <w:sz w:val="20"/>
                <w:szCs w:val="20"/>
                <w:lang w:val="sl-SI"/>
              </w:rPr>
              <w:t xml:space="preserve">V okviru ukrepa </w:t>
            </w:r>
            <w:hyperlink w:anchor="_Strateški_svet_za" w:history="1">
              <w:r w:rsidRPr="00FF207E">
                <w:rPr>
                  <w:rStyle w:val="Hiperpovezava"/>
                  <w:rFonts w:cs="Arial"/>
                  <w:sz w:val="20"/>
                  <w:szCs w:val="20"/>
                  <w:lang w:val="sl-SI"/>
                </w:rPr>
                <w:t>ER_Shema-07</w:t>
              </w:r>
            </w:hyperlink>
            <w:r w:rsidRPr="00FF207E">
              <w:rPr>
                <w:rFonts w:cs="Arial"/>
                <w:sz w:val="20"/>
                <w:szCs w:val="20"/>
                <w:lang w:val="sl-SI"/>
              </w:rPr>
              <w:t>: s</w:t>
            </w:r>
            <w:r w:rsidR="005C416F" w:rsidRPr="00FF207E">
              <w:rPr>
                <w:rFonts w:cs="Arial"/>
                <w:sz w:val="20"/>
                <w:szCs w:val="20"/>
                <w:lang w:val="sl-SI"/>
              </w:rPr>
              <w:t xml:space="preserve">odelovanje v </w:t>
            </w:r>
            <w:r w:rsidR="001F3996" w:rsidRPr="00FF207E">
              <w:rPr>
                <w:rFonts w:cs="Arial"/>
                <w:sz w:val="20"/>
                <w:szCs w:val="20"/>
                <w:lang w:val="sl-SI"/>
              </w:rPr>
              <w:t>so</w:t>
            </w:r>
            <w:r w:rsidR="005C416F" w:rsidRPr="00FF207E">
              <w:rPr>
                <w:rFonts w:cs="Arial"/>
                <w:sz w:val="20"/>
                <w:szCs w:val="20"/>
                <w:lang w:val="sl-SI"/>
              </w:rPr>
              <w:t>svetu za zmanjševanje energetske revščine</w:t>
            </w:r>
            <w:r w:rsidR="008F4BAF" w:rsidRPr="00FF207E">
              <w:rPr>
                <w:rFonts w:cs="Arial"/>
                <w:sz w:val="20"/>
                <w:szCs w:val="20"/>
                <w:lang w:val="sl-SI"/>
              </w:rPr>
              <w:t>.</w:t>
            </w:r>
          </w:p>
          <w:p w14:paraId="1441344F" w14:textId="036CC1E0" w:rsidR="00E90C71" w:rsidRPr="00FF207E" w:rsidRDefault="00E90C71" w:rsidP="001E304B">
            <w:pPr>
              <w:pStyle w:val="Odstavekseznama"/>
              <w:numPr>
                <w:ilvl w:val="0"/>
                <w:numId w:val="21"/>
              </w:numPr>
              <w:spacing w:line="240" w:lineRule="atLeast"/>
              <w:ind w:left="357" w:hanging="357"/>
              <w:jc w:val="both"/>
              <w:rPr>
                <w:rFonts w:cs="Arial"/>
                <w:sz w:val="20"/>
                <w:szCs w:val="20"/>
                <w:lang w:val="sl-SI"/>
              </w:rPr>
            </w:pPr>
            <w:r w:rsidRPr="00FF207E">
              <w:rPr>
                <w:rFonts w:cs="Arial"/>
                <w:sz w:val="20"/>
                <w:szCs w:val="20"/>
                <w:lang w:val="sl-SI"/>
              </w:rPr>
              <w:t xml:space="preserve">Vključenost v druge ukrepe, kjer je s tem akcijskim načrtom predvideno sodelovanje </w:t>
            </w:r>
            <w:proofErr w:type="spellStart"/>
            <w:r w:rsidRPr="00FF207E">
              <w:rPr>
                <w:rFonts w:cs="Arial"/>
                <w:sz w:val="20"/>
                <w:szCs w:val="20"/>
                <w:lang w:val="sl-SI"/>
              </w:rPr>
              <w:t>Eko</w:t>
            </w:r>
            <w:proofErr w:type="spellEnd"/>
            <w:r w:rsidRPr="00FF207E">
              <w:rPr>
                <w:rFonts w:cs="Arial"/>
                <w:sz w:val="20"/>
                <w:szCs w:val="20"/>
                <w:lang w:val="sl-SI"/>
              </w:rPr>
              <w:t xml:space="preserve"> sklada</w:t>
            </w:r>
            <w:r w:rsidR="008F4BAF" w:rsidRPr="00FF207E">
              <w:rPr>
                <w:rFonts w:cs="Arial"/>
                <w:sz w:val="20"/>
                <w:szCs w:val="20"/>
                <w:lang w:val="sl-SI"/>
              </w:rPr>
              <w:t>.</w:t>
            </w:r>
          </w:p>
        </w:tc>
      </w:tr>
      <w:tr w:rsidR="00922994" w:rsidRPr="00FF207E" w14:paraId="492191CC" w14:textId="77777777" w:rsidTr="00140594">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6F5A1725" w14:textId="6669D8C3" w:rsidR="00922994" w:rsidRPr="00FF207E" w:rsidRDefault="00922994"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E36D8A1" w14:textId="55F3652F" w:rsidR="00922994" w:rsidRPr="00FF207E" w:rsidRDefault="00F32D7D" w:rsidP="001E304B">
            <w:pPr>
              <w:spacing w:line="240" w:lineRule="atLeast"/>
              <w:jc w:val="both"/>
              <w:rPr>
                <w:rFonts w:cs="Arial"/>
                <w:sz w:val="20"/>
                <w:szCs w:val="20"/>
                <w:lang w:val="sl-SI"/>
              </w:rPr>
            </w:pPr>
            <w:r w:rsidRPr="00FF207E">
              <w:rPr>
                <w:rFonts w:cs="Arial"/>
                <w:sz w:val="20"/>
                <w:szCs w:val="20"/>
                <w:lang w:val="sl-SI"/>
              </w:rPr>
              <w:t xml:space="preserve">vzpostavitev delovanja v pilotnem obsegu </w:t>
            </w:r>
            <w:r w:rsidR="005253AC" w:rsidRPr="00FF207E">
              <w:rPr>
                <w:rFonts w:cs="Arial"/>
                <w:sz w:val="20"/>
                <w:szCs w:val="20"/>
                <w:lang w:val="sl-SI"/>
              </w:rPr>
              <w:t>leta 202</w:t>
            </w:r>
            <w:r w:rsidR="003E21BC" w:rsidRPr="00FF207E">
              <w:rPr>
                <w:rFonts w:cs="Arial"/>
                <w:sz w:val="20"/>
                <w:szCs w:val="20"/>
                <w:lang w:val="sl-SI"/>
              </w:rPr>
              <w:t>4</w:t>
            </w:r>
          </w:p>
        </w:tc>
      </w:tr>
      <w:tr w:rsidR="00922994" w:rsidRPr="00FF207E" w14:paraId="67DC164B" w14:textId="77777777" w:rsidTr="002513F9">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7E31BF3" w14:textId="69064BEE" w:rsidR="00922994" w:rsidRPr="00FF207E" w:rsidRDefault="00922994" w:rsidP="001E304B">
            <w:pPr>
              <w:spacing w:line="240" w:lineRule="atLeast"/>
              <w:jc w:val="both"/>
              <w:rPr>
                <w:rFonts w:cs="Arial"/>
                <w:sz w:val="20"/>
                <w:szCs w:val="20"/>
                <w:lang w:val="sl-SI"/>
              </w:rPr>
            </w:pPr>
            <w:r w:rsidRPr="00FF207E">
              <w:rPr>
                <w:rFonts w:cs="Arial"/>
                <w:sz w:val="20"/>
                <w:szCs w:val="20"/>
                <w:lang w:val="sl-SI"/>
              </w:rPr>
              <w:t>Potrebna sredstva in viri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tcPr>
          <w:p w14:paraId="3640F6BD" w14:textId="2D2D3628" w:rsidR="009A6E2F" w:rsidRPr="00FF207E" w:rsidRDefault="00086058" w:rsidP="002513F9">
            <w:pPr>
              <w:spacing w:line="240" w:lineRule="atLeast"/>
              <w:rPr>
                <w:rFonts w:cs="Arial"/>
                <w:sz w:val="20"/>
                <w:szCs w:val="20"/>
                <w:lang w:val="sl-SI"/>
              </w:rPr>
            </w:pPr>
            <w:r w:rsidRPr="00FF207E">
              <w:rPr>
                <w:rFonts w:cs="Arial"/>
                <w:sz w:val="20"/>
                <w:szCs w:val="20"/>
                <w:lang w:val="sl-SI"/>
              </w:rPr>
              <w:t>t</w:t>
            </w:r>
            <w:r w:rsidR="009A6E2F" w:rsidRPr="00FF207E">
              <w:rPr>
                <w:rFonts w:cs="Arial"/>
                <w:sz w:val="20"/>
                <w:szCs w:val="20"/>
                <w:lang w:val="sl-SI"/>
              </w:rPr>
              <w:t>abela 7</w:t>
            </w:r>
          </w:p>
          <w:p w14:paraId="4EB3EEC7" w14:textId="05ADAECC" w:rsidR="00922994" w:rsidRPr="00FF207E" w:rsidRDefault="003D4760" w:rsidP="002513F9">
            <w:pPr>
              <w:spacing w:before="60" w:line="240" w:lineRule="atLeast"/>
              <w:rPr>
                <w:rFonts w:ascii="Calibri" w:hAnsi="Calibri" w:cs="Calibri"/>
                <w:color w:val="000000"/>
                <w:szCs w:val="22"/>
                <w:lang w:val="sl-SI"/>
              </w:rPr>
            </w:pPr>
            <w:r w:rsidRPr="00FF207E">
              <w:rPr>
                <w:rFonts w:cs="Arial"/>
                <w:bCs/>
                <w:sz w:val="20"/>
                <w:szCs w:val="20"/>
                <w:lang w:val="sl-SI"/>
              </w:rPr>
              <w:t xml:space="preserve">Viri sredstev so: Sklad za podnebne spremembe, </w:t>
            </w:r>
            <w:r w:rsidR="00B44576" w:rsidRPr="00FF207E">
              <w:rPr>
                <w:rFonts w:cs="Arial"/>
                <w:bCs/>
                <w:sz w:val="20"/>
                <w:szCs w:val="20"/>
                <w:lang w:val="sl-SI"/>
              </w:rPr>
              <w:t>Evropski sklad za regionalni razvoj</w:t>
            </w:r>
            <w:r w:rsidR="00A7676B" w:rsidRPr="00FF207E">
              <w:rPr>
                <w:rFonts w:cs="Arial"/>
                <w:bCs/>
                <w:sz w:val="20"/>
                <w:szCs w:val="20"/>
                <w:lang w:val="sl-SI"/>
              </w:rPr>
              <w:t xml:space="preserve">, </w:t>
            </w:r>
            <w:r w:rsidRPr="00FF207E">
              <w:rPr>
                <w:rFonts w:cs="Arial"/>
                <w:bCs/>
                <w:sz w:val="20"/>
                <w:szCs w:val="20"/>
                <w:lang w:val="sl-SI"/>
              </w:rPr>
              <w:t>kohezijska sredstva ali drugi viri</w:t>
            </w:r>
            <w:r w:rsidR="008F4BAF" w:rsidRPr="00FF207E">
              <w:rPr>
                <w:rFonts w:cs="Arial"/>
                <w:bCs/>
                <w:sz w:val="20"/>
                <w:szCs w:val="20"/>
                <w:lang w:val="sl-SI"/>
              </w:rPr>
              <w:t>.</w:t>
            </w:r>
          </w:p>
        </w:tc>
      </w:tr>
      <w:tr w:rsidR="004009D2" w:rsidRPr="00FF207E" w14:paraId="0910F63B" w14:textId="77777777" w:rsidTr="00F45B2E">
        <w:tc>
          <w:tcPr>
            <w:tcW w:w="9062" w:type="dxa"/>
            <w:gridSpan w:val="3"/>
            <w:tcBorders>
              <w:top w:val="single" w:sz="4" w:space="0" w:color="548DD4" w:themeColor="text2" w:themeTint="99"/>
              <w:left w:val="nil"/>
              <w:bottom w:val="single" w:sz="4" w:space="0" w:color="548DD4" w:themeColor="text2" w:themeTint="99"/>
              <w:right w:val="nil"/>
            </w:tcBorders>
            <w:shd w:val="clear" w:color="auto" w:fill="DBE5F1" w:themeFill="accent1" w:themeFillTint="33"/>
          </w:tcPr>
          <w:p w14:paraId="78C718D7" w14:textId="21561C43" w:rsidR="004009D2" w:rsidRPr="00FF207E" w:rsidRDefault="004009D2" w:rsidP="001E304B">
            <w:pPr>
              <w:spacing w:before="40" w:after="40" w:line="240" w:lineRule="atLeast"/>
              <w:jc w:val="both"/>
              <w:rPr>
                <w:rFonts w:cs="Arial"/>
                <w:sz w:val="20"/>
                <w:szCs w:val="20"/>
                <w:lang w:val="sl-SI"/>
              </w:rPr>
            </w:pPr>
            <w:r w:rsidRPr="00FF207E">
              <w:rPr>
                <w:rFonts w:cs="Arial"/>
                <w:sz w:val="20"/>
                <w:szCs w:val="20"/>
                <w:lang w:val="sl-SI"/>
              </w:rPr>
              <w:t>Potek izvedbe</w:t>
            </w:r>
          </w:p>
        </w:tc>
      </w:tr>
      <w:tr w:rsidR="00922994" w:rsidRPr="00FF207E" w14:paraId="5F451852" w14:textId="77777777" w:rsidTr="00D24D81">
        <w:tc>
          <w:tcPr>
            <w:tcW w:w="567" w:type="dxa"/>
            <w:vMerge w:val="restart"/>
            <w:tcBorders>
              <w:top w:val="single" w:sz="4" w:space="0" w:color="548DD4" w:themeColor="text2" w:themeTint="99"/>
              <w:left w:val="nil"/>
              <w:bottom w:val="single" w:sz="4" w:space="0" w:color="auto"/>
              <w:right w:val="single" w:sz="4" w:space="0" w:color="548DD4" w:themeColor="text2" w:themeTint="99"/>
            </w:tcBorders>
            <w:vAlign w:val="center"/>
          </w:tcPr>
          <w:p w14:paraId="017BB7AA" w14:textId="338918AD" w:rsidR="00922994" w:rsidRPr="00FF207E" w:rsidRDefault="004009D2" w:rsidP="001E304B">
            <w:pPr>
              <w:spacing w:line="240" w:lineRule="atLeast"/>
              <w:jc w:val="both"/>
              <w:rPr>
                <w:rFonts w:cs="Arial"/>
                <w:b/>
                <w:sz w:val="24"/>
                <w:lang w:val="sl-SI"/>
              </w:rPr>
            </w:pPr>
            <w:r w:rsidRPr="00FF207E">
              <w:rPr>
                <w:rFonts w:cs="Arial"/>
                <w:b/>
                <w:sz w:val="24"/>
                <w:lang w:val="sl-SI"/>
              </w:rPr>
              <w:t>1</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6AC2F9B1" w14:textId="4C676BC2" w:rsidR="00922994" w:rsidRPr="00FF207E" w:rsidRDefault="004009D2"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54F1E759" w14:textId="5E3EC4C1" w:rsidR="00922994" w:rsidRPr="00FF207E" w:rsidRDefault="007E4BDD" w:rsidP="009441D2">
            <w:pPr>
              <w:spacing w:line="240" w:lineRule="atLeast"/>
              <w:jc w:val="both"/>
              <w:rPr>
                <w:rFonts w:cs="Arial"/>
                <w:sz w:val="20"/>
                <w:szCs w:val="20"/>
                <w:lang w:val="sl-SI"/>
              </w:rPr>
            </w:pPr>
            <w:r w:rsidRPr="00FF207E">
              <w:rPr>
                <w:rFonts w:cs="Arial"/>
                <w:sz w:val="20"/>
                <w:szCs w:val="20"/>
                <w:lang w:val="sl-SI"/>
              </w:rPr>
              <w:t>z</w:t>
            </w:r>
            <w:r w:rsidR="00C7181D" w:rsidRPr="00FF207E">
              <w:rPr>
                <w:rFonts w:cs="Arial"/>
                <w:sz w:val="20"/>
                <w:szCs w:val="20"/>
                <w:lang w:val="sl-SI"/>
              </w:rPr>
              <w:t xml:space="preserve">agotovitev sredstev za delovanje pisarne na </w:t>
            </w:r>
            <w:r w:rsidR="009441D2" w:rsidRPr="00FF207E">
              <w:rPr>
                <w:rFonts w:cs="Arial"/>
                <w:sz w:val="20"/>
                <w:szCs w:val="20"/>
                <w:lang w:val="sl-SI"/>
              </w:rPr>
              <w:t xml:space="preserve">državni </w:t>
            </w:r>
            <w:r w:rsidR="00C7181D" w:rsidRPr="00FF207E">
              <w:rPr>
                <w:rFonts w:cs="Arial"/>
                <w:sz w:val="20"/>
                <w:szCs w:val="20"/>
                <w:lang w:val="sl-SI"/>
              </w:rPr>
              <w:t xml:space="preserve">ravni; </w:t>
            </w:r>
            <w:r w:rsidR="008A6194" w:rsidRPr="00FF207E">
              <w:rPr>
                <w:rFonts w:cs="Arial"/>
                <w:sz w:val="20"/>
                <w:szCs w:val="20"/>
                <w:lang w:val="sl-SI"/>
              </w:rPr>
              <w:t xml:space="preserve">in </w:t>
            </w:r>
            <w:r w:rsidR="00724D7C" w:rsidRPr="00FF207E">
              <w:rPr>
                <w:rFonts w:cs="Arial"/>
                <w:sz w:val="20"/>
                <w:szCs w:val="20"/>
                <w:lang w:val="sl-SI"/>
              </w:rPr>
              <w:t>opredeli</w:t>
            </w:r>
            <w:r w:rsidR="008A6194" w:rsidRPr="00FF207E">
              <w:rPr>
                <w:rFonts w:cs="Arial"/>
                <w:sz w:val="20"/>
                <w:szCs w:val="20"/>
                <w:lang w:val="sl-SI"/>
              </w:rPr>
              <w:t>t</w:t>
            </w:r>
            <w:r w:rsidR="00724D7C" w:rsidRPr="00FF207E">
              <w:rPr>
                <w:rFonts w:cs="Arial"/>
                <w:sz w:val="20"/>
                <w:szCs w:val="20"/>
                <w:lang w:val="sl-SI"/>
              </w:rPr>
              <w:t xml:space="preserve">ev </w:t>
            </w:r>
            <w:r w:rsidR="008A6194" w:rsidRPr="00FF207E">
              <w:rPr>
                <w:rFonts w:cs="Arial"/>
                <w:sz w:val="20"/>
                <w:szCs w:val="20"/>
                <w:lang w:val="sl-SI"/>
              </w:rPr>
              <w:t xml:space="preserve">števila </w:t>
            </w:r>
            <w:r w:rsidR="00C7181D" w:rsidRPr="00FF207E">
              <w:rPr>
                <w:rFonts w:cs="Arial"/>
                <w:sz w:val="20"/>
                <w:szCs w:val="20"/>
                <w:lang w:val="sl-SI"/>
              </w:rPr>
              <w:t xml:space="preserve">zaposlitev na </w:t>
            </w:r>
            <w:proofErr w:type="spellStart"/>
            <w:r w:rsidR="00C7181D" w:rsidRPr="00FF207E">
              <w:rPr>
                <w:rFonts w:cs="Arial"/>
                <w:sz w:val="20"/>
                <w:szCs w:val="20"/>
                <w:lang w:val="sl-SI"/>
              </w:rPr>
              <w:t>Eko</w:t>
            </w:r>
            <w:proofErr w:type="spellEnd"/>
            <w:r w:rsidR="00C7181D" w:rsidRPr="00FF207E">
              <w:rPr>
                <w:rFonts w:cs="Arial"/>
                <w:sz w:val="20"/>
                <w:szCs w:val="20"/>
                <w:lang w:val="sl-SI"/>
              </w:rPr>
              <w:t xml:space="preserve"> skladu</w:t>
            </w:r>
          </w:p>
        </w:tc>
      </w:tr>
      <w:tr w:rsidR="00922994" w:rsidRPr="00FF207E" w14:paraId="3A9F16EC" w14:textId="77777777" w:rsidTr="00D24D81">
        <w:tc>
          <w:tcPr>
            <w:tcW w:w="567" w:type="dxa"/>
            <w:vMerge/>
            <w:tcBorders>
              <w:left w:val="nil"/>
              <w:bottom w:val="single" w:sz="4" w:space="0" w:color="auto"/>
              <w:right w:val="single" w:sz="4" w:space="0" w:color="548DD4" w:themeColor="text2" w:themeTint="99"/>
            </w:tcBorders>
          </w:tcPr>
          <w:p w14:paraId="7B023DA3" w14:textId="77777777" w:rsidR="00922994" w:rsidRPr="00FF207E" w:rsidRDefault="00922994"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2819D64B" w14:textId="6B0A0282" w:rsidR="00922994" w:rsidRPr="00FF207E" w:rsidRDefault="004009D2"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23EB47F" w14:textId="3D60D982" w:rsidR="00922994" w:rsidRPr="00FF207E" w:rsidRDefault="00746B2F" w:rsidP="001E304B">
            <w:pPr>
              <w:spacing w:line="240" w:lineRule="atLeast"/>
              <w:jc w:val="both"/>
              <w:rPr>
                <w:rFonts w:cs="Arial"/>
                <w:sz w:val="20"/>
                <w:szCs w:val="20"/>
                <w:lang w:val="sl-SI"/>
              </w:rPr>
            </w:pPr>
            <w:r w:rsidRPr="00FF207E">
              <w:rPr>
                <w:rFonts w:cs="Arial"/>
                <w:sz w:val="20"/>
                <w:szCs w:val="20"/>
                <w:lang w:val="sl-SI"/>
              </w:rPr>
              <w:t>MOPE</w:t>
            </w:r>
          </w:p>
        </w:tc>
      </w:tr>
      <w:tr w:rsidR="00922994" w:rsidRPr="00FF207E" w14:paraId="7DC76273" w14:textId="77777777" w:rsidTr="00D24D81">
        <w:tc>
          <w:tcPr>
            <w:tcW w:w="567" w:type="dxa"/>
            <w:vMerge/>
            <w:tcBorders>
              <w:left w:val="nil"/>
              <w:bottom w:val="single" w:sz="4" w:space="0" w:color="auto"/>
              <w:right w:val="single" w:sz="4" w:space="0" w:color="548DD4" w:themeColor="text2" w:themeTint="99"/>
            </w:tcBorders>
          </w:tcPr>
          <w:p w14:paraId="53027C1D" w14:textId="77777777" w:rsidR="00922994" w:rsidRPr="00FF207E" w:rsidRDefault="00922994"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B40A271" w14:textId="7ED9FC1F" w:rsidR="00922994" w:rsidRPr="00FF207E" w:rsidRDefault="004009D2"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39A4AE81" w14:textId="0673A73F" w:rsidR="00922994" w:rsidRPr="00FF207E" w:rsidRDefault="00746B2F"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A4444B" w:rsidRPr="00FF207E" w14:paraId="67448873" w14:textId="77777777" w:rsidTr="00D24D81">
        <w:tc>
          <w:tcPr>
            <w:tcW w:w="567" w:type="dxa"/>
            <w:vMerge/>
            <w:tcBorders>
              <w:left w:val="nil"/>
              <w:bottom w:val="single" w:sz="4" w:space="0" w:color="auto"/>
              <w:right w:val="single" w:sz="4" w:space="0" w:color="548DD4" w:themeColor="text2" w:themeTint="99"/>
            </w:tcBorders>
          </w:tcPr>
          <w:p w14:paraId="3123AA49" w14:textId="77777777" w:rsidR="00A4444B" w:rsidRPr="00FF207E" w:rsidRDefault="00A4444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1F296D09" w14:textId="2C547652" w:rsidR="00A4444B" w:rsidRPr="00FF207E" w:rsidRDefault="00A4444B"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1348B496" w14:textId="40E23CEE" w:rsidR="00A4444B" w:rsidRPr="00FF207E" w:rsidRDefault="00103FA9" w:rsidP="00CB3F8C">
            <w:pPr>
              <w:spacing w:line="240" w:lineRule="atLeast"/>
              <w:jc w:val="both"/>
              <w:rPr>
                <w:rFonts w:cs="Arial"/>
                <w:sz w:val="20"/>
                <w:szCs w:val="20"/>
                <w:lang w:val="sl-SI"/>
              </w:rPr>
            </w:pPr>
            <w:r w:rsidRPr="00FF207E">
              <w:rPr>
                <w:rFonts w:cs="Arial"/>
                <w:sz w:val="20"/>
                <w:szCs w:val="20"/>
                <w:lang w:val="sl-SI"/>
              </w:rPr>
              <w:t xml:space="preserve">ob </w:t>
            </w:r>
            <w:r w:rsidR="00CB3F8C" w:rsidRPr="00FF207E">
              <w:rPr>
                <w:rFonts w:cs="Arial"/>
                <w:sz w:val="20"/>
                <w:szCs w:val="20"/>
                <w:lang w:val="sl-SI"/>
              </w:rPr>
              <w:t>sprejetju akcijskega načrta</w:t>
            </w:r>
          </w:p>
        </w:tc>
      </w:tr>
      <w:tr w:rsidR="004009D2" w:rsidRPr="00FF207E" w14:paraId="79E080AB" w14:textId="77777777" w:rsidTr="00D24D81">
        <w:tc>
          <w:tcPr>
            <w:tcW w:w="567" w:type="dxa"/>
            <w:vMerge w:val="restart"/>
            <w:tcBorders>
              <w:top w:val="single" w:sz="4" w:space="0" w:color="auto"/>
              <w:left w:val="nil"/>
              <w:right w:val="single" w:sz="4" w:space="0" w:color="548DD4" w:themeColor="text2" w:themeTint="99"/>
            </w:tcBorders>
            <w:vAlign w:val="center"/>
          </w:tcPr>
          <w:p w14:paraId="6C75A09C" w14:textId="3D12DDA0" w:rsidR="004009D2" w:rsidRPr="00FF207E" w:rsidRDefault="004009D2" w:rsidP="001E304B">
            <w:pPr>
              <w:spacing w:line="240" w:lineRule="atLeast"/>
              <w:jc w:val="both"/>
              <w:rPr>
                <w:rFonts w:cs="Arial"/>
                <w:b/>
                <w:sz w:val="24"/>
                <w:lang w:val="sl-SI"/>
              </w:rPr>
            </w:pPr>
            <w:r w:rsidRPr="00FF207E">
              <w:rPr>
                <w:rFonts w:cs="Arial"/>
                <w:b/>
                <w:sz w:val="24"/>
                <w:lang w:val="sl-SI"/>
              </w:rPr>
              <w:t>2</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779F7735" w14:textId="77777777" w:rsidR="004009D2" w:rsidRPr="00FF207E" w:rsidRDefault="004009D2"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3BAD13E1" w14:textId="42485326" w:rsidR="004009D2" w:rsidRPr="00FF207E" w:rsidRDefault="007E4BDD" w:rsidP="001E304B">
            <w:pPr>
              <w:spacing w:line="240" w:lineRule="atLeast"/>
              <w:jc w:val="both"/>
              <w:rPr>
                <w:rFonts w:cs="Arial"/>
                <w:sz w:val="20"/>
                <w:szCs w:val="20"/>
                <w:lang w:val="sl-SI"/>
              </w:rPr>
            </w:pPr>
            <w:r w:rsidRPr="00FF207E">
              <w:rPr>
                <w:rFonts w:cs="Arial"/>
                <w:sz w:val="20"/>
                <w:szCs w:val="20"/>
                <w:lang w:val="sl-SI"/>
              </w:rPr>
              <w:t>z</w:t>
            </w:r>
            <w:r w:rsidR="00152DA6" w:rsidRPr="00FF207E">
              <w:rPr>
                <w:rFonts w:cs="Arial"/>
                <w:sz w:val="20"/>
                <w:szCs w:val="20"/>
                <w:lang w:val="sl-SI"/>
              </w:rPr>
              <w:t>agotovit</w:t>
            </w:r>
            <w:r w:rsidR="00032EE2" w:rsidRPr="00FF207E">
              <w:rPr>
                <w:rFonts w:cs="Arial"/>
                <w:sz w:val="20"/>
                <w:szCs w:val="20"/>
                <w:lang w:val="sl-SI"/>
              </w:rPr>
              <w:t>ev</w:t>
            </w:r>
            <w:r w:rsidR="00152DA6" w:rsidRPr="00FF207E">
              <w:rPr>
                <w:rFonts w:cs="Arial"/>
                <w:sz w:val="20"/>
                <w:szCs w:val="20"/>
                <w:lang w:val="sl-SI"/>
              </w:rPr>
              <w:t xml:space="preserve"> prostor</w:t>
            </w:r>
            <w:r w:rsidR="00032EE2" w:rsidRPr="00FF207E">
              <w:rPr>
                <w:rFonts w:cs="Arial"/>
                <w:sz w:val="20"/>
                <w:szCs w:val="20"/>
                <w:lang w:val="sl-SI"/>
              </w:rPr>
              <w:t>a</w:t>
            </w:r>
            <w:r w:rsidR="00152DA6" w:rsidRPr="00FF207E">
              <w:rPr>
                <w:rFonts w:cs="Arial"/>
                <w:sz w:val="20"/>
                <w:szCs w:val="20"/>
                <w:lang w:val="sl-SI"/>
              </w:rPr>
              <w:t xml:space="preserve"> za delovanje pisarne </w:t>
            </w:r>
            <w:r w:rsidR="00A276C3" w:rsidRPr="00FF207E">
              <w:rPr>
                <w:rFonts w:cs="Arial"/>
                <w:sz w:val="20"/>
                <w:szCs w:val="20"/>
                <w:lang w:val="sl-SI"/>
              </w:rPr>
              <w:t xml:space="preserve">pri </w:t>
            </w:r>
            <w:proofErr w:type="spellStart"/>
            <w:r w:rsidR="00A276C3" w:rsidRPr="00FF207E">
              <w:rPr>
                <w:rFonts w:cs="Arial"/>
                <w:sz w:val="20"/>
                <w:szCs w:val="20"/>
                <w:lang w:val="sl-SI"/>
              </w:rPr>
              <w:t>Eko</w:t>
            </w:r>
            <w:proofErr w:type="spellEnd"/>
            <w:r w:rsidR="00A276C3" w:rsidRPr="00FF207E">
              <w:rPr>
                <w:rFonts w:cs="Arial"/>
                <w:sz w:val="20"/>
                <w:szCs w:val="20"/>
                <w:lang w:val="sl-SI"/>
              </w:rPr>
              <w:t xml:space="preserve"> skladu</w:t>
            </w:r>
            <w:r w:rsidR="00DD0966" w:rsidRPr="00FF207E">
              <w:rPr>
                <w:rFonts w:cs="Arial"/>
                <w:sz w:val="20"/>
                <w:szCs w:val="20"/>
                <w:lang w:val="sl-SI"/>
              </w:rPr>
              <w:t xml:space="preserve"> in ustrez</w:t>
            </w:r>
            <w:r w:rsidR="00032EE2" w:rsidRPr="00FF207E">
              <w:rPr>
                <w:rFonts w:cs="Arial"/>
                <w:sz w:val="20"/>
                <w:szCs w:val="20"/>
                <w:lang w:val="sl-SI"/>
              </w:rPr>
              <w:t>nega</w:t>
            </w:r>
            <w:r w:rsidR="00DD0966" w:rsidRPr="00FF207E">
              <w:rPr>
                <w:rFonts w:cs="Arial"/>
                <w:sz w:val="20"/>
                <w:szCs w:val="20"/>
                <w:lang w:val="sl-SI"/>
              </w:rPr>
              <w:t xml:space="preserve"> </w:t>
            </w:r>
            <w:r w:rsidR="00032EE2" w:rsidRPr="00FF207E">
              <w:rPr>
                <w:rFonts w:cs="Arial"/>
                <w:sz w:val="20"/>
                <w:szCs w:val="20"/>
                <w:lang w:val="sl-SI"/>
              </w:rPr>
              <w:t xml:space="preserve">dodatnega </w:t>
            </w:r>
            <w:r w:rsidR="00DD0966" w:rsidRPr="00FF207E">
              <w:rPr>
                <w:rFonts w:cs="Arial"/>
                <w:sz w:val="20"/>
                <w:szCs w:val="20"/>
                <w:lang w:val="sl-SI"/>
              </w:rPr>
              <w:t>kad</w:t>
            </w:r>
            <w:r w:rsidR="00032EE2" w:rsidRPr="00FF207E">
              <w:rPr>
                <w:rFonts w:cs="Arial"/>
                <w:sz w:val="20"/>
                <w:szCs w:val="20"/>
                <w:lang w:val="sl-SI"/>
              </w:rPr>
              <w:t>ra</w:t>
            </w:r>
            <w:r w:rsidR="00DD0966" w:rsidRPr="00FF207E">
              <w:rPr>
                <w:rFonts w:cs="Arial"/>
                <w:sz w:val="20"/>
                <w:szCs w:val="20"/>
                <w:lang w:val="sl-SI"/>
              </w:rPr>
              <w:t xml:space="preserve"> (s tehničnega, organizacijskega, socialnega, </w:t>
            </w:r>
            <w:proofErr w:type="spellStart"/>
            <w:r w:rsidR="000C376A" w:rsidRPr="00FF207E">
              <w:rPr>
                <w:rFonts w:cs="Arial"/>
                <w:sz w:val="20"/>
                <w:szCs w:val="20"/>
                <w:lang w:val="sl-SI"/>
              </w:rPr>
              <w:t>komunikološkega</w:t>
            </w:r>
            <w:proofErr w:type="spellEnd"/>
            <w:r w:rsidR="000C376A" w:rsidRPr="00FF207E">
              <w:rPr>
                <w:rFonts w:cs="Arial"/>
                <w:sz w:val="20"/>
                <w:szCs w:val="20"/>
                <w:lang w:val="sl-SI"/>
              </w:rPr>
              <w:t xml:space="preserve">, </w:t>
            </w:r>
            <w:r w:rsidR="00DD0966" w:rsidRPr="00FF207E">
              <w:rPr>
                <w:rFonts w:cs="Arial"/>
                <w:sz w:val="20"/>
                <w:szCs w:val="20"/>
                <w:lang w:val="sl-SI"/>
              </w:rPr>
              <w:t>psihološkega področja)</w:t>
            </w:r>
          </w:p>
        </w:tc>
      </w:tr>
      <w:tr w:rsidR="004009D2" w:rsidRPr="00FF207E" w14:paraId="5601FB28" w14:textId="77777777" w:rsidTr="004009D2">
        <w:tc>
          <w:tcPr>
            <w:tcW w:w="567" w:type="dxa"/>
            <w:vMerge/>
            <w:tcBorders>
              <w:left w:val="nil"/>
              <w:right w:val="single" w:sz="4" w:space="0" w:color="548DD4" w:themeColor="text2" w:themeTint="99"/>
            </w:tcBorders>
          </w:tcPr>
          <w:p w14:paraId="34B50979" w14:textId="77777777" w:rsidR="004009D2" w:rsidRPr="00FF207E" w:rsidRDefault="004009D2"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2039296C" w14:textId="77777777" w:rsidR="004009D2" w:rsidRPr="00FF207E" w:rsidRDefault="004009D2"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4BF6CC21" w14:textId="708265BE" w:rsidR="004009D2" w:rsidRPr="00FF207E" w:rsidRDefault="00DD0966"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4009D2" w:rsidRPr="00FF207E" w14:paraId="0EC1EBFB" w14:textId="77777777" w:rsidTr="004009D2">
        <w:tc>
          <w:tcPr>
            <w:tcW w:w="567" w:type="dxa"/>
            <w:vMerge/>
            <w:tcBorders>
              <w:left w:val="nil"/>
              <w:right w:val="single" w:sz="4" w:space="0" w:color="548DD4" w:themeColor="text2" w:themeTint="99"/>
            </w:tcBorders>
          </w:tcPr>
          <w:p w14:paraId="250D2053" w14:textId="77777777" w:rsidR="004009D2" w:rsidRPr="00FF207E" w:rsidRDefault="004009D2"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39DCE1F" w14:textId="77777777" w:rsidR="004009D2" w:rsidRPr="00FF207E" w:rsidRDefault="004009D2"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57F9370E" w14:textId="1D0C9561" w:rsidR="004009D2" w:rsidRPr="00FF207E" w:rsidRDefault="00DD0966" w:rsidP="001E304B">
            <w:pPr>
              <w:spacing w:line="240" w:lineRule="atLeast"/>
              <w:jc w:val="both"/>
              <w:rPr>
                <w:rFonts w:cs="Arial"/>
                <w:sz w:val="20"/>
                <w:szCs w:val="20"/>
                <w:lang w:val="sl-SI"/>
              </w:rPr>
            </w:pPr>
            <w:r w:rsidRPr="00FF207E">
              <w:rPr>
                <w:rFonts w:cs="Arial"/>
                <w:sz w:val="20"/>
                <w:szCs w:val="20"/>
                <w:lang w:val="sl-SI"/>
              </w:rPr>
              <w:t>MOPE</w:t>
            </w:r>
          </w:p>
        </w:tc>
      </w:tr>
      <w:tr w:rsidR="00A4444B" w:rsidRPr="00FF207E" w14:paraId="732C0897" w14:textId="77777777" w:rsidTr="00A4444B">
        <w:tc>
          <w:tcPr>
            <w:tcW w:w="567" w:type="dxa"/>
            <w:vMerge/>
            <w:tcBorders>
              <w:left w:val="nil"/>
              <w:bottom w:val="single" w:sz="4" w:space="0" w:color="548DD4" w:themeColor="text2" w:themeTint="99"/>
              <w:right w:val="single" w:sz="4" w:space="0" w:color="548DD4" w:themeColor="text2" w:themeTint="99"/>
            </w:tcBorders>
          </w:tcPr>
          <w:p w14:paraId="4086B222" w14:textId="77777777" w:rsidR="00A4444B" w:rsidRPr="00FF207E" w:rsidRDefault="00A4444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0A6C93CD" w14:textId="77777777" w:rsidR="00A4444B" w:rsidRPr="00FF207E" w:rsidRDefault="00A4444B"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026EE3F6" w14:textId="1D8009B3" w:rsidR="00A4444B" w:rsidRPr="00FF207E" w:rsidRDefault="002A50CC" w:rsidP="00230587">
            <w:pPr>
              <w:spacing w:line="240" w:lineRule="atLeast"/>
              <w:rPr>
                <w:rFonts w:cs="Arial"/>
                <w:sz w:val="20"/>
                <w:szCs w:val="20"/>
                <w:lang w:val="sl-SI"/>
              </w:rPr>
            </w:pPr>
            <w:r w:rsidRPr="00FF207E">
              <w:rPr>
                <w:rFonts w:cs="Arial"/>
                <w:sz w:val="20"/>
                <w:szCs w:val="20"/>
                <w:lang w:val="sl-SI"/>
              </w:rPr>
              <w:t>2024 (prostor); 2024 (</w:t>
            </w:r>
            <w:r w:rsidR="008A6194" w:rsidRPr="00FF207E">
              <w:rPr>
                <w:rFonts w:cs="Arial"/>
                <w:sz w:val="20"/>
                <w:szCs w:val="20"/>
                <w:lang w:val="sl-SI"/>
              </w:rPr>
              <w:t xml:space="preserve">potrebni </w:t>
            </w:r>
            <w:r w:rsidRPr="00FF207E">
              <w:rPr>
                <w:rFonts w:cs="Arial"/>
                <w:sz w:val="20"/>
                <w:szCs w:val="20"/>
                <w:lang w:val="sl-SI"/>
              </w:rPr>
              <w:t>4 kadr</w:t>
            </w:r>
            <w:r w:rsidR="008A6194" w:rsidRPr="00FF207E">
              <w:rPr>
                <w:rFonts w:cs="Arial"/>
                <w:sz w:val="20"/>
                <w:szCs w:val="20"/>
                <w:lang w:val="sl-SI"/>
              </w:rPr>
              <w:t>i</w:t>
            </w:r>
            <w:r w:rsidRPr="00FF207E">
              <w:rPr>
                <w:rFonts w:cs="Arial"/>
                <w:sz w:val="20"/>
                <w:szCs w:val="20"/>
                <w:lang w:val="sl-SI"/>
              </w:rPr>
              <w:t>); 2025 (</w:t>
            </w:r>
            <w:r w:rsidR="008A6194" w:rsidRPr="00FF207E">
              <w:rPr>
                <w:rFonts w:cs="Arial"/>
                <w:sz w:val="20"/>
                <w:szCs w:val="20"/>
                <w:lang w:val="sl-SI"/>
              </w:rPr>
              <w:t xml:space="preserve">potrebna </w:t>
            </w:r>
            <w:r w:rsidRPr="00FF207E">
              <w:rPr>
                <w:rFonts w:cs="Arial"/>
                <w:sz w:val="20"/>
                <w:szCs w:val="20"/>
                <w:lang w:val="sl-SI"/>
              </w:rPr>
              <w:t>še 2 kadr</w:t>
            </w:r>
            <w:r w:rsidR="008A6194" w:rsidRPr="00FF207E">
              <w:rPr>
                <w:rFonts w:cs="Arial"/>
                <w:sz w:val="20"/>
                <w:szCs w:val="20"/>
                <w:lang w:val="sl-SI"/>
              </w:rPr>
              <w:t>a</w:t>
            </w:r>
            <w:r w:rsidRPr="00FF207E">
              <w:rPr>
                <w:rFonts w:cs="Arial"/>
                <w:sz w:val="20"/>
                <w:szCs w:val="20"/>
                <w:lang w:val="sl-SI"/>
              </w:rPr>
              <w:t>)</w:t>
            </w:r>
          </w:p>
        </w:tc>
      </w:tr>
      <w:tr w:rsidR="00B450B5" w:rsidRPr="00FF207E" w14:paraId="4DEEB2BB" w14:textId="77777777" w:rsidTr="00A4444B">
        <w:tc>
          <w:tcPr>
            <w:tcW w:w="567" w:type="dxa"/>
            <w:vMerge w:val="restart"/>
            <w:tcBorders>
              <w:top w:val="single" w:sz="4" w:space="0" w:color="548DD4" w:themeColor="text2" w:themeTint="99"/>
              <w:left w:val="nil"/>
              <w:right w:val="single" w:sz="4" w:space="0" w:color="548DD4" w:themeColor="text2" w:themeTint="99"/>
            </w:tcBorders>
            <w:vAlign w:val="center"/>
          </w:tcPr>
          <w:p w14:paraId="63804790" w14:textId="77777777" w:rsidR="00B450B5" w:rsidRPr="00FF207E" w:rsidRDefault="00B450B5" w:rsidP="001E304B">
            <w:pPr>
              <w:spacing w:line="240" w:lineRule="atLeast"/>
              <w:jc w:val="both"/>
              <w:rPr>
                <w:rFonts w:cs="Arial"/>
                <w:b/>
                <w:sz w:val="24"/>
                <w:lang w:val="sl-SI"/>
              </w:rPr>
            </w:pPr>
            <w:r w:rsidRPr="00FF207E">
              <w:rPr>
                <w:rFonts w:cs="Arial"/>
                <w:b/>
                <w:sz w:val="24"/>
                <w:lang w:val="sl-SI"/>
              </w:rPr>
              <w:t>3</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4B465A92" w14:textId="77777777" w:rsidR="00B450B5" w:rsidRPr="00FF207E" w:rsidRDefault="00B450B5"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650D6529" w14:textId="6479161C" w:rsidR="00B450B5" w:rsidRPr="00FF207E" w:rsidRDefault="007E4BDD" w:rsidP="003E3875">
            <w:pPr>
              <w:spacing w:line="240" w:lineRule="atLeast"/>
              <w:jc w:val="both"/>
              <w:rPr>
                <w:rFonts w:cs="Arial"/>
                <w:sz w:val="20"/>
                <w:szCs w:val="20"/>
                <w:lang w:val="sl-SI"/>
              </w:rPr>
            </w:pPr>
            <w:r w:rsidRPr="00FF207E">
              <w:rPr>
                <w:rFonts w:cs="Arial"/>
                <w:sz w:val="20"/>
                <w:szCs w:val="20"/>
                <w:lang w:val="sl-SI"/>
              </w:rPr>
              <w:t>u</w:t>
            </w:r>
            <w:r w:rsidR="00032EE2" w:rsidRPr="00FF207E">
              <w:rPr>
                <w:rFonts w:cs="Arial"/>
                <w:sz w:val="20"/>
                <w:szCs w:val="20"/>
                <w:lang w:val="sl-SI"/>
              </w:rPr>
              <w:t>sposabljanje</w:t>
            </w:r>
            <w:r w:rsidR="00B450B5" w:rsidRPr="00FF207E">
              <w:rPr>
                <w:rFonts w:cs="Arial"/>
                <w:sz w:val="20"/>
                <w:szCs w:val="20"/>
                <w:lang w:val="sl-SI"/>
              </w:rPr>
              <w:t xml:space="preserve"> zaposlenih za delo z energetsko revnimi</w:t>
            </w:r>
          </w:p>
        </w:tc>
      </w:tr>
      <w:tr w:rsidR="00B450B5" w:rsidRPr="00FF207E" w14:paraId="478811F1" w14:textId="77777777" w:rsidTr="00E17A32">
        <w:tc>
          <w:tcPr>
            <w:tcW w:w="567" w:type="dxa"/>
            <w:vMerge/>
            <w:tcBorders>
              <w:left w:val="nil"/>
              <w:right w:val="single" w:sz="4" w:space="0" w:color="548DD4" w:themeColor="text2" w:themeTint="99"/>
            </w:tcBorders>
          </w:tcPr>
          <w:p w14:paraId="594B8BCB" w14:textId="77777777" w:rsidR="00B450B5" w:rsidRPr="00FF207E" w:rsidRDefault="00B450B5"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23EDF1C" w14:textId="77777777" w:rsidR="00B450B5" w:rsidRPr="00FF207E" w:rsidRDefault="00B450B5"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1021263" w14:textId="77777777" w:rsidR="00B450B5" w:rsidRPr="00FF207E" w:rsidRDefault="00B450B5"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B450B5" w:rsidRPr="00FF207E" w14:paraId="68631AD7" w14:textId="77777777" w:rsidTr="00E17A32">
        <w:tc>
          <w:tcPr>
            <w:tcW w:w="567" w:type="dxa"/>
            <w:vMerge/>
            <w:tcBorders>
              <w:left w:val="nil"/>
              <w:right w:val="single" w:sz="4" w:space="0" w:color="548DD4" w:themeColor="text2" w:themeTint="99"/>
            </w:tcBorders>
          </w:tcPr>
          <w:p w14:paraId="4A252A4F" w14:textId="77777777" w:rsidR="00B450B5" w:rsidRPr="00FF207E" w:rsidRDefault="00B450B5"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ED50340" w14:textId="77777777" w:rsidR="00B450B5" w:rsidRPr="00FF207E" w:rsidRDefault="00B450B5"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CEA6CF8" w14:textId="0CCB2A2E" w:rsidR="00B450B5" w:rsidRPr="00FF207E" w:rsidRDefault="00B450B5" w:rsidP="001E304B">
            <w:pPr>
              <w:spacing w:line="240" w:lineRule="atLeast"/>
              <w:jc w:val="both"/>
              <w:rPr>
                <w:rFonts w:cs="Arial"/>
                <w:sz w:val="20"/>
                <w:szCs w:val="20"/>
                <w:lang w:val="sl-SI"/>
              </w:rPr>
            </w:pPr>
            <w:r w:rsidRPr="00FF207E">
              <w:rPr>
                <w:rFonts w:cs="Arial"/>
                <w:sz w:val="20"/>
                <w:szCs w:val="20"/>
                <w:lang w:val="sl-SI"/>
              </w:rPr>
              <w:t>ENSVET, MDDSZ/CSD</w:t>
            </w:r>
          </w:p>
        </w:tc>
      </w:tr>
      <w:tr w:rsidR="00A4444B" w:rsidRPr="00FF207E" w14:paraId="54743A2A" w14:textId="77777777" w:rsidTr="00A4444B">
        <w:tc>
          <w:tcPr>
            <w:tcW w:w="567" w:type="dxa"/>
            <w:vMerge/>
            <w:tcBorders>
              <w:left w:val="nil"/>
              <w:bottom w:val="single" w:sz="4" w:space="0" w:color="548DD4" w:themeColor="text2" w:themeTint="99"/>
              <w:right w:val="single" w:sz="4" w:space="0" w:color="548DD4" w:themeColor="text2" w:themeTint="99"/>
            </w:tcBorders>
          </w:tcPr>
          <w:p w14:paraId="3D09A583" w14:textId="77777777" w:rsidR="00A4444B" w:rsidRPr="00FF207E" w:rsidRDefault="00A4444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361F72A6" w14:textId="77777777" w:rsidR="00A4444B" w:rsidRPr="00FF207E" w:rsidRDefault="00A4444B"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6F7E1EE5" w14:textId="7D5DD6BD" w:rsidR="00A4444B" w:rsidRPr="00FF207E" w:rsidRDefault="00717D35" w:rsidP="00103FA9">
            <w:pPr>
              <w:spacing w:line="240" w:lineRule="atLeast"/>
              <w:rPr>
                <w:rFonts w:cs="Arial"/>
                <w:sz w:val="20"/>
                <w:szCs w:val="20"/>
                <w:lang w:val="sl-SI"/>
              </w:rPr>
            </w:pPr>
            <w:r w:rsidRPr="00FF207E">
              <w:rPr>
                <w:rFonts w:cs="Arial"/>
                <w:sz w:val="20"/>
                <w:szCs w:val="20"/>
                <w:lang w:val="sl-SI"/>
              </w:rPr>
              <w:t>2024</w:t>
            </w:r>
          </w:p>
        </w:tc>
      </w:tr>
      <w:tr w:rsidR="00940412" w:rsidRPr="00FF207E" w14:paraId="38C386D7" w14:textId="77777777" w:rsidTr="00A4444B">
        <w:tc>
          <w:tcPr>
            <w:tcW w:w="567" w:type="dxa"/>
            <w:vMerge w:val="restart"/>
            <w:tcBorders>
              <w:top w:val="single" w:sz="4" w:space="0" w:color="548DD4" w:themeColor="text2" w:themeTint="99"/>
              <w:left w:val="nil"/>
              <w:right w:val="single" w:sz="4" w:space="0" w:color="548DD4" w:themeColor="text2" w:themeTint="99"/>
            </w:tcBorders>
            <w:vAlign w:val="center"/>
          </w:tcPr>
          <w:p w14:paraId="136182A6" w14:textId="65A746D2" w:rsidR="00940412" w:rsidRPr="00FF207E" w:rsidRDefault="00940412" w:rsidP="001E304B">
            <w:pPr>
              <w:spacing w:line="240" w:lineRule="atLeast"/>
              <w:jc w:val="both"/>
              <w:rPr>
                <w:rFonts w:cs="Arial"/>
                <w:b/>
                <w:sz w:val="24"/>
                <w:lang w:val="sl-SI"/>
              </w:rPr>
            </w:pPr>
            <w:r w:rsidRPr="00FF207E">
              <w:rPr>
                <w:rFonts w:cs="Arial"/>
                <w:b/>
                <w:sz w:val="24"/>
                <w:lang w:val="sl-SI"/>
              </w:rPr>
              <w:t>4</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1EDDE263" w14:textId="77777777" w:rsidR="00940412" w:rsidRPr="00FF207E" w:rsidRDefault="00940412"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4142BFC4" w14:textId="691DDCE2" w:rsidR="00940412" w:rsidRPr="00FF207E" w:rsidRDefault="007E4BDD" w:rsidP="001E304B">
            <w:pPr>
              <w:spacing w:line="240" w:lineRule="atLeast"/>
              <w:jc w:val="both"/>
              <w:rPr>
                <w:rFonts w:cs="Arial"/>
                <w:sz w:val="20"/>
                <w:szCs w:val="20"/>
                <w:lang w:val="sl-SI"/>
              </w:rPr>
            </w:pPr>
            <w:r w:rsidRPr="00FF207E">
              <w:rPr>
                <w:rFonts w:cs="Arial"/>
                <w:sz w:val="20"/>
                <w:szCs w:val="20"/>
                <w:lang w:val="sl-SI"/>
              </w:rPr>
              <w:t>d</w:t>
            </w:r>
            <w:r w:rsidR="00940412" w:rsidRPr="00FF207E">
              <w:rPr>
                <w:rFonts w:cs="Arial"/>
                <w:sz w:val="20"/>
                <w:szCs w:val="20"/>
                <w:lang w:val="sl-SI"/>
              </w:rPr>
              <w:t>elovanj</w:t>
            </w:r>
            <w:r w:rsidR="001E4067" w:rsidRPr="00FF207E">
              <w:rPr>
                <w:rFonts w:cs="Arial"/>
                <w:sz w:val="20"/>
                <w:szCs w:val="20"/>
                <w:lang w:val="sl-SI"/>
              </w:rPr>
              <w:t>e</w:t>
            </w:r>
            <w:r w:rsidR="00940412" w:rsidRPr="00FF207E">
              <w:rPr>
                <w:rFonts w:cs="Arial"/>
                <w:sz w:val="20"/>
                <w:szCs w:val="20"/>
                <w:lang w:val="sl-SI"/>
              </w:rPr>
              <w:t xml:space="preserve"> </w:t>
            </w:r>
            <w:r w:rsidR="00E7404D" w:rsidRPr="00FF207E">
              <w:rPr>
                <w:rFonts w:cs="Arial"/>
                <w:sz w:val="20"/>
                <w:szCs w:val="20"/>
                <w:lang w:val="sl-SI"/>
              </w:rPr>
              <w:t>pilotne pisarne</w:t>
            </w:r>
            <w:r w:rsidR="00940412" w:rsidRPr="00FF207E">
              <w:rPr>
                <w:rFonts w:cs="Arial"/>
                <w:sz w:val="20"/>
                <w:szCs w:val="20"/>
                <w:lang w:val="sl-SI"/>
              </w:rPr>
              <w:t xml:space="preserve"> in izvajanj</w:t>
            </w:r>
            <w:r w:rsidR="001E4067" w:rsidRPr="00FF207E">
              <w:rPr>
                <w:rFonts w:cs="Arial"/>
                <w:sz w:val="20"/>
                <w:szCs w:val="20"/>
                <w:lang w:val="sl-SI"/>
              </w:rPr>
              <w:t>e</w:t>
            </w:r>
            <w:r w:rsidR="00940412" w:rsidRPr="00FF207E">
              <w:rPr>
                <w:rFonts w:cs="Arial"/>
                <w:sz w:val="20"/>
                <w:szCs w:val="20"/>
                <w:lang w:val="sl-SI"/>
              </w:rPr>
              <w:t xml:space="preserve"> nalog, opredeljenih v okviru tega ukrepa (glej opis nalog </w:t>
            </w:r>
            <w:r w:rsidR="00172BBA" w:rsidRPr="00FF207E">
              <w:rPr>
                <w:rFonts w:cs="Arial"/>
                <w:sz w:val="20"/>
                <w:szCs w:val="20"/>
                <w:lang w:val="sl-SI"/>
              </w:rPr>
              <w:t>pisarne</w:t>
            </w:r>
            <w:r w:rsidR="00940412" w:rsidRPr="00FF207E">
              <w:rPr>
                <w:rFonts w:cs="Arial"/>
                <w:sz w:val="20"/>
                <w:szCs w:val="20"/>
                <w:lang w:val="sl-SI"/>
              </w:rPr>
              <w:t>)</w:t>
            </w:r>
            <w:r w:rsidR="00F167F5" w:rsidRPr="00FF207E">
              <w:rPr>
                <w:rFonts w:cs="Arial"/>
                <w:sz w:val="20"/>
                <w:szCs w:val="20"/>
                <w:lang w:val="sl-SI"/>
              </w:rPr>
              <w:t xml:space="preserve">, vključno </w:t>
            </w:r>
            <w:r w:rsidR="00752895" w:rsidRPr="00FF207E">
              <w:rPr>
                <w:rFonts w:cs="Arial"/>
                <w:sz w:val="20"/>
                <w:szCs w:val="20"/>
                <w:lang w:val="sl-SI"/>
              </w:rPr>
              <w:t xml:space="preserve">z vodenjem izvajanja, </w:t>
            </w:r>
            <w:r w:rsidR="00497E68" w:rsidRPr="00FF207E">
              <w:rPr>
                <w:rFonts w:cs="Arial"/>
                <w:sz w:val="20"/>
                <w:szCs w:val="20"/>
                <w:lang w:val="sl-SI"/>
              </w:rPr>
              <w:t xml:space="preserve">sprotnim </w:t>
            </w:r>
            <w:r w:rsidR="00F167F5" w:rsidRPr="00FF207E">
              <w:rPr>
                <w:rFonts w:cs="Arial"/>
                <w:sz w:val="20"/>
                <w:szCs w:val="20"/>
                <w:lang w:val="sl-SI"/>
              </w:rPr>
              <w:t>spremljanjem izvajanja in prilagajanj</w:t>
            </w:r>
            <w:r w:rsidR="00752895" w:rsidRPr="00FF207E">
              <w:rPr>
                <w:rFonts w:cs="Arial"/>
                <w:sz w:val="20"/>
                <w:szCs w:val="20"/>
                <w:lang w:val="sl-SI"/>
              </w:rPr>
              <w:t>em</w:t>
            </w:r>
            <w:r w:rsidR="00F167F5" w:rsidRPr="00FF207E">
              <w:rPr>
                <w:rFonts w:cs="Arial"/>
                <w:sz w:val="20"/>
                <w:szCs w:val="20"/>
                <w:lang w:val="sl-SI"/>
              </w:rPr>
              <w:t xml:space="preserve"> izvajanja trenutnim okoliščinam in potrebam</w:t>
            </w:r>
          </w:p>
        </w:tc>
      </w:tr>
      <w:tr w:rsidR="00940412" w:rsidRPr="00FF207E" w14:paraId="66E10B40" w14:textId="77777777" w:rsidTr="004009D2">
        <w:tc>
          <w:tcPr>
            <w:tcW w:w="567" w:type="dxa"/>
            <w:vMerge/>
            <w:tcBorders>
              <w:left w:val="nil"/>
              <w:right w:val="single" w:sz="4" w:space="0" w:color="548DD4" w:themeColor="text2" w:themeTint="99"/>
            </w:tcBorders>
          </w:tcPr>
          <w:p w14:paraId="4018A844" w14:textId="77777777" w:rsidR="00940412" w:rsidRPr="00FF207E" w:rsidRDefault="00940412"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CFC2175" w14:textId="77777777" w:rsidR="00940412" w:rsidRPr="00FF207E" w:rsidRDefault="00940412"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3F9C366F" w14:textId="5E21064F" w:rsidR="00940412" w:rsidRPr="00FF207E" w:rsidRDefault="00940412"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940412" w:rsidRPr="00FF207E" w14:paraId="52DA26A1" w14:textId="77777777" w:rsidTr="004009D2">
        <w:tc>
          <w:tcPr>
            <w:tcW w:w="567" w:type="dxa"/>
            <w:vMerge/>
            <w:tcBorders>
              <w:left w:val="nil"/>
              <w:right w:val="single" w:sz="4" w:space="0" w:color="548DD4" w:themeColor="text2" w:themeTint="99"/>
            </w:tcBorders>
          </w:tcPr>
          <w:p w14:paraId="627988AA" w14:textId="77777777" w:rsidR="00940412" w:rsidRPr="00FF207E" w:rsidRDefault="00940412"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B7CC99B" w14:textId="77777777" w:rsidR="00940412" w:rsidRPr="00FF207E" w:rsidRDefault="00940412"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D4F3612" w14:textId="372983EA" w:rsidR="00940412" w:rsidRPr="00FF207E" w:rsidRDefault="00D21658" w:rsidP="001E304B">
            <w:pPr>
              <w:spacing w:line="240" w:lineRule="atLeast"/>
              <w:jc w:val="both"/>
              <w:rPr>
                <w:rFonts w:cs="Arial"/>
                <w:sz w:val="20"/>
                <w:szCs w:val="20"/>
                <w:lang w:val="sl-SI"/>
              </w:rPr>
            </w:pPr>
            <w:r w:rsidRPr="00FF207E">
              <w:rPr>
                <w:rFonts w:cs="Arial"/>
                <w:sz w:val="20"/>
                <w:szCs w:val="20"/>
                <w:lang w:val="sl-SI"/>
              </w:rPr>
              <w:t xml:space="preserve">projektna pisarna, </w:t>
            </w:r>
            <w:r w:rsidR="00940412" w:rsidRPr="00FF207E">
              <w:rPr>
                <w:rFonts w:cs="Arial"/>
                <w:sz w:val="20"/>
                <w:szCs w:val="20"/>
                <w:lang w:val="sl-SI"/>
              </w:rPr>
              <w:t>regionalne svetovalne točke</w:t>
            </w:r>
            <w:r w:rsidR="00172BBA" w:rsidRPr="00FF207E">
              <w:rPr>
                <w:rFonts w:cs="Arial"/>
                <w:sz w:val="20"/>
                <w:szCs w:val="20"/>
                <w:lang w:val="sl-SI"/>
              </w:rPr>
              <w:t>, neformaln</w:t>
            </w:r>
            <w:r w:rsidR="00AD77B5" w:rsidRPr="00FF207E">
              <w:rPr>
                <w:rFonts w:cs="Arial"/>
                <w:sz w:val="20"/>
                <w:szCs w:val="20"/>
                <w:lang w:val="sl-SI"/>
              </w:rPr>
              <w:t>e</w:t>
            </w:r>
            <w:r w:rsidR="00172BBA" w:rsidRPr="00FF207E">
              <w:rPr>
                <w:rFonts w:cs="Arial"/>
                <w:sz w:val="20"/>
                <w:szCs w:val="20"/>
                <w:lang w:val="sl-SI"/>
              </w:rPr>
              <w:t xml:space="preserve"> mrež</w:t>
            </w:r>
            <w:r w:rsidR="00AD77B5" w:rsidRPr="00FF207E">
              <w:rPr>
                <w:rFonts w:cs="Arial"/>
                <w:sz w:val="20"/>
                <w:szCs w:val="20"/>
                <w:lang w:val="sl-SI"/>
              </w:rPr>
              <w:t>e</w:t>
            </w:r>
            <w:r w:rsidR="00172BBA" w:rsidRPr="00FF207E">
              <w:rPr>
                <w:rFonts w:cs="Arial"/>
                <w:sz w:val="20"/>
                <w:szCs w:val="20"/>
                <w:lang w:val="sl-SI"/>
              </w:rPr>
              <w:t xml:space="preserve"> za informiranje in ozaveščanje, ENSVET, MOPE</w:t>
            </w:r>
          </w:p>
        </w:tc>
      </w:tr>
      <w:tr w:rsidR="00A4444B" w:rsidRPr="00FF207E" w14:paraId="54B3DE97" w14:textId="77777777" w:rsidTr="00A4444B">
        <w:tc>
          <w:tcPr>
            <w:tcW w:w="567" w:type="dxa"/>
            <w:vMerge/>
            <w:tcBorders>
              <w:left w:val="nil"/>
              <w:bottom w:val="single" w:sz="4" w:space="0" w:color="548DD4" w:themeColor="text2" w:themeTint="99"/>
              <w:right w:val="single" w:sz="4" w:space="0" w:color="548DD4" w:themeColor="text2" w:themeTint="99"/>
            </w:tcBorders>
          </w:tcPr>
          <w:p w14:paraId="1608E361" w14:textId="77777777" w:rsidR="00A4444B" w:rsidRPr="00FF207E" w:rsidRDefault="00A4444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6E07C180" w14:textId="77777777" w:rsidR="00A4444B" w:rsidRPr="00FF207E" w:rsidRDefault="00A4444B"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3A972D5B" w14:textId="6B635526" w:rsidR="00A4444B" w:rsidRPr="00FF207E" w:rsidRDefault="00A4444B" w:rsidP="008F4BAF">
            <w:pPr>
              <w:spacing w:line="240" w:lineRule="atLeast"/>
              <w:jc w:val="both"/>
              <w:rPr>
                <w:rFonts w:cs="Arial"/>
                <w:sz w:val="20"/>
                <w:szCs w:val="20"/>
                <w:lang w:val="sl-SI"/>
              </w:rPr>
            </w:pPr>
            <w:r w:rsidRPr="00FF207E">
              <w:rPr>
                <w:rFonts w:cs="Arial"/>
                <w:sz w:val="20"/>
                <w:szCs w:val="20"/>
                <w:lang w:val="sl-SI"/>
              </w:rPr>
              <w:t xml:space="preserve">začetek </w:t>
            </w:r>
            <w:r w:rsidR="0087119F" w:rsidRPr="00FF207E">
              <w:rPr>
                <w:rFonts w:cs="Arial"/>
                <w:sz w:val="20"/>
                <w:szCs w:val="20"/>
                <w:lang w:val="sl-SI"/>
              </w:rPr>
              <w:t xml:space="preserve">delovanja </w:t>
            </w:r>
            <w:r w:rsidRPr="00FF207E">
              <w:rPr>
                <w:rFonts w:cs="Arial"/>
                <w:sz w:val="20"/>
                <w:szCs w:val="20"/>
                <w:lang w:val="sl-SI"/>
              </w:rPr>
              <w:t>pisarne</w:t>
            </w:r>
            <w:r w:rsidR="006C44EF" w:rsidRPr="00FF207E">
              <w:rPr>
                <w:rFonts w:cs="Arial"/>
                <w:sz w:val="20"/>
                <w:szCs w:val="20"/>
                <w:lang w:val="sl-SI"/>
              </w:rPr>
              <w:t xml:space="preserve"> </w:t>
            </w:r>
            <w:r w:rsidR="00717D35" w:rsidRPr="00FF207E">
              <w:rPr>
                <w:rFonts w:cs="Arial"/>
                <w:sz w:val="20"/>
                <w:szCs w:val="20"/>
                <w:lang w:val="sl-SI"/>
              </w:rPr>
              <w:t>konec leta</w:t>
            </w:r>
            <w:r w:rsidR="006C44EF" w:rsidRPr="00FF207E">
              <w:rPr>
                <w:rFonts w:cs="Arial"/>
                <w:sz w:val="20"/>
                <w:szCs w:val="20"/>
                <w:lang w:val="sl-SI"/>
              </w:rPr>
              <w:t xml:space="preserve"> </w:t>
            </w:r>
            <w:r w:rsidR="00717D35" w:rsidRPr="00FF207E">
              <w:rPr>
                <w:rFonts w:cs="Arial"/>
                <w:sz w:val="20"/>
                <w:szCs w:val="20"/>
                <w:lang w:val="sl-SI"/>
              </w:rPr>
              <w:t>2024</w:t>
            </w:r>
            <w:r w:rsidRPr="00FF207E">
              <w:rPr>
                <w:rFonts w:cs="Arial"/>
                <w:sz w:val="20"/>
                <w:szCs w:val="20"/>
                <w:lang w:val="sl-SI"/>
              </w:rPr>
              <w:t>, potem neprekinjeno</w:t>
            </w:r>
            <w:r w:rsidR="008E7C5E" w:rsidRPr="00FF207E">
              <w:rPr>
                <w:rFonts w:cs="Arial"/>
                <w:sz w:val="20"/>
                <w:szCs w:val="20"/>
                <w:lang w:val="sl-SI"/>
              </w:rPr>
              <w:t xml:space="preserve">; do vzpostavitve pisarne </w:t>
            </w:r>
            <w:r w:rsidR="008F4BAF" w:rsidRPr="00FF207E">
              <w:rPr>
                <w:rFonts w:cs="Arial"/>
                <w:sz w:val="20"/>
                <w:szCs w:val="20"/>
                <w:lang w:val="sl-SI"/>
              </w:rPr>
              <w:t xml:space="preserve">dejavnosti </w:t>
            </w:r>
            <w:r w:rsidR="008E7C5E" w:rsidRPr="00FF207E">
              <w:rPr>
                <w:rFonts w:cs="Arial"/>
                <w:sz w:val="20"/>
                <w:szCs w:val="20"/>
                <w:lang w:val="sl-SI"/>
              </w:rPr>
              <w:t xml:space="preserve">za zmanjševanje energetske revščine še naprej izvaja skupina, ki se pri </w:t>
            </w:r>
            <w:proofErr w:type="spellStart"/>
            <w:r w:rsidR="008E7C5E" w:rsidRPr="00FF207E">
              <w:rPr>
                <w:rFonts w:cs="Arial"/>
                <w:sz w:val="20"/>
                <w:szCs w:val="20"/>
                <w:lang w:val="sl-SI"/>
              </w:rPr>
              <w:t>Eko</w:t>
            </w:r>
            <w:proofErr w:type="spellEnd"/>
            <w:r w:rsidR="008E7C5E" w:rsidRPr="00FF207E">
              <w:rPr>
                <w:rFonts w:cs="Arial"/>
                <w:sz w:val="20"/>
                <w:szCs w:val="20"/>
                <w:lang w:val="sl-SI"/>
              </w:rPr>
              <w:t xml:space="preserve"> skladu </w:t>
            </w:r>
            <w:r w:rsidR="00DC76C1" w:rsidRPr="00FF207E">
              <w:rPr>
                <w:rFonts w:cs="Arial"/>
                <w:sz w:val="20"/>
                <w:szCs w:val="20"/>
                <w:lang w:val="sl-SI"/>
              </w:rPr>
              <w:t xml:space="preserve">s tem </w:t>
            </w:r>
            <w:r w:rsidR="008E7C5E" w:rsidRPr="00FF207E">
              <w:rPr>
                <w:rFonts w:cs="Arial"/>
                <w:sz w:val="20"/>
                <w:szCs w:val="20"/>
                <w:lang w:val="sl-SI"/>
              </w:rPr>
              <w:t>že ukvarja</w:t>
            </w:r>
          </w:p>
        </w:tc>
      </w:tr>
      <w:tr w:rsidR="006F0325" w:rsidRPr="00FF207E" w14:paraId="69B0F4E9" w14:textId="77777777" w:rsidTr="00A4444B">
        <w:tc>
          <w:tcPr>
            <w:tcW w:w="567" w:type="dxa"/>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63E51E3D" w14:textId="1FD90F5B" w:rsidR="006F0325" w:rsidRPr="00FF207E" w:rsidRDefault="006F0325" w:rsidP="001E304B">
            <w:pPr>
              <w:spacing w:line="240" w:lineRule="atLeast"/>
              <w:jc w:val="both"/>
              <w:rPr>
                <w:rFonts w:cs="Arial"/>
                <w:b/>
                <w:sz w:val="24"/>
                <w:lang w:val="sl-SI"/>
              </w:rPr>
            </w:pPr>
            <w:r w:rsidRPr="00FF207E">
              <w:rPr>
                <w:rFonts w:cs="Arial"/>
                <w:b/>
                <w:sz w:val="24"/>
                <w:lang w:val="sl-SI"/>
              </w:rPr>
              <w:t>5</w:t>
            </w:r>
          </w:p>
        </w:tc>
        <w:tc>
          <w:tcPr>
            <w:tcW w:w="2405"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67C5EEF0" w14:textId="77777777" w:rsidR="006F0325" w:rsidRPr="00FF207E" w:rsidRDefault="006F0325"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F6C52CB" w14:textId="241130A1" w:rsidR="006F0325" w:rsidRPr="00FF207E" w:rsidRDefault="008F4BAF" w:rsidP="001E304B">
            <w:pPr>
              <w:spacing w:line="240" w:lineRule="atLeast"/>
              <w:jc w:val="both"/>
              <w:rPr>
                <w:rFonts w:cs="Arial"/>
                <w:sz w:val="20"/>
                <w:szCs w:val="20"/>
                <w:lang w:val="sl-SI"/>
              </w:rPr>
            </w:pPr>
            <w:r w:rsidRPr="00FF207E">
              <w:rPr>
                <w:rFonts w:cs="Arial"/>
                <w:sz w:val="20"/>
                <w:szCs w:val="20"/>
                <w:lang w:val="sl-SI"/>
              </w:rPr>
              <w:t>v</w:t>
            </w:r>
            <w:r w:rsidR="006F0325" w:rsidRPr="00FF207E">
              <w:rPr>
                <w:rFonts w:cs="Arial"/>
                <w:sz w:val="20"/>
                <w:szCs w:val="20"/>
                <w:lang w:val="sl-SI"/>
              </w:rPr>
              <w:t xml:space="preserve">zpostavitev </w:t>
            </w:r>
            <w:r w:rsidR="006F0325" w:rsidRPr="00FF207E">
              <w:rPr>
                <w:rFonts w:cs="Arial"/>
                <w:bCs/>
                <w:sz w:val="20"/>
                <w:szCs w:val="20"/>
                <w:lang w:val="sl-SI"/>
              </w:rPr>
              <w:t xml:space="preserve">regionalnih svetovalnih točk v pilotnem obsegu </w:t>
            </w:r>
            <w:r w:rsidR="006F0325" w:rsidRPr="00FF207E">
              <w:rPr>
                <w:rFonts w:cs="Arial"/>
                <w:szCs w:val="22"/>
                <w:lang w:val="sl-SI"/>
              </w:rPr>
              <w:t>–</w:t>
            </w:r>
            <w:r w:rsidR="006F0325" w:rsidRPr="00FF207E">
              <w:rPr>
                <w:rFonts w:cs="Arial"/>
                <w:bCs/>
                <w:sz w:val="20"/>
                <w:szCs w:val="20"/>
                <w:lang w:val="sl-SI"/>
              </w:rPr>
              <w:t xml:space="preserve"> glej nadaljevanje tega ukrepa</w:t>
            </w:r>
          </w:p>
        </w:tc>
      </w:tr>
      <w:tr w:rsidR="006F0325" w:rsidRPr="00FF207E" w14:paraId="29F1CF83" w14:textId="77777777" w:rsidTr="00A4444B">
        <w:tc>
          <w:tcPr>
            <w:tcW w:w="567" w:type="dxa"/>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7AC00A1D" w14:textId="77777777" w:rsidR="006F0325" w:rsidRPr="00FF207E" w:rsidRDefault="006F0325" w:rsidP="001E304B">
            <w:pPr>
              <w:spacing w:line="240" w:lineRule="atLeast"/>
              <w:jc w:val="both"/>
              <w:rPr>
                <w:rFonts w:cs="Arial"/>
                <w:b/>
                <w:sz w:val="24"/>
                <w:lang w:val="sl-SI"/>
              </w:rPr>
            </w:pPr>
            <w:r w:rsidRPr="00FF207E">
              <w:rPr>
                <w:rFonts w:cs="Arial"/>
                <w:b/>
                <w:sz w:val="24"/>
                <w:lang w:val="sl-SI"/>
              </w:rPr>
              <w:t>6</w:t>
            </w:r>
          </w:p>
        </w:tc>
        <w:tc>
          <w:tcPr>
            <w:tcW w:w="2405"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3450F2F2" w14:textId="77777777" w:rsidR="006F0325" w:rsidRPr="00FF207E" w:rsidRDefault="006F0325"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08503DC" w14:textId="428345D6" w:rsidR="006F0325" w:rsidRPr="00FF207E" w:rsidRDefault="008F4BAF" w:rsidP="001E304B">
            <w:pPr>
              <w:spacing w:line="240" w:lineRule="atLeast"/>
              <w:jc w:val="both"/>
              <w:rPr>
                <w:rFonts w:cs="Arial"/>
                <w:sz w:val="20"/>
                <w:szCs w:val="20"/>
                <w:lang w:val="sl-SI"/>
              </w:rPr>
            </w:pPr>
            <w:r w:rsidRPr="00FF207E">
              <w:rPr>
                <w:rFonts w:cs="Arial"/>
                <w:sz w:val="20"/>
                <w:szCs w:val="20"/>
                <w:lang w:val="sl-SI"/>
              </w:rPr>
              <w:t>v</w:t>
            </w:r>
            <w:r w:rsidR="006F0325" w:rsidRPr="00FF207E">
              <w:rPr>
                <w:rFonts w:cs="Arial"/>
                <w:sz w:val="20"/>
                <w:szCs w:val="20"/>
                <w:lang w:val="sl-SI"/>
              </w:rPr>
              <w:t>zpostavitev neformaln</w:t>
            </w:r>
            <w:r w:rsidR="00D21658" w:rsidRPr="00FF207E">
              <w:rPr>
                <w:rFonts w:cs="Arial"/>
                <w:sz w:val="20"/>
                <w:szCs w:val="20"/>
                <w:lang w:val="sl-SI"/>
              </w:rPr>
              <w:t>ih</w:t>
            </w:r>
            <w:r w:rsidR="006F0325" w:rsidRPr="00FF207E">
              <w:rPr>
                <w:rFonts w:cs="Arial"/>
                <w:sz w:val="20"/>
                <w:szCs w:val="20"/>
                <w:lang w:val="sl-SI"/>
              </w:rPr>
              <w:t xml:space="preserve"> mrež za informiranje in ozaveščanje v pilotnem obsegu (glej ukrep </w:t>
            </w:r>
            <w:hyperlink w:anchor="_Neformalna_mreža_za" w:history="1">
              <w:r w:rsidR="0049433E" w:rsidRPr="00FF207E">
                <w:rPr>
                  <w:rStyle w:val="Hiperpovezava"/>
                  <w:rFonts w:cs="Arial"/>
                  <w:sz w:val="20"/>
                  <w:szCs w:val="20"/>
                  <w:lang w:val="sl-SI"/>
                </w:rPr>
                <w:t>ER_Shema-03</w:t>
              </w:r>
            </w:hyperlink>
            <w:r w:rsidR="006F0325" w:rsidRPr="00FF207E">
              <w:rPr>
                <w:rFonts w:cs="Arial"/>
                <w:sz w:val="20"/>
                <w:szCs w:val="20"/>
                <w:lang w:val="sl-SI"/>
              </w:rPr>
              <w:t>)</w:t>
            </w:r>
          </w:p>
        </w:tc>
      </w:tr>
      <w:tr w:rsidR="00F32D7D" w:rsidRPr="00FF207E" w14:paraId="32E24BDC" w14:textId="77777777" w:rsidTr="006F0325">
        <w:tc>
          <w:tcPr>
            <w:tcW w:w="567" w:type="dxa"/>
            <w:vMerge w:val="restart"/>
            <w:tcBorders>
              <w:top w:val="single" w:sz="4" w:space="0" w:color="548DD4" w:themeColor="text2" w:themeTint="99"/>
              <w:left w:val="nil"/>
              <w:right w:val="single" w:sz="4" w:space="0" w:color="548DD4" w:themeColor="text2" w:themeTint="99"/>
            </w:tcBorders>
            <w:vAlign w:val="center"/>
          </w:tcPr>
          <w:p w14:paraId="4249BE60" w14:textId="77777777" w:rsidR="00F32D7D" w:rsidRPr="00FF207E" w:rsidRDefault="00F32D7D" w:rsidP="001E304B">
            <w:pPr>
              <w:spacing w:line="240" w:lineRule="atLeast"/>
              <w:jc w:val="both"/>
              <w:rPr>
                <w:rFonts w:cs="Arial"/>
                <w:b/>
                <w:sz w:val="24"/>
                <w:lang w:val="sl-SI"/>
              </w:rPr>
            </w:pPr>
            <w:r w:rsidRPr="00FF207E">
              <w:rPr>
                <w:rFonts w:cs="Arial"/>
                <w:b/>
                <w:sz w:val="24"/>
                <w:lang w:val="sl-SI"/>
              </w:rPr>
              <w:t>7</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22194ABC" w14:textId="77777777" w:rsidR="00F32D7D" w:rsidRPr="00FF207E" w:rsidRDefault="00F32D7D"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3F54CA51" w14:textId="411B092B" w:rsidR="00F32D7D" w:rsidRPr="00FF207E" w:rsidRDefault="007E4BDD" w:rsidP="001E304B">
            <w:pPr>
              <w:spacing w:line="240" w:lineRule="atLeast"/>
              <w:jc w:val="both"/>
              <w:rPr>
                <w:rFonts w:cs="Arial"/>
                <w:sz w:val="20"/>
                <w:szCs w:val="20"/>
                <w:lang w:val="sl-SI"/>
              </w:rPr>
            </w:pPr>
            <w:r w:rsidRPr="00FF207E">
              <w:rPr>
                <w:rFonts w:cs="Arial"/>
                <w:sz w:val="20"/>
                <w:szCs w:val="20"/>
                <w:lang w:val="sl-SI"/>
              </w:rPr>
              <w:t>v</w:t>
            </w:r>
            <w:r w:rsidR="00D5260F" w:rsidRPr="00FF207E">
              <w:rPr>
                <w:rFonts w:cs="Arial"/>
                <w:sz w:val="20"/>
                <w:szCs w:val="20"/>
                <w:lang w:val="sl-SI"/>
              </w:rPr>
              <w:t xml:space="preserve"> okviru spremljanja izvajanja a</w:t>
            </w:r>
            <w:r w:rsidR="00F32D7D" w:rsidRPr="00FF207E">
              <w:rPr>
                <w:rFonts w:cs="Arial"/>
                <w:sz w:val="20"/>
                <w:szCs w:val="20"/>
                <w:lang w:val="sl-SI"/>
              </w:rPr>
              <w:t>nalize izvajanja nalog projektne pisarne</w:t>
            </w:r>
            <w:r w:rsidR="009B4105" w:rsidRPr="00FF207E">
              <w:rPr>
                <w:rFonts w:cs="Arial"/>
                <w:sz w:val="20"/>
                <w:szCs w:val="20"/>
                <w:lang w:val="sl-SI"/>
              </w:rPr>
              <w:t xml:space="preserve">, regionalnih svetovalnih točk ter neformalne mreže za informiranje in ozaveščanje </w:t>
            </w:r>
            <w:r w:rsidR="00F32D7D" w:rsidRPr="00FF207E">
              <w:rPr>
                <w:rFonts w:cs="Arial"/>
                <w:sz w:val="20"/>
                <w:szCs w:val="20"/>
                <w:lang w:val="sl-SI"/>
              </w:rPr>
              <w:t>ter prilagajanje</w:t>
            </w:r>
            <w:r w:rsidR="001E4067" w:rsidRPr="00FF207E">
              <w:rPr>
                <w:rFonts w:cs="Arial"/>
                <w:sz w:val="20"/>
                <w:szCs w:val="20"/>
                <w:lang w:val="sl-SI"/>
              </w:rPr>
              <w:t xml:space="preserve"> nalog</w:t>
            </w:r>
            <w:r w:rsidR="00F32D7D" w:rsidRPr="00FF207E">
              <w:rPr>
                <w:rFonts w:cs="Arial"/>
                <w:sz w:val="20"/>
                <w:szCs w:val="20"/>
                <w:lang w:val="sl-SI"/>
              </w:rPr>
              <w:t xml:space="preserve"> trenutnim okoliščinam in potrebam</w:t>
            </w:r>
            <w:r w:rsidR="00983415" w:rsidRPr="00FF207E">
              <w:rPr>
                <w:rFonts w:cs="Arial"/>
                <w:sz w:val="20"/>
                <w:szCs w:val="20"/>
                <w:lang w:val="sl-SI"/>
              </w:rPr>
              <w:t>;</w:t>
            </w:r>
            <w:r w:rsidR="00F32D7D" w:rsidRPr="00FF207E">
              <w:rPr>
                <w:rFonts w:cs="Arial"/>
                <w:sz w:val="20"/>
                <w:szCs w:val="20"/>
                <w:lang w:val="sl-SI"/>
              </w:rPr>
              <w:t xml:space="preserve"> </w:t>
            </w:r>
            <w:r w:rsidR="00983415" w:rsidRPr="00FF207E">
              <w:rPr>
                <w:rFonts w:cs="Arial"/>
                <w:sz w:val="20"/>
                <w:szCs w:val="20"/>
                <w:lang w:val="sl-SI"/>
              </w:rPr>
              <w:t>v</w:t>
            </w:r>
            <w:r w:rsidR="00F32D7D" w:rsidRPr="00FF207E">
              <w:rPr>
                <w:rFonts w:cs="Arial"/>
                <w:sz w:val="20"/>
                <w:szCs w:val="20"/>
                <w:lang w:val="sl-SI"/>
              </w:rPr>
              <w:t xml:space="preserve"> </w:t>
            </w:r>
            <w:r w:rsidR="002D1A7D" w:rsidRPr="00FF207E">
              <w:rPr>
                <w:rFonts w:cs="Arial"/>
                <w:sz w:val="20"/>
                <w:szCs w:val="20"/>
                <w:lang w:val="sl-SI"/>
              </w:rPr>
              <w:t xml:space="preserve">drugem </w:t>
            </w:r>
            <w:r w:rsidR="00F32D7D" w:rsidRPr="00FF207E">
              <w:rPr>
                <w:rFonts w:cs="Arial"/>
                <w:sz w:val="20"/>
                <w:szCs w:val="20"/>
                <w:lang w:val="sl-SI"/>
              </w:rPr>
              <w:t xml:space="preserve">kvartalu leta 2026 je treba izvesti tudi celovito vrednotenje </w:t>
            </w:r>
            <w:r w:rsidR="002D1A7D" w:rsidRPr="00FF207E">
              <w:rPr>
                <w:rFonts w:cs="Arial"/>
                <w:sz w:val="20"/>
                <w:szCs w:val="20"/>
                <w:lang w:val="sl-SI"/>
              </w:rPr>
              <w:t>prvega obdobja</w:t>
            </w:r>
            <w:r w:rsidR="00F32D7D" w:rsidRPr="00FF207E">
              <w:rPr>
                <w:rFonts w:cs="Arial"/>
                <w:sz w:val="20"/>
                <w:szCs w:val="20"/>
                <w:lang w:val="sl-SI"/>
              </w:rPr>
              <w:t xml:space="preserve"> delovanja </w:t>
            </w:r>
            <w:r w:rsidR="008E7C5E" w:rsidRPr="00FF207E">
              <w:rPr>
                <w:rFonts w:cs="Arial"/>
                <w:sz w:val="20"/>
                <w:szCs w:val="20"/>
                <w:lang w:val="sl-SI"/>
              </w:rPr>
              <w:t>sheme za zmanjševanje energetske revščine</w:t>
            </w:r>
            <w:r w:rsidR="00F32D7D" w:rsidRPr="00FF207E">
              <w:rPr>
                <w:rFonts w:cs="Arial"/>
                <w:sz w:val="20"/>
                <w:szCs w:val="20"/>
                <w:lang w:val="sl-SI"/>
              </w:rPr>
              <w:t xml:space="preserve"> v pilotnem obsegu, </w:t>
            </w:r>
            <w:r w:rsidR="00793D3A" w:rsidRPr="00FF207E">
              <w:rPr>
                <w:rFonts w:cs="Arial"/>
                <w:sz w:val="20"/>
                <w:szCs w:val="20"/>
                <w:lang w:val="sl-SI"/>
              </w:rPr>
              <w:t xml:space="preserve">kot podlago za vzpostavitev </w:t>
            </w:r>
            <w:r w:rsidR="004F650B" w:rsidRPr="00FF207E">
              <w:rPr>
                <w:rFonts w:cs="Arial"/>
                <w:sz w:val="20"/>
                <w:szCs w:val="20"/>
                <w:lang w:val="sl-SI"/>
              </w:rPr>
              <w:t xml:space="preserve">sheme </w:t>
            </w:r>
            <w:r w:rsidR="00793D3A" w:rsidRPr="00FF207E">
              <w:rPr>
                <w:rFonts w:cs="Arial"/>
                <w:sz w:val="20"/>
                <w:szCs w:val="20"/>
                <w:lang w:val="sl-SI"/>
              </w:rPr>
              <w:t>v polnem obsegu</w:t>
            </w:r>
          </w:p>
        </w:tc>
      </w:tr>
      <w:tr w:rsidR="00F32D7D" w:rsidRPr="00FF207E" w14:paraId="753E8CA4" w14:textId="77777777" w:rsidTr="00A575FE">
        <w:tc>
          <w:tcPr>
            <w:tcW w:w="567" w:type="dxa"/>
            <w:vMerge/>
            <w:tcBorders>
              <w:left w:val="nil"/>
              <w:right w:val="single" w:sz="4" w:space="0" w:color="548DD4" w:themeColor="text2" w:themeTint="99"/>
            </w:tcBorders>
          </w:tcPr>
          <w:p w14:paraId="2E8506DF" w14:textId="77777777" w:rsidR="00F32D7D" w:rsidRPr="00FF207E" w:rsidRDefault="00F32D7D"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0656B95" w14:textId="77777777" w:rsidR="00F32D7D" w:rsidRPr="00FF207E" w:rsidRDefault="00F32D7D"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DDD136A" w14:textId="77777777" w:rsidR="00F32D7D" w:rsidRPr="00FF207E" w:rsidRDefault="00F32D7D"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F32D7D" w:rsidRPr="00FF207E" w14:paraId="11BADA51" w14:textId="77777777" w:rsidTr="00A575FE">
        <w:tc>
          <w:tcPr>
            <w:tcW w:w="567" w:type="dxa"/>
            <w:vMerge/>
            <w:tcBorders>
              <w:left w:val="nil"/>
              <w:right w:val="single" w:sz="4" w:space="0" w:color="548DD4" w:themeColor="text2" w:themeTint="99"/>
            </w:tcBorders>
          </w:tcPr>
          <w:p w14:paraId="7BA66630" w14:textId="77777777" w:rsidR="00F32D7D" w:rsidRPr="00FF207E" w:rsidRDefault="00F32D7D"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9AB2DF5" w14:textId="77777777" w:rsidR="00F32D7D" w:rsidRPr="00FF207E" w:rsidRDefault="00F32D7D"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770EE6D8" w14:textId="1ADF5C7F" w:rsidR="00F32D7D" w:rsidRPr="00FF207E" w:rsidRDefault="00F32D7D" w:rsidP="00AB5B90">
            <w:pPr>
              <w:spacing w:line="240" w:lineRule="atLeast"/>
              <w:jc w:val="both"/>
              <w:rPr>
                <w:rFonts w:cs="Arial"/>
                <w:sz w:val="20"/>
                <w:szCs w:val="20"/>
                <w:lang w:val="sl-SI"/>
              </w:rPr>
            </w:pPr>
            <w:r w:rsidRPr="00FF207E">
              <w:rPr>
                <w:rFonts w:cs="Arial"/>
                <w:sz w:val="20"/>
                <w:szCs w:val="20"/>
                <w:lang w:val="sl-SI"/>
              </w:rPr>
              <w:t xml:space="preserve">projektna pisarna, regionalne svetovalne točke, ENSVET, MOPE, </w:t>
            </w:r>
            <w:r w:rsidR="00AB5B90" w:rsidRPr="00FF207E">
              <w:rPr>
                <w:rFonts w:cs="Arial"/>
                <w:sz w:val="20"/>
                <w:szCs w:val="20"/>
                <w:lang w:val="sl-SI"/>
              </w:rPr>
              <w:t xml:space="preserve">drugi pomembni </w:t>
            </w:r>
            <w:r w:rsidRPr="00FF207E">
              <w:rPr>
                <w:rFonts w:cs="Arial"/>
                <w:sz w:val="20"/>
                <w:szCs w:val="20"/>
                <w:lang w:val="sl-SI"/>
              </w:rPr>
              <w:t>deležniki</w:t>
            </w:r>
            <w:r w:rsidR="00A33281" w:rsidRPr="00FF207E">
              <w:rPr>
                <w:rFonts w:cs="Arial"/>
                <w:sz w:val="20"/>
                <w:szCs w:val="20"/>
                <w:lang w:val="sl-SI"/>
              </w:rPr>
              <w:t>, po potrebi zunanji izvajalci</w:t>
            </w:r>
          </w:p>
        </w:tc>
      </w:tr>
      <w:tr w:rsidR="00A4444B" w:rsidRPr="00FF207E" w14:paraId="09533E20" w14:textId="77777777" w:rsidTr="00A4444B">
        <w:tc>
          <w:tcPr>
            <w:tcW w:w="567" w:type="dxa"/>
            <w:vMerge/>
            <w:tcBorders>
              <w:left w:val="nil"/>
              <w:bottom w:val="single" w:sz="4" w:space="0" w:color="548DD4" w:themeColor="text2" w:themeTint="99"/>
              <w:right w:val="single" w:sz="4" w:space="0" w:color="548DD4" w:themeColor="text2" w:themeTint="99"/>
            </w:tcBorders>
          </w:tcPr>
          <w:p w14:paraId="485613FE" w14:textId="77777777" w:rsidR="00A4444B" w:rsidRPr="00FF207E" w:rsidRDefault="00A4444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2949C474" w14:textId="77777777" w:rsidR="00A4444B" w:rsidRPr="00FF207E" w:rsidRDefault="00A4444B"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0E024D11" w14:textId="13825DF1" w:rsidR="00A4444B" w:rsidRPr="00FF207E" w:rsidRDefault="00A4444B" w:rsidP="002D1A7D">
            <w:pPr>
              <w:spacing w:line="240" w:lineRule="atLeast"/>
              <w:rPr>
                <w:rFonts w:cs="Arial"/>
                <w:sz w:val="20"/>
                <w:szCs w:val="20"/>
                <w:lang w:val="sl-SI"/>
              </w:rPr>
            </w:pPr>
            <w:r w:rsidRPr="00FF207E">
              <w:rPr>
                <w:rFonts w:cs="Arial"/>
                <w:sz w:val="20"/>
                <w:szCs w:val="20"/>
                <w:lang w:val="sl-SI"/>
              </w:rPr>
              <w:t>čim bolj sproti, najmanj pa enkrat na kvartal</w:t>
            </w:r>
            <w:r w:rsidR="00103FA9" w:rsidRPr="00FF207E">
              <w:rPr>
                <w:rFonts w:cs="Arial"/>
                <w:sz w:val="20"/>
                <w:szCs w:val="20"/>
                <w:lang w:val="sl-SI"/>
              </w:rPr>
              <w:t xml:space="preserve"> </w:t>
            </w:r>
            <w:r w:rsidR="00103FA9" w:rsidRPr="00FF207E">
              <w:rPr>
                <w:rFonts w:cs="Arial"/>
                <w:sz w:val="20"/>
                <w:szCs w:val="20"/>
                <w:lang w:val="sl-SI"/>
              </w:rPr>
              <w:br/>
              <w:t>za celovito vrednotenje 6/2026</w:t>
            </w:r>
          </w:p>
        </w:tc>
      </w:tr>
      <w:tr w:rsidR="00983415" w:rsidRPr="00FF207E" w14:paraId="29034BE8" w14:textId="77777777" w:rsidTr="00A4444B">
        <w:tc>
          <w:tcPr>
            <w:tcW w:w="567" w:type="dxa"/>
            <w:vMerge w:val="restart"/>
            <w:tcBorders>
              <w:top w:val="single" w:sz="4" w:space="0" w:color="548DD4" w:themeColor="text2" w:themeTint="99"/>
              <w:left w:val="nil"/>
              <w:right w:val="single" w:sz="4" w:space="0" w:color="548DD4" w:themeColor="text2" w:themeTint="99"/>
            </w:tcBorders>
            <w:vAlign w:val="center"/>
          </w:tcPr>
          <w:p w14:paraId="30F9E111" w14:textId="4EA90BD4" w:rsidR="00983415" w:rsidRPr="00FF207E" w:rsidRDefault="00983415" w:rsidP="001E304B">
            <w:pPr>
              <w:spacing w:line="240" w:lineRule="atLeast"/>
              <w:jc w:val="both"/>
              <w:rPr>
                <w:rFonts w:cs="Arial"/>
                <w:b/>
                <w:sz w:val="24"/>
                <w:lang w:val="sl-SI"/>
              </w:rPr>
            </w:pPr>
            <w:r w:rsidRPr="00FF207E">
              <w:rPr>
                <w:rFonts w:cs="Arial"/>
                <w:b/>
                <w:sz w:val="24"/>
                <w:lang w:val="sl-SI"/>
              </w:rPr>
              <w:t>8</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7D3C06FD" w14:textId="77777777" w:rsidR="00983415" w:rsidRPr="00FF207E" w:rsidRDefault="00983415"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02E5127F" w14:textId="7CE80409" w:rsidR="00983415" w:rsidRPr="00FF207E" w:rsidRDefault="007E4BDD" w:rsidP="007E4BDD">
            <w:pPr>
              <w:spacing w:line="240" w:lineRule="atLeast"/>
              <w:jc w:val="both"/>
              <w:rPr>
                <w:rFonts w:cs="Arial"/>
                <w:sz w:val="20"/>
                <w:szCs w:val="20"/>
                <w:lang w:val="sl-SI"/>
              </w:rPr>
            </w:pPr>
            <w:r w:rsidRPr="00FF207E">
              <w:rPr>
                <w:rFonts w:cs="Arial"/>
                <w:sz w:val="20"/>
                <w:szCs w:val="20"/>
                <w:lang w:val="sl-SI"/>
              </w:rPr>
              <w:t>p</w:t>
            </w:r>
            <w:r w:rsidR="00983415" w:rsidRPr="00FF207E">
              <w:rPr>
                <w:rFonts w:cs="Arial"/>
                <w:sz w:val="20"/>
                <w:szCs w:val="20"/>
                <w:lang w:val="sl-SI"/>
              </w:rPr>
              <w:t xml:space="preserve">riprava na delovanje projektne pisarne </w:t>
            </w:r>
            <w:r w:rsidR="00322576" w:rsidRPr="00FF207E">
              <w:rPr>
                <w:rFonts w:cs="Arial"/>
                <w:sz w:val="20"/>
                <w:szCs w:val="20"/>
                <w:lang w:val="sl-SI"/>
              </w:rPr>
              <w:t xml:space="preserve">z regionalnimi svetovalnimi točkami </w:t>
            </w:r>
            <w:r w:rsidR="00983415" w:rsidRPr="00FF207E">
              <w:rPr>
                <w:rFonts w:cs="Arial"/>
                <w:sz w:val="20"/>
                <w:szCs w:val="20"/>
                <w:lang w:val="sl-SI"/>
              </w:rPr>
              <w:t>v polnem obsegu</w:t>
            </w:r>
            <w:r w:rsidR="00322576" w:rsidRPr="00FF207E">
              <w:rPr>
                <w:rFonts w:cs="Arial"/>
                <w:sz w:val="20"/>
                <w:szCs w:val="20"/>
                <w:lang w:val="sl-SI"/>
              </w:rPr>
              <w:t xml:space="preserve"> </w:t>
            </w:r>
            <w:r w:rsidR="00983415" w:rsidRPr="00FF207E">
              <w:rPr>
                <w:rFonts w:cs="Arial"/>
                <w:sz w:val="20"/>
                <w:szCs w:val="20"/>
                <w:lang w:val="sl-SI"/>
              </w:rPr>
              <w:t xml:space="preserve">z zagotovitvijo sredstev, prostora </w:t>
            </w:r>
            <w:r w:rsidRPr="00FF207E">
              <w:rPr>
                <w:rFonts w:cs="Arial"/>
                <w:sz w:val="20"/>
                <w:szCs w:val="20"/>
                <w:lang w:val="sl-SI"/>
              </w:rPr>
              <w:t xml:space="preserve">in </w:t>
            </w:r>
            <w:r w:rsidR="00983415" w:rsidRPr="00FF207E">
              <w:rPr>
                <w:rFonts w:cs="Arial"/>
                <w:sz w:val="20"/>
                <w:szCs w:val="20"/>
                <w:lang w:val="sl-SI"/>
              </w:rPr>
              <w:t>kadrov</w:t>
            </w:r>
            <w:r w:rsidRPr="00FF207E">
              <w:rPr>
                <w:rFonts w:cs="Arial"/>
                <w:sz w:val="20"/>
                <w:szCs w:val="20"/>
                <w:lang w:val="sl-SI"/>
              </w:rPr>
              <w:t>,</w:t>
            </w:r>
            <w:r w:rsidR="00983415" w:rsidRPr="00FF207E">
              <w:rPr>
                <w:rFonts w:cs="Arial"/>
                <w:sz w:val="20"/>
                <w:szCs w:val="20"/>
                <w:lang w:val="sl-SI"/>
              </w:rPr>
              <w:t xml:space="preserve"> priprava usposabljanja za </w:t>
            </w:r>
            <w:r w:rsidR="00CA1639" w:rsidRPr="00FF207E">
              <w:rPr>
                <w:rFonts w:cs="Arial"/>
                <w:sz w:val="20"/>
                <w:szCs w:val="20"/>
                <w:lang w:val="sl-SI"/>
              </w:rPr>
              <w:t>delovanje</w:t>
            </w:r>
            <w:r w:rsidR="00983415" w:rsidRPr="00FF207E">
              <w:rPr>
                <w:rFonts w:cs="Arial"/>
                <w:sz w:val="20"/>
                <w:szCs w:val="20"/>
                <w:lang w:val="sl-SI"/>
              </w:rPr>
              <w:t xml:space="preserve"> v polnem obsegu, priprava naročila/koncesijskih pogodb/zakonskih podlag</w:t>
            </w:r>
            <w:r w:rsidRPr="00FF207E">
              <w:rPr>
                <w:rFonts w:cs="Arial"/>
                <w:sz w:val="20"/>
                <w:szCs w:val="20"/>
                <w:lang w:val="sl-SI"/>
              </w:rPr>
              <w:t xml:space="preserve"> – </w:t>
            </w:r>
            <w:r w:rsidR="00983415" w:rsidRPr="00FF207E">
              <w:rPr>
                <w:rFonts w:cs="Arial"/>
                <w:sz w:val="20"/>
                <w:szCs w:val="20"/>
                <w:lang w:val="sl-SI"/>
              </w:rPr>
              <w:t xml:space="preserve">javnih pooblastil za regionalne </w:t>
            </w:r>
            <w:r w:rsidR="00CA1639" w:rsidRPr="00FF207E">
              <w:rPr>
                <w:rFonts w:cs="Arial"/>
                <w:sz w:val="20"/>
                <w:szCs w:val="20"/>
                <w:lang w:val="sl-SI"/>
              </w:rPr>
              <w:t xml:space="preserve">svetovalne </w:t>
            </w:r>
            <w:r w:rsidR="00983415" w:rsidRPr="00FF207E">
              <w:rPr>
                <w:rFonts w:cs="Arial"/>
                <w:sz w:val="20"/>
                <w:szCs w:val="20"/>
                <w:lang w:val="sl-SI"/>
              </w:rPr>
              <w:t>točke in koordinatorje neformalnih regionalnih mrež</w:t>
            </w:r>
            <w:r w:rsidR="00CA1639" w:rsidRPr="00FF207E">
              <w:rPr>
                <w:rFonts w:cs="Arial"/>
                <w:sz w:val="20"/>
                <w:szCs w:val="20"/>
                <w:lang w:val="sl-SI"/>
              </w:rPr>
              <w:t xml:space="preserve"> za informiranje in ozaveščanje </w:t>
            </w:r>
            <w:r w:rsidR="00B77973" w:rsidRPr="00FF207E">
              <w:rPr>
                <w:rFonts w:cs="Arial"/>
                <w:sz w:val="20"/>
                <w:szCs w:val="20"/>
                <w:lang w:val="sl-SI"/>
              </w:rPr>
              <w:t>in tako dalje</w:t>
            </w:r>
          </w:p>
        </w:tc>
      </w:tr>
      <w:tr w:rsidR="00983415" w:rsidRPr="00FF207E" w14:paraId="1259F64E" w14:textId="77777777" w:rsidTr="00E17A32">
        <w:tc>
          <w:tcPr>
            <w:tcW w:w="567" w:type="dxa"/>
            <w:vMerge/>
            <w:tcBorders>
              <w:left w:val="nil"/>
              <w:right w:val="single" w:sz="4" w:space="0" w:color="548DD4" w:themeColor="text2" w:themeTint="99"/>
            </w:tcBorders>
          </w:tcPr>
          <w:p w14:paraId="7E83DED8" w14:textId="77777777" w:rsidR="00983415" w:rsidRPr="00FF207E" w:rsidRDefault="00983415"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2408F3F7" w14:textId="77777777" w:rsidR="00983415" w:rsidRPr="00FF207E" w:rsidRDefault="00983415"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6840900" w14:textId="35326544" w:rsidR="00983415" w:rsidRPr="00FF207E" w:rsidRDefault="00983415"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983415" w:rsidRPr="00FF207E" w14:paraId="4AC8DAAC" w14:textId="77777777" w:rsidTr="00E17A32">
        <w:tc>
          <w:tcPr>
            <w:tcW w:w="567" w:type="dxa"/>
            <w:vMerge/>
            <w:tcBorders>
              <w:left w:val="nil"/>
              <w:right w:val="single" w:sz="4" w:space="0" w:color="548DD4" w:themeColor="text2" w:themeTint="99"/>
            </w:tcBorders>
          </w:tcPr>
          <w:p w14:paraId="204AD5BF" w14:textId="77777777" w:rsidR="00983415" w:rsidRPr="00FF207E" w:rsidRDefault="00983415"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71F6B7D5" w14:textId="77777777" w:rsidR="00983415" w:rsidRPr="00FF207E" w:rsidRDefault="00983415"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0F7501B" w14:textId="66ED0C42" w:rsidR="00983415" w:rsidRPr="00FF207E" w:rsidRDefault="00983415" w:rsidP="00AB5B90">
            <w:pPr>
              <w:spacing w:line="240" w:lineRule="atLeast"/>
              <w:jc w:val="both"/>
              <w:rPr>
                <w:rFonts w:cs="Arial"/>
                <w:sz w:val="20"/>
                <w:szCs w:val="20"/>
                <w:lang w:val="sl-SI"/>
              </w:rPr>
            </w:pPr>
            <w:r w:rsidRPr="00FF207E">
              <w:rPr>
                <w:rFonts w:cs="Arial"/>
                <w:sz w:val="20"/>
                <w:szCs w:val="20"/>
                <w:lang w:val="sl-SI"/>
              </w:rPr>
              <w:t xml:space="preserve">projektna pisarna, regionalne svetovalne točke, ENSVET, MOPE, </w:t>
            </w:r>
            <w:r w:rsidR="00AB5B90" w:rsidRPr="00FF207E">
              <w:rPr>
                <w:rFonts w:cs="Arial"/>
                <w:sz w:val="20"/>
                <w:szCs w:val="20"/>
                <w:lang w:val="sl-SI"/>
              </w:rPr>
              <w:t xml:space="preserve">drugi pomembni </w:t>
            </w:r>
            <w:r w:rsidRPr="00FF207E">
              <w:rPr>
                <w:rFonts w:cs="Arial"/>
                <w:sz w:val="20"/>
                <w:szCs w:val="20"/>
                <w:lang w:val="sl-SI"/>
              </w:rPr>
              <w:t>deležniki</w:t>
            </w:r>
            <w:r w:rsidR="00A33281" w:rsidRPr="00FF207E">
              <w:rPr>
                <w:rFonts w:cs="Arial"/>
                <w:sz w:val="20"/>
                <w:szCs w:val="20"/>
                <w:lang w:val="sl-SI"/>
              </w:rPr>
              <w:t>, po potrebi zunanji izvajalci</w:t>
            </w:r>
          </w:p>
        </w:tc>
      </w:tr>
      <w:tr w:rsidR="00A4444B" w:rsidRPr="00FF207E" w14:paraId="4ECBC862" w14:textId="77777777" w:rsidTr="00A4444B">
        <w:tc>
          <w:tcPr>
            <w:tcW w:w="567" w:type="dxa"/>
            <w:vMerge/>
            <w:tcBorders>
              <w:left w:val="nil"/>
              <w:bottom w:val="single" w:sz="4" w:space="0" w:color="548DD4" w:themeColor="text2" w:themeTint="99"/>
              <w:right w:val="single" w:sz="4" w:space="0" w:color="548DD4" w:themeColor="text2" w:themeTint="99"/>
            </w:tcBorders>
          </w:tcPr>
          <w:p w14:paraId="1679E189" w14:textId="77777777" w:rsidR="00A4444B" w:rsidRPr="00FF207E" w:rsidRDefault="00A4444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5CCE1192" w14:textId="77777777" w:rsidR="00A4444B" w:rsidRPr="00FF207E" w:rsidRDefault="00A4444B"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6884EED8" w14:textId="23A5E59A" w:rsidR="00A4444B" w:rsidRPr="00FF207E" w:rsidRDefault="005F4066" w:rsidP="001E304B">
            <w:pPr>
              <w:spacing w:line="240" w:lineRule="atLeast"/>
              <w:jc w:val="both"/>
              <w:rPr>
                <w:rFonts w:cs="Arial"/>
                <w:sz w:val="20"/>
                <w:szCs w:val="20"/>
                <w:lang w:val="sl-SI"/>
              </w:rPr>
            </w:pPr>
            <w:r w:rsidRPr="00FF207E">
              <w:rPr>
                <w:rFonts w:cs="Arial"/>
                <w:sz w:val="20"/>
                <w:szCs w:val="20"/>
                <w:lang w:val="sl-SI"/>
              </w:rPr>
              <w:t>2026</w:t>
            </w:r>
          </w:p>
        </w:tc>
      </w:tr>
      <w:tr w:rsidR="000274C1" w:rsidRPr="00FF207E" w14:paraId="32FDBD88" w14:textId="77777777" w:rsidTr="00A4444B">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493FE33F" w14:textId="23362A19" w:rsidR="000274C1" w:rsidRPr="00FF207E" w:rsidRDefault="000274C1" w:rsidP="002F7DDF">
            <w:pPr>
              <w:keepNext/>
              <w:spacing w:before="60" w:after="60" w:line="240" w:lineRule="atLeast"/>
              <w:jc w:val="both"/>
              <w:rPr>
                <w:rFonts w:cs="Arial"/>
                <w:b/>
                <w:lang w:val="sl-SI"/>
              </w:rPr>
            </w:pPr>
            <w:r w:rsidRPr="00FF207E">
              <w:rPr>
                <w:rFonts w:cs="Arial"/>
                <w:b/>
                <w:lang w:val="sl-SI"/>
              </w:rPr>
              <w:t xml:space="preserve">Kratkoročna izvedba ukrepa v obdobju 2024–2026 na </w:t>
            </w:r>
            <w:r w:rsidR="007E48CE" w:rsidRPr="00FF207E">
              <w:rPr>
                <w:rFonts w:cs="Arial"/>
                <w:b/>
                <w:lang w:val="sl-SI"/>
              </w:rPr>
              <w:t>regionalni</w:t>
            </w:r>
            <w:r w:rsidRPr="00FF207E">
              <w:rPr>
                <w:rFonts w:cs="Arial"/>
                <w:b/>
                <w:lang w:val="sl-SI"/>
              </w:rPr>
              <w:t xml:space="preserve"> ravni</w:t>
            </w:r>
          </w:p>
        </w:tc>
      </w:tr>
      <w:tr w:rsidR="000274C1" w:rsidRPr="00FF207E" w14:paraId="4017C8E1"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4B5CD57C" w14:textId="77777777" w:rsidR="000274C1" w:rsidRPr="00FF207E" w:rsidRDefault="000274C1" w:rsidP="001E304B">
            <w:pPr>
              <w:spacing w:line="240" w:lineRule="atLeast"/>
              <w:jc w:val="both"/>
              <w:rPr>
                <w:rFonts w:cs="Arial"/>
                <w:sz w:val="20"/>
                <w:szCs w:val="20"/>
                <w:lang w:val="sl-SI"/>
              </w:rPr>
            </w:pPr>
            <w:r w:rsidRPr="00FF207E">
              <w:rPr>
                <w:rFonts w:cs="Arial"/>
                <w:sz w:val="20"/>
                <w:szCs w:val="20"/>
                <w:lang w:val="sl-SI"/>
              </w:rPr>
              <w:t>Kratkoročni cilj</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376D009" w14:textId="1EAC318B" w:rsidR="000274C1" w:rsidRPr="00FF207E" w:rsidRDefault="005768C1" w:rsidP="00067DBF">
            <w:pPr>
              <w:spacing w:line="240" w:lineRule="atLeast"/>
              <w:jc w:val="both"/>
              <w:rPr>
                <w:rFonts w:cs="Arial"/>
                <w:sz w:val="20"/>
                <w:szCs w:val="20"/>
                <w:lang w:val="sl-SI"/>
              </w:rPr>
            </w:pPr>
            <w:r w:rsidRPr="00FF207E">
              <w:rPr>
                <w:rFonts w:cs="Arial"/>
                <w:sz w:val="20"/>
                <w:szCs w:val="20"/>
                <w:lang w:val="sl-SI"/>
              </w:rPr>
              <w:t>Vzpostaviti delujoč</w:t>
            </w:r>
            <w:r w:rsidR="007E48CE" w:rsidRPr="00FF207E">
              <w:rPr>
                <w:rFonts w:cs="Arial"/>
                <w:sz w:val="20"/>
                <w:szCs w:val="20"/>
                <w:lang w:val="sl-SI"/>
              </w:rPr>
              <w:t>e</w:t>
            </w:r>
            <w:r w:rsidRPr="00FF207E">
              <w:rPr>
                <w:rFonts w:cs="Arial"/>
                <w:sz w:val="20"/>
                <w:szCs w:val="20"/>
                <w:lang w:val="sl-SI"/>
              </w:rPr>
              <w:t xml:space="preserve"> </w:t>
            </w:r>
            <w:r w:rsidR="007E48CE" w:rsidRPr="00FF207E">
              <w:rPr>
                <w:rFonts w:cs="Arial"/>
                <w:sz w:val="20"/>
                <w:szCs w:val="20"/>
                <w:lang w:val="sl-SI"/>
              </w:rPr>
              <w:t xml:space="preserve">regionalne </w:t>
            </w:r>
            <w:r w:rsidRPr="00FF207E">
              <w:rPr>
                <w:rFonts w:cs="Arial"/>
                <w:sz w:val="20"/>
                <w:szCs w:val="20"/>
                <w:lang w:val="sl-SI"/>
              </w:rPr>
              <w:t>svetovaln</w:t>
            </w:r>
            <w:r w:rsidR="007E48CE" w:rsidRPr="00FF207E">
              <w:rPr>
                <w:rFonts w:cs="Arial"/>
                <w:sz w:val="20"/>
                <w:szCs w:val="20"/>
                <w:lang w:val="sl-SI"/>
              </w:rPr>
              <w:t>e</w:t>
            </w:r>
            <w:r w:rsidRPr="00FF207E">
              <w:rPr>
                <w:rFonts w:cs="Arial"/>
                <w:sz w:val="20"/>
                <w:szCs w:val="20"/>
                <w:lang w:val="sl-SI"/>
              </w:rPr>
              <w:t xml:space="preserve"> </w:t>
            </w:r>
            <w:r w:rsidR="007E48CE" w:rsidRPr="00FF207E">
              <w:rPr>
                <w:rFonts w:cs="Arial"/>
                <w:sz w:val="20"/>
                <w:szCs w:val="20"/>
                <w:lang w:val="sl-SI"/>
              </w:rPr>
              <w:t>točke</w:t>
            </w:r>
            <w:r w:rsidRPr="00FF207E">
              <w:rPr>
                <w:rFonts w:cs="Arial"/>
                <w:sz w:val="20"/>
                <w:szCs w:val="20"/>
                <w:lang w:val="sl-SI"/>
              </w:rPr>
              <w:t xml:space="preserve"> </w:t>
            </w:r>
            <w:r w:rsidR="00924CE7" w:rsidRPr="00FF207E">
              <w:rPr>
                <w:rFonts w:cs="Arial"/>
                <w:sz w:val="20"/>
                <w:szCs w:val="20"/>
                <w:lang w:val="sl-SI"/>
              </w:rPr>
              <w:t xml:space="preserve">s po dvema </w:t>
            </w:r>
            <w:r w:rsidR="00B109BD" w:rsidRPr="00FF207E">
              <w:rPr>
                <w:rFonts w:cs="Arial"/>
                <w:sz w:val="20"/>
                <w:szCs w:val="20"/>
                <w:lang w:val="sl-SI"/>
              </w:rPr>
              <w:t>dodatn</w:t>
            </w:r>
            <w:r w:rsidR="00924CE7" w:rsidRPr="00FF207E">
              <w:rPr>
                <w:rFonts w:cs="Arial"/>
                <w:sz w:val="20"/>
                <w:szCs w:val="20"/>
                <w:lang w:val="sl-SI"/>
              </w:rPr>
              <w:t>o</w:t>
            </w:r>
            <w:r w:rsidRPr="00FF207E">
              <w:rPr>
                <w:rFonts w:cs="Arial"/>
                <w:sz w:val="20"/>
                <w:szCs w:val="20"/>
                <w:lang w:val="sl-SI"/>
              </w:rPr>
              <w:t xml:space="preserve"> zaposlenim</w:t>
            </w:r>
            <w:r w:rsidR="00924CE7" w:rsidRPr="00FF207E">
              <w:rPr>
                <w:rFonts w:cs="Arial"/>
                <w:sz w:val="20"/>
                <w:szCs w:val="20"/>
                <w:lang w:val="sl-SI"/>
              </w:rPr>
              <w:t>a</w:t>
            </w:r>
            <w:r w:rsidR="007612C0" w:rsidRPr="00FF207E">
              <w:rPr>
                <w:rFonts w:cs="Arial"/>
                <w:sz w:val="20"/>
                <w:szCs w:val="20"/>
                <w:lang w:val="sl-SI"/>
              </w:rPr>
              <w:t xml:space="preserve"> </w:t>
            </w:r>
            <w:r w:rsidR="00924CE7" w:rsidRPr="00FF207E">
              <w:rPr>
                <w:rFonts w:cs="Arial"/>
                <w:sz w:val="20"/>
                <w:szCs w:val="20"/>
                <w:lang w:val="sl-SI"/>
              </w:rPr>
              <w:t>v vsaki od</w:t>
            </w:r>
            <w:r w:rsidR="007612C0" w:rsidRPr="00FF207E">
              <w:rPr>
                <w:rFonts w:cs="Arial"/>
                <w:sz w:val="20"/>
                <w:szCs w:val="20"/>
                <w:lang w:val="sl-SI"/>
              </w:rPr>
              <w:t xml:space="preserve"> pilotnih regij</w:t>
            </w:r>
            <w:r w:rsidR="008B3A19" w:rsidRPr="00FF207E">
              <w:rPr>
                <w:rFonts w:cs="Arial"/>
                <w:sz w:val="20"/>
                <w:szCs w:val="20"/>
                <w:lang w:val="sl-SI"/>
              </w:rPr>
              <w:t xml:space="preserve"> (glej poglavje </w:t>
            </w:r>
            <w:r w:rsidR="008B3A19" w:rsidRPr="00FF207E">
              <w:rPr>
                <w:rFonts w:cs="Arial"/>
                <w:sz w:val="20"/>
                <w:szCs w:val="20"/>
                <w:lang w:val="sl-SI"/>
              </w:rPr>
              <w:fldChar w:fldCharType="begin"/>
            </w:r>
            <w:r w:rsidR="008B3A19" w:rsidRPr="00FF207E">
              <w:rPr>
                <w:rFonts w:cs="Arial"/>
                <w:sz w:val="20"/>
                <w:szCs w:val="20"/>
                <w:lang w:val="sl-SI"/>
              </w:rPr>
              <w:instrText xml:space="preserve"> REF _Ref134003890 \r \h </w:instrText>
            </w:r>
            <w:r w:rsidR="001E304B" w:rsidRPr="00FF207E">
              <w:rPr>
                <w:rFonts w:cs="Arial"/>
                <w:sz w:val="20"/>
                <w:szCs w:val="20"/>
                <w:lang w:val="sl-SI"/>
              </w:rPr>
              <w:instrText xml:space="preserve"> \* MERGEFORMAT </w:instrText>
            </w:r>
            <w:r w:rsidR="008B3A19" w:rsidRPr="00FF207E">
              <w:rPr>
                <w:rFonts w:cs="Arial"/>
                <w:sz w:val="20"/>
                <w:szCs w:val="20"/>
                <w:lang w:val="sl-SI"/>
              </w:rPr>
            </w:r>
            <w:r w:rsidR="008B3A19" w:rsidRPr="00FF207E">
              <w:rPr>
                <w:rFonts w:cs="Arial"/>
                <w:sz w:val="20"/>
                <w:szCs w:val="20"/>
                <w:lang w:val="sl-SI"/>
              </w:rPr>
              <w:fldChar w:fldCharType="separate"/>
            </w:r>
            <w:r w:rsidR="00F37FD1" w:rsidRPr="00FF207E">
              <w:rPr>
                <w:rFonts w:cs="Arial"/>
                <w:sz w:val="20"/>
                <w:szCs w:val="20"/>
                <w:lang w:val="sl-SI"/>
              </w:rPr>
              <w:t>3.1</w:t>
            </w:r>
            <w:r w:rsidR="008B3A19" w:rsidRPr="00FF207E">
              <w:rPr>
                <w:rFonts w:cs="Arial"/>
                <w:sz w:val="20"/>
                <w:szCs w:val="20"/>
                <w:lang w:val="sl-SI"/>
              </w:rPr>
              <w:fldChar w:fldCharType="end"/>
            </w:r>
            <w:r w:rsidR="008B3A19" w:rsidRPr="00FF207E">
              <w:rPr>
                <w:rFonts w:cs="Arial"/>
                <w:sz w:val="20"/>
                <w:szCs w:val="20"/>
                <w:lang w:val="sl-SI"/>
              </w:rPr>
              <w:t>)</w:t>
            </w:r>
            <w:r w:rsidRPr="00FF207E">
              <w:rPr>
                <w:rFonts w:cs="Arial"/>
                <w:sz w:val="20"/>
                <w:szCs w:val="20"/>
                <w:lang w:val="sl-SI"/>
              </w:rPr>
              <w:t>, ki bo</w:t>
            </w:r>
            <w:r w:rsidR="00E37F1F" w:rsidRPr="00FF207E">
              <w:rPr>
                <w:rFonts w:cs="Arial"/>
                <w:sz w:val="20"/>
                <w:szCs w:val="20"/>
                <w:lang w:val="sl-SI"/>
              </w:rPr>
              <w:t>do</w:t>
            </w:r>
            <w:r w:rsidRPr="00FF207E">
              <w:rPr>
                <w:rFonts w:cs="Arial"/>
                <w:sz w:val="20"/>
                <w:szCs w:val="20"/>
                <w:lang w:val="sl-SI"/>
              </w:rPr>
              <w:t xml:space="preserve"> </w:t>
            </w:r>
            <w:r w:rsidR="001A4ADC" w:rsidRPr="00FF207E">
              <w:rPr>
                <w:rFonts w:cs="Arial"/>
                <w:sz w:val="20"/>
                <w:szCs w:val="20"/>
                <w:lang w:val="sl-SI"/>
              </w:rPr>
              <w:t>zagotavljal</w:t>
            </w:r>
            <w:r w:rsidR="00E37F1F" w:rsidRPr="00FF207E">
              <w:rPr>
                <w:rFonts w:cs="Arial"/>
                <w:sz w:val="20"/>
                <w:szCs w:val="20"/>
                <w:lang w:val="sl-SI"/>
              </w:rPr>
              <w:t>e</w:t>
            </w:r>
            <w:r w:rsidR="001A4ADC" w:rsidRPr="00FF207E">
              <w:rPr>
                <w:rFonts w:cs="Arial"/>
                <w:sz w:val="20"/>
                <w:szCs w:val="20"/>
                <w:lang w:val="sl-SI"/>
              </w:rPr>
              <w:t xml:space="preserve"> multidisciplinarno pomoč energetsko revnim </w:t>
            </w:r>
            <w:r w:rsidR="006213C6" w:rsidRPr="00FF207E">
              <w:rPr>
                <w:rFonts w:cs="Arial"/>
                <w:sz w:val="20"/>
                <w:szCs w:val="20"/>
                <w:lang w:val="sl-SI"/>
              </w:rPr>
              <w:t xml:space="preserve">na </w:t>
            </w:r>
            <w:r w:rsidR="006213C6" w:rsidRPr="00FF207E">
              <w:rPr>
                <w:rFonts w:cs="Arial"/>
                <w:sz w:val="20"/>
                <w:szCs w:val="20"/>
                <w:lang w:val="sl-SI"/>
              </w:rPr>
              <w:lastRenderedPageBreak/>
              <w:t>regionalni ravni</w:t>
            </w:r>
            <w:r w:rsidR="00723E83" w:rsidRPr="00FF207E">
              <w:rPr>
                <w:rFonts w:cs="Arial"/>
                <w:sz w:val="20"/>
                <w:szCs w:val="20"/>
                <w:lang w:val="sl-SI"/>
              </w:rPr>
              <w:t xml:space="preserve"> </w:t>
            </w:r>
            <w:r w:rsidR="006213C6" w:rsidRPr="00FF207E">
              <w:rPr>
                <w:rFonts w:cs="Arial"/>
                <w:sz w:val="20"/>
                <w:szCs w:val="20"/>
                <w:lang w:val="sl-SI"/>
              </w:rPr>
              <w:t xml:space="preserve">in </w:t>
            </w:r>
            <w:r w:rsidR="00723E83" w:rsidRPr="00FF207E">
              <w:rPr>
                <w:rFonts w:cs="Arial"/>
                <w:sz w:val="20"/>
                <w:szCs w:val="20"/>
                <w:lang w:val="sl-SI"/>
              </w:rPr>
              <w:t>podpiral</w:t>
            </w:r>
            <w:r w:rsidR="00E37F1F" w:rsidRPr="00FF207E">
              <w:rPr>
                <w:rFonts w:cs="Arial"/>
                <w:sz w:val="20"/>
                <w:szCs w:val="20"/>
                <w:lang w:val="sl-SI"/>
              </w:rPr>
              <w:t>e</w:t>
            </w:r>
            <w:r w:rsidR="00723E83" w:rsidRPr="00FF207E">
              <w:rPr>
                <w:rFonts w:cs="Arial"/>
                <w:sz w:val="20"/>
                <w:szCs w:val="20"/>
                <w:lang w:val="sl-SI"/>
              </w:rPr>
              <w:t xml:space="preserve"> </w:t>
            </w:r>
            <w:r w:rsidR="006213C6" w:rsidRPr="00FF207E">
              <w:rPr>
                <w:rFonts w:cs="Arial"/>
                <w:sz w:val="20"/>
                <w:szCs w:val="20"/>
                <w:lang w:val="sl-SI"/>
              </w:rPr>
              <w:t xml:space="preserve">projektno pisarno pri </w:t>
            </w:r>
            <w:r w:rsidR="00723E83" w:rsidRPr="00FF207E">
              <w:rPr>
                <w:rFonts w:cs="Arial"/>
                <w:sz w:val="20"/>
                <w:szCs w:val="20"/>
                <w:lang w:val="sl-SI"/>
              </w:rPr>
              <w:t>dodeljevanj</w:t>
            </w:r>
            <w:r w:rsidR="006213C6" w:rsidRPr="00FF207E">
              <w:rPr>
                <w:rFonts w:cs="Arial"/>
                <w:sz w:val="20"/>
                <w:szCs w:val="20"/>
                <w:lang w:val="sl-SI"/>
              </w:rPr>
              <w:t>u</w:t>
            </w:r>
            <w:r w:rsidR="00723E83" w:rsidRPr="00FF207E">
              <w:rPr>
                <w:rFonts w:cs="Arial"/>
                <w:sz w:val="20"/>
                <w:szCs w:val="20"/>
                <w:lang w:val="sl-SI"/>
              </w:rPr>
              <w:t xml:space="preserve"> investicijskih spodbud energetsko </w:t>
            </w:r>
            <w:r w:rsidR="00067DBF" w:rsidRPr="00FF207E">
              <w:rPr>
                <w:rFonts w:cs="Arial"/>
                <w:sz w:val="20"/>
                <w:szCs w:val="20"/>
                <w:lang w:val="sl-SI"/>
              </w:rPr>
              <w:t>revnim</w:t>
            </w:r>
            <w:r w:rsidR="006213C6" w:rsidRPr="00FF207E">
              <w:rPr>
                <w:rFonts w:cs="Arial"/>
                <w:sz w:val="20"/>
                <w:szCs w:val="20"/>
                <w:lang w:val="sl-SI"/>
              </w:rPr>
              <w:t xml:space="preserve">, vse z namenom povečanja letnega </w:t>
            </w:r>
            <w:r w:rsidR="00D745B4" w:rsidRPr="00FF207E">
              <w:rPr>
                <w:rFonts w:cs="Arial"/>
                <w:spacing w:val="-2"/>
                <w:sz w:val="20"/>
                <w:szCs w:val="20"/>
                <w:lang w:val="sl-SI"/>
              </w:rPr>
              <w:t>števila</w:t>
            </w:r>
            <w:r w:rsidR="00D745B4" w:rsidRPr="00FF207E">
              <w:rPr>
                <w:rFonts w:cs="Arial"/>
                <w:sz w:val="20"/>
                <w:szCs w:val="20"/>
                <w:lang w:val="sl-SI"/>
              </w:rPr>
              <w:t xml:space="preserve"> energetsko revnih gospodinjstev z</w:t>
            </w:r>
            <w:r w:rsidR="006213C6" w:rsidRPr="00FF207E">
              <w:rPr>
                <w:rFonts w:cs="Arial"/>
                <w:sz w:val="20"/>
                <w:szCs w:val="20"/>
                <w:lang w:val="sl-SI"/>
              </w:rPr>
              <w:t xml:space="preserve"> dodeljeni</w:t>
            </w:r>
            <w:r w:rsidR="00D745B4" w:rsidRPr="00FF207E">
              <w:rPr>
                <w:rFonts w:cs="Arial"/>
                <w:sz w:val="20"/>
                <w:szCs w:val="20"/>
                <w:lang w:val="sl-SI"/>
              </w:rPr>
              <w:t>mi</w:t>
            </w:r>
            <w:r w:rsidR="006213C6" w:rsidRPr="00FF207E">
              <w:rPr>
                <w:rFonts w:cs="Arial"/>
                <w:sz w:val="20"/>
                <w:szCs w:val="20"/>
                <w:lang w:val="sl-SI"/>
              </w:rPr>
              <w:t xml:space="preserve"> spodbud</w:t>
            </w:r>
            <w:r w:rsidR="00D745B4" w:rsidRPr="00FF207E">
              <w:rPr>
                <w:rFonts w:cs="Arial"/>
                <w:sz w:val="20"/>
                <w:szCs w:val="20"/>
                <w:lang w:val="sl-SI"/>
              </w:rPr>
              <w:t>ami</w:t>
            </w:r>
            <w:r w:rsidR="006213C6" w:rsidRPr="00FF207E">
              <w:rPr>
                <w:rFonts w:cs="Arial"/>
                <w:sz w:val="20"/>
                <w:szCs w:val="20"/>
                <w:lang w:val="sl-SI"/>
              </w:rPr>
              <w:t xml:space="preserve"> za različne namene v obdobju 2024–2026 v skladu s cilji v poglavju </w:t>
            </w:r>
            <w:r w:rsidR="006213C6" w:rsidRPr="00FF207E">
              <w:rPr>
                <w:rFonts w:cs="Arial"/>
                <w:sz w:val="20"/>
                <w:szCs w:val="20"/>
                <w:lang w:val="sl-SI"/>
              </w:rPr>
              <w:fldChar w:fldCharType="begin"/>
            </w:r>
            <w:r w:rsidR="006213C6" w:rsidRPr="00FF207E">
              <w:rPr>
                <w:rFonts w:cs="Arial"/>
                <w:sz w:val="20"/>
                <w:szCs w:val="20"/>
                <w:lang w:val="sl-SI"/>
              </w:rPr>
              <w:instrText xml:space="preserve"> REF _Ref137574115 \r \h </w:instrText>
            </w:r>
            <w:r w:rsidR="001E304B" w:rsidRPr="00FF207E">
              <w:rPr>
                <w:rFonts w:cs="Arial"/>
                <w:sz w:val="20"/>
                <w:szCs w:val="20"/>
                <w:lang w:val="sl-SI"/>
              </w:rPr>
              <w:instrText xml:space="preserve"> \* MERGEFORMAT </w:instrText>
            </w:r>
            <w:r w:rsidR="006213C6" w:rsidRPr="00FF207E">
              <w:rPr>
                <w:rFonts w:cs="Arial"/>
                <w:sz w:val="20"/>
                <w:szCs w:val="20"/>
                <w:lang w:val="sl-SI"/>
              </w:rPr>
            </w:r>
            <w:r w:rsidR="006213C6" w:rsidRPr="00FF207E">
              <w:rPr>
                <w:rFonts w:cs="Arial"/>
                <w:sz w:val="20"/>
                <w:szCs w:val="20"/>
                <w:lang w:val="sl-SI"/>
              </w:rPr>
              <w:fldChar w:fldCharType="separate"/>
            </w:r>
            <w:r w:rsidR="00F37FD1" w:rsidRPr="00FF207E">
              <w:rPr>
                <w:rFonts w:cs="Arial"/>
                <w:sz w:val="20"/>
                <w:szCs w:val="20"/>
                <w:lang w:val="sl-SI"/>
              </w:rPr>
              <w:t>2.2</w:t>
            </w:r>
            <w:r w:rsidR="006213C6" w:rsidRPr="00FF207E">
              <w:rPr>
                <w:rFonts w:cs="Arial"/>
                <w:sz w:val="20"/>
                <w:szCs w:val="20"/>
                <w:lang w:val="sl-SI"/>
              </w:rPr>
              <w:fldChar w:fldCharType="end"/>
            </w:r>
            <w:r w:rsidR="00657D00" w:rsidRPr="00FF207E">
              <w:rPr>
                <w:rFonts w:cs="Arial"/>
                <w:sz w:val="20"/>
                <w:szCs w:val="20"/>
                <w:lang w:val="sl-SI"/>
              </w:rPr>
              <w:t>.</w:t>
            </w:r>
          </w:p>
        </w:tc>
      </w:tr>
      <w:tr w:rsidR="000274C1" w:rsidRPr="00FF207E" w14:paraId="451A0AE9"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6B8230E2" w14:textId="65EDDC7D" w:rsidR="000274C1" w:rsidRPr="00FF207E" w:rsidRDefault="000274C1" w:rsidP="001E304B">
            <w:pPr>
              <w:spacing w:line="240" w:lineRule="atLeast"/>
              <w:jc w:val="both"/>
              <w:rPr>
                <w:rFonts w:cs="Arial"/>
                <w:sz w:val="20"/>
                <w:szCs w:val="20"/>
                <w:lang w:val="sl-SI"/>
              </w:rPr>
            </w:pPr>
            <w:r w:rsidRPr="00FF207E">
              <w:rPr>
                <w:rFonts w:cs="Arial"/>
                <w:sz w:val="20"/>
                <w:szCs w:val="20"/>
                <w:lang w:val="sl-SI"/>
              </w:rPr>
              <w:lastRenderedPageBreak/>
              <w:t xml:space="preserve">Naloge </w:t>
            </w:r>
            <w:r w:rsidR="00364D58" w:rsidRPr="00FF207E">
              <w:rPr>
                <w:rFonts w:cs="Arial"/>
                <w:sz w:val="20"/>
                <w:szCs w:val="20"/>
                <w:lang w:val="sl-SI"/>
              </w:rPr>
              <w:t xml:space="preserve">regionalnih </w:t>
            </w:r>
            <w:r w:rsidR="00364D58" w:rsidRPr="00FF207E">
              <w:rPr>
                <w:rFonts w:cs="Arial"/>
                <w:sz w:val="20"/>
                <w:szCs w:val="20"/>
                <w:lang w:val="sl-SI"/>
              </w:rPr>
              <w:br/>
              <w:t>svetovalnih točk</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89CEC6E" w14:textId="448E94E8" w:rsidR="00657D00" w:rsidRPr="00FF207E" w:rsidRDefault="00657D00" w:rsidP="001E304B">
            <w:pPr>
              <w:spacing w:line="240" w:lineRule="atLeast"/>
              <w:jc w:val="both"/>
              <w:rPr>
                <w:rFonts w:cs="Arial"/>
                <w:sz w:val="20"/>
                <w:szCs w:val="20"/>
                <w:lang w:val="sl-SI"/>
              </w:rPr>
            </w:pPr>
            <w:r w:rsidRPr="00FF207E">
              <w:rPr>
                <w:rFonts w:cs="Arial"/>
                <w:sz w:val="20"/>
                <w:szCs w:val="20"/>
                <w:lang w:val="sl-SI"/>
              </w:rPr>
              <w:t xml:space="preserve">Naloga regionalnih svetovalnih točk je, da energetsko revnim </w:t>
            </w:r>
            <w:r w:rsidRPr="00FF207E">
              <w:rPr>
                <w:color w:val="000000"/>
                <w:sz w:val="20"/>
                <w:szCs w:val="20"/>
                <w:lang w:val="sl-SI"/>
              </w:rPr>
              <w:t xml:space="preserve">nudijo vsestransko pomoč </w:t>
            </w:r>
            <w:r w:rsidR="00394CC3" w:rsidRPr="00FF207E">
              <w:rPr>
                <w:color w:val="000000"/>
                <w:sz w:val="20"/>
                <w:szCs w:val="20"/>
                <w:lang w:val="sl-SI"/>
              </w:rPr>
              <w:t xml:space="preserve">ter jim kot potencialnim prijaviteljem za spodbude </w:t>
            </w:r>
            <w:r w:rsidR="00436B7C" w:rsidRPr="00FF207E">
              <w:rPr>
                <w:color w:val="000000"/>
                <w:sz w:val="20"/>
                <w:szCs w:val="20"/>
                <w:lang w:val="sl-SI"/>
              </w:rPr>
              <w:t>in</w:t>
            </w:r>
            <w:r w:rsidR="00394CC3" w:rsidRPr="00FF207E">
              <w:rPr>
                <w:color w:val="000000"/>
                <w:sz w:val="20"/>
                <w:szCs w:val="20"/>
                <w:lang w:val="sl-SI"/>
              </w:rPr>
              <w:t xml:space="preserve"> izbranim </w:t>
            </w:r>
            <w:r w:rsidR="0087119F" w:rsidRPr="00FF207E">
              <w:rPr>
                <w:color w:val="000000"/>
                <w:sz w:val="20"/>
                <w:szCs w:val="20"/>
                <w:lang w:val="sl-SI"/>
              </w:rPr>
              <w:t xml:space="preserve">upravičencem </w:t>
            </w:r>
            <w:r w:rsidR="00394CC3" w:rsidRPr="00FF207E">
              <w:rPr>
                <w:color w:val="000000"/>
                <w:sz w:val="20"/>
                <w:szCs w:val="20"/>
                <w:lang w:val="sl-SI"/>
              </w:rPr>
              <w:t xml:space="preserve">zagotovijo vso potrebno </w:t>
            </w:r>
            <w:r w:rsidRPr="00FF207E">
              <w:rPr>
                <w:color w:val="000000"/>
                <w:sz w:val="20"/>
                <w:szCs w:val="20"/>
                <w:lang w:val="sl-SI"/>
              </w:rPr>
              <w:t>strokovno-tehničn</w:t>
            </w:r>
            <w:r w:rsidR="00394CC3" w:rsidRPr="00FF207E">
              <w:rPr>
                <w:color w:val="000000"/>
                <w:sz w:val="20"/>
                <w:szCs w:val="20"/>
                <w:lang w:val="sl-SI"/>
              </w:rPr>
              <w:t>o</w:t>
            </w:r>
            <w:r w:rsidRPr="00FF207E">
              <w:rPr>
                <w:color w:val="000000"/>
                <w:sz w:val="20"/>
                <w:szCs w:val="20"/>
                <w:lang w:val="sl-SI"/>
              </w:rPr>
              <w:t xml:space="preserve"> podpor</w:t>
            </w:r>
            <w:r w:rsidR="00394CC3" w:rsidRPr="00FF207E">
              <w:rPr>
                <w:color w:val="000000"/>
                <w:sz w:val="20"/>
                <w:szCs w:val="20"/>
                <w:lang w:val="sl-SI"/>
              </w:rPr>
              <w:t>o in</w:t>
            </w:r>
            <w:r w:rsidRPr="00FF207E">
              <w:rPr>
                <w:color w:val="000000"/>
                <w:sz w:val="20"/>
                <w:szCs w:val="20"/>
                <w:lang w:val="sl-SI"/>
              </w:rPr>
              <w:t xml:space="preserve"> svetovanj</w:t>
            </w:r>
            <w:r w:rsidR="00394CC3" w:rsidRPr="00FF207E">
              <w:rPr>
                <w:color w:val="000000"/>
                <w:sz w:val="20"/>
                <w:szCs w:val="20"/>
                <w:lang w:val="sl-SI"/>
              </w:rPr>
              <w:t xml:space="preserve">e ter tako podprejo projektno pisarno pri dodeljevanju spodbud. </w:t>
            </w:r>
            <w:r w:rsidR="00436B7C" w:rsidRPr="00FF207E">
              <w:rPr>
                <w:color w:val="000000"/>
                <w:sz w:val="20"/>
                <w:szCs w:val="20"/>
                <w:lang w:val="sl-SI"/>
              </w:rPr>
              <w:t>Naloge</w:t>
            </w:r>
            <w:r w:rsidRPr="00FF207E">
              <w:rPr>
                <w:color w:val="000000"/>
                <w:sz w:val="20"/>
                <w:szCs w:val="20"/>
                <w:lang w:val="sl-SI"/>
              </w:rPr>
              <w:t xml:space="preserve"> vključuje</w:t>
            </w:r>
            <w:r w:rsidR="00436B7C" w:rsidRPr="00FF207E">
              <w:rPr>
                <w:color w:val="000000"/>
                <w:sz w:val="20"/>
                <w:szCs w:val="20"/>
                <w:lang w:val="sl-SI"/>
              </w:rPr>
              <w:t>jo tako</w:t>
            </w:r>
            <w:r w:rsidRPr="00FF207E">
              <w:rPr>
                <w:color w:val="000000"/>
                <w:sz w:val="20"/>
                <w:szCs w:val="20"/>
                <w:lang w:val="sl-SI"/>
              </w:rPr>
              <w:t xml:space="preserve"> </w:t>
            </w:r>
            <w:r w:rsidRPr="00FF207E">
              <w:rPr>
                <w:b/>
                <w:color w:val="111111"/>
                <w:sz w:val="20"/>
                <w:szCs w:val="20"/>
                <w:lang w:val="sl-SI"/>
              </w:rPr>
              <w:t>izvajanje storitev za energetsko revne</w:t>
            </w:r>
            <w:r w:rsidRPr="00FF207E">
              <w:rPr>
                <w:color w:val="111111"/>
                <w:sz w:val="20"/>
                <w:szCs w:val="20"/>
                <w:lang w:val="sl-SI"/>
              </w:rPr>
              <w:t xml:space="preserve"> (</w:t>
            </w:r>
            <w:r w:rsidR="00B77973" w:rsidRPr="00FF207E">
              <w:rPr>
                <w:color w:val="111111"/>
                <w:sz w:val="20"/>
                <w:szCs w:val="20"/>
                <w:lang w:val="sl-SI"/>
              </w:rPr>
              <w:t>na primer</w:t>
            </w:r>
            <w:r w:rsidRPr="00FF207E">
              <w:rPr>
                <w:color w:val="111111"/>
                <w:sz w:val="20"/>
                <w:szCs w:val="20"/>
                <w:lang w:val="sl-SI"/>
              </w:rPr>
              <w:t xml:space="preserve"> pomoč pri uveljavljanju socialnih transferjev oz</w:t>
            </w:r>
            <w:r w:rsidR="00B77973" w:rsidRPr="00FF207E">
              <w:rPr>
                <w:color w:val="111111"/>
                <w:sz w:val="20"/>
                <w:szCs w:val="20"/>
                <w:lang w:val="sl-SI"/>
              </w:rPr>
              <w:t>iroma</w:t>
            </w:r>
            <w:r w:rsidRPr="00FF207E">
              <w:rPr>
                <w:color w:val="111111"/>
                <w:sz w:val="20"/>
                <w:szCs w:val="20"/>
                <w:lang w:val="sl-SI"/>
              </w:rPr>
              <w:t xml:space="preserve"> pravic, povezanih s solidarnostjo; strokovna podpora pri reševanju raznovrstnih vprašanj skozi celoten postop</w:t>
            </w:r>
            <w:r w:rsidR="009E2329" w:rsidRPr="00FF207E">
              <w:rPr>
                <w:color w:val="111111"/>
                <w:sz w:val="20"/>
                <w:szCs w:val="20"/>
                <w:lang w:val="sl-SI"/>
              </w:rPr>
              <w:t>ek</w:t>
            </w:r>
            <w:r w:rsidRPr="00FF207E">
              <w:rPr>
                <w:color w:val="111111"/>
                <w:sz w:val="20"/>
                <w:szCs w:val="20"/>
                <w:lang w:val="sl-SI"/>
              </w:rPr>
              <w:t xml:space="preserve"> </w:t>
            </w:r>
            <w:r w:rsidR="009E2329" w:rsidRPr="00FF207E">
              <w:rPr>
                <w:color w:val="111111"/>
                <w:sz w:val="20"/>
                <w:szCs w:val="20"/>
                <w:lang w:val="sl-SI"/>
              </w:rPr>
              <w:t xml:space="preserve">pridobivanja spodbud in izvedbe ukrepov energetske učinkovitosti; </w:t>
            </w:r>
            <w:r w:rsidRPr="00FF207E">
              <w:rPr>
                <w:color w:val="111111"/>
                <w:sz w:val="20"/>
                <w:szCs w:val="20"/>
                <w:lang w:val="sl-SI"/>
              </w:rPr>
              <w:t>pravno svetovanje</w:t>
            </w:r>
            <w:r w:rsidRPr="00FF207E">
              <w:rPr>
                <w:sz w:val="20"/>
                <w:szCs w:val="20"/>
                <w:lang w:val="sl-SI"/>
              </w:rPr>
              <w:t>; strokovna pomoč v upravnih postopkih</w:t>
            </w:r>
            <w:r w:rsidR="00B67E70" w:rsidRPr="00FF207E">
              <w:rPr>
                <w:sz w:val="20"/>
                <w:szCs w:val="20"/>
                <w:lang w:val="sl-SI"/>
              </w:rPr>
              <w:t>,</w:t>
            </w:r>
            <w:r w:rsidRPr="00FF207E">
              <w:rPr>
                <w:sz w:val="20"/>
                <w:szCs w:val="20"/>
                <w:lang w:val="sl-SI"/>
              </w:rPr>
              <w:t xml:space="preserve"> </w:t>
            </w:r>
            <w:r w:rsidR="00B77973" w:rsidRPr="00FF207E">
              <w:rPr>
                <w:sz w:val="20"/>
                <w:szCs w:val="20"/>
                <w:lang w:val="sl-SI"/>
              </w:rPr>
              <w:t>na primer</w:t>
            </w:r>
            <w:r w:rsidRPr="00FF207E">
              <w:rPr>
                <w:sz w:val="20"/>
                <w:szCs w:val="20"/>
                <w:lang w:val="sl-SI"/>
              </w:rPr>
              <w:t xml:space="preserve"> pri legalizaciji stavb</w:t>
            </w:r>
            <w:r w:rsidRPr="00FF207E">
              <w:rPr>
                <w:color w:val="111111"/>
                <w:sz w:val="20"/>
                <w:szCs w:val="20"/>
                <w:lang w:val="sl-SI"/>
              </w:rPr>
              <w:t xml:space="preserve">; pomoč in koordinacija pri pridobivanju predračunov </w:t>
            </w:r>
            <w:r w:rsidR="00B77973" w:rsidRPr="00FF207E">
              <w:rPr>
                <w:sz w:val="20"/>
                <w:szCs w:val="20"/>
                <w:lang w:val="sl-SI"/>
              </w:rPr>
              <w:t>in tako dalje</w:t>
            </w:r>
            <w:r w:rsidRPr="00FF207E">
              <w:rPr>
                <w:color w:val="111111"/>
                <w:sz w:val="20"/>
                <w:szCs w:val="20"/>
                <w:lang w:val="sl-SI"/>
              </w:rPr>
              <w:t xml:space="preserve">) </w:t>
            </w:r>
            <w:r w:rsidR="009E2329" w:rsidRPr="00FF207E">
              <w:rPr>
                <w:color w:val="111111"/>
                <w:sz w:val="20"/>
                <w:szCs w:val="20"/>
                <w:lang w:val="sl-SI"/>
              </w:rPr>
              <w:t xml:space="preserve">kot tudi </w:t>
            </w:r>
            <w:r w:rsidRPr="00FF207E">
              <w:rPr>
                <w:b/>
                <w:color w:val="111111"/>
                <w:sz w:val="20"/>
                <w:szCs w:val="20"/>
                <w:lang w:val="sl-SI"/>
              </w:rPr>
              <w:t>zagotavljanj</w:t>
            </w:r>
            <w:r w:rsidR="009E2329" w:rsidRPr="00FF207E">
              <w:rPr>
                <w:b/>
                <w:color w:val="111111"/>
                <w:sz w:val="20"/>
                <w:szCs w:val="20"/>
                <w:lang w:val="sl-SI"/>
              </w:rPr>
              <w:t>e</w:t>
            </w:r>
            <w:r w:rsidRPr="00FF207E">
              <w:rPr>
                <w:b/>
                <w:color w:val="111111"/>
                <w:sz w:val="20"/>
                <w:szCs w:val="20"/>
                <w:lang w:val="sl-SI"/>
              </w:rPr>
              <w:t xml:space="preserve"> povezav z različnimi deležniki</w:t>
            </w:r>
            <w:r w:rsidRPr="00FF207E">
              <w:rPr>
                <w:color w:val="111111"/>
                <w:sz w:val="20"/>
                <w:szCs w:val="20"/>
                <w:lang w:val="sl-SI"/>
              </w:rPr>
              <w:t xml:space="preserve"> (</w:t>
            </w:r>
            <w:r w:rsidR="00B77973" w:rsidRPr="00FF207E">
              <w:rPr>
                <w:color w:val="111111"/>
                <w:sz w:val="20"/>
                <w:szCs w:val="20"/>
                <w:lang w:val="sl-SI"/>
              </w:rPr>
              <w:t>na primer</w:t>
            </w:r>
            <w:r w:rsidR="009E2329" w:rsidRPr="00FF207E">
              <w:rPr>
                <w:color w:val="111111"/>
                <w:sz w:val="20"/>
                <w:szCs w:val="20"/>
                <w:lang w:val="sl-SI"/>
              </w:rPr>
              <w:t xml:space="preserve"> </w:t>
            </w:r>
            <w:r w:rsidRPr="00FF207E">
              <w:rPr>
                <w:sz w:val="20"/>
                <w:szCs w:val="20"/>
                <w:lang w:val="sl-SI"/>
              </w:rPr>
              <w:t>v primerih, ko je potrebn</w:t>
            </w:r>
            <w:r w:rsidR="009E2329" w:rsidRPr="00FF207E">
              <w:rPr>
                <w:sz w:val="20"/>
                <w:szCs w:val="20"/>
                <w:lang w:val="sl-SI"/>
              </w:rPr>
              <w:t>o</w:t>
            </w:r>
            <w:r w:rsidRPr="00FF207E">
              <w:rPr>
                <w:sz w:val="20"/>
                <w:szCs w:val="20"/>
                <w:lang w:val="sl-SI"/>
              </w:rPr>
              <w:t xml:space="preserve"> dodatno financiranje ali </w:t>
            </w:r>
            <w:r w:rsidR="009E2329" w:rsidRPr="00FF207E">
              <w:rPr>
                <w:sz w:val="20"/>
                <w:szCs w:val="20"/>
                <w:lang w:val="sl-SI"/>
              </w:rPr>
              <w:t xml:space="preserve">pa </w:t>
            </w:r>
            <w:r w:rsidRPr="00FF207E">
              <w:rPr>
                <w:sz w:val="20"/>
                <w:szCs w:val="20"/>
                <w:lang w:val="sl-SI"/>
              </w:rPr>
              <w:t xml:space="preserve">je </w:t>
            </w:r>
            <w:r w:rsidRPr="00FF207E">
              <w:rPr>
                <w:color w:val="111111"/>
                <w:sz w:val="20"/>
                <w:szCs w:val="20"/>
                <w:lang w:val="sl-SI"/>
              </w:rPr>
              <w:t>stavba v preveč slabem stanju za obnovo</w:t>
            </w:r>
            <w:r w:rsidRPr="00FF207E">
              <w:rPr>
                <w:sz w:val="20"/>
                <w:szCs w:val="20"/>
                <w:lang w:val="sl-SI"/>
              </w:rPr>
              <w:t xml:space="preserve"> </w:t>
            </w:r>
            <w:r w:rsidR="00B77973" w:rsidRPr="00FF207E">
              <w:rPr>
                <w:sz w:val="20"/>
                <w:szCs w:val="20"/>
                <w:lang w:val="sl-SI"/>
              </w:rPr>
              <w:t>in tako dalje</w:t>
            </w:r>
            <w:r w:rsidR="009E2329" w:rsidRPr="00FF207E">
              <w:rPr>
                <w:sz w:val="20"/>
                <w:szCs w:val="20"/>
                <w:lang w:val="sl-SI"/>
              </w:rPr>
              <w:t xml:space="preserve">). Regionalne svetovalne točke so obenem tudi </w:t>
            </w:r>
            <w:r w:rsidR="009E2329" w:rsidRPr="00FF207E">
              <w:rPr>
                <w:b/>
                <w:sz w:val="20"/>
                <w:szCs w:val="20"/>
                <w:lang w:val="sl-SI"/>
              </w:rPr>
              <w:t xml:space="preserve">koordinatorji </w:t>
            </w:r>
            <w:r w:rsidR="009E2329" w:rsidRPr="00FF207E">
              <w:rPr>
                <w:rFonts w:cs="Arial"/>
                <w:b/>
                <w:sz w:val="20"/>
                <w:szCs w:val="20"/>
                <w:lang w:val="sl-SI"/>
              </w:rPr>
              <w:t>neformalne mreže za informiranje in ozaveščanje v regiji</w:t>
            </w:r>
            <w:r w:rsidR="009E2329" w:rsidRPr="00FF207E">
              <w:rPr>
                <w:rFonts w:cs="Arial"/>
                <w:sz w:val="20"/>
                <w:szCs w:val="20"/>
                <w:lang w:val="sl-SI"/>
              </w:rPr>
              <w:t xml:space="preserve">. </w:t>
            </w:r>
            <w:r w:rsidR="006B2A48" w:rsidRPr="00FF207E">
              <w:rPr>
                <w:rFonts w:cs="Arial"/>
                <w:sz w:val="20"/>
                <w:szCs w:val="20"/>
                <w:lang w:val="sl-SI"/>
              </w:rPr>
              <w:t>V nadaljevanju so okvirne naloge regionalnih svetovalnih točk opredeljene po posameznih ukrepih.</w:t>
            </w:r>
          </w:p>
          <w:p w14:paraId="29D7098C" w14:textId="5ABF3063" w:rsidR="008C1ECB" w:rsidRPr="00FF207E" w:rsidRDefault="008C1ECB" w:rsidP="001E304B">
            <w:pPr>
              <w:pStyle w:val="Odstavekseznama"/>
              <w:numPr>
                <w:ilvl w:val="0"/>
                <w:numId w:val="21"/>
              </w:numPr>
              <w:spacing w:line="240" w:lineRule="atLeast"/>
              <w:ind w:left="357" w:hanging="357"/>
              <w:jc w:val="both"/>
              <w:rPr>
                <w:rFonts w:cs="Arial"/>
                <w:sz w:val="20"/>
                <w:szCs w:val="20"/>
                <w:lang w:val="sl-SI"/>
              </w:rPr>
            </w:pPr>
            <w:r w:rsidRPr="00FF207E">
              <w:rPr>
                <w:rFonts w:cs="Arial"/>
                <w:sz w:val="20"/>
                <w:szCs w:val="20"/>
                <w:lang w:val="sl-SI"/>
              </w:rPr>
              <w:t xml:space="preserve">V okviru ukrepa </w:t>
            </w:r>
            <w:hyperlink w:anchor="_Investicijske_spodbude_za" w:history="1">
              <w:r w:rsidR="00192233" w:rsidRPr="00FF207E">
                <w:rPr>
                  <w:rStyle w:val="Hiperpovezava"/>
                  <w:rFonts w:cs="Arial"/>
                  <w:sz w:val="20"/>
                  <w:szCs w:val="20"/>
                  <w:lang w:val="sl-SI"/>
                </w:rPr>
                <w:t>ER_Shema-01</w:t>
              </w:r>
            </w:hyperlink>
            <w:r w:rsidRPr="00FF207E">
              <w:rPr>
                <w:rFonts w:cs="Arial"/>
                <w:sz w:val="20"/>
                <w:szCs w:val="20"/>
                <w:lang w:val="sl-SI"/>
              </w:rPr>
              <w:t>:</w:t>
            </w:r>
            <w:r w:rsidR="007E48CE" w:rsidRPr="00FF207E">
              <w:rPr>
                <w:rFonts w:cs="Arial"/>
                <w:sz w:val="20"/>
                <w:szCs w:val="20"/>
                <w:lang w:val="sl-SI"/>
              </w:rPr>
              <w:t xml:space="preserve"> podpora dodeljevanju investicijskih spodbud; </w:t>
            </w:r>
            <w:r w:rsidR="007E48CE" w:rsidRPr="00FF207E">
              <w:rPr>
                <w:rFonts w:cs="Arial"/>
                <w:bCs/>
                <w:sz w:val="20"/>
                <w:szCs w:val="20"/>
                <w:lang w:val="sl-SI"/>
              </w:rPr>
              <w:t xml:space="preserve">redna izmenjava izkušenj in reševanje odprtih vprašanj </w:t>
            </w:r>
            <w:r w:rsidR="00E37F1F" w:rsidRPr="00FF207E">
              <w:rPr>
                <w:rFonts w:cs="Arial"/>
                <w:bCs/>
                <w:sz w:val="20"/>
                <w:szCs w:val="20"/>
                <w:lang w:val="sl-SI"/>
              </w:rPr>
              <w:t>s projektno pisarno</w:t>
            </w:r>
            <w:r w:rsidR="00B67E70" w:rsidRPr="00FF207E">
              <w:rPr>
                <w:rFonts w:cs="Arial"/>
                <w:bCs/>
                <w:sz w:val="20"/>
                <w:szCs w:val="20"/>
                <w:lang w:val="sl-SI"/>
              </w:rPr>
              <w:t>.</w:t>
            </w:r>
          </w:p>
          <w:p w14:paraId="0A92BE41" w14:textId="73B0207A" w:rsidR="000274C1" w:rsidRPr="00FF207E" w:rsidRDefault="00342E2C" w:rsidP="001E304B">
            <w:pPr>
              <w:pStyle w:val="Odstavekseznama"/>
              <w:numPr>
                <w:ilvl w:val="0"/>
                <w:numId w:val="21"/>
              </w:numPr>
              <w:spacing w:line="240" w:lineRule="atLeast"/>
              <w:ind w:left="357" w:hanging="357"/>
              <w:jc w:val="both"/>
              <w:rPr>
                <w:rFonts w:cs="Arial"/>
                <w:sz w:val="20"/>
                <w:szCs w:val="20"/>
                <w:lang w:val="sl-SI"/>
              </w:rPr>
            </w:pPr>
            <w:r w:rsidRPr="00FF207E">
              <w:rPr>
                <w:rFonts w:cs="Arial"/>
                <w:sz w:val="20"/>
                <w:szCs w:val="20"/>
                <w:lang w:val="sl-SI"/>
              </w:rPr>
              <w:t xml:space="preserve">V okviru ukrepa </w:t>
            </w:r>
            <w:hyperlink w:anchor="_Energetsko_svetovanje_za" w:history="1">
              <w:r w:rsidR="0049433E" w:rsidRPr="00FF207E">
                <w:rPr>
                  <w:rStyle w:val="Hiperpovezava"/>
                  <w:rFonts w:cs="Arial"/>
                  <w:sz w:val="20"/>
                  <w:szCs w:val="20"/>
                  <w:lang w:val="sl-SI"/>
                </w:rPr>
                <w:t>ER_Shema-04</w:t>
              </w:r>
            </w:hyperlink>
            <w:r w:rsidRPr="00FF207E">
              <w:rPr>
                <w:rFonts w:cs="Arial"/>
                <w:sz w:val="20"/>
                <w:szCs w:val="20"/>
                <w:lang w:val="sl-SI"/>
              </w:rPr>
              <w:t>:</w:t>
            </w:r>
            <w:r w:rsidR="00E37F1F" w:rsidRPr="00FF207E">
              <w:rPr>
                <w:rFonts w:cs="Arial"/>
                <w:sz w:val="20"/>
                <w:szCs w:val="20"/>
                <w:lang w:val="sl-SI"/>
              </w:rPr>
              <w:t xml:space="preserve"> </w:t>
            </w:r>
            <w:r w:rsidR="00E90C71" w:rsidRPr="00FF207E">
              <w:rPr>
                <w:rFonts w:cs="Arial"/>
                <w:sz w:val="20"/>
                <w:szCs w:val="20"/>
                <w:lang w:val="sl-SI"/>
              </w:rPr>
              <w:t>izvajanje energetskega in drugega svetovanja energetsko revnim</w:t>
            </w:r>
            <w:r w:rsidR="00D5260F" w:rsidRPr="00FF207E">
              <w:rPr>
                <w:rFonts w:cs="Arial"/>
                <w:sz w:val="20"/>
                <w:szCs w:val="20"/>
                <w:lang w:val="sl-SI"/>
              </w:rPr>
              <w:t>,</w:t>
            </w:r>
            <w:r w:rsidR="00E90C71" w:rsidRPr="00FF207E">
              <w:rPr>
                <w:rFonts w:cs="Arial"/>
                <w:sz w:val="20"/>
                <w:szCs w:val="20"/>
                <w:lang w:val="sl-SI"/>
              </w:rPr>
              <w:t xml:space="preserve"> v sodelovanju z ENSVET</w:t>
            </w:r>
            <w:r w:rsidR="00B67E70" w:rsidRPr="00FF207E">
              <w:rPr>
                <w:rFonts w:cs="Arial"/>
                <w:sz w:val="20"/>
                <w:szCs w:val="20"/>
                <w:lang w:val="sl-SI"/>
              </w:rPr>
              <w:t>.</w:t>
            </w:r>
          </w:p>
          <w:p w14:paraId="09CDCEE3" w14:textId="46DAD258" w:rsidR="00E90C71" w:rsidRPr="00FF207E" w:rsidRDefault="00E90C71" w:rsidP="001E304B">
            <w:pPr>
              <w:pStyle w:val="Odstavekseznama"/>
              <w:numPr>
                <w:ilvl w:val="0"/>
                <w:numId w:val="21"/>
              </w:numPr>
              <w:spacing w:line="240" w:lineRule="atLeast"/>
              <w:ind w:left="357" w:hanging="357"/>
              <w:jc w:val="both"/>
              <w:rPr>
                <w:rFonts w:cs="Arial"/>
                <w:sz w:val="20"/>
                <w:szCs w:val="20"/>
                <w:lang w:val="sl-SI"/>
              </w:rPr>
            </w:pPr>
            <w:r w:rsidRPr="00FF207E">
              <w:rPr>
                <w:rFonts w:cs="Arial"/>
                <w:sz w:val="20"/>
                <w:szCs w:val="20"/>
                <w:lang w:val="sl-SI"/>
              </w:rPr>
              <w:t xml:space="preserve">V okviru ukrepa </w:t>
            </w:r>
            <w:hyperlink w:anchor="_Neformalna_mreža_za" w:history="1">
              <w:r w:rsidR="0049433E" w:rsidRPr="00FF207E">
                <w:rPr>
                  <w:rStyle w:val="Hiperpovezava"/>
                  <w:rFonts w:cs="Arial"/>
                  <w:sz w:val="20"/>
                  <w:szCs w:val="20"/>
                  <w:lang w:val="sl-SI"/>
                </w:rPr>
                <w:t>ER_Shema-03</w:t>
              </w:r>
            </w:hyperlink>
            <w:r w:rsidRPr="00FF207E">
              <w:rPr>
                <w:rFonts w:cs="Arial"/>
                <w:sz w:val="20"/>
                <w:szCs w:val="20"/>
                <w:lang w:val="sl-SI"/>
              </w:rPr>
              <w:t xml:space="preserve">: </w:t>
            </w:r>
            <w:r w:rsidR="00F47C58" w:rsidRPr="00FF207E">
              <w:rPr>
                <w:rFonts w:cs="Arial"/>
                <w:sz w:val="20"/>
                <w:szCs w:val="20"/>
                <w:lang w:val="sl-SI"/>
              </w:rPr>
              <w:t xml:space="preserve">sodelovanje pri pripravi in vzpostavitvi </w:t>
            </w:r>
            <w:r w:rsidR="00D360F5" w:rsidRPr="00FF207E">
              <w:rPr>
                <w:rFonts w:cs="Arial"/>
                <w:sz w:val="20"/>
                <w:szCs w:val="20"/>
                <w:lang w:val="sl-SI"/>
              </w:rPr>
              <w:t xml:space="preserve">ter koordinacija in </w:t>
            </w:r>
            <w:r w:rsidRPr="00FF207E">
              <w:rPr>
                <w:rFonts w:cs="Arial"/>
                <w:sz w:val="20"/>
                <w:szCs w:val="20"/>
                <w:lang w:val="sl-SI"/>
              </w:rPr>
              <w:t>podpora delovanju neformalne mreže za informiranje in ozaveščanje v regiji</w:t>
            </w:r>
            <w:r w:rsidR="00B67E70" w:rsidRPr="00FF207E">
              <w:rPr>
                <w:rFonts w:cs="Arial"/>
                <w:sz w:val="20"/>
                <w:szCs w:val="20"/>
                <w:lang w:val="sl-SI"/>
              </w:rPr>
              <w:t>.</w:t>
            </w:r>
          </w:p>
          <w:p w14:paraId="1660C841" w14:textId="53C454B5" w:rsidR="00E90C71" w:rsidRPr="00FF207E" w:rsidRDefault="00E90C71" w:rsidP="001E304B">
            <w:pPr>
              <w:pStyle w:val="Odstavekseznama"/>
              <w:numPr>
                <w:ilvl w:val="0"/>
                <w:numId w:val="21"/>
              </w:numPr>
              <w:spacing w:line="240" w:lineRule="atLeast"/>
              <w:ind w:left="357" w:hanging="357"/>
              <w:jc w:val="both"/>
              <w:rPr>
                <w:rFonts w:cs="Arial"/>
                <w:sz w:val="20"/>
                <w:szCs w:val="20"/>
                <w:lang w:val="sl-SI"/>
              </w:rPr>
            </w:pPr>
            <w:r w:rsidRPr="00FF207E">
              <w:rPr>
                <w:rFonts w:cs="Arial"/>
                <w:sz w:val="20"/>
                <w:szCs w:val="20"/>
                <w:lang w:val="sl-SI"/>
              </w:rPr>
              <w:t xml:space="preserve">V okviru ukrepa </w:t>
            </w:r>
            <w:hyperlink w:anchor="_Informiranje_in_ozaveščanje" w:history="1">
              <w:r w:rsidR="00B660A5" w:rsidRPr="00FF207E">
                <w:rPr>
                  <w:rStyle w:val="Hiperpovezava"/>
                  <w:rFonts w:cs="Arial"/>
                  <w:sz w:val="20"/>
                  <w:szCs w:val="20"/>
                  <w:lang w:val="sl-SI"/>
                </w:rPr>
                <w:t>ER_Shema-06</w:t>
              </w:r>
            </w:hyperlink>
            <w:r w:rsidRPr="00FF207E">
              <w:rPr>
                <w:rFonts w:cs="Arial"/>
                <w:sz w:val="20"/>
                <w:szCs w:val="20"/>
                <w:lang w:val="sl-SI"/>
              </w:rPr>
              <w:t>: sodelovanje pri pripravi komunikacijskega načrta za zmanjševanje energetske revščine in podpora njegovemu izvajanju v regiji</w:t>
            </w:r>
            <w:r w:rsidR="00B67E70" w:rsidRPr="00FF207E">
              <w:rPr>
                <w:rFonts w:cs="Arial"/>
                <w:sz w:val="20"/>
                <w:szCs w:val="20"/>
                <w:lang w:val="sl-SI"/>
              </w:rPr>
              <w:t>.</w:t>
            </w:r>
          </w:p>
          <w:p w14:paraId="7B5C74A6" w14:textId="2DF27C52" w:rsidR="00E90C71" w:rsidRPr="00FF207E" w:rsidRDefault="00E90C71" w:rsidP="001E304B">
            <w:pPr>
              <w:pStyle w:val="Odstavekseznama"/>
              <w:numPr>
                <w:ilvl w:val="0"/>
                <w:numId w:val="21"/>
              </w:numPr>
              <w:spacing w:line="240" w:lineRule="atLeast"/>
              <w:ind w:left="357" w:hanging="357"/>
              <w:jc w:val="both"/>
              <w:rPr>
                <w:rFonts w:cs="Arial"/>
                <w:sz w:val="20"/>
                <w:szCs w:val="20"/>
                <w:lang w:val="sl-SI"/>
              </w:rPr>
            </w:pPr>
            <w:r w:rsidRPr="00FF207E">
              <w:rPr>
                <w:rFonts w:cs="Arial"/>
                <w:sz w:val="20"/>
                <w:szCs w:val="20"/>
                <w:lang w:val="sl-SI"/>
              </w:rPr>
              <w:t xml:space="preserve">V okviru ukrepa </w:t>
            </w:r>
            <w:hyperlink w:anchor="_Informiranje_članov_neformalne" w:history="1">
              <w:r w:rsidR="0049433E" w:rsidRPr="00FF207E">
                <w:rPr>
                  <w:rStyle w:val="Hiperpovezava"/>
                  <w:rFonts w:cs="Arial"/>
                  <w:sz w:val="20"/>
                  <w:szCs w:val="20"/>
                  <w:lang w:val="sl-SI"/>
                </w:rPr>
                <w:t>ER_Shema-05</w:t>
              </w:r>
            </w:hyperlink>
            <w:r w:rsidRPr="00FF207E">
              <w:rPr>
                <w:rFonts w:cs="Arial"/>
                <w:sz w:val="20"/>
                <w:szCs w:val="20"/>
                <w:lang w:val="sl-SI"/>
              </w:rPr>
              <w:t xml:space="preserve">: sodelovanje pri pripravi in izvedbi usposabljanj za člane neformalnih mrež za informiranje in ozaveščanje; </w:t>
            </w:r>
            <w:r w:rsidRPr="00FF207E">
              <w:rPr>
                <w:rFonts w:cs="Arial"/>
                <w:bCs/>
                <w:sz w:val="20"/>
                <w:szCs w:val="20"/>
                <w:lang w:val="sl-SI"/>
              </w:rPr>
              <w:t xml:space="preserve">redna izmenjava informacij med projektno pisarno, </w:t>
            </w:r>
            <w:r w:rsidR="001F3996" w:rsidRPr="00FF207E">
              <w:rPr>
                <w:rFonts w:cs="Arial"/>
                <w:bCs/>
                <w:sz w:val="20"/>
                <w:szCs w:val="20"/>
                <w:lang w:val="sl-SI"/>
              </w:rPr>
              <w:t>regionalnimi</w:t>
            </w:r>
            <w:r w:rsidRPr="00FF207E">
              <w:rPr>
                <w:rFonts w:cs="Arial"/>
                <w:bCs/>
                <w:sz w:val="20"/>
                <w:szCs w:val="20"/>
                <w:lang w:val="sl-SI"/>
              </w:rPr>
              <w:t xml:space="preserve"> svetovaln</w:t>
            </w:r>
            <w:r w:rsidR="001F3996" w:rsidRPr="00FF207E">
              <w:rPr>
                <w:rFonts w:cs="Arial"/>
                <w:bCs/>
                <w:sz w:val="20"/>
                <w:szCs w:val="20"/>
                <w:lang w:val="sl-SI"/>
              </w:rPr>
              <w:t>imi</w:t>
            </w:r>
            <w:r w:rsidRPr="00FF207E">
              <w:rPr>
                <w:rFonts w:cs="Arial"/>
                <w:bCs/>
                <w:sz w:val="20"/>
                <w:szCs w:val="20"/>
                <w:lang w:val="sl-SI"/>
              </w:rPr>
              <w:t xml:space="preserve"> </w:t>
            </w:r>
            <w:r w:rsidR="001F3996" w:rsidRPr="00FF207E">
              <w:rPr>
                <w:rFonts w:cs="Arial"/>
                <w:bCs/>
                <w:sz w:val="20"/>
                <w:szCs w:val="20"/>
                <w:lang w:val="sl-SI"/>
              </w:rPr>
              <w:t>točkami</w:t>
            </w:r>
            <w:r w:rsidRPr="00FF207E">
              <w:rPr>
                <w:rFonts w:cs="Arial"/>
                <w:bCs/>
                <w:sz w:val="20"/>
                <w:szCs w:val="20"/>
                <w:lang w:val="sl-SI"/>
              </w:rPr>
              <w:t xml:space="preserve"> in </w:t>
            </w:r>
            <w:r w:rsidRPr="00FF207E">
              <w:rPr>
                <w:rFonts w:cs="Arial"/>
                <w:sz w:val="20"/>
                <w:szCs w:val="20"/>
                <w:lang w:val="sl-SI"/>
              </w:rPr>
              <w:t>neformalno mrežo za informiranje in ozaveščanje</w:t>
            </w:r>
            <w:r w:rsidR="00B67E70" w:rsidRPr="00FF207E">
              <w:rPr>
                <w:rFonts w:cs="Arial"/>
                <w:sz w:val="20"/>
                <w:szCs w:val="20"/>
                <w:lang w:val="sl-SI"/>
              </w:rPr>
              <w:t>.</w:t>
            </w:r>
          </w:p>
          <w:p w14:paraId="7C9A4370" w14:textId="4A982417" w:rsidR="006B2A48" w:rsidRPr="00FF207E" w:rsidRDefault="006B2A48" w:rsidP="001E304B">
            <w:pPr>
              <w:pStyle w:val="Odstavekseznama"/>
              <w:numPr>
                <w:ilvl w:val="0"/>
                <w:numId w:val="21"/>
              </w:numPr>
              <w:spacing w:line="240" w:lineRule="atLeast"/>
              <w:ind w:left="357" w:hanging="357"/>
              <w:jc w:val="both"/>
              <w:rPr>
                <w:rFonts w:cs="Arial"/>
                <w:sz w:val="20"/>
                <w:szCs w:val="20"/>
                <w:lang w:val="sl-SI"/>
              </w:rPr>
            </w:pPr>
            <w:r w:rsidRPr="00FF207E">
              <w:rPr>
                <w:rFonts w:cs="Arial"/>
                <w:sz w:val="20"/>
                <w:szCs w:val="20"/>
                <w:lang w:val="sl-SI"/>
              </w:rPr>
              <w:t>Vključenost v druge ukrepe, kjer je s tem akcijskim načrtom predvideno sodelovanje regionalnih svetovalnih točk</w:t>
            </w:r>
            <w:r w:rsidR="00B67E70" w:rsidRPr="00FF207E">
              <w:rPr>
                <w:rFonts w:cs="Arial"/>
                <w:sz w:val="20"/>
                <w:szCs w:val="20"/>
                <w:lang w:val="sl-SI"/>
              </w:rPr>
              <w:t>.</w:t>
            </w:r>
          </w:p>
        </w:tc>
      </w:tr>
      <w:tr w:rsidR="000274C1" w:rsidRPr="00FF207E" w14:paraId="6454AC2B"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132163CA" w14:textId="77777777" w:rsidR="000274C1" w:rsidRPr="00FF207E" w:rsidRDefault="000274C1"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2FDF961" w14:textId="05DB3933" w:rsidR="000274C1" w:rsidRPr="00FF207E" w:rsidRDefault="003E21BC" w:rsidP="001E304B">
            <w:pPr>
              <w:spacing w:line="240" w:lineRule="atLeast"/>
              <w:jc w:val="both"/>
              <w:rPr>
                <w:rFonts w:cs="Arial"/>
                <w:sz w:val="20"/>
                <w:szCs w:val="20"/>
                <w:lang w:val="sl-SI"/>
              </w:rPr>
            </w:pPr>
            <w:r w:rsidRPr="00FF207E">
              <w:rPr>
                <w:rFonts w:cs="Arial"/>
                <w:sz w:val="20"/>
                <w:szCs w:val="20"/>
                <w:lang w:val="sl-SI"/>
              </w:rPr>
              <w:t xml:space="preserve">vzpostavitev </w:t>
            </w:r>
            <w:r w:rsidR="00624727" w:rsidRPr="00FF207E">
              <w:rPr>
                <w:rFonts w:cs="Arial"/>
                <w:sz w:val="20"/>
                <w:szCs w:val="20"/>
                <w:lang w:val="sl-SI"/>
              </w:rPr>
              <w:t xml:space="preserve">delovanja v pilotnem obsegu </w:t>
            </w:r>
            <w:r w:rsidRPr="00FF207E">
              <w:rPr>
                <w:rFonts w:cs="Arial"/>
                <w:sz w:val="20"/>
                <w:szCs w:val="20"/>
                <w:lang w:val="sl-SI"/>
              </w:rPr>
              <w:t>leta 2025</w:t>
            </w:r>
          </w:p>
        </w:tc>
      </w:tr>
      <w:tr w:rsidR="000274C1" w:rsidRPr="00FF207E" w14:paraId="13E3F578" w14:textId="77777777" w:rsidTr="002513F9">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1F5DD4BA" w14:textId="450C1001" w:rsidR="000274C1" w:rsidRPr="00FF207E" w:rsidRDefault="000274C1" w:rsidP="001E304B">
            <w:pPr>
              <w:spacing w:line="240" w:lineRule="atLeast"/>
              <w:jc w:val="both"/>
              <w:rPr>
                <w:rFonts w:cs="Arial"/>
                <w:sz w:val="20"/>
                <w:szCs w:val="20"/>
                <w:lang w:val="sl-SI"/>
              </w:rPr>
            </w:pPr>
            <w:r w:rsidRPr="00FF207E">
              <w:rPr>
                <w:rFonts w:cs="Arial"/>
                <w:sz w:val="20"/>
                <w:szCs w:val="20"/>
                <w:lang w:val="sl-SI"/>
              </w:rPr>
              <w:t>Potrebna sredstva</w:t>
            </w:r>
            <w:r w:rsidR="00F4436A" w:rsidRPr="00FF207E">
              <w:rPr>
                <w:rFonts w:cs="Arial"/>
                <w:sz w:val="20"/>
                <w:szCs w:val="20"/>
                <w:lang w:val="sl-SI"/>
              </w:rPr>
              <w:t xml:space="preserve"> </w:t>
            </w:r>
            <w:r w:rsidRPr="00FF207E">
              <w:rPr>
                <w:rFonts w:cs="Arial"/>
                <w:sz w:val="20"/>
                <w:szCs w:val="20"/>
                <w:lang w:val="sl-SI"/>
              </w:rPr>
              <w:t>in viri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tcPr>
          <w:p w14:paraId="2FF18141" w14:textId="77777777" w:rsidR="00D24D81" w:rsidRPr="00FF207E" w:rsidRDefault="00086058" w:rsidP="002513F9">
            <w:pPr>
              <w:spacing w:before="60" w:line="240" w:lineRule="atLeast"/>
              <w:rPr>
                <w:rFonts w:cs="Arial"/>
                <w:sz w:val="20"/>
                <w:szCs w:val="20"/>
                <w:lang w:val="sl-SI"/>
              </w:rPr>
            </w:pPr>
            <w:r w:rsidRPr="00FF207E">
              <w:rPr>
                <w:rFonts w:cs="Arial"/>
                <w:sz w:val="20"/>
                <w:szCs w:val="20"/>
                <w:lang w:val="sl-SI"/>
              </w:rPr>
              <w:t>t</w:t>
            </w:r>
            <w:r w:rsidR="009A6E2F" w:rsidRPr="00FF207E">
              <w:rPr>
                <w:rFonts w:cs="Arial"/>
                <w:sz w:val="20"/>
                <w:szCs w:val="20"/>
                <w:lang w:val="sl-SI"/>
              </w:rPr>
              <w:t>abela 7</w:t>
            </w:r>
          </w:p>
          <w:p w14:paraId="6DB6ABA6" w14:textId="5781F71A" w:rsidR="000274C1" w:rsidRPr="00FF207E" w:rsidRDefault="000E17C5" w:rsidP="002513F9">
            <w:pPr>
              <w:spacing w:before="60" w:line="240" w:lineRule="atLeast"/>
              <w:rPr>
                <w:rFonts w:cs="Arial"/>
                <w:sz w:val="20"/>
                <w:szCs w:val="20"/>
                <w:lang w:val="sl-SI"/>
              </w:rPr>
            </w:pPr>
            <w:r w:rsidRPr="00FF207E">
              <w:rPr>
                <w:rFonts w:cs="Arial"/>
                <w:sz w:val="20"/>
                <w:szCs w:val="20"/>
                <w:lang w:val="sl-SI"/>
              </w:rPr>
              <w:t xml:space="preserve">Viri sredstev so: Sklad za podnebne spremembe, </w:t>
            </w:r>
            <w:r w:rsidR="00B44576" w:rsidRPr="00FF207E">
              <w:rPr>
                <w:rFonts w:cs="Arial"/>
                <w:sz w:val="20"/>
                <w:szCs w:val="20"/>
                <w:lang w:val="sl-SI"/>
              </w:rPr>
              <w:t>Evropski sklad za regionalni razvoj</w:t>
            </w:r>
            <w:r w:rsidR="00A7676B" w:rsidRPr="00FF207E">
              <w:rPr>
                <w:rFonts w:cs="Arial"/>
                <w:sz w:val="20"/>
                <w:szCs w:val="20"/>
                <w:lang w:val="sl-SI"/>
              </w:rPr>
              <w:t xml:space="preserve">, </w:t>
            </w:r>
            <w:r w:rsidRPr="00FF207E">
              <w:rPr>
                <w:rFonts w:cs="Arial"/>
                <w:sz w:val="20"/>
                <w:szCs w:val="20"/>
                <w:lang w:val="sl-SI"/>
              </w:rPr>
              <w:t>kohezijska sredstva ali drugi viri</w:t>
            </w:r>
            <w:r w:rsidR="008B34CB" w:rsidRPr="00FF207E">
              <w:rPr>
                <w:rFonts w:cs="Arial"/>
                <w:sz w:val="20"/>
                <w:szCs w:val="20"/>
                <w:lang w:val="sl-SI"/>
              </w:rPr>
              <w:t>.</w:t>
            </w:r>
          </w:p>
        </w:tc>
      </w:tr>
      <w:tr w:rsidR="000274C1" w:rsidRPr="00FF207E" w14:paraId="3AA09677" w14:textId="77777777" w:rsidTr="00CC0A20">
        <w:tc>
          <w:tcPr>
            <w:tcW w:w="9062" w:type="dxa"/>
            <w:gridSpan w:val="3"/>
            <w:tcBorders>
              <w:top w:val="single" w:sz="4" w:space="0" w:color="548DD4" w:themeColor="text2" w:themeTint="99"/>
              <w:left w:val="nil"/>
              <w:bottom w:val="single" w:sz="4" w:space="0" w:color="548DD4" w:themeColor="text2" w:themeTint="99"/>
              <w:right w:val="nil"/>
            </w:tcBorders>
            <w:shd w:val="clear" w:color="auto" w:fill="DBE5F1" w:themeFill="accent1" w:themeFillTint="33"/>
          </w:tcPr>
          <w:p w14:paraId="2B4CC14E" w14:textId="77777777" w:rsidR="000274C1" w:rsidRPr="00FF207E" w:rsidRDefault="000274C1" w:rsidP="001E304B">
            <w:pPr>
              <w:spacing w:before="40" w:after="40" w:line="240" w:lineRule="atLeast"/>
              <w:jc w:val="both"/>
              <w:rPr>
                <w:rFonts w:cs="Arial"/>
                <w:sz w:val="20"/>
                <w:szCs w:val="20"/>
                <w:lang w:val="sl-SI"/>
              </w:rPr>
            </w:pPr>
            <w:r w:rsidRPr="00FF207E">
              <w:rPr>
                <w:rFonts w:cs="Arial"/>
                <w:sz w:val="20"/>
                <w:szCs w:val="20"/>
                <w:lang w:val="sl-SI"/>
              </w:rPr>
              <w:t>Potek izvedbe</w:t>
            </w:r>
          </w:p>
        </w:tc>
      </w:tr>
      <w:tr w:rsidR="00691CE3" w:rsidRPr="00FF207E" w14:paraId="0465530F" w14:textId="77777777" w:rsidTr="00DD1E53">
        <w:tc>
          <w:tcPr>
            <w:tcW w:w="567" w:type="dxa"/>
            <w:vMerge w:val="restart"/>
            <w:tcBorders>
              <w:top w:val="single" w:sz="4" w:space="0" w:color="548DD4" w:themeColor="text2" w:themeTint="99"/>
              <w:left w:val="nil"/>
              <w:right w:val="single" w:sz="4" w:space="0" w:color="548DD4" w:themeColor="text2" w:themeTint="99"/>
            </w:tcBorders>
            <w:vAlign w:val="center"/>
          </w:tcPr>
          <w:p w14:paraId="3E5AE6E8" w14:textId="77777777" w:rsidR="00691CE3" w:rsidRPr="00FF207E" w:rsidRDefault="00691CE3" w:rsidP="001E304B">
            <w:pPr>
              <w:spacing w:line="240" w:lineRule="atLeast"/>
              <w:jc w:val="both"/>
              <w:rPr>
                <w:rFonts w:cs="Arial"/>
                <w:b/>
                <w:sz w:val="24"/>
                <w:lang w:val="sl-SI"/>
              </w:rPr>
            </w:pPr>
            <w:r w:rsidRPr="00FF207E">
              <w:rPr>
                <w:rFonts w:cs="Arial"/>
                <w:b/>
                <w:sz w:val="24"/>
                <w:lang w:val="sl-SI"/>
              </w:rPr>
              <w:t>1</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40592A2C" w14:textId="77777777" w:rsidR="00691CE3" w:rsidRPr="00FF207E" w:rsidRDefault="00691CE3"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37B3B64C" w14:textId="112D43BF" w:rsidR="00691CE3" w:rsidRPr="00FF207E" w:rsidRDefault="008B34CB" w:rsidP="001E304B">
            <w:pPr>
              <w:spacing w:line="240" w:lineRule="atLeast"/>
              <w:jc w:val="both"/>
              <w:rPr>
                <w:rFonts w:cs="Arial"/>
                <w:sz w:val="20"/>
                <w:szCs w:val="20"/>
                <w:lang w:val="sl-SI"/>
              </w:rPr>
            </w:pPr>
            <w:r w:rsidRPr="00FF207E">
              <w:rPr>
                <w:rFonts w:cs="Arial"/>
                <w:sz w:val="20"/>
                <w:szCs w:val="20"/>
                <w:lang w:val="sl-SI"/>
              </w:rPr>
              <w:t>z</w:t>
            </w:r>
            <w:r w:rsidR="00691CE3" w:rsidRPr="00FF207E">
              <w:rPr>
                <w:rFonts w:cs="Arial"/>
                <w:sz w:val="20"/>
                <w:szCs w:val="20"/>
                <w:lang w:val="sl-SI"/>
              </w:rPr>
              <w:t>agotovit</w:t>
            </w:r>
            <w:r w:rsidR="00B109BD" w:rsidRPr="00FF207E">
              <w:rPr>
                <w:rFonts w:cs="Arial"/>
                <w:sz w:val="20"/>
                <w:szCs w:val="20"/>
                <w:lang w:val="sl-SI"/>
              </w:rPr>
              <w:t>ev</w:t>
            </w:r>
            <w:r w:rsidR="00691CE3" w:rsidRPr="00FF207E">
              <w:rPr>
                <w:rFonts w:cs="Arial"/>
                <w:sz w:val="20"/>
                <w:szCs w:val="20"/>
                <w:lang w:val="sl-SI"/>
              </w:rPr>
              <w:t xml:space="preserve"> sredst</w:t>
            </w:r>
            <w:r w:rsidR="00B109BD" w:rsidRPr="00FF207E">
              <w:rPr>
                <w:rFonts w:cs="Arial"/>
                <w:sz w:val="20"/>
                <w:szCs w:val="20"/>
                <w:lang w:val="sl-SI"/>
              </w:rPr>
              <w:t>ev</w:t>
            </w:r>
            <w:r w:rsidR="00691CE3" w:rsidRPr="00FF207E">
              <w:rPr>
                <w:rFonts w:cs="Arial"/>
                <w:sz w:val="20"/>
                <w:szCs w:val="20"/>
                <w:lang w:val="sl-SI"/>
              </w:rPr>
              <w:t xml:space="preserve"> za delovanje regionalnih svetovalnih točk</w:t>
            </w:r>
          </w:p>
        </w:tc>
      </w:tr>
      <w:tr w:rsidR="00691CE3" w:rsidRPr="00FF207E" w14:paraId="08610343" w14:textId="77777777" w:rsidTr="00DD1E53">
        <w:tc>
          <w:tcPr>
            <w:tcW w:w="567" w:type="dxa"/>
            <w:vMerge/>
            <w:tcBorders>
              <w:left w:val="nil"/>
              <w:right w:val="single" w:sz="4" w:space="0" w:color="548DD4" w:themeColor="text2" w:themeTint="99"/>
            </w:tcBorders>
          </w:tcPr>
          <w:p w14:paraId="3E302AEF" w14:textId="77777777" w:rsidR="00691CE3" w:rsidRPr="00FF207E" w:rsidRDefault="00691CE3"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58EBED69" w14:textId="77777777" w:rsidR="00691CE3" w:rsidRPr="00FF207E" w:rsidRDefault="00691CE3"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6DFFC622" w14:textId="77777777" w:rsidR="00691CE3" w:rsidRPr="00FF207E" w:rsidRDefault="00691CE3" w:rsidP="001E304B">
            <w:pPr>
              <w:spacing w:line="240" w:lineRule="atLeast"/>
              <w:jc w:val="both"/>
              <w:rPr>
                <w:rFonts w:cs="Arial"/>
                <w:sz w:val="20"/>
                <w:szCs w:val="20"/>
                <w:lang w:val="sl-SI"/>
              </w:rPr>
            </w:pPr>
            <w:r w:rsidRPr="00FF207E">
              <w:rPr>
                <w:rFonts w:cs="Arial"/>
                <w:sz w:val="20"/>
                <w:szCs w:val="20"/>
                <w:lang w:val="sl-SI"/>
              </w:rPr>
              <w:t>MOPE</w:t>
            </w:r>
          </w:p>
        </w:tc>
      </w:tr>
      <w:tr w:rsidR="00691CE3" w:rsidRPr="00FF207E" w14:paraId="49951698" w14:textId="77777777" w:rsidTr="00DD1E53">
        <w:tc>
          <w:tcPr>
            <w:tcW w:w="567" w:type="dxa"/>
            <w:vMerge/>
            <w:tcBorders>
              <w:left w:val="nil"/>
              <w:right w:val="single" w:sz="4" w:space="0" w:color="548DD4" w:themeColor="text2" w:themeTint="99"/>
            </w:tcBorders>
          </w:tcPr>
          <w:p w14:paraId="0CC6CD07" w14:textId="77777777" w:rsidR="00691CE3" w:rsidRPr="00FF207E" w:rsidRDefault="00691CE3"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1B4350C" w14:textId="77777777" w:rsidR="00691CE3" w:rsidRPr="00FF207E" w:rsidRDefault="00691CE3"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3963ED58" w14:textId="77777777" w:rsidR="00691CE3" w:rsidRPr="00FF207E" w:rsidRDefault="00691CE3"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A4444B" w:rsidRPr="00FF207E" w14:paraId="2513A14B" w14:textId="77777777" w:rsidTr="00CC0A20">
        <w:tc>
          <w:tcPr>
            <w:tcW w:w="567" w:type="dxa"/>
            <w:vMerge/>
            <w:tcBorders>
              <w:left w:val="nil"/>
              <w:bottom w:val="single" w:sz="4" w:space="0" w:color="548DD4" w:themeColor="text2" w:themeTint="99"/>
              <w:right w:val="single" w:sz="4" w:space="0" w:color="548DD4" w:themeColor="text2" w:themeTint="99"/>
            </w:tcBorders>
          </w:tcPr>
          <w:p w14:paraId="7790A5F3" w14:textId="77777777" w:rsidR="00A4444B" w:rsidRPr="00FF207E" w:rsidRDefault="00A4444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033B483A" w14:textId="77777777" w:rsidR="00A4444B" w:rsidRPr="00FF207E" w:rsidRDefault="00A4444B"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144E90BF" w14:textId="7F8B52E2" w:rsidR="00A4444B" w:rsidRPr="00FF207E" w:rsidRDefault="003E21BC" w:rsidP="00CB3F8C">
            <w:pPr>
              <w:spacing w:line="240" w:lineRule="atLeast"/>
              <w:jc w:val="both"/>
              <w:rPr>
                <w:rFonts w:cs="Arial"/>
                <w:sz w:val="20"/>
                <w:szCs w:val="20"/>
                <w:lang w:val="sl-SI"/>
              </w:rPr>
            </w:pPr>
            <w:r w:rsidRPr="00FF207E">
              <w:rPr>
                <w:rFonts w:cs="Arial"/>
                <w:sz w:val="20"/>
                <w:szCs w:val="20"/>
                <w:lang w:val="sl-SI"/>
              </w:rPr>
              <w:t xml:space="preserve">ob </w:t>
            </w:r>
            <w:r w:rsidR="00CB3F8C" w:rsidRPr="00FF207E">
              <w:rPr>
                <w:rFonts w:cs="Arial"/>
                <w:sz w:val="20"/>
                <w:szCs w:val="20"/>
                <w:lang w:val="sl-SI"/>
              </w:rPr>
              <w:t>sprejetju akcijskega načrta</w:t>
            </w:r>
          </w:p>
        </w:tc>
      </w:tr>
      <w:tr w:rsidR="00691CE3" w:rsidRPr="00FF207E" w14:paraId="59D55466" w14:textId="77777777" w:rsidTr="00CC0A20">
        <w:tc>
          <w:tcPr>
            <w:tcW w:w="567" w:type="dxa"/>
            <w:vMerge w:val="restart"/>
            <w:tcBorders>
              <w:top w:val="single" w:sz="4" w:space="0" w:color="548DD4" w:themeColor="text2" w:themeTint="99"/>
              <w:left w:val="nil"/>
              <w:right w:val="single" w:sz="4" w:space="0" w:color="548DD4" w:themeColor="text2" w:themeTint="99"/>
            </w:tcBorders>
            <w:vAlign w:val="center"/>
          </w:tcPr>
          <w:p w14:paraId="3B934EB2" w14:textId="77777777" w:rsidR="00691CE3" w:rsidRPr="00FF207E" w:rsidRDefault="00691CE3" w:rsidP="001E304B">
            <w:pPr>
              <w:spacing w:line="240" w:lineRule="atLeast"/>
              <w:jc w:val="both"/>
              <w:rPr>
                <w:rFonts w:cs="Arial"/>
                <w:b/>
                <w:sz w:val="24"/>
                <w:lang w:val="sl-SI"/>
              </w:rPr>
            </w:pPr>
            <w:r w:rsidRPr="00FF207E">
              <w:rPr>
                <w:rFonts w:cs="Arial"/>
                <w:b/>
                <w:sz w:val="24"/>
                <w:lang w:val="sl-SI"/>
              </w:rPr>
              <w:t>2</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1D3EC74E" w14:textId="77777777" w:rsidR="00691CE3" w:rsidRPr="00FF207E" w:rsidRDefault="00691CE3"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0C70AE24" w14:textId="1EF7B2A5" w:rsidR="00691CE3" w:rsidRPr="00FF207E" w:rsidRDefault="008B34CB" w:rsidP="001E304B">
            <w:pPr>
              <w:spacing w:line="240" w:lineRule="atLeast"/>
              <w:jc w:val="both"/>
              <w:rPr>
                <w:rFonts w:cs="Arial"/>
                <w:sz w:val="20"/>
                <w:szCs w:val="20"/>
                <w:lang w:val="sl-SI"/>
              </w:rPr>
            </w:pPr>
            <w:r w:rsidRPr="00FF207E">
              <w:rPr>
                <w:rFonts w:cs="Arial"/>
                <w:sz w:val="20"/>
                <w:szCs w:val="20"/>
                <w:lang w:val="sl-SI"/>
              </w:rPr>
              <w:t>i</w:t>
            </w:r>
            <w:r w:rsidR="00314952" w:rsidRPr="00FF207E">
              <w:rPr>
                <w:rFonts w:cs="Arial"/>
                <w:sz w:val="20"/>
                <w:szCs w:val="20"/>
                <w:lang w:val="sl-SI"/>
              </w:rPr>
              <w:t>zbor regij in izvajalcev</w:t>
            </w:r>
            <w:r w:rsidR="00624727" w:rsidRPr="00FF207E">
              <w:rPr>
                <w:rFonts w:cs="Arial"/>
                <w:sz w:val="20"/>
                <w:szCs w:val="20"/>
                <w:lang w:val="sl-SI"/>
              </w:rPr>
              <w:t xml:space="preserve"> za storitve regionalnih svetovalnih točk </w:t>
            </w:r>
            <w:r w:rsidR="007829D8" w:rsidRPr="00FF207E">
              <w:rPr>
                <w:rFonts w:cs="Arial"/>
                <w:sz w:val="20"/>
                <w:szCs w:val="20"/>
                <w:lang w:val="sl-SI"/>
              </w:rPr>
              <w:t>v pilotnih regijah</w:t>
            </w:r>
          </w:p>
        </w:tc>
      </w:tr>
      <w:tr w:rsidR="00691CE3" w:rsidRPr="00FF207E" w14:paraId="37D63169" w14:textId="77777777" w:rsidTr="00DD1E53">
        <w:tc>
          <w:tcPr>
            <w:tcW w:w="567" w:type="dxa"/>
            <w:vMerge/>
            <w:tcBorders>
              <w:left w:val="nil"/>
              <w:right w:val="single" w:sz="4" w:space="0" w:color="548DD4" w:themeColor="text2" w:themeTint="99"/>
            </w:tcBorders>
          </w:tcPr>
          <w:p w14:paraId="6813A52B" w14:textId="77777777" w:rsidR="00691CE3" w:rsidRPr="00FF207E" w:rsidRDefault="00691CE3"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54B453D6" w14:textId="77777777" w:rsidR="00691CE3" w:rsidRPr="00FF207E" w:rsidRDefault="00691CE3"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5012431" w14:textId="076EF018" w:rsidR="00691CE3" w:rsidRPr="00FF207E" w:rsidRDefault="00B109BD"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691CE3" w:rsidRPr="00FF207E" w14:paraId="5524FFF5" w14:textId="77777777" w:rsidTr="00DD1E53">
        <w:tc>
          <w:tcPr>
            <w:tcW w:w="567" w:type="dxa"/>
            <w:vMerge/>
            <w:tcBorders>
              <w:left w:val="nil"/>
              <w:right w:val="single" w:sz="4" w:space="0" w:color="548DD4" w:themeColor="text2" w:themeTint="99"/>
            </w:tcBorders>
          </w:tcPr>
          <w:p w14:paraId="2F32592B" w14:textId="77777777" w:rsidR="00691CE3" w:rsidRPr="00FF207E" w:rsidRDefault="00691CE3"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993A029" w14:textId="77777777" w:rsidR="00691CE3" w:rsidRPr="00FF207E" w:rsidRDefault="00691CE3"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6F74210E" w14:textId="783731FA" w:rsidR="00691CE3" w:rsidRPr="00FF207E" w:rsidRDefault="00B109BD" w:rsidP="001E304B">
            <w:pPr>
              <w:spacing w:line="240" w:lineRule="atLeast"/>
              <w:jc w:val="both"/>
              <w:rPr>
                <w:rFonts w:cs="Arial"/>
                <w:sz w:val="20"/>
                <w:szCs w:val="20"/>
                <w:lang w:val="sl-SI"/>
              </w:rPr>
            </w:pPr>
            <w:r w:rsidRPr="00FF207E">
              <w:rPr>
                <w:rFonts w:cs="Arial"/>
                <w:sz w:val="20"/>
                <w:szCs w:val="20"/>
                <w:lang w:val="sl-SI"/>
              </w:rPr>
              <w:t>MOPE</w:t>
            </w:r>
          </w:p>
        </w:tc>
      </w:tr>
      <w:tr w:rsidR="00A4444B" w:rsidRPr="00FF207E" w14:paraId="39E4E35B" w14:textId="77777777" w:rsidTr="00CC0A20">
        <w:tc>
          <w:tcPr>
            <w:tcW w:w="567" w:type="dxa"/>
            <w:vMerge/>
            <w:tcBorders>
              <w:left w:val="nil"/>
              <w:bottom w:val="single" w:sz="4" w:space="0" w:color="548DD4" w:themeColor="text2" w:themeTint="99"/>
              <w:right w:val="single" w:sz="4" w:space="0" w:color="548DD4" w:themeColor="text2" w:themeTint="99"/>
            </w:tcBorders>
          </w:tcPr>
          <w:p w14:paraId="077C4D2C" w14:textId="77777777" w:rsidR="00A4444B" w:rsidRPr="00FF207E" w:rsidRDefault="00A4444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46A94B6E" w14:textId="77777777" w:rsidR="00A4444B" w:rsidRPr="00FF207E" w:rsidRDefault="00A4444B"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67BF8882" w14:textId="29EAB57C" w:rsidR="00A4444B" w:rsidRPr="00FF207E" w:rsidRDefault="00C90996" w:rsidP="001E304B">
            <w:pPr>
              <w:spacing w:line="240" w:lineRule="atLeast"/>
              <w:jc w:val="both"/>
              <w:rPr>
                <w:rFonts w:cs="Arial"/>
                <w:sz w:val="20"/>
                <w:szCs w:val="20"/>
                <w:lang w:val="sl-SI"/>
              </w:rPr>
            </w:pPr>
            <w:r w:rsidRPr="00FF207E">
              <w:rPr>
                <w:rFonts w:cs="Arial"/>
                <w:sz w:val="20"/>
                <w:szCs w:val="20"/>
                <w:lang w:val="sl-SI"/>
              </w:rPr>
              <w:t>2025</w:t>
            </w:r>
          </w:p>
        </w:tc>
      </w:tr>
      <w:tr w:rsidR="00691CE3" w:rsidRPr="00FF207E" w14:paraId="0EC44A27" w14:textId="77777777" w:rsidTr="00CC0A20">
        <w:tc>
          <w:tcPr>
            <w:tcW w:w="567" w:type="dxa"/>
            <w:vMerge w:val="restart"/>
            <w:tcBorders>
              <w:top w:val="single" w:sz="4" w:space="0" w:color="548DD4" w:themeColor="text2" w:themeTint="99"/>
              <w:left w:val="nil"/>
              <w:right w:val="single" w:sz="4" w:space="0" w:color="548DD4" w:themeColor="text2" w:themeTint="99"/>
            </w:tcBorders>
            <w:vAlign w:val="center"/>
          </w:tcPr>
          <w:p w14:paraId="3DB937DC" w14:textId="5082B417" w:rsidR="00691CE3" w:rsidRPr="00FF207E" w:rsidRDefault="00B109BD" w:rsidP="001E304B">
            <w:pPr>
              <w:spacing w:line="240" w:lineRule="atLeast"/>
              <w:jc w:val="both"/>
              <w:rPr>
                <w:rFonts w:cs="Arial"/>
                <w:b/>
                <w:sz w:val="24"/>
                <w:lang w:val="sl-SI"/>
              </w:rPr>
            </w:pPr>
            <w:r w:rsidRPr="00FF207E">
              <w:rPr>
                <w:rFonts w:cs="Arial"/>
                <w:b/>
                <w:sz w:val="24"/>
                <w:lang w:val="sl-SI"/>
              </w:rPr>
              <w:t>3</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05A0CA98" w14:textId="77777777" w:rsidR="00691CE3" w:rsidRPr="00FF207E" w:rsidRDefault="00691CE3"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0488CA44" w14:textId="1F8D383D" w:rsidR="00691CE3" w:rsidRPr="00FF207E" w:rsidRDefault="008B34CB" w:rsidP="001E304B">
            <w:pPr>
              <w:spacing w:line="240" w:lineRule="atLeast"/>
              <w:jc w:val="both"/>
              <w:rPr>
                <w:rFonts w:cs="Arial"/>
                <w:sz w:val="20"/>
                <w:szCs w:val="20"/>
                <w:lang w:val="sl-SI"/>
              </w:rPr>
            </w:pPr>
            <w:r w:rsidRPr="00FF207E">
              <w:rPr>
                <w:rFonts w:cs="Arial"/>
                <w:sz w:val="20"/>
                <w:szCs w:val="20"/>
                <w:lang w:val="sl-SI"/>
              </w:rPr>
              <w:t>u</w:t>
            </w:r>
            <w:r w:rsidR="00691CE3" w:rsidRPr="00FF207E">
              <w:rPr>
                <w:rFonts w:cs="Arial"/>
                <w:sz w:val="20"/>
                <w:szCs w:val="20"/>
                <w:lang w:val="sl-SI"/>
              </w:rPr>
              <w:t xml:space="preserve">sposabljanje primernega kadra za energetsko in drugo svetovanje </w:t>
            </w:r>
            <w:r w:rsidR="00B109BD" w:rsidRPr="00FF207E">
              <w:rPr>
                <w:rFonts w:cs="Arial"/>
                <w:sz w:val="20"/>
                <w:szCs w:val="20"/>
                <w:lang w:val="sl-SI"/>
              </w:rPr>
              <w:t>v pilotnih regijah</w:t>
            </w:r>
          </w:p>
        </w:tc>
      </w:tr>
      <w:tr w:rsidR="00691CE3" w:rsidRPr="00FF207E" w14:paraId="32DAB2E3" w14:textId="77777777" w:rsidTr="00742BD0">
        <w:tc>
          <w:tcPr>
            <w:tcW w:w="567" w:type="dxa"/>
            <w:vMerge/>
            <w:tcBorders>
              <w:left w:val="nil"/>
              <w:right w:val="single" w:sz="4" w:space="0" w:color="548DD4" w:themeColor="text2" w:themeTint="99"/>
            </w:tcBorders>
          </w:tcPr>
          <w:p w14:paraId="1B5D7D88" w14:textId="77777777" w:rsidR="00691CE3" w:rsidRPr="00FF207E" w:rsidRDefault="00691CE3"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CA58932" w14:textId="77777777" w:rsidR="00691CE3" w:rsidRPr="00FF207E" w:rsidRDefault="00691CE3"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58D253F" w14:textId="5B2D2231" w:rsidR="00691CE3" w:rsidRPr="00FF207E" w:rsidRDefault="00081057"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691CE3" w:rsidRPr="00FF207E" w14:paraId="5C8C2202" w14:textId="77777777" w:rsidTr="00742BD0">
        <w:tc>
          <w:tcPr>
            <w:tcW w:w="567" w:type="dxa"/>
            <w:vMerge/>
            <w:tcBorders>
              <w:left w:val="nil"/>
              <w:right w:val="single" w:sz="4" w:space="0" w:color="548DD4" w:themeColor="text2" w:themeTint="99"/>
            </w:tcBorders>
          </w:tcPr>
          <w:p w14:paraId="0B0D6F82" w14:textId="77777777" w:rsidR="00691CE3" w:rsidRPr="00FF207E" w:rsidRDefault="00691CE3"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D7B74D1" w14:textId="77777777" w:rsidR="00691CE3" w:rsidRPr="00FF207E" w:rsidRDefault="00691CE3"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43D3E4F" w14:textId="5DC1497D" w:rsidR="00691CE3" w:rsidRPr="00FF207E" w:rsidRDefault="00081057" w:rsidP="001E304B">
            <w:pPr>
              <w:spacing w:line="240" w:lineRule="atLeast"/>
              <w:jc w:val="both"/>
              <w:rPr>
                <w:rFonts w:cs="Arial"/>
                <w:sz w:val="20"/>
                <w:szCs w:val="20"/>
                <w:lang w:val="sl-SI"/>
              </w:rPr>
            </w:pPr>
            <w:r w:rsidRPr="00FF207E">
              <w:rPr>
                <w:rFonts w:cs="Arial"/>
                <w:sz w:val="20"/>
                <w:szCs w:val="20"/>
                <w:lang w:val="sl-SI"/>
              </w:rPr>
              <w:t>izbrane regionalne svetovalne točke</w:t>
            </w:r>
          </w:p>
        </w:tc>
      </w:tr>
      <w:tr w:rsidR="00A4444B" w:rsidRPr="00FF207E" w14:paraId="06D7D843" w14:textId="77777777" w:rsidTr="00093EA5">
        <w:tc>
          <w:tcPr>
            <w:tcW w:w="567" w:type="dxa"/>
            <w:vMerge/>
            <w:tcBorders>
              <w:left w:val="nil"/>
              <w:bottom w:val="single" w:sz="4" w:space="0" w:color="548DD4" w:themeColor="text2" w:themeTint="99"/>
              <w:right w:val="single" w:sz="4" w:space="0" w:color="548DD4" w:themeColor="text2" w:themeTint="99"/>
            </w:tcBorders>
          </w:tcPr>
          <w:p w14:paraId="0701813E" w14:textId="77777777" w:rsidR="00A4444B" w:rsidRPr="00FF207E" w:rsidRDefault="00A4444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5FC7EB2F" w14:textId="77777777" w:rsidR="00A4444B" w:rsidRPr="00FF207E" w:rsidRDefault="00A4444B"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139644BE" w14:textId="16E6C99E" w:rsidR="00A4444B" w:rsidRPr="00FF207E" w:rsidRDefault="00C90996" w:rsidP="001E304B">
            <w:pPr>
              <w:spacing w:line="240" w:lineRule="atLeast"/>
              <w:jc w:val="both"/>
              <w:rPr>
                <w:rFonts w:cs="Arial"/>
                <w:sz w:val="20"/>
                <w:szCs w:val="20"/>
                <w:lang w:val="sl-SI"/>
              </w:rPr>
            </w:pPr>
            <w:r w:rsidRPr="00FF207E">
              <w:rPr>
                <w:rFonts w:cs="Arial"/>
                <w:sz w:val="20"/>
                <w:szCs w:val="20"/>
                <w:lang w:val="sl-SI"/>
              </w:rPr>
              <w:t>2025</w:t>
            </w:r>
          </w:p>
        </w:tc>
      </w:tr>
      <w:tr w:rsidR="005019F2" w:rsidRPr="00FF207E" w14:paraId="180233DE" w14:textId="77777777" w:rsidTr="00CC0A20">
        <w:tc>
          <w:tcPr>
            <w:tcW w:w="567" w:type="dxa"/>
            <w:vMerge w:val="restart"/>
            <w:tcBorders>
              <w:top w:val="single" w:sz="4" w:space="0" w:color="548DD4" w:themeColor="text2" w:themeTint="99"/>
              <w:left w:val="nil"/>
              <w:right w:val="single" w:sz="4" w:space="0" w:color="548DD4" w:themeColor="text2" w:themeTint="99"/>
            </w:tcBorders>
            <w:vAlign w:val="center"/>
          </w:tcPr>
          <w:p w14:paraId="71439BA0" w14:textId="1C9EFDD7" w:rsidR="005019F2" w:rsidRPr="00FF207E" w:rsidRDefault="005019F2" w:rsidP="001E304B">
            <w:pPr>
              <w:spacing w:line="240" w:lineRule="atLeast"/>
              <w:jc w:val="both"/>
              <w:rPr>
                <w:rFonts w:cs="Arial"/>
                <w:b/>
                <w:sz w:val="24"/>
                <w:lang w:val="sl-SI"/>
              </w:rPr>
            </w:pPr>
            <w:r w:rsidRPr="00FF207E">
              <w:rPr>
                <w:rFonts w:cs="Arial"/>
                <w:b/>
                <w:sz w:val="24"/>
                <w:lang w:val="sl-SI"/>
              </w:rPr>
              <w:t>4</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49B647C1" w14:textId="77777777" w:rsidR="005019F2" w:rsidRPr="00FF207E" w:rsidRDefault="005019F2"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70EB900D" w14:textId="07B33CE7" w:rsidR="005019F2" w:rsidRPr="00FF207E" w:rsidRDefault="008B34CB" w:rsidP="001E304B">
            <w:pPr>
              <w:spacing w:line="240" w:lineRule="atLeast"/>
              <w:jc w:val="both"/>
              <w:rPr>
                <w:rFonts w:cs="Arial"/>
                <w:sz w:val="20"/>
                <w:szCs w:val="20"/>
                <w:lang w:val="sl-SI"/>
              </w:rPr>
            </w:pPr>
            <w:r w:rsidRPr="00FF207E">
              <w:rPr>
                <w:rFonts w:cs="Arial"/>
                <w:sz w:val="20"/>
                <w:szCs w:val="20"/>
                <w:lang w:val="sl-SI"/>
              </w:rPr>
              <w:t>d</w:t>
            </w:r>
            <w:r w:rsidR="005019F2" w:rsidRPr="00FF207E">
              <w:rPr>
                <w:rFonts w:cs="Arial"/>
                <w:sz w:val="20"/>
                <w:szCs w:val="20"/>
                <w:lang w:val="sl-SI"/>
              </w:rPr>
              <w:t>elovanj</w:t>
            </w:r>
            <w:r w:rsidR="00D5260F" w:rsidRPr="00FF207E">
              <w:rPr>
                <w:rFonts w:cs="Arial"/>
                <w:sz w:val="20"/>
                <w:szCs w:val="20"/>
                <w:lang w:val="sl-SI"/>
              </w:rPr>
              <w:t>e</w:t>
            </w:r>
            <w:r w:rsidR="005019F2" w:rsidRPr="00FF207E">
              <w:rPr>
                <w:rFonts w:cs="Arial"/>
                <w:sz w:val="20"/>
                <w:szCs w:val="20"/>
                <w:lang w:val="sl-SI"/>
              </w:rPr>
              <w:t xml:space="preserve"> regionalnih svetovalnih točk v pilotnih regijah</w:t>
            </w:r>
            <w:r w:rsidR="00364D58" w:rsidRPr="00FF207E">
              <w:rPr>
                <w:rFonts w:cs="Arial"/>
                <w:sz w:val="20"/>
                <w:szCs w:val="20"/>
                <w:lang w:val="sl-SI"/>
              </w:rPr>
              <w:t xml:space="preserve"> in </w:t>
            </w:r>
            <w:r w:rsidR="00081057" w:rsidRPr="00FF207E">
              <w:rPr>
                <w:rFonts w:cs="Arial"/>
                <w:sz w:val="20"/>
                <w:szCs w:val="20"/>
                <w:lang w:val="sl-SI"/>
              </w:rPr>
              <w:t>svetovanj</w:t>
            </w:r>
            <w:r w:rsidR="005F29C1" w:rsidRPr="00FF207E">
              <w:rPr>
                <w:rFonts w:cs="Arial"/>
                <w:sz w:val="20"/>
                <w:szCs w:val="20"/>
                <w:lang w:val="sl-SI"/>
              </w:rPr>
              <w:t>e</w:t>
            </w:r>
            <w:r w:rsidR="00081057" w:rsidRPr="00FF207E">
              <w:rPr>
                <w:rFonts w:cs="Arial"/>
                <w:sz w:val="20"/>
                <w:szCs w:val="20"/>
                <w:lang w:val="sl-SI"/>
              </w:rPr>
              <w:t xml:space="preserve"> energetsko revnim, koordinacij</w:t>
            </w:r>
            <w:r w:rsidR="005F29C1" w:rsidRPr="00FF207E">
              <w:rPr>
                <w:rFonts w:cs="Arial"/>
                <w:sz w:val="20"/>
                <w:szCs w:val="20"/>
                <w:lang w:val="sl-SI"/>
              </w:rPr>
              <w:t>a</w:t>
            </w:r>
            <w:r w:rsidR="00081057" w:rsidRPr="00FF207E">
              <w:rPr>
                <w:rFonts w:cs="Arial"/>
                <w:sz w:val="20"/>
                <w:szCs w:val="20"/>
                <w:lang w:val="sl-SI"/>
              </w:rPr>
              <w:t xml:space="preserve"> neformalne mreže za </w:t>
            </w:r>
            <w:r w:rsidR="00081057" w:rsidRPr="00FF207E">
              <w:rPr>
                <w:rFonts w:cs="Arial"/>
                <w:spacing w:val="-2"/>
                <w:sz w:val="20"/>
                <w:szCs w:val="20"/>
                <w:lang w:val="sl-SI"/>
              </w:rPr>
              <w:t xml:space="preserve">informiranje in ozaveščanje ter </w:t>
            </w:r>
            <w:r w:rsidR="005F29C1" w:rsidRPr="00FF207E">
              <w:rPr>
                <w:rFonts w:cs="Arial"/>
                <w:spacing w:val="-2"/>
                <w:sz w:val="20"/>
                <w:szCs w:val="20"/>
                <w:lang w:val="sl-SI"/>
              </w:rPr>
              <w:t xml:space="preserve">izvajanje </w:t>
            </w:r>
            <w:r w:rsidR="00081057" w:rsidRPr="00FF207E">
              <w:rPr>
                <w:rFonts w:cs="Arial"/>
                <w:spacing w:val="-2"/>
                <w:sz w:val="20"/>
                <w:szCs w:val="20"/>
                <w:lang w:val="sl-SI"/>
              </w:rPr>
              <w:t>drugih nalog</w:t>
            </w:r>
            <w:r w:rsidR="00364D58" w:rsidRPr="00FF207E">
              <w:rPr>
                <w:rFonts w:cs="Arial"/>
                <w:spacing w:val="-2"/>
                <w:sz w:val="20"/>
                <w:szCs w:val="20"/>
                <w:lang w:val="sl-SI"/>
              </w:rPr>
              <w:t>, opredeljenih</w:t>
            </w:r>
            <w:r w:rsidR="00364D58" w:rsidRPr="00FF207E">
              <w:rPr>
                <w:rFonts w:cs="Arial"/>
                <w:sz w:val="20"/>
                <w:szCs w:val="20"/>
                <w:lang w:val="sl-SI"/>
              </w:rPr>
              <w:t xml:space="preserve"> v okviru tega ukrepa (glej opis nalog regionalnih svetovalnih točk)</w:t>
            </w:r>
            <w:r w:rsidR="00752895" w:rsidRPr="00FF207E">
              <w:rPr>
                <w:rFonts w:cs="Arial"/>
                <w:sz w:val="20"/>
                <w:szCs w:val="20"/>
                <w:lang w:val="sl-SI"/>
              </w:rPr>
              <w:t>, vključno z vodenjem izvajanja, spremljanjem izvajanja in prilagajanjem izvajanja trenutnim okoliščinam in potrebam</w:t>
            </w:r>
          </w:p>
        </w:tc>
      </w:tr>
      <w:tr w:rsidR="005019F2" w:rsidRPr="00FF207E" w14:paraId="0189D46D" w14:textId="77777777" w:rsidTr="00DD1E53">
        <w:tc>
          <w:tcPr>
            <w:tcW w:w="567" w:type="dxa"/>
            <w:vMerge/>
            <w:tcBorders>
              <w:left w:val="nil"/>
              <w:right w:val="single" w:sz="4" w:space="0" w:color="548DD4" w:themeColor="text2" w:themeTint="99"/>
            </w:tcBorders>
          </w:tcPr>
          <w:p w14:paraId="278C89EA" w14:textId="77777777" w:rsidR="005019F2" w:rsidRPr="00FF207E" w:rsidRDefault="005019F2"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5593ADAC" w14:textId="77777777" w:rsidR="005019F2" w:rsidRPr="00FF207E" w:rsidRDefault="005019F2"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D7A8D42" w14:textId="096DE2F2" w:rsidR="005019F2" w:rsidRPr="00FF207E" w:rsidRDefault="005019F2"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r w:rsidR="00F86D3B" w:rsidRPr="00FF207E">
              <w:rPr>
                <w:rFonts w:cs="Arial"/>
                <w:sz w:val="20"/>
                <w:szCs w:val="20"/>
                <w:lang w:val="sl-SI"/>
              </w:rPr>
              <w:t>, projektna pisarna</w:t>
            </w:r>
          </w:p>
        </w:tc>
      </w:tr>
      <w:tr w:rsidR="005019F2" w:rsidRPr="00FF207E" w14:paraId="5E3BFC24" w14:textId="77777777" w:rsidTr="00DD1E53">
        <w:tc>
          <w:tcPr>
            <w:tcW w:w="567" w:type="dxa"/>
            <w:vMerge/>
            <w:tcBorders>
              <w:left w:val="nil"/>
              <w:right w:val="single" w:sz="4" w:space="0" w:color="548DD4" w:themeColor="text2" w:themeTint="99"/>
            </w:tcBorders>
          </w:tcPr>
          <w:p w14:paraId="1FA71CF6" w14:textId="77777777" w:rsidR="005019F2" w:rsidRPr="00FF207E" w:rsidRDefault="005019F2"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90EC828" w14:textId="77777777" w:rsidR="005019F2" w:rsidRPr="00FF207E" w:rsidRDefault="005019F2"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7721941C" w14:textId="37C80EDE" w:rsidR="005019F2" w:rsidRPr="00FF207E" w:rsidRDefault="005019F2" w:rsidP="001E304B">
            <w:pPr>
              <w:spacing w:line="240" w:lineRule="atLeast"/>
              <w:jc w:val="both"/>
              <w:rPr>
                <w:rFonts w:cs="Arial"/>
                <w:sz w:val="20"/>
                <w:szCs w:val="20"/>
                <w:lang w:val="sl-SI"/>
              </w:rPr>
            </w:pPr>
            <w:r w:rsidRPr="00FF207E">
              <w:rPr>
                <w:rFonts w:cs="Arial"/>
                <w:sz w:val="20"/>
                <w:szCs w:val="20"/>
                <w:lang w:val="sl-SI"/>
              </w:rPr>
              <w:t>regionalne svetovalne točke</w:t>
            </w:r>
          </w:p>
        </w:tc>
      </w:tr>
      <w:tr w:rsidR="00A4444B" w:rsidRPr="00FF207E" w14:paraId="29C9DA90" w14:textId="77777777" w:rsidTr="00CC0A20">
        <w:tc>
          <w:tcPr>
            <w:tcW w:w="567" w:type="dxa"/>
            <w:vMerge/>
            <w:tcBorders>
              <w:left w:val="nil"/>
              <w:bottom w:val="single" w:sz="4" w:space="0" w:color="548DD4" w:themeColor="text2" w:themeTint="99"/>
              <w:right w:val="single" w:sz="4" w:space="0" w:color="548DD4" w:themeColor="text2" w:themeTint="99"/>
            </w:tcBorders>
          </w:tcPr>
          <w:p w14:paraId="3E44E897" w14:textId="77777777" w:rsidR="00A4444B" w:rsidRPr="00FF207E" w:rsidRDefault="00A4444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749BB7D4" w14:textId="77777777" w:rsidR="00A4444B" w:rsidRPr="00FF207E" w:rsidRDefault="00A4444B"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14E82B17" w14:textId="0FD7E167" w:rsidR="00A4444B" w:rsidRPr="00FF207E" w:rsidRDefault="00C90996" w:rsidP="00B22729">
            <w:pPr>
              <w:spacing w:line="240" w:lineRule="atLeast"/>
              <w:jc w:val="both"/>
              <w:rPr>
                <w:rFonts w:cs="Arial"/>
                <w:sz w:val="20"/>
                <w:szCs w:val="20"/>
                <w:lang w:val="sl-SI"/>
              </w:rPr>
            </w:pPr>
            <w:r w:rsidRPr="00FF207E">
              <w:rPr>
                <w:rFonts w:cs="Arial"/>
                <w:sz w:val="20"/>
                <w:szCs w:val="20"/>
                <w:lang w:val="sl-SI"/>
              </w:rPr>
              <w:t>začetek delovanja regionalnih svetovalnih točk 2025, potem neprekinjeno</w:t>
            </w:r>
          </w:p>
        </w:tc>
      </w:tr>
      <w:tr w:rsidR="005019F2" w:rsidRPr="00FF207E" w14:paraId="699E6E6B" w14:textId="77777777" w:rsidTr="00CC0A20">
        <w:tc>
          <w:tcPr>
            <w:tcW w:w="567" w:type="dxa"/>
            <w:vMerge w:val="restart"/>
            <w:tcBorders>
              <w:top w:val="single" w:sz="4" w:space="0" w:color="548DD4" w:themeColor="text2" w:themeTint="99"/>
              <w:left w:val="nil"/>
              <w:right w:val="single" w:sz="4" w:space="0" w:color="548DD4" w:themeColor="text2" w:themeTint="99"/>
            </w:tcBorders>
            <w:vAlign w:val="center"/>
          </w:tcPr>
          <w:p w14:paraId="3E6838CB" w14:textId="21CC7791" w:rsidR="005019F2" w:rsidRPr="00FF207E" w:rsidRDefault="00364D58" w:rsidP="001E304B">
            <w:pPr>
              <w:spacing w:line="240" w:lineRule="atLeast"/>
              <w:jc w:val="both"/>
              <w:rPr>
                <w:rFonts w:cs="Arial"/>
                <w:b/>
                <w:sz w:val="24"/>
                <w:lang w:val="sl-SI"/>
              </w:rPr>
            </w:pPr>
            <w:r w:rsidRPr="00FF207E">
              <w:rPr>
                <w:rFonts w:cs="Arial"/>
                <w:b/>
                <w:sz w:val="24"/>
                <w:lang w:val="sl-SI"/>
              </w:rPr>
              <w:t>5</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3F578F59" w14:textId="77777777" w:rsidR="005019F2" w:rsidRPr="00FF207E" w:rsidRDefault="005019F2"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1D232DBD" w14:textId="23FC8181" w:rsidR="005019F2" w:rsidRPr="00FF207E" w:rsidRDefault="008B34CB" w:rsidP="008B34CB">
            <w:pPr>
              <w:spacing w:line="240" w:lineRule="atLeast"/>
              <w:jc w:val="both"/>
              <w:rPr>
                <w:rFonts w:cs="Arial"/>
                <w:sz w:val="20"/>
                <w:szCs w:val="20"/>
                <w:lang w:val="sl-SI"/>
              </w:rPr>
            </w:pPr>
            <w:r w:rsidRPr="00FF207E">
              <w:rPr>
                <w:rFonts w:cs="Arial"/>
                <w:sz w:val="20"/>
                <w:szCs w:val="20"/>
                <w:lang w:val="sl-SI"/>
              </w:rPr>
              <w:t>s</w:t>
            </w:r>
            <w:r w:rsidR="004F1318" w:rsidRPr="00FF207E">
              <w:rPr>
                <w:rFonts w:cs="Arial"/>
                <w:sz w:val="20"/>
                <w:szCs w:val="20"/>
                <w:lang w:val="sl-SI"/>
              </w:rPr>
              <w:t xml:space="preserve">odelovanje </w:t>
            </w:r>
            <w:r w:rsidR="00F86D3B" w:rsidRPr="00FF207E">
              <w:rPr>
                <w:rFonts w:cs="Arial"/>
                <w:sz w:val="20"/>
                <w:szCs w:val="20"/>
                <w:lang w:val="sl-SI"/>
              </w:rPr>
              <w:t xml:space="preserve">posamezne regionalne svetovalne mreže </w:t>
            </w:r>
            <w:r w:rsidR="004F1318" w:rsidRPr="00FF207E">
              <w:rPr>
                <w:rFonts w:cs="Arial"/>
                <w:sz w:val="20"/>
                <w:szCs w:val="20"/>
                <w:lang w:val="sl-SI"/>
              </w:rPr>
              <w:t>z neformaln</w:t>
            </w:r>
            <w:r w:rsidR="00F86D3B" w:rsidRPr="00FF207E">
              <w:rPr>
                <w:rFonts w:cs="Arial"/>
                <w:sz w:val="20"/>
                <w:szCs w:val="20"/>
                <w:lang w:val="sl-SI"/>
              </w:rPr>
              <w:t>o</w:t>
            </w:r>
            <w:r w:rsidR="004F1318" w:rsidRPr="00FF207E">
              <w:rPr>
                <w:rFonts w:cs="Arial"/>
                <w:sz w:val="20"/>
                <w:szCs w:val="20"/>
                <w:lang w:val="sl-SI"/>
              </w:rPr>
              <w:t xml:space="preserve"> mrež</w:t>
            </w:r>
            <w:r w:rsidR="00F86D3B" w:rsidRPr="00FF207E">
              <w:rPr>
                <w:rFonts w:cs="Arial"/>
                <w:sz w:val="20"/>
                <w:szCs w:val="20"/>
                <w:lang w:val="sl-SI"/>
              </w:rPr>
              <w:t>o</w:t>
            </w:r>
            <w:r w:rsidR="004F1318" w:rsidRPr="00FF207E">
              <w:rPr>
                <w:rFonts w:cs="Arial"/>
                <w:sz w:val="20"/>
                <w:szCs w:val="20"/>
                <w:lang w:val="sl-SI"/>
              </w:rPr>
              <w:t xml:space="preserve"> za informiranje in ozaveščanje </w:t>
            </w:r>
            <w:r w:rsidR="00F86D3B" w:rsidRPr="00FF207E">
              <w:rPr>
                <w:rFonts w:cs="Arial"/>
                <w:sz w:val="20"/>
                <w:szCs w:val="20"/>
                <w:lang w:val="sl-SI"/>
              </w:rPr>
              <w:t>v regiji</w:t>
            </w:r>
            <w:r w:rsidR="00875A1C" w:rsidRPr="00FF207E">
              <w:rPr>
                <w:rFonts w:cs="Arial"/>
                <w:sz w:val="20"/>
                <w:szCs w:val="20"/>
                <w:lang w:val="sl-SI"/>
              </w:rPr>
              <w:t xml:space="preserve"> </w:t>
            </w:r>
            <w:r w:rsidRPr="00FF207E">
              <w:rPr>
                <w:rFonts w:cs="Arial"/>
                <w:sz w:val="20"/>
                <w:szCs w:val="20"/>
                <w:lang w:val="sl-SI"/>
              </w:rPr>
              <w:t xml:space="preserve">ter </w:t>
            </w:r>
            <w:r w:rsidR="00F86D3B" w:rsidRPr="00FF207E">
              <w:rPr>
                <w:rFonts w:cs="Arial"/>
                <w:sz w:val="20"/>
                <w:szCs w:val="20"/>
                <w:lang w:val="sl-SI"/>
              </w:rPr>
              <w:t>njena</w:t>
            </w:r>
            <w:r w:rsidR="00875A1C" w:rsidRPr="00FF207E">
              <w:rPr>
                <w:rFonts w:cs="Arial"/>
                <w:sz w:val="20"/>
                <w:szCs w:val="20"/>
                <w:lang w:val="sl-SI"/>
              </w:rPr>
              <w:t xml:space="preserve"> koordinacija</w:t>
            </w:r>
          </w:p>
        </w:tc>
      </w:tr>
      <w:tr w:rsidR="005019F2" w:rsidRPr="00FF207E" w14:paraId="18F58E6C" w14:textId="77777777" w:rsidTr="00DD1E53">
        <w:tc>
          <w:tcPr>
            <w:tcW w:w="567" w:type="dxa"/>
            <w:vMerge/>
            <w:tcBorders>
              <w:left w:val="nil"/>
              <w:right w:val="single" w:sz="4" w:space="0" w:color="548DD4" w:themeColor="text2" w:themeTint="99"/>
            </w:tcBorders>
          </w:tcPr>
          <w:p w14:paraId="7DFEF900" w14:textId="77777777" w:rsidR="005019F2" w:rsidRPr="00FF207E" w:rsidRDefault="005019F2"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9A3780D" w14:textId="77777777" w:rsidR="005019F2" w:rsidRPr="00FF207E" w:rsidRDefault="005019F2"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4F4158B9" w14:textId="11553880" w:rsidR="005019F2" w:rsidRPr="00FF207E" w:rsidRDefault="005019F2" w:rsidP="001E304B">
            <w:pPr>
              <w:spacing w:line="240" w:lineRule="atLeast"/>
              <w:jc w:val="both"/>
              <w:rPr>
                <w:rFonts w:cs="Arial"/>
                <w:sz w:val="20"/>
                <w:szCs w:val="20"/>
                <w:lang w:val="sl-SI"/>
              </w:rPr>
            </w:pPr>
            <w:r w:rsidRPr="00FF207E">
              <w:rPr>
                <w:rFonts w:cs="Arial"/>
                <w:sz w:val="20"/>
                <w:szCs w:val="20"/>
                <w:lang w:val="sl-SI"/>
              </w:rPr>
              <w:t>regionalne svetovalne točke</w:t>
            </w:r>
            <w:r w:rsidR="00875A1C" w:rsidRPr="00FF207E">
              <w:rPr>
                <w:rFonts w:cs="Arial"/>
                <w:sz w:val="20"/>
                <w:szCs w:val="20"/>
                <w:lang w:val="sl-SI"/>
              </w:rPr>
              <w:t xml:space="preserve">, </w:t>
            </w:r>
            <w:r w:rsidR="00F86D3B" w:rsidRPr="00FF207E">
              <w:rPr>
                <w:rFonts w:cs="Arial"/>
                <w:sz w:val="20"/>
                <w:szCs w:val="20"/>
                <w:lang w:val="sl-SI"/>
              </w:rPr>
              <w:t xml:space="preserve">projektna pisarna, </w:t>
            </w:r>
            <w:proofErr w:type="spellStart"/>
            <w:r w:rsidR="00875A1C" w:rsidRPr="00FF207E">
              <w:rPr>
                <w:rFonts w:cs="Arial"/>
                <w:sz w:val="20"/>
                <w:szCs w:val="20"/>
                <w:lang w:val="sl-SI"/>
              </w:rPr>
              <w:t>Eko</w:t>
            </w:r>
            <w:proofErr w:type="spellEnd"/>
            <w:r w:rsidR="00875A1C" w:rsidRPr="00FF207E">
              <w:rPr>
                <w:rFonts w:cs="Arial"/>
                <w:sz w:val="20"/>
                <w:szCs w:val="20"/>
                <w:lang w:val="sl-SI"/>
              </w:rPr>
              <w:t xml:space="preserve"> sklad</w:t>
            </w:r>
          </w:p>
        </w:tc>
      </w:tr>
      <w:tr w:rsidR="005019F2" w:rsidRPr="00FF207E" w14:paraId="7D828319" w14:textId="77777777" w:rsidTr="00093EA5">
        <w:tc>
          <w:tcPr>
            <w:tcW w:w="567" w:type="dxa"/>
            <w:vMerge/>
            <w:tcBorders>
              <w:left w:val="nil"/>
              <w:right w:val="single" w:sz="4" w:space="0" w:color="548DD4" w:themeColor="text2" w:themeTint="99"/>
            </w:tcBorders>
          </w:tcPr>
          <w:p w14:paraId="1F657737" w14:textId="77777777" w:rsidR="005019F2" w:rsidRPr="00FF207E" w:rsidRDefault="005019F2"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29B3261" w14:textId="77777777" w:rsidR="005019F2" w:rsidRPr="00FF207E" w:rsidRDefault="005019F2"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66E86BF5" w14:textId="2900F5AD" w:rsidR="005019F2" w:rsidRPr="00FF207E" w:rsidRDefault="005019F2" w:rsidP="001E304B">
            <w:pPr>
              <w:spacing w:line="240" w:lineRule="atLeast"/>
              <w:jc w:val="both"/>
              <w:rPr>
                <w:rFonts w:cs="Arial"/>
                <w:sz w:val="20"/>
                <w:szCs w:val="20"/>
                <w:lang w:val="sl-SI"/>
              </w:rPr>
            </w:pPr>
            <w:r w:rsidRPr="00FF207E">
              <w:rPr>
                <w:rFonts w:cs="Arial"/>
                <w:sz w:val="20"/>
                <w:szCs w:val="20"/>
                <w:lang w:val="sl-SI"/>
              </w:rPr>
              <w:t>deležniki, vključeni v neformalno mrežo za informiranje in ozaveščanje na regionalni ravni, zlasti občine, CSD in humanitarne organizacije</w:t>
            </w:r>
          </w:p>
        </w:tc>
      </w:tr>
      <w:tr w:rsidR="0087119F" w:rsidRPr="00FF207E" w14:paraId="2A914BEE" w14:textId="77777777" w:rsidTr="00093EA5">
        <w:trPr>
          <w:trHeight w:val="228"/>
        </w:trPr>
        <w:tc>
          <w:tcPr>
            <w:tcW w:w="567" w:type="dxa"/>
            <w:vMerge/>
            <w:tcBorders>
              <w:left w:val="nil"/>
              <w:bottom w:val="single" w:sz="4" w:space="0" w:color="548DD4" w:themeColor="text2" w:themeTint="99"/>
              <w:right w:val="single" w:sz="4" w:space="0" w:color="548DD4" w:themeColor="text2" w:themeTint="99"/>
            </w:tcBorders>
          </w:tcPr>
          <w:p w14:paraId="3CDBCFE2" w14:textId="77777777" w:rsidR="0087119F" w:rsidRPr="00FF207E" w:rsidRDefault="0087119F"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57C2D5CF" w14:textId="3E34AAC2" w:rsidR="0087119F" w:rsidRPr="00FF207E" w:rsidRDefault="0087119F"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689155B1" w14:textId="4F5561F0" w:rsidR="0087119F" w:rsidRPr="00FF207E" w:rsidRDefault="002F7DDF" w:rsidP="001E304B">
            <w:pPr>
              <w:spacing w:line="240" w:lineRule="atLeast"/>
              <w:jc w:val="both"/>
              <w:rPr>
                <w:rFonts w:cs="Arial"/>
                <w:sz w:val="20"/>
                <w:szCs w:val="20"/>
                <w:lang w:val="sl-SI"/>
              </w:rPr>
            </w:pPr>
            <w:r w:rsidRPr="00FF207E">
              <w:rPr>
                <w:rFonts w:cs="Arial"/>
                <w:sz w:val="20"/>
                <w:szCs w:val="20"/>
                <w:lang w:val="sl-SI"/>
              </w:rPr>
              <w:t xml:space="preserve">2025 </w:t>
            </w:r>
            <w:r w:rsidR="00C90996" w:rsidRPr="00FF207E">
              <w:rPr>
                <w:rFonts w:cs="Arial"/>
                <w:sz w:val="20"/>
                <w:szCs w:val="20"/>
                <w:lang w:val="sl-SI"/>
              </w:rPr>
              <w:t>oz</w:t>
            </w:r>
            <w:r w:rsidR="00B77973" w:rsidRPr="00FF207E">
              <w:rPr>
                <w:rFonts w:cs="Arial"/>
                <w:sz w:val="20"/>
                <w:szCs w:val="20"/>
                <w:lang w:val="sl-SI"/>
              </w:rPr>
              <w:t>iroma</w:t>
            </w:r>
            <w:r w:rsidR="00C90996" w:rsidRPr="00FF207E">
              <w:rPr>
                <w:rFonts w:cs="Arial"/>
                <w:sz w:val="20"/>
                <w:szCs w:val="20"/>
                <w:lang w:val="sl-SI"/>
              </w:rPr>
              <w:t xml:space="preserve"> takoj ob začetku delovanja neformalnih mrež</w:t>
            </w:r>
            <w:r w:rsidR="00C90996" w:rsidRPr="00FF207E" w:rsidDel="00C90996">
              <w:rPr>
                <w:rFonts w:cs="Arial"/>
                <w:sz w:val="20"/>
                <w:szCs w:val="20"/>
                <w:lang w:val="sl-SI"/>
              </w:rPr>
              <w:t xml:space="preserve"> </w:t>
            </w:r>
          </w:p>
        </w:tc>
      </w:tr>
    </w:tbl>
    <w:p w14:paraId="0C5DBA86" w14:textId="5D489646" w:rsidR="001C1FD2" w:rsidRPr="00FF207E" w:rsidRDefault="001C1FD2" w:rsidP="001E304B">
      <w:pPr>
        <w:pStyle w:val="Naslov3"/>
        <w:jc w:val="both"/>
        <w:rPr>
          <w:lang w:val="sl-SI"/>
        </w:rPr>
      </w:pPr>
      <w:bookmarkStart w:id="53" w:name="_Ref131589834"/>
      <w:bookmarkStart w:id="54" w:name="_Toc151148788"/>
      <w:r w:rsidRPr="00FF207E">
        <w:rPr>
          <w:lang w:val="sl-SI"/>
        </w:rPr>
        <w:t>Neformalna mreža za informiranje in ozaveščanje</w:t>
      </w:r>
      <w:bookmarkEnd w:id="53"/>
      <w:bookmarkEnd w:id="54"/>
    </w:p>
    <w:tbl>
      <w:tblPr>
        <w:tblStyle w:val="Tabelamrea"/>
        <w:tblW w:w="0" w:type="auto"/>
        <w:tblLook w:val="04A0" w:firstRow="1" w:lastRow="0" w:firstColumn="1" w:lastColumn="0" w:noHBand="0" w:noVBand="1"/>
      </w:tblPr>
      <w:tblGrid>
        <w:gridCol w:w="567"/>
        <w:gridCol w:w="2405"/>
        <w:gridCol w:w="6090"/>
      </w:tblGrid>
      <w:tr w:rsidR="001B6103" w:rsidRPr="00FF207E" w14:paraId="074D0F34" w14:textId="77777777" w:rsidTr="00F45B2E">
        <w:tc>
          <w:tcPr>
            <w:tcW w:w="2972" w:type="dxa"/>
            <w:gridSpan w:val="2"/>
            <w:tcBorders>
              <w:top w:val="nil"/>
              <w:left w:val="nil"/>
              <w:bottom w:val="single" w:sz="4" w:space="0" w:color="548DD4" w:themeColor="text2" w:themeTint="99"/>
              <w:right w:val="single" w:sz="4" w:space="0" w:color="548DD4" w:themeColor="text2" w:themeTint="99"/>
            </w:tcBorders>
            <w:shd w:val="clear" w:color="auto" w:fill="548DD4" w:themeFill="text2" w:themeFillTint="99"/>
            <w:vAlign w:val="center"/>
          </w:tcPr>
          <w:p w14:paraId="3D078D86" w14:textId="77777777" w:rsidR="001B6103" w:rsidRPr="00FF207E" w:rsidRDefault="001B6103" w:rsidP="001E304B">
            <w:pPr>
              <w:spacing w:before="40" w:after="40"/>
              <w:jc w:val="both"/>
              <w:rPr>
                <w:rFonts w:cs="Arial"/>
                <w:b/>
                <w:color w:val="FFFFFF" w:themeColor="background1"/>
                <w:lang w:val="sl-SI"/>
              </w:rPr>
            </w:pPr>
            <w:r w:rsidRPr="00FF207E">
              <w:rPr>
                <w:rFonts w:cs="Arial"/>
                <w:b/>
                <w:color w:val="FFFFFF" w:themeColor="background1"/>
                <w:lang w:val="sl-SI"/>
              </w:rPr>
              <w:t>ER_Shema-03</w:t>
            </w:r>
          </w:p>
        </w:tc>
        <w:tc>
          <w:tcPr>
            <w:tcW w:w="6090" w:type="dxa"/>
            <w:tcBorders>
              <w:top w:val="nil"/>
              <w:left w:val="single" w:sz="4" w:space="0" w:color="548DD4" w:themeColor="text2" w:themeTint="99"/>
              <w:bottom w:val="single" w:sz="4" w:space="0" w:color="548DD4" w:themeColor="text2" w:themeTint="99"/>
              <w:right w:val="nil"/>
            </w:tcBorders>
            <w:shd w:val="clear" w:color="auto" w:fill="548DD4" w:themeFill="text2" w:themeFillTint="99"/>
          </w:tcPr>
          <w:p w14:paraId="65CD1289" w14:textId="77777777" w:rsidR="001B6103" w:rsidRPr="00FF207E" w:rsidRDefault="001B6103" w:rsidP="001E304B">
            <w:pPr>
              <w:pStyle w:val="Naslov5"/>
              <w:jc w:val="both"/>
            </w:pPr>
            <w:bookmarkStart w:id="55" w:name="_Neformalna_mreža_za"/>
            <w:bookmarkEnd w:id="55"/>
            <w:r w:rsidRPr="00FF207E">
              <w:t>Neformalna mreža za informiranje in ozaveščanje</w:t>
            </w:r>
          </w:p>
        </w:tc>
      </w:tr>
      <w:tr w:rsidR="001B6103" w:rsidRPr="00FF207E" w14:paraId="4D36306C" w14:textId="77777777" w:rsidTr="00F45B2E">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324CF3EA" w14:textId="77777777" w:rsidR="001B6103" w:rsidRPr="00FF207E" w:rsidRDefault="001B6103" w:rsidP="001E304B">
            <w:pPr>
              <w:spacing w:before="60" w:after="60" w:line="240" w:lineRule="atLeast"/>
              <w:jc w:val="both"/>
              <w:rPr>
                <w:rFonts w:cs="Arial"/>
                <w:b/>
                <w:szCs w:val="22"/>
                <w:lang w:val="sl-SI"/>
              </w:rPr>
            </w:pPr>
            <w:r w:rsidRPr="00FF207E">
              <w:rPr>
                <w:rFonts w:cs="Arial"/>
                <w:b/>
                <w:szCs w:val="22"/>
                <w:lang w:val="sl-SI"/>
              </w:rPr>
              <w:t>Osnovne informacije</w:t>
            </w:r>
          </w:p>
        </w:tc>
      </w:tr>
      <w:tr w:rsidR="001B6103" w:rsidRPr="00FF207E" w14:paraId="325EC8FD" w14:textId="77777777" w:rsidTr="00B07D4D">
        <w:tc>
          <w:tcPr>
            <w:tcW w:w="2972" w:type="dxa"/>
            <w:gridSpan w:val="2"/>
            <w:tcBorders>
              <w:top w:val="nil"/>
              <w:left w:val="nil"/>
              <w:bottom w:val="single" w:sz="4" w:space="0" w:color="548DD4" w:themeColor="text2" w:themeTint="99"/>
              <w:right w:val="single" w:sz="4" w:space="0" w:color="548DD4" w:themeColor="text2" w:themeTint="99"/>
            </w:tcBorders>
          </w:tcPr>
          <w:p w14:paraId="32EC85F6" w14:textId="77777777" w:rsidR="001B6103" w:rsidRPr="00FF207E" w:rsidRDefault="001B6103" w:rsidP="001E304B">
            <w:pPr>
              <w:spacing w:line="240" w:lineRule="atLeast"/>
              <w:jc w:val="both"/>
              <w:rPr>
                <w:rFonts w:cs="Arial"/>
                <w:spacing w:val="-4"/>
                <w:sz w:val="20"/>
                <w:szCs w:val="20"/>
                <w:lang w:val="sl-SI"/>
              </w:rPr>
            </w:pPr>
            <w:r w:rsidRPr="00FF207E">
              <w:rPr>
                <w:rFonts w:cs="Arial"/>
                <w:spacing w:val="-4"/>
                <w:sz w:val="20"/>
                <w:szCs w:val="20"/>
                <w:lang w:val="sl-SI"/>
              </w:rPr>
              <w:t>Odgovornost za izvedbo ukrepa</w:t>
            </w:r>
          </w:p>
        </w:tc>
        <w:tc>
          <w:tcPr>
            <w:tcW w:w="6090" w:type="dxa"/>
            <w:tcBorders>
              <w:top w:val="nil"/>
              <w:left w:val="single" w:sz="4" w:space="0" w:color="548DD4" w:themeColor="text2" w:themeTint="99"/>
              <w:bottom w:val="single" w:sz="4" w:space="0" w:color="548DD4" w:themeColor="text2" w:themeTint="99"/>
              <w:right w:val="nil"/>
            </w:tcBorders>
          </w:tcPr>
          <w:p w14:paraId="36DC0955"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 xml:space="preserve">MOPE, </w:t>
            </w: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1B6103" w:rsidRPr="00FF207E" w14:paraId="6DD0F393" w14:textId="77777777" w:rsidTr="00B07D4D">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795153D8"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00A7FAD" w14:textId="74E0F8FF"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 xml:space="preserve">projektna pisarna z </w:t>
            </w:r>
            <w:r w:rsidR="00CD1EE8" w:rsidRPr="00FF207E">
              <w:rPr>
                <w:rFonts w:cs="Arial"/>
                <w:sz w:val="20"/>
                <w:szCs w:val="20"/>
                <w:lang w:val="sl-SI"/>
              </w:rPr>
              <w:t>regionalnimi svetovalnimi točkami</w:t>
            </w:r>
            <w:r w:rsidRPr="00FF207E">
              <w:rPr>
                <w:rFonts w:cs="Arial"/>
                <w:sz w:val="20"/>
                <w:szCs w:val="20"/>
                <w:lang w:val="sl-SI"/>
              </w:rPr>
              <w:t xml:space="preserve"> za</w:t>
            </w:r>
            <w:r w:rsidR="00957A06" w:rsidRPr="00FF207E">
              <w:rPr>
                <w:rFonts w:cs="Arial"/>
                <w:sz w:val="20"/>
                <w:szCs w:val="20"/>
                <w:lang w:val="sl-SI"/>
              </w:rPr>
              <w:t xml:space="preserve"> </w:t>
            </w:r>
            <w:r w:rsidR="00D234E4" w:rsidRPr="00FF207E">
              <w:rPr>
                <w:rFonts w:cs="Arial"/>
                <w:sz w:val="20"/>
                <w:szCs w:val="20"/>
                <w:lang w:val="sl-SI"/>
              </w:rPr>
              <w:t>blaženje</w:t>
            </w:r>
            <w:r w:rsidR="00957A06" w:rsidRPr="00FF207E">
              <w:rPr>
                <w:rFonts w:cs="Arial"/>
                <w:sz w:val="20"/>
                <w:szCs w:val="20"/>
                <w:lang w:val="sl-SI"/>
              </w:rPr>
              <w:t xml:space="preserve"> </w:t>
            </w:r>
            <w:r w:rsidRPr="00FF207E">
              <w:rPr>
                <w:rFonts w:cs="Arial"/>
                <w:sz w:val="20"/>
                <w:szCs w:val="20"/>
                <w:lang w:val="sl-SI"/>
              </w:rPr>
              <w:t xml:space="preserve"> energetsk</w:t>
            </w:r>
            <w:r w:rsidR="00D234E4" w:rsidRPr="00FF207E">
              <w:rPr>
                <w:rFonts w:cs="Arial"/>
                <w:sz w:val="20"/>
                <w:szCs w:val="20"/>
                <w:lang w:val="sl-SI"/>
              </w:rPr>
              <w:t>e</w:t>
            </w:r>
            <w:r w:rsidRPr="00FF207E">
              <w:rPr>
                <w:rFonts w:cs="Arial"/>
                <w:sz w:val="20"/>
                <w:szCs w:val="20"/>
                <w:lang w:val="sl-SI"/>
              </w:rPr>
              <w:t xml:space="preserve"> revščin</w:t>
            </w:r>
            <w:r w:rsidR="00D234E4" w:rsidRPr="00FF207E">
              <w:rPr>
                <w:rFonts w:cs="Arial"/>
                <w:sz w:val="20"/>
                <w:szCs w:val="20"/>
                <w:lang w:val="sl-SI"/>
              </w:rPr>
              <w:t>e</w:t>
            </w:r>
            <w:r w:rsidRPr="00FF207E">
              <w:rPr>
                <w:rFonts w:cs="Arial"/>
                <w:sz w:val="20"/>
                <w:szCs w:val="20"/>
                <w:lang w:val="sl-SI"/>
              </w:rPr>
              <w:t>, MDDSZ, lokalni deležniki, kot so občine, lokalne energetske agencije, CSD, humanitarne organizacije, nevladne organizacije, dobavitelji energije, izvajalci patronažnega varstva, šole …</w:t>
            </w:r>
          </w:p>
        </w:tc>
      </w:tr>
      <w:tr w:rsidR="001B6103" w:rsidRPr="00FF207E" w14:paraId="4142668B" w14:textId="77777777" w:rsidTr="00B07D4D">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041D458B"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Strateške podlage in njihova veljavnost</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720191C7" w14:textId="5966FFAB"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 xml:space="preserve">NEPN, veljavnost do </w:t>
            </w:r>
            <w:r w:rsidR="00732E94" w:rsidRPr="00FF207E">
              <w:rPr>
                <w:rFonts w:cs="Arial"/>
                <w:sz w:val="20"/>
                <w:szCs w:val="20"/>
                <w:lang w:val="sl-SI"/>
              </w:rPr>
              <w:t xml:space="preserve">leta </w:t>
            </w:r>
            <w:r w:rsidRPr="00FF207E">
              <w:rPr>
                <w:rFonts w:cs="Arial"/>
                <w:sz w:val="20"/>
                <w:szCs w:val="20"/>
                <w:lang w:val="sl-SI"/>
              </w:rPr>
              <w:t xml:space="preserve">2030 (ukrep </w:t>
            </w:r>
            <w:r w:rsidRPr="00FF207E">
              <w:rPr>
                <w:rFonts w:cs="Arial"/>
                <w:i/>
                <w:sz w:val="20"/>
                <w:szCs w:val="20"/>
                <w:lang w:val="sl-SI"/>
              </w:rPr>
              <w:t>Shema pomoči za učinkovito rabo energije v gospodinjstvih za ranljive skupine prebivalstva</w:t>
            </w:r>
            <w:r w:rsidRPr="00FF207E">
              <w:rPr>
                <w:rFonts w:cs="Arial"/>
                <w:sz w:val="20"/>
                <w:szCs w:val="20"/>
                <w:lang w:val="sl-SI"/>
              </w:rPr>
              <w:t>)</w:t>
            </w:r>
            <w:r w:rsidRPr="00FF207E">
              <w:rPr>
                <w:rFonts w:cs="Arial"/>
                <w:sz w:val="20"/>
                <w:szCs w:val="20"/>
                <w:lang w:val="sl-SI"/>
              </w:rPr>
              <w:br/>
              <w:t xml:space="preserve">DSEPS 2050, veljavnost do </w:t>
            </w:r>
            <w:r w:rsidR="00732E94" w:rsidRPr="00FF207E">
              <w:rPr>
                <w:rFonts w:cs="Arial"/>
                <w:sz w:val="20"/>
                <w:szCs w:val="20"/>
                <w:lang w:val="sl-SI"/>
              </w:rPr>
              <w:t xml:space="preserve">leta </w:t>
            </w:r>
            <w:r w:rsidRPr="00FF207E">
              <w:rPr>
                <w:rFonts w:cs="Arial"/>
                <w:sz w:val="20"/>
                <w:szCs w:val="20"/>
                <w:lang w:val="sl-SI"/>
              </w:rPr>
              <w:t xml:space="preserve">2030 (ukrep </w:t>
            </w:r>
            <w:r w:rsidRPr="00FF207E">
              <w:rPr>
                <w:rFonts w:cs="Arial"/>
                <w:i/>
                <w:sz w:val="20"/>
                <w:szCs w:val="20"/>
                <w:lang w:val="sl-SI"/>
              </w:rPr>
              <w:t>G-1</w:t>
            </w:r>
            <w:r w:rsidRPr="00FF207E">
              <w:rPr>
                <w:rFonts w:cs="Arial"/>
                <w:sz w:val="20"/>
                <w:szCs w:val="20"/>
                <w:lang w:val="sl-SI"/>
              </w:rPr>
              <w:t>)</w:t>
            </w:r>
          </w:p>
        </w:tc>
      </w:tr>
      <w:tr w:rsidR="001B6103" w:rsidRPr="00FF207E" w14:paraId="2C0A7158" w14:textId="77777777" w:rsidTr="00B07D4D">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B64C807"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Veljavnost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45A6CBD"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2030</w:t>
            </w:r>
          </w:p>
        </w:tc>
      </w:tr>
      <w:tr w:rsidR="001B6103" w:rsidRPr="00FF207E" w14:paraId="7AB23E06" w14:textId="77777777" w:rsidTr="00B07D4D">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7AAF8EA"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Vrsta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51BE878"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organizacijski</w:t>
            </w:r>
          </w:p>
        </w:tc>
      </w:tr>
      <w:tr w:rsidR="001B6103" w:rsidRPr="00FF207E" w14:paraId="73D2AED7" w14:textId="77777777" w:rsidTr="00B07D4D">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30264BE"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Pričakovani učinki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DDF8A8A"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izboljšanje informiranosti</w:t>
            </w:r>
          </w:p>
        </w:tc>
      </w:tr>
      <w:tr w:rsidR="001B6103" w:rsidRPr="00FF207E" w14:paraId="48B35297" w14:textId="77777777" w:rsidTr="00F45B2E">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748A5EB8"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Status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7B60B958"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nov ukrep</w:t>
            </w:r>
          </w:p>
        </w:tc>
      </w:tr>
      <w:tr w:rsidR="001B6103" w:rsidRPr="00FF207E" w14:paraId="6000C368" w14:textId="77777777" w:rsidTr="00F45B2E">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22743ACE" w14:textId="77777777" w:rsidR="001B6103" w:rsidRPr="00FF207E" w:rsidRDefault="001B6103" w:rsidP="001E304B">
            <w:pPr>
              <w:spacing w:before="60" w:after="60" w:line="240" w:lineRule="atLeast"/>
              <w:jc w:val="both"/>
              <w:rPr>
                <w:rFonts w:cs="Arial"/>
                <w:b/>
                <w:lang w:val="sl-SI"/>
              </w:rPr>
            </w:pPr>
            <w:r w:rsidRPr="00FF207E">
              <w:rPr>
                <w:rFonts w:cs="Arial"/>
                <w:b/>
                <w:lang w:val="sl-SI"/>
              </w:rPr>
              <w:t>Dolgoročna vsebina ukrepa</w:t>
            </w:r>
          </w:p>
        </w:tc>
      </w:tr>
      <w:tr w:rsidR="001B6103" w:rsidRPr="00FF207E" w14:paraId="277E20D6" w14:textId="77777777" w:rsidTr="00F45B2E">
        <w:tc>
          <w:tcPr>
            <w:tcW w:w="9062" w:type="dxa"/>
            <w:gridSpan w:val="3"/>
            <w:tcBorders>
              <w:top w:val="single" w:sz="4" w:space="0" w:color="548DD4" w:themeColor="text2" w:themeTint="99"/>
              <w:left w:val="nil"/>
              <w:bottom w:val="single" w:sz="4" w:space="0" w:color="548DD4" w:themeColor="text2" w:themeTint="99"/>
              <w:right w:val="nil"/>
            </w:tcBorders>
          </w:tcPr>
          <w:p w14:paraId="18554D11"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V okviru ukrepa je treba dolgoročno:</w:t>
            </w:r>
          </w:p>
          <w:p w14:paraId="30F1D3A8" w14:textId="5F6B2EDE" w:rsidR="00E72253" w:rsidRPr="00FF207E" w:rsidRDefault="00E72253" w:rsidP="001E304B">
            <w:pPr>
              <w:pStyle w:val="Odstavekseznama"/>
              <w:numPr>
                <w:ilvl w:val="0"/>
                <w:numId w:val="7"/>
              </w:numPr>
              <w:spacing w:line="240" w:lineRule="atLeast"/>
              <w:ind w:left="357" w:hanging="357"/>
              <w:jc w:val="both"/>
              <w:rPr>
                <w:rFonts w:cs="Arial"/>
                <w:sz w:val="20"/>
                <w:szCs w:val="20"/>
                <w:lang w:val="sl-SI"/>
              </w:rPr>
            </w:pPr>
            <w:r w:rsidRPr="00FF207E">
              <w:rPr>
                <w:rFonts w:cs="Arial"/>
                <w:b/>
                <w:sz w:val="20"/>
                <w:szCs w:val="20"/>
                <w:lang w:val="sl-SI"/>
              </w:rPr>
              <w:t>vzpostaviti in zagotoviti delovanje neformalne mreže za informiranje in ozaveščanje energetsko revnih</w:t>
            </w:r>
            <w:r w:rsidR="00732E94" w:rsidRPr="00FF207E">
              <w:rPr>
                <w:rFonts w:cs="Arial"/>
                <w:sz w:val="20"/>
                <w:szCs w:val="20"/>
                <w:lang w:val="sl-SI"/>
              </w:rPr>
              <w:t xml:space="preserve"> </w:t>
            </w:r>
            <w:r w:rsidRPr="00FF207E">
              <w:rPr>
                <w:rFonts w:cs="Arial"/>
                <w:sz w:val="20"/>
                <w:szCs w:val="20"/>
                <w:lang w:val="sl-SI"/>
              </w:rPr>
              <w:sym w:font="Symbol" w:char="F02D"/>
            </w:r>
            <w:r w:rsidRPr="00FF207E">
              <w:rPr>
                <w:rFonts w:cs="Arial"/>
                <w:sz w:val="20"/>
                <w:szCs w:val="20"/>
                <w:lang w:val="sl-SI"/>
              </w:rPr>
              <w:t xml:space="preserve"> glavna naloga te mreže na regionalni ravni, kjer deluje bistveno širše kot regionalne svetovalne točke, je, da zagotovi energetsko revnim vse potrebne informacije glede možnosti za zmanjševanje energetske revščine;</w:t>
            </w:r>
          </w:p>
          <w:p w14:paraId="1B7A4850" w14:textId="0E31207E" w:rsidR="001B6103" w:rsidRPr="00FF207E" w:rsidRDefault="001B6103" w:rsidP="001E304B">
            <w:pPr>
              <w:pStyle w:val="Odstavekseznama"/>
              <w:numPr>
                <w:ilvl w:val="0"/>
                <w:numId w:val="7"/>
              </w:numPr>
              <w:spacing w:line="240" w:lineRule="atLeast"/>
              <w:ind w:left="357" w:hanging="357"/>
              <w:jc w:val="both"/>
              <w:rPr>
                <w:rFonts w:cs="Arial"/>
                <w:sz w:val="20"/>
                <w:szCs w:val="20"/>
                <w:lang w:val="sl-SI"/>
              </w:rPr>
            </w:pPr>
            <w:r w:rsidRPr="00FF207E">
              <w:rPr>
                <w:rFonts w:cs="Arial"/>
                <w:sz w:val="20"/>
                <w:szCs w:val="20"/>
                <w:lang w:val="sl-SI"/>
              </w:rPr>
              <w:t xml:space="preserve">zagotoviti, da </w:t>
            </w:r>
            <w:r w:rsidR="00752895" w:rsidRPr="00FF207E">
              <w:rPr>
                <w:rFonts w:cs="Arial"/>
                <w:sz w:val="20"/>
                <w:szCs w:val="20"/>
                <w:lang w:val="sl-SI"/>
              </w:rPr>
              <w:t xml:space="preserve">ima na </w:t>
            </w:r>
            <w:r w:rsidR="009441D2" w:rsidRPr="00FF207E">
              <w:rPr>
                <w:rFonts w:cs="Arial"/>
                <w:sz w:val="20"/>
                <w:szCs w:val="20"/>
                <w:lang w:val="sl-SI"/>
              </w:rPr>
              <w:t xml:space="preserve">državni </w:t>
            </w:r>
            <w:r w:rsidR="00752895" w:rsidRPr="00FF207E">
              <w:rPr>
                <w:rFonts w:cs="Arial"/>
                <w:sz w:val="20"/>
                <w:szCs w:val="20"/>
                <w:lang w:val="sl-SI"/>
              </w:rPr>
              <w:t xml:space="preserve">ravni </w:t>
            </w:r>
            <w:r w:rsidR="00752895" w:rsidRPr="00FF207E">
              <w:rPr>
                <w:rFonts w:cs="Arial"/>
                <w:b/>
                <w:sz w:val="20"/>
                <w:szCs w:val="20"/>
                <w:lang w:val="sl-SI"/>
              </w:rPr>
              <w:t>projektna pisarna</w:t>
            </w:r>
            <w:r w:rsidRPr="00FF207E">
              <w:rPr>
                <w:rFonts w:cs="Arial"/>
                <w:b/>
                <w:sz w:val="20"/>
                <w:szCs w:val="20"/>
                <w:lang w:val="sl-SI"/>
              </w:rPr>
              <w:t xml:space="preserve"> </w:t>
            </w:r>
            <w:r w:rsidR="00752895" w:rsidRPr="00FF207E">
              <w:rPr>
                <w:rFonts w:cs="Arial"/>
                <w:b/>
                <w:sz w:val="20"/>
                <w:szCs w:val="20"/>
                <w:lang w:val="sl-SI"/>
              </w:rPr>
              <w:t>vse potrebne</w:t>
            </w:r>
            <w:r w:rsidRPr="00FF207E">
              <w:rPr>
                <w:rFonts w:cs="Arial"/>
                <w:b/>
                <w:sz w:val="20"/>
                <w:szCs w:val="20"/>
                <w:lang w:val="sl-SI"/>
              </w:rPr>
              <w:t xml:space="preserve"> </w:t>
            </w:r>
            <w:r w:rsidR="00752895" w:rsidRPr="00FF207E">
              <w:rPr>
                <w:rFonts w:cs="Arial"/>
                <w:b/>
                <w:sz w:val="20"/>
                <w:szCs w:val="20"/>
                <w:lang w:val="sl-SI"/>
              </w:rPr>
              <w:t>informacije</w:t>
            </w:r>
            <w:r w:rsidR="00752895" w:rsidRPr="00FF207E">
              <w:rPr>
                <w:rFonts w:cs="Arial"/>
                <w:sz w:val="20"/>
                <w:szCs w:val="20"/>
                <w:lang w:val="sl-SI"/>
              </w:rPr>
              <w:t xml:space="preserve"> glede možnosti za zmanjševanje energetske revščine</w:t>
            </w:r>
            <w:r w:rsidR="007536B6" w:rsidRPr="00FF207E">
              <w:rPr>
                <w:rFonts w:cs="Arial"/>
                <w:sz w:val="20"/>
                <w:szCs w:val="20"/>
                <w:lang w:val="sl-SI"/>
              </w:rPr>
              <w:t xml:space="preserve"> (o ukrepih </w:t>
            </w:r>
            <w:proofErr w:type="spellStart"/>
            <w:r w:rsidR="007536B6" w:rsidRPr="00FF207E">
              <w:rPr>
                <w:rFonts w:cs="Arial"/>
                <w:sz w:val="20"/>
                <w:szCs w:val="20"/>
                <w:lang w:val="sl-SI"/>
              </w:rPr>
              <w:t>Eko</w:t>
            </w:r>
            <w:proofErr w:type="spellEnd"/>
            <w:r w:rsidR="007536B6" w:rsidRPr="00FF207E">
              <w:rPr>
                <w:rFonts w:cs="Arial"/>
                <w:sz w:val="20"/>
                <w:szCs w:val="20"/>
                <w:lang w:val="sl-SI"/>
              </w:rPr>
              <w:t xml:space="preserve"> sklada, energetskih skupnostih, možnostih za pridobivanje pomoči za plačilo stroškov energije, ukrepih za preprečevanje odklopa električne energije </w:t>
            </w:r>
            <w:r w:rsidR="00B77973" w:rsidRPr="00FF207E">
              <w:rPr>
                <w:rFonts w:cs="Arial"/>
                <w:sz w:val="20"/>
                <w:szCs w:val="20"/>
                <w:lang w:val="sl-SI"/>
              </w:rPr>
              <w:t>in tako dalje</w:t>
            </w:r>
            <w:r w:rsidR="007536B6" w:rsidRPr="00FF207E">
              <w:rPr>
                <w:rFonts w:cs="Arial"/>
                <w:sz w:val="20"/>
                <w:szCs w:val="20"/>
                <w:lang w:val="sl-SI"/>
              </w:rPr>
              <w:t>)</w:t>
            </w:r>
            <w:r w:rsidR="00752895" w:rsidRPr="00FF207E">
              <w:rPr>
                <w:rFonts w:cs="Arial"/>
                <w:sz w:val="20"/>
                <w:szCs w:val="20"/>
                <w:lang w:val="sl-SI"/>
              </w:rPr>
              <w:t>;</w:t>
            </w:r>
            <w:r w:rsidRPr="00FF207E">
              <w:rPr>
                <w:rFonts w:cs="Arial"/>
                <w:b/>
                <w:sz w:val="20"/>
                <w:szCs w:val="20"/>
                <w:lang w:val="sl-SI"/>
              </w:rPr>
              <w:t xml:space="preserve"> </w:t>
            </w:r>
            <w:r w:rsidR="00752895" w:rsidRPr="00FF207E">
              <w:rPr>
                <w:rFonts w:cs="Arial"/>
                <w:b/>
                <w:sz w:val="20"/>
                <w:szCs w:val="20"/>
                <w:lang w:val="sl-SI"/>
              </w:rPr>
              <w:t>projektna pisarna</w:t>
            </w:r>
            <w:r w:rsidRPr="00FF207E">
              <w:rPr>
                <w:rFonts w:cs="Arial"/>
                <w:b/>
                <w:sz w:val="20"/>
                <w:szCs w:val="20"/>
                <w:lang w:val="sl-SI"/>
              </w:rPr>
              <w:t xml:space="preserve"> pripravi tudi ustrezne vsebine za </w:t>
            </w:r>
            <w:r w:rsidR="00CD1EE8" w:rsidRPr="00FF207E">
              <w:rPr>
                <w:rFonts w:cs="Arial"/>
                <w:b/>
                <w:sz w:val="20"/>
                <w:szCs w:val="20"/>
                <w:lang w:val="sl-SI"/>
              </w:rPr>
              <w:t>regionalno</w:t>
            </w:r>
            <w:r w:rsidRPr="00FF207E">
              <w:rPr>
                <w:rFonts w:cs="Arial"/>
                <w:b/>
                <w:sz w:val="20"/>
                <w:szCs w:val="20"/>
                <w:lang w:val="sl-SI"/>
              </w:rPr>
              <w:t xml:space="preserve"> raven</w:t>
            </w:r>
            <w:r w:rsidR="00A74CCD" w:rsidRPr="00FF207E">
              <w:rPr>
                <w:rFonts w:cs="Arial"/>
                <w:b/>
                <w:sz w:val="20"/>
                <w:szCs w:val="20"/>
                <w:lang w:val="sl-SI"/>
              </w:rPr>
              <w:t>;</w:t>
            </w:r>
          </w:p>
          <w:p w14:paraId="3D34F550" w14:textId="0DB84A62" w:rsidR="001B6103" w:rsidRPr="00FF207E" w:rsidRDefault="00BE7B17" w:rsidP="001E304B">
            <w:pPr>
              <w:pStyle w:val="Odstavekseznama"/>
              <w:numPr>
                <w:ilvl w:val="0"/>
                <w:numId w:val="7"/>
              </w:numPr>
              <w:spacing w:line="240" w:lineRule="atLeast"/>
              <w:ind w:left="357" w:hanging="357"/>
              <w:jc w:val="both"/>
              <w:rPr>
                <w:rFonts w:cs="Arial"/>
                <w:sz w:val="20"/>
                <w:szCs w:val="20"/>
                <w:lang w:val="sl-SI"/>
              </w:rPr>
            </w:pPr>
            <w:r w:rsidRPr="00FF207E">
              <w:rPr>
                <w:rFonts w:cs="Arial"/>
                <w:b/>
                <w:sz w:val="20"/>
                <w:szCs w:val="20"/>
                <w:lang w:val="sl-SI"/>
              </w:rPr>
              <w:t>zagotoviti pretok informacij</w:t>
            </w:r>
            <w:r w:rsidRPr="00FF207E">
              <w:rPr>
                <w:rFonts w:cs="Arial"/>
                <w:sz w:val="20"/>
                <w:szCs w:val="20"/>
                <w:lang w:val="sl-SI"/>
              </w:rPr>
              <w:t xml:space="preserve">, potrebnih za informiranje in ozaveščanje energetsko revnih, </w:t>
            </w:r>
            <w:r w:rsidRPr="00FF207E">
              <w:rPr>
                <w:rFonts w:cs="Arial"/>
                <w:b/>
                <w:sz w:val="20"/>
                <w:szCs w:val="20"/>
                <w:lang w:val="sl-SI"/>
              </w:rPr>
              <w:t xml:space="preserve">od projektne pisarne </w:t>
            </w:r>
            <w:r w:rsidR="008A2E82" w:rsidRPr="00FF207E">
              <w:rPr>
                <w:rFonts w:cs="Arial"/>
                <w:b/>
                <w:sz w:val="20"/>
                <w:szCs w:val="20"/>
                <w:lang w:val="sl-SI"/>
              </w:rPr>
              <w:t xml:space="preserve">prek regionalnih svetovalnih točk </w:t>
            </w:r>
            <w:r w:rsidRPr="00FF207E">
              <w:rPr>
                <w:rFonts w:cs="Arial"/>
                <w:b/>
                <w:sz w:val="20"/>
                <w:szCs w:val="20"/>
                <w:lang w:val="sl-SI"/>
              </w:rPr>
              <w:t>do neformaln</w:t>
            </w:r>
            <w:r w:rsidR="00E72253" w:rsidRPr="00FF207E">
              <w:rPr>
                <w:rFonts w:cs="Arial"/>
                <w:b/>
                <w:sz w:val="20"/>
                <w:szCs w:val="20"/>
                <w:lang w:val="sl-SI"/>
              </w:rPr>
              <w:t>e</w:t>
            </w:r>
            <w:r w:rsidRPr="00FF207E">
              <w:rPr>
                <w:rFonts w:cs="Arial"/>
                <w:b/>
                <w:sz w:val="20"/>
                <w:szCs w:val="20"/>
                <w:lang w:val="sl-SI"/>
              </w:rPr>
              <w:t xml:space="preserve"> mrež</w:t>
            </w:r>
            <w:r w:rsidR="00E72253" w:rsidRPr="00FF207E">
              <w:rPr>
                <w:rFonts w:cs="Arial"/>
                <w:b/>
                <w:sz w:val="20"/>
                <w:szCs w:val="20"/>
                <w:lang w:val="sl-SI"/>
              </w:rPr>
              <w:t>e</w:t>
            </w:r>
            <w:r w:rsidRPr="00FF207E">
              <w:rPr>
                <w:rFonts w:cs="Arial"/>
                <w:b/>
                <w:sz w:val="20"/>
                <w:szCs w:val="20"/>
                <w:lang w:val="sl-SI"/>
              </w:rPr>
              <w:t xml:space="preserve"> za informiranje in ozaveščanje na regionalni ravni</w:t>
            </w:r>
            <w:r w:rsidR="00E72253" w:rsidRPr="00FF207E">
              <w:rPr>
                <w:rFonts w:cs="Arial"/>
                <w:b/>
                <w:sz w:val="20"/>
                <w:szCs w:val="20"/>
                <w:lang w:val="sl-SI"/>
              </w:rPr>
              <w:t xml:space="preserve">; </w:t>
            </w:r>
            <w:r w:rsidR="009F50FD" w:rsidRPr="00FF207E">
              <w:rPr>
                <w:rFonts w:cs="Arial"/>
                <w:sz w:val="20"/>
                <w:szCs w:val="20"/>
                <w:lang w:val="sl-SI"/>
              </w:rPr>
              <w:t xml:space="preserve">delovanje </w:t>
            </w:r>
            <w:r w:rsidR="00E72253" w:rsidRPr="00FF207E">
              <w:rPr>
                <w:rFonts w:cs="Arial"/>
                <w:sz w:val="20"/>
                <w:szCs w:val="20"/>
                <w:lang w:val="sl-SI"/>
              </w:rPr>
              <w:t>neformalne</w:t>
            </w:r>
            <w:r w:rsidR="007536B6" w:rsidRPr="00FF207E">
              <w:rPr>
                <w:rFonts w:cs="Arial"/>
                <w:sz w:val="20"/>
                <w:szCs w:val="20"/>
                <w:lang w:val="sl-SI"/>
              </w:rPr>
              <w:t xml:space="preserve"> mrež</w:t>
            </w:r>
            <w:r w:rsidR="00E72253" w:rsidRPr="00FF207E">
              <w:rPr>
                <w:rFonts w:cs="Arial"/>
                <w:sz w:val="20"/>
                <w:szCs w:val="20"/>
                <w:lang w:val="sl-SI"/>
              </w:rPr>
              <w:t>e</w:t>
            </w:r>
            <w:r w:rsidR="009F50FD" w:rsidRPr="00FF207E">
              <w:rPr>
                <w:rFonts w:cs="Arial"/>
                <w:sz w:val="20"/>
                <w:szCs w:val="20"/>
                <w:lang w:val="sl-SI"/>
              </w:rPr>
              <w:t xml:space="preserve"> v regijah koordinirajo </w:t>
            </w:r>
            <w:r w:rsidR="009F50FD" w:rsidRPr="00FF207E">
              <w:rPr>
                <w:rFonts w:cs="Arial"/>
                <w:sz w:val="20"/>
                <w:szCs w:val="20"/>
                <w:lang w:val="sl-SI"/>
              </w:rPr>
              <w:lastRenderedPageBreak/>
              <w:t xml:space="preserve">regionalne svetovalne točke, s čimer je zagotovljena povezava mrež </w:t>
            </w:r>
            <w:r w:rsidR="007536B6" w:rsidRPr="00FF207E">
              <w:rPr>
                <w:rFonts w:cs="Arial"/>
                <w:sz w:val="20"/>
                <w:szCs w:val="20"/>
                <w:lang w:val="sl-SI"/>
              </w:rPr>
              <w:t>s projektno pisarno</w:t>
            </w:r>
            <w:r w:rsidR="0012187A" w:rsidRPr="00FF207E">
              <w:rPr>
                <w:rFonts w:cs="Arial"/>
                <w:sz w:val="20"/>
                <w:szCs w:val="20"/>
                <w:lang w:val="sl-SI"/>
              </w:rPr>
              <w:t>;</w:t>
            </w:r>
            <w:r w:rsidR="007536B6" w:rsidRPr="00FF207E">
              <w:rPr>
                <w:rFonts w:cs="Arial"/>
                <w:sz w:val="20"/>
                <w:szCs w:val="20"/>
                <w:lang w:val="sl-SI"/>
              </w:rPr>
              <w:t xml:space="preserve"> potrebne </w:t>
            </w:r>
            <w:r w:rsidR="001B6103" w:rsidRPr="00FF207E">
              <w:rPr>
                <w:rFonts w:cs="Arial"/>
                <w:sz w:val="20"/>
                <w:szCs w:val="20"/>
                <w:lang w:val="sl-SI"/>
              </w:rPr>
              <w:t>komunikacijske poti morajo biti točno določene in znane</w:t>
            </w:r>
            <w:r w:rsidR="00A74CCD" w:rsidRPr="00FF207E">
              <w:rPr>
                <w:rFonts w:cs="Arial"/>
                <w:sz w:val="20"/>
                <w:szCs w:val="20"/>
                <w:lang w:val="sl-SI"/>
              </w:rPr>
              <w:t>;</w:t>
            </w:r>
          </w:p>
          <w:p w14:paraId="33B3C625" w14:textId="0F17414B" w:rsidR="001B6103" w:rsidRPr="00FF207E" w:rsidRDefault="001B6103" w:rsidP="001E304B">
            <w:pPr>
              <w:pStyle w:val="Odstavekseznama"/>
              <w:numPr>
                <w:ilvl w:val="0"/>
                <w:numId w:val="7"/>
              </w:numPr>
              <w:spacing w:line="240" w:lineRule="atLeast"/>
              <w:ind w:left="357" w:hanging="357"/>
              <w:jc w:val="both"/>
              <w:rPr>
                <w:rFonts w:cs="Arial"/>
                <w:sz w:val="20"/>
                <w:szCs w:val="20"/>
                <w:lang w:val="sl-SI"/>
              </w:rPr>
            </w:pPr>
            <w:r w:rsidRPr="00FF207E">
              <w:rPr>
                <w:rFonts w:cs="Arial"/>
                <w:sz w:val="20"/>
                <w:szCs w:val="20"/>
                <w:lang w:val="sl-SI"/>
              </w:rPr>
              <w:t xml:space="preserve">za informiranje in ozaveščanje </w:t>
            </w:r>
            <w:r w:rsidRPr="00FF207E">
              <w:rPr>
                <w:rFonts w:cs="Arial"/>
                <w:b/>
                <w:sz w:val="20"/>
                <w:szCs w:val="20"/>
                <w:lang w:val="sl-SI"/>
              </w:rPr>
              <w:t>vzpostaviti čim več kanalov</w:t>
            </w:r>
            <w:r w:rsidRPr="00FF207E">
              <w:rPr>
                <w:rFonts w:cs="Arial"/>
                <w:sz w:val="20"/>
                <w:szCs w:val="20"/>
                <w:lang w:val="sl-SI"/>
              </w:rPr>
              <w:t xml:space="preserve"> (splet, letaki, občinska glasila, lokalni radijski in televizijski programi, računi za energijo) in metod komuniciranja (osebno</w:t>
            </w:r>
            <w:r w:rsidR="007536B6" w:rsidRPr="00FF207E">
              <w:rPr>
                <w:rFonts w:cs="Arial"/>
                <w:sz w:val="20"/>
                <w:szCs w:val="20"/>
                <w:lang w:val="sl-SI"/>
              </w:rPr>
              <w:t>/terensko</w:t>
            </w:r>
            <w:r w:rsidRPr="00FF207E">
              <w:rPr>
                <w:rFonts w:cs="Arial"/>
                <w:sz w:val="20"/>
                <w:szCs w:val="20"/>
                <w:lang w:val="sl-SI"/>
              </w:rPr>
              <w:t>, prek klasičnih medijev, delavnic, promocijskih dogodkov)</w:t>
            </w:r>
            <w:r w:rsidR="00A74CCD" w:rsidRPr="00FF207E">
              <w:rPr>
                <w:rFonts w:cs="Arial"/>
                <w:sz w:val="20"/>
                <w:szCs w:val="20"/>
                <w:lang w:val="sl-SI"/>
              </w:rPr>
              <w:t>;</w:t>
            </w:r>
          </w:p>
          <w:p w14:paraId="12C5493E" w14:textId="0A309F1C" w:rsidR="001B6103" w:rsidRPr="00FF207E" w:rsidRDefault="001B6103" w:rsidP="001E304B">
            <w:pPr>
              <w:pStyle w:val="Odstavekseznama"/>
              <w:numPr>
                <w:ilvl w:val="0"/>
                <w:numId w:val="7"/>
              </w:numPr>
              <w:spacing w:line="240" w:lineRule="atLeast"/>
              <w:ind w:left="357" w:hanging="357"/>
              <w:jc w:val="both"/>
              <w:rPr>
                <w:rFonts w:cs="Arial"/>
                <w:sz w:val="20"/>
                <w:szCs w:val="20"/>
                <w:lang w:val="sl-SI"/>
              </w:rPr>
            </w:pPr>
            <w:r w:rsidRPr="00FF207E">
              <w:rPr>
                <w:rFonts w:cs="Arial"/>
                <w:b/>
                <w:sz w:val="20"/>
                <w:szCs w:val="20"/>
                <w:lang w:val="sl-SI"/>
              </w:rPr>
              <w:t xml:space="preserve">informiranje </w:t>
            </w:r>
            <w:r w:rsidR="00893AA6" w:rsidRPr="00FF207E">
              <w:rPr>
                <w:rFonts w:cs="Arial"/>
                <w:b/>
                <w:sz w:val="20"/>
                <w:szCs w:val="20"/>
                <w:lang w:val="sl-SI"/>
              </w:rPr>
              <w:t xml:space="preserve">prilagoditi </w:t>
            </w:r>
            <w:r w:rsidRPr="00FF207E">
              <w:rPr>
                <w:rFonts w:cs="Arial"/>
                <w:b/>
                <w:sz w:val="20"/>
                <w:szCs w:val="20"/>
                <w:lang w:val="sl-SI"/>
              </w:rPr>
              <w:t>posameznim ciljnim skupinam</w:t>
            </w:r>
            <w:r w:rsidRPr="00FF207E">
              <w:rPr>
                <w:rFonts w:cs="Arial"/>
                <w:sz w:val="20"/>
                <w:szCs w:val="20"/>
                <w:lang w:val="sl-SI"/>
              </w:rPr>
              <w:t xml:space="preserve"> (upokojenci, enostarševske družine, matere samohranilke…) in njihovim potrebam</w:t>
            </w:r>
            <w:r w:rsidR="00A74CCD" w:rsidRPr="00FF207E">
              <w:rPr>
                <w:rFonts w:cs="Arial"/>
                <w:sz w:val="20"/>
                <w:szCs w:val="20"/>
                <w:lang w:val="sl-SI"/>
              </w:rPr>
              <w:t>;</w:t>
            </w:r>
          </w:p>
          <w:p w14:paraId="35979429" w14:textId="0D6E78B1" w:rsidR="001B6103" w:rsidRPr="00FF207E" w:rsidRDefault="001B6103" w:rsidP="001E304B">
            <w:pPr>
              <w:pStyle w:val="Odstavekseznama"/>
              <w:numPr>
                <w:ilvl w:val="0"/>
                <w:numId w:val="7"/>
              </w:numPr>
              <w:spacing w:line="240" w:lineRule="atLeast"/>
              <w:ind w:left="357" w:hanging="357"/>
              <w:jc w:val="both"/>
              <w:rPr>
                <w:rFonts w:cs="Arial"/>
                <w:sz w:val="20"/>
                <w:szCs w:val="20"/>
                <w:lang w:val="sl-SI"/>
              </w:rPr>
            </w:pPr>
            <w:r w:rsidRPr="00FF207E">
              <w:rPr>
                <w:rFonts w:cs="Arial"/>
                <w:b/>
                <w:sz w:val="20"/>
                <w:szCs w:val="20"/>
                <w:lang w:val="sl-SI"/>
              </w:rPr>
              <w:t>vzpostavi</w:t>
            </w:r>
            <w:r w:rsidR="00A74CCD" w:rsidRPr="00FF207E">
              <w:rPr>
                <w:rFonts w:cs="Arial"/>
                <w:b/>
                <w:sz w:val="20"/>
                <w:szCs w:val="20"/>
                <w:lang w:val="sl-SI"/>
              </w:rPr>
              <w:t>ti</w:t>
            </w:r>
            <w:r w:rsidRPr="00FF207E">
              <w:rPr>
                <w:rFonts w:cs="Arial"/>
                <w:b/>
                <w:sz w:val="20"/>
                <w:szCs w:val="20"/>
                <w:lang w:val="sl-SI"/>
              </w:rPr>
              <w:t xml:space="preserve"> enotn</w:t>
            </w:r>
            <w:r w:rsidR="00A74CCD" w:rsidRPr="00FF207E">
              <w:rPr>
                <w:rFonts w:cs="Arial"/>
                <w:b/>
                <w:sz w:val="20"/>
                <w:szCs w:val="20"/>
                <w:lang w:val="sl-SI"/>
              </w:rPr>
              <w:t>o</w:t>
            </w:r>
            <w:r w:rsidRPr="00FF207E">
              <w:rPr>
                <w:rFonts w:cs="Arial"/>
                <w:b/>
                <w:sz w:val="20"/>
                <w:szCs w:val="20"/>
                <w:lang w:val="sl-SI"/>
              </w:rPr>
              <w:t xml:space="preserve"> </w:t>
            </w:r>
            <w:r w:rsidR="00BE7B17" w:rsidRPr="00FF207E">
              <w:rPr>
                <w:rFonts w:cs="Arial"/>
                <w:b/>
                <w:sz w:val="20"/>
                <w:szCs w:val="20"/>
                <w:lang w:val="sl-SI"/>
              </w:rPr>
              <w:t xml:space="preserve">spletno </w:t>
            </w:r>
            <w:r w:rsidRPr="00FF207E">
              <w:rPr>
                <w:rFonts w:cs="Arial"/>
                <w:b/>
                <w:sz w:val="20"/>
                <w:szCs w:val="20"/>
                <w:lang w:val="sl-SI"/>
              </w:rPr>
              <w:t>točk</w:t>
            </w:r>
            <w:r w:rsidR="00A74CCD" w:rsidRPr="00FF207E">
              <w:rPr>
                <w:rFonts w:cs="Arial"/>
                <w:b/>
                <w:sz w:val="20"/>
                <w:szCs w:val="20"/>
                <w:lang w:val="sl-SI"/>
              </w:rPr>
              <w:t>o</w:t>
            </w:r>
            <w:r w:rsidRPr="00FF207E">
              <w:rPr>
                <w:rFonts w:cs="Arial"/>
                <w:b/>
                <w:sz w:val="20"/>
                <w:szCs w:val="20"/>
                <w:lang w:val="sl-SI"/>
              </w:rPr>
              <w:t xml:space="preserve"> z vsemi informacijami</w:t>
            </w:r>
            <w:r w:rsidRPr="00FF207E">
              <w:rPr>
                <w:rFonts w:cs="Arial"/>
                <w:sz w:val="20"/>
                <w:szCs w:val="20"/>
                <w:lang w:val="sl-SI"/>
              </w:rPr>
              <w:t xml:space="preserve"> </w:t>
            </w:r>
            <w:r w:rsidR="007536B6" w:rsidRPr="00FF207E">
              <w:rPr>
                <w:rFonts w:cs="Arial"/>
                <w:sz w:val="20"/>
                <w:szCs w:val="20"/>
                <w:lang w:val="sl-SI"/>
              </w:rPr>
              <w:t xml:space="preserve">tako za deležnike, vključene v neformalne mreže, kot tudi </w:t>
            </w:r>
            <w:r w:rsidR="00893AA6" w:rsidRPr="00FF207E">
              <w:rPr>
                <w:rFonts w:cs="Arial"/>
                <w:sz w:val="20"/>
                <w:szCs w:val="20"/>
                <w:lang w:val="sl-SI"/>
              </w:rPr>
              <w:t xml:space="preserve">za </w:t>
            </w:r>
            <w:r w:rsidR="007536B6" w:rsidRPr="00FF207E">
              <w:rPr>
                <w:rFonts w:cs="Arial"/>
                <w:sz w:val="20"/>
                <w:szCs w:val="20"/>
                <w:lang w:val="sl-SI"/>
              </w:rPr>
              <w:t>energetsko revne</w:t>
            </w:r>
            <w:r w:rsidR="00A74CCD" w:rsidRPr="00FF207E">
              <w:rPr>
                <w:rFonts w:cs="Arial"/>
                <w:sz w:val="20"/>
                <w:szCs w:val="20"/>
                <w:lang w:val="sl-SI"/>
              </w:rPr>
              <w:t>;</w:t>
            </w:r>
          </w:p>
          <w:p w14:paraId="3AC0911F" w14:textId="0654A5E1" w:rsidR="001B6103" w:rsidRPr="00FF207E" w:rsidRDefault="001B6103" w:rsidP="001E304B">
            <w:pPr>
              <w:pStyle w:val="Odstavekseznama"/>
              <w:numPr>
                <w:ilvl w:val="0"/>
                <w:numId w:val="7"/>
              </w:numPr>
              <w:spacing w:line="240" w:lineRule="atLeast"/>
              <w:ind w:left="357" w:hanging="357"/>
              <w:jc w:val="both"/>
              <w:rPr>
                <w:rFonts w:cs="Arial"/>
                <w:sz w:val="20"/>
                <w:szCs w:val="20"/>
                <w:lang w:val="sl-SI"/>
              </w:rPr>
            </w:pPr>
            <w:r w:rsidRPr="00FF207E">
              <w:rPr>
                <w:rFonts w:cs="Arial"/>
                <w:b/>
                <w:sz w:val="20"/>
                <w:szCs w:val="20"/>
                <w:lang w:val="sl-SI"/>
              </w:rPr>
              <w:t>podpira</w:t>
            </w:r>
            <w:r w:rsidR="00893AA6" w:rsidRPr="00FF207E">
              <w:rPr>
                <w:rFonts w:cs="Arial"/>
                <w:b/>
                <w:sz w:val="20"/>
                <w:szCs w:val="20"/>
                <w:lang w:val="sl-SI"/>
              </w:rPr>
              <w:t>ti</w:t>
            </w:r>
            <w:r w:rsidRPr="00FF207E">
              <w:rPr>
                <w:rFonts w:cs="Arial"/>
                <w:b/>
                <w:sz w:val="20"/>
                <w:szCs w:val="20"/>
                <w:lang w:val="sl-SI"/>
              </w:rPr>
              <w:t xml:space="preserve"> izvajanje drugih ukrepov</w:t>
            </w:r>
            <w:r w:rsidRPr="00FF207E">
              <w:rPr>
                <w:rFonts w:cs="Arial"/>
                <w:sz w:val="20"/>
                <w:szCs w:val="20"/>
                <w:lang w:val="sl-SI"/>
              </w:rPr>
              <w:t>, zlasti izvajanje sheme za zmanjševanje energetske revščine (</w:t>
            </w:r>
            <w:hyperlink w:anchor="_Investicijske_spodbude_za" w:history="1">
              <w:r w:rsidR="00C90996" w:rsidRPr="00FF207E">
                <w:rPr>
                  <w:rStyle w:val="Hiperpovezava"/>
                  <w:rFonts w:cs="Arial"/>
                  <w:sz w:val="20"/>
                  <w:szCs w:val="20"/>
                  <w:lang w:val="sl-SI"/>
                </w:rPr>
                <w:t>ER_Shema_01</w:t>
              </w:r>
            </w:hyperlink>
            <w:r w:rsidRPr="00FF207E">
              <w:rPr>
                <w:rFonts w:cs="Arial"/>
                <w:sz w:val="20"/>
                <w:szCs w:val="20"/>
                <w:lang w:val="sl-SI"/>
              </w:rPr>
              <w:t xml:space="preserve">, </w:t>
            </w:r>
            <w:hyperlink w:anchor="_Projektna_pisarna_z" w:history="1">
              <w:r w:rsidRPr="00FF207E">
                <w:rPr>
                  <w:rStyle w:val="Hiperpovezava"/>
                  <w:rFonts w:cs="Arial"/>
                  <w:sz w:val="20"/>
                  <w:szCs w:val="20"/>
                  <w:lang w:val="sl-SI"/>
                </w:rPr>
                <w:t>ER_Shema_02</w:t>
              </w:r>
            </w:hyperlink>
            <w:r w:rsidRPr="00FF207E">
              <w:rPr>
                <w:rFonts w:cs="Arial"/>
                <w:sz w:val="20"/>
                <w:szCs w:val="20"/>
                <w:lang w:val="sl-SI"/>
              </w:rPr>
              <w:t xml:space="preserve">, </w:t>
            </w:r>
            <w:hyperlink w:anchor="_Informiranje_članov_mrež" w:history="1">
              <w:r w:rsidRPr="00FF207E">
                <w:rPr>
                  <w:rStyle w:val="Hiperpovezava"/>
                  <w:rFonts w:cs="Arial"/>
                  <w:sz w:val="20"/>
                  <w:szCs w:val="20"/>
                  <w:lang w:val="sl-SI"/>
                </w:rPr>
                <w:t>ER_Shema_05</w:t>
              </w:r>
            </w:hyperlink>
            <w:r w:rsidRPr="00FF207E">
              <w:rPr>
                <w:rFonts w:cs="Arial"/>
                <w:sz w:val="20"/>
                <w:szCs w:val="20"/>
                <w:lang w:val="sl-SI"/>
              </w:rPr>
              <w:t xml:space="preserve"> in </w:t>
            </w:r>
            <w:hyperlink w:anchor="_Informiranje_in_ozaveščanje" w:history="1">
              <w:r w:rsidRPr="00FF207E">
                <w:rPr>
                  <w:rStyle w:val="Hiperpovezava"/>
                  <w:rFonts w:cs="Arial"/>
                  <w:sz w:val="20"/>
                  <w:szCs w:val="20"/>
                  <w:lang w:val="sl-SI"/>
                </w:rPr>
                <w:t>ER_Shema_06</w:t>
              </w:r>
            </w:hyperlink>
            <w:r w:rsidRPr="00FF207E">
              <w:rPr>
                <w:rFonts w:cs="Arial"/>
                <w:sz w:val="20"/>
                <w:szCs w:val="20"/>
                <w:lang w:val="sl-SI"/>
              </w:rPr>
              <w:t>)</w:t>
            </w:r>
            <w:r w:rsidR="00A74CCD" w:rsidRPr="00FF207E">
              <w:rPr>
                <w:rFonts w:cs="Arial"/>
                <w:sz w:val="20"/>
                <w:szCs w:val="20"/>
                <w:lang w:val="sl-SI"/>
              </w:rPr>
              <w:t>.</w:t>
            </w:r>
          </w:p>
          <w:p w14:paraId="131BAB0F" w14:textId="78539D25" w:rsidR="002A24EB" w:rsidRPr="00FF207E" w:rsidRDefault="002A24EB" w:rsidP="002A24EB">
            <w:pPr>
              <w:pStyle w:val="Odstavekseznama"/>
              <w:spacing w:line="240" w:lineRule="atLeast"/>
              <w:ind w:left="357"/>
              <w:jc w:val="both"/>
              <w:rPr>
                <w:rFonts w:cs="Arial"/>
                <w:sz w:val="20"/>
                <w:szCs w:val="20"/>
                <w:lang w:val="sl-SI"/>
              </w:rPr>
            </w:pPr>
          </w:p>
        </w:tc>
      </w:tr>
      <w:tr w:rsidR="001B6103" w:rsidRPr="00FF207E" w14:paraId="249BE933" w14:textId="77777777" w:rsidTr="00F45B2E">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2CBE8909" w14:textId="77777777" w:rsidR="001B6103" w:rsidRPr="00FF207E" w:rsidRDefault="001B6103" w:rsidP="001E304B">
            <w:pPr>
              <w:spacing w:before="60" w:after="60" w:line="240" w:lineRule="atLeast"/>
              <w:jc w:val="both"/>
              <w:rPr>
                <w:rFonts w:cs="Arial"/>
                <w:b/>
                <w:lang w:val="sl-SI"/>
              </w:rPr>
            </w:pPr>
            <w:r w:rsidRPr="00FF207E">
              <w:rPr>
                <w:rFonts w:cs="Arial"/>
                <w:b/>
                <w:lang w:val="sl-SI"/>
              </w:rPr>
              <w:lastRenderedPageBreak/>
              <w:t>Kratkoročna izvedba ukrepa v obdobju 2024–2026</w:t>
            </w:r>
          </w:p>
        </w:tc>
      </w:tr>
      <w:tr w:rsidR="001B6103" w:rsidRPr="00FF207E" w14:paraId="25D09BCC" w14:textId="77777777" w:rsidTr="00B07D4D">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0C4E1595" w14:textId="422B49CC"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Kratkoročni cilj</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A9EB69E" w14:textId="707C3741" w:rsidR="001B6103" w:rsidRPr="00FF207E" w:rsidRDefault="001B47E3" w:rsidP="009441D2">
            <w:pPr>
              <w:spacing w:line="240" w:lineRule="atLeast"/>
              <w:jc w:val="both"/>
              <w:rPr>
                <w:rFonts w:cs="Arial"/>
                <w:sz w:val="20"/>
                <w:szCs w:val="20"/>
                <w:lang w:val="sl-SI"/>
              </w:rPr>
            </w:pPr>
            <w:r w:rsidRPr="00FF207E">
              <w:rPr>
                <w:rFonts w:cs="Arial"/>
                <w:sz w:val="20"/>
                <w:szCs w:val="20"/>
                <w:lang w:val="sl-SI"/>
              </w:rPr>
              <w:t>V</w:t>
            </w:r>
            <w:r w:rsidR="001B6103" w:rsidRPr="00FF207E">
              <w:rPr>
                <w:rFonts w:cs="Arial"/>
                <w:sz w:val="20"/>
                <w:szCs w:val="20"/>
                <w:lang w:val="sl-SI"/>
              </w:rPr>
              <w:t xml:space="preserve">zpostavitev </w:t>
            </w:r>
            <w:r w:rsidRPr="00FF207E">
              <w:rPr>
                <w:rFonts w:cs="Arial"/>
                <w:sz w:val="20"/>
                <w:szCs w:val="20"/>
                <w:lang w:val="sl-SI"/>
              </w:rPr>
              <w:t>neformaln</w:t>
            </w:r>
            <w:r w:rsidR="0012187A" w:rsidRPr="00FF207E">
              <w:rPr>
                <w:rFonts w:cs="Arial"/>
                <w:sz w:val="20"/>
                <w:szCs w:val="20"/>
                <w:lang w:val="sl-SI"/>
              </w:rPr>
              <w:t>e</w:t>
            </w:r>
            <w:r w:rsidRPr="00FF207E">
              <w:rPr>
                <w:rFonts w:cs="Arial"/>
                <w:sz w:val="20"/>
                <w:szCs w:val="20"/>
                <w:lang w:val="sl-SI"/>
              </w:rPr>
              <w:t xml:space="preserve"> mrež</w:t>
            </w:r>
            <w:r w:rsidR="0012187A" w:rsidRPr="00FF207E">
              <w:rPr>
                <w:rFonts w:cs="Arial"/>
                <w:sz w:val="20"/>
                <w:szCs w:val="20"/>
                <w:lang w:val="sl-SI"/>
              </w:rPr>
              <w:t>e</w:t>
            </w:r>
            <w:r w:rsidRPr="00FF207E">
              <w:rPr>
                <w:rFonts w:cs="Arial"/>
                <w:sz w:val="20"/>
                <w:szCs w:val="20"/>
                <w:lang w:val="sl-SI"/>
              </w:rPr>
              <w:t xml:space="preserve"> za informiranje in ozaveščanje</w:t>
            </w:r>
            <w:r w:rsidR="005726BD" w:rsidRPr="00FF207E">
              <w:rPr>
                <w:rFonts w:cs="Arial"/>
                <w:sz w:val="20"/>
                <w:szCs w:val="20"/>
                <w:lang w:val="sl-SI"/>
              </w:rPr>
              <w:t xml:space="preserve"> (</w:t>
            </w:r>
            <w:r w:rsidRPr="00FF207E">
              <w:rPr>
                <w:rFonts w:cs="Arial"/>
                <w:sz w:val="20"/>
                <w:szCs w:val="20"/>
                <w:lang w:val="sl-SI"/>
              </w:rPr>
              <w:t xml:space="preserve">v pilotnih regijah </w:t>
            </w:r>
            <w:r w:rsidR="001B6103" w:rsidRPr="00FF207E">
              <w:rPr>
                <w:rFonts w:cs="Arial"/>
                <w:sz w:val="20"/>
                <w:szCs w:val="20"/>
                <w:lang w:val="sl-SI"/>
              </w:rPr>
              <w:t xml:space="preserve">okvirno </w:t>
            </w:r>
            <w:r w:rsidR="009441D2" w:rsidRPr="00FF207E">
              <w:rPr>
                <w:rFonts w:cs="Arial"/>
                <w:sz w:val="20"/>
                <w:szCs w:val="20"/>
                <w:lang w:val="sl-SI"/>
              </w:rPr>
              <w:t xml:space="preserve">od </w:t>
            </w:r>
            <w:r w:rsidR="001B6103" w:rsidRPr="00FF207E">
              <w:rPr>
                <w:rFonts w:cs="Arial"/>
                <w:sz w:val="20"/>
                <w:szCs w:val="20"/>
                <w:lang w:val="sl-SI"/>
              </w:rPr>
              <w:t>6</w:t>
            </w:r>
            <w:r w:rsidRPr="00FF207E">
              <w:rPr>
                <w:rFonts w:cs="Arial"/>
                <w:sz w:val="20"/>
                <w:szCs w:val="20"/>
                <w:lang w:val="sl-SI"/>
              </w:rPr>
              <w:t xml:space="preserve"> do </w:t>
            </w:r>
            <w:r w:rsidR="001B6103" w:rsidRPr="00FF207E">
              <w:rPr>
                <w:rFonts w:cs="Arial"/>
                <w:sz w:val="20"/>
                <w:szCs w:val="20"/>
                <w:lang w:val="sl-SI"/>
              </w:rPr>
              <w:t>8 deležnik</w:t>
            </w:r>
            <w:r w:rsidR="00C23FEB" w:rsidRPr="00FF207E">
              <w:rPr>
                <w:rFonts w:cs="Arial"/>
                <w:sz w:val="20"/>
                <w:szCs w:val="20"/>
                <w:lang w:val="sl-SI"/>
              </w:rPr>
              <w:t>ov na regijo</w:t>
            </w:r>
            <w:r w:rsidR="005726BD" w:rsidRPr="00FF207E">
              <w:rPr>
                <w:rFonts w:cs="Arial"/>
                <w:sz w:val="20"/>
                <w:szCs w:val="20"/>
                <w:lang w:val="sl-SI"/>
              </w:rPr>
              <w:t xml:space="preserve">, </w:t>
            </w:r>
            <w:r w:rsidR="000534AD" w:rsidRPr="00FF207E">
              <w:rPr>
                <w:rFonts w:cs="Arial"/>
                <w:sz w:val="20"/>
                <w:szCs w:val="20"/>
                <w:lang w:val="sl-SI"/>
              </w:rPr>
              <w:t xml:space="preserve">podobno </w:t>
            </w:r>
            <w:r w:rsidR="00C23FEB" w:rsidRPr="00FF207E">
              <w:rPr>
                <w:rFonts w:cs="Arial"/>
                <w:sz w:val="20"/>
                <w:szCs w:val="20"/>
                <w:lang w:val="sl-SI"/>
              </w:rPr>
              <w:t>na</w:t>
            </w:r>
            <w:r w:rsidR="005726BD" w:rsidRPr="00FF207E">
              <w:rPr>
                <w:rFonts w:cs="Arial"/>
                <w:sz w:val="20"/>
                <w:szCs w:val="20"/>
                <w:lang w:val="sl-SI"/>
              </w:rPr>
              <w:t xml:space="preserve"> </w:t>
            </w:r>
            <w:r w:rsidR="009441D2" w:rsidRPr="00FF207E">
              <w:rPr>
                <w:rFonts w:cs="Arial"/>
                <w:sz w:val="20"/>
                <w:szCs w:val="20"/>
                <w:lang w:val="sl-SI"/>
              </w:rPr>
              <w:t xml:space="preserve">državni </w:t>
            </w:r>
            <w:r w:rsidR="00C23FEB" w:rsidRPr="00FF207E">
              <w:rPr>
                <w:rFonts w:cs="Arial"/>
                <w:sz w:val="20"/>
                <w:szCs w:val="20"/>
                <w:lang w:val="sl-SI"/>
              </w:rPr>
              <w:t xml:space="preserve">ravni </w:t>
            </w:r>
            <w:r w:rsidR="00827BCA" w:rsidRPr="00FF207E">
              <w:rPr>
                <w:rFonts w:cs="Arial"/>
                <w:sz w:val="20"/>
                <w:szCs w:val="20"/>
                <w:lang w:val="sl-SI"/>
              </w:rPr>
              <w:t>za podporo v regijah, ki niso pilotne</w:t>
            </w:r>
            <w:r w:rsidR="00C23FEB" w:rsidRPr="00FF207E">
              <w:rPr>
                <w:rFonts w:cs="Arial"/>
                <w:sz w:val="20"/>
                <w:szCs w:val="20"/>
                <w:lang w:val="sl-SI"/>
              </w:rPr>
              <w:t>)</w:t>
            </w:r>
            <w:r w:rsidR="005726BD" w:rsidRPr="00FF207E">
              <w:rPr>
                <w:rFonts w:cs="Arial"/>
                <w:sz w:val="20"/>
                <w:szCs w:val="20"/>
                <w:lang w:val="sl-SI"/>
              </w:rPr>
              <w:t>;</w:t>
            </w:r>
            <w:r w:rsidR="001B6103" w:rsidRPr="00FF207E">
              <w:rPr>
                <w:rFonts w:cs="Arial"/>
                <w:sz w:val="20"/>
                <w:szCs w:val="20"/>
                <w:lang w:val="sl-SI"/>
              </w:rPr>
              <w:t xml:space="preserve"> </w:t>
            </w:r>
            <w:r w:rsidR="005726BD" w:rsidRPr="00FF207E">
              <w:rPr>
                <w:rFonts w:cs="Arial"/>
                <w:sz w:val="20"/>
                <w:szCs w:val="20"/>
                <w:lang w:val="sl-SI"/>
              </w:rPr>
              <w:t>učinkovito informiranje energetsko revnih</w:t>
            </w:r>
            <w:r w:rsidR="00D346A7" w:rsidRPr="00FF207E">
              <w:rPr>
                <w:rFonts w:cs="Arial"/>
                <w:sz w:val="20"/>
                <w:szCs w:val="20"/>
                <w:lang w:val="sl-SI"/>
              </w:rPr>
              <w:t xml:space="preserve"> z namenom povečanja letnega </w:t>
            </w:r>
            <w:r w:rsidR="00D745B4" w:rsidRPr="00FF207E">
              <w:rPr>
                <w:rFonts w:cs="Arial"/>
                <w:spacing w:val="-2"/>
                <w:sz w:val="20"/>
                <w:szCs w:val="20"/>
                <w:lang w:val="sl-SI"/>
              </w:rPr>
              <w:t>števila</w:t>
            </w:r>
            <w:r w:rsidR="00D745B4" w:rsidRPr="00FF207E">
              <w:rPr>
                <w:rFonts w:cs="Arial"/>
                <w:sz w:val="20"/>
                <w:szCs w:val="20"/>
                <w:lang w:val="sl-SI"/>
              </w:rPr>
              <w:t xml:space="preserve"> energetsko revnih gospodinjstev z </w:t>
            </w:r>
            <w:r w:rsidR="00D346A7" w:rsidRPr="00FF207E">
              <w:rPr>
                <w:rFonts w:cs="Arial"/>
                <w:sz w:val="20"/>
                <w:szCs w:val="20"/>
                <w:lang w:val="sl-SI"/>
              </w:rPr>
              <w:t>dodeljeni</w:t>
            </w:r>
            <w:r w:rsidR="00D745B4" w:rsidRPr="00FF207E">
              <w:rPr>
                <w:rFonts w:cs="Arial"/>
                <w:sz w:val="20"/>
                <w:szCs w:val="20"/>
                <w:lang w:val="sl-SI"/>
              </w:rPr>
              <w:t>mi</w:t>
            </w:r>
            <w:r w:rsidR="00D346A7" w:rsidRPr="00FF207E">
              <w:rPr>
                <w:rFonts w:cs="Arial"/>
                <w:sz w:val="20"/>
                <w:szCs w:val="20"/>
                <w:lang w:val="sl-SI"/>
              </w:rPr>
              <w:t xml:space="preserve"> spodbud</w:t>
            </w:r>
            <w:r w:rsidR="00D745B4" w:rsidRPr="00FF207E">
              <w:rPr>
                <w:rFonts w:cs="Arial"/>
                <w:sz w:val="20"/>
                <w:szCs w:val="20"/>
                <w:lang w:val="sl-SI"/>
              </w:rPr>
              <w:t>ami</w:t>
            </w:r>
            <w:r w:rsidR="00D346A7" w:rsidRPr="00FF207E">
              <w:rPr>
                <w:rFonts w:cs="Arial"/>
                <w:sz w:val="20"/>
                <w:szCs w:val="20"/>
                <w:lang w:val="sl-SI"/>
              </w:rPr>
              <w:t xml:space="preserve"> za različne namene v obdobju 2024–2026 v skladu s cilji v poglavju </w:t>
            </w:r>
            <w:r w:rsidR="00D346A7" w:rsidRPr="00FF207E">
              <w:rPr>
                <w:rFonts w:cs="Arial"/>
                <w:sz w:val="20"/>
                <w:szCs w:val="20"/>
                <w:lang w:val="sl-SI"/>
              </w:rPr>
              <w:fldChar w:fldCharType="begin"/>
            </w:r>
            <w:r w:rsidR="00D346A7" w:rsidRPr="00FF207E">
              <w:rPr>
                <w:rFonts w:cs="Arial"/>
                <w:sz w:val="20"/>
                <w:szCs w:val="20"/>
                <w:lang w:val="sl-SI"/>
              </w:rPr>
              <w:instrText xml:space="preserve"> REF _Ref137574115 \r \h </w:instrText>
            </w:r>
            <w:r w:rsidR="001E304B" w:rsidRPr="00FF207E">
              <w:rPr>
                <w:rFonts w:cs="Arial"/>
                <w:sz w:val="20"/>
                <w:szCs w:val="20"/>
                <w:lang w:val="sl-SI"/>
              </w:rPr>
              <w:instrText xml:space="preserve"> \* MERGEFORMAT </w:instrText>
            </w:r>
            <w:r w:rsidR="00D346A7" w:rsidRPr="00FF207E">
              <w:rPr>
                <w:rFonts w:cs="Arial"/>
                <w:sz w:val="20"/>
                <w:szCs w:val="20"/>
                <w:lang w:val="sl-SI"/>
              </w:rPr>
            </w:r>
            <w:r w:rsidR="00D346A7" w:rsidRPr="00FF207E">
              <w:rPr>
                <w:rFonts w:cs="Arial"/>
                <w:sz w:val="20"/>
                <w:szCs w:val="20"/>
                <w:lang w:val="sl-SI"/>
              </w:rPr>
              <w:fldChar w:fldCharType="separate"/>
            </w:r>
            <w:r w:rsidR="00F37FD1" w:rsidRPr="00FF207E">
              <w:rPr>
                <w:rFonts w:cs="Arial"/>
                <w:sz w:val="20"/>
                <w:szCs w:val="20"/>
                <w:lang w:val="sl-SI"/>
              </w:rPr>
              <w:t>2.2</w:t>
            </w:r>
            <w:r w:rsidR="00D346A7" w:rsidRPr="00FF207E">
              <w:rPr>
                <w:rFonts w:cs="Arial"/>
                <w:sz w:val="20"/>
                <w:szCs w:val="20"/>
                <w:lang w:val="sl-SI"/>
              </w:rPr>
              <w:fldChar w:fldCharType="end"/>
            </w:r>
            <w:r w:rsidR="00893AA6" w:rsidRPr="00FF207E">
              <w:rPr>
                <w:rFonts w:cs="Arial"/>
                <w:sz w:val="20"/>
                <w:szCs w:val="20"/>
                <w:lang w:val="sl-SI"/>
              </w:rPr>
              <w:t>.</w:t>
            </w:r>
          </w:p>
        </w:tc>
      </w:tr>
      <w:tr w:rsidR="001B6103" w:rsidRPr="00FF207E" w14:paraId="020FA43F" w14:textId="77777777" w:rsidTr="00B07D4D">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4EF5B720"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Naloge mreže</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37F348B" w14:textId="68609F56" w:rsidR="001B6103" w:rsidRPr="00FF207E" w:rsidRDefault="001B6103" w:rsidP="00893AA6">
            <w:pPr>
              <w:spacing w:line="240" w:lineRule="atLeast"/>
              <w:jc w:val="both"/>
              <w:rPr>
                <w:rFonts w:cs="Arial"/>
                <w:sz w:val="20"/>
                <w:szCs w:val="20"/>
                <w:lang w:val="sl-SI"/>
              </w:rPr>
            </w:pPr>
            <w:r w:rsidRPr="00FF207E">
              <w:rPr>
                <w:rFonts w:cs="Arial"/>
                <w:sz w:val="20"/>
                <w:szCs w:val="20"/>
                <w:lang w:val="sl-SI"/>
              </w:rPr>
              <w:t xml:space="preserve">Izdelava in vzdrževanje podatkovne </w:t>
            </w:r>
            <w:r w:rsidR="00893AA6" w:rsidRPr="00FF207E">
              <w:rPr>
                <w:rFonts w:cs="Arial"/>
                <w:sz w:val="20"/>
                <w:szCs w:val="20"/>
                <w:lang w:val="sl-SI"/>
              </w:rPr>
              <w:t xml:space="preserve">zbirke </w:t>
            </w:r>
            <w:r w:rsidRPr="00FF207E">
              <w:rPr>
                <w:rFonts w:cs="Arial"/>
                <w:sz w:val="20"/>
                <w:szCs w:val="20"/>
                <w:lang w:val="sl-SI"/>
              </w:rPr>
              <w:t>članov mreže; izdelava in posodabljanje načrtov dela mrež</w:t>
            </w:r>
            <w:r w:rsidR="0012187A" w:rsidRPr="00FF207E">
              <w:rPr>
                <w:rFonts w:cs="Arial"/>
                <w:sz w:val="20"/>
                <w:szCs w:val="20"/>
                <w:lang w:val="sl-SI"/>
              </w:rPr>
              <w:t>e</w:t>
            </w:r>
            <w:r w:rsidRPr="00FF207E">
              <w:rPr>
                <w:rFonts w:cs="Arial"/>
                <w:sz w:val="20"/>
                <w:szCs w:val="20"/>
                <w:lang w:val="sl-SI"/>
              </w:rPr>
              <w:t>; izvajanje dejavnosti informiranja in ozaveščanja iz načrtov dela mrež</w:t>
            </w:r>
            <w:r w:rsidR="0012187A" w:rsidRPr="00FF207E">
              <w:rPr>
                <w:rFonts w:cs="Arial"/>
                <w:sz w:val="20"/>
                <w:szCs w:val="20"/>
                <w:lang w:val="sl-SI"/>
              </w:rPr>
              <w:t>e</w:t>
            </w:r>
            <w:r w:rsidR="00893AA6" w:rsidRPr="00FF207E">
              <w:rPr>
                <w:rFonts w:cs="Arial"/>
                <w:sz w:val="20"/>
                <w:szCs w:val="20"/>
                <w:lang w:val="sl-SI"/>
              </w:rPr>
              <w:t>.</w:t>
            </w:r>
          </w:p>
        </w:tc>
      </w:tr>
      <w:tr w:rsidR="001B6103" w:rsidRPr="00FF207E" w14:paraId="43EF3EBE" w14:textId="77777777" w:rsidTr="00B07D4D">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D1CC002"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2FECC45" w14:textId="78887754" w:rsidR="001B6103" w:rsidRPr="00FF207E" w:rsidRDefault="00C90996" w:rsidP="00B22729">
            <w:pPr>
              <w:spacing w:line="240" w:lineRule="atLeast"/>
              <w:rPr>
                <w:rFonts w:cs="Arial"/>
                <w:sz w:val="20"/>
                <w:szCs w:val="20"/>
                <w:lang w:val="sl-SI"/>
              </w:rPr>
            </w:pPr>
            <w:r w:rsidRPr="00FF207E">
              <w:rPr>
                <w:rFonts w:cs="Arial"/>
                <w:sz w:val="20"/>
                <w:szCs w:val="20"/>
                <w:lang w:val="sl-SI"/>
              </w:rPr>
              <w:t>vzpostavitev mreže leta 2025, načrt dela 2026, izvajanje dejavnosti 2026–2026</w:t>
            </w:r>
          </w:p>
        </w:tc>
      </w:tr>
      <w:tr w:rsidR="001B6103" w:rsidRPr="00FF207E" w14:paraId="71CFC5CE" w14:textId="77777777" w:rsidTr="002513F9">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4C46EA65" w14:textId="3ECFB7A8" w:rsidR="001B6103" w:rsidRPr="00FF207E" w:rsidRDefault="00720DE7" w:rsidP="001E304B">
            <w:pPr>
              <w:spacing w:line="240" w:lineRule="atLeast"/>
              <w:jc w:val="both"/>
              <w:rPr>
                <w:rFonts w:cs="Arial"/>
                <w:sz w:val="20"/>
                <w:szCs w:val="20"/>
                <w:lang w:val="sl-SI"/>
              </w:rPr>
            </w:pPr>
            <w:r w:rsidRPr="00FF207E">
              <w:rPr>
                <w:rFonts w:cs="Arial"/>
                <w:sz w:val="20"/>
                <w:szCs w:val="20"/>
                <w:lang w:val="sl-SI"/>
              </w:rPr>
              <w:t>Potrebna sredstva</w:t>
            </w:r>
            <w:r w:rsidR="00F4436A" w:rsidRPr="00FF207E">
              <w:rPr>
                <w:lang w:val="sl-SI"/>
              </w:rPr>
              <w:t xml:space="preserve"> </w:t>
            </w:r>
            <w:r w:rsidRPr="00FF207E">
              <w:rPr>
                <w:rFonts w:cs="Arial"/>
                <w:sz w:val="20"/>
                <w:szCs w:val="20"/>
                <w:lang w:val="sl-SI"/>
              </w:rPr>
              <w:t>in viri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tcPr>
          <w:p w14:paraId="0160E2DB" w14:textId="5DCDA7A4" w:rsidR="009A6E2F" w:rsidRPr="00FF207E" w:rsidRDefault="00086058" w:rsidP="002513F9">
            <w:pPr>
              <w:spacing w:line="240" w:lineRule="atLeast"/>
              <w:rPr>
                <w:rFonts w:cs="Arial"/>
                <w:sz w:val="20"/>
                <w:szCs w:val="20"/>
                <w:lang w:val="sl-SI"/>
              </w:rPr>
            </w:pPr>
            <w:r w:rsidRPr="00FF207E">
              <w:rPr>
                <w:rFonts w:cs="Arial"/>
                <w:sz w:val="20"/>
                <w:szCs w:val="20"/>
                <w:lang w:val="sl-SI"/>
              </w:rPr>
              <w:t>t</w:t>
            </w:r>
            <w:r w:rsidR="009A6E2F" w:rsidRPr="00FF207E">
              <w:rPr>
                <w:rFonts w:cs="Arial"/>
                <w:sz w:val="20"/>
                <w:szCs w:val="20"/>
                <w:lang w:val="sl-SI"/>
              </w:rPr>
              <w:t>abela 7</w:t>
            </w:r>
          </w:p>
          <w:p w14:paraId="579B09B2" w14:textId="05D07CE2" w:rsidR="001B6103" w:rsidRPr="00FF207E" w:rsidRDefault="00044AAB" w:rsidP="002513F9">
            <w:pPr>
              <w:spacing w:before="60" w:line="240" w:lineRule="atLeast"/>
              <w:rPr>
                <w:rFonts w:cs="Arial"/>
                <w:sz w:val="20"/>
                <w:szCs w:val="20"/>
                <w:lang w:val="sl-SI"/>
              </w:rPr>
            </w:pPr>
            <w:r w:rsidRPr="00FF207E">
              <w:rPr>
                <w:rFonts w:cs="Arial"/>
                <w:sz w:val="20"/>
                <w:szCs w:val="20"/>
                <w:lang w:val="sl-SI"/>
              </w:rPr>
              <w:t xml:space="preserve">Viri sredstev so: Sklad za podnebne spremembe, kohezijska </w:t>
            </w:r>
            <w:r w:rsidR="00A7676B" w:rsidRPr="00FF207E">
              <w:rPr>
                <w:rFonts w:cs="Arial"/>
                <w:sz w:val="20"/>
                <w:szCs w:val="20"/>
                <w:lang w:val="sl-SI"/>
              </w:rPr>
              <w:t xml:space="preserve">sredstva, </w:t>
            </w:r>
            <w:r w:rsidR="00B44576" w:rsidRPr="00FF207E">
              <w:rPr>
                <w:rFonts w:cs="Arial"/>
                <w:sz w:val="20"/>
                <w:szCs w:val="20"/>
                <w:lang w:val="sl-SI"/>
              </w:rPr>
              <w:t>Evropski sklad za regionalni razvoj</w:t>
            </w:r>
            <w:r w:rsidRPr="00FF207E">
              <w:rPr>
                <w:rFonts w:cs="Arial"/>
                <w:sz w:val="20"/>
                <w:szCs w:val="20"/>
                <w:lang w:val="sl-SI"/>
              </w:rPr>
              <w:t xml:space="preserve"> ali drugi</w:t>
            </w:r>
            <w:r w:rsidR="00B44576" w:rsidRPr="00FF207E">
              <w:rPr>
                <w:rFonts w:cs="Arial"/>
                <w:sz w:val="20"/>
                <w:szCs w:val="20"/>
                <w:lang w:val="sl-SI"/>
              </w:rPr>
              <w:t xml:space="preserve"> viri</w:t>
            </w:r>
            <w:r w:rsidRPr="00FF207E">
              <w:rPr>
                <w:rFonts w:cs="Arial"/>
                <w:sz w:val="20"/>
                <w:szCs w:val="20"/>
                <w:lang w:val="sl-SI"/>
              </w:rPr>
              <w:t>.</w:t>
            </w:r>
          </w:p>
        </w:tc>
      </w:tr>
      <w:tr w:rsidR="001B6103" w:rsidRPr="00FF207E" w14:paraId="3891229F" w14:textId="77777777" w:rsidTr="00D70259">
        <w:tc>
          <w:tcPr>
            <w:tcW w:w="9062" w:type="dxa"/>
            <w:gridSpan w:val="3"/>
            <w:tcBorders>
              <w:top w:val="single" w:sz="4" w:space="0" w:color="548DD4" w:themeColor="text2" w:themeTint="99"/>
              <w:left w:val="nil"/>
              <w:bottom w:val="single" w:sz="4" w:space="0" w:color="548DD4" w:themeColor="text2" w:themeTint="99"/>
              <w:right w:val="nil"/>
            </w:tcBorders>
            <w:shd w:val="clear" w:color="auto" w:fill="DBE5F1" w:themeFill="accent1" w:themeFillTint="33"/>
          </w:tcPr>
          <w:p w14:paraId="4AE46F5D" w14:textId="77777777" w:rsidR="001B6103" w:rsidRPr="00FF207E" w:rsidRDefault="001B6103" w:rsidP="001E304B">
            <w:pPr>
              <w:keepNext/>
              <w:spacing w:before="40" w:after="40" w:line="240" w:lineRule="atLeast"/>
              <w:jc w:val="both"/>
              <w:rPr>
                <w:rFonts w:cs="Arial"/>
                <w:sz w:val="20"/>
                <w:szCs w:val="20"/>
                <w:lang w:val="sl-SI"/>
              </w:rPr>
            </w:pPr>
            <w:r w:rsidRPr="00FF207E">
              <w:rPr>
                <w:rFonts w:cs="Arial"/>
                <w:sz w:val="20"/>
                <w:szCs w:val="20"/>
                <w:lang w:val="sl-SI"/>
              </w:rPr>
              <w:t>Potek izvedbe</w:t>
            </w:r>
          </w:p>
        </w:tc>
      </w:tr>
      <w:tr w:rsidR="001B6103" w:rsidRPr="00FF207E" w14:paraId="27945AD8" w14:textId="77777777" w:rsidTr="00B07D4D">
        <w:tc>
          <w:tcPr>
            <w:tcW w:w="567" w:type="dxa"/>
            <w:vMerge w:val="restart"/>
            <w:tcBorders>
              <w:top w:val="single" w:sz="4" w:space="0" w:color="548DD4" w:themeColor="text2" w:themeTint="99"/>
              <w:left w:val="nil"/>
              <w:right w:val="single" w:sz="4" w:space="0" w:color="548DD4" w:themeColor="text2" w:themeTint="99"/>
            </w:tcBorders>
            <w:vAlign w:val="center"/>
          </w:tcPr>
          <w:p w14:paraId="32E9ED74" w14:textId="77777777" w:rsidR="001B6103" w:rsidRPr="00FF207E" w:rsidRDefault="001B6103" w:rsidP="001E304B">
            <w:pPr>
              <w:spacing w:line="240" w:lineRule="atLeast"/>
              <w:jc w:val="both"/>
              <w:rPr>
                <w:rFonts w:cs="Arial"/>
                <w:b/>
                <w:sz w:val="24"/>
                <w:lang w:val="sl-SI"/>
              </w:rPr>
            </w:pPr>
            <w:r w:rsidRPr="00FF207E">
              <w:rPr>
                <w:rFonts w:cs="Arial"/>
                <w:b/>
                <w:sz w:val="24"/>
                <w:lang w:val="sl-SI"/>
              </w:rPr>
              <w:t>1</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53473DC0"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6F18DAF2" w14:textId="147E85AD" w:rsidR="001B6103" w:rsidRPr="00FF207E" w:rsidRDefault="00893AA6" w:rsidP="00893AA6">
            <w:pPr>
              <w:spacing w:line="240" w:lineRule="atLeast"/>
              <w:jc w:val="both"/>
              <w:rPr>
                <w:rFonts w:cs="Arial"/>
                <w:sz w:val="20"/>
                <w:szCs w:val="20"/>
                <w:lang w:val="sl-SI"/>
              </w:rPr>
            </w:pPr>
            <w:r w:rsidRPr="00FF207E">
              <w:rPr>
                <w:rFonts w:cs="Arial"/>
                <w:sz w:val="20"/>
                <w:szCs w:val="20"/>
                <w:lang w:val="sl-SI"/>
              </w:rPr>
              <w:t>p</w:t>
            </w:r>
            <w:r w:rsidR="006B30CE" w:rsidRPr="00FF207E">
              <w:rPr>
                <w:rFonts w:cs="Arial"/>
                <w:sz w:val="20"/>
                <w:szCs w:val="20"/>
                <w:lang w:val="sl-SI"/>
              </w:rPr>
              <w:t>regled</w:t>
            </w:r>
            <w:r w:rsidR="00C74CA7" w:rsidRPr="00FF207E">
              <w:rPr>
                <w:rFonts w:cs="Arial"/>
                <w:sz w:val="20"/>
                <w:szCs w:val="20"/>
                <w:lang w:val="sl-SI"/>
              </w:rPr>
              <w:t xml:space="preserve"> vseh </w:t>
            </w:r>
            <w:r w:rsidR="00AB5B90" w:rsidRPr="00FF207E">
              <w:rPr>
                <w:rFonts w:cs="Arial"/>
                <w:sz w:val="20"/>
                <w:szCs w:val="20"/>
                <w:lang w:val="sl-SI"/>
              </w:rPr>
              <w:t xml:space="preserve">pomembnih </w:t>
            </w:r>
            <w:r w:rsidR="00C74CA7" w:rsidRPr="00FF207E">
              <w:rPr>
                <w:rFonts w:cs="Arial"/>
                <w:sz w:val="20"/>
                <w:szCs w:val="20"/>
                <w:lang w:val="sl-SI"/>
              </w:rPr>
              <w:t>deležnikov</w:t>
            </w:r>
            <w:r w:rsidR="00AB2D71" w:rsidRPr="00FF207E">
              <w:rPr>
                <w:rFonts w:cs="Arial"/>
                <w:sz w:val="20"/>
                <w:szCs w:val="20"/>
                <w:lang w:val="sl-SI"/>
              </w:rPr>
              <w:t xml:space="preserve"> – potencialnih članov mreže za informiranje in ozaveščanje</w:t>
            </w:r>
            <w:r w:rsidR="00FE2975" w:rsidRPr="00FF207E">
              <w:rPr>
                <w:rFonts w:cs="Arial"/>
                <w:sz w:val="20"/>
                <w:szCs w:val="20"/>
                <w:lang w:val="sl-SI"/>
              </w:rPr>
              <w:t xml:space="preserve"> – </w:t>
            </w:r>
            <w:r w:rsidR="00C74CA7" w:rsidRPr="00FF207E">
              <w:rPr>
                <w:rFonts w:cs="Arial"/>
                <w:sz w:val="20"/>
                <w:szCs w:val="20"/>
                <w:lang w:val="sl-SI"/>
              </w:rPr>
              <w:t xml:space="preserve">in izdelava podatkovne </w:t>
            </w:r>
            <w:r w:rsidRPr="00FF207E">
              <w:rPr>
                <w:rFonts w:cs="Arial"/>
                <w:sz w:val="20"/>
                <w:szCs w:val="20"/>
                <w:lang w:val="sl-SI"/>
              </w:rPr>
              <w:t xml:space="preserve">zbirke </w:t>
            </w:r>
            <w:r w:rsidR="00C74CA7" w:rsidRPr="00FF207E">
              <w:rPr>
                <w:rFonts w:cs="Arial"/>
                <w:sz w:val="20"/>
                <w:szCs w:val="20"/>
                <w:lang w:val="sl-SI"/>
              </w:rPr>
              <w:t xml:space="preserve">deležnikov (poziv za zbiranje kontaktov, izdelava orodja (lahko </w:t>
            </w:r>
            <w:r w:rsidR="007536B6" w:rsidRPr="00FF207E">
              <w:rPr>
                <w:rFonts w:cs="Arial"/>
                <w:sz w:val="20"/>
                <w:szCs w:val="20"/>
                <w:lang w:val="sl-SI"/>
              </w:rPr>
              <w:t>E</w:t>
            </w:r>
            <w:r w:rsidR="00C74CA7" w:rsidRPr="00FF207E">
              <w:rPr>
                <w:rFonts w:cs="Arial"/>
                <w:sz w:val="20"/>
                <w:szCs w:val="20"/>
                <w:lang w:val="sl-SI"/>
              </w:rPr>
              <w:t xml:space="preserve">xcel tabela, lahko pa tudi neka oblika spletnega </w:t>
            </w:r>
            <w:proofErr w:type="spellStart"/>
            <w:r w:rsidR="00C74CA7" w:rsidRPr="00FF207E">
              <w:rPr>
                <w:rFonts w:cs="Arial"/>
                <w:sz w:val="20"/>
                <w:szCs w:val="20"/>
                <w:lang w:val="sl-SI"/>
              </w:rPr>
              <w:t>repozitorija</w:t>
            </w:r>
            <w:proofErr w:type="spellEnd"/>
            <w:r w:rsidR="00C74CA7" w:rsidRPr="00FF207E">
              <w:rPr>
                <w:rFonts w:cs="Arial"/>
                <w:sz w:val="20"/>
                <w:szCs w:val="20"/>
                <w:lang w:val="sl-SI"/>
              </w:rPr>
              <w:t>) za vzdrževanje podatkov o deležnikih)</w:t>
            </w:r>
          </w:p>
        </w:tc>
      </w:tr>
      <w:tr w:rsidR="001B6103" w:rsidRPr="00FF207E" w14:paraId="6568F0B1" w14:textId="77777777" w:rsidTr="00B07D4D">
        <w:tc>
          <w:tcPr>
            <w:tcW w:w="567" w:type="dxa"/>
            <w:vMerge/>
            <w:tcBorders>
              <w:left w:val="nil"/>
              <w:right w:val="single" w:sz="4" w:space="0" w:color="548DD4" w:themeColor="text2" w:themeTint="99"/>
            </w:tcBorders>
          </w:tcPr>
          <w:p w14:paraId="016DDDB9" w14:textId="77777777" w:rsidR="001B6103" w:rsidRPr="00FF207E" w:rsidRDefault="001B6103"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EDFC018"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8D95A46" w14:textId="44D41C38" w:rsidR="001B6103" w:rsidRPr="00FF207E" w:rsidRDefault="0088748C"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 </w:t>
            </w:r>
            <w:r w:rsidR="000666B9" w:rsidRPr="00FF207E">
              <w:rPr>
                <w:rFonts w:cs="Arial"/>
                <w:sz w:val="20"/>
                <w:szCs w:val="20"/>
                <w:lang w:val="sl-SI"/>
              </w:rPr>
              <w:t>p</w:t>
            </w:r>
            <w:r w:rsidR="001B6103" w:rsidRPr="00FF207E">
              <w:rPr>
                <w:rFonts w:cs="Arial"/>
                <w:sz w:val="20"/>
                <w:szCs w:val="20"/>
                <w:lang w:val="sl-SI"/>
              </w:rPr>
              <w:t>rojektna pisarna</w:t>
            </w:r>
          </w:p>
        </w:tc>
      </w:tr>
      <w:tr w:rsidR="001B6103" w:rsidRPr="00FF207E" w14:paraId="72DBB1FF" w14:textId="77777777" w:rsidTr="00B07D4D">
        <w:tc>
          <w:tcPr>
            <w:tcW w:w="567" w:type="dxa"/>
            <w:vMerge/>
            <w:tcBorders>
              <w:left w:val="nil"/>
              <w:right w:val="single" w:sz="4" w:space="0" w:color="548DD4" w:themeColor="text2" w:themeTint="99"/>
            </w:tcBorders>
          </w:tcPr>
          <w:p w14:paraId="05E69829" w14:textId="77777777" w:rsidR="001B6103" w:rsidRPr="00FF207E" w:rsidRDefault="001B6103"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7A6818E9"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6908F72" w14:textId="31FC2FB9" w:rsidR="001B6103" w:rsidRPr="00FF207E" w:rsidRDefault="00A74CCD" w:rsidP="001E304B">
            <w:pPr>
              <w:spacing w:line="240" w:lineRule="atLeast"/>
              <w:jc w:val="both"/>
              <w:rPr>
                <w:rFonts w:cs="Arial"/>
                <w:sz w:val="20"/>
                <w:szCs w:val="20"/>
                <w:lang w:val="sl-SI"/>
              </w:rPr>
            </w:pPr>
            <w:r w:rsidRPr="00FF207E">
              <w:rPr>
                <w:rFonts w:cs="Arial"/>
                <w:sz w:val="20"/>
                <w:szCs w:val="20"/>
                <w:lang w:val="sl-SI"/>
              </w:rPr>
              <w:t>l</w:t>
            </w:r>
            <w:r w:rsidR="001B6103" w:rsidRPr="00FF207E">
              <w:rPr>
                <w:rFonts w:cs="Arial"/>
                <w:sz w:val="20"/>
                <w:szCs w:val="20"/>
                <w:lang w:val="sl-SI"/>
              </w:rPr>
              <w:t>okalne energetske in/ali razvojne agencije, socialni akterji – CSD, socialne organizacije, ENSVET, humanitarne organizacije, občine, izvajalci patronažnega varstva</w:t>
            </w:r>
            <w:r w:rsidR="00A97384" w:rsidRPr="00FF207E">
              <w:rPr>
                <w:rFonts w:cs="Arial"/>
                <w:sz w:val="20"/>
                <w:szCs w:val="20"/>
                <w:lang w:val="sl-SI"/>
              </w:rPr>
              <w:t xml:space="preserve">, </w:t>
            </w:r>
            <w:r w:rsidR="00D3699E" w:rsidRPr="00FF207E">
              <w:rPr>
                <w:rFonts w:cs="Arial"/>
                <w:sz w:val="20"/>
                <w:szCs w:val="20"/>
                <w:lang w:val="sl-SI"/>
              </w:rPr>
              <w:t xml:space="preserve">društva upokojencev, akterji, ki delujejo na področju </w:t>
            </w:r>
            <w:proofErr w:type="spellStart"/>
            <w:r w:rsidR="00D3699E" w:rsidRPr="00FF207E">
              <w:rPr>
                <w:rFonts w:cs="Arial"/>
                <w:sz w:val="20"/>
                <w:szCs w:val="20"/>
                <w:lang w:val="sl-SI"/>
              </w:rPr>
              <w:t>opolnomočenja</w:t>
            </w:r>
            <w:proofErr w:type="spellEnd"/>
            <w:r w:rsidR="00D3699E" w:rsidRPr="00FF207E">
              <w:rPr>
                <w:rFonts w:cs="Arial"/>
                <w:sz w:val="20"/>
                <w:szCs w:val="20"/>
                <w:lang w:val="sl-SI"/>
              </w:rPr>
              <w:t xml:space="preserve"> žensk, </w:t>
            </w:r>
            <w:r w:rsidR="00A97384" w:rsidRPr="00FF207E">
              <w:rPr>
                <w:rFonts w:cs="Arial"/>
                <w:sz w:val="20"/>
                <w:szCs w:val="20"/>
                <w:lang w:val="sl-SI"/>
              </w:rPr>
              <w:t xml:space="preserve">dobavitelji energije, operaterji distribucijskih sistemov </w:t>
            </w:r>
            <w:r w:rsidR="001B6103" w:rsidRPr="00FF207E">
              <w:rPr>
                <w:rFonts w:cs="Arial"/>
                <w:sz w:val="20"/>
                <w:szCs w:val="20"/>
                <w:lang w:val="sl-SI"/>
              </w:rPr>
              <w:t>…</w:t>
            </w:r>
          </w:p>
        </w:tc>
      </w:tr>
      <w:tr w:rsidR="00D70259" w:rsidRPr="00FF207E" w14:paraId="0E7216C9" w14:textId="77777777" w:rsidTr="00D70259">
        <w:tc>
          <w:tcPr>
            <w:tcW w:w="567" w:type="dxa"/>
            <w:vMerge/>
            <w:tcBorders>
              <w:left w:val="nil"/>
              <w:bottom w:val="single" w:sz="4" w:space="0" w:color="548DD4" w:themeColor="text2" w:themeTint="99"/>
              <w:right w:val="single" w:sz="4" w:space="0" w:color="548DD4" w:themeColor="text2" w:themeTint="99"/>
            </w:tcBorders>
          </w:tcPr>
          <w:p w14:paraId="71487C91" w14:textId="77777777" w:rsidR="00D70259" w:rsidRPr="00FF207E" w:rsidRDefault="00D7025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04DFCD7A" w14:textId="77777777" w:rsidR="00D70259" w:rsidRPr="00FF207E" w:rsidRDefault="00D70259"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18DA6C1B" w14:textId="3B1B8416" w:rsidR="00D70259" w:rsidRPr="00FF207E" w:rsidRDefault="00C90996" w:rsidP="001E304B">
            <w:pPr>
              <w:spacing w:line="240" w:lineRule="atLeast"/>
              <w:jc w:val="both"/>
              <w:rPr>
                <w:rFonts w:cs="Arial"/>
                <w:sz w:val="20"/>
                <w:szCs w:val="20"/>
                <w:lang w:val="sl-SI"/>
              </w:rPr>
            </w:pPr>
            <w:r w:rsidRPr="00FF207E">
              <w:rPr>
                <w:rFonts w:cs="Arial"/>
                <w:sz w:val="20"/>
                <w:szCs w:val="20"/>
                <w:lang w:val="sl-SI"/>
              </w:rPr>
              <w:t>2025</w:t>
            </w:r>
          </w:p>
        </w:tc>
      </w:tr>
      <w:tr w:rsidR="001B6103" w:rsidRPr="00FF207E" w14:paraId="56E6758B" w14:textId="77777777" w:rsidTr="00D70259">
        <w:tc>
          <w:tcPr>
            <w:tcW w:w="567" w:type="dxa"/>
            <w:vMerge w:val="restart"/>
            <w:tcBorders>
              <w:top w:val="single" w:sz="4" w:space="0" w:color="548DD4" w:themeColor="text2" w:themeTint="99"/>
              <w:left w:val="nil"/>
              <w:right w:val="single" w:sz="4" w:space="0" w:color="548DD4" w:themeColor="text2" w:themeTint="99"/>
            </w:tcBorders>
            <w:vAlign w:val="center"/>
          </w:tcPr>
          <w:p w14:paraId="10A31E67" w14:textId="77777777" w:rsidR="001B6103" w:rsidRPr="00FF207E" w:rsidRDefault="001B6103" w:rsidP="001E304B">
            <w:pPr>
              <w:spacing w:line="240" w:lineRule="atLeast"/>
              <w:jc w:val="both"/>
              <w:rPr>
                <w:rFonts w:cs="Arial"/>
                <w:b/>
                <w:sz w:val="24"/>
                <w:lang w:val="sl-SI"/>
              </w:rPr>
            </w:pPr>
            <w:r w:rsidRPr="00FF207E">
              <w:rPr>
                <w:rFonts w:cs="Arial"/>
                <w:b/>
                <w:sz w:val="24"/>
                <w:lang w:val="sl-SI"/>
              </w:rPr>
              <w:t>2</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5CD21ACD"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035B0BF5" w14:textId="6C444CE7" w:rsidR="001B6103" w:rsidRPr="00FF207E" w:rsidRDefault="00893AA6" w:rsidP="00893AA6">
            <w:pPr>
              <w:spacing w:line="240" w:lineRule="atLeast"/>
              <w:jc w:val="both"/>
              <w:rPr>
                <w:rFonts w:cs="Arial"/>
                <w:sz w:val="20"/>
                <w:szCs w:val="20"/>
                <w:lang w:val="sl-SI"/>
              </w:rPr>
            </w:pPr>
            <w:r w:rsidRPr="00FF207E">
              <w:rPr>
                <w:rFonts w:cs="Arial"/>
                <w:sz w:val="20"/>
                <w:szCs w:val="20"/>
                <w:lang w:val="sl-SI"/>
              </w:rPr>
              <w:t>d</w:t>
            </w:r>
            <w:r w:rsidR="001B6103" w:rsidRPr="00FF207E">
              <w:rPr>
                <w:rFonts w:cs="Arial"/>
                <w:sz w:val="20"/>
                <w:szCs w:val="20"/>
                <w:lang w:val="sl-SI"/>
              </w:rPr>
              <w:t>oločitev strukture mreže –</w:t>
            </w:r>
            <w:r w:rsidR="0068148C" w:rsidRPr="00FF207E">
              <w:rPr>
                <w:rFonts w:cs="Arial"/>
                <w:sz w:val="20"/>
                <w:szCs w:val="20"/>
                <w:lang w:val="sl-SI"/>
              </w:rPr>
              <w:t xml:space="preserve"> nacionalni koordinator pri projektni pisarni,</w:t>
            </w:r>
            <w:r w:rsidR="001B6103" w:rsidRPr="00FF207E">
              <w:rPr>
                <w:rFonts w:cs="Arial"/>
                <w:sz w:val="20"/>
                <w:szCs w:val="20"/>
                <w:lang w:val="sl-SI"/>
              </w:rPr>
              <w:t xml:space="preserve"> </w:t>
            </w:r>
            <w:r w:rsidR="006B30CE" w:rsidRPr="00FF207E">
              <w:rPr>
                <w:rFonts w:cs="Arial"/>
                <w:sz w:val="20"/>
                <w:szCs w:val="20"/>
                <w:lang w:val="sl-SI"/>
              </w:rPr>
              <w:t xml:space="preserve">po </w:t>
            </w:r>
            <w:r w:rsidRPr="00FF207E">
              <w:rPr>
                <w:rFonts w:cs="Arial"/>
                <w:sz w:val="20"/>
                <w:szCs w:val="20"/>
                <w:lang w:val="sl-SI"/>
              </w:rPr>
              <w:t xml:space="preserve">en </w:t>
            </w:r>
            <w:r w:rsidR="00C74CA7" w:rsidRPr="00FF207E">
              <w:rPr>
                <w:rFonts w:cs="Arial"/>
                <w:sz w:val="20"/>
                <w:szCs w:val="20"/>
                <w:lang w:val="sl-SI"/>
              </w:rPr>
              <w:t>regionaln</w:t>
            </w:r>
            <w:r w:rsidR="006B30CE" w:rsidRPr="00FF207E">
              <w:rPr>
                <w:rFonts w:cs="Arial"/>
                <w:sz w:val="20"/>
                <w:szCs w:val="20"/>
                <w:lang w:val="sl-SI"/>
              </w:rPr>
              <w:t>i</w:t>
            </w:r>
            <w:r w:rsidR="00C74CA7" w:rsidRPr="00FF207E">
              <w:rPr>
                <w:rFonts w:cs="Arial"/>
                <w:sz w:val="20"/>
                <w:szCs w:val="20"/>
                <w:lang w:val="sl-SI"/>
              </w:rPr>
              <w:t xml:space="preserve"> koordinator</w:t>
            </w:r>
            <w:r w:rsidR="0012187A" w:rsidRPr="00FF207E">
              <w:rPr>
                <w:rFonts w:cs="Arial"/>
                <w:sz w:val="20"/>
                <w:szCs w:val="20"/>
                <w:lang w:val="sl-SI"/>
              </w:rPr>
              <w:t>, predvidoma pri regionalni svetovalni točki,</w:t>
            </w:r>
            <w:r w:rsidR="00C74CA7" w:rsidRPr="00FF207E">
              <w:rPr>
                <w:rFonts w:cs="Arial"/>
                <w:sz w:val="20"/>
                <w:szCs w:val="20"/>
                <w:lang w:val="sl-SI"/>
              </w:rPr>
              <w:t xml:space="preserve"> </w:t>
            </w:r>
            <w:r w:rsidR="001B6103" w:rsidRPr="00FF207E">
              <w:rPr>
                <w:rFonts w:cs="Arial"/>
                <w:sz w:val="20"/>
                <w:szCs w:val="20"/>
                <w:lang w:val="sl-SI"/>
              </w:rPr>
              <w:t xml:space="preserve">in </w:t>
            </w:r>
            <w:r w:rsidRPr="00FF207E">
              <w:rPr>
                <w:rFonts w:cs="Arial"/>
                <w:sz w:val="20"/>
                <w:szCs w:val="20"/>
                <w:lang w:val="sl-SI"/>
              </w:rPr>
              <w:t>ena</w:t>
            </w:r>
            <w:r w:rsidR="001B6103" w:rsidRPr="00FF207E">
              <w:rPr>
                <w:rFonts w:cs="Arial"/>
                <w:sz w:val="20"/>
                <w:szCs w:val="20"/>
                <w:lang w:val="sl-SI"/>
              </w:rPr>
              <w:t xml:space="preserve"> regionaln</w:t>
            </w:r>
            <w:r w:rsidR="006B30CE" w:rsidRPr="00FF207E">
              <w:rPr>
                <w:rFonts w:cs="Arial"/>
                <w:sz w:val="20"/>
                <w:szCs w:val="20"/>
                <w:lang w:val="sl-SI"/>
              </w:rPr>
              <w:t>a</w:t>
            </w:r>
            <w:r w:rsidR="001B6103" w:rsidRPr="00FF207E">
              <w:rPr>
                <w:rFonts w:cs="Arial"/>
                <w:sz w:val="20"/>
                <w:szCs w:val="20"/>
                <w:lang w:val="sl-SI"/>
              </w:rPr>
              <w:t xml:space="preserve"> mrež</w:t>
            </w:r>
            <w:r w:rsidR="006B30CE" w:rsidRPr="00FF207E">
              <w:rPr>
                <w:rFonts w:cs="Arial"/>
                <w:sz w:val="20"/>
                <w:szCs w:val="20"/>
                <w:lang w:val="sl-SI"/>
              </w:rPr>
              <w:t>a</w:t>
            </w:r>
            <w:r w:rsidR="001B6103" w:rsidRPr="00FF207E">
              <w:rPr>
                <w:rFonts w:cs="Arial"/>
                <w:sz w:val="20"/>
                <w:szCs w:val="20"/>
                <w:lang w:val="sl-SI"/>
              </w:rPr>
              <w:t xml:space="preserve"> lokalnih akterjev</w:t>
            </w:r>
            <w:r w:rsidR="0068148C" w:rsidRPr="00FF207E">
              <w:rPr>
                <w:rFonts w:cs="Arial"/>
                <w:sz w:val="20"/>
                <w:szCs w:val="20"/>
                <w:lang w:val="sl-SI"/>
              </w:rPr>
              <w:t xml:space="preserve"> </w:t>
            </w:r>
            <w:r w:rsidR="006B30CE" w:rsidRPr="00FF207E">
              <w:rPr>
                <w:rFonts w:cs="Arial"/>
                <w:sz w:val="20"/>
                <w:szCs w:val="20"/>
                <w:lang w:val="sl-SI"/>
              </w:rPr>
              <w:t>na</w:t>
            </w:r>
            <w:r w:rsidR="0068148C" w:rsidRPr="00FF207E">
              <w:rPr>
                <w:rFonts w:cs="Arial"/>
                <w:sz w:val="20"/>
                <w:szCs w:val="20"/>
                <w:lang w:val="sl-SI"/>
              </w:rPr>
              <w:t xml:space="preserve"> pilotn</w:t>
            </w:r>
            <w:r w:rsidR="006B30CE" w:rsidRPr="00FF207E">
              <w:rPr>
                <w:rFonts w:cs="Arial"/>
                <w:sz w:val="20"/>
                <w:szCs w:val="20"/>
                <w:lang w:val="sl-SI"/>
              </w:rPr>
              <w:t>o</w:t>
            </w:r>
            <w:r w:rsidR="0068148C" w:rsidRPr="00FF207E">
              <w:rPr>
                <w:rFonts w:cs="Arial"/>
                <w:sz w:val="20"/>
                <w:szCs w:val="20"/>
                <w:lang w:val="sl-SI"/>
              </w:rPr>
              <w:t xml:space="preserve"> regij</w:t>
            </w:r>
            <w:r w:rsidR="006B30CE" w:rsidRPr="00FF207E">
              <w:rPr>
                <w:rFonts w:cs="Arial"/>
                <w:sz w:val="20"/>
                <w:szCs w:val="20"/>
                <w:lang w:val="sl-SI"/>
              </w:rPr>
              <w:t>o</w:t>
            </w:r>
            <w:r w:rsidR="0068148C" w:rsidRPr="00FF207E">
              <w:rPr>
                <w:rFonts w:cs="Arial"/>
                <w:sz w:val="20"/>
                <w:szCs w:val="20"/>
                <w:lang w:val="sl-SI"/>
              </w:rPr>
              <w:t>;</w:t>
            </w:r>
            <w:r w:rsidR="001B6103" w:rsidRPr="00FF207E">
              <w:rPr>
                <w:rFonts w:cs="Arial"/>
                <w:sz w:val="20"/>
                <w:szCs w:val="20"/>
                <w:lang w:val="sl-SI"/>
              </w:rPr>
              <w:t xml:space="preserve"> določitev</w:t>
            </w:r>
            <w:r w:rsidRPr="00FF207E">
              <w:rPr>
                <w:rFonts w:cs="Arial"/>
                <w:sz w:val="20"/>
                <w:szCs w:val="20"/>
                <w:lang w:val="sl-SI"/>
              </w:rPr>
              <w:t>,</w:t>
            </w:r>
            <w:r w:rsidR="001B6103" w:rsidRPr="00FF207E">
              <w:rPr>
                <w:rFonts w:cs="Arial"/>
                <w:sz w:val="20"/>
                <w:szCs w:val="20"/>
                <w:lang w:val="sl-SI"/>
              </w:rPr>
              <w:t xml:space="preserve"> kaj kdo dela in kako deluje mreža ter </w:t>
            </w:r>
            <w:r w:rsidR="000666B9" w:rsidRPr="00FF207E">
              <w:rPr>
                <w:rFonts w:cs="Arial"/>
                <w:sz w:val="20"/>
                <w:szCs w:val="20"/>
                <w:lang w:val="sl-SI"/>
              </w:rPr>
              <w:t>ka</w:t>
            </w:r>
            <w:r w:rsidR="00AC1DE8" w:rsidRPr="00FF207E">
              <w:rPr>
                <w:rFonts w:cs="Arial"/>
                <w:sz w:val="20"/>
                <w:szCs w:val="20"/>
                <w:lang w:val="sl-SI"/>
              </w:rPr>
              <w:t xml:space="preserve">j </w:t>
            </w:r>
            <w:r w:rsidRPr="00FF207E">
              <w:rPr>
                <w:rFonts w:cs="Arial"/>
                <w:sz w:val="20"/>
                <w:szCs w:val="20"/>
                <w:lang w:val="sl-SI"/>
              </w:rPr>
              <w:t xml:space="preserve">se </w:t>
            </w:r>
            <w:r w:rsidR="00AC1DE8" w:rsidRPr="00FF207E">
              <w:rPr>
                <w:rFonts w:cs="Arial"/>
                <w:sz w:val="20"/>
                <w:szCs w:val="20"/>
                <w:lang w:val="sl-SI"/>
              </w:rPr>
              <w:t>v</w:t>
            </w:r>
            <w:r w:rsidR="001B6103" w:rsidRPr="00FF207E">
              <w:rPr>
                <w:rFonts w:cs="Arial"/>
                <w:sz w:val="20"/>
                <w:szCs w:val="20"/>
                <w:lang w:val="sl-SI"/>
              </w:rPr>
              <w:t xml:space="preserve"> </w:t>
            </w:r>
            <w:r w:rsidR="00AC1DE8" w:rsidRPr="00FF207E">
              <w:rPr>
                <w:rFonts w:cs="Arial"/>
                <w:sz w:val="20"/>
                <w:szCs w:val="20"/>
                <w:lang w:val="sl-SI"/>
              </w:rPr>
              <w:t xml:space="preserve">mreži </w:t>
            </w:r>
            <w:r w:rsidRPr="00FF207E">
              <w:rPr>
                <w:rFonts w:cs="Arial"/>
                <w:sz w:val="20"/>
                <w:szCs w:val="20"/>
                <w:lang w:val="sl-SI"/>
              </w:rPr>
              <w:t xml:space="preserve">financira </w:t>
            </w:r>
            <w:r w:rsidR="00AC1DE8" w:rsidRPr="00FF207E">
              <w:rPr>
                <w:rFonts w:cs="Arial"/>
                <w:sz w:val="20"/>
                <w:szCs w:val="20"/>
                <w:lang w:val="sl-SI"/>
              </w:rPr>
              <w:t xml:space="preserve">in kako (regionalna koordinatorja </w:t>
            </w:r>
            <w:r w:rsidR="00FE2975" w:rsidRPr="00FF207E">
              <w:rPr>
                <w:rFonts w:cs="Arial"/>
                <w:sz w:val="20"/>
                <w:szCs w:val="20"/>
                <w:lang w:val="sl-SI"/>
              </w:rPr>
              <w:t xml:space="preserve">neformalne mreže </w:t>
            </w:r>
            <w:r w:rsidR="00AC1DE8" w:rsidRPr="00FF207E">
              <w:rPr>
                <w:rFonts w:cs="Arial"/>
                <w:sz w:val="20"/>
                <w:szCs w:val="20"/>
                <w:lang w:val="sl-SI"/>
              </w:rPr>
              <w:t xml:space="preserve">sta zaposlena </w:t>
            </w:r>
            <w:r w:rsidR="00FE2975" w:rsidRPr="00FF207E">
              <w:rPr>
                <w:rFonts w:cs="Arial"/>
                <w:sz w:val="20"/>
                <w:szCs w:val="20"/>
                <w:lang w:val="sl-SI"/>
              </w:rPr>
              <w:t>predvidoma v regionalnih svetovalnih točkah in</w:t>
            </w:r>
            <w:r w:rsidR="00AC1DE8" w:rsidRPr="00FF207E">
              <w:rPr>
                <w:rFonts w:cs="Arial"/>
                <w:sz w:val="20"/>
                <w:szCs w:val="20"/>
                <w:lang w:val="sl-SI"/>
              </w:rPr>
              <w:t xml:space="preserve"> </w:t>
            </w:r>
            <w:r w:rsidR="00FE2975" w:rsidRPr="00FF207E">
              <w:rPr>
                <w:rFonts w:cs="Arial"/>
                <w:sz w:val="20"/>
                <w:szCs w:val="20"/>
                <w:lang w:val="sl-SI"/>
              </w:rPr>
              <w:t>poleg koordinacije mreže sodelujeta tudi pri izvajanju drugih nalog teh točk</w:t>
            </w:r>
            <w:r w:rsidR="00C74CA7" w:rsidRPr="00FF207E">
              <w:rPr>
                <w:rFonts w:cs="Arial"/>
                <w:sz w:val="20"/>
                <w:szCs w:val="20"/>
                <w:lang w:val="sl-SI"/>
              </w:rPr>
              <w:t>)</w:t>
            </w:r>
            <w:r w:rsidR="001B6103" w:rsidRPr="00FF207E">
              <w:rPr>
                <w:rFonts w:cs="Arial"/>
                <w:sz w:val="20"/>
                <w:szCs w:val="20"/>
                <w:lang w:val="sl-SI"/>
              </w:rPr>
              <w:t xml:space="preserve">; organizacija </w:t>
            </w:r>
            <w:r w:rsidR="0016041C" w:rsidRPr="00FF207E">
              <w:rPr>
                <w:rFonts w:cs="Arial"/>
                <w:sz w:val="20"/>
                <w:szCs w:val="20"/>
                <w:lang w:val="sl-SI"/>
              </w:rPr>
              <w:t xml:space="preserve">dela regionalnih koordinatorjev, </w:t>
            </w:r>
            <w:r w:rsidR="0088748C" w:rsidRPr="00FF207E">
              <w:rPr>
                <w:rFonts w:cs="Arial"/>
                <w:sz w:val="20"/>
                <w:szCs w:val="20"/>
                <w:lang w:val="sl-SI"/>
              </w:rPr>
              <w:t>pridobivanje članov mreže</w:t>
            </w:r>
            <w:r w:rsidR="00000E95" w:rsidRPr="00FF207E">
              <w:rPr>
                <w:rFonts w:cs="Arial"/>
                <w:sz w:val="20"/>
                <w:szCs w:val="20"/>
                <w:lang w:val="sl-SI"/>
              </w:rPr>
              <w:t xml:space="preserve">, </w:t>
            </w:r>
            <w:r w:rsidR="0016041C" w:rsidRPr="00FF207E">
              <w:rPr>
                <w:rFonts w:cs="Arial"/>
                <w:sz w:val="20"/>
                <w:szCs w:val="20"/>
                <w:lang w:val="sl-SI"/>
              </w:rPr>
              <w:t xml:space="preserve">organizacija </w:t>
            </w:r>
            <w:r w:rsidR="001B6103" w:rsidRPr="00FF207E">
              <w:rPr>
                <w:rFonts w:cs="Arial"/>
                <w:sz w:val="20"/>
                <w:szCs w:val="20"/>
                <w:lang w:val="sl-SI"/>
              </w:rPr>
              <w:t>ustanovitvenega srečanja mrež</w:t>
            </w:r>
            <w:r w:rsidR="009F50FD" w:rsidRPr="00FF207E">
              <w:rPr>
                <w:rFonts w:cs="Arial"/>
                <w:sz w:val="20"/>
                <w:szCs w:val="20"/>
                <w:lang w:val="sl-SI"/>
              </w:rPr>
              <w:t>e</w:t>
            </w:r>
            <w:r w:rsidR="0016041C" w:rsidRPr="00FF207E">
              <w:rPr>
                <w:rFonts w:cs="Arial"/>
                <w:sz w:val="20"/>
                <w:szCs w:val="20"/>
                <w:lang w:val="sl-SI"/>
              </w:rPr>
              <w:t xml:space="preserve"> z vsemi deležniki za dogovor o skupnem delu</w:t>
            </w:r>
          </w:p>
        </w:tc>
      </w:tr>
      <w:tr w:rsidR="001B6103" w:rsidRPr="00FF207E" w14:paraId="66E85B86" w14:textId="77777777" w:rsidTr="00B07D4D">
        <w:tc>
          <w:tcPr>
            <w:tcW w:w="567" w:type="dxa"/>
            <w:vMerge/>
            <w:tcBorders>
              <w:left w:val="nil"/>
              <w:right w:val="single" w:sz="4" w:space="0" w:color="548DD4" w:themeColor="text2" w:themeTint="99"/>
            </w:tcBorders>
          </w:tcPr>
          <w:p w14:paraId="62383088" w14:textId="77777777" w:rsidR="001B6103" w:rsidRPr="00FF207E" w:rsidRDefault="001B6103"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20AAC5D9"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5274D3A6" w14:textId="28BB50FC" w:rsidR="001B6103" w:rsidRPr="00FF207E" w:rsidRDefault="000666B9" w:rsidP="001E304B">
            <w:pPr>
              <w:spacing w:line="240" w:lineRule="atLeast"/>
              <w:jc w:val="both"/>
              <w:rPr>
                <w:rFonts w:cs="Arial"/>
                <w:sz w:val="20"/>
                <w:szCs w:val="20"/>
                <w:lang w:val="sl-SI"/>
              </w:rPr>
            </w:pPr>
            <w:r w:rsidRPr="00FF207E">
              <w:rPr>
                <w:rFonts w:cs="Arial"/>
                <w:sz w:val="20"/>
                <w:szCs w:val="20"/>
                <w:lang w:val="sl-SI"/>
              </w:rPr>
              <w:t>p</w:t>
            </w:r>
            <w:r w:rsidR="001B6103" w:rsidRPr="00FF207E">
              <w:rPr>
                <w:rFonts w:cs="Arial"/>
                <w:sz w:val="20"/>
                <w:szCs w:val="20"/>
                <w:lang w:val="sl-SI"/>
              </w:rPr>
              <w:t>rojektna pisarna</w:t>
            </w:r>
            <w:r w:rsidR="0016041C" w:rsidRPr="00FF207E">
              <w:rPr>
                <w:rFonts w:cs="Arial"/>
                <w:sz w:val="20"/>
                <w:szCs w:val="20"/>
                <w:lang w:val="sl-SI"/>
              </w:rPr>
              <w:t>, regionalne svetovalne točke</w:t>
            </w:r>
          </w:p>
        </w:tc>
      </w:tr>
      <w:tr w:rsidR="001B6103" w:rsidRPr="00FF207E" w14:paraId="612827F8" w14:textId="77777777" w:rsidTr="00B07D4D">
        <w:tc>
          <w:tcPr>
            <w:tcW w:w="567" w:type="dxa"/>
            <w:vMerge/>
            <w:tcBorders>
              <w:left w:val="nil"/>
              <w:right w:val="single" w:sz="4" w:space="0" w:color="548DD4" w:themeColor="text2" w:themeTint="99"/>
            </w:tcBorders>
          </w:tcPr>
          <w:p w14:paraId="7B0C03CF" w14:textId="77777777" w:rsidR="001B6103" w:rsidRPr="00FF207E" w:rsidRDefault="001B6103"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6FB1E21"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3ABF8A44" w14:textId="0C8DE00C" w:rsidR="001B6103" w:rsidRPr="00FF207E" w:rsidRDefault="000666B9" w:rsidP="001E304B">
            <w:pPr>
              <w:spacing w:line="240" w:lineRule="atLeast"/>
              <w:jc w:val="both"/>
              <w:rPr>
                <w:rFonts w:cs="Arial"/>
                <w:sz w:val="20"/>
                <w:szCs w:val="20"/>
                <w:lang w:val="sl-SI"/>
              </w:rPr>
            </w:pPr>
            <w:r w:rsidRPr="00FF207E">
              <w:rPr>
                <w:rFonts w:cs="Arial"/>
                <w:sz w:val="20"/>
                <w:szCs w:val="20"/>
                <w:lang w:val="sl-SI"/>
              </w:rPr>
              <w:t>l</w:t>
            </w:r>
            <w:r w:rsidR="001B6103" w:rsidRPr="00FF207E">
              <w:rPr>
                <w:rFonts w:cs="Arial"/>
                <w:sz w:val="20"/>
                <w:szCs w:val="20"/>
                <w:lang w:val="sl-SI"/>
              </w:rPr>
              <w:t>okalne energetske in/ali razvojne agencije, socialni akterji – CSD, socialne organizacije, ENSVET, humanitarne organizacije, občine, izvajalci patronažnega varstva</w:t>
            </w:r>
            <w:r w:rsidR="00A97384" w:rsidRPr="00FF207E">
              <w:rPr>
                <w:rFonts w:cs="Arial"/>
                <w:sz w:val="20"/>
                <w:szCs w:val="20"/>
                <w:lang w:val="sl-SI"/>
              </w:rPr>
              <w:t xml:space="preserve">, </w:t>
            </w:r>
            <w:r w:rsidR="00D3699E" w:rsidRPr="00FF207E">
              <w:rPr>
                <w:rFonts w:cs="Arial"/>
                <w:sz w:val="20"/>
                <w:szCs w:val="20"/>
                <w:lang w:val="sl-SI"/>
              </w:rPr>
              <w:t xml:space="preserve">društva upokojencev, akterji, ki </w:t>
            </w:r>
            <w:r w:rsidR="00D3699E" w:rsidRPr="00FF207E">
              <w:rPr>
                <w:rFonts w:cs="Arial"/>
                <w:sz w:val="20"/>
                <w:szCs w:val="20"/>
                <w:lang w:val="sl-SI"/>
              </w:rPr>
              <w:lastRenderedPageBreak/>
              <w:t xml:space="preserve">delujejo na področju </w:t>
            </w:r>
            <w:proofErr w:type="spellStart"/>
            <w:r w:rsidR="00D3699E" w:rsidRPr="00FF207E">
              <w:rPr>
                <w:rFonts w:cs="Arial"/>
                <w:sz w:val="20"/>
                <w:szCs w:val="20"/>
                <w:lang w:val="sl-SI"/>
              </w:rPr>
              <w:t>opolnomočenja</w:t>
            </w:r>
            <w:proofErr w:type="spellEnd"/>
            <w:r w:rsidR="00D3699E" w:rsidRPr="00FF207E">
              <w:rPr>
                <w:rFonts w:cs="Arial"/>
                <w:sz w:val="20"/>
                <w:szCs w:val="20"/>
                <w:lang w:val="sl-SI"/>
              </w:rPr>
              <w:t xml:space="preserve"> žensk, </w:t>
            </w:r>
            <w:r w:rsidR="00A97384" w:rsidRPr="00FF207E">
              <w:rPr>
                <w:rFonts w:cs="Arial"/>
                <w:sz w:val="20"/>
                <w:szCs w:val="20"/>
                <w:lang w:val="sl-SI"/>
              </w:rPr>
              <w:t>dobavitelji energije, operaterji distribucijskih sistemov …</w:t>
            </w:r>
          </w:p>
        </w:tc>
      </w:tr>
      <w:tr w:rsidR="00D70259" w:rsidRPr="00FF207E" w14:paraId="669947BE" w14:textId="77777777" w:rsidTr="00D70259">
        <w:tc>
          <w:tcPr>
            <w:tcW w:w="567" w:type="dxa"/>
            <w:vMerge/>
            <w:tcBorders>
              <w:left w:val="nil"/>
              <w:bottom w:val="single" w:sz="4" w:space="0" w:color="548DD4" w:themeColor="text2" w:themeTint="99"/>
              <w:right w:val="single" w:sz="4" w:space="0" w:color="548DD4" w:themeColor="text2" w:themeTint="99"/>
            </w:tcBorders>
          </w:tcPr>
          <w:p w14:paraId="5C924A0E" w14:textId="77777777" w:rsidR="00D70259" w:rsidRPr="00FF207E" w:rsidRDefault="00D7025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732FE9AD" w14:textId="77777777" w:rsidR="00D70259" w:rsidRPr="00FF207E" w:rsidRDefault="00D70259"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102495F3" w14:textId="2BF4BDCE" w:rsidR="00D70259" w:rsidRPr="00FF207E" w:rsidRDefault="00C90996" w:rsidP="00B22729">
            <w:pPr>
              <w:spacing w:line="240" w:lineRule="atLeast"/>
              <w:jc w:val="both"/>
              <w:rPr>
                <w:rFonts w:cs="Arial"/>
                <w:sz w:val="20"/>
                <w:szCs w:val="20"/>
                <w:lang w:val="sl-SI"/>
              </w:rPr>
            </w:pPr>
            <w:r w:rsidRPr="00FF207E">
              <w:rPr>
                <w:rFonts w:cs="Arial"/>
                <w:sz w:val="20"/>
                <w:szCs w:val="20"/>
                <w:lang w:val="sl-SI"/>
              </w:rPr>
              <w:t xml:space="preserve">določitev strukture mreže </w:t>
            </w:r>
            <w:r w:rsidR="00A11696" w:rsidRPr="00FF207E">
              <w:rPr>
                <w:rFonts w:cs="Arial"/>
                <w:sz w:val="20"/>
                <w:szCs w:val="20"/>
                <w:lang w:val="sl-SI"/>
              </w:rPr>
              <w:t>1</w:t>
            </w:r>
            <w:r w:rsidR="00A060CD" w:rsidRPr="00FF207E">
              <w:rPr>
                <w:rFonts w:cs="Arial"/>
                <w:sz w:val="20"/>
                <w:szCs w:val="20"/>
                <w:lang w:val="sl-SI"/>
              </w:rPr>
              <w:t>1</w:t>
            </w:r>
            <w:r w:rsidRPr="00FF207E">
              <w:rPr>
                <w:rFonts w:cs="Arial"/>
                <w:sz w:val="20"/>
                <w:szCs w:val="20"/>
                <w:lang w:val="sl-SI"/>
              </w:rPr>
              <w:t>/202</w:t>
            </w:r>
            <w:r w:rsidR="00A11696" w:rsidRPr="00FF207E">
              <w:rPr>
                <w:rFonts w:cs="Arial"/>
                <w:sz w:val="20"/>
                <w:szCs w:val="20"/>
                <w:lang w:val="sl-SI"/>
              </w:rPr>
              <w:t>5</w:t>
            </w:r>
            <w:r w:rsidRPr="00FF207E">
              <w:rPr>
                <w:rFonts w:cs="Arial"/>
                <w:sz w:val="20"/>
                <w:szCs w:val="20"/>
                <w:lang w:val="sl-SI"/>
              </w:rPr>
              <w:t>; srečanje 202</w:t>
            </w:r>
            <w:r w:rsidR="00A11696" w:rsidRPr="00FF207E">
              <w:rPr>
                <w:rFonts w:cs="Arial"/>
                <w:sz w:val="20"/>
                <w:szCs w:val="20"/>
                <w:lang w:val="sl-SI"/>
              </w:rPr>
              <w:t>6</w:t>
            </w:r>
          </w:p>
        </w:tc>
      </w:tr>
      <w:tr w:rsidR="001B6103" w:rsidRPr="00FF207E" w14:paraId="39927F32" w14:textId="77777777" w:rsidTr="00D70259">
        <w:tc>
          <w:tcPr>
            <w:tcW w:w="567" w:type="dxa"/>
            <w:vMerge w:val="restart"/>
            <w:tcBorders>
              <w:top w:val="single" w:sz="4" w:space="0" w:color="548DD4" w:themeColor="text2" w:themeTint="99"/>
              <w:left w:val="nil"/>
              <w:right w:val="single" w:sz="4" w:space="0" w:color="548DD4" w:themeColor="text2" w:themeTint="99"/>
            </w:tcBorders>
            <w:vAlign w:val="center"/>
          </w:tcPr>
          <w:p w14:paraId="7B6E2673" w14:textId="77777777" w:rsidR="001B6103" w:rsidRPr="00FF207E" w:rsidRDefault="001B6103" w:rsidP="001E304B">
            <w:pPr>
              <w:spacing w:line="240" w:lineRule="atLeast"/>
              <w:jc w:val="both"/>
              <w:rPr>
                <w:rFonts w:cs="Arial"/>
                <w:b/>
                <w:sz w:val="24"/>
                <w:lang w:val="sl-SI"/>
              </w:rPr>
            </w:pPr>
            <w:r w:rsidRPr="00FF207E">
              <w:rPr>
                <w:rFonts w:cs="Arial"/>
                <w:b/>
                <w:sz w:val="24"/>
                <w:lang w:val="sl-SI"/>
              </w:rPr>
              <w:t>3</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4BC60BC7"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07BEB0D5" w14:textId="13471F73" w:rsidR="001B6103" w:rsidRPr="00FF207E" w:rsidRDefault="00893AA6" w:rsidP="001E304B">
            <w:pPr>
              <w:spacing w:line="240" w:lineRule="atLeast"/>
              <w:jc w:val="both"/>
              <w:rPr>
                <w:rFonts w:cs="Arial"/>
                <w:sz w:val="20"/>
                <w:szCs w:val="20"/>
                <w:lang w:val="sl-SI"/>
              </w:rPr>
            </w:pPr>
            <w:r w:rsidRPr="00FF207E">
              <w:rPr>
                <w:rFonts w:cs="Arial"/>
                <w:sz w:val="20"/>
                <w:szCs w:val="20"/>
                <w:lang w:val="sl-SI"/>
              </w:rPr>
              <w:t>z</w:t>
            </w:r>
            <w:r w:rsidR="00AC1DE8" w:rsidRPr="00FF207E">
              <w:rPr>
                <w:rFonts w:cs="Arial"/>
                <w:sz w:val="20"/>
                <w:szCs w:val="20"/>
                <w:lang w:val="sl-SI"/>
              </w:rPr>
              <w:t xml:space="preserve">ačetno </w:t>
            </w:r>
            <w:r w:rsidR="001B6103" w:rsidRPr="00FF207E">
              <w:rPr>
                <w:rFonts w:cs="Arial"/>
                <w:sz w:val="20"/>
                <w:szCs w:val="20"/>
                <w:lang w:val="sl-SI"/>
              </w:rPr>
              <w:t>usposabljanje članov mreže</w:t>
            </w:r>
            <w:r w:rsidR="006F269C" w:rsidRPr="00FF207E">
              <w:rPr>
                <w:rFonts w:cs="Arial"/>
                <w:sz w:val="20"/>
                <w:szCs w:val="20"/>
                <w:lang w:val="sl-SI"/>
              </w:rPr>
              <w:t>, njegova priprava in izvedba v skladu</w:t>
            </w:r>
            <w:r w:rsidR="001B6103" w:rsidRPr="00FF207E">
              <w:rPr>
                <w:rFonts w:cs="Arial"/>
                <w:sz w:val="20"/>
                <w:szCs w:val="20"/>
                <w:lang w:val="sl-SI"/>
              </w:rPr>
              <w:t xml:space="preserve"> </w:t>
            </w:r>
            <w:r w:rsidR="006F269C" w:rsidRPr="00FF207E">
              <w:rPr>
                <w:rFonts w:cs="Arial"/>
                <w:sz w:val="20"/>
                <w:szCs w:val="20"/>
                <w:lang w:val="sl-SI"/>
              </w:rPr>
              <w:t xml:space="preserve">z </w:t>
            </w:r>
            <w:r w:rsidR="001B6103" w:rsidRPr="00FF207E">
              <w:rPr>
                <w:rFonts w:cs="Arial"/>
                <w:sz w:val="20"/>
                <w:szCs w:val="20"/>
                <w:lang w:val="sl-SI"/>
              </w:rPr>
              <w:t>analiz</w:t>
            </w:r>
            <w:r w:rsidR="006F269C" w:rsidRPr="00FF207E">
              <w:rPr>
                <w:rFonts w:cs="Arial"/>
                <w:sz w:val="20"/>
                <w:szCs w:val="20"/>
                <w:lang w:val="sl-SI"/>
              </w:rPr>
              <w:t>o</w:t>
            </w:r>
            <w:r w:rsidR="001B6103" w:rsidRPr="00FF207E">
              <w:rPr>
                <w:rFonts w:cs="Arial"/>
                <w:sz w:val="20"/>
                <w:szCs w:val="20"/>
                <w:lang w:val="sl-SI"/>
              </w:rPr>
              <w:t xml:space="preserve"> potreb po znanjih in informacijah za člane mreže</w:t>
            </w:r>
          </w:p>
        </w:tc>
      </w:tr>
      <w:tr w:rsidR="001B6103" w:rsidRPr="00FF207E" w14:paraId="00053860" w14:textId="77777777" w:rsidTr="00B07D4D">
        <w:tc>
          <w:tcPr>
            <w:tcW w:w="567" w:type="dxa"/>
            <w:vMerge/>
            <w:tcBorders>
              <w:left w:val="nil"/>
              <w:right w:val="single" w:sz="4" w:space="0" w:color="548DD4" w:themeColor="text2" w:themeTint="99"/>
            </w:tcBorders>
          </w:tcPr>
          <w:p w14:paraId="44267442" w14:textId="77777777" w:rsidR="001B6103" w:rsidRPr="00FF207E" w:rsidRDefault="001B6103"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246F2AD"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46D8A380" w14:textId="16249CD2" w:rsidR="001B6103" w:rsidRPr="00FF207E" w:rsidRDefault="0016041C" w:rsidP="001E304B">
            <w:pPr>
              <w:spacing w:line="240" w:lineRule="atLeast"/>
              <w:jc w:val="both"/>
              <w:rPr>
                <w:rFonts w:cs="Arial"/>
                <w:sz w:val="20"/>
                <w:szCs w:val="20"/>
                <w:lang w:val="sl-SI"/>
              </w:rPr>
            </w:pPr>
            <w:r w:rsidRPr="00FF207E">
              <w:rPr>
                <w:rFonts w:cs="Arial"/>
                <w:sz w:val="20"/>
                <w:szCs w:val="20"/>
                <w:lang w:val="sl-SI"/>
              </w:rPr>
              <w:t>projektna pisarna, regionalne svetovalne točke</w:t>
            </w:r>
          </w:p>
        </w:tc>
      </w:tr>
      <w:tr w:rsidR="001B6103" w:rsidRPr="00FF207E" w14:paraId="191E907C" w14:textId="77777777" w:rsidTr="00B07D4D">
        <w:tc>
          <w:tcPr>
            <w:tcW w:w="567" w:type="dxa"/>
            <w:vMerge/>
            <w:tcBorders>
              <w:left w:val="nil"/>
              <w:right w:val="single" w:sz="4" w:space="0" w:color="548DD4" w:themeColor="text2" w:themeTint="99"/>
            </w:tcBorders>
          </w:tcPr>
          <w:p w14:paraId="63506A4E" w14:textId="77777777" w:rsidR="001B6103" w:rsidRPr="00FF207E" w:rsidRDefault="001B6103"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F0B0B5B" w14:textId="77777777" w:rsidR="001B6103" w:rsidRPr="00FF207E" w:rsidRDefault="001B6103"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5BF5B4F" w14:textId="12F29192" w:rsidR="001B6103" w:rsidRPr="00FF207E" w:rsidRDefault="00576C5D" w:rsidP="001E304B">
            <w:pPr>
              <w:spacing w:line="240" w:lineRule="atLeast"/>
              <w:jc w:val="both"/>
              <w:rPr>
                <w:rFonts w:cs="Arial"/>
                <w:sz w:val="20"/>
                <w:szCs w:val="20"/>
                <w:lang w:val="sl-SI"/>
              </w:rPr>
            </w:pPr>
            <w:r w:rsidRPr="00FF207E">
              <w:rPr>
                <w:rFonts w:cs="Arial"/>
                <w:sz w:val="20"/>
                <w:szCs w:val="20"/>
                <w:lang w:val="sl-SI"/>
              </w:rPr>
              <w:t>l</w:t>
            </w:r>
            <w:r w:rsidR="001B6103" w:rsidRPr="00FF207E">
              <w:rPr>
                <w:rFonts w:cs="Arial"/>
                <w:sz w:val="20"/>
                <w:szCs w:val="20"/>
                <w:lang w:val="sl-SI"/>
              </w:rPr>
              <w:t>okalne energetske in/ali razvojne agencije, socialni akterji – CSD, socialne organizacije, ENSVET, humanitarne organizacije, občine, izvajalci patronažnega varstva</w:t>
            </w:r>
            <w:r w:rsidR="00D3699E" w:rsidRPr="00FF207E">
              <w:rPr>
                <w:rFonts w:cs="Arial"/>
                <w:sz w:val="20"/>
                <w:szCs w:val="20"/>
                <w:lang w:val="sl-SI"/>
              </w:rPr>
              <w:t>,</w:t>
            </w:r>
            <w:r w:rsidR="0016041C" w:rsidRPr="00FF207E">
              <w:rPr>
                <w:rFonts w:cs="Arial"/>
                <w:sz w:val="20"/>
                <w:szCs w:val="20"/>
                <w:lang w:val="sl-SI"/>
              </w:rPr>
              <w:t xml:space="preserve"> </w:t>
            </w:r>
            <w:r w:rsidR="00D3699E" w:rsidRPr="00FF207E">
              <w:rPr>
                <w:rFonts w:cs="Arial"/>
                <w:sz w:val="20"/>
                <w:szCs w:val="20"/>
                <w:lang w:val="sl-SI"/>
              </w:rPr>
              <w:t xml:space="preserve">društva upokojencev, akterji, ki delujejo na področju </w:t>
            </w:r>
            <w:proofErr w:type="spellStart"/>
            <w:r w:rsidR="00D3699E" w:rsidRPr="00FF207E">
              <w:rPr>
                <w:rFonts w:cs="Arial"/>
                <w:sz w:val="20"/>
                <w:szCs w:val="20"/>
                <w:lang w:val="sl-SI"/>
              </w:rPr>
              <w:t>opolnomočenja</w:t>
            </w:r>
            <w:proofErr w:type="spellEnd"/>
            <w:r w:rsidR="00D3699E" w:rsidRPr="00FF207E">
              <w:rPr>
                <w:rFonts w:cs="Arial"/>
                <w:sz w:val="20"/>
                <w:szCs w:val="20"/>
                <w:lang w:val="sl-SI"/>
              </w:rPr>
              <w:t xml:space="preserve"> žensk, dobavitelji energije, operaterji distribucijskih sistemov </w:t>
            </w:r>
            <w:r w:rsidR="001B6103" w:rsidRPr="00FF207E">
              <w:rPr>
                <w:rFonts w:cs="Arial"/>
                <w:sz w:val="20"/>
                <w:szCs w:val="20"/>
                <w:lang w:val="sl-SI"/>
              </w:rPr>
              <w:t>…</w:t>
            </w:r>
          </w:p>
        </w:tc>
      </w:tr>
      <w:tr w:rsidR="00D70259" w:rsidRPr="00FF207E" w14:paraId="652EE0A1" w14:textId="77777777" w:rsidTr="00D70259">
        <w:tc>
          <w:tcPr>
            <w:tcW w:w="567" w:type="dxa"/>
            <w:vMerge/>
            <w:tcBorders>
              <w:left w:val="nil"/>
              <w:bottom w:val="single" w:sz="4" w:space="0" w:color="548DD4" w:themeColor="text2" w:themeTint="99"/>
              <w:right w:val="single" w:sz="4" w:space="0" w:color="548DD4" w:themeColor="text2" w:themeTint="99"/>
            </w:tcBorders>
          </w:tcPr>
          <w:p w14:paraId="4499B405" w14:textId="77777777" w:rsidR="00D70259" w:rsidRPr="00FF207E" w:rsidRDefault="00D7025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579C0EE3" w14:textId="77777777" w:rsidR="00D70259" w:rsidRPr="00FF207E" w:rsidRDefault="00D70259"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18F409F6" w14:textId="11D1F581" w:rsidR="00D70259" w:rsidRPr="00FF207E" w:rsidRDefault="00A11696" w:rsidP="001E304B">
            <w:pPr>
              <w:spacing w:line="240" w:lineRule="atLeast"/>
              <w:jc w:val="both"/>
              <w:rPr>
                <w:rFonts w:cs="Arial"/>
                <w:sz w:val="20"/>
                <w:szCs w:val="20"/>
                <w:lang w:val="sl-SI"/>
              </w:rPr>
            </w:pPr>
            <w:r w:rsidRPr="00FF207E">
              <w:rPr>
                <w:rFonts w:cs="Arial"/>
                <w:sz w:val="20"/>
                <w:szCs w:val="20"/>
                <w:lang w:val="sl-SI"/>
              </w:rPr>
              <w:t>3/2026</w:t>
            </w:r>
          </w:p>
        </w:tc>
      </w:tr>
      <w:tr w:rsidR="00322576" w:rsidRPr="00FF207E" w14:paraId="4442809D" w14:textId="77777777" w:rsidTr="00D70259">
        <w:tc>
          <w:tcPr>
            <w:tcW w:w="567" w:type="dxa"/>
            <w:vMerge w:val="restart"/>
            <w:tcBorders>
              <w:top w:val="single" w:sz="4" w:space="0" w:color="548DD4" w:themeColor="text2" w:themeTint="99"/>
              <w:left w:val="nil"/>
              <w:right w:val="single" w:sz="4" w:space="0" w:color="548DD4" w:themeColor="text2" w:themeTint="99"/>
            </w:tcBorders>
            <w:vAlign w:val="center"/>
          </w:tcPr>
          <w:p w14:paraId="0FF60B82" w14:textId="77777777" w:rsidR="00322576" w:rsidRPr="00FF207E" w:rsidRDefault="00322576" w:rsidP="001E304B">
            <w:pPr>
              <w:spacing w:line="240" w:lineRule="atLeast"/>
              <w:jc w:val="both"/>
              <w:rPr>
                <w:rFonts w:cs="Arial"/>
                <w:b/>
                <w:sz w:val="24"/>
                <w:lang w:val="sl-SI"/>
              </w:rPr>
            </w:pPr>
            <w:r w:rsidRPr="00FF207E">
              <w:rPr>
                <w:rFonts w:cs="Arial"/>
                <w:b/>
                <w:sz w:val="24"/>
                <w:lang w:val="sl-SI"/>
              </w:rPr>
              <w:t>4</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6D243BDC" w14:textId="77777777" w:rsidR="00322576" w:rsidRPr="00FF207E" w:rsidRDefault="00322576"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22196B9F" w14:textId="3D795461" w:rsidR="00322576" w:rsidRPr="00FF207E" w:rsidRDefault="00FC49FF" w:rsidP="00FC49FF">
            <w:pPr>
              <w:spacing w:line="240" w:lineRule="atLeast"/>
              <w:jc w:val="both"/>
              <w:rPr>
                <w:rFonts w:cs="Arial"/>
                <w:sz w:val="20"/>
                <w:szCs w:val="20"/>
                <w:lang w:val="sl-SI"/>
              </w:rPr>
            </w:pPr>
            <w:r w:rsidRPr="00FF207E">
              <w:rPr>
                <w:rFonts w:cs="Arial"/>
                <w:sz w:val="20"/>
                <w:szCs w:val="20"/>
                <w:lang w:val="sl-SI"/>
              </w:rPr>
              <w:t>i</w:t>
            </w:r>
            <w:r w:rsidR="006B30CE" w:rsidRPr="00FF207E">
              <w:rPr>
                <w:rFonts w:cs="Arial"/>
                <w:sz w:val="20"/>
                <w:szCs w:val="20"/>
                <w:lang w:val="sl-SI"/>
              </w:rPr>
              <w:t xml:space="preserve">zdelava načrta dela mreže za obdobje </w:t>
            </w:r>
            <w:r w:rsidR="00A11696" w:rsidRPr="00FF207E">
              <w:rPr>
                <w:rFonts w:cs="Arial"/>
                <w:sz w:val="20"/>
                <w:szCs w:val="20"/>
                <w:lang w:val="sl-SI"/>
              </w:rPr>
              <w:t>2026</w:t>
            </w:r>
            <w:r w:rsidR="006B30CE" w:rsidRPr="00FF207E">
              <w:rPr>
                <w:rFonts w:cs="Arial"/>
                <w:sz w:val="20"/>
                <w:szCs w:val="20"/>
                <w:lang w:val="sl-SI"/>
              </w:rPr>
              <w:t>–</w:t>
            </w:r>
            <w:r w:rsidR="00A11696" w:rsidRPr="00FF207E">
              <w:rPr>
                <w:rFonts w:cs="Arial"/>
                <w:sz w:val="20"/>
                <w:szCs w:val="20"/>
                <w:lang w:val="sl-SI"/>
              </w:rPr>
              <w:t>2027</w:t>
            </w:r>
            <w:r w:rsidR="006B30CE" w:rsidRPr="00FF207E">
              <w:rPr>
                <w:rFonts w:cs="Arial"/>
                <w:sz w:val="20"/>
                <w:szCs w:val="20"/>
                <w:lang w:val="sl-SI"/>
              </w:rPr>
              <w:t>, ki vsebuje redno ozaveščanje in informiranje</w:t>
            </w:r>
            <w:r w:rsidR="0012187A" w:rsidRPr="00FF207E">
              <w:rPr>
                <w:rFonts w:cs="Arial"/>
                <w:sz w:val="20"/>
                <w:szCs w:val="20"/>
                <w:lang w:val="sl-SI"/>
              </w:rPr>
              <w:t xml:space="preserve"> energetsko revnih</w:t>
            </w:r>
            <w:r w:rsidR="006B30CE" w:rsidRPr="00FF207E">
              <w:rPr>
                <w:rFonts w:cs="Arial"/>
                <w:sz w:val="20"/>
                <w:szCs w:val="20"/>
                <w:lang w:val="sl-SI"/>
              </w:rPr>
              <w:t xml:space="preserve"> ter vsaj </w:t>
            </w:r>
            <w:r w:rsidR="00A11696" w:rsidRPr="00FF207E">
              <w:rPr>
                <w:rFonts w:cs="Arial"/>
                <w:sz w:val="20"/>
                <w:szCs w:val="20"/>
                <w:lang w:val="sl-SI"/>
              </w:rPr>
              <w:t xml:space="preserve">dve </w:t>
            </w:r>
            <w:r w:rsidR="006B30CE" w:rsidRPr="00FF207E">
              <w:rPr>
                <w:rFonts w:cs="Arial"/>
                <w:sz w:val="20"/>
                <w:szCs w:val="20"/>
                <w:lang w:val="sl-SI"/>
              </w:rPr>
              <w:t>informacijsko-</w:t>
            </w:r>
            <w:r w:rsidR="00A11696" w:rsidRPr="00FF207E">
              <w:rPr>
                <w:rFonts w:cs="Arial"/>
                <w:sz w:val="20"/>
                <w:szCs w:val="20"/>
                <w:lang w:val="sl-SI"/>
              </w:rPr>
              <w:t>ozaveščevalni kampanji</w:t>
            </w:r>
            <w:r w:rsidRPr="00FF207E">
              <w:rPr>
                <w:rFonts w:cs="Arial"/>
                <w:sz w:val="20"/>
                <w:szCs w:val="20"/>
                <w:lang w:val="sl-SI"/>
              </w:rPr>
              <w:t>;</w:t>
            </w:r>
            <w:r w:rsidR="00216D66" w:rsidRPr="00FF207E">
              <w:rPr>
                <w:rFonts w:cs="Arial"/>
                <w:sz w:val="20"/>
                <w:szCs w:val="20"/>
                <w:lang w:val="sl-SI"/>
              </w:rPr>
              <w:t xml:space="preserve"> </w:t>
            </w:r>
            <w:r w:rsidRPr="00FF207E">
              <w:rPr>
                <w:rFonts w:cs="Arial"/>
                <w:sz w:val="20"/>
                <w:szCs w:val="20"/>
                <w:lang w:val="sl-SI"/>
              </w:rPr>
              <w:t>n</w:t>
            </w:r>
            <w:r w:rsidR="00216D66" w:rsidRPr="00FF207E">
              <w:rPr>
                <w:rFonts w:cs="Arial"/>
                <w:sz w:val="20"/>
                <w:szCs w:val="20"/>
                <w:lang w:val="sl-SI"/>
              </w:rPr>
              <w:t>ačrtuje</w:t>
            </w:r>
            <w:r w:rsidRPr="00FF207E">
              <w:rPr>
                <w:rFonts w:cs="Arial"/>
                <w:sz w:val="20"/>
                <w:szCs w:val="20"/>
                <w:lang w:val="sl-SI"/>
              </w:rPr>
              <w:t>jo</w:t>
            </w:r>
            <w:r w:rsidR="00216D66" w:rsidRPr="00FF207E">
              <w:rPr>
                <w:rFonts w:cs="Arial"/>
                <w:sz w:val="20"/>
                <w:szCs w:val="20"/>
                <w:lang w:val="sl-SI"/>
              </w:rPr>
              <w:t xml:space="preserve"> se </w:t>
            </w:r>
            <w:r w:rsidR="003249EA" w:rsidRPr="00FF207E">
              <w:rPr>
                <w:rFonts w:cs="Arial"/>
                <w:sz w:val="20"/>
                <w:szCs w:val="20"/>
                <w:lang w:val="sl-SI"/>
              </w:rPr>
              <w:t xml:space="preserve">dejavnosti </w:t>
            </w:r>
            <w:r w:rsidR="00216D66" w:rsidRPr="00FF207E">
              <w:rPr>
                <w:rFonts w:cs="Arial"/>
                <w:sz w:val="20"/>
                <w:szCs w:val="20"/>
                <w:lang w:val="sl-SI"/>
              </w:rPr>
              <w:t>mreže, ki ne bodo opredeljene v komunikacijskem načrtu</w:t>
            </w:r>
          </w:p>
        </w:tc>
      </w:tr>
      <w:tr w:rsidR="00322576" w:rsidRPr="00FF207E" w14:paraId="4CF47362" w14:textId="77777777" w:rsidTr="005A20B8">
        <w:tc>
          <w:tcPr>
            <w:tcW w:w="567" w:type="dxa"/>
            <w:vMerge/>
            <w:tcBorders>
              <w:left w:val="nil"/>
              <w:right w:val="single" w:sz="4" w:space="0" w:color="548DD4" w:themeColor="text2" w:themeTint="99"/>
            </w:tcBorders>
          </w:tcPr>
          <w:p w14:paraId="464CD64F" w14:textId="77777777" w:rsidR="00322576" w:rsidRPr="00FF207E" w:rsidRDefault="00322576"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CC67549" w14:textId="77777777" w:rsidR="00322576" w:rsidRPr="00FF207E" w:rsidRDefault="00322576"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348E2A2B" w14:textId="77777777" w:rsidR="00322576" w:rsidRPr="00FF207E" w:rsidRDefault="00322576" w:rsidP="001E304B">
            <w:pPr>
              <w:spacing w:line="240" w:lineRule="atLeast"/>
              <w:jc w:val="both"/>
              <w:rPr>
                <w:rFonts w:cs="Arial"/>
                <w:sz w:val="20"/>
                <w:szCs w:val="20"/>
                <w:lang w:val="sl-SI"/>
              </w:rPr>
            </w:pPr>
            <w:r w:rsidRPr="00FF207E">
              <w:rPr>
                <w:rFonts w:cs="Arial"/>
                <w:sz w:val="20"/>
                <w:szCs w:val="20"/>
                <w:lang w:val="sl-SI"/>
              </w:rPr>
              <w:t>projektna pisarna</w:t>
            </w:r>
          </w:p>
        </w:tc>
      </w:tr>
      <w:tr w:rsidR="00322576" w:rsidRPr="00FF207E" w14:paraId="5001819F" w14:textId="77777777" w:rsidTr="005A20B8">
        <w:tc>
          <w:tcPr>
            <w:tcW w:w="567" w:type="dxa"/>
            <w:vMerge/>
            <w:tcBorders>
              <w:left w:val="nil"/>
              <w:right w:val="single" w:sz="4" w:space="0" w:color="548DD4" w:themeColor="text2" w:themeTint="99"/>
            </w:tcBorders>
          </w:tcPr>
          <w:p w14:paraId="58FB668B" w14:textId="77777777" w:rsidR="00322576" w:rsidRPr="00FF207E" w:rsidRDefault="00322576"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F99CA92" w14:textId="77777777" w:rsidR="00322576" w:rsidRPr="00FF207E" w:rsidRDefault="00322576"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9FD2859" w14:textId="1DDF15FA" w:rsidR="00322576" w:rsidRPr="00FF207E" w:rsidRDefault="00322576" w:rsidP="001E304B">
            <w:pPr>
              <w:spacing w:line="240" w:lineRule="atLeast"/>
              <w:jc w:val="both"/>
              <w:rPr>
                <w:rFonts w:cs="Arial"/>
                <w:sz w:val="20"/>
                <w:szCs w:val="20"/>
                <w:lang w:val="sl-SI"/>
              </w:rPr>
            </w:pPr>
            <w:r w:rsidRPr="00FF207E">
              <w:rPr>
                <w:rFonts w:cs="Arial"/>
                <w:sz w:val="20"/>
                <w:szCs w:val="20"/>
                <w:lang w:val="sl-SI"/>
              </w:rPr>
              <w:t>lokalne energetske in/ali razvojne agencije, socialni akterji – CSD, socialne organizacije, ENSVET mreža, humanitarne organizacije, občine, izvajalci patronažnega varstv</w:t>
            </w:r>
            <w:r w:rsidR="00A97384" w:rsidRPr="00FF207E">
              <w:rPr>
                <w:rFonts w:cs="Arial"/>
                <w:sz w:val="20"/>
                <w:szCs w:val="20"/>
                <w:lang w:val="sl-SI"/>
              </w:rPr>
              <w:t xml:space="preserve">a, </w:t>
            </w:r>
            <w:r w:rsidR="00D3699E" w:rsidRPr="00FF207E">
              <w:rPr>
                <w:rFonts w:cs="Arial"/>
                <w:sz w:val="20"/>
                <w:szCs w:val="20"/>
                <w:lang w:val="sl-SI"/>
              </w:rPr>
              <w:t xml:space="preserve">društva upokojencev, akterji, ki delujejo na področju </w:t>
            </w:r>
            <w:proofErr w:type="spellStart"/>
            <w:r w:rsidR="00D3699E" w:rsidRPr="00FF207E">
              <w:rPr>
                <w:rFonts w:cs="Arial"/>
                <w:sz w:val="20"/>
                <w:szCs w:val="20"/>
                <w:lang w:val="sl-SI"/>
              </w:rPr>
              <w:t>opolnomočenja</w:t>
            </w:r>
            <w:proofErr w:type="spellEnd"/>
            <w:r w:rsidR="00D3699E" w:rsidRPr="00FF207E">
              <w:rPr>
                <w:rFonts w:cs="Arial"/>
                <w:sz w:val="20"/>
                <w:szCs w:val="20"/>
                <w:lang w:val="sl-SI"/>
              </w:rPr>
              <w:t xml:space="preserve"> žensk, </w:t>
            </w:r>
            <w:r w:rsidR="00A97384" w:rsidRPr="00FF207E">
              <w:rPr>
                <w:rFonts w:cs="Arial"/>
                <w:sz w:val="20"/>
                <w:szCs w:val="20"/>
                <w:lang w:val="sl-SI"/>
              </w:rPr>
              <w:t>dobavitelji energije, operaterji distribucijskih sistemov …</w:t>
            </w:r>
          </w:p>
        </w:tc>
      </w:tr>
      <w:tr w:rsidR="00D70259" w:rsidRPr="00FF207E" w14:paraId="04F0E9FF" w14:textId="77777777" w:rsidTr="00D70259">
        <w:tc>
          <w:tcPr>
            <w:tcW w:w="567" w:type="dxa"/>
            <w:vMerge/>
            <w:tcBorders>
              <w:left w:val="nil"/>
              <w:bottom w:val="single" w:sz="4" w:space="0" w:color="548DD4" w:themeColor="text2" w:themeTint="99"/>
              <w:right w:val="single" w:sz="4" w:space="0" w:color="548DD4" w:themeColor="text2" w:themeTint="99"/>
            </w:tcBorders>
          </w:tcPr>
          <w:p w14:paraId="64D69FCE" w14:textId="77777777" w:rsidR="00D70259" w:rsidRPr="00FF207E" w:rsidRDefault="00D7025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18BD8305" w14:textId="77777777" w:rsidR="00D70259" w:rsidRPr="00FF207E" w:rsidRDefault="00D70259"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395820D9" w14:textId="7DC6555C" w:rsidR="00D70259" w:rsidRPr="00FF207E" w:rsidRDefault="00AB6A30" w:rsidP="001E304B">
            <w:pPr>
              <w:spacing w:line="240" w:lineRule="atLeast"/>
              <w:jc w:val="both"/>
              <w:rPr>
                <w:rFonts w:cs="Arial"/>
                <w:sz w:val="20"/>
                <w:szCs w:val="20"/>
                <w:lang w:val="sl-SI"/>
              </w:rPr>
            </w:pPr>
            <w:r w:rsidRPr="00FF207E">
              <w:rPr>
                <w:rFonts w:cs="Arial"/>
                <w:sz w:val="20"/>
                <w:szCs w:val="20"/>
                <w:lang w:val="sl-SI"/>
              </w:rPr>
              <w:t>2025</w:t>
            </w:r>
          </w:p>
        </w:tc>
      </w:tr>
      <w:tr w:rsidR="00D245F9" w:rsidRPr="00FF207E" w14:paraId="19BCD5F2" w14:textId="77777777" w:rsidTr="005C2342">
        <w:tc>
          <w:tcPr>
            <w:tcW w:w="567" w:type="dxa"/>
            <w:vMerge w:val="restart"/>
            <w:tcBorders>
              <w:top w:val="single" w:sz="4" w:space="0" w:color="548DD4" w:themeColor="text2" w:themeTint="99"/>
              <w:left w:val="nil"/>
              <w:right w:val="single" w:sz="4" w:space="0" w:color="548DD4" w:themeColor="text2" w:themeTint="99"/>
            </w:tcBorders>
            <w:vAlign w:val="center"/>
          </w:tcPr>
          <w:p w14:paraId="221FDFF6" w14:textId="60042024" w:rsidR="00D245F9" w:rsidRPr="00FF207E" w:rsidRDefault="00D245F9" w:rsidP="001E304B">
            <w:pPr>
              <w:spacing w:line="240" w:lineRule="atLeast"/>
              <w:jc w:val="both"/>
              <w:rPr>
                <w:rFonts w:cs="Arial"/>
                <w:b/>
                <w:sz w:val="24"/>
                <w:lang w:val="sl-SI"/>
              </w:rPr>
            </w:pPr>
            <w:r w:rsidRPr="00FF207E">
              <w:rPr>
                <w:rFonts w:cs="Arial"/>
                <w:b/>
                <w:sz w:val="24"/>
                <w:lang w:val="sl-SI"/>
              </w:rPr>
              <w:t>5</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3BDF9E7C" w14:textId="77777777" w:rsidR="00D245F9" w:rsidRPr="00FF207E" w:rsidRDefault="00D245F9"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0CCFC4C8" w14:textId="068796E5" w:rsidR="00D245F9" w:rsidRPr="00FF207E" w:rsidRDefault="006A74B5" w:rsidP="006A74B5">
            <w:pPr>
              <w:spacing w:line="240" w:lineRule="atLeast"/>
              <w:jc w:val="both"/>
              <w:rPr>
                <w:rFonts w:cs="Arial"/>
                <w:sz w:val="20"/>
                <w:szCs w:val="20"/>
                <w:lang w:val="sl-SI"/>
              </w:rPr>
            </w:pPr>
            <w:r w:rsidRPr="00FF207E">
              <w:rPr>
                <w:rFonts w:cs="Arial"/>
                <w:sz w:val="20"/>
                <w:szCs w:val="20"/>
                <w:lang w:val="sl-SI"/>
              </w:rPr>
              <w:t>v</w:t>
            </w:r>
            <w:r w:rsidR="00D245F9" w:rsidRPr="00FF207E">
              <w:rPr>
                <w:rFonts w:cs="Arial"/>
                <w:sz w:val="20"/>
                <w:szCs w:val="20"/>
                <w:lang w:val="sl-SI"/>
              </w:rPr>
              <w:t xml:space="preserve">zpostavitev spletnega mesta z aktualnimi informacijami o možnostih za zmanjševanje energetske revščine tako za deležnike, vključene v neformalno mrežo, kot tudi </w:t>
            </w:r>
            <w:r w:rsidRPr="00FF207E">
              <w:rPr>
                <w:rFonts w:cs="Arial"/>
                <w:sz w:val="20"/>
                <w:szCs w:val="20"/>
                <w:lang w:val="sl-SI"/>
              </w:rPr>
              <w:t xml:space="preserve">za </w:t>
            </w:r>
            <w:r w:rsidR="00D245F9" w:rsidRPr="00FF207E">
              <w:rPr>
                <w:rFonts w:cs="Arial"/>
                <w:sz w:val="20"/>
                <w:szCs w:val="20"/>
                <w:lang w:val="sl-SI"/>
              </w:rPr>
              <w:t xml:space="preserve">energetsko revne </w:t>
            </w:r>
            <w:r w:rsidRPr="00FF207E">
              <w:rPr>
                <w:rFonts w:cs="Arial"/>
                <w:color w:val="000000" w:themeColor="text1"/>
                <w:sz w:val="20"/>
                <w:szCs w:val="20"/>
                <w:lang w:val="sl-SI"/>
              </w:rPr>
              <w:t xml:space="preserve">ter </w:t>
            </w:r>
            <w:r w:rsidR="00D245F9" w:rsidRPr="00FF207E">
              <w:rPr>
                <w:rFonts w:cs="Arial"/>
                <w:color w:val="000000" w:themeColor="text1"/>
                <w:sz w:val="20"/>
                <w:szCs w:val="20"/>
                <w:lang w:val="sl-SI"/>
              </w:rPr>
              <w:t xml:space="preserve">njegovo vzdrževanje </w:t>
            </w:r>
            <w:r w:rsidR="00D245F9" w:rsidRPr="00FF207E">
              <w:rPr>
                <w:rFonts w:cs="Arial"/>
                <w:sz w:val="20"/>
                <w:szCs w:val="20"/>
                <w:lang w:val="sl-SI"/>
              </w:rPr>
              <w:t>(priprava vsebin, tehnična rešitev in postavitev spletne strani, vključno z izvedbo naročila)</w:t>
            </w:r>
          </w:p>
        </w:tc>
      </w:tr>
      <w:tr w:rsidR="00D245F9" w:rsidRPr="00FF207E" w14:paraId="61856E24" w14:textId="77777777" w:rsidTr="005C2342">
        <w:tc>
          <w:tcPr>
            <w:tcW w:w="567" w:type="dxa"/>
            <w:vMerge/>
            <w:tcBorders>
              <w:left w:val="nil"/>
              <w:right w:val="single" w:sz="4" w:space="0" w:color="548DD4" w:themeColor="text2" w:themeTint="99"/>
            </w:tcBorders>
          </w:tcPr>
          <w:p w14:paraId="7C685B9C" w14:textId="77777777" w:rsidR="00D245F9" w:rsidRPr="00FF207E" w:rsidRDefault="00D245F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A8F6070" w14:textId="77777777" w:rsidR="00D245F9" w:rsidRPr="00FF207E" w:rsidRDefault="00D245F9"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797390C2" w14:textId="7FC5E1EF" w:rsidR="00D245F9" w:rsidRPr="00FF207E" w:rsidRDefault="00D245F9"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 projektna pisarna z regionalnimi svetovalnimi točkami in regionalnimi koordinatorji neformalnih mrež za informiranje in ozaveščanje</w:t>
            </w:r>
          </w:p>
        </w:tc>
      </w:tr>
      <w:tr w:rsidR="00D245F9" w:rsidRPr="00FF207E" w14:paraId="5BCE9835" w14:textId="77777777" w:rsidTr="005C2342">
        <w:tc>
          <w:tcPr>
            <w:tcW w:w="567" w:type="dxa"/>
            <w:vMerge/>
            <w:tcBorders>
              <w:left w:val="nil"/>
              <w:right w:val="single" w:sz="4" w:space="0" w:color="548DD4" w:themeColor="text2" w:themeTint="99"/>
            </w:tcBorders>
          </w:tcPr>
          <w:p w14:paraId="56DF4B18" w14:textId="77777777" w:rsidR="00D245F9" w:rsidRPr="00FF207E" w:rsidRDefault="00D245F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F50C6C3" w14:textId="77777777" w:rsidR="00D245F9" w:rsidRPr="00FF207E" w:rsidRDefault="00D245F9"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68E60805" w14:textId="41D1FAB2" w:rsidR="00D245F9" w:rsidRPr="00FF207E" w:rsidRDefault="00D245F9" w:rsidP="001E304B">
            <w:pPr>
              <w:spacing w:line="240" w:lineRule="atLeast"/>
              <w:jc w:val="both"/>
              <w:rPr>
                <w:rFonts w:cs="Arial"/>
                <w:sz w:val="20"/>
                <w:szCs w:val="20"/>
                <w:lang w:val="sl-SI"/>
              </w:rPr>
            </w:pPr>
            <w:r w:rsidRPr="00FF207E">
              <w:rPr>
                <w:rFonts w:cs="Arial"/>
                <w:sz w:val="20"/>
                <w:szCs w:val="20"/>
                <w:lang w:val="sl-SI"/>
              </w:rPr>
              <w:t xml:space="preserve">izvajalci ukrepov za zmanjševanje energetske revščine, </w:t>
            </w:r>
            <w:r w:rsidR="00D3699E" w:rsidRPr="00FF207E">
              <w:rPr>
                <w:rFonts w:cs="Arial"/>
                <w:sz w:val="20"/>
                <w:szCs w:val="20"/>
                <w:lang w:val="sl-SI"/>
              </w:rPr>
              <w:t>deležniki</w:t>
            </w:r>
            <w:r w:rsidR="006A74B5" w:rsidRPr="00FF207E">
              <w:rPr>
                <w:rFonts w:cs="Arial"/>
                <w:sz w:val="20"/>
                <w:szCs w:val="20"/>
                <w:lang w:val="sl-SI"/>
              </w:rPr>
              <w:t>,</w:t>
            </w:r>
            <w:r w:rsidR="00D3699E" w:rsidRPr="00FF207E">
              <w:rPr>
                <w:rFonts w:cs="Arial"/>
                <w:sz w:val="20"/>
                <w:szCs w:val="20"/>
                <w:lang w:val="sl-SI"/>
              </w:rPr>
              <w:t xml:space="preserve"> vključeni v neformalno mrežo </w:t>
            </w:r>
            <w:r w:rsidRPr="00FF207E">
              <w:rPr>
                <w:rFonts w:cs="Arial"/>
                <w:sz w:val="20"/>
                <w:szCs w:val="20"/>
                <w:lang w:val="sl-SI"/>
              </w:rPr>
              <w:t>za informiranje in ozaveščanje</w:t>
            </w:r>
          </w:p>
        </w:tc>
      </w:tr>
      <w:tr w:rsidR="00D245F9" w:rsidRPr="00FF207E" w14:paraId="3E33FAEC" w14:textId="77777777" w:rsidTr="005C2342">
        <w:tc>
          <w:tcPr>
            <w:tcW w:w="567" w:type="dxa"/>
            <w:vMerge/>
            <w:tcBorders>
              <w:left w:val="nil"/>
              <w:bottom w:val="single" w:sz="4" w:space="0" w:color="548DD4" w:themeColor="text2" w:themeTint="99"/>
              <w:right w:val="single" w:sz="4" w:space="0" w:color="548DD4" w:themeColor="text2" w:themeTint="99"/>
            </w:tcBorders>
          </w:tcPr>
          <w:p w14:paraId="1FB214C7" w14:textId="77777777" w:rsidR="00D245F9" w:rsidRPr="00FF207E" w:rsidRDefault="00D245F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0DD3E2E0" w14:textId="77777777" w:rsidR="00D245F9" w:rsidRPr="00FF207E" w:rsidRDefault="00D245F9"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14B350EB" w14:textId="522CEE42" w:rsidR="00D245F9" w:rsidRPr="00FF207E" w:rsidRDefault="00AB6A30" w:rsidP="001E304B">
            <w:pPr>
              <w:spacing w:line="240" w:lineRule="atLeast"/>
              <w:jc w:val="both"/>
              <w:rPr>
                <w:rFonts w:cs="Arial"/>
                <w:sz w:val="20"/>
                <w:szCs w:val="20"/>
                <w:lang w:val="sl-SI"/>
              </w:rPr>
            </w:pPr>
            <w:r w:rsidRPr="00FF207E">
              <w:rPr>
                <w:rFonts w:cs="Arial"/>
                <w:sz w:val="20"/>
                <w:szCs w:val="20"/>
                <w:lang w:val="sl-SI"/>
              </w:rPr>
              <w:t>2026</w:t>
            </w:r>
          </w:p>
        </w:tc>
      </w:tr>
      <w:tr w:rsidR="00322576" w:rsidRPr="00FF207E" w14:paraId="4946C428" w14:textId="77777777" w:rsidTr="00D70259">
        <w:tc>
          <w:tcPr>
            <w:tcW w:w="567" w:type="dxa"/>
            <w:vMerge w:val="restart"/>
            <w:tcBorders>
              <w:top w:val="single" w:sz="4" w:space="0" w:color="548DD4" w:themeColor="text2" w:themeTint="99"/>
              <w:left w:val="nil"/>
              <w:right w:val="single" w:sz="4" w:space="0" w:color="548DD4" w:themeColor="text2" w:themeTint="99"/>
            </w:tcBorders>
            <w:vAlign w:val="center"/>
          </w:tcPr>
          <w:p w14:paraId="59183080" w14:textId="78F7FFF7" w:rsidR="00322576" w:rsidRPr="00FF207E" w:rsidRDefault="00D245F9" w:rsidP="001E304B">
            <w:pPr>
              <w:spacing w:line="240" w:lineRule="atLeast"/>
              <w:jc w:val="both"/>
              <w:rPr>
                <w:rFonts w:cs="Arial"/>
                <w:b/>
                <w:sz w:val="24"/>
                <w:lang w:val="sl-SI"/>
              </w:rPr>
            </w:pPr>
            <w:r w:rsidRPr="00FF207E">
              <w:rPr>
                <w:rFonts w:cs="Arial"/>
                <w:b/>
                <w:sz w:val="24"/>
                <w:lang w:val="sl-SI"/>
              </w:rPr>
              <w:t>6</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10098096" w14:textId="77777777" w:rsidR="00322576" w:rsidRPr="00FF207E" w:rsidRDefault="00322576"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5796A50D" w14:textId="1AB48A3D" w:rsidR="00322576" w:rsidRPr="00FF207E" w:rsidRDefault="006A74B5" w:rsidP="001E304B">
            <w:pPr>
              <w:spacing w:line="240" w:lineRule="atLeast"/>
              <w:jc w:val="both"/>
              <w:rPr>
                <w:rFonts w:cs="Arial"/>
                <w:sz w:val="20"/>
                <w:szCs w:val="20"/>
                <w:lang w:val="sl-SI"/>
              </w:rPr>
            </w:pPr>
            <w:r w:rsidRPr="00FF207E">
              <w:rPr>
                <w:rFonts w:cs="Arial"/>
                <w:sz w:val="20"/>
                <w:szCs w:val="20"/>
                <w:lang w:val="sl-SI"/>
              </w:rPr>
              <w:t>p</w:t>
            </w:r>
            <w:r w:rsidR="00322576" w:rsidRPr="00FF207E">
              <w:rPr>
                <w:rFonts w:cs="Arial"/>
                <w:sz w:val="20"/>
                <w:szCs w:val="20"/>
                <w:lang w:val="sl-SI"/>
              </w:rPr>
              <w:t>riprava na delovanje neformalne mreže za informiranje in ozaveščanje v polnem obsegu</w:t>
            </w:r>
            <w:r w:rsidR="001A6854" w:rsidRPr="00FF207E">
              <w:rPr>
                <w:rFonts w:cs="Arial"/>
                <w:sz w:val="20"/>
                <w:szCs w:val="20"/>
                <w:lang w:val="sl-SI"/>
              </w:rPr>
              <w:t>, torej v vseh regijah</w:t>
            </w:r>
            <w:r w:rsidR="00E52F24" w:rsidRPr="00FF207E">
              <w:rPr>
                <w:rFonts w:cs="Arial"/>
                <w:sz w:val="20"/>
                <w:szCs w:val="20"/>
                <w:lang w:val="sl-SI"/>
              </w:rPr>
              <w:t>, vključno s pridobivanjem članov mrež in njihovim usposabljanjem</w:t>
            </w:r>
          </w:p>
        </w:tc>
      </w:tr>
      <w:tr w:rsidR="00322576" w:rsidRPr="00FF207E" w14:paraId="2AA409BC" w14:textId="77777777" w:rsidTr="00B07D4D">
        <w:tc>
          <w:tcPr>
            <w:tcW w:w="567" w:type="dxa"/>
            <w:vMerge/>
            <w:tcBorders>
              <w:left w:val="nil"/>
              <w:right w:val="single" w:sz="4" w:space="0" w:color="548DD4" w:themeColor="text2" w:themeTint="99"/>
            </w:tcBorders>
          </w:tcPr>
          <w:p w14:paraId="3AE0039B" w14:textId="77777777" w:rsidR="00322576" w:rsidRPr="00FF207E" w:rsidRDefault="00322576"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EF71951" w14:textId="77777777" w:rsidR="00322576" w:rsidRPr="00FF207E" w:rsidRDefault="00322576"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8930142" w14:textId="5E940280" w:rsidR="00322576" w:rsidRPr="00FF207E" w:rsidRDefault="00A37B02"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 projektna pisarna</w:t>
            </w:r>
            <w:r w:rsidR="001A6854" w:rsidRPr="00FF207E">
              <w:rPr>
                <w:rFonts w:cs="Arial"/>
                <w:sz w:val="20"/>
                <w:szCs w:val="20"/>
                <w:lang w:val="sl-SI"/>
              </w:rPr>
              <w:t>, regionaln</w:t>
            </w:r>
            <w:r w:rsidR="006C6A7B" w:rsidRPr="00FF207E">
              <w:rPr>
                <w:rFonts w:cs="Arial"/>
                <w:sz w:val="20"/>
                <w:szCs w:val="20"/>
                <w:lang w:val="sl-SI"/>
              </w:rPr>
              <w:t>a</w:t>
            </w:r>
            <w:r w:rsidR="001A6854" w:rsidRPr="00FF207E">
              <w:rPr>
                <w:rFonts w:cs="Arial"/>
                <w:sz w:val="20"/>
                <w:szCs w:val="20"/>
                <w:lang w:val="sl-SI"/>
              </w:rPr>
              <w:t xml:space="preserve"> koordinatorj</w:t>
            </w:r>
            <w:r w:rsidR="006C6A7B" w:rsidRPr="00FF207E">
              <w:rPr>
                <w:rFonts w:cs="Arial"/>
                <w:sz w:val="20"/>
                <w:szCs w:val="20"/>
                <w:lang w:val="sl-SI"/>
              </w:rPr>
              <w:t>a</w:t>
            </w:r>
            <w:r w:rsidR="001A6854" w:rsidRPr="00FF207E">
              <w:rPr>
                <w:rFonts w:cs="Arial"/>
                <w:sz w:val="20"/>
                <w:szCs w:val="20"/>
                <w:lang w:val="sl-SI"/>
              </w:rPr>
              <w:t xml:space="preserve"> neformalnih mrež</w:t>
            </w:r>
          </w:p>
        </w:tc>
      </w:tr>
      <w:tr w:rsidR="00322576" w:rsidRPr="00FF207E" w14:paraId="6A7B5A10" w14:textId="77777777" w:rsidTr="00B07D4D">
        <w:tc>
          <w:tcPr>
            <w:tcW w:w="567" w:type="dxa"/>
            <w:vMerge/>
            <w:tcBorders>
              <w:left w:val="nil"/>
              <w:right w:val="single" w:sz="4" w:space="0" w:color="548DD4" w:themeColor="text2" w:themeTint="99"/>
            </w:tcBorders>
          </w:tcPr>
          <w:p w14:paraId="72163315" w14:textId="77777777" w:rsidR="00322576" w:rsidRPr="00FF207E" w:rsidRDefault="00322576"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58B298E6" w14:textId="77777777" w:rsidR="00322576" w:rsidRPr="00FF207E" w:rsidRDefault="00322576"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56A09B86" w14:textId="3921551A" w:rsidR="00322576" w:rsidRPr="00FF207E" w:rsidRDefault="00322576" w:rsidP="001E304B">
            <w:pPr>
              <w:spacing w:line="240" w:lineRule="atLeast"/>
              <w:jc w:val="both"/>
              <w:rPr>
                <w:rFonts w:cs="Arial"/>
                <w:sz w:val="20"/>
                <w:szCs w:val="20"/>
                <w:lang w:val="sl-SI"/>
              </w:rPr>
            </w:pPr>
            <w:r w:rsidRPr="00FF207E">
              <w:rPr>
                <w:rFonts w:cs="Arial"/>
                <w:sz w:val="20"/>
                <w:szCs w:val="20"/>
                <w:lang w:val="sl-SI"/>
              </w:rPr>
              <w:t>MOPE,</w:t>
            </w:r>
            <w:r w:rsidR="00D22355" w:rsidRPr="00FF207E">
              <w:rPr>
                <w:rFonts w:cs="Arial"/>
                <w:sz w:val="20"/>
                <w:szCs w:val="20"/>
                <w:lang w:val="sl-SI"/>
              </w:rPr>
              <w:t xml:space="preserve"> </w:t>
            </w:r>
            <w:r w:rsidRPr="00FF207E">
              <w:rPr>
                <w:rFonts w:cs="Arial"/>
                <w:sz w:val="20"/>
                <w:szCs w:val="20"/>
                <w:lang w:val="sl-SI"/>
              </w:rPr>
              <w:t xml:space="preserve">regionalne svetovalne točke, ENSVET, </w:t>
            </w:r>
            <w:r w:rsidR="001A6854" w:rsidRPr="00FF207E">
              <w:rPr>
                <w:rFonts w:cs="Arial"/>
                <w:sz w:val="20"/>
                <w:szCs w:val="20"/>
                <w:lang w:val="sl-SI"/>
              </w:rPr>
              <w:t>deležniki</w:t>
            </w:r>
            <w:r w:rsidR="006A74B5" w:rsidRPr="00FF207E">
              <w:rPr>
                <w:rFonts w:cs="Arial"/>
                <w:sz w:val="20"/>
                <w:szCs w:val="20"/>
                <w:lang w:val="sl-SI"/>
              </w:rPr>
              <w:t>,</w:t>
            </w:r>
            <w:r w:rsidR="001A6854" w:rsidRPr="00FF207E">
              <w:rPr>
                <w:rFonts w:cs="Arial"/>
                <w:sz w:val="20"/>
                <w:szCs w:val="20"/>
                <w:lang w:val="sl-SI"/>
              </w:rPr>
              <w:t xml:space="preserve"> vključeni v neformalno mrežo</w:t>
            </w:r>
            <w:r w:rsidR="00D3699E" w:rsidRPr="00FF207E">
              <w:rPr>
                <w:rFonts w:cs="Arial"/>
                <w:sz w:val="20"/>
                <w:szCs w:val="20"/>
                <w:lang w:val="sl-SI"/>
              </w:rPr>
              <w:t xml:space="preserve"> za informiranje in ozaveščanje</w:t>
            </w:r>
          </w:p>
        </w:tc>
      </w:tr>
      <w:tr w:rsidR="00D70259" w:rsidRPr="00FF207E" w14:paraId="6D3292DD" w14:textId="77777777" w:rsidTr="00D70259">
        <w:tc>
          <w:tcPr>
            <w:tcW w:w="567" w:type="dxa"/>
            <w:vMerge/>
            <w:tcBorders>
              <w:left w:val="nil"/>
              <w:bottom w:val="single" w:sz="4" w:space="0" w:color="548DD4" w:themeColor="text2" w:themeTint="99"/>
              <w:right w:val="single" w:sz="4" w:space="0" w:color="548DD4" w:themeColor="text2" w:themeTint="99"/>
            </w:tcBorders>
          </w:tcPr>
          <w:p w14:paraId="193B17B8" w14:textId="77777777" w:rsidR="00D70259" w:rsidRPr="00FF207E" w:rsidRDefault="00D7025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0B09A3A5" w14:textId="77777777" w:rsidR="00D70259" w:rsidRPr="00FF207E" w:rsidRDefault="00D70259"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0BD7B475" w14:textId="2E72B72D" w:rsidR="00D70259" w:rsidRPr="00FF207E" w:rsidRDefault="00AB6A30" w:rsidP="001E304B">
            <w:pPr>
              <w:spacing w:line="240" w:lineRule="atLeast"/>
              <w:jc w:val="both"/>
              <w:rPr>
                <w:rFonts w:cs="Arial"/>
                <w:sz w:val="20"/>
                <w:szCs w:val="20"/>
                <w:lang w:val="sl-SI"/>
              </w:rPr>
            </w:pPr>
            <w:r w:rsidRPr="00FF207E">
              <w:rPr>
                <w:rFonts w:cs="Arial"/>
                <w:sz w:val="20"/>
                <w:szCs w:val="20"/>
                <w:lang w:val="sl-SI"/>
              </w:rPr>
              <w:t>2026</w:t>
            </w:r>
          </w:p>
        </w:tc>
      </w:tr>
    </w:tbl>
    <w:p w14:paraId="5138FD10" w14:textId="3CE4154D" w:rsidR="00BB311C" w:rsidRPr="00FF207E" w:rsidRDefault="00ED2472" w:rsidP="001E304B">
      <w:pPr>
        <w:pStyle w:val="Naslov3"/>
        <w:jc w:val="both"/>
        <w:rPr>
          <w:lang w:val="sl-SI"/>
        </w:rPr>
      </w:pPr>
      <w:bookmarkStart w:id="56" w:name="_Ref131589906"/>
      <w:bookmarkStart w:id="57" w:name="_Toc151148789"/>
      <w:r w:rsidRPr="00FF207E">
        <w:rPr>
          <w:lang w:val="sl-SI"/>
        </w:rPr>
        <w:t>So</w:t>
      </w:r>
      <w:r w:rsidR="00BB311C" w:rsidRPr="00FF207E">
        <w:rPr>
          <w:lang w:val="sl-SI"/>
        </w:rPr>
        <w:t>svet za energetsko revščino</w:t>
      </w:r>
      <w:bookmarkEnd w:id="56"/>
      <w:bookmarkEnd w:id="57"/>
    </w:p>
    <w:tbl>
      <w:tblPr>
        <w:tblStyle w:val="Tabelamrea"/>
        <w:tblW w:w="0" w:type="auto"/>
        <w:tblLook w:val="04A0" w:firstRow="1" w:lastRow="0" w:firstColumn="1" w:lastColumn="0" w:noHBand="0" w:noVBand="1"/>
      </w:tblPr>
      <w:tblGrid>
        <w:gridCol w:w="567"/>
        <w:gridCol w:w="2405"/>
        <w:gridCol w:w="6090"/>
      </w:tblGrid>
      <w:tr w:rsidR="00C45457" w:rsidRPr="00FF207E" w14:paraId="059653F1" w14:textId="77777777" w:rsidTr="00324F0C">
        <w:tc>
          <w:tcPr>
            <w:tcW w:w="2972" w:type="dxa"/>
            <w:gridSpan w:val="2"/>
            <w:tcBorders>
              <w:top w:val="nil"/>
              <w:left w:val="nil"/>
              <w:bottom w:val="nil"/>
              <w:right w:val="single" w:sz="4" w:space="0" w:color="548DD4" w:themeColor="text2" w:themeTint="99"/>
            </w:tcBorders>
            <w:shd w:val="clear" w:color="auto" w:fill="548DD4" w:themeFill="text2" w:themeFillTint="99"/>
            <w:vAlign w:val="center"/>
          </w:tcPr>
          <w:p w14:paraId="7B48A053" w14:textId="4065B8CA" w:rsidR="00C45457" w:rsidRPr="00FF207E" w:rsidRDefault="00C45457" w:rsidP="001E304B">
            <w:pPr>
              <w:spacing w:before="40" w:after="40"/>
              <w:jc w:val="both"/>
              <w:rPr>
                <w:rFonts w:cs="Arial"/>
                <w:b/>
                <w:color w:val="FFFFFF" w:themeColor="background1"/>
                <w:lang w:val="sl-SI"/>
              </w:rPr>
            </w:pPr>
            <w:r w:rsidRPr="00FF207E">
              <w:rPr>
                <w:rFonts w:cs="Arial"/>
                <w:b/>
                <w:color w:val="FFFFFF" w:themeColor="background1"/>
                <w:lang w:val="sl-SI"/>
              </w:rPr>
              <w:t>ER_Shema-0</w:t>
            </w:r>
            <w:r w:rsidR="00CC5C4A" w:rsidRPr="00FF207E">
              <w:rPr>
                <w:rFonts w:cs="Arial"/>
                <w:b/>
                <w:color w:val="FFFFFF" w:themeColor="background1"/>
                <w:lang w:val="sl-SI"/>
              </w:rPr>
              <w:t>7</w:t>
            </w:r>
          </w:p>
        </w:tc>
        <w:tc>
          <w:tcPr>
            <w:tcW w:w="6090" w:type="dxa"/>
            <w:tcBorders>
              <w:top w:val="nil"/>
              <w:left w:val="single" w:sz="4" w:space="0" w:color="548DD4" w:themeColor="text2" w:themeTint="99"/>
              <w:bottom w:val="nil"/>
              <w:right w:val="nil"/>
            </w:tcBorders>
            <w:shd w:val="clear" w:color="auto" w:fill="548DD4" w:themeFill="text2" w:themeFillTint="99"/>
            <w:vAlign w:val="center"/>
          </w:tcPr>
          <w:p w14:paraId="2C3B9A2C" w14:textId="633887DC" w:rsidR="00C45457" w:rsidRPr="00FF207E" w:rsidRDefault="0036017E" w:rsidP="001E304B">
            <w:pPr>
              <w:pStyle w:val="Naslov5"/>
              <w:jc w:val="both"/>
            </w:pPr>
            <w:bookmarkStart w:id="58" w:name="_Strateški_svet_za"/>
            <w:bookmarkStart w:id="59" w:name="_Sosvet_za_energetsko"/>
            <w:bookmarkStart w:id="60" w:name="_Ref120099997"/>
            <w:bookmarkEnd w:id="58"/>
            <w:bookmarkEnd w:id="59"/>
            <w:r w:rsidRPr="00FF207E">
              <w:t>Sos</w:t>
            </w:r>
            <w:r w:rsidR="00CC5C4A" w:rsidRPr="00FF207E">
              <w:t>vet za energetsko revščino</w:t>
            </w:r>
            <w:bookmarkEnd w:id="60"/>
          </w:p>
        </w:tc>
      </w:tr>
      <w:tr w:rsidR="00C45457" w:rsidRPr="00FF207E" w14:paraId="07B903BA" w14:textId="77777777" w:rsidTr="00324F0C">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731F02BD" w14:textId="77777777" w:rsidR="00C45457" w:rsidRPr="00FF207E" w:rsidRDefault="00C45457" w:rsidP="001E304B">
            <w:pPr>
              <w:spacing w:before="60" w:after="60" w:line="240" w:lineRule="atLeast"/>
              <w:jc w:val="both"/>
              <w:rPr>
                <w:rFonts w:cs="Arial"/>
                <w:b/>
                <w:szCs w:val="22"/>
                <w:lang w:val="sl-SI"/>
              </w:rPr>
            </w:pPr>
            <w:r w:rsidRPr="00FF207E">
              <w:rPr>
                <w:rFonts w:cs="Arial"/>
                <w:b/>
                <w:szCs w:val="22"/>
                <w:lang w:val="sl-SI"/>
              </w:rPr>
              <w:t>Osnovne informacije</w:t>
            </w:r>
          </w:p>
        </w:tc>
      </w:tr>
      <w:tr w:rsidR="00CC5C4A" w:rsidRPr="00FF207E" w14:paraId="60E65511" w14:textId="77777777" w:rsidTr="00742BD0">
        <w:tc>
          <w:tcPr>
            <w:tcW w:w="2972" w:type="dxa"/>
            <w:gridSpan w:val="2"/>
            <w:tcBorders>
              <w:top w:val="nil"/>
              <w:left w:val="nil"/>
              <w:bottom w:val="single" w:sz="4" w:space="0" w:color="548DD4" w:themeColor="text2" w:themeTint="99"/>
              <w:right w:val="single" w:sz="4" w:space="0" w:color="548DD4" w:themeColor="text2" w:themeTint="99"/>
            </w:tcBorders>
          </w:tcPr>
          <w:p w14:paraId="5FD09BCF" w14:textId="77777777" w:rsidR="00CC5C4A" w:rsidRPr="00FF207E" w:rsidRDefault="00CC5C4A" w:rsidP="001E304B">
            <w:pPr>
              <w:spacing w:line="240" w:lineRule="atLeast"/>
              <w:jc w:val="both"/>
              <w:rPr>
                <w:rFonts w:cs="Arial"/>
                <w:spacing w:val="-4"/>
                <w:sz w:val="20"/>
                <w:szCs w:val="20"/>
                <w:lang w:val="sl-SI"/>
              </w:rPr>
            </w:pPr>
            <w:r w:rsidRPr="00FF207E">
              <w:rPr>
                <w:rFonts w:cs="Arial"/>
                <w:spacing w:val="-4"/>
                <w:sz w:val="20"/>
                <w:szCs w:val="20"/>
                <w:lang w:val="sl-SI"/>
              </w:rPr>
              <w:t>Odgovornost za izvedbo ukrepa</w:t>
            </w:r>
          </w:p>
        </w:tc>
        <w:tc>
          <w:tcPr>
            <w:tcW w:w="6090" w:type="dxa"/>
            <w:tcBorders>
              <w:top w:val="nil"/>
              <w:left w:val="single" w:sz="4" w:space="0" w:color="548DD4" w:themeColor="text2" w:themeTint="99"/>
              <w:bottom w:val="single" w:sz="4" w:space="0" w:color="548DD4" w:themeColor="text2" w:themeTint="99"/>
              <w:right w:val="nil"/>
            </w:tcBorders>
          </w:tcPr>
          <w:p w14:paraId="60F6389A" w14:textId="68DD18C9" w:rsidR="00CC5C4A" w:rsidRPr="00FF207E" w:rsidRDefault="00D60BAD" w:rsidP="001E304B">
            <w:pPr>
              <w:spacing w:line="240" w:lineRule="atLeast"/>
              <w:jc w:val="both"/>
              <w:rPr>
                <w:rFonts w:cs="Arial"/>
                <w:sz w:val="20"/>
                <w:szCs w:val="20"/>
                <w:lang w:val="sl-SI"/>
              </w:rPr>
            </w:pPr>
            <w:r w:rsidRPr="00FF207E">
              <w:rPr>
                <w:rFonts w:cs="Arial"/>
                <w:sz w:val="18"/>
                <w:szCs w:val="18"/>
                <w:lang w:val="sl-SI"/>
              </w:rPr>
              <w:t xml:space="preserve">MOPE v sodelovanju z </w:t>
            </w:r>
            <w:r w:rsidRPr="00FF207E">
              <w:rPr>
                <w:rFonts w:cs="Arial"/>
                <w:sz w:val="20"/>
                <w:szCs w:val="20"/>
                <w:lang w:val="sl-SI"/>
              </w:rPr>
              <w:t>MDDSZ</w:t>
            </w:r>
          </w:p>
        </w:tc>
      </w:tr>
      <w:tr w:rsidR="00CC5C4A" w:rsidRPr="00FF207E" w14:paraId="32AC89F7"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7F5A674E" w14:textId="77777777" w:rsidR="00CC5C4A" w:rsidRPr="00FF207E" w:rsidRDefault="00CC5C4A"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A3A1E63" w14:textId="1B27FEBC" w:rsidR="00CC5C4A" w:rsidRPr="00FF207E" w:rsidRDefault="00AB5B90" w:rsidP="00AB5B90">
            <w:pPr>
              <w:spacing w:line="240" w:lineRule="atLeast"/>
              <w:jc w:val="both"/>
              <w:rPr>
                <w:rFonts w:cs="Arial"/>
                <w:sz w:val="20"/>
                <w:szCs w:val="20"/>
                <w:lang w:val="sl-SI"/>
              </w:rPr>
            </w:pPr>
            <w:r w:rsidRPr="00FF207E">
              <w:rPr>
                <w:rFonts w:cs="Arial"/>
                <w:sz w:val="20"/>
                <w:szCs w:val="20"/>
                <w:lang w:val="sl-SI"/>
              </w:rPr>
              <w:t xml:space="preserve">pomembne </w:t>
            </w:r>
            <w:r w:rsidR="00ED2472" w:rsidRPr="00FF207E">
              <w:rPr>
                <w:rFonts w:cs="Arial"/>
                <w:sz w:val="20"/>
                <w:szCs w:val="20"/>
                <w:lang w:val="sl-SI"/>
              </w:rPr>
              <w:t xml:space="preserve">državne institucije </w:t>
            </w:r>
            <w:r w:rsidR="00E57FC0" w:rsidRPr="00FF207E">
              <w:rPr>
                <w:rFonts w:cs="Arial"/>
                <w:sz w:val="20"/>
                <w:szCs w:val="20"/>
                <w:lang w:val="sl-SI"/>
              </w:rPr>
              <w:t>–</w:t>
            </w:r>
            <w:r w:rsidR="00ED2472" w:rsidRPr="00FF207E">
              <w:rPr>
                <w:rFonts w:cs="Arial"/>
                <w:sz w:val="20"/>
                <w:szCs w:val="20"/>
                <w:lang w:val="sl-SI"/>
              </w:rPr>
              <w:t xml:space="preserve"> pripravljavci in izvajalci politik in ukrepov (energetska, socialna, zdravstvena, stanovanjska politika …), strokovne institucije, nevladne organizacije</w:t>
            </w:r>
          </w:p>
        </w:tc>
      </w:tr>
      <w:tr w:rsidR="00CC5C4A" w:rsidRPr="00FF207E" w14:paraId="40459896"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035A5F2" w14:textId="77777777" w:rsidR="00CC5C4A" w:rsidRPr="00FF207E" w:rsidRDefault="00CC5C4A" w:rsidP="001E304B">
            <w:pPr>
              <w:spacing w:line="240" w:lineRule="atLeast"/>
              <w:jc w:val="both"/>
              <w:rPr>
                <w:rFonts w:cs="Arial"/>
                <w:sz w:val="20"/>
                <w:szCs w:val="20"/>
                <w:lang w:val="sl-SI"/>
              </w:rPr>
            </w:pPr>
            <w:r w:rsidRPr="00FF207E">
              <w:rPr>
                <w:rFonts w:cs="Arial"/>
                <w:sz w:val="20"/>
                <w:szCs w:val="20"/>
                <w:lang w:val="sl-SI"/>
              </w:rPr>
              <w:t>Strateške podlage in njihova veljavnost</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52BE6E4" w14:textId="5061C5B0" w:rsidR="00CC5C4A" w:rsidRPr="00FF207E" w:rsidRDefault="00CC5C4A" w:rsidP="001E304B">
            <w:pPr>
              <w:spacing w:line="240" w:lineRule="atLeast"/>
              <w:jc w:val="both"/>
              <w:rPr>
                <w:rFonts w:cs="Arial"/>
                <w:sz w:val="20"/>
                <w:szCs w:val="20"/>
                <w:lang w:val="sl-SI"/>
              </w:rPr>
            </w:pPr>
            <w:r w:rsidRPr="00FF207E">
              <w:rPr>
                <w:rFonts w:cs="Arial"/>
                <w:sz w:val="20"/>
                <w:szCs w:val="20"/>
                <w:lang w:val="sl-SI"/>
              </w:rPr>
              <w:t xml:space="preserve">NEPN, veljavnost do </w:t>
            </w:r>
            <w:r w:rsidR="006A74B5" w:rsidRPr="00FF207E">
              <w:rPr>
                <w:rFonts w:cs="Arial"/>
                <w:sz w:val="20"/>
                <w:szCs w:val="20"/>
                <w:lang w:val="sl-SI"/>
              </w:rPr>
              <w:t xml:space="preserve">leta </w:t>
            </w:r>
            <w:r w:rsidRPr="00FF207E">
              <w:rPr>
                <w:rFonts w:cs="Arial"/>
                <w:sz w:val="20"/>
                <w:szCs w:val="20"/>
                <w:lang w:val="sl-SI"/>
              </w:rPr>
              <w:t xml:space="preserve">2030 (ukrep </w:t>
            </w:r>
            <w:r w:rsidRPr="00FF207E">
              <w:rPr>
                <w:rFonts w:cs="Arial"/>
                <w:i/>
                <w:sz w:val="20"/>
                <w:szCs w:val="20"/>
                <w:lang w:val="sl-SI"/>
              </w:rPr>
              <w:t xml:space="preserve">Podporno okolje za </w:t>
            </w:r>
            <w:r w:rsidR="00D234E4" w:rsidRPr="00FF207E">
              <w:rPr>
                <w:rFonts w:cs="Arial"/>
                <w:i/>
                <w:sz w:val="20"/>
                <w:szCs w:val="20"/>
                <w:lang w:val="sl-SI"/>
              </w:rPr>
              <w:t>blaženje</w:t>
            </w:r>
            <w:r w:rsidRPr="00FF207E">
              <w:rPr>
                <w:rFonts w:cs="Arial"/>
                <w:i/>
                <w:sz w:val="20"/>
                <w:szCs w:val="20"/>
                <w:lang w:val="sl-SI"/>
              </w:rPr>
              <w:t xml:space="preserve"> energetske revščine</w:t>
            </w:r>
            <w:r w:rsidRPr="00FF207E">
              <w:rPr>
                <w:rFonts w:cs="Arial"/>
                <w:sz w:val="20"/>
                <w:szCs w:val="20"/>
                <w:lang w:val="sl-SI"/>
              </w:rPr>
              <w:t>)</w:t>
            </w:r>
          </w:p>
        </w:tc>
      </w:tr>
      <w:tr w:rsidR="00CC5C4A" w:rsidRPr="00FF207E" w14:paraId="5D9C70F5"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48FB9193" w14:textId="77777777" w:rsidR="00CC5C4A" w:rsidRPr="00FF207E" w:rsidRDefault="00CC5C4A" w:rsidP="001E304B">
            <w:pPr>
              <w:spacing w:line="240" w:lineRule="atLeast"/>
              <w:jc w:val="both"/>
              <w:rPr>
                <w:rFonts w:cs="Arial"/>
                <w:sz w:val="20"/>
                <w:szCs w:val="20"/>
                <w:lang w:val="sl-SI"/>
              </w:rPr>
            </w:pPr>
            <w:r w:rsidRPr="00FF207E">
              <w:rPr>
                <w:rFonts w:cs="Arial"/>
                <w:sz w:val="20"/>
                <w:szCs w:val="20"/>
                <w:lang w:val="sl-SI"/>
              </w:rPr>
              <w:t>Veljavnost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760CA17F" w14:textId="63676ABD" w:rsidR="00CC5C4A" w:rsidRPr="00FF207E" w:rsidRDefault="00CC5C4A" w:rsidP="001E304B">
            <w:pPr>
              <w:spacing w:line="240" w:lineRule="atLeast"/>
              <w:jc w:val="both"/>
              <w:rPr>
                <w:rFonts w:cs="Arial"/>
                <w:sz w:val="20"/>
                <w:szCs w:val="20"/>
                <w:lang w:val="sl-SI"/>
              </w:rPr>
            </w:pPr>
            <w:r w:rsidRPr="00FF207E">
              <w:rPr>
                <w:rFonts w:cs="Arial"/>
                <w:sz w:val="20"/>
                <w:szCs w:val="20"/>
                <w:lang w:val="sl-SI"/>
              </w:rPr>
              <w:t>2030</w:t>
            </w:r>
          </w:p>
        </w:tc>
      </w:tr>
      <w:tr w:rsidR="00CC5C4A" w:rsidRPr="00FF207E" w14:paraId="5A4E0109"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5A64F87" w14:textId="77777777" w:rsidR="00CC5C4A" w:rsidRPr="00FF207E" w:rsidRDefault="00CC5C4A" w:rsidP="001E304B">
            <w:pPr>
              <w:spacing w:line="240" w:lineRule="atLeast"/>
              <w:jc w:val="both"/>
              <w:rPr>
                <w:rFonts w:cs="Arial"/>
                <w:sz w:val="20"/>
                <w:szCs w:val="20"/>
                <w:lang w:val="sl-SI"/>
              </w:rPr>
            </w:pPr>
            <w:r w:rsidRPr="00FF207E">
              <w:rPr>
                <w:rFonts w:cs="Arial"/>
                <w:sz w:val="20"/>
                <w:szCs w:val="20"/>
                <w:lang w:val="sl-SI"/>
              </w:rPr>
              <w:t>Vrsta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845D6CA" w14:textId="15A041AB" w:rsidR="00CC5C4A" w:rsidRPr="00FF207E" w:rsidRDefault="00CC5C4A" w:rsidP="001E304B">
            <w:pPr>
              <w:spacing w:line="240" w:lineRule="atLeast"/>
              <w:jc w:val="both"/>
              <w:rPr>
                <w:rFonts w:cs="Arial"/>
                <w:sz w:val="20"/>
                <w:szCs w:val="20"/>
                <w:lang w:val="sl-SI"/>
              </w:rPr>
            </w:pPr>
            <w:r w:rsidRPr="00FF207E">
              <w:rPr>
                <w:rFonts w:cs="Arial"/>
                <w:sz w:val="20"/>
                <w:szCs w:val="20"/>
                <w:lang w:val="sl-SI"/>
              </w:rPr>
              <w:t>organizacijski</w:t>
            </w:r>
          </w:p>
        </w:tc>
      </w:tr>
      <w:tr w:rsidR="00CC5C4A" w:rsidRPr="00FF207E" w14:paraId="18FFD6B7"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7D8AA78F" w14:textId="77777777" w:rsidR="00CC5C4A" w:rsidRPr="00FF207E" w:rsidRDefault="00CC5C4A" w:rsidP="001E304B">
            <w:pPr>
              <w:spacing w:line="240" w:lineRule="atLeast"/>
              <w:jc w:val="both"/>
              <w:rPr>
                <w:rFonts w:cs="Arial"/>
                <w:sz w:val="20"/>
                <w:szCs w:val="20"/>
                <w:lang w:val="sl-SI"/>
              </w:rPr>
            </w:pPr>
            <w:r w:rsidRPr="00FF207E">
              <w:rPr>
                <w:rFonts w:cs="Arial"/>
                <w:sz w:val="20"/>
                <w:szCs w:val="20"/>
                <w:lang w:val="sl-SI"/>
              </w:rPr>
              <w:lastRenderedPageBreak/>
              <w:t>Pričakovani učinki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B4B0B5D" w14:textId="5E9AC192" w:rsidR="00CC5C4A" w:rsidRPr="00FF207E" w:rsidRDefault="00E57FC0" w:rsidP="00AB5B90">
            <w:pPr>
              <w:spacing w:line="240" w:lineRule="atLeast"/>
              <w:jc w:val="both"/>
              <w:rPr>
                <w:rFonts w:cs="Arial"/>
                <w:sz w:val="20"/>
                <w:szCs w:val="20"/>
                <w:lang w:val="sl-SI"/>
              </w:rPr>
            </w:pPr>
            <w:r w:rsidRPr="00FF207E">
              <w:rPr>
                <w:rFonts w:cs="Arial"/>
                <w:sz w:val="20"/>
                <w:szCs w:val="20"/>
                <w:lang w:val="sl-SI"/>
              </w:rPr>
              <w:t>podpora izvajanju ukrepov (pri zagotavljanju pogojev oz</w:t>
            </w:r>
            <w:r w:rsidR="00B77973" w:rsidRPr="00FF207E">
              <w:rPr>
                <w:rFonts w:cs="Arial"/>
                <w:sz w:val="20"/>
                <w:szCs w:val="20"/>
                <w:lang w:val="sl-SI"/>
              </w:rPr>
              <w:t>iroma</w:t>
            </w:r>
            <w:r w:rsidRPr="00FF207E">
              <w:rPr>
                <w:rFonts w:cs="Arial"/>
                <w:sz w:val="20"/>
                <w:szCs w:val="20"/>
                <w:lang w:val="sl-SI"/>
              </w:rPr>
              <w:t xml:space="preserve"> reševanju težav </w:t>
            </w:r>
            <w:r w:rsidR="00B77973" w:rsidRPr="00FF207E">
              <w:rPr>
                <w:rFonts w:cs="Arial"/>
                <w:sz w:val="20"/>
                <w:szCs w:val="20"/>
                <w:lang w:val="sl-SI"/>
              </w:rPr>
              <w:t>in tako dalje</w:t>
            </w:r>
            <w:r w:rsidRPr="00FF207E">
              <w:rPr>
                <w:rFonts w:cs="Arial"/>
                <w:sz w:val="20"/>
                <w:szCs w:val="20"/>
                <w:lang w:val="sl-SI"/>
              </w:rPr>
              <w:t xml:space="preserve">), boljše vključevanje energetske revščine v </w:t>
            </w:r>
            <w:r w:rsidR="00AB5B90" w:rsidRPr="00FF207E">
              <w:rPr>
                <w:rFonts w:cs="Arial"/>
                <w:sz w:val="20"/>
                <w:szCs w:val="20"/>
                <w:lang w:val="sl-SI"/>
              </w:rPr>
              <w:t xml:space="preserve">pomembne </w:t>
            </w:r>
            <w:r w:rsidRPr="00FF207E">
              <w:rPr>
                <w:rFonts w:cs="Arial"/>
                <w:sz w:val="20"/>
                <w:szCs w:val="20"/>
                <w:lang w:val="sl-SI"/>
              </w:rPr>
              <w:t>politike</w:t>
            </w:r>
          </w:p>
        </w:tc>
      </w:tr>
      <w:tr w:rsidR="00CC5C4A" w:rsidRPr="00FF207E" w14:paraId="6FD40CD8" w14:textId="77777777" w:rsidTr="00F45B2E">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9DCDB7C" w14:textId="77777777" w:rsidR="00CC5C4A" w:rsidRPr="00FF207E" w:rsidRDefault="00CC5C4A" w:rsidP="001E304B">
            <w:pPr>
              <w:spacing w:line="240" w:lineRule="atLeast"/>
              <w:jc w:val="both"/>
              <w:rPr>
                <w:rFonts w:cs="Arial"/>
                <w:sz w:val="20"/>
                <w:szCs w:val="20"/>
                <w:lang w:val="sl-SI"/>
              </w:rPr>
            </w:pPr>
            <w:r w:rsidRPr="00FF207E">
              <w:rPr>
                <w:rFonts w:cs="Arial"/>
                <w:sz w:val="20"/>
                <w:szCs w:val="20"/>
                <w:lang w:val="sl-SI"/>
              </w:rPr>
              <w:t>Status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18DCF5F2" w14:textId="1D8F9D99" w:rsidR="00CC5C4A" w:rsidRPr="00FF207E" w:rsidRDefault="00CC5C4A" w:rsidP="001E304B">
            <w:pPr>
              <w:spacing w:line="240" w:lineRule="atLeast"/>
              <w:jc w:val="both"/>
              <w:rPr>
                <w:rFonts w:cs="Arial"/>
                <w:sz w:val="20"/>
                <w:szCs w:val="20"/>
                <w:lang w:val="sl-SI"/>
              </w:rPr>
            </w:pPr>
            <w:r w:rsidRPr="00FF207E">
              <w:rPr>
                <w:rFonts w:cs="Arial"/>
                <w:sz w:val="20"/>
                <w:szCs w:val="20"/>
                <w:lang w:val="sl-SI"/>
              </w:rPr>
              <w:t>nov ukrep</w:t>
            </w:r>
          </w:p>
        </w:tc>
      </w:tr>
      <w:tr w:rsidR="00C45457" w:rsidRPr="00FF207E" w14:paraId="0157539F" w14:textId="77777777" w:rsidTr="00F45B2E">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34FDA2B2" w14:textId="77777777" w:rsidR="00C45457" w:rsidRPr="00FF207E" w:rsidRDefault="00C45457" w:rsidP="001E304B">
            <w:pPr>
              <w:spacing w:before="60" w:after="60" w:line="240" w:lineRule="atLeast"/>
              <w:jc w:val="both"/>
              <w:rPr>
                <w:rFonts w:cs="Arial"/>
                <w:b/>
                <w:lang w:val="sl-SI"/>
              </w:rPr>
            </w:pPr>
            <w:r w:rsidRPr="00FF207E">
              <w:rPr>
                <w:rFonts w:cs="Arial"/>
                <w:b/>
                <w:lang w:val="sl-SI"/>
              </w:rPr>
              <w:t>Dolgoročna vsebina ukrepa</w:t>
            </w:r>
          </w:p>
        </w:tc>
      </w:tr>
      <w:tr w:rsidR="00C45457" w:rsidRPr="00FF207E" w14:paraId="39733B30" w14:textId="77777777" w:rsidTr="00F45B2E">
        <w:tc>
          <w:tcPr>
            <w:tcW w:w="9062" w:type="dxa"/>
            <w:gridSpan w:val="3"/>
            <w:tcBorders>
              <w:top w:val="single" w:sz="4" w:space="0" w:color="548DD4" w:themeColor="text2" w:themeTint="99"/>
              <w:left w:val="nil"/>
              <w:bottom w:val="single" w:sz="4" w:space="0" w:color="548DD4" w:themeColor="text2" w:themeTint="99"/>
              <w:right w:val="nil"/>
            </w:tcBorders>
          </w:tcPr>
          <w:p w14:paraId="0E2F9CC8" w14:textId="7200E6DC" w:rsidR="00C45457" w:rsidRPr="00FF207E" w:rsidRDefault="00E57FC0" w:rsidP="001E304B">
            <w:pPr>
              <w:spacing w:line="240" w:lineRule="atLeast"/>
              <w:jc w:val="both"/>
              <w:rPr>
                <w:rFonts w:cs="Arial"/>
                <w:sz w:val="20"/>
                <w:szCs w:val="20"/>
                <w:lang w:val="sl-SI"/>
              </w:rPr>
            </w:pPr>
            <w:r w:rsidRPr="00FF207E">
              <w:rPr>
                <w:rFonts w:cs="Arial"/>
                <w:sz w:val="20"/>
                <w:szCs w:val="20"/>
                <w:lang w:val="sl-SI"/>
              </w:rPr>
              <w:t xml:space="preserve">V okviru ukrepa je treba dolgoročno </w:t>
            </w:r>
            <w:r w:rsidRPr="00FF207E">
              <w:rPr>
                <w:rFonts w:cs="Arial"/>
                <w:b/>
                <w:sz w:val="20"/>
                <w:szCs w:val="20"/>
                <w:lang w:val="sl-SI"/>
              </w:rPr>
              <w:t xml:space="preserve">vzpostaviti </w:t>
            </w:r>
            <w:r w:rsidR="00AD637A" w:rsidRPr="00FF207E">
              <w:rPr>
                <w:rFonts w:cs="Arial"/>
                <w:b/>
                <w:sz w:val="20"/>
                <w:szCs w:val="20"/>
                <w:lang w:val="sl-SI"/>
              </w:rPr>
              <w:t>s</w:t>
            </w:r>
            <w:r w:rsidRPr="00FF207E">
              <w:rPr>
                <w:rFonts w:cs="Arial"/>
                <w:b/>
                <w:sz w:val="20"/>
                <w:szCs w:val="20"/>
                <w:lang w:val="sl-SI"/>
              </w:rPr>
              <w:t>osvet</w:t>
            </w:r>
            <w:r w:rsidRPr="00FF207E">
              <w:rPr>
                <w:rFonts w:cs="Arial"/>
                <w:sz w:val="20"/>
                <w:szCs w:val="20"/>
                <w:lang w:val="sl-SI"/>
              </w:rPr>
              <w:t xml:space="preserve"> za energetsko revščino, ki </w:t>
            </w:r>
            <w:r w:rsidRPr="00FF207E">
              <w:rPr>
                <w:rFonts w:cs="Arial"/>
                <w:b/>
                <w:sz w:val="20"/>
                <w:szCs w:val="20"/>
                <w:lang w:val="sl-SI"/>
              </w:rPr>
              <w:t>celostno spremlja in obravnava energetsko revščino</w:t>
            </w:r>
            <w:r w:rsidRPr="00FF207E">
              <w:rPr>
                <w:rFonts w:cs="Arial"/>
                <w:sz w:val="20"/>
                <w:szCs w:val="20"/>
                <w:lang w:val="sl-SI"/>
              </w:rPr>
              <w:t xml:space="preserve"> (medsektorsko, interdisciplinarno in </w:t>
            </w:r>
            <w:proofErr w:type="spellStart"/>
            <w:r w:rsidRPr="00FF207E">
              <w:rPr>
                <w:rFonts w:cs="Arial"/>
                <w:sz w:val="20"/>
                <w:szCs w:val="20"/>
                <w:lang w:val="sl-SI"/>
              </w:rPr>
              <w:t>večnivojsko</w:t>
            </w:r>
            <w:proofErr w:type="spellEnd"/>
            <w:r w:rsidRPr="00FF207E">
              <w:rPr>
                <w:rFonts w:cs="Arial"/>
                <w:sz w:val="20"/>
                <w:szCs w:val="20"/>
                <w:lang w:val="sl-SI"/>
              </w:rPr>
              <w:t xml:space="preserve">) </w:t>
            </w:r>
            <w:r w:rsidR="006A74B5" w:rsidRPr="00FF207E">
              <w:rPr>
                <w:rFonts w:cs="Arial"/>
                <w:sz w:val="20"/>
                <w:szCs w:val="20"/>
                <w:lang w:val="sl-SI"/>
              </w:rPr>
              <w:t xml:space="preserve">ter </w:t>
            </w:r>
            <w:r w:rsidRPr="00FF207E">
              <w:rPr>
                <w:rFonts w:cs="Arial"/>
                <w:sz w:val="20"/>
                <w:szCs w:val="20"/>
                <w:lang w:val="sl-SI"/>
              </w:rPr>
              <w:t>izvaja naslednje naloge:</w:t>
            </w:r>
          </w:p>
          <w:p w14:paraId="4C10ECE1" w14:textId="23354E73" w:rsidR="00E57FC0" w:rsidRPr="00FF207E" w:rsidRDefault="00E57FC0" w:rsidP="001E304B">
            <w:pPr>
              <w:pStyle w:val="Odstavekseznama"/>
              <w:numPr>
                <w:ilvl w:val="0"/>
                <w:numId w:val="8"/>
              </w:numPr>
              <w:spacing w:line="240" w:lineRule="atLeast"/>
              <w:ind w:left="357" w:hanging="357"/>
              <w:jc w:val="both"/>
              <w:rPr>
                <w:rFonts w:cs="Arial"/>
                <w:sz w:val="20"/>
                <w:szCs w:val="20"/>
                <w:lang w:val="sl-SI"/>
              </w:rPr>
            </w:pPr>
            <w:r w:rsidRPr="00FF207E">
              <w:rPr>
                <w:rFonts w:cs="Arial"/>
                <w:sz w:val="20"/>
                <w:szCs w:val="20"/>
                <w:lang w:val="sl-SI"/>
              </w:rPr>
              <w:t>spremlja stanje in cilje, vrednoti izvajanje politik in ukrepov,</w:t>
            </w:r>
          </w:p>
          <w:p w14:paraId="405C493B" w14:textId="46F0A34A" w:rsidR="00E57FC0" w:rsidRPr="00FF207E" w:rsidRDefault="00E57FC0" w:rsidP="001E304B">
            <w:pPr>
              <w:pStyle w:val="Odstavekseznama"/>
              <w:numPr>
                <w:ilvl w:val="0"/>
                <w:numId w:val="8"/>
              </w:numPr>
              <w:spacing w:line="240" w:lineRule="atLeast"/>
              <w:ind w:left="357" w:hanging="357"/>
              <w:jc w:val="both"/>
              <w:rPr>
                <w:rFonts w:cs="Arial"/>
                <w:sz w:val="20"/>
                <w:szCs w:val="20"/>
                <w:lang w:val="sl-SI"/>
              </w:rPr>
            </w:pPr>
            <w:r w:rsidRPr="00FF207E">
              <w:rPr>
                <w:rFonts w:cs="Arial"/>
                <w:sz w:val="20"/>
                <w:szCs w:val="20"/>
                <w:lang w:val="sl-SI"/>
              </w:rPr>
              <w:t xml:space="preserve">podaja </w:t>
            </w:r>
            <w:r w:rsidR="00736A5E" w:rsidRPr="00FF207E">
              <w:rPr>
                <w:rFonts w:cs="Arial"/>
                <w:sz w:val="20"/>
                <w:szCs w:val="20"/>
                <w:lang w:val="sl-SI"/>
              </w:rPr>
              <w:t xml:space="preserve">posebne </w:t>
            </w:r>
            <w:r w:rsidRPr="00FF207E">
              <w:rPr>
                <w:rFonts w:cs="Arial"/>
                <w:sz w:val="20"/>
                <w:szCs w:val="20"/>
                <w:lang w:val="sl-SI"/>
              </w:rPr>
              <w:t xml:space="preserve">rešitve in izboljšave </w:t>
            </w:r>
            <w:r w:rsidR="008D3C06" w:rsidRPr="00FF207E">
              <w:rPr>
                <w:rFonts w:cs="Arial"/>
                <w:sz w:val="20"/>
                <w:szCs w:val="20"/>
                <w:lang w:val="sl-SI"/>
              </w:rPr>
              <w:t>oz</w:t>
            </w:r>
            <w:r w:rsidR="00B77973" w:rsidRPr="00FF207E">
              <w:rPr>
                <w:rFonts w:cs="Arial"/>
                <w:sz w:val="20"/>
                <w:szCs w:val="20"/>
                <w:lang w:val="sl-SI"/>
              </w:rPr>
              <w:t>iroma</w:t>
            </w:r>
            <w:r w:rsidR="008D3C06" w:rsidRPr="00FF207E">
              <w:rPr>
                <w:rFonts w:cs="Arial"/>
                <w:sz w:val="20"/>
                <w:szCs w:val="20"/>
                <w:lang w:val="sl-SI"/>
              </w:rPr>
              <w:t xml:space="preserve"> prenove </w:t>
            </w:r>
            <w:r w:rsidR="00736A5E" w:rsidRPr="00FF207E">
              <w:rPr>
                <w:rFonts w:cs="Arial"/>
                <w:sz w:val="20"/>
                <w:szCs w:val="20"/>
                <w:lang w:val="sl-SI"/>
              </w:rPr>
              <w:t xml:space="preserve">veljavnih </w:t>
            </w:r>
            <w:r w:rsidRPr="00FF207E">
              <w:rPr>
                <w:rFonts w:cs="Arial"/>
                <w:sz w:val="20"/>
                <w:szCs w:val="20"/>
                <w:lang w:val="sl-SI"/>
              </w:rPr>
              <w:t>politik in ukrepov,</w:t>
            </w:r>
          </w:p>
          <w:p w14:paraId="2F723FF1" w14:textId="77777777" w:rsidR="00E57FC0" w:rsidRPr="00FF207E" w:rsidRDefault="00E57FC0" w:rsidP="001E304B">
            <w:pPr>
              <w:pStyle w:val="Odstavekseznama"/>
              <w:numPr>
                <w:ilvl w:val="0"/>
                <w:numId w:val="8"/>
              </w:numPr>
              <w:spacing w:line="240" w:lineRule="atLeast"/>
              <w:ind w:left="357" w:hanging="357"/>
              <w:jc w:val="both"/>
              <w:rPr>
                <w:rFonts w:cs="Arial"/>
                <w:sz w:val="20"/>
                <w:szCs w:val="20"/>
                <w:lang w:val="sl-SI"/>
              </w:rPr>
            </w:pPr>
            <w:r w:rsidRPr="00FF207E">
              <w:rPr>
                <w:rFonts w:cs="Arial"/>
                <w:sz w:val="20"/>
                <w:szCs w:val="20"/>
                <w:lang w:val="sl-SI"/>
              </w:rPr>
              <w:t>podaja nove predloge politik in ukrepov,</w:t>
            </w:r>
          </w:p>
          <w:p w14:paraId="4D0BBC6B" w14:textId="006DC6C3" w:rsidR="00E57FC0" w:rsidRPr="00FF207E" w:rsidRDefault="00E57FC0" w:rsidP="001E304B">
            <w:pPr>
              <w:pStyle w:val="Odstavekseznama"/>
              <w:numPr>
                <w:ilvl w:val="0"/>
                <w:numId w:val="8"/>
              </w:numPr>
              <w:spacing w:line="240" w:lineRule="atLeast"/>
              <w:ind w:left="357" w:hanging="357"/>
              <w:jc w:val="both"/>
              <w:rPr>
                <w:rFonts w:cs="Arial"/>
                <w:sz w:val="20"/>
                <w:szCs w:val="20"/>
                <w:lang w:val="sl-SI"/>
              </w:rPr>
            </w:pPr>
            <w:r w:rsidRPr="00FF207E">
              <w:rPr>
                <w:rFonts w:cs="Arial"/>
                <w:b/>
                <w:sz w:val="20"/>
                <w:szCs w:val="20"/>
                <w:lang w:val="sl-SI"/>
              </w:rPr>
              <w:t>presoja</w:t>
            </w:r>
            <w:r w:rsidR="00C746A4" w:rsidRPr="00FF207E">
              <w:rPr>
                <w:rFonts w:cs="Arial"/>
                <w:sz w:val="20"/>
                <w:szCs w:val="20"/>
                <w:lang w:val="sl-SI"/>
              </w:rPr>
              <w:t>, ali</w:t>
            </w:r>
            <w:r w:rsidRPr="00FF207E">
              <w:rPr>
                <w:rFonts w:cs="Arial"/>
                <w:b/>
                <w:sz w:val="20"/>
                <w:szCs w:val="20"/>
                <w:lang w:val="sl-SI"/>
              </w:rPr>
              <w:t xml:space="preserve"> </w:t>
            </w:r>
            <w:r w:rsidRPr="00FF207E">
              <w:rPr>
                <w:rFonts w:cs="Arial"/>
                <w:sz w:val="20"/>
                <w:szCs w:val="20"/>
                <w:lang w:val="sl-SI"/>
              </w:rPr>
              <w:t>drug</w:t>
            </w:r>
            <w:r w:rsidR="00C746A4" w:rsidRPr="00FF207E">
              <w:rPr>
                <w:rFonts w:cs="Arial"/>
                <w:sz w:val="20"/>
                <w:szCs w:val="20"/>
                <w:lang w:val="sl-SI"/>
              </w:rPr>
              <w:t>i</w:t>
            </w:r>
            <w:r w:rsidRPr="00FF207E">
              <w:rPr>
                <w:rFonts w:cs="Arial"/>
                <w:sz w:val="20"/>
                <w:szCs w:val="20"/>
                <w:lang w:val="sl-SI"/>
              </w:rPr>
              <w:t xml:space="preserve"> </w:t>
            </w:r>
            <w:r w:rsidR="00C746A4" w:rsidRPr="00FF207E">
              <w:rPr>
                <w:rFonts w:cs="Arial"/>
                <w:sz w:val="20"/>
                <w:szCs w:val="20"/>
                <w:lang w:val="sl-SI"/>
              </w:rPr>
              <w:t>pomembni</w:t>
            </w:r>
            <w:r w:rsidR="00AB5B90" w:rsidRPr="00FF207E">
              <w:rPr>
                <w:rFonts w:cs="Arial"/>
                <w:sz w:val="20"/>
                <w:szCs w:val="20"/>
                <w:lang w:val="sl-SI"/>
              </w:rPr>
              <w:t xml:space="preserve"> </w:t>
            </w:r>
            <w:r w:rsidRPr="00FF207E">
              <w:rPr>
                <w:rFonts w:cs="Arial"/>
                <w:b/>
                <w:sz w:val="20"/>
                <w:szCs w:val="20"/>
                <w:lang w:val="sl-SI"/>
              </w:rPr>
              <w:t>ukrep</w:t>
            </w:r>
            <w:r w:rsidR="00C746A4" w:rsidRPr="00FF207E">
              <w:rPr>
                <w:rFonts w:cs="Arial"/>
                <w:b/>
                <w:sz w:val="20"/>
                <w:szCs w:val="20"/>
                <w:lang w:val="sl-SI"/>
              </w:rPr>
              <w:t>i</w:t>
            </w:r>
            <w:r w:rsidRPr="00FF207E">
              <w:rPr>
                <w:rFonts w:cs="Arial"/>
                <w:b/>
                <w:sz w:val="20"/>
                <w:szCs w:val="20"/>
                <w:lang w:val="sl-SI"/>
              </w:rPr>
              <w:t>, akt</w:t>
            </w:r>
            <w:r w:rsidR="00C746A4" w:rsidRPr="00FF207E">
              <w:rPr>
                <w:rFonts w:cs="Arial"/>
                <w:b/>
                <w:sz w:val="20"/>
                <w:szCs w:val="20"/>
                <w:lang w:val="sl-SI"/>
              </w:rPr>
              <w:t>i</w:t>
            </w:r>
            <w:r w:rsidRPr="00FF207E">
              <w:rPr>
                <w:rFonts w:cs="Arial"/>
                <w:b/>
                <w:sz w:val="20"/>
                <w:szCs w:val="20"/>
                <w:lang w:val="sl-SI"/>
              </w:rPr>
              <w:t xml:space="preserve"> oz</w:t>
            </w:r>
            <w:r w:rsidR="00B77973" w:rsidRPr="00FF207E">
              <w:rPr>
                <w:rFonts w:cs="Arial"/>
                <w:b/>
                <w:sz w:val="20"/>
                <w:szCs w:val="20"/>
                <w:lang w:val="sl-SI"/>
              </w:rPr>
              <w:t>iroma</w:t>
            </w:r>
            <w:r w:rsidRPr="00FF207E">
              <w:rPr>
                <w:rFonts w:cs="Arial"/>
                <w:b/>
                <w:sz w:val="20"/>
                <w:szCs w:val="20"/>
                <w:lang w:val="sl-SI"/>
              </w:rPr>
              <w:t xml:space="preserve"> politike</w:t>
            </w:r>
            <w:r w:rsidRPr="00FF207E">
              <w:rPr>
                <w:rFonts w:cs="Arial"/>
                <w:bCs/>
                <w:sz w:val="20"/>
                <w:szCs w:val="20"/>
                <w:lang w:val="sl-SI"/>
              </w:rPr>
              <w:t xml:space="preserve"> (</w:t>
            </w:r>
            <w:r w:rsidR="00C746A4" w:rsidRPr="00FF207E">
              <w:rPr>
                <w:rFonts w:cs="Arial"/>
                <w:bCs/>
                <w:sz w:val="20"/>
                <w:szCs w:val="20"/>
                <w:lang w:val="sl-SI"/>
              </w:rPr>
              <w:t>veljavni</w:t>
            </w:r>
            <w:r w:rsidR="00736A5E" w:rsidRPr="00FF207E">
              <w:rPr>
                <w:rFonts w:cs="Arial"/>
                <w:bCs/>
                <w:sz w:val="20"/>
                <w:szCs w:val="20"/>
                <w:lang w:val="sl-SI"/>
              </w:rPr>
              <w:t xml:space="preserve"> </w:t>
            </w:r>
            <w:r w:rsidRPr="00FF207E">
              <w:rPr>
                <w:rFonts w:cs="Arial"/>
                <w:bCs/>
                <w:sz w:val="20"/>
                <w:szCs w:val="20"/>
                <w:lang w:val="sl-SI"/>
              </w:rPr>
              <w:t xml:space="preserve">in </w:t>
            </w:r>
            <w:r w:rsidR="00C746A4" w:rsidRPr="00FF207E">
              <w:rPr>
                <w:rFonts w:cs="Arial"/>
                <w:bCs/>
                <w:sz w:val="20"/>
                <w:szCs w:val="20"/>
                <w:lang w:val="sl-SI"/>
              </w:rPr>
              <w:t>tisti</w:t>
            </w:r>
            <w:r w:rsidR="00736A5E" w:rsidRPr="00FF207E">
              <w:rPr>
                <w:rFonts w:cs="Arial"/>
                <w:bCs/>
                <w:sz w:val="20"/>
                <w:szCs w:val="20"/>
                <w:lang w:val="sl-SI"/>
              </w:rPr>
              <w:t xml:space="preserve">, ki so </w:t>
            </w:r>
            <w:r w:rsidRPr="00FF207E">
              <w:rPr>
                <w:rFonts w:cs="Arial"/>
                <w:bCs/>
                <w:sz w:val="20"/>
                <w:szCs w:val="20"/>
                <w:lang w:val="sl-SI"/>
              </w:rPr>
              <w:t>v pripravi)</w:t>
            </w:r>
            <w:r w:rsidRPr="00FF207E">
              <w:rPr>
                <w:rFonts w:cs="Arial"/>
                <w:b/>
                <w:sz w:val="20"/>
                <w:szCs w:val="20"/>
                <w:lang w:val="sl-SI"/>
              </w:rPr>
              <w:t xml:space="preserve"> poslabšujejo energetsko revščino </w:t>
            </w:r>
            <w:r w:rsidRPr="00FF207E">
              <w:rPr>
                <w:rFonts w:cs="Arial"/>
                <w:sz w:val="20"/>
                <w:szCs w:val="20"/>
                <w:lang w:val="sl-SI"/>
              </w:rPr>
              <w:t>oz</w:t>
            </w:r>
            <w:r w:rsidR="00B77973" w:rsidRPr="00FF207E">
              <w:rPr>
                <w:rFonts w:cs="Arial"/>
                <w:sz w:val="20"/>
                <w:szCs w:val="20"/>
                <w:lang w:val="sl-SI"/>
              </w:rPr>
              <w:t>iroma</w:t>
            </w:r>
            <w:r w:rsidRPr="00FF207E">
              <w:rPr>
                <w:rFonts w:cs="Arial"/>
                <w:sz w:val="20"/>
                <w:szCs w:val="20"/>
                <w:lang w:val="sl-SI"/>
              </w:rPr>
              <w:t xml:space="preserve"> ali </w:t>
            </w:r>
            <w:r w:rsidR="00C746A4" w:rsidRPr="00FF207E">
              <w:rPr>
                <w:rFonts w:cs="Arial"/>
                <w:sz w:val="20"/>
                <w:szCs w:val="20"/>
                <w:lang w:val="sl-SI"/>
              </w:rPr>
              <w:t xml:space="preserve">jo </w:t>
            </w:r>
            <w:r w:rsidRPr="00FF207E">
              <w:rPr>
                <w:rFonts w:cs="Arial"/>
                <w:sz w:val="20"/>
                <w:szCs w:val="20"/>
                <w:lang w:val="sl-SI"/>
              </w:rPr>
              <w:t>dovolj zmanjšujejo</w:t>
            </w:r>
            <w:r w:rsidR="00C746A4" w:rsidRPr="00FF207E">
              <w:rPr>
                <w:rFonts w:cs="Arial"/>
                <w:sz w:val="20"/>
                <w:szCs w:val="20"/>
                <w:lang w:val="sl-SI"/>
              </w:rPr>
              <w:t>,</w:t>
            </w:r>
            <w:r w:rsidRPr="00FF207E">
              <w:rPr>
                <w:rFonts w:cs="Arial"/>
                <w:sz w:val="20"/>
                <w:szCs w:val="20"/>
                <w:lang w:val="sl-SI"/>
              </w:rPr>
              <w:t xml:space="preserve"> </w:t>
            </w:r>
            <w:r w:rsidR="00C746A4" w:rsidRPr="00FF207E">
              <w:rPr>
                <w:rFonts w:cs="Arial"/>
                <w:sz w:val="20"/>
                <w:szCs w:val="20"/>
                <w:lang w:val="sl-SI"/>
              </w:rPr>
              <w:t xml:space="preserve">in </w:t>
            </w:r>
            <w:r w:rsidR="00C746A4" w:rsidRPr="00FF207E">
              <w:rPr>
                <w:rFonts w:cs="Arial"/>
                <w:bCs/>
                <w:sz w:val="20"/>
                <w:szCs w:val="20"/>
                <w:lang w:val="sl-SI"/>
              </w:rPr>
              <w:t>p</w:t>
            </w:r>
            <w:r w:rsidRPr="00FF207E">
              <w:rPr>
                <w:rFonts w:cs="Arial"/>
                <w:bCs/>
                <w:sz w:val="20"/>
                <w:szCs w:val="20"/>
                <w:lang w:val="sl-SI"/>
              </w:rPr>
              <w:t>ripravlja predloge sprememb v zvezi</w:t>
            </w:r>
            <w:r w:rsidR="00C746A4" w:rsidRPr="00FF207E">
              <w:rPr>
                <w:rFonts w:cs="Arial"/>
                <w:bCs/>
                <w:sz w:val="20"/>
                <w:szCs w:val="20"/>
                <w:lang w:val="sl-SI"/>
              </w:rPr>
              <w:t xml:space="preserve"> s tem</w:t>
            </w:r>
            <w:r w:rsidRPr="00FF207E">
              <w:rPr>
                <w:rFonts w:cs="Arial"/>
                <w:bCs/>
                <w:sz w:val="20"/>
                <w:szCs w:val="20"/>
                <w:lang w:val="sl-SI"/>
              </w:rPr>
              <w:t>,</w:t>
            </w:r>
          </w:p>
          <w:p w14:paraId="564833BB" w14:textId="6E55FA9A" w:rsidR="00E57FC0" w:rsidRPr="00FF207E" w:rsidRDefault="00E57FC0" w:rsidP="001E304B">
            <w:pPr>
              <w:pStyle w:val="Odstavekseznama"/>
              <w:numPr>
                <w:ilvl w:val="0"/>
                <w:numId w:val="8"/>
              </w:numPr>
              <w:spacing w:line="240" w:lineRule="atLeast"/>
              <w:ind w:left="357" w:hanging="357"/>
              <w:jc w:val="both"/>
              <w:rPr>
                <w:rFonts w:cs="Arial"/>
                <w:sz w:val="20"/>
                <w:szCs w:val="20"/>
                <w:lang w:val="sl-SI"/>
              </w:rPr>
            </w:pPr>
            <w:r w:rsidRPr="00FF207E">
              <w:rPr>
                <w:rFonts w:cs="Arial"/>
                <w:sz w:val="20"/>
                <w:szCs w:val="20"/>
                <w:lang w:val="sl-SI"/>
              </w:rPr>
              <w:t>usmerja analize v podporo izvajalcem ukrepov in pripravljavcem politik ter izvajanju svojih nalog.</w:t>
            </w:r>
          </w:p>
          <w:p w14:paraId="65A70A6F" w14:textId="0E6EE15D" w:rsidR="00C45457" w:rsidRPr="00FF207E" w:rsidRDefault="00E57FC0" w:rsidP="001E304B">
            <w:pPr>
              <w:spacing w:before="60" w:line="240" w:lineRule="atLeast"/>
              <w:jc w:val="both"/>
              <w:rPr>
                <w:rFonts w:cs="Arial"/>
                <w:bCs/>
                <w:sz w:val="20"/>
                <w:szCs w:val="20"/>
                <w:lang w:val="sl-SI"/>
              </w:rPr>
            </w:pPr>
            <w:r w:rsidRPr="00FF207E">
              <w:rPr>
                <w:rFonts w:cs="Arial"/>
                <w:b/>
                <w:sz w:val="20"/>
                <w:szCs w:val="20"/>
                <w:lang w:val="sl-SI"/>
              </w:rPr>
              <w:t xml:space="preserve">Sosvet sestoji iz </w:t>
            </w:r>
            <w:r w:rsidR="002A24EB" w:rsidRPr="00FF207E">
              <w:rPr>
                <w:rFonts w:cs="Arial"/>
                <w:b/>
                <w:sz w:val="20"/>
                <w:szCs w:val="20"/>
                <w:lang w:val="sl-SI"/>
              </w:rPr>
              <w:t>različnih institucij</w:t>
            </w:r>
            <w:r w:rsidR="00CB3F8C" w:rsidRPr="00FF207E">
              <w:rPr>
                <w:rFonts w:cs="Arial"/>
                <w:b/>
                <w:sz w:val="20"/>
                <w:szCs w:val="20"/>
                <w:lang w:val="sl-SI"/>
              </w:rPr>
              <w:t>,</w:t>
            </w:r>
            <w:r w:rsidR="002A24EB" w:rsidRPr="00FF207E">
              <w:rPr>
                <w:rFonts w:cs="Arial"/>
                <w:b/>
                <w:sz w:val="20"/>
                <w:szCs w:val="20"/>
                <w:lang w:val="sl-SI"/>
              </w:rPr>
              <w:t xml:space="preserve"> kot so na</w:t>
            </w:r>
            <w:r w:rsidR="00351369" w:rsidRPr="00FF207E">
              <w:rPr>
                <w:rFonts w:cs="Arial"/>
                <w:b/>
                <w:sz w:val="20"/>
                <w:szCs w:val="20"/>
                <w:lang w:val="sl-SI"/>
              </w:rPr>
              <w:t xml:space="preserve"> </w:t>
            </w:r>
            <w:r w:rsidR="002A24EB" w:rsidRPr="00FF207E">
              <w:rPr>
                <w:rFonts w:cs="Arial"/>
                <w:b/>
                <w:sz w:val="20"/>
                <w:szCs w:val="20"/>
                <w:lang w:val="sl-SI"/>
              </w:rPr>
              <w:t>primer</w:t>
            </w:r>
            <w:r w:rsidRPr="00FF207E">
              <w:rPr>
                <w:rFonts w:cs="Arial"/>
                <w:bCs/>
                <w:sz w:val="20"/>
                <w:szCs w:val="20"/>
                <w:lang w:val="sl-SI"/>
              </w:rPr>
              <w:t>:</w:t>
            </w:r>
          </w:p>
          <w:p w14:paraId="3981F19D" w14:textId="77777777" w:rsidR="00E57FC0" w:rsidRPr="00FF207E" w:rsidRDefault="00E57FC0" w:rsidP="001E304B">
            <w:pPr>
              <w:pStyle w:val="Odstavekseznama"/>
              <w:numPr>
                <w:ilvl w:val="0"/>
                <w:numId w:val="26"/>
              </w:numPr>
              <w:spacing w:line="240" w:lineRule="atLeast"/>
              <w:ind w:left="357" w:hanging="357"/>
              <w:jc w:val="both"/>
              <w:rPr>
                <w:rFonts w:cs="Arial"/>
                <w:sz w:val="20"/>
                <w:szCs w:val="20"/>
                <w:lang w:val="sl-SI"/>
              </w:rPr>
            </w:pPr>
            <w:r w:rsidRPr="00FF207E">
              <w:rPr>
                <w:rFonts w:cs="Arial"/>
                <w:bCs/>
                <w:sz w:val="20"/>
                <w:szCs w:val="20"/>
                <w:lang w:val="sl-SI"/>
              </w:rPr>
              <w:t>MDDSZ,</w:t>
            </w:r>
          </w:p>
          <w:p w14:paraId="4BA2E1BB" w14:textId="088C35B2" w:rsidR="00E57FC0" w:rsidRPr="00FF207E" w:rsidRDefault="00E57FC0" w:rsidP="001E304B">
            <w:pPr>
              <w:pStyle w:val="Odstavekseznama"/>
              <w:numPr>
                <w:ilvl w:val="0"/>
                <w:numId w:val="26"/>
              </w:numPr>
              <w:spacing w:line="240" w:lineRule="atLeast"/>
              <w:ind w:left="357" w:hanging="357"/>
              <w:jc w:val="both"/>
              <w:rPr>
                <w:rFonts w:cs="Arial"/>
                <w:sz w:val="20"/>
                <w:szCs w:val="20"/>
                <w:lang w:val="sl-SI"/>
              </w:rPr>
            </w:pPr>
            <w:r w:rsidRPr="00FF207E">
              <w:rPr>
                <w:rFonts w:cs="Arial"/>
                <w:sz w:val="20"/>
                <w:szCs w:val="20"/>
                <w:lang w:val="sl-SI"/>
              </w:rPr>
              <w:t>MOPE,</w:t>
            </w:r>
          </w:p>
          <w:p w14:paraId="38491A80" w14:textId="4EC86898" w:rsidR="00E57FC0" w:rsidRPr="00FF207E" w:rsidRDefault="00E57FC0" w:rsidP="001E304B">
            <w:pPr>
              <w:pStyle w:val="Odstavekseznama"/>
              <w:numPr>
                <w:ilvl w:val="0"/>
                <w:numId w:val="26"/>
              </w:numPr>
              <w:spacing w:line="240" w:lineRule="atLeast"/>
              <w:ind w:left="357" w:hanging="357"/>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p>
          <w:p w14:paraId="61C7F692" w14:textId="65D0A06C" w:rsidR="00E57FC0" w:rsidRPr="00FF207E" w:rsidRDefault="00E57FC0" w:rsidP="001E304B">
            <w:pPr>
              <w:pStyle w:val="Odstavekseznama"/>
              <w:numPr>
                <w:ilvl w:val="0"/>
                <w:numId w:val="26"/>
              </w:numPr>
              <w:spacing w:line="240" w:lineRule="atLeast"/>
              <w:ind w:left="357" w:hanging="357"/>
              <w:jc w:val="both"/>
              <w:rPr>
                <w:rFonts w:cs="Arial"/>
                <w:sz w:val="20"/>
                <w:szCs w:val="20"/>
                <w:lang w:val="sl-SI"/>
              </w:rPr>
            </w:pPr>
            <w:r w:rsidRPr="00FF207E">
              <w:rPr>
                <w:rFonts w:cs="Arial"/>
                <w:bCs/>
                <w:sz w:val="20"/>
                <w:szCs w:val="20"/>
                <w:lang w:val="sl-SI"/>
              </w:rPr>
              <w:t>lokaln</w:t>
            </w:r>
            <w:r w:rsidR="007A73EC" w:rsidRPr="00FF207E">
              <w:rPr>
                <w:rFonts w:cs="Arial"/>
                <w:bCs/>
                <w:sz w:val="20"/>
                <w:szCs w:val="20"/>
                <w:lang w:val="sl-SI"/>
              </w:rPr>
              <w:t>e</w:t>
            </w:r>
            <w:r w:rsidRPr="00FF207E">
              <w:rPr>
                <w:rFonts w:cs="Arial"/>
                <w:bCs/>
                <w:sz w:val="20"/>
                <w:szCs w:val="20"/>
                <w:lang w:val="sl-SI"/>
              </w:rPr>
              <w:t xml:space="preserve"> skupnosti (ali lokaln</w:t>
            </w:r>
            <w:r w:rsidR="007A73EC" w:rsidRPr="00FF207E">
              <w:rPr>
                <w:rFonts w:cs="Arial"/>
                <w:bCs/>
                <w:sz w:val="20"/>
                <w:szCs w:val="20"/>
                <w:lang w:val="sl-SI"/>
              </w:rPr>
              <w:t>e</w:t>
            </w:r>
            <w:r w:rsidRPr="00FF207E">
              <w:rPr>
                <w:rFonts w:cs="Arial"/>
                <w:bCs/>
                <w:sz w:val="20"/>
                <w:szCs w:val="20"/>
                <w:lang w:val="sl-SI"/>
              </w:rPr>
              <w:t xml:space="preserve"> energetsk</w:t>
            </w:r>
            <w:r w:rsidR="007A73EC" w:rsidRPr="00FF207E">
              <w:rPr>
                <w:rFonts w:cs="Arial"/>
                <w:bCs/>
                <w:sz w:val="20"/>
                <w:szCs w:val="20"/>
                <w:lang w:val="sl-SI"/>
              </w:rPr>
              <w:t>e</w:t>
            </w:r>
            <w:r w:rsidRPr="00FF207E">
              <w:rPr>
                <w:rFonts w:cs="Arial"/>
                <w:bCs/>
                <w:sz w:val="20"/>
                <w:szCs w:val="20"/>
                <w:lang w:val="sl-SI"/>
              </w:rPr>
              <w:t xml:space="preserve"> agencij</w:t>
            </w:r>
            <w:r w:rsidR="007A73EC" w:rsidRPr="00FF207E">
              <w:rPr>
                <w:rFonts w:cs="Arial"/>
                <w:bCs/>
                <w:sz w:val="20"/>
                <w:szCs w:val="20"/>
                <w:lang w:val="sl-SI"/>
              </w:rPr>
              <w:t>e</w:t>
            </w:r>
            <w:r w:rsidRPr="00FF207E">
              <w:rPr>
                <w:rFonts w:cs="Arial"/>
                <w:bCs/>
                <w:sz w:val="20"/>
                <w:szCs w:val="20"/>
                <w:lang w:val="sl-SI"/>
              </w:rPr>
              <w:t>),</w:t>
            </w:r>
          </w:p>
          <w:p w14:paraId="4D7B0DB3" w14:textId="0FA731B2" w:rsidR="00E57FC0" w:rsidRPr="00FF207E" w:rsidRDefault="00E57FC0" w:rsidP="001E304B">
            <w:pPr>
              <w:pStyle w:val="Odstavekseznama"/>
              <w:numPr>
                <w:ilvl w:val="0"/>
                <w:numId w:val="26"/>
              </w:numPr>
              <w:spacing w:line="240" w:lineRule="atLeast"/>
              <w:ind w:left="357" w:hanging="357"/>
              <w:jc w:val="both"/>
              <w:rPr>
                <w:rFonts w:cs="Arial"/>
                <w:sz w:val="20"/>
                <w:szCs w:val="20"/>
                <w:lang w:val="sl-SI"/>
              </w:rPr>
            </w:pPr>
            <w:proofErr w:type="spellStart"/>
            <w:r w:rsidRPr="00FF207E">
              <w:rPr>
                <w:rFonts w:cs="Arial"/>
                <w:bCs/>
                <w:sz w:val="20"/>
                <w:szCs w:val="20"/>
                <w:lang w:val="sl-SI"/>
              </w:rPr>
              <w:t>okoljsk</w:t>
            </w:r>
            <w:r w:rsidR="007A73EC" w:rsidRPr="00FF207E">
              <w:rPr>
                <w:rFonts w:cs="Arial"/>
                <w:bCs/>
                <w:sz w:val="20"/>
                <w:szCs w:val="20"/>
                <w:lang w:val="sl-SI"/>
              </w:rPr>
              <w:t>e</w:t>
            </w:r>
            <w:proofErr w:type="spellEnd"/>
            <w:r w:rsidRPr="00FF207E">
              <w:rPr>
                <w:rFonts w:cs="Arial"/>
                <w:bCs/>
                <w:sz w:val="20"/>
                <w:szCs w:val="20"/>
                <w:lang w:val="sl-SI"/>
              </w:rPr>
              <w:t xml:space="preserve"> </w:t>
            </w:r>
            <w:r w:rsidR="007A73EC" w:rsidRPr="00FF207E">
              <w:rPr>
                <w:rFonts w:cs="Arial"/>
                <w:bCs/>
                <w:sz w:val="20"/>
                <w:szCs w:val="20"/>
                <w:lang w:val="sl-SI"/>
              </w:rPr>
              <w:t>nevladne organizacije (</w:t>
            </w:r>
            <w:r w:rsidRPr="00FF207E">
              <w:rPr>
                <w:rFonts w:cs="Arial"/>
                <w:bCs/>
                <w:sz w:val="20"/>
                <w:szCs w:val="20"/>
                <w:lang w:val="sl-SI"/>
              </w:rPr>
              <w:t>NVO</w:t>
            </w:r>
            <w:r w:rsidR="007A73EC" w:rsidRPr="00FF207E">
              <w:rPr>
                <w:rFonts w:cs="Arial"/>
                <w:bCs/>
                <w:sz w:val="20"/>
                <w:szCs w:val="20"/>
                <w:lang w:val="sl-SI"/>
              </w:rPr>
              <w:t>)</w:t>
            </w:r>
            <w:r w:rsidRPr="00FF207E">
              <w:rPr>
                <w:rFonts w:cs="Arial"/>
                <w:bCs/>
                <w:sz w:val="20"/>
                <w:szCs w:val="20"/>
                <w:lang w:val="sl-SI"/>
              </w:rPr>
              <w:t>,</w:t>
            </w:r>
          </w:p>
          <w:p w14:paraId="1AF272B0" w14:textId="1C2A20B4" w:rsidR="00E57FC0" w:rsidRPr="00FF207E" w:rsidRDefault="00E57FC0" w:rsidP="001E304B">
            <w:pPr>
              <w:pStyle w:val="Odstavekseznama"/>
              <w:numPr>
                <w:ilvl w:val="0"/>
                <w:numId w:val="26"/>
              </w:numPr>
              <w:spacing w:line="240" w:lineRule="atLeast"/>
              <w:ind w:left="357" w:hanging="357"/>
              <w:jc w:val="both"/>
              <w:rPr>
                <w:rFonts w:cs="Arial"/>
                <w:sz w:val="20"/>
                <w:szCs w:val="20"/>
                <w:lang w:val="sl-SI"/>
              </w:rPr>
            </w:pPr>
            <w:r w:rsidRPr="00FF207E">
              <w:rPr>
                <w:rFonts w:cs="Arial"/>
                <w:bCs/>
                <w:sz w:val="20"/>
                <w:szCs w:val="20"/>
                <w:lang w:val="sl-SI"/>
              </w:rPr>
              <w:t>humanitarn</w:t>
            </w:r>
            <w:r w:rsidR="007A73EC" w:rsidRPr="00FF207E">
              <w:rPr>
                <w:rFonts w:cs="Arial"/>
                <w:bCs/>
                <w:sz w:val="20"/>
                <w:szCs w:val="20"/>
                <w:lang w:val="sl-SI"/>
              </w:rPr>
              <w:t>e</w:t>
            </w:r>
            <w:r w:rsidRPr="00FF207E">
              <w:rPr>
                <w:rFonts w:cs="Arial"/>
                <w:bCs/>
                <w:sz w:val="20"/>
                <w:szCs w:val="20"/>
                <w:lang w:val="sl-SI"/>
              </w:rPr>
              <w:t xml:space="preserve"> NVO,</w:t>
            </w:r>
          </w:p>
          <w:p w14:paraId="34B01CF8" w14:textId="17356539" w:rsidR="00E57FC0" w:rsidRPr="00FF207E" w:rsidRDefault="00E57FC0" w:rsidP="001E304B">
            <w:pPr>
              <w:pStyle w:val="Odstavekseznama"/>
              <w:numPr>
                <w:ilvl w:val="0"/>
                <w:numId w:val="26"/>
              </w:numPr>
              <w:spacing w:line="240" w:lineRule="atLeast"/>
              <w:ind w:left="357" w:hanging="357"/>
              <w:jc w:val="both"/>
              <w:rPr>
                <w:rFonts w:cs="Arial"/>
                <w:sz w:val="20"/>
                <w:szCs w:val="20"/>
                <w:lang w:val="sl-SI"/>
              </w:rPr>
            </w:pPr>
            <w:r w:rsidRPr="00FF207E">
              <w:rPr>
                <w:rFonts w:cs="Arial"/>
                <w:bCs/>
                <w:sz w:val="20"/>
                <w:szCs w:val="20"/>
                <w:lang w:val="sl-SI"/>
              </w:rPr>
              <w:t>strokovn</w:t>
            </w:r>
            <w:r w:rsidR="007A73EC" w:rsidRPr="00FF207E">
              <w:rPr>
                <w:rFonts w:cs="Arial"/>
                <w:bCs/>
                <w:sz w:val="20"/>
                <w:szCs w:val="20"/>
                <w:lang w:val="sl-SI"/>
              </w:rPr>
              <w:t>e</w:t>
            </w:r>
            <w:r w:rsidRPr="00FF207E">
              <w:rPr>
                <w:rFonts w:cs="Arial"/>
                <w:bCs/>
                <w:sz w:val="20"/>
                <w:szCs w:val="20"/>
                <w:lang w:val="sl-SI"/>
              </w:rPr>
              <w:t xml:space="preserve"> institucij</w:t>
            </w:r>
            <w:r w:rsidR="007A73EC" w:rsidRPr="00FF207E">
              <w:rPr>
                <w:rFonts w:cs="Arial"/>
                <w:bCs/>
                <w:sz w:val="20"/>
                <w:szCs w:val="20"/>
                <w:lang w:val="sl-SI"/>
              </w:rPr>
              <w:t>e</w:t>
            </w:r>
            <w:r w:rsidRPr="00FF207E">
              <w:rPr>
                <w:rFonts w:cs="Arial"/>
                <w:bCs/>
                <w:sz w:val="20"/>
                <w:szCs w:val="20"/>
                <w:lang w:val="sl-SI"/>
              </w:rPr>
              <w:t xml:space="preserve"> s področja energetske učinkovitosti in</w:t>
            </w:r>
          </w:p>
          <w:p w14:paraId="6356E31A" w14:textId="7678E849" w:rsidR="00E57FC0" w:rsidRPr="00FF207E" w:rsidRDefault="00E57FC0" w:rsidP="001E304B">
            <w:pPr>
              <w:pStyle w:val="Odstavekseznama"/>
              <w:numPr>
                <w:ilvl w:val="0"/>
                <w:numId w:val="26"/>
              </w:numPr>
              <w:spacing w:line="240" w:lineRule="atLeast"/>
              <w:ind w:left="357" w:hanging="357"/>
              <w:jc w:val="both"/>
              <w:rPr>
                <w:rFonts w:cs="Arial"/>
                <w:sz w:val="20"/>
                <w:szCs w:val="20"/>
                <w:lang w:val="sl-SI"/>
              </w:rPr>
            </w:pPr>
            <w:r w:rsidRPr="00FF207E">
              <w:rPr>
                <w:rFonts w:cs="Arial"/>
                <w:bCs/>
                <w:sz w:val="20"/>
                <w:szCs w:val="20"/>
                <w:lang w:val="sl-SI"/>
              </w:rPr>
              <w:t>strokovn</w:t>
            </w:r>
            <w:r w:rsidR="007A73EC" w:rsidRPr="00FF207E">
              <w:rPr>
                <w:rFonts w:cs="Arial"/>
                <w:bCs/>
                <w:sz w:val="20"/>
                <w:szCs w:val="20"/>
                <w:lang w:val="sl-SI"/>
              </w:rPr>
              <w:t>e</w:t>
            </w:r>
            <w:r w:rsidRPr="00FF207E">
              <w:rPr>
                <w:rFonts w:cs="Arial"/>
                <w:bCs/>
                <w:sz w:val="20"/>
                <w:szCs w:val="20"/>
                <w:lang w:val="sl-SI"/>
              </w:rPr>
              <w:t xml:space="preserve"> institucij</w:t>
            </w:r>
            <w:r w:rsidR="007A73EC" w:rsidRPr="00FF207E">
              <w:rPr>
                <w:rFonts w:cs="Arial"/>
                <w:bCs/>
                <w:sz w:val="20"/>
                <w:szCs w:val="20"/>
                <w:lang w:val="sl-SI"/>
              </w:rPr>
              <w:t>e</w:t>
            </w:r>
            <w:r w:rsidRPr="00FF207E">
              <w:rPr>
                <w:rFonts w:cs="Arial"/>
                <w:bCs/>
                <w:sz w:val="20"/>
                <w:szCs w:val="20"/>
                <w:lang w:val="sl-SI"/>
              </w:rPr>
              <w:t xml:space="preserve"> s področja socialnega dela.</w:t>
            </w:r>
          </w:p>
          <w:p w14:paraId="7C328708" w14:textId="50CA8AB6" w:rsidR="00E57FC0" w:rsidRPr="00FF207E" w:rsidRDefault="00E57FC0" w:rsidP="001E304B">
            <w:pPr>
              <w:spacing w:before="60" w:line="240" w:lineRule="atLeast"/>
              <w:jc w:val="both"/>
              <w:rPr>
                <w:rFonts w:cs="Arial"/>
                <w:sz w:val="20"/>
                <w:szCs w:val="20"/>
                <w:lang w:val="sl-SI"/>
              </w:rPr>
            </w:pPr>
            <w:r w:rsidRPr="00FF207E">
              <w:rPr>
                <w:rFonts w:cs="Arial"/>
                <w:bCs/>
                <w:sz w:val="20"/>
                <w:szCs w:val="20"/>
                <w:lang w:val="sl-SI"/>
              </w:rPr>
              <w:t>Sosvet k svojemu delu po potrebi vabi druge izvajalce ukrepov in strokovnjake.</w:t>
            </w:r>
          </w:p>
        </w:tc>
      </w:tr>
      <w:tr w:rsidR="00C45457" w:rsidRPr="00FF207E" w14:paraId="1C54DB20" w14:textId="77777777" w:rsidTr="00F45B2E">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14B26EE4" w14:textId="77777777" w:rsidR="00C45457" w:rsidRPr="00FF207E" w:rsidRDefault="00C45457" w:rsidP="001E304B">
            <w:pPr>
              <w:spacing w:before="60" w:after="60" w:line="240" w:lineRule="atLeast"/>
              <w:jc w:val="both"/>
              <w:rPr>
                <w:rFonts w:cs="Arial"/>
                <w:b/>
                <w:lang w:val="sl-SI"/>
              </w:rPr>
            </w:pPr>
            <w:r w:rsidRPr="00FF207E">
              <w:rPr>
                <w:rFonts w:cs="Arial"/>
                <w:b/>
                <w:lang w:val="sl-SI"/>
              </w:rPr>
              <w:t>Kratkoročna izvedba ukrepa v obdobju 2024–2026</w:t>
            </w:r>
          </w:p>
        </w:tc>
      </w:tr>
      <w:tr w:rsidR="00C45457" w:rsidRPr="00FF207E" w14:paraId="7A1CD392"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7E671A3C" w14:textId="77777777" w:rsidR="00C45457" w:rsidRPr="00FF207E" w:rsidRDefault="00C45457" w:rsidP="001E304B">
            <w:pPr>
              <w:spacing w:line="240" w:lineRule="atLeast"/>
              <w:jc w:val="both"/>
              <w:rPr>
                <w:rFonts w:cs="Arial"/>
                <w:sz w:val="20"/>
                <w:szCs w:val="20"/>
                <w:lang w:val="sl-SI"/>
              </w:rPr>
            </w:pPr>
            <w:r w:rsidRPr="00FF207E">
              <w:rPr>
                <w:rFonts w:cs="Arial"/>
                <w:sz w:val="20"/>
                <w:szCs w:val="20"/>
                <w:lang w:val="sl-SI"/>
              </w:rPr>
              <w:t>Kratkoročni cilj</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466782A" w14:textId="616AEAE7" w:rsidR="00C45457" w:rsidRPr="00FF207E" w:rsidRDefault="00E57FC0" w:rsidP="00A95776">
            <w:pPr>
              <w:spacing w:line="240" w:lineRule="atLeast"/>
              <w:jc w:val="both"/>
              <w:rPr>
                <w:rFonts w:cs="Arial"/>
                <w:sz w:val="20"/>
                <w:szCs w:val="20"/>
                <w:lang w:val="sl-SI"/>
              </w:rPr>
            </w:pPr>
            <w:r w:rsidRPr="00FF207E">
              <w:rPr>
                <w:rFonts w:cs="Arial"/>
                <w:sz w:val="20"/>
                <w:szCs w:val="20"/>
                <w:lang w:val="sl-SI"/>
              </w:rPr>
              <w:t xml:space="preserve">Kratkoročni cilj </w:t>
            </w:r>
            <w:r w:rsidR="005E53C6" w:rsidRPr="00FF207E">
              <w:rPr>
                <w:rFonts w:cs="Arial"/>
                <w:sz w:val="20"/>
                <w:szCs w:val="20"/>
                <w:lang w:val="sl-SI"/>
              </w:rPr>
              <w:t>s</w:t>
            </w:r>
            <w:r w:rsidRPr="00FF207E">
              <w:rPr>
                <w:rFonts w:cs="Arial"/>
                <w:sz w:val="20"/>
                <w:szCs w:val="20"/>
                <w:lang w:val="sl-SI"/>
              </w:rPr>
              <w:t xml:space="preserve">osveta za </w:t>
            </w:r>
            <w:r w:rsidR="00097EB2" w:rsidRPr="00FF207E">
              <w:rPr>
                <w:rFonts w:cs="Arial"/>
                <w:sz w:val="20"/>
                <w:szCs w:val="20"/>
                <w:lang w:val="sl-SI"/>
              </w:rPr>
              <w:t xml:space="preserve">energetsko revščino </w:t>
            </w:r>
            <w:r w:rsidRPr="00FF207E">
              <w:rPr>
                <w:rFonts w:cs="Arial"/>
                <w:sz w:val="20"/>
                <w:szCs w:val="20"/>
                <w:lang w:val="sl-SI"/>
              </w:rPr>
              <w:t xml:space="preserve">je podpora izvajanju ukrepov s področja </w:t>
            </w:r>
            <w:r w:rsidR="00097EB2" w:rsidRPr="00FF207E">
              <w:rPr>
                <w:rFonts w:cs="Arial"/>
                <w:sz w:val="20"/>
                <w:szCs w:val="20"/>
                <w:lang w:val="sl-SI"/>
              </w:rPr>
              <w:t>energetske revščine</w:t>
            </w:r>
            <w:r w:rsidRPr="00FF207E">
              <w:rPr>
                <w:rFonts w:cs="Arial"/>
                <w:sz w:val="20"/>
                <w:szCs w:val="20"/>
                <w:lang w:val="sl-SI"/>
              </w:rPr>
              <w:t xml:space="preserve"> ‒ izvedbi </w:t>
            </w:r>
            <w:r w:rsidR="00E27621" w:rsidRPr="00FF207E">
              <w:rPr>
                <w:rFonts w:cs="Arial"/>
                <w:sz w:val="20"/>
                <w:szCs w:val="20"/>
                <w:lang w:val="sl-SI"/>
              </w:rPr>
              <w:t xml:space="preserve">naložb v </w:t>
            </w:r>
            <w:r w:rsidR="00D745B4" w:rsidRPr="00FF207E">
              <w:rPr>
                <w:rFonts w:cs="Arial"/>
                <w:sz w:val="20"/>
                <w:szCs w:val="20"/>
                <w:lang w:val="sl-SI"/>
              </w:rPr>
              <w:t xml:space="preserve">energetsko revnih gospodinjstvih </w:t>
            </w:r>
            <w:r w:rsidRPr="00FF207E">
              <w:rPr>
                <w:rFonts w:cs="Arial"/>
                <w:sz w:val="20"/>
                <w:szCs w:val="20"/>
                <w:lang w:val="sl-SI"/>
              </w:rPr>
              <w:t xml:space="preserve">v letih 2024‒2026 </w:t>
            </w:r>
            <w:r w:rsidR="00D745B4" w:rsidRPr="00FF207E">
              <w:rPr>
                <w:rFonts w:cs="Arial"/>
                <w:sz w:val="20"/>
                <w:szCs w:val="20"/>
                <w:lang w:val="sl-SI"/>
              </w:rPr>
              <w:t xml:space="preserve">v skladu s cilji v poglavju </w:t>
            </w:r>
            <w:r w:rsidR="00D745B4" w:rsidRPr="00FF207E">
              <w:rPr>
                <w:rFonts w:cs="Arial"/>
                <w:sz w:val="20"/>
                <w:szCs w:val="20"/>
                <w:lang w:val="sl-SI"/>
              </w:rPr>
              <w:fldChar w:fldCharType="begin"/>
            </w:r>
            <w:r w:rsidR="00D745B4" w:rsidRPr="00FF207E">
              <w:rPr>
                <w:rFonts w:cs="Arial"/>
                <w:sz w:val="20"/>
                <w:szCs w:val="20"/>
                <w:lang w:val="sl-SI"/>
              </w:rPr>
              <w:instrText xml:space="preserve"> REF _Ref137574115 \r \h  \* MERGEFORMAT </w:instrText>
            </w:r>
            <w:r w:rsidR="00D745B4" w:rsidRPr="00FF207E">
              <w:rPr>
                <w:rFonts w:cs="Arial"/>
                <w:sz w:val="20"/>
                <w:szCs w:val="20"/>
                <w:lang w:val="sl-SI"/>
              </w:rPr>
            </w:r>
            <w:r w:rsidR="00D745B4" w:rsidRPr="00FF207E">
              <w:rPr>
                <w:rFonts w:cs="Arial"/>
                <w:sz w:val="20"/>
                <w:szCs w:val="20"/>
                <w:lang w:val="sl-SI"/>
              </w:rPr>
              <w:fldChar w:fldCharType="separate"/>
            </w:r>
            <w:r w:rsidR="00F37FD1" w:rsidRPr="00FF207E">
              <w:rPr>
                <w:rFonts w:cs="Arial"/>
                <w:sz w:val="20"/>
                <w:szCs w:val="20"/>
                <w:lang w:val="sl-SI"/>
              </w:rPr>
              <w:t>2.2</w:t>
            </w:r>
            <w:r w:rsidR="00D745B4" w:rsidRPr="00FF207E">
              <w:rPr>
                <w:rFonts w:cs="Arial"/>
                <w:sz w:val="20"/>
                <w:szCs w:val="20"/>
                <w:lang w:val="sl-SI"/>
              </w:rPr>
              <w:fldChar w:fldCharType="end"/>
            </w:r>
            <w:r w:rsidR="00D745B4" w:rsidRPr="00FF207E">
              <w:rPr>
                <w:rFonts w:cs="Arial"/>
                <w:sz w:val="20"/>
                <w:szCs w:val="20"/>
                <w:lang w:val="sl-SI"/>
              </w:rPr>
              <w:t xml:space="preserve"> </w:t>
            </w:r>
            <w:r w:rsidRPr="00FF207E">
              <w:rPr>
                <w:rFonts w:cs="Arial"/>
                <w:sz w:val="20"/>
                <w:szCs w:val="20"/>
                <w:lang w:val="sl-SI"/>
              </w:rPr>
              <w:t>‒ in sicer s krepitvijo koordinacije med akterji, pristojnimi za izvajanje ukrepov</w:t>
            </w:r>
            <w:r w:rsidR="00A95776" w:rsidRPr="00FF207E">
              <w:rPr>
                <w:rFonts w:cs="Arial"/>
                <w:sz w:val="20"/>
                <w:szCs w:val="20"/>
                <w:lang w:val="sl-SI"/>
              </w:rPr>
              <w:t>,</w:t>
            </w:r>
            <w:r w:rsidRPr="00FF207E">
              <w:rPr>
                <w:rFonts w:cs="Arial"/>
                <w:sz w:val="20"/>
                <w:szCs w:val="20"/>
                <w:lang w:val="sl-SI"/>
              </w:rPr>
              <w:t xml:space="preserve"> </w:t>
            </w:r>
            <w:r w:rsidR="00A95776" w:rsidRPr="00FF207E">
              <w:rPr>
                <w:rFonts w:cs="Arial"/>
                <w:sz w:val="20"/>
                <w:szCs w:val="20"/>
                <w:lang w:val="sl-SI"/>
              </w:rPr>
              <w:t xml:space="preserve">ter med akterji in </w:t>
            </w:r>
            <w:r w:rsidRPr="00FF207E">
              <w:rPr>
                <w:rFonts w:cs="Arial"/>
                <w:sz w:val="20"/>
                <w:szCs w:val="20"/>
                <w:lang w:val="sl-SI"/>
              </w:rPr>
              <w:t>drugimi ključnimi deležniki.</w:t>
            </w:r>
          </w:p>
        </w:tc>
      </w:tr>
      <w:tr w:rsidR="00C45457" w:rsidRPr="00FF207E" w14:paraId="118731AA"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3EED92F5" w14:textId="56C115A8" w:rsidR="00C45457" w:rsidRPr="00FF207E" w:rsidRDefault="00C45457" w:rsidP="001E304B">
            <w:pPr>
              <w:spacing w:line="240" w:lineRule="atLeast"/>
              <w:jc w:val="both"/>
              <w:rPr>
                <w:rFonts w:cs="Arial"/>
                <w:sz w:val="20"/>
                <w:szCs w:val="20"/>
                <w:lang w:val="sl-SI"/>
              </w:rPr>
            </w:pPr>
            <w:r w:rsidRPr="00FF207E">
              <w:rPr>
                <w:rFonts w:cs="Arial"/>
                <w:sz w:val="20"/>
                <w:szCs w:val="20"/>
                <w:lang w:val="sl-SI"/>
              </w:rPr>
              <w:t xml:space="preserve">Naloge </w:t>
            </w:r>
            <w:r w:rsidR="00B37211" w:rsidRPr="00FF207E">
              <w:rPr>
                <w:rFonts w:cs="Arial"/>
                <w:sz w:val="20"/>
                <w:szCs w:val="20"/>
                <w:lang w:val="sl-SI"/>
              </w:rPr>
              <w:t>sveta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189039E" w14:textId="5DC27C87" w:rsidR="00E57FC0" w:rsidRPr="00FF207E" w:rsidRDefault="00E57FC0" w:rsidP="001E304B">
            <w:pPr>
              <w:spacing w:line="240" w:lineRule="atLeast"/>
              <w:jc w:val="both"/>
              <w:rPr>
                <w:rFonts w:cs="Arial"/>
                <w:sz w:val="20"/>
                <w:szCs w:val="20"/>
                <w:lang w:val="sl-SI"/>
              </w:rPr>
            </w:pPr>
            <w:r w:rsidRPr="00FF207E">
              <w:rPr>
                <w:rFonts w:cs="Arial"/>
                <w:sz w:val="20"/>
                <w:szCs w:val="20"/>
                <w:lang w:val="sl-SI"/>
              </w:rPr>
              <w:t xml:space="preserve">Prednostne naloge </w:t>
            </w:r>
            <w:r w:rsidR="005E53C6" w:rsidRPr="00FF207E">
              <w:rPr>
                <w:rFonts w:cs="Arial"/>
                <w:sz w:val="20"/>
                <w:szCs w:val="20"/>
                <w:lang w:val="sl-SI"/>
              </w:rPr>
              <w:t>s</w:t>
            </w:r>
            <w:r w:rsidRPr="00FF207E">
              <w:rPr>
                <w:rFonts w:cs="Arial"/>
                <w:sz w:val="20"/>
                <w:szCs w:val="20"/>
                <w:lang w:val="sl-SI"/>
              </w:rPr>
              <w:t xml:space="preserve">osveta za </w:t>
            </w:r>
            <w:r w:rsidR="00097EB2" w:rsidRPr="00FF207E">
              <w:rPr>
                <w:rFonts w:cs="Arial"/>
                <w:sz w:val="20"/>
                <w:szCs w:val="20"/>
                <w:lang w:val="sl-SI"/>
              </w:rPr>
              <w:t>energetsko revščino</w:t>
            </w:r>
            <w:r w:rsidRPr="00FF207E">
              <w:rPr>
                <w:rFonts w:cs="Arial"/>
                <w:sz w:val="20"/>
                <w:szCs w:val="20"/>
                <w:lang w:val="sl-SI"/>
              </w:rPr>
              <w:t xml:space="preserve"> v obdobju 2024‒2026 so:</w:t>
            </w:r>
          </w:p>
          <w:p w14:paraId="78D21FA7" w14:textId="0930345E" w:rsidR="00E57FC0" w:rsidRPr="00FF207E" w:rsidRDefault="00E57FC0" w:rsidP="001E304B">
            <w:pPr>
              <w:pStyle w:val="Odstavekseznama"/>
              <w:numPr>
                <w:ilvl w:val="0"/>
                <w:numId w:val="27"/>
              </w:numPr>
              <w:spacing w:line="240" w:lineRule="atLeast"/>
              <w:jc w:val="both"/>
              <w:rPr>
                <w:rFonts w:cs="Arial"/>
                <w:sz w:val="20"/>
                <w:szCs w:val="20"/>
                <w:lang w:val="sl-SI"/>
              </w:rPr>
            </w:pPr>
            <w:r w:rsidRPr="00FF207E">
              <w:rPr>
                <w:rFonts w:cs="Arial"/>
                <w:sz w:val="20"/>
                <w:szCs w:val="20"/>
                <w:lang w:val="sl-SI"/>
              </w:rPr>
              <w:t xml:space="preserve">celostno spremljanje in usmerjanje izvajanja ukrepov – investicijskih ukrepov, svetovanja, informiranja. Sosvet nudi podporo </w:t>
            </w:r>
            <w:proofErr w:type="spellStart"/>
            <w:r w:rsidRPr="00FF207E">
              <w:rPr>
                <w:rFonts w:cs="Arial"/>
                <w:sz w:val="20"/>
                <w:szCs w:val="20"/>
                <w:lang w:val="sl-SI"/>
              </w:rPr>
              <w:t>Eko</w:t>
            </w:r>
            <w:proofErr w:type="spellEnd"/>
            <w:r w:rsidRPr="00FF207E">
              <w:rPr>
                <w:rFonts w:cs="Arial"/>
                <w:sz w:val="20"/>
                <w:szCs w:val="20"/>
                <w:lang w:val="sl-SI"/>
              </w:rPr>
              <w:t xml:space="preserve"> skladu in drugim izvajalcem pri zagotavljanju </w:t>
            </w:r>
            <w:r w:rsidR="00D55FFB" w:rsidRPr="00FF207E">
              <w:rPr>
                <w:rFonts w:cs="Arial"/>
                <w:sz w:val="20"/>
                <w:szCs w:val="20"/>
                <w:lang w:val="sl-SI"/>
              </w:rPr>
              <w:t>razmer</w:t>
            </w:r>
            <w:r w:rsidRPr="00FF207E">
              <w:rPr>
                <w:rFonts w:cs="Arial"/>
                <w:sz w:val="20"/>
                <w:szCs w:val="20"/>
                <w:lang w:val="sl-SI"/>
              </w:rPr>
              <w:t>, ki jih potrebujejo za uspešno izvajanje ukrepov;</w:t>
            </w:r>
          </w:p>
          <w:p w14:paraId="005C6AC4" w14:textId="25E79901" w:rsidR="00E57FC0" w:rsidRPr="00FF207E" w:rsidRDefault="00E57FC0" w:rsidP="001E304B">
            <w:pPr>
              <w:pStyle w:val="Odstavekseznama"/>
              <w:numPr>
                <w:ilvl w:val="0"/>
                <w:numId w:val="27"/>
              </w:numPr>
              <w:spacing w:line="240" w:lineRule="atLeast"/>
              <w:jc w:val="both"/>
              <w:rPr>
                <w:rFonts w:cs="Arial"/>
                <w:sz w:val="20"/>
                <w:szCs w:val="20"/>
                <w:lang w:val="sl-SI"/>
              </w:rPr>
            </w:pPr>
            <w:r w:rsidRPr="00FF207E">
              <w:rPr>
                <w:rFonts w:cs="Arial"/>
                <w:sz w:val="20"/>
                <w:szCs w:val="20"/>
                <w:lang w:val="sl-SI"/>
              </w:rPr>
              <w:t>sprotno spremljanje ovir, s katerimi se izvajalci ukrepov soočajo pri izvedbi</w:t>
            </w:r>
            <w:r w:rsidR="007A73EC" w:rsidRPr="00FF207E">
              <w:rPr>
                <w:rFonts w:cs="Arial"/>
                <w:sz w:val="20"/>
                <w:szCs w:val="20"/>
                <w:lang w:val="sl-SI"/>
              </w:rPr>
              <w:t>,</w:t>
            </w:r>
            <w:r w:rsidRPr="00FF207E">
              <w:rPr>
                <w:rFonts w:cs="Arial"/>
                <w:sz w:val="20"/>
                <w:szCs w:val="20"/>
                <w:lang w:val="sl-SI"/>
              </w:rPr>
              <w:t xml:space="preserve"> in priprava predlogov za o</w:t>
            </w:r>
            <w:r w:rsidR="007A73EC" w:rsidRPr="00FF207E">
              <w:rPr>
                <w:rFonts w:cs="Arial"/>
                <w:sz w:val="20"/>
                <w:szCs w:val="20"/>
                <w:lang w:val="sl-SI"/>
              </w:rPr>
              <w:t>d</w:t>
            </w:r>
            <w:r w:rsidRPr="00FF207E">
              <w:rPr>
                <w:rFonts w:cs="Arial"/>
                <w:sz w:val="20"/>
                <w:szCs w:val="20"/>
                <w:lang w:val="sl-SI"/>
              </w:rPr>
              <w:t>pravljanje ovir;</w:t>
            </w:r>
          </w:p>
          <w:p w14:paraId="747894AD" w14:textId="478BD6D0" w:rsidR="00E57FC0" w:rsidRPr="00FF207E" w:rsidRDefault="00E57FC0" w:rsidP="001E304B">
            <w:pPr>
              <w:pStyle w:val="Odstavekseznama"/>
              <w:numPr>
                <w:ilvl w:val="0"/>
                <w:numId w:val="27"/>
              </w:numPr>
              <w:spacing w:line="240" w:lineRule="atLeast"/>
              <w:jc w:val="both"/>
              <w:rPr>
                <w:rFonts w:cs="Arial"/>
                <w:sz w:val="20"/>
                <w:szCs w:val="20"/>
                <w:lang w:val="sl-SI"/>
              </w:rPr>
            </w:pPr>
            <w:r w:rsidRPr="00FF207E">
              <w:rPr>
                <w:rFonts w:cs="Arial"/>
                <w:sz w:val="20"/>
                <w:szCs w:val="20"/>
                <w:lang w:val="sl-SI"/>
              </w:rPr>
              <w:t xml:space="preserve">vrednotenje politik v pripravi glede njihovega vpliva na </w:t>
            </w:r>
            <w:r w:rsidR="00097EB2" w:rsidRPr="00FF207E">
              <w:rPr>
                <w:rFonts w:cs="Arial"/>
                <w:sz w:val="20"/>
                <w:szCs w:val="20"/>
                <w:lang w:val="sl-SI"/>
              </w:rPr>
              <w:t>energetsko revščino</w:t>
            </w:r>
            <w:r w:rsidRPr="00FF207E">
              <w:rPr>
                <w:rFonts w:cs="Arial"/>
                <w:sz w:val="20"/>
                <w:szCs w:val="20"/>
                <w:lang w:val="sl-SI"/>
              </w:rPr>
              <w:t xml:space="preserve">, pobude za nadgradnje politik z ukrepi za </w:t>
            </w:r>
            <w:r w:rsidR="00D234E4" w:rsidRPr="00FF207E">
              <w:rPr>
                <w:rFonts w:cs="Arial"/>
                <w:sz w:val="20"/>
                <w:szCs w:val="20"/>
                <w:lang w:val="sl-SI"/>
              </w:rPr>
              <w:t>blaženje</w:t>
            </w:r>
            <w:r w:rsidRPr="00FF207E">
              <w:rPr>
                <w:rFonts w:cs="Arial"/>
                <w:sz w:val="20"/>
                <w:szCs w:val="20"/>
                <w:lang w:val="sl-SI"/>
              </w:rPr>
              <w:t xml:space="preserve"> </w:t>
            </w:r>
            <w:r w:rsidR="00097EB2" w:rsidRPr="00FF207E">
              <w:rPr>
                <w:rFonts w:cs="Arial"/>
                <w:sz w:val="20"/>
                <w:szCs w:val="20"/>
                <w:lang w:val="sl-SI"/>
              </w:rPr>
              <w:t>energetske revščine</w:t>
            </w:r>
            <w:r w:rsidRPr="00FF207E">
              <w:rPr>
                <w:rFonts w:cs="Arial"/>
                <w:sz w:val="20"/>
                <w:szCs w:val="20"/>
                <w:lang w:val="sl-SI"/>
              </w:rPr>
              <w:t>;</w:t>
            </w:r>
          </w:p>
          <w:p w14:paraId="425210A7" w14:textId="037548EF" w:rsidR="006F3A09" w:rsidRPr="00FF207E" w:rsidRDefault="00D3661C" w:rsidP="001E304B">
            <w:pPr>
              <w:pStyle w:val="Odstavekseznama"/>
              <w:numPr>
                <w:ilvl w:val="0"/>
                <w:numId w:val="27"/>
              </w:numPr>
              <w:spacing w:line="240" w:lineRule="atLeast"/>
              <w:jc w:val="both"/>
              <w:rPr>
                <w:rFonts w:cs="Arial"/>
                <w:sz w:val="20"/>
                <w:szCs w:val="20"/>
                <w:lang w:val="sl-SI"/>
              </w:rPr>
            </w:pPr>
            <w:r w:rsidRPr="00FF207E">
              <w:rPr>
                <w:rFonts w:cs="Arial"/>
                <w:sz w:val="20"/>
                <w:szCs w:val="20"/>
                <w:lang w:val="sl-SI"/>
              </w:rPr>
              <w:t xml:space="preserve">podpora razvoju </w:t>
            </w:r>
            <w:r w:rsidR="00E70A72" w:rsidRPr="00FF207E">
              <w:rPr>
                <w:rFonts w:cs="Arial"/>
                <w:sz w:val="20"/>
                <w:szCs w:val="20"/>
                <w:lang w:val="sl-SI"/>
              </w:rPr>
              <w:t xml:space="preserve">načinov </w:t>
            </w:r>
            <w:r w:rsidRPr="00FF207E">
              <w:rPr>
                <w:rFonts w:cs="Arial"/>
                <w:sz w:val="20"/>
                <w:szCs w:val="20"/>
                <w:lang w:val="sl-SI"/>
              </w:rPr>
              <w:t>z</w:t>
            </w:r>
            <w:r w:rsidR="006F3A09" w:rsidRPr="00FF207E">
              <w:rPr>
                <w:rFonts w:cs="Arial"/>
                <w:sz w:val="20"/>
                <w:szCs w:val="20"/>
                <w:lang w:val="sl-SI"/>
              </w:rPr>
              <w:t>manjševanj</w:t>
            </w:r>
            <w:r w:rsidR="00E70A72" w:rsidRPr="00FF207E">
              <w:rPr>
                <w:rFonts w:cs="Arial"/>
                <w:sz w:val="20"/>
                <w:szCs w:val="20"/>
                <w:lang w:val="sl-SI"/>
              </w:rPr>
              <w:t>a</w:t>
            </w:r>
            <w:r w:rsidR="006F3A09" w:rsidRPr="00FF207E">
              <w:rPr>
                <w:rFonts w:cs="Arial"/>
                <w:sz w:val="20"/>
                <w:szCs w:val="20"/>
                <w:lang w:val="sl-SI"/>
              </w:rPr>
              <w:t xml:space="preserve"> in preprečevanj</w:t>
            </w:r>
            <w:r w:rsidR="00E70A72" w:rsidRPr="00FF207E">
              <w:rPr>
                <w:rFonts w:cs="Arial"/>
                <w:sz w:val="20"/>
                <w:szCs w:val="20"/>
                <w:lang w:val="sl-SI"/>
              </w:rPr>
              <w:t>a</w:t>
            </w:r>
            <w:r w:rsidR="006F3A09" w:rsidRPr="00FF207E">
              <w:rPr>
                <w:rFonts w:cs="Arial"/>
                <w:sz w:val="20"/>
                <w:szCs w:val="20"/>
                <w:lang w:val="sl-SI"/>
              </w:rPr>
              <w:t xml:space="preserve"> energetske revščine v okviru razvojne, </w:t>
            </w:r>
            <w:r w:rsidRPr="00FF207E">
              <w:rPr>
                <w:rFonts w:cs="Arial"/>
                <w:sz w:val="20"/>
                <w:szCs w:val="20"/>
                <w:lang w:val="sl-SI"/>
              </w:rPr>
              <w:t>plačne, zaposlitvene</w:t>
            </w:r>
            <w:r w:rsidR="007A73EC" w:rsidRPr="00FF207E">
              <w:rPr>
                <w:rFonts w:cs="Arial"/>
                <w:sz w:val="20"/>
                <w:szCs w:val="20"/>
                <w:lang w:val="sl-SI"/>
              </w:rPr>
              <w:t>,</w:t>
            </w:r>
            <w:r w:rsidRPr="00FF207E">
              <w:rPr>
                <w:rFonts w:cs="Arial"/>
                <w:sz w:val="20"/>
                <w:szCs w:val="20"/>
                <w:lang w:val="sl-SI"/>
              </w:rPr>
              <w:t xml:space="preserve"> </w:t>
            </w:r>
            <w:r w:rsidR="006F3A09" w:rsidRPr="00FF207E">
              <w:rPr>
                <w:rFonts w:cs="Arial"/>
                <w:sz w:val="20"/>
                <w:szCs w:val="20"/>
                <w:lang w:val="sl-SI"/>
              </w:rPr>
              <w:t>davčne, stanovanjske, socialne in drugih</w:t>
            </w:r>
            <w:r w:rsidRPr="00FF207E">
              <w:rPr>
                <w:rFonts w:cs="Arial"/>
                <w:sz w:val="20"/>
                <w:szCs w:val="20"/>
                <w:lang w:val="sl-SI"/>
              </w:rPr>
              <w:t xml:space="preserve"> </w:t>
            </w:r>
            <w:r w:rsidR="00AB5B90" w:rsidRPr="00FF207E">
              <w:rPr>
                <w:rFonts w:cs="Arial"/>
                <w:sz w:val="20"/>
                <w:szCs w:val="20"/>
                <w:lang w:val="sl-SI"/>
              </w:rPr>
              <w:t xml:space="preserve">pomembnih </w:t>
            </w:r>
            <w:r w:rsidR="006F3A09" w:rsidRPr="00FF207E">
              <w:rPr>
                <w:rFonts w:cs="Arial"/>
                <w:sz w:val="20"/>
                <w:szCs w:val="20"/>
                <w:lang w:val="sl-SI"/>
              </w:rPr>
              <w:t>politik</w:t>
            </w:r>
            <w:r w:rsidRPr="00FF207E">
              <w:rPr>
                <w:rFonts w:cs="Arial"/>
                <w:sz w:val="20"/>
                <w:szCs w:val="20"/>
                <w:lang w:val="sl-SI"/>
              </w:rPr>
              <w:t>;</w:t>
            </w:r>
          </w:p>
          <w:p w14:paraId="3B2B91DA" w14:textId="73D33E98" w:rsidR="00C45457" w:rsidRPr="00FF207E" w:rsidRDefault="00E57FC0" w:rsidP="001E304B">
            <w:pPr>
              <w:pStyle w:val="Odstavekseznama"/>
              <w:numPr>
                <w:ilvl w:val="0"/>
                <w:numId w:val="27"/>
              </w:numPr>
              <w:spacing w:line="240" w:lineRule="atLeast"/>
              <w:jc w:val="both"/>
              <w:rPr>
                <w:rFonts w:cs="Arial"/>
                <w:sz w:val="20"/>
                <w:szCs w:val="20"/>
                <w:lang w:val="sl-SI"/>
              </w:rPr>
            </w:pPr>
            <w:r w:rsidRPr="00FF207E">
              <w:rPr>
                <w:rFonts w:cs="Arial"/>
                <w:sz w:val="20"/>
                <w:szCs w:val="20"/>
                <w:lang w:val="sl-SI"/>
              </w:rPr>
              <w:t>usmerjanje priprave potrebnih strokovnih podlag.</w:t>
            </w:r>
          </w:p>
        </w:tc>
      </w:tr>
      <w:tr w:rsidR="00C45457" w:rsidRPr="00FF207E" w14:paraId="65D5ACC3"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0A88F597" w14:textId="77777777" w:rsidR="00C45457" w:rsidRPr="00FF207E" w:rsidRDefault="00C45457"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342697D" w14:textId="3A6789B8" w:rsidR="00C45457" w:rsidRPr="00FF207E" w:rsidRDefault="00E57FC0" w:rsidP="001E304B">
            <w:pPr>
              <w:spacing w:line="240" w:lineRule="atLeast"/>
              <w:jc w:val="both"/>
              <w:rPr>
                <w:rFonts w:cs="Arial"/>
                <w:sz w:val="20"/>
                <w:szCs w:val="20"/>
                <w:lang w:val="sl-SI"/>
              </w:rPr>
            </w:pPr>
            <w:r w:rsidRPr="00FF207E">
              <w:rPr>
                <w:rFonts w:cs="Arial"/>
                <w:sz w:val="20"/>
                <w:szCs w:val="20"/>
                <w:lang w:val="sl-SI"/>
              </w:rPr>
              <w:t>po spodaj navedenih mejnikih</w:t>
            </w:r>
          </w:p>
        </w:tc>
      </w:tr>
      <w:tr w:rsidR="00C45457" w:rsidRPr="00FF207E" w14:paraId="7DF37A59" w14:textId="77777777" w:rsidTr="002513F9">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1519233" w14:textId="3BE425B3" w:rsidR="00C45457" w:rsidRPr="00FF207E" w:rsidRDefault="00720DE7" w:rsidP="001E304B">
            <w:pPr>
              <w:spacing w:line="240" w:lineRule="atLeast"/>
              <w:jc w:val="both"/>
              <w:rPr>
                <w:rFonts w:cs="Arial"/>
                <w:sz w:val="20"/>
                <w:szCs w:val="20"/>
                <w:lang w:val="sl-SI"/>
              </w:rPr>
            </w:pPr>
            <w:r w:rsidRPr="00FF207E">
              <w:rPr>
                <w:rFonts w:cs="Arial"/>
                <w:sz w:val="20"/>
                <w:szCs w:val="20"/>
                <w:lang w:val="sl-SI"/>
              </w:rPr>
              <w:t>Potrebna sredstva</w:t>
            </w:r>
            <w:r w:rsidR="00F4436A" w:rsidRPr="00FF207E">
              <w:rPr>
                <w:lang w:val="sl-SI"/>
              </w:rPr>
              <w:t xml:space="preserve"> </w:t>
            </w:r>
            <w:r w:rsidRPr="00FF207E">
              <w:rPr>
                <w:rFonts w:cs="Arial"/>
                <w:sz w:val="20"/>
                <w:szCs w:val="20"/>
                <w:lang w:val="sl-SI"/>
              </w:rPr>
              <w:t>in viri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tcPr>
          <w:p w14:paraId="30B54A48" w14:textId="457BB212" w:rsidR="009A6E2F" w:rsidRPr="00FF207E" w:rsidRDefault="00086058" w:rsidP="002513F9">
            <w:pPr>
              <w:spacing w:before="60" w:line="240" w:lineRule="atLeast"/>
              <w:rPr>
                <w:rFonts w:cs="Arial"/>
                <w:sz w:val="20"/>
                <w:szCs w:val="20"/>
                <w:lang w:val="sl-SI"/>
              </w:rPr>
            </w:pPr>
            <w:r w:rsidRPr="00FF207E">
              <w:rPr>
                <w:rFonts w:cs="Arial"/>
                <w:sz w:val="20"/>
                <w:szCs w:val="20"/>
                <w:lang w:val="sl-SI"/>
              </w:rPr>
              <w:t>t</w:t>
            </w:r>
            <w:r w:rsidR="009A6E2F" w:rsidRPr="00FF207E">
              <w:rPr>
                <w:rFonts w:cs="Arial"/>
                <w:sz w:val="20"/>
                <w:szCs w:val="20"/>
                <w:lang w:val="sl-SI"/>
              </w:rPr>
              <w:t>abela 7</w:t>
            </w:r>
          </w:p>
          <w:p w14:paraId="416294CE" w14:textId="5475133E" w:rsidR="00C45457" w:rsidRPr="00FF207E" w:rsidRDefault="00307291" w:rsidP="002513F9">
            <w:pPr>
              <w:spacing w:before="60" w:line="240" w:lineRule="atLeast"/>
              <w:rPr>
                <w:rFonts w:cs="Arial"/>
                <w:sz w:val="20"/>
                <w:szCs w:val="20"/>
                <w:lang w:val="sl-SI"/>
              </w:rPr>
            </w:pPr>
            <w:r w:rsidRPr="00FF207E">
              <w:rPr>
                <w:rFonts w:cs="Arial"/>
                <w:sz w:val="20"/>
                <w:szCs w:val="20"/>
                <w:lang w:val="sl-SI"/>
              </w:rPr>
              <w:t>Viri sredstev so: Podnebni sklad in lastni viri sredstev članov sosveta</w:t>
            </w:r>
            <w:r w:rsidR="007A73EC" w:rsidRPr="00FF207E">
              <w:rPr>
                <w:rFonts w:cs="Arial"/>
                <w:sz w:val="20"/>
                <w:szCs w:val="20"/>
                <w:lang w:val="sl-SI"/>
              </w:rPr>
              <w:t>.</w:t>
            </w:r>
          </w:p>
        </w:tc>
      </w:tr>
      <w:tr w:rsidR="00C45457" w:rsidRPr="00FF207E" w14:paraId="0899572D" w14:textId="77777777" w:rsidTr="00D70259">
        <w:tc>
          <w:tcPr>
            <w:tcW w:w="9062" w:type="dxa"/>
            <w:gridSpan w:val="3"/>
            <w:tcBorders>
              <w:top w:val="single" w:sz="4" w:space="0" w:color="548DD4" w:themeColor="text2" w:themeTint="99"/>
              <w:left w:val="nil"/>
              <w:bottom w:val="single" w:sz="4" w:space="0" w:color="548DD4" w:themeColor="text2" w:themeTint="99"/>
              <w:right w:val="nil"/>
            </w:tcBorders>
            <w:shd w:val="clear" w:color="auto" w:fill="DBE5F1" w:themeFill="accent1" w:themeFillTint="33"/>
          </w:tcPr>
          <w:p w14:paraId="00A9AE88" w14:textId="18C30D31" w:rsidR="00C45457" w:rsidRPr="00FF207E" w:rsidRDefault="00CC5C4A" w:rsidP="001E304B">
            <w:pPr>
              <w:spacing w:before="40" w:after="40" w:line="240" w:lineRule="atLeast"/>
              <w:jc w:val="both"/>
              <w:rPr>
                <w:rFonts w:cs="Arial"/>
                <w:sz w:val="20"/>
                <w:szCs w:val="20"/>
                <w:lang w:val="sl-SI"/>
              </w:rPr>
            </w:pPr>
            <w:r w:rsidRPr="00FF207E">
              <w:rPr>
                <w:rFonts w:cs="Arial"/>
                <w:sz w:val="20"/>
                <w:szCs w:val="20"/>
                <w:lang w:val="sl-SI"/>
              </w:rPr>
              <w:t>Potek izvedbe</w:t>
            </w:r>
          </w:p>
        </w:tc>
      </w:tr>
      <w:tr w:rsidR="00AF7F43" w:rsidRPr="00FF207E" w14:paraId="2E2225BF" w14:textId="77777777" w:rsidTr="00742BD0">
        <w:tc>
          <w:tcPr>
            <w:tcW w:w="567" w:type="dxa"/>
            <w:vMerge w:val="restart"/>
            <w:tcBorders>
              <w:top w:val="single" w:sz="4" w:space="0" w:color="548DD4" w:themeColor="text2" w:themeTint="99"/>
              <w:left w:val="nil"/>
              <w:right w:val="single" w:sz="4" w:space="0" w:color="548DD4" w:themeColor="text2" w:themeTint="99"/>
            </w:tcBorders>
            <w:vAlign w:val="center"/>
          </w:tcPr>
          <w:p w14:paraId="7DB1FC90" w14:textId="77777777" w:rsidR="00AF7F43" w:rsidRPr="00FF207E" w:rsidRDefault="00AF7F43" w:rsidP="001E304B">
            <w:pPr>
              <w:spacing w:line="240" w:lineRule="atLeast"/>
              <w:jc w:val="both"/>
              <w:rPr>
                <w:rFonts w:cs="Arial"/>
                <w:b/>
                <w:sz w:val="24"/>
                <w:lang w:val="sl-SI"/>
              </w:rPr>
            </w:pPr>
            <w:r w:rsidRPr="00FF207E">
              <w:rPr>
                <w:rFonts w:cs="Arial"/>
                <w:b/>
                <w:sz w:val="24"/>
                <w:lang w:val="sl-SI"/>
              </w:rPr>
              <w:lastRenderedPageBreak/>
              <w:t>1</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303313E4" w14:textId="77777777" w:rsidR="00AF7F43" w:rsidRPr="00FF207E" w:rsidRDefault="00AF7F43"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328EDF88" w14:textId="2735E1A4" w:rsidR="00AF7F43" w:rsidRPr="00FF207E" w:rsidRDefault="007A73EC" w:rsidP="007A73EC">
            <w:pPr>
              <w:spacing w:line="240" w:lineRule="atLeast"/>
              <w:jc w:val="both"/>
              <w:rPr>
                <w:rFonts w:cs="Arial"/>
                <w:sz w:val="20"/>
                <w:szCs w:val="20"/>
                <w:lang w:val="sl-SI"/>
              </w:rPr>
            </w:pPr>
            <w:r w:rsidRPr="00FF207E">
              <w:rPr>
                <w:rFonts w:cs="Arial"/>
                <w:sz w:val="20"/>
                <w:szCs w:val="20"/>
                <w:lang w:val="sl-SI"/>
              </w:rPr>
              <w:t>p</w:t>
            </w:r>
            <w:r w:rsidR="00AF7F43" w:rsidRPr="00FF207E">
              <w:rPr>
                <w:rFonts w:cs="Arial"/>
                <w:sz w:val="20"/>
                <w:szCs w:val="20"/>
                <w:lang w:val="sl-SI"/>
              </w:rPr>
              <w:t xml:space="preserve">riprava in </w:t>
            </w:r>
            <w:r w:rsidR="00CB3F8C" w:rsidRPr="00FF207E">
              <w:rPr>
                <w:rFonts w:cs="Arial"/>
                <w:sz w:val="20"/>
                <w:szCs w:val="20"/>
                <w:lang w:val="sl-SI"/>
              </w:rPr>
              <w:t xml:space="preserve">sprejetje </w:t>
            </w:r>
            <w:r w:rsidR="00AF7F43" w:rsidRPr="00FF207E">
              <w:rPr>
                <w:rFonts w:cs="Arial"/>
                <w:sz w:val="20"/>
                <w:szCs w:val="20"/>
                <w:lang w:val="sl-SI"/>
              </w:rPr>
              <w:t xml:space="preserve">pravnih podlag za </w:t>
            </w:r>
            <w:r w:rsidR="00097EB2" w:rsidRPr="00FF207E">
              <w:rPr>
                <w:rFonts w:cs="Arial"/>
                <w:sz w:val="20"/>
                <w:szCs w:val="20"/>
                <w:lang w:val="sl-SI"/>
              </w:rPr>
              <w:t>s</w:t>
            </w:r>
            <w:r w:rsidR="00AF7F43" w:rsidRPr="00FF207E">
              <w:rPr>
                <w:rFonts w:cs="Arial"/>
                <w:sz w:val="20"/>
                <w:szCs w:val="20"/>
                <w:lang w:val="sl-SI"/>
              </w:rPr>
              <w:t xml:space="preserve">osvet za </w:t>
            </w:r>
            <w:r w:rsidR="00097EB2" w:rsidRPr="00FF207E">
              <w:rPr>
                <w:rFonts w:cs="Arial"/>
                <w:sz w:val="20"/>
                <w:szCs w:val="20"/>
                <w:lang w:val="sl-SI"/>
              </w:rPr>
              <w:t>energetsko revščino</w:t>
            </w:r>
            <w:r w:rsidRPr="00FF207E">
              <w:rPr>
                <w:rFonts w:cs="Arial"/>
                <w:sz w:val="20"/>
                <w:szCs w:val="20"/>
                <w:lang w:val="sl-SI"/>
              </w:rPr>
              <w:t>;</w:t>
            </w:r>
            <w:r w:rsidR="00AF7F43" w:rsidRPr="00FF207E">
              <w:rPr>
                <w:rFonts w:cs="Arial"/>
                <w:sz w:val="20"/>
                <w:szCs w:val="20"/>
                <w:lang w:val="sl-SI"/>
              </w:rPr>
              <w:t xml:space="preserve"> </w:t>
            </w:r>
            <w:r w:rsidRPr="00FF207E">
              <w:rPr>
                <w:rFonts w:cs="Arial"/>
                <w:sz w:val="20"/>
                <w:szCs w:val="20"/>
                <w:lang w:val="sl-SI"/>
              </w:rPr>
              <w:t>u</w:t>
            </w:r>
            <w:r w:rsidR="00AF7F43" w:rsidRPr="00FF207E">
              <w:rPr>
                <w:rFonts w:cs="Arial"/>
                <w:sz w:val="20"/>
                <w:szCs w:val="20"/>
                <w:lang w:val="sl-SI"/>
              </w:rPr>
              <w:t xml:space="preserve">mestitev </w:t>
            </w:r>
            <w:r w:rsidR="00097EB2" w:rsidRPr="00FF207E">
              <w:rPr>
                <w:rFonts w:cs="Arial"/>
                <w:sz w:val="20"/>
                <w:szCs w:val="20"/>
                <w:lang w:val="sl-SI"/>
              </w:rPr>
              <w:t>s</w:t>
            </w:r>
            <w:r w:rsidR="00AF7F43" w:rsidRPr="00FF207E">
              <w:rPr>
                <w:rFonts w:cs="Arial"/>
                <w:sz w:val="20"/>
                <w:szCs w:val="20"/>
                <w:lang w:val="sl-SI"/>
              </w:rPr>
              <w:t xml:space="preserve">osveta v </w:t>
            </w:r>
            <w:r w:rsidR="0035118D" w:rsidRPr="00FF207E">
              <w:rPr>
                <w:rFonts w:cs="Arial"/>
                <w:sz w:val="20"/>
                <w:szCs w:val="20"/>
                <w:lang w:val="sl-SI"/>
              </w:rPr>
              <w:t>u</w:t>
            </w:r>
            <w:r w:rsidR="00AF7F43" w:rsidRPr="00FF207E">
              <w:rPr>
                <w:rFonts w:cs="Arial"/>
                <w:sz w:val="20"/>
                <w:szCs w:val="20"/>
                <w:lang w:val="sl-SI"/>
              </w:rPr>
              <w:t>redbo</w:t>
            </w:r>
            <w:r w:rsidRPr="00FF207E">
              <w:rPr>
                <w:rFonts w:cs="Arial"/>
                <w:sz w:val="20"/>
                <w:szCs w:val="20"/>
                <w:lang w:val="sl-SI"/>
              </w:rPr>
              <w:t>;</w:t>
            </w:r>
            <w:r w:rsidR="00AF7F43" w:rsidRPr="00FF207E">
              <w:rPr>
                <w:rStyle w:val="Sprotnaopomba-sklic"/>
                <w:rFonts w:cs="Arial"/>
                <w:sz w:val="20"/>
                <w:szCs w:val="20"/>
                <w:lang w:val="sl-SI"/>
              </w:rPr>
              <w:footnoteReference w:id="20"/>
            </w:r>
            <w:r w:rsidR="008D3C06" w:rsidRPr="00FF207E">
              <w:rPr>
                <w:rFonts w:cs="Arial"/>
                <w:sz w:val="20"/>
                <w:szCs w:val="20"/>
                <w:lang w:val="sl-SI"/>
              </w:rPr>
              <w:t xml:space="preserve"> </w:t>
            </w:r>
            <w:r w:rsidRPr="00FF207E">
              <w:rPr>
                <w:rFonts w:cs="Arial"/>
                <w:sz w:val="20"/>
                <w:szCs w:val="20"/>
                <w:lang w:val="sl-SI"/>
              </w:rPr>
              <w:t>u</w:t>
            </w:r>
            <w:r w:rsidR="008D3C06" w:rsidRPr="00FF207E">
              <w:rPr>
                <w:rFonts w:cs="Arial"/>
                <w:sz w:val="20"/>
                <w:szCs w:val="20"/>
                <w:lang w:val="sl-SI"/>
              </w:rPr>
              <w:t>mestitev delovanja sosveta kot posvetovalnega in usmerjevalnega telesa pri MOPE</w:t>
            </w:r>
          </w:p>
        </w:tc>
      </w:tr>
      <w:tr w:rsidR="00AF7F43" w:rsidRPr="00FF207E" w14:paraId="69471F35" w14:textId="77777777" w:rsidTr="00742BD0">
        <w:tc>
          <w:tcPr>
            <w:tcW w:w="567" w:type="dxa"/>
            <w:vMerge/>
            <w:tcBorders>
              <w:left w:val="nil"/>
              <w:right w:val="single" w:sz="4" w:space="0" w:color="548DD4" w:themeColor="text2" w:themeTint="99"/>
            </w:tcBorders>
          </w:tcPr>
          <w:p w14:paraId="6F0ED2D8" w14:textId="77777777" w:rsidR="00AF7F43" w:rsidRPr="00FF207E" w:rsidRDefault="00AF7F43"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26BBAD18" w14:textId="77777777" w:rsidR="00AF7F43" w:rsidRPr="00FF207E" w:rsidRDefault="00AF7F43"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8EC38AE" w14:textId="1D6E1F1C" w:rsidR="00AF7F43" w:rsidRPr="00FF207E" w:rsidRDefault="00AF7F43" w:rsidP="001E304B">
            <w:pPr>
              <w:spacing w:line="240" w:lineRule="atLeast"/>
              <w:jc w:val="both"/>
              <w:rPr>
                <w:rFonts w:cs="Arial"/>
                <w:sz w:val="20"/>
                <w:szCs w:val="20"/>
                <w:lang w:val="sl-SI"/>
              </w:rPr>
            </w:pPr>
            <w:r w:rsidRPr="00FF207E">
              <w:rPr>
                <w:rFonts w:cs="Arial"/>
                <w:sz w:val="20"/>
                <w:szCs w:val="20"/>
                <w:lang w:val="sl-SI"/>
              </w:rPr>
              <w:t>MOPE</w:t>
            </w:r>
          </w:p>
        </w:tc>
      </w:tr>
      <w:tr w:rsidR="00AF7F43" w:rsidRPr="00FF207E" w14:paraId="0D230FF9" w14:textId="77777777" w:rsidTr="00742BD0">
        <w:tc>
          <w:tcPr>
            <w:tcW w:w="567" w:type="dxa"/>
            <w:vMerge/>
            <w:tcBorders>
              <w:left w:val="nil"/>
              <w:right w:val="single" w:sz="4" w:space="0" w:color="548DD4" w:themeColor="text2" w:themeTint="99"/>
            </w:tcBorders>
          </w:tcPr>
          <w:p w14:paraId="688536B4" w14:textId="77777777" w:rsidR="00AF7F43" w:rsidRPr="00FF207E" w:rsidRDefault="00AF7F43"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59907A4B" w14:textId="77777777" w:rsidR="00AF7F43" w:rsidRPr="00FF207E" w:rsidRDefault="00AF7F43"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6B08676" w14:textId="4D9D8724" w:rsidR="00AF7F43" w:rsidRPr="00FF207E" w:rsidRDefault="00AF7F43" w:rsidP="001E304B">
            <w:pPr>
              <w:spacing w:line="240" w:lineRule="atLeast"/>
              <w:jc w:val="both"/>
              <w:rPr>
                <w:rFonts w:cs="Arial"/>
                <w:sz w:val="20"/>
                <w:szCs w:val="20"/>
                <w:lang w:val="sl-SI"/>
              </w:rPr>
            </w:pPr>
            <w:r w:rsidRPr="00FF207E">
              <w:rPr>
                <w:rFonts w:cs="Arial"/>
                <w:sz w:val="20"/>
                <w:szCs w:val="20"/>
                <w:lang w:val="sl-SI"/>
              </w:rPr>
              <w:t xml:space="preserve">vsi deležniki (medresorsko in javno posvetovanje) </w:t>
            </w:r>
          </w:p>
        </w:tc>
      </w:tr>
      <w:tr w:rsidR="00D70259" w:rsidRPr="00FF207E" w14:paraId="4B63D9B2" w14:textId="77777777" w:rsidTr="00D70259">
        <w:tc>
          <w:tcPr>
            <w:tcW w:w="567" w:type="dxa"/>
            <w:vMerge/>
            <w:tcBorders>
              <w:left w:val="nil"/>
              <w:bottom w:val="single" w:sz="4" w:space="0" w:color="548DD4" w:themeColor="text2" w:themeTint="99"/>
              <w:right w:val="single" w:sz="4" w:space="0" w:color="548DD4" w:themeColor="text2" w:themeTint="99"/>
            </w:tcBorders>
          </w:tcPr>
          <w:p w14:paraId="1528724A" w14:textId="77777777" w:rsidR="00D70259" w:rsidRPr="00FF207E" w:rsidRDefault="00D7025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4BB54884" w14:textId="77777777" w:rsidR="00D70259" w:rsidRPr="00FF207E" w:rsidRDefault="00D70259"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04ABBC4F" w14:textId="5336383A" w:rsidR="00D70259" w:rsidRPr="00FF207E" w:rsidRDefault="00351369" w:rsidP="001E304B">
            <w:pPr>
              <w:spacing w:line="240" w:lineRule="atLeast"/>
              <w:jc w:val="both"/>
              <w:rPr>
                <w:rFonts w:cs="Arial"/>
                <w:sz w:val="20"/>
                <w:szCs w:val="20"/>
                <w:lang w:val="sl-SI"/>
              </w:rPr>
            </w:pPr>
            <w:r w:rsidRPr="00FF207E">
              <w:rPr>
                <w:rFonts w:cs="Arial"/>
                <w:sz w:val="20"/>
                <w:szCs w:val="20"/>
                <w:lang w:val="sl-SI"/>
              </w:rPr>
              <w:t>2024</w:t>
            </w:r>
          </w:p>
        </w:tc>
      </w:tr>
      <w:tr w:rsidR="00AF7F43" w:rsidRPr="00FF207E" w14:paraId="763D9F38" w14:textId="77777777" w:rsidTr="00D70259">
        <w:tc>
          <w:tcPr>
            <w:tcW w:w="567" w:type="dxa"/>
            <w:vMerge w:val="restart"/>
            <w:tcBorders>
              <w:top w:val="single" w:sz="4" w:space="0" w:color="548DD4" w:themeColor="text2" w:themeTint="99"/>
              <w:left w:val="nil"/>
              <w:right w:val="single" w:sz="4" w:space="0" w:color="548DD4" w:themeColor="text2" w:themeTint="99"/>
            </w:tcBorders>
            <w:vAlign w:val="center"/>
          </w:tcPr>
          <w:p w14:paraId="446E9144" w14:textId="77777777" w:rsidR="00AF7F43" w:rsidRPr="00FF207E" w:rsidRDefault="00AF7F43" w:rsidP="001E304B">
            <w:pPr>
              <w:spacing w:line="240" w:lineRule="atLeast"/>
              <w:jc w:val="both"/>
              <w:rPr>
                <w:rFonts w:cs="Arial"/>
                <w:b/>
                <w:sz w:val="24"/>
                <w:lang w:val="sl-SI"/>
              </w:rPr>
            </w:pPr>
            <w:r w:rsidRPr="00FF207E">
              <w:rPr>
                <w:rFonts w:cs="Arial"/>
                <w:b/>
                <w:sz w:val="24"/>
                <w:lang w:val="sl-SI"/>
              </w:rPr>
              <w:t>2</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60C7C9E6" w14:textId="77777777" w:rsidR="00AF7F43" w:rsidRPr="00FF207E" w:rsidRDefault="00AF7F43"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6B99617B" w14:textId="70AAF1F4" w:rsidR="00AF7F43" w:rsidRPr="00FF207E" w:rsidRDefault="007A73EC" w:rsidP="001E304B">
            <w:pPr>
              <w:spacing w:line="240" w:lineRule="atLeast"/>
              <w:jc w:val="both"/>
              <w:rPr>
                <w:rFonts w:cs="Arial"/>
                <w:sz w:val="20"/>
                <w:szCs w:val="20"/>
                <w:lang w:val="sl-SI"/>
              </w:rPr>
            </w:pPr>
            <w:r w:rsidRPr="00FF207E">
              <w:rPr>
                <w:rFonts w:cs="Arial"/>
                <w:sz w:val="20"/>
                <w:szCs w:val="20"/>
                <w:lang w:val="sl-SI"/>
              </w:rPr>
              <w:t>v</w:t>
            </w:r>
            <w:r w:rsidR="00AF7F43" w:rsidRPr="00FF207E">
              <w:rPr>
                <w:rFonts w:cs="Arial"/>
                <w:sz w:val="20"/>
                <w:szCs w:val="20"/>
                <w:lang w:val="sl-SI"/>
              </w:rPr>
              <w:t xml:space="preserve">zpostavitev </w:t>
            </w:r>
            <w:r w:rsidR="005E53C6" w:rsidRPr="00FF207E">
              <w:rPr>
                <w:rFonts w:cs="Arial"/>
                <w:sz w:val="20"/>
                <w:szCs w:val="20"/>
                <w:lang w:val="sl-SI"/>
              </w:rPr>
              <w:t>s</w:t>
            </w:r>
            <w:r w:rsidR="00C0036A" w:rsidRPr="00FF207E">
              <w:rPr>
                <w:rFonts w:cs="Arial"/>
                <w:sz w:val="20"/>
                <w:szCs w:val="20"/>
                <w:lang w:val="sl-SI"/>
              </w:rPr>
              <w:t>o</w:t>
            </w:r>
            <w:r w:rsidR="00AF7F43" w:rsidRPr="00FF207E">
              <w:rPr>
                <w:rFonts w:cs="Arial"/>
                <w:sz w:val="20"/>
                <w:szCs w:val="20"/>
                <w:lang w:val="sl-SI"/>
              </w:rPr>
              <w:t>sveta</w:t>
            </w:r>
            <w:r w:rsidR="00C0036A" w:rsidRPr="00FF207E">
              <w:rPr>
                <w:rFonts w:cs="Arial"/>
                <w:sz w:val="20"/>
                <w:szCs w:val="20"/>
                <w:lang w:val="sl-SI"/>
              </w:rPr>
              <w:t xml:space="preserve">, </w:t>
            </w:r>
            <w:r w:rsidR="00AF7F43" w:rsidRPr="00FF207E">
              <w:rPr>
                <w:rFonts w:cs="Arial"/>
                <w:sz w:val="20"/>
                <w:szCs w:val="20"/>
                <w:lang w:val="sl-SI"/>
              </w:rPr>
              <w:t xml:space="preserve">imenovanje </w:t>
            </w:r>
            <w:r w:rsidR="00C0036A" w:rsidRPr="00FF207E">
              <w:rPr>
                <w:rFonts w:cs="Arial"/>
                <w:sz w:val="20"/>
                <w:szCs w:val="20"/>
                <w:lang w:val="sl-SI"/>
              </w:rPr>
              <w:t xml:space="preserve">njegovih </w:t>
            </w:r>
            <w:r w:rsidR="00AF7F43" w:rsidRPr="00FF207E">
              <w:rPr>
                <w:rFonts w:cs="Arial"/>
                <w:sz w:val="20"/>
                <w:szCs w:val="20"/>
                <w:lang w:val="sl-SI"/>
              </w:rPr>
              <w:t>članov</w:t>
            </w:r>
            <w:r w:rsidR="00C0036A" w:rsidRPr="00FF207E">
              <w:rPr>
                <w:rFonts w:cs="Arial"/>
                <w:sz w:val="20"/>
                <w:szCs w:val="20"/>
                <w:lang w:val="sl-SI"/>
              </w:rPr>
              <w:t xml:space="preserve">, </w:t>
            </w:r>
            <w:r w:rsidR="00AF7F43" w:rsidRPr="00FF207E">
              <w:rPr>
                <w:rFonts w:cs="Arial"/>
                <w:sz w:val="20"/>
                <w:szCs w:val="20"/>
                <w:lang w:val="sl-SI"/>
              </w:rPr>
              <w:t>priprava poslovnika</w:t>
            </w:r>
          </w:p>
        </w:tc>
      </w:tr>
      <w:tr w:rsidR="00AF7F43" w:rsidRPr="00FF207E" w14:paraId="4366D4F5" w14:textId="77777777" w:rsidTr="00742BD0">
        <w:tc>
          <w:tcPr>
            <w:tcW w:w="567" w:type="dxa"/>
            <w:vMerge/>
            <w:tcBorders>
              <w:left w:val="nil"/>
              <w:right w:val="single" w:sz="4" w:space="0" w:color="548DD4" w:themeColor="text2" w:themeTint="99"/>
            </w:tcBorders>
          </w:tcPr>
          <w:p w14:paraId="35122B25" w14:textId="77777777" w:rsidR="00AF7F43" w:rsidRPr="00FF207E" w:rsidRDefault="00AF7F43"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50DF167" w14:textId="77777777" w:rsidR="00AF7F43" w:rsidRPr="00FF207E" w:rsidRDefault="00AF7F43"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52F2B06B" w14:textId="7C835A17" w:rsidR="00AF7F43" w:rsidRPr="00FF207E" w:rsidRDefault="00AF7F43" w:rsidP="001E304B">
            <w:pPr>
              <w:spacing w:line="240" w:lineRule="atLeast"/>
              <w:jc w:val="both"/>
              <w:rPr>
                <w:rFonts w:cs="Arial"/>
                <w:sz w:val="20"/>
                <w:szCs w:val="20"/>
                <w:lang w:val="sl-SI"/>
              </w:rPr>
            </w:pPr>
            <w:r w:rsidRPr="00FF207E">
              <w:rPr>
                <w:rFonts w:cs="Arial"/>
                <w:sz w:val="20"/>
                <w:szCs w:val="20"/>
                <w:lang w:val="sl-SI"/>
              </w:rPr>
              <w:t>MOPE</w:t>
            </w:r>
          </w:p>
        </w:tc>
      </w:tr>
      <w:tr w:rsidR="00AF7F43" w:rsidRPr="00FF207E" w14:paraId="0EA6CC5B" w14:textId="77777777" w:rsidTr="00742BD0">
        <w:tc>
          <w:tcPr>
            <w:tcW w:w="567" w:type="dxa"/>
            <w:vMerge/>
            <w:tcBorders>
              <w:left w:val="nil"/>
              <w:right w:val="single" w:sz="4" w:space="0" w:color="548DD4" w:themeColor="text2" w:themeTint="99"/>
            </w:tcBorders>
          </w:tcPr>
          <w:p w14:paraId="5B049DE8" w14:textId="77777777" w:rsidR="00AF7F43" w:rsidRPr="00FF207E" w:rsidRDefault="00AF7F43"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5B2AC47E" w14:textId="77777777" w:rsidR="00AF7F43" w:rsidRPr="00FF207E" w:rsidRDefault="00AF7F43"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2C0EF3E" w14:textId="420BC599" w:rsidR="00AF7F43" w:rsidRPr="00FF207E" w:rsidRDefault="00AF7F43" w:rsidP="001E304B">
            <w:pPr>
              <w:spacing w:line="240" w:lineRule="atLeast"/>
              <w:jc w:val="both"/>
              <w:rPr>
                <w:rFonts w:cs="Arial"/>
                <w:sz w:val="20"/>
                <w:szCs w:val="20"/>
                <w:lang w:val="sl-SI"/>
              </w:rPr>
            </w:pPr>
            <w:r w:rsidRPr="00FF207E">
              <w:rPr>
                <w:rFonts w:cs="Arial"/>
                <w:sz w:val="20"/>
                <w:szCs w:val="20"/>
                <w:lang w:val="sl-SI"/>
              </w:rPr>
              <w:t xml:space="preserve">MDDSZ, </w:t>
            </w:r>
            <w:proofErr w:type="spellStart"/>
            <w:r w:rsidRPr="00FF207E">
              <w:rPr>
                <w:rFonts w:cs="Arial"/>
                <w:sz w:val="20"/>
                <w:szCs w:val="20"/>
                <w:lang w:val="sl-SI"/>
              </w:rPr>
              <w:t>Eko</w:t>
            </w:r>
            <w:proofErr w:type="spellEnd"/>
            <w:r w:rsidRPr="00FF207E">
              <w:rPr>
                <w:rFonts w:cs="Arial"/>
                <w:sz w:val="20"/>
                <w:szCs w:val="20"/>
                <w:lang w:val="sl-SI"/>
              </w:rPr>
              <w:t xml:space="preserve"> sklad, lokalne skupnosti, </w:t>
            </w:r>
            <w:proofErr w:type="spellStart"/>
            <w:r w:rsidRPr="00FF207E">
              <w:rPr>
                <w:rFonts w:cs="Arial"/>
                <w:sz w:val="20"/>
                <w:szCs w:val="20"/>
                <w:lang w:val="sl-SI"/>
              </w:rPr>
              <w:t>okoljske</w:t>
            </w:r>
            <w:proofErr w:type="spellEnd"/>
            <w:r w:rsidRPr="00FF207E">
              <w:rPr>
                <w:rFonts w:cs="Arial"/>
                <w:sz w:val="20"/>
                <w:szCs w:val="20"/>
                <w:lang w:val="sl-SI"/>
              </w:rPr>
              <w:t xml:space="preserve"> NVO, humanitarne NVO </w:t>
            </w:r>
          </w:p>
        </w:tc>
      </w:tr>
      <w:tr w:rsidR="00D70259" w:rsidRPr="00FF207E" w14:paraId="39A7C6D2" w14:textId="77777777" w:rsidTr="00D70259">
        <w:tc>
          <w:tcPr>
            <w:tcW w:w="567" w:type="dxa"/>
            <w:vMerge/>
            <w:tcBorders>
              <w:left w:val="nil"/>
              <w:bottom w:val="single" w:sz="4" w:space="0" w:color="548DD4" w:themeColor="text2" w:themeTint="99"/>
              <w:right w:val="single" w:sz="4" w:space="0" w:color="548DD4" w:themeColor="text2" w:themeTint="99"/>
            </w:tcBorders>
          </w:tcPr>
          <w:p w14:paraId="2FFA86B1" w14:textId="77777777" w:rsidR="00D70259" w:rsidRPr="00FF207E" w:rsidRDefault="00D7025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390E00A7" w14:textId="77777777" w:rsidR="00D70259" w:rsidRPr="00FF207E" w:rsidRDefault="00D70259"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693BE407" w14:textId="093CBD3E" w:rsidR="00D70259" w:rsidRPr="00FF207E" w:rsidRDefault="00351369" w:rsidP="001E304B">
            <w:pPr>
              <w:spacing w:line="240" w:lineRule="atLeast"/>
              <w:jc w:val="both"/>
              <w:rPr>
                <w:rFonts w:cs="Arial"/>
                <w:sz w:val="20"/>
                <w:szCs w:val="20"/>
                <w:lang w:val="sl-SI"/>
              </w:rPr>
            </w:pPr>
            <w:r w:rsidRPr="00FF207E">
              <w:rPr>
                <w:rFonts w:cs="Arial"/>
                <w:sz w:val="20"/>
                <w:szCs w:val="20"/>
                <w:lang w:val="sl-SI"/>
              </w:rPr>
              <w:t>2024</w:t>
            </w:r>
          </w:p>
        </w:tc>
      </w:tr>
      <w:tr w:rsidR="00C0036A" w:rsidRPr="00FF207E" w14:paraId="0E5B74EA" w14:textId="77777777" w:rsidTr="00D70259">
        <w:tc>
          <w:tcPr>
            <w:tcW w:w="567" w:type="dxa"/>
            <w:vMerge w:val="restart"/>
            <w:tcBorders>
              <w:top w:val="single" w:sz="4" w:space="0" w:color="548DD4" w:themeColor="text2" w:themeTint="99"/>
              <w:left w:val="nil"/>
              <w:right w:val="single" w:sz="4" w:space="0" w:color="548DD4" w:themeColor="text2" w:themeTint="99"/>
            </w:tcBorders>
            <w:vAlign w:val="center"/>
          </w:tcPr>
          <w:p w14:paraId="51B8FF32" w14:textId="70650360" w:rsidR="00C0036A" w:rsidRPr="00FF207E" w:rsidRDefault="00C0036A" w:rsidP="001E304B">
            <w:pPr>
              <w:spacing w:line="240" w:lineRule="atLeast"/>
              <w:jc w:val="both"/>
              <w:rPr>
                <w:rFonts w:cs="Arial"/>
                <w:b/>
                <w:sz w:val="24"/>
                <w:lang w:val="sl-SI"/>
              </w:rPr>
            </w:pPr>
            <w:r w:rsidRPr="00FF207E">
              <w:rPr>
                <w:rFonts w:cs="Arial"/>
                <w:b/>
                <w:sz w:val="24"/>
                <w:lang w:val="sl-SI"/>
              </w:rPr>
              <w:t>3</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412300FF" w14:textId="77777777" w:rsidR="00C0036A" w:rsidRPr="00FF207E" w:rsidRDefault="00C0036A"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76EA1CB0" w14:textId="6911050A" w:rsidR="00C0036A" w:rsidRPr="00FF207E" w:rsidRDefault="007A73EC" w:rsidP="001E304B">
            <w:pPr>
              <w:spacing w:line="240" w:lineRule="atLeast"/>
              <w:jc w:val="both"/>
              <w:rPr>
                <w:rFonts w:cs="Arial"/>
                <w:sz w:val="20"/>
                <w:szCs w:val="20"/>
                <w:lang w:val="sl-SI"/>
              </w:rPr>
            </w:pPr>
            <w:r w:rsidRPr="00FF207E">
              <w:rPr>
                <w:rFonts w:cs="Arial"/>
                <w:sz w:val="20"/>
                <w:szCs w:val="20"/>
                <w:lang w:val="sl-SI"/>
              </w:rPr>
              <w:t>o</w:t>
            </w:r>
            <w:r w:rsidR="00B86DF2" w:rsidRPr="00FF207E">
              <w:rPr>
                <w:rFonts w:cs="Arial"/>
                <w:sz w:val="20"/>
                <w:szCs w:val="20"/>
                <w:lang w:val="sl-SI"/>
              </w:rPr>
              <w:t xml:space="preserve">rganizacija in izvedba ustanovne seje in seznanitev sosveta </w:t>
            </w:r>
            <w:r w:rsidR="00C0036A" w:rsidRPr="00FF207E">
              <w:rPr>
                <w:rFonts w:cs="Arial"/>
                <w:sz w:val="20"/>
                <w:szCs w:val="20"/>
                <w:lang w:val="sl-SI"/>
              </w:rPr>
              <w:t>s trenutnim stanjem na področju blaženja in zmanjševanja energetske revščine</w:t>
            </w:r>
          </w:p>
        </w:tc>
      </w:tr>
      <w:tr w:rsidR="00C0036A" w:rsidRPr="00FF207E" w14:paraId="217BB7FB" w14:textId="77777777" w:rsidTr="00DD1E53">
        <w:tc>
          <w:tcPr>
            <w:tcW w:w="567" w:type="dxa"/>
            <w:vMerge/>
            <w:tcBorders>
              <w:left w:val="nil"/>
              <w:right w:val="single" w:sz="4" w:space="0" w:color="548DD4" w:themeColor="text2" w:themeTint="99"/>
            </w:tcBorders>
          </w:tcPr>
          <w:p w14:paraId="65A0FAEA" w14:textId="77777777" w:rsidR="00C0036A" w:rsidRPr="00FF207E" w:rsidRDefault="00C0036A"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BC6CEE7" w14:textId="77777777" w:rsidR="00C0036A" w:rsidRPr="00FF207E" w:rsidRDefault="00C0036A"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44FC6356" w14:textId="1317EEC9" w:rsidR="00C0036A" w:rsidRPr="00FF207E" w:rsidRDefault="00C0036A" w:rsidP="001E304B">
            <w:pPr>
              <w:spacing w:line="240" w:lineRule="atLeast"/>
              <w:jc w:val="both"/>
              <w:rPr>
                <w:rFonts w:cs="Arial"/>
                <w:sz w:val="20"/>
                <w:szCs w:val="20"/>
                <w:lang w:val="sl-SI"/>
              </w:rPr>
            </w:pPr>
            <w:r w:rsidRPr="00FF207E">
              <w:rPr>
                <w:rFonts w:cs="Arial"/>
                <w:sz w:val="20"/>
                <w:szCs w:val="20"/>
                <w:lang w:val="sl-SI"/>
              </w:rPr>
              <w:t>MOPE, MDDSZ</w:t>
            </w:r>
          </w:p>
        </w:tc>
      </w:tr>
      <w:tr w:rsidR="00C0036A" w:rsidRPr="00FF207E" w14:paraId="19928608" w14:textId="77777777" w:rsidTr="00DD1E53">
        <w:tc>
          <w:tcPr>
            <w:tcW w:w="567" w:type="dxa"/>
            <w:vMerge/>
            <w:tcBorders>
              <w:left w:val="nil"/>
              <w:right w:val="single" w:sz="4" w:space="0" w:color="548DD4" w:themeColor="text2" w:themeTint="99"/>
            </w:tcBorders>
          </w:tcPr>
          <w:p w14:paraId="224DD494" w14:textId="77777777" w:rsidR="00C0036A" w:rsidRPr="00FF207E" w:rsidRDefault="00C0036A"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EE0F4AE" w14:textId="77777777" w:rsidR="00C0036A" w:rsidRPr="00FF207E" w:rsidRDefault="00C0036A"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3717728E" w14:textId="2D9D1467" w:rsidR="00C0036A" w:rsidRPr="00FF207E" w:rsidRDefault="005E53C6" w:rsidP="001E304B">
            <w:pPr>
              <w:spacing w:line="240" w:lineRule="atLeast"/>
              <w:jc w:val="both"/>
              <w:rPr>
                <w:rFonts w:cs="Arial"/>
                <w:sz w:val="20"/>
                <w:szCs w:val="20"/>
                <w:lang w:val="sl-SI"/>
              </w:rPr>
            </w:pPr>
            <w:r w:rsidRPr="00FF207E">
              <w:rPr>
                <w:rFonts w:cs="Arial"/>
                <w:sz w:val="20"/>
                <w:szCs w:val="20"/>
                <w:lang w:val="sl-SI"/>
              </w:rPr>
              <w:t>s</w:t>
            </w:r>
            <w:r w:rsidR="00C0036A" w:rsidRPr="00FF207E">
              <w:rPr>
                <w:rFonts w:cs="Arial"/>
                <w:sz w:val="20"/>
                <w:szCs w:val="20"/>
                <w:lang w:val="sl-SI"/>
              </w:rPr>
              <w:t xml:space="preserve">osvet, </w:t>
            </w:r>
            <w:proofErr w:type="spellStart"/>
            <w:r w:rsidR="00C0036A" w:rsidRPr="00FF207E">
              <w:rPr>
                <w:rFonts w:cs="Arial"/>
                <w:sz w:val="20"/>
                <w:szCs w:val="20"/>
                <w:lang w:val="sl-SI"/>
              </w:rPr>
              <w:t>Eko</w:t>
            </w:r>
            <w:proofErr w:type="spellEnd"/>
            <w:r w:rsidR="00C0036A" w:rsidRPr="00FF207E">
              <w:rPr>
                <w:rFonts w:cs="Arial"/>
                <w:sz w:val="20"/>
                <w:szCs w:val="20"/>
                <w:lang w:val="sl-SI"/>
              </w:rPr>
              <w:t xml:space="preserve"> sklad, konzorcij naloge energetske revščine</w:t>
            </w:r>
          </w:p>
        </w:tc>
      </w:tr>
      <w:tr w:rsidR="00D70259" w:rsidRPr="00FF207E" w14:paraId="75F46B1E" w14:textId="77777777" w:rsidTr="00D70259">
        <w:tc>
          <w:tcPr>
            <w:tcW w:w="567" w:type="dxa"/>
            <w:vMerge/>
            <w:tcBorders>
              <w:left w:val="nil"/>
              <w:bottom w:val="single" w:sz="4" w:space="0" w:color="548DD4" w:themeColor="text2" w:themeTint="99"/>
              <w:right w:val="single" w:sz="4" w:space="0" w:color="548DD4" w:themeColor="text2" w:themeTint="99"/>
            </w:tcBorders>
          </w:tcPr>
          <w:p w14:paraId="252CAF95" w14:textId="77777777" w:rsidR="00D70259" w:rsidRPr="00FF207E" w:rsidRDefault="00D7025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3E58B654" w14:textId="77777777" w:rsidR="00D70259" w:rsidRPr="00FF207E" w:rsidRDefault="00D70259"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6C578E21" w14:textId="41267344" w:rsidR="00D70259" w:rsidRPr="00FF207E" w:rsidRDefault="00351369" w:rsidP="001E304B">
            <w:pPr>
              <w:spacing w:line="240" w:lineRule="atLeast"/>
              <w:jc w:val="both"/>
              <w:rPr>
                <w:rFonts w:cs="Arial"/>
                <w:sz w:val="20"/>
                <w:szCs w:val="20"/>
                <w:lang w:val="sl-SI"/>
              </w:rPr>
            </w:pPr>
            <w:r w:rsidRPr="00FF207E">
              <w:rPr>
                <w:rFonts w:cs="Arial"/>
                <w:sz w:val="20"/>
                <w:szCs w:val="20"/>
                <w:lang w:val="sl-SI"/>
              </w:rPr>
              <w:t>2024</w:t>
            </w:r>
          </w:p>
        </w:tc>
      </w:tr>
      <w:tr w:rsidR="00C0036A" w:rsidRPr="00FF207E" w14:paraId="33AE4491" w14:textId="77777777" w:rsidTr="00D70259">
        <w:tc>
          <w:tcPr>
            <w:tcW w:w="567" w:type="dxa"/>
            <w:vMerge w:val="restart"/>
            <w:tcBorders>
              <w:top w:val="single" w:sz="4" w:space="0" w:color="548DD4" w:themeColor="text2" w:themeTint="99"/>
              <w:left w:val="nil"/>
              <w:right w:val="single" w:sz="4" w:space="0" w:color="548DD4" w:themeColor="text2" w:themeTint="99"/>
            </w:tcBorders>
            <w:vAlign w:val="center"/>
          </w:tcPr>
          <w:p w14:paraId="21899BCF" w14:textId="24EF8D47" w:rsidR="00C0036A" w:rsidRPr="00FF207E" w:rsidRDefault="00C0036A" w:rsidP="001E304B">
            <w:pPr>
              <w:spacing w:line="240" w:lineRule="atLeast"/>
              <w:jc w:val="both"/>
              <w:rPr>
                <w:rFonts w:cs="Arial"/>
                <w:b/>
                <w:sz w:val="24"/>
                <w:lang w:val="sl-SI"/>
              </w:rPr>
            </w:pPr>
            <w:r w:rsidRPr="00FF207E">
              <w:rPr>
                <w:rFonts w:cs="Arial"/>
                <w:b/>
                <w:sz w:val="24"/>
                <w:lang w:val="sl-SI"/>
              </w:rPr>
              <w:t>4</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372B0667" w14:textId="77777777" w:rsidR="00C0036A" w:rsidRPr="00FF207E" w:rsidRDefault="00C0036A"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08A16BB9" w14:textId="534C7F01" w:rsidR="00C0036A" w:rsidRPr="00FF207E" w:rsidRDefault="00B16CD1" w:rsidP="00B16CD1">
            <w:pPr>
              <w:spacing w:line="240" w:lineRule="atLeast"/>
              <w:jc w:val="both"/>
              <w:rPr>
                <w:rFonts w:cs="Arial"/>
                <w:sz w:val="20"/>
                <w:szCs w:val="20"/>
                <w:lang w:val="sl-SI"/>
              </w:rPr>
            </w:pPr>
            <w:r w:rsidRPr="00FF207E">
              <w:rPr>
                <w:rFonts w:cs="Arial"/>
                <w:sz w:val="20"/>
                <w:szCs w:val="20"/>
                <w:lang w:val="sl-SI"/>
              </w:rPr>
              <w:t>z</w:t>
            </w:r>
            <w:r w:rsidR="00D3661C" w:rsidRPr="00FF207E">
              <w:rPr>
                <w:rFonts w:cs="Arial"/>
                <w:sz w:val="20"/>
                <w:szCs w:val="20"/>
                <w:lang w:val="sl-SI"/>
              </w:rPr>
              <w:t xml:space="preserve">aradi </w:t>
            </w:r>
            <w:r w:rsidRPr="00FF207E">
              <w:rPr>
                <w:rFonts w:cs="Arial"/>
                <w:sz w:val="20"/>
                <w:szCs w:val="20"/>
                <w:lang w:val="sl-SI"/>
              </w:rPr>
              <w:t xml:space="preserve">različnih </w:t>
            </w:r>
            <w:r w:rsidR="00D3661C" w:rsidRPr="00FF207E">
              <w:rPr>
                <w:rFonts w:cs="Arial"/>
                <w:sz w:val="20"/>
                <w:szCs w:val="20"/>
                <w:lang w:val="sl-SI"/>
              </w:rPr>
              <w:t xml:space="preserve">dejavnikov, ki vplivajo na nastanek energetske revščine, za doseganje ciljnega deleža energetsko revnih gospodinjstev v letu 2030 (glej poglavje </w:t>
            </w:r>
            <w:r w:rsidR="00D3661C" w:rsidRPr="00FF207E">
              <w:rPr>
                <w:rFonts w:cs="Arial"/>
                <w:sz w:val="20"/>
                <w:szCs w:val="20"/>
                <w:lang w:val="sl-SI"/>
              </w:rPr>
              <w:fldChar w:fldCharType="begin"/>
            </w:r>
            <w:r w:rsidR="00D3661C" w:rsidRPr="00FF207E">
              <w:rPr>
                <w:rFonts w:cs="Arial"/>
                <w:sz w:val="20"/>
                <w:szCs w:val="20"/>
                <w:lang w:val="sl-SI"/>
              </w:rPr>
              <w:instrText xml:space="preserve"> REF _Ref150324805 \r \h </w:instrText>
            </w:r>
            <w:r w:rsidR="00D3661C" w:rsidRPr="00FF207E">
              <w:rPr>
                <w:rFonts w:cs="Arial"/>
                <w:sz w:val="20"/>
                <w:szCs w:val="20"/>
                <w:lang w:val="sl-SI"/>
              </w:rPr>
            </w:r>
            <w:r w:rsidR="00FF207E">
              <w:rPr>
                <w:rFonts w:cs="Arial"/>
                <w:sz w:val="20"/>
                <w:szCs w:val="20"/>
                <w:lang w:val="sl-SI"/>
              </w:rPr>
              <w:instrText xml:space="preserve"> \* MERGEFORMAT </w:instrText>
            </w:r>
            <w:r w:rsidR="00D3661C" w:rsidRPr="00FF207E">
              <w:rPr>
                <w:rFonts w:cs="Arial"/>
                <w:sz w:val="20"/>
                <w:szCs w:val="20"/>
                <w:lang w:val="sl-SI"/>
              </w:rPr>
              <w:fldChar w:fldCharType="separate"/>
            </w:r>
            <w:r w:rsidR="00F37FD1" w:rsidRPr="00FF207E">
              <w:rPr>
                <w:rFonts w:cs="Arial"/>
                <w:sz w:val="20"/>
                <w:szCs w:val="20"/>
                <w:lang w:val="sl-SI"/>
              </w:rPr>
              <w:t>2.1</w:t>
            </w:r>
            <w:r w:rsidR="00D3661C" w:rsidRPr="00FF207E">
              <w:rPr>
                <w:rFonts w:cs="Arial"/>
                <w:sz w:val="20"/>
                <w:szCs w:val="20"/>
                <w:lang w:val="sl-SI"/>
              </w:rPr>
              <w:fldChar w:fldCharType="end"/>
            </w:r>
            <w:r w:rsidR="00D3661C" w:rsidRPr="00FF207E">
              <w:rPr>
                <w:rFonts w:cs="Arial"/>
                <w:sz w:val="20"/>
                <w:szCs w:val="20"/>
                <w:lang w:val="sl-SI"/>
              </w:rPr>
              <w:t xml:space="preserve">) ne bo zadostovalo samo izvajanje ukrepov, predvidenih s tem in naslednjimi </w:t>
            </w:r>
            <w:r w:rsidR="00CB3F8C" w:rsidRPr="00FF207E">
              <w:rPr>
                <w:rFonts w:cs="Arial"/>
                <w:sz w:val="20"/>
                <w:szCs w:val="20"/>
                <w:lang w:val="sl-SI"/>
              </w:rPr>
              <w:t>akcijskimi načrti</w:t>
            </w:r>
            <w:r w:rsidRPr="00FF207E">
              <w:rPr>
                <w:rFonts w:cs="Arial"/>
                <w:sz w:val="20"/>
                <w:szCs w:val="20"/>
                <w:lang w:val="sl-SI"/>
              </w:rPr>
              <w:t>,</w:t>
            </w:r>
            <w:r w:rsidR="00D3661C" w:rsidRPr="00FF207E">
              <w:rPr>
                <w:rFonts w:cs="Arial"/>
                <w:sz w:val="20"/>
                <w:szCs w:val="20"/>
                <w:lang w:val="sl-SI"/>
              </w:rPr>
              <w:t xml:space="preserve"> </w:t>
            </w:r>
            <w:r w:rsidRPr="00FF207E">
              <w:rPr>
                <w:rFonts w:cs="Arial"/>
                <w:sz w:val="20"/>
                <w:szCs w:val="20"/>
                <w:lang w:val="sl-SI"/>
              </w:rPr>
              <w:t>zato ima s</w:t>
            </w:r>
            <w:r w:rsidR="00D3661C" w:rsidRPr="00FF207E">
              <w:rPr>
                <w:rFonts w:cs="Arial"/>
                <w:sz w:val="20"/>
                <w:szCs w:val="20"/>
                <w:lang w:val="sl-SI"/>
              </w:rPr>
              <w:t xml:space="preserve">osvet pomembno nalogo, da spodbuja in nudi podporo drugim ministrstvom pri razvoju </w:t>
            </w:r>
            <w:r w:rsidR="00E70A72" w:rsidRPr="00FF207E">
              <w:rPr>
                <w:rFonts w:cs="Arial"/>
                <w:sz w:val="20"/>
                <w:szCs w:val="20"/>
                <w:lang w:val="sl-SI"/>
              </w:rPr>
              <w:t xml:space="preserve">načinov </w:t>
            </w:r>
            <w:r w:rsidR="00D3661C" w:rsidRPr="00FF207E">
              <w:rPr>
                <w:rFonts w:cs="Arial"/>
                <w:sz w:val="20"/>
                <w:szCs w:val="20"/>
                <w:lang w:val="sl-SI"/>
              </w:rPr>
              <w:t>zmanjševanj</w:t>
            </w:r>
            <w:r w:rsidR="00E70A72" w:rsidRPr="00FF207E">
              <w:rPr>
                <w:rFonts w:cs="Arial"/>
                <w:sz w:val="20"/>
                <w:szCs w:val="20"/>
                <w:lang w:val="sl-SI"/>
              </w:rPr>
              <w:t>a</w:t>
            </w:r>
            <w:r w:rsidR="00D3661C" w:rsidRPr="00FF207E">
              <w:rPr>
                <w:rFonts w:cs="Arial"/>
                <w:sz w:val="20"/>
                <w:szCs w:val="20"/>
                <w:lang w:val="sl-SI"/>
              </w:rPr>
              <w:t xml:space="preserve"> in preprečevanj</w:t>
            </w:r>
            <w:r w:rsidR="00E70A72" w:rsidRPr="00FF207E">
              <w:rPr>
                <w:rFonts w:cs="Arial"/>
                <w:sz w:val="20"/>
                <w:szCs w:val="20"/>
                <w:lang w:val="sl-SI"/>
              </w:rPr>
              <w:t>a</w:t>
            </w:r>
            <w:r w:rsidR="00D3661C" w:rsidRPr="00FF207E">
              <w:rPr>
                <w:rFonts w:cs="Arial"/>
                <w:sz w:val="20"/>
                <w:szCs w:val="20"/>
                <w:lang w:val="sl-SI"/>
              </w:rPr>
              <w:t xml:space="preserve"> energetske revščine </w:t>
            </w:r>
            <w:r w:rsidR="00A63966" w:rsidRPr="00FF207E">
              <w:rPr>
                <w:rFonts w:cs="Arial"/>
                <w:sz w:val="20"/>
                <w:szCs w:val="20"/>
                <w:lang w:val="sl-SI"/>
              </w:rPr>
              <w:t xml:space="preserve">tudi </w:t>
            </w:r>
            <w:r w:rsidR="00D3661C" w:rsidRPr="00FF207E">
              <w:rPr>
                <w:rFonts w:cs="Arial"/>
                <w:sz w:val="20"/>
                <w:szCs w:val="20"/>
                <w:lang w:val="sl-SI"/>
              </w:rPr>
              <w:t>v okviru razvojne, plačne, zaposlitvene</w:t>
            </w:r>
            <w:r w:rsidR="00A63966" w:rsidRPr="00FF207E">
              <w:rPr>
                <w:rFonts w:cs="Arial"/>
                <w:sz w:val="20"/>
                <w:szCs w:val="20"/>
                <w:lang w:val="sl-SI"/>
              </w:rPr>
              <w:t>,</w:t>
            </w:r>
            <w:r w:rsidR="00D3661C" w:rsidRPr="00FF207E">
              <w:rPr>
                <w:rFonts w:cs="Arial"/>
                <w:sz w:val="20"/>
                <w:szCs w:val="20"/>
                <w:lang w:val="sl-SI"/>
              </w:rPr>
              <w:t xml:space="preserve"> davčne, stanovanjske, socialne in drugih </w:t>
            </w:r>
            <w:r w:rsidR="00AB5B90" w:rsidRPr="00FF207E">
              <w:rPr>
                <w:rFonts w:cs="Arial"/>
                <w:sz w:val="20"/>
                <w:szCs w:val="20"/>
                <w:lang w:val="sl-SI"/>
              </w:rPr>
              <w:t xml:space="preserve">pomembnih </w:t>
            </w:r>
            <w:r w:rsidR="00D3661C" w:rsidRPr="00FF207E">
              <w:rPr>
                <w:rFonts w:cs="Arial"/>
                <w:sz w:val="20"/>
                <w:szCs w:val="20"/>
                <w:lang w:val="sl-SI"/>
              </w:rPr>
              <w:t>politik</w:t>
            </w:r>
          </w:p>
        </w:tc>
      </w:tr>
      <w:tr w:rsidR="00C0036A" w:rsidRPr="00FF207E" w14:paraId="31C39584" w14:textId="77777777" w:rsidTr="00DD1E53">
        <w:tc>
          <w:tcPr>
            <w:tcW w:w="567" w:type="dxa"/>
            <w:vMerge/>
            <w:tcBorders>
              <w:left w:val="nil"/>
              <w:right w:val="single" w:sz="4" w:space="0" w:color="548DD4" w:themeColor="text2" w:themeTint="99"/>
            </w:tcBorders>
          </w:tcPr>
          <w:p w14:paraId="3F893688" w14:textId="77777777" w:rsidR="00C0036A" w:rsidRPr="00FF207E" w:rsidRDefault="00C0036A"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DFDE0AB" w14:textId="77777777" w:rsidR="00C0036A" w:rsidRPr="00FF207E" w:rsidRDefault="00C0036A"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5FA0AAC1" w14:textId="332D228E" w:rsidR="00C0036A" w:rsidRPr="00FF207E" w:rsidRDefault="00C0036A" w:rsidP="001E304B">
            <w:pPr>
              <w:spacing w:line="240" w:lineRule="atLeast"/>
              <w:jc w:val="both"/>
              <w:rPr>
                <w:rFonts w:cs="Arial"/>
                <w:sz w:val="20"/>
                <w:szCs w:val="20"/>
                <w:lang w:val="sl-SI"/>
              </w:rPr>
            </w:pPr>
            <w:r w:rsidRPr="00FF207E">
              <w:rPr>
                <w:rFonts w:cs="Arial"/>
                <w:sz w:val="20"/>
                <w:szCs w:val="20"/>
                <w:lang w:val="sl-SI"/>
              </w:rPr>
              <w:t>MOPE</w:t>
            </w:r>
          </w:p>
        </w:tc>
      </w:tr>
      <w:tr w:rsidR="00C0036A" w:rsidRPr="00FF207E" w14:paraId="74E1BEC3" w14:textId="77777777" w:rsidTr="00DD1E53">
        <w:tc>
          <w:tcPr>
            <w:tcW w:w="567" w:type="dxa"/>
            <w:vMerge/>
            <w:tcBorders>
              <w:left w:val="nil"/>
              <w:right w:val="single" w:sz="4" w:space="0" w:color="548DD4" w:themeColor="text2" w:themeTint="99"/>
            </w:tcBorders>
          </w:tcPr>
          <w:p w14:paraId="374BB5E8" w14:textId="77777777" w:rsidR="00C0036A" w:rsidRPr="00FF207E" w:rsidRDefault="00C0036A"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E8E4DA9" w14:textId="77777777" w:rsidR="00C0036A" w:rsidRPr="00FF207E" w:rsidRDefault="00C0036A"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64463811" w14:textId="54B72113" w:rsidR="00C0036A" w:rsidRPr="00FF207E" w:rsidRDefault="005E53C6" w:rsidP="00AB5B90">
            <w:pPr>
              <w:spacing w:line="240" w:lineRule="atLeast"/>
              <w:jc w:val="both"/>
              <w:rPr>
                <w:rFonts w:cs="Arial"/>
                <w:sz w:val="20"/>
                <w:szCs w:val="20"/>
                <w:lang w:val="sl-SI"/>
              </w:rPr>
            </w:pPr>
            <w:r w:rsidRPr="00FF207E">
              <w:rPr>
                <w:rFonts w:cs="Arial"/>
                <w:sz w:val="20"/>
                <w:szCs w:val="20"/>
                <w:lang w:val="sl-SI"/>
              </w:rPr>
              <w:t>s</w:t>
            </w:r>
            <w:r w:rsidR="00C0036A" w:rsidRPr="00FF207E">
              <w:rPr>
                <w:rFonts w:cs="Arial"/>
                <w:sz w:val="20"/>
                <w:szCs w:val="20"/>
                <w:lang w:val="sl-SI"/>
              </w:rPr>
              <w:t>osvet, deležniki, glede na obravnavano tematiko</w:t>
            </w:r>
            <w:r w:rsidR="00D3661C" w:rsidRPr="00FF207E">
              <w:rPr>
                <w:rFonts w:cs="Arial"/>
                <w:sz w:val="20"/>
                <w:szCs w:val="20"/>
                <w:lang w:val="sl-SI"/>
              </w:rPr>
              <w:t xml:space="preserve">, pri vključevanju zmanjševanja in preprečevanja energetske revščine v druge </w:t>
            </w:r>
            <w:r w:rsidR="00AB5B90" w:rsidRPr="00FF207E">
              <w:rPr>
                <w:rFonts w:cs="Arial"/>
                <w:sz w:val="20"/>
                <w:szCs w:val="20"/>
                <w:lang w:val="sl-SI"/>
              </w:rPr>
              <w:t xml:space="preserve">pomembne </w:t>
            </w:r>
            <w:r w:rsidR="00D3661C" w:rsidRPr="00FF207E">
              <w:rPr>
                <w:rFonts w:cs="Arial"/>
                <w:sz w:val="20"/>
                <w:szCs w:val="20"/>
                <w:lang w:val="sl-SI"/>
              </w:rPr>
              <w:t>politike</w:t>
            </w:r>
            <w:r w:rsidR="00AB5B90" w:rsidRPr="00FF207E">
              <w:rPr>
                <w:rFonts w:cs="Arial"/>
                <w:sz w:val="20"/>
                <w:szCs w:val="20"/>
                <w:lang w:val="sl-SI"/>
              </w:rPr>
              <w:t>,</w:t>
            </w:r>
            <w:r w:rsidR="00D3661C" w:rsidRPr="00FF207E">
              <w:rPr>
                <w:rFonts w:cs="Arial"/>
                <w:sz w:val="20"/>
                <w:szCs w:val="20"/>
                <w:lang w:val="sl-SI"/>
              </w:rPr>
              <w:t xml:space="preserve"> še zlasti MGTŠ, MF, MSP, MDDSZ, MZ …</w:t>
            </w:r>
          </w:p>
        </w:tc>
      </w:tr>
      <w:tr w:rsidR="00D70259" w:rsidRPr="00FF207E" w14:paraId="44DC75CE" w14:textId="77777777" w:rsidTr="00D70259">
        <w:tc>
          <w:tcPr>
            <w:tcW w:w="567" w:type="dxa"/>
            <w:vMerge/>
            <w:tcBorders>
              <w:left w:val="nil"/>
              <w:bottom w:val="single" w:sz="4" w:space="0" w:color="548DD4" w:themeColor="text2" w:themeTint="99"/>
              <w:right w:val="single" w:sz="4" w:space="0" w:color="548DD4" w:themeColor="text2" w:themeTint="99"/>
            </w:tcBorders>
          </w:tcPr>
          <w:p w14:paraId="13602FD6" w14:textId="77777777" w:rsidR="00D70259" w:rsidRPr="00FF207E" w:rsidRDefault="00D7025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6C17D4EB" w14:textId="77777777" w:rsidR="00D70259" w:rsidRPr="00FF207E" w:rsidRDefault="00D70259"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695033B4" w14:textId="107CAF38" w:rsidR="00D70259" w:rsidRPr="00FF207E" w:rsidRDefault="00225C55" w:rsidP="00B77973">
            <w:pPr>
              <w:spacing w:line="240" w:lineRule="atLeast"/>
              <w:jc w:val="both"/>
              <w:rPr>
                <w:rFonts w:cs="Arial"/>
                <w:sz w:val="20"/>
                <w:szCs w:val="20"/>
                <w:lang w:val="sl-SI"/>
              </w:rPr>
            </w:pPr>
            <w:r w:rsidRPr="00FF207E">
              <w:rPr>
                <w:rFonts w:cs="Arial"/>
                <w:sz w:val="20"/>
                <w:szCs w:val="20"/>
                <w:lang w:val="sl-SI"/>
              </w:rPr>
              <w:t>k</w:t>
            </w:r>
            <w:r w:rsidR="00D70259" w:rsidRPr="00FF207E">
              <w:rPr>
                <w:rFonts w:cs="Arial"/>
                <w:sz w:val="20"/>
                <w:szCs w:val="20"/>
                <w:lang w:val="sl-SI"/>
              </w:rPr>
              <w:t>ontinuirano</w:t>
            </w:r>
            <w:r w:rsidRPr="00FF207E">
              <w:rPr>
                <w:rFonts w:cs="Arial"/>
                <w:sz w:val="20"/>
                <w:szCs w:val="20"/>
                <w:lang w:val="sl-SI"/>
              </w:rPr>
              <w:t xml:space="preserve"> </w:t>
            </w:r>
            <w:r w:rsidR="00D70259" w:rsidRPr="00FF207E">
              <w:rPr>
                <w:rFonts w:cs="Arial"/>
                <w:sz w:val="20"/>
                <w:szCs w:val="20"/>
                <w:lang w:val="sl-SI"/>
              </w:rPr>
              <w:t>oz</w:t>
            </w:r>
            <w:r w:rsidR="00B77973" w:rsidRPr="00FF207E">
              <w:rPr>
                <w:rFonts w:cs="Arial"/>
                <w:sz w:val="20"/>
                <w:szCs w:val="20"/>
                <w:lang w:val="sl-SI"/>
              </w:rPr>
              <w:t>iroma</w:t>
            </w:r>
            <w:r w:rsidR="00D70259" w:rsidRPr="00FF207E">
              <w:rPr>
                <w:rFonts w:cs="Arial"/>
                <w:sz w:val="20"/>
                <w:szCs w:val="20"/>
                <w:lang w:val="sl-SI"/>
              </w:rPr>
              <w:t xml:space="preserve"> po potrebi</w:t>
            </w:r>
          </w:p>
        </w:tc>
      </w:tr>
      <w:tr w:rsidR="00C0036A" w:rsidRPr="00FF207E" w14:paraId="747EF166" w14:textId="77777777" w:rsidTr="00D70259">
        <w:tc>
          <w:tcPr>
            <w:tcW w:w="567" w:type="dxa"/>
            <w:vMerge w:val="restart"/>
            <w:tcBorders>
              <w:top w:val="single" w:sz="4" w:space="0" w:color="548DD4" w:themeColor="text2" w:themeTint="99"/>
              <w:left w:val="nil"/>
              <w:right w:val="single" w:sz="4" w:space="0" w:color="548DD4" w:themeColor="text2" w:themeTint="99"/>
            </w:tcBorders>
            <w:vAlign w:val="center"/>
          </w:tcPr>
          <w:p w14:paraId="5BB54617" w14:textId="4567AC0E" w:rsidR="00C0036A" w:rsidRPr="00FF207E" w:rsidRDefault="00C0036A" w:rsidP="001E304B">
            <w:pPr>
              <w:spacing w:line="240" w:lineRule="atLeast"/>
              <w:jc w:val="both"/>
              <w:rPr>
                <w:rFonts w:cs="Arial"/>
                <w:b/>
                <w:sz w:val="24"/>
                <w:lang w:val="sl-SI"/>
              </w:rPr>
            </w:pPr>
            <w:r w:rsidRPr="00FF207E">
              <w:rPr>
                <w:rFonts w:cs="Arial"/>
                <w:b/>
                <w:sz w:val="24"/>
                <w:lang w:val="sl-SI"/>
              </w:rPr>
              <w:t>5</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544EC5A8" w14:textId="77777777" w:rsidR="00C0036A" w:rsidRPr="00FF207E" w:rsidRDefault="00C0036A"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6D01AE0C" w14:textId="392F573C" w:rsidR="00C0036A" w:rsidRPr="00FF207E" w:rsidRDefault="00B16CD1" w:rsidP="00B16CD1">
            <w:pPr>
              <w:spacing w:line="240" w:lineRule="atLeast"/>
              <w:jc w:val="both"/>
              <w:rPr>
                <w:rFonts w:cs="Arial"/>
                <w:sz w:val="20"/>
                <w:szCs w:val="20"/>
                <w:lang w:val="sl-SI"/>
              </w:rPr>
            </w:pPr>
            <w:r w:rsidRPr="00FF207E">
              <w:rPr>
                <w:rFonts w:cs="Arial"/>
                <w:sz w:val="20"/>
                <w:szCs w:val="20"/>
                <w:lang w:val="sl-SI"/>
              </w:rPr>
              <w:t>o</w:t>
            </w:r>
            <w:r w:rsidR="00B86DF2" w:rsidRPr="00FF207E">
              <w:rPr>
                <w:rFonts w:cs="Arial"/>
                <w:sz w:val="20"/>
                <w:szCs w:val="20"/>
                <w:lang w:val="sl-SI"/>
              </w:rPr>
              <w:t>bravnava letnih poročil o spremljanju izvajanja energetske revščine</w:t>
            </w:r>
            <w:r w:rsidRPr="00FF207E">
              <w:rPr>
                <w:rFonts w:cs="Arial"/>
                <w:sz w:val="20"/>
                <w:szCs w:val="20"/>
                <w:lang w:val="sl-SI"/>
              </w:rPr>
              <w:t>;</w:t>
            </w:r>
            <w:r w:rsidR="00B86DF2" w:rsidRPr="00FF207E">
              <w:rPr>
                <w:rFonts w:cs="Arial"/>
                <w:sz w:val="20"/>
                <w:szCs w:val="20"/>
                <w:lang w:val="sl-SI"/>
              </w:rPr>
              <w:t xml:space="preserve"> </w:t>
            </w:r>
            <w:r w:rsidRPr="00FF207E">
              <w:rPr>
                <w:rFonts w:cs="Arial"/>
                <w:sz w:val="20"/>
                <w:szCs w:val="20"/>
                <w:lang w:val="sl-SI"/>
              </w:rPr>
              <w:t>s</w:t>
            </w:r>
            <w:r w:rsidR="00B86DF2" w:rsidRPr="00FF207E">
              <w:rPr>
                <w:rFonts w:cs="Arial"/>
                <w:sz w:val="20"/>
                <w:szCs w:val="20"/>
                <w:lang w:val="sl-SI"/>
              </w:rPr>
              <w:t xml:space="preserve">eznanitev javnosti, vlade in </w:t>
            </w:r>
            <w:r w:rsidRPr="00FF207E">
              <w:rPr>
                <w:rFonts w:cs="Arial"/>
                <w:sz w:val="20"/>
                <w:szCs w:val="20"/>
                <w:lang w:val="sl-SI"/>
              </w:rPr>
              <w:t>državnega zbora</w:t>
            </w:r>
            <w:r w:rsidR="00B86DF2" w:rsidRPr="00FF207E">
              <w:rPr>
                <w:rFonts w:cs="Arial"/>
                <w:sz w:val="20"/>
                <w:szCs w:val="20"/>
                <w:lang w:val="sl-SI"/>
              </w:rPr>
              <w:t xml:space="preserve"> s stanjem</w:t>
            </w:r>
          </w:p>
        </w:tc>
      </w:tr>
      <w:tr w:rsidR="00C0036A" w:rsidRPr="00FF207E" w14:paraId="770BB90E" w14:textId="77777777" w:rsidTr="00742BD0">
        <w:tc>
          <w:tcPr>
            <w:tcW w:w="567" w:type="dxa"/>
            <w:vMerge/>
            <w:tcBorders>
              <w:left w:val="nil"/>
              <w:right w:val="single" w:sz="4" w:space="0" w:color="548DD4" w:themeColor="text2" w:themeTint="99"/>
            </w:tcBorders>
          </w:tcPr>
          <w:p w14:paraId="44FFDDC0" w14:textId="77777777" w:rsidR="00C0036A" w:rsidRPr="00FF207E" w:rsidRDefault="00C0036A"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26EAE6CB" w14:textId="77777777" w:rsidR="00C0036A" w:rsidRPr="00FF207E" w:rsidRDefault="00C0036A"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CA4BDA2" w14:textId="7F64E95D" w:rsidR="00C0036A" w:rsidRPr="00FF207E" w:rsidRDefault="00C0036A" w:rsidP="001E304B">
            <w:pPr>
              <w:spacing w:line="240" w:lineRule="atLeast"/>
              <w:jc w:val="both"/>
              <w:rPr>
                <w:rFonts w:cs="Arial"/>
                <w:sz w:val="20"/>
                <w:szCs w:val="20"/>
                <w:lang w:val="sl-SI"/>
              </w:rPr>
            </w:pPr>
            <w:r w:rsidRPr="00FF207E">
              <w:rPr>
                <w:rFonts w:cs="Arial"/>
                <w:sz w:val="20"/>
                <w:szCs w:val="20"/>
                <w:lang w:val="sl-SI"/>
              </w:rPr>
              <w:t>MOPE</w:t>
            </w:r>
          </w:p>
        </w:tc>
      </w:tr>
      <w:tr w:rsidR="00C0036A" w:rsidRPr="00FF207E" w14:paraId="763F6B48" w14:textId="77777777" w:rsidTr="00742BD0">
        <w:tc>
          <w:tcPr>
            <w:tcW w:w="567" w:type="dxa"/>
            <w:vMerge/>
            <w:tcBorders>
              <w:left w:val="nil"/>
              <w:right w:val="single" w:sz="4" w:space="0" w:color="548DD4" w:themeColor="text2" w:themeTint="99"/>
            </w:tcBorders>
          </w:tcPr>
          <w:p w14:paraId="17C739B0" w14:textId="77777777" w:rsidR="00C0036A" w:rsidRPr="00FF207E" w:rsidRDefault="00C0036A"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50FCC21E" w14:textId="77777777" w:rsidR="00C0036A" w:rsidRPr="00FF207E" w:rsidRDefault="00C0036A"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BAFE70C" w14:textId="4C698D4C" w:rsidR="00C0036A" w:rsidRPr="00FF207E" w:rsidRDefault="005E53C6" w:rsidP="001E304B">
            <w:pPr>
              <w:spacing w:line="240" w:lineRule="atLeast"/>
              <w:jc w:val="both"/>
              <w:rPr>
                <w:rFonts w:cs="Arial"/>
                <w:sz w:val="20"/>
                <w:szCs w:val="20"/>
                <w:lang w:val="sl-SI"/>
              </w:rPr>
            </w:pPr>
            <w:r w:rsidRPr="00FF207E">
              <w:rPr>
                <w:rFonts w:cs="Arial"/>
                <w:sz w:val="20"/>
                <w:szCs w:val="20"/>
                <w:lang w:val="sl-SI"/>
              </w:rPr>
              <w:t>s</w:t>
            </w:r>
            <w:r w:rsidR="00C0036A" w:rsidRPr="00FF207E">
              <w:rPr>
                <w:rFonts w:cs="Arial"/>
                <w:sz w:val="20"/>
                <w:szCs w:val="20"/>
                <w:lang w:val="sl-SI"/>
              </w:rPr>
              <w:t>osvet, deležniki, glede na obravnavano tematiko</w:t>
            </w:r>
          </w:p>
        </w:tc>
      </w:tr>
      <w:tr w:rsidR="00D70259" w:rsidRPr="00FF207E" w14:paraId="2B9E8D92" w14:textId="77777777" w:rsidTr="00D70259">
        <w:tc>
          <w:tcPr>
            <w:tcW w:w="567" w:type="dxa"/>
            <w:vMerge/>
            <w:tcBorders>
              <w:left w:val="nil"/>
              <w:bottom w:val="single" w:sz="4" w:space="0" w:color="548DD4" w:themeColor="text2" w:themeTint="99"/>
              <w:right w:val="single" w:sz="4" w:space="0" w:color="548DD4" w:themeColor="text2" w:themeTint="99"/>
            </w:tcBorders>
          </w:tcPr>
          <w:p w14:paraId="7A03A4A3" w14:textId="77777777" w:rsidR="00D70259" w:rsidRPr="00FF207E" w:rsidRDefault="00D7025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78CFE83D" w14:textId="77777777" w:rsidR="00D70259" w:rsidRPr="00FF207E" w:rsidRDefault="00D70259"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5B0D6312" w14:textId="721BDCEC" w:rsidR="00D70259" w:rsidRPr="00FF207E" w:rsidRDefault="00351369" w:rsidP="00B42989">
            <w:pPr>
              <w:spacing w:line="240" w:lineRule="atLeast"/>
              <w:jc w:val="both"/>
              <w:rPr>
                <w:rFonts w:cs="Arial"/>
                <w:sz w:val="20"/>
                <w:szCs w:val="20"/>
                <w:lang w:val="sl-SI"/>
              </w:rPr>
            </w:pPr>
            <w:r w:rsidRPr="00FF207E">
              <w:rPr>
                <w:rFonts w:cs="Arial"/>
                <w:sz w:val="20"/>
                <w:szCs w:val="20"/>
                <w:lang w:val="sl-SI"/>
              </w:rPr>
              <w:t>2024, 2025, 2026</w:t>
            </w:r>
          </w:p>
        </w:tc>
      </w:tr>
    </w:tbl>
    <w:p w14:paraId="791EC6F8" w14:textId="77777777" w:rsidR="00C45457" w:rsidRPr="00FF207E" w:rsidRDefault="00C45457" w:rsidP="001E304B">
      <w:pPr>
        <w:jc w:val="both"/>
        <w:rPr>
          <w:lang w:val="sl-SI"/>
        </w:rPr>
      </w:pPr>
    </w:p>
    <w:p w14:paraId="5D0285DA" w14:textId="15E989DF" w:rsidR="00740162" w:rsidRPr="00FF207E" w:rsidRDefault="009F3911" w:rsidP="001E304B">
      <w:pPr>
        <w:pStyle w:val="Naslov1"/>
        <w:jc w:val="both"/>
        <w:rPr>
          <w:lang w:val="sl-SI"/>
        </w:rPr>
      </w:pPr>
      <w:bookmarkStart w:id="61" w:name="_Ref135394392"/>
      <w:bookmarkStart w:id="62" w:name="_Toc151148790"/>
      <w:r w:rsidRPr="00FF207E">
        <w:rPr>
          <w:lang w:val="sl-SI"/>
        </w:rPr>
        <w:lastRenderedPageBreak/>
        <w:t>Glavni ukrepi</w:t>
      </w:r>
      <w:r w:rsidR="00740162" w:rsidRPr="00FF207E">
        <w:rPr>
          <w:lang w:val="sl-SI"/>
        </w:rPr>
        <w:t xml:space="preserve"> sheme za zmanjševanje energetske revščine</w:t>
      </w:r>
      <w:bookmarkEnd w:id="61"/>
      <w:bookmarkEnd w:id="62"/>
    </w:p>
    <w:p w14:paraId="77F15D9C" w14:textId="6DF87F87" w:rsidR="007B5E07" w:rsidRPr="00FF207E" w:rsidRDefault="007B0A54" w:rsidP="001E304B">
      <w:pPr>
        <w:spacing w:after="240"/>
        <w:jc w:val="both"/>
        <w:rPr>
          <w:lang w:val="sl-SI"/>
        </w:rPr>
      </w:pPr>
      <w:r w:rsidRPr="00FF207E">
        <w:rPr>
          <w:rFonts w:cs="Arial"/>
          <w:szCs w:val="22"/>
          <w:lang w:val="sl-SI"/>
        </w:rPr>
        <w:t xml:space="preserve">Osrednji finančni ukrep za zmanjševanje energetske revščine so </w:t>
      </w:r>
      <w:r w:rsidRPr="00FF207E">
        <w:rPr>
          <w:rFonts w:cs="Arial"/>
          <w:i/>
          <w:szCs w:val="22"/>
          <w:lang w:val="sl-SI"/>
        </w:rPr>
        <w:t>investicijske spodbude za izvedbo ukrepov</w:t>
      </w:r>
      <w:r w:rsidRPr="00FF207E">
        <w:rPr>
          <w:rFonts w:cs="Arial"/>
          <w:szCs w:val="22"/>
          <w:lang w:val="sl-SI"/>
        </w:rPr>
        <w:t>, s katerimi lahko energetsk</w:t>
      </w:r>
      <w:r w:rsidR="001C3983" w:rsidRPr="00FF207E">
        <w:rPr>
          <w:rFonts w:cs="Arial"/>
          <w:szCs w:val="22"/>
          <w:lang w:val="sl-SI"/>
        </w:rPr>
        <w:t>o</w:t>
      </w:r>
      <w:r w:rsidRPr="00FF207E">
        <w:rPr>
          <w:rFonts w:cs="Arial"/>
          <w:szCs w:val="22"/>
          <w:lang w:val="sl-SI"/>
        </w:rPr>
        <w:t xml:space="preserve"> revni zmanjšajo svoje potrebe po energiji</w:t>
      </w:r>
      <w:r w:rsidR="00DF6139" w:rsidRPr="00FF207E">
        <w:rPr>
          <w:rFonts w:cs="Arial"/>
          <w:szCs w:val="22"/>
          <w:lang w:val="sl-SI"/>
        </w:rPr>
        <w:t xml:space="preserve">, obenem pa tudi izboljšajo svoje </w:t>
      </w:r>
      <w:r w:rsidR="00F31862" w:rsidRPr="00FF207E">
        <w:rPr>
          <w:rFonts w:cs="Arial"/>
          <w:szCs w:val="22"/>
          <w:lang w:val="sl-SI"/>
        </w:rPr>
        <w:t xml:space="preserve">bivalne </w:t>
      </w:r>
      <w:r w:rsidR="00DF6139" w:rsidRPr="00FF207E">
        <w:rPr>
          <w:rFonts w:cs="Arial"/>
          <w:szCs w:val="22"/>
          <w:lang w:val="sl-SI"/>
        </w:rPr>
        <w:t>razmere (preprečevanje prepiha, vlage in  nastanka plesni,</w:t>
      </w:r>
      <w:r w:rsidR="001C3983" w:rsidRPr="00FF207E">
        <w:rPr>
          <w:rFonts w:cs="Arial"/>
          <w:szCs w:val="22"/>
          <w:lang w:val="sl-SI"/>
        </w:rPr>
        <w:t xml:space="preserve"> povečanje toplotnega ugodja </w:t>
      </w:r>
      <w:r w:rsidR="00B77973" w:rsidRPr="00FF207E">
        <w:rPr>
          <w:rFonts w:cs="Arial"/>
          <w:szCs w:val="22"/>
          <w:lang w:val="sl-SI"/>
        </w:rPr>
        <w:t>in tako dalje</w:t>
      </w:r>
      <w:r w:rsidR="001C3983" w:rsidRPr="00FF207E">
        <w:rPr>
          <w:rFonts w:cs="Arial"/>
          <w:szCs w:val="22"/>
          <w:lang w:val="sl-SI"/>
        </w:rPr>
        <w:t>).</w:t>
      </w:r>
      <w:r w:rsidR="00DF6139" w:rsidRPr="00FF207E">
        <w:rPr>
          <w:rFonts w:cs="Arial"/>
          <w:szCs w:val="22"/>
          <w:lang w:val="sl-SI"/>
        </w:rPr>
        <w:t xml:space="preserve"> </w:t>
      </w:r>
      <w:r w:rsidRPr="00FF207E">
        <w:rPr>
          <w:rFonts w:cs="Arial"/>
          <w:szCs w:val="22"/>
          <w:lang w:val="sl-SI"/>
        </w:rPr>
        <w:t xml:space="preserve">Obseg dodeljevanja teh spodbud je mogoče povečati le ob </w:t>
      </w:r>
      <w:r w:rsidRPr="00FF207E">
        <w:rPr>
          <w:rFonts w:cs="Arial"/>
          <w:i/>
          <w:szCs w:val="22"/>
          <w:lang w:val="sl-SI"/>
        </w:rPr>
        <w:t xml:space="preserve">vzpostavitvi ustrezne organizacijske </w:t>
      </w:r>
      <w:r w:rsidR="00165C34" w:rsidRPr="00FF207E">
        <w:rPr>
          <w:rFonts w:cs="Arial"/>
          <w:i/>
          <w:szCs w:val="22"/>
          <w:lang w:val="sl-SI"/>
        </w:rPr>
        <w:t>strukture</w:t>
      </w:r>
      <w:r w:rsidR="001C3983" w:rsidRPr="00FF207E">
        <w:rPr>
          <w:rFonts w:cs="Arial"/>
          <w:szCs w:val="22"/>
          <w:lang w:val="sl-SI"/>
        </w:rPr>
        <w:t xml:space="preserve"> (glej poglavje </w:t>
      </w:r>
      <w:r w:rsidR="001C3983" w:rsidRPr="00FF207E">
        <w:rPr>
          <w:rFonts w:cs="Arial"/>
          <w:szCs w:val="22"/>
          <w:lang w:val="sl-SI"/>
        </w:rPr>
        <w:fldChar w:fldCharType="begin"/>
      </w:r>
      <w:r w:rsidR="001C3983" w:rsidRPr="00FF207E">
        <w:rPr>
          <w:rFonts w:cs="Arial"/>
          <w:szCs w:val="22"/>
          <w:lang w:val="sl-SI"/>
        </w:rPr>
        <w:instrText xml:space="preserve"> REF _Ref135643131 \r \h </w:instrText>
      </w:r>
      <w:r w:rsidR="001E304B" w:rsidRPr="00FF207E">
        <w:rPr>
          <w:rFonts w:cs="Arial"/>
          <w:szCs w:val="22"/>
          <w:lang w:val="sl-SI"/>
        </w:rPr>
        <w:instrText xml:space="preserve"> \* MERGEFORMAT </w:instrText>
      </w:r>
      <w:r w:rsidR="001C3983" w:rsidRPr="00FF207E">
        <w:rPr>
          <w:rFonts w:cs="Arial"/>
          <w:szCs w:val="22"/>
          <w:lang w:val="sl-SI"/>
        </w:rPr>
      </w:r>
      <w:r w:rsidR="001C3983" w:rsidRPr="00FF207E">
        <w:rPr>
          <w:rFonts w:cs="Arial"/>
          <w:szCs w:val="22"/>
          <w:lang w:val="sl-SI"/>
        </w:rPr>
        <w:fldChar w:fldCharType="separate"/>
      </w:r>
      <w:r w:rsidR="00F37FD1" w:rsidRPr="00FF207E">
        <w:rPr>
          <w:rFonts w:cs="Arial"/>
          <w:szCs w:val="22"/>
          <w:lang w:val="sl-SI"/>
        </w:rPr>
        <w:t>3.2</w:t>
      </w:r>
      <w:r w:rsidR="001C3983" w:rsidRPr="00FF207E">
        <w:rPr>
          <w:rFonts w:cs="Arial"/>
          <w:szCs w:val="22"/>
          <w:lang w:val="sl-SI"/>
        </w:rPr>
        <w:fldChar w:fldCharType="end"/>
      </w:r>
      <w:r w:rsidR="001C3983" w:rsidRPr="00FF207E">
        <w:rPr>
          <w:rFonts w:cs="Arial"/>
          <w:szCs w:val="22"/>
          <w:lang w:val="sl-SI"/>
        </w:rPr>
        <w:t xml:space="preserve">) in </w:t>
      </w:r>
      <w:r w:rsidR="000E749D" w:rsidRPr="00FF207E">
        <w:rPr>
          <w:rFonts w:cs="Arial"/>
          <w:i/>
          <w:szCs w:val="22"/>
          <w:lang w:val="sl-SI"/>
        </w:rPr>
        <w:t>izvajanju</w:t>
      </w:r>
      <w:r w:rsidR="001C3983" w:rsidRPr="00FF207E">
        <w:rPr>
          <w:rFonts w:cs="Arial"/>
          <w:i/>
          <w:szCs w:val="22"/>
          <w:lang w:val="sl-SI"/>
        </w:rPr>
        <w:t xml:space="preserve"> podporn</w:t>
      </w:r>
      <w:r w:rsidR="000E749D" w:rsidRPr="00FF207E">
        <w:rPr>
          <w:rFonts w:cs="Arial"/>
          <w:i/>
          <w:szCs w:val="22"/>
          <w:lang w:val="sl-SI"/>
        </w:rPr>
        <w:t>ih</w:t>
      </w:r>
      <w:r w:rsidR="001C3983" w:rsidRPr="00FF207E">
        <w:rPr>
          <w:rFonts w:cs="Arial"/>
          <w:i/>
          <w:szCs w:val="22"/>
          <w:lang w:val="sl-SI"/>
        </w:rPr>
        <w:t xml:space="preserve"> ukrep</w:t>
      </w:r>
      <w:r w:rsidR="000E749D" w:rsidRPr="00FF207E">
        <w:rPr>
          <w:rFonts w:cs="Arial"/>
          <w:i/>
          <w:szCs w:val="22"/>
          <w:lang w:val="sl-SI"/>
        </w:rPr>
        <w:t>ov</w:t>
      </w:r>
      <w:r w:rsidR="001C3983" w:rsidRPr="00FF207E">
        <w:rPr>
          <w:rFonts w:cs="Arial"/>
          <w:szCs w:val="22"/>
          <w:lang w:val="sl-SI"/>
        </w:rPr>
        <w:t>, s katerimi bodo energetsko revnim vedno na voljo prave in aktualne informacije</w:t>
      </w:r>
      <w:r w:rsidR="000E749D" w:rsidRPr="00FF207E">
        <w:rPr>
          <w:rFonts w:cs="Arial"/>
          <w:szCs w:val="22"/>
          <w:lang w:val="sl-SI"/>
        </w:rPr>
        <w:t xml:space="preserve"> ter celovita podpora</w:t>
      </w:r>
      <w:r w:rsidR="00C4325C" w:rsidRPr="00FF207E">
        <w:rPr>
          <w:rFonts w:cs="Arial"/>
          <w:szCs w:val="22"/>
          <w:lang w:val="sl-SI"/>
        </w:rPr>
        <w:t xml:space="preserve"> pri pridobivanju spodbud in izvajanju ukrepov.</w:t>
      </w:r>
      <w:r w:rsidR="000E749D" w:rsidRPr="00FF207E">
        <w:rPr>
          <w:rFonts w:cs="Arial"/>
          <w:szCs w:val="22"/>
          <w:lang w:val="sl-SI"/>
        </w:rPr>
        <w:t xml:space="preserve"> </w:t>
      </w:r>
      <w:r w:rsidR="00985168" w:rsidRPr="00FF207E">
        <w:rPr>
          <w:rFonts w:cs="Arial"/>
          <w:szCs w:val="22"/>
          <w:lang w:val="sl-SI"/>
        </w:rPr>
        <w:t xml:space="preserve">Podporni </w:t>
      </w:r>
      <w:r w:rsidR="00DD5F19" w:rsidRPr="00FF207E">
        <w:rPr>
          <w:rFonts w:cs="Arial"/>
          <w:szCs w:val="22"/>
          <w:lang w:val="sl-SI"/>
        </w:rPr>
        <w:t>u</w:t>
      </w:r>
      <w:r w:rsidR="001C3983" w:rsidRPr="00FF207E">
        <w:rPr>
          <w:rFonts w:cs="Arial"/>
          <w:szCs w:val="22"/>
          <w:lang w:val="sl-SI"/>
        </w:rPr>
        <w:t xml:space="preserve">krepi, ki </w:t>
      </w:r>
      <w:r w:rsidR="00985168" w:rsidRPr="00FF207E">
        <w:rPr>
          <w:rFonts w:cs="Arial"/>
          <w:szCs w:val="22"/>
          <w:lang w:val="sl-SI"/>
        </w:rPr>
        <w:t>so sestavni del</w:t>
      </w:r>
      <w:r w:rsidR="001C3983" w:rsidRPr="00FF207E">
        <w:rPr>
          <w:rFonts w:cs="Arial"/>
          <w:szCs w:val="22"/>
          <w:lang w:val="sl-SI"/>
        </w:rPr>
        <w:t xml:space="preserve"> </w:t>
      </w:r>
      <w:r w:rsidR="001C3983" w:rsidRPr="00FF207E">
        <w:rPr>
          <w:lang w:val="sl-SI"/>
        </w:rPr>
        <w:t>sheme za zmanjševanje energetske revščine</w:t>
      </w:r>
      <w:r w:rsidR="00985168" w:rsidRPr="00FF207E">
        <w:rPr>
          <w:lang w:val="sl-SI"/>
        </w:rPr>
        <w:t>,</w:t>
      </w:r>
      <w:r w:rsidR="001C3983" w:rsidRPr="00FF207E">
        <w:rPr>
          <w:lang w:val="sl-SI"/>
        </w:rPr>
        <w:t xml:space="preserve"> so pregledno predstavljeni v tabeli (</w:t>
      </w:r>
      <w:r w:rsidR="00A50AD4" w:rsidRPr="00FF207E">
        <w:rPr>
          <w:lang w:val="sl-SI"/>
        </w:rPr>
        <w:fldChar w:fldCharType="begin"/>
      </w:r>
      <w:r w:rsidR="00A50AD4" w:rsidRPr="00FF207E">
        <w:rPr>
          <w:lang w:val="sl-SI"/>
        </w:rPr>
        <w:instrText xml:space="preserve"> REF _Ref130900696 \h </w:instrText>
      </w:r>
      <w:r w:rsidR="001E304B" w:rsidRPr="00FF207E">
        <w:rPr>
          <w:lang w:val="sl-SI"/>
        </w:rPr>
        <w:instrText xml:space="preserve"> \* MERGEFORMAT </w:instrText>
      </w:r>
      <w:r w:rsidR="00A50AD4" w:rsidRPr="00FF207E">
        <w:rPr>
          <w:lang w:val="sl-SI"/>
        </w:rPr>
      </w:r>
      <w:r w:rsidR="00A50AD4" w:rsidRPr="00FF207E">
        <w:rPr>
          <w:lang w:val="sl-SI"/>
        </w:rPr>
        <w:fldChar w:fldCharType="separate"/>
      </w:r>
      <w:r w:rsidR="00086058" w:rsidRPr="00FF207E">
        <w:rPr>
          <w:lang w:val="sl-SI"/>
        </w:rPr>
        <w:t>t</w:t>
      </w:r>
      <w:r w:rsidR="00F37FD1" w:rsidRPr="00FF207E">
        <w:rPr>
          <w:lang w:val="sl-SI"/>
        </w:rPr>
        <w:t>abela 3</w:t>
      </w:r>
      <w:r w:rsidR="00A50AD4" w:rsidRPr="00FF207E">
        <w:rPr>
          <w:lang w:val="sl-SI"/>
        </w:rPr>
        <w:fldChar w:fldCharType="end"/>
      </w:r>
      <w:r w:rsidR="001C3983" w:rsidRPr="00FF207E">
        <w:rPr>
          <w:lang w:val="sl-SI"/>
        </w:rPr>
        <w:t>) in nadaljevanju tega poglavja.</w:t>
      </w:r>
    </w:p>
    <w:p w14:paraId="01A116D9" w14:textId="56BC5B22" w:rsidR="007B5E07" w:rsidRPr="00FF207E" w:rsidRDefault="007B5E07" w:rsidP="001E304B">
      <w:pPr>
        <w:pStyle w:val="Naslov2"/>
        <w:jc w:val="both"/>
        <w:rPr>
          <w:lang w:val="sl-SI"/>
        </w:rPr>
      </w:pPr>
      <w:bookmarkStart w:id="63" w:name="_Toc151148791"/>
      <w:r w:rsidRPr="00FF207E">
        <w:rPr>
          <w:lang w:val="sl-SI"/>
        </w:rPr>
        <w:t xml:space="preserve">Investicijske spodbude za ukrepe URE in </w:t>
      </w:r>
      <w:r w:rsidR="00026105" w:rsidRPr="00FF207E">
        <w:rPr>
          <w:lang w:val="sl-SI"/>
        </w:rPr>
        <w:t xml:space="preserve">rabe </w:t>
      </w:r>
      <w:r w:rsidRPr="00FF207E">
        <w:rPr>
          <w:lang w:val="sl-SI"/>
        </w:rPr>
        <w:t>OVE za energetsko revne</w:t>
      </w:r>
      <w:bookmarkEnd w:id="63"/>
    </w:p>
    <w:tbl>
      <w:tblPr>
        <w:tblStyle w:val="Tabelamrea"/>
        <w:tblW w:w="0" w:type="auto"/>
        <w:tblLook w:val="04A0" w:firstRow="1" w:lastRow="0" w:firstColumn="1" w:lastColumn="0" w:noHBand="0" w:noVBand="1"/>
      </w:tblPr>
      <w:tblGrid>
        <w:gridCol w:w="981"/>
        <w:gridCol w:w="2320"/>
        <w:gridCol w:w="5771"/>
      </w:tblGrid>
      <w:tr w:rsidR="00D75B8E" w:rsidRPr="00FF207E" w14:paraId="31402ABC" w14:textId="77777777" w:rsidTr="00C03429">
        <w:tc>
          <w:tcPr>
            <w:tcW w:w="3301" w:type="dxa"/>
            <w:gridSpan w:val="2"/>
            <w:tcBorders>
              <w:top w:val="nil"/>
              <w:left w:val="nil"/>
              <w:bottom w:val="single" w:sz="4" w:space="0" w:color="548DD4" w:themeColor="text2" w:themeTint="99"/>
              <w:right w:val="single" w:sz="4" w:space="0" w:color="548DD4" w:themeColor="text2" w:themeTint="99"/>
            </w:tcBorders>
            <w:shd w:val="clear" w:color="auto" w:fill="548DD4" w:themeFill="text2" w:themeFillTint="99"/>
            <w:vAlign w:val="center"/>
          </w:tcPr>
          <w:p w14:paraId="53BC363D" w14:textId="77777777" w:rsidR="00D75B8E" w:rsidRPr="00FF207E" w:rsidRDefault="00D75B8E" w:rsidP="001E304B">
            <w:pPr>
              <w:spacing w:before="40" w:after="40"/>
              <w:jc w:val="both"/>
              <w:rPr>
                <w:rFonts w:cs="Arial"/>
                <w:b/>
                <w:color w:val="FFFFFF" w:themeColor="background1"/>
                <w:lang w:val="sl-SI"/>
              </w:rPr>
            </w:pPr>
            <w:r w:rsidRPr="00FF207E">
              <w:rPr>
                <w:rFonts w:cs="Arial"/>
                <w:b/>
                <w:color w:val="FFFFFF" w:themeColor="background1"/>
                <w:lang w:val="sl-SI"/>
              </w:rPr>
              <w:t>ER_Shema-01</w:t>
            </w:r>
          </w:p>
        </w:tc>
        <w:tc>
          <w:tcPr>
            <w:tcW w:w="5771" w:type="dxa"/>
            <w:tcBorders>
              <w:top w:val="nil"/>
              <w:left w:val="single" w:sz="4" w:space="0" w:color="548DD4" w:themeColor="text2" w:themeTint="99"/>
              <w:bottom w:val="single" w:sz="4" w:space="0" w:color="548DD4" w:themeColor="text2" w:themeTint="99"/>
              <w:right w:val="nil"/>
            </w:tcBorders>
            <w:shd w:val="clear" w:color="auto" w:fill="548DD4" w:themeFill="text2" w:themeFillTint="99"/>
            <w:vAlign w:val="center"/>
          </w:tcPr>
          <w:p w14:paraId="7679946E" w14:textId="7C69EF43" w:rsidR="00D75B8E" w:rsidRPr="00FF207E" w:rsidRDefault="00D75B8E" w:rsidP="001E304B">
            <w:pPr>
              <w:pStyle w:val="Naslov5"/>
              <w:spacing w:line="260" w:lineRule="atLeast"/>
              <w:jc w:val="both"/>
            </w:pPr>
            <w:bookmarkStart w:id="64" w:name="_Investicijske_spodbude_za"/>
            <w:bookmarkEnd w:id="64"/>
            <w:r w:rsidRPr="00FF207E">
              <w:t xml:space="preserve">Investicijske spodbude za ukrepe URE in </w:t>
            </w:r>
            <w:r w:rsidR="00026105" w:rsidRPr="00FF207E">
              <w:t xml:space="preserve">rabe </w:t>
            </w:r>
            <w:r w:rsidRPr="00FF207E">
              <w:t>OVE za energetsko revne</w:t>
            </w:r>
          </w:p>
        </w:tc>
      </w:tr>
      <w:tr w:rsidR="00D75B8E" w:rsidRPr="00FF207E" w14:paraId="6F5482FD" w14:textId="77777777" w:rsidTr="00C03429">
        <w:tc>
          <w:tcPr>
            <w:tcW w:w="907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05B441FF" w14:textId="77777777" w:rsidR="00D75B8E" w:rsidRPr="00FF207E" w:rsidRDefault="00D75B8E" w:rsidP="001E304B">
            <w:pPr>
              <w:spacing w:before="60" w:after="60" w:line="240" w:lineRule="atLeast"/>
              <w:jc w:val="both"/>
              <w:rPr>
                <w:rFonts w:cs="Arial"/>
                <w:b/>
                <w:szCs w:val="22"/>
                <w:lang w:val="sl-SI"/>
              </w:rPr>
            </w:pPr>
            <w:r w:rsidRPr="00FF207E">
              <w:rPr>
                <w:rFonts w:cs="Arial"/>
                <w:b/>
                <w:szCs w:val="22"/>
                <w:lang w:val="sl-SI"/>
              </w:rPr>
              <w:t>Osnovne informacije</w:t>
            </w:r>
          </w:p>
        </w:tc>
      </w:tr>
      <w:tr w:rsidR="00D75B8E" w:rsidRPr="00FF207E" w14:paraId="0FE72BE3" w14:textId="77777777" w:rsidTr="00C03429">
        <w:tc>
          <w:tcPr>
            <w:tcW w:w="3301" w:type="dxa"/>
            <w:gridSpan w:val="2"/>
            <w:tcBorders>
              <w:top w:val="nil"/>
              <w:left w:val="nil"/>
              <w:bottom w:val="single" w:sz="4" w:space="0" w:color="548DD4" w:themeColor="text2" w:themeTint="99"/>
              <w:right w:val="single" w:sz="4" w:space="0" w:color="548DD4" w:themeColor="text2" w:themeTint="99"/>
            </w:tcBorders>
          </w:tcPr>
          <w:p w14:paraId="18321C53" w14:textId="77777777" w:rsidR="00D75B8E" w:rsidRPr="00FF207E" w:rsidRDefault="00D75B8E" w:rsidP="001E304B">
            <w:pPr>
              <w:spacing w:line="240" w:lineRule="atLeast"/>
              <w:jc w:val="both"/>
              <w:rPr>
                <w:rFonts w:cs="Arial"/>
                <w:spacing w:val="-4"/>
                <w:sz w:val="20"/>
                <w:szCs w:val="20"/>
                <w:lang w:val="sl-SI"/>
              </w:rPr>
            </w:pPr>
            <w:r w:rsidRPr="00FF207E">
              <w:rPr>
                <w:rFonts w:cs="Arial"/>
                <w:spacing w:val="-4"/>
                <w:sz w:val="20"/>
                <w:szCs w:val="20"/>
                <w:lang w:val="sl-SI"/>
              </w:rPr>
              <w:t>Odgovornost za izvedbo ukrepa</w:t>
            </w:r>
          </w:p>
        </w:tc>
        <w:tc>
          <w:tcPr>
            <w:tcW w:w="5771" w:type="dxa"/>
            <w:tcBorders>
              <w:top w:val="nil"/>
              <w:left w:val="single" w:sz="4" w:space="0" w:color="548DD4" w:themeColor="text2" w:themeTint="99"/>
              <w:bottom w:val="single" w:sz="4" w:space="0" w:color="548DD4" w:themeColor="text2" w:themeTint="99"/>
              <w:right w:val="nil"/>
            </w:tcBorders>
          </w:tcPr>
          <w:p w14:paraId="55754BBB" w14:textId="77777777" w:rsidR="00D75B8E" w:rsidRPr="00FF207E" w:rsidRDefault="00D75B8E"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D75B8E" w:rsidRPr="00FF207E" w14:paraId="1C1858F4" w14:textId="77777777" w:rsidTr="00C03429">
        <w:tc>
          <w:tcPr>
            <w:tcW w:w="3301"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328B6CF8"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Vključeni deležniki</w:t>
            </w:r>
          </w:p>
        </w:tc>
        <w:tc>
          <w:tcPr>
            <w:tcW w:w="5771"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9E04734"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MOPE</w:t>
            </w:r>
          </w:p>
        </w:tc>
      </w:tr>
      <w:tr w:rsidR="00D75B8E" w:rsidRPr="00FF207E" w14:paraId="6A7344AF" w14:textId="77777777" w:rsidTr="00C03429">
        <w:tc>
          <w:tcPr>
            <w:tcW w:w="3301"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6D1951EB"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Strateške podlage in njihova veljavnost</w:t>
            </w:r>
          </w:p>
        </w:tc>
        <w:tc>
          <w:tcPr>
            <w:tcW w:w="5771"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7F6896EF" w14:textId="297A9C42"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 xml:space="preserve">NEPN, veljavnost do </w:t>
            </w:r>
            <w:r w:rsidR="00810DBF" w:rsidRPr="00FF207E">
              <w:rPr>
                <w:rFonts w:cs="Arial"/>
                <w:sz w:val="20"/>
                <w:szCs w:val="20"/>
                <w:lang w:val="sl-SI"/>
              </w:rPr>
              <w:t xml:space="preserve">leta </w:t>
            </w:r>
            <w:r w:rsidRPr="00FF207E">
              <w:rPr>
                <w:rFonts w:cs="Arial"/>
                <w:sz w:val="20"/>
                <w:szCs w:val="20"/>
                <w:lang w:val="sl-SI"/>
              </w:rPr>
              <w:t xml:space="preserve">2030 (ukrep </w:t>
            </w:r>
            <w:r w:rsidRPr="00FF207E">
              <w:rPr>
                <w:rFonts w:cs="Arial"/>
                <w:i/>
                <w:sz w:val="20"/>
                <w:szCs w:val="20"/>
                <w:lang w:val="sl-SI"/>
              </w:rPr>
              <w:t>Shema pomoči za učinkovito rabo energije v gospodinjstvih za ranljive skupine prebivalstva</w:t>
            </w:r>
            <w:r w:rsidRPr="00FF207E">
              <w:rPr>
                <w:rFonts w:cs="Arial"/>
                <w:sz w:val="20"/>
                <w:szCs w:val="20"/>
                <w:lang w:val="sl-SI"/>
              </w:rPr>
              <w:t>)</w:t>
            </w:r>
            <w:r w:rsidRPr="00FF207E">
              <w:rPr>
                <w:rFonts w:cs="Arial"/>
                <w:sz w:val="20"/>
                <w:szCs w:val="20"/>
                <w:lang w:val="sl-SI"/>
              </w:rPr>
              <w:br/>
              <w:t xml:space="preserve">DSEPS 2050, veljavnost do </w:t>
            </w:r>
            <w:r w:rsidR="00810DBF" w:rsidRPr="00FF207E">
              <w:rPr>
                <w:rFonts w:cs="Arial"/>
                <w:sz w:val="20"/>
                <w:szCs w:val="20"/>
                <w:lang w:val="sl-SI"/>
              </w:rPr>
              <w:t xml:space="preserve">leta </w:t>
            </w:r>
            <w:r w:rsidRPr="00FF207E">
              <w:rPr>
                <w:rFonts w:cs="Arial"/>
                <w:sz w:val="20"/>
                <w:szCs w:val="20"/>
                <w:lang w:val="sl-SI"/>
              </w:rPr>
              <w:t xml:space="preserve">2030 (ukrep </w:t>
            </w:r>
            <w:r w:rsidRPr="00FF207E">
              <w:rPr>
                <w:rFonts w:cs="Arial"/>
                <w:i/>
                <w:sz w:val="20"/>
                <w:szCs w:val="20"/>
                <w:lang w:val="sl-SI"/>
              </w:rPr>
              <w:t>G-1</w:t>
            </w:r>
            <w:r w:rsidRPr="00FF207E">
              <w:rPr>
                <w:rFonts w:cs="Arial"/>
                <w:sz w:val="20"/>
                <w:szCs w:val="20"/>
                <w:lang w:val="sl-SI"/>
              </w:rPr>
              <w:t>)</w:t>
            </w:r>
          </w:p>
        </w:tc>
      </w:tr>
      <w:tr w:rsidR="00D75B8E" w:rsidRPr="00FF207E" w14:paraId="1E136CA6" w14:textId="77777777" w:rsidTr="00C03429">
        <w:tc>
          <w:tcPr>
            <w:tcW w:w="3301"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631EE323"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Veljavnost ukrepa</w:t>
            </w:r>
          </w:p>
        </w:tc>
        <w:tc>
          <w:tcPr>
            <w:tcW w:w="5771"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32FC8F55" w14:textId="0CA0D19D"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2030</w:t>
            </w:r>
          </w:p>
        </w:tc>
      </w:tr>
      <w:tr w:rsidR="00D75B8E" w:rsidRPr="00FF207E" w14:paraId="53251D85" w14:textId="77777777" w:rsidTr="00C03429">
        <w:tc>
          <w:tcPr>
            <w:tcW w:w="3301"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6A3BDBB1"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Vrsta ukrepa</w:t>
            </w:r>
          </w:p>
        </w:tc>
        <w:tc>
          <w:tcPr>
            <w:tcW w:w="5771"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156808C5"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ekonomski (finančne spodbude)</w:t>
            </w:r>
          </w:p>
        </w:tc>
      </w:tr>
      <w:tr w:rsidR="00D75B8E" w:rsidRPr="00FF207E" w14:paraId="1CC5BF4A" w14:textId="77777777" w:rsidTr="00C03429">
        <w:tc>
          <w:tcPr>
            <w:tcW w:w="3301"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1EA5ABF"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Pričakovani učinki ukrepa</w:t>
            </w:r>
          </w:p>
        </w:tc>
        <w:tc>
          <w:tcPr>
            <w:tcW w:w="5771"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6A82CA7" w14:textId="4455ADF3" w:rsidR="00D75B8E" w:rsidRPr="00FF207E" w:rsidRDefault="00810DBF" w:rsidP="00067DBF">
            <w:pPr>
              <w:spacing w:line="240" w:lineRule="atLeast"/>
              <w:jc w:val="both"/>
              <w:rPr>
                <w:rFonts w:cs="Arial"/>
                <w:sz w:val="20"/>
                <w:szCs w:val="20"/>
                <w:lang w:val="sl-SI"/>
              </w:rPr>
            </w:pPr>
            <w:r w:rsidRPr="00FF207E">
              <w:rPr>
                <w:rFonts w:cs="Arial"/>
                <w:sz w:val="20"/>
                <w:szCs w:val="20"/>
                <w:lang w:val="sl-SI"/>
              </w:rPr>
              <w:t>z</w:t>
            </w:r>
            <w:r w:rsidR="00D75B8E" w:rsidRPr="00FF207E">
              <w:rPr>
                <w:rFonts w:cs="Arial"/>
                <w:sz w:val="20"/>
                <w:szCs w:val="20"/>
                <w:lang w:val="sl-SI"/>
              </w:rPr>
              <w:t>agotovitev in učinkovito dodeljevanje sredstev za energetsko revne</w:t>
            </w:r>
            <w:r w:rsidR="00156946" w:rsidRPr="00FF207E">
              <w:rPr>
                <w:rFonts w:cs="Arial"/>
                <w:sz w:val="20"/>
                <w:szCs w:val="20"/>
                <w:lang w:val="sl-SI"/>
              </w:rPr>
              <w:t xml:space="preserve"> </w:t>
            </w:r>
            <w:r w:rsidR="00156946" w:rsidRPr="00FF207E">
              <w:rPr>
                <w:rFonts w:cs="Arial"/>
                <w:sz w:val="20"/>
                <w:szCs w:val="20"/>
                <w:lang w:val="sl-SI"/>
              </w:rPr>
              <w:t>in za ranljive, glede na njihove finančne zmožnosti</w:t>
            </w:r>
            <w:r w:rsidR="00D75B8E" w:rsidRPr="00FF207E">
              <w:rPr>
                <w:rFonts w:cs="Arial"/>
                <w:sz w:val="20"/>
                <w:szCs w:val="20"/>
                <w:lang w:val="sl-SI"/>
              </w:rPr>
              <w:t xml:space="preserve">, razvoj širitve </w:t>
            </w:r>
            <w:r w:rsidR="00067DBF" w:rsidRPr="00FF207E">
              <w:rPr>
                <w:rFonts w:cs="Arial"/>
                <w:sz w:val="20"/>
                <w:szCs w:val="20"/>
                <w:lang w:val="sl-SI"/>
              </w:rPr>
              <w:t xml:space="preserve">zbirk </w:t>
            </w:r>
            <w:r w:rsidR="00D75B8E" w:rsidRPr="00FF207E">
              <w:rPr>
                <w:rFonts w:cs="Arial"/>
                <w:sz w:val="20"/>
                <w:szCs w:val="20"/>
                <w:lang w:val="sl-SI"/>
              </w:rPr>
              <w:t>upravičence</w:t>
            </w:r>
            <w:r w:rsidR="00067DBF" w:rsidRPr="00FF207E">
              <w:rPr>
                <w:rFonts w:cs="Arial"/>
                <w:sz w:val="20"/>
                <w:szCs w:val="20"/>
                <w:lang w:val="sl-SI"/>
              </w:rPr>
              <w:t>v</w:t>
            </w:r>
            <w:r w:rsidR="00D75B8E" w:rsidRPr="00FF207E">
              <w:rPr>
                <w:rFonts w:cs="Arial"/>
                <w:sz w:val="20"/>
                <w:szCs w:val="20"/>
                <w:lang w:val="sl-SI"/>
              </w:rPr>
              <w:t xml:space="preserve"> do sredstev</w:t>
            </w:r>
          </w:p>
        </w:tc>
      </w:tr>
      <w:tr w:rsidR="00D75B8E" w:rsidRPr="00FF207E" w14:paraId="643C74B3" w14:textId="77777777" w:rsidTr="00C03429">
        <w:tc>
          <w:tcPr>
            <w:tcW w:w="3301"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69482B55"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Status ukrepa</w:t>
            </w:r>
          </w:p>
        </w:tc>
        <w:tc>
          <w:tcPr>
            <w:tcW w:w="5771"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10B35797" w14:textId="64199348" w:rsidR="00D75B8E" w:rsidRPr="00FF207E" w:rsidRDefault="00736A5E" w:rsidP="001E304B">
            <w:pPr>
              <w:spacing w:line="240" w:lineRule="atLeast"/>
              <w:jc w:val="both"/>
              <w:rPr>
                <w:rFonts w:cs="Arial"/>
                <w:sz w:val="20"/>
                <w:szCs w:val="20"/>
                <w:lang w:val="sl-SI"/>
              </w:rPr>
            </w:pPr>
            <w:r w:rsidRPr="00FF207E">
              <w:rPr>
                <w:rFonts w:cs="Arial"/>
                <w:sz w:val="20"/>
                <w:szCs w:val="20"/>
                <w:lang w:val="sl-SI"/>
              </w:rPr>
              <w:t xml:space="preserve">Veljavni </w:t>
            </w:r>
            <w:r w:rsidR="00D75B8E" w:rsidRPr="00FF207E">
              <w:rPr>
                <w:rFonts w:cs="Arial"/>
                <w:sz w:val="20"/>
                <w:szCs w:val="20"/>
                <w:lang w:val="sl-SI"/>
              </w:rPr>
              <w:t xml:space="preserve">ukrepi z nadgradnjo. </w:t>
            </w:r>
            <w:proofErr w:type="spellStart"/>
            <w:r w:rsidR="00D75B8E" w:rsidRPr="00FF207E">
              <w:rPr>
                <w:rFonts w:cs="Arial"/>
                <w:sz w:val="20"/>
                <w:szCs w:val="20"/>
                <w:lang w:val="sl-SI"/>
              </w:rPr>
              <w:t>Eko</w:t>
            </w:r>
            <w:proofErr w:type="spellEnd"/>
            <w:r w:rsidR="00D75B8E" w:rsidRPr="00FF207E">
              <w:rPr>
                <w:rFonts w:cs="Arial"/>
                <w:sz w:val="20"/>
                <w:szCs w:val="20"/>
                <w:lang w:val="sl-SI"/>
              </w:rPr>
              <w:t xml:space="preserve"> sklad spodbude za izvedbo ukrepov URE in </w:t>
            </w:r>
            <w:r w:rsidR="00026105" w:rsidRPr="00FF207E">
              <w:rPr>
                <w:rFonts w:cs="Arial"/>
                <w:sz w:val="20"/>
                <w:szCs w:val="20"/>
                <w:lang w:val="sl-SI"/>
              </w:rPr>
              <w:t xml:space="preserve">rabe </w:t>
            </w:r>
            <w:r w:rsidR="00D75B8E" w:rsidRPr="00FF207E">
              <w:rPr>
                <w:rFonts w:cs="Arial"/>
                <w:sz w:val="20"/>
                <w:szCs w:val="20"/>
                <w:lang w:val="sl-SI"/>
              </w:rPr>
              <w:t>OVE že namenja tudi socialno šibkim občanom, in sicer:</w:t>
            </w:r>
          </w:p>
          <w:p w14:paraId="4B33EB0F" w14:textId="77777777" w:rsidR="00D75B8E" w:rsidRPr="00FF207E" w:rsidRDefault="00D75B8E" w:rsidP="001E304B">
            <w:pPr>
              <w:pStyle w:val="Odstavekseznama"/>
              <w:numPr>
                <w:ilvl w:val="0"/>
                <w:numId w:val="3"/>
              </w:numPr>
              <w:spacing w:line="240" w:lineRule="atLeast"/>
              <w:ind w:left="357" w:hanging="357"/>
              <w:jc w:val="both"/>
              <w:rPr>
                <w:rFonts w:cs="Arial"/>
                <w:sz w:val="20"/>
                <w:szCs w:val="20"/>
                <w:lang w:val="sl-SI"/>
              </w:rPr>
            </w:pPr>
            <w:r w:rsidRPr="00FF207E">
              <w:rPr>
                <w:rFonts w:cs="Arial"/>
                <w:sz w:val="20"/>
                <w:szCs w:val="20"/>
                <w:lang w:val="sl-SI"/>
              </w:rPr>
              <w:t>100-odstotne spodbude za zamenjavo starih kurilnih naprav z novimi kurilnimi napravami na lesno biomaso (KNLB);</w:t>
            </w:r>
          </w:p>
          <w:p w14:paraId="21CD88ED" w14:textId="77777777" w:rsidR="00D75B8E" w:rsidRPr="00FF207E" w:rsidRDefault="00D75B8E" w:rsidP="001E304B">
            <w:pPr>
              <w:pStyle w:val="Odstavekseznama"/>
              <w:numPr>
                <w:ilvl w:val="0"/>
                <w:numId w:val="3"/>
              </w:numPr>
              <w:spacing w:line="240" w:lineRule="atLeast"/>
              <w:ind w:left="357" w:hanging="357"/>
              <w:jc w:val="both"/>
              <w:rPr>
                <w:rFonts w:cs="Arial"/>
                <w:sz w:val="20"/>
                <w:szCs w:val="20"/>
                <w:lang w:val="sl-SI"/>
              </w:rPr>
            </w:pPr>
            <w:r w:rsidRPr="00FF207E">
              <w:rPr>
                <w:rFonts w:cs="Arial"/>
                <w:sz w:val="20"/>
                <w:szCs w:val="20"/>
                <w:lang w:val="sl-SI"/>
              </w:rPr>
              <w:t>100-odstotne spodbude pri prenovi večstanovanjskih stavb;</w:t>
            </w:r>
          </w:p>
          <w:p w14:paraId="650AA3D8" w14:textId="4434230C" w:rsidR="00D75B8E" w:rsidRPr="00FF207E" w:rsidRDefault="00D75B8E" w:rsidP="00BA68CB">
            <w:pPr>
              <w:pStyle w:val="Odstavekseznama"/>
              <w:numPr>
                <w:ilvl w:val="0"/>
                <w:numId w:val="3"/>
              </w:numPr>
              <w:spacing w:line="240" w:lineRule="atLeast"/>
              <w:ind w:left="357" w:hanging="357"/>
              <w:jc w:val="both"/>
              <w:rPr>
                <w:rFonts w:cs="Arial"/>
                <w:sz w:val="20"/>
                <w:szCs w:val="20"/>
                <w:lang w:val="sl-SI"/>
              </w:rPr>
            </w:pPr>
            <w:r w:rsidRPr="00FF207E">
              <w:rPr>
                <w:rFonts w:cs="Arial"/>
                <w:sz w:val="20"/>
                <w:szCs w:val="20"/>
                <w:lang w:val="sl-SI"/>
              </w:rPr>
              <w:t xml:space="preserve">100-odstotne spodbude za izvedbo ukrepov URE in </w:t>
            </w:r>
            <w:r w:rsidR="00026105" w:rsidRPr="00FF207E">
              <w:rPr>
                <w:rFonts w:cs="Arial"/>
                <w:sz w:val="20"/>
                <w:szCs w:val="20"/>
                <w:lang w:val="sl-SI"/>
              </w:rPr>
              <w:t xml:space="preserve">rabe </w:t>
            </w:r>
            <w:r w:rsidRPr="00FF207E">
              <w:rPr>
                <w:rFonts w:cs="Arial"/>
                <w:sz w:val="20"/>
                <w:szCs w:val="20"/>
                <w:lang w:val="sl-SI"/>
              </w:rPr>
              <w:t xml:space="preserve">OVE pri socialno šibkih občanih v okviru programa ZERO500; program se </w:t>
            </w:r>
            <w:r w:rsidR="009B651C" w:rsidRPr="00FF207E">
              <w:rPr>
                <w:rFonts w:cs="Arial"/>
                <w:sz w:val="20"/>
                <w:szCs w:val="20"/>
                <w:lang w:val="sl-SI"/>
              </w:rPr>
              <w:t xml:space="preserve">je </w:t>
            </w:r>
            <w:r w:rsidR="00516781" w:rsidRPr="00FF207E">
              <w:rPr>
                <w:rFonts w:cs="Arial"/>
                <w:sz w:val="20"/>
                <w:szCs w:val="20"/>
                <w:lang w:val="sl-SI"/>
              </w:rPr>
              <w:t xml:space="preserve">končal </w:t>
            </w:r>
            <w:r w:rsidR="009B651C" w:rsidRPr="00FF207E">
              <w:rPr>
                <w:rFonts w:cs="Arial"/>
                <w:sz w:val="20"/>
                <w:szCs w:val="20"/>
                <w:lang w:val="sl-SI"/>
              </w:rPr>
              <w:t>oktobra 2023</w:t>
            </w:r>
            <w:r w:rsidRPr="00FF207E">
              <w:rPr>
                <w:rFonts w:cs="Arial"/>
                <w:sz w:val="20"/>
                <w:szCs w:val="20"/>
                <w:lang w:val="sl-SI"/>
              </w:rPr>
              <w:t>.</w:t>
            </w:r>
          </w:p>
        </w:tc>
      </w:tr>
      <w:tr w:rsidR="00D75B8E" w:rsidRPr="00FF207E" w14:paraId="42340D07" w14:textId="77777777" w:rsidTr="00C03429">
        <w:tc>
          <w:tcPr>
            <w:tcW w:w="907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7E55F20E" w14:textId="77777777" w:rsidR="00D75B8E" w:rsidRPr="00FF207E" w:rsidRDefault="00D75B8E" w:rsidP="001E304B">
            <w:pPr>
              <w:spacing w:before="60" w:after="60" w:line="240" w:lineRule="atLeast"/>
              <w:jc w:val="both"/>
              <w:rPr>
                <w:rFonts w:cs="Arial"/>
                <w:b/>
                <w:lang w:val="sl-SI"/>
              </w:rPr>
            </w:pPr>
            <w:r w:rsidRPr="00FF207E">
              <w:rPr>
                <w:rFonts w:cs="Arial"/>
                <w:b/>
                <w:lang w:val="sl-SI"/>
              </w:rPr>
              <w:t>Dolgoročna vsebina ukrepa</w:t>
            </w:r>
          </w:p>
        </w:tc>
      </w:tr>
      <w:tr w:rsidR="00D75B8E" w:rsidRPr="00FF207E" w14:paraId="4F9A98B3" w14:textId="77777777" w:rsidTr="00C03429">
        <w:tc>
          <w:tcPr>
            <w:tcW w:w="9072" w:type="dxa"/>
            <w:gridSpan w:val="3"/>
            <w:tcBorders>
              <w:top w:val="single" w:sz="4" w:space="0" w:color="548DD4" w:themeColor="text2" w:themeTint="99"/>
              <w:left w:val="nil"/>
              <w:bottom w:val="single" w:sz="4" w:space="0" w:color="548DD4" w:themeColor="text2" w:themeTint="99"/>
              <w:right w:val="nil"/>
            </w:tcBorders>
          </w:tcPr>
          <w:p w14:paraId="61E4AED1"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V okviru ukrepa je treba dolgoročno:</w:t>
            </w:r>
          </w:p>
          <w:p w14:paraId="1D1369A2" w14:textId="2A53957D" w:rsidR="00D75B8E" w:rsidRPr="00FF207E" w:rsidRDefault="00D75B8E" w:rsidP="001E304B">
            <w:pPr>
              <w:pStyle w:val="Odstavekseznama"/>
              <w:numPr>
                <w:ilvl w:val="0"/>
                <w:numId w:val="9"/>
              </w:numPr>
              <w:spacing w:line="240" w:lineRule="atLeast"/>
              <w:ind w:left="357" w:hanging="357"/>
              <w:jc w:val="both"/>
              <w:rPr>
                <w:rFonts w:cs="Arial"/>
                <w:sz w:val="20"/>
                <w:szCs w:val="20"/>
                <w:lang w:val="sl-SI"/>
              </w:rPr>
            </w:pPr>
            <w:r w:rsidRPr="00FF207E">
              <w:rPr>
                <w:rFonts w:cs="Arial"/>
                <w:b/>
                <w:sz w:val="20"/>
                <w:szCs w:val="20"/>
                <w:lang w:val="sl-SI"/>
              </w:rPr>
              <w:t>zagotoviti sredstva za stalno (sistemsko) financiranje</w:t>
            </w:r>
            <w:r w:rsidRPr="00FF207E">
              <w:rPr>
                <w:rFonts w:cs="Arial"/>
                <w:sz w:val="20"/>
                <w:szCs w:val="20"/>
                <w:lang w:val="sl-SI"/>
              </w:rPr>
              <w:t xml:space="preserve"> spodbud, lahko s kombinacijo različnih virov (Sklad za podnebne spremembe, proračun, </w:t>
            </w:r>
            <w:r w:rsidR="00B44576" w:rsidRPr="00FF207E">
              <w:rPr>
                <w:rFonts w:cs="Arial"/>
                <w:sz w:val="20"/>
                <w:szCs w:val="20"/>
                <w:lang w:val="sl-SI"/>
              </w:rPr>
              <w:t xml:space="preserve">Evropski </w:t>
            </w:r>
            <w:r w:rsidRPr="00FF207E">
              <w:rPr>
                <w:rFonts w:cs="Arial"/>
                <w:sz w:val="20"/>
                <w:szCs w:val="20"/>
                <w:lang w:val="sl-SI"/>
              </w:rPr>
              <w:t>sklad</w:t>
            </w:r>
            <w:r w:rsidR="00B44576" w:rsidRPr="00FF207E">
              <w:rPr>
                <w:rFonts w:cs="Arial"/>
                <w:sz w:val="20"/>
                <w:szCs w:val="20"/>
                <w:lang w:val="sl-SI"/>
              </w:rPr>
              <w:t xml:space="preserve"> za regionalni razvoj</w:t>
            </w:r>
            <w:r w:rsidRPr="00FF207E">
              <w:rPr>
                <w:rFonts w:cs="Arial"/>
                <w:sz w:val="20"/>
                <w:szCs w:val="20"/>
                <w:lang w:val="sl-SI"/>
              </w:rPr>
              <w:t xml:space="preserve">, </w:t>
            </w:r>
            <w:r w:rsidR="00357141" w:rsidRPr="00FF207E">
              <w:rPr>
                <w:rFonts w:cs="Arial"/>
                <w:sz w:val="20"/>
                <w:szCs w:val="20"/>
                <w:lang w:val="sl-SI"/>
              </w:rPr>
              <w:t xml:space="preserve">Socialni sklad za podnebje </w:t>
            </w:r>
            <w:r w:rsidRPr="00FF207E">
              <w:rPr>
                <w:rFonts w:cs="Arial"/>
                <w:sz w:val="20"/>
                <w:szCs w:val="20"/>
                <w:lang w:val="sl-SI"/>
              </w:rPr>
              <w:t>…);</w:t>
            </w:r>
          </w:p>
          <w:p w14:paraId="0CC8404D" w14:textId="445B38FE" w:rsidR="00D75B8E" w:rsidRPr="00FF207E" w:rsidRDefault="00D75B8E" w:rsidP="001E304B">
            <w:pPr>
              <w:pStyle w:val="Odstavekseznama"/>
              <w:numPr>
                <w:ilvl w:val="0"/>
                <w:numId w:val="9"/>
              </w:numPr>
              <w:spacing w:line="240" w:lineRule="atLeast"/>
              <w:ind w:left="357" w:hanging="357"/>
              <w:jc w:val="both"/>
              <w:rPr>
                <w:rFonts w:cs="Arial"/>
                <w:sz w:val="20"/>
                <w:szCs w:val="20"/>
                <w:lang w:val="sl-SI"/>
              </w:rPr>
            </w:pPr>
            <w:r w:rsidRPr="00FF207E">
              <w:rPr>
                <w:rFonts w:cs="Arial"/>
                <w:b/>
                <w:sz w:val="20"/>
                <w:szCs w:val="20"/>
                <w:lang w:val="sl-SI"/>
              </w:rPr>
              <w:t>zagotoviti dodatna sredstva za pokrivanje anomalij, dodatnih stroškov</w:t>
            </w:r>
            <w:r w:rsidRPr="00FF207E">
              <w:rPr>
                <w:rFonts w:cs="Arial"/>
                <w:sz w:val="20"/>
                <w:szCs w:val="20"/>
                <w:lang w:val="sl-SI"/>
              </w:rPr>
              <w:t xml:space="preserve"> pri spodbudah (</w:t>
            </w:r>
            <w:r w:rsidR="00B77973" w:rsidRPr="00FF207E">
              <w:rPr>
                <w:rFonts w:cs="Arial"/>
                <w:sz w:val="20"/>
                <w:szCs w:val="20"/>
                <w:lang w:val="sl-SI"/>
              </w:rPr>
              <w:t>na primer</w:t>
            </w:r>
            <w:r w:rsidRPr="00FF207E">
              <w:rPr>
                <w:rFonts w:cs="Arial"/>
                <w:sz w:val="20"/>
                <w:szCs w:val="20"/>
                <w:lang w:val="sl-SI"/>
              </w:rPr>
              <w:t xml:space="preserve"> za legalizacijo črnih gradenj, urejanje druge dokumentacije, neupravičene stroške pri izvedbi ukrepov</w:t>
            </w:r>
            <w:r w:rsidR="00DD5F19" w:rsidRPr="00FF207E">
              <w:rPr>
                <w:rFonts w:cs="Arial"/>
                <w:sz w:val="20"/>
                <w:szCs w:val="20"/>
                <w:lang w:val="sl-SI"/>
              </w:rPr>
              <w:t>, nepredvidena in dodatna dela, ki so smiselno povezana z izvedbo naložb,</w:t>
            </w:r>
            <w:r w:rsidRPr="00FF207E">
              <w:rPr>
                <w:rFonts w:cs="Arial"/>
                <w:sz w:val="20"/>
                <w:szCs w:val="20"/>
                <w:lang w:val="sl-SI"/>
              </w:rPr>
              <w:t xml:space="preserve"> </w:t>
            </w:r>
            <w:r w:rsidR="00B77973" w:rsidRPr="00FF207E">
              <w:rPr>
                <w:rFonts w:cs="Arial"/>
                <w:sz w:val="20"/>
                <w:szCs w:val="20"/>
                <w:lang w:val="sl-SI"/>
              </w:rPr>
              <w:t>in tako dalje</w:t>
            </w:r>
            <w:r w:rsidRPr="00FF207E">
              <w:rPr>
                <w:rFonts w:cs="Arial"/>
                <w:sz w:val="20"/>
                <w:szCs w:val="20"/>
                <w:lang w:val="sl-SI"/>
              </w:rPr>
              <w:t>);</w:t>
            </w:r>
          </w:p>
          <w:p w14:paraId="79577248" w14:textId="7AA63BAA" w:rsidR="00D75B8E" w:rsidRPr="00FF207E" w:rsidRDefault="00D75B8E" w:rsidP="001E304B">
            <w:pPr>
              <w:pStyle w:val="Odstavekseznama"/>
              <w:numPr>
                <w:ilvl w:val="0"/>
                <w:numId w:val="9"/>
              </w:numPr>
              <w:spacing w:line="240" w:lineRule="atLeast"/>
              <w:ind w:left="357" w:hanging="357"/>
              <w:jc w:val="both"/>
              <w:rPr>
                <w:rFonts w:cs="Arial"/>
                <w:sz w:val="20"/>
                <w:szCs w:val="20"/>
                <w:lang w:val="sl-SI"/>
              </w:rPr>
            </w:pPr>
            <w:r w:rsidRPr="00FF207E">
              <w:rPr>
                <w:rFonts w:cs="Arial"/>
                <w:b/>
                <w:sz w:val="20"/>
                <w:szCs w:val="20"/>
                <w:lang w:val="sl-SI"/>
              </w:rPr>
              <w:t>postaviti institucionalni okvir</w:t>
            </w:r>
            <w:r w:rsidRPr="00FF207E">
              <w:rPr>
                <w:rFonts w:cs="Arial"/>
                <w:sz w:val="20"/>
                <w:szCs w:val="20"/>
                <w:lang w:val="sl-SI"/>
              </w:rPr>
              <w:t xml:space="preserve"> za vzpostavitev celovite sheme za zmanjševanje energetske revščine ter zagotoviti kadrovske, finančne in druge </w:t>
            </w:r>
            <w:r w:rsidR="00D55FFB" w:rsidRPr="00FF207E">
              <w:rPr>
                <w:rFonts w:cs="Arial"/>
                <w:sz w:val="20"/>
                <w:szCs w:val="20"/>
                <w:lang w:val="sl-SI"/>
              </w:rPr>
              <w:t xml:space="preserve">možnosti </w:t>
            </w:r>
            <w:r w:rsidRPr="00FF207E">
              <w:rPr>
                <w:rFonts w:cs="Arial"/>
                <w:sz w:val="20"/>
                <w:szCs w:val="20"/>
                <w:lang w:val="sl-SI"/>
              </w:rPr>
              <w:t xml:space="preserve">za njegovo delovanje – glej tudi ukrep </w:t>
            </w:r>
            <w:hyperlink w:anchor="_Projektna_pisarna_z" w:history="1">
              <w:r w:rsidR="008D6D7A" w:rsidRPr="00FF207E">
                <w:rPr>
                  <w:rStyle w:val="Hiperpovezava"/>
                  <w:sz w:val="20"/>
                  <w:szCs w:val="20"/>
                  <w:lang w:val="sl-SI"/>
                </w:rPr>
                <w:t>ER_Shema-02</w:t>
              </w:r>
            </w:hyperlink>
            <w:r w:rsidRPr="00FF207E">
              <w:rPr>
                <w:rFonts w:cs="Arial"/>
                <w:sz w:val="20"/>
                <w:szCs w:val="20"/>
                <w:lang w:val="sl-SI"/>
              </w:rPr>
              <w:t>;</w:t>
            </w:r>
          </w:p>
          <w:p w14:paraId="2AC829B8" w14:textId="3518DA8D" w:rsidR="00D75B8E" w:rsidRPr="00FF207E" w:rsidRDefault="000B42DC" w:rsidP="001E304B">
            <w:pPr>
              <w:pStyle w:val="Odstavekseznama"/>
              <w:numPr>
                <w:ilvl w:val="0"/>
                <w:numId w:val="9"/>
              </w:numPr>
              <w:spacing w:line="240" w:lineRule="atLeast"/>
              <w:ind w:left="357" w:hanging="357"/>
              <w:jc w:val="both"/>
              <w:rPr>
                <w:rFonts w:cs="Arial"/>
                <w:sz w:val="20"/>
                <w:szCs w:val="20"/>
                <w:lang w:val="sl-SI"/>
              </w:rPr>
            </w:pPr>
            <w:r w:rsidRPr="00FF207E">
              <w:rPr>
                <w:rFonts w:cs="Arial"/>
                <w:b/>
                <w:sz w:val="20"/>
                <w:szCs w:val="20"/>
                <w:lang w:val="sl-SI"/>
              </w:rPr>
              <w:lastRenderedPageBreak/>
              <w:t>preučiti razširitev skupin upravičencev</w:t>
            </w:r>
            <w:r w:rsidRPr="00FF207E">
              <w:rPr>
                <w:rFonts w:cs="Arial"/>
                <w:sz w:val="20"/>
                <w:szCs w:val="20"/>
                <w:lang w:val="sl-SI"/>
              </w:rPr>
              <w:t xml:space="preserve"> </w:t>
            </w:r>
            <w:r w:rsidR="00D75B8E" w:rsidRPr="00FF207E">
              <w:rPr>
                <w:rFonts w:cs="Arial"/>
                <w:sz w:val="20"/>
                <w:szCs w:val="20"/>
                <w:lang w:val="sl-SI"/>
              </w:rPr>
              <w:t>za spodbude</w:t>
            </w:r>
            <w:r w:rsidR="00156946" w:rsidRPr="00FF207E">
              <w:rPr>
                <w:rFonts w:cs="Arial"/>
                <w:sz w:val="20"/>
                <w:szCs w:val="20"/>
              </w:rPr>
              <w:t xml:space="preserve"> </w:t>
            </w:r>
            <w:r w:rsidR="00156946" w:rsidRPr="00FF207E">
              <w:rPr>
                <w:rFonts w:cs="Arial"/>
                <w:sz w:val="20"/>
                <w:szCs w:val="20"/>
              </w:rPr>
              <w:t xml:space="preserve">in dodeljevanje spodbud nižjih od 100 % (tj. postopno zniževanje višine spodbud) za upravičence nad določenim dohodkovnim cenzusom za zagotovitev pravičnega </w:t>
            </w:r>
            <w:proofErr w:type="gramStart"/>
            <w:r w:rsidR="00156946" w:rsidRPr="00FF207E">
              <w:rPr>
                <w:rFonts w:cs="Arial"/>
                <w:sz w:val="20"/>
                <w:szCs w:val="20"/>
              </w:rPr>
              <w:t>sistema</w:t>
            </w:r>
            <w:r w:rsidR="00D75B8E" w:rsidRPr="00FF207E">
              <w:rPr>
                <w:rFonts w:cs="Arial"/>
                <w:sz w:val="20"/>
                <w:szCs w:val="20"/>
                <w:lang w:val="sl-SI"/>
              </w:rPr>
              <w:t>;</w:t>
            </w:r>
            <w:proofErr w:type="gramEnd"/>
          </w:p>
          <w:p w14:paraId="5BF55188" w14:textId="18C85790" w:rsidR="00D75B8E" w:rsidRPr="00FF207E" w:rsidRDefault="00D75B8E" w:rsidP="001E304B">
            <w:pPr>
              <w:pStyle w:val="Odstavekseznama"/>
              <w:numPr>
                <w:ilvl w:val="0"/>
                <w:numId w:val="9"/>
              </w:numPr>
              <w:spacing w:line="240" w:lineRule="atLeast"/>
              <w:ind w:left="357" w:hanging="357"/>
              <w:jc w:val="both"/>
              <w:rPr>
                <w:rFonts w:cs="Arial"/>
                <w:sz w:val="20"/>
                <w:szCs w:val="20"/>
                <w:lang w:val="sl-SI"/>
              </w:rPr>
            </w:pPr>
            <w:r w:rsidRPr="00FF207E">
              <w:rPr>
                <w:rFonts w:cs="Arial"/>
                <w:b/>
                <w:sz w:val="20"/>
                <w:szCs w:val="20"/>
                <w:lang w:val="sl-SI"/>
              </w:rPr>
              <w:t>izboljšati informacijsko podporo za dodeljevanje spodbud</w:t>
            </w:r>
            <w:r w:rsidRPr="00FF207E">
              <w:rPr>
                <w:rFonts w:cs="Arial"/>
                <w:sz w:val="20"/>
                <w:szCs w:val="20"/>
                <w:lang w:val="sl-SI"/>
              </w:rPr>
              <w:t>;</w:t>
            </w:r>
          </w:p>
          <w:p w14:paraId="6D45B881" w14:textId="24B02C1E" w:rsidR="00D75B8E" w:rsidRPr="00FF207E" w:rsidRDefault="00D75B8E" w:rsidP="001E304B">
            <w:pPr>
              <w:pStyle w:val="Odstavekseznama"/>
              <w:numPr>
                <w:ilvl w:val="0"/>
                <w:numId w:val="9"/>
              </w:numPr>
              <w:spacing w:line="240" w:lineRule="atLeast"/>
              <w:ind w:left="357" w:hanging="357"/>
              <w:jc w:val="both"/>
              <w:rPr>
                <w:rFonts w:cs="Arial"/>
                <w:sz w:val="20"/>
                <w:szCs w:val="20"/>
                <w:lang w:val="sl-SI"/>
              </w:rPr>
            </w:pPr>
            <w:r w:rsidRPr="00FF207E">
              <w:rPr>
                <w:rFonts w:cs="Arial"/>
                <w:b/>
                <w:sz w:val="20"/>
                <w:szCs w:val="20"/>
                <w:lang w:val="sl-SI"/>
              </w:rPr>
              <w:t>podpreti ukrep s primernim svetovanjem in informiranjem</w:t>
            </w:r>
            <w:r w:rsidRPr="00FF207E">
              <w:rPr>
                <w:rFonts w:cs="Arial"/>
                <w:sz w:val="20"/>
                <w:szCs w:val="20"/>
                <w:lang w:val="sl-SI"/>
              </w:rPr>
              <w:t xml:space="preserve"> – glej tudi ukrepe </w:t>
            </w:r>
            <w:hyperlink w:anchor="_(Neformalna)_mreža_za" w:history="1">
              <w:hyperlink w:anchor="_Neformalna_mreža_za" w:history="1">
                <w:r w:rsidR="0049433E" w:rsidRPr="00FF207E">
                  <w:rPr>
                    <w:rStyle w:val="Hiperpovezava"/>
                    <w:rFonts w:cs="Arial"/>
                    <w:sz w:val="20"/>
                    <w:szCs w:val="20"/>
                    <w:lang w:val="sl-SI"/>
                  </w:rPr>
                  <w:t>ER_Shema-03</w:t>
                </w:r>
              </w:hyperlink>
            </w:hyperlink>
            <w:r w:rsidRPr="00FF207E">
              <w:rPr>
                <w:rFonts w:cs="Arial"/>
                <w:sz w:val="20"/>
                <w:szCs w:val="20"/>
                <w:lang w:val="sl-SI"/>
              </w:rPr>
              <w:t xml:space="preserve">, </w:t>
            </w:r>
            <w:hyperlink w:anchor="_Energetsko_svetovanje_za" w:history="1">
              <w:hyperlink w:anchor="_Energetsko_svetovanje_za" w:history="1">
                <w:r w:rsidR="0049433E" w:rsidRPr="00FF207E">
                  <w:rPr>
                    <w:rStyle w:val="Hiperpovezava"/>
                    <w:rFonts w:cs="Arial"/>
                    <w:sz w:val="20"/>
                    <w:szCs w:val="20"/>
                    <w:lang w:val="sl-SI"/>
                  </w:rPr>
                  <w:t>ER_Shema-04</w:t>
                </w:r>
              </w:hyperlink>
            </w:hyperlink>
            <w:r w:rsidRPr="00FF207E">
              <w:rPr>
                <w:rFonts w:cs="Arial"/>
                <w:sz w:val="20"/>
                <w:szCs w:val="20"/>
                <w:lang w:val="sl-SI"/>
              </w:rPr>
              <w:t xml:space="preserve">, </w:t>
            </w:r>
            <w:hyperlink w:anchor="_Informiranje_članov_mrež" w:history="1">
              <w:hyperlink w:anchor="_Informiranje_članov_neformalne" w:history="1">
                <w:r w:rsidR="0049433E" w:rsidRPr="00FF207E">
                  <w:rPr>
                    <w:rStyle w:val="Hiperpovezava"/>
                    <w:rFonts w:cs="Arial"/>
                    <w:sz w:val="20"/>
                    <w:szCs w:val="20"/>
                    <w:lang w:val="sl-SI"/>
                  </w:rPr>
                  <w:t>ER_Shema-05</w:t>
                </w:r>
              </w:hyperlink>
            </w:hyperlink>
            <w:r w:rsidRPr="00FF207E">
              <w:rPr>
                <w:rFonts w:cs="Arial"/>
                <w:sz w:val="20"/>
                <w:szCs w:val="20"/>
                <w:lang w:val="sl-SI"/>
              </w:rPr>
              <w:t xml:space="preserve"> in </w:t>
            </w:r>
            <w:hyperlink w:anchor="_Informiranje_in_ozaveščanje" w:history="1">
              <w:hyperlink w:anchor="_Informiranje_in_ozaveščanje" w:history="1">
                <w:r w:rsidR="00B660A5" w:rsidRPr="00FF207E">
                  <w:rPr>
                    <w:rStyle w:val="Hiperpovezava"/>
                    <w:rFonts w:cs="Arial"/>
                    <w:sz w:val="20"/>
                    <w:szCs w:val="20"/>
                    <w:lang w:val="sl-SI"/>
                  </w:rPr>
                  <w:t>ER_Shema-06</w:t>
                </w:r>
              </w:hyperlink>
            </w:hyperlink>
            <w:r w:rsidRPr="00FF207E">
              <w:rPr>
                <w:rFonts w:cs="Arial"/>
                <w:sz w:val="20"/>
                <w:szCs w:val="20"/>
                <w:lang w:val="sl-SI"/>
              </w:rPr>
              <w:t>;</w:t>
            </w:r>
          </w:p>
          <w:p w14:paraId="26C40E7F" w14:textId="5D573CBA" w:rsidR="00D75B8E" w:rsidRPr="00FF207E" w:rsidRDefault="00D75B8E" w:rsidP="001E304B">
            <w:pPr>
              <w:pStyle w:val="Odstavekseznama"/>
              <w:numPr>
                <w:ilvl w:val="0"/>
                <w:numId w:val="9"/>
              </w:numPr>
              <w:spacing w:line="240" w:lineRule="atLeast"/>
              <w:ind w:left="357" w:hanging="357"/>
              <w:jc w:val="both"/>
              <w:rPr>
                <w:rFonts w:cs="Arial"/>
                <w:sz w:val="20"/>
                <w:szCs w:val="20"/>
                <w:lang w:val="sl-SI"/>
              </w:rPr>
            </w:pPr>
            <w:r w:rsidRPr="00FF207E">
              <w:rPr>
                <w:rFonts w:cs="Arial"/>
                <w:b/>
                <w:sz w:val="20"/>
                <w:szCs w:val="20"/>
                <w:lang w:val="sl-SI"/>
              </w:rPr>
              <w:t xml:space="preserve">razviti ukrepe, namenjene </w:t>
            </w:r>
            <w:r w:rsidR="00736A5E" w:rsidRPr="00FF207E">
              <w:rPr>
                <w:rFonts w:cs="Arial"/>
                <w:b/>
                <w:sz w:val="20"/>
                <w:szCs w:val="20"/>
                <w:lang w:val="sl-SI"/>
              </w:rPr>
              <w:t xml:space="preserve">posebnim </w:t>
            </w:r>
            <w:r w:rsidRPr="00FF207E">
              <w:rPr>
                <w:rFonts w:cs="Arial"/>
                <w:b/>
                <w:sz w:val="20"/>
                <w:szCs w:val="20"/>
                <w:lang w:val="sl-SI"/>
              </w:rPr>
              <w:t>ciljnim skupinam</w:t>
            </w:r>
            <w:r w:rsidRPr="00FF207E">
              <w:rPr>
                <w:rFonts w:cs="Arial"/>
                <w:sz w:val="20"/>
                <w:szCs w:val="20"/>
                <w:lang w:val="sl-SI"/>
              </w:rPr>
              <w:t xml:space="preserve"> (najemniki, upokojenci</w:t>
            </w:r>
            <w:r w:rsidR="00D14CD7" w:rsidRPr="00FF207E">
              <w:rPr>
                <w:rFonts w:cs="Arial"/>
                <w:sz w:val="20"/>
                <w:szCs w:val="20"/>
                <w:lang w:val="sl-SI"/>
              </w:rPr>
              <w:t>, ženske</w:t>
            </w:r>
            <w:r w:rsidRPr="00FF207E">
              <w:rPr>
                <w:rFonts w:cs="Arial"/>
                <w:sz w:val="20"/>
                <w:szCs w:val="20"/>
                <w:lang w:val="sl-SI"/>
              </w:rPr>
              <w:t xml:space="preserve"> </w:t>
            </w:r>
            <w:r w:rsidR="00B77973" w:rsidRPr="00FF207E">
              <w:rPr>
                <w:rFonts w:cs="Arial"/>
                <w:sz w:val="20"/>
                <w:szCs w:val="20"/>
                <w:lang w:val="sl-SI"/>
              </w:rPr>
              <w:t>in tako dalje</w:t>
            </w:r>
            <w:r w:rsidRPr="00FF207E">
              <w:rPr>
                <w:rFonts w:cs="Arial"/>
                <w:sz w:val="20"/>
                <w:szCs w:val="20"/>
                <w:lang w:val="sl-SI"/>
              </w:rPr>
              <w:t>)</w:t>
            </w:r>
            <w:r w:rsidR="00067DBF" w:rsidRPr="00FF207E">
              <w:rPr>
                <w:rFonts w:cs="Arial"/>
                <w:sz w:val="20"/>
                <w:szCs w:val="20"/>
                <w:lang w:val="sl-SI"/>
              </w:rPr>
              <w:t>,</w:t>
            </w:r>
            <w:r w:rsidRPr="00FF207E">
              <w:rPr>
                <w:rFonts w:cs="Arial"/>
                <w:sz w:val="20"/>
                <w:szCs w:val="20"/>
                <w:lang w:val="sl-SI"/>
              </w:rPr>
              <w:t xml:space="preserve"> in </w:t>
            </w:r>
            <w:r w:rsidR="00067DBF" w:rsidRPr="00FF207E">
              <w:rPr>
                <w:rFonts w:cs="Arial"/>
                <w:sz w:val="20"/>
                <w:szCs w:val="20"/>
                <w:lang w:val="sl-SI"/>
              </w:rPr>
              <w:t xml:space="preserve">jih </w:t>
            </w:r>
            <w:r w:rsidRPr="00FF207E">
              <w:rPr>
                <w:rFonts w:cs="Arial"/>
                <w:sz w:val="20"/>
                <w:szCs w:val="20"/>
                <w:lang w:val="sl-SI"/>
              </w:rPr>
              <w:t xml:space="preserve">začeti </w:t>
            </w:r>
            <w:r w:rsidR="00067DBF" w:rsidRPr="00FF207E">
              <w:rPr>
                <w:rFonts w:cs="Arial"/>
                <w:sz w:val="20"/>
                <w:szCs w:val="20"/>
                <w:lang w:val="sl-SI"/>
              </w:rPr>
              <w:t>izvajati</w:t>
            </w:r>
            <w:r w:rsidRPr="00FF207E">
              <w:rPr>
                <w:rFonts w:cs="Arial"/>
                <w:sz w:val="20"/>
                <w:szCs w:val="20"/>
                <w:lang w:val="sl-SI"/>
              </w:rPr>
              <w:t>;</w:t>
            </w:r>
          </w:p>
          <w:p w14:paraId="4A6CEBB0" w14:textId="76C199A3" w:rsidR="00D75B8E" w:rsidRPr="00FF207E" w:rsidRDefault="00D75B8E" w:rsidP="001E304B">
            <w:pPr>
              <w:pStyle w:val="Odstavekseznama"/>
              <w:numPr>
                <w:ilvl w:val="0"/>
                <w:numId w:val="9"/>
              </w:numPr>
              <w:spacing w:line="240" w:lineRule="atLeast"/>
              <w:ind w:left="357" w:hanging="357"/>
              <w:jc w:val="both"/>
              <w:rPr>
                <w:rFonts w:cs="Arial"/>
                <w:sz w:val="20"/>
                <w:szCs w:val="20"/>
                <w:lang w:val="sl-SI"/>
              </w:rPr>
            </w:pPr>
            <w:r w:rsidRPr="00FF207E">
              <w:rPr>
                <w:rFonts w:cs="Arial"/>
                <w:b/>
                <w:sz w:val="20"/>
                <w:szCs w:val="20"/>
                <w:lang w:val="sl-SI"/>
              </w:rPr>
              <w:t>zagotoviti spodbude</w:t>
            </w:r>
            <w:r w:rsidRPr="00FF207E">
              <w:rPr>
                <w:rFonts w:cs="Arial"/>
                <w:sz w:val="20"/>
                <w:szCs w:val="20"/>
                <w:lang w:val="sl-SI"/>
              </w:rPr>
              <w:t xml:space="preserve"> za izvajanje ukrepov URE in rabe OVE tudi </w:t>
            </w:r>
            <w:r w:rsidRPr="00FF207E">
              <w:rPr>
                <w:rFonts w:cs="Arial"/>
                <w:b/>
                <w:sz w:val="20"/>
                <w:szCs w:val="20"/>
                <w:lang w:val="sl-SI"/>
              </w:rPr>
              <w:t>humanitarnim organizacijam</w:t>
            </w:r>
            <w:r w:rsidRPr="00FF207E">
              <w:rPr>
                <w:rFonts w:cs="Arial"/>
                <w:sz w:val="20"/>
                <w:szCs w:val="20"/>
                <w:lang w:val="sl-SI"/>
              </w:rPr>
              <w:t>.</w:t>
            </w:r>
          </w:p>
        </w:tc>
      </w:tr>
      <w:tr w:rsidR="00D75B8E" w:rsidRPr="00FF207E" w14:paraId="6A34023A" w14:textId="77777777" w:rsidTr="00C03429">
        <w:tc>
          <w:tcPr>
            <w:tcW w:w="907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78E0FC17" w14:textId="77777777" w:rsidR="00D75B8E" w:rsidRPr="00FF207E" w:rsidRDefault="00D75B8E" w:rsidP="001E304B">
            <w:pPr>
              <w:spacing w:before="60" w:after="60" w:line="240" w:lineRule="atLeast"/>
              <w:jc w:val="both"/>
              <w:rPr>
                <w:rFonts w:cs="Arial"/>
                <w:b/>
                <w:lang w:val="sl-SI"/>
              </w:rPr>
            </w:pPr>
            <w:r w:rsidRPr="00FF207E">
              <w:rPr>
                <w:rFonts w:cs="Arial"/>
                <w:b/>
                <w:lang w:val="sl-SI"/>
              </w:rPr>
              <w:lastRenderedPageBreak/>
              <w:t>Kratkoročna izvedba ukrepa v obdobju 2024–2026</w:t>
            </w:r>
          </w:p>
        </w:tc>
      </w:tr>
      <w:tr w:rsidR="00D75B8E" w:rsidRPr="00FF207E" w14:paraId="18A657F9" w14:textId="77777777" w:rsidTr="00C03429">
        <w:tc>
          <w:tcPr>
            <w:tcW w:w="3301"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68465F48"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Kratkoročni cilj</w:t>
            </w:r>
          </w:p>
        </w:tc>
        <w:tc>
          <w:tcPr>
            <w:tcW w:w="5771"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748DD5F2" w14:textId="06A4BEA1" w:rsidR="000B42DC" w:rsidRPr="00FF207E" w:rsidRDefault="000B42DC" w:rsidP="001E304B">
            <w:pPr>
              <w:spacing w:line="240" w:lineRule="atLeast"/>
              <w:jc w:val="both"/>
              <w:rPr>
                <w:rFonts w:cs="Arial"/>
                <w:sz w:val="20"/>
                <w:szCs w:val="20"/>
                <w:lang w:val="sl-SI"/>
              </w:rPr>
            </w:pPr>
            <w:r w:rsidRPr="00FF207E">
              <w:rPr>
                <w:rFonts w:cs="Arial"/>
                <w:sz w:val="20"/>
                <w:szCs w:val="20"/>
                <w:lang w:val="sl-SI"/>
              </w:rPr>
              <w:t xml:space="preserve">Nadaljevanje zagotavljanja 100-odstotnih spodbud za </w:t>
            </w:r>
            <w:r w:rsidR="00C1241D" w:rsidRPr="00FF207E">
              <w:rPr>
                <w:rFonts w:cs="Arial"/>
                <w:sz w:val="20"/>
                <w:szCs w:val="20"/>
                <w:lang w:val="sl-SI"/>
              </w:rPr>
              <w:t>energetsko revna gospodinjstva</w:t>
            </w:r>
            <w:r w:rsidR="00067DBF" w:rsidRPr="00FF207E">
              <w:rPr>
                <w:rFonts w:cs="Arial"/>
                <w:sz w:val="20"/>
                <w:szCs w:val="20"/>
                <w:lang w:val="sl-SI"/>
              </w:rPr>
              <w:t>;</w:t>
            </w:r>
            <w:r w:rsidR="00C1241D" w:rsidRPr="00FF207E">
              <w:rPr>
                <w:rFonts w:cs="Arial"/>
                <w:sz w:val="20"/>
                <w:szCs w:val="20"/>
                <w:lang w:val="sl-SI"/>
              </w:rPr>
              <w:t xml:space="preserve"> </w:t>
            </w:r>
            <w:r w:rsidR="00067DBF" w:rsidRPr="00FF207E">
              <w:rPr>
                <w:rFonts w:cs="Arial"/>
                <w:bCs/>
                <w:sz w:val="20"/>
                <w:szCs w:val="20"/>
                <w:lang w:val="sl-SI"/>
              </w:rPr>
              <w:t>n</w:t>
            </w:r>
            <w:r w:rsidR="00C1241D" w:rsidRPr="00FF207E">
              <w:rPr>
                <w:rFonts w:cs="Arial"/>
                <w:bCs/>
                <w:sz w:val="20"/>
                <w:szCs w:val="20"/>
                <w:lang w:val="sl-SI"/>
              </w:rPr>
              <w:t xml:space="preserve">adaljevanje dodeljevanja investicijskih spodbud v skladu z </w:t>
            </w:r>
            <w:r w:rsidR="0035118D" w:rsidRPr="00FF207E">
              <w:rPr>
                <w:rFonts w:cs="Arial"/>
                <w:bCs/>
                <w:sz w:val="20"/>
                <w:szCs w:val="20"/>
                <w:lang w:val="sl-SI"/>
              </w:rPr>
              <w:t>u</w:t>
            </w:r>
            <w:r w:rsidR="00C1241D" w:rsidRPr="00FF207E">
              <w:rPr>
                <w:rFonts w:cs="Arial"/>
                <w:bCs/>
                <w:sz w:val="20"/>
                <w:szCs w:val="20"/>
                <w:lang w:val="sl-SI"/>
              </w:rPr>
              <w:t>redbo</w:t>
            </w:r>
            <w:r w:rsidR="00067DBF" w:rsidRPr="00FF207E">
              <w:rPr>
                <w:rFonts w:cs="Arial"/>
                <w:bCs/>
                <w:sz w:val="20"/>
                <w:szCs w:val="20"/>
                <w:lang w:val="sl-SI"/>
              </w:rPr>
              <w:t>;</w:t>
            </w:r>
            <w:r w:rsidRPr="00FF207E">
              <w:rPr>
                <w:rFonts w:cs="Arial"/>
                <w:sz w:val="20"/>
                <w:szCs w:val="20"/>
                <w:lang w:val="sl-SI"/>
              </w:rPr>
              <w:t xml:space="preserve"> </w:t>
            </w:r>
            <w:r w:rsidR="00067DBF" w:rsidRPr="00FF207E">
              <w:rPr>
                <w:rFonts w:cs="Arial"/>
                <w:sz w:val="20"/>
                <w:szCs w:val="20"/>
                <w:lang w:val="sl-SI"/>
              </w:rPr>
              <w:t>p</w:t>
            </w:r>
            <w:r w:rsidRPr="00FF207E">
              <w:rPr>
                <w:rFonts w:cs="Arial"/>
                <w:sz w:val="20"/>
                <w:szCs w:val="20"/>
                <w:lang w:val="sl-SI"/>
              </w:rPr>
              <w:t xml:space="preserve">ovečanje letnega </w:t>
            </w:r>
            <w:r w:rsidR="00D745B4" w:rsidRPr="00FF207E">
              <w:rPr>
                <w:rFonts w:cs="Arial"/>
                <w:spacing w:val="-2"/>
                <w:sz w:val="20"/>
                <w:szCs w:val="20"/>
                <w:lang w:val="sl-SI"/>
              </w:rPr>
              <w:t>števila</w:t>
            </w:r>
            <w:r w:rsidR="00D745B4" w:rsidRPr="00FF207E">
              <w:rPr>
                <w:rFonts w:cs="Arial"/>
                <w:sz w:val="20"/>
                <w:szCs w:val="20"/>
                <w:lang w:val="sl-SI"/>
              </w:rPr>
              <w:t xml:space="preserve"> energetsko revnih gospodinjstev z </w:t>
            </w:r>
            <w:r w:rsidRPr="00FF207E">
              <w:rPr>
                <w:rFonts w:cs="Arial"/>
                <w:sz w:val="20"/>
                <w:szCs w:val="20"/>
                <w:lang w:val="sl-SI"/>
              </w:rPr>
              <w:t>dodeljeni</w:t>
            </w:r>
            <w:r w:rsidR="00D745B4" w:rsidRPr="00FF207E">
              <w:rPr>
                <w:rFonts w:cs="Arial"/>
                <w:sz w:val="20"/>
                <w:szCs w:val="20"/>
                <w:lang w:val="sl-SI"/>
              </w:rPr>
              <w:t>mi</w:t>
            </w:r>
            <w:r w:rsidRPr="00FF207E">
              <w:rPr>
                <w:rFonts w:cs="Arial"/>
                <w:sz w:val="20"/>
                <w:szCs w:val="20"/>
                <w:lang w:val="sl-SI"/>
              </w:rPr>
              <w:t xml:space="preserve"> spodbud</w:t>
            </w:r>
            <w:r w:rsidR="00D745B4" w:rsidRPr="00FF207E">
              <w:rPr>
                <w:rFonts w:cs="Arial"/>
                <w:sz w:val="20"/>
                <w:szCs w:val="20"/>
                <w:lang w:val="sl-SI"/>
              </w:rPr>
              <w:t>ami</w:t>
            </w:r>
            <w:r w:rsidRPr="00FF207E">
              <w:rPr>
                <w:rFonts w:cs="Arial"/>
                <w:sz w:val="20"/>
                <w:szCs w:val="20"/>
                <w:lang w:val="sl-SI"/>
              </w:rPr>
              <w:t xml:space="preserve"> za različne namene v obdobju 2024–2026 v skladu s cilji v poglavju </w:t>
            </w:r>
            <w:r w:rsidRPr="00FF207E">
              <w:rPr>
                <w:rFonts w:cs="Arial"/>
                <w:sz w:val="20"/>
                <w:szCs w:val="20"/>
                <w:lang w:val="sl-SI"/>
              </w:rPr>
              <w:fldChar w:fldCharType="begin"/>
            </w:r>
            <w:r w:rsidRPr="00FF207E">
              <w:rPr>
                <w:rFonts w:cs="Arial"/>
                <w:sz w:val="20"/>
                <w:szCs w:val="20"/>
                <w:lang w:val="sl-SI"/>
              </w:rPr>
              <w:instrText xml:space="preserve"> REF _Ref137574115 \r \h </w:instrText>
            </w:r>
            <w:r w:rsidR="001E304B" w:rsidRPr="00FF207E">
              <w:rPr>
                <w:rFonts w:cs="Arial"/>
                <w:sz w:val="20"/>
                <w:szCs w:val="20"/>
                <w:lang w:val="sl-SI"/>
              </w:rPr>
              <w:instrText xml:space="preserve"> \* MERGEFORMAT </w:instrText>
            </w:r>
            <w:r w:rsidRPr="00FF207E">
              <w:rPr>
                <w:rFonts w:cs="Arial"/>
                <w:sz w:val="20"/>
                <w:szCs w:val="20"/>
                <w:lang w:val="sl-SI"/>
              </w:rPr>
            </w:r>
            <w:r w:rsidRPr="00FF207E">
              <w:rPr>
                <w:rFonts w:cs="Arial"/>
                <w:sz w:val="20"/>
                <w:szCs w:val="20"/>
                <w:lang w:val="sl-SI"/>
              </w:rPr>
              <w:fldChar w:fldCharType="separate"/>
            </w:r>
            <w:r w:rsidR="00F37FD1" w:rsidRPr="00FF207E">
              <w:rPr>
                <w:rFonts w:cs="Arial"/>
                <w:sz w:val="20"/>
                <w:szCs w:val="20"/>
                <w:lang w:val="sl-SI"/>
              </w:rPr>
              <w:t>2.2</w:t>
            </w:r>
            <w:r w:rsidRPr="00FF207E">
              <w:rPr>
                <w:rFonts w:cs="Arial"/>
                <w:sz w:val="20"/>
                <w:szCs w:val="20"/>
                <w:lang w:val="sl-SI"/>
              </w:rPr>
              <w:fldChar w:fldCharType="end"/>
            </w:r>
            <w:r w:rsidR="00067DBF" w:rsidRPr="00FF207E">
              <w:rPr>
                <w:rFonts w:cs="Arial"/>
                <w:sz w:val="20"/>
                <w:szCs w:val="20"/>
                <w:lang w:val="sl-SI"/>
              </w:rPr>
              <w:t>;</w:t>
            </w:r>
            <w:r w:rsidRPr="00FF207E">
              <w:rPr>
                <w:rFonts w:cs="Arial"/>
                <w:sz w:val="20"/>
                <w:szCs w:val="20"/>
                <w:lang w:val="sl-SI"/>
              </w:rPr>
              <w:t xml:space="preserve"> </w:t>
            </w:r>
            <w:r w:rsidR="00067DBF" w:rsidRPr="00FF207E">
              <w:rPr>
                <w:rFonts w:cs="Arial"/>
                <w:sz w:val="20"/>
                <w:szCs w:val="20"/>
                <w:lang w:val="sl-SI"/>
              </w:rPr>
              <w:t>p</w:t>
            </w:r>
            <w:r w:rsidR="00D55FFB" w:rsidRPr="00FF207E">
              <w:rPr>
                <w:rFonts w:cs="Arial"/>
                <w:sz w:val="20"/>
                <w:szCs w:val="20"/>
                <w:lang w:val="sl-SI"/>
              </w:rPr>
              <w:t xml:space="preserve">rvi pogoj </w:t>
            </w:r>
            <w:r w:rsidRPr="00FF207E">
              <w:rPr>
                <w:rFonts w:cs="Arial"/>
                <w:sz w:val="20"/>
                <w:szCs w:val="20"/>
                <w:lang w:val="sl-SI"/>
              </w:rPr>
              <w:t xml:space="preserve">je vzpostavitev delujoče </w:t>
            </w:r>
            <w:r w:rsidRPr="00FF207E">
              <w:rPr>
                <w:rFonts w:cs="Arial"/>
                <w:spacing w:val="-2"/>
                <w:sz w:val="20"/>
                <w:szCs w:val="20"/>
                <w:lang w:val="sl-SI"/>
              </w:rPr>
              <w:t xml:space="preserve">pisarne v načrtovanem obsegu v skladu z ukrepom </w:t>
            </w:r>
            <w:hyperlink w:anchor="_Projektna_pisarna_z" w:history="1">
              <w:r w:rsidR="008D6D7A" w:rsidRPr="00FF207E">
                <w:rPr>
                  <w:rStyle w:val="Hiperpovezava"/>
                  <w:sz w:val="20"/>
                  <w:szCs w:val="20"/>
                  <w:lang w:val="sl-SI"/>
                </w:rPr>
                <w:t>ER_Shema-02</w:t>
              </w:r>
            </w:hyperlink>
            <w:r w:rsidRPr="00FF207E">
              <w:rPr>
                <w:rFonts w:cs="Arial"/>
                <w:spacing w:val="-2"/>
                <w:sz w:val="20"/>
                <w:szCs w:val="20"/>
                <w:lang w:val="sl-SI"/>
              </w:rPr>
              <w:t>.</w:t>
            </w:r>
          </w:p>
          <w:p w14:paraId="0055A8B8" w14:textId="7931E3C7" w:rsidR="000B42DC" w:rsidRPr="00FF207E" w:rsidRDefault="000B42DC" w:rsidP="001E304B">
            <w:pPr>
              <w:spacing w:before="60" w:line="240" w:lineRule="atLeast"/>
              <w:jc w:val="both"/>
              <w:rPr>
                <w:rFonts w:cs="Arial"/>
                <w:sz w:val="20"/>
                <w:szCs w:val="20"/>
                <w:lang w:val="sl-SI"/>
              </w:rPr>
            </w:pPr>
            <w:r w:rsidRPr="00FF207E">
              <w:rPr>
                <w:rFonts w:cs="Arial"/>
                <w:sz w:val="20"/>
                <w:szCs w:val="20"/>
                <w:lang w:val="sl-SI"/>
              </w:rPr>
              <w:t>Poenostavitev pridobivanja oz</w:t>
            </w:r>
            <w:r w:rsidR="00B77973" w:rsidRPr="00FF207E">
              <w:rPr>
                <w:rFonts w:cs="Arial"/>
                <w:sz w:val="20"/>
                <w:szCs w:val="20"/>
                <w:lang w:val="sl-SI"/>
              </w:rPr>
              <w:t>iroma</w:t>
            </w:r>
            <w:r w:rsidRPr="00FF207E">
              <w:rPr>
                <w:rFonts w:cs="Arial"/>
                <w:sz w:val="20"/>
                <w:szCs w:val="20"/>
                <w:lang w:val="sl-SI"/>
              </w:rPr>
              <w:t xml:space="preserve"> dodeljevanja spodbud</w:t>
            </w:r>
            <w:r w:rsidR="00C1241D" w:rsidRPr="00FF207E">
              <w:rPr>
                <w:rFonts w:cs="Arial"/>
                <w:sz w:val="20"/>
                <w:szCs w:val="20"/>
                <w:lang w:val="sl-SI"/>
              </w:rPr>
              <w:t xml:space="preserve"> v pilotnih regijah</w:t>
            </w:r>
            <w:r w:rsidRPr="00FF207E">
              <w:rPr>
                <w:rFonts w:cs="Arial"/>
                <w:sz w:val="20"/>
                <w:szCs w:val="20"/>
                <w:lang w:val="sl-SI"/>
              </w:rPr>
              <w:t xml:space="preserve">. Izvedba javnega naročila (s pomočjo zunanjega izvajalca) </w:t>
            </w:r>
            <w:r w:rsidR="00051CEB" w:rsidRPr="00FF207E">
              <w:rPr>
                <w:rFonts w:cs="Arial"/>
                <w:bCs/>
                <w:sz w:val="20"/>
                <w:szCs w:val="20"/>
                <w:lang w:val="sl-SI"/>
              </w:rPr>
              <w:t xml:space="preserve">za izbiro izvajalcev investicijskih ukrepov URE in </w:t>
            </w:r>
            <w:r w:rsidR="00026105" w:rsidRPr="00FF207E">
              <w:rPr>
                <w:rFonts w:cs="Arial"/>
                <w:bCs/>
                <w:sz w:val="20"/>
                <w:szCs w:val="20"/>
                <w:lang w:val="sl-SI"/>
              </w:rPr>
              <w:t xml:space="preserve">rabe </w:t>
            </w:r>
            <w:r w:rsidR="00051CEB" w:rsidRPr="00FF207E">
              <w:rPr>
                <w:rFonts w:cs="Arial"/>
                <w:bCs/>
                <w:sz w:val="20"/>
                <w:szCs w:val="20"/>
                <w:lang w:val="sl-SI"/>
              </w:rPr>
              <w:t>OVE</w:t>
            </w:r>
            <w:r w:rsidR="00051CEB" w:rsidRPr="00FF207E">
              <w:rPr>
                <w:rFonts w:cs="Arial"/>
                <w:sz w:val="20"/>
                <w:szCs w:val="20"/>
                <w:lang w:val="sl-SI"/>
              </w:rPr>
              <w:t xml:space="preserve"> </w:t>
            </w:r>
            <w:r w:rsidRPr="00FF207E">
              <w:rPr>
                <w:rFonts w:cs="Arial"/>
                <w:sz w:val="20"/>
                <w:szCs w:val="20"/>
                <w:lang w:val="sl-SI"/>
              </w:rPr>
              <w:t>v izbranih dveh pilotnih regijah.</w:t>
            </w:r>
          </w:p>
          <w:p w14:paraId="4893120D" w14:textId="09FC3977" w:rsidR="000B42DC" w:rsidRPr="00FF207E" w:rsidRDefault="00C1241D" w:rsidP="001E304B">
            <w:pPr>
              <w:spacing w:before="60" w:line="240" w:lineRule="atLeast"/>
              <w:jc w:val="both"/>
              <w:rPr>
                <w:rFonts w:cs="Arial"/>
                <w:bCs/>
                <w:sz w:val="20"/>
                <w:szCs w:val="20"/>
                <w:lang w:val="sl-SI"/>
              </w:rPr>
            </w:pPr>
            <w:r w:rsidRPr="00FF207E">
              <w:rPr>
                <w:rFonts w:cs="Arial"/>
                <w:bCs/>
                <w:sz w:val="20"/>
                <w:szCs w:val="20"/>
                <w:lang w:val="sl-SI"/>
              </w:rPr>
              <w:t>Pilotno dodeljevanje investicijskih spodbud</w:t>
            </w:r>
            <w:r w:rsidR="000B42DC" w:rsidRPr="00FF207E">
              <w:rPr>
                <w:rFonts w:cs="Arial"/>
                <w:bCs/>
                <w:sz w:val="20"/>
                <w:szCs w:val="20"/>
                <w:lang w:val="sl-SI"/>
              </w:rPr>
              <w:t xml:space="preserve"> v dveh pilotnih regijah</w:t>
            </w:r>
            <w:r w:rsidRPr="00FF207E">
              <w:rPr>
                <w:rFonts w:cs="Arial"/>
                <w:bCs/>
                <w:sz w:val="20"/>
                <w:szCs w:val="20"/>
                <w:lang w:val="sl-SI"/>
              </w:rPr>
              <w:t xml:space="preserve"> </w:t>
            </w:r>
            <w:r w:rsidR="000B42DC" w:rsidRPr="00FF207E">
              <w:rPr>
                <w:rFonts w:cs="Arial"/>
                <w:bCs/>
                <w:sz w:val="20"/>
                <w:szCs w:val="20"/>
                <w:lang w:val="sl-SI"/>
              </w:rPr>
              <w:t xml:space="preserve">s pomočjo projektne pisarne, regionalnih svetovalnih točk </w:t>
            </w:r>
            <w:r w:rsidR="00067DBF" w:rsidRPr="00FF207E">
              <w:rPr>
                <w:rFonts w:cs="Arial"/>
                <w:bCs/>
                <w:sz w:val="20"/>
                <w:szCs w:val="20"/>
                <w:lang w:val="sl-SI"/>
              </w:rPr>
              <w:t xml:space="preserve">ter </w:t>
            </w:r>
            <w:r w:rsidR="000B42DC" w:rsidRPr="00FF207E">
              <w:rPr>
                <w:rFonts w:cs="Arial"/>
                <w:bCs/>
                <w:sz w:val="20"/>
                <w:szCs w:val="20"/>
                <w:lang w:val="sl-SI"/>
              </w:rPr>
              <w:t xml:space="preserve">neformalne mreže za informiranje in ozaveščanje. </w:t>
            </w:r>
          </w:p>
          <w:p w14:paraId="4D286732" w14:textId="69360780" w:rsidR="000B42DC" w:rsidRPr="00FF207E" w:rsidRDefault="000B42DC" w:rsidP="001E304B">
            <w:pPr>
              <w:spacing w:before="60" w:line="240" w:lineRule="atLeast"/>
              <w:jc w:val="both"/>
              <w:rPr>
                <w:rFonts w:cs="Arial"/>
                <w:bCs/>
                <w:sz w:val="20"/>
                <w:szCs w:val="20"/>
                <w:lang w:val="sl-SI"/>
              </w:rPr>
            </w:pPr>
            <w:r w:rsidRPr="00FF207E">
              <w:rPr>
                <w:rFonts w:cs="Arial"/>
                <w:bCs/>
                <w:sz w:val="20"/>
                <w:szCs w:val="20"/>
                <w:lang w:val="sl-SI"/>
              </w:rPr>
              <w:t xml:space="preserve">Nadaljevanje </w:t>
            </w:r>
            <w:r w:rsidR="00C1241D" w:rsidRPr="00FF207E">
              <w:rPr>
                <w:rFonts w:cs="Arial"/>
                <w:bCs/>
                <w:sz w:val="20"/>
                <w:szCs w:val="20"/>
                <w:lang w:val="sl-SI"/>
              </w:rPr>
              <w:t xml:space="preserve">dodeljevanja </w:t>
            </w:r>
            <w:r w:rsidRPr="00FF207E">
              <w:rPr>
                <w:rFonts w:cs="Arial"/>
                <w:bCs/>
                <w:sz w:val="20"/>
                <w:szCs w:val="20"/>
                <w:lang w:val="sl-SI"/>
              </w:rPr>
              <w:t xml:space="preserve">spodbud za </w:t>
            </w:r>
            <w:r w:rsidR="00097EB2" w:rsidRPr="00FF207E">
              <w:rPr>
                <w:rFonts w:cs="Arial"/>
                <w:bCs/>
                <w:sz w:val="20"/>
                <w:szCs w:val="20"/>
                <w:lang w:val="sl-SI"/>
              </w:rPr>
              <w:t>energetsko revščino</w:t>
            </w:r>
            <w:r w:rsidRPr="00FF207E">
              <w:rPr>
                <w:rFonts w:cs="Arial"/>
                <w:bCs/>
                <w:sz w:val="20"/>
                <w:szCs w:val="20"/>
                <w:lang w:val="sl-SI"/>
              </w:rPr>
              <w:t xml:space="preserve"> pri energetski prenovi VSS in </w:t>
            </w:r>
            <w:r w:rsidR="00C1241D" w:rsidRPr="00FF207E">
              <w:rPr>
                <w:rFonts w:cs="Arial"/>
                <w:bCs/>
                <w:sz w:val="20"/>
                <w:szCs w:val="20"/>
                <w:lang w:val="sl-SI"/>
              </w:rPr>
              <w:t>razvoj ukrepa za dodeljevanje investicijskih spodbud energetsko revn</w:t>
            </w:r>
            <w:r w:rsidR="00067DBF" w:rsidRPr="00FF207E">
              <w:rPr>
                <w:rFonts w:cs="Arial"/>
                <w:bCs/>
                <w:sz w:val="20"/>
                <w:szCs w:val="20"/>
                <w:lang w:val="sl-SI"/>
              </w:rPr>
              <w:t>im</w:t>
            </w:r>
            <w:r w:rsidR="00C1241D" w:rsidRPr="00FF207E">
              <w:rPr>
                <w:rFonts w:cs="Arial"/>
                <w:bCs/>
                <w:sz w:val="20"/>
                <w:szCs w:val="20"/>
                <w:lang w:val="sl-SI"/>
              </w:rPr>
              <w:t xml:space="preserve"> najemnik</w:t>
            </w:r>
            <w:r w:rsidR="00067DBF" w:rsidRPr="00FF207E">
              <w:rPr>
                <w:rFonts w:cs="Arial"/>
                <w:bCs/>
                <w:sz w:val="20"/>
                <w:szCs w:val="20"/>
                <w:lang w:val="sl-SI"/>
              </w:rPr>
              <w:t>om</w:t>
            </w:r>
            <w:r w:rsidR="00C1241D" w:rsidRPr="00FF207E">
              <w:rPr>
                <w:rFonts w:cs="Arial"/>
                <w:bCs/>
                <w:sz w:val="20"/>
                <w:szCs w:val="20"/>
                <w:lang w:val="sl-SI"/>
              </w:rPr>
              <w:t xml:space="preserve"> (spodbude za prenovo občinskih stanovanj; stanovanj v </w:t>
            </w:r>
            <w:r w:rsidR="00067DBF" w:rsidRPr="00FF207E">
              <w:rPr>
                <w:rFonts w:cs="Arial"/>
                <w:bCs/>
                <w:sz w:val="20"/>
                <w:szCs w:val="20"/>
                <w:lang w:val="sl-SI"/>
              </w:rPr>
              <w:t xml:space="preserve">zasebni </w:t>
            </w:r>
            <w:r w:rsidR="00C1241D" w:rsidRPr="00FF207E">
              <w:rPr>
                <w:rFonts w:cs="Arial"/>
                <w:bCs/>
                <w:sz w:val="20"/>
                <w:szCs w:val="20"/>
                <w:lang w:val="sl-SI"/>
              </w:rPr>
              <w:t xml:space="preserve">lasti </w:t>
            </w:r>
            <w:r w:rsidR="00B77973" w:rsidRPr="00FF207E">
              <w:rPr>
                <w:rFonts w:cs="Arial"/>
                <w:bCs/>
                <w:sz w:val="20"/>
                <w:szCs w:val="20"/>
                <w:lang w:val="sl-SI"/>
              </w:rPr>
              <w:t>in tako dalje</w:t>
            </w:r>
            <w:r w:rsidR="00C1241D" w:rsidRPr="00FF207E">
              <w:rPr>
                <w:rFonts w:cs="Arial"/>
                <w:bCs/>
                <w:sz w:val="20"/>
                <w:szCs w:val="20"/>
                <w:lang w:val="sl-SI"/>
              </w:rPr>
              <w:t>)</w:t>
            </w:r>
            <w:r w:rsidRPr="00FF207E">
              <w:rPr>
                <w:rFonts w:cs="Arial"/>
                <w:bCs/>
                <w:sz w:val="20"/>
                <w:szCs w:val="20"/>
                <w:lang w:val="sl-SI"/>
              </w:rPr>
              <w:t>.</w:t>
            </w:r>
          </w:p>
          <w:p w14:paraId="2B8E9993" w14:textId="220BC747" w:rsidR="00D75B8E" w:rsidRPr="00FF207E" w:rsidRDefault="000B42DC" w:rsidP="001E304B">
            <w:pPr>
              <w:spacing w:before="60" w:line="240" w:lineRule="atLeast"/>
              <w:jc w:val="both"/>
              <w:rPr>
                <w:rFonts w:cs="Arial"/>
                <w:bCs/>
                <w:sz w:val="20"/>
                <w:szCs w:val="20"/>
                <w:lang w:val="sl-SI"/>
              </w:rPr>
            </w:pPr>
            <w:r w:rsidRPr="00FF207E">
              <w:rPr>
                <w:rFonts w:cs="Arial"/>
                <w:bCs/>
                <w:sz w:val="20"/>
                <w:szCs w:val="20"/>
                <w:lang w:val="sl-SI"/>
              </w:rPr>
              <w:t>Zagotovitev sredstev za spodbude za obdobje 2024</w:t>
            </w:r>
            <w:r w:rsidRPr="00FF207E">
              <w:rPr>
                <w:rFonts w:cs="Arial"/>
                <w:sz w:val="20"/>
                <w:szCs w:val="20"/>
                <w:lang w:val="sl-SI"/>
              </w:rPr>
              <w:t>–</w:t>
            </w:r>
            <w:r w:rsidRPr="00FF207E">
              <w:rPr>
                <w:rFonts w:cs="Arial"/>
                <w:bCs/>
                <w:sz w:val="20"/>
                <w:szCs w:val="20"/>
                <w:lang w:val="sl-SI"/>
              </w:rPr>
              <w:t>2026.</w:t>
            </w:r>
          </w:p>
        </w:tc>
      </w:tr>
      <w:tr w:rsidR="00D75B8E" w:rsidRPr="00FF207E" w14:paraId="067968E6" w14:textId="77777777" w:rsidTr="00C03429">
        <w:tc>
          <w:tcPr>
            <w:tcW w:w="3301"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4089AE71"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Rok izvedbe</w:t>
            </w:r>
          </w:p>
        </w:tc>
        <w:tc>
          <w:tcPr>
            <w:tcW w:w="5771"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7CF60DB9" w14:textId="664194D3" w:rsidR="00D75B8E" w:rsidRPr="00FF207E" w:rsidRDefault="004777A6" w:rsidP="001E304B">
            <w:pPr>
              <w:spacing w:line="240" w:lineRule="atLeast"/>
              <w:jc w:val="both"/>
              <w:rPr>
                <w:rFonts w:cs="Arial"/>
                <w:sz w:val="20"/>
                <w:szCs w:val="20"/>
                <w:lang w:val="sl-SI"/>
              </w:rPr>
            </w:pPr>
            <w:r w:rsidRPr="00FF207E">
              <w:rPr>
                <w:rFonts w:cs="Arial"/>
                <w:sz w:val="20"/>
                <w:szCs w:val="20"/>
                <w:lang w:val="sl-SI"/>
              </w:rPr>
              <w:t>po spodaj navedenih mejnikih</w:t>
            </w:r>
          </w:p>
        </w:tc>
      </w:tr>
      <w:tr w:rsidR="00D75B8E" w:rsidRPr="00FF207E" w14:paraId="6D9DB60C" w14:textId="77777777" w:rsidTr="002513F9">
        <w:tc>
          <w:tcPr>
            <w:tcW w:w="3301"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7AB9E83D" w14:textId="060B5CAE" w:rsidR="00D75B8E" w:rsidRPr="00FF207E" w:rsidRDefault="00720DE7" w:rsidP="001E304B">
            <w:pPr>
              <w:spacing w:line="240" w:lineRule="atLeast"/>
              <w:jc w:val="both"/>
              <w:rPr>
                <w:rFonts w:cs="Arial"/>
                <w:sz w:val="20"/>
                <w:szCs w:val="20"/>
                <w:lang w:val="sl-SI"/>
              </w:rPr>
            </w:pPr>
            <w:r w:rsidRPr="00FF207E">
              <w:rPr>
                <w:rFonts w:cs="Arial"/>
                <w:sz w:val="20"/>
                <w:szCs w:val="20"/>
                <w:lang w:val="sl-SI"/>
              </w:rPr>
              <w:t>Potrebna sredstva</w:t>
            </w:r>
            <w:r w:rsidR="00F4436A" w:rsidRPr="00FF207E">
              <w:rPr>
                <w:lang w:val="sl-SI"/>
              </w:rPr>
              <w:t xml:space="preserve"> </w:t>
            </w:r>
            <w:r w:rsidRPr="00FF207E">
              <w:rPr>
                <w:rFonts w:cs="Arial"/>
                <w:sz w:val="20"/>
                <w:szCs w:val="20"/>
                <w:lang w:val="sl-SI"/>
              </w:rPr>
              <w:t>in viri</w:t>
            </w:r>
          </w:p>
        </w:tc>
        <w:tc>
          <w:tcPr>
            <w:tcW w:w="5771"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tcPr>
          <w:p w14:paraId="6D7F61A2" w14:textId="58CA986F" w:rsidR="009A6E2F" w:rsidRPr="00FF207E" w:rsidRDefault="00086058" w:rsidP="002513F9">
            <w:pPr>
              <w:spacing w:before="60" w:line="240" w:lineRule="atLeast"/>
              <w:rPr>
                <w:rFonts w:cs="Arial"/>
                <w:sz w:val="20"/>
                <w:szCs w:val="20"/>
                <w:lang w:val="sl-SI"/>
              </w:rPr>
            </w:pPr>
            <w:r w:rsidRPr="00FF207E">
              <w:rPr>
                <w:rFonts w:cs="Arial"/>
                <w:sz w:val="20"/>
                <w:szCs w:val="20"/>
                <w:lang w:val="sl-SI"/>
              </w:rPr>
              <w:t>t</w:t>
            </w:r>
            <w:r w:rsidR="009A6E2F" w:rsidRPr="00FF207E">
              <w:rPr>
                <w:rFonts w:cs="Arial"/>
                <w:sz w:val="20"/>
                <w:szCs w:val="20"/>
                <w:lang w:val="sl-SI"/>
              </w:rPr>
              <w:t>abela 7</w:t>
            </w:r>
          </w:p>
          <w:p w14:paraId="490F5E33" w14:textId="074697C0" w:rsidR="00D75B8E" w:rsidRPr="00FF207E" w:rsidRDefault="00720DE7" w:rsidP="00067DBF">
            <w:pPr>
              <w:spacing w:before="60" w:line="240" w:lineRule="atLeast"/>
              <w:rPr>
                <w:rFonts w:cs="Arial"/>
                <w:sz w:val="20"/>
                <w:szCs w:val="20"/>
                <w:lang w:val="sl-SI"/>
              </w:rPr>
            </w:pPr>
            <w:r w:rsidRPr="00FF207E">
              <w:rPr>
                <w:rFonts w:cs="Arial"/>
                <w:sz w:val="20"/>
                <w:szCs w:val="20"/>
                <w:lang w:val="sl-SI"/>
              </w:rPr>
              <w:t xml:space="preserve">Viri sredstev so: Sklad za podnebne spremembe (spodbude za investicijske ukrepe </w:t>
            </w:r>
            <w:r w:rsidR="00C575EC" w:rsidRPr="00FF207E">
              <w:rPr>
                <w:rFonts w:cs="Arial"/>
                <w:sz w:val="20"/>
                <w:szCs w:val="20"/>
                <w:lang w:val="sl-SI"/>
              </w:rPr>
              <w:t xml:space="preserve">URE in </w:t>
            </w:r>
            <w:r w:rsidR="00026105" w:rsidRPr="00FF207E">
              <w:rPr>
                <w:rFonts w:cs="Arial"/>
                <w:sz w:val="20"/>
                <w:szCs w:val="20"/>
                <w:lang w:val="sl-SI"/>
              </w:rPr>
              <w:t xml:space="preserve">rabe </w:t>
            </w:r>
            <w:r w:rsidR="00C575EC" w:rsidRPr="00FF207E">
              <w:rPr>
                <w:rFonts w:cs="Arial"/>
                <w:sz w:val="20"/>
                <w:szCs w:val="20"/>
                <w:lang w:val="sl-SI"/>
              </w:rPr>
              <w:t>OVE</w:t>
            </w:r>
            <w:r w:rsidR="002513F9" w:rsidRPr="00FF207E">
              <w:rPr>
                <w:rFonts w:cs="Arial"/>
                <w:sz w:val="20"/>
                <w:szCs w:val="20"/>
                <w:lang w:val="sl-SI"/>
              </w:rPr>
              <w:t>, vključno s KNLB</w:t>
            </w:r>
            <w:r w:rsidRPr="00FF207E">
              <w:rPr>
                <w:rFonts w:cs="Arial"/>
                <w:sz w:val="20"/>
                <w:szCs w:val="20"/>
                <w:lang w:val="sl-SI"/>
              </w:rPr>
              <w:t xml:space="preserve">), kohezijska sredstva (spodbude za investicijske ukrepe </w:t>
            </w:r>
            <w:r w:rsidR="00C575EC" w:rsidRPr="00FF207E">
              <w:rPr>
                <w:rFonts w:cs="Arial"/>
                <w:sz w:val="20"/>
                <w:szCs w:val="20"/>
                <w:lang w:val="sl-SI"/>
              </w:rPr>
              <w:t xml:space="preserve">URE in </w:t>
            </w:r>
            <w:r w:rsidR="00026105" w:rsidRPr="00FF207E">
              <w:rPr>
                <w:rFonts w:cs="Arial"/>
                <w:sz w:val="20"/>
                <w:szCs w:val="20"/>
                <w:lang w:val="sl-SI"/>
              </w:rPr>
              <w:t xml:space="preserve">rabe </w:t>
            </w:r>
            <w:r w:rsidR="00C575EC" w:rsidRPr="00FF207E">
              <w:rPr>
                <w:rFonts w:cs="Arial"/>
                <w:sz w:val="20"/>
                <w:szCs w:val="20"/>
                <w:lang w:val="sl-SI"/>
              </w:rPr>
              <w:t>OVE</w:t>
            </w:r>
            <w:r w:rsidRPr="00FF207E">
              <w:rPr>
                <w:rFonts w:cs="Arial"/>
                <w:sz w:val="20"/>
                <w:szCs w:val="20"/>
                <w:lang w:val="sl-SI"/>
              </w:rPr>
              <w:t xml:space="preserve">), prispevek URE (spodbude za </w:t>
            </w:r>
            <w:r w:rsidR="00097EB2" w:rsidRPr="00FF207E">
              <w:rPr>
                <w:rFonts w:cs="Arial"/>
                <w:sz w:val="20"/>
                <w:szCs w:val="20"/>
                <w:lang w:val="sl-SI"/>
              </w:rPr>
              <w:t>energetsko revščino</w:t>
            </w:r>
            <w:r w:rsidRPr="00FF207E">
              <w:rPr>
                <w:rFonts w:cs="Arial"/>
                <w:sz w:val="20"/>
                <w:szCs w:val="20"/>
                <w:lang w:val="sl-SI"/>
              </w:rPr>
              <w:t xml:space="preserve"> v VSS) ali drugi viri</w:t>
            </w:r>
            <w:r w:rsidR="00067DBF" w:rsidRPr="00FF207E">
              <w:rPr>
                <w:rFonts w:cs="Arial"/>
                <w:sz w:val="20"/>
                <w:szCs w:val="20"/>
                <w:lang w:val="sl-SI"/>
              </w:rPr>
              <w:t>.</w:t>
            </w:r>
          </w:p>
        </w:tc>
      </w:tr>
      <w:tr w:rsidR="00D75B8E" w:rsidRPr="00FF207E" w14:paraId="69FF9F06" w14:textId="77777777" w:rsidTr="00C03429">
        <w:tc>
          <w:tcPr>
            <w:tcW w:w="9072" w:type="dxa"/>
            <w:gridSpan w:val="3"/>
            <w:tcBorders>
              <w:top w:val="single" w:sz="4" w:space="0" w:color="548DD4" w:themeColor="text2" w:themeTint="99"/>
              <w:left w:val="nil"/>
              <w:bottom w:val="single" w:sz="4" w:space="0" w:color="548DD4" w:themeColor="text2" w:themeTint="99"/>
              <w:right w:val="nil"/>
            </w:tcBorders>
            <w:shd w:val="clear" w:color="auto" w:fill="DBE5F1" w:themeFill="accent1" w:themeFillTint="33"/>
          </w:tcPr>
          <w:p w14:paraId="565DDD4C" w14:textId="77777777" w:rsidR="00D75B8E" w:rsidRPr="00FF207E" w:rsidRDefault="00D75B8E" w:rsidP="001E304B">
            <w:pPr>
              <w:spacing w:before="40" w:after="40" w:line="240" w:lineRule="atLeast"/>
              <w:jc w:val="both"/>
              <w:rPr>
                <w:rFonts w:cs="Arial"/>
                <w:sz w:val="20"/>
                <w:szCs w:val="20"/>
                <w:lang w:val="sl-SI"/>
              </w:rPr>
            </w:pPr>
            <w:r w:rsidRPr="00FF207E">
              <w:rPr>
                <w:rFonts w:cs="Arial"/>
                <w:sz w:val="20"/>
                <w:szCs w:val="20"/>
                <w:lang w:val="sl-SI"/>
              </w:rPr>
              <w:t>Potek izvedbe</w:t>
            </w:r>
          </w:p>
        </w:tc>
      </w:tr>
      <w:tr w:rsidR="0092201B" w:rsidRPr="00FF207E" w14:paraId="20BC5C5C" w14:textId="77777777" w:rsidTr="00C03429">
        <w:tc>
          <w:tcPr>
            <w:tcW w:w="9072" w:type="dxa"/>
            <w:gridSpan w:val="3"/>
            <w:tcBorders>
              <w:top w:val="single" w:sz="4" w:space="0" w:color="548DD4" w:themeColor="text2" w:themeTint="99"/>
              <w:left w:val="nil"/>
              <w:bottom w:val="single" w:sz="4" w:space="0" w:color="548DD4" w:themeColor="text2" w:themeTint="99"/>
              <w:right w:val="nil"/>
            </w:tcBorders>
            <w:shd w:val="clear" w:color="auto" w:fill="DBE5F1" w:themeFill="accent1" w:themeFillTint="33"/>
          </w:tcPr>
          <w:p w14:paraId="641F52E7" w14:textId="77777777" w:rsidR="0092201B" w:rsidRPr="00FF207E" w:rsidRDefault="0092201B" w:rsidP="001E304B">
            <w:pPr>
              <w:spacing w:before="40" w:after="40" w:line="240" w:lineRule="atLeast"/>
              <w:jc w:val="both"/>
              <w:rPr>
                <w:rFonts w:cs="Arial"/>
                <w:b/>
                <w:sz w:val="20"/>
                <w:szCs w:val="20"/>
                <w:lang w:val="sl-SI"/>
              </w:rPr>
            </w:pPr>
            <w:r w:rsidRPr="00FF207E">
              <w:rPr>
                <w:rFonts w:cs="Arial"/>
                <w:b/>
                <w:sz w:val="20"/>
                <w:szCs w:val="20"/>
                <w:lang w:val="sl-SI"/>
              </w:rPr>
              <w:t>Dodeljevanje investicijskih spodbud</w:t>
            </w:r>
          </w:p>
        </w:tc>
      </w:tr>
      <w:tr w:rsidR="00D75B8E" w:rsidRPr="00FF207E" w14:paraId="46FD489D" w14:textId="77777777" w:rsidTr="00C03429">
        <w:tc>
          <w:tcPr>
            <w:tcW w:w="981" w:type="dxa"/>
            <w:vMerge w:val="restart"/>
            <w:tcBorders>
              <w:top w:val="single" w:sz="4" w:space="0" w:color="548DD4" w:themeColor="text2" w:themeTint="99"/>
              <w:left w:val="nil"/>
              <w:right w:val="single" w:sz="4" w:space="0" w:color="548DD4" w:themeColor="text2" w:themeTint="99"/>
            </w:tcBorders>
            <w:vAlign w:val="center"/>
          </w:tcPr>
          <w:p w14:paraId="0E849109" w14:textId="77777777" w:rsidR="00D75B8E" w:rsidRPr="00FF207E" w:rsidRDefault="00D75B8E" w:rsidP="001E304B">
            <w:pPr>
              <w:spacing w:line="240" w:lineRule="atLeast"/>
              <w:jc w:val="both"/>
              <w:rPr>
                <w:rFonts w:cs="Arial"/>
                <w:b/>
                <w:sz w:val="24"/>
                <w:lang w:val="sl-SI"/>
              </w:rPr>
            </w:pPr>
            <w:r w:rsidRPr="00FF207E">
              <w:rPr>
                <w:rFonts w:cs="Arial"/>
                <w:b/>
                <w:sz w:val="24"/>
                <w:lang w:val="sl-SI"/>
              </w:rPr>
              <w:t>1</w:t>
            </w:r>
          </w:p>
        </w:tc>
        <w:tc>
          <w:tcPr>
            <w:tcW w:w="2320"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0EBCB04F"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Vsebina</w:t>
            </w:r>
          </w:p>
        </w:tc>
        <w:tc>
          <w:tcPr>
            <w:tcW w:w="5771"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77C4765A" w14:textId="201AAEB1" w:rsidR="00D75B8E" w:rsidRPr="00FF207E" w:rsidRDefault="00067DBF" w:rsidP="00736A5E">
            <w:pPr>
              <w:spacing w:line="240" w:lineRule="atLeast"/>
              <w:jc w:val="both"/>
              <w:rPr>
                <w:rFonts w:cs="Arial"/>
                <w:sz w:val="20"/>
                <w:szCs w:val="20"/>
                <w:lang w:val="sl-SI"/>
              </w:rPr>
            </w:pPr>
            <w:r w:rsidRPr="00FF207E">
              <w:rPr>
                <w:rFonts w:cs="Arial"/>
                <w:sz w:val="20"/>
                <w:szCs w:val="20"/>
                <w:lang w:val="sl-SI"/>
              </w:rPr>
              <w:t>n</w:t>
            </w:r>
            <w:r w:rsidR="00D75B8E" w:rsidRPr="00FF207E">
              <w:rPr>
                <w:rFonts w:cs="Arial"/>
                <w:sz w:val="20"/>
                <w:szCs w:val="20"/>
                <w:lang w:val="sl-SI"/>
              </w:rPr>
              <w:t xml:space="preserve">adaljevanje izvajanja </w:t>
            </w:r>
            <w:r w:rsidR="00736A5E" w:rsidRPr="00FF207E">
              <w:rPr>
                <w:rFonts w:cs="Arial"/>
                <w:sz w:val="20"/>
                <w:szCs w:val="20"/>
                <w:lang w:val="sl-SI"/>
              </w:rPr>
              <w:t xml:space="preserve">veljavnih </w:t>
            </w:r>
            <w:r w:rsidR="00D75B8E" w:rsidRPr="00FF207E">
              <w:rPr>
                <w:rFonts w:cs="Arial"/>
                <w:sz w:val="20"/>
                <w:szCs w:val="20"/>
                <w:lang w:val="sl-SI"/>
              </w:rPr>
              <w:t>ukrepov</w:t>
            </w:r>
            <w:r w:rsidR="00C1241D" w:rsidRPr="00FF207E">
              <w:rPr>
                <w:rFonts w:cs="Arial"/>
                <w:sz w:val="20"/>
                <w:szCs w:val="20"/>
                <w:lang w:val="sl-SI"/>
              </w:rPr>
              <w:t xml:space="preserve"> (VSS) ter priprava in izvedba javnih pozivov za dodeljevanje investicijskih spodbud za ukrepe URE in </w:t>
            </w:r>
            <w:r w:rsidR="00026105" w:rsidRPr="00FF207E">
              <w:rPr>
                <w:rFonts w:cs="Arial"/>
                <w:sz w:val="20"/>
                <w:szCs w:val="20"/>
                <w:lang w:val="sl-SI"/>
              </w:rPr>
              <w:t xml:space="preserve">rabe </w:t>
            </w:r>
            <w:r w:rsidR="00C1241D" w:rsidRPr="00FF207E">
              <w:rPr>
                <w:rFonts w:cs="Arial"/>
                <w:sz w:val="20"/>
                <w:szCs w:val="20"/>
                <w:lang w:val="sl-SI"/>
              </w:rPr>
              <w:t>OVE energetsko revnim</w:t>
            </w:r>
            <w:r w:rsidR="00C1241D" w:rsidRPr="00FF207E">
              <w:rPr>
                <w:rFonts w:cs="Arial"/>
                <w:b/>
                <w:sz w:val="20"/>
                <w:szCs w:val="20"/>
                <w:lang w:val="sl-SI"/>
              </w:rPr>
              <w:t xml:space="preserve"> </w:t>
            </w:r>
            <w:r w:rsidR="00C1241D" w:rsidRPr="00FF207E">
              <w:rPr>
                <w:rFonts w:cs="Arial"/>
                <w:sz w:val="20"/>
                <w:szCs w:val="20"/>
                <w:lang w:val="sl-SI"/>
              </w:rPr>
              <w:t>(nadgradnja programa ZERO500</w:t>
            </w:r>
            <w:r w:rsidR="004E7D44" w:rsidRPr="00FF207E">
              <w:rPr>
                <w:rFonts w:cs="Arial"/>
                <w:sz w:val="20"/>
                <w:szCs w:val="20"/>
                <w:lang w:val="sl-SI"/>
              </w:rPr>
              <w:t>, vključno z vgradnjo KNLB</w:t>
            </w:r>
            <w:r w:rsidR="00C1241D" w:rsidRPr="00FF207E">
              <w:rPr>
                <w:rFonts w:cs="Arial"/>
                <w:sz w:val="20"/>
                <w:szCs w:val="20"/>
                <w:lang w:val="sl-SI"/>
              </w:rPr>
              <w:t>)</w:t>
            </w:r>
            <w:r w:rsidR="00D75B8E" w:rsidRPr="00FF207E">
              <w:rPr>
                <w:rFonts w:cs="Arial"/>
                <w:sz w:val="20"/>
                <w:szCs w:val="20"/>
                <w:lang w:val="sl-SI"/>
              </w:rPr>
              <w:t xml:space="preserve">, </w:t>
            </w:r>
            <w:r w:rsidR="00EF682E" w:rsidRPr="00FF207E">
              <w:rPr>
                <w:rFonts w:cs="Arial"/>
                <w:sz w:val="20"/>
                <w:szCs w:val="20"/>
                <w:lang w:val="sl-SI"/>
              </w:rPr>
              <w:t xml:space="preserve">dodeljevanje </w:t>
            </w:r>
            <w:r w:rsidR="00D75B8E" w:rsidRPr="00FF207E">
              <w:rPr>
                <w:rFonts w:cs="Arial"/>
                <w:sz w:val="20"/>
                <w:szCs w:val="20"/>
                <w:lang w:val="sl-SI"/>
              </w:rPr>
              <w:t>100</w:t>
            </w:r>
            <w:r w:rsidR="00EF682E" w:rsidRPr="00FF207E">
              <w:rPr>
                <w:rFonts w:cs="Arial"/>
                <w:sz w:val="20"/>
                <w:szCs w:val="20"/>
                <w:lang w:val="sl-SI"/>
              </w:rPr>
              <w:t>-</w:t>
            </w:r>
            <w:r w:rsidR="00D75B8E" w:rsidRPr="00FF207E">
              <w:rPr>
                <w:rFonts w:cs="Arial"/>
                <w:sz w:val="20"/>
                <w:szCs w:val="20"/>
                <w:lang w:val="sl-SI"/>
              </w:rPr>
              <w:t xml:space="preserve">odstotnih spodbud za </w:t>
            </w:r>
            <w:r w:rsidR="00C1241D" w:rsidRPr="00FF207E">
              <w:rPr>
                <w:rFonts w:cs="Arial"/>
                <w:sz w:val="20"/>
                <w:szCs w:val="20"/>
                <w:lang w:val="sl-SI"/>
              </w:rPr>
              <w:t>energetsko revna gospodinjstva</w:t>
            </w:r>
          </w:p>
        </w:tc>
      </w:tr>
      <w:tr w:rsidR="00D75B8E" w:rsidRPr="00FF207E" w14:paraId="1682D862" w14:textId="77777777" w:rsidTr="00C03429">
        <w:tc>
          <w:tcPr>
            <w:tcW w:w="981" w:type="dxa"/>
            <w:vMerge/>
            <w:tcBorders>
              <w:left w:val="nil"/>
              <w:right w:val="single" w:sz="4" w:space="0" w:color="548DD4" w:themeColor="text2" w:themeTint="99"/>
            </w:tcBorders>
          </w:tcPr>
          <w:p w14:paraId="7DD79ADB" w14:textId="77777777" w:rsidR="00D75B8E" w:rsidRPr="00FF207E" w:rsidRDefault="00D75B8E"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535CAC02"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Odgovornost</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53FAAA9" w14:textId="77777777" w:rsidR="00D75B8E" w:rsidRPr="00FF207E" w:rsidRDefault="00D75B8E"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D75B8E" w:rsidRPr="00FF207E" w14:paraId="6F5A2B36" w14:textId="77777777" w:rsidTr="00C03429">
        <w:tc>
          <w:tcPr>
            <w:tcW w:w="981" w:type="dxa"/>
            <w:vMerge/>
            <w:tcBorders>
              <w:left w:val="nil"/>
              <w:right w:val="single" w:sz="4" w:space="0" w:color="548DD4" w:themeColor="text2" w:themeTint="99"/>
            </w:tcBorders>
          </w:tcPr>
          <w:p w14:paraId="34B3E9EA" w14:textId="77777777" w:rsidR="00D75B8E" w:rsidRPr="00FF207E" w:rsidRDefault="00D75B8E"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75218654"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Vključeni deležniki</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22B39EE" w14:textId="63E8E1A1"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MOPE</w:t>
            </w:r>
          </w:p>
        </w:tc>
      </w:tr>
      <w:tr w:rsidR="0081647C" w:rsidRPr="00FF207E" w14:paraId="5C9C9BD7" w14:textId="77777777" w:rsidTr="00C03429">
        <w:tc>
          <w:tcPr>
            <w:tcW w:w="981" w:type="dxa"/>
            <w:vMerge/>
            <w:tcBorders>
              <w:left w:val="nil"/>
              <w:bottom w:val="single" w:sz="4" w:space="0" w:color="548DD4" w:themeColor="text2" w:themeTint="99"/>
              <w:right w:val="single" w:sz="4" w:space="0" w:color="548DD4" w:themeColor="text2" w:themeTint="99"/>
            </w:tcBorders>
          </w:tcPr>
          <w:p w14:paraId="7138A8F5" w14:textId="77777777" w:rsidR="0081647C" w:rsidRPr="00FF207E" w:rsidRDefault="0081647C"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25B6A00A" w14:textId="77777777" w:rsidR="0081647C" w:rsidRPr="00FF207E" w:rsidRDefault="0081647C" w:rsidP="001E304B">
            <w:pPr>
              <w:spacing w:line="240" w:lineRule="atLeast"/>
              <w:jc w:val="both"/>
              <w:rPr>
                <w:rFonts w:cs="Arial"/>
                <w:sz w:val="20"/>
                <w:szCs w:val="20"/>
                <w:lang w:val="sl-SI"/>
              </w:rPr>
            </w:pPr>
            <w:r w:rsidRPr="00FF207E">
              <w:rPr>
                <w:rFonts w:cs="Arial"/>
                <w:sz w:val="20"/>
                <w:szCs w:val="20"/>
                <w:lang w:val="sl-SI"/>
              </w:rPr>
              <w:t>Rok izvedbe</w:t>
            </w:r>
          </w:p>
        </w:tc>
        <w:tc>
          <w:tcPr>
            <w:tcW w:w="5771"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6A265BCC" w14:textId="21111392" w:rsidR="0081647C" w:rsidRPr="00FF207E" w:rsidRDefault="004777A6" w:rsidP="001E304B">
            <w:pPr>
              <w:spacing w:line="240" w:lineRule="atLeast"/>
              <w:jc w:val="both"/>
              <w:rPr>
                <w:rFonts w:cs="Arial"/>
                <w:sz w:val="20"/>
                <w:szCs w:val="20"/>
                <w:lang w:val="sl-SI"/>
              </w:rPr>
            </w:pPr>
            <w:r w:rsidRPr="00FF207E">
              <w:rPr>
                <w:rFonts w:cs="Arial"/>
                <w:sz w:val="20"/>
                <w:szCs w:val="20"/>
                <w:lang w:val="sl-SI"/>
              </w:rPr>
              <w:t>12/2023</w:t>
            </w:r>
          </w:p>
        </w:tc>
      </w:tr>
      <w:tr w:rsidR="00D75B8E" w:rsidRPr="00FF207E" w14:paraId="284C4A36" w14:textId="77777777" w:rsidTr="00C03429">
        <w:tc>
          <w:tcPr>
            <w:tcW w:w="981" w:type="dxa"/>
            <w:vMerge w:val="restart"/>
            <w:tcBorders>
              <w:top w:val="single" w:sz="4" w:space="0" w:color="548DD4" w:themeColor="text2" w:themeTint="99"/>
              <w:left w:val="nil"/>
              <w:right w:val="single" w:sz="4" w:space="0" w:color="548DD4" w:themeColor="text2" w:themeTint="99"/>
            </w:tcBorders>
            <w:vAlign w:val="center"/>
          </w:tcPr>
          <w:p w14:paraId="01206C6A" w14:textId="30A2F0E9" w:rsidR="00D75B8E" w:rsidRPr="00FF207E" w:rsidRDefault="00437E63" w:rsidP="001E304B">
            <w:pPr>
              <w:spacing w:line="240" w:lineRule="atLeast"/>
              <w:jc w:val="both"/>
              <w:rPr>
                <w:rFonts w:cs="Arial"/>
                <w:b/>
                <w:sz w:val="24"/>
                <w:lang w:val="sl-SI"/>
              </w:rPr>
            </w:pPr>
            <w:r w:rsidRPr="00FF207E">
              <w:rPr>
                <w:rFonts w:cs="Arial"/>
                <w:b/>
                <w:sz w:val="24"/>
                <w:lang w:val="sl-SI"/>
              </w:rPr>
              <w:t>2</w:t>
            </w:r>
          </w:p>
        </w:tc>
        <w:tc>
          <w:tcPr>
            <w:tcW w:w="2320"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53EBC911"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Vsebina</w:t>
            </w:r>
          </w:p>
        </w:tc>
        <w:tc>
          <w:tcPr>
            <w:tcW w:w="5771"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178D719D" w14:textId="3AAC7014" w:rsidR="00D75B8E" w:rsidRPr="00FF207E" w:rsidRDefault="006C21F7" w:rsidP="001E304B">
            <w:pPr>
              <w:spacing w:line="240" w:lineRule="atLeast"/>
              <w:jc w:val="both"/>
              <w:rPr>
                <w:rFonts w:cs="Arial"/>
                <w:sz w:val="20"/>
                <w:szCs w:val="20"/>
                <w:lang w:val="sl-SI"/>
              </w:rPr>
            </w:pPr>
            <w:r w:rsidRPr="00FF207E">
              <w:rPr>
                <w:rFonts w:cs="Arial"/>
                <w:bCs/>
                <w:sz w:val="20"/>
                <w:szCs w:val="20"/>
                <w:lang w:val="sl-SI"/>
              </w:rPr>
              <w:t>p</w:t>
            </w:r>
            <w:r w:rsidR="0092201B" w:rsidRPr="00FF207E">
              <w:rPr>
                <w:rFonts w:cs="Arial"/>
                <w:bCs/>
                <w:sz w:val="20"/>
                <w:szCs w:val="20"/>
                <w:lang w:val="sl-SI"/>
              </w:rPr>
              <w:t xml:space="preserve">riprava in izvedba javnega naročila </w:t>
            </w:r>
            <w:r w:rsidR="00437E63" w:rsidRPr="00FF207E">
              <w:rPr>
                <w:rFonts w:cs="Arial"/>
                <w:bCs/>
                <w:sz w:val="20"/>
                <w:szCs w:val="20"/>
                <w:lang w:val="sl-SI"/>
              </w:rPr>
              <w:t xml:space="preserve">za izbiro izvajalcev investicijskih ukrepov URE in </w:t>
            </w:r>
            <w:r w:rsidR="00026105" w:rsidRPr="00FF207E">
              <w:rPr>
                <w:rFonts w:cs="Arial"/>
                <w:bCs/>
                <w:sz w:val="20"/>
                <w:szCs w:val="20"/>
                <w:lang w:val="sl-SI"/>
              </w:rPr>
              <w:t xml:space="preserve">rabe </w:t>
            </w:r>
            <w:r w:rsidR="00437E63" w:rsidRPr="00FF207E">
              <w:rPr>
                <w:rFonts w:cs="Arial"/>
                <w:bCs/>
                <w:sz w:val="20"/>
                <w:szCs w:val="20"/>
                <w:lang w:val="sl-SI"/>
              </w:rPr>
              <w:t xml:space="preserve">OVE </w:t>
            </w:r>
            <w:r w:rsidR="0092201B" w:rsidRPr="00FF207E">
              <w:rPr>
                <w:rFonts w:cs="Arial"/>
                <w:bCs/>
                <w:sz w:val="20"/>
                <w:szCs w:val="20"/>
                <w:lang w:val="sl-SI"/>
              </w:rPr>
              <w:t>v dveh izbranih regijah</w:t>
            </w:r>
            <w:r w:rsidR="00D75B8E" w:rsidRPr="00FF207E">
              <w:rPr>
                <w:rFonts w:cs="Arial"/>
                <w:bCs/>
                <w:sz w:val="20"/>
                <w:szCs w:val="20"/>
                <w:lang w:val="sl-SI"/>
              </w:rPr>
              <w:t>; izbor izvajalcev</w:t>
            </w:r>
          </w:p>
        </w:tc>
      </w:tr>
      <w:tr w:rsidR="00D75B8E" w:rsidRPr="00FF207E" w14:paraId="1FDEAEEF" w14:textId="77777777" w:rsidTr="00C03429">
        <w:tc>
          <w:tcPr>
            <w:tcW w:w="981" w:type="dxa"/>
            <w:vMerge/>
            <w:tcBorders>
              <w:left w:val="nil"/>
              <w:right w:val="single" w:sz="4" w:space="0" w:color="548DD4" w:themeColor="text2" w:themeTint="99"/>
            </w:tcBorders>
          </w:tcPr>
          <w:p w14:paraId="11C7B99C" w14:textId="77777777" w:rsidR="00D75B8E" w:rsidRPr="00FF207E" w:rsidRDefault="00D75B8E"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6284DCB"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Odgovornost</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433D4075" w14:textId="77777777" w:rsidR="00D75B8E" w:rsidRPr="00FF207E" w:rsidRDefault="00D75B8E"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 izbrani zunanji izvajalec za pripravo javnega naročila</w:t>
            </w:r>
          </w:p>
        </w:tc>
      </w:tr>
      <w:tr w:rsidR="00D75B8E" w:rsidRPr="00FF207E" w14:paraId="48F59688" w14:textId="77777777" w:rsidTr="00C03429">
        <w:tc>
          <w:tcPr>
            <w:tcW w:w="981" w:type="dxa"/>
            <w:vMerge/>
            <w:tcBorders>
              <w:left w:val="nil"/>
              <w:right w:val="single" w:sz="4" w:space="0" w:color="548DD4" w:themeColor="text2" w:themeTint="99"/>
            </w:tcBorders>
          </w:tcPr>
          <w:p w14:paraId="3CE9C5EA" w14:textId="77777777" w:rsidR="00D75B8E" w:rsidRPr="00FF207E" w:rsidRDefault="00D75B8E"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F5A7999"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Vključeni deležniki</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7CF7C961"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MOPE</w:t>
            </w:r>
          </w:p>
        </w:tc>
      </w:tr>
      <w:tr w:rsidR="0081647C" w:rsidRPr="00FF207E" w14:paraId="6AE43C01" w14:textId="77777777" w:rsidTr="00C03429">
        <w:tc>
          <w:tcPr>
            <w:tcW w:w="981" w:type="dxa"/>
            <w:vMerge/>
            <w:tcBorders>
              <w:left w:val="nil"/>
              <w:bottom w:val="single" w:sz="4" w:space="0" w:color="548DD4" w:themeColor="text2" w:themeTint="99"/>
              <w:right w:val="single" w:sz="4" w:space="0" w:color="548DD4" w:themeColor="text2" w:themeTint="99"/>
            </w:tcBorders>
          </w:tcPr>
          <w:p w14:paraId="109CC8D5" w14:textId="77777777" w:rsidR="0081647C" w:rsidRPr="00FF207E" w:rsidRDefault="0081647C"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69D15CA8" w14:textId="77777777" w:rsidR="0081647C" w:rsidRPr="00FF207E" w:rsidRDefault="0081647C" w:rsidP="001E304B">
            <w:pPr>
              <w:spacing w:line="240" w:lineRule="atLeast"/>
              <w:jc w:val="both"/>
              <w:rPr>
                <w:rFonts w:cs="Arial"/>
                <w:sz w:val="20"/>
                <w:szCs w:val="20"/>
                <w:lang w:val="sl-SI"/>
              </w:rPr>
            </w:pPr>
            <w:r w:rsidRPr="00FF207E">
              <w:rPr>
                <w:rFonts w:cs="Arial"/>
                <w:sz w:val="20"/>
                <w:szCs w:val="20"/>
                <w:lang w:val="sl-SI"/>
              </w:rPr>
              <w:t>Rok izvedbe</w:t>
            </w:r>
          </w:p>
        </w:tc>
        <w:tc>
          <w:tcPr>
            <w:tcW w:w="5771"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1FDC8B99" w14:textId="5CACEAF5" w:rsidR="0081647C" w:rsidRPr="00FF207E" w:rsidRDefault="00E06EC1" w:rsidP="001E304B">
            <w:pPr>
              <w:spacing w:line="240" w:lineRule="atLeast"/>
              <w:jc w:val="both"/>
              <w:rPr>
                <w:rFonts w:cs="Arial"/>
                <w:sz w:val="20"/>
                <w:szCs w:val="20"/>
                <w:lang w:val="sl-SI"/>
              </w:rPr>
            </w:pPr>
            <w:r w:rsidRPr="00FF207E">
              <w:rPr>
                <w:rFonts w:cs="Arial"/>
                <w:sz w:val="20"/>
                <w:szCs w:val="20"/>
                <w:lang w:val="sl-SI"/>
              </w:rPr>
              <w:t>2025</w:t>
            </w:r>
          </w:p>
        </w:tc>
      </w:tr>
      <w:tr w:rsidR="00561CAB" w:rsidRPr="00FF207E" w14:paraId="1B6FAF3D" w14:textId="77777777" w:rsidTr="00C03429">
        <w:tc>
          <w:tcPr>
            <w:tcW w:w="981" w:type="dxa"/>
            <w:vMerge w:val="restart"/>
            <w:tcBorders>
              <w:top w:val="single" w:sz="4" w:space="0" w:color="548DD4" w:themeColor="text2" w:themeTint="99"/>
              <w:left w:val="nil"/>
              <w:right w:val="single" w:sz="4" w:space="0" w:color="548DD4" w:themeColor="text2" w:themeTint="99"/>
            </w:tcBorders>
            <w:vAlign w:val="center"/>
          </w:tcPr>
          <w:p w14:paraId="4F15D8D2" w14:textId="06FB9650" w:rsidR="00561CAB" w:rsidRPr="00FF207E" w:rsidRDefault="00561CAB" w:rsidP="001E304B">
            <w:pPr>
              <w:spacing w:line="240" w:lineRule="atLeast"/>
              <w:jc w:val="both"/>
              <w:rPr>
                <w:rFonts w:cs="Arial"/>
                <w:b/>
                <w:sz w:val="24"/>
                <w:lang w:val="sl-SI"/>
              </w:rPr>
            </w:pPr>
            <w:r w:rsidRPr="00FF207E">
              <w:rPr>
                <w:rFonts w:cs="Arial"/>
                <w:b/>
                <w:sz w:val="24"/>
                <w:lang w:val="sl-SI"/>
              </w:rPr>
              <w:lastRenderedPageBreak/>
              <w:t>3</w:t>
            </w:r>
          </w:p>
        </w:tc>
        <w:tc>
          <w:tcPr>
            <w:tcW w:w="2320"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142BCA81" w14:textId="77777777" w:rsidR="00561CAB" w:rsidRPr="00FF207E" w:rsidRDefault="00561CAB" w:rsidP="001E304B">
            <w:pPr>
              <w:spacing w:line="240" w:lineRule="atLeast"/>
              <w:jc w:val="both"/>
              <w:rPr>
                <w:rFonts w:cs="Arial"/>
                <w:sz w:val="20"/>
                <w:szCs w:val="20"/>
                <w:lang w:val="sl-SI"/>
              </w:rPr>
            </w:pPr>
            <w:r w:rsidRPr="00FF207E">
              <w:rPr>
                <w:rFonts w:cs="Arial"/>
                <w:sz w:val="20"/>
                <w:szCs w:val="20"/>
                <w:lang w:val="sl-SI"/>
              </w:rPr>
              <w:t>Vsebina</w:t>
            </w:r>
          </w:p>
        </w:tc>
        <w:tc>
          <w:tcPr>
            <w:tcW w:w="5771"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6F048503" w14:textId="06F7FEA4" w:rsidR="00561CAB" w:rsidRPr="00FF207E" w:rsidRDefault="006C21F7" w:rsidP="006C21F7">
            <w:pPr>
              <w:spacing w:line="240" w:lineRule="atLeast"/>
              <w:jc w:val="both"/>
              <w:rPr>
                <w:rFonts w:cs="Arial"/>
                <w:sz w:val="20"/>
                <w:szCs w:val="20"/>
                <w:lang w:val="sl-SI"/>
              </w:rPr>
            </w:pPr>
            <w:r w:rsidRPr="00FF207E">
              <w:rPr>
                <w:rFonts w:cs="Arial"/>
                <w:sz w:val="20"/>
                <w:szCs w:val="20"/>
                <w:lang w:val="sl-SI"/>
              </w:rPr>
              <w:t>p</w:t>
            </w:r>
            <w:r w:rsidR="00561CAB" w:rsidRPr="00FF207E">
              <w:rPr>
                <w:rFonts w:cs="Arial"/>
                <w:sz w:val="20"/>
                <w:szCs w:val="20"/>
                <w:lang w:val="sl-SI"/>
              </w:rPr>
              <w:t xml:space="preserve">riprava in izvedba javnih pozivov za dodeljevanje investicijskih spodbud za ukrepe URE in </w:t>
            </w:r>
            <w:r w:rsidR="00026105" w:rsidRPr="00FF207E">
              <w:rPr>
                <w:rFonts w:cs="Arial"/>
                <w:sz w:val="20"/>
                <w:szCs w:val="20"/>
                <w:lang w:val="sl-SI"/>
              </w:rPr>
              <w:t xml:space="preserve">rabe </w:t>
            </w:r>
            <w:r w:rsidR="00561CAB" w:rsidRPr="00FF207E">
              <w:rPr>
                <w:rFonts w:cs="Arial"/>
                <w:sz w:val="20"/>
                <w:szCs w:val="20"/>
                <w:lang w:val="sl-SI"/>
              </w:rPr>
              <w:t>OVE</w:t>
            </w:r>
            <w:r w:rsidR="00C909CD" w:rsidRPr="00FF207E">
              <w:rPr>
                <w:rFonts w:cs="Arial"/>
                <w:sz w:val="20"/>
                <w:szCs w:val="20"/>
                <w:lang w:val="sl-SI"/>
              </w:rPr>
              <w:t xml:space="preserve"> energetsko revnim</w:t>
            </w:r>
            <w:r w:rsidR="00561CAB" w:rsidRPr="00FF207E">
              <w:rPr>
                <w:rFonts w:cs="Arial"/>
                <w:sz w:val="20"/>
                <w:szCs w:val="20"/>
                <w:lang w:val="sl-SI"/>
              </w:rPr>
              <w:t xml:space="preserve"> v </w:t>
            </w:r>
            <w:r w:rsidR="00407966" w:rsidRPr="00FF207E">
              <w:rPr>
                <w:rFonts w:cs="Arial"/>
                <w:sz w:val="20"/>
                <w:szCs w:val="20"/>
                <w:lang w:val="sl-SI"/>
              </w:rPr>
              <w:t xml:space="preserve">dveh </w:t>
            </w:r>
            <w:r w:rsidR="00561CAB" w:rsidRPr="00FF207E">
              <w:rPr>
                <w:rFonts w:cs="Arial"/>
                <w:sz w:val="20"/>
                <w:szCs w:val="20"/>
                <w:lang w:val="sl-SI"/>
              </w:rPr>
              <w:t>pilotnih regijah</w:t>
            </w:r>
            <w:r w:rsidRPr="00FF207E">
              <w:rPr>
                <w:rFonts w:cs="Arial"/>
                <w:sz w:val="20"/>
                <w:szCs w:val="20"/>
                <w:lang w:val="sl-SI"/>
              </w:rPr>
              <w:t>;</w:t>
            </w:r>
            <w:r w:rsidR="00561CAB" w:rsidRPr="00FF207E">
              <w:rPr>
                <w:rFonts w:cs="Arial"/>
                <w:sz w:val="20"/>
                <w:szCs w:val="20"/>
                <w:lang w:val="sl-SI"/>
              </w:rPr>
              <w:t xml:space="preserve"> </w:t>
            </w:r>
            <w:r w:rsidRPr="00FF207E">
              <w:rPr>
                <w:rFonts w:cs="Arial"/>
                <w:sz w:val="20"/>
                <w:szCs w:val="20"/>
                <w:lang w:val="sl-SI"/>
              </w:rPr>
              <w:t>d</w:t>
            </w:r>
            <w:r w:rsidR="009540C0" w:rsidRPr="00FF207E">
              <w:rPr>
                <w:rFonts w:cs="Arial"/>
                <w:sz w:val="20"/>
                <w:szCs w:val="20"/>
                <w:lang w:val="sl-SI"/>
              </w:rPr>
              <w:t xml:space="preserve">odeljevanje investicijskih </w:t>
            </w:r>
            <w:r w:rsidR="00B11EC5" w:rsidRPr="00FF207E">
              <w:rPr>
                <w:rFonts w:cs="Arial"/>
                <w:sz w:val="20"/>
                <w:szCs w:val="20"/>
                <w:lang w:val="sl-SI"/>
              </w:rPr>
              <w:t xml:space="preserve">spodbud za ukrepe URE in </w:t>
            </w:r>
            <w:r w:rsidR="00026105" w:rsidRPr="00FF207E">
              <w:rPr>
                <w:rFonts w:cs="Arial"/>
                <w:sz w:val="20"/>
                <w:szCs w:val="20"/>
                <w:lang w:val="sl-SI"/>
              </w:rPr>
              <w:t xml:space="preserve">rabe </w:t>
            </w:r>
            <w:r w:rsidR="00B11EC5" w:rsidRPr="00FF207E">
              <w:rPr>
                <w:rFonts w:cs="Arial"/>
                <w:sz w:val="20"/>
                <w:szCs w:val="20"/>
                <w:lang w:val="sl-SI"/>
              </w:rPr>
              <w:t>OVE v pilotnih regijah</w:t>
            </w:r>
          </w:p>
        </w:tc>
      </w:tr>
      <w:tr w:rsidR="00561CAB" w:rsidRPr="00FF207E" w14:paraId="7579F6A5" w14:textId="77777777" w:rsidTr="00C03429">
        <w:tc>
          <w:tcPr>
            <w:tcW w:w="981" w:type="dxa"/>
            <w:vMerge/>
            <w:tcBorders>
              <w:left w:val="nil"/>
              <w:right w:val="single" w:sz="4" w:space="0" w:color="548DD4" w:themeColor="text2" w:themeTint="99"/>
            </w:tcBorders>
          </w:tcPr>
          <w:p w14:paraId="26A28769" w14:textId="77777777" w:rsidR="00561CAB" w:rsidRPr="00FF207E" w:rsidRDefault="00561CAB"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4318F3A" w14:textId="77777777" w:rsidR="00561CAB" w:rsidRPr="00FF207E" w:rsidRDefault="00561CAB" w:rsidP="001E304B">
            <w:pPr>
              <w:spacing w:line="240" w:lineRule="atLeast"/>
              <w:jc w:val="both"/>
              <w:rPr>
                <w:rFonts w:cs="Arial"/>
                <w:sz w:val="20"/>
                <w:szCs w:val="20"/>
                <w:lang w:val="sl-SI"/>
              </w:rPr>
            </w:pPr>
            <w:r w:rsidRPr="00FF207E">
              <w:rPr>
                <w:rFonts w:cs="Arial"/>
                <w:sz w:val="20"/>
                <w:szCs w:val="20"/>
                <w:lang w:val="sl-SI"/>
              </w:rPr>
              <w:t>Odgovornost</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3C5073DF" w14:textId="499FC951" w:rsidR="00561CAB" w:rsidRPr="00FF207E" w:rsidRDefault="00561CAB"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r w:rsidR="0099233D" w:rsidRPr="00FF207E">
              <w:rPr>
                <w:rFonts w:cs="Arial"/>
                <w:sz w:val="20"/>
                <w:szCs w:val="20"/>
                <w:lang w:val="sl-SI"/>
              </w:rPr>
              <w:t xml:space="preserve">, </w:t>
            </w:r>
            <w:r w:rsidR="00051CEB" w:rsidRPr="00FF207E">
              <w:rPr>
                <w:rFonts w:cs="Arial"/>
                <w:sz w:val="20"/>
                <w:szCs w:val="20"/>
                <w:lang w:val="sl-SI"/>
              </w:rPr>
              <w:t>projektna</w:t>
            </w:r>
            <w:r w:rsidR="0099233D" w:rsidRPr="00FF207E">
              <w:rPr>
                <w:rFonts w:cs="Arial"/>
                <w:sz w:val="20"/>
                <w:szCs w:val="20"/>
                <w:lang w:val="sl-SI"/>
              </w:rPr>
              <w:t xml:space="preserve"> pisarna</w:t>
            </w:r>
          </w:p>
        </w:tc>
      </w:tr>
      <w:tr w:rsidR="00561CAB" w:rsidRPr="00FF207E" w14:paraId="16750624" w14:textId="77777777" w:rsidTr="00C03429">
        <w:tc>
          <w:tcPr>
            <w:tcW w:w="981" w:type="dxa"/>
            <w:vMerge/>
            <w:tcBorders>
              <w:left w:val="nil"/>
              <w:right w:val="single" w:sz="4" w:space="0" w:color="548DD4" w:themeColor="text2" w:themeTint="99"/>
            </w:tcBorders>
          </w:tcPr>
          <w:p w14:paraId="62F80077" w14:textId="77777777" w:rsidR="00561CAB" w:rsidRPr="00FF207E" w:rsidRDefault="00561CAB"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5F36BE0E" w14:textId="77777777" w:rsidR="00561CAB" w:rsidRPr="00FF207E" w:rsidRDefault="00561CAB" w:rsidP="001E304B">
            <w:pPr>
              <w:spacing w:line="240" w:lineRule="atLeast"/>
              <w:jc w:val="both"/>
              <w:rPr>
                <w:rFonts w:cs="Arial"/>
                <w:sz w:val="20"/>
                <w:szCs w:val="20"/>
                <w:lang w:val="sl-SI"/>
              </w:rPr>
            </w:pPr>
            <w:r w:rsidRPr="00FF207E">
              <w:rPr>
                <w:rFonts w:cs="Arial"/>
                <w:sz w:val="20"/>
                <w:szCs w:val="20"/>
                <w:lang w:val="sl-SI"/>
              </w:rPr>
              <w:t>Vključeni deležniki</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5225FD58" w14:textId="6D74D2A7" w:rsidR="00561CAB" w:rsidRPr="00FF207E" w:rsidRDefault="00561CAB" w:rsidP="001E304B">
            <w:pPr>
              <w:spacing w:line="240" w:lineRule="atLeast"/>
              <w:jc w:val="both"/>
              <w:rPr>
                <w:rFonts w:cs="Arial"/>
                <w:sz w:val="20"/>
                <w:szCs w:val="20"/>
                <w:lang w:val="sl-SI"/>
              </w:rPr>
            </w:pPr>
            <w:r w:rsidRPr="00FF207E">
              <w:rPr>
                <w:rFonts w:cs="Arial"/>
                <w:sz w:val="20"/>
                <w:szCs w:val="20"/>
                <w:lang w:val="sl-SI"/>
              </w:rPr>
              <w:t>MOPE, regionaln</w:t>
            </w:r>
            <w:r w:rsidR="00051CEB" w:rsidRPr="00FF207E">
              <w:rPr>
                <w:rFonts w:cs="Arial"/>
                <w:sz w:val="20"/>
                <w:szCs w:val="20"/>
                <w:lang w:val="sl-SI"/>
              </w:rPr>
              <w:t>e</w:t>
            </w:r>
            <w:r w:rsidRPr="00FF207E">
              <w:rPr>
                <w:rFonts w:cs="Arial"/>
                <w:sz w:val="20"/>
                <w:szCs w:val="20"/>
                <w:lang w:val="sl-SI"/>
              </w:rPr>
              <w:t xml:space="preserve"> svetovaln</w:t>
            </w:r>
            <w:r w:rsidR="00051CEB" w:rsidRPr="00FF207E">
              <w:rPr>
                <w:rFonts w:cs="Arial"/>
                <w:sz w:val="20"/>
                <w:szCs w:val="20"/>
                <w:lang w:val="sl-SI"/>
              </w:rPr>
              <w:t>e</w:t>
            </w:r>
            <w:r w:rsidRPr="00FF207E">
              <w:rPr>
                <w:rFonts w:cs="Arial"/>
                <w:sz w:val="20"/>
                <w:szCs w:val="20"/>
                <w:lang w:val="sl-SI"/>
              </w:rPr>
              <w:t xml:space="preserve"> </w:t>
            </w:r>
            <w:r w:rsidR="00051CEB" w:rsidRPr="00FF207E">
              <w:rPr>
                <w:rFonts w:cs="Arial"/>
                <w:sz w:val="20"/>
                <w:szCs w:val="20"/>
                <w:lang w:val="sl-SI"/>
              </w:rPr>
              <w:t>točke</w:t>
            </w:r>
          </w:p>
        </w:tc>
      </w:tr>
      <w:tr w:rsidR="00561CAB" w:rsidRPr="00FF207E" w14:paraId="5AF8DFE5" w14:textId="77777777" w:rsidTr="00C03429">
        <w:tc>
          <w:tcPr>
            <w:tcW w:w="981" w:type="dxa"/>
            <w:vMerge/>
            <w:tcBorders>
              <w:left w:val="nil"/>
              <w:bottom w:val="single" w:sz="4" w:space="0" w:color="548DD4" w:themeColor="text2" w:themeTint="99"/>
              <w:right w:val="single" w:sz="4" w:space="0" w:color="548DD4" w:themeColor="text2" w:themeTint="99"/>
            </w:tcBorders>
          </w:tcPr>
          <w:p w14:paraId="22795F82" w14:textId="77777777" w:rsidR="00561CAB" w:rsidRPr="00FF207E" w:rsidRDefault="00561CAB"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2551BC32" w14:textId="77777777" w:rsidR="00561CAB" w:rsidRPr="00FF207E" w:rsidRDefault="00561CAB" w:rsidP="001E304B">
            <w:pPr>
              <w:spacing w:line="240" w:lineRule="atLeast"/>
              <w:jc w:val="both"/>
              <w:rPr>
                <w:rFonts w:cs="Arial"/>
                <w:sz w:val="20"/>
                <w:szCs w:val="20"/>
                <w:lang w:val="sl-SI"/>
              </w:rPr>
            </w:pPr>
            <w:r w:rsidRPr="00FF207E">
              <w:rPr>
                <w:rFonts w:cs="Arial"/>
                <w:sz w:val="20"/>
                <w:szCs w:val="20"/>
                <w:lang w:val="sl-SI"/>
              </w:rPr>
              <w:t>Rok izvedbe</w:t>
            </w:r>
          </w:p>
        </w:tc>
        <w:tc>
          <w:tcPr>
            <w:tcW w:w="5771"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4BAD85F5" w14:textId="43F9997E" w:rsidR="00561CAB" w:rsidRPr="00FF207E" w:rsidRDefault="004777A6" w:rsidP="001E304B">
            <w:pPr>
              <w:spacing w:line="240" w:lineRule="atLeast"/>
              <w:jc w:val="both"/>
              <w:rPr>
                <w:rFonts w:cs="Arial"/>
                <w:sz w:val="20"/>
                <w:szCs w:val="20"/>
                <w:lang w:val="sl-SI"/>
              </w:rPr>
            </w:pPr>
            <w:r w:rsidRPr="00FF207E">
              <w:rPr>
                <w:rFonts w:cs="Arial"/>
                <w:sz w:val="20"/>
                <w:szCs w:val="20"/>
                <w:lang w:val="sl-SI"/>
              </w:rPr>
              <w:t>2025</w:t>
            </w:r>
          </w:p>
        </w:tc>
      </w:tr>
      <w:tr w:rsidR="00C03429" w:rsidRPr="00FF207E" w14:paraId="6CD49426" w14:textId="77777777" w:rsidTr="00C03429">
        <w:tc>
          <w:tcPr>
            <w:tcW w:w="981" w:type="dxa"/>
            <w:vMerge w:val="restart"/>
            <w:tcBorders>
              <w:top w:val="single" w:sz="4" w:space="0" w:color="548DD4" w:themeColor="text2" w:themeTint="99"/>
              <w:left w:val="nil"/>
              <w:right w:val="single" w:sz="4" w:space="0" w:color="548DD4" w:themeColor="text2" w:themeTint="99"/>
            </w:tcBorders>
            <w:vAlign w:val="center"/>
          </w:tcPr>
          <w:p w14:paraId="0841075D" w14:textId="2096B517" w:rsidR="00C03429" w:rsidRPr="00FF207E" w:rsidRDefault="00C03429" w:rsidP="00C03429">
            <w:pPr>
              <w:spacing w:line="240" w:lineRule="atLeast"/>
              <w:jc w:val="both"/>
              <w:rPr>
                <w:rFonts w:cs="Arial"/>
                <w:b/>
                <w:sz w:val="24"/>
                <w:lang w:val="sl-SI"/>
              </w:rPr>
            </w:pPr>
            <w:r w:rsidRPr="00FF207E">
              <w:rPr>
                <w:rFonts w:cs="Arial"/>
                <w:b/>
                <w:sz w:val="24"/>
                <w:lang w:val="sl-SI"/>
              </w:rPr>
              <w:t>4</w:t>
            </w:r>
          </w:p>
        </w:tc>
        <w:tc>
          <w:tcPr>
            <w:tcW w:w="2320"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41C42E7C" w14:textId="50ADE5DB" w:rsidR="00C03429" w:rsidRPr="00FF207E" w:rsidRDefault="00C03429" w:rsidP="00C03429">
            <w:pPr>
              <w:spacing w:line="240" w:lineRule="atLeast"/>
              <w:jc w:val="both"/>
              <w:rPr>
                <w:rFonts w:cs="Arial"/>
                <w:sz w:val="20"/>
                <w:szCs w:val="20"/>
                <w:lang w:val="sl-SI"/>
              </w:rPr>
            </w:pPr>
            <w:r w:rsidRPr="00FF207E">
              <w:rPr>
                <w:rFonts w:cs="Arial"/>
                <w:sz w:val="20"/>
                <w:szCs w:val="20"/>
                <w:lang w:val="sl-SI"/>
              </w:rPr>
              <w:t>Vsebina</w:t>
            </w:r>
          </w:p>
        </w:tc>
        <w:tc>
          <w:tcPr>
            <w:tcW w:w="5771"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1E3831A0" w14:textId="4D9B9159" w:rsidR="00C03429" w:rsidRPr="00FF207E" w:rsidRDefault="00DB09C7" w:rsidP="00424E69">
            <w:pPr>
              <w:spacing w:line="240" w:lineRule="atLeast"/>
              <w:jc w:val="both"/>
              <w:rPr>
                <w:rFonts w:cs="Arial"/>
                <w:sz w:val="20"/>
                <w:szCs w:val="20"/>
                <w:lang w:val="sl-SI"/>
              </w:rPr>
            </w:pPr>
            <w:r w:rsidRPr="00FF207E">
              <w:rPr>
                <w:rFonts w:cs="Arial"/>
                <w:sz w:val="20"/>
                <w:szCs w:val="20"/>
                <w:lang w:val="sl-SI"/>
              </w:rPr>
              <w:t xml:space="preserve">V okviru priprave socialnega načrta za podnebje je treba </w:t>
            </w:r>
            <w:r w:rsidR="00DF1991" w:rsidRPr="00FF207E">
              <w:rPr>
                <w:rFonts w:cs="Arial"/>
                <w:sz w:val="20"/>
                <w:szCs w:val="20"/>
                <w:lang w:val="sl-SI"/>
              </w:rPr>
              <w:t xml:space="preserve">načrtovati </w:t>
            </w:r>
            <w:r w:rsidRPr="00FF207E">
              <w:rPr>
                <w:rFonts w:cs="Arial"/>
                <w:sz w:val="20"/>
                <w:szCs w:val="20"/>
                <w:lang w:val="sl-SI"/>
              </w:rPr>
              <w:t>manjkajoča sredstva</w:t>
            </w:r>
            <w:r w:rsidR="00DF1991" w:rsidRPr="00FF207E">
              <w:rPr>
                <w:rFonts w:cs="Arial"/>
                <w:sz w:val="20"/>
                <w:szCs w:val="20"/>
                <w:lang w:val="sl-SI"/>
              </w:rPr>
              <w:t xml:space="preserve">, </w:t>
            </w:r>
            <w:r w:rsidRPr="00FF207E">
              <w:rPr>
                <w:rFonts w:cs="Arial"/>
                <w:sz w:val="20"/>
                <w:szCs w:val="20"/>
                <w:lang w:val="sl-SI"/>
              </w:rPr>
              <w:t xml:space="preserve">ki bodo </w:t>
            </w:r>
            <w:r w:rsidR="00DF1991" w:rsidRPr="00FF207E">
              <w:rPr>
                <w:rFonts w:cs="Arial"/>
                <w:sz w:val="20"/>
                <w:szCs w:val="20"/>
                <w:lang w:val="sl-SI"/>
              </w:rPr>
              <w:t xml:space="preserve">v obdobju 2026–2030 </w:t>
            </w:r>
            <w:r w:rsidRPr="00FF207E">
              <w:rPr>
                <w:rFonts w:cs="Arial"/>
                <w:sz w:val="20"/>
                <w:szCs w:val="20"/>
                <w:lang w:val="sl-SI"/>
              </w:rPr>
              <w:t xml:space="preserve">namenjena zmanjševanju energetske revščine </w:t>
            </w:r>
            <w:r w:rsidR="00DF1991" w:rsidRPr="00FF207E">
              <w:rPr>
                <w:rFonts w:cs="Arial"/>
                <w:sz w:val="20"/>
                <w:szCs w:val="20"/>
                <w:lang w:val="sl-SI"/>
              </w:rPr>
              <w:t xml:space="preserve">iz Socialnega sklada za podnebje na ravni EU, okvirno </w:t>
            </w:r>
            <w:r w:rsidR="00424E69" w:rsidRPr="00FF207E">
              <w:rPr>
                <w:rFonts w:cs="Arial"/>
                <w:sz w:val="20"/>
                <w:szCs w:val="20"/>
                <w:lang w:val="sl-SI"/>
              </w:rPr>
              <w:t>85</w:t>
            </w:r>
            <w:r w:rsidR="00DF1991" w:rsidRPr="00FF207E">
              <w:rPr>
                <w:rFonts w:cs="Arial"/>
                <w:sz w:val="20"/>
                <w:szCs w:val="20"/>
                <w:lang w:val="sl-SI"/>
              </w:rPr>
              <w:t xml:space="preserve"> milijonov evrov, </w:t>
            </w:r>
            <w:r w:rsidRPr="00FF207E">
              <w:rPr>
                <w:rFonts w:cs="Arial"/>
                <w:sz w:val="20"/>
                <w:szCs w:val="20"/>
                <w:lang w:val="sl-SI"/>
              </w:rPr>
              <w:t>in s tem doseganju cilja, ki izhaja iz 8.</w:t>
            </w:r>
            <w:r w:rsidR="00DF1991" w:rsidRPr="00FF207E">
              <w:rPr>
                <w:rFonts w:cs="Arial"/>
                <w:sz w:val="20"/>
                <w:szCs w:val="20"/>
                <w:lang w:val="sl-SI"/>
              </w:rPr>
              <w:t> </w:t>
            </w:r>
            <w:r w:rsidRPr="00FF207E">
              <w:rPr>
                <w:rFonts w:cs="Arial"/>
                <w:sz w:val="20"/>
                <w:szCs w:val="20"/>
                <w:lang w:val="sl-SI"/>
              </w:rPr>
              <w:t xml:space="preserve">člena EED (glej poglavje </w:t>
            </w:r>
            <w:r w:rsidRPr="00FF207E">
              <w:rPr>
                <w:rFonts w:cs="Arial"/>
                <w:sz w:val="20"/>
                <w:szCs w:val="20"/>
                <w:lang w:val="sl-SI"/>
              </w:rPr>
              <w:fldChar w:fldCharType="begin"/>
            </w:r>
            <w:r w:rsidRPr="00FF207E">
              <w:rPr>
                <w:rFonts w:cs="Arial"/>
                <w:sz w:val="20"/>
                <w:szCs w:val="20"/>
                <w:lang w:val="sl-SI"/>
              </w:rPr>
              <w:instrText xml:space="preserve"> REF _Ref150249089 \r \h </w:instrText>
            </w:r>
            <w:r w:rsidR="00E14FB8" w:rsidRPr="00FF207E">
              <w:rPr>
                <w:rFonts w:cs="Arial"/>
                <w:sz w:val="20"/>
                <w:szCs w:val="20"/>
                <w:lang w:val="sl-SI"/>
              </w:rPr>
              <w:instrText xml:space="preserve"> \* MERGEFORMAT </w:instrText>
            </w:r>
            <w:r w:rsidRPr="00FF207E">
              <w:rPr>
                <w:rFonts w:cs="Arial"/>
                <w:sz w:val="20"/>
                <w:szCs w:val="20"/>
                <w:lang w:val="sl-SI"/>
              </w:rPr>
            </w:r>
            <w:r w:rsidRPr="00FF207E">
              <w:rPr>
                <w:rFonts w:cs="Arial"/>
                <w:sz w:val="20"/>
                <w:szCs w:val="20"/>
                <w:lang w:val="sl-SI"/>
              </w:rPr>
              <w:fldChar w:fldCharType="separate"/>
            </w:r>
            <w:r w:rsidR="00F37FD1" w:rsidRPr="00FF207E">
              <w:rPr>
                <w:rFonts w:cs="Arial"/>
                <w:sz w:val="20"/>
                <w:szCs w:val="20"/>
                <w:lang w:val="sl-SI"/>
              </w:rPr>
              <w:t>2.1</w:t>
            </w:r>
            <w:r w:rsidRPr="00FF207E">
              <w:rPr>
                <w:rFonts w:cs="Arial"/>
                <w:sz w:val="20"/>
                <w:szCs w:val="20"/>
                <w:lang w:val="sl-SI"/>
              </w:rPr>
              <w:fldChar w:fldCharType="end"/>
            </w:r>
            <w:r w:rsidRPr="00FF207E">
              <w:rPr>
                <w:rFonts w:cs="Arial"/>
                <w:sz w:val="20"/>
                <w:szCs w:val="20"/>
                <w:lang w:val="sl-SI"/>
              </w:rPr>
              <w:t>).</w:t>
            </w:r>
            <w:r w:rsidR="00DF1991" w:rsidRPr="00FF207E">
              <w:rPr>
                <w:rFonts w:cs="Arial"/>
                <w:sz w:val="20"/>
                <w:szCs w:val="20"/>
                <w:lang w:val="sl-SI"/>
              </w:rPr>
              <w:t xml:space="preserve"> Ustrezno načrtovanje sredstev v socialnem načrtu za podnebje je </w:t>
            </w:r>
            <w:r w:rsidR="00D55FFB" w:rsidRPr="00FF207E">
              <w:rPr>
                <w:rFonts w:cs="Arial"/>
                <w:sz w:val="20"/>
                <w:szCs w:val="20"/>
                <w:lang w:val="sl-SI"/>
              </w:rPr>
              <w:t xml:space="preserve">prvi pogoj </w:t>
            </w:r>
            <w:r w:rsidR="00DF1991" w:rsidRPr="00FF207E">
              <w:rPr>
                <w:rFonts w:cs="Arial"/>
                <w:sz w:val="20"/>
                <w:szCs w:val="20"/>
                <w:lang w:val="sl-SI"/>
              </w:rPr>
              <w:t>za njihovo črpanje.</w:t>
            </w:r>
          </w:p>
        </w:tc>
      </w:tr>
      <w:tr w:rsidR="00C03429" w:rsidRPr="00FF207E" w14:paraId="49E5A724" w14:textId="77777777" w:rsidTr="00C03429">
        <w:tc>
          <w:tcPr>
            <w:tcW w:w="981" w:type="dxa"/>
            <w:vMerge/>
            <w:tcBorders>
              <w:left w:val="nil"/>
              <w:right w:val="single" w:sz="4" w:space="0" w:color="548DD4" w:themeColor="text2" w:themeTint="99"/>
            </w:tcBorders>
          </w:tcPr>
          <w:p w14:paraId="32446B85" w14:textId="77777777" w:rsidR="00C03429" w:rsidRPr="00FF207E" w:rsidRDefault="00C03429" w:rsidP="00C03429">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5DD8E95" w14:textId="592B4E03" w:rsidR="00C03429" w:rsidRPr="00FF207E" w:rsidRDefault="00C03429" w:rsidP="00C03429">
            <w:pPr>
              <w:spacing w:line="240" w:lineRule="atLeast"/>
              <w:jc w:val="both"/>
              <w:rPr>
                <w:rFonts w:cs="Arial"/>
                <w:sz w:val="20"/>
                <w:szCs w:val="20"/>
                <w:lang w:val="sl-SI"/>
              </w:rPr>
            </w:pPr>
            <w:r w:rsidRPr="00FF207E">
              <w:rPr>
                <w:rFonts w:cs="Arial"/>
                <w:sz w:val="20"/>
                <w:szCs w:val="20"/>
                <w:lang w:val="sl-SI"/>
              </w:rPr>
              <w:t>Odgovornost</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FB3A5A0" w14:textId="6D5C9F41" w:rsidR="00C03429" w:rsidRPr="00FF207E" w:rsidRDefault="00C03429" w:rsidP="00C03429">
            <w:pPr>
              <w:spacing w:line="240" w:lineRule="atLeast"/>
              <w:jc w:val="both"/>
              <w:rPr>
                <w:rFonts w:cs="Arial"/>
                <w:sz w:val="20"/>
                <w:szCs w:val="20"/>
                <w:lang w:val="sl-SI"/>
              </w:rPr>
            </w:pPr>
            <w:r w:rsidRPr="00FF207E">
              <w:rPr>
                <w:rFonts w:cs="Arial"/>
                <w:sz w:val="20"/>
                <w:szCs w:val="20"/>
                <w:lang w:val="sl-SI"/>
              </w:rPr>
              <w:t>MOPE</w:t>
            </w:r>
          </w:p>
        </w:tc>
      </w:tr>
      <w:tr w:rsidR="00C03429" w:rsidRPr="00FF207E" w14:paraId="5B7AA87D" w14:textId="77777777" w:rsidTr="00C03429">
        <w:tc>
          <w:tcPr>
            <w:tcW w:w="981" w:type="dxa"/>
            <w:vMerge/>
            <w:tcBorders>
              <w:left w:val="nil"/>
              <w:right w:val="single" w:sz="4" w:space="0" w:color="548DD4" w:themeColor="text2" w:themeTint="99"/>
            </w:tcBorders>
          </w:tcPr>
          <w:p w14:paraId="0A49FCE1" w14:textId="77777777" w:rsidR="00C03429" w:rsidRPr="00FF207E" w:rsidRDefault="00C03429" w:rsidP="00C03429">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5376ED53" w14:textId="15567C79" w:rsidR="00C03429" w:rsidRPr="00FF207E" w:rsidRDefault="00C03429" w:rsidP="00C03429">
            <w:pPr>
              <w:spacing w:line="240" w:lineRule="atLeast"/>
              <w:jc w:val="both"/>
              <w:rPr>
                <w:rFonts w:cs="Arial"/>
                <w:sz w:val="20"/>
                <w:szCs w:val="20"/>
                <w:lang w:val="sl-SI"/>
              </w:rPr>
            </w:pPr>
            <w:r w:rsidRPr="00FF207E">
              <w:rPr>
                <w:rFonts w:cs="Arial"/>
                <w:sz w:val="20"/>
                <w:szCs w:val="20"/>
                <w:lang w:val="sl-SI"/>
              </w:rPr>
              <w:t>Vključeni deležniki</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47B5BBA" w14:textId="28D7E02F" w:rsidR="00C03429" w:rsidRPr="00FF207E" w:rsidRDefault="00C03429" w:rsidP="00C03429">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C03429" w:rsidRPr="00FF207E" w14:paraId="482DC83A" w14:textId="77777777" w:rsidTr="00C03429">
        <w:tc>
          <w:tcPr>
            <w:tcW w:w="981" w:type="dxa"/>
            <w:vMerge/>
            <w:tcBorders>
              <w:left w:val="nil"/>
              <w:bottom w:val="single" w:sz="4" w:space="0" w:color="548DD4" w:themeColor="text2" w:themeTint="99"/>
              <w:right w:val="single" w:sz="4" w:space="0" w:color="548DD4" w:themeColor="text2" w:themeTint="99"/>
            </w:tcBorders>
          </w:tcPr>
          <w:p w14:paraId="0B9EACEA" w14:textId="77777777" w:rsidR="00C03429" w:rsidRPr="00FF207E" w:rsidRDefault="00C03429" w:rsidP="00C03429">
            <w:pPr>
              <w:spacing w:line="240" w:lineRule="atLeast"/>
              <w:jc w:val="both"/>
              <w:rPr>
                <w:rFonts w:cs="Arial"/>
                <w:sz w:val="20"/>
                <w:szCs w:val="20"/>
                <w:lang w:val="sl-SI"/>
              </w:rPr>
            </w:pPr>
          </w:p>
        </w:tc>
        <w:tc>
          <w:tcPr>
            <w:tcW w:w="2320"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615C36E4" w14:textId="7CC045CF" w:rsidR="00C03429" w:rsidRPr="00FF207E" w:rsidRDefault="00C03429" w:rsidP="00C03429">
            <w:pPr>
              <w:spacing w:line="240" w:lineRule="atLeast"/>
              <w:jc w:val="both"/>
              <w:rPr>
                <w:rFonts w:cs="Arial"/>
                <w:sz w:val="20"/>
                <w:szCs w:val="20"/>
                <w:lang w:val="sl-SI"/>
              </w:rPr>
            </w:pPr>
            <w:r w:rsidRPr="00FF207E">
              <w:rPr>
                <w:rFonts w:cs="Arial"/>
                <w:sz w:val="20"/>
                <w:szCs w:val="20"/>
                <w:lang w:val="sl-SI"/>
              </w:rPr>
              <w:t>Rok izvedbe</w:t>
            </w:r>
          </w:p>
        </w:tc>
        <w:tc>
          <w:tcPr>
            <w:tcW w:w="5771"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29B2B746" w14:textId="56A91F46" w:rsidR="00C03429" w:rsidRPr="00FF207E" w:rsidRDefault="00CF690A" w:rsidP="00C03429">
            <w:pPr>
              <w:spacing w:line="240" w:lineRule="atLeast"/>
              <w:jc w:val="both"/>
              <w:rPr>
                <w:rFonts w:cs="Arial"/>
                <w:sz w:val="20"/>
                <w:szCs w:val="20"/>
                <w:lang w:val="sl-SI"/>
              </w:rPr>
            </w:pPr>
            <w:r w:rsidRPr="00FF207E">
              <w:rPr>
                <w:rFonts w:cs="Arial"/>
                <w:sz w:val="20"/>
                <w:szCs w:val="20"/>
                <w:lang w:val="sl-SI"/>
              </w:rPr>
              <w:t>2025</w:t>
            </w:r>
          </w:p>
        </w:tc>
      </w:tr>
      <w:tr w:rsidR="00D75B8E" w:rsidRPr="00FF207E" w14:paraId="6DCE2AB0" w14:textId="77777777" w:rsidTr="00C03429">
        <w:tc>
          <w:tcPr>
            <w:tcW w:w="9072" w:type="dxa"/>
            <w:gridSpan w:val="3"/>
            <w:tcBorders>
              <w:top w:val="single" w:sz="4" w:space="0" w:color="548DD4" w:themeColor="text2" w:themeTint="99"/>
              <w:left w:val="nil"/>
              <w:bottom w:val="single" w:sz="4" w:space="0" w:color="548DD4" w:themeColor="text2" w:themeTint="99"/>
              <w:right w:val="nil"/>
            </w:tcBorders>
            <w:shd w:val="clear" w:color="auto" w:fill="DBE5F1" w:themeFill="accent1" w:themeFillTint="33"/>
          </w:tcPr>
          <w:p w14:paraId="73967332" w14:textId="7AEB4B0E" w:rsidR="00D75B8E" w:rsidRPr="00FF207E" w:rsidRDefault="00A90397" w:rsidP="001E304B">
            <w:pPr>
              <w:spacing w:before="40" w:after="40" w:line="240" w:lineRule="atLeast"/>
              <w:jc w:val="both"/>
              <w:rPr>
                <w:rFonts w:cs="Arial"/>
                <w:b/>
                <w:sz w:val="20"/>
                <w:szCs w:val="20"/>
                <w:lang w:val="sl-SI"/>
              </w:rPr>
            </w:pPr>
            <w:r w:rsidRPr="00FF207E">
              <w:rPr>
                <w:rFonts w:cs="Arial"/>
                <w:b/>
                <w:sz w:val="20"/>
                <w:szCs w:val="20"/>
                <w:lang w:val="sl-SI"/>
              </w:rPr>
              <w:t>Nadgradnja investicijskih spodbud (pravne in druge podlage)</w:t>
            </w:r>
          </w:p>
        </w:tc>
      </w:tr>
      <w:tr w:rsidR="00D75B8E" w:rsidRPr="00FF207E" w14:paraId="284AFD2C" w14:textId="77777777" w:rsidTr="00C03429">
        <w:tc>
          <w:tcPr>
            <w:tcW w:w="981" w:type="dxa"/>
            <w:vMerge w:val="restart"/>
            <w:tcBorders>
              <w:top w:val="single" w:sz="4" w:space="0" w:color="548DD4" w:themeColor="text2" w:themeTint="99"/>
              <w:left w:val="nil"/>
              <w:right w:val="single" w:sz="4" w:space="0" w:color="548DD4" w:themeColor="text2" w:themeTint="99"/>
            </w:tcBorders>
            <w:vAlign w:val="center"/>
          </w:tcPr>
          <w:p w14:paraId="1948A6F0" w14:textId="26993C53" w:rsidR="00D75B8E" w:rsidRPr="00FF207E" w:rsidRDefault="00D75B8E" w:rsidP="001E304B">
            <w:pPr>
              <w:spacing w:line="240" w:lineRule="atLeast"/>
              <w:jc w:val="both"/>
              <w:rPr>
                <w:rFonts w:cs="Arial"/>
                <w:b/>
                <w:sz w:val="24"/>
                <w:lang w:val="sl-SI"/>
              </w:rPr>
            </w:pPr>
            <w:r w:rsidRPr="00FF207E">
              <w:rPr>
                <w:rFonts w:cs="Arial"/>
                <w:b/>
                <w:sz w:val="24"/>
                <w:lang w:val="sl-SI"/>
              </w:rPr>
              <w:t>5</w:t>
            </w:r>
          </w:p>
        </w:tc>
        <w:tc>
          <w:tcPr>
            <w:tcW w:w="2320"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1339088D"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Vsebina</w:t>
            </w:r>
          </w:p>
        </w:tc>
        <w:tc>
          <w:tcPr>
            <w:tcW w:w="5771"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0E09C804" w14:textId="29726FA4" w:rsidR="00D75B8E" w:rsidRPr="00FF207E" w:rsidRDefault="006C21F7" w:rsidP="001E304B">
            <w:pPr>
              <w:spacing w:line="240" w:lineRule="atLeast"/>
              <w:jc w:val="both"/>
              <w:rPr>
                <w:rFonts w:cs="Arial"/>
                <w:sz w:val="20"/>
                <w:szCs w:val="20"/>
                <w:lang w:val="sl-SI"/>
              </w:rPr>
            </w:pPr>
            <w:r w:rsidRPr="00FF207E">
              <w:rPr>
                <w:rFonts w:cs="Arial"/>
                <w:bCs/>
                <w:sz w:val="20"/>
                <w:szCs w:val="20"/>
                <w:lang w:val="sl-SI"/>
              </w:rPr>
              <w:t>p</w:t>
            </w:r>
            <w:r w:rsidR="00077FF8" w:rsidRPr="00FF207E">
              <w:rPr>
                <w:rFonts w:cs="Arial"/>
                <w:bCs/>
                <w:sz w:val="20"/>
                <w:szCs w:val="20"/>
                <w:lang w:val="sl-SI"/>
              </w:rPr>
              <w:t>riprava in uskladitev zakonodajnih podlag, ki bi omogočile povezavo oz</w:t>
            </w:r>
            <w:r w:rsidR="00B77973" w:rsidRPr="00FF207E">
              <w:rPr>
                <w:rFonts w:cs="Arial"/>
                <w:bCs/>
                <w:sz w:val="20"/>
                <w:szCs w:val="20"/>
                <w:lang w:val="sl-SI"/>
              </w:rPr>
              <w:t>iroma</w:t>
            </w:r>
            <w:r w:rsidR="00077FF8" w:rsidRPr="00FF207E">
              <w:rPr>
                <w:rFonts w:cs="Arial"/>
                <w:bCs/>
                <w:sz w:val="20"/>
                <w:szCs w:val="20"/>
                <w:lang w:val="sl-SI"/>
              </w:rPr>
              <w:t xml:space="preserve"> dostop </w:t>
            </w:r>
            <w:proofErr w:type="spellStart"/>
            <w:r w:rsidR="00077FF8" w:rsidRPr="00FF207E">
              <w:rPr>
                <w:rFonts w:cs="Arial"/>
                <w:bCs/>
                <w:sz w:val="20"/>
                <w:szCs w:val="20"/>
                <w:lang w:val="sl-SI"/>
              </w:rPr>
              <w:t>Eko</w:t>
            </w:r>
            <w:proofErr w:type="spellEnd"/>
            <w:r w:rsidR="00077FF8" w:rsidRPr="00FF207E">
              <w:rPr>
                <w:rFonts w:cs="Arial"/>
                <w:bCs/>
                <w:sz w:val="20"/>
                <w:szCs w:val="20"/>
                <w:lang w:val="sl-SI"/>
              </w:rPr>
              <w:t xml:space="preserve"> sklada do podatkov glede materialnega položaja vlagatelja oz</w:t>
            </w:r>
            <w:r w:rsidR="00B77973" w:rsidRPr="00FF207E">
              <w:rPr>
                <w:rFonts w:cs="Arial"/>
                <w:bCs/>
                <w:sz w:val="20"/>
                <w:szCs w:val="20"/>
                <w:lang w:val="sl-SI"/>
              </w:rPr>
              <w:t>iroma</w:t>
            </w:r>
            <w:r w:rsidR="00077FF8" w:rsidRPr="00FF207E">
              <w:rPr>
                <w:rFonts w:cs="Arial"/>
                <w:bCs/>
                <w:sz w:val="20"/>
                <w:szCs w:val="20"/>
                <w:lang w:val="sl-SI"/>
              </w:rPr>
              <w:t xml:space="preserve"> družine/gospodinjstva</w:t>
            </w:r>
          </w:p>
        </w:tc>
      </w:tr>
      <w:tr w:rsidR="00D75B8E" w:rsidRPr="00FF207E" w14:paraId="6BEE9197" w14:textId="77777777" w:rsidTr="00C03429">
        <w:tc>
          <w:tcPr>
            <w:tcW w:w="981" w:type="dxa"/>
            <w:vMerge/>
            <w:tcBorders>
              <w:left w:val="nil"/>
              <w:right w:val="single" w:sz="4" w:space="0" w:color="548DD4" w:themeColor="text2" w:themeTint="99"/>
            </w:tcBorders>
          </w:tcPr>
          <w:p w14:paraId="5FDF51E8" w14:textId="77777777" w:rsidR="00D75B8E" w:rsidRPr="00FF207E" w:rsidRDefault="00D75B8E"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55611B8"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Odgovornost</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1F26A8E"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MOPE, MDDSZ</w:t>
            </w:r>
          </w:p>
        </w:tc>
      </w:tr>
      <w:tr w:rsidR="00D75B8E" w:rsidRPr="00FF207E" w14:paraId="74805BDD" w14:textId="77777777" w:rsidTr="00C03429">
        <w:tc>
          <w:tcPr>
            <w:tcW w:w="981" w:type="dxa"/>
            <w:vMerge/>
            <w:tcBorders>
              <w:left w:val="nil"/>
              <w:right w:val="single" w:sz="4" w:space="0" w:color="548DD4" w:themeColor="text2" w:themeTint="99"/>
            </w:tcBorders>
          </w:tcPr>
          <w:p w14:paraId="3A543D0D" w14:textId="77777777" w:rsidR="00D75B8E" w:rsidRPr="00FF207E" w:rsidRDefault="00D75B8E"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CB6E47A"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Vključeni deležniki</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F680479" w14:textId="2631ACA3" w:rsidR="00D75B8E" w:rsidRPr="00FF207E" w:rsidRDefault="00D75B8E" w:rsidP="001E304B">
            <w:pPr>
              <w:spacing w:line="240" w:lineRule="atLeast"/>
              <w:jc w:val="both"/>
              <w:rPr>
                <w:rFonts w:cs="Arial"/>
                <w:sz w:val="20"/>
                <w:szCs w:val="20"/>
                <w:lang w:val="sl-SI"/>
              </w:rPr>
            </w:pPr>
            <w:proofErr w:type="spellStart"/>
            <w:r w:rsidRPr="00FF207E">
              <w:rPr>
                <w:rFonts w:cs="Arial"/>
                <w:bCs/>
                <w:sz w:val="20"/>
                <w:szCs w:val="20"/>
                <w:lang w:val="sl-SI"/>
              </w:rPr>
              <w:t>Eko</w:t>
            </w:r>
            <w:proofErr w:type="spellEnd"/>
            <w:r w:rsidRPr="00FF207E">
              <w:rPr>
                <w:rFonts w:cs="Arial"/>
                <w:bCs/>
                <w:sz w:val="20"/>
                <w:szCs w:val="20"/>
                <w:lang w:val="sl-SI"/>
              </w:rPr>
              <w:t xml:space="preserve"> sklad, CSD, FURS, GURS</w:t>
            </w:r>
          </w:p>
        </w:tc>
      </w:tr>
      <w:tr w:rsidR="0081647C" w:rsidRPr="00FF207E" w14:paraId="068DC00B" w14:textId="77777777" w:rsidTr="00C03429">
        <w:tc>
          <w:tcPr>
            <w:tcW w:w="981" w:type="dxa"/>
            <w:vMerge/>
            <w:tcBorders>
              <w:left w:val="nil"/>
              <w:bottom w:val="single" w:sz="4" w:space="0" w:color="548DD4" w:themeColor="text2" w:themeTint="99"/>
              <w:right w:val="single" w:sz="4" w:space="0" w:color="548DD4" w:themeColor="text2" w:themeTint="99"/>
            </w:tcBorders>
          </w:tcPr>
          <w:p w14:paraId="7B51192E" w14:textId="77777777" w:rsidR="0081647C" w:rsidRPr="00FF207E" w:rsidRDefault="0081647C"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713FE920" w14:textId="77777777" w:rsidR="0081647C" w:rsidRPr="00FF207E" w:rsidRDefault="0081647C" w:rsidP="001E304B">
            <w:pPr>
              <w:spacing w:line="240" w:lineRule="atLeast"/>
              <w:jc w:val="both"/>
              <w:rPr>
                <w:rFonts w:cs="Arial"/>
                <w:sz w:val="20"/>
                <w:szCs w:val="20"/>
                <w:lang w:val="sl-SI"/>
              </w:rPr>
            </w:pPr>
            <w:r w:rsidRPr="00FF207E">
              <w:rPr>
                <w:rFonts w:cs="Arial"/>
                <w:sz w:val="20"/>
                <w:szCs w:val="20"/>
                <w:lang w:val="sl-SI"/>
              </w:rPr>
              <w:t>Rok izvedbe</w:t>
            </w:r>
          </w:p>
        </w:tc>
        <w:tc>
          <w:tcPr>
            <w:tcW w:w="5771"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3BDF74B9" w14:textId="145C44B4" w:rsidR="0081647C" w:rsidRPr="00FF207E" w:rsidRDefault="004777A6" w:rsidP="001E304B">
            <w:pPr>
              <w:spacing w:line="240" w:lineRule="atLeast"/>
              <w:jc w:val="both"/>
              <w:rPr>
                <w:rFonts w:cs="Arial"/>
                <w:sz w:val="20"/>
                <w:szCs w:val="20"/>
                <w:lang w:val="sl-SI"/>
              </w:rPr>
            </w:pPr>
            <w:r w:rsidRPr="00FF207E">
              <w:rPr>
                <w:rFonts w:cs="Arial"/>
                <w:sz w:val="20"/>
                <w:szCs w:val="20"/>
                <w:lang w:val="sl-SI"/>
              </w:rPr>
              <w:t>2025</w:t>
            </w:r>
          </w:p>
        </w:tc>
      </w:tr>
      <w:tr w:rsidR="00D75B8E" w:rsidRPr="00FF207E" w14:paraId="1BA25F0C" w14:textId="77777777" w:rsidTr="00C03429">
        <w:tc>
          <w:tcPr>
            <w:tcW w:w="981" w:type="dxa"/>
            <w:vMerge w:val="restart"/>
            <w:tcBorders>
              <w:top w:val="single" w:sz="4" w:space="0" w:color="548DD4" w:themeColor="text2" w:themeTint="99"/>
              <w:left w:val="nil"/>
              <w:right w:val="single" w:sz="4" w:space="0" w:color="548DD4" w:themeColor="text2" w:themeTint="99"/>
            </w:tcBorders>
            <w:vAlign w:val="center"/>
          </w:tcPr>
          <w:p w14:paraId="6B491928" w14:textId="5FAC0415" w:rsidR="00D75B8E" w:rsidRPr="00FF207E" w:rsidRDefault="00A90397" w:rsidP="001E304B">
            <w:pPr>
              <w:spacing w:line="240" w:lineRule="atLeast"/>
              <w:jc w:val="both"/>
              <w:rPr>
                <w:rFonts w:cs="Arial"/>
                <w:b/>
                <w:sz w:val="24"/>
                <w:lang w:val="sl-SI"/>
              </w:rPr>
            </w:pPr>
            <w:r w:rsidRPr="00FF207E">
              <w:rPr>
                <w:rFonts w:cs="Arial"/>
                <w:b/>
                <w:sz w:val="24"/>
                <w:lang w:val="sl-SI"/>
              </w:rPr>
              <w:t>6</w:t>
            </w:r>
          </w:p>
        </w:tc>
        <w:tc>
          <w:tcPr>
            <w:tcW w:w="2320"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6E57038C"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Vsebina</w:t>
            </w:r>
          </w:p>
        </w:tc>
        <w:tc>
          <w:tcPr>
            <w:tcW w:w="5771"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1B3000FB" w14:textId="28F7E029" w:rsidR="00D75B8E" w:rsidRPr="00FF207E" w:rsidRDefault="000A57B2" w:rsidP="000A57B2">
            <w:pPr>
              <w:spacing w:line="240" w:lineRule="atLeast"/>
              <w:jc w:val="both"/>
              <w:rPr>
                <w:rFonts w:cs="Arial"/>
                <w:sz w:val="20"/>
                <w:szCs w:val="20"/>
                <w:lang w:val="sl-SI"/>
              </w:rPr>
            </w:pPr>
            <w:r w:rsidRPr="00FF207E">
              <w:rPr>
                <w:rFonts w:cs="Arial"/>
                <w:bCs/>
                <w:sz w:val="20"/>
                <w:szCs w:val="20"/>
                <w:lang w:val="sl-SI"/>
              </w:rPr>
              <w:t>r</w:t>
            </w:r>
            <w:r w:rsidR="00D75B8E" w:rsidRPr="00FF207E">
              <w:rPr>
                <w:rFonts w:cs="Arial"/>
                <w:bCs/>
                <w:sz w:val="20"/>
                <w:szCs w:val="20"/>
                <w:lang w:val="sl-SI"/>
              </w:rPr>
              <w:t xml:space="preserve">azvoj širše </w:t>
            </w:r>
            <w:r w:rsidRPr="00FF207E">
              <w:rPr>
                <w:rFonts w:cs="Arial"/>
                <w:bCs/>
                <w:sz w:val="20"/>
                <w:szCs w:val="20"/>
                <w:lang w:val="sl-SI"/>
              </w:rPr>
              <w:t xml:space="preserve">zbirke </w:t>
            </w:r>
            <w:r w:rsidR="00D75B8E" w:rsidRPr="00FF207E">
              <w:rPr>
                <w:rFonts w:cs="Arial"/>
                <w:bCs/>
                <w:sz w:val="20"/>
                <w:szCs w:val="20"/>
                <w:lang w:val="sl-SI"/>
              </w:rPr>
              <w:t xml:space="preserve">upravičencev (kot </w:t>
            </w:r>
            <w:r w:rsidR="00B77973" w:rsidRPr="00FF207E">
              <w:rPr>
                <w:rFonts w:cs="Arial"/>
                <w:bCs/>
                <w:sz w:val="20"/>
                <w:szCs w:val="20"/>
                <w:lang w:val="sl-SI"/>
              </w:rPr>
              <w:t>na primer</w:t>
            </w:r>
            <w:r w:rsidR="00D75B8E" w:rsidRPr="00FF207E">
              <w:rPr>
                <w:rFonts w:cs="Arial"/>
                <w:bCs/>
                <w:sz w:val="20"/>
                <w:szCs w:val="20"/>
                <w:lang w:val="sl-SI"/>
              </w:rPr>
              <w:t xml:space="preserve"> skupina upokojencev in enostarševskih družin), in sicer tudi z vključitvijo novih članov (MOPE, </w:t>
            </w:r>
            <w:proofErr w:type="spellStart"/>
            <w:r w:rsidR="00D75B8E" w:rsidRPr="00FF207E">
              <w:rPr>
                <w:rFonts w:cs="Arial"/>
                <w:bCs/>
                <w:sz w:val="20"/>
                <w:szCs w:val="20"/>
                <w:lang w:val="sl-SI"/>
              </w:rPr>
              <w:t>Eko</w:t>
            </w:r>
            <w:proofErr w:type="spellEnd"/>
            <w:r w:rsidR="00D75B8E" w:rsidRPr="00FF207E">
              <w:rPr>
                <w:rFonts w:cs="Arial"/>
                <w:bCs/>
                <w:sz w:val="20"/>
                <w:szCs w:val="20"/>
                <w:lang w:val="sl-SI"/>
              </w:rPr>
              <w:t xml:space="preserve"> sklad, humanitarne organizacije) v že obstoječo delovno skupino pri MDDSZ in MF, ki se ukvarja s to tematiko </w:t>
            </w:r>
          </w:p>
        </w:tc>
      </w:tr>
      <w:tr w:rsidR="00D75B8E" w:rsidRPr="00FF207E" w14:paraId="388DAE85" w14:textId="77777777" w:rsidTr="00C03429">
        <w:tc>
          <w:tcPr>
            <w:tcW w:w="981" w:type="dxa"/>
            <w:vMerge/>
            <w:tcBorders>
              <w:left w:val="nil"/>
              <w:right w:val="single" w:sz="4" w:space="0" w:color="548DD4" w:themeColor="text2" w:themeTint="99"/>
            </w:tcBorders>
          </w:tcPr>
          <w:p w14:paraId="3F251C3C" w14:textId="77777777" w:rsidR="00D75B8E" w:rsidRPr="00FF207E" w:rsidRDefault="00D75B8E"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DB91193"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Odgovornost</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FE3FDD6"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MDDSZ</w:t>
            </w:r>
          </w:p>
        </w:tc>
      </w:tr>
      <w:tr w:rsidR="00D75B8E" w:rsidRPr="00FF207E" w14:paraId="0A9B6FE5" w14:textId="77777777" w:rsidTr="00C03429">
        <w:tc>
          <w:tcPr>
            <w:tcW w:w="981" w:type="dxa"/>
            <w:vMerge/>
            <w:tcBorders>
              <w:left w:val="nil"/>
              <w:right w:val="single" w:sz="4" w:space="0" w:color="548DD4" w:themeColor="text2" w:themeTint="99"/>
            </w:tcBorders>
          </w:tcPr>
          <w:p w14:paraId="2E6CEB80" w14:textId="77777777" w:rsidR="00D75B8E" w:rsidRPr="00FF207E" w:rsidRDefault="00D75B8E"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23935668"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Vključeni deležniki</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6666A381"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 xml:space="preserve">MF, MOPE, </w:t>
            </w:r>
            <w:proofErr w:type="spellStart"/>
            <w:r w:rsidRPr="00FF207E">
              <w:rPr>
                <w:rFonts w:cs="Arial"/>
                <w:sz w:val="20"/>
                <w:szCs w:val="20"/>
                <w:lang w:val="sl-SI"/>
              </w:rPr>
              <w:t>Eko</w:t>
            </w:r>
            <w:proofErr w:type="spellEnd"/>
            <w:r w:rsidRPr="00FF207E">
              <w:rPr>
                <w:rFonts w:cs="Arial"/>
                <w:sz w:val="20"/>
                <w:szCs w:val="20"/>
                <w:lang w:val="sl-SI"/>
              </w:rPr>
              <w:t xml:space="preserve"> sklad, humanitarne organizacije</w:t>
            </w:r>
          </w:p>
        </w:tc>
      </w:tr>
      <w:tr w:rsidR="0081647C" w:rsidRPr="00FF207E" w14:paraId="45102CD6" w14:textId="77777777" w:rsidTr="00C03429">
        <w:tc>
          <w:tcPr>
            <w:tcW w:w="981" w:type="dxa"/>
            <w:vMerge/>
            <w:tcBorders>
              <w:left w:val="nil"/>
              <w:bottom w:val="single" w:sz="4" w:space="0" w:color="548DD4" w:themeColor="text2" w:themeTint="99"/>
              <w:right w:val="single" w:sz="4" w:space="0" w:color="548DD4" w:themeColor="text2" w:themeTint="99"/>
            </w:tcBorders>
          </w:tcPr>
          <w:p w14:paraId="08206A7A" w14:textId="77777777" w:rsidR="0081647C" w:rsidRPr="00FF207E" w:rsidRDefault="0081647C"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5EA18C55" w14:textId="77777777" w:rsidR="0081647C" w:rsidRPr="00FF207E" w:rsidRDefault="0081647C" w:rsidP="001E304B">
            <w:pPr>
              <w:spacing w:line="240" w:lineRule="atLeast"/>
              <w:jc w:val="both"/>
              <w:rPr>
                <w:rFonts w:cs="Arial"/>
                <w:sz w:val="20"/>
                <w:szCs w:val="20"/>
                <w:lang w:val="sl-SI"/>
              </w:rPr>
            </w:pPr>
            <w:r w:rsidRPr="00FF207E">
              <w:rPr>
                <w:rFonts w:cs="Arial"/>
                <w:sz w:val="20"/>
                <w:szCs w:val="20"/>
                <w:lang w:val="sl-SI"/>
              </w:rPr>
              <w:t>Rok izvedbe</w:t>
            </w:r>
          </w:p>
        </w:tc>
        <w:tc>
          <w:tcPr>
            <w:tcW w:w="5771"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769173B0" w14:textId="009F2EC0" w:rsidR="0081647C" w:rsidRPr="00FF207E" w:rsidRDefault="004777A6" w:rsidP="001E304B">
            <w:pPr>
              <w:spacing w:line="240" w:lineRule="atLeast"/>
              <w:jc w:val="both"/>
              <w:rPr>
                <w:rFonts w:cs="Arial"/>
                <w:sz w:val="20"/>
                <w:szCs w:val="20"/>
                <w:lang w:val="sl-SI"/>
              </w:rPr>
            </w:pPr>
            <w:r w:rsidRPr="00FF207E">
              <w:rPr>
                <w:rFonts w:cs="Arial"/>
                <w:sz w:val="20"/>
                <w:szCs w:val="20"/>
                <w:lang w:val="sl-SI"/>
              </w:rPr>
              <w:t>2025, vključitev v skupino takoj</w:t>
            </w:r>
          </w:p>
        </w:tc>
      </w:tr>
      <w:tr w:rsidR="00D75B8E" w:rsidRPr="00FF207E" w14:paraId="7C67675C" w14:textId="77777777" w:rsidTr="00C03429">
        <w:tc>
          <w:tcPr>
            <w:tcW w:w="981" w:type="dxa"/>
            <w:vMerge w:val="restart"/>
            <w:tcBorders>
              <w:top w:val="single" w:sz="4" w:space="0" w:color="548DD4" w:themeColor="text2" w:themeTint="99"/>
              <w:left w:val="nil"/>
              <w:right w:val="single" w:sz="4" w:space="0" w:color="548DD4" w:themeColor="text2" w:themeTint="99"/>
            </w:tcBorders>
            <w:vAlign w:val="center"/>
          </w:tcPr>
          <w:p w14:paraId="6D835597" w14:textId="652581DA" w:rsidR="00D75B8E" w:rsidRPr="00FF207E" w:rsidRDefault="00A90397" w:rsidP="001E304B">
            <w:pPr>
              <w:spacing w:line="240" w:lineRule="atLeast"/>
              <w:jc w:val="both"/>
              <w:rPr>
                <w:rFonts w:cs="Arial"/>
                <w:b/>
                <w:sz w:val="24"/>
                <w:lang w:val="sl-SI"/>
              </w:rPr>
            </w:pPr>
            <w:r w:rsidRPr="00FF207E">
              <w:rPr>
                <w:rFonts w:cs="Arial"/>
                <w:b/>
                <w:sz w:val="24"/>
                <w:lang w:val="sl-SI"/>
              </w:rPr>
              <w:t>7</w:t>
            </w:r>
          </w:p>
        </w:tc>
        <w:tc>
          <w:tcPr>
            <w:tcW w:w="2320"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62776968"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Vsebina</w:t>
            </w:r>
          </w:p>
        </w:tc>
        <w:tc>
          <w:tcPr>
            <w:tcW w:w="5771"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1A1395D2" w14:textId="7D956994" w:rsidR="00D75B8E" w:rsidRPr="00FF207E" w:rsidRDefault="00156946" w:rsidP="00591DDC">
            <w:pPr>
              <w:spacing w:line="240" w:lineRule="atLeast"/>
              <w:jc w:val="both"/>
              <w:rPr>
                <w:rFonts w:cs="Arial"/>
                <w:bCs/>
                <w:sz w:val="20"/>
                <w:szCs w:val="20"/>
                <w:lang w:val="sl-SI"/>
              </w:rPr>
            </w:pPr>
            <w:r w:rsidRPr="00FF207E">
              <w:rPr>
                <w:rFonts w:cs="Arial"/>
                <w:bCs/>
                <w:sz w:val="20"/>
                <w:szCs w:val="20"/>
                <w:lang w:val="sl-SI"/>
              </w:rPr>
              <w:t xml:space="preserve">proučitev možnosti </w:t>
            </w:r>
            <w:proofErr w:type="spellStart"/>
            <w:r w:rsidRPr="00FF207E">
              <w:rPr>
                <w:rFonts w:cs="Arial"/>
                <w:bCs/>
                <w:sz w:val="20"/>
                <w:szCs w:val="20"/>
                <w:lang w:val="sl-SI"/>
              </w:rPr>
              <w:t>identifikacijerazvoj</w:t>
            </w:r>
            <w:proofErr w:type="spellEnd"/>
            <w:r w:rsidRPr="00FF207E">
              <w:rPr>
                <w:rFonts w:cs="Arial"/>
                <w:bCs/>
                <w:sz w:val="20"/>
                <w:szCs w:val="20"/>
                <w:lang w:val="sl-SI"/>
              </w:rPr>
              <w:t xml:space="preserve"> širše zbirke potencialnih drugih upravičencev glede na obstoječi sistem in vzpostavitev kriterijev za ciljano dodeljevanje subvencije za gospodinjstva, ki se soočajo s trajno energetsko revščino</w:t>
            </w:r>
          </w:p>
        </w:tc>
      </w:tr>
      <w:tr w:rsidR="00D75B8E" w:rsidRPr="00FF207E" w14:paraId="3A5DE899" w14:textId="77777777" w:rsidTr="00C03429">
        <w:tc>
          <w:tcPr>
            <w:tcW w:w="981" w:type="dxa"/>
            <w:vMerge/>
            <w:tcBorders>
              <w:left w:val="nil"/>
              <w:right w:val="single" w:sz="4" w:space="0" w:color="548DD4" w:themeColor="text2" w:themeTint="99"/>
            </w:tcBorders>
          </w:tcPr>
          <w:p w14:paraId="25F53EF7" w14:textId="77777777" w:rsidR="00D75B8E" w:rsidRPr="00FF207E" w:rsidRDefault="00D75B8E"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C7D5E06"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Odgovornost</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08CF349" w14:textId="77777777" w:rsidR="00D75B8E" w:rsidRPr="00FF207E" w:rsidRDefault="00D75B8E"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D75B8E" w:rsidRPr="00FF207E" w14:paraId="6BE81F58" w14:textId="77777777" w:rsidTr="00C03429">
        <w:tc>
          <w:tcPr>
            <w:tcW w:w="981" w:type="dxa"/>
            <w:vMerge/>
            <w:tcBorders>
              <w:left w:val="nil"/>
              <w:right w:val="single" w:sz="4" w:space="0" w:color="548DD4" w:themeColor="text2" w:themeTint="99"/>
            </w:tcBorders>
          </w:tcPr>
          <w:p w14:paraId="3FB10E73" w14:textId="77777777" w:rsidR="00D75B8E" w:rsidRPr="00FF207E" w:rsidRDefault="00D75B8E"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684210E"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Vključeni deležniki</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5F4D04F" w14:textId="77777777" w:rsidR="00D75B8E" w:rsidRPr="00FF207E" w:rsidRDefault="00D75B8E" w:rsidP="001E304B">
            <w:pPr>
              <w:spacing w:line="240" w:lineRule="atLeast"/>
              <w:jc w:val="both"/>
              <w:rPr>
                <w:rFonts w:cs="Arial"/>
                <w:sz w:val="20"/>
                <w:szCs w:val="20"/>
                <w:lang w:val="sl-SI"/>
              </w:rPr>
            </w:pPr>
            <w:r w:rsidRPr="00FF207E">
              <w:rPr>
                <w:rFonts w:cs="Arial"/>
                <w:bCs/>
                <w:sz w:val="20"/>
                <w:szCs w:val="20"/>
                <w:lang w:val="sl-SI"/>
              </w:rPr>
              <w:t>MOPE, FURS, MF, občine, stanovanjski skladi</w:t>
            </w:r>
          </w:p>
        </w:tc>
      </w:tr>
      <w:tr w:rsidR="0081647C" w:rsidRPr="00FF207E" w14:paraId="671A3EC9" w14:textId="77777777" w:rsidTr="00C03429">
        <w:tc>
          <w:tcPr>
            <w:tcW w:w="981" w:type="dxa"/>
            <w:vMerge/>
            <w:tcBorders>
              <w:left w:val="nil"/>
              <w:bottom w:val="single" w:sz="4" w:space="0" w:color="548DD4" w:themeColor="text2" w:themeTint="99"/>
              <w:right w:val="single" w:sz="4" w:space="0" w:color="548DD4" w:themeColor="text2" w:themeTint="99"/>
            </w:tcBorders>
          </w:tcPr>
          <w:p w14:paraId="43075919" w14:textId="77777777" w:rsidR="0081647C" w:rsidRPr="00FF207E" w:rsidRDefault="0081647C"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0BF1DDBD" w14:textId="77777777" w:rsidR="0081647C" w:rsidRPr="00FF207E" w:rsidRDefault="0081647C" w:rsidP="001E304B">
            <w:pPr>
              <w:spacing w:line="240" w:lineRule="atLeast"/>
              <w:jc w:val="both"/>
              <w:rPr>
                <w:rFonts w:cs="Arial"/>
                <w:sz w:val="20"/>
                <w:szCs w:val="20"/>
                <w:lang w:val="sl-SI"/>
              </w:rPr>
            </w:pPr>
            <w:r w:rsidRPr="00FF207E">
              <w:rPr>
                <w:rFonts w:cs="Arial"/>
                <w:sz w:val="20"/>
                <w:szCs w:val="20"/>
                <w:lang w:val="sl-SI"/>
              </w:rPr>
              <w:t>Rok izvedbe</w:t>
            </w:r>
          </w:p>
        </w:tc>
        <w:tc>
          <w:tcPr>
            <w:tcW w:w="5771"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58D46457" w14:textId="3DC517F0" w:rsidR="0081647C" w:rsidRPr="00FF207E" w:rsidRDefault="004777A6" w:rsidP="001E304B">
            <w:pPr>
              <w:spacing w:line="240" w:lineRule="atLeast"/>
              <w:jc w:val="both"/>
              <w:rPr>
                <w:rFonts w:cs="Arial"/>
                <w:sz w:val="20"/>
                <w:szCs w:val="20"/>
                <w:lang w:val="sl-SI"/>
              </w:rPr>
            </w:pPr>
            <w:r w:rsidRPr="00FF207E">
              <w:rPr>
                <w:rFonts w:cs="Arial"/>
                <w:sz w:val="20"/>
                <w:szCs w:val="20"/>
                <w:lang w:val="sl-SI"/>
              </w:rPr>
              <w:t>2025</w:t>
            </w:r>
          </w:p>
        </w:tc>
      </w:tr>
      <w:tr w:rsidR="00D14CD7" w:rsidRPr="00FF207E" w14:paraId="79B54033" w14:textId="77777777" w:rsidTr="00C03429">
        <w:tc>
          <w:tcPr>
            <w:tcW w:w="981" w:type="dxa"/>
            <w:vMerge w:val="restart"/>
            <w:tcBorders>
              <w:top w:val="single" w:sz="4" w:space="0" w:color="548DD4" w:themeColor="text2" w:themeTint="99"/>
              <w:left w:val="nil"/>
              <w:right w:val="single" w:sz="4" w:space="0" w:color="548DD4" w:themeColor="text2" w:themeTint="99"/>
            </w:tcBorders>
            <w:vAlign w:val="center"/>
          </w:tcPr>
          <w:p w14:paraId="5F816C79" w14:textId="1E752D9D" w:rsidR="00D14CD7" w:rsidRPr="00FF207E" w:rsidRDefault="00DF1991" w:rsidP="009C058A">
            <w:pPr>
              <w:spacing w:line="240" w:lineRule="atLeast"/>
              <w:jc w:val="both"/>
              <w:rPr>
                <w:rFonts w:cs="Arial"/>
                <w:b/>
                <w:sz w:val="24"/>
                <w:lang w:val="sl-SI"/>
              </w:rPr>
            </w:pPr>
            <w:r w:rsidRPr="00FF207E">
              <w:rPr>
                <w:rFonts w:cs="Arial"/>
                <w:b/>
                <w:sz w:val="24"/>
                <w:lang w:val="sl-SI"/>
              </w:rPr>
              <w:t>8</w:t>
            </w:r>
          </w:p>
        </w:tc>
        <w:tc>
          <w:tcPr>
            <w:tcW w:w="2320"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032B34F4" w14:textId="77777777" w:rsidR="00D14CD7" w:rsidRPr="00FF207E" w:rsidRDefault="00D14CD7" w:rsidP="009C058A">
            <w:pPr>
              <w:spacing w:line="240" w:lineRule="atLeast"/>
              <w:jc w:val="both"/>
              <w:rPr>
                <w:rFonts w:cs="Arial"/>
                <w:sz w:val="20"/>
                <w:szCs w:val="20"/>
                <w:lang w:val="sl-SI"/>
              </w:rPr>
            </w:pPr>
            <w:r w:rsidRPr="00FF207E">
              <w:rPr>
                <w:rFonts w:cs="Arial"/>
                <w:sz w:val="20"/>
                <w:szCs w:val="20"/>
                <w:lang w:val="sl-SI"/>
              </w:rPr>
              <w:t>Vsebina</w:t>
            </w:r>
          </w:p>
        </w:tc>
        <w:tc>
          <w:tcPr>
            <w:tcW w:w="5771"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2B9B23B2" w14:textId="19A0E626" w:rsidR="00D14CD7" w:rsidRPr="00FF207E" w:rsidRDefault="00591DDC" w:rsidP="009C058A">
            <w:pPr>
              <w:spacing w:line="240" w:lineRule="atLeast"/>
              <w:jc w:val="both"/>
              <w:rPr>
                <w:rFonts w:cs="Arial"/>
                <w:sz w:val="20"/>
                <w:szCs w:val="20"/>
                <w:lang w:val="sl-SI"/>
              </w:rPr>
            </w:pPr>
            <w:r w:rsidRPr="00FF207E">
              <w:rPr>
                <w:rFonts w:cs="Arial"/>
                <w:sz w:val="20"/>
                <w:szCs w:val="20"/>
                <w:lang w:val="sl-SI"/>
              </w:rPr>
              <w:t>p</w:t>
            </w:r>
            <w:r w:rsidR="00D14CD7" w:rsidRPr="00FF207E">
              <w:rPr>
                <w:rFonts w:cs="Arial"/>
                <w:sz w:val="20"/>
                <w:szCs w:val="20"/>
                <w:lang w:val="sl-SI"/>
              </w:rPr>
              <w:t xml:space="preserve">reučiti status žensk z vidika energetske revščine v Sloveniji (izvedba raziskave na podlagi spolov) in po potrebi razviti posebne </w:t>
            </w:r>
            <w:r w:rsidR="002C30FF" w:rsidRPr="00FF207E">
              <w:rPr>
                <w:rFonts w:cs="Arial"/>
                <w:sz w:val="20"/>
                <w:szCs w:val="20"/>
                <w:lang w:val="sl-SI"/>
              </w:rPr>
              <w:t>oz</w:t>
            </w:r>
            <w:r w:rsidR="00B77973" w:rsidRPr="00FF207E">
              <w:rPr>
                <w:rFonts w:cs="Arial"/>
                <w:sz w:val="20"/>
                <w:szCs w:val="20"/>
                <w:lang w:val="sl-SI"/>
              </w:rPr>
              <w:t>iroma</w:t>
            </w:r>
            <w:r w:rsidR="002C30FF" w:rsidRPr="00FF207E">
              <w:rPr>
                <w:rFonts w:cs="Arial"/>
                <w:sz w:val="20"/>
                <w:szCs w:val="20"/>
                <w:lang w:val="sl-SI"/>
              </w:rPr>
              <w:t xml:space="preserve"> dodatne </w:t>
            </w:r>
            <w:r w:rsidR="00D14CD7" w:rsidRPr="00FF207E">
              <w:rPr>
                <w:rFonts w:cs="Arial"/>
                <w:sz w:val="20"/>
                <w:szCs w:val="20"/>
                <w:lang w:val="sl-SI"/>
              </w:rPr>
              <w:t>ukrepe</w:t>
            </w:r>
            <w:r w:rsidRPr="00FF207E">
              <w:rPr>
                <w:rFonts w:cs="Arial"/>
                <w:sz w:val="20"/>
                <w:szCs w:val="20"/>
                <w:lang w:val="sl-SI"/>
              </w:rPr>
              <w:t>,</w:t>
            </w:r>
            <w:r w:rsidR="00D14CD7" w:rsidRPr="00FF207E">
              <w:rPr>
                <w:rFonts w:cs="Arial"/>
                <w:sz w:val="20"/>
                <w:szCs w:val="20"/>
                <w:lang w:val="sl-SI"/>
              </w:rPr>
              <w:t xml:space="preserve"> namenjene ženskam</w:t>
            </w:r>
          </w:p>
        </w:tc>
      </w:tr>
      <w:tr w:rsidR="00D14CD7" w:rsidRPr="00FF207E" w14:paraId="43134D70" w14:textId="77777777" w:rsidTr="00C03429">
        <w:tc>
          <w:tcPr>
            <w:tcW w:w="981" w:type="dxa"/>
            <w:vMerge/>
            <w:tcBorders>
              <w:left w:val="nil"/>
              <w:right w:val="single" w:sz="4" w:space="0" w:color="548DD4" w:themeColor="text2" w:themeTint="99"/>
            </w:tcBorders>
          </w:tcPr>
          <w:p w14:paraId="396CE1E2" w14:textId="77777777" w:rsidR="00D14CD7" w:rsidRPr="00FF207E" w:rsidRDefault="00D14CD7" w:rsidP="009C058A">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21227099" w14:textId="77777777" w:rsidR="00D14CD7" w:rsidRPr="00FF207E" w:rsidRDefault="00D14CD7" w:rsidP="009C058A">
            <w:pPr>
              <w:spacing w:line="240" w:lineRule="atLeast"/>
              <w:jc w:val="both"/>
              <w:rPr>
                <w:rFonts w:cs="Arial"/>
                <w:sz w:val="20"/>
                <w:szCs w:val="20"/>
                <w:lang w:val="sl-SI"/>
              </w:rPr>
            </w:pPr>
            <w:r w:rsidRPr="00FF207E">
              <w:rPr>
                <w:rFonts w:cs="Arial"/>
                <w:sz w:val="20"/>
                <w:szCs w:val="20"/>
                <w:lang w:val="sl-SI"/>
              </w:rPr>
              <w:t>Odgovornost</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41465AB9" w14:textId="44E42165" w:rsidR="00D14CD7" w:rsidRPr="00FF207E" w:rsidRDefault="00D14CD7" w:rsidP="009C058A">
            <w:pPr>
              <w:spacing w:line="240" w:lineRule="atLeast"/>
              <w:jc w:val="both"/>
              <w:rPr>
                <w:rFonts w:cs="Arial"/>
                <w:sz w:val="20"/>
                <w:szCs w:val="20"/>
                <w:lang w:val="sl-SI"/>
              </w:rPr>
            </w:pPr>
            <w:r w:rsidRPr="00FF207E">
              <w:rPr>
                <w:rFonts w:cs="Arial"/>
                <w:bCs/>
                <w:sz w:val="20"/>
                <w:szCs w:val="20"/>
                <w:lang w:val="sl-SI"/>
              </w:rPr>
              <w:t>MOPE</w:t>
            </w:r>
          </w:p>
        </w:tc>
      </w:tr>
      <w:tr w:rsidR="00D14CD7" w:rsidRPr="00FF207E" w14:paraId="51B5BAD2" w14:textId="77777777" w:rsidTr="00C03429">
        <w:tc>
          <w:tcPr>
            <w:tcW w:w="981" w:type="dxa"/>
            <w:vMerge/>
            <w:tcBorders>
              <w:left w:val="nil"/>
              <w:right w:val="single" w:sz="4" w:space="0" w:color="548DD4" w:themeColor="text2" w:themeTint="99"/>
            </w:tcBorders>
          </w:tcPr>
          <w:p w14:paraId="568EA08C" w14:textId="77777777" w:rsidR="00D14CD7" w:rsidRPr="00FF207E" w:rsidRDefault="00D14CD7" w:rsidP="009C058A">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8B1F30D" w14:textId="77777777" w:rsidR="00D14CD7" w:rsidRPr="00FF207E" w:rsidRDefault="00D14CD7" w:rsidP="009C058A">
            <w:pPr>
              <w:spacing w:line="240" w:lineRule="atLeast"/>
              <w:jc w:val="both"/>
              <w:rPr>
                <w:rFonts w:cs="Arial"/>
                <w:sz w:val="20"/>
                <w:szCs w:val="20"/>
                <w:lang w:val="sl-SI"/>
              </w:rPr>
            </w:pPr>
            <w:r w:rsidRPr="00FF207E">
              <w:rPr>
                <w:rFonts w:cs="Arial"/>
                <w:sz w:val="20"/>
                <w:szCs w:val="20"/>
                <w:lang w:val="sl-SI"/>
              </w:rPr>
              <w:t>Vključeni deležniki</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DC60B8C" w14:textId="4CA9F587" w:rsidR="00D14CD7" w:rsidRPr="00FF207E" w:rsidRDefault="00D14CD7" w:rsidP="009C058A">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 NVO, humanitarne organizacije</w:t>
            </w:r>
          </w:p>
        </w:tc>
      </w:tr>
      <w:tr w:rsidR="00D14CD7" w:rsidRPr="00FF207E" w14:paraId="7D3BDA53" w14:textId="77777777" w:rsidTr="00C03429">
        <w:tc>
          <w:tcPr>
            <w:tcW w:w="981" w:type="dxa"/>
            <w:vMerge/>
            <w:tcBorders>
              <w:left w:val="nil"/>
              <w:bottom w:val="single" w:sz="4" w:space="0" w:color="548DD4" w:themeColor="text2" w:themeTint="99"/>
              <w:right w:val="single" w:sz="4" w:space="0" w:color="548DD4" w:themeColor="text2" w:themeTint="99"/>
            </w:tcBorders>
          </w:tcPr>
          <w:p w14:paraId="43CCF6A3" w14:textId="77777777" w:rsidR="00D14CD7" w:rsidRPr="00FF207E" w:rsidRDefault="00D14CD7" w:rsidP="009C058A">
            <w:pPr>
              <w:spacing w:line="240" w:lineRule="atLeast"/>
              <w:jc w:val="both"/>
              <w:rPr>
                <w:rFonts w:cs="Arial"/>
                <w:sz w:val="20"/>
                <w:szCs w:val="20"/>
                <w:lang w:val="sl-SI"/>
              </w:rPr>
            </w:pPr>
          </w:p>
        </w:tc>
        <w:tc>
          <w:tcPr>
            <w:tcW w:w="2320"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291E97B8" w14:textId="77777777" w:rsidR="00D14CD7" w:rsidRPr="00FF207E" w:rsidRDefault="00D14CD7" w:rsidP="009C058A">
            <w:pPr>
              <w:spacing w:line="240" w:lineRule="atLeast"/>
              <w:jc w:val="both"/>
              <w:rPr>
                <w:rFonts w:cs="Arial"/>
                <w:sz w:val="20"/>
                <w:szCs w:val="20"/>
                <w:lang w:val="sl-SI"/>
              </w:rPr>
            </w:pPr>
            <w:r w:rsidRPr="00FF207E">
              <w:rPr>
                <w:rFonts w:cs="Arial"/>
                <w:sz w:val="20"/>
                <w:szCs w:val="20"/>
                <w:lang w:val="sl-SI"/>
              </w:rPr>
              <w:t>Rok izvedbe</w:t>
            </w:r>
          </w:p>
        </w:tc>
        <w:tc>
          <w:tcPr>
            <w:tcW w:w="5771"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15AF32C8" w14:textId="231DB77A" w:rsidR="00D14CD7" w:rsidRPr="00FF207E" w:rsidRDefault="004777A6" w:rsidP="009C058A">
            <w:pPr>
              <w:spacing w:line="240" w:lineRule="atLeast"/>
              <w:jc w:val="both"/>
              <w:rPr>
                <w:rFonts w:cs="Arial"/>
                <w:sz w:val="20"/>
                <w:szCs w:val="20"/>
                <w:lang w:val="sl-SI"/>
              </w:rPr>
            </w:pPr>
            <w:r w:rsidRPr="00FF207E">
              <w:rPr>
                <w:rFonts w:cs="Arial"/>
                <w:sz w:val="20"/>
                <w:szCs w:val="20"/>
                <w:lang w:val="sl-SI"/>
              </w:rPr>
              <w:t>2026</w:t>
            </w:r>
          </w:p>
        </w:tc>
      </w:tr>
      <w:tr w:rsidR="00D75B8E" w:rsidRPr="00FF207E" w14:paraId="1B88E596" w14:textId="77777777" w:rsidTr="00C03429">
        <w:tc>
          <w:tcPr>
            <w:tcW w:w="981" w:type="dxa"/>
            <w:vMerge w:val="restart"/>
            <w:tcBorders>
              <w:top w:val="single" w:sz="4" w:space="0" w:color="548DD4" w:themeColor="text2" w:themeTint="99"/>
              <w:left w:val="nil"/>
              <w:right w:val="single" w:sz="4" w:space="0" w:color="548DD4" w:themeColor="text2" w:themeTint="99"/>
            </w:tcBorders>
            <w:vAlign w:val="center"/>
          </w:tcPr>
          <w:p w14:paraId="5843E823" w14:textId="1063B395" w:rsidR="00D75B8E" w:rsidRPr="00FF207E" w:rsidRDefault="00DF1991" w:rsidP="001E304B">
            <w:pPr>
              <w:spacing w:line="240" w:lineRule="atLeast"/>
              <w:jc w:val="both"/>
              <w:rPr>
                <w:rFonts w:cs="Arial"/>
                <w:b/>
                <w:sz w:val="24"/>
                <w:lang w:val="sl-SI"/>
              </w:rPr>
            </w:pPr>
            <w:r w:rsidRPr="00FF207E">
              <w:rPr>
                <w:rFonts w:cs="Arial"/>
                <w:b/>
                <w:sz w:val="24"/>
                <w:lang w:val="sl-SI"/>
              </w:rPr>
              <w:t>9</w:t>
            </w:r>
          </w:p>
        </w:tc>
        <w:tc>
          <w:tcPr>
            <w:tcW w:w="2320"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402D5B9C"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Vsebina</w:t>
            </w:r>
          </w:p>
        </w:tc>
        <w:tc>
          <w:tcPr>
            <w:tcW w:w="5771"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272041CC" w14:textId="2BCF218D" w:rsidR="00D75B8E" w:rsidRPr="00FF207E" w:rsidRDefault="008D521A" w:rsidP="003873E7">
            <w:pPr>
              <w:spacing w:line="240" w:lineRule="atLeast"/>
              <w:jc w:val="both"/>
              <w:rPr>
                <w:rFonts w:cs="Arial"/>
                <w:sz w:val="20"/>
                <w:szCs w:val="20"/>
                <w:lang w:val="sl-SI"/>
              </w:rPr>
            </w:pPr>
            <w:r w:rsidRPr="00FF207E">
              <w:rPr>
                <w:rFonts w:cs="Arial"/>
                <w:bCs/>
                <w:sz w:val="20"/>
                <w:szCs w:val="20"/>
                <w:lang w:val="sl-SI"/>
              </w:rPr>
              <w:t>p</w:t>
            </w:r>
            <w:r w:rsidR="00D75B8E" w:rsidRPr="00FF207E">
              <w:rPr>
                <w:rFonts w:cs="Arial"/>
                <w:bCs/>
                <w:sz w:val="20"/>
                <w:szCs w:val="20"/>
                <w:lang w:val="sl-SI"/>
              </w:rPr>
              <w:t>reučitev možnosti za spremljanje stanja po izvedbi ukrepov, podprtih s spodbudami (</w:t>
            </w:r>
            <w:r w:rsidR="00B77973" w:rsidRPr="00FF207E">
              <w:rPr>
                <w:rFonts w:cs="Arial"/>
                <w:bCs/>
                <w:sz w:val="20"/>
                <w:szCs w:val="20"/>
                <w:lang w:val="sl-SI"/>
              </w:rPr>
              <w:t>na primer</w:t>
            </w:r>
            <w:r w:rsidR="00D75B8E" w:rsidRPr="00FF207E">
              <w:rPr>
                <w:rFonts w:cs="Arial"/>
                <w:bCs/>
                <w:sz w:val="20"/>
                <w:szCs w:val="20"/>
                <w:lang w:val="sl-SI"/>
              </w:rPr>
              <w:t xml:space="preserve"> povratna informacija </w:t>
            </w:r>
            <w:r w:rsidR="003873E7" w:rsidRPr="00FF207E">
              <w:rPr>
                <w:rFonts w:cs="Arial"/>
                <w:bCs/>
                <w:sz w:val="20"/>
                <w:szCs w:val="20"/>
                <w:lang w:val="sl-SI"/>
              </w:rPr>
              <w:t xml:space="preserve">šest </w:t>
            </w:r>
            <w:r w:rsidR="00D75B8E" w:rsidRPr="00FF207E">
              <w:rPr>
                <w:rFonts w:cs="Arial"/>
                <w:bCs/>
                <w:sz w:val="20"/>
                <w:szCs w:val="20"/>
                <w:lang w:val="sl-SI"/>
              </w:rPr>
              <w:t xml:space="preserve">mesecev ali </w:t>
            </w:r>
            <w:r w:rsidR="003873E7" w:rsidRPr="00FF207E">
              <w:rPr>
                <w:rFonts w:cs="Arial"/>
                <w:bCs/>
                <w:sz w:val="20"/>
                <w:szCs w:val="20"/>
                <w:lang w:val="sl-SI"/>
              </w:rPr>
              <w:t xml:space="preserve">eno </w:t>
            </w:r>
            <w:r w:rsidR="00D75B8E" w:rsidRPr="00FF207E">
              <w:rPr>
                <w:rFonts w:cs="Arial"/>
                <w:bCs/>
                <w:sz w:val="20"/>
                <w:szCs w:val="20"/>
                <w:lang w:val="sl-SI"/>
              </w:rPr>
              <w:t>leto po izvedbi ukrepov)</w:t>
            </w:r>
          </w:p>
        </w:tc>
      </w:tr>
      <w:tr w:rsidR="00D75B8E" w:rsidRPr="00FF207E" w14:paraId="65242BCA" w14:textId="77777777" w:rsidTr="00C03429">
        <w:tc>
          <w:tcPr>
            <w:tcW w:w="981" w:type="dxa"/>
            <w:vMerge/>
            <w:tcBorders>
              <w:left w:val="nil"/>
              <w:right w:val="single" w:sz="4" w:space="0" w:color="548DD4" w:themeColor="text2" w:themeTint="99"/>
            </w:tcBorders>
          </w:tcPr>
          <w:p w14:paraId="6DDC60FD" w14:textId="77777777" w:rsidR="00D75B8E" w:rsidRPr="00FF207E" w:rsidRDefault="00D75B8E"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A81BE46"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Odgovornost</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E6D60B8" w14:textId="77777777" w:rsidR="00D75B8E" w:rsidRPr="00FF207E" w:rsidRDefault="00D75B8E" w:rsidP="001E304B">
            <w:pPr>
              <w:spacing w:line="240" w:lineRule="atLeast"/>
              <w:jc w:val="both"/>
              <w:rPr>
                <w:rFonts w:cs="Arial"/>
                <w:sz w:val="20"/>
                <w:szCs w:val="20"/>
                <w:lang w:val="sl-SI"/>
              </w:rPr>
            </w:pPr>
            <w:proofErr w:type="spellStart"/>
            <w:r w:rsidRPr="00FF207E">
              <w:rPr>
                <w:rFonts w:cs="Arial"/>
                <w:bCs/>
                <w:sz w:val="20"/>
                <w:szCs w:val="20"/>
                <w:lang w:val="sl-SI"/>
              </w:rPr>
              <w:t>Eko</w:t>
            </w:r>
            <w:proofErr w:type="spellEnd"/>
            <w:r w:rsidRPr="00FF207E">
              <w:rPr>
                <w:rFonts w:cs="Arial"/>
                <w:bCs/>
                <w:sz w:val="20"/>
                <w:szCs w:val="20"/>
                <w:lang w:val="sl-SI"/>
              </w:rPr>
              <w:t xml:space="preserve"> sklad</w:t>
            </w:r>
          </w:p>
        </w:tc>
      </w:tr>
      <w:tr w:rsidR="00D75B8E" w:rsidRPr="00FF207E" w14:paraId="455FFF94" w14:textId="77777777" w:rsidTr="00C03429">
        <w:tc>
          <w:tcPr>
            <w:tcW w:w="981" w:type="dxa"/>
            <w:vMerge/>
            <w:tcBorders>
              <w:left w:val="nil"/>
              <w:right w:val="single" w:sz="4" w:space="0" w:color="548DD4" w:themeColor="text2" w:themeTint="99"/>
            </w:tcBorders>
          </w:tcPr>
          <w:p w14:paraId="37B0C005" w14:textId="77777777" w:rsidR="00D75B8E" w:rsidRPr="00FF207E" w:rsidRDefault="00D75B8E"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2C35F47"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Vključeni deležniki</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6C2AEA00" w14:textId="5DAD4FFE" w:rsidR="00D75B8E" w:rsidRPr="00FF207E" w:rsidRDefault="00855750" w:rsidP="001E304B">
            <w:pPr>
              <w:spacing w:line="240" w:lineRule="atLeast"/>
              <w:jc w:val="both"/>
              <w:rPr>
                <w:rFonts w:cs="Arial"/>
                <w:sz w:val="20"/>
                <w:szCs w:val="20"/>
                <w:lang w:val="sl-SI"/>
              </w:rPr>
            </w:pPr>
            <w:r w:rsidRPr="00FF207E">
              <w:rPr>
                <w:rFonts w:cs="Arial"/>
                <w:bCs/>
                <w:sz w:val="20"/>
                <w:szCs w:val="20"/>
                <w:lang w:val="sl-SI"/>
              </w:rPr>
              <w:t>MOPE, regionalne svetovalne točke, člani neformalne mreže za informiranje in ozaveščanje na regionalni ravni (po vzpostavitvi pilotne sheme)</w:t>
            </w:r>
          </w:p>
        </w:tc>
      </w:tr>
      <w:tr w:rsidR="0081647C" w:rsidRPr="00FF207E" w14:paraId="3D1B953D" w14:textId="77777777" w:rsidTr="00C03429">
        <w:tc>
          <w:tcPr>
            <w:tcW w:w="981" w:type="dxa"/>
            <w:vMerge/>
            <w:tcBorders>
              <w:left w:val="nil"/>
              <w:bottom w:val="single" w:sz="4" w:space="0" w:color="548DD4" w:themeColor="text2" w:themeTint="99"/>
              <w:right w:val="single" w:sz="4" w:space="0" w:color="548DD4" w:themeColor="text2" w:themeTint="99"/>
            </w:tcBorders>
          </w:tcPr>
          <w:p w14:paraId="0EDCBB18" w14:textId="77777777" w:rsidR="0081647C" w:rsidRPr="00FF207E" w:rsidRDefault="0081647C"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45023187" w14:textId="77777777" w:rsidR="0081647C" w:rsidRPr="00FF207E" w:rsidRDefault="0081647C" w:rsidP="001E304B">
            <w:pPr>
              <w:spacing w:line="240" w:lineRule="atLeast"/>
              <w:jc w:val="both"/>
              <w:rPr>
                <w:rFonts w:cs="Arial"/>
                <w:sz w:val="20"/>
                <w:szCs w:val="20"/>
                <w:lang w:val="sl-SI"/>
              </w:rPr>
            </w:pPr>
            <w:r w:rsidRPr="00FF207E">
              <w:rPr>
                <w:rFonts w:cs="Arial"/>
                <w:sz w:val="20"/>
                <w:szCs w:val="20"/>
                <w:lang w:val="sl-SI"/>
              </w:rPr>
              <w:t>Rok izvedbe</w:t>
            </w:r>
          </w:p>
        </w:tc>
        <w:tc>
          <w:tcPr>
            <w:tcW w:w="5771"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0032EF86" w14:textId="332C3037" w:rsidR="0081647C" w:rsidRPr="00FF207E" w:rsidRDefault="004777A6" w:rsidP="001E304B">
            <w:pPr>
              <w:spacing w:line="240" w:lineRule="atLeast"/>
              <w:jc w:val="both"/>
              <w:rPr>
                <w:rFonts w:cs="Arial"/>
                <w:sz w:val="20"/>
                <w:szCs w:val="20"/>
                <w:lang w:val="sl-SI"/>
              </w:rPr>
            </w:pPr>
            <w:r w:rsidRPr="00FF207E">
              <w:rPr>
                <w:rFonts w:cs="Arial"/>
                <w:sz w:val="20"/>
                <w:szCs w:val="20"/>
                <w:lang w:val="sl-SI"/>
              </w:rPr>
              <w:t>2025</w:t>
            </w:r>
          </w:p>
        </w:tc>
      </w:tr>
      <w:tr w:rsidR="00D75B8E" w:rsidRPr="00FF207E" w14:paraId="3CD8F84B" w14:textId="77777777" w:rsidTr="00C03429">
        <w:tc>
          <w:tcPr>
            <w:tcW w:w="981" w:type="dxa"/>
            <w:vMerge w:val="restart"/>
            <w:tcBorders>
              <w:top w:val="single" w:sz="4" w:space="0" w:color="548DD4" w:themeColor="text2" w:themeTint="99"/>
              <w:left w:val="nil"/>
              <w:right w:val="single" w:sz="4" w:space="0" w:color="548DD4" w:themeColor="text2" w:themeTint="99"/>
            </w:tcBorders>
            <w:vAlign w:val="center"/>
          </w:tcPr>
          <w:p w14:paraId="74B97A5B" w14:textId="33611EEF" w:rsidR="00D75B8E" w:rsidRPr="00FF207E" w:rsidRDefault="00DF1991" w:rsidP="001E304B">
            <w:pPr>
              <w:spacing w:line="240" w:lineRule="atLeast"/>
              <w:jc w:val="both"/>
              <w:rPr>
                <w:rFonts w:cs="Arial"/>
                <w:b/>
                <w:sz w:val="24"/>
                <w:lang w:val="sl-SI"/>
              </w:rPr>
            </w:pPr>
            <w:r w:rsidRPr="00FF207E">
              <w:rPr>
                <w:rFonts w:cs="Arial"/>
                <w:b/>
                <w:sz w:val="24"/>
                <w:lang w:val="sl-SI"/>
              </w:rPr>
              <w:t>10</w:t>
            </w:r>
          </w:p>
        </w:tc>
        <w:tc>
          <w:tcPr>
            <w:tcW w:w="2320"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0A97E9CD"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Vsebina</w:t>
            </w:r>
          </w:p>
        </w:tc>
        <w:tc>
          <w:tcPr>
            <w:tcW w:w="5771"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00F11C57" w14:textId="6EECCEE8" w:rsidR="00D75B8E" w:rsidRPr="00FF207E" w:rsidRDefault="008D521A" w:rsidP="001E304B">
            <w:pPr>
              <w:spacing w:line="240" w:lineRule="atLeast"/>
              <w:jc w:val="both"/>
              <w:rPr>
                <w:rFonts w:cs="Arial"/>
                <w:sz w:val="20"/>
                <w:szCs w:val="20"/>
                <w:lang w:val="sl-SI"/>
              </w:rPr>
            </w:pPr>
            <w:r w:rsidRPr="00FF207E">
              <w:rPr>
                <w:rFonts w:cs="Arial"/>
                <w:bCs/>
                <w:sz w:val="20"/>
                <w:szCs w:val="20"/>
                <w:lang w:val="sl-SI"/>
              </w:rPr>
              <w:t>p</w:t>
            </w:r>
            <w:r w:rsidR="00077FF8" w:rsidRPr="00FF207E">
              <w:rPr>
                <w:rFonts w:cs="Arial"/>
                <w:bCs/>
                <w:sz w:val="20"/>
                <w:szCs w:val="20"/>
                <w:lang w:val="sl-SI"/>
              </w:rPr>
              <w:t xml:space="preserve">reučitev možnosti uvrstitve humanitarnih organizacij med upravičence za spodbude </w:t>
            </w:r>
            <w:proofErr w:type="spellStart"/>
            <w:r w:rsidR="00077FF8" w:rsidRPr="00FF207E">
              <w:rPr>
                <w:rFonts w:cs="Arial"/>
                <w:bCs/>
                <w:sz w:val="20"/>
                <w:szCs w:val="20"/>
                <w:lang w:val="sl-SI"/>
              </w:rPr>
              <w:t>Eko</w:t>
            </w:r>
            <w:proofErr w:type="spellEnd"/>
            <w:r w:rsidR="00077FF8" w:rsidRPr="00FF207E">
              <w:rPr>
                <w:rFonts w:cs="Arial"/>
                <w:bCs/>
                <w:sz w:val="20"/>
                <w:szCs w:val="20"/>
                <w:lang w:val="sl-SI"/>
              </w:rPr>
              <w:t xml:space="preserve"> sklada za izvedbo ukrepov URE </w:t>
            </w:r>
            <w:r w:rsidR="00077FF8" w:rsidRPr="00FF207E">
              <w:rPr>
                <w:rFonts w:cs="Arial"/>
                <w:bCs/>
                <w:sz w:val="20"/>
                <w:szCs w:val="20"/>
                <w:lang w:val="sl-SI"/>
              </w:rPr>
              <w:lastRenderedPageBreak/>
              <w:t xml:space="preserve">in </w:t>
            </w:r>
            <w:r w:rsidR="00026105" w:rsidRPr="00FF207E">
              <w:rPr>
                <w:rFonts w:cs="Arial"/>
                <w:bCs/>
                <w:sz w:val="20"/>
                <w:szCs w:val="20"/>
                <w:lang w:val="sl-SI"/>
              </w:rPr>
              <w:t xml:space="preserve">rabe </w:t>
            </w:r>
            <w:r w:rsidR="00077FF8" w:rsidRPr="00FF207E">
              <w:rPr>
                <w:rFonts w:cs="Arial"/>
                <w:bCs/>
                <w:sz w:val="20"/>
                <w:szCs w:val="20"/>
                <w:lang w:val="sl-SI"/>
              </w:rPr>
              <w:t xml:space="preserve">OVE (humanitarne organizacije nimajo takšnega pravnega statusa, ki bi jim trenutno omogočal dostop do spodbud </w:t>
            </w:r>
            <w:proofErr w:type="spellStart"/>
            <w:r w:rsidR="00077FF8" w:rsidRPr="00FF207E">
              <w:rPr>
                <w:rFonts w:cs="Arial"/>
                <w:bCs/>
                <w:sz w:val="20"/>
                <w:szCs w:val="20"/>
                <w:lang w:val="sl-SI"/>
              </w:rPr>
              <w:t>Eko</w:t>
            </w:r>
            <w:proofErr w:type="spellEnd"/>
            <w:r w:rsidR="00077FF8" w:rsidRPr="00FF207E">
              <w:rPr>
                <w:rFonts w:cs="Arial"/>
                <w:bCs/>
                <w:sz w:val="20"/>
                <w:szCs w:val="20"/>
                <w:lang w:val="sl-SI"/>
              </w:rPr>
              <w:t xml:space="preserve"> sklada za energetsko prenovo lastnih stavb)</w:t>
            </w:r>
          </w:p>
        </w:tc>
      </w:tr>
      <w:tr w:rsidR="00D75B8E" w:rsidRPr="00FF207E" w14:paraId="61F21D05" w14:textId="77777777" w:rsidTr="00C03429">
        <w:tc>
          <w:tcPr>
            <w:tcW w:w="981" w:type="dxa"/>
            <w:vMerge/>
            <w:tcBorders>
              <w:left w:val="nil"/>
              <w:right w:val="single" w:sz="4" w:space="0" w:color="548DD4" w:themeColor="text2" w:themeTint="99"/>
            </w:tcBorders>
          </w:tcPr>
          <w:p w14:paraId="6ABA220C" w14:textId="77777777" w:rsidR="00D75B8E" w:rsidRPr="00FF207E" w:rsidRDefault="00D75B8E"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1B912A3"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Odgovornost</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340C9663"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 xml:space="preserve">MOPE, </w:t>
            </w: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D75B8E" w:rsidRPr="00FF207E" w14:paraId="20015179" w14:textId="77777777" w:rsidTr="00C03429">
        <w:tc>
          <w:tcPr>
            <w:tcW w:w="981" w:type="dxa"/>
            <w:vMerge/>
            <w:tcBorders>
              <w:left w:val="nil"/>
              <w:right w:val="single" w:sz="4" w:space="0" w:color="548DD4" w:themeColor="text2" w:themeTint="99"/>
            </w:tcBorders>
          </w:tcPr>
          <w:p w14:paraId="20503D7B" w14:textId="77777777" w:rsidR="00D75B8E" w:rsidRPr="00FF207E" w:rsidRDefault="00D75B8E"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1536A68" w14:textId="77777777" w:rsidR="00D75B8E" w:rsidRPr="00FF207E" w:rsidRDefault="00D75B8E" w:rsidP="001E304B">
            <w:pPr>
              <w:spacing w:line="240" w:lineRule="atLeast"/>
              <w:jc w:val="both"/>
              <w:rPr>
                <w:rFonts w:cs="Arial"/>
                <w:sz w:val="20"/>
                <w:szCs w:val="20"/>
                <w:lang w:val="sl-SI"/>
              </w:rPr>
            </w:pPr>
            <w:r w:rsidRPr="00FF207E">
              <w:rPr>
                <w:rFonts w:cs="Arial"/>
                <w:sz w:val="20"/>
                <w:szCs w:val="20"/>
                <w:lang w:val="sl-SI"/>
              </w:rPr>
              <w:t>Vključeni deležniki</w:t>
            </w:r>
          </w:p>
        </w:tc>
        <w:tc>
          <w:tcPr>
            <w:tcW w:w="5771"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3825DFA3" w14:textId="119D6666" w:rsidR="00D75B8E" w:rsidRPr="00FF207E" w:rsidRDefault="00421418" w:rsidP="001E304B">
            <w:pPr>
              <w:spacing w:line="240" w:lineRule="atLeast"/>
              <w:jc w:val="both"/>
              <w:rPr>
                <w:rFonts w:cs="Arial"/>
                <w:sz w:val="20"/>
                <w:szCs w:val="20"/>
                <w:lang w:val="sl-SI"/>
              </w:rPr>
            </w:pPr>
            <w:r w:rsidRPr="00FF207E">
              <w:rPr>
                <w:rFonts w:cs="Arial"/>
                <w:bCs/>
                <w:sz w:val="20"/>
                <w:szCs w:val="20"/>
                <w:lang w:val="sl-SI"/>
              </w:rPr>
              <w:t>h</w:t>
            </w:r>
            <w:r w:rsidR="00D75B8E" w:rsidRPr="00FF207E">
              <w:rPr>
                <w:rFonts w:cs="Arial"/>
                <w:bCs/>
                <w:sz w:val="20"/>
                <w:szCs w:val="20"/>
                <w:lang w:val="sl-SI"/>
              </w:rPr>
              <w:t>umanitarne organizacije</w:t>
            </w:r>
          </w:p>
        </w:tc>
      </w:tr>
      <w:tr w:rsidR="0081647C" w:rsidRPr="00FF207E" w14:paraId="6F20AFA8" w14:textId="77777777" w:rsidTr="00C03429">
        <w:tc>
          <w:tcPr>
            <w:tcW w:w="981" w:type="dxa"/>
            <w:vMerge/>
            <w:tcBorders>
              <w:left w:val="nil"/>
              <w:bottom w:val="single" w:sz="4" w:space="0" w:color="548DD4" w:themeColor="text2" w:themeTint="99"/>
              <w:right w:val="single" w:sz="4" w:space="0" w:color="548DD4" w:themeColor="text2" w:themeTint="99"/>
            </w:tcBorders>
          </w:tcPr>
          <w:p w14:paraId="6D9F5FF4" w14:textId="77777777" w:rsidR="0081647C" w:rsidRPr="00FF207E" w:rsidRDefault="0081647C" w:rsidP="001E304B">
            <w:pPr>
              <w:spacing w:line="240" w:lineRule="atLeast"/>
              <w:jc w:val="both"/>
              <w:rPr>
                <w:rFonts w:cs="Arial"/>
                <w:sz w:val="20"/>
                <w:szCs w:val="20"/>
                <w:lang w:val="sl-SI"/>
              </w:rPr>
            </w:pPr>
          </w:p>
        </w:tc>
        <w:tc>
          <w:tcPr>
            <w:tcW w:w="2320"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1630FB0B" w14:textId="77777777" w:rsidR="0081647C" w:rsidRPr="00FF207E" w:rsidRDefault="0081647C" w:rsidP="001E304B">
            <w:pPr>
              <w:spacing w:line="240" w:lineRule="atLeast"/>
              <w:jc w:val="both"/>
              <w:rPr>
                <w:rFonts w:cs="Arial"/>
                <w:sz w:val="20"/>
                <w:szCs w:val="20"/>
                <w:lang w:val="sl-SI"/>
              </w:rPr>
            </w:pPr>
            <w:r w:rsidRPr="00FF207E">
              <w:rPr>
                <w:rFonts w:cs="Arial"/>
                <w:sz w:val="20"/>
                <w:szCs w:val="20"/>
                <w:lang w:val="sl-SI"/>
              </w:rPr>
              <w:t>Rok izvedbe</w:t>
            </w:r>
          </w:p>
        </w:tc>
        <w:tc>
          <w:tcPr>
            <w:tcW w:w="5771"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701BA1F2" w14:textId="42F8ADA1" w:rsidR="0081647C" w:rsidRPr="00FF207E" w:rsidRDefault="004777A6" w:rsidP="001E304B">
            <w:pPr>
              <w:spacing w:line="240" w:lineRule="atLeast"/>
              <w:jc w:val="both"/>
              <w:rPr>
                <w:rFonts w:cs="Arial"/>
                <w:sz w:val="20"/>
                <w:szCs w:val="20"/>
                <w:lang w:val="sl-SI"/>
              </w:rPr>
            </w:pPr>
            <w:r w:rsidRPr="00FF207E">
              <w:rPr>
                <w:rFonts w:cs="Arial"/>
                <w:sz w:val="20"/>
                <w:szCs w:val="20"/>
                <w:lang w:val="sl-SI"/>
              </w:rPr>
              <w:t>2024</w:t>
            </w:r>
          </w:p>
        </w:tc>
      </w:tr>
    </w:tbl>
    <w:p w14:paraId="6650A5AD" w14:textId="3C193306" w:rsidR="00D378A4" w:rsidRPr="00FF207E" w:rsidRDefault="00D378A4" w:rsidP="001E304B">
      <w:pPr>
        <w:pStyle w:val="Naslov2"/>
        <w:jc w:val="both"/>
        <w:rPr>
          <w:lang w:val="sl-SI"/>
        </w:rPr>
      </w:pPr>
      <w:bookmarkStart w:id="65" w:name="_Toc151148792"/>
      <w:r w:rsidRPr="00FF207E">
        <w:rPr>
          <w:lang w:val="sl-SI"/>
        </w:rPr>
        <w:t>Energetsko svetovanje za energetsko revne</w:t>
      </w:r>
      <w:bookmarkEnd w:id="65"/>
    </w:p>
    <w:tbl>
      <w:tblPr>
        <w:tblStyle w:val="Tabelamrea"/>
        <w:tblW w:w="0" w:type="auto"/>
        <w:tblLook w:val="04A0" w:firstRow="1" w:lastRow="0" w:firstColumn="1" w:lastColumn="0" w:noHBand="0" w:noVBand="1"/>
      </w:tblPr>
      <w:tblGrid>
        <w:gridCol w:w="567"/>
        <w:gridCol w:w="2405"/>
        <w:gridCol w:w="6090"/>
      </w:tblGrid>
      <w:tr w:rsidR="004D5B81" w:rsidRPr="00FF207E" w14:paraId="539B585E" w14:textId="77777777" w:rsidTr="00324F0C">
        <w:tc>
          <w:tcPr>
            <w:tcW w:w="2972" w:type="dxa"/>
            <w:gridSpan w:val="2"/>
            <w:tcBorders>
              <w:top w:val="nil"/>
              <w:left w:val="nil"/>
              <w:bottom w:val="nil"/>
              <w:right w:val="single" w:sz="4" w:space="0" w:color="548DD4" w:themeColor="text2" w:themeTint="99"/>
            </w:tcBorders>
            <w:shd w:val="clear" w:color="auto" w:fill="548DD4" w:themeFill="text2" w:themeFillTint="99"/>
            <w:vAlign w:val="center"/>
          </w:tcPr>
          <w:p w14:paraId="2CCA93CD" w14:textId="3BE90264" w:rsidR="004D5B81" w:rsidRPr="00FF207E" w:rsidRDefault="004D5B81" w:rsidP="001E304B">
            <w:pPr>
              <w:spacing w:before="40" w:after="40"/>
              <w:jc w:val="both"/>
              <w:rPr>
                <w:rFonts w:cs="Arial"/>
                <w:b/>
                <w:color w:val="FFFFFF" w:themeColor="background1"/>
                <w:lang w:val="sl-SI"/>
              </w:rPr>
            </w:pPr>
            <w:r w:rsidRPr="00FF207E">
              <w:rPr>
                <w:rFonts w:cs="Arial"/>
                <w:b/>
                <w:color w:val="FFFFFF" w:themeColor="background1"/>
                <w:lang w:val="sl-SI"/>
              </w:rPr>
              <w:t>ER_Shema-04</w:t>
            </w:r>
          </w:p>
        </w:tc>
        <w:tc>
          <w:tcPr>
            <w:tcW w:w="6090" w:type="dxa"/>
            <w:tcBorders>
              <w:top w:val="nil"/>
              <w:left w:val="single" w:sz="4" w:space="0" w:color="548DD4" w:themeColor="text2" w:themeTint="99"/>
              <w:bottom w:val="nil"/>
              <w:right w:val="nil"/>
            </w:tcBorders>
            <w:shd w:val="clear" w:color="auto" w:fill="548DD4" w:themeFill="text2" w:themeFillTint="99"/>
            <w:vAlign w:val="center"/>
          </w:tcPr>
          <w:p w14:paraId="7294DAD0" w14:textId="14E94FEC" w:rsidR="004D5B81" w:rsidRPr="00FF207E" w:rsidRDefault="004D5B81" w:rsidP="001E304B">
            <w:pPr>
              <w:pStyle w:val="Naslov5"/>
              <w:jc w:val="both"/>
            </w:pPr>
            <w:bookmarkStart w:id="66" w:name="_Energetsko_svetovanje_za"/>
            <w:bookmarkEnd w:id="66"/>
            <w:r w:rsidRPr="00FF207E">
              <w:t>Energetsko svetovanje za energetsko revne</w:t>
            </w:r>
          </w:p>
        </w:tc>
      </w:tr>
      <w:tr w:rsidR="004D5B81" w:rsidRPr="00FF207E" w14:paraId="747BF781" w14:textId="77777777" w:rsidTr="00324F0C">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099A0344" w14:textId="77777777" w:rsidR="004D5B81" w:rsidRPr="00FF207E" w:rsidRDefault="004D5B81" w:rsidP="001E304B">
            <w:pPr>
              <w:spacing w:before="60" w:after="60" w:line="240" w:lineRule="atLeast"/>
              <w:jc w:val="both"/>
              <w:rPr>
                <w:rFonts w:cs="Arial"/>
                <w:b/>
                <w:szCs w:val="22"/>
                <w:lang w:val="sl-SI"/>
              </w:rPr>
            </w:pPr>
            <w:r w:rsidRPr="00FF207E">
              <w:rPr>
                <w:rFonts w:cs="Arial"/>
                <w:b/>
                <w:szCs w:val="22"/>
                <w:lang w:val="sl-SI"/>
              </w:rPr>
              <w:t>Osnovne informacije</w:t>
            </w:r>
          </w:p>
        </w:tc>
      </w:tr>
      <w:tr w:rsidR="004D5B81" w:rsidRPr="00FF207E" w14:paraId="06269970" w14:textId="77777777" w:rsidTr="00742BD0">
        <w:tc>
          <w:tcPr>
            <w:tcW w:w="2972" w:type="dxa"/>
            <w:gridSpan w:val="2"/>
            <w:tcBorders>
              <w:top w:val="nil"/>
              <w:left w:val="nil"/>
              <w:bottom w:val="single" w:sz="4" w:space="0" w:color="548DD4" w:themeColor="text2" w:themeTint="99"/>
              <w:right w:val="single" w:sz="4" w:space="0" w:color="548DD4" w:themeColor="text2" w:themeTint="99"/>
            </w:tcBorders>
          </w:tcPr>
          <w:p w14:paraId="52D30BB8" w14:textId="77777777" w:rsidR="004D5B81" w:rsidRPr="00FF207E" w:rsidRDefault="004D5B81" w:rsidP="001E304B">
            <w:pPr>
              <w:spacing w:line="240" w:lineRule="atLeast"/>
              <w:jc w:val="both"/>
              <w:rPr>
                <w:rFonts w:cs="Arial"/>
                <w:spacing w:val="-4"/>
                <w:sz w:val="20"/>
                <w:szCs w:val="20"/>
                <w:lang w:val="sl-SI"/>
              </w:rPr>
            </w:pPr>
            <w:r w:rsidRPr="00FF207E">
              <w:rPr>
                <w:rFonts w:cs="Arial"/>
                <w:spacing w:val="-4"/>
                <w:sz w:val="20"/>
                <w:szCs w:val="20"/>
                <w:lang w:val="sl-SI"/>
              </w:rPr>
              <w:t>Odgovornost za izvedbo ukrepa</w:t>
            </w:r>
          </w:p>
        </w:tc>
        <w:tc>
          <w:tcPr>
            <w:tcW w:w="6090" w:type="dxa"/>
            <w:tcBorders>
              <w:top w:val="nil"/>
              <w:left w:val="single" w:sz="4" w:space="0" w:color="548DD4" w:themeColor="text2" w:themeTint="99"/>
              <w:bottom w:val="single" w:sz="4" w:space="0" w:color="548DD4" w:themeColor="text2" w:themeTint="99"/>
              <w:right w:val="nil"/>
            </w:tcBorders>
          </w:tcPr>
          <w:p w14:paraId="0575756D" w14:textId="63625DE2" w:rsidR="004D5B81" w:rsidRPr="00FF207E" w:rsidRDefault="004D5B81"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4D5B81" w:rsidRPr="00FF207E" w14:paraId="6691FF89"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11D91211" w14:textId="77777777" w:rsidR="004D5B81" w:rsidRPr="00FF207E" w:rsidRDefault="004D5B81"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F96C861" w14:textId="311C72CB" w:rsidR="004D5B81" w:rsidRPr="00FF207E" w:rsidRDefault="004D5B81" w:rsidP="00B77973">
            <w:pPr>
              <w:spacing w:line="240" w:lineRule="atLeast"/>
              <w:jc w:val="both"/>
              <w:rPr>
                <w:rFonts w:cs="Arial"/>
                <w:sz w:val="20"/>
                <w:szCs w:val="20"/>
                <w:lang w:val="sl-SI"/>
              </w:rPr>
            </w:pPr>
            <w:r w:rsidRPr="00FF207E">
              <w:rPr>
                <w:rFonts w:cs="Arial"/>
                <w:sz w:val="20"/>
                <w:szCs w:val="20"/>
                <w:lang w:val="sl-SI"/>
              </w:rPr>
              <w:t xml:space="preserve">ENSVET, </w:t>
            </w:r>
            <w:r w:rsidR="00662D01" w:rsidRPr="00FF207E">
              <w:rPr>
                <w:rFonts w:cs="Arial"/>
                <w:sz w:val="20"/>
                <w:szCs w:val="20"/>
                <w:lang w:val="sl-SI"/>
              </w:rPr>
              <w:t>regionalne</w:t>
            </w:r>
            <w:r w:rsidRPr="00FF207E">
              <w:rPr>
                <w:rFonts w:cs="Arial"/>
                <w:sz w:val="20"/>
                <w:szCs w:val="20"/>
                <w:lang w:val="sl-SI"/>
              </w:rPr>
              <w:t xml:space="preserve"> </w:t>
            </w:r>
            <w:r w:rsidR="00662D01" w:rsidRPr="00FF207E">
              <w:rPr>
                <w:rFonts w:cs="Arial"/>
                <w:sz w:val="20"/>
                <w:szCs w:val="20"/>
                <w:lang w:val="sl-SI"/>
              </w:rPr>
              <w:t>svetovalne točke</w:t>
            </w:r>
            <w:r w:rsidR="00676CB0" w:rsidRPr="00FF207E">
              <w:rPr>
                <w:rFonts w:cs="Arial"/>
                <w:sz w:val="20"/>
                <w:szCs w:val="20"/>
                <w:lang w:val="sl-SI"/>
              </w:rPr>
              <w:t>, projektna pisarna</w:t>
            </w:r>
            <w:r w:rsidR="00254420" w:rsidRPr="00FF207E">
              <w:rPr>
                <w:rFonts w:cs="Arial"/>
                <w:sz w:val="20"/>
                <w:szCs w:val="20"/>
                <w:lang w:val="sl-SI"/>
              </w:rPr>
              <w:t>, drugi deležniki</w:t>
            </w:r>
            <w:r w:rsidR="005B6D83" w:rsidRPr="00FF207E">
              <w:rPr>
                <w:rFonts w:cs="Arial"/>
                <w:sz w:val="20"/>
                <w:szCs w:val="20"/>
                <w:lang w:val="sl-SI"/>
              </w:rPr>
              <w:t xml:space="preserve"> (</w:t>
            </w:r>
            <w:r w:rsidR="00B77973" w:rsidRPr="00FF207E">
              <w:rPr>
                <w:rFonts w:cs="Arial"/>
                <w:sz w:val="20"/>
                <w:szCs w:val="20"/>
                <w:lang w:val="sl-SI"/>
              </w:rPr>
              <w:t>na primer</w:t>
            </w:r>
            <w:r w:rsidR="005B6D83" w:rsidRPr="00FF207E">
              <w:rPr>
                <w:rFonts w:cs="Arial"/>
                <w:sz w:val="20"/>
                <w:szCs w:val="20"/>
                <w:lang w:val="sl-SI"/>
              </w:rPr>
              <w:t xml:space="preserve"> </w:t>
            </w:r>
            <w:r w:rsidR="00B77973" w:rsidRPr="00FF207E">
              <w:rPr>
                <w:rFonts w:cs="Arial"/>
                <w:sz w:val="20"/>
                <w:szCs w:val="20"/>
                <w:lang w:val="sl-SI"/>
              </w:rPr>
              <w:t>tako imenovani</w:t>
            </w:r>
            <w:r w:rsidR="005B6D83" w:rsidRPr="00FF207E">
              <w:rPr>
                <w:rFonts w:cs="Arial"/>
                <w:sz w:val="20"/>
                <w:szCs w:val="20"/>
                <w:lang w:val="sl-SI"/>
              </w:rPr>
              <w:t xml:space="preserve"> koordinatorji)</w:t>
            </w:r>
          </w:p>
        </w:tc>
      </w:tr>
      <w:tr w:rsidR="004D5B81" w:rsidRPr="00FF207E" w14:paraId="0542D3C5"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0A0523DB" w14:textId="77777777" w:rsidR="004D5B81" w:rsidRPr="00FF207E" w:rsidRDefault="004D5B81" w:rsidP="001E304B">
            <w:pPr>
              <w:spacing w:line="240" w:lineRule="atLeast"/>
              <w:jc w:val="both"/>
              <w:rPr>
                <w:rFonts w:cs="Arial"/>
                <w:sz w:val="20"/>
                <w:szCs w:val="20"/>
                <w:lang w:val="sl-SI"/>
              </w:rPr>
            </w:pPr>
            <w:r w:rsidRPr="00FF207E">
              <w:rPr>
                <w:rFonts w:cs="Arial"/>
                <w:sz w:val="20"/>
                <w:szCs w:val="20"/>
                <w:lang w:val="sl-SI"/>
              </w:rPr>
              <w:t>Strateške podlage in njihova veljavnost</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23D506B" w14:textId="7D093DD2" w:rsidR="004D5B81" w:rsidRPr="00FF207E" w:rsidRDefault="004D5B81" w:rsidP="001E304B">
            <w:pPr>
              <w:spacing w:line="240" w:lineRule="atLeast"/>
              <w:jc w:val="both"/>
              <w:rPr>
                <w:rFonts w:cs="Arial"/>
                <w:sz w:val="20"/>
                <w:szCs w:val="20"/>
                <w:lang w:val="sl-SI"/>
              </w:rPr>
            </w:pPr>
            <w:r w:rsidRPr="00FF207E">
              <w:rPr>
                <w:rFonts w:cs="Arial"/>
                <w:sz w:val="20"/>
                <w:szCs w:val="20"/>
                <w:lang w:val="sl-SI"/>
              </w:rPr>
              <w:t xml:space="preserve">NEPN, veljavnost do </w:t>
            </w:r>
            <w:r w:rsidR="008D521A" w:rsidRPr="00FF207E">
              <w:rPr>
                <w:rFonts w:cs="Arial"/>
                <w:sz w:val="20"/>
                <w:szCs w:val="20"/>
                <w:lang w:val="sl-SI"/>
              </w:rPr>
              <w:t xml:space="preserve">leta </w:t>
            </w:r>
            <w:r w:rsidRPr="00FF207E">
              <w:rPr>
                <w:rFonts w:cs="Arial"/>
                <w:sz w:val="20"/>
                <w:szCs w:val="20"/>
                <w:lang w:val="sl-SI"/>
              </w:rPr>
              <w:t xml:space="preserve">2030 (ukrep </w:t>
            </w:r>
            <w:r w:rsidRPr="00FF207E">
              <w:rPr>
                <w:rFonts w:cs="Arial"/>
                <w:i/>
                <w:sz w:val="20"/>
                <w:szCs w:val="20"/>
                <w:lang w:val="sl-SI"/>
              </w:rPr>
              <w:t>Shema pomoči za učinkovito rabo energije v gospodinjstvih za ranljive skupine prebivalstva</w:t>
            </w:r>
            <w:r w:rsidRPr="00FF207E">
              <w:rPr>
                <w:rFonts w:cs="Arial"/>
                <w:sz w:val="20"/>
                <w:szCs w:val="20"/>
                <w:lang w:val="sl-SI"/>
              </w:rPr>
              <w:t>)</w:t>
            </w:r>
            <w:r w:rsidRPr="00FF207E">
              <w:rPr>
                <w:rFonts w:cs="Arial"/>
                <w:sz w:val="20"/>
                <w:szCs w:val="20"/>
                <w:lang w:val="sl-SI"/>
              </w:rPr>
              <w:br/>
              <w:t xml:space="preserve">DSEPS 2050, veljavnost do </w:t>
            </w:r>
            <w:r w:rsidR="008D521A" w:rsidRPr="00FF207E">
              <w:rPr>
                <w:rFonts w:cs="Arial"/>
                <w:sz w:val="20"/>
                <w:szCs w:val="20"/>
                <w:lang w:val="sl-SI"/>
              </w:rPr>
              <w:t xml:space="preserve">leta </w:t>
            </w:r>
            <w:r w:rsidRPr="00FF207E">
              <w:rPr>
                <w:rFonts w:cs="Arial"/>
                <w:sz w:val="20"/>
                <w:szCs w:val="20"/>
                <w:lang w:val="sl-SI"/>
              </w:rPr>
              <w:t xml:space="preserve">2030 (ukrep </w:t>
            </w:r>
            <w:r w:rsidRPr="00FF207E">
              <w:rPr>
                <w:rFonts w:cs="Arial"/>
                <w:i/>
                <w:sz w:val="20"/>
                <w:szCs w:val="20"/>
                <w:lang w:val="sl-SI"/>
              </w:rPr>
              <w:t>G-1</w:t>
            </w:r>
            <w:r w:rsidRPr="00FF207E">
              <w:rPr>
                <w:rFonts w:cs="Arial"/>
                <w:sz w:val="20"/>
                <w:szCs w:val="20"/>
                <w:lang w:val="sl-SI"/>
              </w:rPr>
              <w:t>)</w:t>
            </w:r>
          </w:p>
        </w:tc>
      </w:tr>
      <w:tr w:rsidR="004D5B81" w:rsidRPr="00FF207E" w14:paraId="0370E1C7"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6FC2D733" w14:textId="77777777" w:rsidR="004D5B81" w:rsidRPr="00FF207E" w:rsidRDefault="004D5B81" w:rsidP="001E304B">
            <w:pPr>
              <w:spacing w:line="240" w:lineRule="atLeast"/>
              <w:jc w:val="both"/>
              <w:rPr>
                <w:rFonts w:cs="Arial"/>
                <w:sz w:val="20"/>
                <w:szCs w:val="20"/>
                <w:lang w:val="sl-SI"/>
              </w:rPr>
            </w:pPr>
            <w:r w:rsidRPr="00FF207E">
              <w:rPr>
                <w:rFonts w:cs="Arial"/>
                <w:sz w:val="20"/>
                <w:szCs w:val="20"/>
                <w:lang w:val="sl-SI"/>
              </w:rPr>
              <w:t>Veljavnost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0C6BDED" w14:textId="518F7EF2" w:rsidR="004D5B81" w:rsidRPr="00FF207E" w:rsidRDefault="004D5B81" w:rsidP="001E304B">
            <w:pPr>
              <w:spacing w:line="240" w:lineRule="atLeast"/>
              <w:jc w:val="both"/>
              <w:rPr>
                <w:rFonts w:cs="Arial"/>
                <w:sz w:val="20"/>
                <w:szCs w:val="20"/>
                <w:lang w:val="sl-SI"/>
              </w:rPr>
            </w:pPr>
            <w:r w:rsidRPr="00FF207E">
              <w:rPr>
                <w:rFonts w:cs="Arial"/>
                <w:sz w:val="20"/>
                <w:szCs w:val="20"/>
                <w:lang w:val="sl-SI"/>
              </w:rPr>
              <w:t>2030</w:t>
            </w:r>
          </w:p>
        </w:tc>
      </w:tr>
      <w:tr w:rsidR="004D5B81" w:rsidRPr="00FF207E" w14:paraId="48C279B7"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1C923702" w14:textId="77777777" w:rsidR="004D5B81" w:rsidRPr="00FF207E" w:rsidRDefault="004D5B81" w:rsidP="001E304B">
            <w:pPr>
              <w:spacing w:line="240" w:lineRule="atLeast"/>
              <w:jc w:val="both"/>
              <w:rPr>
                <w:rFonts w:cs="Arial"/>
                <w:sz w:val="20"/>
                <w:szCs w:val="20"/>
                <w:lang w:val="sl-SI"/>
              </w:rPr>
            </w:pPr>
            <w:r w:rsidRPr="00FF207E">
              <w:rPr>
                <w:rFonts w:cs="Arial"/>
                <w:sz w:val="20"/>
                <w:szCs w:val="20"/>
                <w:lang w:val="sl-SI"/>
              </w:rPr>
              <w:t>Vrsta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3055058B" w14:textId="44523A04" w:rsidR="004D5B81" w:rsidRPr="00FF207E" w:rsidRDefault="004D5B81" w:rsidP="001E304B">
            <w:pPr>
              <w:spacing w:line="240" w:lineRule="atLeast"/>
              <w:jc w:val="both"/>
              <w:rPr>
                <w:rFonts w:cs="Arial"/>
                <w:sz w:val="20"/>
                <w:szCs w:val="20"/>
                <w:lang w:val="sl-SI"/>
              </w:rPr>
            </w:pPr>
            <w:r w:rsidRPr="00FF207E">
              <w:rPr>
                <w:rFonts w:cs="Arial"/>
                <w:sz w:val="20"/>
                <w:szCs w:val="20"/>
                <w:lang w:val="sl-SI"/>
              </w:rPr>
              <w:t>svetovanje, usposabljanje</w:t>
            </w:r>
          </w:p>
        </w:tc>
      </w:tr>
      <w:tr w:rsidR="004D5B81" w:rsidRPr="00FF207E" w14:paraId="39FB6913"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67C4419D" w14:textId="77777777" w:rsidR="004D5B81" w:rsidRPr="00FF207E" w:rsidRDefault="004D5B81" w:rsidP="001E304B">
            <w:pPr>
              <w:spacing w:line="240" w:lineRule="atLeast"/>
              <w:jc w:val="both"/>
              <w:rPr>
                <w:rFonts w:cs="Arial"/>
                <w:sz w:val="20"/>
                <w:szCs w:val="20"/>
                <w:lang w:val="sl-SI"/>
              </w:rPr>
            </w:pPr>
            <w:r w:rsidRPr="00FF207E">
              <w:rPr>
                <w:rFonts w:cs="Arial"/>
                <w:sz w:val="20"/>
                <w:szCs w:val="20"/>
                <w:lang w:val="sl-SI"/>
              </w:rPr>
              <w:t>Pričakovani učinki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F15FF98" w14:textId="52847CAE" w:rsidR="004D5B81" w:rsidRPr="00FF207E" w:rsidRDefault="008D521A" w:rsidP="001E304B">
            <w:pPr>
              <w:spacing w:line="240" w:lineRule="atLeast"/>
              <w:jc w:val="both"/>
              <w:rPr>
                <w:rFonts w:cs="Arial"/>
                <w:sz w:val="20"/>
                <w:szCs w:val="20"/>
                <w:lang w:val="sl-SI"/>
              </w:rPr>
            </w:pPr>
            <w:r w:rsidRPr="00FF207E">
              <w:rPr>
                <w:rFonts w:cs="Arial"/>
                <w:sz w:val="20"/>
                <w:szCs w:val="20"/>
                <w:lang w:val="sl-SI"/>
              </w:rPr>
              <w:t>c</w:t>
            </w:r>
            <w:r w:rsidR="001E4165" w:rsidRPr="00FF207E">
              <w:rPr>
                <w:rFonts w:cs="Arial"/>
                <w:sz w:val="20"/>
                <w:szCs w:val="20"/>
                <w:lang w:val="sl-SI"/>
              </w:rPr>
              <w:t>elostn</w:t>
            </w:r>
            <w:r w:rsidR="00A60F48" w:rsidRPr="00FF207E">
              <w:rPr>
                <w:rFonts w:cs="Arial"/>
                <w:sz w:val="20"/>
                <w:szCs w:val="20"/>
                <w:lang w:val="sl-SI"/>
              </w:rPr>
              <w:t>a</w:t>
            </w:r>
            <w:r w:rsidR="001E4165" w:rsidRPr="00FF207E">
              <w:rPr>
                <w:rFonts w:cs="Arial"/>
                <w:sz w:val="20"/>
                <w:szCs w:val="20"/>
                <w:lang w:val="sl-SI"/>
              </w:rPr>
              <w:t xml:space="preserve"> </w:t>
            </w:r>
            <w:r w:rsidR="00A60F48" w:rsidRPr="00FF207E">
              <w:rPr>
                <w:rFonts w:cs="Arial"/>
                <w:sz w:val="20"/>
                <w:szCs w:val="20"/>
                <w:lang w:val="sl-SI"/>
              </w:rPr>
              <w:t>podpora</w:t>
            </w:r>
            <w:r w:rsidR="001E4165" w:rsidRPr="00FF207E">
              <w:rPr>
                <w:rFonts w:cs="Arial"/>
                <w:sz w:val="20"/>
                <w:szCs w:val="20"/>
                <w:lang w:val="sl-SI"/>
              </w:rPr>
              <w:t xml:space="preserve"> energetsko revn</w:t>
            </w:r>
            <w:r w:rsidR="00A60F48" w:rsidRPr="00FF207E">
              <w:rPr>
                <w:rFonts w:cs="Arial"/>
                <w:sz w:val="20"/>
                <w:szCs w:val="20"/>
                <w:lang w:val="sl-SI"/>
              </w:rPr>
              <w:t>im</w:t>
            </w:r>
            <w:r w:rsidR="001E4165" w:rsidRPr="00FF207E">
              <w:rPr>
                <w:rFonts w:cs="Arial"/>
                <w:sz w:val="20"/>
                <w:szCs w:val="20"/>
                <w:lang w:val="sl-SI"/>
              </w:rPr>
              <w:t xml:space="preserve"> pri </w:t>
            </w:r>
            <w:r w:rsidR="003B6D10" w:rsidRPr="00FF207E">
              <w:rPr>
                <w:rFonts w:cs="Arial"/>
                <w:sz w:val="20"/>
                <w:szCs w:val="20"/>
                <w:lang w:val="sl-SI"/>
              </w:rPr>
              <w:t>prizadevanjih za zmanjševanje energetske revščine</w:t>
            </w:r>
            <w:r w:rsidR="008A415E" w:rsidRPr="00FF207E">
              <w:rPr>
                <w:rFonts w:cs="Arial"/>
                <w:sz w:val="20"/>
                <w:szCs w:val="20"/>
                <w:lang w:val="sl-SI"/>
              </w:rPr>
              <w:t>, ki vključuje osnovno informiranje, energetsko svetovanje in celostno strokovno pomoč</w:t>
            </w:r>
            <w:r w:rsidR="003B6D10" w:rsidRPr="00FF207E">
              <w:rPr>
                <w:rFonts w:cs="Arial"/>
                <w:sz w:val="20"/>
                <w:szCs w:val="20"/>
                <w:lang w:val="sl-SI"/>
              </w:rPr>
              <w:t xml:space="preserve"> (</w:t>
            </w:r>
            <w:r w:rsidR="00B77973" w:rsidRPr="00FF207E">
              <w:rPr>
                <w:rFonts w:cs="Arial"/>
                <w:sz w:val="20"/>
                <w:szCs w:val="20"/>
                <w:lang w:val="sl-SI"/>
              </w:rPr>
              <w:t>na primer</w:t>
            </w:r>
            <w:r w:rsidR="008A415E" w:rsidRPr="00FF207E">
              <w:rPr>
                <w:rFonts w:cs="Arial"/>
                <w:sz w:val="20"/>
                <w:szCs w:val="20"/>
                <w:lang w:val="sl-SI"/>
              </w:rPr>
              <w:t xml:space="preserve"> </w:t>
            </w:r>
            <w:r w:rsidR="003B6D10" w:rsidRPr="00FF207E">
              <w:rPr>
                <w:rFonts w:cs="Arial"/>
                <w:sz w:val="20"/>
                <w:szCs w:val="20"/>
                <w:lang w:val="sl-SI"/>
              </w:rPr>
              <w:t xml:space="preserve">podpora pri pridobivanju spodbud, svetovanje za izvedbo ukrepov </w:t>
            </w:r>
            <w:r w:rsidR="00B77973" w:rsidRPr="00FF207E">
              <w:rPr>
                <w:rFonts w:cs="Arial"/>
                <w:sz w:val="20"/>
                <w:szCs w:val="20"/>
                <w:lang w:val="sl-SI"/>
              </w:rPr>
              <w:t>in tako dalje</w:t>
            </w:r>
            <w:r w:rsidR="003B6D10" w:rsidRPr="00FF207E">
              <w:rPr>
                <w:rFonts w:cs="Arial"/>
                <w:sz w:val="20"/>
                <w:szCs w:val="20"/>
                <w:lang w:val="sl-SI"/>
              </w:rPr>
              <w:t>)</w:t>
            </w:r>
            <w:r w:rsidR="008A415E" w:rsidRPr="00FF207E">
              <w:rPr>
                <w:rFonts w:cs="Arial"/>
                <w:sz w:val="20"/>
                <w:szCs w:val="20"/>
                <w:lang w:val="sl-SI"/>
              </w:rPr>
              <w:t xml:space="preserve"> ter izvedbo predhodnega ogleda stavbe</w:t>
            </w:r>
          </w:p>
        </w:tc>
      </w:tr>
      <w:tr w:rsidR="004D5B81" w:rsidRPr="00FF207E" w14:paraId="16E4ECEC" w14:textId="77777777" w:rsidTr="00324F0C">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7CFAC54E" w14:textId="77777777" w:rsidR="004D5B81" w:rsidRPr="00FF207E" w:rsidRDefault="004D5B81" w:rsidP="001E304B">
            <w:pPr>
              <w:spacing w:line="240" w:lineRule="atLeast"/>
              <w:jc w:val="both"/>
              <w:rPr>
                <w:rFonts w:cs="Arial"/>
                <w:sz w:val="20"/>
                <w:szCs w:val="20"/>
                <w:lang w:val="sl-SI"/>
              </w:rPr>
            </w:pPr>
            <w:r w:rsidRPr="00FF207E">
              <w:rPr>
                <w:rFonts w:cs="Arial"/>
                <w:sz w:val="20"/>
                <w:szCs w:val="20"/>
                <w:lang w:val="sl-SI"/>
              </w:rPr>
              <w:t>Status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E1CEE0A" w14:textId="551816C0" w:rsidR="004D5B81" w:rsidRPr="00FF207E" w:rsidRDefault="00736A5E" w:rsidP="008D521A">
            <w:pPr>
              <w:spacing w:line="240" w:lineRule="atLeast"/>
              <w:jc w:val="both"/>
              <w:rPr>
                <w:rFonts w:cs="Arial"/>
                <w:sz w:val="20"/>
                <w:szCs w:val="20"/>
                <w:lang w:val="sl-SI"/>
              </w:rPr>
            </w:pPr>
            <w:r w:rsidRPr="00FF207E">
              <w:rPr>
                <w:rFonts w:cs="Arial"/>
                <w:sz w:val="20"/>
                <w:szCs w:val="20"/>
                <w:lang w:val="sl-SI"/>
              </w:rPr>
              <w:t xml:space="preserve">Veljaven </w:t>
            </w:r>
            <w:r w:rsidR="004D5B81" w:rsidRPr="00FF207E">
              <w:rPr>
                <w:rFonts w:cs="Arial"/>
                <w:sz w:val="20"/>
                <w:szCs w:val="20"/>
                <w:lang w:val="sl-SI"/>
              </w:rPr>
              <w:t xml:space="preserve">ukrep z nadgradnjo. Ukrep gradi na </w:t>
            </w:r>
            <w:r w:rsidRPr="00FF207E">
              <w:rPr>
                <w:rFonts w:cs="Arial"/>
                <w:sz w:val="20"/>
                <w:szCs w:val="20"/>
                <w:lang w:val="sl-SI"/>
              </w:rPr>
              <w:t xml:space="preserve">veljavnem </w:t>
            </w:r>
            <w:r w:rsidR="004D5B81" w:rsidRPr="00FF207E">
              <w:rPr>
                <w:rFonts w:cs="Arial"/>
                <w:sz w:val="20"/>
                <w:szCs w:val="20"/>
                <w:lang w:val="sl-SI"/>
              </w:rPr>
              <w:t xml:space="preserve">ukrepu energetskega svetovanja, ki ga </w:t>
            </w:r>
            <w:proofErr w:type="spellStart"/>
            <w:r w:rsidR="004D5B81" w:rsidRPr="00FF207E">
              <w:rPr>
                <w:rFonts w:cs="Arial"/>
                <w:sz w:val="20"/>
                <w:szCs w:val="20"/>
                <w:lang w:val="sl-SI"/>
              </w:rPr>
              <w:t>Eko</w:t>
            </w:r>
            <w:proofErr w:type="spellEnd"/>
            <w:r w:rsidR="004D5B81" w:rsidRPr="00FF207E">
              <w:rPr>
                <w:rFonts w:cs="Arial"/>
                <w:sz w:val="20"/>
                <w:szCs w:val="20"/>
                <w:lang w:val="sl-SI"/>
              </w:rPr>
              <w:t xml:space="preserve"> sklad </w:t>
            </w:r>
            <w:r w:rsidR="008D521A" w:rsidRPr="00FF207E">
              <w:rPr>
                <w:rFonts w:cs="Arial"/>
                <w:sz w:val="20"/>
                <w:szCs w:val="20"/>
                <w:lang w:val="sl-SI"/>
              </w:rPr>
              <w:t xml:space="preserve">za zdaj </w:t>
            </w:r>
            <w:r w:rsidR="004D5B81" w:rsidRPr="00FF207E">
              <w:rPr>
                <w:rFonts w:cs="Arial"/>
                <w:sz w:val="20"/>
                <w:szCs w:val="20"/>
                <w:lang w:val="sl-SI"/>
              </w:rPr>
              <w:t>izvaja v okviru projekta ZERO.</w:t>
            </w:r>
          </w:p>
        </w:tc>
      </w:tr>
      <w:tr w:rsidR="004D5B81" w:rsidRPr="00FF207E" w14:paraId="2F0756E9" w14:textId="77777777" w:rsidTr="00324F0C">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6761D3CD" w14:textId="77777777" w:rsidR="004D5B81" w:rsidRPr="00FF207E" w:rsidRDefault="004D5B81" w:rsidP="001E304B">
            <w:pPr>
              <w:spacing w:before="60" w:after="60" w:line="240" w:lineRule="atLeast"/>
              <w:jc w:val="both"/>
              <w:rPr>
                <w:rFonts w:cs="Arial"/>
                <w:b/>
                <w:lang w:val="sl-SI"/>
              </w:rPr>
            </w:pPr>
            <w:r w:rsidRPr="00FF207E">
              <w:rPr>
                <w:rFonts w:cs="Arial"/>
                <w:b/>
                <w:lang w:val="sl-SI"/>
              </w:rPr>
              <w:t>Dolgoročna vsebina ukrepa</w:t>
            </w:r>
          </w:p>
        </w:tc>
      </w:tr>
      <w:tr w:rsidR="004D5B81" w:rsidRPr="00FF207E" w14:paraId="4D286F42" w14:textId="77777777" w:rsidTr="00324F0C">
        <w:tc>
          <w:tcPr>
            <w:tcW w:w="9062" w:type="dxa"/>
            <w:gridSpan w:val="3"/>
            <w:tcBorders>
              <w:top w:val="single" w:sz="4" w:space="0" w:color="548DD4" w:themeColor="text2" w:themeTint="99"/>
              <w:left w:val="nil"/>
              <w:bottom w:val="single" w:sz="4" w:space="0" w:color="548DD4" w:themeColor="text2" w:themeTint="99"/>
              <w:right w:val="nil"/>
            </w:tcBorders>
          </w:tcPr>
          <w:p w14:paraId="479DF0A7" w14:textId="77777777" w:rsidR="004D5B81" w:rsidRPr="00FF207E" w:rsidRDefault="004D5B81" w:rsidP="001E304B">
            <w:pPr>
              <w:spacing w:line="240" w:lineRule="atLeast"/>
              <w:jc w:val="both"/>
              <w:rPr>
                <w:rFonts w:cs="Arial"/>
                <w:sz w:val="20"/>
                <w:szCs w:val="20"/>
                <w:lang w:val="sl-SI"/>
              </w:rPr>
            </w:pPr>
            <w:r w:rsidRPr="00FF207E">
              <w:rPr>
                <w:rFonts w:cs="Arial"/>
                <w:sz w:val="20"/>
                <w:szCs w:val="20"/>
                <w:lang w:val="sl-SI"/>
              </w:rPr>
              <w:t>V okviru ukrepa je treba dolgoročno:</w:t>
            </w:r>
          </w:p>
          <w:p w14:paraId="0AFE11B1" w14:textId="0ADEFB33" w:rsidR="00164675" w:rsidRPr="00FF207E" w:rsidRDefault="00164675" w:rsidP="001E304B">
            <w:pPr>
              <w:pStyle w:val="Odstavekseznama"/>
              <w:numPr>
                <w:ilvl w:val="0"/>
                <w:numId w:val="10"/>
              </w:numPr>
              <w:spacing w:line="240" w:lineRule="atLeast"/>
              <w:ind w:left="357" w:hanging="357"/>
              <w:jc w:val="both"/>
              <w:rPr>
                <w:rFonts w:cs="Arial"/>
                <w:sz w:val="20"/>
                <w:szCs w:val="20"/>
                <w:lang w:val="sl-SI"/>
              </w:rPr>
            </w:pPr>
            <w:r w:rsidRPr="00FF207E">
              <w:rPr>
                <w:rFonts w:cs="Arial"/>
                <w:b/>
                <w:sz w:val="20"/>
                <w:szCs w:val="20"/>
                <w:lang w:val="sl-SI"/>
              </w:rPr>
              <w:t>nadaljevati in nadgrajevati energetsko svetovanje energetsko revnim</w:t>
            </w:r>
            <w:r w:rsidRPr="00FF207E">
              <w:rPr>
                <w:rFonts w:cs="Arial"/>
                <w:sz w:val="20"/>
                <w:szCs w:val="20"/>
                <w:lang w:val="sl-SI"/>
              </w:rPr>
              <w:t xml:space="preserve"> s strani </w:t>
            </w:r>
            <w:r w:rsidR="00CE0BA7" w:rsidRPr="00FF207E">
              <w:rPr>
                <w:rFonts w:cs="Arial"/>
                <w:sz w:val="20"/>
                <w:szCs w:val="20"/>
                <w:lang w:val="sl-SI"/>
              </w:rPr>
              <w:t xml:space="preserve">tako </w:t>
            </w:r>
            <w:r w:rsidRPr="00FF207E">
              <w:rPr>
                <w:rFonts w:cs="Arial"/>
                <w:sz w:val="20"/>
                <w:szCs w:val="20"/>
                <w:lang w:val="sl-SI"/>
              </w:rPr>
              <w:t>energetskih svetovalcev mreže ENSVET</w:t>
            </w:r>
            <w:r w:rsidR="007D5A92" w:rsidRPr="00FF207E">
              <w:rPr>
                <w:rFonts w:cs="Arial"/>
                <w:sz w:val="20"/>
                <w:szCs w:val="20"/>
                <w:lang w:val="sl-SI"/>
              </w:rPr>
              <w:t xml:space="preserve"> kot </w:t>
            </w:r>
            <w:r w:rsidR="001E7D31" w:rsidRPr="00FF207E">
              <w:rPr>
                <w:rFonts w:cs="Arial"/>
                <w:sz w:val="20"/>
                <w:szCs w:val="20"/>
                <w:lang w:val="sl-SI"/>
              </w:rPr>
              <w:t xml:space="preserve">tudi </w:t>
            </w:r>
            <w:r w:rsidR="007D5A92" w:rsidRPr="00FF207E">
              <w:rPr>
                <w:rFonts w:cs="Arial"/>
                <w:sz w:val="20"/>
                <w:szCs w:val="20"/>
                <w:lang w:val="sl-SI"/>
              </w:rPr>
              <w:t>drugih</w:t>
            </w:r>
            <w:r w:rsidR="001E7D31" w:rsidRPr="00FF207E">
              <w:rPr>
                <w:rFonts w:cs="Arial"/>
                <w:sz w:val="20"/>
                <w:szCs w:val="20"/>
                <w:lang w:val="sl-SI"/>
              </w:rPr>
              <w:t xml:space="preserve"> s tem </w:t>
            </w:r>
            <w:r w:rsidR="00CB3F8C" w:rsidRPr="00FF207E">
              <w:rPr>
                <w:rFonts w:cs="Arial"/>
                <w:sz w:val="20"/>
                <w:szCs w:val="20"/>
                <w:lang w:val="sl-SI"/>
              </w:rPr>
              <w:t xml:space="preserve">akcijskim načrtom </w:t>
            </w:r>
            <w:r w:rsidR="001E7D31" w:rsidRPr="00FF207E">
              <w:rPr>
                <w:rFonts w:cs="Arial"/>
                <w:sz w:val="20"/>
                <w:szCs w:val="20"/>
                <w:lang w:val="sl-SI"/>
              </w:rPr>
              <w:t>predvidenih energetskih svetovalcev</w:t>
            </w:r>
            <w:r w:rsidR="00E25A29" w:rsidRPr="00FF207E">
              <w:rPr>
                <w:rFonts w:cs="Arial"/>
                <w:sz w:val="20"/>
                <w:szCs w:val="20"/>
                <w:lang w:val="sl-SI"/>
              </w:rPr>
              <w:t xml:space="preserve"> (</w:t>
            </w:r>
            <w:r w:rsidR="00B77973" w:rsidRPr="00FF207E">
              <w:rPr>
                <w:rFonts w:cs="Arial"/>
                <w:sz w:val="20"/>
                <w:szCs w:val="20"/>
                <w:lang w:val="sl-SI"/>
              </w:rPr>
              <w:t>na primer</w:t>
            </w:r>
            <w:r w:rsidR="00E25A29" w:rsidRPr="00FF207E">
              <w:rPr>
                <w:rFonts w:cs="Arial"/>
                <w:sz w:val="20"/>
                <w:szCs w:val="20"/>
                <w:lang w:val="sl-SI"/>
              </w:rPr>
              <w:t xml:space="preserve"> zaposlenih v regionalnih svetovalnih točkah)</w:t>
            </w:r>
            <w:r w:rsidR="00CE0BA7" w:rsidRPr="00FF207E">
              <w:rPr>
                <w:rFonts w:cs="Arial"/>
                <w:sz w:val="20"/>
                <w:szCs w:val="20"/>
                <w:lang w:val="sl-SI"/>
              </w:rPr>
              <w:t>;</w:t>
            </w:r>
          </w:p>
          <w:p w14:paraId="79C71C4B" w14:textId="2757922B" w:rsidR="004D5B81" w:rsidRPr="00FF207E" w:rsidRDefault="004D5B81" w:rsidP="001E304B">
            <w:pPr>
              <w:pStyle w:val="Odstavekseznama"/>
              <w:numPr>
                <w:ilvl w:val="0"/>
                <w:numId w:val="10"/>
              </w:numPr>
              <w:spacing w:line="240" w:lineRule="atLeast"/>
              <w:ind w:left="357" w:hanging="357"/>
              <w:jc w:val="both"/>
              <w:rPr>
                <w:rFonts w:cs="Arial"/>
                <w:sz w:val="20"/>
                <w:szCs w:val="20"/>
                <w:lang w:val="sl-SI"/>
              </w:rPr>
            </w:pPr>
            <w:r w:rsidRPr="00FF207E">
              <w:rPr>
                <w:rFonts w:cs="Arial"/>
                <w:sz w:val="20"/>
                <w:szCs w:val="20"/>
                <w:lang w:val="sl-SI"/>
              </w:rPr>
              <w:t xml:space="preserve">za svetovanje primerno </w:t>
            </w:r>
            <w:r w:rsidRPr="00FF207E">
              <w:rPr>
                <w:rFonts w:cs="Arial"/>
                <w:b/>
                <w:sz w:val="20"/>
                <w:szCs w:val="20"/>
                <w:lang w:val="sl-SI"/>
              </w:rPr>
              <w:t xml:space="preserve">okrepiti </w:t>
            </w:r>
            <w:r w:rsidR="003B6D10" w:rsidRPr="00FF207E">
              <w:rPr>
                <w:rFonts w:cs="Arial"/>
                <w:b/>
                <w:sz w:val="20"/>
                <w:szCs w:val="20"/>
                <w:lang w:val="sl-SI"/>
              </w:rPr>
              <w:t>regionalne svetovalne točke</w:t>
            </w:r>
            <w:r w:rsidRPr="00FF207E">
              <w:rPr>
                <w:rFonts w:cs="Arial"/>
                <w:b/>
                <w:sz w:val="20"/>
                <w:szCs w:val="20"/>
                <w:lang w:val="sl-SI"/>
              </w:rPr>
              <w:t xml:space="preserve"> za energetsko revščino </w:t>
            </w:r>
            <w:r w:rsidRPr="00FF207E">
              <w:rPr>
                <w:rFonts w:cs="Arial"/>
                <w:sz w:val="20"/>
                <w:szCs w:val="20"/>
                <w:lang w:val="sl-SI"/>
              </w:rPr>
              <w:t xml:space="preserve">(ukrep </w:t>
            </w:r>
            <w:hyperlink w:anchor="_Projektna_pisarna_z" w:history="1">
              <w:r w:rsidRPr="00FF207E">
                <w:rPr>
                  <w:rStyle w:val="Hiperpovezava"/>
                  <w:rFonts w:cs="Arial"/>
                  <w:sz w:val="20"/>
                  <w:szCs w:val="20"/>
                  <w:lang w:val="sl-SI"/>
                </w:rPr>
                <w:t>ER_Shema_02</w:t>
              </w:r>
            </w:hyperlink>
            <w:r w:rsidRPr="00FF207E">
              <w:rPr>
                <w:rFonts w:cs="Arial"/>
                <w:sz w:val="20"/>
                <w:szCs w:val="20"/>
                <w:lang w:val="sl-SI"/>
              </w:rPr>
              <w:t xml:space="preserve">), </w:t>
            </w:r>
            <w:r w:rsidR="00493C18" w:rsidRPr="00FF207E">
              <w:rPr>
                <w:rFonts w:cs="Arial"/>
                <w:sz w:val="20"/>
                <w:szCs w:val="20"/>
                <w:lang w:val="sl-SI"/>
              </w:rPr>
              <w:t xml:space="preserve">in sicer </w:t>
            </w:r>
            <w:r w:rsidRPr="00FF207E">
              <w:rPr>
                <w:rFonts w:cs="Arial"/>
                <w:sz w:val="20"/>
                <w:szCs w:val="20"/>
                <w:lang w:val="sl-SI"/>
              </w:rPr>
              <w:t>tako z zagotovitvijo ustreznih kadrov kot tudi s sodelovanjem mreže energetskih svetovalcev ENSVET;</w:t>
            </w:r>
            <w:r w:rsidR="00064217" w:rsidRPr="00FF207E">
              <w:rPr>
                <w:rFonts w:cs="Arial"/>
                <w:sz w:val="20"/>
                <w:szCs w:val="20"/>
                <w:lang w:val="sl-SI"/>
              </w:rPr>
              <w:t xml:space="preserve"> po potrebi </w:t>
            </w:r>
            <w:r w:rsidR="00493C18" w:rsidRPr="00FF207E">
              <w:rPr>
                <w:rFonts w:cs="Arial"/>
                <w:sz w:val="20"/>
                <w:szCs w:val="20"/>
                <w:lang w:val="sl-SI"/>
              </w:rPr>
              <w:t xml:space="preserve">je treba </w:t>
            </w:r>
            <w:r w:rsidR="006679D2" w:rsidRPr="00FF207E">
              <w:rPr>
                <w:rFonts w:cs="Arial"/>
                <w:sz w:val="20"/>
                <w:szCs w:val="20"/>
                <w:lang w:val="sl-SI"/>
              </w:rPr>
              <w:t xml:space="preserve">z energetskim svetovalcem dodatno okrepiti tudi projektno pisarno za energetsko revščino (ukrep </w:t>
            </w:r>
            <w:hyperlink w:anchor="_Projektna_pisarna_z" w:history="1">
              <w:r w:rsidR="00474D6A" w:rsidRPr="00FF207E">
                <w:rPr>
                  <w:rStyle w:val="Hiperpovezava"/>
                  <w:rFonts w:cs="Arial"/>
                  <w:sz w:val="20"/>
                  <w:szCs w:val="20"/>
                  <w:lang w:val="sl-SI"/>
                </w:rPr>
                <w:t>ER_Shema_02</w:t>
              </w:r>
            </w:hyperlink>
            <w:r w:rsidR="006679D2" w:rsidRPr="00FF207E">
              <w:rPr>
                <w:rFonts w:cs="Arial"/>
                <w:sz w:val="20"/>
                <w:szCs w:val="20"/>
                <w:lang w:val="sl-SI"/>
              </w:rPr>
              <w:t>);</w:t>
            </w:r>
          </w:p>
          <w:p w14:paraId="69F7F525" w14:textId="77777777" w:rsidR="004D5B81" w:rsidRPr="00FF207E" w:rsidRDefault="004D5B81" w:rsidP="001E304B">
            <w:pPr>
              <w:pStyle w:val="Odstavekseznama"/>
              <w:numPr>
                <w:ilvl w:val="0"/>
                <w:numId w:val="10"/>
              </w:numPr>
              <w:spacing w:line="240" w:lineRule="atLeast"/>
              <w:ind w:left="357" w:hanging="357"/>
              <w:jc w:val="both"/>
              <w:rPr>
                <w:rFonts w:cs="Arial"/>
                <w:sz w:val="20"/>
                <w:szCs w:val="20"/>
                <w:lang w:val="sl-SI"/>
              </w:rPr>
            </w:pPr>
            <w:r w:rsidRPr="00FF207E">
              <w:rPr>
                <w:rFonts w:cs="Arial"/>
                <w:b/>
                <w:sz w:val="20"/>
                <w:szCs w:val="20"/>
                <w:lang w:val="sl-SI"/>
              </w:rPr>
              <w:t>zagotoviti redno usposabljanje</w:t>
            </w:r>
            <w:r w:rsidRPr="00FF207E">
              <w:rPr>
                <w:rFonts w:cs="Arial"/>
                <w:sz w:val="20"/>
                <w:szCs w:val="20"/>
                <w:lang w:val="sl-SI"/>
              </w:rPr>
              <w:t xml:space="preserve"> energetskih svetovalcev za delo s to ciljno skupino, jih seznanjati z novostmi in jim omogočati izmenjavo izkušenj</w:t>
            </w:r>
            <w:r w:rsidR="008C203F" w:rsidRPr="00FF207E">
              <w:rPr>
                <w:rFonts w:cs="Arial"/>
                <w:sz w:val="20"/>
                <w:szCs w:val="20"/>
                <w:lang w:val="sl-SI"/>
              </w:rPr>
              <w:t>;</w:t>
            </w:r>
          </w:p>
          <w:p w14:paraId="15CF4F78" w14:textId="19BA06C2" w:rsidR="008C203F" w:rsidRPr="00FF207E" w:rsidRDefault="008C203F" w:rsidP="001E304B">
            <w:pPr>
              <w:pStyle w:val="Odstavekseznama"/>
              <w:numPr>
                <w:ilvl w:val="0"/>
                <w:numId w:val="10"/>
              </w:numPr>
              <w:spacing w:line="240" w:lineRule="atLeast"/>
              <w:ind w:left="357" w:hanging="357"/>
              <w:jc w:val="both"/>
              <w:rPr>
                <w:rFonts w:cs="Arial"/>
                <w:sz w:val="20"/>
                <w:szCs w:val="20"/>
                <w:lang w:val="sl-SI"/>
              </w:rPr>
            </w:pPr>
            <w:r w:rsidRPr="00FF207E">
              <w:rPr>
                <w:rFonts w:cs="Arial"/>
                <w:b/>
                <w:sz w:val="20"/>
                <w:szCs w:val="20"/>
                <w:lang w:val="sl-SI"/>
              </w:rPr>
              <w:t>zagotoviti celostno obravnavo energetsko revnih gospodinjstev</w:t>
            </w:r>
            <w:r w:rsidRPr="00FF207E">
              <w:rPr>
                <w:rFonts w:cs="Arial"/>
                <w:sz w:val="20"/>
                <w:szCs w:val="20"/>
                <w:lang w:val="sl-SI"/>
              </w:rPr>
              <w:t xml:space="preserve"> na regionalni ravni.</w:t>
            </w:r>
          </w:p>
        </w:tc>
      </w:tr>
      <w:tr w:rsidR="004D5B81" w:rsidRPr="00FF207E" w14:paraId="10C7A3C4" w14:textId="77777777" w:rsidTr="00324F0C">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23410774" w14:textId="77777777" w:rsidR="004D5B81" w:rsidRPr="00FF207E" w:rsidRDefault="004D5B81" w:rsidP="001E304B">
            <w:pPr>
              <w:spacing w:before="60" w:after="60" w:line="240" w:lineRule="atLeast"/>
              <w:jc w:val="both"/>
              <w:rPr>
                <w:rFonts w:cs="Arial"/>
                <w:b/>
                <w:lang w:val="sl-SI"/>
              </w:rPr>
            </w:pPr>
            <w:r w:rsidRPr="00FF207E">
              <w:rPr>
                <w:rFonts w:cs="Arial"/>
                <w:b/>
                <w:lang w:val="sl-SI"/>
              </w:rPr>
              <w:t>Kratkoročna izvedba ukrepa v obdobju 2024–2026</w:t>
            </w:r>
          </w:p>
        </w:tc>
      </w:tr>
      <w:tr w:rsidR="004D5B81" w:rsidRPr="00FF207E" w14:paraId="744DF733"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5E259A3" w14:textId="77777777" w:rsidR="004D5B81" w:rsidRPr="00FF207E" w:rsidRDefault="004D5B81" w:rsidP="001E304B">
            <w:pPr>
              <w:spacing w:line="240" w:lineRule="atLeast"/>
              <w:jc w:val="both"/>
              <w:rPr>
                <w:rFonts w:cs="Arial"/>
                <w:sz w:val="20"/>
                <w:szCs w:val="20"/>
                <w:lang w:val="sl-SI"/>
              </w:rPr>
            </w:pPr>
            <w:r w:rsidRPr="00FF207E">
              <w:rPr>
                <w:rFonts w:cs="Arial"/>
                <w:sz w:val="20"/>
                <w:szCs w:val="20"/>
                <w:lang w:val="sl-SI"/>
              </w:rPr>
              <w:t>Kratkoročni cilj</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795AE56" w14:textId="24413916" w:rsidR="004D5B81" w:rsidRPr="00FF207E" w:rsidRDefault="008C203F" w:rsidP="001E304B">
            <w:pPr>
              <w:spacing w:line="240" w:lineRule="atLeast"/>
              <w:jc w:val="both"/>
              <w:rPr>
                <w:rFonts w:cs="Arial"/>
                <w:sz w:val="20"/>
                <w:szCs w:val="20"/>
                <w:lang w:val="sl-SI"/>
              </w:rPr>
            </w:pPr>
            <w:r w:rsidRPr="00FF207E">
              <w:rPr>
                <w:rFonts w:cs="Arial"/>
                <w:sz w:val="20"/>
                <w:szCs w:val="20"/>
                <w:lang w:val="sl-SI"/>
              </w:rPr>
              <w:t>Zagotoviti</w:t>
            </w:r>
            <w:r w:rsidR="003B6D10" w:rsidRPr="00FF207E">
              <w:rPr>
                <w:rFonts w:cs="Arial"/>
                <w:sz w:val="20"/>
                <w:szCs w:val="20"/>
                <w:lang w:val="sl-SI"/>
              </w:rPr>
              <w:t xml:space="preserve"> </w:t>
            </w:r>
            <w:r w:rsidR="005B6D83" w:rsidRPr="00FF207E">
              <w:rPr>
                <w:rFonts w:cs="Arial"/>
                <w:sz w:val="20"/>
                <w:szCs w:val="20"/>
                <w:lang w:val="sl-SI"/>
              </w:rPr>
              <w:t xml:space="preserve">primerno </w:t>
            </w:r>
            <w:r w:rsidR="006679D2" w:rsidRPr="00FF207E">
              <w:rPr>
                <w:rFonts w:cs="Arial"/>
                <w:sz w:val="20"/>
                <w:szCs w:val="20"/>
                <w:lang w:val="sl-SI"/>
              </w:rPr>
              <w:t xml:space="preserve">energetsko svetovanje </w:t>
            </w:r>
            <w:r w:rsidR="008A415E" w:rsidRPr="00FF207E">
              <w:rPr>
                <w:rFonts w:cs="Arial"/>
                <w:sz w:val="20"/>
                <w:szCs w:val="20"/>
                <w:lang w:val="sl-SI"/>
              </w:rPr>
              <w:t xml:space="preserve">in strokovno pomoč </w:t>
            </w:r>
            <w:r w:rsidR="006679D2" w:rsidRPr="00FF207E">
              <w:rPr>
                <w:rFonts w:cs="Arial"/>
                <w:sz w:val="20"/>
                <w:szCs w:val="20"/>
                <w:lang w:val="sl-SI"/>
              </w:rPr>
              <w:t xml:space="preserve">energetsko revnim v vseh fazah </w:t>
            </w:r>
            <w:r w:rsidR="005B6D83" w:rsidRPr="00FF207E">
              <w:rPr>
                <w:rFonts w:cs="Arial"/>
                <w:sz w:val="20"/>
                <w:szCs w:val="20"/>
                <w:lang w:val="sl-SI"/>
              </w:rPr>
              <w:t xml:space="preserve">pridobivanja spodbud in izvajanja ukrepov URE in </w:t>
            </w:r>
            <w:r w:rsidR="00026105" w:rsidRPr="00FF207E">
              <w:rPr>
                <w:rFonts w:cs="Arial"/>
                <w:sz w:val="20"/>
                <w:szCs w:val="20"/>
                <w:lang w:val="sl-SI"/>
              </w:rPr>
              <w:t xml:space="preserve">rabe </w:t>
            </w:r>
            <w:r w:rsidR="005B6D83" w:rsidRPr="00FF207E">
              <w:rPr>
                <w:rFonts w:cs="Arial"/>
                <w:sz w:val="20"/>
                <w:szCs w:val="20"/>
                <w:lang w:val="sl-SI"/>
              </w:rPr>
              <w:t>OVE</w:t>
            </w:r>
            <w:r w:rsidR="005E37DD" w:rsidRPr="00FF207E">
              <w:rPr>
                <w:rFonts w:cs="Arial"/>
                <w:sz w:val="20"/>
                <w:szCs w:val="20"/>
                <w:lang w:val="sl-SI"/>
              </w:rPr>
              <w:t xml:space="preserve">, </w:t>
            </w:r>
            <w:r w:rsidR="00900BE5" w:rsidRPr="00FF207E">
              <w:rPr>
                <w:rFonts w:cs="Arial"/>
                <w:sz w:val="20"/>
                <w:szCs w:val="20"/>
                <w:lang w:val="sl-SI"/>
              </w:rPr>
              <w:t xml:space="preserve">kot del postopka </w:t>
            </w:r>
            <w:r w:rsidR="00900BE5" w:rsidRPr="00FF207E">
              <w:rPr>
                <w:sz w:val="20"/>
                <w:szCs w:val="20"/>
                <w:lang w:val="sl-SI"/>
              </w:rPr>
              <w:t>izvedbe javnega poziva za dodeljevanje investicijskih spodbud,</w:t>
            </w:r>
            <w:r w:rsidR="00784C47" w:rsidRPr="00FF207E">
              <w:rPr>
                <w:rFonts w:cs="Arial"/>
                <w:sz w:val="20"/>
                <w:szCs w:val="20"/>
                <w:lang w:val="sl-SI"/>
              </w:rPr>
              <w:t xml:space="preserve"> ter</w:t>
            </w:r>
            <w:r w:rsidR="005B6D83" w:rsidRPr="00FF207E">
              <w:rPr>
                <w:rFonts w:cs="Arial"/>
                <w:sz w:val="20"/>
                <w:szCs w:val="20"/>
                <w:lang w:val="sl-SI"/>
              </w:rPr>
              <w:t xml:space="preserve"> tudi širše, glede učinkovitega ravnanja z energijo na splošno</w:t>
            </w:r>
            <w:r w:rsidR="006679D2" w:rsidRPr="00FF207E">
              <w:rPr>
                <w:rFonts w:cs="Arial"/>
                <w:sz w:val="20"/>
                <w:szCs w:val="20"/>
                <w:lang w:val="sl-SI"/>
              </w:rPr>
              <w:t xml:space="preserve">, </w:t>
            </w:r>
            <w:r w:rsidR="005B6D83" w:rsidRPr="00FF207E">
              <w:rPr>
                <w:rFonts w:cs="Arial"/>
                <w:sz w:val="20"/>
                <w:szCs w:val="20"/>
                <w:lang w:val="sl-SI"/>
              </w:rPr>
              <w:t xml:space="preserve">vse </w:t>
            </w:r>
            <w:r w:rsidR="00F90B54" w:rsidRPr="00FF207E">
              <w:rPr>
                <w:rFonts w:cs="Arial"/>
                <w:sz w:val="20"/>
                <w:szCs w:val="20"/>
                <w:lang w:val="sl-SI"/>
              </w:rPr>
              <w:t xml:space="preserve">z namenom povečanja letnega </w:t>
            </w:r>
            <w:r w:rsidR="00E54D86" w:rsidRPr="00FF207E">
              <w:rPr>
                <w:rFonts w:cs="Arial"/>
                <w:sz w:val="20"/>
                <w:szCs w:val="20"/>
                <w:lang w:val="sl-SI"/>
              </w:rPr>
              <w:t xml:space="preserve">števila energetsko revnih gospodinjstev z </w:t>
            </w:r>
            <w:r w:rsidR="00F90B54" w:rsidRPr="00FF207E">
              <w:rPr>
                <w:rFonts w:cs="Arial"/>
                <w:sz w:val="20"/>
                <w:szCs w:val="20"/>
                <w:lang w:val="sl-SI"/>
              </w:rPr>
              <w:t>dodeljeni</w:t>
            </w:r>
            <w:r w:rsidR="00E54D86" w:rsidRPr="00FF207E">
              <w:rPr>
                <w:rFonts w:cs="Arial"/>
                <w:sz w:val="20"/>
                <w:szCs w:val="20"/>
                <w:lang w:val="sl-SI"/>
              </w:rPr>
              <w:t>mi</w:t>
            </w:r>
            <w:r w:rsidR="00F90B54" w:rsidRPr="00FF207E">
              <w:rPr>
                <w:rFonts w:cs="Arial"/>
                <w:sz w:val="20"/>
                <w:szCs w:val="20"/>
                <w:lang w:val="sl-SI"/>
              </w:rPr>
              <w:t xml:space="preserve"> spodbud</w:t>
            </w:r>
            <w:r w:rsidR="00E54D86" w:rsidRPr="00FF207E">
              <w:rPr>
                <w:rFonts w:cs="Arial"/>
                <w:sz w:val="20"/>
                <w:szCs w:val="20"/>
                <w:lang w:val="sl-SI"/>
              </w:rPr>
              <w:t>ami</w:t>
            </w:r>
            <w:r w:rsidR="00F90B54" w:rsidRPr="00FF207E">
              <w:rPr>
                <w:rFonts w:cs="Arial"/>
                <w:sz w:val="20"/>
                <w:szCs w:val="20"/>
                <w:lang w:val="sl-SI"/>
              </w:rPr>
              <w:t xml:space="preserve"> za različne namene v obdobju 2024–2026 v skladu s cilji v poglavju </w:t>
            </w:r>
            <w:r w:rsidR="00F90B54" w:rsidRPr="00FF207E">
              <w:rPr>
                <w:rFonts w:cs="Arial"/>
                <w:sz w:val="20"/>
                <w:szCs w:val="20"/>
                <w:lang w:val="sl-SI"/>
              </w:rPr>
              <w:fldChar w:fldCharType="begin"/>
            </w:r>
            <w:r w:rsidR="00F90B54" w:rsidRPr="00FF207E">
              <w:rPr>
                <w:rFonts w:cs="Arial"/>
                <w:sz w:val="20"/>
                <w:szCs w:val="20"/>
                <w:lang w:val="sl-SI"/>
              </w:rPr>
              <w:instrText xml:space="preserve"> REF _Ref137574115 \r \h </w:instrText>
            </w:r>
            <w:r w:rsidR="001E304B" w:rsidRPr="00FF207E">
              <w:rPr>
                <w:rFonts w:cs="Arial"/>
                <w:sz w:val="20"/>
                <w:szCs w:val="20"/>
                <w:lang w:val="sl-SI"/>
              </w:rPr>
              <w:instrText xml:space="preserve"> \* MERGEFORMAT </w:instrText>
            </w:r>
            <w:r w:rsidR="00F90B54" w:rsidRPr="00FF207E">
              <w:rPr>
                <w:rFonts w:cs="Arial"/>
                <w:sz w:val="20"/>
                <w:szCs w:val="20"/>
                <w:lang w:val="sl-SI"/>
              </w:rPr>
            </w:r>
            <w:r w:rsidR="00F90B54" w:rsidRPr="00FF207E">
              <w:rPr>
                <w:rFonts w:cs="Arial"/>
                <w:sz w:val="20"/>
                <w:szCs w:val="20"/>
                <w:lang w:val="sl-SI"/>
              </w:rPr>
              <w:fldChar w:fldCharType="separate"/>
            </w:r>
            <w:r w:rsidR="00F37FD1" w:rsidRPr="00FF207E">
              <w:rPr>
                <w:rFonts w:cs="Arial"/>
                <w:sz w:val="20"/>
                <w:szCs w:val="20"/>
                <w:lang w:val="sl-SI"/>
              </w:rPr>
              <w:t>2.2</w:t>
            </w:r>
            <w:r w:rsidR="00F90B54" w:rsidRPr="00FF207E">
              <w:rPr>
                <w:rFonts w:cs="Arial"/>
                <w:sz w:val="20"/>
                <w:szCs w:val="20"/>
                <w:lang w:val="sl-SI"/>
              </w:rPr>
              <w:fldChar w:fldCharType="end"/>
            </w:r>
            <w:r w:rsidR="00493C18" w:rsidRPr="00FF207E">
              <w:rPr>
                <w:rFonts w:cs="Arial"/>
                <w:sz w:val="20"/>
                <w:szCs w:val="20"/>
                <w:lang w:val="sl-SI"/>
              </w:rPr>
              <w:t>.</w:t>
            </w:r>
          </w:p>
        </w:tc>
      </w:tr>
      <w:tr w:rsidR="004D5B81" w:rsidRPr="00FF207E" w14:paraId="0D527E1D"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6E11572F" w14:textId="77777777" w:rsidR="004D5B81" w:rsidRPr="00FF207E" w:rsidRDefault="004D5B81"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A4AA96D" w14:textId="21FC4349" w:rsidR="004D5B81" w:rsidRPr="00FF207E" w:rsidRDefault="00AF7F58" w:rsidP="001E304B">
            <w:pPr>
              <w:spacing w:line="240" w:lineRule="atLeast"/>
              <w:jc w:val="both"/>
              <w:rPr>
                <w:rFonts w:cs="Arial"/>
                <w:sz w:val="20"/>
                <w:szCs w:val="20"/>
                <w:lang w:val="sl-SI"/>
              </w:rPr>
            </w:pPr>
            <w:r w:rsidRPr="00FF207E">
              <w:rPr>
                <w:rFonts w:cs="Arial"/>
                <w:sz w:val="20"/>
                <w:szCs w:val="20"/>
                <w:lang w:val="sl-SI"/>
              </w:rPr>
              <w:t>po spodaj navedenih mejnikih</w:t>
            </w:r>
          </w:p>
        </w:tc>
      </w:tr>
      <w:tr w:rsidR="002B5E76" w:rsidRPr="00FF207E" w14:paraId="5E3C455D" w14:textId="77777777" w:rsidTr="002513F9">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30BCC4E6" w14:textId="4D3D9098" w:rsidR="002B5E76" w:rsidRPr="00FF207E" w:rsidRDefault="007A4271" w:rsidP="001E304B">
            <w:pPr>
              <w:spacing w:line="240" w:lineRule="atLeast"/>
              <w:jc w:val="both"/>
              <w:rPr>
                <w:rFonts w:cs="Arial"/>
                <w:sz w:val="20"/>
                <w:szCs w:val="20"/>
                <w:lang w:val="sl-SI"/>
              </w:rPr>
            </w:pPr>
            <w:r w:rsidRPr="00FF207E">
              <w:rPr>
                <w:rFonts w:cs="Arial"/>
                <w:sz w:val="20"/>
                <w:szCs w:val="20"/>
                <w:lang w:val="sl-SI"/>
              </w:rPr>
              <w:t>Potrebna sredstva in viri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tcPr>
          <w:p w14:paraId="055F408F" w14:textId="658F4FC3" w:rsidR="009A6E2F" w:rsidRPr="00FF207E" w:rsidRDefault="00086058" w:rsidP="002513F9">
            <w:pPr>
              <w:spacing w:before="60" w:line="240" w:lineRule="atLeast"/>
              <w:rPr>
                <w:rFonts w:cs="Arial"/>
                <w:sz w:val="20"/>
                <w:szCs w:val="20"/>
                <w:lang w:val="sl-SI"/>
              </w:rPr>
            </w:pPr>
            <w:r w:rsidRPr="00FF207E">
              <w:rPr>
                <w:rFonts w:cs="Arial"/>
                <w:sz w:val="20"/>
                <w:szCs w:val="20"/>
                <w:lang w:val="sl-SI"/>
              </w:rPr>
              <w:t>t</w:t>
            </w:r>
            <w:r w:rsidR="009A6E2F" w:rsidRPr="00FF207E">
              <w:rPr>
                <w:rFonts w:cs="Arial"/>
                <w:sz w:val="20"/>
                <w:szCs w:val="20"/>
                <w:lang w:val="sl-SI"/>
              </w:rPr>
              <w:t>abela 7</w:t>
            </w:r>
          </w:p>
          <w:p w14:paraId="54DA8565" w14:textId="7537D18A" w:rsidR="002B5E76" w:rsidRPr="00FF207E" w:rsidRDefault="00957F1C" w:rsidP="002513F9">
            <w:pPr>
              <w:spacing w:before="60" w:line="240" w:lineRule="atLeast"/>
              <w:rPr>
                <w:rFonts w:cs="Arial"/>
                <w:sz w:val="20"/>
                <w:szCs w:val="20"/>
                <w:lang w:val="sl-SI"/>
              </w:rPr>
            </w:pPr>
            <w:r w:rsidRPr="00FF207E">
              <w:rPr>
                <w:rFonts w:cs="Arial"/>
                <w:sz w:val="20"/>
                <w:szCs w:val="20"/>
                <w:lang w:val="sl-SI"/>
              </w:rPr>
              <w:t>Viri sredstev so: Sklad za podnebne spremembe, kohezijska sredstva ali drugi viri</w:t>
            </w:r>
            <w:r w:rsidR="00493C18" w:rsidRPr="00FF207E">
              <w:rPr>
                <w:rFonts w:cs="Arial"/>
                <w:sz w:val="20"/>
                <w:szCs w:val="20"/>
                <w:lang w:val="sl-SI"/>
              </w:rPr>
              <w:t>.</w:t>
            </w:r>
          </w:p>
        </w:tc>
      </w:tr>
      <w:tr w:rsidR="002B5E76" w:rsidRPr="00FF207E" w14:paraId="64E7BE92" w14:textId="77777777" w:rsidTr="0081647C">
        <w:tc>
          <w:tcPr>
            <w:tcW w:w="9062" w:type="dxa"/>
            <w:gridSpan w:val="3"/>
            <w:tcBorders>
              <w:top w:val="single" w:sz="4" w:space="0" w:color="548DD4" w:themeColor="text2" w:themeTint="99"/>
              <w:left w:val="nil"/>
              <w:bottom w:val="single" w:sz="4" w:space="0" w:color="548DD4" w:themeColor="text2" w:themeTint="99"/>
              <w:right w:val="nil"/>
            </w:tcBorders>
            <w:shd w:val="clear" w:color="auto" w:fill="DBE5F1" w:themeFill="accent1" w:themeFillTint="33"/>
          </w:tcPr>
          <w:p w14:paraId="493DDA2D" w14:textId="77777777" w:rsidR="002B5E76" w:rsidRPr="00FF207E" w:rsidRDefault="002B5E76" w:rsidP="001E304B">
            <w:pPr>
              <w:spacing w:before="40" w:after="40" w:line="240" w:lineRule="atLeast"/>
              <w:jc w:val="both"/>
              <w:rPr>
                <w:rFonts w:cs="Arial"/>
                <w:sz w:val="20"/>
                <w:szCs w:val="20"/>
                <w:lang w:val="sl-SI"/>
              </w:rPr>
            </w:pPr>
            <w:r w:rsidRPr="00FF207E">
              <w:rPr>
                <w:rFonts w:cs="Arial"/>
                <w:sz w:val="20"/>
                <w:szCs w:val="20"/>
                <w:lang w:val="sl-SI"/>
              </w:rPr>
              <w:t>Potek izvedbe</w:t>
            </w:r>
          </w:p>
        </w:tc>
      </w:tr>
      <w:tr w:rsidR="002B5E76" w:rsidRPr="00FF207E" w14:paraId="341484AC" w14:textId="77777777" w:rsidTr="0081647C">
        <w:tc>
          <w:tcPr>
            <w:tcW w:w="567" w:type="dxa"/>
            <w:vMerge w:val="restart"/>
            <w:tcBorders>
              <w:top w:val="single" w:sz="4" w:space="0" w:color="548DD4" w:themeColor="text2" w:themeTint="99"/>
              <w:left w:val="nil"/>
              <w:right w:val="single" w:sz="4" w:space="0" w:color="548DD4" w:themeColor="text2" w:themeTint="99"/>
            </w:tcBorders>
            <w:vAlign w:val="center"/>
          </w:tcPr>
          <w:p w14:paraId="6C3AEAFD" w14:textId="18F74E3D" w:rsidR="002B5E76" w:rsidRPr="00FF207E" w:rsidRDefault="006D32F6" w:rsidP="001E304B">
            <w:pPr>
              <w:spacing w:line="240" w:lineRule="atLeast"/>
              <w:jc w:val="both"/>
              <w:rPr>
                <w:rFonts w:cs="Arial"/>
                <w:b/>
                <w:sz w:val="24"/>
                <w:lang w:val="sl-SI"/>
              </w:rPr>
            </w:pPr>
            <w:r w:rsidRPr="00FF207E">
              <w:rPr>
                <w:rFonts w:cs="Arial"/>
                <w:b/>
                <w:sz w:val="24"/>
                <w:lang w:val="sl-SI"/>
              </w:rPr>
              <w:lastRenderedPageBreak/>
              <w:t>1</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2B55D75C" w14:textId="77777777" w:rsidR="002B5E76" w:rsidRPr="00FF207E" w:rsidRDefault="002B5E76"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49F78711" w14:textId="03D8D070" w:rsidR="00CE0BA7" w:rsidRPr="00FF207E" w:rsidRDefault="001C0B00" w:rsidP="001E304B">
            <w:pPr>
              <w:spacing w:line="240" w:lineRule="atLeast"/>
              <w:jc w:val="both"/>
              <w:rPr>
                <w:rFonts w:cs="Arial"/>
                <w:sz w:val="20"/>
                <w:szCs w:val="20"/>
                <w:lang w:val="sl-SI"/>
              </w:rPr>
            </w:pPr>
            <w:r w:rsidRPr="00FF207E">
              <w:rPr>
                <w:rFonts w:cs="Arial"/>
                <w:sz w:val="20"/>
                <w:szCs w:val="20"/>
                <w:lang w:val="sl-SI"/>
              </w:rPr>
              <w:t>Izvajanje energetskega in drugega svetovanja energetsko revnim</w:t>
            </w:r>
            <w:r w:rsidR="001E5B8C" w:rsidRPr="00FF207E">
              <w:rPr>
                <w:rFonts w:cs="Arial"/>
                <w:sz w:val="20"/>
                <w:szCs w:val="20"/>
                <w:lang w:val="sl-SI"/>
              </w:rPr>
              <w:t xml:space="preserve"> </w:t>
            </w:r>
            <w:r w:rsidR="00CE0BA7" w:rsidRPr="00FF207E">
              <w:rPr>
                <w:rFonts w:cs="Arial"/>
                <w:sz w:val="20"/>
                <w:szCs w:val="20"/>
                <w:lang w:val="sl-SI"/>
              </w:rPr>
              <w:t>kot podpore pri dodeljevanju spodbud za ukrepe energetske učinkovitosti</w:t>
            </w:r>
            <w:r w:rsidR="00042D94" w:rsidRPr="00FF207E">
              <w:rPr>
                <w:rFonts w:cs="Arial"/>
                <w:sz w:val="20"/>
                <w:szCs w:val="20"/>
                <w:lang w:val="sl-SI"/>
              </w:rPr>
              <w:t xml:space="preserve"> v okviru</w:t>
            </w:r>
            <w:r w:rsidR="00900BE5" w:rsidRPr="00FF207E">
              <w:rPr>
                <w:rFonts w:cs="Arial"/>
                <w:sz w:val="20"/>
                <w:szCs w:val="20"/>
                <w:lang w:val="sl-SI"/>
              </w:rPr>
              <w:t xml:space="preserve"> postopka </w:t>
            </w:r>
            <w:r w:rsidR="00900BE5" w:rsidRPr="00FF207E">
              <w:rPr>
                <w:sz w:val="20"/>
                <w:szCs w:val="20"/>
                <w:lang w:val="sl-SI"/>
              </w:rPr>
              <w:t>izvedbe javnega poziva za dodeljevanje investicijskih spodbud,</w:t>
            </w:r>
            <w:r w:rsidR="00900BE5" w:rsidRPr="00FF207E">
              <w:rPr>
                <w:rFonts w:cs="Arial"/>
                <w:sz w:val="20"/>
                <w:szCs w:val="20"/>
                <w:lang w:val="sl-SI"/>
              </w:rPr>
              <w:t xml:space="preserve"> ki</w:t>
            </w:r>
            <w:r w:rsidR="00CE0BA7" w:rsidRPr="00FF207E">
              <w:rPr>
                <w:rFonts w:cs="Arial"/>
                <w:sz w:val="20"/>
                <w:szCs w:val="20"/>
                <w:lang w:val="sl-SI"/>
              </w:rPr>
              <w:t xml:space="preserve"> obsega vsaj:</w:t>
            </w:r>
          </w:p>
          <w:p w14:paraId="47039323" w14:textId="45F3EB5E" w:rsidR="00CE0BA7" w:rsidRPr="00FF207E" w:rsidRDefault="00CE0BA7" w:rsidP="001E304B">
            <w:pPr>
              <w:pStyle w:val="Odstavekseznama"/>
              <w:numPr>
                <w:ilvl w:val="0"/>
                <w:numId w:val="35"/>
              </w:numPr>
              <w:spacing w:line="240" w:lineRule="atLeast"/>
              <w:ind w:left="357" w:hanging="357"/>
              <w:jc w:val="both"/>
              <w:rPr>
                <w:rFonts w:cs="Arial"/>
                <w:sz w:val="20"/>
                <w:szCs w:val="20"/>
                <w:lang w:val="sl-SI"/>
              </w:rPr>
            </w:pPr>
            <w:r w:rsidRPr="00FF207E">
              <w:rPr>
                <w:rFonts w:cs="Arial"/>
                <w:sz w:val="20"/>
                <w:szCs w:val="20"/>
                <w:lang w:val="sl-SI"/>
              </w:rPr>
              <w:t>energetsko svetovanje v okviru izbirnega postopka (energetski pregled oz</w:t>
            </w:r>
            <w:r w:rsidR="00B77973" w:rsidRPr="00FF207E">
              <w:rPr>
                <w:rFonts w:cs="Arial"/>
                <w:sz w:val="20"/>
                <w:szCs w:val="20"/>
                <w:lang w:val="sl-SI"/>
              </w:rPr>
              <w:t>iroma</w:t>
            </w:r>
            <w:r w:rsidRPr="00FF207E">
              <w:rPr>
                <w:rFonts w:cs="Arial"/>
                <w:sz w:val="20"/>
                <w:szCs w:val="20"/>
                <w:lang w:val="sl-SI"/>
              </w:rPr>
              <w:t xml:space="preserve"> ugotavljanje stanja stavbe ter določitev vrstnega reda izvajanja ukrepov);</w:t>
            </w:r>
          </w:p>
          <w:p w14:paraId="271B53FE" w14:textId="399954D5" w:rsidR="00CE0BA7" w:rsidRPr="00FF207E" w:rsidRDefault="00CE0BA7" w:rsidP="001E304B">
            <w:pPr>
              <w:pStyle w:val="Odstavekseznama"/>
              <w:numPr>
                <w:ilvl w:val="0"/>
                <w:numId w:val="35"/>
              </w:numPr>
              <w:spacing w:line="240" w:lineRule="atLeast"/>
              <w:ind w:left="357" w:hanging="357"/>
              <w:jc w:val="both"/>
              <w:rPr>
                <w:rFonts w:cs="Arial"/>
                <w:sz w:val="20"/>
                <w:szCs w:val="20"/>
                <w:lang w:val="sl-SI"/>
              </w:rPr>
            </w:pPr>
            <w:r w:rsidRPr="00FF207E">
              <w:rPr>
                <w:rFonts w:cs="Arial"/>
                <w:sz w:val="20"/>
                <w:szCs w:val="20"/>
                <w:lang w:val="sl-SI"/>
              </w:rPr>
              <w:t>ugotavljanje izpolnjevanja pogojev/meril vlagatelja oz</w:t>
            </w:r>
            <w:r w:rsidR="00B77973" w:rsidRPr="00FF207E">
              <w:rPr>
                <w:rFonts w:cs="Arial"/>
                <w:sz w:val="20"/>
                <w:szCs w:val="20"/>
                <w:lang w:val="sl-SI"/>
              </w:rPr>
              <w:t>iroma</w:t>
            </w:r>
            <w:r w:rsidRPr="00FF207E">
              <w:rPr>
                <w:rFonts w:cs="Arial"/>
                <w:sz w:val="20"/>
                <w:szCs w:val="20"/>
                <w:lang w:val="sl-SI"/>
              </w:rPr>
              <w:t xml:space="preserve"> njegove upravičenosti do spodbud;</w:t>
            </w:r>
          </w:p>
          <w:p w14:paraId="1733AA2F" w14:textId="4A58477F" w:rsidR="002B5E76" w:rsidRPr="00FF207E" w:rsidRDefault="001E01C4" w:rsidP="00B266A4">
            <w:pPr>
              <w:pStyle w:val="Odstavekseznama"/>
              <w:numPr>
                <w:ilvl w:val="0"/>
                <w:numId w:val="35"/>
              </w:numPr>
              <w:spacing w:line="240" w:lineRule="atLeast"/>
              <w:ind w:left="357" w:hanging="357"/>
              <w:jc w:val="both"/>
              <w:rPr>
                <w:rFonts w:cs="Arial"/>
                <w:sz w:val="20"/>
                <w:szCs w:val="20"/>
                <w:lang w:val="sl-SI"/>
              </w:rPr>
            </w:pPr>
            <w:r w:rsidRPr="00FF207E">
              <w:rPr>
                <w:rFonts w:cs="Arial"/>
                <w:sz w:val="20"/>
                <w:szCs w:val="20"/>
                <w:lang w:val="sl-SI"/>
              </w:rPr>
              <w:t>spremljanje izvajanja ukrepov ter preverjanje</w:t>
            </w:r>
            <w:r w:rsidR="00493C18" w:rsidRPr="00FF207E">
              <w:rPr>
                <w:rFonts w:cs="Arial"/>
                <w:sz w:val="20"/>
                <w:szCs w:val="20"/>
                <w:lang w:val="sl-SI"/>
              </w:rPr>
              <w:t>,</w:t>
            </w:r>
            <w:r w:rsidRPr="00FF207E">
              <w:rPr>
                <w:rFonts w:cs="Arial"/>
                <w:sz w:val="20"/>
                <w:szCs w:val="20"/>
                <w:lang w:val="sl-SI"/>
              </w:rPr>
              <w:t xml:space="preserve"> ali se ukrepi izvajajo </w:t>
            </w:r>
            <w:r w:rsidR="00B266A4" w:rsidRPr="00FF207E">
              <w:rPr>
                <w:rFonts w:cs="Arial"/>
                <w:sz w:val="20"/>
                <w:szCs w:val="20"/>
                <w:lang w:val="sl-SI"/>
              </w:rPr>
              <w:t xml:space="preserve">v skladu </w:t>
            </w:r>
            <w:r w:rsidRPr="00FF207E">
              <w:rPr>
                <w:rFonts w:cs="Arial"/>
                <w:sz w:val="20"/>
                <w:szCs w:val="20"/>
                <w:lang w:val="sl-SI"/>
              </w:rPr>
              <w:t>s pogoji in zahtevami javnega poziva</w:t>
            </w:r>
            <w:r w:rsidR="00AD6EEC" w:rsidRPr="00FF207E">
              <w:rPr>
                <w:rFonts w:cs="Arial"/>
                <w:sz w:val="20"/>
                <w:szCs w:val="20"/>
                <w:lang w:val="sl-SI"/>
              </w:rPr>
              <w:t>.</w:t>
            </w:r>
          </w:p>
        </w:tc>
      </w:tr>
      <w:tr w:rsidR="002B5E76" w:rsidRPr="00FF207E" w14:paraId="6178421B" w14:textId="77777777" w:rsidTr="00742BD0">
        <w:tc>
          <w:tcPr>
            <w:tcW w:w="567" w:type="dxa"/>
            <w:vMerge/>
            <w:tcBorders>
              <w:left w:val="nil"/>
              <w:right w:val="single" w:sz="4" w:space="0" w:color="548DD4" w:themeColor="text2" w:themeTint="99"/>
            </w:tcBorders>
          </w:tcPr>
          <w:p w14:paraId="12328BC9" w14:textId="77777777" w:rsidR="002B5E76" w:rsidRPr="00FF207E" w:rsidRDefault="002B5E76"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8295491" w14:textId="77777777" w:rsidR="002B5E76" w:rsidRPr="00FF207E" w:rsidRDefault="002B5E76"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49E2182" w14:textId="35E86A95" w:rsidR="002B5E76" w:rsidRPr="00FF207E" w:rsidRDefault="00DC76C1"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 </w:t>
            </w:r>
          </w:p>
        </w:tc>
      </w:tr>
      <w:tr w:rsidR="002B5E76" w:rsidRPr="00FF207E" w14:paraId="7B60F3FB" w14:textId="77777777" w:rsidTr="00742BD0">
        <w:tc>
          <w:tcPr>
            <w:tcW w:w="567" w:type="dxa"/>
            <w:vMerge/>
            <w:tcBorders>
              <w:left w:val="nil"/>
              <w:right w:val="single" w:sz="4" w:space="0" w:color="548DD4" w:themeColor="text2" w:themeTint="99"/>
            </w:tcBorders>
          </w:tcPr>
          <w:p w14:paraId="5D8CE364" w14:textId="77777777" w:rsidR="002B5E76" w:rsidRPr="00FF207E" w:rsidRDefault="002B5E76"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0FC6E84" w14:textId="77777777" w:rsidR="002B5E76" w:rsidRPr="00FF207E" w:rsidRDefault="002B5E76"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6F2862BE" w14:textId="3C456AB7" w:rsidR="002B5E76" w:rsidRPr="00FF207E" w:rsidRDefault="00DC76C1" w:rsidP="001E304B">
            <w:pPr>
              <w:spacing w:line="240" w:lineRule="atLeast"/>
              <w:jc w:val="both"/>
              <w:rPr>
                <w:rFonts w:cs="Arial"/>
                <w:sz w:val="20"/>
                <w:szCs w:val="20"/>
                <w:lang w:val="sl-SI"/>
              </w:rPr>
            </w:pPr>
            <w:r w:rsidRPr="00FF207E">
              <w:rPr>
                <w:rFonts w:cs="Arial"/>
                <w:sz w:val="20"/>
                <w:szCs w:val="20"/>
                <w:lang w:val="sl-SI"/>
              </w:rPr>
              <w:t xml:space="preserve">projektna pisarna, regionalne svetovalne točke, </w:t>
            </w:r>
            <w:r w:rsidR="001E7D31" w:rsidRPr="00FF207E">
              <w:rPr>
                <w:rFonts w:cs="Arial"/>
                <w:sz w:val="20"/>
                <w:szCs w:val="20"/>
                <w:lang w:val="sl-SI"/>
              </w:rPr>
              <w:t xml:space="preserve">ENSVET, </w:t>
            </w:r>
            <w:r w:rsidR="00E25A29" w:rsidRPr="00FF207E">
              <w:rPr>
                <w:rFonts w:cs="Arial"/>
                <w:sz w:val="20"/>
                <w:szCs w:val="20"/>
                <w:lang w:val="sl-SI"/>
              </w:rPr>
              <w:t xml:space="preserve">drugi vključeni energetski svetovalci, </w:t>
            </w:r>
            <w:r w:rsidR="002B5E76" w:rsidRPr="00FF207E">
              <w:rPr>
                <w:rFonts w:cs="Arial"/>
                <w:sz w:val="20"/>
                <w:szCs w:val="20"/>
                <w:lang w:val="sl-SI"/>
              </w:rPr>
              <w:t>po potrebi tudi vključevanje deležnikov iz neformalne mreže za informiranje in ozaveščanje na regionalni ravni</w:t>
            </w:r>
          </w:p>
        </w:tc>
      </w:tr>
      <w:tr w:rsidR="0081647C" w:rsidRPr="00FF207E" w14:paraId="7BC12F4B" w14:textId="77777777" w:rsidTr="0081647C">
        <w:tc>
          <w:tcPr>
            <w:tcW w:w="567" w:type="dxa"/>
            <w:vMerge/>
            <w:tcBorders>
              <w:left w:val="nil"/>
              <w:bottom w:val="single" w:sz="4" w:space="0" w:color="548DD4" w:themeColor="text2" w:themeTint="99"/>
              <w:right w:val="single" w:sz="4" w:space="0" w:color="548DD4" w:themeColor="text2" w:themeTint="99"/>
            </w:tcBorders>
          </w:tcPr>
          <w:p w14:paraId="517CCB36" w14:textId="77777777" w:rsidR="0081647C" w:rsidRPr="00FF207E" w:rsidRDefault="0081647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3B8CA72A" w14:textId="77777777" w:rsidR="0081647C" w:rsidRPr="00FF207E" w:rsidRDefault="0081647C"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1DF5DA37" w14:textId="4F0E178A" w:rsidR="0081647C" w:rsidRPr="00FF207E" w:rsidRDefault="00172ADA" w:rsidP="001E304B">
            <w:pPr>
              <w:spacing w:line="240" w:lineRule="atLeast"/>
              <w:jc w:val="both"/>
              <w:rPr>
                <w:rFonts w:cs="Arial"/>
                <w:sz w:val="20"/>
                <w:szCs w:val="20"/>
                <w:lang w:val="sl-SI"/>
              </w:rPr>
            </w:pPr>
            <w:r w:rsidRPr="00FF207E">
              <w:rPr>
                <w:rFonts w:cs="Arial"/>
                <w:sz w:val="20"/>
                <w:szCs w:val="20"/>
                <w:lang w:val="sl-SI"/>
              </w:rPr>
              <w:t>tekoče, glede na objavljene javne pozive</w:t>
            </w:r>
          </w:p>
        </w:tc>
      </w:tr>
      <w:tr w:rsidR="00900BE5" w:rsidRPr="00FF207E" w14:paraId="54E801CD" w14:textId="77777777" w:rsidTr="008E2B75">
        <w:tc>
          <w:tcPr>
            <w:tcW w:w="567" w:type="dxa"/>
            <w:vMerge w:val="restart"/>
            <w:tcBorders>
              <w:top w:val="single" w:sz="4" w:space="0" w:color="548DD4" w:themeColor="text2" w:themeTint="99"/>
              <w:left w:val="nil"/>
              <w:right w:val="single" w:sz="4" w:space="0" w:color="548DD4" w:themeColor="text2" w:themeTint="99"/>
            </w:tcBorders>
            <w:vAlign w:val="center"/>
          </w:tcPr>
          <w:p w14:paraId="7D209AE4" w14:textId="77777777" w:rsidR="00900BE5" w:rsidRPr="00FF207E" w:rsidRDefault="00900BE5" w:rsidP="008E2B75">
            <w:pPr>
              <w:spacing w:line="240" w:lineRule="atLeast"/>
              <w:jc w:val="both"/>
              <w:rPr>
                <w:rFonts w:cs="Arial"/>
                <w:b/>
                <w:sz w:val="24"/>
                <w:lang w:val="sl-SI"/>
              </w:rPr>
            </w:pPr>
            <w:r w:rsidRPr="00FF207E">
              <w:rPr>
                <w:rFonts w:cs="Arial"/>
                <w:b/>
                <w:sz w:val="24"/>
                <w:lang w:val="sl-SI"/>
              </w:rPr>
              <w:t>2</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66E31396" w14:textId="77777777" w:rsidR="00900BE5" w:rsidRPr="00FF207E" w:rsidRDefault="00900BE5" w:rsidP="008E2B75">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221CBE54" w14:textId="37BB9DFE" w:rsidR="00900BE5" w:rsidRPr="00FF207E" w:rsidRDefault="00042D94" w:rsidP="00900BE5">
            <w:pPr>
              <w:spacing w:line="240" w:lineRule="atLeast"/>
              <w:jc w:val="both"/>
              <w:rPr>
                <w:sz w:val="20"/>
                <w:szCs w:val="20"/>
                <w:lang w:val="sl-SI"/>
              </w:rPr>
            </w:pPr>
            <w:r w:rsidRPr="00FF207E">
              <w:rPr>
                <w:spacing w:val="-2"/>
                <w:sz w:val="20"/>
                <w:szCs w:val="20"/>
                <w:lang w:val="sl-SI"/>
              </w:rPr>
              <w:t>Razvoj širšega</w:t>
            </w:r>
            <w:r w:rsidR="00900BE5" w:rsidRPr="00FF207E">
              <w:rPr>
                <w:spacing w:val="-2"/>
                <w:sz w:val="20"/>
                <w:szCs w:val="20"/>
                <w:lang w:val="sl-SI"/>
              </w:rPr>
              <w:t xml:space="preserve"> </w:t>
            </w:r>
            <w:r w:rsidRPr="00FF207E">
              <w:rPr>
                <w:spacing w:val="-2"/>
                <w:sz w:val="20"/>
                <w:szCs w:val="20"/>
                <w:lang w:val="sl-SI"/>
              </w:rPr>
              <w:t>obsega energetskega</w:t>
            </w:r>
            <w:r w:rsidR="00900BE5" w:rsidRPr="00FF207E">
              <w:rPr>
                <w:spacing w:val="-2"/>
                <w:sz w:val="20"/>
                <w:szCs w:val="20"/>
                <w:lang w:val="sl-SI"/>
              </w:rPr>
              <w:t xml:space="preserve"> svetovanja glede učinkovitega</w:t>
            </w:r>
            <w:r w:rsidR="00900BE5" w:rsidRPr="00FF207E">
              <w:rPr>
                <w:sz w:val="20"/>
                <w:szCs w:val="20"/>
                <w:lang w:val="sl-SI"/>
              </w:rPr>
              <w:t xml:space="preserve"> ravnanja z energijo na splošno, </w:t>
            </w:r>
            <w:r w:rsidRPr="00FF207E">
              <w:rPr>
                <w:sz w:val="20"/>
                <w:szCs w:val="20"/>
                <w:lang w:val="sl-SI"/>
              </w:rPr>
              <w:t>ki naj obsega vsaj</w:t>
            </w:r>
            <w:r w:rsidR="00900BE5" w:rsidRPr="00FF207E">
              <w:rPr>
                <w:sz w:val="20"/>
                <w:szCs w:val="20"/>
                <w:lang w:val="sl-SI"/>
              </w:rPr>
              <w:t>:</w:t>
            </w:r>
          </w:p>
          <w:p w14:paraId="43BE5B15" w14:textId="77777777" w:rsidR="00900BE5" w:rsidRPr="00FF207E" w:rsidRDefault="00900BE5" w:rsidP="00900BE5">
            <w:pPr>
              <w:pStyle w:val="Odstavekseznama"/>
              <w:numPr>
                <w:ilvl w:val="0"/>
                <w:numId w:val="35"/>
              </w:numPr>
              <w:spacing w:line="240" w:lineRule="atLeast"/>
              <w:ind w:left="357" w:hanging="357"/>
              <w:jc w:val="both"/>
              <w:rPr>
                <w:rFonts w:cs="Arial"/>
                <w:sz w:val="20"/>
                <w:szCs w:val="20"/>
                <w:lang w:val="sl-SI"/>
              </w:rPr>
            </w:pPr>
            <w:r w:rsidRPr="00FF207E">
              <w:rPr>
                <w:rFonts w:cs="Arial"/>
                <w:sz w:val="20"/>
                <w:szCs w:val="20"/>
                <w:lang w:val="sl-SI"/>
              </w:rPr>
              <w:t>svetovanje glede spreminjanja vedenjskih navad z namenom učinkovitejšega ravnanja z energijo ter izročitev brezplačnih energetsko varčnih naprav;</w:t>
            </w:r>
          </w:p>
          <w:p w14:paraId="3DD6D019" w14:textId="33A8DE5C" w:rsidR="00900BE5" w:rsidRPr="00FF207E" w:rsidRDefault="00900BE5" w:rsidP="00900BE5">
            <w:pPr>
              <w:pStyle w:val="Odstavekseznama"/>
              <w:numPr>
                <w:ilvl w:val="0"/>
                <w:numId w:val="35"/>
              </w:numPr>
              <w:spacing w:line="240" w:lineRule="atLeast"/>
              <w:ind w:left="357" w:hanging="357"/>
              <w:jc w:val="both"/>
              <w:rPr>
                <w:rFonts w:cs="Arial"/>
                <w:sz w:val="20"/>
                <w:szCs w:val="20"/>
                <w:lang w:val="sl-SI"/>
              </w:rPr>
            </w:pPr>
            <w:r w:rsidRPr="00FF207E">
              <w:rPr>
                <w:rFonts w:cs="Arial"/>
                <w:sz w:val="20"/>
                <w:szCs w:val="20"/>
                <w:lang w:val="sl-SI"/>
              </w:rPr>
              <w:t xml:space="preserve">preverjanje, ali ima energetsko revno gospodinjstvo ustrezno urejen odjem električne energije (ustrezna moč varovalk in s tem odjemna skupina, eno- ali dvotarifno merjenje </w:t>
            </w:r>
            <w:r w:rsidR="00B77973" w:rsidRPr="00FF207E">
              <w:rPr>
                <w:rFonts w:cs="Arial"/>
                <w:sz w:val="20"/>
                <w:szCs w:val="20"/>
                <w:lang w:val="sl-SI"/>
              </w:rPr>
              <w:t>in tako dalje</w:t>
            </w:r>
            <w:r w:rsidRPr="00FF207E">
              <w:rPr>
                <w:rFonts w:cs="Arial"/>
                <w:sz w:val="20"/>
                <w:szCs w:val="20"/>
                <w:lang w:val="sl-SI"/>
              </w:rPr>
              <w:t>);</w:t>
            </w:r>
          </w:p>
          <w:p w14:paraId="30735DF3" w14:textId="70673507" w:rsidR="00900BE5" w:rsidRPr="00FF207E" w:rsidRDefault="00900BE5" w:rsidP="00042D94">
            <w:pPr>
              <w:pStyle w:val="Odstavekseznama"/>
              <w:numPr>
                <w:ilvl w:val="0"/>
                <w:numId w:val="35"/>
              </w:numPr>
              <w:spacing w:line="240" w:lineRule="atLeast"/>
              <w:ind w:left="357" w:hanging="357"/>
              <w:jc w:val="both"/>
              <w:rPr>
                <w:rFonts w:cs="Arial"/>
                <w:sz w:val="20"/>
                <w:szCs w:val="20"/>
                <w:lang w:val="sl-SI"/>
              </w:rPr>
            </w:pPr>
            <w:r w:rsidRPr="00FF207E">
              <w:rPr>
                <w:rFonts w:cs="Arial"/>
                <w:sz w:val="20"/>
                <w:szCs w:val="20"/>
                <w:lang w:val="sl-SI"/>
              </w:rPr>
              <w:t xml:space="preserve">seznanjanje s pravicami odjemalcev, možnostmi za zamenjavo dobavitelja, možnostmi za vključevanje v energetsko skupnost </w:t>
            </w:r>
            <w:r w:rsidR="00B77973" w:rsidRPr="00FF207E">
              <w:rPr>
                <w:rFonts w:cs="Arial"/>
                <w:sz w:val="20"/>
                <w:szCs w:val="20"/>
                <w:lang w:val="sl-SI"/>
              </w:rPr>
              <w:t>in tako dalje</w:t>
            </w:r>
            <w:r w:rsidR="00493C18" w:rsidRPr="00FF207E">
              <w:rPr>
                <w:rFonts w:cs="Arial"/>
                <w:sz w:val="20"/>
                <w:szCs w:val="20"/>
                <w:lang w:val="sl-SI"/>
              </w:rPr>
              <w:t>.</w:t>
            </w:r>
          </w:p>
        </w:tc>
      </w:tr>
      <w:tr w:rsidR="00900BE5" w:rsidRPr="00FF207E" w14:paraId="68EF0D78" w14:textId="77777777" w:rsidTr="008E2B75">
        <w:tc>
          <w:tcPr>
            <w:tcW w:w="567" w:type="dxa"/>
            <w:vMerge/>
            <w:tcBorders>
              <w:left w:val="nil"/>
              <w:right w:val="single" w:sz="4" w:space="0" w:color="548DD4" w:themeColor="text2" w:themeTint="99"/>
            </w:tcBorders>
          </w:tcPr>
          <w:p w14:paraId="6399FD19" w14:textId="77777777" w:rsidR="00900BE5" w:rsidRPr="00FF207E" w:rsidRDefault="00900BE5" w:rsidP="008E2B75">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258F89F1" w14:textId="77777777" w:rsidR="00900BE5" w:rsidRPr="00FF207E" w:rsidRDefault="00900BE5" w:rsidP="008E2B75">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EAB9E92" w14:textId="77777777" w:rsidR="00900BE5" w:rsidRPr="00FF207E" w:rsidRDefault="00900BE5" w:rsidP="008E2B75">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 </w:t>
            </w:r>
          </w:p>
        </w:tc>
      </w:tr>
      <w:tr w:rsidR="00900BE5" w:rsidRPr="00FF207E" w14:paraId="71AEC8D1" w14:textId="77777777" w:rsidTr="008E2B75">
        <w:tc>
          <w:tcPr>
            <w:tcW w:w="567" w:type="dxa"/>
            <w:vMerge/>
            <w:tcBorders>
              <w:left w:val="nil"/>
              <w:right w:val="single" w:sz="4" w:space="0" w:color="548DD4" w:themeColor="text2" w:themeTint="99"/>
            </w:tcBorders>
          </w:tcPr>
          <w:p w14:paraId="35E4AAE8" w14:textId="77777777" w:rsidR="00900BE5" w:rsidRPr="00FF207E" w:rsidRDefault="00900BE5" w:rsidP="008E2B75">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207D58DB" w14:textId="77777777" w:rsidR="00900BE5" w:rsidRPr="00FF207E" w:rsidRDefault="00900BE5" w:rsidP="008E2B75">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3C6837B" w14:textId="77777777" w:rsidR="00900BE5" w:rsidRPr="00FF207E" w:rsidRDefault="00900BE5" w:rsidP="008E2B75">
            <w:pPr>
              <w:spacing w:line="240" w:lineRule="atLeast"/>
              <w:jc w:val="both"/>
              <w:rPr>
                <w:rFonts w:cs="Arial"/>
                <w:sz w:val="20"/>
                <w:szCs w:val="20"/>
                <w:lang w:val="sl-SI"/>
              </w:rPr>
            </w:pPr>
            <w:r w:rsidRPr="00FF207E">
              <w:rPr>
                <w:rFonts w:cs="Arial"/>
                <w:sz w:val="20"/>
                <w:szCs w:val="20"/>
                <w:lang w:val="sl-SI"/>
              </w:rPr>
              <w:t>projektna pisarna, regionalne svetovalne točke, ENSVET, drugi vključeni energetski svetovalci</w:t>
            </w:r>
          </w:p>
        </w:tc>
      </w:tr>
      <w:tr w:rsidR="00900BE5" w:rsidRPr="00FF207E" w14:paraId="25AF362F" w14:textId="77777777" w:rsidTr="008E2B75">
        <w:tc>
          <w:tcPr>
            <w:tcW w:w="567" w:type="dxa"/>
            <w:vMerge/>
            <w:tcBorders>
              <w:left w:val="nil"/>
              <w:bottom w:val="single" w:sz="4" w:space="0" w:color="548DD4" w:themeColor="text2" w:themeTint="99"/>
              <w:right w:val="single" w:sz="4" w:space="0" w:color="548DD4" w:themeColor="text2" w:themeTint="99"/>
            </w:tcBorders>
          </w:tcPr>
          <w:p w14:paraId="595AF089" w14:textId="77777777" w:rsidR="00900BE5" w:rsidRPr="00FF207E" w:rsidRDefault="00900BE5" w:rsidP="008E2B75">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10CAA64B" w14:textId="77777777" w:rsidR="00900BE5" w:rsidRPr="00FF207E" w:rsidRDefault="00900BE5" w:rsidP="008E2B75">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495A3BA6" w14:textId="04089B5D" w:rsidR="00900BE5" w:rsidRPr="00FF207E" w:rsidRDefault="00172ADA" w:rsidP="008E2B75">
            <w:pPr>
              <w:spacing w:line="240" w:lineRule="atLeast"/>
              <w:jc w:val="both"/>
              <w:rPr>
                <w:rFonts w:cs="Arial"/>
                <w:sz w:val="20"/>
                <w:szCs w:val="20"/>
                <w:lang w:val="sl-SI"/>
              </w:rPr>
            </w:pPr>
            <w:r w:rsidRPr="00FF207E">
              <w:rPr>
                <w:rFonts w:cs="Arial"/>
                <w:sz w:val="20"/>
                <w:szCs w:val="20"/>
                <w:lang w:val="sl-SI"/>
              </w:rPr>
              <w:t>2024</w:t>
            </w:r>
          </w:p>
        </w:tc>
      </w:tr>
      <w:tr w:rsidR="00AD6EEC" w:rsidRPr="00FF207E" w14:paraId="6BCFCE16" w14:textId="77777777" w:rsidTr="005C2342">
        <w:tc>
          <w:tcPr>
            <w:tcW w:w="567" w:type="dxa"/>
            <w:vMerge w:val="restart"/>
            <w:tcBorders>
              <w:top w:val="single" w:sz="4" w:space="0" w:color="548DD4" w:themeColor="text2" w:themeTint="99"/>
              <w:left w:val="nil"/>
              <w:right w:val="single" w:sz="4" w:space="0" w:color="548DD4" w:themeColor="text2" w:themeTint="99"/>
            </w:tcBorders>
            <w:vAlign w:val="center"/>
          </w:tcPr>
          <w:p w14:paraId="24C63F49" w14:textId="6AA9F3FA" w:rsidR="00AD6EEC" w:rsidRPr="00FF207E" w:rsidRDefault="00900BE5" w:rsidP="001E304B">
            <w:pPr>
              <w:spacing w:line="240" w:lineRule="atLeast"/>
              <w:jc w:val="both"/>
              <w:rPr>
                <w:rFonts w:cs="Arial"/>
                <w:b/>
                <w:sz w:val="24"/>
                <w:lang w:val="sl-SI"/>
              </w:rPr>
            </w:pPr>
            <w:bookmarkStart w:id="67" w:name="_Ref120099987"/>
            <w:r w:rsidRPr="00FF207E">
              <w:rPr>
                <w:rFonts w:cs="Arial"/>
                <w:b/>
                <w:sz w:val="24"/>
                <w:lang w:val="sl-SI"/>
              </w:rPr>
              <w:t>3</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647686FE" w14:textId="77777777" w:rsidR="00AD6EEC" w:rsidRPr="00FF207E" w:rsidRDefault="00AD6EEC"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3225B64F" w14:textId="075DEDC6" w:rsidR="00AD6EEC" w:rsidRPr="00FF207E" w:rsidRDefault="00493C18" w:rsidP="00493C18">
            <w:pPr>
              <w:spacing w:line="240" w:lineRule="atLeast"/>
              <w:jc w:val="both"/>
              <w:rPr>
                <w:rFonts w:cs="Arial"/>
                <w:sz w:val="20"/>
                <w:szCs w:val="20"/>
                <w:lang w:val="sl-SI"/>
              </w:rPr>
            </w:pPr>
            <w:r w:rsidRPr="00FF207E">
              <w:rPr>
                <w:rFonts w:cs="Arial"/>
                <w:sz w:val="20"/>
                <w:szCs w:val="20"/>
                <w:lang w:val="sl-SI"/>
              </w:rPr>
              <w:t>z</w:t>
            </w:r>
            <w:r w:rsidR="00DC76C1" w:rsidRPr="00FF207E">
              <w:rPr>
                <w:rFonts w:cs="Arial"/>
                <w:sz w:val="20"/>
                <w:szCs w:val="20"/>
                <w:lang w:val="sl-SI"/>
              </w:rPr>
              <w:t>agotavljanje</w:t>
            </w:r>
            <w:r w:rsidR="00AD6EEC" w:rsidRPr="00FF207E">
              <w:rPr>
                <w:rFonts w:cs="Arial"/>
                <w:sz w:val="20"/>
                <w:szCs w:val="20"/>
                <w:lang w:val="sl-SI"/>
              </w:rPr>
              <w:t xml:space="preserve"> redne izmenjav</w:t>
            </w:r>
            <w:r w:rsidR="00DC76C1" w:rsidRPr="00FF207E">
              <w:rPr>
                <w:rFonts w:cs="Arial"/>
                <w:sz w:val="20"/>
                <w:szCs w:val="20"/>
                <w:lang w:val="sl-SI"/>
              </w:rPr>
              <w:t>e</w:t>
            </w:r>
            <w:r w:rsidR="00AD6EEC" w:rsidRPr="00FF207E">
              <w:rPr>
                <w:rFonts w:cs="Arial"/>
                <w:sz w:val="20"/>
                <w:szCs w:val="20"/>
                <w:lang w:val="sl-SI"/>
              </w:rPr>
              <w:t xml:space="preserve"> izkušenj med deležniki</w:t>
            </w:r>
            <w:r w:rsidR="00DC76C1" w:rsidRPr="00FF207E">
              <w:rPr>
                <w:rFonts w:cs="Arial"/>
                <w:sz w:val="20"/>
                <w:szCs w:val="20"/>
                <w:lang w:val="sl-SI"/>
              </w:rPr>
              <w:t>, vključenimi v energetsko svetovanje</w:t>
            </w:r>
            <w:r w:rsidR="00AD6EEC" w:rsidRPr="00FF207E">
              <w:rPr>
                <w:rFonts w:cs="Arial"/>
                <w:sz w:val="20"/>
                <w:szCs w:val="20"/>
                <w:lang w:val="sl-SI"/>
              </w:rPr>
              <w:t>: projektno pisarno, regionalnimi svetovalnimi točkami</w:t>
            </w:r>
            <w:r w:rsidR="00DC76C1" w:rsidRPr="00FF207E">
              <w:rPr>
                <w:rFonts w:cs="Arial"/>
                <w:sz w:val="20"/>
                <w:szCs w:val="20"/>
                <w:lang w:val="sl-SI"/>
              </w:rPr>
              <w:t xml:space="preserve">, </w:t>
            </w:r>
            <w:r w:rsidR="00AD6EEC" w:rsidRPr="00FF207E">
              <w:rPr>
                <w:rFonts w:cs="Arial"/>
                <w:sz w:val="20"/>
                <w:szCs w:val="20"/>
                <w:lang w:val="sl-SI"/>
              </w:rPr>
              <w:t>ENSVET</w:t>
            </w:r>
            <w:r w:rsidR="00DC76C1" w:rsidRPr="00FF207E">
              <w:rPr>
                <w:rFonts w:cs="Arial"/>
                <w:sz w:val="20"/>
                <w:szCs w:val="20"/>
                <w:lang w:val="sl-SI"/>
              </w:rPr>
              <w:t xml:space="preserve"> in drugimi</w:t>
            </w:r>
            <w:r w:rsidRPr="00FF207E">
              <w:rPr>
                <w:rFonts w:cs="Arial"/>
                <w:sz w:val="20"/>
                <w:szCs w:val="20"/>
                <w:lang w:val="sl-SI"/>
              </w:rPr>
              <w:t>;</w:t>
            </w:r>
            <w:r w:rsidR="00DC76C1" w:rsidRPr="00FF207E">
              <w:rPr>
                <w:rFonts w:cs="Arial"/>
                <w:sz w:val="20"/>
                <w:szCs w:val="20"/>
                <w:lang w:val="sl-SI"/>
              </w:rPr>
              <w:t xml:space="preserve"> </w:t>
            </w:r>
            <w:r w:rsidRPr="00FF207E">
              <w:rPr>
                <w:rFonts w:cs="Arial"/>
                <w:sz w:val="20"/>
                <w:szCs w:val="20"/>
                <w:lang w:val="sl-SI"/>
              </w:rPr>
              <w:t>r</w:t>
            </w:r>
            <w:r w:rsidR="009D2238" w:rsidRPr="00FF207E">
              <w:rPr>
                <w:rFonts w:cs="Arial"/>
                <w:sz w:val="20"/>
                <w:szCs w:val="20"/>
                <w:lang w:val="sl-SI"/>
              </w:rPr>
              <w:t>edn</w:t>
            </w:r>
            <w:r w:rsidR="00AC2D35" w:rsidRPr="00FF207E">
              <w:rPr>
                <w:rFonts w:cs="Arial"/>
                <w:sz w:val="20"/>
                <w:szCs w:val="20"/>
                <w:lang w:val="sl-SI"/>
              </w:rPr>
              <w:t>a</w:t>
            </w:r>
            <w:r w:rsidR="00DC76C1" w:rsidRPr="00FF207E">
              <w:rPr>
                <w:rFonts w:cs="Arial"/>
                <w:sz w:val="20"/>
                <w:szCs w:val="20"/>
                <w:lang w:val="sl-SI"/>
              </w:rPr>
              <w:t xml:space="preserve"> usposabljanj</w:t>
            </w:r>
            <w:r w:rsidR="00AC2D35" w:rsidRPr="00FF207E">
              <w:rPr>
                <w:rFonts w:cs="Arial"/>
                <w:sz w:val="20"/>
                <w:szCs w:val="20"/>
                <w:lang w:val="sl-SI"/>
              </w:rPr>
              <w:t>a</w:t>
            </w:r>
            <w:r w:rsidR="00DC76C1" w:rsidRPr="00FF207E">
              <w:rPr>
                <w:rFonts w:cs="Arial"/>
                <w:sz w:val="20"/>
                <w:szCs w:val="20"/>
                <w:lang w:val="sl-SI"/>
              </w:rPr>
              <w:t xml:space="preserve"> energetskih svetovalcev</w:t>
            </w:r>
            <w:r w:rsidR="00AC2D35" w:rsidRPr="00FF207E">
              <w:rPr>
                <w:rFonts w:cs="Arial"/>
                <w:sz w:val="20"/>
                <w:szCs w:val="20"/>
                <w:lang w:val="sl-SI"/>
              </w:rPr>
              <w:t xml:space="preserve"> za delo z energetsko revnimi</w:t>
            </w:r>
          </w:p>
        </w:tc>
      </w:tr>
      <w:tr w:rsidR="00DC76C1" w:rsidRPr="00FF207E" w14:paraId="1F906726" w14:textId="77777777" w:rsidTr="005C2342">
        <w:tc>
          <w:tcPr>
            <w:tcW w:w="567" w:type="dxa"/>
            <w:vMerge/>
            <w:tcBorders>
              <w:left w:val="nil"/>
              <w:right w:val="single" w:sz="4" w:space="0" w:color="548DD4" w:themeColor="text2" w:themeTint="99"/>
            </w:tcBorders>
          </w:tcPr>
          <w:p w14:paraId="1E221695" w14:textId="77777777" w:rsidR="00DC76C1" w:rsidRPr="00FF207E" w:rsidRDefault="00DC76C1"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CC91DE2" w14:textId="77777777" w:rsidR="00DC76C1" w:rsidRPr="00FF207E" w:rsidRDefault="00DC76C1"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6A8C3314" w14:textId="161FEE7D" w:rsidR="00DC76C1" w:rsidRPr="00FF207E" w:rsidRDefault="00DC76C1"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 </w:t>
            </w:r>
          </w:p>
        </w:tc>
      </w:tr>
      <w:tr w:rsidR="00DC76C1" w:rsidRPr="00FF207E" w14:paraId="03CCCD82" w14:textId="77777777" w:rsidTr="005C2342">
        <w:tc>
          <w:tcPr>
            <w:tcW w:w="567" w:type="dxa"/>
            <w:vMerge/>
            <w:tcBorders>
              <w:left w:val="nil"/>
              <w:right w:val="single" w:sz="4" w:space="0" w:color="548DD4" w:themeColor="text2" w:themeTint="99"/>
            </w:tcBorders>
          </w:tcPr>
          <w:p w14:paraId="01D1F154" w14:textId="77777777" w:rsidR="00DC76C1" w:rsidRPr="00FF207E" w:rsidRDefault="00DC76C1"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E23D2CB" w14:textId="77777777" w:rsidR="00DC76C1" w:rsidRPr="00FF207E" w:rsidRDefault="00DC76C1"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6F5AA730" w14:textId="1F624D9A" w:rsidR="00DC76C1" w:rsidRPr="00FF207E" w:rsidRDefault="00DC76C1" w:rsidP="001E304B">
            <w:pPr>
              <w:spacing w:line="240" w:lineRule="atLeast"/>
              <w:jc w:val="both"/>
              <w:rPr>
                <w:rFonts w:cs="Arial"/>
                <w:sz w:val="20"/>
                <w:szCs w:val="20"/>
                <w:lang w:val="sl-SI"/>
              </w:rPr>
            </w:pPr>
            <w:r w:rsidRPr="00FF207E">
              <w:rPr>
                <w:rFonts w:cs="Arial"/>
                <w:sz w:val="20"/>
                <w:szCs w:val="20"/>
                <w:lang w:val="sl-SI"/>
              </w:rPr>
              <w:t>projektna pisarna, regionalne svetovalne točke, ENSVET, drugi vključeni energetski svetovalci</w:t>
            </w:r>
          </w:p>
        </w:tc>
      </w:tr>
      <w:tr w:rsidR="00AD6EEC" w:rsidRPr="00FF207E" w14:paraId="363CCC41" w14:textId="77777777" w:rsidTr="005C2342">
        <w:tc>
          <w:tcPr>
            <w:tcW w:w="567" w:type="dxa"/>
            <w:vMerge/>
            <w:tcBorders>
              <w:left w:val="nil"/>
              <w:bottom w:val="single" w:sz="4" w:space="0" w:color="548DD4" w:themeColor="text2" w:themeTint="99"/>
              <w:right w:val="single" w:sz="4" w:space="0" w:color="548DD4" w:themeColor="text2" w:themeTint="99"/>
            </w:tcBorders>
          </w:tcPr>
          <w:p w14:paraId="62F4AB72" w14:textId="77777777" w:rsidR="00AD6EEC" w:rsidRPr="00FF207E" w:rsidRDefault="00AD6EE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5F622F98" w14:textId="77777777" w:rsidR="00AD6EEC" w:rsidRPr="00FF207E" w:rsidRDefault="00AD6EEC"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54C8CBBC" w14:textId="1501BEC6" w:rsidR="00AD6EEC" w:rsidRPr="00FF207E" w:rsidRDefault="00172ADA" w:rsidP="001E304B">
            <w:pPr>
              <w:spacing w:line="240" w:lineRule="atLeast"/>
              <w:jc w:val="both"/>
              <w:rPr>
                <w:rFonts w:cs="Arial"/>
                <w:sz w:val="20"/>
                <w:szCs w:val="20"/>
                <w:lang w:val="sl-SI"/>
              </w:rPr>
            </w:pPr>
            <w:r w:rsidRPr="00FF207E">
              <w:rPr>
                <w:rFonts w:cs="Arial"/>
                <w:sz w:val="20"/>
                <w:szCs w:val="20"/>
                <w:lang w:val="sl-SI"/>
              </w:rPr>
              <w:t>tekoče, glede na objavljene javne pozive</w:t>
            </w:r>
          </w:p>
        </w:tc>
      </w:tr>
    </w:tbl>
    <w:p w14:paraId="6B2D5FC9" w14:textId="46C08AC5" w:rsidR="00F47769" w:rsidRPr="00FF207E" w:rsidRDefault="00F47769" w:rsidP="001E304B">
      <w:pPr>
        <w:jc w:val="both"/>
        <w:rPr>
          <w:lang w:val="sl-SI"/>
        </w:rPr>
      </w:pPr>
    </w:p>
    <w:p w14:paraId="63987F02" w14:textId="6C4D4897" w:rsidR="00F47769" w:rsidRPr="00FF207E" w:rsidRDefault="00F47769" w:rsidP="001E304B">
      <w:pPr>
        <w:spacing w:after="200" w:line="276" w:lineRule="auto"/>
        <w:jc w:val="both"/>
        <w:rPr>
          <w:lang w:val="sl-SI"/>
        </w:rPr>
      </w:pPr>
      <w:r w:rsidRPr="00FF207E">
        <w:rPr>
          <w:lang w:val="sl-SI"/>
        </w:rPr>
        <w:br w:type="page"/>
      </w:r>
    </w:p>
    <w:p w14:paraId="3755F9FC" w14:textId="40E9FA1F" w:rsidR="00D378A4" w:rsidRPr="00FF207E" w:rsidRDefault="00DC567D" w:rsidP="001E304B">
      <w:pPr>
        <w:pStyle w:val="Naslov2"/>
        <w:jc w:val="both"/>
        <w:rPr>
          <w:lang w:val="sl-SI"/>
        </w:rPr>
      </w:pPr>
      <w:bookmarkStart w:id="68" w:name="_Toc151148793"/>
      <w:r w:rsidRPr="00FF207E">
        <w:rPr>
          <w:lang w:val="sl-SI"/>
        </w:rPr>
        <w:lastRenderedPageBreak/>
        <w:t>Stalno i</w:t>
      </w:r>
      <w:r w:rsidR="00D378A4" w:rsidRPr="00FF207E">
        <w:rPr>
          <w:lang w:val="sl-SI"/>
        </w:rPr>
        <w:t xml:space="preserve">nformiranje članov neformalne mreže za informiranje in ozaveščanje na </w:t>
      </w:r>
      <w:r w:rsidR="00102DCF" w:rsidRPr="00FF207E">
        <w:rPr>
          <w:lang w:val="sl-SI"/>
        </w:rPr>
        <w:t>regionalni</w:t>
      </w:r>
      <w:r w:rsidR="00D378A4" w:rsidRPr="00FF207E">
        <w:rPr>
          <w:lang w:val="sl-SI"/>
        </w:rPr>
        <w:t xml:space="preserve"> ravni</w:t>
      </w:r>
      <w:bookmarkEnd w:id="67"/>
      <w:bookmarkEnd w:id="68"/>
    </w:p>
    <w:tbl>
      <w:tblPr>
        <w:tblStyle w:val="Tabelamrea"/>
        <w:tblW w:w="0" w:type="auto"/>
        <w:tblLook w:val="04A0" w:firstRow="1" w:lastRow="0" w:firstColumn="1" w:lastColumn="0" w:noHBand="0" w:noVBand="1"/>
      </w:tblPr>
      <w:tblGrid>
        <w:gridCol w:w="567"/>
        <w:gridCol w:w="2405"/>
        <w:gridCol w:w="6090"/>
      </w:tblGrid>
      <w:tr w:rsidR="007A5AB6" w:rsidRPr="00FF207E" w14:paraId="59022491" w14:textId="77777777" w:rsidTr="00532098">
        <w:tc>
          <w:tcPr>
            <w:tcW w:w="2972" w:type="dxa"/>
            <w:gridSpan w:val="2"/>
            <w:tcBorders>
              <w:top w:val="nil"/>
              <w:left w:val="nil"/>
              <w:bottom w:val="nil"/>
              <w:right w:val="single" w:sz="4" w:space="0" w:color="548DD4" w:themeColor="text2" w:themeTint="99"/>
            </w:tcBorders>
            <w:shd w:val="clear" w:color="auto" w:fill="548DD4" w:themeFill="text2" w:themeFillTint="99"/>
            <w:vAlign w:val="center"/>
          </w:tcPr>
          <w:p w14:paraId="26A4AE4F" w14:textId="77777777" w:rsidR="007A5AB6" w:rsidRPr="00FF207E" w:rsidRDefault="007A5AB6" w:rsidP="001E304B">
            <w:pPr>
              <w:spacing w:before="40" w:after="40"/>
              <w:jc w:val="both"/>
              <w:rPr>
                <w:rFonts w:cs="Arial"/>
                <w:b/>
                <w:color w:val="FFFFFF" w:themeColor="background1"/>
                <w:lang w:val="sl-SI"/>
              </w:rPr>
            </w:pPr>
            <w:r w:rsidRPr="00FF207E">
              <w:rPr>
                <w:rFonts w:cs="Arial"/>
                <w:b/>
                <w:color w:val="FFFFFF" w:themeColor="background1"/>
                <w:lang w:val="sl-SI"/>
              </w:rPr>
              <w:t>ER_Shema-05</w:t>
            </w:r>
          </w:p>
        </w:tc>
        <w:tc>
          <w:tcPr>
            <w:tcW w:w="6090" w:type="dxa"/>
            <w:tcBorders>
              <w:top w:val="nil"/>
              <w:left w:val="single" w:sz="4" w:space="0" w:color="548DD4" w:themeColor="text2" w:themeTint="99"/>
              <w:bottom w:val="nil"/>
              <w:right w:val="nil"/>
            </w:tcBorders>
            <w:shd w:val="clear" w:color="auto" w:fill="548DD4" w:themeFill="text2" w:themeFillTint="99"/>
            <w:vAlign w:val="center"/>
          </w:tcPr>
          <w:p w14:paraId="16BFD95B" w14:textId="1C51BE52" w:rsidR="007A5AB6" w:rsidRPr="00FF207E" w:rsidRDefault="00183A0C" w:rsidP="001E304B">
            <w:pPr>
              <w:pStyle w:val="Naslov5"/>
              <w:spacing w:line="260" w:lineRule="atLeast"/>
              <w:jc w:val="both"/>
            </w:pPr>
            <w:bookmarkStart w:id="69" w:name="_Informiranje_članov_neformalne"/>
            <w:bookmarkEnd w:id="69"/>
            <w:r w:rsidRPr="00FF207E">
              <w:t>Stalno i</w:t>
            </w:r>
            <w:r w:rsidR="007A5AB6" w:rsidRPr="00FF207E">
              <w:t xml:space="preserve">nformiranje članov neformalne mreže za informiranje in ozaveščanje na </w:t>
            </w:r>
            <w:r w:rsidR="00E275E1" w:rsidRPr="00FF207E">
              <w:t>regionalni</w:t>
            </w:r>
            <w:r w:rsidR="007A5AB6" w:rsidRPr="00FF207E">
              <w:t xml:space="preserve"> ravni</w:t>
            </w:r>
          </w:p>
        </w:tc>
      </w:tr>
      <w:tr w:rsidR="007A5AB6" w:rsidRPr="00FF207E" w14:paraId="6B4F689B" w14:textId="77777777" w:rsidTr="00532098">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4241A478" w14:textId="77777777" w:rsidR="007A5AB6" w:rsidRPr="00FF207E" w:rsidRDefault="007A5AB6" w:rsidP="001E304B">
            <w:pPr>
              <w:spacing w:before="60" w:after="60" w:line="240" w:lineRule="atLeast"/>
              <w:jc w:val="both"/>
              <w:rPr>
                <w:rFonts w:cs="Arial"/>
                <w:b/>
                <w:szCs w:val="22"/>
                <w:lang w:val="sl-SI"/>
              </w:rPr>
            </w:pPr>
            <w:r w:rsidRPr="00FF207E">
              <w:rPr>
                <w:rFonts w:cs="Arial"/>
                <w:b/>
                <w:szCs w:val="22"/>
                <w:lang w:val="sl-SI"/>
              </w:rPr>
              <w:t>Osnovne informacije</w:t>
            </w:r>
          </w:p>
        </w:tc>
      </w:tr>
      <w:tr w:rsidR="007A5AB6" w:rsidRPr="00FF207E" w14:paraId="6F517068" w14:textId="77777777" w:rsidTr="00B44A4D">
        <w:tc>
          <w:tcPr>
            <w:tcW w:w="2972" w:type="dxa"/>
            <w:gridSpan w:val="2"/>
            <w:tcBorders>
              <w:top w:val="nil"/>
              <w:left w:val="nil"/>
              <w:bottom w:val="single" w:sz="4" w:space="0" w:color="548DD4" w:themeColor="text2" w:themeTint="99"/>
              <w:right w:val="single" w:sz="4" w:space="0" w:color="548DD4" w:themeColor="text2" w:themeTint="99"/>
            </w:tcBorders>
          </w:tcPr>
          <w:p w14:paraId="606CFA6B" w14:textId="77777777" w:rsidR="007A5AB6" w:rsidRPr="00FF207E" w:rsidRDefault="007A5AB6" w:rsidP="001E304B">
            <w:pPr>
              <w:spacing w:line="240" w:lineRule="atLeast"/>
              <w:jc w:val="both"/>
              <w:rPr>
                <w:rFonts w:cs="Arial"/>
                <w:spacing w:val="-4"/>
                <w:sz w:val="20"/>
                <w:szCs w:val="20"/>
                <w:lang w:val="sl-SI"/>
              </w:rPr>
            </w:pPr>
            <w:r w:rsidRPr="00FF207E">
              <w:rPr>
                <w:rFonts w:cs="Arial"/>
                <w:spacing w:val="-4"/>
                <w:sz w:val="20"/>
                <w:szCs w:val="20"/>
                <w:lang w:val="sl-SI"/>
              </w:rPr>
              <w:t>Odgovornost za izvedbo ukrepa</w:t>
            </w:r>
          </w:p>
        </w:tc>
        <w:tc>
          <w:tcPr>
            <w:tcW w:w="6090" w:type="dxa"/>
            <w:tcBorders>
              <w:top w:val="nil"/>
              <w:left w:val="single" w:sz="4" w:space="0" w:color="548DD4" w:themeColor="text2" w:themeTint="99"/>
              <w:bottom w:val="single" w:sz="4" w:space="0" w:color="548DD4" w:themeColor="text2" w:themeTint="99"/>
              <w:right w:val="nil"/>
            </w:tcBorders>
          </w:tcPr>
          <w:p w14:paraId="4FCFBB4E" w14:textId="77777777" w:rsidR="007A5AB6" w:rsidRPr="00FF207E" w:rsidRDefault="007A5AB6"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7A5AB6" w:rsidRPr="00FF207E" w14:paraId="23A8F9A1" w14:textId="77777777" w:rsidTr="00B44A4D">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2523427" w14:textId="77777777" w:rsidR="007A5AB6" w:rsidRPr="00FF207E" w:rsidRDefault="007A5AB6"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6A78513" w14:textId="0D172CD0" w:rsidR="007A5AB6" w:rsidRPr="00FF207E" w:rsidRDefault="007A5AB6" w:rsidP="001E304B">
            <w:pPr>
              <w:spacing w:line="240" w:lineRule="atLeast"/>
              <w:jc w:val="both"/>
              <w:rPr>
                <w:rFonts w:cs="Arial"/>
                <w:sz w:val="20"/>
                <w:szCs w:val="20"/>
                <w:lang w:val="sl-SI"/>
              </w:rPr>
            </w:pPr>
            <w:r w:rsidRPr="00FF207E">
              <w:rPr>
                <w:rFonts w:cs="Arial"/>
                <w:sz w:val="20"/>
                <w:szCs w:val="20"/>
                <w:lang w:val="sl-SI"/>
              </w:rPr>
              <w:t xml:space="preserve">projektna pisarna z </w:t>
            </w:r>
            <w:r w:rsidR="00E275E1" w:rsidRPr="00FF207E">
              <w:rPr>
                <w:rFonts w:cs="Arial"/>
                <w:sz w:val="20"/>
                <w:szCs w:val="20"/>
                <w:lang w:val="sl-SI"/>
              </w:rPr>
              <w:t>regionalnimi</w:t>
            </w:r>
            <w:r w:rsidRPr="00FF207E">
              <w:rPr>
                <w:rFonts w:cs="Arial"/>
                <w:sz w:val="20"/>
                <w:szCs w:val="20"/>
                <w:lang w:val="sl-SI"/>
              </w:rPr>
              <w:t xml:space="preserve"> svetovaln</w:t>
            </w:r>
            <w:r w:rsidR="00E275E1" w:rsidRPr="00FF207E">
              <w:rPr>
                <w:rFonts w:cs="Arial"/>
                <w:sz w:val="20"/>
                <w:szCs w:val="20"/>
                <w:lang w:val="sl-SI"/>
              </w:rPr>
              <w:t>imi</w:t>
            </w:r>
            <w:r w:rsidRPr="00FF207E">
              <w:rPr>
                <w:rFonts w:cs="Arial"/>
                <w:sz w:val="20"/>
                <w:szCs w:val="20"/>
                <w:lang w:val="sl-SI"/>
              </w:rPr>
              <w:t xml:space="preserve"> </w:t>
            </w:r>
            <w:r w:rsidR="00E275E1" w:rsidRPr="00FF207E">
              <w:rPr>
                <w:rFonts w:cs="Arial"/>
                <w:sz w:val="20"/>
                <w:szCs w:val="20"/>
                <w:lang w:val="sl-SI"/>
              </w:rPr>
              <w:t>točkami</w:t>
            </w:r>
            <w:r w:rsidRPr="00FF207E">
              <w:rPr>
                <w:rFonts w:cs="Arial"/>
                <w:sz w:val="20"/>
                <w:szCs w:val="20"/>
                <w:lang w:val="sl-SI"/>
              </w:rPr>
              <w:t xml:space="preserve"> za energetsko revščino, lokalni deležniki, kot so občine, lokalne energetske agencije, CSD, humanitarne organizacije, nevladne organizacije, </w:t>
            </w:r>
            <w:r w:rsidR="00160A4C" w:rsidRPr="00FF207E">
              <w:rPr>
                <w:rFonts w:cs="Arial"/>
                <w:sz w:val="20"/>
                <w:szCs w:val="20"/>
                <w:lang w:val="sl-SI"/>
              </w:rPr>
              <w:t xml:space="preserve">društva upokojencev, akterji, ki delujejo na področju </w:t>
            </w:r>
            <w:proofErr w:type="spellStart"/>
            <w:r w:rsidR="00160A4C" w:rsidRPr="00FF207E">
              <w:rPr>
                <w:rFonts w:cs="Arial"/>
                <w:sz w:val="20"/>
                <w:szCs w:val="20"/>
                <w:lang w:val="sl-SI"/>
              </w:rPr>
              <w:t>opolnomočenja</w:t>
            </w:r>
            <w:proofErr w:type="spellEnd"/>
            <w:r w:rsidR="00160A4C" w:rsidRPr="00FF207E">
              <w:rPr>
                <w:rFonts w:cs="Arial"/>
                <w:sz w:val="20"/>
                <w:szCs w:val="20"/>
                <w:lang w:val="sl-SI"/>
              </w:rPr>
              <w:t xml:space="preserve"> žensk, </w:t>
            </w:r>
            <w:r w:rsidRPr="00FF207E">
              <w:rPr>
                <w:rFonts w:cs="Arial"/>
                <w:sz w:val="20"/>
                <w:szCs w:val="20"/>
                <w:lang w:val="sl-SI"/>
              </w:rPr>
              <w:t>dobavitelji energije, izvajalci patronažnega varstva</w:t>
            </w:r>
          </w:p>
        </w:tc>
      </w:tr>
      <w:tr w:rsidR="007A5AB6" w:rsidRPr="00FF207E" w14:paraId="53C272F0" w14:textId="77777777" w:rsidTr="00B44A4D">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47D5328" w14:textId="77777777" w:rsidR="007A5AB6" w:rsidRPr="00FF207E" w:rsidRDefault="007A5AB6" w:rsidP="001E304B">
            <w:pPr>
              <w:spacing w:line="240" w:lineRule="atLeast"/>
              <w:jc w:val="both"/>
              <w:rPr>
                <w:rFonts w:cs="Arial"/>
                <w:sz w:val="20"/>
                <w:szCs w:val="20"/>
                <w:lang w:val="sl-SI"/>
              </w:rPr>
            </w:pPr>
            <w:r w:rsidRPr="00FF207E">
              <w:rPr>
                <w:rFonts w:cs="Arial"/>
                <w:sz w:val="20"/>
                <w:szCs w:val="20"/>
                <w:lang w:val="sl-SI"/>
              </w:rPr>
              <w:t>Strateške podlage in njihova veljavnost</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76EBEBD0" w14:textId="2C647268" w:rsidR="007A5AB6" w:rsidRPr="00FF207E" w:rsidRDefault="007A5AB6" w:rsidP="001E304B">
            <w:pPr>
              <w:spacing w:line="240" w:lineRule="atLeast"/>
              <w:jc w:val="both"/>
              <w:rPr>
                <w:rFonts w:cs="Arial"/>
                <w:sz w:val="20"/>
                <w:szCs w:val="20"/>
                <w:lang w:val="sl-SI"/>
              </w:rPr>
            </w:pPr>
            <w:r w:rsidRPr="00FF207E">
              <w:rPr>
                <w:rFonts w:cs="Arial"/>
                <w:sz w:val="20"/>
                <w:szCs w:val="20"/>
                <w:lang w:val="sl-SI"/>
              </w:rPr>
              <w:t xml:space="preserve">NEPN, veljavnost do </w:t>
            </w:r>
            <w:r w:rsidR="00B41997" w:rsidRPr="00FF207E">
              <w:rPr>
                <w:rFonts w:cs="Arial"/>
                <w:sz w:val="20"/>
                <w:szCs w:val="20"/>
                <w:lang w:val="sl-SI"/>
              </w:rPr>
              <w:t xml:space="preserve">leta </w:t>
            </w:r>
            <w:r w:rsidRPr="00FF207E">
              <w:rPr>
                <w:rFonts w:cs="Arial"/>
                <w:sz w:val="20"/>
                <w:szCs w:val="20"/>
                <w:lang w:val="sl-SI"/>
              </w:rPr>
              <w:t xml:space="preserve">2030 (ukrep </w:t>
            </w:r>
            <w:r w:rsidRPr="00FF207E">
              <w:rPr>
                <w:rFonts w:cs="Arial"/>
                <w:i/>
                <w:sz w:val="20"/>
                <w:szCs w:val="20"/>
                <w:lang w:val="sl-SI"/>
              </w:rPr>
              <w:t>Shema pomoči za učinkovito rabo energije v gospodinjstvih za ranljive skupine prebivalstva</w:t>
            </w:r>
            <w:r w:rsidRPr="00FF207E">
              <w:rPr>
                <w:rFonts w:cs="Arial"/>
                <w:sz w:val="20"/>
                <w:szCs w:val="20"/>
                <w:lang w:val="sl-SI"/>
              </w:rPr>
              <w:t>)</w:t>
            </w:r>
            <w:r w:rsidRPr="00FF207E">
              <w:rPr>
                <w:rFonts w:cs="Arial"/>
                <w:sz w:val="20"/>
                <w:szCs w:val="20"/>
                <w:lang w:val="sl-SI"/>
              </w:rPr>
              <w:br/>
              <w:t xml:space="preserve">DSEPS 2050, veljavnost do </w:t>
            </w:r>
            <w:r w:rsidR="00B41997" w:rsidRPr="00FF207E">
              <w:rPr>
                <w:rFonts w:cs="Arial"/>
                <w:sz w:val="20"/>
                <w:szCs w:val="20"/>
                <w:lang w:val="sl-SI"/>
              </w:rPr>
              <w:t xml:space="preserve">leta </w:t>
            </w:r>
            <w:r w:rsidRPr="00FF207E">
              <w:rPr>
                <w:rFonts w:cs="Arial"/>
                <w:sz w:val="20"/>
                <w:szCs w:val="20"/>
                <w:lang w:val="sl-SI"/>
              </w:rPr>
              <w:t xml:space="preserve">2030 (ukrep </w:t>
            </w:r>
            <w:r w:rsidRPr="00FF207E">
              <w:rPr>
                <w:rFonts w:cs="Arial"/>
                <w:i/>
                <w:sz w:val="20"/>
                <w:szCs w:val="20"/>
                <w:lang w:val="sl-SI"/>
              </w:rPr>
              <w:t>G-1</w:t>
            </w:r>
            <w:r w:rsidRPr="00FF207E">
              <w:rPr>
                <w:rFonts w:cs="Arial"/>
                <w:sz w:val="20"/>
                <w:szCs w:val="20"/>
                <w:lang w:val="sl-SI"/>
              </w:rPr>
              <w:t>)</w:t>
            </w:r>
          </w:p>
        </w:tc>
      </w:tr>
      <w:tr w:rsidR="007A5AB6" w:rsidRPr="00FF207E" w14:paraId="5A69DAD7" w14:textId="77777777" w:rsidTr="00B44A4D">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65C03C13" w14:textId="77777777" w:rsidR="007A5AB6" w:rsidRPr="00FF207E" w:rsidRDefault="007A5AB6" w:rsidP="001E304B">
            <w:pPr>
              <w:spacing w:line="240" w:lineRule="atLeast"/>
              <w:jc w:val="both"/>
              <w:rPr>
                <w:rFonts w:cs="Arial"/>
                <w:sz w:val="20"/>
                <w:szCs w:val="20"/>
                <w:lang w:val="sl-SI"/>
              </w:rPr>
            </w:pPr>
            <w:r w:rsidRPr="00FF207E">
              <w:rPr>
                <w:rFonts w:cs="Arial"/>
                <w:sz w:val="20"/>
                <w:szCs w:val="20"/>
                <w:lang w:val="sl-SI"/>
              </w:rPr>
              <w:t>Veljavnost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1ACD8B68" w14:textId="77777777" w:rsidR="007A5AB6" w:rsidRPr="00FF207E" w:rsidRDefault="007A5AB6" w:rsidP="001E304B">
            <w:pPr>
              <w:spacing w:line="240" w:lineRule="atLeast"/>
              <w:jc w:val="both"/>
              <w:rPr>
                <w:rFonts w:cs="Arial"/>
                <w:sz w:val="20"/>
                <w:szCs w:val="20"/>
                <w:lang w:val="sl-SI"/>
              </w:rPr>
            </w:pPr>
            <w:r w:rsidRPr="00FF207E">
              <w:rPr>
                <w:rFonts w:cs="Arial"/>
                <w:sz w:val="20"/>
                <w:szCs w:val="20"/>
                <w:lang w:val="sl-SI"/>
              </w:rPr>
              <w:t>2030</w:t>
            </w:r>
          </w:p>
        </w:tc>
      </w:tr>
      <w:tr w:rsidR="007A5AB6" w:rsidRPr="00FF207E" w14:paraId="1705672E" w14:textId="77777777" w:rsidTr="00B44A4D">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9FD3D94" w14:textId="77777777" w:rsidR="007A5AB6" w:rsidRPr="00FF207E" w:rsidRDefault="007A5AB6" w:rsidP="001E304B">
            <w:pPr>
              <w:spacing w:line="240" w:lineRule="atLeast"/>
              <w:jc w:val="both"/>
              <w:rPr>
                <w:rFonts w:cs="Arial"/>
                <w:sz w:val="20"/>
                <w:szCs w:val="20"/>
                <w:lang w:val="sl-SI"/>
              </w:rPr>
            </w:pPr>
            <w:r w:rsidRPr="00FF207E">
              <w:rPr>
                <w:rFonts w:cs="Arial"/>
                <w:sz w:val="20"/>
                <w:szCs w:val="20"/>
                <w:lang w:val="sl-SI"/>
              </w:rPr>
              <w:t>Vrsta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73301793" w14:textId="77777777" w:rsidR="007A5AB6" w:rsidRPr="00FF207E" w:rsidRDefault="007A5AB6" w:rsidP="001E304B">
            <w:pPr>
              <w:spacing w:line="240" w:lineRule="atLeast"/>
              <w:jc w:val="both"/>
              <w:rPr>
                <w:rFonts w:cs="Arial"/>
                <w:sz w:val="20"/>
                <w:szCs w:val="20"/>
                <w:lang w:val="sl-SI"/>
              </w:rPr>
            </w:pPr>
            <w:r w:rsidRPr="00FF207E">
              <w:rPr>
                <w:rFonts w:cs="Arial"/>
                <w:sz w:val="20"/>
                <w:szCs w:val="20"/>
                <w:lang w:val="sl-SI"/>
              </w:rPr>
              <w:t>informiranje, ozaveščanje, usposabljanje</w:t>
            </w:r>
          </w:p>
        </w:tc>
      </w:tr>
      <w:tr w:rsidR="007A5AB6" w:rsidRPr="00FF207E" w14:paraId="51415CFF" w14:textId="77777777" w:rsidTr="00B44A4D">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4553FE17" w14:textId="77777777" w:rsidR="007A5AB6" w:rsidRPr="00FF207E" w:rsidRDefault="007A5AB6" w:rsidP="001E304B">
            <w:pPr>
              <w:spacing w:line="240" w:lineRule="atLeast"/>
              <w:jc w:val="both"/>
              <w:rPr>
                <w:rFonts w:cs="Arial"/>
                <w:sz w:val="20"/>
                <w:szCs w:val="20"/>
                <w:lang w:val="sl-SI"/>
              </w:rPr>
            </w:pPr>
            <w:r w:rsidRPr="00FF207E">
              <w:rPr>
                <w:rFonts w:cs="Arial"/>
                <w:sz w:val="20"/>
                <w:szCs w:val="20"/>
                <w:lang w:val="sl-SI"/>
              </w:rPr>
              <w:t>Pričakovani učinki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247A2E7" w14:textId="346C98CE" w:rsidR="007A5AB6" w:rsidRPr="00FF207E" w:rsidRDefault="00B41997" w:rsidP="001E304B">
            <w:pPr>
              <w:spacing w:line="240" w:lineRule="atLeast"/>
              <w:jc w:val="both"/>
              <w:rPr>
                <w:rFonts w:cs="Arial"/>
                <w:sz w:val="20"/>
                <w:szCs w:val="20"/>
                <w:lang w:val="sl-SI"/>
              </w:rPr>
            </w:pPr>
            <w:r w:rsidRPr="00FF207E">
              <w:rPr>
                <w:rFonts w:cs="Arial"/>
                <w:sz w:val="20"/>
                <w:szCs w:val="20"/>
                <w:lang w:val="sl-SI"/>
              </w:rPr>
              <w:t>V</w:t>
            </w:r>
            <w:r w:rsidR="007A5AB6" w:rsidRPr="00FF207E">
              <w:rPr>
                <w:rFonts w:cs="Arial"/>
                <w:sz w:val="20"/>
                <w:szCs w:val="20"/>
                <w:lang w:val="sl-SI"/>
              </w:rPr>
              <w:t>si deležniki oz</w:t>
            </w:r>
            <w:r w:rsidR="00B77973" w:rsidRPr="00FF207E">
              <w:rPr>
                <w:rFonts w:cs="Arial"/>
                <w:sz w:val="20"/>
                <w:szCs w:val="20"/>
                <w:lang w:val="sl-SI"/>
              </w:rPr>
              <w:t>iroma</w:t>
            </w:r>
            <w:r w:rsidR="007A5AB6" w:rsidRPr="00FF207E">
              <w:rPr>
                <w:rFonts w:cs="Arial"/>
                <w:sz w:val="20"/>
                <w:szCs w:val="20"/>
                <w:lang w:val="sl-SI"/>
              </w:rPr>
              <w:t xml:space="preserve"> člani mreže bodo razpolagali z aktualnimi informacijami o </w:t>
            </w:r>
            <w:r w:rsidR="00B44A4D" w:rsidRPr="00FF207E">
              <w:rPr>
                <w:rFonts w:cs="Arial"/>
                <w:sz w:val="20"/>
                <w:szCs w:val="20"/>
                <w:lang w:val="sl-SI"/>
              </w:rPr>
              <w:t>pozivih</w:t>
            </w:r>
            <w:r w:rsidR="007A5AB6" w:rsidRPr="00FF207E">
              <w:rPr>
                <w:rFonts w:cs="Arial"/>
                <w:sz w:val="20"/>
                <w:szCs w:val="20"/>
                <w:lang w:val="sl-SI"/>
              </w:rPr>
              <w:t xml:space="preserve">, </w:t>
            </w:r>
            <w:r w:rsidR="00B44A4D" w:rsidRPr="00FF207E">
              <w:rPr>
                <w:rFonts w:cs="Arial"/>
                <w:sz w:val="20"/>
                <w:szCs w:val="20"/>
                <w:lang w:val="sl-SI"/>
              </w:rPr>
              <w:t>spodbudah</w:t>
            </w:r>
            <w:r w:rsidR="007A5AB6" w:rsidRPr="00FF207E">
              <w:rPr>
                <w:rFonts w:cs="Arial"/>
                <w:sz w:val="20"/>
                <w:szCs w:val="20"/>
                <w:lang w:val="sl-SI"/>
              </w:rPr>
              <w:t xml:space="preserve"> in možnostih za zmanjševanje energetske revščine</w:t>
            </w:r>
            <w:r w:rsidRPr="00FF207E">
              <w:rPr>
                <w:rFonts w:cs="Arial"/>
                <w:sz w:val="20"/>
                <w:szCs w:val="20"/>
                <w:lang w:val="sl-SI"/>
              </w:rPr>
              <w:t>.</w:t>
            </w:r>
          </w:p>
        </w:tc>
      </w:tr>
      <w:tr w:rsidR="007A5AB6" w:rsidRPr="00FF207E" w14:paraId="5DF062CD" w14:textId="77777777" w:rsidTr="00532098">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3997DC0" w14:textId="77777777" w:rsidR="007A5AB6" w:rsidRPr="00FF207E" w:rsidRDefault="007A5AB6" w:rsidP="001E304B">
            <w:pPr>
              <w:spacing w:line="240" w:lineRule="atLeast"/>
              <w:jc w:val="both"/>
              <w:rPr>
                <w:rFonts w:cs="Arial"/>
                <w:sz w:val="20"/>
                <w:szCs w:val="20"/>
                <w:lang w:val="sl-SI"/>
              </w:rPr>
            </w:pPr>
            <w:r w:rsidRPr="00FF207E">
              <w:rPr>
                <w:rFonts w:cs="Arial"/>
                <w:sz w:val="20"/>
                <w:szCs w:val="20"/>
                <w:lang w:val="sl-SI"/>
              </w:rPr>
              <w:t>Status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27A03CB" w14:textId="77777777" w:rsidR="007A5AB6" w:rsidRPr="00FF207E" w:rsidRDefault="007A5AB6" w:rsidP="001E304B">
            <w:pPr>
              <w:spacing w:line="240" w:lineRule="atLeast"/>
              <w:jc w:val="both"/>
              <w:rPr>
                <w:rFonts w:cs="Arial"/>
                <w:sz w:val="20"/>
                <w:szCs w:val="20"/>
                <w:lang w:val="sl-SI"/>
              </w:rPr>
            </w:pPr>
            <w:r w:rsidRPr="00FF207E">
              <w:rPr>
                <w:rFonts w:cs="Arial"/>
                <w:sz w:val="20"/>
                <w:szCs w:val="20"/>
                <w:lang w:val="sl-SI"/>
              </w:rPr>
              <w:t>nov ukrep</w:t>
            </w:r>
          </w:p>
        </w:tc>
      </w:tr>
      <w:tr w:rsidR="007A5AB6" w:rsidRPr="00FF207E" w14:paraId="4EA65192" w14:textId="77777777" w:rsidTr="00532098">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6A0B4D6E" w14:textId="77777777" w:rsidR="007A5AB6" w:rsidRPr="00FF207E" w:rsidRDefault="007A5AB6" w:rsidP="001E304B">
            <w:pPr>
              <w:spacing w:before="60" w:after="60" w:line="240" w:lineRule="atLeast"/>
              <w:jc w:val="both"/>
              <w:rPr>
                <w:rFonts w:cs="Arial"/>
                <w:b/>
                <w:lang w:val="sl-SI"/>
              </w:rPr>
            </w:pPr>
            <w:r w:rsidRPr="00FF207E">
              <w:rPr>
                <w:rFonts w:cs="Arial"/>
                <w:b/>
                <w:lang w:val="sl-SI"/>
              </w:rPr>
              <w:t>Dolgoročna vsebina ukrepa</w:t>
            </w:r>
          </w:p>
        </w:tc>
      </w:tr>
      <w:tr w:rsidR="007A5AB6" w:rsidRPr="00FF207E" w14:paraId="624F2054" w14:textId="77777777" w:rsidTr="00532098">
        <w:tc>
          <w:tcPr>
            <w:tcW w:w="9062" w:type="dxa"/>
            <w:gridSpan w:val="3"/>
            <w:tcBorders>
              <w:top w:val="single" w:sz="4" w:space="0" w:color="548DD4" w:themeColor="text2" w:themeTint="99"/>
              <w:left w:val="nil"/>
              <w:bottom w:val="single" w:sz="4" w:space="0" w:color="548DD4" w:themeColor="text2" w:themeTint="99"/>
              <w:right w:val="nil"/>
            </w:tcBorders>
          </w:tcPr>
          <w:p w14:paraId="5D943B5C" w14:textId="77777777" w:rsidR="007A5AB6" w:rsidRPr="00FF207E" w:rsidRDefault="007A5AB6" w:rsidP="001E304B">
            <w:pPr>
              <w:spacing w:line="240" w:lineRule="atLeast"/>
              <w:jc w:val="both"/>
              <w:rPr>
                <w:rFonts w:cs="Arial"/>
                <w:sz w:val="20"/>
                <w:szCs w:val="20"/>
                <w:lang w:val="sl-SI"/>
              </w:rPr>
            </w:pPr>
            <w:r w:rsidRPr="00FF207E">
              <w:rPr>
                <w:rFonts w:cs="Arial"/>
                <w:sz w:val="20"/>
                <w:szCs w:val="20"/>
                <w:lang w:val="sl-SI"/>
              </w:rPr>
              <w:t>V okviru ukrepa je treba dolgoročno:</w:t>
            </w:r>
          </w:p>
          <w:p w14:paraId="1AB612CA" w14:textId="3A549E14" w:rsidR="007A5AB6" w:rsidRPr="00FF207E" w:rsidRDefault="007A5AB6" w:rsidP="001E304B">
            <w:pPr>
              <w:pStyle w:val="Odstavekseznama"/>
              <w:numPr>
                <w:ilvl w:val="0"/>
                <w:numId w:val="11"/>
              </w:numPr>
              <w:spacing w:line="240" w:lineRule="atLeast"/>
              <w:ind w:left="357" w:hanging="357"/>
              <w:jc w:val="both"/>
              <w:rPr>
                <w:rFonts w:cs="Arial"/>
                <w:sz w:val="20"/>
                <w:szCs w:val="20"/>
                <w:lang w:val="sl-SI"/>
              </w:rPr>
            </w:pPr>
            <w:r w:rsidRPr="00FF207E">
              <w:rPr>
                <w:rFonts w:cs="Arial"/>
                <w:b/>
                <w:sz w:val="20"/>
                <w:szCs w:val="20"/>
                <w:lang w:val="sl-SI"/>
              </w:rPr>
              <w:t>vzpostaviti redna informiranja</w:t>
            </w:r>
            <w:r w:rsidRPr="00FF207E">
              <w:rPr>
                <w:rFonts w:cs="Arial"/>
                <w:sz w:val="20"/>
                <w:szCs w:val="20"/>
                <w:lang w:val="sl-SI"/>
              </w:rPr>
              <w:t xml:space="preserve"> (</w:t>
            </w:r>
            <w:r w:rsidR="00E70A72" w:rsidRPr="00FF207E">
              <w:rPr>
                <w:rFonts w:cs="Arial"/>
                <w:sz w:val="20"/>
                <w:szCs w:val="20"/>
                <w:lang w:val="sl-SI"/>
              </w:rPr>
              <w:t>enkrat</w:t>
            </w:r>
            <w:r w:rsidRPr="00FF207E">
              <w:rPr>
                <w:rFonts w:cs="Arial"/>
                <w:sz w:val="20"/>
                <w:szCs w:val="20"/>
                <w:lang w:val="sl-SI"/>
              </w:rPr>
              <w:t xml:space="preserve"> do </w:t>
            </w:r>
            <w:r w:rsidR="00E70A72" w:rsidRPr="00FF207E">
              <w:rPr>
                <w:rFonts w:cs="Arial"/>
                <w:sz w:val="20"/>
                <w:szCs w:val="20"/>
                <w:lang w:val="sl-SI"/>
              </w:rPr>
              <w:t>dva</w:t>
            </w:r>
            <w:r w:rsidRPr="00FF207E">
              <w:rPr>
                <w:rFonts w:cs="Arial"/>
                <w:sz w:val="20"/>
                <w:szCs w:val="20"/>
                <w:lang w:val="sl-SI"/>
              </w:rPr>
              <w:t xml:space="preserve">krat letno) </w:t>
            </w:r>
            <w:r w:rsidRPr="00FF207E">
              <w:rPr>
                <w:rFonts w:cs="Arial"/>
                <w:b/>
                <w:sz w:val="20"/>
                <w:szCs w:val="20"/>
                <w:lang w:val="sl-SI"/>
              </w:rPr>
              <w:t>članov neformalnih mrež</w:t>
            </w:r>
            <w:r w:rsidR="001F3996" w:rsidRPr="00FF207E">
              <w:rPr>
                <w:rFonts w:cs="Arial"/>
                <w:b/>
                <w:sz w:val="20"/>
                <w:szCs w:val="20"/>
                <w:lang w:val="sl-SI"/>
              </w:rPr>
              <w:t xml:space="preserve"> za informiranje in ozaveščanje</w:t>
            </w:r>
            <w:r w:rsidRPr="00FF207E">
              <w:rPr>
                <w:rFonts w:cs="Arial"/>
                <w:sz w:val="20"/>
                <w:szCs w:val="20"/>
                <w:lang w:val="sl-SI"/>
              </w:rPr>
              <w:t xml:space="preserve"> o novostih </w:t>
            </w:r>
            <w:r w:rsidR="005A0DF4" w:rsidRPr="00FF207E">
              <w:rPr>
                <w:rFonts w:cs="Arial"/>
                <w:sz w:val="20"/>
                <w:szCs w:val="20"/>
                <w:lang w:val="sl-SI"/>
              </w:rPr>
              <w:t xml:space="preserve">pri spodbudah </w:t>
            </w:r>
            <w:r w:rsidRPr="00FF207E">
              <w:rPr>
                <w:rFonts w:cs="Arial"/>
                <w:sz w:val="20"/>
                <w:szCs w:val="20"/>
                <w:lang w:val="sl-SI"/>
              </w:rPr>
              <w:t>na področju zmanjševanja energetske revščine</w:t>
            </w:r>
            <w:r w:rsidR="00160A4C" w:rsidRPr="00FF207E">
              <w:rPr>
                <w:rFonts w:cs="Arial"/>
                <w:sz w:val="20"/>
                <w:szCs w:val="20"/>
                <w:lang w:val="sl-SI"/>
              </w:rPr>
              <w:t xml:space="preserve"> in </w:t>
            </w:r>
            <w:r w:rsidR="00E70A72" w:rsidRPr="00FF207E">
              <w:rPr>
                <w:rFonts w:cs="Arial"/>
                <w:sz w:val="20"/>
                <w:szCs w:val="20"/>
                <w:lang w:val="sl-SI"/>
              </w:rPr>
              <w:t xml:space="preserve">načinih </w:t>
            </w:r>
            <w:r w:rsidR="00160A4C" w:rsidRPr="00FF207E">
              <w:rPr>
                <w:rFonts w:cs="Arial"/>
                <w:sz w:val="20"/>
                <w:szCs w:val="20"/>
                <w:lang w:val="sl-SI"/>
              </w:rPr>
              <w:t>ozaveščanj</w:t>
            </w:r>
            <w:r w:rsidR="00E70A72" w:rsidRPr="00FF207E">
              <w:rPr>
                <w:rFonts w:cs="Arial"/>
                <w:sz w:val="20"/>
                <w:szCs w:val="20"/>
                <w:lang w:val="sl-SI"/>
              </w:rPr>
              <w:t>a</w:t>
            </w:r>
            <w:r w:rsidR="00160A4C" w:rsidRPr="00FF207E">
              <w:rPr>
                <w:rFonts w:cs="Arial"/>
                <w:sz w:val="20"/>
                <w:szCs w:val="20"/>
                <w:lang w:val="sl-SI"/>
              </w:rPr>
              <w:t xml:space="preserve"> glede možnosti za zmanjševanje energetske revščine pri </w:t>
            </w:r>
            <w:r w:rsidR="00736A5E" w:rsidRPr="00FF207E">
              <w:rPr>
                <w:rFonts w:cs="Arial"/>
                <w:sz w:val="20"/>
                <w:szCs w:val="20"/>
                <w:lang w:val="sl-SI"/>
              </w:rPr>
              <w:t xml:space="preserve">posebnih </w:t>
            </w:r>
            <w:r w:rsidR="00160A4C" w:rsidRPr="00FF207E">
              <w:rPr>
                <w:rFonts w:cs="Arial"/>
                <w:sz w:val="20"/>
                <w:szCs w:val="20"/>
                <w:lang w:val="sl-SI"/>
              </w:rPr>
              <w:t xml:space="preserve">ciljnih skupinah (najemniki, upokojenci, ženske </w:t>
            </w:r>
            <w:r w:rsidR="00B77973" w:rsidRPr="00FF207E">
              <w:rPr>
                <w:rFonts w:cs="Arial"/>
                <w:sz w:val="20"/>
                <w:szCs w:val="20"/>
                <w:lang w:val="sl-SI"/>
              </w:rPr>
              <w:t>in tako dalje</w:t>
            </w:r>
            <w:r w:rsidR="00160A4C" w:rsidRPr="00FF207E">
              <w:rPr>
                <w:rFonts w:cs="Arial"/>
                <w:sz w:val="20"/>
                <w:szCs w:val="20"/>
                <w:lang w:val="sl-SI"/>
              </w:rPr>
              <w:t>)</w:t>
            </w:r>
            <w:r w:rsidR="00B44A4D" w:rsidRPr="00FF207E">
              <w:rPr>
                <w:rFonts w:cs="Arial"/>
                <w:sz w:val="20"/>
                <w:szCs w:val="20"/>
                <w:lang w:val="sl-SI"/>
              </w:rPr>
              <w:t>;</w:t>
            </w:r>
          </w:p>
          <w:p w14:paraId="55FB851B" w14:textId="28871CF9" w:rsidR="007A5AB6" w:rsidRPr="00FF207E" w:rsidRDefault="007A5AB6" w:rsidP="001E304B">
            <w:pPr>
              <w:pStyle w:val="Odstavekseznama"/>
              <w:numPr>
                <w:ilvl w:val="0"/>
                <w:numId w:val="11"/>
              </w:numPr>
              <w:spacing w:line="240" w:lineRule="atLeast"/>
              <w:ind w:left="357" w:hanging="357"/>
              <w:jc w:val="both"/>
              <w:rPr>
                <w:rFonts w:cs="Arial"/>
                <w:sz w:val="20"/>
                <w:szCs w:val="20"/>
                <w:lang w:val="sl-SI"/>
              </w:rPr>
            </w:pPr>
            <w:r w:rsidRPr="00FF207E">
              <w:rPr>
                <w:rFonts w:cs="Arial"/>
                <w:sz w:val="20"/>
                <w:szCs w:val="20"/>
                <w:lang w:val="sl-SI"/>
              </w:rPr>
              <w:t>informiranj</w:t>
            </w:r>
            <w:r w:rsidR="00B41997" w:rsidRPr="00FF207E">
              <w:rPr>
                <w:rFonts w:cs="Arial"/>
                <w:sz w:val="20"/>
                <w:szCs w:val="20"/>
                <w:lang w:val="sl-SI"/>
              </w:rPr>
              <w:t>a</w:t>
            </w:r>
            <w:r w:rsidRPr="00FF207E">
              <w:rPr>
                <w:rFonts w:cs="Arial"/>
                <w:sz w:val="20"/>
                <w:szCs w:val="20"/>
                <w:lang w:val="sl-SI"/>
              </w:rPr>
              <w:t xml:space="preserve"> izvaja</w:t>
            </w:r>
            <w:r w:rsidR="00B41997" w:rsidRPr="00FF207E">
              <w:rPr>
                <w:rFonts w:cs="Arial"/>
                <w:sz w:val="20"/>
                <w:szCs w:val="20"/>
                <w:lang w:val="sl-SI"/>
              </w:rPr>
              <w:t>ti</w:t>
            </w:r>
            <w:r w:rsidRPr="00FF207E">
              <w:rPr>
                <w:rFonts w:cs="Arial"/>
                <w:sz w:val="20"/>
                <w:szCs w:val="20"/>
                <w:lang w:val="sl-SI"/>
              </w:rPr>
              <w:t xml:space="preserve"> </w:t>
            </w:r>
            <w:r w:rsidR="00183A0C" w:rsidRPr="00FF207E">
              <w:rPr>
                <w:rFonts w:cs="Arial"/>
                <w:b/>
                <w:sz w:val="20"/>
                <w:szCs w:val="20"/>
                <w:lang w:val="sl-SI"/>
              </w:rPr>
              <w:t xml:space="preserve">regionalno </w:t>
            </w:r>
            <w:r w:rsidRPr="00FF207E">
              <w:rPr>
                <w:rFonts w:cs="Arial"/>
                <w:b/>
                <w:sz w:val="20"/>
                <w:szCs w:val="20"/>
                <w:lang w:val="sl-SI"/>
              </w:rPr>
              <w:t xml:space="preserve">ali </w:t>
            </w:r>
            <w:r w:rsidR="00183A0C" w:rsidRPr="00FF207E">
              <w:rPr>
                <w:rFonts w:cs="Arial"/>
                <w:b/>
                <w:sz w:val="20"/>
                <w:szCs w:val="20"/>
                <w:lang w:val="sl-SI"/>
              </w:rPr>
              <w:t>po skupinah sorodnih deležnikov</w:t>
            </w:r>
            <w:r w:rsidR="00183A0C" w:rsidRPr="00FF207E">
              <w:rPr>
                <w:lang w:val="sl-SI"/>
              </w:rPr>
              <w:t xml:space="preserve"> </w:t>
            </w:r>
            <w:r w:rsidRPr="00FF207E">
              <w:rPr>
                <w:rFonts w:cs="Arial"/>
                <w:sz w:val="20"/>
                <w:szCs w:val="20"/>
                <w:lang w:val="sl-SI"/>
              </w:rPr>
              <w:t>(</w:t>
            </w:r>
            <w:r w:rsidR="00B77973" w:rsidRPr="00FF207E">
              <w:rPr>
                <w:rFonts w:cs="Arial"/>
                <w:sz w:val="20"/>
                <w:szCs w:val="20"/>
                <w:lang w:val="sl-SI"/>
              </w:rPr>
              <w:t>na primer</w:t>
            </w:r>
            <w:r w:rsidRPr="00FF207E">
              <w:rPr>
                <w:rFonts w:cs="Arial"/>
                <w:sz w:val="20"/>
                <w:szCs w:val="20"/>
                <w:lang w:val="sl-SI"/>
              </w:rPr>
              <w:t xml:space="preserve"> CSD, humanitarne organizacije, izvajalci patronažnega varstva …)</w:t>
            </w:r>
            <w:r w:rsidR="00B44A4D" w:rsidRPr="00FF207E">
              <w:rPr>
                <w:rFonts w:cs="Arial"/>
                <w:b/>
                <w:sz w:val="20"/>
                <w:szCs w:val="20"/>
                <w:lang w:val="sl-SI"/>
              </w:rPr>
              <w:t>;</w:t>
            </w:r>
          </w:p>
          <w:p w14:paraId="2D2E3FB7" w14:textId="74AD2BF8" w:rsidR="007A5AB6" w:rsidRPr="00FF207E" w:rsidRDefault="00141E44" w:rsidP="001E304B">
            <w:pPr>
              <w:pStyle w:val="Odstavekseznama"/>
              <w:numPr>
                <w:ilvl w:val="0"/>
                <w:numId w:val="11"/>
              </w:numPr>
              <w:spacing w:line="240" w:lineRule="atLeast"/>
              <w:ind w:left="357" w:hanging="357"/>
              <w:jc w:val="both"/>
              <w:rPr>
                <w:rFonts w:cs="Arial"/>
                <w:sz w:val="20"/>
                <w:szCs w:val="20"/>
                <w:lang w:val="sl-SI"/>
              </w:rPr>
            </w:pPr>
            <w:r w:rsidRPr="00FF207E">
              <w:rPr>
                <w:rFonts w:cs="Arial"/>
                <w:b/>
                <w:sz w:val="20"/>
                <w:szCs w:val="20"/>
                <w:lang w:val="sl-SI"/>
              </w:rPr>
              <w:t>vzpostaviti spletno mesto</w:t>
            </w:r>
            <w:r w:rsidRPr="00FF207E">
              <w:rPr>
                <w:rFonts w:cs="Arial"/>
                <w:sz w:val="20"/>
                <w:szCs w:val="20"/>
                <w:lang w:val="sl-SI"/>
              </w:rPr>
              <w:t xml:space="preserve">, kjer bodo članom neformalnih mrež na voljo vse potrebne </w:t>
            </w:r>
            <w:r w:rsidR="00226B5E" w:rsidRPr="00FF207E">
              <w:rPr>
                <w:rFonts w:cs="Arial"/>
                <w:sz w:val="20"/>
                <w:szCs w:val="20"/>
                <w:lang w:val="sl-SI"/>
              </w:rPr>
              <w:t>aktualne</w:t>
            </w:r>
            <w:r w:rsidRPr="00FF207E">
              <w:rPr>
                <w:rFonts w:cs="Arial"/>
                <w:sz w:val="20"/>
                <w:szCs w:val="20"/>
                <w:lang w:val="sl-SI"/>
              </w:rPr>
              <w:t xml:space="preserve"> informacije o možnostih za zmanjševanje energetske revščine</w:t>
            </w:r>
            <w:r w:rsidR="00B44A4D" w:rsidRPr="00FF207E">
              <w:rPr>
                <w:rFonts w:cs="Arial"/>
                <w:sz w:val="20"/>
                <w:szCs w:val="20"/>
                <w:lang w:val="sl-SI"/>
              </w:rPr>
              <w:t>.</w:t>
            </w:r>
          </w:p>
        </w:tc>
      </w:tr>
      <w:tr w:rsidR="007A5AB6" w:rsidRPr="00FF207E" w14:paraId="34A9E561" w14:textId="77777777" w:rsidTr="00532098">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10980FFC" w14:textId="77777777" w:rsidR="007A5AB6" w:rsidRPr="00FF207E" w:rsidRDefault="007A5AB6" w:rsidP="001E304B">
            <w:pPr>
              <w:keepNext/>
              <w:spacing w:before="60" w:after="60" w:line="240" w:lineRule="atLeast"/>
              <w:jc w:val="both"/>
              <w:rPr>
                <w:rFonts w:cs="Arial"/>
                <w:b/>
                <w:lang w:val="sl-SI"/>
              </w:rPr>
            </w:pPr>
            <w:r w:rsidRPr="00FF207E">
              <w:rPr>
                <w:rFonts w:cs="Arial"/>
                <w:b/>
                <w:lang w:val="sl-SI"/>
              </w:rPr>
              <w:t>Kratkoročna izvedba ukrepa v obdobju 2024–2026</w:t>
            </w:r>
          </w:p>
        </w:tc>
      </w:tr>
      <w:tr w:rsidR="007A5AB6" w:rsidRPr="00FF207E" w14:paraId="7ACA1138" w14:textId="77777777" w:rsidTr="00532098">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74D181DE" w14:textId="77777777" w:rsidR="007A5AB6" w:rsidRPr="00FF207E" w:rsidRDefault="007A5AB6" w:rsidP="001E304B">
            <w:pPr>
              <w:spacing w:line="240" w:lineRule="atLeast"/>
              <w:jc w:val="both"/>
              <w:rPr>
                <w:rFonts w:cs="Arial"/>
                <w:sz w:val="20"/>
                <w:szCs w:val="20"/>
                <w:lang w:val="sl-SI"/>
              </w:rPr>
            </w:pPr>
            <w:r w:rsidRPr="00FF207E">
              <w:rPr>
                <w:rFonts w:cs="Arial"/>
                <w:sz w:val="20"/>
                <w:szCs w:val="20"/>
                <w:lang w:val="sl-SI"/>
              </w:rPr>
              <w:t>Kratkoročni cilj</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470145E" w14:textId="626F56D2" w:rsidR="007A5AB6" w:rsidRPr="00FF207E" w:rsidRDefault="001E3563" w:rsidP="001E304B">
            <w:pPr>
              <w:spacing w:line="240" w:lineRule="atLeast"/>
              <w:jc w:val="both"/>
              <w:rPr>
                <w:rFonts w:cs="Arial"/>
                <w:sz w:val="20"/>
                <w:szCs w:val="20"/>
                <w:lang w:val="sl-SI"/>
              </w:rPr>
            </w:pPr>
            <w:r w:rsidRPr="00FF207E">
              <w:rPr>
                <w:rFonts w:cs="Arial"/>
                <w:sz w:val="20"/>
                <w:szCs w:val="20"/>
                <w:lang w:val="sl-SI"/>
              </w:rPr>
              <w:t xml:space="preserve">Vzpostavitev spletnega mesta z aktualnimi informacijami in v obdobju 2024–2026 izvedba vsaj enega </w:t>
            </w:r>
            <w:r w:rsidR="009A0642" w:rsidRPr="00FF207E">
              <w:rPr>
                <w:rFonts w:cs="Arial"/>
                <w:sz w:val="20"/>
                <w:szCs w:val="20"/>
                <w:lang w:val="sl-SI"/>
              </w:rPr>
              <w:t>informiranja oz</w:t>
            </w:r>
            <w:r w:rsidR="00B77973" w:rsidRPr="00FF207E">
              <w:rPr>
                <w:rFonts w:cs="Arial"/>
                <w:sz w:val="20"/>
                <w:szCs w:val="20"/>
                <w:lang w:val="sl-SI"/>
              </w:rPr>
              <w:t>iroma</w:t>
            </w:r>
            <w:r w:rsidR="009A0642" w:rsidRPr="00FF207E">
              <w:rPr>
                <w:rFonts w:cs="Arial"/>
                <w:sz w:val="20"/>
                <w:szCs w:val="20"/>
                <w:lang w:val="sl-SI"/>
              </w:rPr>
              <w:t xml:space="preserve"> </w:t>
            </w:r>
            <w:r w:rsidRPr="00FF207E">
              <w:rPr>
                <w:rFonts w:cs="Arial"/>
                <w:sz w:val="20"/>
                <w:szCs w:val="20"/>
                <w:lang w:val="sl-SI"/>
              </w:rPr>
              <w:t>usposabljanja deležnikov iz pilotnih regij letno</w:t>
            </w:r>
            <w:r w:rsidR="00E46B6C" w:rsidRPr="00FF207E">
              <w:rPr>
                <w:rFonts w:cs="Arial"/>
                <w:sz w:val="20"/>
                <w:szCs w:val="20"/>
                <w:lang w:val="sl-SI"/>
              </w:rPr>
              <w:t xml:space="preserve">, vse z namenom povečanja letnega </w:t>
            </w:r>
            <w:r w:rsidR="000578A7" w:rsidRPr="00FF207E">
              <w:rPr>
                <w:rFonts w:cs="Arial"/>
                <w:sz w:val="20"/>
                <w:szCs w:val="20"/>
                <w:lang w:val="sl-SI"/>
              </w:rPr>
              <w:t xml:space="preserve">števila energetsko revnih gospodinjstev z </w:t>
            </w:r>
            <w:r w:rsidR="00E46B6C" w:rsidRPr="00FF207E">
              <w:rPr>
                <w:rFonts w:cs="Arial"/>
                <w:sz w:val="20"/>
                <w:szCs w:val="20"/>
                <w:lang w:val="sl-SI"/>
              </w:rPr>
              <w:t>dodeljeni</w:t>
            </w:r>
            <w:r w:rsidR="000578A7" w:rsidRPr="00FF207E">
              <w:rPr>
                <w:rFonts w:cs="Arial"/>
                <w:sz w:val="20"/>
                <w:szCs w:val="20"/>
                <w:lang w:val="sl-SI"/>
              </w:rPr>
              <w:t>mi</w:t>
            </w:r>
            <w:r w:rsidR="00E46B6C" w:rsidRPr="00FF207E">
              <w:rPr>
                <w:rFonts w:cs="Arial"/>
                <w:sz w:val="20"/>
                <w:szCs w:val="20"/>
                <w:lang w:val="sl-SI"/>
              </w:rPr>
              <w:t xml:space="preserve"> spodbud</w:t>
            </w:r>
            <w:r w:rsidR="000578A7" w:rsidRPr="00FF207E">
              <w:rPr>
                <w:rFonts w:cs="Arial"/>
                <w:sz w:val="20"/>
                <w:szCs w:val="20"/>
                <w:lang w:val="sl-SI"/>
              </w:rPr>
              <w:t>ami</w:t>
            </w:r>
            <w:r w:rsidR="00E46B6C" w:rsidRPr="00FF207E">
              <w:rPr>
                <w:rFonts w:cs="Arial"/>
                <w:sz w:val="20"/>
                <w:szCs w:val="20"/>
                <w:lang w:val="sl-SI"/>
              </w:rPr>
              <w:t xml:space="preserve"> za različne namene v obdobju 2024–2026 v skladu s cilji v poglavju </w:t>
            </w:r>
            <w:r w:rsidR="00E46B6C" w:rsidRPr="00FF207E">
              <w:rPr>
                <w:rFonts w:cs="Arial"/>
                <w:sz w:val="20"/>
                <w:szCs w:val="20"/>
                <w:lang w:val="sl-SI"/>
              </w:rPr>
              <w:fldChar w:fldCharType="begin"/>
            </w:r>
            <w:r w:rsidR="00E46B6C" w:rsidRPr="00FF207E">
              <w:rPr>
                <w:rFonts w:cs="Arial"/>
                <w:sz w:val="20"/>
                <w:szCs w:val="20"/>
                <w:lang w:val="sl-SI"/>
              </w:rPr>
              <w:instrText xml:space="preserve"> REF _Ref137574115 \r \h </w:instrText>
            </w:r>
            <w:r w:rsidR="001E304B" w:rsidRPr="00FF207E">
              <w:rPr>
                <w:rFonts w:cs="Arial"/>
                <w:sz w:val="20"/>
                <w:szCs w:val="20"/>
                <w:lang w:val="sl-SI"/>
              </w:rPr>
              <w:instrText xml:space="preserve"> \* MERGEFORMAT </w:instrText>
            </w:r>
            <w:r w:rsidR="00E46B6C" w:rsidRPr="00FF207E">
              <w:rPr>
                <w:rFonts w:cs="Arial"/>
                <w:sz w:val="20"/>
                <w:szCs w:val="20"/>
                <w:lang w:val="sl-SI"/>
              </w:rPr>
            </w:r>
            <w:r w:rsidR="00E46B6C" w:rsidRPr="00FF207E">
              <w:rPr>
                <w:rFonts w:cs="Arial"/>
                <w:sz w:val="20"/>
                <w:szCs w:val="20"/>
                <w:lang w:val="sl-SI"/>
              </w:rPr>
              <w:fldChar w:fldCharType="separate"/>
            </w:r>
            <w:r w:rsidR="00F37FD1" w:rsidRPr="00FF207E">
              <w:rPr>
                <w:rFonts w:cs="Arial"/>
                <w:sz w:val="20"/>
                <w:szCs w:val="20"/>
                <w:lang w:val="sl-SI"/>
              </w:rPr>
              <w:t>2.2</w:t>
            </w:r>
            <w:r w:rsidR="00E46B6C" w:rsidRPr="00FF207E">
              <w:rPr>
                <w:rFonts w:cs="Arial"/>
                <w:sz w:val="20"/>
                <w:szCs w:val="20"/>
                <w:lang w:val="sl-SI"/>
              </w:rPr>
              <w:fldChar w:fldCharType="end"/>
            </w:r>
            <w:r w:rsidR="00B41997" w:rsidRPr="00FF207E">
              <w:rPr>
                <w:rFonts w:cs="Arial"/>
                <w:sz w:val="20"/>
                <w:szCs w:val="20"/>
                <w:lang w:val="sl-SI"/>
              </w:rPr>
              <w:t>.</w:t>
            </w:r>
          </w:p>
        </w:tc>
      </w:tr>
      <w:tr w:rsidR="007A5AB6" w:rsidRPr="00FF207E" w14:paraId="6FF94932" w14:textId="77777777" w:rsidTr="00532098">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35037E97" w14:textId="77777777" w:rsidR="007A5AB6" w:rsidRPr="00FF207E" w:rsidRDefault="007A5AB6"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21C3A66" w14:textId="5E377BE7" w:rsidR="007A5AB6" w:rsidRPr="00FF207E" w:rsidRDefault="00A060CD" w:rsidP="001E304B">
            <w:pPr>
              <w:spacing w:line="240" w:lineRule="atLeast"/>
              <w:jc w:val="both"/>
              <w:rPr>
                <w:rFonts w:cs="Arial"/>
                <w:sz w:val="20"/>
                <w:szCs w:val="20"/>
                <w:lang w:val="sl-SI"/>
              </w:rPr>
            </w:pPr>
            <w:r w:rsidRPr="00FF207E">
              <w:rPr>
                <w:rFonts w:cs="Arial"/>
                <w:sz w:val="20"/>
                <w:szCs w:val="20"/>
                <w:lang w:val="sl-SI"/>
              </w:rPr>
              <w:t>2026</w:t>
            </w:r>
          </w:p>
        </w:tc>
      </w:tr>
      <w:tr w:rsidR="007A5AB6" w:rsidRPr="00FF207E" w14:paraId="09E8F2E6" w14:textId="77777777" w:rsidTr="002513F9">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497A03D1" w14:textId="578A9AB6" w:rsidR="007A5AB6" w:rsidRPr="00FF207E" w:rsidRDefault="007A4271" w:rsidP="001E304B">
            <w:pPr>
              <w:spacing w:line="240" w:lineRule="atLeast"/>
              <w:jc w:val="both"/>
              <w:rPr>
                <w:rFonts w:cs="Arial"/>
                <w:sz w:val="20"/>
                <w:szCs w:val="20"/>
                <w:lang w:val="sl-SI"/>
              </w:rPr>
            </w:pPr>
            <w:r w:rsidRPr="00FF207E">
              <w:rPr>
                <w:rFonts w:cs="Arial"/>
                <w:sz w:val="20"/>
                <w:szCs w:val="20"/>
                <w:lang w:val="sl-SI"/>
              </w:rPr>
              <w:t>Potrebna sredstva</w:t>
            </w:r>
            <w:r w:rsidR="00F4436A" w:rsidRPr="00FF207E">
              <w:rPr>
                <w:lang w:val="sl-SI"/>
              </w:rPr>
              <w:t xml:space="preserve"> </w:t>
            </w:r>
            <w:r w:rsidRPr="00FF207E">
              <w:rPr>
                <w:rFonts w:cs="Arial"/>
                <w:sz w:val="20"/>
                <w:szCs w:val="20"/>
                <w:lang w:val="sl-SI"/>
              </w:rPr>
              <w:t>in viri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tcPr>
          <w:p w14:paraId="6C703890" w14:textId="64629260" w:rsidR="009A6E2F" w:rsidRPr="00FF207E" w:rsidRDefault="00086058" w:rsidP="002513F9">
            <w:pPr>
              <w:spacing w:before="60" w:line="240" w:lineRule="atLeast"/>
              <w:rPr>
                <w:rFonts w:cs="Arial"/>
                <w:sz w:val="20"/>
                <w:szCs w:val="20"/>
                <w:lang w:val="sl-SI"/>
              </w:rPr>
            </w:pPr>
            <w:r w:rsidRPr="00FF207E">
              <w:rPr>
                <w:rFonts w:cs="Arial"/>
                <w:sz w:val="20"/>
                <w:szCs w:val="20"/>
                <w:lang w:val="sl-SI"/>
              </w:rPr>
              <w:t>t</w:t>
            </w:r>
            <w:r w:rsidR="009A6E2F" w:rsidRPr="00FF207E">
              <w:rPr>
                <w:rFonts w:cs="Arial"/>
                <w:sz w:val="20"/>
                <w:szCs w:val="20"/>
                <w:lang w:val="sl-SI"/>
              </w:rPr>
              <w:t>abela 7</w:t>
            </w:r>
          </w:p>
          <w:p w14:paraId="68F13E1E" w14:textId="003A1666" w:rsidR="007A5AB6" w:rsidRPr="00FF207E" w:rsidRDefault="003A7968" w:rsidP="002513F9">
            <w:pPr>
              <w:spacing w:before="60" w:line="240" w:lineRule="atLeast"/>
              <w:rPr>
                <w:rFonts w:cs="Arial"/>
                <w:sz w:val="20"/>
                <w:szCs w:val="20"/>
                <w:lang w:val="sl-SI"/>
              </w:rPr>
            </w:pPr>
            <w:r w:rsidRPr="00FF207E">
              <w:rPr>
                <w:rFonts w:cs="Arial"/>
                <w:sz w:val="20"/>
                <w:szCs w:val="20"/>
                <w:lang w:val="sl-SI"/>
              </w:rPr>
              <w:t>Viri sredstev so: Sklad za podnebne spremembe, kohezijska sredstva ali drugi viri</w:t>
            </w:r>
            <w:r w:rsidR="00B41997" w:rsidRPr="00FF207E">
              <w:rPr>
                <w:rFonts w:cs="Arial"/>
                <w:sz w:val="20"/>
                <w:szCs w:val="20"/>
                <w:lang w:val="sl-SI"/>
              </w:rPr>
              <w:t>.</w:t>
            </w:r>
          </w:p>
        </w:tc>
      </w:tr>
      <w:tr w:rsidR="007A5AB6" w:rsidRPr="00FF207E" w14:paraId="4A1D3CDB" w14:textId="77777777" w:rsidTr="0081647C">
        <w:tc>
          <w:tcPr>
            <w:tcW w:w="9062" w:type="dxa"/>
            <w:gridSpan w:val="3"/>
            <w:tcBorders>
              <w:top w:val="single" w:sz="4" w:space="0" w:color="548DD4" w:themeColor="text2" w:themeTint="99"/>
              <w:left w:val="nil"/>
              <w:bottom w:val="single" w:sz="4" w:space="0" w:color="548DD4" w:themeColor="text2" w:themeTint="99"/>
              <w:right w:val="nil"/>
            </w:tcBorders>
            <w:shd w:val="clear" w:color="auto" w:fill="DBE5F1" w:themeFill="accent1" w:themeFillTint="33"/>
          </w:tcPr>
          <w:p w14:paraId="48BB078B" w14:textId="77777777" w:rsidR="007A5AB6" w:rsidRPr="00FF207E" w:rsidRDefault="007A5AB6" w:rsidP="001E304B">
            <w:pPr>
              <w:keepNext/>
              <w:spacing w:before="40" w:after="40" w:line="240" w:lineRule="atLeast"/>
              <w:jc w:val="both"/>
              <w:rPr>
                <w:rFonts w:cs="Arial"/>
                <w:sz w:val="20"/>
                <w:szCs w:val="20"/>
                <w:lang w:val="sl-SI"/>
              </w:rPr>
            </w:pPr>
            <w:r w:rsidRPr="00FF207E">
              <w:rPr>
                <w:rFonts w:cs="Arial"/>
                <w:sz w:val="20"/>
                <w:szCs w:val="20"/>
                <w:lang w:val="sl-SI"/>
              </w:rPr>
              <w:t>Potek izvedbe</w:t>
            </w:r>
          </w:p>
        </w:tc>
      </w:tr>
      <w:tr w:rsidR="005134A7" w:rsidRPr="00FF207E" w14:paraId="0AA66032" w14:textId="77777777" w:rsidTr="00B07D4D">
        <w:tc>
          <w:tcPr>
            <w:tcW w:w="567" w:type="dxa"/>
            <w:vMerge w:val="restart"/>
            <w:tcBorders>
              <w:top w:val="single" w:sz="4" w:space="0" w:color="548DD4" w:themeColor="text2" w:themeTint="99"/>
              <w:left w:val="nil"/>
              <w:right w:val="single" w:sz="4" w:space="0" w:color="548DD4" w:themeColor="text2" w:themeTint="99"/>
            </w:tcBorders>
            <w:vAlign w:val="center"/>
          </w:tcPr>
          <w:p w14:paraId="021B2688" w14:textId="77777777" w:rsidR="005134A7" w:rsidRPr="00FF207E" w:rsidRDefault="005134A7" w:rsidP="001E304B">
            <w:pPr>
              <w:spacing w:line="240" w:lineRule="atLeast"/>
              <w:jc w:val="both"/>
              <w:rPr>
                <w:rFonts w:cs="Arial"/>
                <w:b/>
                <w:sz w:val="24"/>
                <w:lang w:val="sl-SI"/>
              </w:rPr>
            </w:pPr>
            <w:r w:rsidRPr="00FF207E">
              <w:rPr>
                <w:rFonts w:cs="Arial"/>
                <w:b/>
                <w:sz w:val="24"/>
                <w:lang w:val="sl-SI"/>
              </w:rPr>
              <w:t>1</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66A1D8B1" w14:textId="77777777" w:rsidR="005134A7" w:rsidRPr="00FF207E" w:rsidRDefault="005134A7"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6A02DB5D" w14:textId="34964FC8" w:rsidR="005134A7" w:rsidRPr="00FF207E" w:rsidRDefault="00B41997" w:rsidP="001E304B">
            <w:pPr>
              <w:spacing w:line="240" w:lineRule="atLeast"/>
              <w:jc w:val="both"/>
              <w:rPr>
                <w:rFonts w:cs="Arial"/>
                <w:sz w:val="20"/>
                <w:szCs w:val="20"/>
                <w:lang w:val="sl-SI"/>
              </w:rPr>
            </w:pPr>
            <w:r w:rsidRPr="00FF207E">
              <w:rPr>
                <w:rFonts w:cs="Arial"/>
                <w:sz w:val="20"/>
                <w:szCs w:val="20"/>
                <w:lang w:val="sl-SI"/>
              </w:rPr>
              <w:t>v</w:t>
            </w:r>
            <w:r w:rsidR="005134A7" w:rsidRPr="00FF207E">
              <w:rPr>
                <w:rFonts w:cs="Arial"/>
                <w:sz w:val="20"/>
                <w:szCs w:val="20"/>
                <w:lang w:val="sl-SI"/>
              </w:rPr>
              <w:t>zpostavitev vsaj enega centralnega kanala za informiranje članov neformalne mreže –</w:t>
            </w:r>
            <w:r w:rsidR="00EC4BCD" w:rsidRPr="00FF207E">
              <w:rPr>
                <w:rFonts w:cs="Arial"/>
                <w:sz w:val="20"/>
                <w:szCs w:val="20"/>
                <w:lang w:val="sl-SI"/>
              </w:rPr>
              <w:t xml:space="preserve"> seznam naslovov za pošiljanje</w:t>
            </w:r>
            <w:r w:rsidR="005134A7" w:rsidRPr="00FF207E">
              <w:rPr>
                <w:rFonts w:cs="Arial"/>
                <w:sz w:val="20"/>
                <w:szCs w:val="20"/>
                <w:lang w:val="sl-SI"/>
              </w:rPr>
              <w:t xml:space="preserve"> z vsemi člani neformalne mreže</w:t>
            </w:r>
          </w:p>
        </w:tc>
      </w:tr>
      <w:tr w:rsidR="005134A7" w:rsidRPr="00FF207E" w14:paraId="41400197" w14:textId="77777777" w:rsidTr="00B07D4D">
        <w:tc>
          <w:tcPr>
            <w:tcW w:w="567" w:type="dxa"/>
            <w:vMerge/>
            <w:tcBorders>
              <w:left w:val="nil"/>
              <w:right w:val="single" w:sz="4" w:space="0" w:color="548DD4" w:themeColor="text2" w:themeTint="99"/>
            </w:tcBorders>
          </w:tcPr>
          <w:p w14:paraId="2BC516BD" w14:textId="77777777" w:rsidR="005134A7" w:rsidRPr="00FF207E" w:rsidRDefault="005134A7"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3060975" w14:textId="77777777" w:rsidR="005134A7" w:rsidRPr="00FF207E" w:rsidRDefault="005134A7"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59A59B34" w14:textId="77777777" w:rsidR="005134A7" w:rsidRPr="00FF207E" w:rsidRDefault="005134A7" w:rsidP="001E304B">
            <w:pPr>
              <w:spacing w:line="240" w:lineRule="atLeast"/>
              <w:jc w:val="both"/>
              <w:rPr>
                <w:rFonts w:cs="Arial"/>
                <w:sz w:val="20"/>
                <w:szCs w:val="20"/>
                <w:lang w:val="sl-SI"/>
              </w:rPr>
            </w:pPr>
            <w:r w:rsidRPr="00FF207E">
              <w:rPr>
                <w:rFonts w:cs="Arial"/>
                <w:sz w:val="20"/>
                <w:szCs w:val="20"/>
                <w:lang w:val="sl-SI"/>
              </w:rPr>
              <w:t>projektna pisarna</w:t>
            </w:r>
          </w:p>
        </w:tc>
      </w:tr>
      <w:tr w:rsidR="005134A7" w:rsidRPr="00FF207E" w14:paraId="47B62AB4" w14:textId="77777777" w:rsidTr="00B07D4D">
        <w:tc>
          <w:tcPr>
            <w:tcW w:w="567" w:type="dxa"/>
            <w:vMerge/>
            <w:tcBorders>
              <w:left w:val="nil"/>
              <w:right w:val="single" w:sz="4" w:space="0" w:color="548DD4" w:themeColor="text2" w:themeTint="99"/>
            </w:tcBorders>
          </w:tcPr>
          <w:p w14:paraId="4F89E6AE" w14:textId="77777777" w:rsidR="005134A7" w:rsidRPr="00FF207E" w:rsidRDefault="005134A7"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78637F78" w14:textId="77777777" w:rsidR="005134A7" w:rsidRPr="00FF207E" w:rsidRDefault="005134A7"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C1E0BC4" w14:textId="77777777" w:rsidR="005134A7" w:rsidRPr="00FF207E" w:rsidRDefault="005134A7" w:rsidP="001E304B">
            <w:pPr>
              <w:spacing w:line="240" w:lineRule="atLeast"/>
              <w:jc w:val="both"/>
              <w:rPr>
                <w:rFonts w:cs="Arial"/>
                <w:sz w:val="20"/>
                <w:szCs w:val="20"/>
                <w:lang w:val="sl-SI"/>
              </w:rPr>
            </w:pPr>
            <w:r w:rsidRPr="00FF207E">
              <w:rPr>
                <w:rFonts w:cs="Arial"/>
                <w:sz w:val="20"/>
                <w:szCs w:val="20"/>
                <w:lang w:val="sl-SI"/>
              </w:rPr>
              <w:t>vsi člani neformalne mreže</w:t>
            </w:r>
          </w:p>
        </w:tc>
      </w:tr>
      <w:tr w:rsidR="0081647C" w:rsidRPr="00FF207E" w14:paraId="6FAEBCFF" w14:textId="77777777" w:rsidTr="0081647C">
        <w:tc>
          <w:tcPr>
            <w:tcW w:w="567" w:type="dxa"/>
            <w:vMerge/>
            <w:tcBorders>
              <w:left w:val="nil"/>
              <w:bottom w:val="single" w:sz="4" w:space="0" w:color="548DD4" w:themeColor="text2" w:themeTint="99"/>
              <w:right w:val="single" w:sz="4" w:space="0" w:color="548DD4" w:themeColor="text2" w:themeTint="99"/>
            </w:tcBorders>
          </w:tcPr>
          <w:p w14:paraId="329126B0" w14:textId="77777777" w:rsidR="0081647C" w:rsidRPr="00FF207E" w:rsidRDefault="0081647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05860BFA" w14:textId="77777777" w:rsidR="0081647C" w:rsidRPr="00FF207E" w:rsidRDefault="0081647C"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028627BA" w14:textId="30457DAF" w:rsidR="0081647C" w:rsidRPr="00FF207E" w:rsidRDefault="00A060CD" w:rsidP="001E304B">
            <w:pPr>
              <w:spacing w:line="240" w:lineRule="atLeast"/>
              <w:jc w:val="both"/>
              <w:rPr>
                <w:rFonts w:cs="Arial"/>
                <w:sz w:val="20"/>
                <w:szCs w:val="20"/>
                <w:lang w:val="sl-SI"/>
              </w:rPr>
            </w:pPr>
            <w:r w:rsidRPr="00FF207E">
              <w:rPr>
                <w:rFonts w:cs="Arial"/>
                <w:sz w:val="20"/>
                <w:szCs w:val="20"/>
                <w:lang w:val="sl-SI"/>
              </w:rPr>
              <w:t>2025</w:t>
            </w:r>
          </w:p>
        </w:tc>
      </w:tr>
      <w:tr w:rsidR="007A5AB6" w:rsidRPr="00FF207E" w14:paraId="01894241" w14:textId="77777777" w:rsidTr="0081647C">
        <w:tc>
          <w:tcPr>
            <w:tcW w:w="567" w:type="dxa"/>
            <w:vMerge w:val="restart"/>
            <w:tcBorders>
              <w:top w:val="single" w:sz="4" w:space="0" w:color="548DD4" w:themeColor="text2" w:themeTint="99"/>
              <w:left w:val="nil"/>
              <w:right w:val="single" w:sz="4" w:space="0" w:color="548DD4" w:themeColor="text2" w:themeTint="99"/>
            </w:tcBorders>
            <w:vAlign w:val="center"/>
          </w:tcPr>
          <w:p w14:paraId="5EB483D6" w14:textId="692CF895" w:rsidR="007A5AB6" w:rsidRPr="00FF207E" w:rsidRDefault="00EC37BC" w:rsidP="001E304B">
            <w:pPr>
              <w:spacing w:line="240" w:lineRule="atLeast"/>
              <w:jc w:val="both"/>
              <w:rPr>
                <w:rFonts w:cs="Arial"/>
                <w:b/>
                <w:sz w:val="24"/>
                <w:lang w:val="sl-SI"/>
              </w:rPr>
            </w:pPr>
            <w:r w:rsidRPr="00FF207E">
              <w:rPr>
                <w:rFonts w:cs="Arial"/>
                <w:b/>
                <w:sz w:val="24"/>
                <w:lang w:val="sl-SI"/>
              </w:rPr>
              <w:t>2</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4E328042" w14:textId="77777777" w:rsidR="007A5AB6" w:rsidRPr="00FF207E" w:rsidRDefault="007A5AB6"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026F43D0" w14:textId="057F7C82" w:rsidR="007A5AB6" w:rsidRPr="00FF207E" w:rsidRDefault="00B41997" w:rsidP="001E304B">
            <w:pPr>
              <w:spacing w:line="240" w:lineRule="atLeast"/>
              <w:jc w:val="both"/>
              <w:rPr>
                <w:rFonts w:cs="Arial"/>
                <w:sz w:val="20"/>
                <w:szCs w:val="20"/>
                <w:lang w:val="sl-SI"/>
              </w:rPr>
            </w:pPr>
            <w:r w:rsidRPr="00FF207E">
              <w:rPr>
                <w:rFonts w:cs="Arial"/>
                <w:sz w:val="20"/>
                <w:szCs w:val="20"/>
                <w:lang w:val="sl-SI"/>
              </w:rPr>
              <w:t>p</w:t>
            </w:r>
            <w:r w:rsidR="009A0642" w:rsidRPr="00FF207E">
              <w:rPr>
                <w:rFonts w:cs="Arial"/>
                <w:sz w:val="20"/>
                <w:szCs w:val="20"/>
                <w:lang w:val="sl-SI"/>
              </w:rPr>
              <w:t xml:space="preserve">riprava in izvedba </w:t>
            </w:r>
            <w:r w:rsidR="006F269C" w:rsidRPr="00FF207E">
              <w:rPr>
                <w:rFonts w:cs="Arial"/>
                <w:sz w:val="20"/>
                <w:szCs w:val="20"/>
                <w:lang w:val="sl-SI"/>
              </w:rPr>
              <w:t xml:space="preserve">rednih </w:t>
            </w:r>
            <w:r w:rsidR="009A0642" w:rsidRPr="00FF207E">
              <w:rPr>
                <w:sz w:val="20"/>
                <w:szCs w:val="20"/>
                <w:lang w:val="sl-SI"/>
              </w:rPr>
              <w:t>letnih</w:t>
            </w:r>
            <w:r w:rsidR="009A0642" w:rsidRPr="00FF207E">
              <w:rPr>
                <w:rFonts w:cs="Arial"/>
                <w:sz w:val="20"/>
                <w:szCs w:val="20"/>
                <w:lang w:val="sl-SI"/>
              </w:rPr>
              <w:t xml:space="preserve"> </w:t>
            </w:r>
            <w:r w:rsidR="00BE2C39" w:rsidRPr="00FF207E">
              <w:rPr>
                <w:rFonts w:cs="Arial"/>
                <w:sz w:val="20"/>
                <w:szCs w:val="20"/>
                <w:lang w:val="sl-SI"/>
              </w:rPr>
              <w:t>informiranj deležnikov iz pilotnih regij, vključno z vrednotenjem</w:t>
            </w:r>
            <w:r w:rsidR="001C6ABC" w:rsidRPr="00FF207E">
              <w:rPr>
                <w:rFonts w:cs="Arial"/>
                <w:sz w:val="20"/>
                <w:szCs w:val="20"/>
                <w:lang w:val="sl-SI"/>
              </w:rPr>
              <w:t xml:space="preserve"> teh usposabljanj</w:t>
            </w:r>
            <w:r w:rsidR="00BE2C39" w:rsidRPr="00FF207E">
              <w:rPr>
                <w:rFonts w:cs="Arial"/>
                <w:sz w:val="20"/>
                <w:szCs w:val="20"/>
                <w:lang w:val="sl-SI"/>
              </w:rPr>
              <w:t xml:space="preserve"> in </w:t>
            </w:r>
            <w:r w:rsidR="001C6ABC" w:rsidRPr="00FF207E">
              <w:rPr>
                <w:rFonts w:cs="Arial"/>
                <w:sz w:val="20"/>
                <w:szCs w:val="20"/>
                <w:lang w:val="sl-SI"/>
              </w:rPr>
              <w:t>prilagajanjem njihovih vsebin glede na ugotovljene potrebe neformalne mreže</w:t>
            </w:r>
          </w:p>
        </w:tc>
      </w:tr>
      <w:tr w:rsidR="007A5AB6" w:rsidRPr="00FF207E" w14:paraId="3A941BAB" w14:textId="77777777" w:rsidTr="00B44A4D">
        <w:tc>
          <w:tcPr>
            <w:tcW w:w="567" w:type="dxa"/>
            <w:vMerge/>
            <w:tcBorders>
              <w:left w:val="nil"/>
              <w:right w:val="single" w:sz="4" w:space="0" w:color="548DD4" w:themeColor="text2" w:themeTint="99"/>
            </w:tcBorders>
          </w:tcPr>
          <w:p w14:paraId="09BF7A3B" w14:textId="77777777" w:rsidR="007A5AB6" w:rsidRPr="00FF207E" w:rsidRDefault="007A5AB6"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1C0DFE7" w14:textId="77777777" w:rsidR="007A5AB6" w:rsidRPr="00FF207E" w:rsidRDefault="007A5AB6"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F5A69A8" w14:textId="56DA6430" w:rsidR="007A5AB6" w:rsidRPr="00FF207E" w:rsidRDefault="005134A7" w:rsidP="001E304B">
            <w:pPr>
              <w:spacing w:line="240" w:lineRule="atLeast"/>
              <w:jc w:val="both"/>
              <w:rPr>
                <w:rFonts w:cs="Arial"/>
                <w:sz w:val="20"/>
                <w:szCs w:val="20"/>
                <w:lang w:val="sl-SI"/>
              </w:rPr>
            </w:pPr>
            <w:r w:rsidRPr="00FF207E">
              <w:rPr>
                <w:rFonts w:cs="Arial"/>
                <w:sz w:val="20"/>
                <w:szCs w:val="20"/>
                <w:lang w:val="sl-SI"/>
              </w:rPr>
              <w:t>p</w:t>
            </w:r>
            <w:r w:rsidR="007A5AB6" w:rsidRPr="00FF207E">
              <w:rPr>
                <w:rFonts w:cs="Arial"/>
                <w:sz w:val="20"/>
                <w:szCs w:val="20"/>
                <w:lang w:val="sl-SI"/>
              </w:rPr>
              <w:t>rojektna pisarna</w:t>
            </w:r>
            <w:r w:rsidR="007A4271" w:rsidRPr="00FF207E">
              <w:rPr>
                <w:rFonts w:cs="Arial"/>
                <w:sz w:val="20"/>
                <w:szCs w:val="20"/>
                <w:lang w:val="sl-SI"/>
              </w:rPr>
              <w:t>, regionalne svetovalne točke</w:t>
            </w:r>
          </w:p>
        </w:tc>
      </w:tr>
      <w:tr w:rsidR="007A5AB6" w:rsidRPr="00FF207E" w14:paraId="2BC7FF43" w14:textId="77777777" w:rsidTr="00B44A4D">
        <w:tc>
          <w:tcPr>
            <w:tcW w:w="567" w:type="dxa"/>
            <w:vMerge/>
            <w:tcBorders>
              <w:left w:val="nil"/>
              <w:right w:val="single" w:sz="4" w:space="0" w:color="548DD4" w:themeColor="text2" w:themeTint="99"/>
            </w:tcBorders>
          </w:tcPr>
          <w:p w14:paraId="5EF63FAB" w14:textId="77777777" w:rsidR="007A5AB6" w:rsidRPr="00FF207E" w:rsidRDefault="007A5AB6"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27F56714" w14:textId="77777777" w:rsidR="007A5AB6" w:rsidRPr="00FF207E" w:rsidRDefault="007A5AB6"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C802995" w14:textId="030D2971" w:rsidR="007A5AB6" w:rsidRPr="00FF207E" w:rsidRDefault="005134A7" w:rsidP="001E304B">
            <w:pPr>
              <w:spacing w:line="240" w:lineRule="atLeast"/>
              <w:jc w:val="both"/>
              <w:rPr>
                <w:rFonts w:cs="Arial"/>
                <w:sz w:val="20"/>
                <w:szCs w:val="20"/>
                <w:lang w:val="sl-SI"/>
              </w:rPr>
            </w:pPr>
            <w:r w:rsidRPr="00FF207E">
              <w:rPr>
                <w:rFonts w:cs="Arial"/>
                <w:sz w:val="20"/>
                <w:szCs w:val="20"/>
                <w:lang w:val="sl-SI"/>
              </w:rPr>
              <w:t>v</w:t>
            </w:r>
            <w:r w:rsidR="007A5AB6" w:rsidRPr="00FF207E">
              <w:rPr>
                <w:rFonts w:cs="Arial"/>
                <w:sz w:val="20"/>
                <w:szCs w:val="20"/>
                <w:lang w:val="sl-SI"/>
              </w:rPr>
              <w:t>si člani neformalne mreže</w:t>
            </w:r>
          </w:p>
        </w:tc>
      </w:tr>
      <w:tr w:rsidR="0081647C" w:rsidRPr="00FF207E" w14:paraId="2A10511F" w14:textId="77777777" w:rsidTr="0081647C">
        <w:tc>
          <w:tcPr>
            <w:tcW w:w="567" w:type="dxa"/>
            <w:vMerge/>
            <w:tcBorders>
              <w:left w:val="nil"/>
              <w:bottom w:val="single" w:sz="4" w:space="0" w:color="548DD4" w:themeColor="text2" w:themeTint="99"/>
              <w:right w:val="single" w:sz="4" w:space="0" w:color="548DD4" w:themeColor="text2" w:themeTint="99"/>
            </w:tcBorders>
          </w:tcPr>
          <w:p w14:paraId="329887C8" w14:textId="77777777" w:rsidR="0081647C" w:rsidRPr="00FF207E" w:rsidRDefault="0081647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209DC05A" w14:textId="77777777" w:rsidR="0081647C" w:rsidRPr="00FF207E" w:rsidRDefault="0081647C"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5EE8F51D" w14:textId="2CEC8A13" w:rsidR="0081647C" w:rsidRPr="00FF207E" w:rsidRDefault="00A060CD" w:rsidP="001E304B">
            <w:pPr>
              <w:spacing w:line="240" w:lineRule="atLeast"/>
              <w:jc w:val="both"/>
              <w:rPr>
                <w:rFonts w:cs="Arial"/>
                <w:sz w:val="20"/>
                <w:szCs w:val="20"/>
                <w:lang w:val="sl-SI"/>
              </w:rPr>
            </w:pPr>
            <w:r w:rsidRPr="00FF207E">
              <w:rPr>
                <w:rFonts w:cs="Arial"/>
                <w:sz w:val="20"/>
                <w:szCs w:val="20"/>
                <w:lang w:val="sl-SI"/>
              </w:rPr>
              <w:t>priprava do 12/2026, izvedba 3/2027</w:t>
            </w:r>
          </w:p>
        </w:tc>
      </w:tr>
    </w:tbl>
    <w:p w14:paraId="79BECCF8" w14:textId="13E23793" w:rsidR="00D378A4" w:rsidRPr="00FF207E" w:rsidRDefault="00D378A4" w:rsidP="001E304B">
      <w:pPr>
        <w:pStyle w:val="Naslov2"/>
        <w:jc w:val="both"/>
        <w:rPr>
          <w:lang w:val="sl-SI"/>
        </w:rPr>
      </w:pPr>
      <w:bookmarkStart w:id="70" w:name="_Informiranje_in_ozaveščanje_1"/>
      <w:bookmarkStart w:id="71" w:name="_Toc151148794"/>
      <w:bookmarkEnd w:id="70"/>
      <w:r w:rsidRPr="00FF207E">
        <w:rPr>
          <w:lang w:val="sl-SI"/>
        </w:rPr>
        <w:t>Informiranje in ozaveščanje energetsko revnih</w:t>
      </w:r>
      <w:bookmarkEnd w:id="71"/>
    </w:p>
    <w:tbl>
      <w:tblPr>
        <w:tblStyle w:val="Tabelamrea"/>
        <w:tblW w:w="0" w:type="auto"/>
        <w:tblLook w:val="04A0" w:firstRow="1" w:lastRow="0" w:firstColumn="1" w:lastColumn="0" w:noHBand="0" w:noVBand="1"/>
      </w:tblPr>
      <w:tblGrid>
        <w:gridCol w:w="567"/>
        <w:gridCol w:w="2405"/>
        <w:gridCol w:w="6090"/>
      </w:tblGrid>
      <w:tr w:rsidR="00041132" w:rsidRPr="00FF207E" w14:paraId="0543D00A" w14:textId="77777777" w:rsidTr="00532098">
        <w:tc>
          <w:tcPr>
            <w:tcW w:w="2972" w:type="dxa"/>
            <w:gridSpan w:val="2"/>
            <w:tcBorders>
              <w:top w:val="nil"/>
              <w:left w:val="nil"/>
              <w:bottom w:val="nil"/>
              <w:right w:val="single" w:sz="4" w:space="0" w:color="548DD4" w:themeColor="text2" w:themeTint="99"/>
            </w:tcBorders>
            <w:shd w:val="clear" w:color="auto" w:fill="548DD4" w:themeFill="text2" w:themeFillTint="99"/>
            <w:vAlign w:val="center"/>
          </w:tcPr>
          <w:p w14:paraId="3CF0DED9" w14:textId="77777777" w:rsidR="00041132" w:rsidRPr="00FF207E" w:rsidRDefault="00041132" w:rsidP="001E304B">
            <w:pPr>
              <w:spacing w:before="40" w:after="40"/>
              <w:jc w:val="both"/>
              <w:rPr>
                <w:rFonts w:cs="Arial"/>
                <w:b/>
                <w:color w:val="FFFFFF" w:themeColor="background1"/>
                <w:lang w:val="sl-SI"/>
              </w:rPr>
            </w:pPr>
            <w:r w:rsidRPr="00FF207E">
              <w:rPr>
                <w:rFonts w:cs="Arial"/>
                <w:b/>
                <w:color w:val="FFFFFF" w:themeColor="background1"/>
                <w:lang w:val="sl-SI"/>
              </w:rPr>
              <w:t>ER_Shema-06</w:t>
            </w:r>
          </w:p>
        </w:tc>
        <w:tc>
          <w:tcPr>
            <w:tcW w:w="6090" w:type="dxa"/>
            <w:tcBorders>
              <w:top w:val="nil"/>
              <w:left w:val="single" w:sz="4" w:space="0" w:color="548DD4" w:themeColor="text2" w:themeTint="99"/>
              <w:bottom w:val="nil"/>
              <w:right w:val="nil"/>
            </w:tcBorders>
            <w:shd w:val="clear" w:color="auto" w:fill="548DD4" w:themeFill="text2" w:themeFillTint="99"/>
            <w:vAlign w:val="center"/>
          </w:tcPr>
          <w:p w14:paraId="7FA2026B" w14:textId="77777777" w:rsidR="00041132" w:rsidRPr="00FF207E" w:rsidRDefault="00041132" w:rsidP="001E304B">
            <w:pPr>
              <w:pStyle w:val="Naslov5"/>
              <w:jc w:val="both"/>
            </w:pPr>
            <w:bookmarkStart w:id="72" w:name="_Informiranje_in_ozaveščanje"/>
            <w:bookmarkEnd w:id="72"/>
            <w:r w:rsidRPr="00FF207E">
              <w:t>Informiranje in ozaveščanje energetsko revnih</w:t>
            </w:r>
          </w:p>
        </w:tc>
      </w:tr>
      <w:tr w:rsidR="00041132" w:rsidRPr="00FF207E" w14:paraId="6ED04CE0" w14:textId="77777777" w:rsidTr="00532098">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1590CB34" w14:textId="77777777" w:rsidR="00041132" w:rsidRPr="00FF207E" w:rsidRDefault="00041132" w:rsidP="001E304B">
            <w:pPr>
              <w:spacing w:before="60" w:after="60" w:line="240" w:lineRule="atLeast"/>
              <w:jc w:val="both"/>
              <w:rPr>
                <w:rFonts w:cs="Arial"/>
                <w:b/>
                <w:szCs w:val="22"/>
                <w:lang w:val="sl-SI"/>
              </w:rPr>
            </w:pPr>
            <w:r w:rsidRPr="00FF207E">
              <w:rPr>
                <w:rFonts w:cs="Arial"/>
                <w:b/>
                <w:szCs w:val="22"/>
                <w:lang w:val="sl-SI"/>
              </w:rPr>
              <w:t>Osnovne informacije</w:t>
            </w:r>
          </w:p>
        </w:tc>
      </w:tr>
      <w:tr w:rsidR="00041132" w:rsidRPr="00FF207E" w14:paraId="57619847" w14:textId="77777777" w:rsidTr="00532098">
        <w:tc>
          <w:tcPr>
            <w:tcW w:w="2972" w:type="dxa"/>
            <w:gridSpan w:val="2"/>
            <w:tcBorders>
              <w:top w:val="nil"/>
              <w:left w:val="nil"/>
              <w:bottom w:val="single" w:sz="4" w:space="0" w:color="548DD4" w:themeColor="text2" w:themeTint="99"/>
              <w:right w:val="single" w:sz="4" w:space="0" w:color="548DD4" w:themeColor="text2" w:themeTint="99"/>
            </w:tcBorders>
          </w:tcPr>
          <w:p w14:paraId="4822160D" w14:textId="77777777" w:rsidR="00041132" w:rsidRPr="00FF207E" w:rsidRDefault="00041132" w:rsidP="001E304B">
            <w:pPr>
              <w:spacing w:line="240" w:lineRule="atLeast"/>
              <w:jc w:val="both"/>
              <w:rPr>
                <w:rFonts w:cs="Arial"/>
                <w:spacing w:val="-4"/>
                <w:sz w:val="20"/>
                <w:szCs w:val="20"/>
                <w:lang w:val="sl-SI"/>
              </w:rPr>
            </w:pPr>
            <w:r w:rsidRPr="00FF207E">
              <w:rPr>
                <w:rFonts w:cs="Arial"/>
                <w:spacing w:val="-4"/>
                <w:sz w:val="20"/>
                <w:szCs w:val="20"/>
                <w:lang w:val="sl-SI"/>
              </w:rPr>
              <w:t>Odgovornost za izvedbo ukrepa</w:t>
            </w:r>
          </w:p>
        </w:tc>
        <w:tc>
          <w:tcPr>
            <w:tcW w:w="6090" w:type="dxa"/>
            <w:tcBorders>
              <w:top w:val="nil"/>
              <w:left w:val="single" w:sz="4" w:space="0" w:color="548DD4" w:themeColor="text2" w:themeTint="99"/>
              <w:bottom w:val="single" w:sz="4" w:space="0" w:color="548DD4" w:themeColor="text2" w:themeTint="99"/>
              <w:right w:val="nil"/>
            </w:tcBorders>
          </w:tcPr>
          <w:p w14:paraId="5EB4C11F" w14:textId="1CBB4CF5" w:rsidR="00041132" w:rsidRPr="00FF207E" w:rsidRDefault="00041132"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 (projektna pisarna), </w:t>
            </w:r>
            <w:r w:rsidR="001F3996" w:rsidRPr="00FF207E">
              <w:rPr>
                <w:rFonts w:cs="Arial"/>
                <w:sz w:val="20"/>
                <w:szCs w:val="20"/>
                <w:lang w:val="sl-SI"/>
              </w:rPr>
              <w:t>neformalna</w:t>
            </w:r>
            <w:r w:rsidRPr="00FF207E">
              <w:rPr>
                <w:rFonts w:cs="Arial"/>
                <w:sz w:val="20"/>
                <w:szCs w:val="20"/>
                <w:lang w:val="sl-SI"/>
              </w:rPr>
              <w:t xml:space="preserve"> mreža</w:t>
            </w:r>
            <w:r w:rsidR="001F3996" w:rsidRPr="00FF207E">
              <w:rPr>
                <w:rFonts w:cs="Arial"/>
                <w:sz w:val="20"/>
                <w:szCs w:val="20"/>
                <w:lang w:val="sl-SI"/>
              </w:rPr>
              <w:t xml:space="preserve"> za informiranje in ozaveščanje</w:t>
            </w:r>
          </w:p>
        </w:tc>
      </w:tr>
      <w:tr w:rsidR="00041132" w:rsidRPr="00FF207E" w14:paraId="06439DC5" w14:textId="77777777" w:rsidTr="00532098">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61BC9B6" w14:textId="77777777" w:rsidR="00041132" w:rsidRPr="00FF207E" w:rsidRDefault="00041132"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31636DE" w14:textId="06D83A55" w:rsidR="00041132" w:rsidRPr="00FF207E" w:rsidRDefault="00041132"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 LEA, humanitarne organizacije, občine </w:t>
            </w:r>
            <w:r w:rsidR="00B77973" w:rsidRPr="00FF207E">
              <w:rPr>
                <w:rFonts w:cs="Arial"/>
                <w:sz w:val="20"/>
                <w:szCs w:val="20"/>
                <w:lang w:val="sl-SI"/>
              </w:rPr>
              <w:t>in tako dalje</w:t>
            </w:r>
          </w:p>
        </w:tc>
      </w:tr>
      <w:tr w:rsidR="00041132" w:rsidRPr="00FF207E" w14:paraId="53023B57" w14:textId="77777777" w:rsidTr="00532098">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6B084E1B" w14:textId="77777777" w:rsidR="00041132" w:rsidRPr="00FF207E" w:rsidRDefault="00041132" w:rsidP="001E304B">
            <w:pPr>
              <w:spacing w:line="240" w:lineRule="atLeast"/>
              <w:jc w:val="both"/>
              <w:rPr>
                <w:rFonts w:cs="Arial"/>
                <w:sz w:val="20"/>
                <w:szCs w:val="20"/>
                <w:lang w:val="sl-SI"/>
              </w:rPr>
            </w:pPr>
            <w:r w:rsidRPr="00FF207E">
              <w:rPr>
                <w:rFonts w:cs="Arial"/>
                <w:sz w:val="20"/>
                <w:szCs w:val="20"/>
                <w:lang w:val="sl-SI"/>
              </w:rPr>
              <w:t>Strateške podlage in njihova veljavnost</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38A953D7" w14:textId="276B5CDF" w:rsidR="00041132" w:rsidRPr="00FF207E" w:rsidRDefault="00041132" w:rsidP="001E304B">
            <w:pPr>
              <w:spacing w:line="240" w:lineRule="atLeast"/>
              <w:jc w:val="both"/>
              <w:rPr>
                <w:rFonts w:cs="Arial"/>
                <w:sz w:val="20"/>
                <w:szCs w:val="20"/>
                <w:lang w:val="sl-SI"/>
              </w:rPr>
            </w:pPr>
            <w:r w:rsidRPr="00FF207E">
              <w:rPr>
                <w:rFonts w:cs="Arial"/>
                <w:sz w:val="20"/>
                <w:szCs w:val="20"/>
                <w:lang w:val="sl-SI"/>
              </w:rPr>
              <w:t xml:space="preserve">NEPN, veljavnost do </w:t>
            </w:r>
            <w:r w:rsidR="00DC2D26" w:rsidRPr="00FF207E">
              <w:rPr>
                <w:rFonts w:cs="Arial"/>
                <w:sz w:val="20"/>
                <w:szCs w:val="20"/>
                <w:lang w:val="sl-SI"/>
              </w:rPr>
              <w:t xml:space="preserve">leta </w:t>
            </w:r>
            <w:r w:rsidRPr="00FF207E">
              <w:rPr>
                <w:rFonts w:cs="Arial"/>
                <w:sz w:val="20"/>
                <w:szCs w:val="20"/>
                <w:lang w:val="sl-SI"/>
              </w:rPr>
              <w:t xml:space="preserve">2030 (ukrep </w:t>
            </w:r>
            <w:r w:rsidRPr="00FF207E">
              <w:rPr>
                <w:rFonts w:cs="Arial"/>
                <w:i/>
                <w:sz w:val="20"/>
                <w:szCs w:val="20"/>
                <w:lang w:val="sl-SI"/>
              </w:rPr>
              <w:t>Shema pomoči za učinkovito rabo energije v gospodinjstvih za ranljive skupine prebivalstva</w:t>
            </w:r>
            <w:r w:rsidRPr="00FF207E">
              <w:rPr>
                <w:rFonts w:cs="Arial"/>
                <w:sz w:val="20"/>
                <w:szCs w:val="20"/>
                <w:lang w:val="sl-SI"/>
              </w:rPr>
              <w:t>)</w:t>
            </w:r>
            <w:r w:rsidRPr="00FF207E">
              <w:rPr>
                <w:rFonts w:cs="Arial"/>
                <w:sz w:val="20"/>
                <w:szCs w:val="20"/>
                <w:lang w:val="sl-SI"/>
              </w:rPr>
              <w:br/>
              <w:t xml:space="preserve">DSEPS 2050, veljavnost do </w:t>
            </w:r>
            <w:r w:rsidR="00DC2D26" w:rsidRPr="00FF207E">
              <w:rPr>
                <w:rFonts w:cs="Arial"/>
                <w:sz w:val="20"/>
                <w:szCs w:val="20"/>
                <w:lang w:val="sl-SI"/>
              </w:rPr>
              <w:t xml:space="preserve">leta </w:t>
            </w:r>
            <w:r w:rsidRPr="00FF207E">
              <w:rPr>
                <w:rFonts w:cs="Arial"/>
                <w:sz w:val="20"/>
                <w:szCs w:val="20"/>
                <w:lang w:val="sl-SI"/>
              </w:rPr>
              <w:t xml:space="preserve">2030 (ukrep </w:t>
            </w:r>
            <w:r w:rsidRPr="00FF207E">
              <w:rPr>
                <w:rFonts w:cs="Arial"/>
                <w:i/>
                <w:sz w:val="20"/>
                <w:szCs w:val="20"/>
                <w:lang w:val="sl-SI"/>
              </w:rPr>
              <w:t>G-1</w:t>
            </w:r>
            <w:r w:rsidRPr="00FF207E">
              <w:rPr>
                <w:rFonts w:cs="Arial"/>
                <w:sz w:val="20"/>
                <w:szCs w:val="20"/>
                <w:lang w:val="sl-SI"/>
              </w:rPr>
              <w:t>)</w:t>
            </w:r>
          </w:p>
        </w:tc>
      </w:tr>
      <w:tr w:rsidR="00041132" w:rsidRPr="00FF207E" w14:paraId="62B56ED0" w14:textId="77777777" w:rsidTr="00532098">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17AB6973" w14:textId="77777777" w:rsidR="00041132" w:rsidRPr="00FF207E" w:rsidRDefault="00041132" w:rsidP="001E304B">
            <w:pPr>
              <w:spacing w:line="240" w:lineRule="atLeast"/>
              <w:jc w:val="both"/>
              <w:rPr>
                <w:rFonts w:cs="Arial"/>
                <w:sz w:val="20"/>
                <w:szCs w:val="20"/>
                <w:lang w:val="sl-SI"/>
              </w:rPr>
            </w:pPr>
            <w:r w:rsidRPr="00FF207E">
              <w:rPr>
                <w:rFonts w:cs="Arial"/>
                <w:sz w:val="20"/>
                <w:szCs w:val="20"/>
                <w:lang w:val="sl-SI"/>
              </w:rPr>
              <w:t>Veljavnost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5F92963" w14:textId="77777777" w:rsidR="00041132" w:rsidRPr="00FF207E" w:rsidRDefault="00041132" w:rsidP="001E304B">
            <w:pPr>
              <w:spacing w:line="240" w:lineRule="atLeast"/>
              <w:jc w:val="both"/>
              <w:rPr>
                <w:rFonts w:cs="Arial"/>
                <w:sz w:val="20"/>
                <w:szCs w:val="20"/>
                <w:lang w:val="sl-SI"/>
              </w:rPr>
            </w:pPr>
            <w:r w:rsidRPr="00FF207E">
              <w:rPr>
                <w:rFonts w:cs="Arial"/>
                <w:sz w:val="20"/>
                <w:szCs w:val="20"/>
                <w:lang w:val="sl-SI"/>
              </w:rPr>
              <w:t>2030</w:t>
            </w:r>
          </w:p>
        </w:tc>
      </w:tr>
      <w:tr w:rsidR="00041132" w:rsidRPr="00FF207E" w14:paraId="65A13CD2" w14:textId="77777777" w:rsidTr="00532098">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65691613" w14:textId="77777777" w:rsidR="00041132" w:rsidRPr="00FF207E" w:rsidRDefault="00041132" w:rsidP="001E304B">
            <w:pPr>
              <w:spacing w:line="240" w:lineRule="atLeast"/>
              <w:jc w:val="both"/>
              <w:rPr>
                <w:rFonts w:cs="Arial"/>
                <w:sz w:val="20"/>
                <w:szCs w:val="20"/>
                <w:lang w:val="sl-SI"/>
              </w:rPr>
            </w:pPr>
            <w:r w:rsidRPr="00FF207E">
              <w:rPr>
                <w:rFonts w:cs="Arial"/>
                <w:sz w:val="20"/>
                <w:szCs w:val="20"/>
                <w:lang w:val="sl-SI"/>
              </w:rPr>
              <w:t>Vrsta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B80C20E" w14:textId="77777777" w:rsidR="00041132" w:rsidRPr="00FF207E" w:rsidRDefault="00041132" w:rsidP="001E304B">
            <w:pPr>
              <w:spacing w:line="240" w:lineRule="atLeast"/>
              <w:jc w:val="both"/>
              <w:rPr>
                <w:rFonts w:cs="Arial"/>
                <w:sz w:val="20"/>
                <w:szCs w:val="20"/>
                <w:lang w:val="sl-SI"/>
              </w:rPr>
            </w:pPr>
            <w:r w:rsidRPr="00FF207E">
              <w:rPr>
                <w:rFonts w:cs="Arial"/>
                <w:sz w:val="20"/>
                <w:szCs w:val="20"/>
                <w:lang w:val="sl-SI"/>
              </w:rPr>
              <w:t>informiranje, ozaveščanje, usposabljanje</w:t>
            </w:r>
          </w:p>
        </w:tc>
      </w:tr>
      <w:tr w:rsidR="00041132" w:rsidRPr="00FF207E" w14:paraId="0D636222" w14:textId="77777777" w:rsidTr="00532098">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75A724CB" w14:textId="77777777" w:rsidR="00041132" w:rsidRPr="00FF207E" w:rsidRDefault="00041132" w:rsidP="001E304B">
            <w:pPr>
              <w:spacing w:line="240" w:lineRule="atLeast"/>
              <w:jc w:val="both"/>
              <w:rPr>
                <w:rFonts w:cs="Arial"/>
                <w:sz w:val="20"/>
                <w:szCs w:val="20"/>
                <w:lang w:val="sl-SI"/>
              </w:rPr>
            </w:pPr>
            <w:r w:rsidRPr="00FF207E">
              <w:rPr>
                <w:rFonts w:cs="Arial"/>
                <w:sz w:val="20"/>
                <w:szCs w:val="20"/>
                <w:lang w:val="sl-SI"/>
              </w:rPr>
              <w:t>Pričakovani učinki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83B7E27" w14:textId="30427DB6" w:rsidR="00041132" w:rsidRPr="00FF207E" w:rsidRDefault="00DC2D26" w:rsidP="001E304B">
            <w:pPr>
              <w:spacing w:line="240" w:lineRule="atLeast"/>
              <w:jc w:val="both"/>
              <w:rPr>
                <w:rFonts w:cs="Arial"/>
                <w:sz w:val="20"/>
                <w:szCs w:val="20"/>
                <w:lang w:val="sl-SI"/>
              </w:rPr>
            </w:pPr>
            <w:r w:rsidRPr="00FF207E">
              <w:rPr>
                <w:rFonts w:cs="Arial"/>
                <w:sz w:val="20"/>
                <w:szCs w:val="20"/>
                <w:lang w:val="sl-SI"/>
              </w:rPr>
              <w:t>E</w:t>
            </w:r>
            <w:r w:rsidR="008175B8" w:rsidRPr="00FF207E">
              <w:rPr>
                <w:rFonts w:cs="Arial"/>
                <w:sz w:val="20"/>
                <w:szCs w:val="20"/>
                <w:lang w:val="sl-SI"/>
              </w:rPr>
              <w:t>nergetsko revnim bodo vedno na voljo aktualne informacije o različnih možnostih za zmanjševanje energetske revščine</w:t>
            </w:r>
            <w:r w:rsidRPr="00FF207E">
              <w:rPr>
                <w:rFonts w:cs="Arial"/>
                <w:sz w:val="20"/>
                <w:szCs w:val="20"/>
                <w:lang w:val="sl-SI"/>
              </w:rPr>
              <w:t>.</w:t>
            </w:r>
          </w:p>
        </w:tc>
      </w:tr>
      <w:tr w:rsidR="00041132" w:rsidRPr="00FF207E" w14:paraId="0D7AA86F" w14:textId="77777777" w:rsidTr="00532098">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38B85C2A" w14:textId="77777777" w:rsidR="00041132" w:rsidRPr="00FF207E" w:rsidRDefault="00041132" w:rsidP="001E304B">
            <w:pPr>
              <w:spacing w:line="240" w:lineRule="atLeast"/>
              <w:jc w:val="both"/>
              <w:rPr>
                <w:rFonts w:cs="Arial"/>
                <w:sz w:val="20"/>
                <w:szCs w:val="20"/>
                <w:lang w:val="sl-SI"/>
              </w:rPr>
            </w:pPr>
            <w:r w:rsidRPr="00FF207E">
              <w:rPr>
                <w:rFonts w:cs="Arial"/>
                <w:sz w:val="20"/>
                <w:szCs w:val="20"/>
                <w:lang w:val="sl-SI"/>
              </w:rPr>
              <w:t>Status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13B47860" w14:textId="77777777" w:rsidR="00041132" w:rsidRPr="00FF207E" w:rsidRDefault="00041132" w:rsidP="001E304B">
            <w:pPr>
              <w:spacing w:line="240" w:lineRule="atLeast"/>
              <w:jc w:val="both"/>
              <w:rPr>
                <w:rFonts w:cs="Arial"/>
                <w:sz w:val="20"/>
                <w:szCs w:val="20"/>
                <w:lang w:val="sl-SI"/>
              </w:rPr>
            </w:pPr>
            <w:r w:rsidRPr="00FF207E">
              <w:rPr>
                <w:rFonts w:cs="Arial"/>
                <w:sz w:val="20"/>
                <w:szCs w:val="20"/>
                <w:lang w:val="sl-SI"/>
              </w:rPr>
              <w:t>nov ukrep</w:t>
            </w:r>
          </w:p>
        </w:tc>
      </w:tr>
      <w:tr w:rsidR="00041132" w:rsidRPr="00FF207E" w14:paraId="4D4B362D" w14:textId="77777777" w:rsidTr="00532098">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359C6E96" w14:textId="77777777" w:rsidR="00041132" w:rsidRPr="00FF207E" w:rsidRDefault="00041132" w:rsidP="001E304B">
            <w:pPr>
              <w:spacing w:before="60" w:after="60" w:line="240" w:lineRule="atLeast"/>
              <w:jc w:val="both"/>
              <w:rPr>
                <w:rFonts w:cs="Arial"/>
                <w:b/>
                <w:lang w:val="sl-SI"/>
              </w:rPr>
            </w:pPr>
            <w:r w:rsidRPr="00FF207E">
              <w:rPr>
                <w:rFonts w:cs="Arial"/>
                <w:b/>
                <w:lang w:val="sl-SI"/>
              </w:rPr>
              <w:t>Dolgoročna vsebina ukrepa</w:t>
            </w:r>
          </w:p>
        </w:tc>
      </w:tr>
      <w:tr w:rsidR="00041132" w:rsidRPr="00FF207E" w14:paraId="7BD1E2D4" w14:textId="77777777" w:rsidTr="00532098">
        <w:tc>
          <w:tcPr>
            <w:tcW w:w="9062" w:type="dxa"/>
            <w:gridSpan w:val="3"/>
            <w:tcBorders>
              <w:top w:val="single" w:sz="4" w:space="0" w:color="548DD4" w:themeColor="text2" w:themeTint="99"/>
              <w:left w:val="nil"/>
              <w:bottom w:val="single" w:sz="4" w:space="0" w:color="548DD4" w:themeColor="text2" w:themeTint="99"/>
              <w:right w:val="nil"/>
            </w:tcBorders>
          </w:tcPr>
          <w:p w14:paraId="596A3357" w14:textId="77777777" w:rsidR="00041132" w:rsidRPr="00FF207E" w:rsidRDefault="00041132" w:rsidP="001E304B">
            <w:pPr>
              <w:spacing w:line="240" w:lineRule="atLeast"/>
              <w:jc w:val="both"/>
              <w:rPr>
                <w:rFonts w:cs="Arial"/>
                <w:sz w:val="20"/>
                <w:szCs w:val="20"/>
                <w:lang w:val="sl-SI"/>
              </w:rPr>
            </w:pPr>
            <w:r w:rsidRPr="00FF207E">
              <w:rPr>
                <w:rFonts w:cs="Arial"/>
                <w:sz w:val="20"/>
                <w:szCs w:val="20"/>
                <w:lang w:val="sl-SI"/>
              </w:rPr>
              <w:t>V okviru ukrepa je treba dolgoročno:</w:t>
            </w:r>
          </w:p>
          <w:p w14:paraId="5A406606" w14:textId="25D672CF" w:rsidR="00041132" w:rsidRPr="00FF207E" w:rsidRDefault="00141E44" w:rsidP="001E304B">
            <w:pPr>
              <w:pStyle w:val="Odstavekseznama"/>
              <w:numPr>
                <w:ilvl w:val="0"/>
                <w:numId w:val="12"/>
              </w:numPr>
              <w:spacing w:line="240" w:lineRule="atLeast"/>
              <w:ind w:left="357" w:hanging="357"/>
              <w:jc w:val="both"/>
              <w:rPr>
                <w:rFonts w:cs="Arial"/>
                <w:sz w:val="20"/>
                <w:szCs w:val="20"/>
                <w:lang w:val="sl-SI"/>
              </w:rPr>
            </w:pPr>
            <w:r w:rsidRPr="00FF207E">
              <w:rPr>
                <w:rFonts w:cs="Arial"/>
                <w:sz w:val="20"/>
                <w:szCs w:val="20"/>
                <w:lang w:val="sl-SI"/>
              </w:rPr>
              <w:t xml:space="preserve">z oblikovanjem ustreznih komunikacijskih načrtov, informacijskih kanalov, kampanj </w:t>
            </w:r>
            <w:r w:rsidR="00B77973" w:rsidRPr="00FF207E">
              <w:rPr>
                <w:rFonts w:cs="Arial"/>
                <w:sz w:val="20"/>
                <w:szCs w:val="20"/>
                <w:lang w:val="sl-SI"/>
              </w:rPr>
              <w:t>in tako dalje</w:t>
            </w:r>
            <w:r w:rsidRPr="00FF207E">
              <w:rPr>
                <w:rFonts w:cs="Arial"/>
                <w:sz w:val="20"/>
                <w:szCs w:val="20"/>
                <w:lang w:val="sl-SI"/>
              </w:rPr>
              <w:t xml:space="preserve"> za različne ciljne skupine (upokojenci, enostarševska gospodinjstva </w:t>
            </w:r>
            <w:r w:rsidR="00B77973" w:rsidRPr="00FF207E">
              <w:rPr>
                <w:rFonts w:cs="Arial"/>
                <w:sz w:val="20"/>
                <w:szCs w:val="20"/>
                <w:lang w:val="sl-SI"/>
              </w:rPr>
              <w:t>in tako dalje</w:t>
            </w:r>
            <w:r w:rsidRPr="00FF207E">
              <w:rPr>
                <w:rFonts w:cs="Arial"/>
                <w:sz w:val="20"/>
                <w:szCs w:val="20"/>
                <w:lang w:val="sl-SI"/>
              </w:rPr>
              <w:t xml:space="preserve">) ustrezno </w:t>
            </w:r>
            <w:r w:rsidR="00041132" w:rsidRPr="00FF207E">
              <w:rPr>
                <w:rFonts w:cs="Arial"/>
                <w:b/>
                <w:sz w:val="20"/>
                <w:szCs w:val="20"/>
                <w:lang w:val="sl-SI"/>
              </w:rPr>
              <w:t xml:space="preserve">načrtovati </w:t>
            </w:r>
            <w:r w:rsidR="00DC2D26" w:rsidRPr="00FF207E">
              <w:rPr>
                <w:rFonts w:cs="Arial"/>
                <w:b/>
                <w:sz w:val="20"/>
                <w:szCs w:val="20"/>
                <w:lang w:val="sl-SI"/>
              </w:rPr>
              <w:t xml:space="preserve">ter </w:t>
            </w:r>
            <w:r w:rsidR="00041132" w:rsidRPr="00FF207E">
              <w:rPr>
                <w:rFonts w:cs="Arial"/>
                <w:b/>
                <w:sz w:val="20"/>
                <w:szCs w:val="20"/>
                <w:lang w:val="sl-SI"/>
              </w:rPr>
              <w:t>usklajeno izvajati informiranje in ozaveščanje</w:t>
            </w:r>
            <w:r w:rsidR="00041132" w:rsidRPr="00FF207E">
              <w:rPr>
                <w:rFonts w:cs="Arial"/>
                <w:sz w:val="20"/>
                <w:szCs w:val="20"/>
                <w:lang w:val="sl-SI"/>
              </w:rPr>
              <w:t xml:space="preserve"> energetsko revnih, da ne bo potekalo stihijsko</w:t>
            </w:r>
            <w:r w:rsidRPr="00FF207E">
              <w:rPr>
                <w:rFonts w:cs="Arial"/>
                <w:sz w:val="20"/>
                <w:szCs w:val="20"/>
                <w:lang w:val="sl-SI"/>
              </w:rPr>
              <w:t>;</w:t>
            </w:r>
          </w:p>
          <w:p w14:paraId="7396D0B7" w14:textId="070551A7" w:rsidR="00041132" w:rsidRPr="00FF207E" w:rsidRDefault="00041132" w:rsidP="001E304B">
            <w:pPr>
              <w:pStyle w:val="Odstavekseznama"/>
              <w:numPr>
                <w:ilvl w:val="0"/>
                <w:numId w:val="12"/>
              </w:numPr>
              <w:spacing w:line="240" w:lineRule="atLeast"/>
              <w:ind w:left="357" w:hanging="357"/>
              <w:jc w:val="both"/>
              <w:rPr>
                <w:rFonts w:cs="Arial"/>
                <w:sz w:val="20"/>
                <w:szCs w:val="20"/>
                <w:lang w:val="sl-SI"/>
              </w:rPr>
            </w:pPr>
            <w:r w:rsidRPr="00FF207E">
              <w:rPr>
                <w:rFonts w:cs="Arial"/>
                <w:b/>
                <w:sz w:val="20"/>
                <w:szCs w:val="20"/>
                <w:lang w:val="sl-SI"/>
              </w:rPr>
              <w:t>vključiti vse deležnike</w:t>
            </w:r>
            <w:r w:rsidRPr="00FF207E">
              <w:rPr>
                <w:rFonts w:cs="Arial"/>
                <w:sz w:val="20"/>
                <w:szCs w:val="20"/>
                <w:lang w:val="sl-SI"/>
              </w:rPr>
              <w:t xml:space="preserve"> v ustrezni način informiranja in ozaveščanja</w:t>
            </w:r>
            <w:r w:rsidR="00141E44" w:rsidRPr="00FF207E">
              <w:rPr>
                <w:rFonts w:cs="Arial"/>
                <w:sz w:val="20"/>
                <w:szCs w:val="20"/>
                <w:lang w:val="sl-SI"/>
              </w:rPr>
              <w:t xml:space="preserve"> energetsko revnih.</w:t>
            </w:r>
          </w:p>
        </w:tc>
      </w:tr>
      <w:tr w:rsidR="00041132" w:rsidRPr="00FF207E" w14:paraId="69F330D0" w14:textId="77777777" w:rsidTr="00532098">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3DF7E404" w14:textId="77777777" w:rsidR="00041132" w:rsidRPr="00FF207E" w:rsidRDefault="00041132" w:rsidP="001E304B">
            <w:pPr>
              <w:spacing w:before="60" w:after="60" w:line="240" w:lineRule="atLeast"/>
              <w:jc w:val="both"/>
              <w:rPr>
                <w:rFonts w:cs="Arial"/>
                <w:b/>
                <w:lang w:val="sl-SI"/>
              </w:rPr>
            </w:pPr>
            <w:r w:rsidRPr="00FF207E">
              <w:rPr>
                <w:rFonts w:cs="Arial"/>
                <w:b/>
                <w:lang w:val="sl-SI"/>
              </w:rPr>
              <w:t>Kratkoročna izvedba ukrepa v obdobju 2024–2026</w:t>
            </w:r>
          </w:p>
        </w:tc>
      </w:tr>
      <w:tr w:rsidR="008175B8" w:rsidRPr="00FF207E" w14:paraId="61033B3C" w14:textId="77777777" w:rsidTr="00532098">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31A480B8" w14:textId="77777777" w:rsidR="008175B8" w:rsidRPr="00FF207E" w:rsidRDefault="008175B8" w:rsidP="001E304B">
            <w:pPr>
              <w:spacing w:line="240" w:lineRule="atLeast"/>
              <w:jc w:val="both"/>
              <w:rPr>
                <w:rFonts w:cs="Arial"/>
                <w:sz w:val="20"/>
                <w:szCs w:val="20"/>
                <w:lang w:val="sl-SI"/>
              </w:rPr>
            </w:pPr>
            <w:r w:rsidRPr="00FF207E">
              <w:rPr>
                <w:rFonts w:cs="Arial"/>
                <w:sz w:val="20"/>
                <w:szCs w:val="20"/>
                <w:lang w:val="sl-SI"/>
              </w:rPr>
              <w:t>Kratkoročni cilj</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EEACE91" w14:textId="2EFF461E" w:rsidR="008175B8" w:rsidRPr="00FF207E" w:rsidRDefault="00397975" w:rsidP="001E304B">
            <w:pPr>
              <w:spacing w:line="240" w:lineRule="atLeast"/>
              <w:jc w:val="both"/>
              <w:rPr>
                <w:rFonts w:cs="Arial"/>
                <w:sz w:val="20"/>
                <w:szCs w:val="20"/>
                <w:lang w:val="sl-SI"/>
              </w:rPr>
            </w:pPr>
            <w:r w:rsidRPr="00FF207E">
              <w:rPr>
                <w:rFonts w:cs="Arial"/>
                <w:sz w:val="20"/>
                <w:szCs w:val="20"/>
                <w:lang w:val="sl-SI"/>
              </w:rPr>
              <w:t>Zagotoviti redno ozaveščanje in informiranje ljudi, ki jih pesti energetsk</w:t>
            </w:r>
            <w:r w:rsidR="00DC2D26" w:rsidRPr="00FF207E">
              <w:rPr>
                <w:rFonts w:cs="Arial"/>
                <w:sz w:val="20"/>
                <w:szCs w:val="20"/>
                <w:lang w:val="sl-SI"/>
              </w:rPr>
              <w:t>a</w:t>
            </w:r>
            <w:r w:rsidRPr="00FF207E">
              <w:rPr>
                <w:rFonts w:cs="Arial"/>
                <w:sz w:val="20"/>
                <w:szCs w:val="20"/>
                <w:lang w:val="sl-SI"/>
              </w:rPr>
              <w:t xml:space="preserve"> revščina, ter izvedba vsaj treh informacijsko-ozaveščevalnih kampanj v obdobju 2024–2026</w:t>
            </w:r>
            <w:r w:rsidR="009720D3" w:rsidRPr="00FF207E">
              <w:rPr>
                <w:rFonts w:cs="Arial"/>
                <w:sz w:val="20"/>
                <w:szCs w:val="20"/>
                <w:lang w:val="sl-SI"/>
              </w:rPr>
              <w:t xml:space="preserve">, </w:t>
            </w:r>
            <w:r w:rsidR="00E46B6C" w:rsidRPr="00FF207E">
              <w:rPr>
                <w:rFonts w:cs="Arial"/>
                <w:sz w:val="20"/>
                <w:szCs w:val="20"/>
                <w:lang w:val="sl-SI"/>
              </w:rPr>
              <w:t xml:space="preserve">vse </w:t>
            </w:r>
            <w:r w:rsidR="009720D3" w:rsidRPr="00FF207E">
              <w:rPr>
                <w:rFonts w:cs="Arial"/>
                <w:sz w:val="20"/>
                <w:szCs w:val="20"/>
                <w:lang w:val="sl-SI"/>
              </w:rPr>
              <w:t xml:space="preserve">z namenom povečanja letnega </w:t>
            </w:r>
            <w:r w:rsidR="00160A4C" w:rsidRPr="00FF207E">
              <w:rPr>
                <w:rFonts w:cs="Arial"/>
                <w:sz w:val="20"/>
                <w:szCs w:val="20"/>
                <w:lang w:val="sl-SI"/>
              </w:rPr>
              <w:t xml:space="preserve">števila energetsko revnih gospodinjstev z </w:t>
            </w:r>
            <w:r w:rsidR="009720D3" w:rsidRPr="00FF207E">
              <w:rPr>
                <w:rFonts w:cs="Arial"/>
                <w:sz w:val="20"/>
                <w:szCs w:val="20"/>
                <w:lang w:val="sl-SI"/>
              </w:rPr>
              <w:t>dodeljeni</w:t>
            </w:r>
            <w:r w:rsidR="00160A4C" w:rsidRPr="00FF207E">
              <w:rPr>
                <w:rFonts w:cs="Arial"/>
                <w:sz w:val="20"/>
                <w:szCs w:val="20"/>
                <w:lang w:val="sl-SI"/>
              </w:rPr>
              <w:t>mi</w:t>
            </w:r>
            <w:r w:rsidR="009720D3" w:rsidRPr="00FF207E">
              <w:rPr>
                <w:rFonts w:cs="Arial"/>
                <w:sz w:val="20"/>
                <w:szCs w:val="20"/>
                <w:lang w:val="sl-SI"/>
              </w:rPr>
              <w:t xml:space="preserve"> spodbud</w:t>
            </w:r>
            <w:r w:rsidR="00160A4C" w:rsidRPr="00FF207E">
              <w:rPr>
                <w:rFonts w:cs="Arial"/>
                <w:sz w:val="20"/>
                <w:szCs w:val="20"/>
                <w:lang w:val="sl-SI"/>
              </w:rPr>
              <w:t>ami</w:t>
            </w:r>
            <w:r w:rsidR="009720D3" w:rsidRPr="00FF207E">
              <w:rPr>
                <w:rFonts w:cs="Arial"/>
                <w:sz w:val="20"/>
                <w:szCs w:val="20"/>
                <w:lang w:val="sl-SI"/>
              </w:rPr>
              <w:t xml:space="preserve"> za različne namene v obdobju 2024–2026 v skladu s cilji v poglavju </w:t>
            </w:r>
            <w:r w:rsidR="009720D3" w:rsidRPr="00FF207E">
              <w:rPr>
                <w:rFonts w:cs="Arial"/>
                <w:sz w:val="20"/>
                <w:szCs w:val="20"/>
                <w:lang w:val="sl-SI"/>
              </w:rPr>
              <w:fldChar w:fldCharType="begin"/>
            </w:r>
            <w:r w:rsidR="009720D3" w:rsidRPr="00FF207E">
              <w:rPr>
                <w:rFonts w:cs="Arial"/>
                <w:sz w:val="20"/>
                <w:szCs w:val="20"/>
                <w:lang w:val="sl-SI"/>
              </w:rPr>
              <w:instrText xml:space="preserve"> REF _Ref137574115 \r \h </w:instrText>
            </w:r>
            <w:r w:rsidR="001E304B" w:rsidRPr="00FF207E">
              <w:rPr>
                <w:rFonts w:cs="Arial"/>
                <w:sz w:val="20"/>
                <w:szCs w:val="20"/>
                <w:lang w:val="sl-SI"/>
              </w:rPr>
              <w:instrText xml:space="preserve"> \* MERGEFORMAT </w:instrText>
            </w:r>
            <w:r w:rsidR="009720D3" w:rsidRPr="00FF207E">
              <w:rPr>
                <w:rFonts w:cs="Arial"/>
                <w:sz w:val="20"/>
                <w:szCs w:val="20"/>
                <w:lang w:val="sl-SI"/>
              </w:rPr>
            </w:r>
            <w:r w:rsidR="009720D3" w:rsidRPr="00FF207E">
              <w:rPr>
                <w:rFonts w:cs="Arial"/>
                <w:sz w:val="20"/>
                <w:szCs w:val="20"/>
                <w:lang w:val="sl-SI"/>
              </w:rPr>
              <w:fldChar w:fldCharType="separate"/>
            </w:r>
            <w:r w:rsidR="00F37FD1" w:rsidRPr="00FF207E">
              <w:rPr>
                <w:rFonts w:cs="Arial"/>
                <w:sz w:val="20"/>
                <w:szCs w:val="20"/>
                <w:lang w:val="sl-SI"/>
              </w:rPr>
              <w:t>2.2</w:t>
            </w:r>
            <w:r w:rsidR="009720D3" w:rsidRPr="00FF207E">
              <w:rPr>
                <w:rFonts w:cs="Arial"/>
                <w:sz w:val="20"/>
                <w:szCs w:val="20"/>
                <w:lang w:val="sl-SI"/>
              </w:rPr>
              <w:fldChar w:fldCharType="end"/>
            </w:r>
            <w:r w:rsidR="00DC2D26" w:rsidRPr="00FF207E">
              <w:rPr>
                <w:rFonts w:cs="Arial"/>
                <w:sz w:val="20"/>
                <w:szCs w:val="20"/>
                <w:lang w:val="sl-SI"/>
              </w:rPr>
              <w:t>.</w:t>
            </w:r>
          </w:p>
        </w:tc>
      </w:tr>
      <w:tr w:rsidR="008175B8" w:rsidRPr="00FF207E" w14:paraId="4027C03C" w14:textId="77777777" w:rsidTr="00532098">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4044D3B" w14:textId="77777777" w:rsidR="008175B8" w:rsidRPr="00FF207E" w:rsidRDefault="008175B8"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413A182" w14:textId="40DAC8DD" w:rsidR="008175B8" w:rsidRPr="00FF207E" w:rsidRDefault="00A060CD" w:rsidP="001E304B">
            <w:pPr>
              <w:spacing w:line="240" w:lineRule="atLeast"/>
              <w:jc w:val="both"/>
              <w:rPr>
                <w:rFonts w:cs="Arial"/>
                <w:sz w:val="20"/>
                <w:szCs w:val="20"/>
                <w:lang w:val="sl-SI"/>
              </w:rPr>
            </w:pPr>
            <w:r w:rsidRPr="00FF207E">
              <w:rPr>
                <w:rFonts w:cs="Arial"/>
                <w:sz w:val="20"/>
                <w:szCs w:val="20"/>
                <w:lang w:val="sl-SI"/>
              </w:rPr>
              <w:t>2026</w:t>
            </w:r>
          </w:p>
        </w:tc>
      </w:tr>
      <w:tr w:rsidR="008175B8" w:rsidRPr="00FF207E" w14:paraId="12220DAD" w14:textId="77777777" w:rsidTr="002513F9">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00686A0" w14:textId="4424DFE0" w:rsidR="008175B8" w:rsidRPr="00FF207E" w:rsidRDefault="007A4271" w:rsidP="001E304B">
            <w:pPr>
              <w:spacing w:line="240" w:lineRule="atLeast"/>
              <w:jc w:val="both"/>
              <w:rPr>
                <w:rFonts w:cs="Arial"/>
                <w:sz w:val="20"/>
                <w:szCs w:val="20"/>
                <w:lang w:val="sl-SI"/>
              </w:rPr>
            </w:pPr>
            <w:r w:rsidRPr="00FF207E">
              <w:rPr>
                <w:rFonts w:cs="Arial"/>
                <w:sz w:val="20"/>
                <w:szCs w:val="20"/>
                <w:lang w:val="sl-SI"/>
              </w:rPr>
              <w:t>Potrebna sredstva</w:t>
            </w:r>
            <w:r w:rsidR="00F4436A" w:rsidRPr="00FF207E">
              <w:rPr>
                <w:rFonts w:cs="Arial"/>
                <w:sz w:val="20"/>
                <w:szCs w:val="20"/>
                <w:lang w:val="sl-SI"/>
              </w:rPr>
              <w:t xml:space="preserve"> </w:t>
            </w:r>
            <w:r w:rsidRPr="00FF207E">
              <w:rPr>
                <w:rFonts w:cs="Arial"/>
                <w:sz w:val="20"/>
                <w:szCs w:val="20"/>
                <w:lang w:val="sl-SI"/>
              </w:rPr>
              <w:t>in viri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tcPr>
          <w:p w14:paraId="2DC41BAA" w14:textId="1231BB5A" w:rsidR="009A6E2F" w:rsidRPr="00FF207E" w:rsidRDefault="00086058" w:rsidP="002513F9">
            <w:pPr>
              <w:spacing w:before="60" w:line="240" w:lineRule="atLeast"/>
              <w:rPr>
                <w:rFonts w:cs="Arial"/>
                <w:sz w:val="20"/>
                <w:szCs w:val="20"/>
                <w:lang w:val="sl-SI"/>
              </w:rPr>
            </w:pPr>
            <w:r w:rsidRPr="00FF207E">
              <w:rPr>
                <w:rFonts w:cs="Arial"/>
                <w:sz w:val="20"/>
                <w:szCs w:val="20"/>
                <w:lang w:val="sl-SI"/>
              </w:rPr>
              <w:t>t</w:t>
            </w:r>
            <w:r w:rsidR="009A6E2F" w:rsidRPr="00FF207E">
              <w:rPr>
                <w:rFonts w:cs="Arial"/>
                <w:sz w:val="20"/>
                <w:szCs w:val="20"/>
                <w:lang w:val="sl-SI"/>
              </w:rPr>
              <w:t>abela 7</w:t>
            </w:r>
          </w:p>
          <w:p w14:paraId="2567973F" w14:textId="29FA6E9A" w:rsidR="008175B8" w:rsidRPr="00FF207E" w:rsidRDefault="007A4271" w:rsidP="002513F9">
            <w:pPr>
              <w:spacing w:before="60" w:line="240" w:lineRule="atLeast"/>
              <w:rPr>
                <w:rFonts w:cs="Arial"/>
                <w:sz w:val="20"/>
                <w:szCs w:val="20"/>
                <w:lang w:val="sl-SI"/>
              </w:rPr>
            </w:pPr>
            <w:r w:rsidRPr="00FF207E">
              <w:rPr>
                <w:rFonts w:cs="Arial"/>
                <w:sz w:val="20"/>
                <w:szCs w:val="20"/>
                <w:lang w:val="sl-SI"/>
              </w:rPr>
              <w:t>Viri sredstev so: Sklad za podnebne spremembe, kohezijska sredstva ali drugi viri</w:t>
            </w:r>
            <w:r w:rsidR="00DC2D26" w:rsidRPr="00FF207E">
              <w:rPr>
                <w:rFonts w:cs="Arial"/>
                <w:sz w:val="20"/>
                <w:szCs w:val="20"/>
                <w:lang w:val="sl-SI"/>
              </w:rPr>
              <w:t>.</w:t>
            </w:r>
          </w:p>
        </w:tc>
      </w:tr>
      <w:tr w:rsidR="00041132" w:rsidRPr="00FF207E" w14:paraId="49F9B702" w14:textId="77777777" w:rsidTr="000B42DC">
        <w:tc>
          <w:tcPr>
            <w:tcW w:w="9062" w:type="dxa"/>
            <w:gridSpan w:val="3"/>
            <w:tcBorders>
              <w:top w:val="single" w:sz="4" w:space="0" w:color="548DD4" w:themeColor="text2" w:themeTint="99"/>
              <w:left w:val="nil"/>
              <w:bottom w:val="single" w:sz="4" w:space="0" w:color="548DD4" w:themeColor="text2" w:themeTint="99"/>
              <w:right w:val="nil"/>
            </w:tcBorders>
            <w:shd w:val="clear" w:color="auto" w:fill="DBE5F1" w:themeFill="accent1" w:themeFillTint="33"/>
          </w:tcPr>
          <w:p w14:paraId="3F736BC2" w14:textId="77777777" w:rsidR="00041132" w:rsidRPr="00FF207E" w:rsidRDefault="00041132" w:rsidP="001E304B">
            <w:pPr>
              <w:spacing w:before="40" w:after="40" w:line="240" w:lineRule="atLeast"/>
              <w:jc w:val="both"/>
              <w:rPr>
                <w:rFonts w:cs="Arial"/>
                <w:sz w:val="20"/>
                <w:szCs w:val="20"/>
                <w:lang w:val="sl-SI"/>
              </w:rPr>
            </w:pPr>
            <w:r w:rsidRPr="00FF207E">
              <w:rPr>
                <w:rFonts w:cs="Arial"/>
                <w:sz w:val="20"/>
                <w:szCs w:val="20"/>
                <w:lang w:val="sl-SI"/>
              </w:rPr>
              <w:t>Potek izvedbe</w:t>
            </w:r>
          </w:p>
        </w:tc>
      </w:tr>
      <w:tr w:rsidR="008175B8" w:rsidRPr="00FF207E" w14:paraId="20B6F912" w14:textId="77777777" w:rsidTr="00B07D4D">
        <w:tc>
          <w:tcPr>
            <w:tcW w:w="567" w:type="dxa"/>
            <w:vMerge w:val="restart"/>
            <w:tcBorders>
              <w:top w:val="single" w:sz="4" w:space="0" w:color="548DD4" w:themeColor="text2" w:themeTint="99"/>
              <w:left w:val="nil"/>
              <w:right w:val="single" w:sz="4" w:space="0" w:color="548DD4" w:themeColor="text2" w:themeTint="99"/>
            </w:tcBorders>
            <w:vAlign w:val="center"/>
          </w:tcPr>
          <w:p w14:paraId="7C6ADFF6" w14:textId="77777777" w:rsidR="008175B8" w:rsidRPr="00FF207E" w:rsidRDefault="008175B8" w:rsidP="001E304B">
            <w:pPr>
              <w:spacing w:line="240" w:lineRule="atLeast"/>
              <w:jc w:val="both"/>
              <w:rPr>
                <w:rFonts w:cs="Arial"/>
                <w:b/>
                <w:sz w:val="24"/>
                <w:lang w:val="sl-SI"/>
              </w:rPr>
            </w:pPr>
            <w:r w:rsidRPr="00FF207E">
              <w:rPr>
                <w:rFonts w:cs="Arial"/>
                <w:b/>
                <w:sz w:val="24"/>
                <w:lang w:val="sl-SI"/>
              </w:rPr>
              <w:t>1</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2B1EE644" w14:textId="77777777" w:rsidR="008175B8" w:rsidRPr="00FF207E" w:rsidRDefault="008175B8"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5B7488F5" w14:textId="48E12679" w:rsidR="008175B8" w:rsidRPr="00FF207E" w:rsidRDefault="00DC2D26" w:rsidP="001E304B">
            <w:pPr>
              <w:spacing w:line="240" w:lineRule="atLeast"/>
              <w:jc w:val="both"/>
              <w:rPr>
                <w:rFonts w:cs="Arial"/>
                <w:sz w:val="20"/>
                <w:szCs w:val="20"/>
                <w:lang w:val="sl-SI"/>
              </w:rPr>
            </w:pPr>
            <w:r w:rsidRPr="00FF207E">
              <w:rPr>
                <w:rFonts w:cs="Arial"/>
                <w:sz w:val="20"/>
                <w:szCs w:val="20"/>
                <w:lang w:val="sl-SI"/>
              </w:rPr>
              <w:t>p</w:t>
            </w:r>
            <w:r w:rsidR="00381CC3" w:rsidRPr="00FF207E">
              <w:rPr>
                <w:rFonts w:cs="Arial"/>
                <w:sz w:val="20"/>
                <w:szCs w:val="20"/>
                <w:lang w:val="sl-SI"/>
              </w:rPr>
              <w:t>riprava komunikacijskega načrta za informiranje energetsko revnih</w:t>
            </w:r>
            <w:r w:rsidR="008175B8" w:rsidRPr="00FF207E">
              <w:rPr>
                <w:rFonts w:cs="Arial"/>
                <w:sz w:val="20"/>
                <w:szCs w:val="20"/>
                <w:lang w:val="sl-SI"/>
              </w:rPr>
              <w:t xml:space="preserve">, vključno z izbiro informacijskih kanalov, oblikovanjem kampanj </w:t>
            </w:r>
            <w:r w:rsidR="00B77973" w:rsidRPr="00FF207E">
              <w:rPr>
                <w:rFonts w:cs="Arial"/>
                <w:sz w:val="20"/>
                <w:szCs w:val="20"/>
                <w:lang w:val="sl-SI"/>
              </w:rPr>
              <w:t>in tako dalje</w:t>
            </w:r>
            <w:r w:rsidR="008175B8" w:rsidRPr="00FF207E">
              <w:rPr>
                <w:rFonts w:cs="Arial"/>
                <w:sz w:val="20"/>
                <w:szCs w:val="20"/>
                <w:lang w:val="sl-SI"/>
              </w:rPr>
              <w:t xml:space="preserve">, za različne ciljne skupine (upokojenci, enostarševska gospodinjstva </w:t>
            </w:r>
            <w:r w:rsidR="00B77973" w:rsidRPr="00FF207E">
              <w:rPr>
                <w:rFonts w:cs="Arial"/>
                <w:sz w:val="20"/>
                <w:szCs w:val="20"/>
                <w:lang w:val="sl-SI"/>
              </w:rPr>
              <w:t>in tako dalje</w:t>
            </w:r>
            <w:r w:rsidR="008175B8" w:rsidRPr="00FF207E">
              <w:rPr>
                <w:rFonts w:cs="Arial"/>
                <w:sz w:val="20"/>
                <w:szCs w:val="20"/>
                <w:lang w:val="sl-SI"/>
              </w:rPr>
              <w:t>)</w:t>
            </w:r>
          </w:p>
        </w:tc>
      </w:tr>
      <w:tr w:rsidR="008175B8" w:rsidRPr="00FF207E" w14:paraId="4EB6E526" w14:textId="77777777" w:rsidTr="00B07D4D">
        <w:tc>
          <w:tcPr>
            <w:tcW w:w="567" w:type="dxa"/>
            <w:vMerge/>
            <w:tcBorders>
              <w:left w:val="nil"/>
              <w:right w:val="single" w:sz="4" w:space="0" w:color="548DD4" w:themeColor="text2" w:themeTint="99"/>
            </w:tcBorders>
          </w:tcPr>
          <w:p w14:paraId="267DE7C1" w14:textId="77777777" w:rsidR="008175B8" w:rsidRPr="00FF207E" w:rsidRDefault="008175B8"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730A424" w14:textId="77777777" w:rsidR="008175B8" w:rsidRPr="00FF207E" w:rsidRDefault="008175B8"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3015C86E" w14:textId="46187701" w:rsidR="008175B8" w:rsidRPr="00FF207E" w:rsidRDefault="008175B8" w:rsidP="001E304B">
            <w:pPr>
              <w:spacing w:line="240" w:lineRule="atLeast"/>
              <w:jc w:val="both"/>
              <w:rPr>
                <w:rFonts w:cs="Arial"/>
                <w:sz w:val="20"/>
                <w:szCs w:val="20"/>
                <w:lang w:val="sl-SI"/>
              </w:rPr>
            </w:pPr>
            <w:r w:rsidRPr="00FF207E">
              <w:rPr>
                <w:rFonts w:cs="Arial"/>
                <w:sz w:val="20"/>
                <w:szCs w:val="20"/>
                <w:lang w:val="sl-SI"/>
              </w:rPr>
              <w:t>projektna pisarna</w:t>
            </w:r>
            <w:r w:rsidR="00E46B6C" w:rsidRPr="00FF207E">
              <w:rPr>
                <w:rFonts w:cs="Arial"/>
                <w:sz w:val="20"/>
                <w:szCs w:val="20"/>
                <w:lang w:val="sl-SI"/>
              </w:rPr>
              <w:t>, regionalne svetovalne točke kot regionalni koordinatorji neformalne mreže</w:t>
            </w:r>
          </w:p>
        </w:tc>
      </w:tr>
      <w:tr w:rsidR="008175B8" w:rsidRPr="00FF207E" w14:paraId="574235A9" w14:textId="77777777" w:rsidTr="00B07D4D">
        <w:tc>
          <w:tcPr>
            <w:tcW w:w="567" w:type="dxa"/>
            <w:vMerge/>
            <w:tcBorders>
              <w:left w:val="nil"/>
              <w:right w:val="single" w:sz="4" w:space="0" w:color="548DD4" w:themeColor="text2" w:themeTint="99"/>
            </w:tcBorders>
          </w:tcPr>
          <w:p w14:paraId="5981BDB1" w14:textId="77777777" w:rsidR="008175B8" w:rsidRPr="00FF207E" w:rsidRDefault="008175B8"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15715CD" w14:textId="77777777" w:rsidR="008175B8" w:rsidRPr="00FF207E" w:rsidRDefault="008175B8"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64EC45E4" w14:textId="77777777" w:rsidR="008175B8" w:rsidRPr="00FF207E" w:rsidRDefault="008175B8" w:rsidP="001E304B">
            <w:pPr>
              <w:spacing w:line="240" w:lineRule="atLeast"/>
              <w:jc w:val="both"/>
              <w:rPr>
                <w:rFonts w:cs="Arial"/>
                <w:sz w:val="20"/>
                <w:szCs w:val="20"/>
                <w:lang w:val="sl-SI"/>
              </w:rPr>
            </w:pPr>
            <w:r w:rsidRPr="00FF207E">
              <w:rPr>
                <w:rFonts w:cs="Arial"/>
                <w:sz w:val="20"/>
                <w:szCs w:val="20"/>
                <w:lang w:val="sl-SI"/>
              </w:rPr>
              <w:t>vsi člani neformalne mreže</w:t>
            </w:r>
          </w:p>
        </w:tc>
      </w:tr>
      <w:tr w:rsidR="0081647C" w:rsidRPr="00FF207E" w14:paraId="152706DE" w14:textId="77777777" w:rsidTr="000B42DC">
        <w:tc>
          <w:tcPr>
            <w:tcW w:w="567" w:type="dxa"/>
            <w:vMerge/>
            <w:tcBorders>
              <w:left w:val="nil"/>
              <w:bottom w:val="single" w:sz="4" w:space="0" w:color="548DD4" w:themeColor="text2" w:themeTint="99"/>
              <w:right w:val="single" w:sz="4" w:space="0" w:color="548DD4" w:themeColor="text2" w:themeTint="99"/>
            </w:tcBorders>
          </w:tcPr>
          <w:p w14:paraId="22117B93" w14:textId="77777777" w:rsidR="0081647C" w:rsidRPr="00FF207E" w:rsidRDefault="0081647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13BE6E74" w14:textId="77777777" w:rsidR="0081647C" w:rsidRPr="00FF207E" w:rsidRDefault="0081647C"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0BA00686" w14:textId="64D4CB15" w:rsidR="0081647C" w:rsidRPr="00FF207E" w:rsidRDefault="00A060CD" w:rsidP="001E304B">
            <w:pPr>
              <w:spacing w:line="240" w:lineRule="atLeast"/>
              <w:jc w:val="both"/>
              <w:rPr>
                <w:rFonts w:cs="Arial"/>
                <w:sz w:val="20"/>
                <w:szCs w:val="20"/>
                <w:lang w:val="sl-SI"/>
              </w:rPr>
            </w:pPr>
            <w:r w:rsidRPr="00FF207E">
              <w:rPr>
                <w:rFonts w:cs="Arial"/>
                <w:sz w:val="20"/>
                <w:szCs w:val="20"/>
                <w:lang w:val="sl-SI"/>
              </w:rPr>
              <w:t>2026</w:t>
            </w:r>
          </w:p>
        </w:tc>
      </w:tr>
      <w:tr w:rsidR="008175B8" w:rsidRPr="00FF207E" w14:paraId="2C6CE5D5" w14:textId="77777777" w:rsidTr="000B42DC">
        <w:tc>
          <w:tcPr>
            <w:tcW w:w="567" w:type="dxa"/>
            <w:vMerge w:val="restart"/>
            <w:tcBorders>
              <w:top w:val="single" w:sz="4" w:space="0" w:color="548DD4" w:themeColor="text2" w:themeTint="99"/>
              <w:left w:val="nil"/>
              <w:right w:val="single" w:sz="4" w:space="0" w:color="548DD4" w:themeColor="text2" w:themeTint="99"/>
            </w:tcBorders>
            <w:vAlign w:val="center"/>
          </w:tcPr>
          <w:p w14:paraId="0BEEB726" w14:textId="51449A5E" w:rsidR="008175B8" w:rsidRPr="00FF207E" w:rsidRDefault="008175B8" w:rsidP="001E304B">
            <w:pPr>
              <w:spacing w:line="240" w:lineRule="atLeast"/>
              <w:jc w:val="both"/>
              <w:rPr>
                <w:rFonts w:cs="Arial"/>
                <w:b/>
                <w:sz w:val="24"/>
                <w:lang w:val="sl-SI"/>
              </w:rPr>
            </w:pPr>
            <w:r w:rsidRPr="00FF207E">
              <w:rPr>
                <w:rFonts w:cs="Arial"/>
                <w:b/>
                <w:sz w:val="24"/>
                <w:lang w:val="sl-SI"/>
              </w:rPr>
              <w:t>2</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5FF4E41A" w14:textId="77777777" w:rsidR="008175B8" w:rsidRPr="00FF207E" w:rsidRDefault="008175B8"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50DF953B" w14:textId="008DB9EA" w:rsidR="008175B8" w:rsidRPr="00FF207E" w:rsidRDefault="003D173E" w:rsidP="001E304B">
            <w:pPr>
              <w:spacing w:line="240" w:lineRule="atLeast"/>
              <w:jc w:val="both"/>
              <w:rPr>
                <w:rFonts w:cs="Arial"/>
                <w:sz w:val="20"/>
                <w:szCs w:val="20"/>
                <w:lang w:val="sl-SI"/>
              </w:rPr>
            </w:pPr>
            <w:r w:rsidRPr="00FF207E">
              <w:rPr>
                <w:rFonts w:cs="Arial"/>
                <w:sz w:val="20"/>
                <w:szCs w:val="20"/>
                <w:lang w:val="sl-SI"/>
              </w:rPr>
              <w:t>i</w:t>
            </w:r>
            <w:r w:rsidR="00381CC3" w:rsidRPr="00FF207E">
              <w:rPr>
                <w:rFonts w:cs="Arial"/>
                <w:sz w:val="20"/>
                <w:szCs w:val="20"/>
                <w:lang w:val="sl-SI"/>
              </w:rPr>
              <w:t xml:space="preserve">zvedba testne kampanje </w:t>
            </w:r>
            <w:r w:rsidR="008175B8" w:rsidRPr="00FF207E">
              <w:rPr>
                <w:rFonts w:cs="Arial"/>
                <w:sz w:val="20"/>
                <w:szCs w:val="20"/>
                <w:lang w:val="sl-SI"/>
              </w:rPr>
              <w:t>v skladu z načrtom dela in komunikacijskim načrtom mreže</w:t>
            </w:r>
          </w:p>
        </w:tc>
      </w:tr>
      <w:tr w:rsidR="008175B8" w:rsidRPr="00FF207E" w14:paraId="6B81B727" w14:textId="77777777" w:rsidTr="00B44A4D">
        <w:tc>
          <w:tcPr>
            <w:tcW w:w="567" w:type="dxa"/>
            <w:vMerge/>
            <w:tcBorders>
              <w:left w:val="nil"/>
              <w:right w:val="single" w:sz="4" w:space="0" w:color="548DD4" w:themeColor="text2" w:themeTint="99"/>
            </w:tcBorders>
          </w:tcPr>
          <w:p w14:paraId="68B9D758" w14:textId="77777777" w:rsidR="008175B8" w:rsidRPr="00FF207E" w:rsidRDefault="008175B8"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C87494C" w14:textId="77777777" w:rsidR="008175B8" w:rsidRPr="00FF207E" w:rsidRDefault="008175B8"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D13CBE4" w14:textId="47DD776E" w:rsidR="008175B8" w:rsidRPr="00FF207E" w:rsidRDefault="00E46B6C" w:rsidP="001E304B">
            <w:pPr>
              <w:spacing w:line="240" w:lineRule="atLeast"/>
              <w:jc w:val="both"/>
              <w:rPr>
                <w:rFonts w:cs="Arial"/>
                <w:sz w:val="20"/>
                <w:szCs w:val="20"/>
                <w:lang w:val="sl-SI"/>
              </w:rPr>
            </w:pPr>
            <w:r w:rsidRPr="00FF207E">
              <w:rPr>
                <w:rFonts w:cs="Arial"/>
                <w:sz w:val="20"/>
                <w:szCs w:val="20"/>
                <w:lang w:val="sl-SI"/>
              </w:rPr>
              <w:t>projektna pisarna, regionalne svetovalne točke kot regionalni koordinatorji neformalne mreže</w:t>
            </w:r>
          </w:p>
        </w:tc>
      </w:tr>
      <w:tr w:rsidR="008175B8" w:rsidRPr="00FF207E" w14:paraId="0938C5BA" w14:textId="77777777" w:rsidTr="00B44A4D">
        <w:tc>
          <w:tcPr>
            <w:tcW w:w="567" w:type="dxa"/>
            <w:vMerge/>
            <w:tcBorders>
              <w:left w:val="nil"/>
              <w:right w:val="single" w:sz="4" w:space="0" w:color="548DD4" w:themeColor="text2" w:themeTint="99"/>
            </w:tcBorders>
          </w:tcPr>
          <w:p w14:paraId="6A5C3E63" w14:textId="77777777" w:rsidR="008175B8" w:rsidRPr="00FF207E" w:rsidRDefault="008175B8"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FD25978" w14:textId="77777777" w:rsidR="008175B8" w:rsidRPr="00FF207E" w:rsidRDefault="008175B8"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73BF33F2" w14:textId="608315D1" w:rsidR="008175B8" w:rsidRPr="00FF207E" w:rsidRDefault="008175B8" w:rsidP="001E304B">
            <w:pPr>
              <w:spacing w:line="240" w:lineRule="atLeast"/>
              <w:jc w:val="both"/>
              <w:rPr>
                <w:rFonts w:cs="Arial"/>
                <w:sz w:val="20"/>
                <w:szCs w:val="20"/>
                <w:lang w:val="sl-SI"/>
              </w:rPr>
            </w:pPr>
            <w:r w:rsidRPr="00FF207E">
              <w:rPr>
                <w:rFonts w:cs="Arial"/>
                <w:sz w:val="20"/>
                <w:szCs w:val="20"/>
                <w:lang w:val="sl-SI"/>
              </w:rPr>
              <w:t>člani neformalne mreže</w:t>
            </w:r>
          </w:p>
        </w:tc>
      </w:tr>
      <w:tr w:rsidR="0081647C" w:rsidRPr="00FF207E" w14:paraId="6A3AF1D3" w14:textId="77777777" w:rsidTr="000B42DC">
        <w:tc>
          <w:tcPr>
            <w:tcW w:w="567" w:type="dxa"/>
            <w:vMerge/>
            <w:tcBorders>
              <w:left w:val="nil"/>
              <w:bottom w:val="single" w:sz="4" w:space="0" w:color="548DD4" w:themeColor="text2" w:themeTint="99"/>
              <w:right w:val="single" w:sz="4" w:space="0" w:color="548DD4" w:themeColor="text2" w:themeTint="99"/>
            </w:tcBorders>
          </w:tcPr>
          <w:p w14:paraId="620618F4" w14:textId="77777777" w:rsidR="0081647C" w:rsidRPr="00FF207E" w:rsidRDefault="0081647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1EF8452C" w14:textId="77777777" w:rsidR="0081647C" w:rsidRPr="00FF207E" w:rsidRDefault="0081647C"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35827E7B" w14:textId="3C717DE6" w:rsidR="0081647C" w:rsidRPr="00FF207E" w:rsidRDefault="00A060CD" w:rsidP="001E304B">
            <w:pPr>
              <w:spacing w:line="240" w:lineRule="atLeast"/>
              <w:jc w:val="both"/>
              <w:rPr>
                <w:rFonts w:cs="Arial"/>
                <w:sz w:val="20"/>
                <w:szCs w:val="20"/>
                <w:lang w:val="sl-SI"/>
              </w:rPr>
            </w:pPr>
            <w:r w:rsidRPr="00FF207E">
              <w:rPr>
                <w:rFonts w:cs="Arial"/>
                <w:sz w:val="20"/>
                <w:szCs w:val="20"/>
                <w:lang w:val="sl-SI"/>
              </w:rPr>
              <w:t>2026</w:t>
            </w:r>
          </w:p>
        </w:tc>
      </w:tr>
      <w:tr w:rsidR="008175B8" w:rsidRPr="00FF207E" w14:paraId="75D6AFF0" w14:textId="77777777" w:rsidTr="000B42DC">
        <w:tc>
          <w:tcPr>
            <w:tcW w:w="567" w:type="dxa"/>
            <w:vMerge w:val="restart"/>
            <w:tcBorders>
              <w:top w:val="single" w:sz="4" w:space="0" w:color="548DD4" w:themeColor="text2" w:themeTint="99"/>
              <w:left w:val="nil"/>
              <w:right w:val="single" w:sz="4" w:space="0" w:color="548DD4" w:themeColor="text2" w:themeTint="99"/>
            </w:tcBorders>
            <w:vAlign w:val="center"/>
          </w:tcPr>
          <w:p w14:paraId="055589AE" w14:textId="3569D29E" w:rsidR="008175B8" w:rsidRPr="00FF207E" w:rsidRDefault="008175B8" w:rsidP="001E304B">
            <w:pPr>
              <w:spacing w:line="240" w:lineRule="atLeast"/>
              <w:jc w:val="both"/>
              <w:rPr>
                <w:rFonts w:cs="Arial"/>
                <w:b/>
                <w:sz w:val="24"/>
                <w:lang w:val="sl-SI"/>
              </w:rPr>
            </w:pPr>
            <w:r w:rsidRPr="00FF207E">
              <w:rPr>
                <w:rFonts w:cs="Arial"/>
                <w:b/>
                <w:sz w:val="24"/>
                <w:lang w:val="sl-SI"/>
              </w:rPr>
              <w:t>3</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3D8F7895" w14:textId="77777777" w:rsidR="008175B8" w:rsidRPr="00FF207E" w:rsidRDefault="008175B8"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4411B196" w14:textId="2C07E93A" w:rsidR="008175B8" w:rsidRPr="00FF207E" w:rsidRDefault="003D173E" w:rsidP="003D173E">
            <w:pPr>
              <w:spacing w:line="240" w:lineRule="atLeast"/>
              <w:jc w:val="both"/>
              <w:rPr>
                <w:rFonts w:cs="Arial"/>
                <w:sz w:val="20"/>
                <w:szCs w:val="20"/>
                <w:lang w:val="sl-SI"/>
              </w:rPr>
            </w:pPr>
            <w:r w:rsidRPr="00FF207E">
              <w:rPr>
                <w:rFonts w:cs="Arial"/>
                <w:sz w:val="20"/>
                <w:szCs w:val="20"/>
                <w:lang w:val="sl-SI"/>
              </w:rPr>
              <w:t>v</w:t>
            </w:r>
            <w:r w:rsidR="008175B8" w:rsidRPr="00FF207E">
              <w:rPr>
                <w:rFonts w:cs="Arial"/>
                <w:sz w:val="20"/>
                <w:szCs w:val="20"/>
                <w:lang w:val="sl-SI"/>
              </w:rPr>
              <w:t xml:space="preserve">rednotenje testne kampanje </w:t>
            </w:r>
            <w:r w:rsidRPr="00FF207E">
              <w:rPr>
                <w:rFonts w:cs="Arial"/>
                <w:sz w:val="20"/>
                <w:szCs w:val="20"/>
                <w:lang w:val="sl-SI"/>
              </w:rPr>
              <w:t xml:space="preserve">ter </w:t>
            </w:r>
            <w:r w:rsidR="008175B8" w:rsidRPr="00FF207E">
              <w:rPr>
                <w:rFonts w:cs="Arial"/>
                <w:sz w:val="20"/>
                <w:szCs w:val="20"/>
                <w:lang w:val="sl-SI"/>
              </w:rPr>
              <w:t>prilagoditev načrta dela in komunikacijskega načrta mreže – ocena dosega kampanje, analiza učinkov, priporočila za izboljšanje</w:t>
            </w:r>
          </w:p>
        </w:tc>
      </w:tr>
      <w:tr w:rsidR="008175B8" w:rsidRPr="00FF207E" w14:paraId="7761AEEF" w14:textId="77777777" w:rsidTr="00B44A4D">
        <w:tc>
          <w:tcPr>
            <w:tcW w:w="567" w:type="dxa"/>
            <w:vMerge/>
            <w:tcBorders>
              <w:left w:val="nil"/>
              <w:right w:val="single" w:sz="4" w:space="0" w:color="548DD4" w:themeColor="text2" w:themeTint="99"/>
            </w:tcBorders>
          </w:tcPr>
          <w:p w14:paraId="48289255" w14:textId="77777777" w:rsidR="008175B8" w:rsidRPr="00FF207E" w:rsidRDefault="008175B8"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5782A25E" w14:textId="77777777" w:rsidR="008175B8" w:rsidRPr="00FF207E" w:rsidRDefault="008175B8"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499BC1AC" w14:textId="0870A027" w:rsidR="008175B8" w:rsidRPr="00FF207E" w:rsidRDefault="00E46B6C" w:rsidP="001E304B">
            <w:pPr>
              <w:spacing w:line="240" w:lineRule="atLeast"/>
              <w:jc w:val="both"/>
              <w:rPr>
                <w:rFonts w:cs="Arial"/>
                <w:sz w:val="20"/>
                <w:szCs w:val="20"/>
                <w:lang w:val="sl-SI"/>
              </w:rPr>
            </w:pPr>
            <w:r w:rsidRPr="00FF207E">
              <w:rPr>
                <w:rFonts w:cs="Arial"/>
                <w:sz w:val="20"/>
                <w:szCs w:val="20"/>
                <w:lang w:val="sl-SI"/>
              </w:rPr>
              <w:t>projektna pisarna, regionalne svetovalne točke kot regionalni koordinatorji neformalne mreže</w:t>
            </w:r>
          </w:p>
        </w:tc>
      </w:tr>
      <w:tr w:rsidR="008175B8" w:rsidRPr="00FF207E" w14:paraId="6A1A7143" w14:textId="77777777" w:rsidTr="00B44A4D">
        <w:tc>
          <w:tcPr>
            <w:tcW w:w="567" w:type="dxa"/>
            <w:vMerge/>
            <w:tcBorders>
              <w:left w:val="nil"/>
              <w:right w:val="single" w:sz="4" w:space="0" w:color="548DD4" w:themeColor="text2" w:themeTint="99"/>
            </w:tcBorders>
          </w:tcPr>
          <w:p w14:paraId="798103A7" w14:textId="77777777" w:rsidR="008175B8" w:rsidRPr="00FF207E" w:rsidRDefault="008175B8"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5760F2F" w14:textId="77777777" w:rsidR="008175B8" w:rsidRPr="00FF207E" w:rsidRDefault="008175B8"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7D315F1A" w14:textId="6096DC71" w:rsidR="008175B8" w:rsidRPr="00FF207E" w:rsidRDefault="008175B8" w:rsidP="001E304B">
            <w:pPr>
              <w:spacing w:line="240" w:lineRule="atLeast"/>
              <w:jc w:val="both"/>
              <w:rPr>
                <w:rFonts w:cs="Arial"/>
                <w:sz w:val="20"/>
                <w:szCs w:val="20"/>
                <w:lang w:val="sl-SI"/>
              </w:rPr>
            </w:pPr>
            <w:r w:rsidRPr="00FF207E">
              <w:rPr>
                <w:rFonts w:cs="Arial"/>
                <w:sz w:val="20"/>
                <w:szCs w:val="20"/>
                <w:lang w:val="sl-SI"/>
              </w:rPr>
              <w:t>člani neformalne mreže</w:t>
            </w:r>
          </w:p>
        </w:tc>
      </w:tr>
      <w:tr w:rsidR="0081647C" w:rsidRPr="00FF207E" w14:paraId="5897E823" w14:textId="77777777" w:rsidTr="000B42DC">
        <w:tc>
          <w:tcPr>
            <w:tcW w:w="567" w:type="dxa"/>
            <w:vMerge/>
            <w:tcBorders>
              <w:left w:val="nil"/>
              <w:bottom w:val="single" w:sz="4" w:space="0" w:color="548DD4" w:themeColor="text2" w:themeTint="99"/>
              <w:right w:val="single" w:sz="4" w:space="0" w:color="548DD4" w:themeColor="text2" w:themeTint="99"/>
            </w:tcBorders>
          </w:tcPr>
          <w:p w14:paraId="13780B42" w14:textId="77777777" w:rsidR="0081647C" w:rsidRPr="00FF207E" w:rsidRDefault="0081647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7F549660" w14:textId="77777777" w:rsidR="0081647C" w:rsidRPr="00FF207E" w:rsidRDefault="0081647C"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6B19D1F1" w14:textId="71FF849C" w:rsidR="00362560" w:rsidRPr="00FF207E" w:rsidRDefault="00362560" w:rsidP="001E304B">
            <w:pPr>
              <w:spacing w:line="240" w:lineRule="atLeast"/>
              <w:jc w:val="both"/>
              <w:rPr>
                <w:rFonts w:cs="Arial"/>
                <w:sz w:val="20"/>
                <w:szCs w:val="20"/>
                <w:lang w:val="sl-SI"/>
              </w:rPr>
            </w:pPr>
            <w:r w:rsidRPr="00FF207E">
              <w:rPr>
                <w:rFonts w:cs="Arial"/>
                <w:sz w:val="20"/>
                <w:szCs w:val="20"/>
                <w:lang w:val="sl-SI"/>
              </w:rPr>
              <w:t>2026</w:t>
            </w:r>
          </w:p>
        </w:tc>
      </w:tr>
      <w:tr w:rsidR="00226B5E" w:rsidRPr="00FF207E" w14:paraId="730476C8" w14:textId="77777777" w:rsidTr="000B42DC">
        <w:tc>
          <w:tcPr>
            <w:tcW w:w="567" w:type="dxa"/>
            <w:vMerge w:val="restart"/>
            <w:tcBorders>
              <w:top w:val="single" w:sz="4" w:space="0" w:color="548DD4" w:themeColor="text2" w:themeTint="99"/>
              <w:left w:val="nil"/>
              <w:right w:val="single" w:sz="4" w:space="0" w:color="548DD4" w:themeColor="text2" w:themeTint="99"/>
            </w:tcBorders>
            <w:vAlign w:val="center"/>
          </w:tcPr>
          <w:p w14:paraId="4CED69CE" w14:textId="77777777" w:rsidR="00226B5E" w:rsidRPr="00FF207E" w:rsidRDefault="00226B5E" w:rsidP="001E304B">
            <w:pPr>
              <w:spacing w:line="240" w:lineRule="atLeast"/>
              <w:jc w:val="both"/>
              <w:rPr>
                <w:rFonts w:cs="Arial"/>
                <w:b/>
                <w:sz w:val="24"/>
                <w:lang w:val="sl-SI"/>
              </w:rPr>
            </w:pPr>
            <w:r w:rsidRPr="00FF207E">
              <w:rPr>
                <w:rFonts w:cs="Arial"/>
                <w:b/>
                <w:sz w:val="24"/>
                <w:lang w:val="sl-SI"/>
              </w:rPr>
              <w:t>4</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4B00DC40" w14:textId="77777777" w:rsidR="00226B5E" w:rsidRPr="00FF207E" w:rsidRDefault="00226B5E"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7B0E69F9" w14:textId="468B2D10" w:rsidR="00226B5E" w:rsidRPr="00FF207E" w:rsidRDefault="003D173E" w:rsidP="001E304B">
            <w:pPr>
              <w:spacing w:line="240" w:lineRule="atLeast"/>
              <w:jc w:val="both"/>
              <w:rPr>
                <w:rFonts w:cs="Arial"/>
                <w:sz w:val="20"/>
                <w:szCs w:val="20"/>
                <w:lang w:val="sl-SI"/>
              </w:rPr>
            </w:pPr>
            <w:r w:rsidRPr="00FF207E">
              <w:rPr>
                <w:rFonts w:cs="Arial"/>
                <w:sz w:val="20"/>
                <w:szCs w:val="20"/>
                <w:lang w:val="sl-SI"/>
              </w:rPr>
              <w:t>i</w:t>
            </w:r>
            <w:r w:rsidR="00226B5E" w:rsidRPr="00FF207E">
              <w:rPr>
                <w:rFonts w:cs="Arial"/>
                <w:sz w:val="20"/>
                <w:szCs w:val="20"/>
                <w:lang w:val="sl-SI"/>
              </w:rPr>
              <w:t xml:space="preserve">zvedba vsaj še </w:t>
            </w:r>
            <w:r w:rsidR="00A060CD" w:rsidRPr="00FF207E">
              <w:rPr>
                <w:rFonts w:cs="Arial"/>
                <w:sz w:val="20"/>
                <w:szCs w:val="20"/>
                <w:lang w:val="sl-SI"/>
              </w:rPr>
              <w:t xml:space="preserve">ene </w:t>
            </w:r>
            <w:r w:rsidR="00226B5E" w:rsidRPr="00FF207E">
              <w:rPr>
                <w:rFonts w:cs="Arial"/>
                <w:sz w:val="20"/>
                <w:szCs w:val="20"/>
                <w:lang w:val="sl-SI"/>
              </w:rPr>
              <w:t>informativno-</w:t>
            </w:r>
            <w:r w:rsidR="00A060CD" w:rsidRPr="00FF207E">
              <w:rPr>
                <w:rFonts w:cs="Arial"/>
                <w:sz w:val="20"/>
                <w:szCs w:val="20"/>
                <w:lang w:val="sl-SI"/>
              </w:rPr>
              <w:t xml:space="preserve">ozaveščevalne </w:t>
            </w:r>
            <w:r w:rsidR="00226B5E" w:rsidRPr="00FF207E">
              <w:rPr>
                <w:rFonts w:cs="Arial"/>
                <w:sz w:val="20"/>
                <w:szCs w:val="20"/>
                <w:lang w:val="sl-SI"/>
              </w:rPr>
              <w:t>kampanj</w:t>
            </w:r>
            <w:r w:rsidR="00A060CD" w:rsidRPr="00FF207E">
              <w:rPr>
                <w:rFonts w:cs="Arial"/>
                <w:sz w:val="20"/>
                <w:szCs w:val="20"/>
                <w:lang w:val="sl-SI"/>
              </w:rPr>
              <w:t>e</w:t>
            </w:r>
            <w:r w:rsidR="00226B5E" w:rsidRPr="00FF207E">
              <w:rPr>
                <w:rFonts w:cs="Arial"/>
                <w:sz w:val="20"/>
                <w:szCs w:val="20"/>
                <w:lang w:val="sl-SI"/>
              </w:rPr>
              <w:t xml:space="preserve"> </w:t>
            </w:r>
            <w:r w:rsidR="00E021E0" w:rsidRPr="00FF207E">
              <w:rPr>
                <w:rFonts w:cs="Arial"/>
                <w:sz w:val="20"/>
                <w:szCs w:val="20"/>
                <w:lang w:val="sl-SI"/>
              </w:rPr>
              <w:t>v skladu z</w:t>
            </w:r>
            <w:r w:rsidR="00226B5E" w:rsidRPr="00FF207E">
              <w:rPr>
                <w:rFonts w:cs="Arial"/>
                <w:sz w:val="20"/>
                <w:szCs w:val="20"/>
                <w:lang w:val="sl-SI"/>
              </w:rPr>
              <w:t xml:space="preserve"> načrt</w:t>
            </w:r>
            <w:r w:rsidR="00E021E0" w:rsidRPr="00FF207E">
              <w:rPr>
                <w:rFonts w:cs="Arial"/>
                <w:sz w:val="20"/>
                <w:szCs w:val="20"/>
                <w:lang w:val="sl-SI"/>
              </w:rPr>
              <w:t>om</w:t>
            </w:r>
            <w:r w:rsidR="00226B5E" w:rsidRPr="00FF207E">
              <w:rPr>
                <w:rFonts w:cs="Arial"/>
                <w:sz w:val="20"/>
                <w:szCs w:val="20"/>
                <w:lang w:val="sl-SI"/>
              </w:rPr>
              <w:t xml:space="preserve"> dela</w:t>
            </w:r>
          </w:p>
        </w:tc>
      </w:tr>
      <w:tr w:rsidR="00226B5E" w:rsidRPr="00FF207E" w14:paraId="0C3B05A8" w14:textId="77777777" w:rsidTr="00A575FE">
        <w:tc>
          <w:tcPr>
            <w:tcW w:w="567" w:type="dxa"/>
            <w:vMerge/>
            <w:tcBorders>
              <w:left w:val="nil"/>
              <w:right w:val="single" w:sz="4" w:space="0" w:color="548DD4" w:themeColor="text2" w:themeTint="99"/>
            </w:tcBorders>
          </w:tcPr>
          <w:p w14:paraId="0D4DC448" w14:textId="77777777" w:rsidR="00226B5E" w:rsidRPr="00FF207E" w:rsidRDefault="00226B5E"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7B6FA7BD" w14:textId="77777777" w:rsidR="00226B5E" w:rsidRPr="00FF207E" w:rsidRDefault="00226B5E"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582F699" w14:textId="5A59305C" w:rsidR="00226B5E" w:rsidRPr="00FF207E" w:rsidRDefault="00E46B6C" w:rsidP="001E304B">
            <w:pPr>
              <w:spacing w:line="240" w:lineRule="atLeast"/>
              <w:jc w:val="both"/>
              <w:rPr>
                <w:rFonts w:cs="Arial"/>
                <w:sz w:val="20"/>
                <w:szCs w:val="20"/>
                <w:lang w:val="sl-SI"/>
              </w:rPr>
            </w:pPr>
            <w:r w:rsidRPr="00FF207E">
              <w:rPr>
                <w:rFonts w:cs="Arial"/>
                <w:sz w:val="20"/>
                <w:szCs w:val="20"/>
                <w:lang w:val="sl-SI"/>
              </w:rPr>
              <w:t>projektna pisarna, regionalne svetovalne točke kot regionalni koordinatorji neformalne mreže</w:t>
            </w:r>
          </w:p>
        </w:tc>
      </w:tr>
      <w:tr w:rsidR="00226B5E" w:rsidRPr="00FF207E" w14:paraId="71C79B6A" w14:textId="77777777" w:rsidTr="00A575FE">
        <w:tc>
          <w:tcPr>
            <w:tcW w:w="567" w:type="dxa"/>
            <w:vMerge/>
            <w:tcBorders>
              <w:left w:val="nil"/>
              <w:right w:val="single" w:sz="4" w:space="0" w:color="548DD4" w:themeColor="text2" w:themeTint="99"/>
            </w:tcBorders>
          </w:tcPr>
          <w:p w14:paraId="4F54A8BD" w14:textId="77777777" w:rsidR="00226B5E" w:rsidRPr="00FF207E" w:rsidRDefault="00226B5E"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7DDA4907" w14:textId="77777777" w:rsidR="00226B5E" w:rsidRPr="00FF207E" w:rsidRDefault="00226B5E"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3A3080BD" w14:textId="6B295718" w:rsidR="00226B5E" w:rsidRPr="00FF207E" w:rsidRDefault="00226B5E" w:rsidP="001E304B">
            <w:pPr>
              <w:spacing w:line="240" w:lineRule="atLeast"/>
              <w:jc w:val="both"/>
              <w:rPr>
                <w:rFonts w:cs="Arial"/>
                <w:sz w:val="20"/>
                <w:szCs w:val="20"/>
                <w:lang w:val="sl-SI"/>
              </w:rPr>
            </w:pPr>
            <w:r w:rsidRPr="00FF207E">
              <w:rPr>
                <w:rFonts w:cs="Arial"/>
                <w:sz w:val="20"/>
                <w:szCs w:val="20"/>
                <w:lang w:val="sl-SI"/>
              </w:rPr>
              <w:t>člani neformalne mreže</w:t>
            </w:r>
          </w:p>
        </w:tc>
      </w:tr>
      <w:tr w:rsidR="0081647C" w:rsidRPr="00FF207E" w14:paraId="200CA6DA" w14:textId="77777777" w:rsidTr="000B42DC">
        <w:tc>
          <w:tcPr>
            <w:tcW w:w="567" w:type="dxa"/>
            <w:vMerge/>
            <w:tcBorders>
              <w:left w:val="nil"/>
              <w:bottom w:val="single" w:sz="4" w:space="0" w:color="548DD4" w:themeColor="text2" w:themeTint="99"/>
              <w:right w:val="single" w:sz="4" w:space="0" w:color="548DD4" w:themeColor="text2" w:themeTint="99"/>
            </w:tcBorders>
          </w:tcPr>
          <w:p w14:paraId="11A219A9" w14:textId="77777777" w:rsidR="0081647C" w:rsidRPr="00FF207E" w:rsidRDefault="0081647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12BF2E75" w14:textId="77777777" w:rsidR="0081647C" w:rsidRPr="00FF207E" w:rsidRDefault="0081647C"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4B65EB9C" w14:textId="07B3DDAF" w:rsidR="0081647C" w:rsidRPr="00FF207E" w:rsidRDefault="00A060CD" w:rsidP="001E304B">
            <w:pPr>
              <w:spacing w:line="240" w:lineRule="atLeast"/>
              <w:jc w:val="both"/>
              <w:rPr>
                <w:rFonts w:cs="Arial"/>
                <w:sz w:val="20"/>
                <w:szCs w:val="20"/>
                <w:lang w:val="sl-SI"/>
              </w:rPr>
            </w:pPr>
            <w:r w:rsidRPr="00FF207E">
              <w:rPr>
                <w:rFonts w:cs="Arial"/>
                <w:sz w:val="20"/>
                <w:szCs w:val="20"/>
                <w:lang w:val="sl-SI"/>
              </w:rPr>
              <w:t>2026</w:t>
            </w:r>
          </w:p>
        </w:tc>
      </w:tr>
      <w:tr w:rsidR="00226B5E" w:rsidRPr="00FF207E" w14:paraId="416C0148" w14:textId="77777777" w:rsidTr="000B42DC">
        <w:tc>
          <w:tcPr>
            <w:tcW w:w="567" w:type="dxa"/>
            <w:vMerge w:val="restart"/>
            <w:tcBorders>
              <w:top w:val="single" w:sz="4" w:space="0" w:color="548DD4" w:themeColor="text2" w:themeTint="99"/>
              <w:left w:val="nil"/>
              <w:right w:val="single" w:sz="4" w:space="0" w:color="548DD4" w:themeColor="text2" w:themeTint="99"/>
            </w:tcBorders>
            <w:vAlign w:val="center"/>
          </w:tcPr>
          <w:p w14:paraId="38489E25" w14:textId="43451188" w:rsidR="00226B5E" w:rsidRPr="00FF207E" w:rsidRDefault="00226B5E" w:rsidP="001E304B">
            <w:pPr>
              <w:spacing w:line="240" w:lineRule="atLeast"/>
              <w:jc w:val="both"/>
              <w:rPr>
                <w:rFonts w:cs="Arial"/>
                <w:b/>
                <w:sz w:val="24"/>
                <w:lang w:val="sl-SI"/>
              </w:rPr>
            </w:pPr>
            <w:r w:rsidRPr="00FF207E">
              <w:rPr>
                <w:rFonts w:cs="Arial"/>
                <w:b/>
                <w:sz w:val="24"/>
                <w:lang w:val="sl-SI"/>
              </w:rPr>
              <w:t>5</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54E7CAAE" w14:textId="77777777" w:rsidR="00226B5E" w:rsidRPr="00FF207E" w:rsidRDefault="00226B5E"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5B575BDD" w14:textId="600A4B72" w:rsidR="00226B5E" w:rsidRPr="00FF207E" w:rsidRDefault="003D173E" w:rsidP="001E304B">
            <w:pPr>
              <w:spacing w:line="240" w:lineRule="atLeast"/>
              <w:jc w:val="both"/>
              <w:rPr>
                <w:rFonts w:cs="Arial"/>
                <w:sz w:val="20"/>
                <w:szCs w:val="20"/>
                <w:lang w:val="sl-SI"/>
              </w:rPr>
            </w:pPr>
            <w:r w:rsidRPr="00FF207E">
              <w:rPr>
                <w:rFonts w:cs="Arial"/>
                <w:sz w:val="20"/>
                <w:szCs w:val="20"/>
                <w:lang w:val="sl-SI"/>
              </w:rPr>
              <w:t>p</w:t>
            </w:r>
            <w:r w:rsidR="00226B5E" w:rsidRPr="00FF207E">
              <w:rPr>
                <w:rFonts w:cs="Arial"/>
                <w:sz w:val="20"/>
                <w:szCs w:val="20"/>
                <w:lang w:val="sl-SI"/>
              </w:rPr>
              <w:t>reučitev novih možnosti za informiranje energetsko revnih in njihova pilotna izvedba (</w:t>
            </w:r>
            <w:r w:rsidR="00B77973" w:rsidRPr="00FF207E">
              <w:rPr>
                <w:rFonts w:cs="Arial"/>
                <w:sz w:val="20"/>
                <w:szCs w:val="20"/>
                <w:lang w:val="sl-SI"/>
              </w:rPr>
              <w:t>na primer</w:t>
            </w:r>
            <w:r w:rsidR="00226B5E" w:rsidRPr="00FF207E">
              <w:rPr>
                <w:rFonts w:cs="Arial"/>
                <w:sz w:val="20"/>
                <w:szCs w:val="20"/>
                <w:lang w:val="sl-SI"/>
              </w:rPr>
              <w:t xml:space="preserve"> podporne skupine </w:t>
            </w:r>
            <w:r w:rsidR="00B77973" w:rsidRPr="00FF207E">
              <w:rPr>
                <w:rFonts w:cs="Arial"/>
                <w:sz w:val="20"/>
                <w:szCs w:val="20"/>
                <w:lang w:val="sl-SI"/>
              </w:rPr>
              <w:t>in tako dalje</w:t>
            </w:r>
            <w:r w:rsidR="00226B5E" w:rsidRPr="00FF207E">
              <w:rPr>
                <w:rFonts w:cs="Arial"/>
                <w:sz w:val="20"/>
                <w:szCs w:val="20"/>
                <w:lang w:val="sl-SI"/>
              </w:rPr>
              <w:t>)</w:t>
            </w:r>
          </w:p>
        </w:tc>
      </w:tr>
      <w:tr w:rsidR="00226B5E" w:rsidRPr="00FF207E" w14:paraId="6F62610A" w14:textId="77777777" w:rsidTr="00B44A4D">
        <w:tc>
          <w:tcPr>
            <w:tcW w:w="567" w:type="dxa"/>
            <w:vMerge/>
            <w:tcBorders>
              <w:left w:val="nil"/>
              <w:right w:val="single" w:sz="4" w:space="0" w:color="548DD4" w:themeColor="text2" w:themeTint="99"/>
            </w:tcBorders>
          </w:tcPr>
          <w:p w14:paraId="6779F262" w14:textId="77777777" w:rsidR="00226B5E" w:rsidRPr="00FF207E" w:rsidRDefault="00226B5E"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C548187" w14:textId="77777777" w:rsidR="00226B5E" w:rsidRPr="00FF207E" w:rsidRDefault="00226B5E"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60F9EF68" w14:textId="017816FD" w:rsidR="00226B5E" w:rsidRPr="00FF207E" w:rsidRDefault="00E46B6C" w:rsidP="001E304B">
            <w:pPr>
              <w:spacing w:line="240" w:lineRule="atLeast"/>
              <w:jc w:val="both"/>
              <w:rPr>
                <w:rFonts w:cs="Arial"/>
                <w:sz w:val="20"/>
                <w:szCs w:val="20"/>
                <w:lang w:val="sl-SI"/>
              </w:rPr>
            </w:pPr>
            <w:r w:rsidRPr="00FF207E">
              <w:rPr>
                <w:rFonts w:cs="Arial"/>
                <w:sz w:val="20"/>
                <w:szCs w:val="20"/>
                <w:lang w:val="sl-SI"/>
              </w:rPr>
              <w:t>projektna pisarna, regionalne svetovalne točke kot regionalni koordinatorji neformalne mreže</w:t>
            </w:r>
          </w:p>
        </w:tc>
      </w:tr>
      <w:tr w:rsidR="00226B5E" w:rsidRPr="00FF207E" w14:paraId="26D03B52" w14:textId="77777777" w:rsidTr="00B44A4D">
        <w:tc>
          <w:tcPr>
            <w:tcW w:w="567" w:type="dxa"/>
            <w:vMerge/>
            <w:tcBorders>
              <w:left w:val="nil"/>
              <w:right w:val="single" w:sz="4" w:space="0" w:color="548DD4" w:themeColor="text2" w:themeTint="99"/>
            </w:tcBorders>
          </w:tcPr>
          <w:p w14:paraId="2C31AAEE" w14:textId="77777777" w:rsidR="00226B5E" w:rsidRPr="00FF207E" w:rsidRDefault="00226B5E"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8772E54" w14:textId="77777777" w:rsidR="00226B5E" w:rsidRPr="00FF207E" w:rsidRDefault="00226B5E"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5F38F307" w14:textId="42672330" w:rsidR="00226B5E" w:rsidRPr="00FF207E" w:rsidRDefault="00226B5E" w:rsidP="001E304B">
            <w:pPr>
              <w:spacing w:line="240" w:lineRule="atLeast"/>
              <w:jc w:val="both"/>
              <w:rPr>
                <w:rFonts w:cs="Arial"/>
                <w:sz w:val="20"/>
                <w:szCs w:val="20"/>
                <w:lang w:val="sl-SI"/>
              </w:rPr>
            </w:pPr>
            <w:r w:rsidRPr="00FF207E">
              <w:rPr>
                <w:rFonts w:cs="Arial"/>
                <w:sz w:val="20"/>
                <w:szCs w:val="20"/>
                <w:lang w:val="sl-SI"/>
              </w:rPr>
              <w:t>člani neformalne mreže</w:t>
            </w:r>
          </w:p>
        </w:tc>
      </w:tr>
      <w:tr w:rsidR="0081647C" w:rsidRPr="00FF207E" w14:paraId="70A84456" w14:textId="77777777" w:rsidTr="000B42DC">
        <w:tc>
          <w:tcPr>
            <w:tcW w:w="567" w:type="dxa"/>
            <w:vMerge/>
            <w:tcBorders>
              <w:left w:val="nil"/>
              <w:bottom w:val="single" w:sz="4" w:space="0" w:color="548DD4" w:themeColor="text2" w:themeTint="99"/>
              <w:right w:val="single" w:sz="4" w:space="0" w:color="548DD4" w:themeColor="text2" w:themeTint="99"/>
            </w:tcBorders>
          </w:tcPr>
          <w:p w14:paraId="1D808239" w14:textId="77777777" w:rsidR="0081647C" w:rsidRPr="00FF207E" w:rsidRDefault="0081647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6610787B" w14:textId="77777777" w:rsidR="0081647C" w:rsidRPr="00FF207E" w:rsidRDefault="0081647C"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20EAF43B" w14:textId="5671F03D" w:rsidR="0081647C" w:rsidRPr="00FF207E" w:rsidRDefault="00A060CD" w:rsidP="001E304B">
            <w:pPr>
              <w:spacing w:line="240" w:lineRule="atLeast"/>
              <w:jc w:val="both"/>
              <w:rPr>
                <w:rFonts w:cs="Arial"/>
                <w:sz w:val="20"/>
                <w:szCs w:val="20"/>
                <w:lang w:val="sl-SI"/>
              </w:rPr>
            </w:pPr>
            <w:r w:rsidRPr="00FF207E">
              <w:rPr>
                <w:rFonts w:cs="Arial"/>
                <w:sz w:val="20"/>
                <w:szCs w:val="20"/>
                <w:lang w:val="sl-SI"/>
              </w:rPr>
              <w:t>2026</w:t>
            </w:r>
          </w:p>
        </w:tc>
      </w:tr>
    </w:tbl>
    <w:p w14:paraId="73AAC081" w14:textId="78A80B66" w:rsidR="00041132" w:rsidRPr="00FF207E" w:rsidRDefault="00041132" w:rsidP="001E304B">
      <w:pPr>
        <w:jc w:val="both"/>
        <w:rPr>
          <w:lang w:val="sl-SI"/>
        </w:rPr>
      </w:pPr>
    </w:p>
    <w:p w14:paraId="5DAEDB1D" w14:textId="05FD32E7" w:rsidR="003800A0" w:rsidRPr="00FF207E" w:rsidRDefault="0006530A" w:rsidP="001E304B">
      <w:pPr>
        <w:pStyle w:val="Naslov1"/>
        <w:numPr>
          <w:ilvl w:val="0"/>
          <w:numId w:val="2"/>
        </w:numPr>
        <w:jc w:val="both"/>
        <w:rPr>
          <w:lang w:val="sl-SI"/>
        </w:rPr>
      </w:pPr>
      <w:bookmarkStart w:id="73" w:name="_Ref136361027"/>
      <w:bookmarkStart w:id="74" w:name="_Toc151148795"/>
      <w:r w:rsidRPr="00FF207E">
        <w:rPr>
          <w:lang w:val="sl-SI"/>
        </w:rPr>
        <w:lastRenderedPageBreak/>
        <w:t xml:space="preserve">Drugi </w:t>
      </w:r>
      <w:r w:rsidR="003800A0" w:rsidRPr="00FF207E">
        <w:rPr>
          <w:lang w:val="sl-SI"/>
        </w:rPr>
        <w:t>ukrepi za zmanjševanje energetske revščine</w:t>
      </w:r>
      <w:bookmarkEnd w:id="73"/>
      <w:bookmarkEnd w:id="74"/>
    </w:p>
    <w:p w14:paraId="1A97BD56" w14:textId="00EC06A0" w:rsidR="00D378A4" w:rsidRPr="00FF207E" w:rsidRDefault="00930F5F" w:rsidP="001E304B">
      <w:pPr>
        <w:spacing w:after="240"/>
        <w:jc w:val="both"/>
        <w:rPr>
          <w:rFonts w:cs="Arial"/>
          <w:szCs w:val="22"/>
          <w:lang w:val="sl-SI"/>
        </w:rPr>
      </w:pPr>
      <w:r w:rsidRPr="00FF207E">
        <w:rPr>
          <w:lang w:val="sl-SI"/>
        </w:rPr>
        <w:t xml:space="preserve">Shema za zmanjševanje energetske revščine </w:t>
      </w:r>
      <w:r w:rsidR="003D173E" w:rsidRPr="00FF207E">
        <w:rPr>
          <w:lang w:val="sl-SI"/>
        </w:rPr>
        <w:t xml:space="preserve">zajema </w:t>
      </w:r>
      <w:r w:rsidRPr="00FF207E">
        <w:rPr>
          <w:rFonts w:cs="Arial"/>
          <w:szCs w:val="22"/>
          <w:lang w:val="sl-SI"/>
        </w:rPr>
        <w:t>ključni sklop ukrepov za zmanjševanje energetske revščine</w:t>
      </w:r>
      <w:r w:rsidR="00F16ACA" w:rsidRPr="00FF207E">
        <w:rPr>
          <w:rFonts w:cs="Arial"/>
          <w:szCs w:val="22"/>
          <w:lang w:val="sl-SI"/>
        </w:rPr>
        <w:t>.</w:t>
      </w:r>
      <w:r w:rsidRPr="00FF207E">
        <w:rPr>
          <w:rFonts w:cs="Arial"/>
          <w:szCs w:val="22"/>
          <w:lang w:val="sl-SI"/>
        </w:rPr>
        <w:t xml:space="preserve"> </w:t>
      </w:r>
      <w:r w:rsidR="00F16ACA" w:rsidRPr="00FF207E">
        <w:rPr>
          <w:rFonts w:cs="Arial"/>
          <w:szCs w:val="22"/>
          <w:lang w:val="sl-SI"/>
        </w:rPr>
        <w:t>D</w:t>
      </w:r>
      <w:r w:rsidR="00BB5F79" w:rsidRPr="00FF207E">
        <w:rPr>
          <w:rFonts w:cs="Arial"/>
          <w:szCs w:val="22"/>
          <w:lang w:val="sl-SI"/>
        </w:rPr>
        <w:t xml:space="preserve">opolnjuje </w:t>
      </w:r>
      <w:r w:rsidR="00F16ACA" w:rsidRPr="00FF207E">
        <w:rPr>
          <w:rFonts w:cs="Arial"/>
          <w:szCs w:val="22"/>
          <w:lang w:val="sl-SI"/>
        </w:rPr>
        <w:t xml:space="preserve">jo </w:t>
      </w:r>
      <w:r w:rsidR="00BB5F79" w:rsidRPr="00FF207E">
        <w:rPr>
          <w:rFonts w:cs="Arial"/>
          <w:szCs w:val="22"/>
          <w:lang w:val="sl-SI"/>
        </w:rPr>
        <w:t xml:space="preserve">še nekaj drugih finančnih in nefinančnih ukrepov, ki so </w:t>
      </w:r>
      <w:r w:rsidR="00F16ACA" w:rsidRPr="00FF207E">
        <w:rPr>
          <w:rFonts w:cs="Arial"/>
          <w:szCs w:val="22"/>
          <w:lang w:val="sl-SI"/>
        </w:rPr>
        <w:t xml:space="preserve">predstavljeni v poglavju </w:t>
      </w:r>
      <w:r w:rsidR="00F16ACA" w:rsidRPr="00FF207E">
        <w:rPr>
          <w:rFonts w:cs="Arial"/>
          <w:szCs w:val="22"/>
          <w:lang w:val="sl-SI"/>
        </w:rPr>
        <w:fldChar w:fldCharType="begin"/>
      </w:r>
      <w:r w:rsidR="00F16ACA" w:rsidRPr="00FF207E">
        <w:rPr>
          <w:rFonts w:cs="Arial"/>
          <w:szCs w:val="22"/>
          <w:lang w:val="sl-SI"/>
        </w:rPr>
        <w:instrText xml:space="preserve"> REF _Ref135395915 \r \h </w:instrText>
      </w:r>
      <w:r w:rsidR="001E304B" w:rsidRPr="00FF207E">
        <w:rPr>
          <w:rFonts w:cs="Arial"/>
          <w:szCs w:val="22"/>
          <w:lang w:val="sl-SI"/>
        </w:rPr>
        <w:instrText xml:space="preserve"> \* MERGEFORMAT </w:instrText>
      </w:r>
      <w:r w:rsidR="00F16ACA" w:rsidRPr="00FF207E">
        <w:rPr>
          <w:rFonts w:cs="Arial"/>
          <w:szCs w:val="22"/>
          <w:lang w:val="sl-SI"/>
        </w:rPr>
      </w:r>
      <w:r w:rsidR="00F16ACA" w:rsidRPr="00FF207E">
        <w:rPr>
          <w:rFonts w:cs="Arial"/>
          <w:szCs w:val="22"/>
          <w:lang w:val="sl-SI"/>
        </w:rPr>
        <w:fldChar w:fldCharType="separate"/>
      </w:r>
      <w:r w:rsidR="00F37FD1" w:rsidRPr="00FF207E">
        <w:rPr>
          <w:rFonts w:cs="Arial"/>
          <w:szCs w:val="22"/>
          <w:lang w:val="sl-SI"/>
        </w:rPr>
        <w:t>5.1</w:t>
      </w:r>
      <w:r w:rsidR="00F16ACA" w:rsidRPr="00FF207E">
        <w:rPr>
          <w:rFonts w:cs="Arial"/>
          <w:szCs w:val="22"/>
          <w:lang w:val="sl-SI"/>
        </w:rPr>
        <w:fldChar w:fldCharType="end"/>
      </w:r>
      <w:r w:rsidR="00F16ACA" w:rsidRPr="00FF207E">
        <w:rPr>
          <w:rFonts w:cs="Arial"/>
          <w:szCs w:val="22"/>
          <w:lang w:val="sl-SI"/>
        </w:rPr>
        <w:t xml:space="preserve">. V poglavju </w:t>
      </w:r>
      <w:r w:rsidR="00F16ACA" w:rsidRPr="00FF207E">
        <w:rPr>
          <w:rFonts w:cs="Arial"/>
          <w:szCs w:val="22"/>
          <w:lang w:val="sl-SI"/>
        </w:rPr>
        <w:fldChar w:fldCharType="begin"/>
      </w:r>
      <w:r w:rsidR="00F16ACA" w:rsidRPr="00FF207E">
        <w:rPr>
          <w:rFonts w:cs="Arial"/>
          <w:szCs w:val="22"/>
          <w:lang w:val="sl-SI"/>
        </w:rPr>
        <w:instrText xml:space="preserve"> REF _Ref135395945 \r \h </w:instrText>
      </w:r>
      <w:r w:rsidR="001E304B" w:rsidRPr="00FF207E">
        <w:rPr>
          <w:rFonts w:cs="Arial"/>
          <w:szCs w:val="22"/>
          <w:lang w:val="sl-SI"/>
        </w:rPr>
        <w:instrText xml:space="preserve"> \* MERGEFORMAT </w:instrText>
      </w:r>
      <w:r w:rsidR="00F16ACA" w:rsidRPr="00FF207E">
        <w:rPr>
          <w:rFonts w:cs="Arial"/>
          <w:szCs w:val="22"/>
          <w:lang w:val="sl-SI"/>
        </w:rPr>
      </w:r>
      <w:r w:rsidR="00F16ACA" w:rsidRPr="00FF207E">
        <w:rPr>
          <w:rFonts w:cs="Arial"/>
          <w:szCs w:val="22"/>
          <w:lang w:val="sl-SI"/>
        </w:rPr>
        <w:fldChar w:fldCharType="separate"/>
      </w:r>
      <w:r w:rsidR="00F37FD1" w:rsidRPr="00FF207E">
        <w:rPr>
          <w:rFonts w:cs="Arial"/>
          <w:szCs w:val="22"/>
          <w:lang w:val="sl-SI"/>
        </w:rPr>
        <w:t>5.2</w:t>
      </w:r>
      <w:r w:rsidR="00F16ACA" w:rsidRPr="00FF207E">
        <w:rPr>
          <w:rFonts w:cs="Arial"/>
          <w:szCs w:val="22"/>
          <w:lang w:val="sl-SI"/>
        </w:rPr>
        <w:fldChar w:fldCharType="end"/>
      </w:r>
      <w:r w:rsidR="00F16ACA" w:rsidRPr="00FF207E">
        <w:rPr>
          <w:rFonts w:cs="Arial"/>
          <w:szCs w:val="22"/>
          <w:lang w:val="sl-SI"/>
        </w:rPr>
        <w:t xml:space="preserve"> so navedeni še ukrepi, </w:t>
      </w:r>
      <w:r w:rsidR="003D173E" w:rsidRPr="00FF207E">
        <w:rPr>
          <w:rFonts w:cs="Arial"/>
          <w:szCs w:val="22"/>
          <w:lang w:val="sl-SI"/>
        </w:rPr>
        <w:t xml:space="preserve">katerih izvajanje </w:t>
      </w:r>
      <w:r w:rsidR="00F16ACA" w:rsidRPr="00FF207E">
        <w:rPr>
          <w:rFonts w:cs="Arial"/>
          <w:szCs w:val="22"/>
          <w:lang w:val="sl-SI"/>
        </w:rPr>
        <w:t>je smiselno preuči</w:t>
      </w:r>
      <w:r w:rsidR="003D173E" w:rsidRPr="00FF207E">
        <w:rPr>
          <w:rFonts w:cs="Arial"/>
          <w:szCs w:val="22"/>
          <w:lang w:val="sl-SI"/>
        </w:rPr>
        <w:t>ti</w:t>
      </w:r>
      <w:r w:rsidR="00F16ACA" w:rsidRPr="00FF207E">
        <w:rPr>
          <w:rFonts w:cs="Arial"/>
          <w:szCs w:val="22"/>
          <w:lang w:val="sl-SI"/>
        </w:rPr>
        <w:t xml:space="preserve"> in pripravi</w:t>
      </w:r>
      <w:r w:rsidR="003D173E" w:rsidRPr="00FF207E">
        <w:rPr>
          <w:rFonts w:cs="Arial"/>
          <w:szCs w:val="22"/>
          <w:lang w:val="sl-SI"/>
        </w:rPr>
        <w:t>ti</w:t>
      </w:r>
      <w:r w:rsidR="00F16ACA" w:rsidRPr="00FF207E">
        <w:rPr>
          <w:rFonts w:cs="Arial"/>
          <w:szCs w:val="22"/>
          <w:lang w:val="sl-SI"/>
        </w:rPr>
        <w:t xml:space="preserve"> za izvajanje pri pripravi naslednjega akcijskega načrta.</w:t>
      </w:r>
    </w:p>
    <w:p w14:paraId="5ADA9FF5" w14:textId="79C6DC0C" w:rsidR="00D378A4" w:rsidRPr="00FF207E" w:rsidRDefault="0006530A" w:rsidP="001E304B">
      <w:pPr>
        <w:pStyle w:val="Naslov2"/>
        <w:jc w:val="both"/>
        <w:rPr>
          <w:lang w:val="sl-SI"/>
        </w:rPr>
      </w:pPr>
      <w:bookmarkStart w:id="75" w:name="_Ref135394403"/>
      <w:bookmarkStart w:id="76" w:name="_Ref135395915"/>
      <w:bookmarkStart w:id="77" w:name="_Toc151148796"/>
      <w:r w:rsidRPr="00FF207E">
        <w:rPr>
          <w:lang w:val="sl-SI"/>
        </w:rPr>
        <w:t xml:space="preserve">Drugi </w:t>
      </w:r>
      <w:r w:rsidR="00EF0EE6" w:rsidRPr="00FF207E">
        <w:rPr>
          <w:lang w:val="sl-SI"/>
        </w:rPr>
        <w:t>ukrepi</w:t>
      </w:r>
      <w:r w:rsidR="00930F5F" w:rsidRPr="00FF207E">
        <w:rPr>
          <w:lang w:val="sl-SI"/>
        </w:rPr>
        <w:t xml:space="preserve"> </w:t>
      </w:r>
      <w:bookmarkEnd w:id="75"/>
      <w:r w:rsidR="00930F5F" w:rsidRPr="00FF207E">
        <w:rPr>
          <w:lang w:val="sl-SI"/>
        </w:rPr>
        <w:t>za zmanjševanje energetske revščine</w:t>
      </w:r>
      <w:bookmarkEnd w:id="76"/>
      <w:bookmarkEnd w:id="77"/>
    </w:p>
    <w:p w14:paraId="45F40068" w14:textId="45E7649F" w:rsidR="00D24D81" w:rsidRPr="00FF207E" w:rsidRDefault="00F16ACA" w:rsidP="001E304B">
      <w:pPr>
        <w:spacing w:after="240"/>
        <w:jc w:val="both"/>
        <w:rPr>
          <w:lang w:val="sl-SI"/>
        </w:rPr>
      </w:pPr>
      <w:r w:rsidRPr="00FF207E">
        <w:rPr>
          <w:rFonts w:cs="Arial"/>
          <w:szCs w:val="22"/>
          <w:lang w:val="sl-SI"/>
        </w:rPr>
        <w:t xml:space="preserve">Finančni in nefinančni ukrepi, ki dopolnjujejo izvajanje </w:t>
      </w:r>
      <w:r w:rsidR="003C2032" w:rsidRPr="00FF207E">
        <w:rPr>
          <w:lang w:val="sl-SI"/>
        </w:rPr>
        <w:t>sheme za zmanjševanje energetske revščine</w:t>
      </w:r>
      <w:r w:rsidR="00985168" w:rsidRPr="00FF207E">
        <w:rPr>
          <w:lang w:val="sl-SI"/>
        </w:rPr>
        <w:t>,</w:t>
      </w:r>
      <w:r w:rsidR="003C2032" w:rsidRPr="00FF207E">
        <w:rPr>
          <w:lang w:val="sl-SI"/>
        </w:rPr>
        <w:t xml:space="preserve"> so pregledno predstavljeni v tabeli</w:t>
      </w:r>
      <w:r w:rsidR="007E7AE9" w:rsidRPr="00FF207E">
        <w:rPr>
          <w:lang w:val="sl-SI"/>
        </w:rPr>
        <w:t xml:space="preserve"> (</w:t>
      </w:r>
      <w:r w:rsidR="007E7AE9" w:rsidRPr="00FF207E">
        <w:rPr>
          <w:lang w:val="sl-SI"/>
        </w:rPr>
        <w:fldChar w:fldCharType="begin"/>
      </w:r>
      <w:r w:rsidR="007E7AE9" w:rsidRPr="00FF207E">
        <w:rPr>
          <w:lang w:val="sl-SI"/>
        </w:rPr>
        <w:instrText xml:space="preserve"> REF _Ref135396355 \h </w:instrText>
      </w:r>
      <w:r w:rsidR="001E304B" w:rsidRPr="00FF207E">
        <w:rPr>
          <w:lang w:val="sl-SI"/>
        </w:rPr>
        <w:instrText xml:space="preserve"> \* MERGEFORMAT </w:instrText>
      </w:r>
      <w:r w:rsidR="007E7AE9" w:rsidRPr="00FF207E">
        <w:rPr>
          <w:lang w:val="sl-SI"/>
        </w:rPr>
      </w:r>
      <w:r w:rsidR="007E7AE9" w:rsidRPr="00FF207E">
        <w:rPr>
          <w:lang w:val="sl-SI"/>
        </w:rPr>
        <w:fldChar w:fldCharType="separate"/>
      </w:r>
      <w:r w:rsidR="00086058" w:rsidRPr="00FF207E">
        <w:rPr>
          <w:lang w:val="sl-SI"/>
        </w:rPr>
        <w:t>t</w:t>
      </w:r>
      <w:r w:rsidR="00F37FD1" w:rsidRPr="00FF207E">
        <w:rPr>
          <w:lang w:val="sl-SI"/>
        </w:rPr>
        <w:t>abela 5</w:t>
      </w:r>
      <w:r w:rsidR="007E7AE9" w:rsidRPr="00FF207E">
        <w:rPr>
          <w:lang w:val="sl-SI"/>
        </w:rPr>
        <w:fldChar w:fldCharType="end"/>
      </w:r>
      <w:r w:rsidR="007E7AE9" w:rsidRPr="00FF207E">
        <w:rPr>
          <w:lang w:val="sl-SI"/>
        </w:rPr>
        <w:t>)</w:t>
      </w:r>
      <w:r w:rsidR="003C2032" w:rsidRPr="00FF207E">
        <w:rPr>
          <w:lang w:val="sl-SI"/>
        </w:rPr>
        <w:t xml:space="preserve"> in nadaljevanju tega poglavja.</w:t>
      </w:r>
    </w:p>
    <w:p w14:paraId="1B1753CC" w14:textId="3BA12B90" w:rsidR="007E7AE9" w:rsidRPr="00FF207E" w:rsidRDefault="007E7AE9" w:rsidP="001E304B">
      <w:pPr>
        <w:pStyle w:val="Table"/>
        <w:jc w:val="both"/>
      </w:pPr>
      <w:bookmarkStart w:id="78" w:name="_Ref135396355"/>
      <w:bookmarkStart w:id="79" w:name="_Toc138161835"/>
      <w:r w:rsidRPr="00FF207E">
        <w:t xml:space="preserve">Tabela </w:t>
      </w:r>
      <w:r w:rsidR="005428A9" w:rsidRPr="00FF207E">
        <w:fldChar w:fldCharType="begin"/>
      </w:r>
      <w:r w:rsidR="005428A9" w:rsidRPr="00FF207E">
        <w:instrText xml:space="preserve"> SEQ Tabela \* ARABIC </w:instrText>
      </w:r>
      <w:r w:rsidR="005428A9" w:rsidRPr="00FF207E">
        <w:fldChar w:fldCharType="separate"/>
      </w:r>
      <w:r w:rsidR="00F37FD1" w:rsidRPr="00FF207E">
        <w:t>5</w:t>
      </w:r>
      <w:r w:rsidR="005428A9" w:rsidRPr="00FF207E">
        <w:fldChar w:fldCharType="end"/>
      </w:r>
      <w:bookmarkEnd w:id="78"/>
      <w:r w:rsidRPr="00FF207E">
        <w:t>:</w:t>
      </w:r>
      <w:r w:rsidRPr="00FF207E">
        <w:tab/>
      </w:r>
      <w:r w:rsidR="0006530A" w:rsidRPr="00FF207E">
        <w:t xml:space="preserve">Drugi </w:t>
      </w:r>
      <w:r w:rsidRPr="00FF207E">
        <w:t>ukrepi za zmanjševanje energetske revščine</w:t>
      </w:r>
      <w:bookmarkEnd w:id="79"/>
    </w:p>
    <w:tbl>
      <w:tblPr>
        <w:tblStyle w:val="Tabelamrea"/>
        <w:tblW w:w="0" w:type="auto"/>
        <w:tblBorders>
          <w:top w:val="none" w:sz="0" w:space="0" w:color="auto"/>
          <w:left w:val="none" w:sz="0" w:space="0" w:color="auto"/>
          <w:bottom w:val="none" w:sz="0" w:space="0" w:color="auto"/>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1418"/>
        <w:gridCol w:w="3362"/>
        <w:gridCol w:w="1410"/>
        <w:gridCol w:w="1410"/>
        <w:gridCol w:w="1472"/>
      </w:tblGrid>
      <w:tr w:rsidR="006A330E" w:rsidRPr="00FF207E" w14:paraId="5425F027" w14:textId="77777777" w:rsidTr="00C0783C">
        <w:trPr>
          <w:tblHeader/>
        </w:trPr>
        <w:tc>
          <w:tcPr>
            <w:tcW w:w="1418" w:type="dxa"/>
            <w:shd w:val="clear" w:color="auto" w:fill="548DD4" w:themeFill="text2" w:themeFillTint="99"/>
            <w:vAlign w:val="center"/>
          </w:tcPr>
          <w:p w14:paraId="274441AD" w14:textId="77777777" w:rsidR="006A330E" w:rsidRPr="00FF207E" w:rsidRDefault="006A330E"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Oznaka ukrepa</w:t>
            </w:r>
          </w:p>
        </w:tc>
        <w:tc>
          <w:tcPr>
            <w:tcW w:w="3362" w:type="dxa"/>
            <w:shd w:val="clear" w:color="auto" w:fill="548DD4" w:themeFill="text2" w:themeFillTint="99"/>
            <w:vAlign w:val="center"/>
          </w:tcPr>
          <w:p w14:paraId="00985CB9" w14:textId="77777777" w:rsidR="006A330E" w:rsidRPr="00FF207E" w:rsidRDefault="006A330E"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Ime ukrepa</w:t>
            </w:r>
          </w:p>
        </w:tc>
        <w:tc>
          <w:tcPr>
            <w:tcW w:w="1410" w:type="dxa"/>
            <w:shd w:val="clear" w:color="auto" w:fill="548DD4" w:themeFill="text2" w:themeFillTint="99"/>
            <w:vAlign w:val="center"/>
          </w:tcPr>
          <w:p w14:paraId="7029D4A2" w14:textId="77777777" w:rsidR="006A330E" w:rsidRPr="00FF207E" w:rsidRDefault="006A330E"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Status ukrepa</w:t>
            </w:r>
          </w:p>
        </w:tc>
        <w:tc>
          <w:tcPr>
            <w:tcW w:w="1410" w:type="dxa"/>
            <w:shd w:val="clear" w:color="auto" w:fill="548DD4" w:themeFill="text2" w:themeFillTint="99"/>
            <w:vAlign w:val="center"/>
          </w:tcPr>
          <w:p w14:paraId="0FCF4A3C" w14:textId="77777777" w:rsidR="006A330E" w:rsidRPr="00FF207E" w:rsidRDefault="006A330E"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Vrsta ukrepa</w:t>
            </w:r>
          </w:p>
        </w:tc>
        <w:tc>
          <w:tcPr>
            <w:tcW w:w="1472" w:type="dxa"/>
            <w:shd w:val="clear" w:color="auto" w:fill="548DD4" w:themeFill="text2" w:themeFillTint="99"/>
            <w:vAlign w:val="center"/>
          </w:tcPr>
          <w:p w14:paraId="1E5F96B9" w14:textId="77777777" w:rsidR="006A330E" w:rsidRPr="00FF207E" w:rsidRDefault="006A330E"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Odgovornost</w:t>
            </w:r>
          </w:p>
        </w:tc>
      </w:tr>
      <w:tr w:rsidR="006A330E" w:rsidRPr="00FF207E" w14:paraId="5BF299B9" w14:textId="77777777" w:rsidTr="00C0783C">
        <w:tc>
          <w:tcPr>
            <w:tcW w:w="9072" w:type="dxa"/>
            <w:gridSpan w:val="5"/>
            <w:shd w:val="clear" w:color="auto" w:fill="C6D9F1" w:themeFill="text2" w:themeFillTint="33"/>
            <w:vAlign w:val="center"/>
          </w:tcPr>
          <w:p w14:paraId="744D7E49" w14:textId="47B718FD" w:rsidR="006A330E" w:rsidRPr="00FF207E" w:rsidRDefault="0006530A" w:rsidP="0006530A">
            <w:pPr>
              <w:spacing w:before="40" w:after="40" w:line="240" w:lineRule="auto"/>
              <w:jc w:val="both"/>
              <w:rPr>
                <w:rFonts w:cs="Arial"/>
                <w:b/>
                <w:sz w:val="18"/>
                <w:szCs w:val="18"/>
                <w:lang w:val="sl-SI"/>
              </w:rPr>
            </w:pPr>
            <w:r w:rsidRPr="00FF207E">
              <w:rPr>
                <w:rFonts w:cs="Arial"/>
                <w:b/>
                <w:sz w:val="18"/>
                <w:szCs w:val="18"/>
                <w:lang w:val="sl-SI"/>
              </w:rPr>
              <w:t xml:space="preserve">DRUGI </w:t>
            </w:r>
            <w:r w:rsidR="006A330E" w:rsidRPr="00FF207E">
              <w:rPr>
                <w:rFonts w:cs="Arial"/>
                <w:b/>
                <w:sz w:val="18"/>
                <w:szCs w:val="18"/>
                <w:lang w:val="sl-SI"/>
              </w:rPr>
              <w:t>FINANČNI UKREPI ZA ZMANJŠEVANJE ENERGETSKE REVŠČINE</w:t>
            </w:r>
          </w:p>
        </w:tc>
      </w:tr>
      <w:tr w:rsidR="006A330E" w:rsidRPr="00FF207E" w14:paraId="13021E6E" w14:textId="77777777" w:rsidTr="00C0783C">
        <w:tc>
          <w:tcPr>
            <w:tcW w:w="1418" w:type="dxa"/>
            <w:tcBorders>
              <w:bottom w:val="single" w:sz="4" w:space="0" w:color="548DD4" w:themeColor="text2" w:themeTint="99"/>
            </w:tcBorders>
            <w:shd w:val="clear" w:color="auto" w:fill="DAEEF3" w:themeFill="accent5" w:themeFillTint="33"/>
            <w:vAlign w:val="center"/>
          </w:tcPr>
          <w:p w14:paraId="05003AEF" w14:textId="77777777" w:rsidR="006A330E" w:rsidRPr="00FF207E" w:rsidRDefault="006A330E" w:rsidP="001E304B">
            <w:pPr>
              <w:spacing w:line="240" w:lineRule="auto"/>
              <w:jc w:val="both"/>
              <w:rPr>
                <w:rFonts w:cs="Arial"/>
                <w:b/>
                <w:sz w:val="18"/>
                <w:szCs w:val="18"/>
                <w:lang w:val="sl-SI"/>
              </w:rPr>
            </w:pPr>
            <w:r w:rsidRPr="00FF207E">
              <w:rPr>
                <w:rFonts w:cs="Arial"/>
                <w:b/>
                <w:sz w:val="18"/>
                <w:szCs w:val="18"/>
                <w:lang w:val="sl-SI"/>
              </w:rPr>
              <w:t>ER_Fin-01</w:t>
            </w:r>
          </w:p>
        </w:tc>
        <w:tc>
          <w:tcPr>
            <w:tcW w:w="3362" w:type="dxa"/>
            <w:tcBorders>
              <w:bottom w:val="single" w:sz="4" w:space="0" w:color="548DD4" w:themeColor="text2" w:themeTint="99"/>
            </w:tcBorders>
            <w:vAlign w:val="center"/>
          </w:tcPr>
          <w:p w14:paraId="74E18570" w14:textId="50A77381" w:rsidR="006A330E" w:rsidRPr="00FF207E" w:rsidRDefault="005428A9" w:rsidP="001E304B">
            <w:pPr>
              <w:spacing w:line="240" w:lineRule="auto"/>
              <w:jc w:val="both"/>
              <w:rPr>
                <w:rFonts w:cs="Arial"/>
                <w:color w:val="4F81BD" w:themeColor="accent1"/>
                <w:sz w:val="18"/>
                <w:szCs w:val="18"/>
                <w:u w:val="single"/>
                <w:lang w:val="sl-SI"/>
              </w:rPr>
            </w:pPr>
            <w:hyperlink w:anchor="_Sodelovanje_v_energetskih_1" w:history="1">
              <w:r w:rsidR="00EC2A00" w:rsidRPr="00FF207E">
                <w:rPr>
                  <w:rStyle w:val="Hiperpovezava"/>
                  <w:rFonts w:cs="Arial"/>
                  <w:color w:val="4F81BD" w:themeColor="accent1"/>
                  <w:sz w:val="18"/>
                  <w:szCs w:val="18"/>
                  <w:lang w:val="sl-SI"/>
                </w:rPr>
                <w:t>Sodelovanje v energetskih skupnostih</w:t>
              </w:r>
            </w:hyperlink>
          </w:p>
        </w:tc>
        <w:tc>
          <w:tcPr>
            <w:tcW w:w="1410" w:type="dxa"/>
            <w:tcBorders>
              <w:bottom w:val="single" w:sz="4" w:space="0" w:color="548DD4" w:themeColor="text2" w:themeTint="99"/>
            </w:tcBorders>
            <w:vAlign w:val="center"/>
          </w:tcPr>
          <w:p w14:paraId="0AC916BF" w14:textId="77777777" w:rsidR="006A330E" w:rsidRPr="00FF207E" w:rsidRDefault="006A330E" w:rsidP="001E304B">
            <w:pPr>
              <w:spacing w:line="240" w:lineRule="auto"/>
              <w:jc w:val="both"/>
              <w:rPr>
                <w:rFonts w:cs="Arial"/>
                <w:sz w:val="18"/>
                <w:szCs w:val="18"/>
                <w:lang w:val="sl-SI"/>
              </w:rPr>
            </w:pPr>
            <w:r w:rsidRPr="00FF207E">
              <w:rPr>
                <w:rFonts w:cs="Arial"/>
                <w:sz w:val="18"/>
                <w:szCs w:val="18"/>
                <w:lang w:val="sl-SI"/>
              </w:rPr>
              <w:t>nov ukrep</w:t>
            </w:r>
          </w:p>
        </w:tc>
        <w:tc>
          <w:tcPr>
            <w:tcW w:w="1410" w:type="dxa"/>
            <w:tcBorders>
              <w:bottom w:val="single" w:sz="4" w:space="0" w:color="548DD4" w:themeColor="text2" w:themeTint="99"/>
            </w:tcBorders>
            <w:vAlign w:val="center"/>
          </w:tcPr>
          <w:p w14:paraId="5F7A5701" w14:textId="6EBCCBD5" w:rsidR="006A330E" w:rsidRPr="00FF207E" w:rsidRDefault="006A330E" w:rsidP="001E304B">
            <w:pPr>
              <w:spacing w:line="240" w:lineRule="auto"/>
              <w:jc w:val="both"/>
              <w:rPr>
                <w:rFonts w:cs="Arial"/>
                <w:sz w:val="18"/>
                <w:szCs w:val="18"/>
                <w:lang w:val="sl-SI"/>
              </w:rPr>
            </w:pPr>
            <w:r w:rsidRPr="00FF207E">
              <w:rPr>
                <w:rFonts w:cs="Arial"/>
                <w:sz w:val="18"/>
                <w:szCs w:val="18"/>
                <w:lang w:val="sl-SI"/>
              </w:rPr>
              <w:t>sklop ukrepov (ekonomski, predpisi</w:t>
            </w:r>
            <w:r w:rsidR="00015C26" w:rsidRPr="00FF207E">
              <w:rPr>
                <w:rFonts w:cs="Arial"/>
                <w:sz w:val="18"/>
                <w:szCs w:val="18"/>
                <w:lang w:val="sl-SI"/>
              </w:rPr>
              <w:t>, pilotni projekt</w:t>
            </w:r>
            <w:r w:rsidRPr="00FF207E">
              <w:rPr>
                <w:rFonts w:cs="Arial"/>
                <w:sz w:val="18"/>
                <w:szCs w:val="18"/>
                <w:lang w:val="sl-SI"/>
              </w:rPr>
              <w:t>)</w:t>
            </w:r>
          </w:p>
        </w:tc>
        <w:tc>
          <w:tcPr>
            <w:tcW w:w="1472" w:type="dxa"/>
            <w:tcBorders>
              <w:bottom w:val="single" w:sz="4" w:space="0" w:color="548DD4" w:themeColor="text2" w:themeTint="99"/>
            </w:tcBorders>
            <w:vAlign w:val="center"/>
          </w:tcPr>
          <w:p w14:paraId="7368B559" w14:textId="3A70BE26" w:rsidR="006A330E" w:rsidRPr="00FF207E" w:rsidRDefault="006A330E" w:rsidP="001E304B">
            <w:pPr>
              <w:spacing w:line="240" w:lineRule="auto"/>
              <w:jc w:val="both"/>
              <w:rPr>
                <w:rFonts w:cs="Arial"/>
                <w:sz w:val="18"/>
                <w:szCs w:val="18"/>
                <w:lang w:val="sl-SI"/>
              </w:rPr>
            </w:pPr>
            <w:r w:rsidRPr="00FF207E">
              <w:rPr>
                <w:rFonts w:cs="Arial"/>
                <w:sz w:val="18"/>
                <w:szCs w:val="18"/>
                <w:lang w:val="sl-SI"/>
              </w:rPr>
              <w:t>MOPE</w:t>
            </w:r>
          </w:p>
        </w:tc>
      </w:tr>
      <w:tr w:rsidR="006A330E" w:rsidRPr="00FF207E" w14:paraId="242EF5D1" w14:textId="77777777" w:rsidTr="00C0783C">
        <w:tc>
          <w:tcPr>
            <w:tcW w:w="1418" w:type="dxa"/>
            <w:tcBorders>
              <w:top w:val="single" w:sz="4" w:space="0" w:color="548DD4" w:themeColor="text2" w:themeTint="99"/>
              <w:bottom w:val="single" w:sz="4" w:space="0" w:color="548DD4" w:themeColor="text2" w:themeTint="99"/>
            </w:tcBorders>
            <w:shd w:val="clear" w:color="auto" w:fill="DAEEF3" w:themeFill="accent5" w:themeFillTint="33"/>
            <w:vAlign w:val="center"/>
          </w:tcPr>
          <w:p w14:paraId="5356289E" w14:textId="77777777" w:rsidR="006A330E" w:rsidRPr="00FF207E" w:rsidRDefault="006A330E" w:rsidP="001E304B">
            <w:pPr>
              <w:spacing w:line="240" w:lineRule="auto"/>
              <w:jc w:val="both"/>
              <w:rPr>
                <w:rFonts w:cs="Arial"/>
                <w:b/>
                <w:sz w:val="18"/>
                <w:szCs w:val="18"/>
                <w:lang w:val="sl-SI"/>
              </w:rPr>
            </w:pPr>
            <w:r w:rsidRPr="00FF207E">
              <w:rPr>
                <w:rFonts w:cs="Arial"/>
                <w:b/>
                <w:sz w:val="18"/>
                <w:szCs w:val="18"/>
                <w:lang w:val="sl-SI"/>
              </w:rPr>
              <w:t>ER_Fin-02</w:t>
            </w:r>
          </w:p>
        </w:tc>
        <w:tc>
          <w:tcPr>
            <w:tcW w:w="3362" w:type="dxa"/>
            <w:tcBorders>
              <w:top w:val="single" w:sz="4" w:space="0" w:color="548DD4" w:themeColor="text2" w:themeTint="99"/>
              <w:bottom w:val="single" w:sz="4" w:space="0" w:color="548DD4" w:themeColor="text2" w:themeTint="99"/>
            </w:tcBorders>
            <w:vAlign w:val="center"/>
          </w:tcPr>
          <w:p w14:paraId="2B611A41" w14:textId="315A2BF6" w:rsidR="006A330E" w:rsidRPr="00FF207E" w:rsidRDefault="005428A9" w:rsidP="001E304B">
            <w:pPr>
              <w:spacing w:line="240" w:lineRule="auto"/>
              <w:jc w:val="both"/>
              <w:rPr>
                <w:rFonts w:cs="Arial"/>
                <w:color w:val="4F81BD" w:themeColor="accent1"/>
                <w:sz w:val="18"/>
                <w:szCs w:val="18"/>
                <w:u w:val="single"/>
                <w:lang w:val="sl-SI"/>
              </w:rPr>
            </w:pPr>
            <w:hyperlink w:anchor="_Denarna_pomoč_CSD_3" w:history="1">
              <w:r w:rsidR="00FC10B5" w:rsidRPr="00FF207E">
                <w:rPr>
                  <w:rStyle w:val="Hiperpovezava"/>
                  <w:rFonts w:cs="Arial"/>
                  <w:color w:val="4F81BD" w:themeColor="accent1"/>
                  <w:sz w:val="18"/>
                  <w:szCs w:val="18"/>
                  <w:lang w:val="sl-SI"/>
                </w:rPr>
                <w:t xml:space="preserve">Denarna pomoč CSD pri ukrepih URE in </w:t>
              </w:r>
              <w:r w:rsidR="00026105" w:rsidRPr="00FF207E">
                <w:rPr>
                  <w:rStyle w:val="Hiperpovezava"/>
                  <w:rFonts w:cs="Arial"/>
                  <w:color w:val="4F81BD" w:themeColor="accent1"/>
                  <w:sz w:val="18"/>
                  <w:szCs w:val="18"/>
                  <w:lang w:val="sl-SI"/>
                </w:rPr>
                <w:t xml:space="preserve">rabe </w:t>
              </w:r>
              <w:r w:rsidR="00FC10B5" w:rsidRPr="00FF207E">
                <w:rPr>
                  <w:rStyle w:val="Hiperpovezava"/>
                  <w:rFonts w:cs="Arial"/>
                  <w:color w:val="4F81BD" w:themeColor="accent1"/>
                  <w:sz w:val="18"/>
                  <w:szCs w:val="18"/>
                  <w:lang w:val="sl-SI"/>
                </w:rPr>
                <w:t>OVE</w:t>
              </w:r>
            </w:hyperlink>
          </w:p>
        </w:tc>
        <w:tc>
          <w:tcPr>
            <w:tcW w:w="1410" w:type="dxa"/>
            <w:tcBorders>
              <w:top w:val="single" w:sz="4" w:space="0" w:color="548DD4" w:themeColor="text2" w:themeTint="99"/>
              <w:bottom w:val="single" w:sz="4" w:space="0" w:color="548DD4" w:themeColor="text2" w:themeTint="99"/>
            </w:tcBorders>
            <w:vAlign w:val="center"/>
          </w:tcPr>
          <w:p w14:paraId="4738F5D2" w14:textId="56466CC3" w:rsidR="006A330E" w:rsidRPr="00FF207E" w:rsidRDefault="00736A5E" w:rsidP="001E304B">
            <w:pPr>
              <w:spacing w:line="240" w:lineRule="auto"/>
              <w:jc w:val="both"/>
              <w:rPr>
                <w:rFonts w:cs="Arial"/>
                <w:sz w:val="18"/>
                <w:szCs w:val="18"/>
                <w:lang w:val="sl-SI"/>
              </w:rPr>
            </w:pPr>
            <w:r w:rsidRPr="00FF207E">
              <w:rPr>
                <w:rFonts w:cs="Arial"/>
                <w:sz w:val="18"/>
                <w:szCs w:val="18"/>
                <w:lang w:val="sl-SI"/>
              </w:rPr>
              <w:t xml:space="preserve">veljaven </w:t>
            </w:r>
            <w:r w:rsidR="006A330E" w:rsidRPr="00FF207E">
              <w:rPr>
                <w:rFonts w:cs="Arial"/>
                <w:sz w:val="18"/>
                <w:szCs w:val="18"/>
                <w:lang w:val="sl-SI"/>
              </w:rPr>
              <w:t>ukrep z nadgradnjo</w:t>
            </w:r>
          </w:p>
        </w:tc>
        <w:tc>
          <w:tcPr>
            <w:tcW w:w="1410" w:type="dxa"/>
            <w:tcBorders>
              <w:top w:val="single" w:sz="4" w:space="0" w:color="548DD4" w:themeColor="text2" w:themeTint="99"/>
              <w:bottom w:val="single" w:sz="4" w:space="0" w:color="548DD4" w:themeColor="text2" w:themeTint="99"/>
            </w:tcBorders>
            <w:vAlign w:val="center"/>
          </w:tcPr>
          <w:p w14:paraId="6F3B5AB1" w14:textId="77777777" w:rsidR="006A330E" w:rsidRPr="00FF207E" w:rsidRDefault="006A330E" w:rsidP="001E304B">
            <w:pPr>
              <w:spacing w:line="240" w:lineRule="auto"/>
              <w:jc w:val="both"/>
              <w:rPr>
                <w:rFonts w:cs="Arial"/>
                <w:sz w:val="18"/>
                <w:szCs w:val="18"/>
                <w:lang w:val="sl-SI"/>
              </w:rPr>
            </w:pPr>
            <w:r w:rsidRPr="00FF207E">
              <w:rPr>
                <w:rFonts w:cs="Arial"/>
                <w:sz w:val="18"/>
                <w:szCs w:val="18"/>
                <w:lang w:val="sl-SI"/>
              </w:rPr>
              <w:t>ekonomski</w:t>
            </w:r>
          </w:p>
        </w:tc>
        <w:tc>
          <w:tcPr>
            <w:tcW w:w="1472" w:type="dxa"/>
            <w:tcBorders>
              <w:top w:val="single" w:sz="4" w:space="0" w:color="548DD4" w:themeColor="text2" w:themeTint="99"/>
              <w:bottom w:val="single" w:sz="4" w:space="0" w:color="548DD4" w:themeColor="text2" w:themeTint="99"/>
            </w:tcBorders>
            <w:vAlign w:val="center"/>
          </w:tcPr>
          <w:p w14:paraId="53133D99" w14:textId="77777777" w:rsidR="006A330E" w:rsidRPr="00FF207E" w:rsidRDefault="006A330E" w:rsidP="001E304B">
            <w:pPr>
              <w:spacing w:line="240" w:lineRule="auto"/>
              <w:jc w:val="both"/>
              <w:rPr>
                <w:rFonts w:cs="Arial"/>
                <w:sz w:val="18"/>
                <w:szCs w:val="18"/>
                <w:lang w:val="sl-SI"/>
              </w:rPr>
            </w:pPr>
            <w:r w:rsidRPr="00FF207E">
              <w:rPr>
                <w:rFonts w:cs="Arial"/>
                <w:sz w:val="18"/>
                <w:szCs w:val="18"/>
                <w:lang w:val="sl-SI"/>
              </w:rPr>
              <w:t>MDDSZ</w:t>
            </w:r>
          </w:p>
        </w:tc>
      </w:tr>
      <w:tr w:rsidR="006A330E" w:rsidRPr="00FF207E" w14:paraId="1DCC3CCE" w14:textId="77777777" w:rsidTr="00C0783C">
        <w:tc>
          <w:tcPr>
            <w:tcW w:w="9072" w:type="dxa"/>
            <w:gridSpan w:val="5"/>
            <w:shd w:val="clear" w:color="auto" w:fill="C6D9F1" w:themeFill="text2" w:themeFillTint="33"/>
            <w:vAlign w:val="center"/>
          </w:tcPr>
          <w:p w14:paraId="411A0204" w14:textId="66C76049" w:rsidR="006A330E" w:rsidRPr="00FF207E" w:rsidRDefault="0006530A" w:rsidP="0006530A">
            <w:pPr>
              <w:spacing w:before="40" w:after="40" w:line="240" w:lineRule="auto"/>
              <w:jc w:val="both"/>
              <w:rPr>
                <w:rFonts w:cs="Arial"/>
                <w:b/>
                <w:sz w:val="18"/>
                <w:szCs w:val="18"/>
                <w:lang w:val="sl-SI"/>
              </w:rPr>
            </w:pPr>
            <w:r w:rsidRPr="00FF207E">
              <w:rPr>
                <w:rFonts w:cs="Arial"/>
                <w:b/>
                <w:sz w:val="18"/>
                <w:szCs w:val="18"/>
                <w:lang w:val="sl-SI"/>
              </w:rPr>
              <w:t xml:space="preserve">DRUGI </w:t>
            </w:r>
            <w:r w:rsidR="006A330E" w:rsidRPr="00FF207E">
              <w:rPr>
                <w:rFonts w:cs="Arial"/>
                <w:b/>
                <w:sz w:val="18"/>
                <w:szCs w:val="18"/>
                <w:lang w:val="sl-SI"/>
              </w:rPr>
              <w:t>NEFINANČNI UKREPI ZA ZMANJŠEVANJE ENERGETSKE REVŠČINE</w:t>
            </w:r>
          </w:p>
        </w:tc>
      </w:tr>
      <w:tr w:rsidR="006A330E" w:rsidRPr="00FF207E" w14:paraId="4B548449" w14:textId="77777777" w:rsidTr="00C0783C">
        <w:tc>
          <w:tcPr>
            <w:tcW w:w="1418" w:type="dxa"/>
            <w:shd w:val="clear" w:color="auto" w:fill="DAEEF3" w:themeFill="accent5" w:themeFillTint="33"/>
            <w:vAlign w:val="center"/>
          </w:tcPr>
          <w:p w14:paraId="3F456D26" w14:textId="77777777" w:rsidR="006A330E" w:rsidRPr="00FF207E" w:rsidRDefault="006A330E" w:rsidP="001E304B">
            <w:pPr>
              <w:spacing w:line="240" w:lineRule="auto"/>
              <w:jc w:val="both"/>
              <w:rPr>
                <w:rFonts w:cs="Arial"/>
                <w:b/>
                <w:sz w:val="18"/>
                <w:szCs w:val="18"/>
                <w:lang w:val="sl-SI"/>
              </w:rPr>
            </w:pPr>
            <w:r w:rsidRPr="00FF207E">
              <w:rPr>
                <w:rFonts w:cs="Arial"/>
                <w:b/>
                <w:sz w:val="18"/>
                <w:szCs w:val="18"/>
                <w:lang w:val="sl-SI"/>
              </w:rPr>
              <w:t>ER_NeFin-01</w:t>
            </w:r>
          </w:p>
        </w:tc>
        <w:tc>
          <w:tcPr>
            <w:tcW w:w="3362" w:type="dxa"/>
            <w:vAlign w:val="center"/>
          </w:tcPr>
          <w:p w14:paraId="65791B20" w14:textId="7B384124" w:rsidR="006A330E" w:rsidRPr="00FF207E" w:rsidRDefault="005428A9" w:rsidP="001E304B">
            <w:pPr>
              <w:spacing w:line="240" w:lineRule="auto"/>
              <w:jc w:val="both"/>
              <w:rPr>
                <w:rFonts w:cs="Arial"/>
                <w:color w:val="4F81BD" w:themeColor="accent1"/>
                <w:sz w:val="18"/>
                <w:szCs w:val="18"/>
                <w:u w:val="single"/>
                <w:lang w:val="sl-SI"/>
              </w:rPr>
            </w:pPr>
            <w:hyperlink w:anchor="_Sprememba_Uredbe_o" w:history="1">
              <w:r w:rsidR="00FC10B5" w:rsidRPr="00FF207E">
                <w:rPr>
                  <w:rStyle w:val="Hiperpovezava"/>
                  <w:rFonts w:cs="Arial"/>
                  <w:color w:val="4F81BD" w:themeColor="accent1"/>
                  <w:sz w:val="18"/>
                  <w:szCs w:val="18"/>
                  <w:lang w:val="sl-SI"/>
                </w:rPr>
                <w:t>Sprememba Uredbe o merilih za opredelitev in ocenjevanje števila energetsko revnih gospodinjstev</w:t>
              </w:r>
            </w:hyperlink>
          </w:p>
        </w:tc>
        <w:tc>
          <w:tcPr>
            <w:tcW w:w="1410" w:type="dxa"/>
            <w:vAlign w:val="center"/>
          </w:tcPr>
          <w:p w14:paraId="72129009" w14:textId="09C5BC7F" w:rsidR="006A330E" w:rsidRPr="00FF207E" w:rsidRDefault="00736A5E" w:rsidP="001E304B">
            <w:pPr>
              <w:spacing w:line="240" w:lineRule="auto"/>
              <w:jc w:val="both"/>
              <w:rPr>
                <w:rFonts w:cs="Arial"/>
                <w:sz w:val="18"/>
                <w:szCs w:val="18"/>
                <w:lang w:val="sl-SI"/>
              </w:rPr>
            </w:pPr>
            <w:r w:rsidRPr="00FF207E">
              <w:rPr>
                <w:rFonts w:cs="Arial"/>
                <w:sz w:val="18"/>
                <w:szCs w:val="18"/>
                <w:lang w:val="sl-SI"/>
              </w:rPr>
              <w:t xml:space="preserve">veljaven </w:t>
            </w:r>
            <w:r w:rsidR="006A330E" w:rsidRPr="00FF207E">
              <w:rPr>
                <w:rFonts w:cs="Arial"/>
                <w:sz w:val="18"/>
                <w:szCs w:val="18"/>
                <w:lang w:val="sl-SI"/>
              </w:rPr>
              <w:t>ukrep z nadgradnjo</w:t>
            </w:r>
          </w:p>
        </w:tc>
        <w:tc>
          <w:tcPr>
            <w:tcW w:w="1410" w:type="dxa"/>
            <w:vAlign w:val="center"/>
          </w:tcPr>
          <w:p w14:paraId="4D2C9B4F" w14:textId="77777777" w:rsidR="006A330E" w:rsidRPr="00FF207E" w:rsidRDefault="006A330E" w:rsidP="001E304B">
            <w:pPr>
              <w:spacing w:line="240" w:lineRule="auto"/>
              <w:jc w:val="both"/>
              <w:rPr>
                <w:rFonts w:cs="Arial"/>
                <w:sz w:val="18"/>
                <w:szCs w:val="18"/>
                <w:lang w:val="sl-SI"/>
              </w:rPr>
            </w:pPr>
            <w:r w:rsidRPr="00FF207E">
              <w:rPr>
                <w:rFonts w:cs="Arial"/>
                <w:sz w:val="18"/>
                <w:szCs w:val="18"/>
                <w:lang w:val="sl-SI"/>
              </w:rPr>
              <w:t>predpis</w:t>
            </w:r>
          </w:p>
        </w:tc>
        <w:tc>
          <w:tcPr>
            <w:tcW w:w="1472" w:type="dxa"/>
            <w:vAlign w:val="center"/>
          </w:tcPr>
          <w:p w14:paraId="434F1139" w14:textId="3E3BD090" w:rsidR="006A330E" w:rsidRPr="00FF207E" w:rsidRDefault="006A330E" w:rsidP="001E304B">
            <w:pPr>
              <w:spacing w:line="240" w:lineRule="auto"/>
              <w:jc w:val="both"/>
              <w:rPr>
                <w:rFonts w:cs="Arial"/>
                <w:sz w:val="18"/>
                <w:szCs w:val="18"/>
                <w:lang w:val="sl-SI"/>
              </w:rPr>
            </w:pPr>
            <w:r w:rsidRPr="00FF207E">
              <w:rPr>
                <w:rFonts w:cs="Arial"/>
                <w:sz w:val="18"/>
                <w:szCs w:val="18"/>
                <w:lang w:val="sl-SI"/>
              </w:rPr>
              <w:t>MOPE</w:t>
            </w:r>
          </w:p>
        </w:tc>
      </w:tr>
      <w:tr w:rsidR="006A330E" w:rsidRPr="00FF207E" w14:paraId="40008D78" w14:textId="77777777" w:rsidTr="00C0783C">
        <w:tc>
          <w:tcPr>
            <w:tcW w:w="1418" w:type="dxa"/>
            <w:shd w:val="clear" w:color="auto" w:fill="DAEEF3" w:themeFill="accent5" w:themeFillTint="33"/>
            <w:vAlign w:val="center"/>
          </w:tcPr>
          <w:p w14:paraId="0463B06D" w14:textId="77777777" w:rsidR="006A330E" w:rsidRPr="00FF207E" w:rsidRDefault="006A330E" w:rsidP="001E304B">
            <w:pPr>
              <w:spacing w:line="240" w:lineRule="auto"/>
              <w:jc w:val="both"/>
              <w:rPr>
                <w:rFonts w:cs="Arial"/>
                <w:b/>
                <w:sz w:val="18"/>
                <w:szCs w:val="18"/>
                <w:lang w:val="sl-SI"/>
              </w:rPr>
            </w:pPr>
            <w:r w:rsidRPr="00FF207E">
              <w:rPr>
                <w:rFonts w:cs="Arial"/>
                <w:b/>
                <w:sz w:val="18"/>
                <w:szCs w:val="18"/>
                <w:lang w:val="sl-SI"/>
              </w:rPr>
              <w:t>ER_NeFin-02</w:t>
            </w:r>
          </w:p>
        </w:tc>
        <w:tc>
          <w:tcPr>
            <w:tcW w:w="3362" w:type="dxa"/>
            <w:vAlign w:val="center"/>
          </w:tcPr>
          <w:p w14:paraId="7F73F925" w14:textId="3827EF06" w:rsidR="006A330E" w:rsidRPr="00FF207E" w:rsidRDefault="005428A9" w:rsidP="001E304B">
            <w:pPr>
              <w:spacing w:line="240" w:lineRule="auto"/>
              <w:jc w:val="both"/>
              <w:rPr>
                <w:rFonts w:cs="Arial"/>
                <w:color w:val="4F81BD" w:themeColor="accent1"/>
                <w:sz w:val="18"/>
                <w:szCs w:val="18"/>
                <w:u w:val="single"/>
                <w:lang w:val="sl-SI"/>
              </w:rPr>
            </w:pPr>
            <w:hyperlink w:anchor="_Vodenje_izvajanja,_spremljanje" w:history="1">
              <w:r w:rsidR="000D7F66" w:rsidRPr="00FF207E">
                <w:rPr>
                  <w:rStyle w:val="Hiperpovezava"/>
                  <w:rFonts w:cs="Arial"/>
                  <w:color w:val="4F81BD" w:themeColor="accent1"/>
                  <w:sz w:val="18"/>
                  <w:szCs w:val="18"/>
                  <w:lang w:val="sl-SI"/>
                </w:rPr>
                <w:t>Vodenje izvajanja, spremljanje izvajanja in posodabljanje akcijskega načrta</w:t>
              </w:r>
            </w:hyperlink>
          </w:p>
        </w:tc>
        <w:tc>
          <w:tcPr>
            <w:tcW w:w="1410" w:type="dxa"/>
            <w:vAlign w:val="center"/>
          </w:tcPr>
          <w:p w14:paraId="1F29FF72" w14:textId="01DCFDCD" w:rsidR="006A330E" w:rsidRPr="00FF207E" w:rsidRDefault="00736A5E" w:rsidP="001E304B">
            <w:pPr>
              <w:spacing w:line="240" w:lineRule="auto"/>
              <w:jc w:val="both"/>
              <w:rPr>
                <w:rFonts w:cs="Arial"/>
                <w:sz w:val="18"/>
                <w:szCs w:val="18"/>
                <w:lang w:val="sl-SI"/>
              </w:rPr>
            </w:pPr>
            <w:r w:rsidRPr="00FF207E">
              <w:rPr>
                <w:rFonts w:cs="Arial"/>
                <w:sz w:val="18"/>
                <w:szCs w:val="18"/>
                <w:lang w:val="sl-SI"/>
              </w:rPr>
              <w:t xml:space="preserve">veljaven </w:t>
            </w:r>
            <w:r w:rsidR="006A330E" w:rsidRPr="00FF207E">
              <w:rPr>
                <w:rFonts w:cs="Arial"/>
                <w:sz w:val="18"/>
                <w:szCs w:val="18"/>
                <w:lang w:val="sl-SI"/>
              </w:rPr>
              <w:t>ukrep z nadgradnjo</w:t>
            </w:r>
          </w:p>
        </w:tc>
        <w:tc>
          <w:tcPr>
            <w:tcW w:w="1410" w:type="dxa"/>
            <w:vAlign w:val="center"/>
          </w:tcPr>
          <w:p w14:paraId="29398DC2" w14:textId="77777777" w:rsidR="006A330E" w:rsidRPr="00FF207E" w:rsidRDefault="006A330E" w:rsidP="001E304B">
            <w:pPr>
              <w:spacing w:line="240" w:lineRule="auto"/>
              <w:jc w:val="both"/>
              <w:rPr>
                <w:rFonts w:cs="Arial"/>
                <w:sz w:val="18"/>
                <w:szCs w:val="18"/>
                <w:lang w:val="sl-SI"/>
              </w:rPr>
            </w:pPr>
            <w:r w:rsidRPr="00FF207E">
              <w:rPr>
                <w:rFonts w:cs="Arial"/>
                <w:sz w:val="18"/>
                <w:szCs w:val="18"/>
                <w:lang w:val="sl-SI"/>
              </w:rPr>
              <w:t>predpis</w:t>
            </w:r>
          </w:p>
        </w:tc>
        <w:tc>
          <w:tcPr>
            <w:tcW w:w="1472" w:type="dxa"/>
            <w:vAlign w:val="center"/>
          </w:tcPr>
          <w:p w14:paraId="2000210C" w14:textId="66D94BB1" w:rsidR="006A330E" w:rsidRPr="00FF207E" w:rsidRDefault="006A330E" w:rsidP="001E304B">
            <w:pPr>
              <w:spacing w:line="240" w:lineRule="auto"/>
              <w:jc w:val="both"/>
              <w:rPr>
                <w:rFonts w:cs="Arial"/>
                <w:sz w:val="18"/>
                <w:szCs w:val="18"/>
                <w:lang w:val="sl-SI"/>
              </w:rPr>
            </w:pPr>
            <w:r w:rsidRPr="00FF207E">
              <w:rPr>
                <w:rFonts w:cs="Arial"/>
                <w:sz w:val="18"/>
                <w:szCs w:val="18"/>
                <w:lang w:val="sl-SI"/>
              </w:rPr>
              <w:t>MOPE</w:t>
            </w:r>
          </w:p>
        </w:tc>
      </w:tr>
      <w:tr w:rsidR="006A330E" w:rsidRPr="00FF207E" w14:paraId="73C60BA2" w14:textId="77777777" w:rsidTr="00C0783C">
        <w:tc>
          <w:tcPr>
            <w:tcW w:w="1418" w:type="dxa"/>
            <w:shd w:val="clear" w:color="auto" w:fill="DAEEF3" w:themeFill="accent5" w:themeFillTint="33"/>
            <w:vAlign w:val="center"/>
          </w:tcPr>
          <w:p w14:paraId="704012B3" w14:textId="77777777" w:rsidR="006A330E" w:rsidRPr="00FF207E" w:rsidRDefault="006A330E" w:rsidP="001E304B">
            <w:pPr>
              <w:spacing w:line="240" w:lineRule="auto"/>
              <w:jc w:val="both"/>
              <w:rPr>
                <w:rFonts w:cs="Arial"/>
                <w:b/>
                <w:sz w:val="18"/>
                <w:szCs w:val="18"/>
                <w:lang w:val="sl-SI"/>
              </w:rPr>
            </w:pPr>
            <w:r w:rsidRPr="00FF207E">
              <w:rPr>
                <w:rFonts w:cs="Arial"/>
                <w:b/>
                <w:sz w:val="18"/>
                <w:szCs w:val="18"/>
                <w:lang w:val="sl-SI"/>
              </w:rPr>
              <w:t>ER_NeFin-03</w:t>
            </w:r>
          </w:p>
        </w:tc>
        <w:tc>
          <w:tcPr>
            <w:tcW w:w="3362" w:type="dxa"/>
            <w:vAlign w:val="center"/>
          </w:tcPr>
          <w:p w14:paraId="651A629F" w14:textId="6F099736" w:rsidR="006A330E" w:rsidRPr="00FF207E" w:rsidRDefault="005428A9" w:rsidP="001E304B">
            <w:pPr>
              <w:spacing w:line="240" w:lineRule="auto"/>
              <w:jc w:val="both"/>
              <w:rPr>
                <w:rFonts w:cs="Arial"/>
                <w:bCs/>
                <w:color w:val="4F81BD" w:themeColor="accent1"/>
                <w:sz w:val="18"/>
                <w:szCs w:val="18"/>
                <w:u w:val="single"/>
                <w:lang w:val="sl-SI"/>
              </w:rPr>
            </w:pPr>
            <w:hyperlink w:anchor="_Zaščita_pred_odklopom" w:history="1">
              <w:r w:rsidR="00FC10B5" w:rsidRPr="00FF207E">
                <w:rPr>
                  <w:rStyle w:val="Hiperpovezava"/>
                  <w:rFonts w:cs="Arial"/>
                  <w:bCs/>
                  <w:color w:val="4F81BD" w:themeColor="accent1"/>
                  <w:sz w:val="18"/>
                  <w:szCs w:val="18"/>
                  <w:lang w:val="sl-SI"/>
                </w:rPr>
                <w:t>Zaščita pred odklopom in nujna oskrba</w:t>
              </w:r>
            </w:hyperlink>
          </w:p>
        </w:tc>
        <w:tc>
          <w:tcPr>
            <w:tcW w:w="1410" w:type="dxa"/>
            <w:vAlign w:val="center"/>
          </w:tcPr>
          <w:p w14:paraId="404668DF" w14:textId="160154A7" w:rsidR="006A330E" w:rsidRPr="00FF207E" w:rsidRDefault="00736A5E" w:rsidP="001E304B">
            <w:pPr>
              <w:spacing w:line="240" w:lineRule="auto"/>
              <w:jc w:val="both"/>
              <w:rPr>
                <w:rFonts w:cs="Arial"/>
                <w:sz w:val="18"/>
                <w:szCs w:val="18"/>
                <w:lang w:val="sl-SI"/>
              </w:rPr>
            </w:pPr>
            <w:r w:rsidRPr="00FF207E">
              <w:rPr>
                <w:rFonts w:cs="Arial"/>
                <w:sz w:val="18"/>
                <w:szCs w:val="18"/>
                <w:lang w:val="sl-SI"/>
              </w:rPr>
              <w:t xml:space="preserve">veljaven </w:t>
            </w:r>
            <w:r w:rsidR="006A330E" w:rsidRPr="00FF207E">
              <w:rPr>
                <w:rFonts w:cs="Arial"/>
                <w:sz w:val="18"/>
                <w:szCs w:val="18"/>
                <w:lang w:val="sl-SI"/>
              </w:rPr>
              <w:t>ukrep z nadgradnjo</w:t>
            </w:r>
          </w:p>
        </w:tc>
        <w:tc>
          <w:tcPr>
            <w:tcW w:w="1410" w:type="dxa"/>
            <w:vAlign w:val="center"/>
          </w:tcPr>
          <w:p w14:paraId="6831F732" w14:textId="77777777" w:rsidR="006A330E" w:rsidRPr="00FF207E" w:rsidRDefault="006A330E" w:rsidP="001E304B">
            <w:pPr>
              <w:spacing w:line="240" w:lineRule="auto"/>
              <w:jc w:val="both"/>
              <w:rPr>
                <w:rFonts w:cs="Arial"/>
                <w:sz w:val="18"/>
                <w:szCs w:val="18"/>
                <w:lang w:val="sl-SI"/>
              </w:rPr>
            </w:pPr>
            <w:r w:rsidRPr="00FF207E">
              <w:rPr>
                <w:rFonts w:cs="Arial"/>
                <w:sz w:val="18"/>
                <w:szCs w:val="18"/>
                <w:lang w:val="sl-SI"/>
              </w:rPr>
              <w:t>sklop ukrepov (predpis, informiranje in ozaveščanje)</w:t>
            </w:r>
          </w:p>
        </w:tc>
        <w:tc>
          <w:tcPr>
            <w:tcW w:w="1472" w:type="dxa"/>
            <w:vAlign w:val="center"/>
          </w:tcPr>
          <w:p w14:paraId="5FE51E3E" w14:textId="0B422282" w:rsidR="006A330E" w:rsidRPr="00FF207E" w:rsidRDefault="006A330E" w:rsidP="001E304B">
            <w:pPr>
              <w:spacing w:line="240" w:lineRule="auto"/>
              <w:jc w:val="both"/>
              <w:rPr>
                <w:rFonts w:cs="Arial"/>
                <w:sz w:val="18"/>
                <w:szCs w:val="18"/>
                <w:lang w:val="sl-SI"/>
              </w:rPr>
            </w:pPr>
            <w:r w:rsidRPr="00FF207E">
              <w:rPr>
                <w:rFonts w:cs="Arial"/>
                <w:sz w:val="18"/>
                <w:szCs w:val="18"/>
                <w:lang w:val="sl-SI"/>
              </w:rPr>
              <w:t>MOPE, Agencija za energijo</w:t>
            </w:r>
          </w:p>
        </w:tc>
      </w:tr>
      <w:tr w:rsidR="006A330E" w:rsidRPr="00FF207E" w14:paraId="13EB1532" w14:textId="77777777" w:rsidTr="00C0783C">
        <w:tc>
          <w:tcPr>
            <w:tcW w:w="1418" w:type="dxa"/>
            <w:shd w:val="clear" w:color="auto" w:fill="DAEEF3" w:themeFill="accent5" w:themeFillTint="33"/>
            <w:vAlign w:val="center"/>
          </w:tcPr>
          <w:p w14:paraId="0FB94143" w14:textId="77777777" w:rsidR="006A330E" w:rsidRPr="00FF207E" w:rsidRDefault="006A330E" w:rsidP="001E304B">
            <w:pPr>
              <w:spacing w:line="240" w:lineRule="auto"/>
              <w:jc w:val="both"/>
              <w:rPr>
                <w:rFonts w:cs="Arial"/>
                <w:b/>
                <w:sz w:val="18"/>
                <w:szCs w:val="18"/>
                <w:lang w:val="sl-SI"/>
              </w:rPr>
            </w:pPr>
            <w:r w:rsidRPr="00FF207E">
              <w:rPr>
                <w:rFonts w:cs="Arial"/>
                <w:b/>
                <w:sz w:val="18"/>
                <w:szCs w:val="18"/>
                <w:lang w:val="sl-SI"/>
              </w:rPr>
              <w:t>ER_NeFin-04</w:t>
            </w:r>
          </w:p>
        </w:tc>
        <w:tc>
          <w:tcPr>
            <w:tcW w:w="3362" w:type="dxa"/>
            <w:vAlign w:val="center"/>
          </w:tcPr>
          <w:p w14:paraId="5109611C" w14:textId="5DFAF13F" w:rsidR="006A330E" w:rsidRPr="00FF207E" w:rsidRDefault="005428A9" w:rsidP="001E304B">
            <w:pPr>
              <w:spacing w:line="240" w:lineRule="auto"/>
              <w:jc w:val="both"/>
              <w:rPr>
                <w:rFonts w:cs="Arial"/>
                <w:bCs/>
                <w:color w:val="4F81BD" w:themeColor="accent1"/>
                <w:sz w:val="18"/>
                <w:szCs w:val="18"/>
                <w:u w:val="single"/>
                <w:lang w:val="sl-SI"/>
              </w:rPr>
            </w:pPr>
            <w:hyperlink w:anchor="_Vključevanje_energetske_revščine" w:history="1">
              <w:r w:rsidR="00FC10B5" w:rsidRPr="00FF207E">
                <w:rPr>
                  <w:rStyle w:val="Hiperpovezava"/>
                  <w:rFonts w:cs="Arial"/>
                  <w:bCs/>
                  <w:color w:val="4F81BD" w:themeColor="accent1"/>
                  <w:sz w:val="18"/>
                  <w:szCs w:val="18"/>
                  <w:lang w:val="sl-SI"/>
                </w:rPr>
                <w:t>Vključevanje energetske revščine v lokalne energetske koncepte</w:t>
              </w:r>
            </w:hyperlink>
          </w:p>
        </w:tc>
        <w:tc>
          <w:tcPr>
            <w:tcW w:w="1410" w:type="dxa"/>
            <w:vAlign w:val="center"/>
          </w:tcPr>
          <w:p w14:paraId="6FDF4ABB" w14:textId="77777777" w:rsidR="006A330E" w:rsidRPr="00FF207E" w:rsidRDefault="006A330E" w:rsidP="001E304B">
            <w:pPr>
              <w:spacing w:line="240" w:lineRule="auto"/>
              <w:jc w:val="both"/>
              <w:rPr>
                <w:rFonts w:cs="Arial"/>
                <w:sz w:val="18"/>
                <w:szCs w:val="18"/>
                <w:lang w:val="sl-SI"/>
              </w:rPr>
            </w:pPr>
            <w:r w:rsidRPr="00FF207E">
              <w:rPr>
                <w:rFonts w:cs="Arial"/>
                <w:sz w:val="18"/>
                <w:szCs w:val="18"/>
                <w:lang w:val="sl-SI"/>
              </w:rPr>
              <w:t>nov ukrep</w:t>
            </w:r>
          </w:p>
        </w:tc>
        <w:tc>
          <w:tcPr>
            <w:tcW w:w="1410" w:type="dxa"/>
            <w:vAlign w:val="center"/>
          </w:tcPr>
          <w:p w14:paraId="6442E6C9" w14:textId="77777777" w:rsidR="006A330E" w:rsidRPr="00FF207E" w:rsidRDefault="006A330E" w:rsidP="001E304B">
            <w:pPr>
              <w:spacing w:line="240" w:lineRule="auto"/>
              <w:jc w:val="both"/>
              <w:rPr>
                <w:rFonts w:cs="Arial"/>
                <w:sz w:val="18"/>
                <w:szCs w:val="18"/>
                <w:lang w:val="sl-SI"/>
              </w:rPr>
            </w:pPr>
            <w:r w:rsidRPr="00FF207E">
              <w:rPr>
                <w:rFonts w:cs="Arial"/>
                <w:sz w:val="18"/>
                <w:szCs w:val="18"/>
                <w:lang w:val="sl-SI"/>
              </w:rPr>
              <w:t>načrtovanje</w:t>
            </w:r>
          </w:p>
        </w:tc>
        <w:tc>
          <w:tcPr>
            <w:tcW w:w="1472" w:type="dxa"/>
            <w:vAlign w:val="center"/>
          </w:tcPr>
          <w:p w14:paraId="759C9AC9" w14:textId="0E9B86CF" w:rsidR="006A330E" w:rsidRPr="00FF207E" w:rsidRDefault="006A330E" w:rsidP="001E304B">
            <w:pPr>
              <w:spacing w:line="240" w:lineRule="auto"/>
              <w:jc w:val="both"/>
              <w:rPr>
                <w:rFonts w:cs="Arial"/>
                <w:sz w:val="18"/>
                <w:szCs w:val="18"/>
                <w:lang w:val="sl-SI"/>
              </w:rPr>
            </w:pPr>
            <w:r w:rsidRPr="00FF207E">
              <w:rPr>
                <w:rFonts w:cs="Arial"/>
                <w:sz w:val="18"/>
                <w:szCs w:val="18"/>
                <w:lang w:val="sl-SI"/>
              </w:rPr>
              <w:t>MOPE, občine</w:t>
            </w:r>
          </w:p>
        </w:tc>
      </w:tr>
      <w:tr w:rsidR="006A330E" w:rsidRPr="00FF207E" w14:paraId="49E3F735" w14:textId="77777777" w:rsidTr="00C0783C">
        <w:tc>
          <w:tcPr>
            <w:tcW w:w="1418" w:type="dxa"/>
            <w:tcBorders>
              <w:top w:val="single" w:sz="4" w:space="0" w:color="548DD4" w:themeColor="text2" w:themeTint="99"/>
              <w:bottom w:val="single" w:sz="4" w:space="0" w:color="548DD4" w:themeColor="text2" w:themeTint="99"/>
            </w:tcBorders>
            <w:shd w:val="clear" w:color="auto" w:fill="DAEEF3" w:themeFill="accent5" w:themeFillTint="33"/>
            <w:vAlign w:val="center"/>
          </w:tcPr>
          <w:p w14:paraId="4E4ADAE0" w14:textId="3DFE4D1C" w:rsidR="006A330E" w:rsidRPr="00FF207E" w:rsidRDefault="006A330E" w:rsidP="001E304B">
            <w:pPr>
              <w:spacing w:line="240" w:lineRule="auto"/>
              <w:jc w:val="both"/>
              <w:rPr>
                <w:rFonts w:cs="Arial"/>
                <w:b/>
                <w:sz w:val="18"/>
                <w:szCs w:val="18"/>
                <w:lang w:val="sl-SI"/>
              </w:rPr>
            </w:pPr>
            <w:r w:rsidRPr="00FF207E">
              <w:rPr>
                <w:rFonts w:cs="Arial"/>
                <w:b/>
                <w:sz w:val="18"/>
                <w:szCs w:val="18"/>
                <w:lang w:val="sl-SI"/>
              </w:rPr>
              <w:t>ER_NeFin-05</w:t>
            </w:r>
          </w:p>
        </w:tc>
        <w:tc>
          <w:tcPr>
            <w:tcW w:w="3362" w:type="dxa"/>
            <w:tcBorders>
              <w:top w:val="single" w:sz="4" w:space="0" w:color="548DD4" w:themeColor="text2" w:themeTint="99"/>
              <w:bottom w:val="single" w:sz="4" w:space="0" w:color="548DD4" w:themeColor="text2" w:themeTint="99"/>
            </w:tcBorders>
            <w:vAlign w:val="center"/>
          </w:tcPr>
          <w:p w14:paraId="28BBAE99" w14:textId="7F05D6D3" w:rsidR="006A330E" w:rsidRPr="00FF207E" w:rsidRDefault="005428A9" w:rsidP="001E304B">
            <w:pPr>
              <w:spacing w:line="240" w:lineRule="auto"/>
              <w:jc w:val="both"/>
              <w:rPr>
                <w:rFonts w:cs="Arial"/>
                <w:color w:val="4F81BD" w:themeColor="accent1"/>
                <w:sz w:val="18"/>
                <w:szCs w:val="18"/>
                <w:u w:val="single"/>
                <w:lang w:val="sl-SI"/>
              </w:rPr>
            </w:pPr>
            <w:hyperlink w:anchor="_Energetsko_opismenjevanje_energetsk" w:history="1">
              <w:r w:rsidR="00FC10B5" w:rsidRPr="00FF207E">
                <w:rPr>
                  <w:rStyle w:val="Hiperpovezava"/>
                  <w:rFonts w:cs="Arial"/>
                  <w:color w:val="4F81BD" w:themeColor="accent1"/>
                  <w:sz w:val="18"/>
                  <w:szCs w:val="18"/>
                  <w:lang w:val="sl-SI"/>
                </w:rPr>
                <w:t>Energetsko opismenjevanje energetsko revnih</w:t>
              </w:r>
            </w:hyperlink>
          </w:p>
        </w:tc>
        <w:tc>
          <w:tcPr>
            <w:tcW w:w="1410" w:type="dxa"/>
            <w:tcBorders>
              <w:top w:val="single" w:sz="4" w:space="0" w:color="548DD4" w:themeColor="text2" w:themeTint="99"/>
              <w:bottom w:val="single" w:sz="4" w:space="0" w:color="548DD4" w:themeColor="text2" w:themeTint="99"/>
            </w:tcBorders>
            <w:vAlign w:val="center"/>
          </w:tcPr>
          <w:p w14:paraId="4325FAA6" w14:textId="77777777" w:rsidR="006A330E" w:rsidRPr="00FF207E" w:rsidRDefault="006A330E" w:rsidP="001E304B">
            <w:pPr>
              <w:spacing w:line="240" w:lineRule="auto"/>
              <w:jc w:val="both"/>
              <w:rPr>
                <w:rFonts w:cs="Arial"/>
                <w:sz w:val="18"/>
                <w:szCs w:val="18"/>
                <w:lang w:val="sl-SI"/>
              </w:rPr>
            </w:pPr>
            <w:r w:rsidRPr="00FF207E">
              <w:rPr>
                <w:rFonts w:cs="Arial"/>
                <w:sz w:val="18"/>
                <w:szCs w:val="18"/>
                <w:lang w:val="sl-SI"/>
              </w:rPr>
              <w:t>nov ukrep</w:t>
            </w:r>
          </w:p>
        </w:tc>
        <w:tc>
          <w:tcPr>
            <w:tcW w:w="1410" w:type="dxa"/>
            <w:tcBorders>
              <w:top w:val="single" w:sz="4" w:space="0" w:color="548DD4" w:themeColor="text2" w:themeTint="99"/>
              <w:bottom w:val="single" w:sz="4" w:space="0" w:color="548DD4" w:themeColor="text2" w:themeTint="99"/>
            </w:tcBorders>
            <w:vAlign w:val="center"/>
          </w:tcPr>
          <w:p w14:paraId="230D8EB2" w14:textId="77777777" w:rsidR="006A330E" w:rsidRPr="00FF207E" w:rsidRDefault="006A330E" w:rsidP="001E304B">
            <w:pPr>
              <w:spacing w:line="240" w:lineRule="auto"/>
              <w:jc w:val="both"/>
              <w:rPr>
                <w:rFonts w:cs="Arial"/>
                <w:sz w:val="18"/>
                <w:szCs w:val="18"/>
                <w:lang w:val="sl-SI"/>
              </w:rPr>
            </w:pPr>
            <w:r w:rsidRPr="00FF207E">
              <w:rPr>
                <w:rFonts w:cs="Arial"/>
                <w:sz w:val="18"/>
                <w:szCs w:val="18"/>
                <w:lang w:val="sl-SI"/>
              </w:rPr>
              <w:t>izobraževanje, usposabljanje</w:t>
            </w:r>
          </w:p>
        </w:tc>
        <w:tc>
          <w:tcPr>
            <w:tcW w:w="1472" w:type="dxa"/>
            <w:tcBorders>
              <w:top w:val="single" w:sz="4" w:space="0" w:color="548DD4" w:themeColor="text2" w:themeTint="99"/>
              <w:bottom w:val="single" w:sz="4" w:space="0" w:color="548DD4" w:themeColor="text2" w:themeTint="99"/>
            </w:tcBorders>
            <w:vAlign w:val="center"/>
          </w:tcPr>
          <w:p w14:paraId="5A27F4B7" w14:textId="77777777" w:rsidR="006A330E" w:rsidRPr="00FF207E" w:rsidRDefault="006A330E" w:rsidP="001E304B">
            <w:pPr>
              <w:spacing w:line="240" w:lineRule="auto"/>
              <w:jc w:val="both"/>
              <w:rPr>
                <w:rFonts w:cs="Arial"/>
                <w:sz w:val="18"/>
                <w:szCs w:val="18"/>
                <w:lang w:val="sl-SI"/>
              </w:rPr>
            </w:pPr>
            <w:proofErr w:type="spellStart"/>
            <w:r w:rsidRPr="00FF207E">
              <w:rPr>
                <w:rFonts w:cs="Arial"/>
                <w:sz w:val="18"/>
                <w:szCs w:val="18"/>
                <w:lang w:val="sl-SI"/>
              </w:rPr>
              <w:t>Eko</w:t>
            </w:r>
            <w:proofErr w:type="spellEnd"/>
            <w:r w:rsidRPr="00FF207E">
              <w:rPr>
                <w:rFonts w:cs="Arial"/>
                <w:sz w:val="18"/>
                <w:szCs w:val="18"/>
                <w:lang w:val="sl-SI"/>
              </w:rPr>
              <w:t xml:space="preserve"> sklad (projektna pisarna)</w:t>
            </w:r>
          </w:p>
        </w:tc>
      </w:tr>
    </w:tbl>
    <w:p w14:paraId="50A26CEB" w14:textId="77777777" w:rsidR="00D24D81" w:rsidRPr="00FF207E" w:rsidRDefault="00D24D81" w:rsidP="00D24D81">
      <w:pPr>
        <w:pStyle w:val="Naslov3"/>
        <w:numPr>
          <w:ilvl w:val="0"/>
          <w:numId w:val="0"/>
        </w:numPr>
        <w:ind w:left="907" w:hanging="907"/>
        <w:jc w:val="both"/>
        <w:rPr>
          <w:lang w:val="sl-SI"/>
        </w:rPr>
      </w:pPr>
      <w:bookmarkStart w:id="80" w:name="_Sodelovanje_v_energetskih"/>
      <w:bookmarkEnd w:id="80"/>
    </w:p>
    <w:p w14:paraId="2B0D3FBF" w14:textId="70323183" w:rsidR="00D378A4" w:rsidRPr="00FF207E" w:rsidRDefault="00EF0EE6" w:rsidP="001E304B">
      <w:pPr>
        <w:pStyle w:val="Naslov3"/>
        <w:jc w:val="both"/>
        <w:rPr>
          <w:lang w:val="sl-SI"/>
        </w:rPr>
      </w:pPr>
      <w:bookmarkStart w:id="81" w:name="_Toc151148797"/>
      <w:r w:rsidRPr="00FF207E">
        <w:rPr>
          <w:lang w:val="sl-SI"/>
        </w:rPr>
        <w:t>Sodelovanje v energetskih skupnostih</w:t>
      </w:r>
      <w:bookmarkEnd w:id="81"/>
    </w:p>
    <w:tbl>
      <w:tblPr>
        <w:tblStyle w:val="Tabelamrea"/>
        <w:tblW w:w="0" w:type="auto"/>
        <w:tblLook w:val="04A0" w:firstRow="1" w:lastRow="0" w:firstColumn="1" w:lastColumn="0" w:noHBand="0" w:noVBand="1"/>
      </w:tblPr>
      <w:tblGrid>
        <w:gridCol w:w="567"/>
        <w:gridCol w:w="2405"/>
        <w:gridCol w:w="6090"/>
      </w:tblGrid>
      <w:tr w:rsidR="005E4BEB" w:rsidRPr="00FF207E" w14:paraId="4B4312A7" w14:textId="77777777" w:rsidTr="00880783">
        <w:tc>
          <w:tcPr>
            <w:tcW w:w="2972" w:type="dxa"/>
            <w:gridSpan w:val="2"/>
            <w:tcBorders>
              <w:top w:val="nil"/>
              <w:left w:val="nil"/>
              <w:bottom w:val="nil"/>
              <w:right w:val="single" w:sz="4" w:space="0" w:color="548DD4" w:themeColor="text2" w:themeTint="99"/>
            </w:tcBorders>
            <w:shd w:val="clear" w:color="auto" w:fill="548DD4" w:themeFill="text2" w:themeFillTint="99"/>
            <w:vAlign w:val="center"/>
          </w:tcPr>
          <w:p w14:paraId="4D8C8F31" w14:textId="77777777" w:rsidR="005E4BEB" w:rsidRPr="00FF207E" w:rsidRDefault="005E4BEB" w:rsidP="001E304B">
            <w:pPr>
              <w:spacing w:before="40" w:after="40"/>
              <w:jc w:val="both"/>
              <w:rPr>
                <w:rFonts w:cs="Arial"/>
                <w:b/>
                <w:color w:val="FFFFFF" w:themeColor="background1"/>
                <w:lang w:val="sl-SI"/>
              </w:rPr>
            </w:pPr>
            <w:r w:rsidRPr="00FF207E">
              <w:rPr>
                <w:rFonts w:cs="Arial"/>
                <w:b/>
                <w:color w:val="FFFFFF" w:themeColor="background1"/>
                <w:lang w:val="sl-SI"/>
              </w:rPr>
              <w:t>ER_Fin-01</w:t>
            </w:r>
          </w:p>
        </w:tc>
        <w:tc>
          <w:tcPr>
            <w:tcW w:w="6090" w:type="dxa"/>
            <w:tcBorders>
              <w:top w:val="nil"/>
              <w:left w:val="single" w:sz="4" w:space="0" w:color="548DD4" w:themeColor="text2" w:themeTint="99"/>
              <w:bottom w:val="nil"/>
              <w:right w:val="nil"/>
            </w:tcBorders>
            <w:shd w:val="clear" w:color="auto" w:fill="548DD4" w:themeFill="text2" w:themeFillTint="99"/>
            <w:vAlign w:val="center"/>
          </w:tcPr>
          <w:p w14:paraId="245E2877" w14:textId="77777777" w:rsidR="005E4BEB" w:rsidRPr="00FF207E" w:rsidRDefault="005E4BEB" w:rsidP="001E304B">
            <w:pPr>
              <w:pStyle w:val="Naslov5"/>
              <w:jc w:val="both"/>
            </w:pPr>
            <w:bookmarkStart w:id="82" w:name="_Sodelovanje_v_energetskih_1"/>
            <w:bookmarkEnd w:id="82"/>
            <w:r w:rsidRPr="00FF207E">
              <w:t>Sodelovanje v energetskih skupnostih</w:t>
            </w:r>
          </w:p>
        </w:tc>
      </w:tr>
      <w:tr w:rsidR="005E4BEB" w:rsidRPr="00FF207E" w14:paraId="24040D25" w14:textId="77777777" w:rsidTr="00880783">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672F7E10" w14:textId="77777777" w:rsidR="005E4BEB" w:rsidRPr="00FF207E" w:rsidRDefault="005E4BEB" w:rsidP="001E304B">
            <w:pPr>
              <w:spacing w:before="60" w:after="60" w:line="240" w:lineRule="atLeast"/>
              <w:jc w:val="both"/>
              <w:rPr>
                <w:rFonts w:cs="Arial"/>
                <w:b/>
                <w:szCs w:val="22"/>
                <w:lang w:val="sl-SI"/>
              </w:rPr>
            </w:pPr>
            <w:r w:rsidRPr="00FF207E">
              <w:rPr>
                <w:rFonts w:cs="Arial"/>
                <w:b/>
                <w:szCs w:val="22"/>
                <w:lang w:val="sl-SI"/>
              </w:rPr>
              <w:t>Osnovne informacije</w:t>
            </w:r>
          </w:p>
        </w:tc>
      </w:tr>
      <w:tr w:rsidR="005E4BEB" w:rsidRPr="00FF207E" w14:paraId="75202423" w14:textId="77777777" w:rsidTr="00880783">
        <w:tc>
          <w:tcPr>
            <w:tcW w:w="2972" w:type="dxa"/>
            <w:gridSpan w:val="2"/>
            <w:tcBorders>
              <w:top w:val="nil"/>
              <w:left w:val="nil"/>
              <w:bottom w:val="single" w:sz="4" w:space="0" w:color="548DD4" w:themeColor="text2" w:themeTint="99"/>
              <w:right w:val="single" w:sz="4" w:space="0" w:color="548DD4" w:themeColor="text2" w:themeTint="99"/>
            </w:tcBorders>
          </w:tcPr>
          <w:p w14:paraId="4A791C68" w14:textId="77777777" w:rsidR="005E4BEB" w:rsidRPr="00FF207E" w:rsidRDefault="005E4BEB" w:rsidP="001E304B">
            <w:pPr>
              <w:spacing w:line="240" w:lineRule="atLeast"/>
              <w:jc w:val="both"/>
              <w:rPr>
                <w:rFonts w:cs="Arial"/>
                <w:spacing w:val="-4"/>
                <w:sz w:val="20"/>
                <w:szCs w:val="20"/>
                <w:lang w:val="sl-SI"/>
              </w:rPr>
            </w:pPr>
            <w:r w:rsidRPr="00FF207E">
              <w:rPr>
                <w:rFonts w:cs="Arial"/>
                <w:spacing w:val="-4"/>
                <w:sz w:val="20"/>
                <w:szCs w:val="20"/>
                <w:lang w:val="sl-SI"/>
              </w:rPr>
              <w:t>Odgovornost za izvedbo ukrepa</w:t>
            </w:r>
          </w:p>
        </w:tc>
        <w:tc>
          <w:tcPr>
            <w:tcW w:w="6090" w:type="dxa"/>
            <w:tcBorders>
              <w:top w:val="nil"/>
              <w:left w:val="single" w:sz="4" w:space="0" w:color="548DD4" w:themeColor="text2" w:themeTint="99"/>
              <w:bottom w:val="single" w:sz="4" w:space="0" w:color="548DD4" w:themeColor="text2" w:themeTint="99"/>
              <w:right w:val="nil"/>
            </w:tcBorders>
          </w:tcPr>
          <w:p w14:paraId="2343A510"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MOPE</w:t>
            </w:r>
          </w:p>
        </w:tc>
      </w:tr>
      <w:tr w:rsidR="005E4BEB" w:rsidRPr="00FF207E" w14:paraId="0CB034F3" w14:textId="77777777" w:rsidTr="00880783">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6D173DEF"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FAFF755" w14:textId="009AFA4E" w:rsidR="005E4BEB" w:rsidRPr="00FF207E" w:rsidRDefault="008660B9"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 MDDSZ, </w:t>
            </w:r>
            <w:r w:rsidR="005E4BEB" w:rsidRPr="00FF207E">
              <w:rPr>
                <w:rFonts w:cs="Arial"/>
                <w:sz w:val="20"/>
                <w:szCs w:val="20"/>
                <w:lang w:val="sl-SI"/>
              </w:rPr>
              <w:t>Borzen</w:t>
            </w:r>
          </w:p>
        </w:tc>
      </w:tr>
      <w:tr w:rsidR="005E4BEB" w:rsidRPr="00FF207E" w14:paraId="5DA64655" w14:textId="77777777" w:rsidTr="00880783">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EEC032D"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Strateške podlage in njihova veljavnost</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1F42B855" w14:textId="7FCB161B"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Zakon o ukrepih za obvladovanje kriznih razmer na področju oskrbe z energijo (Ur</w:t>
            </w:r>
            <w:r w:rsidR="00943875" w:rsidRPr="00FF207E">
              <w:rPr>
                <w:rFonts w:cs="Arial"/>
                <w:sz w:val="20"/>
                <w:szCs w:val="20"/>
                <w:lang w:val="sl-SI"/>
              </w:rPr>
              <w:t>adni</w:t>
            </w:r>
            <w:r w:rsidRPr="00FF207E">
              <w:rPr>
                <w:rFonts w:cs="Arial"/>
                <w:sz w:val="20"/>
                <w:szCs w:val="20"/>
                <w:lang w:val="sl-SI"/>
              </w:rPr>
              <w:t xml:space="preserve"> l</w:t>
            </w:r>
            <w:r w:rsidR="00943875" w:rsidRPr="00FF207E">
              <w:rPr>
                <w:rFonts w:cs="Arial"/>
                <w:sz w:val="20"/>
                <w:szCs w:val="20"/>
                <w:lang w:val="sl-SI"/>
              </w:rPr>
              <w:t>ist</w:t>
            </w:r>
            <w:r w:rsidRPr="00FF207E">
              <w:rPr>
                <w:rFonts w:cs="Arial"/>
                <w:sz w:val="20"/>
                <w:szCs w:val="20"/>
                <w:lang w:val="sl-SI"/>
              </w:rPr>
              <w:t xml:space="preserve"> RS, št. 121/22), 13. člen</w:t>
            </w:r>
          </w:p>
        </w:tc>
      </w:tr>
      <w:tr w:rsidR="005E4BEB" w:rsidRPr="00FF207E" w14:paraId="20E847E8" w14:textId="77777777" w:rsidTr="00880783">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4EE50039"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Veljavnost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2466046"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2030</w:t>
            </w:r>
          </w:p>
        </w:tc>
      </w:tr>
      <w:tr w:rsidR="005E4BEB" w:rsidRPr="00FF207E" w14:paraId="0BF0C4F7" w14:textId="77777777" w:rsidTr="00880783">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0A1B4708"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Vrsta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380B6C7" w14:textId="32EEF67F"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sklop ukrepov (ekonomski (finančne spodbude), predpisi</w:t>
            </w:r>
            <w:r w:rsidR="00503A91" w:rsidRPr="00FF207E">
              <w:rPr>
                <w:rFonts w:cs="Arial"/>
                <w:sz w:val="20"/>
                <w:szCs w:val="20"/>
                <w:lang w:val="sl-SI"/>
              </w:rPr>
              <w:t>, pilotni projekt)</w:t>
            </w:r>
          </w:p>
        </w:tc>
      </w:tr>
      <w:tr w:rsidR="005E4BEB" w:rsidRPr="00FF207E" w14:paraId="7E402045" w14:textId="77777777" w:rsidTr="00880783">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EC0F4F3"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Pričakovani učinki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3B81D11D" w14:textId="24660D1E" w:rsidR="005E4BEB" w:rsidRPr="00FF207E" w:rsidRDefault="006F6DCF" w:rsidP="006F6DCF">
            <w:pPr>
              <w:spacing w:line="240" w:lineRule="atLeast"/>
              <w:jc w:val="both"/>
              <w:rPr>
                <w:rFonts w:cs="Arial"/>
                <w:sz w:val="20"/>
                <w:szCs w:val="20"/>
                <w:lang w:val="sl-SI"/>
              </w:rPr>
            </w:pPr>
            <w:r w:rsidRPr="00FF207E">
              <w:rPr>
                <w:rFonts w:cs="Arial"/>
                <w:sz w:val="20"/>
                <w:szCs w:val="20"/>
                <w:lang w:val="sl-SI"/>
              </w:rPr>
              <w:t>reševanje</w:t>
            </w:r>
            <w:r w:rsidR="003249EA" w:rsidRPr="00FF207E">
              <w:rPr>
                <w:rFonts w:cs="Arial"/>
                <w:sz w:val="20"/>
                <w:szCs w:val="20"/>
                <w:lang w:val="sl-SI"/>
              </w:rPr>
              <w:t xml:space="preserve"> </w:t>
            </w:r>
            <w:r w:rsidR="00F3662F" w:rsidRPr="00FF207E">
              <w:rPr>
                <w:rFonts w:cs="Arial"/>
                <w:sz w:val="20"/>
                <w:szCs w:val="20"/>
                <w:lang w:val="sl-SI"/>
              </w:rPr>
              <w:t xml:space="preserve">problematike </w:t>
            </w:r>
            <w:r w:rsidR="005E4BEB" w:rsidRPr="00FF207E">
              <w:rPr>
                <w:rFonts w:cs="Arial"/>
                <w:sz w:val="20"/>
                <w:szCs w:val="20"/>
                <w:lang w:val="sl-SI"/>
              </w:rPr>
              <w:t xml:space="preserve">energetske revščine </w:t>
            </w:r>
            <w:r w:rsidR="00E36614" w:rsidRPr="00FF207E">
              <w:rPr>
                <w:rFonts w:cs="Arial"/>
                <w:sz w:val="20"/>
                <w:szCs w:val="20"/>
                <w:lang w:val="sl-SI"/>
              </w:rPr>
              <w:t>z</w:t>
            </w:r>
            <w:r w:rsidR="005E4BEB" w:rsidRPr="00FF207E">
              <w:rPr>
                <w:rFonts w:cs="Arial"/>
                <w:sz w:val="20"/>
                <w:szCs w:val="20"/>
                <w:lang w:val="sl-SI"/>
              </w:rPr>
              <w:t xml:space="preserve"> vključevanje</w:t>
            </w:r>
            <w:r w:rsidR="00E36614" w:rsidRPr="00FF207E">
              <w:rPr>
                <w:rFonts w:cs="Arial"/>
                <w:sz w:val="20"/>
                <w:szCs w:val="20"/>
                <w:lang w:val="sl-SI"/>
              </w:rPr>
              <w:t>m</w:t>
            </w:r>
            <w:r w:rsidR="005E4BEB" w:rsidRPr="00FF207E">
              <w:rPr>
                <w:rFonts w:cs="Arial"/>
                <w:sz w:val="20"/>
                <w:szCs w:val="20"/>
                <w:lang w:val="sl-SI"/>
              </w:rPr>
              <w:t xml:space="preserve"> energetsko revnih v energetske skupnosti</w:t>
            </w:r>
          </w:p>
        </w:tc>
      </w:tr>
      <w:tr w:rsidR="005E4BEB" w:rsidRPr="00FF207E" w14:paraId="69AA5AB9" w14:textId="77777777" w:rsidTr="00880783">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7D22F5FE"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Status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1440616"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nov ukrep</w:t>
            </w:r>
          </w:p>
        </w:tc>
      </w:tr>
      <w:tr w:rsidR="005E4BEB" w:rsidRPr="00FF207E" w14:paraId="62ADAE0D" w14:textId="77777777" w:rsidTr="00880783">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47675827" w14:textId="77777777" w:rsidR="005E4BEB" w:rsidRPr="00FF207E" w:rsidRDefault="005E4BEB" w:rsidP="001E304B">
            <w:pPr>
              <w:keepNext/>
              <w:spacing w:before="60" w:after="60" w:line="240" w:lineRule="atLeast"/>
              <w:jc w:val="both"/>
              <w:rPr>
                <w:rFonts w:cs="Arial"/>
                <w:b/>
                <w:lang w:val="sl-SI"/>
              </w:rPr>
            </w:pPr>
            <w:r w:rsidRPr="00FF207E">
              <w:rPr>
                <w:rFonts w:cs="Arial"/>
                <w:b/>
                <w:lang w:val="sl-SI"/>
              </w:rPr>
              <w:lastRenderedPageBreak/>
              <w:t>Dolgoročna vsebina ukrepa</w:t>
            </w:r>
          </w:p>
        </w:tc>
      </w:tr>
      <w:tr w:rsidR="005E4BEB" w:rsidRPr="00FF207E" w14:paraId="15E9EDCF" w14:textId="77777777" w:rsidTr="00880783">
        <w:tc>
          <w:tcPr>
            <w:tcW w:w="9062" w:type="dxa"/>
            <w:gridSpan w:val="3"/>
            <w:tcBorders>
              <w:top w:val="single" w:sz="4" w:space="0" w:color="548DD4" w:themeColor="text2" w:themeTint="99"/>
              <w:left w:val="nil"/>
              <w:bottom w:val="single" w:sz="4" w:space="0" w:color="548DD4" w:themeColor="text2" w:themeTint="99"/>
              <w:right w:val="nil"/>
            </w:tcBorders>
          </w:tcPr>
          <w:p w14:paraId="3BFB196A"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V okviru ukrepa je treba dolgoročno:</w:t>
            </w:r>
          </w:p>
          <w:p w14:paraId="2B0AD88B" w14:textId="7A121076" w:rsidR="005E4BEB" w:rsidRPr="00FF207E" w:rsidRDefault="005E4BEB" w:rsidP="001E304B">
            <w:pPr>
              <w:pStyle w:val="Odstavekseznama"/>
              <w:numPr>
                <w:ilvl w:val="0"/>
                <w:numId w:val="13"/>
              </w:numPr>
              <w:spacing w:line="240" w:lineRule="atLeast"/>
              <w:ind w:left="357" w:hanging="357"/>
              <w:jc w:val="both"/>
              <w:rPr>
                <w:rFonts w:cs="Arial"/>
                <w:sz w:val="20"/>
                <w:szCs w:val="20"/>
                <w:lang w:val="sl-SI"/>
              </w:rPr>
            </w:pPr>
            <w:r w:rsidRPr="00FF207E">
              <w:rPr>
                <w:rFonts w:cs="Arial"/>
                <w:b/>
                <w:sz w:val="20"/>
                <w:szCs w:val="20"/>
                <w:lang w:val="sl-SI"/>
              </w:rPr>
              <w:t xml:space="preserve">omogočiti vključitev </w:t>
            </w:r>
            <w:r w:rsidRPr="00FF207E">
              <w:rPr>
                <w:rFonts w:cs="Arial"/>
                <w:sz w:val="20"/>
                <w:szCs w:val="20"/>
                <w:lang w:val="sl-SI"/>
              </w:rPr>
              <w:t xml:space="preserve">energetsko revnih in ranljivih gospodinjstev/odjemalcev </w:t>
            </w:r>
            <w:r w:rsidRPr="00FF207E">
              <w:rPr>
                <w:rFonts w:cs="Arial"/>
                <w:b/>
                <w:sz w:val="20"/>
                <w:szCs w:val="20"/>
                <w:lang w:val="sl-SI"/>
              </w:rPr>
              <w:t>v energetske skupnosti državljanov in skupnosti</w:t>
            </w:r>
            <w:r w:rsidR="006363AF" w:rsidRPr="00FF207E">
              <w:rPr>
                <w:rFonts w:cs="Arial"/>
                <w:b/>
                <w:sz w:val="20"/>
                <w:szCs w:val="20"/>
                <w:lang w:val="sl-SI"/>
              </w:rPr>
              <w:t xml:space="preserve"> rabe OVE</w:t>
            </w:r>
            <w:r w:rsidR="00044611" w:rsidRPr="00FF207E">
              <w:rPr>
                <w:rFonts w:cs="Arial"/>
                <w:b/>
                <w:sz w:val="20"/>
                <w:szCs w:val="20"/>
                <w:lang w:val="sl-SI"/>
              </w:rPr>
              <w:t>;</w:t>
            </w:r>
          </w:p>
          <w:p w14:paraId="5A220896" w14:textId="1F72FB34" w:rsidR="005E4BEB" w:rsidRPr="00FF207E" w:rsidRDefault="005E4BEB" w:rsidP="001E304B">
            <w:pPr>
              <w:pStyle w:val="Odstavekseznama"/>
              <w:numPr>
                <w:ilvl w:val="0"/>
                <w:numId w:val="13"/>
              </w:numPr>
              <w:spacing w:line="240" w:lineRule="atLeast"/>
              <w:ind w:left="357" w:hanging="357"/>
              <w:jc w:val="both"/>
              <w:rPr>
                <w:rFonts w:cs="Arial"/>
                <w:sz w:val="20"/>
                <w:szCs w:val="20"/>
                <w:lang w:val="sl-SI"/>
              </w:rPr>
            </w:pPr>
            <w:r w:rsidRPr="00FF207E">
              <w:rPr>
                <w:rFonts w:cs="Arial"/>
                <w:b/>
                <w:sz w:val="20"/>
                <w:szCs w:val="20"/>
                <w:lang w:val="sl-SI"/>
              </w:rPr>
              <w:t>vzpostaviti (so)financiranje</w:t>
            </w:r>
            <w:r w:rsidRPr="00FF207E">
              <w:rPr>
                <w:rFonts w:cs="Arial"/>
                <w:sz w:val="20"/>
                <w:szCs w:val="20"/>
                <w:lang w:val="sl-SI"/>
              </w:rPr>
              <w:t xml:space="preserve"> (javna sredstva, lahko progresivna lestvica) </w:t>
            </w:r>
            <w:r w:rsidR="00A76D8F" w:rsidRPr="00FF207E">
              <w:rPr>
                <w:rFonts w:cs="Arial"/>
                <w:b/>
                <w:sz w:val="20"/>
                <w:szCs w:val="20"/>
                <w:lang w:val="sl-SI"/>
              </w:rPr>
              <w:t>vključevanja</w:t>
            </w:r>
            <w:r w:rsidR="00A76D8F" w:rsidRPr="00FF207E">
              <w:rPr>
                <w:rFonts w:cs="Arial"/>
                <w:sz w:val="20"/>
                <w:szCs w:val="20"/>
                <w:lang w:val="sl-SI"/>
              </w:rPr>
              <w:t xml:space="preserve"> </w:t>
            </w:r>
            <w:r w:rsidRPr="00FF207E">
              <w:rPr>
                <w:rFonts w:cs="Arial"/>
                <w:b/>
                <w:sz w:val="20"/>
                <w:szCs w:val="20"/>
                <w:lang w:val="sl-SI"/>
              </w:rPr>
              <w:t xml:space="preserve">energetsko revnih gospodinjstev v energetske </w:t>
            </w:r>
            <w:r w:rsidR="006363AF" w:rsidRPr="00FF207E">
              <w:rPr>
                <w:rFonts w:cs="Arial"/>
                <w:b/>
                <w:sz w:val="20"/>
                <w:szCs w:val="20"/>
                <w:lang w:val="sl-SI"/>
              </w:rPr>
              <w:t xml:space="preserve">skupnosti </w:t>
            </w:r>
            <w:r w:rsidRPr="00FF207E">
              <w:rPr>
                <w:rFonts w:cs="Arial"/>
                <w:b/>
                <w:sz w:val="20"/>
                <w:szCs w:val="20"/>
                <w:lang w:val="sl-SI"/>
              </w:rPr>
              <w:t>in skupnosti</w:t>
            </w:r>
            <w:r w:rsidR="006363AF" w:rsidRPr="00FF207E">
              <w:rPr>
                <w:rFonts w:cs="Arial"/>
                <w:b/>
                <w:sz w:val="20"/>
                <w:szCs w:val="20"/>
                <w:lang w:val="sl-SI"/>
              </w:rPr>
              <w:t xml:space="preserve"> rabe OVE</w:t>
            </w:r>
            <w:r w:rsidRPr="00FF207E">
              <w:rPr>
                <w:rFonts w:cs="Arial"/>
                <w:sz w:val="20"/>
                <w:szCs w:val="20"/>
                <w:lang w:val="sl-SI"/>
              </w:rPr>
              <w:t>, v katerih si zagotovijo lastno energijo</w:t>
            </w:r>
            <w:r w:rsidR="00044611" w:rsidRPr="00FF207E">
              <w:rPr>
                <w:rFonts w:cs="Arial"/>
                <w:sz w:val="20"/>
                <w:szCs w:val="20"/>
                <w:lang w:val="sl-SI"/>
              </w:rPr>
              <w:t>;</w:t>
            </w:r>
          </w:p>
          <w:p w14:paraId="66B05641" w14:textId="65150BC5" w:rsidR="005E4BEB" w:rsidRPr="00FF207E" w:rsidRDefault="005E4BEB" w:rsidP="00BA68CB">
            <w:pPr>
              <w:pStyle w:val="Odstavekseznama"/>
              <w:numPr>
                <w:ilvl w:val="0"/>
                <w:numId w:val="13"/>
              </w:numPr>
              <w:spacing w:line="240" w:lineRule="atLeast"/>
              <w:ind w:left="357" w:hanging="357"/>
              <w:jc w:val="both"/>
              <w:rPr>
                <w:rFonts w:cs="Arial"/>
                <w:sz w:val="20"/>
                <w:szCs w:val="20"/>
                <w:lang w:val="sl-SI"/>
              </w:rPr>
            </w:pPr>
            <w:r w:rsidRPr="00FF207E">
              <w:rPr>
                <w:rFonts w:cs="Arial"/>
                <w:sz w:val="20"/>
                <w:szCs w:val="20"/>
                <w:lang w:val="sl-SI"/>
              </w:rPr>
              <w:t xml:space="preserve">pri </w:t>
            </w:r>
            <w:r w:rsidR="00B33B9C" w:rsidRPr="00FF207E">
              <w:rPr>
                <w:rFonts w:cs="Arial"/>
                <w:sz w:val="20"/>
                <w:szCs w:val="20"/>
                <w:lang w:val="sl-SI"/>
              </w:rPr>
              <w:t xml:space="preserve">teh </w:t>
            </w:r>
            <w:r w:rsidRPr="00FF207E">
              <w:rPr>
                <w:rFonts w:cs="Arial"/>
                <w:sz w:val="20"/>
                <w:szCs w:val="20"/>
                <w:lang w:val="sl-SI"/>
              </w:rPr>
              <w:t xml:space="preserve">ukrepih je treba </w:t>
            </w:r>
            <w:r w:rsidR="00453BF2" w:rsidRPr="00FF207E">
              <w:rPr>
                <w:rFonts w:cs="Arial"/>
                <w:b/>
                <w:sz w:val="20"/>
                <w:szCs w:val="20"/>
                <w:lang w:val="sl-SI"/>
              </w:rPr>
              <w:t xml:space="preserve">slediti </w:t>
            </w:r>
            <w:r w:rsidRPr="00FF207E">
              <w:rPr>
                <w:rFonts w:cs="Arial"/>
                <w:b/>
                <w:sz w:val="20"/>
                <w:szCs w:val="20"/>
                <w:lang w:val="sl-SI"/>
              </w:rPr>
              <w:t>smernic</w:t>
            </w:r>
            <w:r w:rsidR="00453BF2" w:rsidRPr="00FF207E">
              <w:rPr>
                <w:rFonts w:cs="Arial"/>
                <w:b/>
                <w:sz w:val="20"/>
                <w:szCs w:val="20"/>
                <w:lang w:val="sl-SI"/>
              </w:rPr>
              <w:t>i</w:t>
            </w:r>
            <w:r w:rsidRPr="00FF207E">
              <w:rPr>
                <w:rFonts w:cs="Arial"/>
                <w:b/>
                <w:sz w:val="20"/>
                <w:szCs w:val="20"/>
                <w:lang w:val="sl-SI"/>
              </w:rPr>
              <w:t xml:space="preserve"> energetska učinkovitost na prvem mestu</w:t>
            </w:r>
            <w:r w:rsidRPr="00FF207E">
              <w:rPr>
                <w:rFonts w:cs="Arial"/>
                <w:sz w:val="20"/>
                <w:szCs w:val="20"/>
                <w:lang w:val="sl-SI"/>
              </w:rPr>
              <w:t xml:space="preserve"> (</w:t>
            </w:r>
            <w:proofErr w:type="spellStart"/>
            <w:r w:rsidRPr="00FF207E">
              <w:rPr>
                <w:rFonts w:cs="Arial"/>
                <w:sz w:val="20"/>
                <w:szCs w:val="20"/>
                <w:lang w:val="sl-SI"/>
              </w:rPr>
              <w:t>energy</w:t>
            </w:r>
            <w:proofErr w:type="spellEnd"/>
            <w:r w:rsidRPr="00FF207E">
              <w:rPr>
                <w:rFonts w:cs="Arial"/>
                <w:sz w:val="20"/>
                <w:szCs w:val="20"/>
                <w:lang w:val="sl-SI"/>
              </w:rPr>
              <w:t xml:space="preserve"> </w:t>
            </w:r>
            <w:proofErr w:type="spellStart"/>
            <w:r w:rsidRPr="00FF207E">
              <w:rPr>
                <w:rFonts w:cs="Arial"/>
                <w:sz w:val="20"/>
                <w:szCs w:val="20"/>
                <w:lang w:val="sl-SI"/>
              </w:rPr>
              <w:t>efficiency</w:t>
            </w:r>
            <w:proofErr w:type="spellEnd"/>
            <w:r w:rsidRPr="00FF207E">
              <w:rPr>
                <w:rFonts w:cs="Arial"/>
                <w:sz w:val="20"/>
                <w:szCs w:val="20"/>
                <w:lang w:val="sl-SI"/>
              </w:rPr>
              <w:t xml:space="preserve"> </w:t>
            </w:r>
            <w:proofErr w:type="spellStart"/>
            <w:r w:rsidRPr="00FF207E">
              <w:rPr>
                <w:rFonts w:cs="Arial"/>
                <w:sz w:val="20"/>
                <w:szCs w:val="20"/>
                <w:lang w:val="sl-SI"/>
              </w:rPr>
              <w:t>first</w:t>
            </w:r>
            <w:proofErr w:type="spellEnd"/>
            <w:r w:rsidRPr="00FF207E">
              <w:rPr>
                <w:rFonts w:cs="Arial"/>
                <w:sz w:val="20"/>
                <w:szCs w:val="20"/>
                <w:lang w:val="sl-SI"/>
              </w:rPr>
              <w:t xml:space="preserve">) </w:t>
            </w:r>
            <w:r w:rsidRPr="00FF207E">
              <w:rPr>
                <w:rFonts w:cs="Arial"/>
                <w:sz w:val="20"/>
                <w:szCs w:val="20"/>
                <w:lang w:val="sl-SI"/>
              </w:rPr>
              <w:sym w:font="Symbol" w:char="F02D"/>
            </w:r>
            <w:r w:rsidRPr="00FF207E">
              <w:rPr>
                <w:rFonts w:cs="Arial"/>
                <w:sz w:val="20"/>
                <w:szCs w:val="20"/>
                <w:lang w:val="sl-SI"/>
              </w:rPr>
              <w:t xml:space="preserve"> hkrati z vključevanjem v energetske skupnosti se izvajajo tudi ukrepi energetske učinkovitosti (glej ukrep </w:t>
            </w:r>
            <w:hyperlink w:anchor="_Investicijske_spodbude_za" w:history="1">
              <w:r w:rsidR="0049433E" w:rsidRPr="00FF207E">
                <w:rPr>
                  <w:rStyle w:val="Hiperpovezava"/>
                  <w:rFonts w:cs="Arial"/>
                  <w:sz w:val="20"/>
                  <w:szCs w:val="20"/>
                  <w:lang w:val="sl-SI"/>
                </w:rPr>
                <w:t>ER_Shema-01</w:t>
              </w:r>
            </w:hyperlink>
            <w:r w:rsidRPr="00FF207E">
              <w:rPr>
                <w:rFonts w:cs="Arial"/>
                <w:sz w:val="20"/>
                <w:szCs w:val="20"/>
                <w:lang w:val="sl-SI"/>
              </w:rPr>
              <w:t>)</w:t>
            </w:r>
            <w:r w:rsidR="00044611" w:rsidRPr="00FF207E">
              <w:rPr>
                <w:rFonts w:cs="Arial"/>
                <w:sz w:val="20"/>
                <w:szCs w:val="20"/>
                <w:lang w:val="sl-SI"/>
              </w:rPr>
              <w:t>.</w:t>
            </w:r>
          </w:p>
        </w:tc>
      </w:tr>
      <w:tr w:rsidR="005E4BEB" w:rsidRPr="00FF207E" w14:paraId="31F4376B" w14:textId="77777777" w:rsidTr="00880783">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4A54CAC8" w14:textId="77777777" w:rsidR="005E4BEB" w:rsidRPr="00FF207E" w:rsidRDefault="005E4BEB" w:rsidP="001E304B">
            <w:pPr>
              <w:spacing w:before="60" w:after="60" w:line="240" w:lineRule="atLeast"/>
              <w:jc w:val="both"/>
              <w:rPr>
                <w:rFonts w:cs="Arial"/>
                <w:b/>
                <w:lang w:val="sl-SI"/>
              </w:rPr>
            </w:pPr>
            <w:r w:rsidRPr="00FF207E">
              <w:rPr>
                <w:rFonts w:cs="Arial"/>
                <w:b/>
                <w:lang w:val="sl-SI"/>
              </w:rPr>
              <w:t>Kratkoročna izvedba ukrepa v obdobju 2024–2026</w:t>
            </w:r>
          </w:p>
        </w:tc>
      </w:tr>
      <w:tr w:rsidR="005E4BEB" w:rsidRPr="00FF207E" w14:paraId="5242B1FD" w14:textId="77777777" w:rsidTr="00880783">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00FED8C5"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Kratkoročni cilj</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BCEA953" w14:textId="60C0BC1F" w:rsidR="005E4BEB" w:rsidRPr="00FF207E" w:rsidRDefault="007D7CA5" w:rsidP="00EB41FC">
            <w:pPr>
              <w:spacing w:line="240" w:lineRule="atLeast"/>
              <w:jc w:val="both"/>
              <w:rPr>
                <w:rFonts w:cs="Arial"/>
                <w:sz w:val="20"/>
                <w:szCs w:val="20"/>
                <w:lang w:val="sl-SI"/>
              </w:rPr>
            </w:pPr>
            <w:r w:rsidRPr="00FF207E">
              <w:rPr>
                <w:rFonts w:cs="Arial"/>
                <w:sz w:val="20"/>
                <w:szCs w:val="20"/>
                <w:lang w:val="sl-SI"/>
              </w:rPr>
              <w:t xml:space="preserve">Zagotovitev </w:t>
            </w:r>
            <w:r w:rsidR="00EB41FC" w:rsidRPr="00FF207E">
              <w:rPr>
                <w:rFonts w:cs="Arial"/>
                <w:sz w:val="20"/>
                <w:szCs w:val="20"/>
                <w:lang w:val="sl-SI"/>
              </w:rPr>
              <w:t xml:space="preserve">zakonodajnega </w:t>
            </w:r>
            <w:r w:rsidRPr="00FF207E">
              <w:rPr>
                <w:rFonts w:cs="Arial"/>
                <w:sz w:val="20"/>
                <w:szCs w:val="20"/>
                <w:lang w:val="sl-SI"/>
              </w:rPr>
              <w:t xml:space="preserve">okvira in zagotovitev (so)financiranja za vključevanje energetsko revnih v energetske skupnosti; izvedba </w:t>
            </w:r>
            <w:r w:rsidRPr="00FF207E">
              <w:rPr>
                <w:rFonts w:cs="Arial"/>
                <w:spacing w:val="-2"/>
                <w:sz w:val="20"/>
                <w:szCs w:val="20"/>
                <w:lang w:val="sl-SI"/>
              </w:rPr>
              <w:t xml:space="preserve">pilotnega projekta. Vključitev </w:t>
            </w:r>
            <w:r w:rsidR="00BA0785" w:rsidRPr="00FF207E">
              <w:rPr>
                <w:rFonts w:cs="Arial"/>
                <w:spacing w:val="-2"/>
                <w:sz w:val="20"/>
                <w:szCs w:val="20"/>
                <w:lang w:val="sl-SI"/>
              </w:rPr>
              <w:t xml:space="preserve">3500 </w:t>
            </w:r>
            <w:r w:rsidRPr="00FF207E">
              <w:rPr>
                <w:rFonts w:cs="Arial"/>
                <w:spacing w:val="-2"/>
                <w:sz w:val="20"/>
                <w:szCs w:val="20"/>
                <w:lang w:val="sl-SI"/>
              </w:rPr>
              <w:t>energetsko revnih gospodinjstev</w:t>
            </w:r>
            <w:r w:rsidRPr="00FF207E">
              <w:rPr>
                <w:rFonts w:cs="Arial"/>
                <w:sz w:val="20"/>
                <w:szCs w:val="20"/>
                <w:lang w:val="sl-SI"/>
              </w:rPr>
              <w:t xml:space="preserve"> v energetske skupnosti.</w:t>
            </w:r>
          </w:p>
        </w:tc>
      </w:tr>
      <w:tr w:rsidR="005E4BEB" w:rsidRPr="00FF207E" w14:paraId="34D681EA" w14:textId="77777777" w:rsidTr="002513F9">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4DAAF3D9" w14:textId="12D61AE6" w:rsidR="005E4BEB" w:rsidRPr="00FF207E" w:rsidRDefault="008166EE" w:rsidP="001E304B">
            <w:pPr>
              <w:spacing w:line="240" w:lineRule="atLeast"/>
              <w:jc w:val="both"/>
              <w:rPr>
                <w:rFonts w:cs="Arial"/>
                <w:sz w:val="20"/>
                <w:szCs w:val="20"/>
                <w:lang w:val="sl-SI"/>
              </w:rPr>
            </w:pPr>
            <w:r w:rsidRPr="00FF207E">
              <w:rPr>
                <w:rFonts w:cs="Arial"/>
                <w:sz w:val="20"/>
                <w:szCs w:val="20"/>
                <w:lang w:val="sl-SI"/>
              </w:rPr>
              <w:t>Potrebna sredstva</w:t>
            </w:r>
            <w:r w:rsidR="00F4436A" w:rsidRPr="00FF207E">
              <w:rPr>
                <w:lang w:val="sl-SI"/>
              </w:rPr>
              <w:t xml:space="preserve"> </w:t>
            </w:r>
            <w:r w:rsidRPr="00FF207E">
              <w:rPr>
                <w:rFonts w:cs="Arial"/>
                <w:sz w:val="20"/>
                <w:szCs w:val="20"/>
                <w:lang w:val="sl-SI"/>
              </w:rPr>
              <w:t>in viri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tcPr>
          <w:p w14:paraId="17127B9D" w14:textId="5CFDE1E1" w:rsidR="00811106" w:rsidRPr="00FF207E" w:rsidRDefault="00086058" w:rsidP="002513F9">
            <w:pPr>
              <w:spacing w:before="60" w:line="240" w:lineRule="atLeast"/>
              <w:rPr>
                <w:rFonts w:cs="Arial"/>
                <w:sz w:val="20"/>
                <w:szCs w:val="20"/>
                <w:lang w:val="sl-SI"/>
              </w:rPr>
            </w:pPr>
            <w:r w:rsidRPr="00FF207E">
              <w:rPr>
                <w:rFonts w:cs="Arial"/>
                <w:sz w:val="20"/>
                <w:szCs w:val="20"/>
                <w:lang w:val="sl-SI"/>
              </w:rPr>
              <w:t>t</w:t>
            </w:r>
            <w:r w:rsidR="00811106" w:rsidRPr="00FF207E">
              <w:rPr>
                <w:rFonts w:cs="Arial"/>
                <w:sz w:val="20"/>
                <w:szCs w:val="20"/>
                <w:lang w:val="sl-SI"/>
              </w:rPr>
              <w:t>abela 7</w:t>
            </w:r>
          </w:p>
          <w:p w14:paraId="3259A9DE" w14:textId="5CBB0F38" w:rsidR="005E4BEB" w:rsidRPr="00FF207E" w:rsidRDefault="008166EE" w:rsidP="002513F9">
            <w:pPr>
              <w:spacing w:before="60" w:line="240" w:lineRule="atLeast"/>
              <w:rPr>
                <w:rFonts w:cs="Arial"/>
                <w:sz w:val="20"/>
                <w:szCs w:val="20"/>
                <w:lang w:val="sl-SI"/>
              </w:rPr>
            </w:pPr>
            <w:r w:rsidRPr="00FF207E">
              <w:rPr>
                <w:rFonts w:cs="Arial"/>
                <w:sz w:val="20"/>
                <w:szCs w:val="20"/>
                <w:lang w:val="sl-SI"/>
              </w:rPr>
              <w:t>Viri sredstev so: Sklad za podnebne spremembe, kohezijska sredstva ali drugi viri</w:t>
            </w:r>
            <w:r w:rsidR="00EB41FC" w:rsidRPr="00FF207E">
              <w:rPr>
                <w:rFonts w:cs="Arial"/>
                <w:sz w:val="20"/>
                <w:szCs w:val="20"/>
                <w:lang w:val="sl-SI"/>
              </w:rPr>
              <w:t>.</w:t>
            </w:r>
          </w:p>
        </w:tc>
      </w:tr>
      <w:tr w:rsidR="005E4BEB" w:rsidRPr="00FF207E" w14:paraId="30D16351" w14:textId="77777777" w:rsidTr="00880783">
        <w:tc>
          <w:tcPr>
            <w:tcW w:w="9062" w:type="dxa"/>
            <w:gridSpan w:val="3"/>
            <w:tcBorders>
              <w:top w:val="single" w:sz="4" w:space="0" w:color="548DD4" w:themeColor="text2" w:themeTint="99"/>
              <w:left w:val="nil"/>
              <w:bottom w:val="single" w:sz="4" w:space="0" w:color="548DD4" w:themeColor="text2" w:themeTint="99"/>
              <w:right w:val="nil"/>
            </w:tcBorders>
            <w:shd w:val="clear" w:color="auto" w:fill="DBE5F1" w:themeFill="accent1" w:themeFillTint="33"/>
          </w:tcPr>
          <w:p w14:paraId="2442C6CD" w14:textId="77777777" w:rsidR="005E4BEB" w:rsidRPr="00FF207E" w:rsidRDefault="005E4BEB" w:rsidP="001E304B">
            <w:pPr>
              <w:spacing w:before="40" w:after="40" w:line="240" w:lineRule="atLeast"/>
              <w:jc w:val="both"/>
              <w:rPr>
                <w:rFonts w:cs="Arial"/>
                <w:sz w:val="20"/>
                <w:szCs w:val="20"/>
                <w:lang w:val="sl-SI"/>
              </w:rPr>
            </w:pPr>
            <w:r w:rsidRPr="00FF207E">
              <w:rPr>
                <w:rFonts w:cs="Arial"/>
                <w:sz w:val="20"/>
                <w:szCs w:val="20"/>
                <w:lang w:val="sl-SI"/>
              </w:rPr>
              <w:t>Potek izvedbe</w:t>
            </w:r>
          </w:p>
        </w:tc>
      </w:tr>
      <w:tr w:rsidR="005E4BEB" w:rsidRPr="00FF207E" w14:paraId="72DE6C06" w14:textId="77777777" w:rsidTr="00C0783C">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6BDBE0C8" w14:textId="77777777" w:rsidR="005E4BEB" w:rsidRPr="00FF207E" w:rsidRDefault="005E4BEB" w:rsidP="001E304B">
            <w:pPr>
              <w:spacing w:line="240" w:lineRule="atLeast"/>
              <w:jc w:val="both"/>
              <w:rPr>
                <w:rFonts w:cs="Arial"/>
                <w:b/>
                <w:sz w:val="24"/>
                <w:lang w:val="sl-SI"/>
              </w:rPr>
            </w:pPr>
            <w:r w:rsidRPr="00FF207E">
              <w:rPr>
                <w:rFonts w:cs="Arial"/>
                <w:b/>
                <w:sz w:val="24"/>
                <w:lang w:val="sl-SI"/>
              </w:rPr>
              <w:t>1</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6D4B47FF"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7C15FED7" w14:textId="360EF50D" w:rsidR="005E4BEB" w:rsidRPr="00FF207E" w:rsidRDefault="00EB41FC" w:rsidP="001E304B">
            <w:pPr>
              <w:spacing w:line="240" w:lineRule="atLeast"/>
              <w:jc w:val="both"/>
              <w:rPr>
                <w:rFonts w:cs="Arial"/>
                <w:sz w:val="20"/>
                <w:szCs w:val="20"/>
                <w:lang w:val="sl-SI"/>
              </w:rPr>
            </w:pPr>
            <w:r w:rsidRPr="00FF207E">
              <w:rPr>
                <w:rFonts w:cs="Arial"/>
                <w:sz w:val="20"/>
                <w:szCs w:val="20"/>
                <w:lang w:val="sl-SI"/>
              </w:rPr>
              <w:t>p</w:t>
            </w:r>
            <w:r w:rsidR="005E4BEB" w:rsidRPr="00FF207E">
              <w:rPr>
                <w:rFonts w:cs="Arial"/>
                <w:sz w:val="20"/>
                <w:szCs w:val="20"/>
                <w:lang w:val="sl-SI"/>
              </w:rPr>
              <w:t>reučitev in vzpostavitev dodatnih mehanizmov za vključitev energetsko revnih/ranljivih gospodinjstev v energetske skupnosti ter ureditev zakonodaje, še posebej odstranitev morebitnih ovir (</w:t>
            </w:r>
            <w:r w:rsidR="00B77973" w:rsidRPr="00FF207E">
              <w:rPr>
                <w:rFonts w:cs="Arial"/>
                <w:sz w:val="20"/>
                <w:szCs w:val="20"/>
                <w:lang w:val="sl-SI"/>
              </w:rPr>
              <w:t>na primer</w:t>
            </w:r>
            <w:r w:rsidR="005E4BEB" w:rsidRPr="00FF207E">
              <w:rPr>
                <w:rFonts w:cs="Arial"/>
                <w:sz w:val="20"/>
                <w:szCs w:val="20"/>
                <w:lang w:val="sl-SI"/>
              </w:rPr>
              <w:t xml:space="preserve"> morebiten odvzem socialne podpore zaradi članstva v energetski skupnosti)</w:t>
            </w:r>
          </w:p>
        </w:tc>
      </w:tr>
      <w:tr w:rsidR="005E4BEB" w:rsidRPr="00FF207E" w14:paraId="6670AA66" w14:textId="77777777" w:rsidTr="00C0783C">
        <w:tc>
          <w:tcPr>
            <w:tcW w:w="567" w:type="dxa"/>
            <w:vMerge/>
            <w:tcBorders>
              <w:left w:val="nil"/>
              <w:bottom w:val="single" w:sz="4" w:space="0" w:color="548DD4" w:themeColor="text2" w:themeTint="99"/>
              <w:right w:val="single" w:sz="4" w:space="0" w:color="548DD4" w:themeColor="text2" w:themeTint="99"/>
            </w:tcBorders>
          </w:tcPr>
          <w:p w14:paraId="59E30E00" w14:textId="77777777" w:rsidR="005E4BEB" w:rsidRPr="00FF207E" w:rsidRDefault="005E4BE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769CFE86"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7FDD436D"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MOPE, MDDSZ</w:t>
            </w:r>
          </w:p>
        </w:tc>
      </w:tr>
      <w:tr w:rsidR="005E4BEB" w:rsidRPr="00FF207E" w14:paraId="7F294174" w14:textId="77777777" w:rsidTr="00C0783C">
        <w:tc>
          <w:tcPr>
            <w:tcW w:w="567" w:type="dxa"/>
            <w:vMerge/>
            <w:tcBorders>
              <w:left w:val="nil"/>
              <w:bottom w:val="single" w:sz="4" w:space="0" w:color="548DD4" w:themeColor="text2" w:themeTint="99"/>
              <w:right w:val="single" w:sz="4" w:space="0" w:color="548DD4" w:themeColor="text2" w:themeTint="99"/>
            </w:tcBorders>
          </w:tcPr>
          <w:p w14:paraId="0B460A5D" w14:textId="77777777" w:rsidR="005E4BEB" w:rsidRPr="00FF207E" w:rsidRDefault="005E4BE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9083634"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6B142701" w14:textId="0481DDE9"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 xml:space="preserve">MOPE, MDDSZ, </w:t>
            </w:r>
            <w:proofErr w:type="spellStart"/>
            <w:r w:rsidRPr="00FF207E">
              <w:rPr>
                <w:rFonts w:cs="Arial"/>
                <w:sz w:val="20"/>
                <w:szCs w:val="20"/>
                <w:lang w:val="sl-SI"/>
              </w:rPr>
              <w:t>Eko</w:t>
            </w:r>
            <w:proofErr w:type="spellEnd"/>
            <w:r w:rsidR="00457E90" w:rsidRPr="00FF207E">
              <w:rPr>
                <w:rFonts w:cs="Arial"/>
                <w:sz w:val="20"/>
                <w:szCs w:val="20"/>
                <w:lang w:val="sl-SI"/>
              </w:rPr>
              <w:t xml:space="preserve"> </w:t>
            </w:r>
            <w:r w:rsidRPr="00FF207E">
              <w:rPr>
                <w:rFonts w:cs="Arial"/>
                <w:sz w:val="20"/>
                <w:szCs w:val="20"/>
                <w:lang w:val="sl-SI"/>
              </w:rPr>
              <w:t>sklad</w:t>
            </w:r>
          </w:p>
        </w:tc>
      </w:tr>
      <w:tr w:rsidR="005E4BEB" w:rsidRPr="00FF207E" w14:paraId="00B5A682" w14:textId="77777777" w:rsidTr="00C0783C">
        <w:tc>
          <w:tcPr>
            <w:tcW w:w="567" w:type="dxa"/>
            <w:vMerge/>
            <w:tcBorders>
              <w:left w:val="nil"/>
              <w:bottom w:val="single" w:sz="4" w:space="0" w:color="548DD4" w:themeColor="text2" w:themeTint="99"/>
              <w:right w:val="single" w:sz="4" w:space="0" w:color="548DD4" w:themeColor="text2" w:themeTint="99"/>
            </w:tcBorders>
          </w:tcPr>
          <w:p w14:paraId="6CC0F526" w14:textId="77777777" w:rsidR="005E4BEB" w:rsidRPr="00FF207E" w:rsidRDefault="005E4BE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4189B64E"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5B239FC8" w14:textId="5EF2BBEC" w:rsidR="005E4BEB" w:rsidRPr="00FF207E" w:rsidRDefault="00BF5A0E" w:rsidP="001E304B">
            <w:pPr>
              <w:spacing w:line="240" w:lineRule="atLeast"/>
              <w:jc w:val="both"/>
              <w:rPr>
                <w:rFonts w:cs="Arial"/>
                <w:sz w:val="20"/>
                <w:szCs w:val="20"/>
                <w:lang w:val="sl-SI"/>
              </w:rPr>
            </w:pPr>
            <w:r w:rsidRPr="00FF207E">
              <w:rPr>
                <w:rFonts w:cs="Arial"/>
                <w:sz w:val="20"/>
                <w:szCs w:val="20"/>
                <w:lang w:val="sl-SI"/>
              </w:rPr>
              <w:t>2024</w:t>
            </w:r>
          </w:p>
        </w:tc>
      </w:tr>
      <w:tr w:rsidR="005E4BEB" w:rsidRPr="00FF207E" w14:paraId="7D70395A" w14:textId="77777777" w:rsidTr="00C0783C">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53C17D73" w14:textId="77777777" w:rsidR="005E4BEB" w:rsidRPr="00FF207E" w:rsidRDefault="005E4BEB" w:rsidP="001E304B">
            <w:pPr>
              <w:spacing w:line="240" w:lineRule="atLeast"/>
              <w:jc w:val="both"/>
              <w:rPr>
                <w:rFonts w:cs="Arial"/>
                <w:b/>
                <w:sz w:val="24"/>
                <w:lang w:val="sl-SI"/>
              </w:rPr>
            </w:pPr>
            <w:r w:rsidRPr="00FF207E">
              <w:rPr>
                <w:rFonts w:cs="Arial"/>
                <w:b/>
                <w:sz w:val="24"/>
                <w:lang w:val="sl-SI"/>
              </w:rPr>
              <w:t>2</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40F695C5"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4EDC8892" w14:textId="677E5519" w:rsidR="005E4BEB" w:rsidRPr="00FF207E" w:rsidRDefault="00EB41FC" w:rsidP="006363AF">
            <w:pPr>
              <w:spacing w:line="240" w:lineRule="atLeast"/>
              <w:jc w:val="both"/>
              <w:rPr>
                <w:rFonts w:cs="Arial"/>
                <w:sz w:val="20"/>
                <w:szCs w:val="20"/>
                <w:lang w:val="sl-SI"/>
              </w:rPr>
            </w:pPr>
            <w:r w:rsidRPr="00FF207E">
              <w:rPr>
                <w:rFonts w:cs="Arial"/>
                <w:sz w:val="20"/>
                <w:szCs w:val="20"/>
                <w:lang w:val="sl-SI"/>
              </w:rPr>
              <w:t>p</w:t>
            </w:r>
            <w:r w:rsidR="00AA7483" w:rsidRPr="00FF207E">
              <w:rPr>
                <w:rFonts w:cs="Arial"/>
                <w:sz w:val="20"/>
                <w:szCs w:val="20"/>
                <w:lang w:val="sl-SI"/>
              </w:rPr>
              <w:t xml:space="preserve">reveriti morebitne sinergije z </w:t>
            </w:r>
            <w:proofErr w:type="spellStart"/>
            <w:r w:rsidR="00AA7483" w:rsidRPr="00FF207E">
              <w:rPr>
                <w:rFonts w:cs="Arial"/>
                <w:sz w:val="20"/>
                <w:szCs w:val="20"/>
                <w:lang w:val="sl-SI"/>
              </w:rPr>
              <w:t>Borzenom</w:t>
            </w:r>
            <w:proofErr w:type="spellEnd"/>
            <w:r w:rsidR="00AA7483" w:rsidRPr="00FF207E">
              <w:rPr>
                <w:rFonts w:cs="Arial"/>
                <w:sz w:val="20"/>
                <w:szCs w:val="20"/>
                <w:lang w:val="sl-SI"/>
              </w:rPr>
              <w:t xml:space="preserve"> glede informacijskih točk</w:t>
            </w:r>
            <w:r w:rsidR="006363AF" w:rsidRPr="00FF207E">
              <w:rPr>
                <w:rFonts w:cs="Arial"/>
                <w:sz w:val="20"/>
                <w:szCs w:val="20"/>
                <w:lang w:val="sl-SI"/>
              </w:rPr>
              <w:t xml:space="preserve"> rabe OVE</w:t>
            </w:r>
          </w:p>
        </w:tc>
      </w:tr>
      <w:tr w:rsidR="005E4BEB" w:rsidRPr="00FF207E" w14:paraId="2C9285DF" w14:textId="77777777" w:rsidTr="00C0783C">
        <w:tc>
          <w:tcPr>
            <w:tcW w:w="567" w:type="dxa"/>
            <w:vMerge/>
            <w:tcBorders>
              <w:left w:val="nil"/>
              <w:bottom w:val="single" w:sz="4" w:space="0" w:color="548DD4" w:themeColor="text2" w:themeTint="99"/>
              <w:right w:val="single" w:sz="4" w:space="0" w:color="548DD4" w:themeColor="text2" w:themeTint="99"/>
            </w:tcBorders>
          </w:tcPr>
          <w:p w14:paraId="55553C9D" w14:textId="77777777" w:rsidR="005E4BEB" w:rsidRPr="00FF207E" w:rsidRDefault="005E4BE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20323E2"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D846E92"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MOPE</w:t>
            </w:r>
          </w:p>
        </w:tc>
      </w:tr>
      <w:tr w:rsidR="005E4BEB" w:rsidRPr="00FF207E" w14:paraId="513E5796" w14:textId="77777777" w:rsidTr="00C0783C">
        <w:tc>
          <w:tcPr>
            <w:tcW w:w="567" w:type="dxa"/>
            <w:vMerge/>
            <w:tcBorders>
              <w:left w:val="nil"/>
              <w:bottom w:val="single" w:sz="4" w:space="0" w:color="548DD4" w:themeColor="text2" w:themeTint="99"/>
              <w:right w:val="single" w:sz="4" w:space="0" w:color="548DD4" w:themeColor="text2" w:themeTint="99"/>
            </w:tcBorders>
          </w:tcPr>
          <w:p w14:paraId="0C2683A6" w14:textId="77777777" w:rsidR="005E4BEB" w:rsidRPr="00FF207E" w:rsidRDefault="005E4BE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C951D4B"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3F91A39B" w14:textId="77777777" w:rsidR="005E4BEB" w:rsidRPr="00FF207E" w:rsidRDefault="005E4BEB"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 Borzen</w:t>
            </w:r>
          </w:p>
        </w:tc>
      </w:tr>
      <w:tr w:rsidR="005E4BEB" w:rsidRPr="00FF207E" w14:paraId="58779A20" w14:textId="77777777" w:rsidTr="00C0783C">
        <w:tc>
          <w:tcPr>
            <w:tcW w:w="567" w:type="dxa"/>
            <w:vMerge/>
            <w:tcBorders>
              <w:left w:val="nil"/>
              <w:bottom w:val="single" w:sz="4" w:space="0" w:color="548DD4" w:themeColor="text2" w:themeTint="99"/>
              <w:right w:val="single" w:sz="4" w:space="0" w:color="548DD4" w:themeColor="text2" w:themeTint="99"/>
            </w:tcBorders>
          </w:tcPr>
          <w:p w14:paraId="5FB2ED02" w14:textId="77777777" w:rsidR="005E4BEB" w:rsidRPr="00FF207E" w:rsidRDefault="005E4BE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6E3B458F"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72E86500" w14:textId="2A97E10D" w:rsidR="005E4BEB" w:rsidRPr="00FF207E" w:rsidRDefault="00BF5A0E" w:rsidP="001E304B">
            <w:pPr>
              <w:spacing w:line="240" w:lineRule="atLeast"/>
              <w:jc w:val="both"/>
              <w:rPr>
                <w:rFonts w:cs="Arial"/>
                <w:sz w:val="20"/>
                <w:szCs w:val="20"/>
                <w:lang w:val="sl-SI"/>
              </w:rPr>
            </w:pPr>
            <w:r w:rsidRPr="00FF207E">
              <w:rPr>
                <w:rFonts w:cs="Arial"/>
                <w:sz w:val="20"/>
                <w:szCs w:val="20"/>
                <w:lang w:val="sl-SI"/>
              </w:rPr>
              <w:t>2024</w:t>
            </w:r>
          </w:p>
        </w:tc>
      </w:tr>
      <w:tr w:rsidR="005E4BEB" w:rsidRPr="00FF207E" w14:paraId="2CA6D872" w14:textId="77777777" w:rsidTr="00C0783C">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7F609177" w14:textId="77777777" w:rsidR="005E4BEB" w:rsidRPr="00FF207E" w:rsidRDefault="005E4BEB" w:rsidP="001E304B">
            <w:pPr>
              <w:spacing w:line="240" w:lineRule="atLeast"/>
              <w:jc w:val="both"/>
              <w:rPr>
                <w:rFonts w:cs="Arial"/>
                <w:b/>
                <w:sz w:val="24"/>
                <w:lang w:val="sl-SI"/>
              </w:rPr>
            </w:pPr>
            <w:r w:rsidRPr="00FF207E">
              <w:rPr>
                <w:rFonts w:cs="Arial"/>
                <w:b/>
                <w:sz w:val="24"/>
                <w:lang w:val="sl-SI"/>
              </w:rPr>
              <w:t>3</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36B98C40"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07463D35" w14:textId="40B26243" w:rsidR="005E4BEB" w:rsidRPr="00FF207E" w:rsidRDefault="0061661E" w:rsidP="001E304B">
            <w:pPr>
              <w:spacing w:line="240" w:lineRule="auto"/>
              <w:jc w:val="both"/>
              <w:rPr>
                <w:rFonts w:ascii="Times New Roman" w:hAnsi="Times New Roman"/>
                <w:lang w:val="sl-SI"/>
              </w:rPr>
            </w:pPr>
            <w:r w:rsidRPr="00FF207E">
              <w:rPr>
                <w:rFonts w:cs="Arial"/>
                <w:sz w:val="20"/>
                <w:szCs w:val="20"/>
                <w:lang w:val="sl-SI"/>
              </w:rPr>
              <w:t>v</w:t>
            </w:r>
            <w:r w:rsidR="005E4BEB" w:rsidRPr="00FF207E">
              <w:rPr>
                <w:rFonts w:cs="Arial"/>
                <w:sz w:val="20"/>
                <w:szCs w:val="20"/>
                <w:lang w:val="sl-SI"/>
              </w:rPr>
              <w:t>zpostavitev sheme za (so)financiranje vključevanja energetsko revnih v energetske skupnosti, skupaj s pravili za vključevanje (</w:t>
            </w:r>
            <w:r w:rsidR="00B77973" w:rsidRPr="00FF207E">
              <w:rPr>
                <w:rFonts w:cs="Arial"/>
                <w:sz w:val="20"/>
                <w:szCs w:val="20"/>
                <w:lang w:val="sl-SI"/>
              </w:rPr>
              <w:t>na primer</w:t>
            </w:r>
            <w:r w:rsidR="005E4BEB" w:rsidRPr="00FF207E">
              <w:rPr>
                <w:rFonts w:cs="Arial"/>
                <w:sz w:val="20"/>
                <w:szCs w:val="20"/>
                <w:lang w:val="sl-SI"/>
              </w:rPr>
              <w:t xml:space="preserve"> pogojevanje članstva s predhodnim financiranjem </w:t>
            </w:r>
            <w:r w:rsidR="00457E90" w:rsidRPr="00FF207E">
              <w:rPr>
                <w:rFonts w:cs="Arial"/>
                <w:sz w:val="20"/>
                <w:szCs w:val="20"/>
                <w:lang w:val="sl-SI"/>
              </w:rPr>
              <w:t>pre</w:t>
            </w:r>
            <w:r w:rsidR="005E4BEB" w:rsidRPr="00FF207E">
              <w:rPr>
                <w:rFonts w:cs="Arial"/>
                <w:sz w:val="20"/>
                <w:szCs w:val="20"/>
                <w:lang w:val="sl-SI"/>
              </w:rPr>
              <w:t xml:space="preserve">nove </w:t>
            </w:r>
            <w:r w:rsidR="00457E90" w:rsidRPr="00FF207E">
              <w:rPr>
                <w:rFonts w:cs="Arial"/>
                <w:sz w:val="20"/>
                <w:szCs w:val="20"/>
                <w:lang w:val="sl-SI"/>
              </w:rPr>
              <w:t>s spodbudami za energetsko revne</w:t>
            </w:r>
            <w:r w:rsidR="005E4BEB" w:rsidRPr="00FF207E">
              <w:rPr>
                <w:rFonts w:cs="Arial"/>
                <w:sz w:val="20"/>
                <w:szCs w:val="20"/>
                <w:lang w:val="sl-SI"/>
              </w:rPr>
              <w:t xml:space="preserve"> ali sočasno </w:t>
            </w:r>
            <w:r w:rsidR="00457E90" w:rsidRPr="00FF207E">
              <w:rPr>
                <w:rFonts w:cs="Arial"/>
                <w:sz w:val="20"/>
                <w:szCs w:val="20"/>
                <w:lang w:val="sl-SI"/>
              </w:rPr>
              <w:t>izvajanje</w:t>
            </w:r>
            <w:r w:rsidR="005E4BEB" w:rsidRPr="00FF207E">
              <w:rPr>
                <w:rFonts w:cs="Arial"/>
                <w:sz w:val="20"/>
                <w:szCs w:val="20"/>
                <w:lang w:val="sl-SI"/>
              </w:rPr>
              <w:t xml:space="preserve"> </w:t>
            </w:r>
            <w:r w:rsidR="00457E90" w:rsidRPr="00FF207E">
              <w:rPr>
                <w:rFonts w:cs="Arial"/>
                <w:sz w:val="20"/>
                <w:szCs w:val="20"/>
                <w:lang w:val="sl-SI"/>
              </w:rPr>
              <w:t>prenove s spodbudami za energetsko revne</w:t>
            </w:r>
            <w:r w:rsidR="005E4BEB" w:rsidRPr="00FF207E">
              <w:rPr>
                <w:rFonts w:cs="Arial"/>
                <w:sz w:val="20"/>
                <w:szCs w:val="20"/>
                <w:lang w:val="sl-SI"/>
              </w:rPr>
              <w:t xml:space="preserve"> in </w:t>
            </w:r>
            <w:r w:rsidR="00457E90" w:rsidRPr="00FF207E">
              <w:rPr>
                <w:rFonts w:cs="Arial"/>
                <w:sz w:val="20"/>
                <w:szCs w:val="20"/>
                <w:lang w:val="sl-SI"/>
              </w:rPr>
              <w:t xml:space="preserve">vključevanje v </w:t>
            </w:r>
            <w:r w:rsidR="005E4BEB" w:rsidRPr="00FF207E">
              <w:rPr>
                <w:rFonts w:cs="Arial"/>
                <w:sz w:val="20"/>
                <w:szCs w:val="20"/>
                <w:lang w:val="sl-SI"/>
              </w:rPr>
              <w:t>energetsko skupnost)</w:t>
            </w:r>
            <w:r w:rsidR="00A52287" w:rsidRPr="00FF207E">
              <w:rPr>
                <w:rFonts w:cs="Arial"/>
                <w:sz w:val="20"/>
                <w:szCs w:val="20"/>
                <w:lang w:val="sl-SI"/>
              </w:rPr>
              <w:t>, in njeno delovanje</w:t>
            </w:r>
            <w:r w:rsidR="0032311F" w:rsidRPr="00FF207E">
              <w:rPr>
                <w:rFonts w:cs="Arial"/>
                <w:sz w:val="20"/>
                <w:szCs w:val="20"/>
                <w:lang w:val="sl-SI"/>
              </w:rPr>
              <w:t>; usposabljanje deležnikov (</w:t>
            </w:r>
            <w:r w:rsidR="00B77973" w:rsidRPr="00FF207E">
              <w:rPr>
                <w:rFonts w:cs="Arial"/>
                <w:sz w:val="20"/>
                <w:szCs w:val="20"/>
                <w:lang w:val="sl-SI"/>
              </w:rPr>
              <w:t>na primer</w:t>
            </w:r>
            <w:r w:rsidR="0032311F" w:rsidRPr="00FF207E">
              <w:rPr>
                <w:rFonts w:cs="Arial"/>
                <w:sz w:val="20"/>
                <w:szCs w:val="20"/>
                <w:lang w:val="sl-SI"/>
              </w:rPr>
              <w:t xml:space="preserve"> </w:t>
            </w:r>
            <w:r w:rsidR="00064217" w:rsidRPr="00FF207E">
              <w:rPr>
                <w:rFonts w:cs="Arial"/>
                <w:sz w:val="20"/>
                <w:szCs w:val="20"/>
                <w:lang w:val="sl-SI"/>
              </w:rPr>
              <w:t>ponudnikov)</w:t>
            </w:r>
            <w:r w:rsidR="00064217" w:rsidRPr="00FF207E">
              <w:rPr>
                <w:sz w:val="20"/>
                <w:lang w:val="sl-SI"/>
              </w:rPr>
              <w:t xml:space="preserve"> </w:t>
            </w:r>
            <w:r w:rsidR="0032311F" w:rsidRPr="00FF207E">
              <w:rPr>
                <w:rFonts w:cs="Arial"/>
                <w:sz w:val="20"/>
                <w:szCs w:val="20"/>
                <w:lang w:val="sl-SI"/>
              </w:rPr>
              <w:t>za vključevanje energetsko revnih v projekte</w:t>
            </w:r>
          </w:p>
        </w:tc>
      </w:tr>
      <w:tr w:rsidR="005E4BEB" w:rsidRPr="00FF207E" w14:paraId="0200CF23" w14:textId="77777777" w:rsidTr="00C0783C">
        <w:tc>
          <w:tcPr>
            <w:tcW w:w="567" w:type="dxa"/>
            <w:vMerge/>
            <w:tcBorders>
              <w:left w:val="nil"/>
              <w:bottom w:val="single" w:sz="4" w:space="0" w:color="548DD4" w:themeColor="text2" w:themeTint="99"/>
              <w:right w:val="single" w:sz="4" w:space="0" w:color="548DD4" w:themeColor="text2" w:themeTint="99"/>
            </w:tcBorders>
          </w:tcPr>
          <w:p w14:paraId="17CA5E1D" w14:textId="77777777" w:rsidR="005E4BEB" w:rsidRPr="00FF207E" w:rsidRDefault="005E4BE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9894A10"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32EB2540"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MOPE</w:t>
            </w:r>
          </w:p>
        </w:tc>
      </w:tr>
      <w:tr w:rsidR="005E4BEB" w:rsidRPr="00FF207E" w14:paraId="0AE4A44A" w14:textId="77777777" w:rsidTr="00C0783C">
        <w:tc>
          <w:tcPr>
            <w:tcW w:w="567" w:type="dxa"/>
            <w:vMerge/>
            <w:tcBorders>
              <w:left w:val="nil"/>
              <w:bottom w:val="single" w:sz="4" w:space="0" w:color="548DD4" w:themeColor="text2" w:themeTint="99"/>
              <w:right w:val="single" w:sz="4" w:space="0" w:color="548DD4" w:themeColor="text2" w:themeTint="99"/>
            </w:tcBorders>
          </w:tcPr>
          <w:p w14:paraId="74171EBE" w14:textId="77777777" w:rsidR="005E4BEB" w:rsidRPr="00FF207E" w:rsidRDefault="005E4BE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6036599"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3B5D71D4" w14:textId="3B4730C2" w:rsidR="005E4BEB" w:rsidRPr="00FF207E" w:rsidRDefault="005E4BEB"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r w:rsidR="0032311F" w:rsidRPr="00FF207E">
              <w:rPr>
                <w:rFonts w:cs="Arial"/>
                <w:sz w:val="20"/>
                <w:szCs w:val="20"/>
                <w:lang w:val="sl-SI"/>
              </w:rPr>
              <w:t>, Borzen</w:t>
            </w:r>
          </w:p>
        </w:tc>
      </w:tr>
      <w:tr w:rsidR="005E4BEB" w:rsidRPr="00FF207E" w14:paraId="5994CCB9" w14:textId="77777777" w:rsidTr="00C0783C">
        <w:tc>
          <w:tcPr>
            <w:tcW w:w="567" w:type="dxa"/>
            <w:vMerge/>
            <w:tcBorders>
              <w:left w:val="nil"/>
              <w:bottom w:val="single" w:sz="4" w:space="0" w:color="548DD4" w:themeColor="text2" w:themeTint="99"/>
              <w:right w:val="single" w:sz="4" w:space="0" w:color="548DD4" w:themeColor="text2" w:themeTint="99"/>
            </w:tcBorders>
          </w:tcPr>
          <w:p w14:paraId="007F6F4C" w14:textId="77777777" w:rsidR="005E4BEB" w:rsidRPr="00FF207E" w:rsidRDefault="005E4BE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33DD63DE" w14:textId="77777777" w:rsidR="005E4BEB" w:rsidRPr="00FF207E" w:rsidRDefault="005E4BEB"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4F4D0A66" w14:textId="387A6392" w:rsidR="005E4BEB" w:rsidRPr="00FF207E" w:rsidRDefault="00B2471D" w:rsidP="00BF5A0E">
            <w:pPr>
              <w:spacing w:line="240" w:lineRule="atLeast"/>
              <w:rPr>
                <w:rFonts w:cs="Arial"/>
                <w:sz w:val="20"/>
                <w:szCs w:val="20"/>
                <w:lang w:val="sl-SI"/>
              </w:rPr>
            </w:pPr>
            <w:r w:rsidRPr="00FF207E">
              <w:rPr>
                <w:rFonts w:cs="Arial"/>
                <w:sz w:val="20"/>
                <w:szCs w:val="20"/>
                <w:lang w:val="sl-SI"/>
              </w:rPr>
              <w:t xml:space="preserve">2025 </w:t>
            </w:r>
            <w:r w:rsidR="00BF5A0E" w:rsidRPr="00FF207E">
              <w:rPr>
                <w:rFonts w:cs="Arial"/>
                <w:sz w:val="20"/>
                <w:szCs w:val="20"/>
                <w:lang w:val="sl-SI"/>
              </w:rPr>
              <w:t>vzpostavitev sheme, delovanje potem neprekinjeno</w:t>
            </w:r>
          </w:p>
        </w:tc>
      </w:tr>
      <w:tr w:rsidR="00BA0785" w:rsidRPr="00FF207E" w14:paraId="3CBF0296" w14:textId="77777777" w:rsidTr="00D9237F">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0E099388" w14:textId="77777777" w:rsidR="00BA0785" w:rsidRPr="00FF207E" w:rsidRDefault="00BA0785" w:rsidP="001E304B">
            <w:pPr>
              <w:spacing w:line="240" w:lineRule="atLeast"/>
              <w:jc w:val="both"/>
              <w:rPr>
                <w:rFonts w:cs="Arial"/>
                <w:b/>
                <w:sz w:val="24"/>
                <w:lang w:val="sl-SI"/>
              </w:rPr>
            </w:pPr>
            <w:r w:rsidRPr="00FF207E">
              <w:rPr>
                <w:rFonts w:cs="Arial"/>
                <w:b/>
                <w:sz w:val="24"/>
                <w:lang w:val="sl-SI"/>
              </w:rPr>
              <w:t>4</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206D7DC2" w14:textId="77777777" w:rsidR="00BA0785" w:rsidRPr="00FF207E" w:rsidRDefault="00BA0785"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237E3B8B" w14:textId="16706C0D" w:rsidR="00BA0785" w:rsidRPr="00FF207E" w:rsidRDefault="0061661E" w:rsidP="001E304B">
            <w:pPr>
              <w:spacing w:line="240" w:lineRule="atLeast"/>
              <w:jc w:val="both"/>
              <w:rPr>
                <w:rFonts w:cs="Arial"/>
                <w:sz w:val="20"/>
                <w:szCs w:val="20"/>
                <w:lang w:val="sl-SI"/>
              </w:rPr>
            </w:pPr>
            <w:r w:rsidRPr="00FF207E">
              <w:rPr>
                <w:rFonts w:cs="Arial"/>
                <w:sz w:val="20"/>
                <w:szCs w:val="20"/>
                <w:lang w:val="sl-SI"/>
              </w:rPr>
              <w:t>i</w:t>
            </w:r>
            <w:r w:rsidR="00BA0785" w:rsidRPr="00FF207E">
              <w:rPr>
                <w:rFonts w:cs="Arial"/>
                <w:sz w:val="20"/>
                <w:szCs w:val="20"/>
                <w:lang w:val="sl-SI"/>
              </w:rPr>
              <w:t>zvedba pilotnega projekta, kjer so del energetske skupnosti tudi energetsko revni</w:t>
            </w:r>
          </w:p>
        </w:tc>
      </w:tr>
      <w:tr w:rsidR="00BA0785" w:rsidRPr="00FF207E" w14:paraId="449C852D" w14:textId="77777777" w:rsidTr="00D9237F">
        <w:tc>
          <w:tcPr>
            <w:tcW w:w="567" w:type="dxa"/>
            <w:vMerge/>
            <w:tcBorders>
              <w:left w:val="nil"/>
              <w:bottom w:val="single" w:sz="4" w:space="0" w:color="548DD4" w:themeColor="text2" w:themeTint="99"/>
              <w:right w:val="single" w:sz="4" w:space="0" w:color="548DD4" w:themeColor="text2" w:themeTint="99"/>
            </w:tcBorders>
          </w:tcPr>
          <w:p w14:paraId="06D30C16" w14:textId="77777777" w:rsidR="00BA0785" w:rsidRPr="00FF207E" w:rsidRDefault="00BA0785"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983686E" w14:textId="77777777" w:rsidR="00BA0785" w:rsidRPr="00FF207E" w:rsidRDefault="00BA0785"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714A25E4" w14:textId="77777777" w:rsidR="00BA0785" w:rsidRPr="00FF207E" w:rsidRDefault="00BA0785" w:rsidP="001E304B">
            <w:pPr>
              <w:spacing w:line="240" w:lineRule="atLeast"/>
              <w:jc w:val="both"/>
              <w:rPr>
                <w:rFonts w:cs="Arial"/>
                <w:sz w:val="20"/>
                <w:szCs w:val="20"/>
                <w:lang w:val="sl-SI"/>
              </w:rPr>
            </w:pPr>
            <w:r w:rsidRPr="00FF207E">
              <w:rPr>
                <w:rFonts w:cs="Arial"/>
                <w:sz w:val="20"/>
                <w:szCs w:val="20"/>
                <w:lang w:val="sl-SI"/>
              </w:rPr>
              <w:t>MOPE</w:t>
            </w:r>
          </w:p>
        </w:tc>
      </w:tr>
      <w:tr w:rsidR="00BA0785" w:rsidRPr="00FF207E" w14:paraId="0CEEF218" w14:textId="77777777" w:rsidTr="00D9237F">
        <w:tc>
          <w:tcPr>
            <w:tcW w:w="567" w:type="dxa"/>
            <w:vMerge/>
            <w:tcBorders>
              <w:left w:val="nil"/>
              <w:bottom w:val="single" w:sz="4" w:space="0" w:color="548DD4" w:themeColor="text2" w:themeTint="99"/>
              <w:right w:val="single" w:sz="4" w:space="0" w:color="548DD4" w:themeColor="text2" w:themeTint="99"/>
            </w:tcBorders>
          </w:tcPr>
          <w:p w14:paraId="43ADF82C" w14:textId="77777777" w:rsidR="00BA0785" w:rsidRPr="00FF207E" w:rsidRDefault="00BA0785"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4168E40" w14:textId="77777777" w:rsidR="00BA0785" w:rsidRPr="00FF207E" w:rsidRDefault="00BA0785"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705BCDB1" w14:textId="77777777" w:rsidR="00BA0785" w:rsidRPr="00FF207E" w:rsidRDefault="00BA0785"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 Borzen</w:t>
            </w:r>
          </w:p>
        </w:tc>
      </w:tr>
      <w:tr w:rsidR="00BA0785" w:rsidRPr="00FF207E" w14:paraId="7E693709" w14:textId="77777777" w:rsidTr="00D9237F">
        <w:tc>
          <w:tcPr>
            <w:tcW w:w="567" w:type="dxa"/>
            <w:vMerge/>
            <w:tcBorders>
              <w:left w:val="nil"/>
              <w:bottom w:val="single" w:sz="4" w:space="0" w:color="548DD4" w:themeColor="text2" w:themeTint="99"/>
              <w:right w:val="single" w:sz="4" w:space="0" w:color="548DD4" w:themeColor="text2" w:themeTint="99"/>
            </w:tcBorders>
          </w:tcPr>
          <w:p w14:paraId="45CA40AF" w14:textId="77777777" w:rsidR="00BA0785" w:rsidRPr="00FF207E" w:rsidRDefault="00BA0785"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7B205BBA" w14:textId="77777777" w:rsidR="00BA0785" w:rsidRPr="00FF207E" w:rsidRDefault="00BA0785"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236BECD4" w14:textId="43D49BDC" w:rsidR="00BA0785" w:rsidRPr="00FF207E" w:rsidRDefault="00BF5A0E" w:rsidP="001E304B">
            <w:pPr>
              <w:spacing w:line="240" w:lineRule="atLeast"/>
              <w:jc w:val="both"/>
              <w:rPr>
                <w:rFonts w:cs="Arial"/>
                <w:sz w:val="20"/>
                <w:szCs w:val="20"/>
                <w:lang w:val="sl-SI"/>
              </w:rPr>
            </w:pPr>
            <w:r w:rsidRPr="00FF207E">
              <w:rPr>
                <w:rFonts w:cs="Arial"/>
                <w:sz w:val="20"/>
                <w:szCs w:val="20"/>
                <w:lang w:val="sl-SI"/>
              </w:rPr>
              <w:t>2025</w:t>
            </w:r>
          </w:p>
        </w:tc>
      </w:tr>
      <w:tr w:rsidR="00BA0785" w:rsidRPr="00FF207E" w14:paraId="1822F29E" w14:textId="77777777" w:rsidTr="00C0783C">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3C7EB950" w14:textId="1B3A58F5" w:rsidR="00BA0785" w:rsidRPr="00FF207E" w:rsidRDefault="00BA0785" w:rsidP="001E304B">
            <w:pPr>
              <w:spacing w:line="240" w:lineRule="atLeast"/>
              <w:jc w:val="both"/>
              <w:rPr>
                <w:rFonts w:cs="Arial"/>
                <w:b/>
                <w:sz w:val="24"/>
                <w:lang w:val="sl-SI"/>
              </w:rPr>
            </w:pPr>
            <w:r w:rsidRPr="00FF207E">
              <w:rPr>
                <w:rFonts w:cs="Arial"/>
                <w:b/>
                <w:sz w:val="24"/>
                <w:lang w:val="sl-SI"/>
              </w:rPr>
              <w:t>5</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6497FF50" w14:textId="77777777" w:rsidR="00BA0785" w:rsidRPr="00FF207E" w:rsidRDefault="00BA0785"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362A8451" w14:textId="71EDDBAD" w:rsidR="00BA0785" w:rsidRPr="00FF207E" w:rsidRDefault="0061661E" w:rsidP="001E304B">
            <w:pPr>
              <w:spacing w:line="240" w:lineRule="atLeast"/>
              <w:jc w:val="both"/>
              <w:rPr>
                <w:rFonts w:cs="Arial"/>
                <w:sz w:val="20"/>
                <w:szCs w:val="20"/>
                <w:lang w:val="sl-SI"/>
              </w:rPr>
            </w:pPr>
            <w:r w:rsidRPr="00FF207E">
              <w:rPr>
                <w:rFonts w:cs="Arial"/>
                <w:sz w:val="20"/>
                <w:szCs w:val="20"/>
                <w:lang w:val="sl-SI"/>
              </w:rPr>
              <w:t>s</w:t>
            </w:r>
            <w:r w:rsidR="0032311F" w:rsidRPr="00FF207E">
              <w:rPr>
                <w:rFonts w:cs="Arial"/>
                <w:sz w:val="20"/>
                <w:szCs w:val="20"/>
                <w:lang w:val="sl-SI"/>
              </w:rPr>
              <w:t>podbujanje energetsko revnih</w:t>
            </w:r>
            <w:r w:rsidR="00BA0785" w:rsidRPr="00FF207E">
              <w:rPr>
                <w:rFonts w:cs="Arial"/>
                <w:sz w:val="20"/>
                <w:szCs w:val="20"/>
                <w:lang w:val="sl-SI"/>
              </w:rPr>
              <w:t xml:space="preserve"> za vključitev v energetske skupnosti</w:t>
            </w:r>
          </w:p>
        </w:tc>
      </w:tr>
      <w:tr w:rsidR="00BA0785" w:rsidRPr="00FF207E" w14:paraId="05BCC7DC" w14:textId="77777777" w:rsidTr="00C0783C">
        <w:tc>
          <w:tcPr>
            <w:tcW w:w="567" w:type="dxa"/>
            <w:vMerge/>
            <w:tcBorders>
              <w:left w:val="nil"/>
              <w:bottom w:val="single" w:sz="4" w:space="0" w:color="548DD4" w:themeColor="text2" w:themeTint="99"/>
              <w:right w:val="single" w:sz="4" w:space="0" w:color="548DD4" w:themeColor="text2" w:themeTint="99"/>
            </w:tcBorders>
          </w:tcPr>
          <w:p w14:paraId="0FC24D0D" w14:textId="77777777" w:rsidR="00BA0785" w:rsidRPr="00FF207E" w:rsidRDefault="00BA0785"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2C12A14C" w14:textId="77777777" w:rsidR="00BA0785" w:rsidRPr="00FF207E" w:rsidRDefault="00BA0785"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61C2B594" w14:textId="5F0D273B" w:rsidR="00BA0785" w:rsidRPr="00FF207E" w:rsidRDefault="0032311F"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BA0785" w:rsidRPr="00FF207E" w14:paraId="6AC2088C" w14:textId="77777777" w:rsidTr="00C0783C">
        <w:tc>
          <w:tcPr>
            <w:tcW w:w="567" w:type="dxa"/>
            <w:vMerge/>
            <w:tcBorders>
              <w:left w:val="nil"/>
              <w:bottom w:val="single" w:sz="4" w:space="0" w:color="548DD4" w:themeColor="text2" w:themeTint="99"/>
              <w:right w:val="single" w:sz="4" w:space="0" w:color="548DD4" w:themeColor="text2" w:themeTint="99"/>
            </w:tcBorders>
          </w:tcPr>
          <w:p w14:paraId="364BF546" w14:textId="77777777" w:rsidR="00BA0785" w:rsidRPr="00FF207E" w:rsidRDefault="00BA0785"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B0D5AAB" w14:textId="77777777" w:rsidR="00BA0785" w:rsidRPr="00FF207E" w:rsidRDefault="00BA0785"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6A5C1C99" w14:textId="0AE318B5" w:rsidR="00BA0785" w:rsidRPr="00FF207E" w:rsidRDefault="0032311F" w:rsidP="001E304B">
            <w:pPr>
              <w:spacing w:line="240" w:lineRule="atLeast"/>
              <w:jc w:val="both"/>
              <w:rPr>
                <w:rFonts w:cs="Arial"/>
                <w:sz w:val="20"/>
                <w:szCs w:val="20"/>
                <w:lang w:val="sl-SI"/>
              </w:rPr>
            </w:pPr>
            <w:r w:rsidRPr="00FF207E">
              <w:rPr>
                <w:rFonts w:cs="Arial"/>
                <w:sz w:val="20"/>
                <w:szCs w:val="20"/>
                <w:lang w:val="sl-SI"/>
              </w:rPr>
              <w:t xml:space="preserve">projektna pisarna z regionalnimi </w:t>
            </w:r>
            <w:r w:rsidR="00474D6A" w:rsidRPr="00FF207E">
              <w:rPr>
                <w:rFonts w:cs="Arial"/>
                <w:sz w:val="20"/>
                <w:szCs w:val="20"/>
                <w:lang w:val="sl-SI"/>
              </w:rPr>
              <w:t>svetovalnimi</w:t>
            </w:r>
            <w:r w:rsidRPr="00FF207E">
              <w:rPr>
                <w:rFonts w:cs="Arial"/>
                <w:sz w:val="20"/>
                <w:szCs w:val="20"/>
                <w:lang w:val="sl-SI"/>
              </w:rPr>
              <w:t xml:space="preserve"> točkami, neformalna mreža za informiranje in ozaveščanje</w:t>
            </w:r>
          </w:p>
        </w:tc>
      </w:tr>
      <w:tr w:rsidR="00BA0785" w:rsidRPr="00FF207E" w14:paraId="6249BBED" w14:textId="77777777" w:rsidTr="00C0783C">
        <w:tc>
          <w:tcPr>
            <w:tcW w:w="567" w:type="dxa"/>
            <w:vMerge/>
            <w:tcBorders>
              <w:left w:val="nil"/>
              <w:bottom w:val="single" w:sz="4" w:space="0" w:color="548DD4" w:themeColor="text2" w:themeTint="99"/>
              <w:right w:val="single" w:sz="4" w:space="0" w:color="548DD4" w:themeColor="text2" w:themeTint="99"/>
            </w:tcBorders>
          </w:tcPr>
          <w:p w14:paraId="30CEE370" w14:textId="77777777" w:rsidR="00BA0785" w:rsidRPr="00FF207E" w:rsidRDefault="00BA0785"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0BF80DD7" w14:textId="77777777" w:rsidR="00BA0785" w:rsidRPr="00FF207E" w:rsidRDefault="00BA0785"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4637B5E4" w14:textId="2AD98F5A" w:rsidR="00BA0785" w:rsidRPr="00FF207E" w:rsidRDefault="00BF5A0E" w:rsidP="001E304B">
            <w:pPr>
              <w:spacing w:line="240" w:lineRule="atLeast"/>
              <w:jc w:val="both"/>
              <w:rPr>
                <w:rFonts w:cs="Arial"/>
                <w:sz w:val="20"/>
                <w:szCs w:val="20"/>
                <w:lang w:val="sl-SI"/>
              </w:rPr>
            </w:pPr>
            <w:r w:rsidRPr="00FF207E">
              <w:rPr>
                <w:rFonts w:cs="Arial"/>
                <w:sz w:val="20"/>
                <w:szCs w:val="20"/>
                <w:lang w:val="sl-SI"/>
              </w:rPr>
              <w:t>2026</w:t>
            </w:r>
          </w:p>
        </w:tc>
      </w:tr>
    </w:tbl>
    <w:p w14:paraId="77975201" w14:textId="6B553F47" w:rsidR="00D378A4" w:rsidRPr="00FF207E" w:rsidRDefault="008C184C" w:rsidP="001E304B">
      <w:pPr>
        <w:pStyle w:val="Naslov3"/>
        <w:jc w:val="both"/>
        <w:rPr>
          <w:lang w:val="sl-SI"/>
        </w:rPr>
      </w:pPr>
      <w:bookmarkStart w:id="83" w:name="_Denarna_pomoč_CSD"/>
      <w:bookmarkStart w:id="84" w:name="_Toc151148798"/>
      <w:bookmarkEnd w:id="83"/>
      <w:r w:rsidRPr="00FF207E">
        <w:rPr>
          <w:lang w:val="sl-SI"/>
        </w:rPr>
        <w:lastRenderedPageBreak/>
        <w:t xml:space="preserve">Denarna pomoč CSD pri ukrepih URE in </w:t>
      </w:r>
      <w:r w:rsidR="00026105" w:rsidRPr="00FF207E">
        <w:rPr>
          <w:lang w:val="sl-SI"/>
        </w:rPr>
        <w:t xml:space="preserve">rabe </w:t>
      </w:r>
      <w:r w:rsidRPr="00FF207E">
        <w:rPr>
          <w:lang w:val="sl-SI"/>
        </w:rPr>
        <w:t>OVE</w:t>
      </w:r>
      <w:bookmarkEnd w:id="84"/>
    </w:p>
    <w:tbl>
      <w:tblPr>
        <w:tblStyle w:val="Tabelamrea"/>
        <w:tblW w:w="0" w:type="auto"/>
        <w:tblLook w:val="04A0" w:firstRow="1" w:lastRow="0" w:firstColumn="1" w:lastColumn="0" w:noHBand="0" w:noVBand="1"/>
      </w:tblPr>
      <w:tblGrid>
        <w:gridCol w:w="567"/>
        <w:gridCol w:w="2405"/>
        <w:gridCol w:w="6090"/>
      </w:tblGrid>
      <w:tr w:rsidR="00994BB8" w:rsidRPr="00FF207E" w14:paraId="33480C78" w14:textId="77777777" w:rsidTr="00880783">
        <w:tc>
          <w:tcPr>
            <w:tcW w:w="2972" w:type="dxa"/>
            <w:gridSpan w:val="2"/>
            <w:tcBorders>
              <w:top w:val="nil"/>
              <w:left w:val="nil"/>
              <w:bottom w:val="nil"/>
              <w:right w:val="single" w:sz="4" w:space="0" w:color="548DD4" w:themeColor="text2" w:themeTint="99"/>
            </w:tcBorders>
            <w:shd w:val="clear" w:color="auto" w:fill="548DD4" w:themeFill="text2" w:themeFillTint="99"/>
            <w:vAlign w:val="center"/>
          </w:tcPr>
          <w:p w14:paraId="6552CFFF" w14:textId="0B90F6F3" w:rsidR="00994BB8" w:rsidRPr="00FF207E" w:rsidRDefault="00994BB8" w:rsidP="001E304B">
            <w:pPr>
              <w:keepNext/>
              <w:spacing w:before="40" w:after="40"/>
              <w:jc w:val="both"/>
              <w:rPr>
                <w:rFonts w:cs="Arial"/>
                <w:b/>
                <w:color w:val="FFFFFF" w:themeColor="background1"/>
                <w:lang w:val="sl-SI"/>
              </w:rPr>
            </w:pPr>
            <w:r w:rsidRPr="00FF207E">
              <w:rPr>
                <w:rFonts w:cs="Arial"/>
                <w:b/>
                <w:color w:val="FFFFFF" w:themeColor="background1"/>
                <w:lang w:val="sl-SI"/>
              </w:rPr>
              <w:t>ER_Fin-02</w:t>
            </w:r>
          </w:p>
        </w:tc>
        <w:tc>
          <w:tcPr>
            <w:tcW w:w="6090" w:type="dxa"/>
            <w:tcBorders>
              <w:top w:val="nil"/>
              <w:left w:val="single" w:sz="4" w:space="0" w:color="548DD4" w:themeColor="text2" w:themeTint="99"/>
              <w:bottom w:val="nil"/>
              <w:right w:val="nil"/>
            </w:tcBorders>
            <w:shd w:val="clear" w:color="auto" w:fill="548DD4" w:themeFill="text2" w:themeFillTint="99"/>
            <w:vAlign w:val="center"/>
          </w:tcPr>
          <w:p w14:paraId="35024619" w14:textId="40696880" w:rsidR="00994BB8" w:rsidRPr="00FF207E" w:rsidRDefault="00994BB8" w:rsidP="001E304B">
            <w:pPr>
              <w:pStyle w:val="Naslov5"/>
              <w:jc w:val="both"/>
            </w:pPr>
            <w:bookmarkStart w:id="85" w:name="_Denarna_pomoč_CSD_3"/>
            <w:bookmarkEnd w:id="85"/>
            <w:r w:rsidRPr="00FF207E">
              <w:t xml:space="preserve">Denarna pomoč CSD pri ukrepih URE in </w:t>
            </w:r>
            <w:r w:rsidR="00026105" w:rsidRPr="00FF207E">
              <w:t xml:space="preserve">rabe </w:t>
            </w:r>
            <w:r w:rsidRPr="00FF207E">
              <w:t>OVE</w:t>
            </w:r>
          </w:p>
        </w:tc>
      </w:tr>
      <w:tr w:rsidR="00994BB8" w:rsidRPr="00FF207E" w14:paraId="6CECD414" w14:textId="77777777" w:rsidTr="00880783">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6E1313D5" w14:textId="77777777" w:rsidR="00994BB8" w:rsidRPr="00FF207E" w:rsidRDefault="00994BB8" w:rsidP="001E304B">
            <w:pPr>
              <w:spacing w:before="60" w:after="60" w:line="240" w:lineRule="atLeast"/>
              <w:jc w:val="both"/>
              <w:rPr>
                <w:rFonts w:cs="Arial"/>
                <w:b/>
                <w:szCs w:val="22"/>
                <w:lang w:val="sl-SI"/>
              </w:rPr>
            </w:pPr>
            <w:r w:rsidRPr="00FF207E">
              <w:rPr>
                <w:rFonts w:cs="Arial"/>
                <w:b/>
                <w:szCs w:val="22"/>
                <w:lang w:val="sl-SI"/>
              </w:rPr>
              <w:t>Osnovne informacije</w:t>
            </w:r>
          </w:p>
        </w:tc>
      </w:tr>
      <w:tr w:rsidR="00994BB8" w:rsidRPr="00FF207E" w14:paraId="38604E54" w14:textId="77777777" w:rsidTr="00742BD0">
        <w:tc>
          <w:tcPr>
            <w:tcW w:w="2972" w:type="dxa"/>
            <w:gridSpan w:val="2"/>
            <w:tcBorders>
              <w:top w:val="nil"/>
              <w:left w:val="nil"/>
              <w:bottom w:val="single" w:sz="4" w:space="0" w:color="548DD4" w:themeColor="text2" w:themeTint="99"/>
              <w:right w:val="single" w:sz="4" w:space="0" w:color="548DD4" w:themeColor="text2" w:themeTint="99"/>
            </w:tcBorders>
          </w:tcPr>
          <w:p w14:paraId="5490ED4A" w14:textId="77777777" w:rsidR="00994BB8" w:rsidRPr="00FF207E" w:rsidRDefault="00994BB8" w:rsidP="001E304B">
            <w:pPr>
              <w:spacing w:line="240" w:lineRule="atLeast"/>
              <w:jc w:val="both"/>
              <w:rPr>
                <w:rFonts w:cs="Arial"/>
                <w:spacing w:val="-4"/>
                <w:sz w:val="20"/>
                <w:szCs w:val="20"/>
                <w:lang w:val="sl-SI"/>
              </w:rPr>
            </w:pPr>
            <w:r w:rsidRPr="00FF207E">
              <w:rPr>
                <w:rFonts w:cs="Arial"/>
                <w:spacing w:val="-4"/>
                <w:sz w:val="20"/>
                <w:szCs w:val="20"/>
                <w:lang w:val="sl-SI"/>
              </w:rPr>
              <w:t>Odgovornost za izvedbo ukrepa</w:t>
            </w:r>
          </w:p>
        </w:tc>
        <w:tc>
          <w:tcPr>
            <w:tcW w:w="6090" w:type="dxa"/>
            <w:tcBorders>
              <w:top w:val="nil"/>
              <w:left w:val="single" w:sz="4" w:space="0" w:color="548DD4" w:themeColor="text2" w:themeTint="99"/>
              <w:bottom w:val="single" w:sz="4" w:space="0" w:color="548DD4" w:themeColor="text2" w:themeTint="99"/>
              <w:right w:val="nil"/>
            </w:tcBorders>
          </w:tcPr>
          <w:p w14:paraId="56EC0A9F" w14:textId="7DCAA86F"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MDDSZ</w:t>
            </w:r>
          </w:p>
        </w:tc>
      </w:tr>
      <w:tr w:rsidR="00994BB8" w:rsidRPr="00FF207E" w14:paraId="4A1BC629"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61A9BAD0"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770B6A6" w14:textId="191F4ED9"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 xml:space="preserve">CSD, </w:t>
            </w:r>
            <w:r w:rsidR="002666B6" w:rsidRPr="00FF207E">
              <w:rPr>
                <w:rFonts w:cs="Arial"/>
                <w:sz w:val="20"/>
                <w:szCs w:val="20"/>
                <w:lang w:val="sl-SI"/>
              </w:rPr>
              <w:t>MOPE</w:t>
            </w:r>
            <w:r w:rsidR="006B5EED" w:rsidRPr="00FF207E">
              <w:rPr>
                <w:rFonts w:cs="Arial"/>
                <w:sz w:val="20"/>
                <w:szCs w:val="20"/>
                <w:lang w:val="sl-SI"/>
              </w:rPr>
              <w:t xml:space="preserve">, </w:t>
            </w:r>
            <w:proofErr w:type="spellStart"/>
            <w:r w:rsidR="006B5EED" w:rsidRPr="00FF207E">
              <w:rPr>
                <w:rFonts w:cs="Arial"/>
                <w:sz w:val="20"/>
                <w:szCs w:val="20"/>
                <w:lang w:val="sl-SI"/>
              </w:rPr>
              <w:t>Eko</w:t>
            </w:r>
            <w:proofErr w:type="spellEnd"/>
            <w:r w:rsidR="006B5EED" w:rsidRPr="00FF207E">
              <w:rPr>
                <w:rFonts w:cs="Arial"/>
                <w:sz w:val="20"/>
                <w:szCs w:val="20"/>
                <w:lang w:val="sl-SI"/>
              </w:rPr>
              <w:t xml:space="preserve"> sklad</w:t>
            </w:r>
            <w:r w:rsidR="00097668" w:rsidRPr="00FF207E">
              <w:rPr>
                <w:rFonts w:cs="Arial"/>
                <w:sz w:val="20"/>
                <w:szCs w:val="20"/>
                <w:lang w:val="sl-SI"/>
              </w:rPr>
              <w:t>, neformalna mreža za informiranje in ozaveščanje</w:t>
            </w:r>
          </w:p>
        </w:tc>
      </w:tr>
      <w:tr w:rsidR="00994BB8" w:rsidRPr="00FF207E" w14:paraId="54892BA8"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68DF427"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Strateške podlage in njihova veljavnost</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EDC4D2B" w14:textId="117383F0" w:rsidR="00994BB8" w:rsidRPr="00FF207E" w:rsidRDefault="00994BB8" w:rsidP="001E304B">
            <w:pPr>
              <w:spacing w:line="240" w:lineRule="atLeast"/>
              <w:jc w:val="both"/>
              <w:rPr>
                <w:rFonts w:cs="Arial"/>
                <w:sz w:val="20"/>
                <w:szCs w:val="20"/>
                <w:lang w:val="sl-SI"/>
              </w:rPr>
            </w:pPr>
            <w:r w:rsidRPr="00FF207E">
              <w:rPr>
                <w:rFonts w:cs="Arial"/>
                <w:bCs/>
                <w:kern w:val="36"/>
                <w:sz w:val="20"/>
                <w:szCs w:val="20"/>
                <w:lang w:val="sl-SI"/>
              </w:rPr>
              <w:t xml:space="preserve">Zakon o socialno varstvenih prejemkih </w:t>
            </w:r>
            <w:r w:rsidRPr="00FF207E">
              <w:rPr>
                <w:rFonts w:cs="Arial"/>
                <w:kern w:val="36"/>
                <w:sz w:val="20"/>
                <w:szCs w:val="20"/>
                <w:lang w:val="sl-SI"/>
              </w:rPr>
              <w:t>(</w:t>
            </w:r>
            <w:r w:rsidRPr="00FF207E">
              <w:rPr>
                <w:rFonts w:cs="Arial"/>
                <w:bCs/>
                <w:kern w:val="36"/>
                <w:sz w:val="20"/>
                <w:szCs w:val="20"/>
                <w:lang w:val="sl-SI"/>
              </w:rPr>
              <w:t>ZSVarPre-NPB4</w:t>
            </w:r>
            <w:r w:rsidRPr="00FF207E">
              <w:rPr>
                <w:rFonts w:cs="Arial"/>
                <w:kern w:val="36"/>
                <w:sz w:val="20"/>
                <w:szCs w:val="20"/>
                <w:lang w:val="sl-SI"/>
              </w:rPr>
              <w:t>), 32.−34. člen, 49.−53. člen</w:t>
            </w:r>
          </w:p>
        </w:tc>
      </w:tr>
      <w:tr w:rsidR="00994BB8" w:rsidRPr="00FF207E" w14:paraId="6BEE0EC9"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D5CBF59"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Veljavnost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A2581B6" w14:textId="6DE063C5"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2030</w:t>
            </w:r>
          </w:p>
        </w:tc>
      </w:tr>
      <w:tr w:rsidR="00994BB8" w:rsidRPr="00FF207E" w14:paraId="6A5424A4"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6BA35E6"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Vrsta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0B27C37" w14:textId="15519B4C"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ekonomski</w:t>
            </w:r>
          </w:p>
        </w:tc>
      </w:tr>
      <w:tr w:rsidR="00994BB8" w:rsidRPr="00FF207E" w14:paraId="282B70EF" w14:textId="77777777" w:rsidTr="00742BD0">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390E9F8A"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Pričakovani učinki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10B438F" w14:textId="3D41AD5B" w:rsidR="00994BB8" w:rsidRPr="00FF207E" w:rsidRDefault="0061661E" w:rsidP="001E304B">
            <w:pPr>
              <w:spacing w:line="240" w:lineRule="atLeast"/>
              <w:jc w:val="both"/>
              <w:rPr>
                <w:rFonts w:cs="Arial"/>
                <w:sz w:val="20"/>
                <w:szCs w:val="20"/>
                <w:lang w:val="sl-SI"/>
              </w:rPr>
            </w:pPr>
            <w:r w:rsidRPr="00FF207E">
              <w:rPr>
                <w:rFonts w:cs="Arial"/>
                <w:sz w:val="20"/>
                <w:szCs w:val="20"/>
                <w:lang w:val="sl-SI"/>
              </w:rPr>
              <w:t>s</w:t>
            </w:r>
            <w:r w:rsidR="001A10F2" w:rsidRPr="00FF207E">
              <w:rPr>
                <w:rFonts w:cs="Arial"/>
                <w:sz w:val="20"/>
                <w:szCs w:val="20"/>
                <w:lang w:val="sl-SI"/>
              </w:rPr>
              <w:t xml:space="preserve">prejeta </w:t>
            </w:r>
            <w:r w:rsidR="002666B6" w:rsidRPr="00FF207E">
              <w:rPr>
                <w:rFonts w:cs="Arial"/>
                <w:sz w:val="20"/>
                <w:szCs w:val="20"/>
                <w:lang w:val="sl-SI"/>
              </w:rPr>
              <w:t>enotna navodila za vse CSD</w:t>
            </w:r>
            <w:r w:rsidR="007F15C7" w:rsidRPr="00FF207E">
              <w:rPr>
                <w:rFonts w:cs="Arial"/>
                <w:sz w:val="20"/>
                <w:szCs w:val="20"/>
                <w:lang w:val="sl-SI"/>
              </w:rPr>
              <w:t xml:space="preserve"> </w:t>
            </w:r>
            <w:r w:rsidR="004F45E3" w:rsidRPr="00FF207E">
              <w:rPr>
                <w:rFonts w:cs="Arial"/>
                <w:sz w:val="20"/>
                <w:szCs w:val="20"/>
                <w:lang w:val="sl-SI"/>
              </w:rPr>
              <w:t xml:space="preserve">glede </w:t>
            </w:r>
            <w:r w:rsidR="00314E10" w:rsidRPr="00FF207E">
              <w:rPr>
                <w:rFonts w:cs="Arial"/>
                <w:sz w:val="20"/>
                <w:szCs w:val="20"/>
                <w:lang w:val="sl-SI"/>
              </w:rPr>
              <w:t xml:space="preserve">možnosti za vključevanje denarne pomoči </w:t>
            </w:r>
            <w:r w:rsidR="001A10F2" w:rsidRPr="00FF207E">
              <w:rPr>
                <w:rFonts w:cs="Arial"/>
                <w:sz w:val="20"/>
                <w:szCs w:val="20"/>
                <w:lang w:val="sl-SI"/>
              </w:rPr>
              <w:t>v</w:t>
            </w:r>
            <w:r w:rsidR="008510C6" w:rsidRPr="00FF207E">
              <w:rPr>
                <w:rFonts w:cs="Arial"/>
                <w:sz w:val="20"/>
                <w:szCs w:val="20"/>
                <w:lang w:val="sl-SI"/>
              </w:rPr>
              <w:t xml:space="preserve"> izvajanj</w:t>
            </w:r>
            <w:r w:rsidR="001A10F2" w:rsidRPr="00FF207E">
              <w:rPr>
                <w:rFonts w:cs="Arial"/>
                <w:sz w:val="20"/>
                <w:szCs w:val="20"/>
                <w:lang w:val="sl-SI"/>
              </w:rPr>
              <w:t>e</w:t>
            </w:r>
            <w:r w:rsidR="008510C6" w:rsidRPr="00FF207E">
              <w:rPr>
                <w:rFonts w:cs="Arial"/>
                <w:sz w:val="20"/>
                <w:szCs w:val="20"/>
                <w:lang w:val="sl-SI"/>
              </w:rPr>
              <w:t xml:space="preserve"> ukrepov URE in </w:t>
            </w:r>
            <w:r w:rsidR="00026105" w:rsidRPr="00FF207E">
              <w:rPr>
                <w:rFonts w:cs="Arial"/>
                <w:sz w:val="20"/>
                <w:szCs w:val="20"/>
                <w:lang w:val="sl-SI"/>
              </w:rPr>
              <w:t xml:space="preserve">rabe </w:t>
            </w:r>
            <w:r w:rsidR="008510C6" w:rsidRPr="00FF207E">
              <w:rPr>
                <w:rFonts w:cs="Arial"/>
                <w:sz w:val="20"/>
                <w:szCs w:val="20"/>
                <w:lang w:val="sl-SI"/>
              </w:rPr>
              <w:t>OVE</w:t>
            </w:r>
            <w:r w:rsidR="00E15C43" w:rsidRPr="00FF207E">
              <w:rPr>
                <w:rFonts w:cs="Arial"/>
                <w:sz w:val="20"/>
                <w:szCs w:val="20"/>
                <w:lang w:val="sl-SI"/>
              </w:rPr>
              <w:t xml:space="preserve"> in njihova uporaba v praksi</w:t>
            </w:r>
          </w:p>
        </w:tc>
      </w:tr>
      <w:tr w:rsidR="00994BB8" w:rsidRPr="00FF207E" w14:paraId="2ADCA59A" w14:textId="77777777" w:rsidTr="00880783">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5984C35"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Status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EB041E4" w14:textId="2918C5AF" w:rsidR="00994BB8" w:rsidRPr="00FF207E" w:rsidRDefault="00736A5E" w:rsidP="001E304B">
            <w:pPr>
              <w:spacing w:line="240" w:lineRule="atLeast"/>
              <w:jc w:val="both"/>
              <w:rPr>
                <w:rFonts w:cs="Arial"/>
                <w:sz w:val="20"/>
                <w:szCs w:val="20"/>
                <w:lang w:val="sl-SI"/>
              </w:rPr>
            </w:pPr>
            <w:r w:rsidRPr="00FF207E">
              <w:rPr>
                <w:rFonts w:cs="Arial"/>
                <w:sz w:val="20"/>
                <w:szCs w:val="20"/>
                <w:lang w:val="sl-SI"/>
              </w:rPr>
              <w:t xml:space="preserve">Veljaven </w:t>
            </w:r>
            <w:r w:rsidR="00994BB8" w:rsidRPr="00FF207E">
              <w:rPr>
                <w:rFonts w:cs="Arial"/>
                <w:sz w:val="20"/>
                <w:szCs w:val="20"/>
                <w:lang w:val="sl-SI"/>
              </w:rPr>
              <w:t xml:space="preserve">ukrep z nadgradnjo. </w:t>
            </w:r>
            <w:r w:rsidR="00A77846" w:rsidRPr="00FF207E">
              <w:rPr>
                <w:rFonts w:cs="Arial"/>
                <w:sz w:val="20"/>
                <w:szCs w:val="20"/>
                <w:lang w:val="sl-SI"/>
              </w:rPr>
              <w:t>Ko so bil</w:t>
            </w:r>
            <w:r w:rsidR="00044611" w:rsidRPr="00FF207E">
              <w:rPr>
                <w:rFonts w:cs="Arial"/>
                <w:sz w:val="20"/>
                <w:szCs w:val="20"/>
                <w:lang w:val="sl-SI"/>
              </w:rPr>
              <w:t>e</w:t>
            </w:r>
            <w:r w:rsidR="00A77846" w:rsidRPr="00FF207E">
              <w:rPr>
                <w:rFonts w:cs="Arial"/>
                <w:sz w:val="20"/>
                <w:szCs w:val="20"/>
                <w:lang w:val="sl-SI"/>
              </w:rPr>
              <w:t xml:space="preserve"> za energetsko revne na voljo spodbude iz programa ZERO500, je bila v posameznih primerih pri CSD že pridobljena izredna denarna pomoč ali varstveni dodatek, s katerim je bilo mogoče </w:t>
            </w:r>
            <w:r w:rsidR="00044611" w:rsidRPr="00FF207E">
              <w:rPr>
                <w:rFonts w:cs="Arial"/>
                <w:sz w:val="20"/>
                <w:szCs w:val="20"/>
                <w:lang w:val="sl-SI"/>
              </w:rPr>
              <w:t xml:space="preserve">posamezen ukrep </w:t>
            </w:r>
            <w:r w:rsidR="00A77846" w:rsidRPr="00FF207E">
              <w:rPr>
                <w:rFonts w:cs="Arial"/>
                <w:sz w:val="20"/>
                <w:szCs w:val="20"/>
                <w:lang w:val="sl-SI"/>
              </w:rPr>
              <w:t>v kombinaciji s sredstvi programa ZERO500 celovito izvesti</w:t>
            </w:r>
            <w:r w:rsidR="0061661E" w:rsidRPr="00FF207E">
              <w:rPr>
                <w:rFonts w:cs="Arial"/>
                <w:sz w:val="20"/>
                <w:szCs w:val="20"/>
                <w:lang w:val="sl-SI"/>
              </w:rPr>
              <w:t>,</w:t>
            </w:r>
            <w:r w:rsidR="00A77846" w:rsidRPr="00FF207E">
              <w:rPr>
                <w:rFonts w:cs="Arial"/>
                <w:sz w:val="20"/>
                <w:szCs w:val="20"/>
                <w:lang w:val="sl-SI"/>
              </w:rPr>
              <w:t xml:space="preserve"> </w:t>
            </w:r>
            <w:r w:rsidR="00B77973" w:rsidRPr="00FF207E">
              <w:rPr>
                <w:rFonts w:cs="Arial"/>
                <w:sz w:val="20"/>
                <w:szCs w:val="20"/>
                <w:lang w:val="sl-SI"/>
              </w:rPr>
              <w:t>na primer</w:t>
            </w:r>
            <w:r w:rsidR="00A77846" w:rsidRPr="00FF207E">
              <w:rPr>
                <w:rFonts w:cs="Arial"/>
                <w:sz w:val="20"/>
                <w:szCs w:val="20"/>
                <w:lang w:val="sl-SI"/>
              </w:rPr>
              <w:t xml:space="preserve"> zamenja</w:t>
            </w:r>
            <w:r w:rsidR="00044611" w:rsidRPr="00FF207E">
              <w:rPr>
                <w:rFonts w:cs="Arial"/>
                <w:sz w:val="20"/>
                <w:szCs w:val="20"/>
                <w:lang w:val="sl-SI"/>
              </w:rPr>
              <w:t>ti vsa</w:t>
            </w:r>
            <w:r w:rsidR="00A77846" w:rsidRPr="00FF207E">
              <w:rPr>
                <w:rFonts w:cs="Arial"/>
                <w:sz w:val="20"/>
                <w:szCs w:val="20"/>
                <w:lang w:val="sl-SI"/>
              </w:rPr>
              <w:t xml:space="preserve"> okna</w:t>
            </w:r>
            <w:r w:rsidR="00044611" w:rsidRPr="00FF207E">
              <w:rPr>
                <w:rFonts w:cs="Arial"/>
                <w:sz w:val="20"/>
                <w:szCs w:val="20"/>
                <w:lang w:val="sl-SI"/>
              </w:rPr>
              <w:t xml:space="preserve"> in ne samo tista, za katera je bilo dovolj sredstev zagotovljenih iz programa ZERO500</w:t>
            </w:r>
            <w:r w:rsidR="00A77846" w:rsidRPr="00FF207E">
              <w:rPr>
                <w:rFonts w:cs="Arial"/>
                <w:sz w:val="20"/>
                <w:szCs w:val="20"/>
                <w:lang w:val="sl-SI"/>
              </w:rPr>
              <w:t>.</w:t>
            </w:r>
          </w:p>
        </w:tc>
      </w:tr>
      <w:tr w:rsidR="00994BB8" w:rsidRPr="00FF207E" w14:paraId="736F0275" w14:textId="77777777" w:rsidTr="00880783">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6DC9D7F7" w14:textId="77777777" w:rsidR="00994BB8" w:rsidRPr="00FF207E" w:rsidRDefault="00994BB8" w:rsidP="001E304B">
            <w:pPr>
              <w:spacing w:before="60" w:after="60" w:line="240" w:lineRule="atLeast"/>
              <w:jc w:val="both"/>
              <w:rPr>
                <w:rFonts w:cs="Arial"/>
                <w:b/>
                <w:lang w:val="sl-SI"/>
              </w:rPr>
            </w:pPr>
            <w:r w:rsidRPr="00FF207E">
              <w:rPr>
                <w:rFonts w:cs="Arial"/>
                <w:b/>
                <w:lang w:val="sl-SI"/>
              </w:rPr>
              <w:t>Dolgoročna vsebina ukrepa</w:t>
            </w:r>
          </w:p>
        </w:tc>
      </w:tr>
      <w:tr w:rsidR="00994BB8" w:rsidRPr="00FF207E" w14:paraId="1D86F365" w14:textId="77777777" w:rsidTr="00880783">
        <w:tc>
          <w:tcPr>
            <w:tcW w:w="9062" w:type="dxa"/>
            <w:gridSpan w:val="3"/>
            <w:tcBorders>
              <w:top w:val="single" w:sz="4" w:space="0" w:color="548DD4" w:themeColor="text2" w:themeTint="99"/>
              <w:left w:val="nil"/>
              <w:bottom w:val="single" w:sz="4" w:space="0" w:color="548DD4" w:themeColor="text2" w:themeTint="99"/>
              <w:right w:val="nil"/>
            </w:tcBorders>
          </w:tcPr>
          <w:p w14:paraId="04BE39B8"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V okviru ukrepa je treba dolgoročno:</w:t>
            </w:r>
          </w:p>
          <w:p w14:paraId="0885E70D" w14:textId="4C3B3CBE" w:rsidR="00994BB8" w:rsidRPr="00FF207E" w:rsidRDefault="00994BB8" w:rsidP="001E304B">
            <w:pPr>
              <w:pStyle w:val="Odstavekseznama"/>
              <w:numPr>
                <w:ilvl w:val="0"/>
                <w:numId w:val="14"/>
              </w:numPr>
              <w:spacing w:line="240" w:lineRule="atLeast"/>
              <w:ind w:left="357" w:hanging="357"/>
              <w:jc w:val="both"/>
              <w:rPr>
                <w:rFonts w:cs="Arial"/>
                <w:sz w:val="20"/>
                <w:szCs w:val="20"/>
                <w:lang w:val="sl-SI"/>
              </w:rPr>
            </w:pPr>
            <w:r w:rsidRPr="00FF207E">
              <w:rPr>
                <w:rFonts w:cs="Arial"/>
                <w:b/>
                <w:sz w:val="20"/>
                <w:szCs w:val="20"/>
                <w:lang w:val="sl-SI"/>
              </w:rPr>
              <w:t>pripraviti enotna navodila za vse CSD</w:t>
            </w:r>
            <w:r w:rsidRPr="00FF207E">
              <w:rPr>
                <w:rFonts w:cs="Arial"/>
                <w:sz w:val="20"/>
                <w:szCs w:val="20"/>
                <w:lang w:val="sl-SI"/>
              </w:rPr>
              <w:t xml:space="preserve">, katerim stroškom in v kakšnih primerih, pod katerimi pogoji in komu je </w:t>
            </w:r>
            <w:r w:rsidR="00B33B9C" w:rsidRPr="00FF207E">
              <w:rPr>
                <w:rFonts w:cs="Arial"/>
                <w:sz w:val="20"/>
                <w:szCs w:val="20"/>
                <w:lang w:val="sl-SI"/>
              </w:rPr>
              <w:t xml:space="preserve">taka </w:t>
            </w:r>
            <w:r w:rsidRPr="00FF207E">
              <w:rPr>
                <w:rFonts w:cs="Arial"/>
                <w:sz w:val="20"/>
                <w:szCs w:val="20"/>
                <w:lang w:val="sl-SI"/>
              </w:rPr>
              <w:t>pomoč lahko namenjena</w:t>
            </w:r>
            <w:r w:rsidR="00044611" w:rsidRPr="00FF207E">
              <w:rPr>
                <w:rFonts w:cs="Arial"/>
                <w:sz w:val="20"/>
                <w:szCs w:val="20"/>
                <w:lang w:val="sl-SI"/>
              </w:rPr>
              <w:t>;</w:t>
            </w:r>
          </w:p>
          <w:p w14:paraId="6BB1C2B1" w14:textId="22241DB9" w:rsidR="00994BB8" w:rsidRPr="00FF207E" w:rsidRDefault="00E15C43" w:rsidP="001E304B">
            <w:pPr>
              <w:pStyle w:val="Odstavekseznama"/>
              <w:numPr>
                <w:ilvl w:val="0"/>
                <w:numId w:val="14"/>
              </w:numPr>
              <w:spacing w:line="240" w:lineRule="atLeast"/>
              <w:ind w:left="357" w:hanging="357"/>
              <w:jc w:val="both"/>
              <w:rPr>
                <w:rFonts w:cs="Arial"/>
                <w:sz w:val="20"/>
                <w:szCs w:val="20"/>
                <w:lang w:val="sl-SI"/>
              </w:rPr>
            </w:pPr>
            <w:r w:rsidRPr="00FF207E">
              <w:rPr>
                <w:rFonts w:cs="Arial"/>
                <w:b/>
                <w:sz w:val="20"/>
                <w:szCs w:val="20"/>
                <w:lang w:val="sl-SI"/>
              </w:rPr>
              <w:t xml:space="preserve">zagotoviti uporabo </w:t>
            </w:r>
            <w:r w:rsidR="00044611" w:rsidRPr="00FF207E">
              <w:rPr>
                <w:rFonts w:cs="Arial"/>
                <w:b/>
                <w:sz w:val="20"/>
                <w:szCs w:val="20"/>
                <w:lang w:val="sl-SI"/>
              </w:rPr>
              <w:t xml:space="preserve">teh </w:t>
            </w:r>
            <w:r w:rsidRPr="00FF207E">
              <w:rPr>
                <w:rFonts w:cs="Arial"/>
                <w:b/>
                <w:sz w:val="20"/>
                <w:szCs w:val="20"/>
                <w:lang w:val="sl-SI"/>
              </w:rPr>
              <w:t>navodil</w:t>
            </w:r>
            <w:r w:rsidR="00044611" w:rsidRPr="00FF207E">
              <w:rPr>
                <w:rFonts w:cs="Arial"/>
                <w:sz w:val="20"/>
                <w:szCs w:val="20"/>
                <w:lang w:val="sl-SI"/>
              </w:rPr>
              <w:t xml:space="preserve"> in jih po potrebi prilagajati aktualnim okoliščinam in ugotovitvam.</w:t>
            </w:r>
          </w:p>
        </w:tc>
      </w:tr>
      <w:tr w:rsidR="00994BB8" w:rsidRPr="00FF207E" w14:paraId="334FCC4B" w14:textId="77777777" w:rsidTr="00880783">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5D341D2A" w14:textId="77777777" w:rsidR="00994BB8" w:rsidRPr="00FF207E" w:rsidRDefault="00994BB8" w:rsidP="001E304B">
            <w:pPr>
              <w:spacing w:before="60" w:after="60" w:line="240" w:lineRule="atLeast"/>
              <w:jc w:val="both"/>
              <w:rPr>
                <w:rFonts w:cs="Arial"/>
                <w:b/>
                <w:lang w:val="sl-SI"/>
              </w:rPr>
            </w:pPr>
            <w:r w:rsidRPr="00FF207E">
              <w:rPr>
                <w:rFonts w:cs="Arial"/>
                <w:b/>
                <w:lang w:val="sl-SI"/>
              </w:rPr>
              <w:t>Kratkoročna izvedba ukrepa v obdobju 2024–2026</w:t>
            </w:r>
          </w:p>
        </w:tc>
      </w:tr>
      <w:tr w:rsidR="00994BB8" w:rsidRPr="00FF207E" w14:paraId="727C6BCD" w14:textId="77777777" w:rsidTr="00880783">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175D32A3"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Kratkoročni cilj</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D6C6570" w14:textId="758F716D" w:rsidR="00994BB8" w:rsidRPr="00FF207E" w:rsidRDefault="0061661E" w:rsidP="001E304B">
            <w:pPr>
              <w:spacing w:line="240" w:lineRule="atLeast"/>
              <w:jc w:val="both"/>
              <w:rPr>
                <w:rFonts w:cs="Arial"/>
                <w:sz w:val="20"/>
                <w:szCs w:val="20"/>
                <w:lang w:val="sl-SI"/>
              </w:rPr>
            </w:pPr>
            <w:r w:rsidRPr="00FF207E">
              <w:rPr>
                <w:rFonts w:cs="Arial"/>
                <w:sz w:val="20"/>
                <w:szCs w:val="20"/>
                <w:lang w:val="sl-SI"/>
              </w:rPr>
              <w:t>p</w:t>
            </w:r>
            <w:r w:rsidR="002C5570" w:rsidRPr="00FF207E">
              <w:rPr>
                <w:rFonts w:cs="Arial"/>
                <w:sz w:val="20"/>
                <w:szCs w:val="20"/>
                <w:lang w:val="sl-SI"/>
              </w:rPr>
              <w:t xml:space="preserve">ripravljena, usklajena in sprejeta enotna navodila za vse CSD glede možnosti za vključevanje denarne pomoči v izvajanje ukrepov URE in </w:t>
            </w:r>
            <w:r w:rsidR="00026105" w:rsidRPr="00FF207E">
              <w:rPr>
                <w:rFonts w:cs="Arial"/>
                <w:sz w:val="20"/>
                <w:szCs w:val="20"/>
                <w:lang w:val="sl-SI"/>
              </w:rPr>
              <w:t xml:space="preserve">rabe </w:t>
            </w:r>
            <w:r w:rsidR="002C5570" w:rsidRPr="00FF207E">
              <w:rPr>
                <w:rFonts w:cs="Arial"/>
                <w:sz w:val="20"/>
                <w:szCs w:val="20"/>
                <w:lang w:val="sl-SI"/>
              </w:rPr>
              <w:t>OVE</w:t>
            </w:r>
          </w:p>
        </w:tc>
      </w:tr>
      <w:tr w:rsidR="00994BB8" w:rsidRPr="00FF207E" w14:paraId="7B0020B1" w14:textId="77777777" w:rsidTr="002513F9">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A4089E4" w14:textId="2C3E8963" w:rsidR="00994BB8" w:rsidRPr="00FF207E" w:rsidRDefault="00715D2E" w:rsidP="001E304B">
            <w:pPr>
              <w:spacing w:line="240" w:lineRule="atLeast"/>
              <w:jc w:val="both"/>
              <w:rPr>
                <w:rFonts w:cs="Arial"/>
                <w:sz w:val="20"/>
                <w:szCs w:val="20"/>
                <w:lang w:val="sl-SI"/>
              </w:rPr>
            </w:pPr>
            <w:r w:rsidRPr="00FF207E">
              <w:rPr>
                <w:rFonts w:cs="Arial"/>
                <w:sz w:val="20"/>
                <w:szCs w:val="20"/>
                <w:lang w:val="sl-SI"/>
              </w:rPr>
              <w:t>Potrebna sredstva</w:t>
            </w:r>
            <w:r w:rsidR="00F4436A" w:rsidRPr="00FF207E">
              <w:rPr>
                <w:lang w:val="sl-SI"/>
              </w:rPr>
              <w:t xml:space="preserve"> </w:t>
            </w:r>
            <w:r w:rsidRPr="00FF207E">
              <w:rPr>
                <w:rFonts w:cs="Arial"/>
                <w:sz w:val="20"/>
                <w:szCs w:val="20"/>
                <w:lang w:val="sl-SI"/>
              </w:rPr>
              <w:t>in viri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tcPr>
          <w:p w14:paraId="186144C0" w14:textId="1AFF6B92" w:rsidR="00811106" w:rsidRPr="00FF207E" w:rsidRDefault="00086058" w:rsidP="002513F9">
            <w:pPr>
              <w:rPr>
                <w:rFonts w:cs="Arial"/>
                <w:sz w:val="20"/>
                <w:szCs w:val="20"/>
                <w:lang w:val="sl-SI"/>
              </w:rPr>
            </w:pPr>
            <w:r w:rsidRPr="00FF207E">
              <w:rPr>
                <w:rFonts w:cs="Arial"/>
                <w:sz w:val="20"/>
                <w:szCs w:val="20"/>
                <w:lang w:val="sl-SI"/>
              </w:rPr>
              <w:t>t</w:t>
            </w:r>
            <w:r w:rsidR="00811106" w:rsidRPr="00FF207E">
              <w:rPr>
                <w:rFonts w:cs="Arial"/>
                <w:sz w:val="20"/>
                <w:szCs w:val="20"/>
                <w:lang w:val="sl-SI"/>
              </w:rPr>
              <w:t>abela 7</w:t>
            </w:r>
          </w:p>
          <w:p w14:paraId="08F6B165" w14:textId="7567BB00" w:rsidR="00715D2E" w:rsidRPr="00FF207E" w:rsidRDefault="00715D2E" w:rsidP="002513F9">
            <w:pPr>
              <w:rPr>
                <w:lang w:val="sl-SI"/>
              </w:rPr>
            </w:pPr>
            <w:r w:rsidRPr="00FF207E">
              <w:rPr>
                <w:rFonts w:cs="Arial"/>
                <w:sz w:val="20"/>
                <w:szCs w:val="20"/>
                <w:lang w:val="sl-SI"/>
              </w:rPr>
              <w:t>Viri sredstev: redno delo ministrstev</w:t>
            </w:r>
            <w:r w:rsidR="0061661E" w:rsidRPr="00FF207E">
              <w:rPr>
                <w:rFonts w:cs="Arial"/>
                <w:sz w:val="20"/>
                <w:szCs w:val="20"/>
                <w:lang w:val="sl-SI"/>
              </w:rPr>
              <w:t>.</w:t>
            </w:r>
          </w:p>
        </w:tc>
      </w:tr>
      <w:tr w:rsidR="00994BB8" w:rsidRPr="00FF207E" w14:paraId="5FE84251" w14:textId="77777777" w:rsidTr="00880783">
        <w:tc>
          <w:tcPr>
            <w:tcW w:w="9062" w:type="dxa"/>
            <w:gridSpan w:val="3"/>
            <w:tcBorders>
              <w:top w:val="single" w:sz="4" w:space="0" w:color="548DD4" w:themeColor="text2" w:themeTint="99"/>
              <w:left w:val="nil"/>
              <w:bottom w:val="single" w:sz="4" w:space="0" w:color="548DD4" w:themeColor="text2" w:themeTint="99"/>
              <w:right w:val="nil"/>
            </w:tcBorders>
            <w:shd w:val="clear" w:color="auto" w:fill="DBE5F1" w:themeFill="accent1" w:themeFillTint="33"/>
          </w:tcPr>
          <w:p w14:paraId="4EF31E8F" w14:textId="77777777" w:rsidR="00994BB8" w:rsidRPr="00FF207E" w:rsidRDefault="00994BB8" w:rsidP="001E304B">
            <w:pPr>
              <w:spacing w:before="40" w:after="40" w:line="240" w:lineRule="atLeast"/>
              <w:jc w:val="both"/>
              <w:rPr>
                <w:rFonts w:cs="Arial"/>
                <w:sz w:val="20"/>
                <w:szCs w:val="20"/>
                <w:lang w:val="sl-SI"/>
              </w:rPr>
            </w:pPr>
            <w:r w:rsidRPr="00FF207E">
              <w:rPr>
                <w:rFonts w:cs="Arial"/>
                <w:sz w:val="20"/>
                <w:szCs w:val="20"/>
                <w:lang w:val="sl-SI"/>
              </w:rPr>
              <w:t>Potek izvedbe</w:t>
            </w:r>
          </w:p>
        </w:tc>
      </w:tr>
      <w:tr w:rsidR="00994BB8" w:rsidRPr="00FF207E" w14:paraId="7DB75995" w14:textId="77777777" w:rsidTr="00742BD0">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6C450C9E" w14:textId="77777777" w:rsidR="00994BB8" w:rsidRPr="00FF207E" w:rsidRDefault="00994BB8" w:rsidP="001E304B">
            <w:pPr>
              <w:spacing w:line="240" w:lineRule="atLeast"/>
              <w:jc w:val="both"/>
              <w:rPr>
                <w:rFonts w:cs="Arial"/>
                <w:b/>
                <w:sz w:val="24"/>
                <w:lang w:val="sl-SI"/>
              </w:rPr>
            </w:pPr>
            <w:r w:rsidRPr="00FF207E">
              <w:rPr>
                <w:rFonts w:cs="Arial"/>
                <w:b/>
                <w:sz w:val="24"/>
                <w:lang w:val="sl-SI"/>
              </w:rPr>
              <w:t>1</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3001F885"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56A7C82D" w14:textId="53CE7503" w:rsidR="00994BB8" w:rsidRPr="00FF207E" w:rsidRDefault="00EB41FC" w:rsidP="001E304B">
            <w:pPr>
              <w:spacing w:line="240" w:lineRule="atLeast"/>
              <w:jc w:val="both"/>
              <w:rPr>
                <w:rFonts w:cs="Arial"/>
                <w:sz w:val="20"/>
                <w:szCs w:val="20"/>
                <w:lang w:val="sl-SI"/>
              </w:rPr>
            </w:pPr>
            <w:r w:rsidRPr="00FF207E">
              <w:rPr>
                <w:rFonts w:cs="Arial"/>
                <w:sz w:val="20"/>
                <w:szCs w:val="20"/>
                <w:lang w:val="sl-SI"/>
              </w:rPr>
              <w:t>o</w:t>
            </w:r>
            <w:r w:rsidR="00994BB8" w:rsidRPr="00FF207E">
              <w:rPr>
                <w:rFonts w:cs="Arial"/>
                <w:sz w:val="20"/>
                <w:szCs w:val="20"/>
                <w:lang w:val="sl-SI"/>
              </w:rPr>
              <w:t>blikovanje skupine za pripravo enotnih navodil</w:t>
            </w:r>
          </w:p>
        </w:tc>
      </w:tr>
      <w:tr w:rsidR="00994BB8" w:rsidRPr="00FF207E" w14:paraId="510981BC" w14:textId="77777777" w:rsidTr="00742BD0">
        <w:tc>
          <w:tcPr>
            <w:tcW w:w="567" w:type="dxa"/>
            <w:vMerge/>
            <w:tcBorders>
              <w:left w:val="nil"/>
              <w:bottom w:val="single" w:sz="4" w:space="0" w:color="548DD4" w:themeColor="text2" w:themeTint="99"/>
              <w:right w:val="single" w:sz="4" w:space="0" w:color="548DD4" w:themeColor="text2" w:themeTint="99"/>
            </w:tcBorders>
          </w:tcPr>
          <w:p w14:paraId="7DF4B744" w14:textId="77777777" w:rsidR="00994BB8" w:rsidRPr="00FF207E" w:rsidRDefault="00994BB8"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0279B93"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7A881138" w14:textId="1C2A93F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MDDSZ</w:t>
            </w:r>
          </w:p>
        </w:tc>
      </w:tr>
      <w:tr w:rsidR="00994BB8" w:rsidRPr="00FF207E" w14:paraId="43A7B2F4" w14:textId="77777777" w:rsidTr="00742BD0">
        <w:tc>
          <w:tcPr>
            <w:tcW w:w="567" w:type="dxa"/>
            <w:vMerge/>
            <w:tcBorders>
              <w:left w:val="nil"/>
              <w:bottom w:val="single" w:sz="4" w:space="0" w:color="548DD4" w:themeColor="text2" w:themeTint="99"/>
              <w:right w:val="single" w:sz="4" w:space="0" w:color="548DD4" w:themeColor="text2" w:themeTint="99"/>
            </w:tcBorders>
          </w:tcPr>
          <w:p w14:paraId="74C2F4D1" w14:textId="77777777" w:rsidR="00994BB8" w:rsidRPr="00FF207E" w:rsidRDefault="00994BB8"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7636E8DD"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339058B4" w14:textId="326BDE0A" w:rsidR="00994BB8" w:rsidRPr="00FF207E" w:rsidRDefault="00994BB8"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 </w:t>
            </w:r>
            <w:r w:rsidR="00E53E08" w:rsidRPr="00FF207E">
              <w:rPr>
                <w:rFonts w:cs="Arial"/>
                <w:sz w:val="20"/>
                <w:szCs w:val="20"/>
                <w:lang w:val="sl-SI"/>
              </w:rPr>
              <w:t>MOPE</w:t>
            </w:r>
            <w:r w:rsidRPr="00FF207E">
              <w:rPr>
                <w:rFonts w:cs="Arial"/>
                <w:sz w:val="20"/>
                <w:szCs w:val="20"/>
                <w:lang w:val="sl-SI"/>
              </w:rPr>
              <w:t>, CSD</w:t>
            </w:r>
          </w:p>
        </w:tc>
      </w:tr>
      <w:tr w:rsidR="00994BB8" w:rsidRPr="00FF207E" w14:paraId="08656351" w14:textId="77777777" w:rsidTr="00742BD0">
        <w:tc>
          <w:tcPr>
            <w:tcW w:w="567" w:type="dxa"/>
            <w:vMerge/>
            <w:tcBorders>
              <w:left w:val="nil"/>
              <w:bottom w:val="single" w:sz="4" w:space="0" w:color="548DD4" w:themeColor="text2" w:themeTint="99"/>
              <w:right w:val="single" w:sz="4" w:space="0" w:color="548DD4" w:themeColor="text2" w:themeTint="99"/>
            </w:tcBorders>
          </w:tcPr>
          <w:p w14:paraId="13891203" w14:textId="77777777" w:rsidR="00994BB8" w:rsidRPr="00FF207E" w:rsidRDefault="00994BB8"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0C84A8A0"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5845CA0E" w14:textId="28A872D3" w:rsidR="00994BB8" w:rsidRPr="00FF207E" w:rsidRDefault="00BF5A0E" w:rsidP="001E304B">
            <w:pPr>
              <w:spacing w:line="240" w:lineRule="atLeast"/>
              <w:jc w:val="both"/>
              <w:rPr>
                <w:rFonts w:cs="Arial"/>
                <w:sz w:val="20"/>
                <w:szCs w:val="20"/>
                <w:lang w:val="sl-SI"/>
              </w:rPr>
            </w:pPr>
            <w:r w:rsidRPr="00FF207E">
              <w:rPr>
                <w:rFonts w:cs="Arial"/>
                <w:sz w:val="20"/>
                <w:szCs w:val="20"/>
                <w:lang w:val="sl-SI"/>
              </w:rPr>
              <w:t>2024</w:t>
            </w:r>
          </w:p>
        </w:tc>
      </w:tr>
      <w:tr w:rsidR="00994BB8" w:rsidRPr="00FF207E" w14:paraId="04FB860A" w14:textId="77777777" w:rsidTr="00742BD0">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349FC0F1" w14:textId="77777777" w:rsidR="00994BB8" w:rsidRPr="00FF207E" w:rsidRDefault="00994BB8" w:rsidP="001E304B">
            <w:pPr>
              <w:spacing w:line="240" w:lineRule="atLeast"/>
              <w:jc w:val="both"/>
              <w:rPr>
                <w:rFonts w:cs="Arial"/>
                <w:b/>
                <w:sz w:val="24"/>
                <w:lang w:val="sl-SI"/>
              </w:rPr>
            </w:pPr>
            <w:r w:rsidRPr="00FF207E">
              <w:rPr>
                <w:rFonts w:cs="Arial"/>
                <w:b/>
                <w:sz w:val="24"/>
                <w:lang w:val="sl-SI"/>
              </w:rPr>
              <w:t>2</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6FB99EF6"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3F143329" w14:textId="21054F97" w:rsidR="00994BB8" w:rsidRPr="00FF207E" w:rsidRDefault="00EB41FC" w:rsidP="00B33B9C">
            <w:pPr>
              <w:spacing w:line="240" w:lineRule="atLeast"/>
              <w:jc w:val="both"/>
              <w:rPr>
                <w:rFonts w:cs="Arial"/>
                <w:sz w:val="20"/>
                <w:szCs w:val="20"/>
                <w:lang w:val="sl-SI"/>
              </w:rPr>
            </w:pPr>
            <w:r w:rsidRPr="00FF207E">
              <w:rPr>
                <w:rFonts w:cs="Arial"/>
                <w:sz w:val="20"/>
                <w:szCs w:val="20"/>
                <w:lang w:val="sl-SI"/>
              </w:rPr>
              <w:t>p</w:t>
            </w:r>
            <w:r w:rsidR="00994BB8" w:rsidRPr="00FF207E">
              <w:rPr>
                <w:rFonts w:cs="Arial"/>
                <w:sz w:val="20"/>
                <w:szCs w:val="20"/>
                <w:lang w:val="sl-SI"/>
              </w:rPr>
              <w:t>riprava enotnih navodil za vse CSD; določitev</w:t>
            </w:r>
            <w:r w:rsidR="00B33B9C" w:rsidRPr="00FF207E">
              <w:rPr>
                <w:rFonts w:cs="Arial"/>
                <w:sz w:val="20"/>
                <w:szCs w:val="20"/>
                <w:lang w:val="sl-SI"/>
              </w:rPr>
              <w:t>,</w:t>
            </w:r>
            <w:r w:rsidR="00994BB8" w:rsidRPr="00FF207E">
              <w:rPr>
                <w:rFonts w:cs="Arial"/>
                <w:sz w:val="20"/>
                <w:szCs w:val="20"/>
                <w:lang w:val="sl-SI"/>
              </w:rPr>
              <w:t xml:space="preserve"> v katerih izrednih primerih </w:t>
            </w:r>
            <w:r w:rsidR="00B33B9C" w:rsidRPr="00FF207E">
              <w:rPr>
                <w:rFonts w:cs="Arial"/>
                <w:sz w:val="20"/>
                <w:szCs w:val="20"/>
                <w:lang w:val="sl-SI"/>
              </w:rPr>
              <w:t xml:space="preserve">je taka pomoč mogoča </w:t>
            </w:r>
            <w:r w:rsidR="00994BB8" w:rsidRPr="00FF207E">
              <w:rPr>
                <w:rFonts w:cs="Arial"/>
                <w:sz w:val="20"/>
                <w:szCs w:val="20"/>
                <w:lang w:val="sl-SI"/>
              </w:rPr>
              <w:t>in kakšna</w:t>
            </w:r>
            <w:r w:rsidR="0061661E" w:rsidRPr="00FF207E">
              <w:rPr>
                <w:rFonts w:cs="Arial"/>
                <w:sz w:val="20"/>
                <w:szCs w:val="20"/>
                <w:lang w:val="sl-SI"/>
              </w:rPr>
              <w:t xml:space="preserve"> je</w:t>
            </w:r>
            <w:r w:rsidR="00994BB8" w:rsidRPr="00FF207E">
              <w:rPr>
                <w:rFonts w:cs="Arial"/>
                <w:sz w:val="20"/>
                <w:szCs w:val="20"/>
                <w:lang w:val="sl-SI"/>
              </w:rPr>
              <w:t xml:space="preserve"> </w:t>
            </w:r>
            <w:r w:rsidR="0061661E" w:rsidRPr="00FF207E">
              <w:rPr>
                <w:rFonts w:cs="Arial"/>
                <w:sz w:val="20"/>
                <w:szCs w:val="20"/>
                <w:lang w:val="sl-SI"/>
              </w:rPr>
              <w:t xml:space="preserve">taka </w:t>
            </w:r>
            <w:r w:rsidR="00994BB8" w:rsidRPr="00FF207E">
              <w:rPr>
                <w:rFonts w:cs="Arial"/>
                <w:sz w:val="20"/>
                <w:szCs w:val="20"/>
                <w:lang w:val="sl-SI"/>
              </w:rPr>
              <w:t>pomoč</w:t>
            </w:r>
          </w:p>
        </w:tc>
      </w:tr>
      <w:tr w:rsidR="00994BB8" w:rsidRPr="00FF207E" w14:paraId="347E7EA9" w14:textId="77777777" w:rsidTr="00742BD0">
        <w:tc>
          <w:tcPr>
            <w:tcW w:w="567" w:type="dxa"/>
            <w:vMerge/>
            <w:tcBorders>
              <w:left w:val="nil"/>
              <w:bottom w:val="single" w:sz="4" w:space="0" w:color="548DD4" w:themeColor="text2" w:themeTint="99"/>
              <w:right w:val="single" w:sz="4" w:space="0" w:color="548DD4" w:themeColor="text2" w:themeTint="99"/>
            </w:tcBorders>
          </w:tcPr>
          <w:p w14:paraId="4051CE74" w14:textId="77777777" w:rsidR="00994BB8" w:rsidRPr="00FF207E" w:rsidRDefault="00994BB8"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D6A010C"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6B6F916" w14:textId="42DCD7A9"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MDDSZ</w:t>
            </w:r>
          </w:p>
        </w:tc>
      </w:tr>
      <w:tr w:rsidR="00994BB8" w:rsidRPr="00FF207E" w14:paraId="6CE2F6B8" w14:textId="77777777" w:rsidTr="00742BD0">
        <w:tc>
          <w:tcPr>
            <w:tcW w:w="567" w:type="dxa"/>
            <w:vMerge/>
            <w:tcBorders>
              <w:left w:val="nil"/>
              <w:bottom w:val="single" w:sz="4" w:space="0" w:color="548DD4" w:themeColor="text2" w:themeTint="99"/>
              <w:right w:val="single" w:sz="4" w:space="0" w:color="548DD4" w:themeColor="text2" w:themeTint="99"/>
            </w:tcBorders>
          </w:tcPr>
          <w:p w14:paraId="73CDDFAD" w14:textId="77777777" w:rsidR="00994BB8" w:rsidRPr="00FF207E" w:rsidRDefault="00994BB8"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C0AD839"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715DD99" w14:textId="63CB0E99" w:rsidR="00994BB8" w:rsidRPr="00FF207E" w:rsidRDefault="00200AF4"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 MOPE, CSD</w:t>
            </w:r>
          </w:p>
        </w:tc>
      </w:tr>
      <w:tr w:rsidR="00994BB8" w:rsidRPr="00FF207E" w14:paraId="51960532" w14:textId="77777777" w:rsidTr="00742BD0">
        <w:tc>
          <w:tcPr>
            <w:tcW w:w="567" w:type="dxa"/>
            <w:vMerge/>
            <w:tcBorders>
              <w:left w:val="nil"/>
              <w:bottom w:val="single" w:sz="4" w:space="0" w:color="548DD4" w:themeColor="text2" w:themeTint="99"/>
              <w:right w:val="single" w:sz="4" w:space="0" w:color="548DD4" w:themeColor="text2" w:themeTint="99"/>
            </w:tcBorders>
          </w:tcPr>
          <w:p w14:paraId="5A1FDD44" w14:textId="77777777" w:rsidR="00994BB8" w:rsidRPr="00FF207E" w:rsidRDefault="00994BB8"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13784D40"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09385809" w14:textId="2A1715DF" w:rsidR="00994BB8" w:rsidRPr="00FF207E" w:rsidRDefault="00BF5A0E" w:rsidP="001E304B">
            <w:pPr>
              <w:spacing w:line="240" w:lineRule="atLeast"/>
              <w:jc w:val="both"/>
              <w:rPr>
                <w:rFonts w:cs="Arial"/>
                <w:sz w:val="20"/>
                <w:szCs w:val="20"/>
                <w:lang w:val="sl-SI"/>
              </w:rPr>
            </w:pPr>
            <w:r w:rsidRPr="00FF207E">
              <w:rPr>
                <w:rFonts w:cs="Arial"/>
                <w:sz w:val="20"/>
                <w:szCs w:val="20"/>
                <w:lang w:val="sl-SI"/>
              </w:rPr>
              <w:t>2024</w:t>
            </w:r>
          </w:p>
        </w:tc>
      </w:tr>
      <w:tr w:rsidR="00BF2559" w:rsidRPr="00FF207E" w14:paraId="3E41B644" w14:textId="77777777" w:rsidTr="00D9237F">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1E8CBB39" w14:textId="77777777" w:rsidR="00BF2559" w:rsidRPr="00FF207E" w:rsidRDefault="00BF2559" w:rsidP="001E304B">
            <w:pPr>
              <w:spacing w:line="240" w:lineRule="atLeast"/>
              <w:jc w:val="both"/>
              <w:rPr>
                <w:rFonts w:cs="Arial"/>
                <w:b/>
                <w:sz w:val="24"/>
                <w:lang w:val="sl-SI"/>
              </w:rPr>
            </w:pPr>
            <w:r w:rsidRPr="00FF207E">
              <w:rPr>
                <w:rFonts w:cs="Arial"/>
                <w:b/>
                <w:sz w:val="24"/>
                <w:lang w:val="sl-SI"/>
              </w:rPr>
              <w:t>3</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17F733B4" w14:textId="77777777" w:rsidR="00BF2559" w:rsidRPr="00FF207E" w:rsidRDefault="00BF2559"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01874A80" w14:textId="7EC02F01" w:rsidR="00BF2559" w:rsidRPr="00FF207E" w:rsidRDefault="00D85553" w:rsidP="001E304B">
            <w:pPr>
              <w:spacing w:line="240" w:lineRule="atLeast"/>
              <w:jc w:val="both"/>
              <w:rPr>
                <w:rFonts w:cs="Arial"/>
                <w:sz w:val="20"/>
                <w:szCs w:val="20"/>
                <w:lang w:val="sl-SI"/>
              </w:rPr>
            </w:pPr>
            <w:r w:rsidRPr="00FF207E">
              <w:rPr>
                <w:rFonts w:cs="Arial"/>
                <w:sz w:val="20"/>
                <w:szCs w:val="20"/>
                <w:lang w:val="sl-SI"/>
              </w:rPr>
              <w:t>s</w:t>
            </w:r>
            <w:r w:rsidR="005D14CA" w:rsidRPr="00FF207E">
              <w:rPr>
                <w:rFonts w:cs="Arial"/>
                <w:sz w:val="20"/>
                <w:szCs w:val="20"/>
                <w:lang w:val="sl-SI"/>
              </w:rPr>
              <w:t>prejetje enotnih navodil, usposabljanje zaposlenih v CSD za uporabo navodil, uporaba navodil v praksi</w:t>
            </w:r>
            <w:r w:rsidR="00D245F9" w:rsidRPr="00FF207E">
              <w:rPr>
                <w:rFonts w:cs="Arial"/>
                <w:sz w:val="20"/>
                <w:szCs w:val="20"/>
                <w:lang w:val="sl-SI"/>
              </w:rPr>
              <w:t xml:space="preserve">, </w:t>
            </w:r>
            <w:r w:rsidR="00097668" w:rsidRPr="00FF207E">
              <w:rPr>
                <w:rFonts w:cs="Arial"/>
                <w:sz w:val="20"/>
                <w:szCs w:val="20"/>
                <w:lang w:val="sl-SI"/>
              </w:rPr>
              <w:t>seznanitev</w:t>
            </w:r>
            <w:r w:rsidR="00D245F9" w:rsidRPr="00FF207E">
              <w:rPr>
                <w:rFonts w:cs="Arial"/>
                <w:sz w:val="20"/>
                <w:szCs w:val="20"/>
                <w:lang w:val="sl-SI"/>
              </w:rPr>
              <w:t xml:space="preserve"> </w:t>
            </w:r>
            <w:r w:rsidR="00097668" w:rsidRPr="00FF207E">
              <w:rPr>
                <w:rFonts w:cs="Arial"/>
                <w:sz w:val="20"/>
                <w:szCs w:val="20"/>
                <w:lang w:val="sl-SI"/>
              </w:rPr>
              <w:t>članov neformalne mreže za informiranje in ozaveščanje z vsebino navodil</w:t>
            </w:r>
          </w:p>
        </w:tc>
      </w:tr>
      <w:tr w:rsidR="00BF2559" w:rsidRPr="00FF207E" w14:paraId="013D186B" w14:textId="77777777" w:rsidTr="00D9237F">
        <w:tc>
          <w:tcPr>
            <w:tcW w:w="567" w:type="dxa"/>
            <w:vMerge/>
            <w:tcBorders>
              <w:left w:val="nil"/>
              <w:bottom w:val="single" w:sz="4" w:space="0" w:color="548DD4" w:themeColor="text2" w:themeTint="99"/>
              <w:right w:val="single" w:sz="4" w:space="0" w:color="548DD4" w:themeColor="text2" w:themeTint="99"/>
            </w:tcBorders>
          </w:tcPr>
          <w:p w14:paraId="79FA1728" w14:textId="77777777" w:rsidR="00BF2559" w:rsidRPr="00FF207E" w:rsidRDefault="00BF255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A5757A4" w14:textId="77777777" w:rsidR="00BF2559" w:rsidRPr="00FF207E" w:rsidRDefault="00BF2559"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53C9D6AA" w14:textId="77777777" w:rsidR="00BF2559" w:rsidRPr="00FF207E" w:rsidRDefault="00BF2559" w:rsidP="001E304B">
            <w:pPr>
              <w:spacing w:line="240" w:lineRule="atLeast"/>
              <w:jc w:val="both"/>
              <w:rPr>
                <w:rFonts w:cs="Arial"/>
                <w:sz w:val="20"/>
                <w:szCs w:val="20"/>
                <w:lang w:val="sl-SI"/>
              </w:rPr>
            </w:pPr>
            <w:r w:rsidRPr="00FF207E">
              <w:rPr>
                <w:rFonts w:cs="Arial"/>
                <w:sz w:val="20"/>
                <w:szCs w:val="20"/>
                <w:lang w:val="sl-SI"/>
              </w:rPr>
              <w:t>MDDSZ</w:t>
            </w:r>
          </w:p>
        </w:tc>
      </w:tr>
      <w:tr w:rsidR="00BF2559" w:rsidRPr="00FF207E" w14:paraId="69CA065F" w14:textId="77777777" w:rsidTr="00D9237F">
        <w:tc>
          <w:tcPr>
            <w:tcW w:w="567" w:type="dxa"/>
            <w:vMerge/>
            <w:tcBorders>
              <w:left w:val="nil"/>
              <w:bottom w:val="single" w:sz="4" w:space="0" w:color="548DD4" w:themeColor="text2" w:themeTint="99"/>
              <w:right w:val="single" w:sz="4" w:space="0" w:color="548DD4" w:themeColor="text2" w:themeTint="99"/>
            </w:tcBorders>
          </w:tcPr>
          <w:p w14:paraId="1FDE807D" w14:textId="77777777" w:rsidR="00BF2559" w:rsidRPr="00FF207E" w:rsidRDefault="00BF255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5F3F70E" w14:textId="77777777" w:rsidR="00BF2559" w:rsidRPr="00FF207E" w:rsidRDefault="00BF2559"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6B59A98A" w14:textId="2DD82C14" w:rsidR="00BF2559" w:rsidRPr="00FF207E" w:rsidRDefault="00BF2559" w:rsidP="001E304B">
            <w:pPr>
              <w:spacing w:line="240" w:lineRule="atLeast"/>
              <w:jc w:val="both"/>
              <w:rPr>
                <w:rFonts w:cs="Arial"/>
                <w:sz w:val="20"/>
                <w:szCs w:val="20"/>
                <w:lang w:val="sl-SI"/>
              </w:rPr>
            </w:pPr>
            <w:r w:rsidRPr="00FF207E">
              <w:rPr>
                <w:rFonts w:cs="Arial"/>
                <w:sz w:val="20"/>
                <w:szCs w:val="20"/>
                <w:lang w:val="sl-SI"/>
              </w:rPr>
              <w:t>CSD</w:t>
            </w:r>
            <w:r w:rsidR="005D14CA" w:rsidRPr="00FF207E">
              <w:rPr>
                <w:rFonts w:cs="Arial"/>
                <w:sz w:val="20"/>
                <w:szCs w:val="20"/>
                <w:lang w:val="sl-SI"/>
              </w:rPr>
              <w:t xml:space="preserve">, </w:t>
            </w:r>
            <w:proofErr w:type="spellStart"/>
            <w:r w:rsidR="005D14CA" w:rsidRPr="00FF207E">
              <w:rPr>
                <w:rFonts w:cs="Arial"/>
                <w:sz w:val="20"/>
                <w:szCs w:val="20"/>
                <w:lang w:val="sl-SI"/>
              </w:rPr>
              <w:t>Eko</w:t>
            </w:r>
            <w:proofErr w:type="spellEnd"/>
            <w:r w:rsidR="005D14CA" w:rsidRPr="00FF207E">
              <w:rPr>
                <w:rFonts w:cs="Arial"/>
                <w:sz w:val="20"/>
                <w:szCs w:val="20"/>
                <w:lang w:val="sl-SI"/>
              </w:rPr>
              <w:t xml:space="preserve"> sklad</w:t>
            </w:r>
            <w:r w:rsidR="00097668" w:rsidRPr="00FF207E">
              <w:rPr>
                <w:rFonts w:cs="Arial"/>
                <w:sz w:val="20"/>
                <w:szCs w:val="20"/>
                <w:lang w:val="sl-SI"/>
              </w:rPr>
              <w:t>, neformalna mreža za informiranje in ozaveščanje</w:t>
            </w:r>
          </w:p>
        </w:tc>
      </w:tr>
      <w:tr w:rsidR="00BF2559" w:rsidRPr="00FF207E" w14:paraId="7DBCC779" w14:textId="77777777" w:rsidTr="00D9237F">
        <w:tc>
          <w:tcPr>
            <w:tcW w:w="567" w:type="dxa"/>
            <w:vMerge/>
            <w:tcBorders>
              <w:left w:val="nil"/>
              <w:bottom w:val="single" w:sz="4" w:space="0" w:color="548DD4" w:themeColor="text2" w:themeTint="99"/>
              <w:right w:val="single" w:sz="4" w:space="0" w:color="548DD4" w:themeColor="text2" w:themeTint="99"/>
            </w:tcBorders>
          </w:tcPr>
          <w:p w14:paraId="06635271" w14:textId="77777777" w:rsidR="00BF2559" w:rsidRPr="00FF207E" w:rsidRDefault="00BF255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2B5E6A0E" w14:textId="77777777" w:rsidR="00BF2559" w:rsidRPr="00FF207E" w:rsidRDefault="00BF2559"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60176CFB" w14:textId="0535B9F6" w:rsidR="00BF2559" w:rsidRPr="00FF207E" w:rsidRDefault="00BF5A0E" w:rsidP="001E304B">
            <w:pPr>
              <w:spacing w:line="240" w:lineRule="atLeast"/>
              <w:jc w:val="both"/>
              <w:rPr>
                <w:rFonts w:cs="Arial"/>
                <w:sz w:val="20"/>
                <w:szCs w:val="20"/>
                <w:lang w:val="sl-SI"/>
              </w:rPr>
            </w:pPr>
            <w:r w:rsidRPr="00FF207E">
              <w:rPr>
                <w:rFonts w:cs="Arial"/>
                <w:sz w:val="20"/>
                <w:szCs w:val="20"/>
                <w:lang w:val="sl-SI"/>
              </w:rPr>
              <w:t>2024</w:t>
            </w:r>
          </w:p>
        </w:tc>
      </w:tr>
      <w:tr w:rsidR="00BF2559" w:rsidRPr="00FF207E" w14:paraId="1EDC2AD8" w14:textId="77777777" w:rsidTr="00742BD0">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03522449" w14:textId="27B976D0" w:rsidR="00BF2559" w:rsidRPr="00FF207E" w:rsidRDefault="00BF2559" w:rsidP="001E304B">
            <w:pPr>
              <w:spacing w:line="240" w:lineRule="atLeast"/>
              <w:jc w:val="both"/>
              <w:rPr>
                <w:rFonts w:cs="Arial"/>
                <w:b/>
                <w:sz w:val="24"/>
                <w:lang w:val="sl-SI"/>
              </w:rPr>
            </w:pPr>
            <w:r w:rsidRPr="00FF207E">
              <w:rPr>
                <w:rFonts w:cs="Arial"/>
                <w:b/>
                <w:sz w:val="24"/>
                <w:lang w:val="sl-SI"/>
              </w:rPr>
              <w:t>4</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0146C530" w14:textId="77777777" w:rsidR="00BF2559" w:rsidRPr="00FF207E" w:rsidRDefault="00BF2559"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13076C8D" w14:textId="591FD8B3" w:rsidR="00BF2559" w:rsidRPr="00FF207E" w:rsidRDefault="00D85553" w:rsidP="001E304B">
            <w:pPr>
              <w:spacing w:line="240" w:lineRule="atLeast"/>
              <w:jc w:val="both"/>
              <w:rPr>
                <w:rFonts w:cs="Arial"/>
                <w:sz w:val="20"/>
                <w:szCs w:val="20"/>
                <w:lang w:val="sl-SI"/>
              </w:rPr>
            </w:pPr>
            <w:r w:rsidRPr="00FF207E">
              <w:rPr>
                <w:rFonts w:cs="Arial"/>
                <w:sz w:val="20"/>
                <w:szCs w:val="20"/>
                <w:lang w:val="sl-SI"/>
              </w:rPr>
              <w:t>v</w:t>
            </w:r>
            <w:r w:rsidR="00BF2559" w:rsidRPr="00FF207E">
              <w:rPr>
                <w:rFonts w:cs="Arial"/>
                <w:sz w:val="20"/>
                <w:szCs w:val="20"/>
                <w:lang w:val="sl-SI"/>
              </w:rPr>
              <w:t xml:space="preserve">rednotenje </w:t>
            </w:r>
            <w:r w:rsidR="005D14CA" w:rsidRPr="00FF207E">
              <w:rPr>
                <w:rFonts w:cs="Arial"/>
                <w:sz w:val="20"/>
                <w:szCs w:val="20"/>
                <w:lang w:val="sl-SI"/>
              </w:rPr>
              <w:t xml:space="preserve">učinkov </w:t>
            </w:r>
            <w:r w:rsidR="00BF2559" w:rsidRPr="00FF207E">
              <w:rPr>
                <w:rFonts w:cs="Arial"/>
                <w:sz w:val="20"/>
                <w:szCs w:val="20"/>
                <w:lang w:val="sl-SI"/>
              </w:rPr>
              <w:t>in po potrebi sprememb</w:t>
            </w:r>
            <w:r w:rsidR="00154E01" w:rsidRPr="00FF207E">
              <w:rPr>
                <w:rFonts w:cs="Arial"/>
                <w:sz w:val="20"/>
                <w:szCs w:val="20"/>
                <w:lang w:val="sl-SI"/>
              </w:rPr>
              <w:t>a</w:t>
            </w:r>
            <w:r w:rsidR="005D14CA" w:rsidRPr="00FF207E">
              <w:rPr>
                <w:rFonts w:cs="Arial"/>
                <w:sz w:val="20"/>
                <w:szCs w:val="20"/>
                <w:lang w:val="sl-SI"/>
              </w:rPr>
              <w:t xml:space="preserve"> navodil</w:t>
            </w:r>
          </w:p>
        </w:tc>
      </w:tr>
      <w:tr w:rsidR="00BF2559" w:rsidRPr="00FF207E" w14:paraId="36F5CC84" w14:textId="77777777" w:rsidTr="00742BD0">
        <w:tc>
          <w:tcPr>
            <w:tcW w:w="567" w:type="dxa"/>
            <w:vMerge/>
            <w:tcBorders>
              <w:left w:val="nil"/>
              <w:bottom w:val="single" w:sz="4" w:space="0" w:color="548DD4" w:themeColor="text2" w:themeTint="99"/>
              <w:right w:val="single" w:sz="4" w:space="0" w:color="548DD4" w:themeColor="text2" w:themeTint="99"/>
            </w:tcBorders>
          </w:tcPr>
          <w:p w14:paraId="7F646E12" w14:textId="77777777" w:rsidR="00BF2559" w:rsidRPr="00FF207E" w:rsidRDefault="00BF255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ADFB780" w14:textId="77777777" w:rsidR="00BF2559" w:rsidRPr="00FF207E" w:rsidRDefault="00BF2559"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38F9939" w14:textId="775F6B89" w:rsidR="00BF2559" w:rsidRPr="00FF207E" w:rsidRDefault="00BF2559" w:rsidP="001E304B">
            <w:pPr>
              <w:spacing w:line="240" w:lineRule="atLeast"/>
              <w:jc w:val="both"/>
              <w:rPr>
                <w:rFonts w:cs="Arial"/>
                <w:sz w:val="20"/>
                <w:szCs w:val="20"/>
                <w:lang w:val="sl-SI"/>
              </w:rPr>
            </w:pPr>
            <w:r w:rsidRPr="00FF207E">
              <w:rPr>
                <w:rFonts w:cs="Arial"/>
                <w:sz w:val="20"/>
                <w:szCs w:val="20"/>
                <w:lang w:val="sl-SI"/>
              </w:rPr>
              <w:t>MDDSZ</w:t>
            </w:r>
          </w:p>
        </w:tc>
      </w:tr>
      <w:tr w:rsidR="00BF2559" w:rsidRPr="00FF207E" w14:paraId="7E72C13A" w14:textId="77777777" w:rsidTr="00742BD0">
        <w:tc>
          <w:tcPr>
            <w:tcW w:w="567" w:type="dxa"/>
            <w:vMerge/>
            <w:tcBorders>
              <w:left w:val="nil"/>
              <w:bottom w:val="single" w:sz="4" w:space="0" w:color="548DD4" w:themeColor="text2" w:themeTint="99"/>
              <w:right w:val="single" w:sz="4" w:space="0" w:color="548DD4" w:themeColor="text2" w:themeTint="99"/>
            </w:tcBorders>
          </w:tcPr>
          <w:p w14:paraId="0EB3AF42" w14:textId="77777777" w:rsidR="00BF2559" w:rsidRPr="00FF207E" w:rsidRDefault="00BF255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E573F82" w14:textId="77777777" w:rsidR="00BF2559" w:rsidRPr="00FF207E" w:rsidRDefault="00BF2559"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42C317A" w14:textId="35C93846" w:rsidR="00BF2559" w:rsidRPr="00FF207E" w:rsidRDefault="00BF2559" w:rsidP="001E304B">
            <w:pPr>
              <w:spacing w:line="240" w:lineRule="atLeast"/>
              <w:jc w:val="both"/>
              <w:rPr>
                <w:rFonts w:cs="Arial"/>
                <w:sz w:val="20"/>
                <w:szCs w:val="20"/>
                <w:lang w:val="sl-SI"/>
              </w:rPr>
            </w:pPr>
            <w:r w:rsidRPr="00FF207E">
              <w:rPr>
                <w:rFonts w:cs="Arial"/>
                <w:sz w:val="20"/>
                <w:szCs w:val="20"/>
                <w:lang w:val="sl-SI"/>
              </w:rPr>
              <w:t>CSD</w:t>
            </w:r>
            <w:r w:rsidR="005D14CA" w:rsidRPr="00FF207E">
              <w:rPr>
                <w:rFonts w:cs="Arial"/>
                <w:sz w:val="20"/>
                <w:szCs w:val="20"/>
                <w:lang w:val="sl-SI"/>
              </w:rPr>
              <w:t xml:space="preserve">, </w:t>
            </w:r>
            <w:proofErr w:type="spellStart"/>
            <w:r w:rsidR="005D14CA" w:rsidRPr="00FF207E">
              <w:rPr>
                <w:rFonts w:cs="Arial"/>
                <w:sz w:val="20"/>
                <w:szCs w:val="20"/>
                <w:lang w:val="sl-SI"/>
              </w:rPr>
              <w:t>Eko</w:t>
            </w:r>
            <w:proofErr w:type="spellEnd"/>
            <w:r w:rsidR="005D14CA" w:rsidRPr="00FF207E">
              <w:rPr>
                <w:rFonts w:cs="Arial"/>
                <w:sz w:val="20"/>
                <w:szCs w:val="20"/>
                <w:lang w:val="sl-SI"/>
              </w:rPr>
              <w:t xml:space="preserve"> sklad</w:t>
            </w:r>
          </w:p>
        </w:tc>
      </w:tr>
      <w:tr w:rsidR="00BF2559" w:rsidRPr="00FF207E" w14:paraId="7B25C2DD" w14:textId="77777777" w:rsidTr="00742BD0">
        <w:tc>
          <w:tcPr>
            <w:tcW w:w="567" w:type="dxa"/>
            <w:vMerge/>
            <w:tcBorders>
              <w:left w:val="nil"/>
              <w:bottom w:val="single" w:sz="4" w:space="0" w:color="548DD4" w:themeColor="text2" w:themeTint="99"/>
              <w:right w:val="single" w:sz="4" w:space="0" w:color="548DD4" w:themeColor="text2" w:themeTint="99"/>
            </w:tcBorders>
          </w:tcPr>
          <w:p w14:paraId="136BB8D9" w14:textId="77777777" w:rsidR="00BF2559" w:rsidRPr="00FF207E" w:rsidRDefault="00BF255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269F0A2A" w14:textId="77777777" w:rsidR="00BF2559" w:rsidRPr="00FF207E" w:rsidRDefault="00BF2559"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3E55C2FA" w14:textId="42C704DF" w:rsidR="00BF2559" w:rsidRPr="00FF207E" w:rsidRDefault="00BF5A0E" w:rsidP="001E304B">
            <w:pPr>
              <w:spacing w:line="240" w:lineRule="atLeast"/>
              <w:jc w:val="both"/>
              <w:rPr>
                <w:rFonts w:cs="Arial"/>
                <w:sz w:val="20"/>
                <w:szCs w:val="20"/>
                <w:lang w:val="sl-SI"/>
              </w:rPr>
            </w:pPr>
            <w:r w:rsidRPr="00FF207E">
              <w:rPr>
                <w:rFonts w:cs="Arial"/>
                <w:sz w:val="20"/>
                <w:szCs w:val="20"/>
                <w:lang w:val="sl-SI"/>
              </w:rPr>
              <w:t>2025</w:t>
            </w:r>
          </w:p>
        </w:tc>
      </w:tr>
    </w:tbl>
    <w:p w14:paraId="51373579" w14:textId="45F50D78" w:rsidR="00994BB8" w:rsidRPr="00FF207E" w:rsidRDefault="00BF2559" w:rsidP="001E304B">
      <w:pPr>
        <w:pStyle w:val="Naslov3"/>
        <w:jc w:val="both"/>
        <w:rPr>
          <w:lang w:val="sl-SI"/>
        </w:rPr>
      </w:pPr>
      <w:bookmarkStart w:id="86" w:name="_Toc151148799"/>
      <w:r w:rsidRPr="00FF207E">
        <w:rPr>
          <w:lang w:val="sl-SI"/>
        </w:rPr>
        <w:lastRenderedPageBreak/>
        <w:t xml:space="preserve">Sprememba </w:t>
      </w:r>
      <w:r w:rsidRPr="00FF207E">
        <w:rPr>
          <w:i/>
          <w:lang w:val="sl-SI"/>
        </w:rPr>
        <w:t>Uredbe o merilih za opredelitev in ocenjevanje števila energetsko revnih gospodinjstev</w:t>
      </w:r>
      <w:bookmarkEnd w:id="86"/>
    </w:p>
    <w:tbl>
      <w:tblPr>
        <w:tblStyle w:val="Tabelamrea"/>
        <w:tblW w:w="0" w:type="auto"/>
        <w:tblLook w:val="04A0" w:firstRow="1" w:lastRow="0" w:firstColumn="1" w:lastColumn="0" w:noHBand="0" w:noVBand="1"/>
      </w:tblPr>
      <w:tblGrid>
        <w:gridCol w:w="990"/>
        <w:gridCol w:w="2323"/>
        <w:gridCol w:w="5759"/>
      </w:tblGrid>
      <w:tr w:rsidR="00994BB8" w:rsidRPr="00FF207E" w14:paraId="42C0E5E3" w14:textId="77777777" w:rsidTr="00144521">
        <w:tc>
          <w:tcPr>
            <w:tcW w:w="3313" w:type="dxa"/>
            <w:gridSpan w:val="2"/>
            <w:tcBorders>
              <w:top w:val="nil"/>
              <w:left w:val="nil"/>
              <w:bottom w:val="nil"/>
              <w:right w:val="single" w:sz="4" w:space="0" w:color="548DD4" w:themeColor="text2" w:themeTint="99"/>
            </w:tcBorders>
            <w:shd w:val="clear" w:color="auto" w:fill="548DD4" w:themeFill="text2" w:themeFillTint="99"/>
            <w:vAlign w:val="center"/>
          </w:tcPr>
          <w:p w14:paraId="4B2E9030" w14:textId="332376A7" w:rsidR="00994BB8" w:rsidRPr="00FF207E" w:rsidRDefault="00994BB8" w:rsidP="001E304B">
            <w:pPr>
              <w:spacing w:before="40" w:after="40"/>
              <w:jc w:val="both"/>
              <w:rPr>
                <w:rFonts w:cs="Arial"/>
                <w:b/>
                <w:color w:val="FFFFFF" w:themeColor="background1"/>
                <w:lang w:val="sl-SI"/>
              </w:rPr>
            </w:pPr>
            <w:r w:rsidRPr="00FF207E">
              <w:rPr>
                <w:rFonts w:cs="Arial"/>
                <w:b/>
                <w:color w:val="FFFFFF" w:themeColor="background1"/>
                <w:lang w:val="sl-SI"/>
              </w:rPr>
              <w:t>ER_NeFin-01</w:t>
            </w:r>
          </w:p>
        </w:tc>
        <w:tc>
          <w:tcPr>
            <w:tcW w:w="5759" w:type="dxa"/>
            <w:tcBorders>
              <w:top w:val="nil"/>
              <w:left w:val="single" w:sz="4" w:space="0" w:color="548DD4" w:themeColor="text2" w:themeTint="99"/>
              <w:bottom w:val="nil"/>
              <w:right w:val="nil"/>
            </w:tcBorders>
            <w:shd w:val="clear" w:color="auto" w:fill="548DD4" w:themeFill="text2" w:themeFillTint="99"/>
            <w:vAlign w:val="center"/>
          </w:tcPr>
          <w:p w14:paraId="545E5A74" w14:textId="57463A5A" w:rsidR="00994BB8" w:rsidRPr="00FF207E" w:rsidRDefault="00994BB8" w:rsidP="001E304B">
            <w:pPr>
              <w:pStyle w:val="Naslov5"/>
              <w:spacing w:line="260" w:lineRule="atLeast"/>
              <w:jc w:val="both"/>
            </w:pPr>
            <w:bookmarkStart w:id="87" w:name="_Sprememba_Uredbe_o"/>
            <w:bookmarkEnd w:id="87"/>
            <w:r w:rsidRPr="00FF207E">
              <w:t xml:space="preserve">Sprememba </w:t>
            </w:r>
            <w:r w:rsidRPr="00FF207E">
              <w:rPr>
                <w:i/>
              </w:rPr>
              <w:t>Uredbe o merilih za opredelitev in ocenjevanje števila energetsko revnih gospodinjstev</w:t>
            </w:r>
          </w:p>
        </w:tc>
      </w:tr>
      <w:tr w:rsidR="00994BB8" w:rsidRPr="00FF207E" w14:paraId="1E9209C2" w14:textId="77777777" w:rsidTr="00144521">
        <w:tc>
          <w:tcPr>
            <w:tcW w:w="907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7D4015D2" w14:textId="77777777" w:rsidR="00994BB8" w:rsidRPr="00FF207E" w:rsidRDefault="00994BB8" w:rsidP="001E304B">
            <w:pPr>
              <w:spacing w:before="60" w:after="60" w:line="240" w:lineRule="atLeast"/>
              <w:jc w:val="both"/>
              <w:rPr>
                <w:rFonts w:cs="Arial"/>
                <w:b/>
                <w:szCs w:val="22"/>
                <w:lang w:val="sl-SI"/>
              </w:rPr>
            </w:pPr>
            <w:r w:rsidRPr="00FF207E">
              <w:rPr>
                <w:rFonts w:cs="Arial"/>
                <w:b/>
                <w:szCs w:val="22"/>
                <w:lang w:val="sl-SI"/>
              </w:rPr>
              <w:t>Osnovne informacije</w:t>
            </w:r>
          </w:p>
        </w:tc>
      </w:tr>
      <w:tr w:rsidR="00C207E7" w:rsidRPr="00FF207E" w14:paraId="3778CA5F" w14:textId="77777777" w:rsidTr="00144521">
        <w:tc>
          <w:tcPr>
            <w:tcW w:w="3313" w:type="dxa"/>
            <w:gridSpan w:val="2"/>
            <w:tcBorders>
              <w:top w:val="nil"/>
              <w:left w:val="nil"/>
              <w:bottom w:val="single" w:sz="4" w:space="0" w:color="548DD4" w:themeColor="text2" w:themeTint="99"/>
              <w:right w:val="single" w:sz="4" w:space="0" w:color="548DD4" w:themeColor="text2" w:themeTint="99"/>
            </w:tcBorders>
          </w:tcPr>
          <w:p w14:paraId="638D23AD" w14:textId="77777777" w:rsidR="00C207E7" w:rsidRPr="00FF207E" w:rsidRDefault="00C207E7" w:rsidP="001E304B">
            <w:pPr>
              <w:spacing w:line="240" w:lineRule="atLeast"/>
              <w:jc w:val="both"/>
              <w:rPr>
                <w:rFonts w:cs="Arial"/>
                <w:spacing w:val="-4"/>
                <w:sz w:val="20"/>
                <w:szCs w:val="20"/>
                <w:lang w:val="sl-SI"/>
              </w:rPr>
            </w:pPr>
            <w:r w:rsidRPr="00FF207E">
              <w:rPr>
                <w:rFonts w:cs="Arial"/>
                <w:spacing w:val="-4"/>
                <w:sz w:val="20"/>
                <w:szCs w:val="20"/>
                <w:lang w:val="sl-SI"/>
              </w:rPr>
              <w:t>Odgovornost za izvedbo ukrepa</w:t>
            </w:r>
          </w:p>
        </w:tc>
        <w:tc>
          <w:tcPr>
            <w:tcW w:w="5759" w:type="dxa"/>
            <w:tcBorders>
              <w:top w:val="nil"/>
              <w:left w:val="single" w:sz="4" w:space="0" w:color="548DD4" w:themeColor="text2" w:themeTint="99"/>
              <w:bottom w:val="single" w:sz="4" w:space="0" w:color="548DD4" w:themeColor="text2" w:themeTint="99"/>
              <w:right w:val="nil"/>
            </w:tcBorders>
          </w:tcPr>
          <w:p w14:paraId="389E99A3" w14:textId="63B46243" w:rsidR="00C207E7" w:rsidRPr="00FF207E" w:rsidRDefault="003D1ED0" w:rsidP="001E304B">
            <w:pPr>
              <w:spacing w:line="240" w:lineRule="atLeast"/>
              <w:jc w:val="both"/>
              <w:rPr>
                <w:rFonts w:cs="Arial"/>
                <w:sz w:val="20"/>
                <w:szCs w:val="20"/>
                <w:lang w:val="sl-SI"/>
              </w:rPr>
            </w:pPr>
            <w:r w:rsidRPr="00FF207E">
              <w:rPr>
                <w:rFonts w:cs="Arial"/>
                <w:sz w:val="20"/>
                <w:szCs w:val="20"/>
                <w:lang w:val="sl-SI"/>
              </w:rPr>
              <w:t>MOPE</w:t>
            </w:r>
          </w:p>
        </w:tc>
      </w:tr>
      <w:tr w:rsidR="00C207E7" w:rsidRPr="00FF207E" w14:paraId="54A48805" w14:textId="77777777" w:rsidTr="00144521">
        <w:tc>
          <w:tcPr>
            <w:tcW w:w="3313"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FF87548" w14:textId="77777777" w:rsidR="00C207E7" w:rsidRPr="00FF207E" w:rsidRDefault="00C207E7" w:rsidP="001E304B">
            <w:pPr>
              <w:spacing w:line="240" w:lineRule="atLeast"/>
              <w:jc w:val="both"/>
              <w:rPr>
                <w:rFonts w:cs="Arial"/>
                <w:sz w:val="20"/>
                <w:szCs w:val="20"/>
                <w:lang w:val="sl-SI"/>
              </w:rPr>
            </w:pPr>
            <w:r w:rsidRPr="00FF207E">
              <w:rPr>
                <w:rFonts w:cs="Arial"/>
                <w:sz w:val="20"/>
                <w:szCs w:val="20"/>
                <w:lang w:val="sl-SI"/>
              </w:rPr>
              <w:t>Vključeni deležniki</w:t>
            </w:r>
          </w:p>
        </w:tc>
        <w:tc>
          <w:tcPr>
            <w:tcW w:w="575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9B80BAB" w14:textId="0380A8D4" w:rsidR="00C207E7" w:rsidRPr="00FF207E" w:rsidRDefault="00C207E7" w:rsidP="0006530A">
            <w:pPr>
              <w:spacing w:line="240" w:lineRule="atLeast"/>
              <w:jc w:val="both"/>
              <w:rPr>
                <w:rFonts w:cs="Arial"/>
                <w:sz w:val="20"/>
                <w:szCs w:val="20"/>
                <w:lang w:val="sl-SI"/>
              </w:rPr>
            </w:pPr>
            <w:r w:rsidRPr="00FF207E">
              <w:rPr>
                <w:rFonts w:cs="Arial"/>
                <w:sz w:val="20"/>
                <w:szCs w:val="20"/>
                <w:lang w:val="sl-SI"/>
              </w:rPr>
              <w:t xml:space="preserve">MDDSZ, SURS, </w:t>
            </w:r>
            <w:proofErr w:type="spellStart"/>
            <w:r w:rsidRPr="00FF207E">
              <w:rPr>
                <w:rFonts w:cs="Arial"/>
                <w:sz w:val="20"/>
                <w:szCs w:val="20"/>
                <w:lang w:val="sl-SI"/>
              </w:rPr>
              <w:t>Eko</w:t>
            </w:r>
            <w:proofErr w:type="spellEnd"/>
            <w:r w:rsidRPr="00FF207E">
              <w:rPr>
                <w:rFonts w:cs="Arial"/>
                <w:sz w:val="20"/>
                <w:szCs w:val="20"/>
                <w:lang w:val="sl-SI"/>
              </w:rPr>
              <w:t xml:space="preserve"> sklad, </w:t>
            </w:r>
            <w:r w:rsidR="0006530A" w:rsidRPr="00FF207E">
              <w:rPr>
                <w:rFonts w:cs="Arial"/>
                <w:sz w:val="20"/>
                <w:szCs w:val="20"/>
                <w:lang w:val="sl-SI"/>
              </w:rPr>
              <w:t xml:space="preserve">drugi </w:t>
            </w:r>
            <w:r w:rsidRPr="00FF207E">
              <w:rPr>
                <w:rFonts w:cs="Arial"/>
                <w:sz w:val="20"/>
                <w:szCs w:val="20"/>
                <w:lang w:val="sl-SI"/>
              </w:rPr>
              <w:t>deležniki na področju zmanjševanja energetske revščine</w:t>
            </w:r>
          </w:p>
        </w:tc>
      </w:tr>
      <w:tr w:rsidR="00C207E7" w:rsidRPr="00FF207E" w14:paraId="4D90C129" w14:textId="77777777" w:rsidTr="00144521">
        <w:tc>
          <w:tcPr>
            <w:tcW w:w="3313"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47030D0B" w14:textId="77777777" w:rsidR="00C207E7" w:rsidRPr="00FF207E" w:rsidRDefault="00C207E7" w:rsidP="001E304B">
            <w:pPr>
              <w:spacing w:line="240" w:lineRule="atLeast"/>
              <w:jc w:val="both"/>
              <w:rPr>
                <w:rFonts w:cs="Arial"/>
                <w:sz w:val="20"/>
                <w:szCs w:val="20"/>
                <w:lang w:val="sl-SI"/>
              </w:rPr>
            </w:pPr>
            <w:r w:rsidRPr="00FF207E">
              <w:rPr>
                <w:rFonts w:cs="Arial"/>
                <w:sz w:val="20"/>
                <w:szCs w:val="20"/>
                <w:lang w:val="sl-SI"/>
              </w:rPr>
              <w:t>Strateške podlage in njihova veljavnost</w:t>
            </w:r>
          </w:p>
        </w:tc>
        <w:tc>
          <w:tcPr>
            <w:tcW w:w="575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B18480B" w14:textId="2F59C0E2" w:rsidR="00C207E7" w:rsidRPr="00FF207E" w:rsidRDefault="00C207E7" w:rsidP="001E304B">
            <w:pPr>
              <w:spacing w:line="240" w:lineRule="atLeast"/>
              <w:jc w:val="both"/>
              <w:rPr>
                <w:rFonts w:cs="Arial"/>
                <w:sz w:val="20"/>
                <w:szCs w:val="20"/>
                <w:lang w:val="sl-SI"/>
              </w:rPr>
            </w:pPr>
            <w:r w:rsidRPr="00FF207E">
              <w:rPr>
                <w:rFonts w:cs="Arial"/>
                <w:sz w:val="20"/>
                <w:szCs w:val="20"/>
                <w:lang w:val="sl-SI"/>
              </w:rPr>
              <w:t xml:space="preserve">NEPN, veljavnost do </w:t>
            </w:r>
            <w:r w:rsidR="00D85553" w:rsidRPr="00FF207E">
              <w:rPr>
                <w:rFonts w:cs="Arial"/>
                <w:sz w:val="20"/>
                <w:szCs w:val="20"/>
                <w:lang w:val="sl-SI"/>
              </w:rPr>
              <w:t xml:space="preserve">leta </w:t>
            </w:r>
            <w:r w:rsidRPr="00FF207E">
              <w:rPr>
                <w:rFonts w:cs="Arial"/>
                <w:sz w:val="20"/>
                <w:szCs w:val="20"/>
                <w:lang w:val="sl-SI"/>
              </w:rPr>
              <w:t xml:space="preserve">2030 (ukrep </w:t>
            </w:r>
            <w:r w:rsidRPr="00FF207E">
              <w:rPr>
                <w:rFonts w:cs="Arial"/>
                <w:i/>
                <w:sz w:val="20"/>
                <w:szCs w:val="20"/>
                <w:lang w:val="sl-SI"/>
              </w:rPr>
              <w:t>Shema pomoči za učinkovito rabo energije v gospodinjstvih za ranljive skupine prebivalstva</w:t>
            </w:r>
            <w:r w:rsidRPr="00FF207E">
              <w:rPr>
                <w:rFonts w:cs="Arial"/>
                <w:sz w:val="20"/>
                <w:szCs w:val="20"/>
                <w:lang w:val="sl-SI"/>
              </w:rPr>
              <w:t>)</w:t>
            </w:r>
            <w:r w:rsidRPr="00FF207E">
              <w:rPr>
                <w:rFonts w:cs="Arial"/>
                <w:sz w:val="20"/>
                <w:szCs w:val="20"/>
                <w:lang w:val="sl-SI"/>
              </w:rPr>
              <w:br/>
              <w:t xml:space="preserve">DSEPS 2050, veljavnost do </w:t>
            </w:r>
            <w:r w:rsidR="00D85553" w:rsidRPr="00FF207E">
              <w:rPr>
                <w:rFonts w:cs="Arial"/>
                <w:sz w:val="20"/>
                <w:szCs w:val="20"/>
                <w:lang w:val="sl-SI"/>
              </w:rPr>
              <w:t xml:space="preserve">leta </w:t>
            </w:r>
            <w:r w:rsidRPr="00FF207E">
              <w:rPr>
                <w:rFonts w:cs="Arial"/>
                <w:sz w:val="20"/>
                <w:szCs w:val="20"/>
                <w:lang w:val="sl-SI"/>
              </w:rPr>
              <w:t xml:space="preserve">2030 (ukrep </w:t>
            </w:r>
            <w:r w:rsidRPr="00FF207E">
              <w:rPr>
                <w:rFonts w:cs="Arial"/>
                <w:i/>
                <w:sz w:val="20"/>
                <w:szCs w:val="20"/>
                <w:lang w:val="sl-SI"/>
              </w:rPr>
              <w:t>G-1</w:t>
            </w:r>
            <w:r w:rsidRPr="00FF207E">
              <w:rPr>
                <w:rFonts w:cs="Arial"/>
                <w:sz w:val="20"/>
                <w:szCs w:val="20"/>
                <w:lang w:val="sl-SI"/>
              </w:rPr>
              <w:t>)</w:t>
            </w:r>
          </w:p>
        </w:tc>
      </w:tr>
      <w:tr w:rsidR="00C207E7" w:rsidRPr="00FF207E" w14:paraId="15439751" w14:textId="77777777" w:rsidTr="00144521">
        <w:tc>
          <w:tcPr>
            <w:tcW w:w="3313"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454F22B4" w14:textId="77777777" w:rsidR="00C207E7" w:rsidRPr="00FF207E" w:rsidRDefault="00C207E7" w:rsidP="001E304B">
            <w:pPr>
              <w:spacing w:line="240" w:lineRule="atLeast"/>
              <w:jc w:val="both"/>
              <w:rPr>
                <w:rFonts w:cs="Arial"/>
                <w:sz w:val="20"/>
                <w:szCs w:val="20"/>
                <w:lang w:val="sl-SI"/>
              </w:rPr>
            </w:pPr>
            <w:r w:rsidRPr="00FF207E">
              <w:rPr>
                <w:rFonts w:cs="Arial"/>
                <w:sz w:val="20"/>
                <w:szCs w:val="20"/>
                <w:lang w:val="sl-SI"/>
              </w:rPr>
              <w:t>Veljavnost ukrepa</w:t>
            </w:r>
          </w:p>
        </w:tc>
        <w:tc>
          <w:tcPr>
            <w:tcW w:w="575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7F320F2" w14:textId="739D21A1" w:rsidR="00C207E7" w:rsidRPr="00FF207E" w:rsidRDefault="00C207E7" w:rsidP="001E304B">
            <w:pPr>
              <w:spacing w:line="240" w:lineRule="atLeast"/>
              <w:jc w:val="both"/>
              <w:rPr>
                <w:rFonts w:cs="Arial"/>
                <w:sz w:val="20"/>
                <w:szCs w:val="20"/>
                <w:lang w:val="sl-SI"/>
              </w:rPr>
            </w:pPr>
            <w:r w:rsidRPr="00FF207E">
              <w:rPr>
                <w:rFonts w:cs="Arial"/>
                <w:sz w:val="20"/>
                <w:szCs w:val="20"/>
                <w:lang w:val="sl-SI"/>
              </w:rPr>
              <w:t>2030</w:t>
            </w:r>
          </w:p>
        </w:tc>
      </w:tr>
      <w:tr w:rsidR="00C207E7" w:rsidRPr="00FF207E" w14:paraId="02E5005B" w14:textId="77777777" w:rsidTr="00144521">
        <w:tc>
          <w:tcPr>
            <w:tcW w:w="3313"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D10C921" w14:textId="77777777" w:rsidR="00C207E7" w:rsidRPr="00FF207E" w:rsidRDefault="00C207E7" w:rsidP="001E304B">
            <w:pPr>
              <w:spacing w:line="240" w:lineRule="atLeast"/>
              <w:jc w:val="both"/>
              <w:rPr>
                <w:rFonts w:cs="Arial"/>
                <w:sz w:val="20"/>
                <w:szCs w:val="20"/>
                <w:lang w:val="sl-SI"/>
              </w:rPr>
            </w:pPr>
            <w:r w:rsidRPr="00FF207E">
              <w:rPr>
                <w:rFonts w:cs="Arial"/>
                <w:sz w:val="20"/>
                <w:szCs w:val="20"/>
                <w:lang w:val="sl-SI"/>
              </w:rPr>
              <w:t>Vrsta ukrepa</w:t>
            </w:r>
          </w:p>
        </w:tc>
        <w:tc>
          <w:tcPr>
            <w:tcW w:w="575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800D47F" w14:textId="5CB35400" w:rsidR="00C207E7" w:rsidRPr="00FF207E" w:rsidRDefault="00C207E7" w:rsidP="001E304B">
            <w:pPr>
              <w:spacing w:line="240" w:lineRule="atLeast"/>
              <w:jc w:val="both"/>
              <w:rPr>
                <w:rFonts w:cs="Arial"/>
                <w:sz w:val="20"/>
                <w:szCs w:val="20"/>
                <w:lang w:val="sl-SI"/>
              </w:rPr>
            </w:pPr>
            <w:r w:rsidRPr="00FF207E">
              <w:rPr>
                <w:rFonts w:cs="Arial"/>
                <w:sz w:val="20"/>
                <w:szCs w:val="20"/>
                <w:lang w:val="sl-SI"/>
              </w:rPr>
              <w:t>predpis</w:t>
            </w:r>
          </w:p>
        </w:tc>
      </w:tr>
      <w:tr w:rsidR="00C207E7" w:rsidRPr="00FF207E" w14:paraId="064D67DD" w14:textId="77777777" w:rsidTr="00144521">
        <w:tc>
          <w:tcPr>
            <w:tcW w:w="3313"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64B4BF9" w14:textId="77777777" w:rsidR="00C207E7" w:rsidRPr="00FF207E" w:rsidRDefault="00C207E7" w:rsidP="001E304B">
            <w:pPr>
              <w:spacing w:line="240" w:lineRule="atLeast"/>
              <w:jc w:val="both"/>
              <w:rPr>
                <w:rFonts w:cs="Arial"/>
                <w:sz w:val="20"/>
                <w:szCs w:val="20"/>
                <w:lang w:val="sl-SI"/>
              </w:rPr>
            </w:pPr>
            <w:r w:rsidRPr="00FF207E">
              <w:rPr>
                <w:rFonts w:cs="Arial"/>
                <w:sz w:val="20"/>
                <w:szCs w:val="20"/>
                <w:lang w:val="sl-SI"/>
              </w:rPr>
              <w:t>Pričakovani učinki ukrepa</w:t>
            </w:r>
          </w:p>
        </w:tc>
        <w:tc>
          <w:tcPr>
            <w:tcW w:w="575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31AE49AE" w14:textId="79D986DB" w:rsidR="00C207E7" w:rsidRPr="00FF207E" w:rsidRDefault="00D85553" w:rsidP="001E304B">
            <w:pPr>
              <w:spacing w:line="240" w:lineRule="atLeast"/>
              <w:jc w:val="both"/>
              <w:rPr>
                <w:rFonts w:cs="Arial"/>
                <w:sz w:val="20"/>
                <w:szCs w:val="20"/>
                <w:lang w:val="sl-SI"/>
              </w:rPr>
            </w:pPr>
            <w:r w:rsidRPr="00FF207E">
              <w:rPr>
                <w:rFonts w:cs="Arial"/>
                <w:sz w:val="20"/>
                <w:szCs w:val="20"/>
                <w:lang w:val="sl-SI"/>
              </w:rPr>
              <w:t>v</w:t>
            </w:r>
            <w:r w:rsidR="001A5330" w:rsidRPr="00FF207E">
              <w:rPr>
                <w:rFonts w:cs="Arial"/>
                <w:sz w:val="20"/>
                <w:szCs w:val="20"/>
                <w:lang w:val="sl-SI"/>
              </w:rPr>
              <w:t xml:space="preserve">eljaven predpis, ki </w:t>
            </w:r>
            <w:r w:rsidR="00783DDF" w:rsidRPr="00FF207E">
              <w:rPr>
                <w:rFonts w:cs="Arial"/>
                <w:sz w:val="20"/>
                <w:szCs w:val="20"/>
                <w:lang w:val="sl-SI"/>
              </w:rPr>
              <w:t xml:space="preserve">bo usklajen z aktualnimi okoliščinami in </w:t>
            </w:r>
            <w:r w:rsidR="001A5330" w:rsidRPr="00FF207E">
              <w:rPr>
                <w:rFonts w:cs="Arial"/>
                <w:sz w:val="20"/>
                <w:szCs w:val="20"/>
                <w:lang w:val="sl-SI"/>
              </w:rPr>
              <w:t xml:space="preserve">bo v </w:t>
            </w:r>
            <w:r w:rsidR="00D6087D" w:rsidRPr="00FF207E">
              <w:rPr>
                <w:rFonts w:cs="Arial"/>
                <w:sz w:val="20"/>
                <w:szCs w:val="20"/>
                <w:lang w:val="sl-SI"/>
              </w:rPr>
              <w:t xml:space="preserve">kar </w:t>
            </w:r>
            <w:r w:rsidR="001A5330" w:rsidRPr="00FF207E">
              <w:rPr>
                <w:rFonts w:cs="Arial"/>
                <w:sz w:val="20"/>
                <w:szCs w:val="20"/>
                <w:lang w:val="sl-SI"/>
              </w:rPr>
              <w:t>največji meri podpiral izvajanje ukrepov za zmanjševanje energetske revščine</w:t>
            </w:r>
          </w:p>
        </w:tc>
      </w:tr>
      <w:tr w:rsidR="00C207E7" w:rsidRPr="00FF207E" w14:paraId="52F70247" w14:textId="77777777" w:rsidTr="00144521">
        <w:tc>
          <w:tcPr>
            <w:tcW w:w="3313"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62963FFB" w14:textId="77777777" w:rsidR="00C207E7" w:rsidRPr="00FF207E" w:rsidRDefault="00C207E7" w:rsidP="001E304B">
            <w:pPr>
              <w:spacing w:line="240" w:lineRule="atLeast"/>
              <w:jc w:val="both"/>
              <w:rPr>
                <w:rFonts w:cs="Arial"/>
                <w:sz w:val="20"/>
                <w:szCs w:val="20"/>
                <w:lang w:val="sl-SI"/>
              </w:rPr>
            </w:pPr>
            <w:r w:rsidRPr="00FF207E">
              <w:rPr>
                <w:rFonts w:cs="Arial"/>
                <w:sz w:val="20"/>
                <w:szCs w:val="20"/>
                <w:lang w:val="sl-SI"/>
              </w:rPr>
              <w:t>Status ukrepa</w:t>
            </w:r>
          </w:p>
        </w:tc>
        <w:tc>
          <w:tcPr>
            <w:tcW w:w="575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392170F4" w14:textId="0C02AF2C" w:rsidR="00C207E7" w:rsidRPr="00FF207E" w:rsidRDefault="00736A5E" w:rsidP="001E304B">
            <w:pPr>
              <w:spacing w:line="240" w:lineRule="atLeast"/>
              <w:jc w:val="both"/>
              <w:rPr>
                <w:rFonts w:cs="Arial"/>
                <w:sz w:val="20"/>
                <w:szCs w:val="20"/>
                <w:lang w:val="sl-SI"/>
              </w:rPr>
            </w:pPr>
            <w:r w:rsidRPr="00FF207E">
              <w:rPr>
                <w:rFonts w:cs="Arial"/>
                <w:sz w:val="20"/>
                <w:szCs w:val="20"/>
                <w:lang w:val="sl-SI"/>
              </w:rPr>
              <w:t xml:space="preserve">Veljaven </w:t>
            </w:r>
            <w:r w:rsidR="00C207E7" w:rsidRPr="00FF207E">
              <w:rPr>
                <w:rFonts w:cs="Arial"/>
                <w:sz w:val="20"/>
                <w:szCs w:val="20"/>
                <w:lang w:val="sl-SI"/>
              </w:rPr>
              <w:t xml:space="preserve">ukrep z nadgradnjo. </w:t>
            </w:r>
            <w:r w:rsidR="00C207E7" w:rsidRPr="00FF207E">
              <w:rPr>
                <w:rFonts w:cs="Arial"/>
                <w:i/>
                <w:sz w:val="20"/>
                <w:szCs w:val="20"/>
                <w:lang w:val="sl-SI"/>
              </w:rPr>
              <w:t>Uredba o merilih za opredelitev in ocenjevanje števila energetsko revnih gospodinjstev</w:t>
            </w:r>
            <w:r w:rsidR="00C207E7" w:rsidRPr="00FF207E">
              <w:rPr>
                <w:rFonts w:cs="Arial"/>
                <w:sz w:val="20"/>
                <w:szCs w:val="20"/>
                <w:lang w:val="sl-SI"/>
              </w:rPr>
              <w:t xml:space="preserve"> (Ur</w:t>
            </w:r>
            <w:r w:rsidR="00943875" w:rsidRPr="00FF207E">
              <w:rPr>
                <w:rFonts w:cs="Arial"/>
                <w:sz w:val="20"/>
                <w:szCs w:val="20"/>
                <w:lang w:val="sl-SI"/>
              </w:rPr>
              <w:t>adni</w:t>
            </w:r>
            <w:r w:rsidR="00C207E7" w:rsidRPr="00FF207E">
              <w:rPr>
                <w:rFonts w:cs="Arial"/>
                <w:sz w:val="20"/>
                <w:szCs w:val="20"/>
                <w:lang w:val="sl-SI"/>
              </w:rPr>
              <w:t xml:space="preserve"> l</w:t>
            </w:r>
            <w:r w:rsidR="00943875" w:rsidRPr="00FF207E">
              <w:rPr>
                <w:rFonts w:cs="Arial"/>
                <w:sz w:val="20"/>
                <w:szCs w:val="20"/>
                <w:lang w:val="sl-SI"/>
              </w:rPr>
              <w:t>ist</w:t>
            </w:r>
            <w:r w:rsidR="00C207E7" w:rsidRPr="00FF207E">
              <w:rPr>
                <w:rFonts w:cs="Arial"/>
                <w:sz w:val="20"/>
                <w:szCs w:val="20"/>
                <w:lang w:val="sl-SI"/>
              </w:rPr>
              <w:t xml:space="preserve"> RS, št. 132/22) je bila sprejeta oktobra 2022 in vključuje nekatere nekonsistentnosti, ki bi jih bilo treba odpraviti. </w:t>
            </w:r>
          </w:p>
        </w:tc>
      </w:tr>
      <w:tr w:rsidR="00994BB8" w:rsidRPr="00FF207E" w14:paraId="6E528BC3" w14:textId="77777777" w:rsidTr="00144521">
        <w:tc>
          <w:tcPr>
            <w:tcW w:w="907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691F3C20" w14:textId="77777777" w:rsidR="00994BB8" w:rsidRPr="00FF207E" w:rsidRDefault="00994BB8" w:rsidP="001E304B">
            <w:pPr>
              <w:spacing w:before="60" w:after="60" w:line="240" w:lineRule="atLeast"/>
              <w:jc w:val="both"/>
              <w:rPr>
                <w:rFonts w:cs="Arial"/>
                <w:b/>
                <w:lang w:val="sl-SI"/>
              </w:rPr>
            </w:pPr>
            <w:r w:rsidRPr="00FF207E">
              <w:rPr>
                <w:rFonts w:cs="Arial"/>
                <w:b/>
                <w:lang w:val="sl-SI"/>
              </w:rPr>
              <w:t>Dolgoročna vsebina ukrepa</w:t>
            </w:r>
          </w:p>
        </w:tc>
      </w:tr>
      <w:tr w:rsidR="00994BB8" w:rsidRPr="00FF207E" w14:paraId="747A6633" w14:textId="77777777" w:rsidTr="00144521">
        <w:tc>
          <w:tcPr>
            <w:tcW w:w="9072" w:type="dxa"/>
            <w:gridSpan w:val="3"/>
            <w:tcBorders>
              <w:top w:val="single" w:sz="4" w:space="0" w:color="548DD4" w:themeColor="text2" w:themeTint="99"/>
              <w:left w:val="nil"/>
              <w:bottom w:val="single" w:sz="4" w:space="0" w:color="548DD4" w:themeColor="text2" w:themeTint="99"/>
              <w:right w:val="nil"/>
            </w:tcBorders>
          </w:tcPr>
          <w:p w14:paraId="6FC8A682"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V okviru ukrepa je treba dolgoročno:</w:t>
            </w:r>
          </w:p>
          <w:p w14:paraId="0528420B" w14:textId="46F8F8E7" w:rsidR="00994BB8" w:rsidRPr="00FF207E" w:rsidRDefault="00C207E7" w:rsidP="00B039F0">
            <w:pPr>
              <w:pStyle w:val="Odstavekseznama"/>
              <w:numPr>
                <w:ilvl w:val="0"/>
                <w:numId w:val="15"/>
              </w:numPr>
              <w:spacing w:line="240" w:lineRule="atLeast"/>
              <w:ind w:left="357" w:hanging="357"/>
              <w:jc w:val="both"/>
              <w:rPr>
                <w:rFonts w:cs="Arial"/>
                <w:sz w:val="20"/>
                <w:szCs w:val="20"/>
                <w:lang w:val="sl-SI"/>
              </w:rPr>
            </w:pPr>
            <w:r w:rsidRPr="00FF207E">
              <w:rPr>
                <w:rFonts w:cs="Arial"/>
                <w:sz w:val="20"/>
                <w:szCs w:val="20"/>
                <w:lang w:val="sl-SI"/>
              </w:rPr>
              <w:t xml:space="preserve">zagotoviti, da se bo </w:t>
            </w:r>
            <w:r w:rsidR="00B039F0" w:rsidRPr="00FF207E">
              <w:rPr>
                <w:rFonts w:cs="Arial"/>
                <w:b/>
                <w:sz w:val="20"/>
                <w:szCs w:val="20"/>
                <w:lang w:val="sl-SI"/>
              </w:rPr>
              <w:t>u</w:t>
            </w:r>
            <w:r w:rsidRPr="00FF207E">
              <w:rPr>
                <w:rFonts w:cs="Arial"/>
                <w:b/>
                <w:sz w:val="20"/>
                <w:szCs w:val="20"/>
                <w:lang w:val="sl-SI"/>
              </w:rPr>
              <w:t>redba redno posodabljala in nadgrajevala v skladu z novimi dognanji, načrti in obveznostmi</w:t>
            </w:r>
            <w:r w:rsidRPr="00FF207E">
              <w:rPr>
                <w:rFonts w:cs="Arial"/>
                <w:sz w:val="20"/>
                <w:szCs w:val="20"/>
                <w:lang w:val="sl-SI"/>
              </w:rPr>
              <w:t xml:space="preserve"> v celovito uredbo s področja zmanjševanja energetske revščine ter tako zagotavljala ustrezne pravne podlage za izvajanje </w:t>
            </w:r>
            <w:r w:rsidR="003249EA" w:rsidRPr="00FF207E">
              <w:rPr>
                <w:rFonts w:cs="Arial"/>
                <w:sz w:val="20"/>
                <w:szCs w:val="20"/>
                <w:lang w:val="sl-SI"/>
              </w:rPr>
              <w:t xml:space="preserve">dejavnosti </w:t>
            </w:r>
            <w:r w:rsidRPr="00FF207E">
              <w:rPr>
                <w:rFonts w:cs="Arial"/>
                <w:sz w:val="20"/>
                <w:szCs w:val="20"/>
                <w:lang w:val="sl-SI"/>
              </w:rPr>
              <w:t>in doseganje ciljev na tem področju</w:t>
            </w:r>
            <w:r w:rsidR="00E34B2F" w:rsidRPr="00FF207E">
              <w:rPr>
                <w:rFonts w:cs="Arial"/>
                <w:sz w:val="20"/>
                <w:szCs w:val="20"/>
                <w:lang w:val="sl-SI"/>
              </w:rPr>
              <w:t>.</w:t>
            </w:r>
          </w:p>
        </w:tc>
      </w:tr>
      <w:tr w:rsidR="00994BB8" w:rsidRPr="00FF207E" w14:paraId="6E8AD48A" w14:textId="77777777" w:rsidTr="00144521">
        <w:tc>
          <w:tcPr>
            <w:tcW w:w="907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16AFBA4D" w14:textId="77777777" w:rsidR="00994BB8" w:rsidRPr="00FF207E" w:rsidRDefault="00994BB8" w:rsidP="001E304B">
            <w:pPr>
              <w:spacing w:before="60" w:after="60" w:line="240" w:lineRule="atLeast"/>
              <w:jc w:val="both"/>
              <w:rPr>
                <w:rFonts w:cs="Arial"/>
                <w:b/>
                <w:lang w:val="sl-SI"/>
              </w:rPr>
            </w:pPr>
            <w:r w:rsidRPr="00FF207E">
              <w:rPr>
                <w:rFonts w:cs="Arial"/>
                <w:b/>
                <w:lang w:val="sl-SI"/>
              </w:rPr>
              <w:t>Kratkoročna izvedba ukrepa v obdobju 2024–2026</w:t>
            </w:r>
          </w:p>
        </w:tc>
      </w:tr>
      <w:tr w:rsidR="00994BB8" w:rsidRPr="00FF207E" w14:paraId="31092E60" w14:textId="77777777" w:rsidTr="00144521">
        <w:tc>
          <w:tcPr>
            <w:tcW w:w="3313"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F08B7A7"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Kratkoročni cilj</w:t>
            </w:r>
          </w:p>
        </w:tc>
        <w:tc>
          <w:tcPr>
            <w:tcW w:w="575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C7A75E1" w14:textId="5871990C" w:rsidR="00994BB8" w:rsidRPr="00FF207E" w:rsidRDefault="00906D9B" w:rsidP="003249EA">
            <w:pPr>
              <w:spacing w:line="240" w:lineRule="atLeast"/>
              <w:jc w:val="both"/>
              <w:rPr>
                <w:rFonts w:cs="Arial"/>
                <w:sz w:val="20"/>
                <w:szCs w:val="20"/>
                <w:lang w:val="sl-SI"/>
              </w:rPr>
            </w:pPr>
            <w:r w:rsidRPr="00FF207E">
              <w:rPr>
                <w:rFonts w:cs="Arial"/>
                <w:sz w:val="20"/>
                <w:szCs w:val="20"/>
                <w:lang w:val="sl-SI"/>
              </w:rPr>
              <w:t xml:space="preserve">Posodobiti trenutno veljavno </w:t>
            </w:r>
            <w:r w:rsidR="00620BD3" w:rsidRPr="00FF207E">
              <w:rPr>
                <w:rFonts w:cs="Arial"/>
                <w:i/>
                <w:sz w:val="20"/>
                <w:szCs w:val="20"/>
                <w:lang w:val="sl-SI"/>
              </w:rPr>
              <w:t>Uredb</w:t>
            </w:r>
            <w:r w:rsidR="007C70FA" w:rsidRPr="00FF207E">
              <w:rPr>
                <w:rFonts w:cs="Arial"/>
                <w:i/>
                <w:sz w:val="20"/>
                <w:szCs w:val="20"/>
                <w:lang w:val="sl-SI"/>
              </w:rPr>
              <w:t>o</w:t>
            </w:r>
            <w:r w:rsidR="00620BD3" w:rsidRPr="00FF207E">
              <w:rPr>
                <w:rFonts w:cs="Arial"/>
                <w:i/>
                <w:sz w:val="20"/>
                <w:szCs w:val="20"/>
                <w:lang w:val="sl-SI"/>
              </w:rPr>
              <w:t xml:space="preserve"> o merilih za opredelitev in ocenjevanje števila energetsko revnih gospodinjstev</w:t>
            </w:r>
            <w:r w:rsidR="00FC201B" w:rsidRPr="00FF207E">
              <w:rPr>
                <w:rFonts w:cs="Arial"/>
                <w:sz w:val="20"/>
                <w:szCs w:val="20"/>
                <w:lang w:val="sl-SI"/>
              </w:rPr>
              <w:t xml:space="preserve">, </w:t>
            </w:r>
            <w:r w:rsidR="007C70FA" w:rsidRPr="00FF207E">
              <w:rPr>
                <w:rFonts w:cs="Arial"/>
                <w:sz w:val="20"/>
                <w:szCs w:val="20"/>
                <w:lang w:val="sl-SI"/>
              </w:rPr>
              <w:t xml:space="preserve">tudi v smeri večje podpore izvajanju </w:t>
            </w:r>
            <w:r w:rsidR="003249EA" w:rsidRPr="00FF207E">
              <w:rPr>
                <w:rFonts w:cs="Arial"/>
                <w:sz w:val="20"/>
                <w:szCs w:val="20"/>
                <w:lang w:val="sl-SI"/>
              </w:rPr>
              <w:t xml:space="preserve">dejavnosti </w:t>
            </w:r>
            <w:r w:rsidR="007C70FA" w:rsidRPr="00FF207E">
              <w:rPr>
                <w:rFonts w:cs="Arial"/>
                <w:sz w:val="20"/>
                <w:szCs w:val="20"/>
                <w:lang w:val="sl-SI"/>
              </w:rPr>
              <w:t>za zmanjševanje energetske revščine</w:t>
            </w:r>
            <w:r w:rsidR="00D85553" w:rsidRPr="00FF207E">
              <w:rPr>
                <w:rFonts w:cs="Arial"/>
                <w:sz w:val="20"/>
                <w:szCs w:val="20"/>
                <w:lang w:val="sl-SI"/>
              </w:rPr>
              <w:t>.</w:t>
            </w:r>
          </w:p>
        </w:tc>
      </w:tr>
      <w:tr w:rsidR="00994BB8" w:rsidRPr="00FF207E" w14:paraId="45FF4780" w14:textId="77777777" w:rsidTr="002513F9">
        <w:tc>
          <w:tcPr>
            <w:tcW w:w="3313"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4844F99B" w14:textId="30CCE8F8" w:rsidR="00994BB8" w:rsidRPr="00FF207E" w:rsidRDefault="009D5FED" w:rsidP="001E304B">
            <w:pPr>
              <w:spacing w:line="240" w:lineRule="atLeast"/>
              <w:jc w:val="both"/>
              <w:rPr>
                <w:rFonts w:cs="Arial"/>
                <w:sz w:val="20"/>
                <w:szCs w:val="20"/>
                <w:lang w:val="sl-SI"/>
              </w:rPr>
            </w:pPr>
            <w:r w:rsidRPr="00FF207E">
              <w:rPr>
                <w:rFonts w:cs="Arial"/>
                <w:sz w:val="20"/>
                <w:szCs w:val="20"/>
                <w:lang w:val="sl-SI"/>
              </w:rPr>
              <w:t>Potrebna sredstva</w:t>
            </w:r>
            <w:r w:rsidR="00F4436A" w:rsidRPr="00FF207E">
              <w:rPr>
                <w:lang w:val="sl-SI"/>
              </w:rPr>
              <w:t xml:space="preserve"> </w:t>
            </w:r>
            <w:r w:rsidRPr="00FF207E">
              <w:rPr>
                <w:rFonts w:cs="Arial"/>
                <w:sz w:val="20"/>
                <w:szCs w:val="20"/>
                <w:lang w:val="sl-SI"/>
              </w:rPr>
              <w:t>in viri</w:t>
            </w:r>
          </w:p>
        </w:tc>
        <w:tc>
          <w:tcPr>
            <w:tcW w:w="575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tcPr>
          <w:p w14:paraId="3DCEC523" w14:textId="135FD5A2" w:rsidR="009D5FED" w:rsidRPr="00FF207E" w:rsidRDefault="009D5FED" w:rsidP="002513F9">
            <w:pPr>
              <w:spacing w:line="240" w:lineRule="atLeast"/>
              <w:rPr>
                <w:rFonts w:cs="Arial"/>
                <w:sz w:val="20"/>
                <w:szCs w:val="20"/>
                <w:lang w:val="sl-SI"/>
              </w:rPr>
            </w:pPr>
            <w:r w:rsidRPr="00FF207E">
              <w:rPr>
                <w:rFonts w:cs="Arial"/>
                <w:sz w:val="20"/>
                <w:szCs w:val="20"/>
                <w:lang w:val="sl-SI"/>
              </w:rPr>
              <w:t>Stroški dela: redno delo ministrstev</w:t>
            </w:r>
            <w:r w:rsidR="00D85553" w:rsidRPr="00FF207E">
              <w:rPr>
                <w:rFonts w:cs="Arial"/>
                <w:sz w:val="20"/>
                <w:szCs w:val="20"/>
                <w:lang w:val="sl-SI"/>
              </w:rPr>
              <w:t>.</w:t>
            </w:r>
          </w:p>
          <w:p w14:paraId="19289C42" w14:textId="5E937241" w:rsidR="00994BB8" w:rsidRPr="00FF207E" w:rsidRDefault="009D5FED" w:rsidP="002513F9">
            <w:pPr>
              <w:spacing w:before="60" w:line="240" w:lineRule="atLeast"/>
              <w:rPr>
                <w:rFonts w:cs="Arial"/>
                <w:sz w:val="20"/>
                <w:szCs w:val="20"/>
                <w:lang w:val="sl-SI"/>
              </w:rPr>
            </w:pPr>
            <w:r w:rsidRPr="00FF207E">
              <w:rPr>
                <w:rFonts w:cs="Arial"/>
                <w:sz w:val="20"/>
                <w:szCs w:val="20"/>
                <w:lang w:val="sl-SI"/>
              </w:rPr>
              <w:t>Viri sredstev: proračun</w:t>
            </w:r>
            <w:r w:rsidR="00D85553" w:rsidRPr="00FF207E">
              <w:rPr>
                <w:rFonts w:cs="Arial"/>
                <w:sz w:val="20"/>
                <w:szCs w:val="20"/>
                <w:lang w:val="sl-SI"/>
              </w:rPr>
              <w:t>.</w:t>
            </w:r>
          </w:p>
        </w:tc>
      </w:tr>
      <w:tr w:rsidR="00994BB8" w:rsidRPr="00FF207E" w14:paraId="1A737D0D" w14:textId="77777777" w:rsidTr="00E36937">
        <w:tc>
          <w:tcPr>
            <w:tcW w:w="9072" w:type="dxa"/>
            <w:gridSpan w:val="3"/>
            <w:tcBorders>
              <w:top w:val="single" w:sz="4" w:space="0" w:color="548DD4" w:themeColor="text2" w:themeTint="99"/>
              <w:left w:val="nil"/>
              <w:bottom w:val="single" w:sz="4" w:space="0" w:color="548DD4" w:themeColor="text2" w:themeTint="99"/>
              <w:right w:val="nil"/>
            </w:tcBorders>
            <w:shd w:val="clear" w:color="auto" w:fill="DBE5F1" w:themeFill="accent1" w:themeFillTint="33"/>
          </w:tcPr>
          <w:p w14:paraId="6D66C3D4" w14:textId="77777777" w:rsidR="00994BB8" w:rsidRPr="00FF207E" w:rsidRDefault="00994BB8" w:rsidP="001E304B">
            <w:pPr>
              <w:spacing w:before="40" w:after="40" w:line="240" w:lineRule="atLeast"/>
              <w:jc w:val="both"/>
              <w:rPr>
                <w:rFonts w:cs="Arial"/>
                <w:sz w:val="20"/>
                <w:szCs w:val="20"/>
                <w:lang w:val="sl-SI"/>
              </w:rPr>
            </w:pPr>
            <w:r w:rsidRPr="00FF207E">
              <w:rPr>
                <w:rFonts w:cs="Arial"/>
                <w:sz w:val="20"/>
                <w:szCs w:val="20"/>
                <w:lang w:val="sl-SI"/>
              </w:rPr>
              <w:t>Potek izvedbe</w:t>
            </w:r>
          </w:p>
        </w:tc>
      </w:tr>
      <w:tr w:rsidR="00994BB8" w:rsidRPr="00FF207E" w14:paraId="5D7FB71E" w14:textId="77777777" w:rsidTr="00144521">
        <w:tc>
          <w:tcPr>
            <w:tcW w:w="990"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5B9117E4" w14:textId="77777777" w:rsidR="00994BB8" w:rsidRPr="00FF207E" w:rsidRDefault="00994BB8" w:rsidP="001E304B">
            <w:pPr>
              <w:spacing w:line="240" w:lineRule="atLeast"/>
              <w:jc w:val="both"/>
              <w:rPr>
                <w:rFonts w:cs="Arial"/>
                <w:b/>
                <w:sz w:val="24"/>
                <w:lang w:val="sl-SI"/>
              </w:rPr>
            </w:pPr>
            <w:r w:rsidRPr="00FF207E">
              <w:rPr>
                <w:rFonts w:cs="Arial"/>
                <w:b/>
                <w:sz w:val="24"/>
                <w:lang w:val="sl-SI"/>
              </w:rPr>
              <w:t>1</w:t>
            </w:r>
          </w:p>
        </w:tc>
        <w:tc>
          <w:tcPr>
            <w:tcW w:w="2323"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684E5A32"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Vsebina</w:t>
            </w:r>
          </w:p>
        </w:tc>
        <w:tc>
          <w:tcPr>
            <w:tcW w:w="5759"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20E71E3C" w14:textId="2D74EC15" w:rsidR="00C22255" w:rsidRPr="00FF207E" w:rsidRDefault="00D85553" w:rsidP="00B039F0">
            <w:pPr>
              <w:spacing w:line="240" w:lineRule="atLeast"/>
              <w:jc w:val="both"/>
              <w:rPr>
                <w:rFonts w:cs="Arial"/>
                <w:sz w:val="20"/>
                <w:szCs w:val="20"/>
                <w:lang w:val="sl-SI"/>
              </w:rPr>
            </w:pPr>
            <w:r w:rsidRPr="00FF207E">
              <w:rPr>
                <w:rFonts w:cs="Arial"/>
                <w:sz w:val="20"/>
                <w:szCs w:val="20"/>
                <w:lang w:val="sl-SI"/>
              </w:rPr>
              <w:t>p</w:t>
            </w:r>
            <w:r w:rsidR="00A379E1" w:rsidRPr="00FF207E">
              <w:rPr>
                <w:rFonts w:cs="Arial"/>
                <w:sz w:val="20"/>
                <w:szCs w:val="20"/>
                <w:lang w:val="sl-SI"/>
              </w:rPr>
              <w:t xml:space="preserve">riprava predloga posodobljene verzije </w:t>
            </w:r>
            <w:r w:rsidR="00B039F0" w:rsidRPr="00FF207E">
              <w:rPr>
                <w:rFonts w:cs="Arial"/>
                <w:sz w:val="20"/>
                <w:szCs w:val="20"/>
                <w:lang w:val="sl-SI"/>
              </w:rPr>
              <w:t>u</w:t>
            </w:r>
            <w:r w:rsidR="00A379E1" w:rsidRPr="00FF207E">
              <w:rPr>
                <w:rFonts w:cs="Arial"/>
                <w:sz w:val="20"/>
                <w:szCs w:val="20"/>
                <w:lang w:val="sl-SI"/>
              </w:rPr>
              <w:t>redbe z odpravo</w:t>
            </w:r>
            <w:r w:rsidR="00C207E7" w:rsidRPr="00FF207E">
              <w:rPr>
                <w:rFonts w:cs="Arial"/>
                <w:sz w:val="20"/>
                <w:szCs w:val="20"/>
                <w:lang w:val="sl-SI"/>
              </w:rPr>
              <w:t xml:space="preserve"> nekonsistentnosti v </w:t>
            </w:r>
            <w:r w:rsidRPr="00FF207E">
              <w:rPr>
                <w:rFonts w:cs="Arial"/>
                <w:sz w:val="20"/>
                <w:szCs w:val="20"/>
                <w:lang w:val="sl-SI"/>
              </w:rPr>
              <w:t xml:space="preserve">zdaj </w:t>
            </w:r>
            <w:r w:rsidR="00C207E7" w:rsidRPr="00FF207E">
              <w:rPr>
                <w:rFonts w:cs="Arial"/>
                <w:sz w:val="20"/>
                <w:szCs w:val="20"/>
                <w:lang w:val="sl-SI"/>
              </w:rPr>
              <w:t xml:space="preserve">veljavni </w:t>
            </w:r>
            <w:r w:rsidR="00B039F0" w:rsidRPr="00FF207E">
              <w:rPr>
                <w:rFonts w:cs="Arial"/>
                <w:sz w:val="20"/>
                <w:szCs w:val="20"/>
                <w:lang w:val="sl-SI"/>
              </w:rPr>
              <w:t>u</w:t>
            </w:r>
            <w:r w:rsidR="00C207E7" w:rsidRPr="00FF207E">
              <w:rPr>
                <w:rFonts w:cs="Arial"/>
                <w:sz w:val="20"/>
                <w:szCs w:val="20"/>
                <w:lang w:val="sl-SI"/>
              </w:rPr>
              <w:t xml:space="preserve">redbi </w:t>
            </w:r>
            <w:r w:rsidR="00620BD3" w:rsidRPr="00FF207E">
              <w:rPr>
                <w:rFonts w:cs="Arial"/>
                <w:sz w:val="20"/>
                <w:szCs w:val="20"/>
                <w:lang w:val="sl-SI"/>
              </w:rPr>
              <w:t xml:space="preserve"> </w:t>
            </w:r>
            <w:r w:rsidR="00E641AA" w:rsidRPr="00FF207E">
              <w:rPr>
                <w:rFonts w:cs="Arial"/>
                <w:sz w:val="20"/>
                <w:szCs w:val="20"/>
                <w:lang w:val="sl-SI"/>
              </w:rPr>
              <w:t xml:space="preserve">in </w:t>
            </w:r>
            <w:r w:rsidR="00620BD3" w:rsidRPr="00FF207E">
              <w:rPr>
                <w:rFonts w:cs="Arial"/>
                <w:sz w:val="20"/>
                <w:szCs w:val="20"/>
                <w:lang w:val="sl-SI"/>
              </w:rPr>
              <w:t xml:space="preserve">po potrebi </w:t>
            </w:r>
            <w:r w:rsidR="00E641AA" w:rsidRPr="00FF207E">
              <w:rPr>
                <w:rFonts w:cs="Arial"/>
                <w:sz w:val="20"/>
                <w:szCs w:val="20"/>
                <w:lang w:val="sl-SI"/>
              </w:rPr>
              <w:t xml:space="preserve">drugimi dopolnili </w:t>
            </w:r>
            <w:r w:rsidR="00C2621A" w:rsidRPr="00FF207E">
              <w:rPr>
                <w:rFonts w:cs="Arial"/>
                <w:sz w:val="20"/>
                <w:szCs w:val="20"/>
                <w:lang w:val="sl-SI"/>
              </w:rPr>
              <w:t>zaradi spremembe okoliščin, povezanih z energetsko revščino in njenim zmanjševanjem</w:t>
            </w:r>
            <w:r w:rsidR="006005A8" w:rsidRPr="00FF207E">
              <w:rPr>
                <w:rFonts w:cs="Arial"/>
                <w:sz w:val="20"/>
                <w:szCs w:val="20"/>
                <w:lang w:val="sl-SI"/>
              </w:rPr>
              <w:t>, tudi v smeri večje podpore izvajanju aktivnosti za zmanjševanje energetske revščine</w:t>
            </w:r>
          </w:p>
        </w:tc>
      </w:tr>
      <w:tr w:rsidR="00994BB8" w:rsidRPr="00FF207E" w14:paraId="682184AB" w14:textId="77777777" w:rsidTr="00144521">
        <w:tc>
          <w:tcPr>
            <w:tcW w:w="990" w:type="dxa"/>
            <w:vMerge/>
            <w:tcBorders>
              <w:left w:val="nil"/>
              <w:bottom w:val="single" w:sz="4" w:space="0" w:color="548DD4" w:themeColor="text2" w:themeTint="99"/>
              <w:right w:val="single" w:sz="4" w:space="0" w:color="548DD4" w:themeColor="text2" w:themeTint="99"/>
            </w:tcBorders>
          </w:tcPr>
          <w:p w14:paraId="07A0D324" w14:textId="77777777" w:rsidR="00994BB8" w:rsidRPr="00FF207E" w:rsidRDefault="00994BB8" w:rsidP="001E304B">
            <w:pPr>
              <w:spacing w:line="240" w:lineRule="atLeast"/>
              <w:jc w:val="both"/>
              <w:rPr>
                <w:rFonts w:cs="Arial"/>
                <w:sz w:val="20"/>
                <w:szCs w:val="20"/>
                <w:lang w:val="sl-SI"/>
              </w:rPr>
            </w:pPr>
          </w:p>
        </w:tc>
        <w:tc>
          <w:tcPr>
            <w:tcW w:w="2323"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FD0CC5E"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Odgovornost</w:t>
            </w:r>
          </w:p>
        </w:tc>
        <w:tc>
          <w:tcPr>
            <w:tcW w:w="5759"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483D0625" w14:textId="2F622B04" w:rsidR="00994BB8" w:rsidRPr="00FF207E" w:rsidRDefault="00C2621A" w:rsidP="001E304B">
            <w:pPr>
              <w:spacing w:line="240" w:lineRule="atLeast"/>
              <w:jc w:val="both"/>
              <w:rPr>
                <w:rFonts w:cs="Arial"/>
                <w:sz w:val="20"/>
                <w:szCs w:val="20"/>
                <w:lang w:val="sl-SI"/>
              </w:rPr>
            </w:pPr>
            <w:r w:rsidRPr="00FF207E">
              <w:rPr>
                <w:rFonts w:cs="Arial"/>
                <w:sz w:val="20"/>
                <w:szCs w:val="20"/>
                <w:lang w:val="sl-SI"/>
              </w:rPr>
              <w:t>MOPE</w:t>
            </w:r>
          </w:p>
        </w:tc>
      </w:tr>
      <w:tr w:rsidR="00994BB8" w:rsidRPr="00FF207E" w14:paraId="667B7786" w14:textId="77777777" w:rsidTr="00144521">
        <w:tc>
          <w:tcPr>
            <w:tcW w:w="990" w:type="dxa"/>
            <w:vMerge/>
            <w:tcBorders>
              <w:left w:val="nil"/>
              <w:bottom w:val="single" w:sz="4" w:space="0" w:color="548DD4" w:themeColor="text2" w:themeTint="99"/>
              <w:right w:val="single" w:sz="4" w:space="0" w:color="548DD4" w:themeColor="text2" w:themeTint="99"/>
            </w:tcBorders>
          </w:tcPr>
          <w:p w14:paraId="68EB7C0B" w14:textId="77777777" w:rsidR="00994BB8" w:rsidRPr="00FF207E" w:rsidRDefault="00994BB8" w:rsidP="001E304B">
            <w:pPr>
              <w:spacing w:line="240" w:lineRule="atLeast"/>
              <w:jc w:val="both"/>
              <w:rPr>
                <w:rFonts w:cs="Arial"/>
                <w:sz w:val="20"/>
                <w:szCs w:val="20"/>
                <w:lang w:val="sl-SI"/>
              </w:rPr>
            </w:pPr>
          </w:p>
        </w:tc>
        <w:tc>
          <w:tcPr>
            <w:tcW w:w="2323"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2D02AFBA" w14:textId="77777777" w:rsidR="00994BB8" w:rsidRPr="00FF207E" w:rsidRDefault="00994BB8" w:rsidP="001E304B">
            <w:pPr>
              <w:spacing w:line="240" w:lineRule="atLeast"/>
              <w:jc w:val="both"/>
              <w:rPr>
                <w:rFonts w:cs="Arial"/>
                <w:sz w:val="20"/>
                <w:szCs w:val="20"/>
                <w:lang w:val="sl-SI"/>
              </w:rPr>
            </w:pPr>
            <w:r w:rsidRPr="00FF207E">
              <w:rPr>
                <w:rFonts w:cs="Arial"/>
                <w:sz w:val="20"/>
                <w:szCs w:val="20"/>
                <w:lang w:val="sl-SI"/>
              </w:rPr>
              <w:t>Vključeni deležniki</w:t>
            </w:r>
          </w:p>
        </w:tc>
        <w:tc>
          <w:tcPr>
            <w:tcW w:w="5759"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5B1C4477" w14:textId="7991A536" w:rsidR="00994BB8" w:rsidRPr="00FF207E" w:rsidRDefault="0006530A" w:rsidP="0006530A">
            <w:pPr>
              <w:spacing w:line="240" w:lineRule="atLeast"/>
              <w:jc w:val="both"/>
              <w:rPr>
                <w:rFonts w:cs="Arial"/>
                <w:sz w:val="20"/>
                <w:szCs w:val="20"/>
                <w:lang w:val="sl-SI"/>
              </w:rPr>
            </w:pPr>
            <w:r w:rsidRPr="00FF207E">
              <w:rPr>
                <w:rFonts w:cs="Arial"/>
                <w:sz w:val="20"/>
                <w:szCs w:val="20"/>
                <w:lang w:val="sl-SI"/>
              </w:rPr>
              <w:t xml:space="preserve">drugi </w:t>
            </w:r>
            <w:r w:rsidR="00742BD0" w:rsidRPr="00FF207E">
              <w:rPr>
                <w:rFonts w:cs="Arial"/>
                <w:sz w:val="20"/>
                <w:szCs w:val="20"/>
                <w:lang w:val="sl-SI"/>
              </w:rPr>
              <w:t>deležniki</w:t>
            </w:r>
            <w:r w:rsidR="00A379E1" w:rsidRPr="00FF207E">
              <w:rPr>
                <w:rFonts w:cs="Arial"/>
                <w:sz w:val="20"/>
                <w:szCs w:val="20"/>
                <w:lang w:val="sl-SI"/>
              </w:rPr>
              <w:t xml:space="preserve"> na področju zmanjševanja energetske revščine</w:t>
            </w:r>
          </w:p>
        </w:tc>
      </w:tr>
      <w:tr w:rsidR="00E36937" w:rsidRPr="00FF207E" w14:paraId="1CB21A22" w14:textId="77777777" w:rsidTr="00E36937">
        <w:tc>
          <w:tcPr>
            <w:tcW w:w="990" w:type="dxa"/>
            <w:vMerge/>
            <w:tcBorders>
              <w:left w:val="nil"/>
              <w:bottom w:val="single" w:sz="4" w:space="0" w:color="548DD4" w:themeColor="text2" w:themeTint="99"/>
              <w:right w:val="single" w:sz="4" w:space="0" w:color="548DD4" w:themeColor="text2" w:themeTint="99"/>
            </w:tcBorders>
          </w:tcPr>
          <w:p w14:paraId="29A537E8" w14:textId="77777777" w:rsidR="00E36937" w:rsidRPr="00FF207E" w:rsidRDefault="00E36937" w:rsidP="001E304B">
            <w:pPr>
              <w:spacing w:line="240" w:lineRule="atLeast"/>
              <w:jc w:val="both"/>
              <w:rPr>
                <w:rFonts w:cs="Arial"/>
                <w:sz w:val="20"/>
                <w:szCs w:val="20"/>
                <w:lang w:val="sl-SI"/>
              </w:rPr>
            </w:pPr>
          </w:p>
        </w:tc>
        <w:tc>
          <w:tcPr>
            <w:tcW w:w="2323"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425E8C28" w14:textId="77777777" w:rsidR="00E36937" w:rsidRPr="00FF207E" w:rsidRDefault="00E36937" w:rsidP="001E304B">
            <w:pPr>
              <w:spacing w:line="240" w:lineRule="atLeast"/>
              <w:jc w:val="both"/>
              <w:rPr>
                <w:rFonts w:cs="Arial"/>
                <w:sz w:val="20"/>
                <w:szCs w:val="20"/>
                <w:lang w:val="sl-SI"/>
              </w:rPr>
            </w:pPr>
            <w:r w:rsidRPr="00FF207E">
              <w:rPr>
                <w:rFonts w:cs="Arial"/>
                <w:sz w:val="20"/>
                <w:szCs w:val="20"/>
                <w:lang w:val="sl-SI"/>
              </w:rPr>
              <w:t>Rok izvedbe</w:t>
            </w:r>
          </w:p>
        </w:tc>
        <w:tc>
          <w:tcPr>
            <w:tcW w:w="5759"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4033C24F" w14:textId="5DF784C2" w:rsidR="00E36937" w:rsidRPr="00FF207E" w:rsidRDefault="00E36937" w:rsidP="001E304B">
            <w:pPr>
              <w:spacing w:line="240" w:lineRule="atLeast"/>
              <w:jc w:val="both"/>
              <w:rPr>
                <w:rFonts w:cs="Arial"/>
                <w:sz w:val="20"/>
                <w:szCs w:val="20"/>
                <w:lang w:val="sl-SI"/>
              </w:rPr>
            </w:pPr>
          </w:p>
        </w:tc>
      </w:tr>
      <w:tr w:rsidR="00A379E1" w:rsidRPr="00FF207E" w14:paraId="479A351A" w14:textId="77777777" w:rsidTr="00E36937">
        <w:tc>
          <w:tcPr>
            <w:tcW w:w="990"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63431588" w14:textId="77777777" w:rsidR="00A379E1" w:rsidRPr="00FF207E" w:rsidRDefault="00A379E1" w:rsidP="001E304B">
            <w:pPr>
              <w:spacing w:line="240" w:lineRule="atLeast"/>
              <w:jc w:val="both"/>
              <w:rPr>
                <w:rFonts w:cs="Arial"/>
                <w:b/>
                <w:sz w:val="24"/>
                <w:lang w:val="sl-SI"/>
              </w:rPr>
            </w:pPr>
            <w:r w:rsidRPr="00FF207E">
              <w:rPr>
                <w:rFonts w:cs="Arial"/>
                <w:b/>
                <w:sz w:val="24"/>
                <w:lang w:val="sl-SI"/>
              </w:rPr>
              <w:t>2</w:t>
            </w:r>
          </w:p>
        </w:tc>
        <w:tc>
          <w:tcPr>
            <w:tcW w:w="2323"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1F9DF7D2" w14:textId="77777777" w:rsidR="00A379E1" w:rsidRPr="00FF207E" w:rsidRDefault="00A379E1" w:rsidP="001E304B">
            <w:pPr>
              <w:spacing w:line="240" w:lineRule="atLeast"/>
              <w:jc w:val="both"/>
              <w:rPr>
                <w:rFonts w:cs="Arial"/>
                <w:sz w:val="20"/>
                <w:szCs w:val="20"/>
                <w:lang w:val="sl-SI"/>
              </w:rPr>
            </w:pPr>
            <w:r w:rsidRPr="00FF207E">
              <w:rPr>
                <w:rFonts w:cs="Arial"/>
                <w:sz w:val="20"/>
                <w:szCs w:val="20"/>
                <w:lang w:val="sl-SI"/>
              </w:rPr>
              <w:t>Vsebina</w:t>
            </w:r>
          </w:p>
        </w:tc>
        <w:tc>
          <w:tcPr>
            <w:tcW w:w="5759"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0A38FEF8" w14:textId="60DD7897" w:rsidR="00A379E1" w:rsidRPr="00FF207E" w:rsidRDefault="00CB3F8C" w:rsidP="00B039F0">
            <w:pPr>
              <w:spacing w:line="240" w:lineRule="atLeast"/>
              <w:jc w:val="both"/>
              <w:rPr>
                <w:rFonts w:cs="Arial"/>
                <w:sz w:val="20"/>
                <w:szCs w:val="20"/>
                <w:lang w:val="sl-SI"/>
              </w:rPr>
            </w:pPr>
            <w:r w:rsidRPr="00FF207E">
              <w:rPr>
                <w:rFonts w:cs="Arial"/>
                <w:sz w:val="20"/>
                <w:szCs w:val="20"/>
                <w:lang w:val="sl-SI"/>
              </w:rPr>
              <w:t>s</w:t>
            </w:r>
            <w:r w:rsidR="00A379E1" w:rsidRPr="00FF207E">
              <w:rPr>
                <w:rFonts w:cs="Arial"/>
                <w:sz w:val="20"/>
                <w:szCs w:val="20"/>
                <w:lang w:val="sl-SI"/>
              </w:rPr>
              <w:t>preje</w:t>
            </w:r>
            <w:r w:rsidRPr="00FF207E">
              <w:rPr>
                <w:rFonts w:cs="Arial"/>
                <w:sz w:val="20"/>
                <w:szCs w:val="20"/>
                <w:lang w:val="sl-SI"/>
              </w:rPr>
              <w:t>tje</w:t>
            </w:r>
            <w:r w:rsidR="00A379E1" w:rsidRPr="00FF207E">
              <w:rPr>
                <w:rFonts w:cs="Arial"/>
                <w:sz w:val="20"/>
                <w:szCs w:val="20"/>
                <w:lang w:val="sl-SI"/>
              </w:rPr>
              <w:t xml:space="preserve"> posodobljene </w:t>
            </w:r>
            <w:r w:rsidR="00B039F0" w:rsidRPr="00FF207E">
              <w:rPr>
                <w:rFonts w:cs="Arial"/>
                <w:sz w:val="20"/>
                <w:szCs w:val="20"/>
                <w:lang w:val="sl-SI"/>
              </w:rPr>
              <w:t>u</w:t>
            </w:r>
            <w:r w:rsidR="00A379E1" w:rsidRPr="00FF207E">
              <w:rPr>
                <w:rFonts w:cs="Arial"/>
                <w:sz w:val="20"/>
                <w:szCs w:val="20"/>
                <w:lang w:val="sl-SI"/>
              </w:rPr>
              <w:t>redbe</w:t>
            </w:r>
          </w:p>
        </w:tc>
      </w:tr>
      <w:tr w:rsidR="00A379E1" w:rsidRPr="00FF207E" w14:paraId="13C00A3C" w14:textId="77777777" w:rsidTr="00144521">
        <w:tc>
          <w:tcPr>
            <w:tcW w:w="990" w:type="dxa"/>
            <w:vMerge/>
            <w:tcBorders>
              <w:left w:val="nil"/>
              <w:bottom w:val="single" w:sz="4" w:space="0" w:color="548DD4" w:themeColor="text2" w:themeTint="99"/>
              <w:right w:val="single" w:sz="4" w:space="0" w:color="548DD4" w:themeColor="text2" w:themeTint="99"/>
            </w:tcBorders>
          </w:tcPr>
          <w:p w14:paraId="01F40B74" w14:textId="77777777" w:rsidR="00A379E1" w:rsidRPr="00FF207E" w:rsidRDefault="00A379E1" w:rsidP="001E304B">
            <w:pPr>
              <w:spacing w:line="240" w:lineRule="atLeast"/>
              <w:jc w:val="both"/>
              <w:rPr>
                <w:rFonts w:cs="Arial"/>
                <w:sz w:val="20"/>
                <w:szCs w:val="20"/>
                <w:lang w:val="sl-SI"/>
              </w:rPr>
            </w:pPr>
          </w:p>
        </w:tc>
        <w:tc>
          <w:tcPr>
            <w:tcW w:w="2323"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A680EED" w14:textId="77777777" w:rsidR="00A379E1" w:rsidRPr="00FF207E" w:rsidRDefault="00A379E1" w:rsidP="001E304B">
            <w:pPr>
              <w:spacing w:line="240" w:lineRule="atLeast"/>
              <w:jc w:val="both"/>
              <w:rPr>
                <w:rFonts w:cs="Arial"/>
                <w:sz w:val="20"/>
                <w:szCs w:val="20"/>
                <w:lang w:val="sl-SI"/>
              </w:rPr>
            </w:pPr>
            <w:r w:rsidRPr="00FF207E">
              <w:rPr>
                <w:rFonts w:cs="Arial"/>
                <w:sz w:val="20"/>
                <w:szCs w:val="20"/>
                <w:lang w:val="sl-SI"/>
              </w:rPr>
              <w:t>Odgovornost</w:t>
            </w:r>
          </w:p>
        </w:tc>
        <w:tc>
          <w:tcPr>
            <w:tcW w:w="5759"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55114CE7" w14:textId="46CFD346" w:rsidR="00A379E1" w:rsidRPr="00FF207E" w:rsidRDefault="00C22255" w:rsidP="001E304B">
            <w:pPr>
              <w:spacing w:line="240" w:lineRule="atLeast"/>
              <w:jc w:val="both"/>
              <w:rPr>
                <w:rFonts w:cs="Arial"/>
                <w:sz w:val="20"/>
                <w:szCs w:val="20"/>
                <w:lang w:val="sl-SI"/>
              </w:rPr>
            </w:pPr>
            <w:r w:rsidRPr="00FF207E">
              <w:rPr>
                <w:rFonts w:cs="Arial"/>
                <w:sz w:val="20"/>
                <w:szCs w:val="20"/>
                <w:lang w:val="sl-SI"/>
              </w:rPr>
              <w:t>Vlada R</w:t>
            </w:r>
            <w:r w:rsidR="00943875" w:rsidRPr="00FF207E">
              <w:rPr>
                <w:rFonts w:cs="Arial"/>
                <w:sz w:val="20"/>
                <w:szCs w:val="20"/>
                <w:lang w:val="sl-SI"/>
              </w:rPr>
              <w:t xml:space="preserve">epublike </w:t>
            </w:r>
            <w:r w:rsidRPr="00FF207E">
              <w:rPr>
                <w:rFonts w:cs="Arial"/>
                <w:sz w:val="20"/>
                <w:szCs w:val="20"/>
                <w:lang w:val="sl-SI"/>
              </w:rPr>
              <w:t>S</w:t>
            </w:r>
            <w:r w:rsidR="00943875" w:rsidRPr="00FF207E">
              <w:rPr>
                <w:rFonts w:cs="Arial"/>
                <w:sz w:val="20"/>
                <w:szCs w:val="20"/>
                <w:lang w:val="sl-SI"/>
              </w:rPr>
              <w:t>lovenije</w:t>
            </w:r>
          </w:p>
        </w:tc>
      </w:tr>
      <w:tr w:rsidR="00A379E1" w:rsidRPr="00FF207E" w14:paraId="757BED4B" w14:textId="77777777" w:rsidTr="00144521">
        <w:tc>
          <w:tcPr>
            <w:tcW w:w="990" w:type="dxa"/>
            <w:vMerge/>
            <w:tcBorders>
              <w:left w:val="nil"/>
              <w:bottom w:val="single" w:sz="4" w:space="0" w:color="548DD4" w:themeColor="text2" w:themeTint="99"/>
              <w:right w:val="single" w:sz="4" w:space="0" w:color="548DD4" w:themeColor="text2" w:themeTint="99"/>
            </w:tcBorders>
          </w:tcPr>
          <w:p w14:paraId="49555F90" w14:textId="77777777" w:rsidR="00A379E1" w:rsidRPr="00FF207E" w:rsidRDefault="00A379E1" w:rsidP="001E304B">
            <w:pPr>
              <w:spacing w:line="240" w:lineRule="atLeast"/>
              <w:jc w:val="both"/>
              <w:rPr>
                <w:rFonts w:cs="Arial"/>
                <w:sz w:val="20"/>
                <w:szCs w:val="20"/>
                <w:lang w:val="sl-SI"/>
              </w:rPr>
            </w:pPr>
          </w:p>
        </w:tc>
        <w:tc>
          <w:tcPr>
            <w:tcW w:w="2323"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B3FE0E4" w14:textId="77777777" w:rsidR="00A379E1" w:rsidRPr="00FF207E" w:rsidRDefault="00A379E1" w:rsidP="001E304B">
            <w:pPr>
              <w:spacing w:line="240" w:lineRule="atLeast"/>
              <w:jc w:val="both"/>
              <w:rPr>
                <w:rFonts w:cs="Arial"/>
                <w:sz w:val="20"/>
                <w:szCs w:val="20"/>
                <w:lang w:val="sl-SI"/>
              </w:rPr>
            </w:pPr>
            <w:r w:rsidRPr="00FF207E">
              <w:rPr>
                <w:rFonts w:cs="Arial"/>
                <w:sz w:val="20"/>
                <w:szCs w:val="20"/>
                <w:lang w:val="sl-SI"/>
              </w:rPr>
              <w:t>Vključeni deležniki</w:t>
            </w:r>
          </w:p>
        </w:tc>
        <w:tc>
          <w:tcPr>
            <w:tcW w:w="5759"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CA372E8" w14:textId="2B6830F8" w:rsidR="00A379E1" w:rsidRPr="00FF207E" w:rsidRDefault="00C22255" w:rsidP="0006530A">
            <w:pPr>
              <w:spacing w:line="240" w:lineRule="atLeast"/>
              <w:jc w:val="both"/>
              <w:rPr>
                <w:rFonts w:cs="Arial"/>
                <w:sz w:val="20"/>
                <w:szCs w:val="20"/>
                <w:lang w:val="sl-SI"/>
              </w:rPr>
            </w:pPr>
            <w:r w:rsidRPr="00FF207E">
              <w:rPr>
                <w:rFonts w:cs="Arial"/>
                <w:sz w:val="20"/>
                <w:szCs w:val="20"/>
                <w:lang w:val="sl-SI"/>
              </w:rPr>
              <w:t xml:space="preserve">MOPE, </w:t>
            </w:r>
            <w:r w:rsidR="0006530A" w:rsidRPr="00FF207E">
              <w:rPr>
                <w:rFonts w:cs="Arial"/>
                <w:sz w:val="20"/>
                <w:szCs w:val="20"/>
                <w:lang w:val="sl-SI"/>
              </w:rPr>
              <w:t xml:space="preserve">drugi </w:t>
            </w:r>
            <w:r w:rsidRPr="00FF207E">
              <w:rPr>
                <w:rFonts w:cs="Arial"/>
                <w:sz w:val="20"/>
                <w:szCs w:val="20"/>
                <w:lang w:val="sl-SI"/>
              </w:rPr>
              <w:t>deležniki na področju zmanjševanja energetske revščine</w:t>
            </w:r>
          </w:p>
        </w:tc>
      </w:tr>
      <w:tr w:rsidR="00A379E1" w:rsidRPr="00FF207E" w14:paraId="284E3AE8" w14:textId="77777777" w:rsidTr="00144521">
        <w:tc>
          <w:tcPr>
            <w:tcW w:w="990" w:type="dxa"/>
            <w:vMerge/>
            <w:tcBorders>
              <w:left w:val="nil"/>
              <w:bottom w:val="single" w:sz="4" w:space="0" w:color="548DD4" w:themeColor="text2" w:themeTint="99"/>
              <w:right w:val="single" w:sz="4" w:space="0" w:color="548DD4" w:themeColor="text2" w:themeTint="99"/>
            </w:tcBorders>
          </w:tcPr>
          <w:p w14:paraId="2E4B4D3C" w14:textId="77777777" w:rsidR="00A379E1" w:rsidRPr="00FF207E" w:rsidRDefault="00A379E1" w:rsidP="001E304B">
            <w:pPr>
              <w:spacing w:line="240" w:lineRule="atLeast"/>
              <w:jc w:val="both"/>
              <w:rPr>
                <w:rFonts w:cs="Arial"/>
                <w:sz w:val="20"/>
                <w:szCs w:val="20"/>
                <w:lang w:val="sl-SI"/>
              </w:rPr>
            </w:pPr>
          </w:p>
        </w:tc>
        <w:tc>
          <w:tcPr>
            <w:tcW w:w="2323"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19DEBB5C" w14:textId="77777777" w:rsidR="00A379E1" w:rsidRPr="00FF207E" w:rsidRDefault="00A379E1" w:rsidP="001E304B">
            <w:pPr>
              <w:spacing w:line="240" w:lineRule="atLeast"/>
              <w:jc w:val="both"/>
              <w:rPr>
                <w:rFonts w:cs="Arial"/>
                <w:sz w:val="20"/>
                <w:szCs w:val="20"/>
                <w:lang w:val="sl-SI"/>
              </w:rPr>
            </w:pPr>
            <w:r w:rsidRPr="00FF207E">
              <w:rPr>
                <w:rFonts w:cs="Arial"/>
                <w:sz w:val="20"/>
                <w:szCs w:val="20"/>
                <w:lang w:val="sl-SI"/>
              </w:rPr>
              <w:t>Rok izvedbe</w:t>
            </w:r>
          </w:p>
        </w:tc>
        <w:tc>
          <w:tcPr>
            <w:tcW w:w="5759"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10C6739E" w14:textId="5DADF014" w:rsidR="00A379E1" w:rsidRPr="00FF207E" w:rsidRDefault="000643AD" w:rsidP="001E304B">
            <w:pPr>
              <w:spacing w:line="240" w:lineRule="atLeast"/>
              <w:jc w:val="both"/>
              <w:rPr>
                <w:rFonts w:cs="Arial"/>
                <w:sz w:val="20"/>
                <w:szCs w:val="20"/>
                <w:lang w:val="sl-SI"/>
              </w:rPr>
            </w:pPr>
            <w:r w:rsidRPr="00FF207E">
              <w:rPr>
                <w:rFonts w:cs="Arial"/>
                <w:sz w:val="20"/>
                <w:szCs w:val="20"/>
                <w:lang w:val="sl-SI"/>
              </w:rPr>
              <w:t>2024</w:t>
            </w:r>
          </w:p>
        </w:tc>
      </w:tr>
    </w:tbl>
    <w:p w14:paraId="175A4835" w14:textId="3445C076" w:rsidR="00034DED" w:rsidRPr="00FF207E" w:rsidRDefault="008D67E3" w:rsidP="001E304B">
      <w:pPr>
        <w:pStyle w:val="Naslov3"/>
        <w:jc w:val="both"/>
        <w:rPr>
          <w:lang w:val="sl-SI"/>
        </w:rPr>
      </w:pPr>
      <w:bookmarkStart w:id="88" w:name="_Toc151148800"/>
      <w:r w:rsidRPr="00FF207E">
        <w:rPr>
          <w:lang w:val="sl-SI"/>
        </w:rPr>
        <w:t xml:space="preserve">Vodenje </w:t>
      </w:r>
      <w:r w:rsidR="00D85553" w:rsidRPr="00FF207E">
        <w:rPr>
          <w:lang w:val="sl-SI"/>
        </w:rPr>
        <w:t xml:space="preserve">in </w:t>
      </w:r>
      <w:r w:rsidRPr="00FF207E">
        <w:rPr>
          <w:lang w:val="sl-SI"/>
        </w:rPr>
        <w:t xml:space="preserve">spremljanje izvajanja </w:t>
      </w:r>
      <w:r w:rsidR="00D85553" w:rsidRPr="00FF207E">
        <w:rPr>
          <w:lang w:val="sl-SI"/>
        </w:rPr>
        <w:t xml:space="preserve">ter </w:t>
      </w:r>
      <w:r w:rsidRPr="00FF207E">
        <w:rPr>
          <w:lang w:val="sl-SI"/>
        </w:rPr>
        <w:t>posodabljanje akcijskega načrta</w:t>
      </w:r>
      <w:bookmarkEnd w:id="88"/>
    </w:p>
    <w:tbl>
      <w:tblPr>
        <w:tblStyle w:val="Tabelamrea"/>
        <w:tblW w:w="0" w:type="auto"/>
        <w:tblLook w:val="04A0" w:firstRow="1" w:lastRow="0" w:firstColumn="1" w:lastColumn="0" w:noHBand="0" w:noVBand="1"/>
      </w:tblPr>
      <w:tblGrid>
        <w:gridCol w:w="567"/>
        <w:gridCol w:w="2405"/>
        <w:gridCol w:w="6090"/>
        <w:gridCol w:w="10"/>
      </w:tblGrid>
      <w:tr w:rsidR="00034DED" w:rsidRPr="00FF207E" w14:paraId="7BD43AAB" w14:textId="77777777" w:rsidTr="00C0783C">
        <w:trPr>
          <w:gridAfter w:val="1"/>
          <w:wAfter w:w="10" w:type="dxa"/>
        </w:trPr>
        <w:tc>
          <w:tcPr>
            <w:tcW w:w="2972" w:type="dxa"/>
            <w:gridSpan w:val="2"/>
            <w:tcBorders>
              <w:top w:val="nil"/>
              <w:left w:val="nil"/>
              <w:bottom w:val="nil"/>
              <w:right w:val="single" w:sz="4" w:space="0" w:color="548DD4" w:themeColor="text2" w:themeTint="99"/>
            </w:tcBorders>
            <w:shd w:val="clear" w:color="auto" w:fill="548DD4" w:themeFill="text2" w:themeFillTint="99"/>
            <w:vAlign w:val="center"/>
          </w:tcPr>
          <w:p w14:paraId="40C8FEAD" w14:textId="77777777" w:rsidR="00034DED" w:rsidRPr="00FF207E" w:rsidRDefault="00034DED" w:rsidP="001E304B">
            <w:pPr>
              <w:spacing w:line="240" w:lineRule="atLeast"/>
              <w:jc w:val="both"/>
              <w:rPr>
                <w:rFonts w:cs="Arial"/>
                <w:b/>
                <w:color w:val="FFFFFF" w:themeColor="background1"/>
                <w:lang w:val="sl-SI"/>
              </w:rPr>
            </w:pPr>
            <w:r w:rsidRPr="00FF207E">
              <w:rPr>
                <w:rFonts w:cs="Arial"/>
                <w:b/>
                <w:color w:val="FFFFFF" w:themeColor="background1"/>
                <w:lang w:val="sl-SI"/>
              </w:rPr>
              <w:t>ER_NeFin-02</w:t>
            </w:r>
          </w:p>
        </w:tc>
        <w:tc>
          <w:tcPr>
            <w:tcW w:w="6090" w:type="dxa"/>
            <w:tcBorders>
              <w:top w:val="nil"/>
              <w:left w:val="single" w:sz="4" w:space="0" w:color="548DD4" w:themeColor="text2" w:themeTint="99"/>
              <w:bottom w:val="nil"/>
              <w:right w:val="nil"/>
            </w:tcBorders>
            <w:shd w:val="clear" w:color="auto" w:fill="548DD4" w:themeFill="text2" w:themeFillTint="99"/>
          </w:tcPr>
          <w:p w14:paraId="79DF051E" w14:textId="74853E28" w:rsidR="00034DED" w:rsidRPr="00FF207E" w:rsidRDefault="008D67E3" w:rsidP="00D85553">
            <w:pPr>
              <w:pStyle w:val="Naslov5"/>
              <w:spacing w:line="260" w:lineRule="atLeast"/>
              <w:jc w:val="both"/>
              <w:rPr>
                <w:spacing w:val="-2"/>
              </w:rPr>
            </w:pPr>
            <w:bookmarkStart w:id="89" w:name="_Akcijski_načrt_za"/>
            <w:bookmarkStart w:id="90" w:name="_Vodenje_izvajanja,_spremljanje"/>
            <w:bookmarkEnd w:id="89"/>
            <w:bookmarkEnd w:id="90"/>
            <w:r w:rsidRPr="00FF207E">
              <w:t xml:space="preserve">Vodenje </w:t>
            </w:r>
            <w:r w:rsidR="00D85553" w:rsidRPr="00FF207E">
              <w:t xml:space="preserve">in </w:t>
            </w:r>
            <w:r w:rsidRPr="00FF207E">
              <w:t xml:space="preserve">spremljanje izvajanja </w:t>
            </w:r>
            <w:r w:rsidR="00D85553" w:rsidRPr="00FF207E">
              <w:t xml:space="preserve">ter </w:t>
            </w:r>
            <w:r w:rsidRPr="00FF207E">
              <w:t>posodabljanje akcijskega načrta</w:t>
            </w:r>
          </w:p>
        </w:tc>
      </w:tr>
      <w:tr w:rsidR="00034DED" w:rsidRPr="00FF207E" w14:paraId="1C5CCBE1" w14:textId="77777777" w:rsidTr="00C0783C">
        <w:trPr>
          <w:gridAfter w:val="1"/>
          <w:wAfter w:w="10" w:type="dxa"/>
        </w:trPr>
        <w:tc>
          <w:tcPr>
            <w:tcW w:w="2972" w:type="dxa"/>
            <w:gridSpan w:val="2"/>
            <w:tcBorders>
              <w:top w:val="nil"/>
              <w:left w:val="nil"/>
              <w:bottom w:val="single" w:sz="4" w:space="0" w:color="548DD4" w:themeColor="text2" w:themeTint="99"/>
              <w:right w:val="single" w:sz="4" w:space="0" w:color="548DD4" w:themeColor="text2" w:themeTint="99"/>
            </w:tcBorders>
          </w:tcPr>
          <w:p w14:paraId="17DBAC2F" w14:textId="77777777" w:rsidR="00034DED" w:rsidRPr="00FF207E" w:rsidRDefault="00034DED" w:rsidP="001E304B">
            <w:pPr>
              <w:spacing w:line="240" w:lineRule="atLeast"/>
              <w:jc w:val="both"/>
              <w:rPr>
                <w:rFonts w:cs="Arial"/>
                <w:spacing w:val="-4"/>
                <w:sz w:val="20"/>
                <w:szCs w:val="20"/>
                <w:lang w:val="sl-SI"/>
              </w:rPr>
            </w:pPr>
            <w:r w:rsidRPr="00FF207E">
              <w:rPr>
                <w:rFonts w:cs="Arial"/>
                <w:spacing w:val="-4"/>
                <w:sz w:val="20"/>
                <w:szCs w:val="20"/>
                <w:lang w:val="sl-SI"/>
              </w:rPr>
              <w:t>Odgovornost za izvedbo ukrepa</w:t>
            </w:r>
          </w:p>
        </w:tc>
        <w:tc>
          <w:tcPr>
            <w:tcW w:w="6090" w:type="dxa"/>
            <w:tcBorders>
              <w:top w:val="nil"/>
              <w:left w:val="single" w:sz="4" w:space="0" w:color="548DD4" w:themeColor="text2" w:themeTint="99"/>
              <w:bottom w:val="single" w:sz="4" w:space="0" w:color="548DD4" w:themeColor="text2" w:themeTint="99"/>
              <w:right w:val="nil"/>
            </w:tcBorders>
          </w:tcPr>
          <w:p w14:paraId="61693681" w14:textId="2AD165DD" w:rsidR="00034DED" w:rsidRPr="00FF207E" w:rsidRDefault="00C0783C" w:rsidP="001E304B">
            <w:pPr>
              <w:spacing w:line="240" w:lineRule="atLeast"/>
              <w:jc w:val="both"/>
              <w:rPr>
                <w:rFonts w:cs="Arial"/>
                <w:sz w:val="20"/>
                <w:szCs w:val="20"/>
                <w:lang w:val="sl-SI"/>
              </w:rPr>
            </w:pPr>
            <w:r w:rsidRPr="00FF207E">
              <w:rPr>
                <w:rFonts w:cs="Arial"/>
                <w:sz w:val="20"/>
                <w:szCs w:val="20"/>
                <w:lang w:val="sl-SI"/>
              </w:rPr>
              <w:t>MOPE</w:t>
            </w:r>
          </w:p>
        </w:tc>
      </w:tr>
      <w:tr w:rsidR="00034DED" w:rsidRPr="00FF207E" w14:paraId="67FE68E2" w14:textId="77777777" w:rsidTr="00C0783C">
        <w:trPr>
          <w:gridAfter w:val="1"/>
          <w:wAfter w:w="10" w:type="dxa"/>
        </w:trPr>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F06487D" w14:textId="77777777" w:rsidR="00034DED" w:rsidRPr="00FF207E" w:rsidRDefault="00034DED" w:rsidP="001E304B">
            <w:pPr>
              <w:spacing w:line="240" w:lineRule="atLeast"/>
              <w:jc w:val="both"/>
              <w:rPr>
                <w:rFonts w:cs="Arial"/>
                <w:sz w:val="20"/>
                <w:szCs w:val="20"/>
                <w:lang w:val="sl-SI"/>
              </w:rPr>
            </w:pPr>
            <w:r w:rsidRPr="00FF207E">
              <w:rPr>
                <w:rFonts w:cs="Arial"/>
                <w:sz w:val="20"/>
                <w:szCs w:val="20"/>
                <w:lang w:val="sl-SI"/>
              </w:rPr>
              <w:lastRenderedPageBreak/>
              <w:t>Vključeni deležniki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1F179D68" w14:textId="36AE6770" w:rsidR="00034DED" w:rsidRPr="00FF207E" w:rsidRDefault="00034DED" w:rsidP="0006530A">
            <w:pPr>
              <w:spacing w:line="240" w:lineRule="atLeast"/>
              <w:jc w:val="both"/>
              <w:rPr>
                <w:rFonts w:cs="Arial"/>
                <w:sz w:val="20"/>
                <w:szCs w:val="20"/>
                <w:lang w:val="sl-SI"/>
              </w:rPr>
            </w:pPr>
            <w:r w:rsidRPr="00FF207E">
              <w:rPr>
                <w:rFonts w:cs="Arial"/>
                <w:sz w:val="20"/>
                <w:szCs w:val="20"/>
                <w:lang w:val="sl-SI"/>
              </w:rPr>
              <w:t xml:space="preserve">MDDSZ, </w:t>
            </w:r>
            <w:proofErr w:type="spellStart"/>
            <w:r w:rsidRPr="00FF207E">
              <w:rPr>
                <w:rFonts w:cs="Arial"/>
                <w:sz w:val="20"/>
                <w:szCs w:val="20"/>
                <w:lang w:val="sl-SI"/>
              </w:rPr>
              <w:t>Eko</w:t>
            </w:r>
            <w:proofErr w:type="spellEnd"/>
            <w:r w:rsidRPr="00FF207E">
              <w:rPr>
                <w:rFonts w:cs="Arial"/>
                <w:sz w:val="20"/>
                <w:szCs w:val="20"/>
                <w:lang w:val="sl-SI"/>
              </w:rPr>
              <w:t xml:space="preserve"> sklad</w:t>
            </w:r>
            <w:r w:rsidR="00E66DF6" w:rsidRPr="00FF207E">
              <w:rPr>
                <w:rFonts w:cs="Arial"/>
                <w:sz w:val="20"/>
                <w:szCs w:val="20"/>
                <w:lang w:val="sl-SI"/>
              </w:rPr>
              <w:t xml:space="preserve">, </w:t>
            </w:r>
            <w:r w:rsidR="0006530A" w:rsidRPr="00FF207E">
              <w:rPr>
                <w:rFonts w:cs="Arial"/>
                <w:sz w:val="20"/>
                <w:szCs w:val="20"/>
                <w:lang w:val="sl-SI"/>
              </w:rPr>
              <w:t xml:space="preserve">drugi </w:t>
            </w:r>
            <w:r w:rsidR="00E66DF6" w:rsidRPr="00FF207E">
              <w:rPr>
                <w:rFonts w:cs="Arial"/>
                <w:sz w:val="20"/>
                <w:szCs w:val="20"/>
                <w:lang w:val="sl-SI"/>
              </w:rPr>
              <w:t>deležniki</w:t>
            </w:r>
          </w:p>
        </w:tc>
      </w:tr>
      <w:tr w:rsidR="00034DED" w:rsidRPr="00FF207E" w14:paraId="56D50420" w14:textId="77777777" w:rsidTr="00C0783C">
        <w:trPr>
          <w:gridAfter w:val="1"/>
          <w:wAfter w:w="10" w:type="dxa"/>
        </w:trPr>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60A9898" w14:textId="77777777" w:rsidR="00034DED" w:rsidRPr="00FF207E" w:rsidRDefault="00034DED" w:rsidP="001E304B">
            <w:pPr>
              <w:spacing w:line="240" w:lineRule="atLeast"/>
              <w:jc w:val="both"/>
              <w:rPr>
                <w:rFonts w:cs="Arial"/>
                <w:sz w:val="20"/>
                <w:szCs w:val="20"/>
                <w:lang w:val="sl-SI"/>
              </w:rPr>
            </w:pPr>
            <w:r w:rsidRPr="00FF207E">
              <w:rPr>
                <w:rFonts w:cs="Arial"/>
                <w:sz w:val="20"/>
                <w:szCs w:val="20"/>
                <w:lang w:val="sl-SI"/>
              </w:rPr>
              <w:t>Strateške podlage in njihova veljavnost</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7F8CC7AC" w14:textId="6391D53B" w:rsidR="00034DED" w:rsidRPr="00FF207E" w:rsidRDefault="00034DED" w:rsidP="001E304B">
            <w:pPr>
              <w:spacing w:line="240" w:lineRule="atLeast"/>
              <w:jc w:val="both"/>
              <w:rPr>
                <w:rFonts w:cs="Arial"/>
                <w:sz w:val="20"/>
                <w:szCs w:val="20"/>
                <w:lang w:val="sl-SI"/>
              </w:rPr>
            </w:pPr>
            <w:r w:rsidRPr="00FF207E">
              <w:rPr>
                <w:rFonts w:cs="Arial"/>
                <w:sz w:val="20"/>
                <w:szCs w:val="20"/>
                <w:lang w:val="sl-SI"/>
              </w:rPr>
              <w:t xml:space="preserve">DSEPS 2050, veljavnost do </w:t>
            </w:r>
            <w:r w:rsidR="00D85553" w:rsidRPr="00FF207E">
              <w:rPr>
                <w:rFonts w:cs="Arial"/>
                <w:sz w:val="20"/>
                <w:szCs w:val="20"/>
                <w:lang w:val="sl-SI"/>
              </w:rPr>
              <w:t xml:space="preserve">leta </w:t>
            </w:r>
            <w:r w:rsidRPr="00FF207E">
              <w:rPr>
                <w:rFonts w:cs="Arial"/>
                <w:sz w:val="20"/>
                <w:szCs w:val="20"/>
                <w:lang w:val="sl-SI"/>
              </w:rPr>
              <w:t xml:space="preserve">2030 (ukrep </w:t>
            </w:r>
            <w:r w:rsidRPr="00FF207E">
              <w:rPr>
                <w:rFonts w:cs="Arial"/>
                <w:i/>
                <w:sz w:val="20"/>
                <w:szCs w:val="20"/>
                <w:lang w:val="sl-SI"/>
              </w:rPr>
              <w:t>ER-3</w:t>
            </w:r>
            <w:r w:rsidRPr="00FF207E">
              <w:rPr>
                <w:rFonts w:cs="Arial"/>
                <w:sz w:val="20"/>
                <w:szCs w:val="20"/>
                <w:lang w:val="sl-SI"/>
              </w:rPr>
              <w:t>)</w:t>
            </w:r>
            <w:r w:rsidR="00E66DF6" w:rsidRPr="00FF207E">
              <w:rPr>
                <w:rFonts w:cs="Arial"/>
                <w:sz w:val="20"/>
                <w:szCs w:val="20"/>
                <w:lang w:val="sl-SI"/>
              </w:rPr>
              <w:br/>
            </w:r>
            <w:r w:rsidR="00E66DF6" w:rsidRPr="00FF207E">
              <w:rPr>
                <w:rFonts w:cs="Arial"/>
                <w:i/>
                <w:sz w:val="20"/>
                <w:szCs w:val="20"/>
                <w:lang w:val="sl-SI"/>
              </w:rPr>
              <w:t>Uredba o merilih za opredelitev in ocenjevanje števila energetsko revnih gospodinjstev</w:t>
            </w:r>
            <w:r w:rsidR="00E66DF6" w:rsidRPr="00FF207E">
              <w:rPr>
                <w:rFonts w:cs="Arial"/>
                <w:sz w:val="20"/>
                <w:szCs w:val="20"/>
                <w:lang w:val="sl-SI"/>
              </w:rPr>
              <w:t xml:space="preserve"> (Ur</w:t>
            </w:r>
            <w:r w:rsidR="00943875" w:rsidRPr="00FF207E">
              <w:rPr>
                <w:rFonts w:cs="Arial"/>
                <w:sz w:val="20"/>
                <w:szCs w:val="20"/>
                <w:lang w:val="sl-SI"/>
              </w:rPr>
              <w:t>adni</w:t>
            </w:r>
            <w:r w:rsidR="00E66DF6" w:rsidRPr="00FF207E">
              <w:rPr>
                <w:rFonts w:cs="Arial"/>
                <w:sz w:val="20"/>
                <w:szCs w:val="20"/>
                <w:lang w:val="sl-SI"/>
              </w:rPr>
              <w:t xml:space="preserve"> l</w:t>
            </w:r>
            <w:r w:rsidR="00943875" w:rsidRPr="00FF207E">
              <w:rPr>
                <w:rFonts w:cs="Arial"/>
                <w:sz w:val="20"/>
                <w:szCs w:val="20"/>
                <w:lang w:val="sl-SI"/>
              </w:rPr>
              <w:t>ist</w:t>
            </w:r>
            <w:r w:rsidR="00E66DF6" w:rsidRPr="00FF207E">
              <w:rPr>
                <w:rFonts w:cs="Arial"/>
                <w:sz w:val="20"/>
                <w:szCs w:val="20"/>
                <w:lang w:val="sl-SI"/>
              </w:rPr>
              <w:t xml:space="preserve"> RS, št. 132/22), 5. člen, (2) odstavek</w:t>
            </w:r>
          </w:p>
        </w:tc>
      </w:tr>
      <w:tr w:rsidR="00034DED" w:rsidRPr="00FF207E" w14:paraId="59D0331E" w14:textId="77777777" w:rsidTr="00C0783C">
        <w:trPr>
          <w:gridAfter w:val="1"/>
          <w:wAfter w:w="10" w:type="dxa"/>
        </w:trPr>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450C162B" w14:textId="77777777" w:rsidR="00034DED" w:rsidRPr="00FF207E" w:rsidRDefault="00034DED" w:rsidP="001E304B">
            <w:pPr>
              <w:spacing w:line="240" w:lineRule="atLeast"/>
              <w:jc w:val="both"/>
              <w:rPr>
                <w:rFonts w:cs="Arial"/>
                <w:sz w:val="20"/>
                <w:szCs w:val="20"/>
                <w:lang w:val="sl-SI"/>
              </w:rPr>
            </w:pPr>
            <w:r w:rsidRPr="00FF207E">
              <w:rPr>
                <w:rFonts w:cs="Arial"/>
                <w:sz w:val="20"/>
                <w:szCs w:val="20"/>
                <w:lang w:val="sl-SI"/>
              </w:rPr>
              <w:t>Veljavnost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7BBB4197" w14:textId="77777777" w:rsidR="00034DED" w:rsidRPr="00FF207E" w:rsidRDefault="00034DED" w:rsidP="001E304B">
            <w:pPr>
              <w:spacing w:line="240" w:lineRule="atLeast"/>
              <w:jc w:val="both"/>
              <w:rPr>
                <w:rFonts w:cs="Arial"/>
                <w:sz w:val="20"/>
                <w:szCs w:val="20"/>
                <w:lang w:val="sl-SI"/>
              </w:rPr>
            </w:pPr>
            <w:r w:rsidRPr="00FF207E">
              <w:rPr>
                <w:rFonts w:cs="Arial"/>
                <w:sz w:val="20"/>
                <w:szCs w:val="20"/>
                <w:lang w:val="sl-SI"/>
              </w:rPr>
              <w:t>2030</w:t>
            </w:r>
          </w:p>
        </w:tc>
      </w:tr>
      <w:tr w:rsidR="00034DED" w:rsidRPr="00FF207E" w14:paraId="2ED7D62E" w14:textId="77777777" w:rsidTr="00C0783C">
        <w:trPr>
          <w:gridAfter w:val="1"/>
          <w:wAfter w:w="10" w:type="dxa"/>
        </w:trPr>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345EA14" w14:textId="77777777" w:rsidR="00034DED" w:rsidRPr="00FF207E" w:rsidRDefault="00034DED" w:rsidP="001E304B">
            <w:pPr>
              <w:spacing w:line="240" w:lineRule="atLeast"/>
              <w:jc w:val="both"/>
              <w:rPr>
                <w:rFonts w:cs="Arial"/>
                <w:sz w:val="20"/>
                <w:szCs w:val="20"/>
                <w:lang w:val="sl-SI"/>
              </w:rPr>
            </w:pPr>
            <w:r w:rsidRPr="00FF207E">
              <w:rPr>
                <w:rFonts w:cs="Arial"/>
                <w:sz w:val="20"/>
                <w:szCs w:val="20"/>
                <w:lang w:val="sl-SI"/>
              </w:rPr>
              <w:t>Vrsta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C31D57C" w14:textId="77777777" w:rsidR="00034DED" w:rsidRPr="00FF207E" w:rsidRDefault="00034DED" w:rsidP="001E304B">
            <w:pPr>
              <w:spacing w:line="240" w:lineRule="atLeast"/>
              <w:jc w:val="both"/>
              <w:rPr>
                <w:rFonts w:cs="Arial"/>
                <w:sz w:val="20"/>
                <w:szCs w:val="20"/>
                <w:lang w:val="sl-SI"/>
              </w:rPr>
            </w:pPr>
            <w:r w:rsidRPr="00FF207E">
              <w:rPr>
                <w:rFonts w:cs="Arial"/>
                <w:sz w:val="20"/>
                <w:szCs w:val="20"/>
                <w:lang w:val="sl-SI"/>
              </w:rPr>
              <w:t>predpis</w:t>
            </w:r>
          </w:p>
        </w:tc>
      </w:tr>
      <w:tr w:rsidR="00034DED" w:rsidRPr="00FF207E" w14:paraId="6BF0F410" w14:textId="77777777" w:rsidTr="00C0783C">
        <w:trPr>
          <w:gridAfter w:val="1"/>
          <w:wAfter w:w="10" w:type="dxa"/>
        </w:trPr>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9407E46" w14:textId="77777777" w:rsidR="00034DED" w:rsidRPr="00FF207E" w:rsidRDefault="00034DED" w:rsidP="001E304B">
            <w:pPr>
              <w:spacing w:line="240" w:lineRule="atLeast"/>
              <w:jc w:val="both"/>
              <w:rPr>
                <w:rFonts w:cs="Arial"/>
                <w:sz w:val="20"/>
                <w:szCs w:val="20"/>
                <w:lang w:val="sl-SI"/>
              </w:rPr>
            </w:pPr>
            <w:r w:rsidRPr="00FF207E">
              <w:rPr>
                <w:rFonts w:cs="Arial"/>
                <w:sz w:val="20"/>
                <w:szCs w:val="20"/>
                <w:lang w:val="sl-SI"/>
              </w:rPr>
              <w:t>Pričakovani učinki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A391BEC" w14:textId="6CAE33FD" w:rsidR="00034DED" w:rsidRPr="00FF207E" w:rsidRDefault="005F5F18" w:rsidP="001E304B">
            <w:pPr>
              <w:spacing w:line="240" w:lineRule="atLeast"/>
              <w:jc w:val="both"/>
              <w:rPr>
                <w:rFonts w:cs="Arial"/>
                <w:sz w:val="20"/>
                <w:szCs w:val="20"/>
                <w:lang w:val="sl-SI"/>
              </w:rPr>
            </w:pPr>
            <w:r w:rsidRPr="00FF207E">
              <w:rPr>
                <w:rFonts w:cs="Arial"/>
                <w:sz w:val="20"/>
                <w:szCs w:val="20"/>
                <w:lang w:val="sl-SI"/>
              </w:rPr>
              <w:t>r</w:t>
            </w:r>
            <w:r w:rsidR="00E66DF6" w:rsidRPr="00FF207E">
              <w:rPr>
                <w:rFonts w:cs="Arial"/>
                <w:sz w:val="20"/>
                <w:szCs w:val="20"/>
                <w:lang w:val="sl-SI"/>
              </w:rPr>
              <w:t xml:space="preserve">edna priprava akcijskega načrta </w:t>
            </w:r>
            <w:r w:rsidR="009755FB" w:rsidRPr="00FF207E">
              <w:rPr>
                <w:rFonts w:cs="Arial"/>
                <w:sz w:val="20"/>
                <w:szCs w:val="20"/>
                <w:lang w:val="sl-SI"/>
              </w:rPr>
              <w:t xml:space="preserve">kot </w:t>
            </w:r>
            <w:r w:rsidR="00034DED" w:rsidRPr="00FF207E">
              <w:rPr>
                <w:rFonts w:cs="Arial"/>
                <w:sz w:val="20"/>
                <w:szCs w:val="20"/>
                <w:lang w:val="sl-SI"/>
              </w:rPr>
              <w:t>izvedben</w:t>
            </w:r>
            <w:r w:rsidR="009755FB" w:rsidRPr="00FF207E">
              <w:rPr>
                <w:rFonts w:cs="Arial"/>
                <w:sz w:val="20"/>
                <w:szCs w:val="20"/>
                <w:lang w:val="sl-SI"/>
              </w:rPr>
              <w:t>ega</w:t>
            </w:r>
            <w:r w:rsidR="00034DED" w:rsidRPr="00FF207E">
              <w:rPr>
                <w:rFonts w:cs="Arial"/>
                <w:sz w:val="20"/>
                <w:szCs w:val="20"/>
                <w:lang w:val="sl-SI"/>
              </w:rPr>
              <w:t>, operativn</w:t>
            </w:r>
            <w:r w:rsidR="009755FB" w:rsidRPr="00FF207E">
              <w:rPr>
                <w:rFonts w:cs="Arial"/>
                <w:sz w:val="20"/>
                <w:szCs w:val="20"/>
                <w:lang w:val="sl-SI"/>
              </w:rPr>
              <w:t xml:space="preserve">ega </w:t>
            </w:r>
            <w:r w:rsidR="00034DED" w:rsidRPr="00FF207E">
              <w:rPr>
                <w:rFonts w:cs="Arial"/>
                <w:sz w:val="20"/>
                <w:szCs w:val="20"/>
                <w:lang w:val="sl-SI"/>
              </w:rPr>
              <w:t>načrt</w:t>
            </w:r>
            <w:r w:rsidR="009755FB" w:rsidRPr="00FF207E">
              <w:rPr>
                <w:rFonts w:cs="Arial"/>
                <w:sz w:val="20"/>
                <w:szCs w:val="20"/>
                <w:lang w:val="sl-SI"/>
              </w:rPr>
              <w:t>a</w:t>
            </w:r>
            <w:r w:rsidR="00034DED" w:rsidRPr="00FF207E">
              <w:rPr>
                <w:rFonts w:cs="Arial"/>
                <w:sz w:val="20"/>
                <w:szCs w:val="20"/>
                <w:lang w:val="sl-SI"/>
              </w:rPr>
              <w:t xml:space="preserve"> za </w:t>
            </w:r>
            <w:r w:rsidR="009755FB" w:rsidRPr="00FF207E">
              <w:rPr>
                <w:rFonts w:cs="Arial"/>
                <w:sz w:val="20"/>
                <w:szCs w:val="20"/>
                <w:lang w:val="sl-SI"/>
              </w:rPr>
              <w:t xml:space="preserve">zmanjševanje </w:t>
            </w:r>
            <w:r w:rsidR="00034DED" w:rsidRPr="00FF207E">
              <w:rPr>
                <w:rFonts w:cs="Arial"/>
                <w:sz w:val="20"/>
                <w:szCs w:val="20"/>
                <w:lang w:val="sl-SI"/>
              </w:rPr>
              <w:t>energetsk</w:t>
            </w:r>
            <w:r w:rsidR="009755FB" w:rsidRPr="00FF207E">
              <w:rPr>
                <w:rFonts w:cs="Arial"/>
                <w:sz w:val="20"/>
                <w:szCs w:val="20"/>
                <w:lang w:val="sl-SI"/>
              </w:rPr>
              <w:t>e</w:t>
            </w:r>
            <w:r w:rsidR="00034DED" w:rsidRPr="00FF207E">
              <w:rPr>
                <w:rFonts w:cs="Arial"/>
                <w:sz w:val="20"/>
                <w:szCs w:val="20"/>
                <w:lang w:val="sl-SI"/>
              </w:rPr>
              <w:t xml:space="preserve"> revščin</w:t>
            </w:r>
            <w:r w:rsidR="009755FB" w:rsidRPr="00FF207E">
              <w:rPr>
                <w:rFonts w:cs="Arial"/>
                <w:sz w:val="20"/>
                <w:szCs w:val="20"/>
                <w:lang w:val="sl-SI"/>
              </w:rPr>
              <w:t xml:space="preserve">e, njegovo izvajanje </w:t>
            </w:r>
            <w:r w:rsidR="0014423F" w:rsidRPr="00FF207E">
              <w:rPr>
                <w:rFonts w:cs="Arial"/>
                <w:sz w:val="20"/>
                <w:szCs w:val="20"/>
                <w:lang w:val="sl-SI"/>
              </w:rPr>
              <w:t>ter spremljanje</w:t>
            </w:r>
            <w:r w:rsidR="00675AB2" w:rsidRPr="00FF207E">
              <w:rPr>
                <w:rFonts w:cs="Arial"/>
                <w:sz w:val="20"/>
                <w:szCs w:val="20"/>
                <w:lang w:val="sl-SI"/>
              </w:rPr>
              <w:t>, vrednotenje</w:t>
            </w:r>
            <w:r w:rsidR="0014423F" w:rsidRPr="00FF207E">
              <w:rPr>
                <w:rFonts w:cs="Arial"/>
                <w:sz w:val="20"/>
                <w:szCs w:val="20"/>
                <w:lang w:val="sl-SI"/>
              </w:rPr>
              <w:t xml:space="preserve"> in poročanje o njegovem izvajanju</w:t>
            </w:r>
          </w:p>
        </w:tc>
      </w:tr>
      <w:tr w:rsidR="00034DED" w:rsidRPr="00FF207E" w14:paraId="5F8FB242" w14:textId="77777777" w:rsidTr="00C0783C">
        <w:trPr>
          <w:gridAfter w:val="1"/>
          <w:wAfter w:w="10" w:type="dxa"/>
        </w:trPr>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15D00705" w14:textId="77777777" w:rsidR="00034DED" w:rsidRPr="00FF207E" w:rsidRDefault="00034DED" w:rsidP="001E304B">
            <w:pPr>
              <w:spacing w:line="240" w:lineRule="atLeast"/>
              <w:jc w:val="both"/>
              <w:rPr>
                <w:rFonts w:cs="Arial"/>
                <w:sz w:val="20"/>
                <w:szCs w:val="20"/>
                <w:lang w:val="sl-SI"/>
              </w:rPr>
            </w:pPr>
            <w:r w:rsidRPr="00FF207E">
              <w:rPr>
                <w:rFonts w:cs="Arial"/>
                <w:sz w:val="20"/>
                <w:szCs w:val="20"/>
                <w:lang w:val="sl-SI"/>
              </w:rPr>
              <w:t>Status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8AA125F" w14:textId="17B1424A" w:rsidR="00034DED" w:rsidRPr="00FF207E" w:rsidRDefault="00736A5E" w:rsidP="00B039F0">
            <w:pPr>
              <w:spacing w:line="240" w:lineRule="atLeast"/>
              <w:jc w:val="both"/>
              <w:rPr>
                <w:rFonts w:cs="Arial"/>
                <w:sz w:val="20"/>
                <w:szCs w:val="20"/>
                <w:lang w:val="sl-SI"/>
              </w:rPr>
            </w:pPr>
            <w:r w:rsidRPr="00FF207E">
              <w:rPr>
                <w:rFonts w:cs="Arial"/>
                <w:sz w:val="20"/>
                <w:szCs w:val="20"/>
                <w:lang w:val="sl-SI"/>
              </w:rPr>
              <w:t xml:space="preserve">Veljaven </w:t>
            </w:r>
            <w:r w:rsidR="00034DED" w:rsidRPr="00FF207E">
              <w:rPr>
                <w:rFonts w:cs="Arial"/>
                <w:sz w:val="20"/>
                <w:szCs w:val="20"/>
                <w:lang w:val="sl-SI"/>
              </w:rPr>
              <w:t xml:space="preserve">ukrep z nadgradnjo. </w:t>
            </w:r>
            <w:r w:rsidR="00E66DF6" w:rsidRPr="00FF207E">
              <w:rPr>
                <w:rFonts w:cs="Arial"/>
                <w:sz w:val="20"/>
                <w:szCs w:val="20"/>
                <w:lang w:val="sl-SI"/>
              </w:rPr>
              <w:t xml:space="preserve">Priprava in sprejetje </w:t>
            </w:r>
            <w:r w:rsidR="0014423F" w:rsidRPr="00FF207E">
              <w:rPr>
                <w:rFonts w:cs="Arial"/>
                <w:sz w:val="20"/>
                <w:szCs w:val="20"/>
                <w:lang w:val="sl-SI"/>
              </w:rPr>
              <w:t xml:space="preserve">prvega </w:t>
            </w:r>
            <w:r w:rsidR="00034DED" w:rsidRPr="00FF207E">
              <w:rPr>
                <w:rFonts w:cs="Arial"/>
                <w:sz w:val="20"/>
                <w:szCs w:val="20"/>
                <w:lang w:val="sl-SI"/>
              </w:rPr>
              <w:t>akcijsk</w:t>
            </w:r>
            <w:r w:rsidR="00E66DF6" w:rsidRPr="00FF207E">
              <w:rPr>
                <w:rFonts w:cs="Arial"/>
                <w:sz w:val="20"/>
                <w:szCs w:val="20"/>
                <w:lang w:val="sl-SI"/>
              </w:rPr>
              <w:t>ega</w:t>
            </w:r>
            <w:r w:rsidR="00034DED" w:rsidRPr="00FF207E">
              <w:rPr>
                <w:rFonts w:cs="Arial"/>
                <w:sz w:val="20"/>
                <w:szCs w:val="20"/>
                <w:lang w:val="sl-SI"/>
              </w:rPr>
              <w:t xml:space="preserve"> načrt</w:t>
            </w:r>
            <w:r w:rsidR="00E66DF6" w:rsidRPr="00FF207E">
              <w:rPr>
                <w:rFonts w:cs="Arial"/>
                <w:sz w:val="20"/>
                <w:szCs w:val="20"/>
                <w:lang w:val="sl-SI"/>
              </w:rPr>
              <w:t>a</w:t>
            </w:r>
            <w:r w:rsidR="00034DED" w:rsidRPr="00FF207E">
              <w:rPr>
                <w:rFonts w:cs="Arial"/>
                <w:sz w:val="20"/>
                <w:szCs w:val="20"/>
                <w:lang w:val="sl-SI"/>
              </w:rPr>
              <w:t xml:space="preserve"> boja proti energetski revščini v Sloveniji</w:t>
            </w:r>
            <w:r w:rsidR="0014423F" w:rsidRPr="00FF207E">
              <w:rPr>
                <w:rFonts w:cs="Arial"/>
                <w:sz w:val="20"/>
                <w:szCs w:val="20"/>
                <w:lang w:val="sl-SI"/>
              </w:rPr>
              <w:t xml:space="preserve"> sta opredeljena v DSEPS 2050</w:t>
            </w:r>
            <w:r w:rsidR="00E34B2F" w:rsidRPr="00FF207E">
              <w:rPr>
                <w:rFonts w:cs="Arial"/>
                <w:sz w:val="20"/>
                <w:szCs w:val="20"/>
                <w:lang w:val="sl-SI"/>
              </w:rPr>
              <w:t xml:space="preserve">. V skladu z </w:t>
            </w:r>
            <w:r w:rsidR="00B039F0" w:rsidRPr="00FF207E">
              <w:rPr>
                <w:rFonts w:cs="Arial"/>
                <w:sz w:val="20"/>
                <w:szCs w:val="20"/>
                <w:lang w:val="sl-SI"/>
              </w:rPr>
              <w:t>u</w:t>
            </w:r>
            <w:r w:rsidR="00E34B2F" w:rsidRPr="00FF207E">
              <w:rPr>
                <w:rFonts w:cs="Arial"/>
                <w:sz w:val="20"/>
                <w:szCs w:val="20"/>
                <w:lang w:val="sl-SI"/>
              </w:rPr>
              <w:t xml:space="preserve">redbo </w:t>
            </w:r>
            <w:r w:rsidR="00C03429" w:rsidRPr="00FF207E">
              <w:rPr>
                <w:rFonts w:cs="Arial"/>
                <w:sz w:val="20"/>
                <w:szCs w:val="20"/>
                <w:lang w:val="sl-SI"/>
              </w:rPr>
              <w:t xml:space="preserve">bi </w:t>
            </w:r>
            <w:r w:rsidR="00E34B2F" w:rsidRPr="00FF207E">
              <w:rPr>
                <w:rFonts w:cs="Arial"/>
                <w:sz w:val="20"/>
                <w:szCs w:val="20"/>
                <w:lang w:val="sl-SI"/>
              </w:rPr>
              <w:t>mora</w:t>
            </w:r>
            <w:r w:rsidR="00C03429" w:rsidRPr="00FF207E">
              <w:rPr>
                <w:rFonts w:cs="Arial"/>
                <w:sz w:val="20"/>
                <w:szCs w:val="20"/>
                <w:lang w:val="sl-SI"/>
              </w:rPr>
              <w:t>l</w:t>
            </w:r>
            <w:r w:rsidR="00E34B2F" w:rsidRPr="00FF207E">
              <w:rPr>
                <w:rFonts w:cs="Arial"/>
                <w:sz w:val="20"/>
                <w:szCs w:val="20"/>
                <w:lang w:val="sl-SI"/>
              </w:rPr>
              <w:t xml:space="preserve"> biti prvi triletni akcijski načrt pripravljen </w:t>
            </w:r>
            <w:r w:rsidR="008D61D4" w:rsidRPr="00FF207E">
              <w:rPr>
                <w:rFonts w:cs="Arial"/>
                <w:sz w:val="20"/>
                <w:szCs w:val="20"/>
                <w:lang w:val="sl-SI"/>
              </w:rPr>
              <w:t xml:space="preserve">najpozneje </w:t>
            </w:r>
            <w:r w:rsidR="00E34B2F" w:rsidRPr="00FF207E">
              <w:rPr>
                <w:rFonts w:cs="Arial"/>
                <w:sz w:val="20"/>
                <w:szCs w:val="20"/>
                <w:lang w:val="sl-SI"/>
              </w:rPr>
              <w:t>do 30. 6. 2023.</w:t>
            </w:r>
          </w:p>
        </w:tc>
      </w:tr>
      <w:tr w:rsidR="00845CA6" w:rsidRPr="00FF207E" w14:paraId="350F30E1" w14:textId="77777777" w:rsidTr="00845CA6">
        <w:tc>
          <w:tcPr>
            <w:tcW w:w="9072" w:type="dxa"/>
            <w:gridSpan w:val="4"/>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29E0EDCA" w14:textId="77777777" w:rsidR="00845CA6" w:rsidRPr="00FF207E" w:rsidRDefault="00845CA6" w:rsidP="001E304B">
            <w:pPr>
              <w:spacing w:before="60" w:after="60" w:line="240" w:lineRule="atLeast"/>
              <w:jc w:val="both"/>
              <w:rPr>
                <w:rFonts w:cs="Arial"/>
                <w:b/>
                <w:lang w:val="sl-SI"/>
              </w:rPr>
            </w:pPr>
            <w:r w:rsidRPr="00FF207E">
              <w:rPr>
                <w:rFonts w:cs="Arial"/>
                <w:b/>
                <w:lang w:val="sl-SI"/>
              </w:rPr>
              <w:t>Dolgoročna vsebina ukrepa</w:t>
            </w:r>
          </w:p>
        </w:tc>
      </w:tr>
      <w:tr w:rsidR="00845CA6" w:rsidRPr="00FF207E" w14:paraId="3BA95DAB" w14:textId="77777777" w:rsidTr="00880783">
        <w:tc>
          <w:tcPr>
            <w:tcW w:w="9072" w:type="dxa"/>
            <w:gridSpan w:val="4"/>
            <w:tcBorders>
              <w:top w:val="single" w:sz="4" w:space="0" w:color="548DD4" w:themeColor="text2" w:themeTint="99"/>
              <w:left w:val="nil"/>
              <w:bottom w:val="single" w:sz="4" w:space="0" w:color="548DD4" w:themeColor="text2" w:themeTint="99"/>
              <w:right w:val="nil"/>
            </w:tcBorders>
          </w:tcPr>
          <w:p w14:paraId="036DB213" w14:textId="77777777" w:rsidR="00845CA6" w:rsidRPr="00FF207E" w:rsidRDefault="00845CA6" w:rsidP="001E304B">
            <w:pPr>
              <w:spacing w:line="240" w:lineRule="atLeast"/>
              <w:jc w:val="both"/>
              <w:rPr>
                <w:rFonts w:cs="Arial"/>
                <w:sz w:val="20"/>
                <w:szCs w:val="20"/>
                <w:lang w:val="sl-SI"/>
              </w:rPr>
            </w:pPr>
            <w:r w:rsidRPr="00FF207E">
              <w:rPr>
                <w:rFonts w:cs="Arial"/>
                <w:sz w:val="20"/>
                <w:szCs w:val="20"/>
                <w:lang w:val="sl-SI"/>
              </w:rPr>
              <w:t>V okviru ukrepa je treba dolgoročno:</w:t>
            </w:r>
          </w:p>
          <w:p w14:paraId="08EAA055" w14:textId="77777777" w:rsidR="00845CA6" w:rsidRPr="00FF207E" w:rsidRDefault="00845CA6" w:rsidP="001E304B">
            <w:pPr>
              <w:pStyle w:val="Odstavekseznama"/>
              <w:numPr>
                <w:ilvl w:val="0"/>
                <w:numId w:val="22"/>
              </w:numPr>
              <w:spacing w:line="240" w:lineRule="atLeast"/>
              <w:ind w:left="357" w:hanging="357"/>
              <w:jc w:val="both"/>
              <w:rPr>
                <w:rFonts w:cs="Arial"/>
                <w:sz w:val="20"/>
                <w:szCs w:val="20"/>
                <w:lang w:val="sl-SI"/>
              </w:rPr>
            </w:pPr>
            <w:r w:rsidRPr="00FF207E">
              <w:rPr>
                <w:rFonts w:cs="Arial"/>
                <w:sz w:val="20"/>
                <w:szCs w:val="20"/>
                <w:lang w:val="sl-SI"/>
              </w:rPr>
              <w:t xml:space="preserve">zagotoviti, da se bo </w:t>
            </w:r>
            <w:r w:rsidRPr="00FF207E">
              <w:rPr>
                <w:rFonts w:cs="Arial"/>
                <w:b/>
                <w:sz w:val="20"/>
                <w:szCs w:val="20"/>
                <w:lang w:val="sl-SI"/>
              </w:rPr>
              <w:t>akcijski načrt</w:t>
            </w:r>
            <w:r w:rsidRPr="00FF207E">
              <w:rPr>
                <w:rFonts w:cs="Arial"/>
                <w:sz w:val="20"/>
                <w:szCs w:val="20"/>
                <w:lang w:val="sl-SI"/>
              </w:rPr>
              <w:t xml:space="preserve">, ki naj bi se pripravljal za triletna obdobja, </w:t>
            </w:r>
            <w:r w:rsidRPr="00FF207E">
              <w:rPr>
                <w:rFonts w:cs="Arial"/>
                <w:b/>
                <w:sz w:val="20"/>
                <w:szCs w:val="20"/>
                <w:lang w:val="sl-SI"/>
              </w:rPr>
              <w:t>redno in pravočasno posodabljal in nadgrajeval;</w:t>
            </w:r>
          </w:p>
          <w:p w14:paraId="741F0397" w14:textId="77777777" w:rsidR="00845CA6" w:rsidRPr="00FF207E" w:rsidRDefault="00845CA6" w:rsidP="001E304B">
            <w:pPr>
              <w:pStyle w:val="Odstavekseznama"/>
              <w:numPr>
                <w:ilvl w:val="0"/>
                <w:numId w:val="22"/>
              </w:numPr>
              <w:spacing w:line="240" w:lineRule="atLeast"/>
              <w:ind w:left="357" w:hanging="357"/>
              <w:jc w:val="both"/>
              <w:rPr>
                <w:rFonts w:cs="Arial"/>
                <w:sz w:val="20"/>
                <w:szCs w:val="20"/>
                <w:lang w:val="sl-SI"/>
              </w:rPr>
            </w:pPr>
            <w:r w:rsidRPr="00FF207E">
              <w:rPr>
                <w:rFonts w:cs="Arial"/>
                <w:sz w:val="20"/>
                <w:szCs w:val="20"/>
                <w:lang w:val="sl-SI"/>
              </w:rPr>
              <w:t xml:space="preserve">zagotoviti, da bo akcijski načrt izvedbeni dokument z vključenim </w:t>
            </w:r>
            <w:r w:rsidRPr="00FF207E">
              <w:rPr>
                <w:rFonts w:cs="Arial"/>
                <w:b/>
                <w:sz w:val="20"/>
                <w:szCs w:val="20"/>
                <w:lang w:val="sl-SI"/>
              </w:rPr>
              <w:t>načrtom financiranja ter organizacijskim in kadrovskim načrtom</w:t>
            </w:r>
            <w:r w:rsidRPr="00FF207E">
              <w:rPr>
                <w:rFonts w:cs="Arial"/>
                <w:sz w:val="20"/>
                <w:szCs w:val="20"/>
                <w:lang w:val="sl-SI"/>
              </w:rPr>
              <w:t xml:space="preserve"> za boj proti energetski revščini;</w:t>
            </w:r>
          </w:p>
          <w:p w14:paraId="225540F3" w14:textId="4319742A" w:rsidR="00845CA6" w:rsidRPr="00FF207E" w:rsidRDefault="00845CA6" w:rsidP="001E304B">
            <w:pPr>
              <w:pStyle w:val="Odstavekseznama"/>
              <w:numPr>
                <w:ilvl w:val="0"/>
                <w:numId w:val="22"/>
              </w:numPr>
              <w:spacing w:line="240" w:lineRule="atLeast"/>
              <w:ind w:left="357" w:hanging="357"/>
              <w:jc w:val="both"/>
              <w:rPr>
                <w:rFonts w:cs="Arial"/>
                <w:sz w:val="20"/>
                <w:szCs w:val="20"/>
                <w:lang w:val="sl-SI"/>
              </w:rPr>
            </w:pPr>
            <w:r w:rsidRPr="00FF207E">
              <w:rPr>
                <w:rFonts w:cs="Arial"/>
                <w:b/>
                <w:sz w:val="20"/>
                <w:szCs w:val="20"/>
                <w:lang w:val="sl-SI"/>
              </w:rPr>
              <w:t>redno spremljati in vrednotiti izvajanje akcijskega načrta</w:t>
            </w:r>
            <w:r w:rsidRPr="00FF207E">
              <w:rPr>
                <w:rFonts w:cs="Arial"/>
                <w:sz w:val="20"/>
                <w:szCs w:val="20"/>
                <w:lang w:val="sl-SI"/>
              </w:rPr>
              <w:t xml:space="preserve"> </w:t>
            </w:r>
            <w:r w:rsidR="00675AB2" w:rsidRPr="00FF207E">
              <w:rPr>
                <w:rFonts w:cs="Arial"/>
                <w:sz w:val="20"/>
                <w:szCs w:val="20"/>
                <w:lang w:val="sl-SI"/>
              </w:rPr>
              <w:t>ter</w:t>
            </w:r>
            <w:r w:rsidRPr="00FF207E">
              <w:rPr>
                <w:rFonts w:cs="Arial"/>
                <w:sz w:val="20"/>
                <w:szCs w:val="20"/>
                <w:lang w:val="sl-SI"/>
              </w:rPr>
              <w:t xml:space="preserve"> po potrebi </w:t>
            </w:r>
            <w:r w:rsidR="00F36399" w:rsidRPr="00FF207E">
              <w:rPr>
                <w:rFonts w:cs="Arial"/>
                <w:b/>
                <w:sz w:val="20"/>
                <w:szCs w:val="20"/>
                <w:lang w:val="sl-SI"/>
              </w:rPr>
              <w:t xml:space="preserve">prilagajati, </w:t>
            </w:r>
            <w:r w:rsidRPr="00FF207E">
              <w:rPr>
                <w:rFonts w:cs="Arial"/>
                <w:b/>
                <w:sz w:val="20"/>
                <w:szCs w:val="20"/>
                <w:lang w:val="sl-SI"/>
              </w:rPr>
              <w:t xml:space="preserve">spreminjati in nadgrajevati </w:t>
            </w:r>
            <w:r w:rsidR="00F36399" w:rsidRPr="00FF207E">
              <w:rPr>
                <w:rFonts w:cs="Arial"/>
                <w:b/>
                <w:sz w:val="20"/>
                <w:szCs w:val="20"/>
                <w:lang w:val="sl-SI"/>
              </w:rPr>
              <w:t>izvajanje načrtovanih ukrepov</w:t>
            </w:r>
            <w:r w:rsidR="00F36399" w:rsidRPr="00FF207E">
              <w:rPr>
                <w:rFonts w:cs="Arial"/>
                <w:sz w:val="20"/>
                <w:szCs w:val="20"/>
                <w:lang w:val="sl-SI"/>
              </w:rPr>
              <w:t xml:space="preserve"> </w:t>
            </w:r>
            <w:r w:rsidR="00E519BB" w:rsidRPr="00FF207E">
              <w:rPr>
                <w:rFonts w:cs="Arial"/>
                <w:sz w:val="20"/>
                <w:szCs w:val="20"/>
                <w:lang w:val="sl-SI"/>
              </w:rPr>
              <w:t xml:space="preserve">ter ugotovitve vrednotenja vključevati tudi v pripravo naslednjega akcijskega načrta </w:t>
            </w:r>
            <w:r w:rsidRPr="00FF207E">
              <w:rPr>
                <w:rFonts w:cs="Arial"/>
                <w:sz w:val="20"/>
                <w:szCs w:val="20"/>
                <w:lang w:val="sl-SI"/>
              </w:rPr>
              <w:t xml:space="preserve">(glej tudi ukrep </w:t>
            </w:r>
            <w:hyperlink w:anchor="_Strateški_svet_za" w:history="1">
              <w:r w:rsidR="000643AD" w:rsidRPr="00FF207E">
                <w:rPr>
                  <w:rStyle w:val="Hiperpovezava"/>
                  <w:rFonts w:cs="Arial"/>
                  <w:sz w:val="20"/>
                  <w:szCs w:val="20"/>
                  <w:lang w:val="sl-SI"/>
                </w:rPr>
                <w:t>ER_Shema-07</w:t>
              </w:r>
            </w:hyperlink>
            <w:r w:rsidRPr="00FF207E">
              <w:rPr>
                <w:rFonts w:cs="Arial"/>
                <w:sz w:val="20"/>
                <w:szCs w:val="20"/>
                <w:lang w:val="sl-SI"/>
              </w:rPr>
              <w:t>)</w:t>
            </w:r>
            <w:r w:rsidR="00F36399" w:rsidRPr="00FF207E">
              <w:rPr>
                <w:rFonts w:cs="Arial"/>
                <w:sz w:val="20"/>
                <w:szCs w:val="20"/>
                <w:lang w:val="sl-SI"/>
              </w:rPr>
              <w:t>.</w:t>
            </w:r>
          </w:p>
        </w:tc>
      </w:tr>
      <w:tr w:rsidR="00C110C8" w:rsidRPr="00FF207E" w14:paraId="0C45EF82" w14:textId="77777777" w:rsidTr="00880783">
        <w:tc>
          <w:tcPr>
            <w:tcW w:w="9072" w:type="dxa"/>
            <w:gridSpan w:val="4"/>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7CEC31F8" w14:textId="77777777" w:rsidR="00C110C8" w:rsidRPr="00FF207E" w:rsidRDefault="00C110C8" w:rsidP="001E304B">
            <w:pPr>
              <w:spacing w:before="60" w:after="60" w:line="240" w:lineRule="atLeast"/>
              <w:jc w:val="both"/>
              <w:rPr>
                <w:rFonts w:cs="Arial"/>
                <w:b/>
                <w:lang w:val="sl-SI"/>
              </w:rPr>
            </w:pPr>
            <w:r w:rsidRPr="00FF207E">
              <w:rPr>
                <w:rFonts w:cs="Arial"/>
                <w:b/>
                <w:lang w:val="sl-SI"/>
              </w:rPr>
              <w:t>Kratkoročna izvedba ukrepa v obdobju 2024–2026</w:t>
            </w:r>
          </w:p>
        </w:tc>
      </w:tr>
      <w:tr w:rsidR="00C110C8" w:rsidRPr="00FF207E" w14:paraId="37A8450A" w14:textId="77777777" w:rsidTr="00C110C8">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7201FDCE" w14:textId="77777777" w:rsidR="00C110C8" w:rsidRPr="00FF207E" w:rsidRDefault="00C110C8" w:rsidP="001E304B">
            <w:pPr>
              <w:spacing w:line="240" w:lineRule="atLeast"/>
              <w:jc w:val="both"/>
              <w:rPr>
                <w:rFonts w:cs="Arial"/>
                <w:sz w:val="20"/>
                <w:szCs w:val="20"/>
                <w:lang w:val="sl-SI"/>
              </w:rPr>
            </w:pPr>
            <w:r w:rsidRPr="00FF207E">
              <w:rPr>
                <w:rFonts w:cs="Arial"/>
                <w:sz w:val="20"/>
                <w:szCs w:val="20"/>
                <w:lang w:val="sl-SI"/>
              </w:rPr>
              <w:t>Kratkoročni cilj</w:t>
            </w:r>
          </w:p>
        </w:tc>
        <w:tc>
          <w:tcPr>
            <w:tcW w:w="6100"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tcPr>
          <w:p w14:paraId="5172AEC9" w14:textId="57C10C6B" w:rsidR="00C110C8" w:rsidRPr="00FF207E" w:rsidRDefault="00482083" w:rsidP="001E304B">
            <w:pPr>
              <w:spacing w:line="240" w:lineRule="atLeast"/>
              <w:jc w:val="both"/>
              <w:rPr>
                <w:rFonts w:cs="Arial"/>
                <w:sz w:val="20"/>
                <w:szCs w:val="20"/>
                <w:lang w:val="sl-SI"/>
              </w:rPr>
            </w:pPr>
            <w:r w:rsidRPr="00FF207E">
              <w:rPr>
                <w:rFonts w:cs="Arial"/>
                <w:sz w:val="20"/>
                <w:szCs w:val="20"/>
                <w:lang w:val="sl-SI"/>
              </w:rPr>
              <w:t>Redno</w:t>
            </w:r>
            <w:r w:rsidR="00C110C8" w:rsidRPr="00FF207E">
              <w:rPr>
                <w:rFonts w:cs="Arial"/>
                <w:sz w:val="20"/>
                <w:szCs w:val="20"/>
                <w:lang w:val="sl-SI"/>
              </w:rPr>
              <w:t xml:space="preserve"> </w:t>
            </w:r>
            <w:r w:rsidR="008D67E3" w:rsidRPr="00FF207E">
              <w:rPr>
                <w:rFonts w:cs="Arial"/>
                <w:sz w:val="20"/>
                <w:szCs w:val="20"/>
                <w:lang w:val="sl-SI"/>
              </w:rPr>
              <w:t xml:space="preserve">voditi, </w:t>
            </w:r>
            <w:r w:rsidR="00C110C8" w:rsidRPr="00FF207E">
              <w:rPr>
                <w:rFonts w:cs="Arial"/>
                <w:sz w:val="20"/>
                <w:szCs w:val="20"/>
                <w:lang w:val="sl-SI"/>
              </w:rPr>
              <w:t>spremljati in vrednotiti izvajanje akcijskega načrta</w:t>
            </w:r>
            <w:r w:rsidRPr="00FF207E">
              <w:rPr>
                <w:rFonts w:cs="Arial"/>
                <w:sz w:val="20"/>
                <w:szCs w:val="20"/>
                <w:lang w:val="sl-SI"/>
              </w:rPr>
              <w:t xml:space="preserve"> ter </w:t>
            </w:r>
            <w:r w:rsidR="00844C8E" w:rsidRPr="00FF207E">
              <w:rPr>
                <w:rFonts w:cs="Arial"/>
                <w:sz w:val="20"/>
                <w:szCs w:val="20"/>
                <w:lang w:val="sl-SI"/>
              </w:rPr>
              <w:t xml:space="preserve">enkrat letno </w:t>
            </w:r>
            <w:r w:rsidRPr="00FF207E">
              <w:rPr>
                <w:rFonts w:cs="Arial"/>
                <w:sz w:val="20"/>
                <w:szCs w:val="20"/>
                <w:lang w:val="sl-SI"/>
              </w:rPr>
              <w:t>poročati</w:t>
            </w:r>
            <w:r w:rsidR="00844C8E" w:rsidRPr="00FF207E">
              <w:rPr>
                <w:rFonts w:cs="Arial"/>
                <w:sz w:val="20"/>
                <w:szCs w:val="20"/>
                <w:lang w:val="sl-SI"/>
              </w:rPr>
              <w:t xml:space="preserve"> o ugotovitvah</w:t>
            </w:r>
            <w:r w:rsidRPr="00FF207E">
              <w:rPr>
                <w:rFonts w:cs="Arial"/>
                <w:sz w:val="20"/>
                <w:szCs w:val="20"/>
                <w:lang w:val="sl-SI"/>
              </w:rPr>
              <w:t>,</w:t>
            </w:r>
            <w:r w:rsidR="00C110C8" w:rsidRPr="00FF207E">
              <w:rPr>
                <w:rFonts w:cs="Arial"/>
                <w:sz w:val="20"/>
                <w:szCs w:val="20"/>
                <w:lang w:val="sl-SI"/>
              </w:rPr>
              <w:t xml:space="preserve"> </w:t>
            </w:r>
            <w:r w:rsidR="006F5933" w:rsidRPr="00FF207E">
              <w:rPr>
                <w:rFonts w:cs="Arial"/>
                <w:sz w:val="20"/>
                <w:szCs w:val="20"/>
                <w:lang w:val="sl-SI"/>
              </w:rPr>
              <w:t>p</w:t>
            </w:r>
            <w:r w:rsidR="00C110C8" w:rsidRPr="00FF207E">
              <w:rPr>
                <w:rFonts w:cs="Arial"/>
                <w:sz w:val="20"/>
                <w:szCs w:val="20"/>
                <w:lang w:val="sl-SI"/>
              </w:rPr>
              <w:t>ravočasno pripraviti in sprejeti na</w:t>
            </w:r>
            <w:r w:rsidR="006F5933" w:rsidRPr="00FF207E">
              <w:rPr>
                <w:rFonts w:cs="Arial"/>
                <w:sz w:val="20"/>
                <w:szCs w:val="20"/>
                <w:lang w:val="sl-SI"/>
              </w:rPr>
              <w:t>slednji triletni akcijski načrt</w:t>
            </w:r>
            <w:r w:rsidR="005F5F18" w:rsidRPr="00FF207E">
              <w:rPr>
                <w:rFonts w:cs="Arial"/>
                <w:sz w:val="20"/>
                <w:szCs w:val="20"/>
                <w:lang w:val="sl-SI"/>
              </w:rPr>
              <w:t>.</w:t>
            </w:r>
          </w:p>
        </w:tc>
      </w:tr>
      <w:tr w:rsidR="00C110C8" w:rsidRPr="00FF207E" w14:paraId="10A2C1EB" w14:textId="77777777" w:rsidTr="002513F9">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4D6D5950" w14:textId="7B8BACCA" w:rsidR="00C110C8" w:rsidRPr="00FF207E" w:rsidRDefault="009D5FED" w:rsidP="001E304B">
            <w:pPr>
              <w:spacing w:line="240" w:lineRule="atLeast"/>
              <w:jc w:val="both"/>
              <w:rPr>
                <w:rFonts w:cs="Arial"/>
                <w:sz w:val="20"/>
                <w:szCs w:val="20"/>
                <w:lang w:val="sl-SI"/>
              </w:rPr>
            </w:pPr>
            <w:r w:rsidRPr="00FF207E">
              <w:rPr>
                <w:rFonts w:cs="Arial"/>
                <w:sz w:val="20"/>
                <w:szCs w:val="20"/>
                <w:lang w:val="sl-SI"/>
              </w:rPr>
              <w:t>Potrebna sredstva</w:t>
            </w:r>
            <w:r w:rsidR="00F4436A" w:rsidRPr="00FF207E">
              <w:rPr>
                <w:lang w:val="sl-SI"/>
              </w:rPr>
              <w:t xml:space="preserve"> </w:t>
            </w:r>
            <w:r w:rsidRPr="00FF207E">
              <w:rPr>
                <w:rFonts w:cs="Arial"/>
                <w:sz w:val="20"/>
                <w:szCs w:val="20"/>
                <w:lang w:val="sl-SI"/>
              </w:rPr>
              <w:t>in viri</w:t>
            </w:r>
          </w:p>
        </w:tc>
        <w:tc>
          <w:tcPr>
            <w:tcW w:w="6100"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tcPr>
          <w:p w14:paraId="2554C4EA" w14:textId="0648D7C5" w:rsidR="00811106" w:rsidRPr="00FF207E" w:rsidRDefault="00086058" w:rsidP="002513F9">
            <w:pPr>
              <w:spacing w:before="60" w:line="240" w:lineRule="atLeast"/>
              <w:rPr>
                <w:rFonts w:cs="Arial"/>
                <w:sz w:val="20"/>
                <w:szCs w:val="20"/>
                <w:lang w:val="sl-SI"/>
              </w:rPr>
            </w:pPr>
            <w:r w:rsidRPr="00FF207E">
              <w:rPr>
                <w:rFonts w:cs="Arial"/>
                <w:sz w:val="20"/>
                <w:szCs w:val="20"/>
                <w:lang w:val="sl-SI"/>
              </w:rPr>
              <w:t>t</w:t>
            </w:r>
            <w:r w:rsidR="00811106" w:rsidRPr="00FF207E">
              <w:rPr>
                <w:rFonts w:cs="Arial"/>
                <w:sz w:val="20"/>
                <w:szCs w:val="20"/>
                <w:lang w:val="sl-SI"/>
              </w:rPr>
              <w:t>abela 7</w:t>
            </w:r>
          </w:p>
          <w:p w14:paraId="7708333E" w14:textId="24064741" w:rsidR="00C110C8" w:rsidRPr="00FF207E" w:rsidRDefault="009D5FED" w:rsidP="002513F9">
            <w:pPr>
              <w:spacing w:before="60" w:line="240" w:lineRule="atLeast"/>
              <w:rPr>
                <w:rFonts w:cs="Arial"/>
                <w:sz w:val="20"/>
                <w:szCs w:val="20"/>
                <w:lang w:val="sl-SI"/>
              </w:rPr>
            </w:pPr>
            <w:r w:rsidRPr="00FF207E">
              <w:rPr>
                <w:rFonts w:cs="Arial"/>
                <w:sz w:val="20"/>
                <w:szCs w:val="20"/>
                <w:lang w:val="sl-SI"/>
              </w:rPr>
              <w:t>Viri sredstev so: Sklad za podnebne spremembe, proračun ali drugi viri</w:t>
            </w:r>
            <w:r w:rsidR="005F5F18" w:rsidRPr="00FF207E">
              <w:rPr>
                <w:rFonts w:cs="Arial"/>
                <w:sz w:val="20"/>
                <w:szCs w:val="20"/>
                <w:lang w:val="sl-SI"/>
              </w:rPr>
              <w:t>.</w:t>
            </w:r>
          </w:p>
        </w:tc>
      </w:tr>
      <w:tr w:rsidR="00C110C8" w:rsidRPr="00FF207E" w14:paraId="523E42FB" w14:textId="77777777" w:rsidTr="00880783">
        <w:tc>
          <w:tcPr>
            <w:tcW w:w="9072" w:type="dxa"/>
            <w:gridSpan w:val="4"/>
            <w:tcBorders>
              <w:top w:val="single" w:sz="4" w:space="0" w:color="548DD4" w:themeColor="text2" w:themeTint="99"/>
              <w:left w:val="nil"/>
              <w:bottom w:val="single" w:sz="4" w:space="0" w:color="548DD4" w:themeColor="text2" w:themeTint="99"/>
              <w:right w:val="nil"/>
            </w:tcBorders>
            <w:shd w:val="clear" w:color="auto" w:fill="DBE5F1" w:themeFill="accent1" w:themeFillTint="33"/>
          </w:tcPr>
          <w:p w14:paraId="4EF61988" w14:textId="77777777" w:rsidR="00C110C8" w:rsidRPr="00FF207E" w:rsidRDefault="00C110C8" w:rsidP="001E304B">
            <w:pPr>
              <w:spacing w:before="40" w:after="40" w:line="240" w:lineRule="atLeast"/>
              <w:jc w:val="both"/>
              <w:rPr>
                <w:rFonts w:cs="Arial"/>
                <w:sz w:val="20"/>
                <w:szCs w:val="20"/>
                <w:lang w:val="sl-SI"/>
              </w:rPr>
            </w:pPr>
            <w:r w:rsidRPr="00FF207E">
              <w:rPr>
                <w:rFonts w:cs="Arial"/>
                <w:sz w:val="20"/>
                <w:szCs w:val="20"/>
                <w:lang w:val="sl-SI"/>
              </w:rPr>
              <w:t>Potek izvedbe</w:t>
            </w:r>
          </w:p>
        </w:tc>
      </w:tr>
      <w:tr w:rsidR="00C110C8" w:rsidRPr="00FF207E" w14:paraId="51A842D2" w14:textId="77777777" w:rsidTr="00C110C8">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399C8973" w14:textId="77777777" w:rsidR="00C110C8" w:rsidRPr="00FF207E" w:rsidRDefault="00C110C8" w:rsidP="001E304B">
            <w:pPr>
              <w:spacing w:line="240" w:lineRule="atLeast"/>
              <w:jc w:val="both"/>
              <w:rPr>
                <w:rFonts w:cs="Arial"/>
                <w:b/>
                <w:sz w:val="24"/>
                <w:lang w:val="sl-SI"/>
              </w:rPr>
            </w:pPr>
            <w:r w:rsidRPr="00FF207E">
              <w:rPr>
                <w:rFonts w:cs="Arial"/>
                <w:b/>
                <w:sz w:val="24"/>
                <w:lang w:val="sl-SI"/>
              </w:rPr>
              <w:t>1</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4551DAB1" w14:textId="77777777" w:rsidR="00C110C8" w:rsidRPr="00FF207E" w:rsidRDefault="00C110C8" w:rsidP="001E304B">
            <w:pPr>
              <w:spacing w:line="240" w:lineRule="atLeast"/>
              <w:jc w:val="both"/>
              <w:rPr>
                <w:rFonts w:cs="Arial"/>
                <w:sz w:val="20"/>
                <w:szCs w:val="20"/>
                <w:lang w:val="sl-SI"/>
              </w:rPr>
            </w:pPr>
            <w:r w:rsidRPr="00FF207E">
              <w:rPr>
                <w:rFonts w:cs="Arial"/>
                <w:sz w:val="20"/>
                <w:szCs w:val="20"/>
                <w:lang w:val="sl-SI"/>
              </w:rPr>
              <w:t>Vsebina</w:t>
            </w:r>
          </w:p>
        </w:tc>
        <w:tc>
          <w:tcPr>
            <w:tcW w:w="6100" w:type="dxa"/>
            <w:gridSpan w:val="2"/>
            <w:tcBorders>
              <w:top w:val="single" w:sz="4" w:space="0" w:color="548DD4" w:themeColor="text2" w:themeTint="99"/>
              <w:left w:val="single" w:sz="4" w:space="0" w:color="548DD4" w:themeColor="text2" w:themeTint="99"/>
              <w:bottom w:val="dotted" w:sz="4" w:space="0" w:color="548DD4" w:themeColor="text2" w:themeTint="99"/>
              <w:right w:val="nil"/>
            </w:tcBorders>
          </w:tcPr>
          <w:p w14:paraId="703F90F0" w14:textId="55745FEC" w:rsidR="00C110C8" w:rsidRPr="00FF207E" w:rsidRDefault="005F5F18" w:rsidP="005F5F18">
            <w:pPr>
              <w:spacing w:line="240" w:lineRule="atLeast"/>
              <w:jc w:val="both"/>
              <w:rPr>
                <w:rFonts w:cs="Arial"/>
                <w:sz w:val="20"/>
                <w:szCs w:val="20"/>
                <w:lang w:val="sl-SI"/>
              </w:rPr>
            </w:pPr>
            <w:r w:rsidRPr="00FF207E">
              <w:rPr>
                <w:rFonts w:cs="Arial"/>
                <w:sz w:val="20"/>
                <w:szCs w:val="20"/>
                <w:lang w:val="sl-SI"/>
              </w:rPr>
              <w:t>r</w:t>
            </w:r>
            <w:r w:rsidR="001B79FE" w:rsidRPr="00FF207E">
              <w:rPr>
                <w:rFonts w:cs="Arial"/>
                <w:sz w:val="20"/>
                <w:szCs w:val="20"/>
                <w:lang w:val="sl-SI"/>
              </w:rPr>
              <w:t>edno vodenje, spremljanje in vrednotenje izvajanja akcijskega načrta ter po potrebi kratkoročno prilagajanje, spreminjanje in nadgrajevanje izvajanja načrtovanih ukrepov, podpora izvajalcem s sprotnim odstranjevanjem ovir v podpornem okolju</w:t>
            </w:r>
            <w:r w:rsidRPr="00FF207E">
              <w:rPr>
                <w:rFonts w:cs="Arial"/>
                <w:sz w:val="20"/>
                <w:szCs w:val="20"/>
                <w:lang w:val="sl-SI"/>
              </w:rPr>
              <w:t>;</w:t>
            </w:r>
            <w:r w:rsidR="001B79FE" w:rsidRPr="00FF207E">
              <w:rPr>
                <w:rFonts w:cs="Arial"/>
                <w:sz w:val="20"/>
                <w:szCs w:val="20"/>
                <w:lang w:val="sl-SI"/>
              </w:rPr>
              <w:t xml:space="preserve"> </w:t>
            </w:r>
            <w:r w:rsidRPr="00FF207E">
              <w:rPr>
                <w:rFonts w:cs="Arial"/>
                <w:sz w:val="20"/>
                <w:szCs w:val="20"/>
                <w:lang w:val="sl-SI"/>
              </w:rPr>
              <w:t>p</w:t>
            </w:r>
            <w:r w:rsidR="00941F74" w:rsidRPr="00FF207E">
              <w:rPr>
                <w:rFonts w:cs="Arial"/>
                <w:sz w:val="20"/>
                <w:szCs w:val="20"/>
                <w:lang w:val="sl-SI"/>
              </w:rPr>
              <w:t xml:space="preserve">oleg </w:t>
            </w:r>
            <w:r w:rsidR="00C92388" w:rsidRPr="00FF207E">
              <w:rPr>
                <w:rFonts w:cs="Arial"/>
                <w:sz w:val="20"/>
                <w:szCs w:val="20"/>
                <w:lang w:val="sl-SI"/>
              </w:rPr>
              <w:t xml:space="preserve">doseganja </w:t>
            </w:r>
            <w:r w:rsidR="00941F74" w:rsidRPr="00FF207E">
              <w:rPr>
                <w:rFonts w:cs="Arial"/>
                <w:sz w:val="20"/>
                <w:szCs w:val="20"/>
                <w:lang w:val="sl-SI"/>
              </w:rPr>
              <w:t>cilj</w:t>
            </w:r>
            <w:r w:rsidR="00C92388" w:rsidRPr="00FF207E">
              <w:rPr>
                <w:rFonts w:cs="Arial"/>
                <w:sz w:val="20"/>
                <w:szCs w:val="20"/>
                <w:lang w:val="sl-SI"/>
              </w:rPr>
              <w:t>ev</w:t>
            </w:r>
            <w:r w:rsidR="00941F74" w:rsidRPr="00FF207E">
              <w:rPr>
                <w:rFonts w:cs="Arial"/>
                <w:sz w:val="20"/>
                <w:szCs w:val="20"/>
                <w:lang w:val="sl-SI"/>
              </w:rPr>
              <w:t xml:space="preserve"> iz tega akcijskega načrta (glej poglavje </w:t>
            </w:r>
            <w:r w:rsidR="00941F74" w:rsidRPr="00FF207E">
              <w:rPr>
                <w:rFonts w:cs="Arial"/>
                <w:sz w:val="20"/>
                <w:szCs w:val="20"/>
                <w:lang w:val="sl-SI"/>
              </w:rPr>
              <w:fldChar w:fldCharType="begin"/>
            </w:r>
            <w:r w:rsidR="00941F74" w:rsidRPr="00FF207E">
              <w:rPr>
                <w:rFonts w:cs="Arial"/>
                <w:sz w:val="20"/>
                <w:szCs w:val="20"/>
                <w:lang w:val="sl-SI"/>
              </w:rPr>
              <w:instrText xml:space="preserve"> REF _Ref136344611 \r \h </w:instrText>
            </w:r>
            <w:r w:rsidR="001E304B" w:rsidRPr="00FF207E">
              <w:rPr>
                <w:rFonts w:cs="Arial"/>
                <w:sz w:val="20"/>
                <w:szCs w:val="20"/>
                <w:lang w:val="sl-SI"/>
              </w:rPr>
              <w:instrText xml:space="preserve"> \* MERGEFORMAT </w:instrText>
            </w:r>
            <w:r w:rsidR="00941F74" w:rsidRPr="00FF207E">
              <w:rPr>
                <w:rFonts w:cs="Arial"/>
                <w:sz w:val="20"/>
                <w:szCs w:val="20"/>
                <w:lang w:val="sl-SI"/>
              </w:rPr>
            </w:r>
            <w:r w:rsidR="00941F74" w:rsidRPr="00FF207E">
              <w:rPr>
                <w:rFonts w:cs="Arial"/>
                <w:sz w:val="20"/>
                <w:szCs w:val="20"/>
                <w:lang w:val="sl-SI"/>
              </w:rPr>
              <w:fldChar w:fldCharType="separate"/>
            </w:r>
            <w:r w:rsidR="00F37FD1" w:rsidRPr="00FF207E">
              <w:rPr>
                <w:rFonts w:cs="Arial"/>
                <w:sz w:val="20"/>
                <w:szCs w:val="20"/>
                <w:lang w:val="sl-SI"/>
              </w:rPr>
              <w:t>2</w:t>
            </w:r>
            <w:r w:rsidR="00941F74" w:rsidRPr="00FF207E">
              <w:rPr>
                <w:rFonts w:cs="Arial"/>
                <w:sz w:val="20"/>
                <w:szCs w:val="20"/>
                <w:lang w:val="sl-SI"/>
              </w:rPr>
              <w:fldChar w:fldCharType="end"/>
            </w:r>
            <w:r w:rsidR="00941F74" w:rsidRPr="00FF207E">
              <w:rPr>
                <w:rFonts w:cs="Arial"/>
                <w:sz w:val="20"/>
                <w:szCs w:val="20"/>
                <w:lang w:val="sl-SI"/>
              </w:rPr>
              <w:t xml:space="preserve">) je </w:t>
            </w:r>
            <w:r w:rsidR="00A179E1" w:rsidRPr="00FF207E">
              <w:rPr>
                <w:rFonts w:cs="Arial"/>
                <w:sz w:val="20"/>
                <w:szCs w:val="20"/>
                <w:lang w:val="sl-SI"/>
              </w:rPr>
              <w:t xml:space="preserve">treba </w:t>
            </w:r>
            <w:r w:rsidR="00C92388" w:rsidRPr="00FF207E">
              <w:rPr>
                <w:rFonts w:cs="Arial"/>
                <w:sz w:val="20"/>
                <w:szCs w:val="20"/>
                <w:lang w:val="sl-SI"/>
              </w:rPr>
              <w:t xml:space="preserve">spremljati tudi </w:t>
            </w:r>
            <w:r w:rsidR="00941F74" w:rsidRPr="00FF207E">
              <w:rPr>
                <w:rFonts w:cs="Arial"/>
                <w:sz w:val="20"/>
                <w:szCs w:val="20"/>
                <w:lang w:val="sl-SI"/>
              </w:rPr>
              <w:t>izvajanj</w:t>
            </w:r>
            <w:r w:rsidR="00C92388" w:rsidRPr="00FF207E">
              <w:rPr>
                <w:rFonts w:cs="Arial"/>
                <w:sz w:val="20"/>
                <w:szCs w:val="20"/>
                <w:lang w:val="sl-SI"/>
              </w:rPr>
              <w:t>e</w:t>
            </w:r>
            <w:r w:rsidR="00941F74" w:rsidRPr="00FF207E">
              <w:rPr>
                <w:rFonts w:cs="Arial"/>
                <w:sz w:val="20"/>
                <w:szCs w:val="20"/>
                <w:lang w:val="sl-SI"/>
              </w:rPr>
              <w:t xml:space="preserve"> drugih ukrepov iz akcijskega načrta (</w:t>
            </w:r>
            <w:r w:rsidR="00B77973" w:rsidRPr="00FF207E">
              <w:rPr>
                <w:rFonts w:cs="Arial"/>
                <w:sz w:val="20"/>
                <w:szCs w:val="20"/>
                <w:lang w:val="sl-SI"/>
              </w:rPr>
              <w:t>na primer</w:t>
            </w:r>
            <w:r w:rsidR="00941F74" w:rsidRPr="00FF207E">
              <w:rPr>
                <w:rFonts w:cs="Arial"/>
                <w:sz w:val="20"/>
                <w:szCs w:val="20"/>
                <w:lang w:val="sl-SI"/>
              </w:rPr>
              <w:t xml:space="preserve"> število in znesek spodbud za </w:t>
            </w:r>
            <w:r w:rsidR="008C7972" w:rsidRPr="00FF207E">
              <w:rPr>
                <w:rFonts w:cs="Arial"/>
                <w:sz w:val="20"/>
                <w:szCs w:val="20"/>
                <w:lang w:val="sl-SI"/>
              </w:rPr>
              <w:t>izvedbo skupnih ukrepov pri energetski prenovi VSS,</w:t>
            </w:r>
            <w:r w:rsidR="008C7972" w:rsidRPr="00FF207E">
              <w:rPr>
                <w:rFonts w:cs="Arial"/>
                <w:szCs w:val="22"/>
                <w:lang w:val="sl-SI"/>
              </w:rPr>
              <w:t xml:space="preserve"> </w:t>
            </w:r>
            <w:r w:rsidR="008C7972" w:rsidRPr="00FF207E">
              <w:rPr>
                <w:rFonts w:cs="Arial"/>
                <w:sz w:val="20"/>
                <w:szCs w:val="20"/>
                <w:lang w:val="sl-SI"/>
              </w:rPr>
              <w:t>število in znesek spodbud za vgradnjo KNLB, število in znesek spodbud za vključitev v energetske skupnosti</w:t>
            </w:r>
            <w:r w:rsidR="005A45D9" w:rsidRPr="00FF207E">
              <w:rPr>
                <w:rFonts w:cs="Arial"/>
                <w:sz w:val="20"/>
                <w:szCs w:val="20"/>
                <w:lang w:val="sl-SI"/>
              </w:rPr>
              <w:t xml:space="preserve">; število opravljenih obiskov </w:t>
            </w:r>
            <w:r w:rsidR="00F175DB" w:rsidRPr="00FF207E">
              <w:rPr>
                <w:rFonts w:cs="Arial"/>
                <w:sz w:val="20"/>
                <w:szCs w:val="20"/>
                <w:lang w:val="sl-SI"/>
              </w:rPr>
              <w:t>energetskih svetovalcev</w:t>
            </w:r>
            <w:r w:rsidR="005A45D9" w:rsidRPr="00FF207E">
              <w:rPr>
                <w:rFonts w:cs="Arial"/>
                <w:sz w:val="20"/>
                <w:szCs w:val="20"/>
                <w:lang w:val="sl-SI"/>
              </w:rPr>
              <w:t xml:space="preserve"> – skupno in po regijah, </w:t>
            </w:r>
            <w:r w:rsidR="00B77973" w:rsidRPr="00FF207E">
              <w:rPr>
                <w:rFonts w:cs="Arial"/>
                <w:sz w:val="20"/>
                <w:szCs w:val="20"/>
                <w:lang w:val="sl-SI"/>
              </w:rPr>
              <w:t>in tako dalje</w:t>
            </w:r>
            <w:r w:rsidR="005A45D9" w:rsidRPr="00FF207E">
              <w:rPr>
                <w:rFonts w:cs="Arial"/>
                <w:sz w:val="20"/>
                <w:szCs w:val="20"/>
                <w:lang w:val="sl-SI"/>
              </w:rPr>
              <w:t>)</w:t>
            </w:r>
          </w:p>
        </w:tc>
      </w:tr>
      <w:tr w:rsidR="00C110C8" w:rsidRPr="00FF207E" w14:paraId="7035223C" w14:textId="77777777" w:rsidTr="00C110C8">
        <w:tc>
          <w:tcPr>
            <w:tcW w:w="567" w:type="dxa"/>
            <w:vMerge/>
            <w:tcBorders>
              <w:left w:val="nil"/>
              <w:bottom w:val="single" w:sz="4" w:space="0" w:color="548DD4" w:themeColor="text2" w:themeTint="99"/>
              <w:right w:val="single" w:sz="4" w:space="0" w:color="548DD4" w:themeColor="text2" w:themeTint="99"/>
            </w:tcBorders>
          </w:tcPr>
          <w:p w14:paraId="3F18410A" w14:textId="77777777" w:rsidR="00C110C8" w:rsidRPr="00FF207E" w:rsidRDefault="00C110C8"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2083F2CD" w14:textId="77777777" w:rsidR="00C110C8" w:rsidRPr="00FF207E" w:rsidRDefault="00C110C8" w:rsidP="001E304B">
            <w:pPr>
              <w:spacing w:line="240" w:lineRule="atLeast"/>
              <w:jc w:val="both"/>
              <w:rPr>
                <w:rFonts w:cs="Arial"/>
                <w:sz w:val="20"/>
                <w:szCs w:val="20"/>
                <w:lang w:val="sl-SI"/>
              </w:rPr>
            </w:pPr>
            <w:r w:rsidRPr="00FF207E">
              <w:rPr>
                <w:rFonts w:cs="Arial"/>
                <w:sz w:val="20"/>
                <w:szCs w:val="20"/>
                <w:lang w:val="sl-SI"/>
              </w:rPr>
              <w:t>Odgovornost</w:t>
            </w:r>
          </w:p>
        </w:tc>
        <w:tc>
          <w:tcPr>
            <w:tcW w:w="6100" w:type="dxa"/>
            <w:gridSpan w:val="2"/>
            <w:tcBorders>
              <w:top w:val="dotted" w:sz="4" w:space="0" w:color="548DD4" w:themeColor="text2" w:themeTint="99"/>
              <w:left w:val="single" w:sz="4" w:space="0" w:color="548DD4" w:themeColor="text2" w:themeTint="99"/>
              <w:bottom w:val="dotted" w:sz="4" w:space="0" w:color="548DD4" w:themeColor="text2" w:themeTint="99"/>
              <w:right w:val="nil"/>
            </w:tcBorders>
          </w:tcPr>
          <w:p w14:paraId="010677F8" w14:textId="77777777" w:rsidR="00C110C8" w:rsidRPr="00FF207E" w:rsidRDefault="00C110C8" w:rsidP="001E304B">
            <w:pPr>
              <w:spacing w:line="240" w:lineRule="atLeast"/>
              <w:jc w:val="both"/>
              <w:rPr>
                <w:rFonts w:cs="Arial"/>
                <w:sz w:val="20"/>
                <w:szCs w:val="20"/>
                <w:lang w:val="sl-SI"/>
              </w:rPr>
            </w:pPr>
            <w:r w:rsidRPr="00FF207E">
              <w:rPr>
                <w:rFonts w:cs="Arial"/>
                <w:sz w:val="20"/>
                <w:szCs w:val="20"/>
                <w:lang w:val="sl-SI"/>
              </w:rPr>
              <w:t>MOPE</w:t>
            </w:r>
          </w:p>
        </w:tc>
      </w:tr>
      <w:tr w:rsidR="00C110C8" w:rsidRPr="00FF207E" w14:paraId="3F7EBF8C" w14:textId="77777777" w:rsidTr="00C110C8">
        <w:tc>
          <w:tcPr>
            <w:tcW w:w="567" w:type="dxa"/>
            <w:vMerge/>
            <w:tcBorders>
              <w:left w:val="nil"/>
              <w:bottom w:val="single" w:sz="4" w:space="0" w:color="548DD4" w:themeColor="text2" w:themeTint="99"/>
              <w:right w:val="single" w:sz="4" w:space="0" w:color="548DD4" w:themeColor="text2" w:themeTint="99"/>
            </w:tcBorders>
          </w:tcPr>
          <w:p w14:paraId="416F3A07" w14:textId="77777777" w:rsidR="00C110C8" w:rsidRPr="00FF207E" w:rsidRDefault="00C110C8"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3120904" w14:textId="77777777" w:rsidR="00C110C8" w:rsidRPr="00FF207E" w:rsidRDefault="00C110C8"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100" w:type="dxa"/>
            <w:gridSpan w:val="2"/>
            <w:tcBorders>
              <w:top w:val="dotted" w:sz="4" w:space="0" w:color="548DD4" w:themeColor="text2" w:themeTint="99"/>
              <w:left w:val="single" w:sz="4" w:space="0" w:color="548DD4" w:themeColor="text2" w:themeTint="99"/>
              <w:bottom w:val="dotted" w:sz="4" w:space="0" w:color="548DD4" w:themeColor="text2" w:themeTint="99"/>
              <w:right w:val="nil"/>
            </w:tcBorders>
          </w:tcPr>
          <w:p w14:paraId="45F0BC90" w14:textId="6C90B4BA" w:rsidR="00C110C8" w:rsidRPr="00FF207E" w:rsidRDefault="000F38BF" w:rsidP="0006530A">
            <w:pPr>
              <w:spacing w:line="240" w:lineRule="atLeast"/>
              <w:jc w:val="both"/>
              <w:rPr>
                <w:rFonts w:cs="Arial"/>
                <w:sz w:val="20"/>
                <w:szCs w:val="20"/>
                <w:lang w:val="sl-SI"/>
              </w:rPr>
            </w:pPr>
            <w:r w:rsidRPr="00FF207E">
              <w:rPr>
                <w:rFonts w:cs="Arial"/>
                <w:sz w:val="20"/>
                <w:szCs w:val="20"/>
                <w:lang w:val="sl-SI"/>
              </w:rPr>
              <w:t>sos</w:t>
            </w:r>
            <w:r w:rsidR="00851391" w:rsidRPr="00FF207E">
              <w:rPr>
                <w:rFonts w:cs="Arial"/>
                <w:sz w:val="20"/>
                <w:szCs w:val="20"/>
                <w:lang w:val="sl-SI"/>
              </w:rPr>
              <w:t xml:space="preserve">vet za zmanjševanje energetske revščine, </w:t>
            </w:r>
            <w:proofErr w:type="spellStart"/>
            <w:r w:rsidR="00851391" w:rsidRPr="00FF207E">
              <w:rPr>
                <w:rFonts w:cs="Arial"/>
                <w:sz w:val="20"/>
                <w:szCs w:val="20"/>
                <w:lang w:val="sl-SI"/>
              </w:rPr>
              <w:t>Eko</w:t>
            </w:r>
            <w:proofErr w:type="spellEnd"/>
            <w:r w:rsidR="00851391" w:rsidRPr="00FF207E">
              <w:rPr>
                <w:rFonts w:cs="Arial"/>
                <w:sz w:val="20"/>
                <w:szCs w:val="20"/>
                <w:lang w:val="sl-SI"/>
              </w:rPr>
              <w:t xml:space="preserve"> sklad, MDDSZ, </w:t>
            </w:r>
            <w:r w:rsidR="0006530A" w:rsidRPr="00FF207E">
              <w:rPr>
                <w:rFonts w:cs="Arial"/>
                <w:sz w:val="20"/>
                <w:szCs w:val="20"/>
                <w:lang w:val="sl-SI"/>
              </w:rPr>
              <w:t xml:space="preserve">drugi </w:t>
            </w:r>
            <w:r w:rsidR="00851391" w:rsidRPr="00FF207E">
              <w:rPr>
                <w:rFonts w:cs="Arial"/>
                <w:sz w:val="20"/>
                <w:szCs w:val="20"/>
                <w:lang w:val="sl-SI"/>
              </w:rPr>
              <w:t>izvajalci ukrepov</w:t>
            </w:r>
          </w:p>
        </w:tc>
      </w:tr>
      <w:tr w:rsidR="00C110C8" w:rsidRPr="00FF207E" w14:paraId="514F6BFA" w14:textId="77777777" w:rsidTr="00C110C8">
        <w:tc>
          <w:tcPr>
            <w:tcW w:w="567" w:type="dxa"/>
            <w:vMerge/>
            <w:tcBorders>
              <w:left w:val="nil"/>
              <w:bottom w:val="single" w:sz="4" w:space="0" w:color="548DD4" w:themeColor="text2" w:themeTint="99"/>
              <w:right w:val="single" w:sz="4" w:space="0" w:color="548DD4" w:themeColor="text2" w:themeTint="99"/>
            </w:tcBorders>
          </w:tcPr>
          <w:p w14:paraId="7C873286" w14:textId="77777777" w:rsidR="00C110C8" w:rsidRPr="00FF207E" w:rsidRDefault="00C110C8"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69AA489F" w14:textId="77777777" w:rsidR="00C110C8" w:rsidRPr="00FF207E" w:rsidRDefault="00C110C8" w:rsidP="001E304B">
            <w:pPr>
              <w:spacing w:line="240" w:lineRule="atLeast"/>
              <w:jc w:val="both"/>
              <w:rPr>
                <w:rFonts w:cs="Arial"/>
                <w:sz w:val="20"/>
                <w:szCs w:val="20"/>
                <w:lang w:val="sl-SI"/>
              </w:rPr>
            </w:pPr>
            <w:r w:rsidRPr="00FF207E">
              <w:rPr>
                <w:rFonts w:cs="Arial"/>
                <w:sz w:val="20"/>
                <w:szCs w:val="20"/>
                <w:lang w:val="sl-SI"/>
              </w:rPr>
              <w:t>Rok izvedbe</w:t>
            </w:r>
          </w:p>
        </w:tc>
        <w:tc>
          <w:tcPr>
            <w:tcW w:w="6100" w:type="dxa"/>
            <w:gridSpan w:val="2"/>
            <w:tcBorders>
              <w:top w:val="dotted" w:sz="4" w:space="0" w:color="548DD4" w:themeColor="text2" w:themeTint="99"/>
              <w:left w:val="single" w:sz="4" w:space="0" w:color="548DD4" w:themeColor="text2" w:themeTint="99"/>
              <w:bottom w:val="single" w:sz="4" w:space="0" w:color="548DD4" w:themeColor="text2" w:themeTint="99"/>
              <w:right w:val="nil"/>
            </w:tcBorders>
          </w:tcPr>
          <w:p w14:paraId="44B0E509" w14:textId="6F41A77D" w:rsidR="00C110C8" w:rsidRPr="00FF207E" w:rsidRDefault="00851391" w:rsidP="001E304B">
            <w:pPr>
              <w:spacing w:line="240" w:lineRule="atLeast"/>
              <w:jc w:val="both"/>
              <w:rPr>
                <w:rFonts w:cs="Arial"/>
                <w:sz w:val="20"/>
                <w:szCs w:val="20"/>
                <w:lang w:val="sl-SI"/>
              </w:rPr>
            </w:pPr>
            <w:r w:rsidRPr="00FF207E">
              <w:rPr>
                <w:rFonts w:cs="Arial"/>
                <w:sz w:val="20"/>
                <w:szCs w:val="20"/>
                <w:lang w:val="sl-SI"/>
              </w:rPr>
              <w:t>stalen proces</w:t>
            </w:r>
          </w:p>
        </w:tc>
      </w:tr>
      <w:tr w:rsidR="00851391" w:rsidRPr="00FF207E" w14:paraId="0AA6A6B4" w14:textId="77777777" w:rsidTr="007B0A54">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78C93A5B" w14:textId="2299F64E" w:rsidR="00851391" w:rsidRPr="00FF207E" w:rsidRDefault="00851391" w:rsidP="001E304B">
            <w:pPr>
              <w:spacing w:line="240" w:lineRule="atLeast"/>
              <w:jc w:val="both"/>
              <w:rPr>
                <w:rFonts w:cs="Arial"/>
                <w:b/>
                <w:sz w:val="24"/>
                <w:lang w:val="sl-SI"/>
              </w:rPr>
            </w:pPr>
            <w:r w:rsidRPr="00FF207E">
              <w:rPr>
                <w:rFonts w:cs="Arial"/>
                <w:b/>
                <w:sz w:val="24"/>
                <w:lang w:val="sl-SI"/>
              </w:rPr>
              <w:t>2</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5AD0AD64" w14:textId="77777777" w:rsidR="00851391" w:rsidRPr="00FF207E" w:rsidRDefault="00851391" w:rsidP="001E304B">
            <w:pPr>
              <w:spacing w:line="240" w:lineRule="atLeast"/>
              <w:jc w:val="both"/>
              <w:rPr>
                <w:rFonts w:cs="Arial"/>
                <w:sz w:val="20"/>
                <w:szCs w:val="20"/>
                <w:lang w:val="sl-SI"/>
              </w:rPr>
            </w:pPr>
            <w:r w:rsidRPr="00FF207E">
              <w:rPr>
                <w:rFonts w:cs="Arial"/>
                <w:sz w:val="20"/>
                <w:szCs w:val="20"/>
                <w:lang w:val="sl-SI"/>
              </w:rPr>
              <w:t>Vsebina</w:t>
            </w:r>
          </w:p>
        </w:tc>
        <w:tc>
          <w:tcPr>
            <w:tcW w:w="6100" w:type="dxa"/>
            <w:gridSpan w:val="2"/>
            <w:tcBorders>
              <w:top w:val="single" w:sz="4" w:space="0" w:color="548DD4" w:themeColor="text2" w:themeTint="99"/>
              <w:left w:val="single" w:sz="4" w:space="0" w:color="548DD4" w:themeColor="text2" w:themeTint="99"/>
              <w:bottom w:val="dotted" w:sz="4" w:space="0" w:color="548DD4" w:themeColor="text2" w:themeTint="99"/>
              <w:right w:val="nil"/>
            </w:tcBorders>
          </w:tcPr>
          <w:p w14:paraId="1298CABE" w14:textId="6F99248D" w:rsidR="00851391" w:rsidRPr="00FF207E" w:rsidRDefault="005F5F18" w:rsidP="005F5F18">
            <w:pPr>
              <w:spacing w:line="240" w:lineRule="atLeast"/>
              <w:jc w:val="both"/>
              <w:rPr>
                <w:rFonts w:cs="Arial"/>
                <w:sz w:val="20"/>
                <w:szCs w:val="20"/>
                <w:lang w:val="sl-SI"/>
              </w:rPr>
            </w:pPr>
            <w:r w:rsidRPr="00FF207E">
              <w:rPr>
                <w:rFonts w:cs="Arial"/>
                <w:sz w:val="20"/>
                <w:szCs w:val="20"/>
                <w:lang w:val="sl-SI"/>
              </w:rPr>
              <w:t>p</w:t>
            </w:r>
            <w:r w:rsidR="00851391" w:rsidRPr="00FF207E">
              <w:rPr>
                <w:rFonts w:cs="Arial"/>
                <w:sz w:val="20"/>
                <w:szCs w:val="20"/>
                <w:lang w:val="sl-SI"/>
              </w:rPr>
              <w:t>riprava poročila o ugotovitvah spremljanja in vrednotenja izvajanja akcijskega načrta, s priporočili za kratko- in dolgoročno usmerjanje izvajanja ukrepov</w:t>
            </w:r>
            <w:r w:rsidRPr="00FF207E">
              <w:rPr>
                <w:rFonts w:cs="Arial"/>
                <w:sz w:val="20"/>
                <w:szCs w:val="20"/>
                <w:lang w:val="sl-SI"/>
              </w:rPr>
              <w:t>;</w:t>
            </w:r>
            <w:r w:rsidR="00837CF7" w:rsidRPr="00FF207E">
              <w:rPr>
                <w:rFonts w:cs="Arial"/>
                <w:sz w:val="20"/>
                <w:szCs w:val="20"/>
                <w:lang w:val="sl-SI"/>
              </w:rPr>
              <w:t xml:space="preserve"> </w:t>
            </w:r>
            <w:r w:rsidRPr="00FF207E">
              <w:rPr>
                <w:rFonts w:cs="Arial"/>
                <w:sz w:val="20"/>
                <w:szCs w:val="20"/>
                <w:lang w:val="sl-SI"/>
              </w:rPr>
              <w:t>v</w:t>
            </w:r>
            <w:r w:rsidR="00B266A4" w:rsidRPr="00FF207E">
              <w:rPr>
                <w:rFonts w:cs="Arial"/>
                <w:sz w:val="20"/>
                <w:szCs w:val="20"/>
                <w:lang w:val="sl-SI"/>
              </w:rPr>
              <w:t xml:space="preserve"> skladu </w:t>
            </w:r>
            <w:r w:rsidR="00403EA5" w:rsidRPr="00FF207E">
              <w:rPr>
                <w:rFonts w:cs="Arial"/>
                <w:sz w:val="20"/>
                <w:szCs w:val="20"/>
                <w:lang w:val="sl-SI"/>
              </w:rPr>
              <w:t xml:space="preserve">s 7. členom </w:t>
            </w:r>
            <w:r w:rsidR="00B039F0" w:rsidRPr="00FF207E">
              <w:rPr>
                <w:rFonts w:cs="Arial"/>
                <w:sz w:val="20"/>
                <w:szCs w:val="20"/>
                <w:lang w:val="sl-SI"/>
              </w:rPr>
              <w:t>u</w:t>
            </w:r>
            <w:r w:rsidR="00851391" w:rsidRPr="00FF207E">
              <w:rPr>
                <w:rFonts w:cs="Arial"/>
                <w:sz w:val="20"/>
                <w:szCs w:val="20"/>
                <w:lang w:val="sl-SI"/>
              </w:rPr>
              <w:t>redb</w:t>
            </w:r>
            <w:r w:rsidR="00403EA5" w:rsidRPr="00FF207E">
              <w:rPr>
                <w:rFonts w:cs="Arial"/>
                <w:sz w:val="20"/>
                <w:szCs w:val="20"/>
                <w:lang w:val="sl-SI"/>
              </w:rPr>
              <w:t>e</w:t>
            </w:r>
            <w:r w:rsidR="00837CF7" w:rsidRPr="00FF207E">
              <w:rPr>
                <w:rFonts w:cs="Arial"/>
                <w:sz w:val="20"/>
                <w:szCs w:val="20"/>
                <w:lang w:val="sl-SI"/>
              </w:rPr>
              <w:t xml:space="preserve"> je</w:t>
            </w:r>
            <w:r w:rsidR="00851391" w:rsidRPr="00FF207E">
              <w:rPr>
                <w:rFonts w:cs="Arial"/>
                <w:sz w:val="20"/>
                <w:szCs w:val="20"/>
                <w:lang w:val="sl-SI"/>
              </w:rPr>
              <w:t xml:space="preserve"> treba </w:t>
            </w:r>
            <w:r w:rsidR="00837CF7" w:rsidRPr="00FF207E">
              <w:rPr>
                <w:rFonts w:cs="Arial"/>
                <w:sz w:val="20"/>
                <w:szCs w:val="20"/>
                <w:lang w:val="sl-SI"/>
              </w:rPr>
              <w:t>seznaniti Vlado R</w:t>
            </w:r>
            <w:r w:rsidR="00943875" w:rsidRPr="00FF207E">
              <w:rPr>
                <w:rFonts w:cs="Arial"/>
                <w:sz w:val="20"/>
                <w:szCs w:val="20"/>
                <w:lang w:val="sl-SI"/>
              </w:rPr>
              <w:t xml:space="preserve">epublike </w:t>
            </w:r>
            <w:r w:rsidR="00837CF7" w:rsidRPr="00FF207E">
              <w:rPr>
                <w:rFonts w:cs="Arial"/>
                <w:sz w:val="20"/>
                <w:szCs w:val="20"/>
                <w:lang w:val="sl-SI"/>
              </w:rPr>
              <w:t>S</w:t>
            </w:r>
            <w:r w:rsidR="00943875" w:rsidRPr="00FF207E">
              <w:rPr>
                <w:rFonts w:cs="Arial"/>
                <w:sz w:val="20"/>
                <w:szCs w:val="20"/>
                <w:lang w:val="sl-SI"/>
              </w:rPr>
              <w:t>lovenije</w:t>
            </w:r>
            <w:r w:rsidR="00837CF7" w:rsidRPr="00FF207E">
              <w:rPr>
                <w:rFonts w:cs="Arial"/>
                <w:sz w:val="20"/>
                <w:szCs w:val="20"/>
                <w:lang w:val="sl-SI"/>
              </w:rPr>
              <w:t xml:space="preserve"> z izvajanjem ukrepov vsako leto najpozneje do </w:t>
            </w:r>
            <w:r w:rsidR="00851391" w:rsidRPr="00FF207E">
              <w:rPr>
                <w:rFonts w:cs="Arial"/>
                <w:sz w:val="20"/>
                <w:szCs w:val="20"/>
                <w:lang w:val="sl-SI"/>
              </w:rPr>
              <w:t xml:space="preserve">30. </w:t>
            </w:r>
            <w:r w:rsidR="00837CF7" w:rsidRPr="00FF207E">
              <w:rPr>
                <w:rFonts w:cs="Arial"/>
                <w:sz w:val="20"/>
                <w:szCs w:val="20"/>
                <w:lang w:val="sl-SI"/>
              </w:rPr>
              <w:t>maja</w:t>
            </w:r>
          </w:p>
        </w:tc>
      </w:tr>
      <w:tr w:rsidR="00851391" w:rsidRPr="00FF207E" w14:paraId="4293E162" w14:textId="77777777" w:rsidTr="007B0A54">
        <w:tc>
          <w:tcPr>
            <w:tcW w:w="567" w:type="dxa"/>
            <w:vMerge/>
            <w:tcBorders>
              <w:left w:val="nil"/>
              <w:bottom w:val="single" w:sz="4" w:space="0" w:color="548DD4" w:themeColor="text2" w:themeTint="99"/>
              <w:right w:val="single" w:sz="4" w:space="0" w:color="548DD4" w:themeColor="text2" w:themeTint="99"/>
            </w:tcBorders>
          </w:tcPr>
          <w:p w14:paraId="36560C67" w14:textId="77777777" w:rsidR="00851391" w:rsidRPr="00FF207E" w:rsidRDefault="00851391"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E268A0F" w14:textId="77777777" w:rsidR="00851391" w:rsidRPr="00FF207E" w:rsidRDefault="00851391" w:rsidP="001E304B">
            <w:pPr>
              <w:spacing w:line="240" w:lineRule="atLeast"/>
              <w:jc w:val="both"/>
              <w:rPr>
                <w:rFonts w:cs="Arial"/>
                <w:sz w:val="20"/>
                <w:szCs w:val="20"/>
                <w:lang w:val="sl-SI"/>
              </w:rPr>
            </w:pPr>
            <w:r w:rsidRPr="00FF207E">
              <w:rPr>
                <w:rFonts w:cs="Arial"/>
                <w:sz w:val="20"/>
                <w:szCs w:val="20"/>
                <w:lang w:val="sl-SI"/>
              </w:rPr>
              <w:t>Odgovornost</w:t>
            </w:r>
          </w:p>
        </w:tc>
        <w:tc>
          <w:tcPr>
            <w:tcW w:w="6100" w:type="dxa"/>
            <w:gridSpan w:val="2"/>
            <w:tcBorders>
              <w:top w:val="dotted" w:sz="4" w:space="0" w:color="548DD4" w:themeColor="text2" w:themeTint="99"/>
              <w:left w:val="single" w:sz="4" w:space="0" w:color="548DD4" w:themeColor="text2" w:themeTint="99"/>
              <w:bottom w:val="dotted" w:sz="4" w:space="0" w:color="548DD4" w:themeColor="text2" w:themeTint="99"/>
              <w:right w:val="nil"/>
            </w:tcBorders>
          </w:tcPr>
          <w:p w14:paraId="478B3598" w14:textId="77777777" w:rsidR="00851391" w:rsidRPr="00FF207E" w:rsidRDefault="00851391" w:rsidP="001E304B">
            <w:pPr>
              <w:spacing w:line="240" w:lineRule="atLeast"/>
              <w:jc w:val="both"/>
              <w:rPr>
                <w:rFonts w:cs="Arial"/>
                <w:sz w:val="20"/>
                <w:szCs w:val="20"/>
                <w:lang w:val="sl-SI"/>
              </w:rPr>
            </w:pPr>
            <w:r w:rsidRPr="00FF207E">
              <w:rPr>
                <w:rFonts w:cs="Arial"/>
                <w:sz w:val="20"/>
                <w:szCs w:val="20"/>
                <w:lang w:val="sl-SI"/>
              </w:rPr>
              <w:t>MOPE</w:t>
            </w:r>
          </w:p>
        </w:tc>
      </w:tr>
      <w:tr w:rsidR="00851391" w:rsidRPr="00FF207E" w14:paraId="70BC539F" w14:textId="77777777" w:rsidTr="007B0A54">
        <w:tc>
          <w:tcPr>
            <w:tcW w:w="567" w:type="dxa"/>
            <w:vMerge/>
            <w:tcBorders>
              <w:left w:val="nil"/>
              <w:bottom w:val="single" w:sz="4" w:space="0" w:color="548DD4" w:themeColor="text2" w:themeTint="99"/>
              <w:right w:val="single" w:sz="4" w:space="0" w:color="548DD4" w:themeColor="text2" w:themeTint="99"/>
            </w:tcBorders>
          </w:tcPr>
          <w:p w14:paraId="3E3A4C49" w14:textId="77777777" w:rsidR="00851391" w:rsidRPr="00FF207E" w:rsidRDefault="00851391"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5D8D64A2" w14:textId="77777777" w:rsidR="00851391" w:rsidRPr="00FF207E" w:rsidRDefault="00851391"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100" w:type="dxa"/>
            <w:gridSpan w:val="2"/>
            <w:tcBorders>
              <w:top w:val="dotted" w:sz="4" w:space="0" w:color="548DD4" w:themeColor="text2" w:themeTint="99"/>
              <w:left w:val="single" w:sz="4" w:space="0" w:color="548DD4" w:themeColor="text2" w:themeTint="99"/>
              <w:bottom w:val="dotted" w:sz="4" w:space="0" w:color="548DD4" w:themeColor="text2" w:themeTint="99"/>
              <w:right w:val="nil"/>
            </w:tcBorders>
          </w:tcPr>
          <w:p w14:paraId="145A8C12" w14:textId="611C2876" w:rsidR="00851391" w:rsidRPr="00FF207E" w:rsidRDefault="00C26A19" w:rsidP="0006530A">
            <w:pPr>
              <w:spacing w:line="240" w:lineRule="atLeast"/>
              <w:jc w:val="both"/>
              <w:rPr>
                <w:rFonts w:cs="Arial"/>
                <w:sz w:val="20"/>
                <w:szCs w:val="20"/>
                <w:lang w:val="sl-SI"/>
              </w:rPr>
            </w:pPr>
            <w:r w:rsidRPr="00FF207E">
              <w:rPr>
                <w:rFonts w:cs="Arial"/>
                <w:sz w:val="20"/>
                <w:szCs w:val="20"/>
                <w:lang w:val="sl-SI"/>
              </w:rPr>
              <w:t>so</w:t>
            </w:r>
            <w:r w:rsidR="00851391" w:rsidRPr="00FF207E">
              <w:rPr>
                <w:rFonts w:cs="Arial"/>
                <w:sz w:val="20"/>
                <w:szCs w:val="20"/>
                <w:lang w:val="sl-SI"/>
              </w:rPr>
              <w:t xml:space="preserve">svet za zmanjševanje energetske revščine, </w:t>
            </w:r>
            <w:proofErr w:type="spellStart"/>
            <w:r w:rsidR="00851391" w:rsidRPr="00FF207E">
              <w:rPr>
                <w:rFonts w:cs="Arial"/>
                <w:sz w:val="20"/>
                <w:szCs w:val="20"/>
                <w:lang w:val="sl-SI"/>
              </w:rPr>
              <w:t>Eko</w:t>
            </w:r>
            <w:proofErr w:type="spellEnd"/>
            <w:r w:rsidR="00851391" w:rsidRPr="00FF207E">
              <w:rPr>
                <w:rFonts w:cs="Arial"/>
                <w:sz w:val="20"/>
                <w:szCs w:val="20"/>
                <w:lang w:val="sl-SI"/>
              </w:rPr>
              <w:t xml:space="preserve"> sklad, MDDSZ, </w:t>
            </w:r>
            <w:r w:rsidR="0006530A" w:rsidRPr="00FF207E">
              <w:rPr>
                <w:rFonts w:cs="Arial"/>
                <w:sz w:val="20"/>
                <w:szCs w:val="20"/>
                <w:lang w:val="sl-SI"/>
              </w:rPr>
              <w:t xml:space="preserve">drugi </w:t>
            </w:r>
            <w:r w:rsidR="00851391" w:rsidRPr="00FF207E">
              <w:rPr>
                <w:rFonts w:cs="Arial"/>
                <w:sz w:val="20"/>
                <w:szCs w:val="20"/>
                <w:lang w:val="sl-SI"/>
              </w:rPr>
              <w:t>izvajalci ukrepov</w:t>
            </w:r>
          </w:p>
        </w:tc>
      </w:tr>
      <w:tr w:rsidR="00851391" w:rsidRPr="00FF207E" w14:paraId="0F01ED92" w14:textId="77777777" w:rsidTr="007B0A54">
        <w:tc>
          <w:tcPr>
            <w:tcW w:w="567" w:type="dxa"/>
            <w:vMerge/>
            <w:tcBorders>
              <w:left w:val="nil"/>
              <w:bottom w:val="single" w:sz="4" w:space="0" w:color="548DD4" w:themeColor="text2" w:themeTint="99"/>
              <w:right w:val="single" w:sz="4" w:space="0" w:color="548DD4" w:themeColor="text2" w:themeTint="99"/>
            </w:tcBorders>
          </w:tcPr>
          <w:p w14:paraId="03E0E6BD" w14:textId="77777777" w:rsidR="00851391" w:rsidRPr="00FF207E" w:rsidRDefault="00851391"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66008A65" w14:textId="77777777" w:rsidR="00851391" w:rsidRPr="00FF207E" w:rsidRDefault="00851391" w:rsidP="001E304B">
            <w:pPr>
              <w:spacing w:line="240" w:lineRule="atLeast"/>
              <w:jc w:val="both"/>
              <w:rPr>
                <w:rFonts w:cs="Arial"/>
                <w:sz w:val="20"/>
                <w:szCs w:val="20"/>
                <w:lang w:val="sl-SI"/>
              </w:rPr>
            </w:pPr>
            <w:r w:rsidRPr="00FF207E">
              <w:rPr>
                <w:rFonts w:cs="Arial"/>
                <w:sz w:val="20"/>
                <w:szCs w:val="20"/>
                <w:lang w:val="sl-SI"/>
              </w:rPr>
              <w:t>Rok izvedbe</w:t>
            </w:r>
          </w:p>
        </w:tc>
        <w:tc>
          <w:tcPr>
            <w:tcW w:w="6100" w:type="dxa"/>
            <w:gridSpan w:val="2"/>
            <w:tcBorders>
              <w:top w:val="dotted" w:sz="4" w:space="0" w:color="548DD4" w:themeColor="text2" w:themeTint="99"/>
              <w:left w:val="single" w:sz="4" w:space="0" w:color="548DD4" w:themeColor="text2" w:themeTint="99"/>
              <w:bottom w:val="single" w:sz="4" w:space="0" w:color="548DD4" w:themeColor="text2" w:themeTint="99"/>
              <w:right w:val="nil"/>
            </w:tcBorders>
          </w:tcPr>
          <w:p w14:paraId="3DCA2533" w14:textId="68EFDBF5" w:rsidR="00851391" w:rsidRPr="00FF207E" w:rsidRDefault="00A401F6" w:rsidP="00EA5E8E">
            <w:pPr>
              <w:spacing w:line="240" w:lineRule="atLeast"/>
              <w:jc w:val="both"/>
              <w:rPr>
                <w:rFonts w:cs="Arial"/>
                <w:sz w:val="20"/>
                <w:szCs w:val="20"/>
                <w:lang w:val="sl-SI"/>
              </w:rPr>
            </w:pPr>
            <w:r w:rsidRPr="00FF207E">
              <w:rPr>
                <w:rFonts w:cs="Arial"/>
                <w:sz w:val="20"/>
                <w:szCs w:val="20"/>
                <w:lang w:val="sl-SI"/>
              </w:rPr>
              <w:t>2024, 2025, 2026</w:t>
            </w:r>
          </w:p>
        </w:tc>
      </w:tr>
      <w:tr w:rsidR="00801298" w:rsidRPr="00FF207E" w14:paraId="7859E2E8" w14:textId="77777777" w:rsidTr="005C2342">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7D842F3F" w14:textId="77777777" w:rsidR="00801298" w:rsidRPr="00FF207E" w:rsidRDefault="00801298" w:rsidP="001E304B">
            <w:pPr>
              <w:spacing w:line="240" w:lineRule="atLeast"/>
              <w:jc w:val="both"/>
              <w:rPr>
                <w:rFonts w:cs="Arial"/>
                <w:b/>
                <w:sz w:val="24"/>
                <w:lang w:val="sl-SI"/>
              </w:rPr>
            </w:pPr>
            <w:r w:rsidRPr="00FF207E">
              <w:rPr>
                <w:rFonts w:cs="Arial"/>
                <w:b/>
                <w:sz w:val="24"/>
                <w:lang w:val="sl-SI"/>
              </w:rPr>
              <w:lastRenderedPageBreak/>
              <w:t>3</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5315849D" w14:textId="77777777" w:rsidR="00801298" w:rsidRPr="00FF207E" w:rsidRDefault="00801298" w:rsidP="001E304B">
            <w:pPr>
              <w:spacing w:line="240" w:lineRule="atLeast"/>
              <w:jc w:val="both"/>
              <w:rPr>
                <w:rFonts w:cs="Arial"/>
                <w:sz w:val="20"/>
                <w:szCs w:val="20"/>
                <w:lang w:val="sl-SI"/>
              </w:rPr>
            </w:pPr>
            <w:r w:rsidRPr="00FF207E">
              <w:rPr>
                <w:rFonts w:cs="Arial"/>
                <w:sz w:val="20"/>
                <w:szCs w:val="20"/>
                <w:lang w:val="sl-SI"/>
              </w:rPr>
              <w:t>Vsebina</w:t>
            </w:r>
          </w:p>
        </w:tc>
        <w:tc>
          <w:tcPr>
            <w:tcW w:w="6100" w:type="dxa"/>
            <w:gridSpan w:val="2"/>
            <w:tcBorders>
              <w:top w:val="single" w:sz="4" w:space="0" w:color="548DD4" w:themeColor="text2" w:themeTint="99"/>
              <w:left w:val="single" w:sz="4" w:space="0" w:color="548DD4" w:themeColor="text2" w:themeTint="99"/>
              <w:bottom w:val="dotted" w:sz="4" w:space="0" w:color="548DD4" w:themeColor="text2" w:themeTint="99"/>
              <w:right w:val="nil"/>
            </w:tcBorders>
          </w:tcPr>
          <w:p w14:paraId="7B8D5745" w14:textId="7D5DD052" w:rsidR="00801298" w:rsidRPr="00FF207E" w:rsidRDefault="005F5F18" w:rsidP="005F5F18">
            <w:pPr>
              <w:spacing w:line="240" w:lineRule="atLeast"/>
              <w:jc w:val="both"/>
              <w:rPr>
                <w:rFonts w:cs="Arial"/>
                <w:sz w:val="20"/>
                <w:szCs w:val="20"/>
                <w:lang w:val="sl-SI"/>
              </w:rPr>
            </w:pPr>
            <w:r w:rsidRPr="00FF207E">
              <w:rPr>
                <w:rFonts w:cs="Arial"/>
                <w:sz w:val="20"/>
                <w:szCs w:val="20"/>
                <w:lang w:val="sl-SI"/>
              </w:rPr>
              <w:t>a</w:t>
            </w:r>
            <w:r w:rsidR="00A02A94" w:rsidRPr="00FF207E">
              <w:rPr>
                <w:rFonts w:cs="Arial"/>
                <w:sz w:val="20"/>
                <w:szCs w:val="20"/>
                <w:lang w:val="sl-SI"/>
              </w:rPr>
              <w:t>naliza</w:t>
            </w:r>
            <w:r w:rsidR="00801298" w:rsidRPr="00FF207E">
              <w:rPr>
                <w:rFonts w:cs="Arial"/>
                <w:sz w:val="20"/>
                <w:szCs w:val="20"/>
                <w:lang w:val="sl-SI"/>
              </w:rPr>
              <w:t xml:space="preserve"> potencialov za </w:t>
            </w:r>
            <w:r w:rsidR="00D234E4" w:rsidRPr="00FF207E">
              <w:rPr>
                <w:rFonts w:cs="Arial"/>
                <w:sz w:val="20"/>
                <w:szCs w:val="20"/>
                <w:lang w:val="sl-SI"/>
              </w:rPr>
              <w:t>blaženje</w:t>
            </w:r>
            <w:r w:rsidR="00801298" w:rsidRPr="00FF207E">
              <w:rPr>
                <w:rFonts w:cs="Arial"/>
                <w:sz w:val="20"/>
                <w:szCs w:val="20"/>
                <w:lang w:val="sl-SI"/>
              </w:rPr>
              <w:t xml:space="preserve"> </w:t>
            </w:r>
            <w:r w:rsidR="00A02A94" w:rsidRPr="00FF207E">
              <w:rPr>
                <w:rFonts w:cs="Arial"/>
                <w:sz w:val="20"/>
                <w:szCs w:val="20"/>
                <w:lang w:val="sl-SI"/>
              </w:rPr>
              <w:t>energetske revščine</w:t>
            </w:r>
            <w:r w:rsidR="00801298" w:rsidRPr="00FF207E">
              <w:rPr>
                <w:rFonts w:cs="Arial"/>
                <w:sz w:val="20"/>
                <w:szCs w:val="20"/>
                <w:lang w:val="sl-SI"/>
              </w:rPr>
              <w:t xml:space="preserve"> z izvedbo ukrepov URE in </w:t>
            </w:r>
            <w:r w:rsidR="00026105" w:rsidRPr="00FF207E">
              <w:rPr>
                <w:rFonts w:cs="Arial"/>
                <w:sz w:val="20"/>
                <w:szCs w:val="20"/>
                <w:lang w:val="sl-SI"/>
              </w:rPr>
              <w:t xml:space="preserve">rabe </w:t>
            </w:r>
            <w:r w:rsidR="00801298" w:rsidRPr="00FF207E">
              <w:rPr>
                <w:rFonts w:cs="Arial"/>
                <w:sz w:val="20"/>
                <w:szCs w:val="20"/>
                <w:lang w:val="sl-SI"/>
              </w:rPr>
              <w:t>OVE</w:t>
            </w:r>
            <w:r w:rsidR="00A02A94" w:rsidRPr="00FF207E">
              <w:rPr>
                <w:rFonts w:cs="Arial"/>
                <w:sz w:val="20"/>
                <w:szCs w:val="20"/>
                <w:lang w:val="sl-SI"/>
              </w:rPr>
              <w:t>, lahko tudi kot ciljni raziskovalni program (CRP)</w:t>
            </w:r>
            <w:r w:rsidRPr="00FF207E">
              <w:rPr>
                <w:rFonts w:cs="Arial"/>
                <w:sz w:val="20"/>
                <w:szCs w:val="20"/>
                <w:lang w:val="sl-SI"/>
              </w:rPr>
              <w:t>;</w:t>
            </w:r>
            <w:r w:rsidR="00A02A94" w:rsidRPr="00FF207E">
              <w:rPr>
                <w:rFonts w:cs="Arial"/>
                <w:sz w:val="20"/>
                <w:szCs w:val="20"/>
                <w:lang w:val="sl-SI"/>
              </w:rPr>
              <w:t xml:space="preserve"> </w:t>
            </w:r>
            <w:r w:rsidRPr="00FF207E">
              <w:rPr>
                <w:rFonts w:cs="Arial"/>
                <w:sz w:val="20"/>
                <w:szCs w:val="20"/>
                <w:lang w:val="sl-SI"/>
              </w:rPr>
              <w:t>n</w:t>
            </w:r>
            <w:r w:rsidR="00345A57" w:rsidRPr="00FF207E">
              <w:rPr>
                <w:rFonts w:cs="Arial"/>
                <w:sz w:val="20"/>
                <w:szCs w:val="20"/>
                <w:lang w:val="sl-SI"/>
              </w:rPr>
              <w:t xml:space="preserve">amen analize je ugotoviti, </w:t>
            </w:r>
            <w:r w:rsidR="00C047E4" w:rsidRPr="00FF207E">
              <w:rPr>
                <w:rFonts w:cs="Arial"/>
                <w:sz w:val="20"/>
                <w:szCs w:val="20"/>
                <w:lang w:val="sl-SI"/>
              </w:rPr>
              <w:t xml:space="preserve">kakšen je potencial za izvedbo ukrepov URE in </w:t>
            </w:r>
            <w:r w:rsidR="00026105" w:rsidRPr="00FF207E">
              <w:rPr>
                <w:rFonts w:cs="Arial"/>
                <w:sz w:val="20"/>
                <w:szCs w:val="20"/>
                <w:lang w:val="sl-SI"/>
              </w:rPr>
              <w:t xml:space="preserve">rabe </w:t>
            </w:r>
            <w:r w:rsidR="00C047E4" w:rsidRPr="00FF207E">
              <w:rPr>
                <w:rFonts w:cs="Arial"/>
                <w:sz w:val="20"/>
                <w:szCs w:val="20"/>
                <w:lang w:val="sl-SI"/>
              </w:rPr>
              <w:t>OVE glede na realno stanje med energetsko revnimi (</w:t>
            </w:r>
            <w:r w:rsidRPr="00FF207E">
              <w:rPr>
                <w:rFonts w:cs="Arial"/>
                <w:sz w:val="20"/>
                <w:szCs w:val="20"/>
                <w:lang w:val="sl-SI"/>
              </w:rPr>
              <w:t xml:space="preserve">nezanimanje </w:t>
            </w:r>
            <w:r w:rsidR="00C047E4" w:rsidRPr="00FF207E">
              <w:rPr>
                <w:rFonts w:cs="Arial"/>
                <w:sz w:val="20"/>
                <w:szCs w:val="20"/>
                <w:lang w:val="sl-SI"/>
              </w:rPr>
              <w:t xml:space="preserve">za spremembe, bivališča, ki niso primerna za obnovo, </w:t>
            </w:r>
            <w:r w:rsidR="00B77973" w:rsidRPr="00FF207E">
              <w:rPr>
                <w:rFonts w:cs="Arial"/>
                <w:sz w:val="20"/>
                <w:szCs w:val="20"/>
                <w:lang w:val="sl-SI"/>
              </w:rPr>
              <w:t>in tako dalje</w:t>
            </w:r>
            <w:r w:rsidR="00C047E4" w:rsidRPr="00FF207E">
              <w:rPr>
                <w:rFonts w:cs="Arial"/>
                <w:sz w:val="20"/>
                <w:szCs w:val="20"/>
                <w:lang w:val="sl-SI"/>
              </w:rPr>
              <w:t>)</w:t>
            </w:r>
          </w:p>
        </w:tc>
      </w:tr>
      <w:tr w:rsidR="00801298" w:rsidRPr="00FF207E" w14:paraId="1B6F6FAF" w14:textId="77777777" w:rsidTr="005C2342">
        <w:tc>
          <w:tcPr>
            <w:tcW w:w="567" w:type="dxa"/>
            <w:vMerge/>
            <w:tcBorders>
              <w:left w:val="nil"/>
              <w:bottom w:val="single" w:sz="4" w:space="0" w:color="548DD4" w:themeColor="text2" w:themeTint="99"/>
              <w:right w:val="single" w:sz="4" w:space="0" w:color="548DD4" w:themeColor="text2" w:themeTint="99"/>
            </w:tcBorders>
          </w:tcPr>
          <w:p w14:paraId="2B62CD67" w14:textId="77777777" w:rsidR="00801298" w:rsidRPr="00FF207E" w:rsidRDefault="00801298"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86EAA49" w14:textId="77777777" w:rsidR="00801298" w:rsidRPr="00FF207E" w:rsidRDefault="00801298" w:rsidP="001E304B">
            <w:pPr>
              <w:spacing w:line="240" w:lineRule="atLeast"/>
              <w:jc w:val="both"/>
              <w:rPr>
                <w:rFonts w:cs="Arial"/>
                <w:sz w:val="20"/>
                <w:szCs w:val="20"/>
                <w:lang w:val="sl-SI"/>
              </w:rPr>
            </w:pPr>
            <w:r w:rsidRPr="00FF207E">
              <w:rPr>
                <w:rFonts w:cs="Arial"/>
                <w:sz w:val="20"/>
                <w:szCs w:val="20"/>
                <w:lang w:val="sl-SI"/>
              </w:rPr>
              <w:t>Odgovornost</w:t>
            </w:r>
          </w:p>
        </w:tc>
        <w:tc>
          <w:tcPr>
            <w:tcW w:w="6100" w:type="dxa"/>
            <w:gridSpan w:val="2"/>
            <w:tcBorders>
              <w:top w:val="dotted" w:sz="4" w:space="0" w:color="548DD4" w:themeColor="text2" w:themeTint="99"/>
              <w:left w:val="single" w:sz="4" w:space="0" w:color="548DD4" w:themeColor="text2" w:themeTint="99"/>
              <w:bottom w:val="dotted" w:sz="4" w:space="0" w:color="548DD4" w:themeColor="text2" w:themeTint="99"/>
              <w:right w:val="nil"/>
            </w:tcBorders>
          </w:tcPr>
          <w:p w14:paraId="18875909" w14:textId="77777777" w:rsidR="00801298" w:rsidRPr="00FF207E" w:rsidRDefault="00801298" w:rsidP="001E304B">
            <w:pPr>
              <w:spacing w:line="240" w:lineRule="atLeast"/>
              <w:jc w:val="both"/>
              <w:rPr>
                <w:rFonts w:cs="Arial"/>
                <w:sz w:val="20"/>
                <w:szCs w:val="20"/>
                <w:lang w:val="sl-SI"/>
              </w:rPr>
            </w:pPr>
            <w:r w:rsidRPr="00FF207E">
              <w:rPr>
                <w:rFonts w:cs="Arial"/>
                <w:sz w:val="20"/>
                <w:szCs w:val="20"/>
                <w:lang w:val="sl-SI"/>
              </w:rPr>
              <w:t>MOPE</w:t>
            </w:r>
          </w:p>
        </w:tc>
      </w:tr>
      <w:tr w:rsidR="00801298" w:rsidRPr="00FF207E" w14:paraId="26D36F44" w14:textId="77777777" w:rsidTr="005C2342">
        <w:tc>
          <w:tcPr>
            <w:tcW w:w="567" w:type="dxa"/>
            <w:vMerge/>
            <w:tcBorders>
              <w:left w:val="nil"/>
              <w:bottom w:val="single" w:sz="4" w:space="0" w:color="548DD4" w:themeColor="text2" w:themeTint="99"/>
              <w:right w:val="single" w:sz="4" w:space="0" w:color="548DD4" w:themeColor="text2" w:themeTint="99"/>
            </w:tcBorders>
          </w:tcPr>
          <w:p w14:paraId="1D1C5602" w14:textId="77777777" w:rsidR="00801298" w:rsidRPr="00FF207E" w:rsidRDefault="00801298"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31C3E80" w14:textId="77777777" w:rsidR="00801298" w:rsidRPr="00FF207E" w:rsidRDefault="00801298"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100" w:type="dxa"/>
            <w:gridSpan w:val="2"/>
            <w:tcBorders>
              <w:top w:val="dotted" w:sz="4" w:space="0" w:color="548DD4" w:themeColor="text2" w:themeTint="99"/>
              <w:left w:val="single" w:sz="4" w:space="0" w:color="548DD4" w:themeColor="text2" w:themeTint="99"/>
              <w:bottom w:val="dotted" w:sz="4" w:space="0" w:color="548DD4" w:themeColor="text2" w:themeTint="99"/>
              <w:right w:val="nil"/>
            </w:tcBorders>
          </w:tcPr>
          <w:p w14:paraId="4D96A20B" w14:textId="6DCED6F5" w:rsidR="00801298" w:rsidRPr="00FF207E" w:rsidRDefault="00801298" w:rsidP="0006530A">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 MDDSZ, </w:t>
            </w:r>
            <w:r w:rsidR="0006530A" w:rsidRPr="00FF207E">
              <w:rPr>
                <w:rFonts w:cs="Arial"/>
                <w:sz w:val="20"/>
                <w:szCs w:val="20"/>
                <w:lang w:val="sl-SI"/>
              </w:rPr>
              <w:t xml:space="preserve">drugi </w:t>
            </w:r>
            <w:r w:rsidRPr="00FF207E">
              <w:rPr>
                <w:rFonts w:cs="Arial"/>
                <w:sz w:val="20"/>
                <w:szCs w:val="20"/>
                <w:lang w:val="sl-SI"/>
              </w:rPr>
              <w:t>izvajalci ukrepov</w:t>
            </w:r>
          </w:p>
        </w:tc>
      </w:tr>
      <w:tr w:rsidR="00801298" w:rsidRPr="00FF207E" w14:paraId="79765BF0" w14:textId="77777777" w:rsidTr="005C2342">
        <w:tc>
          <w:tcPr>
            <w:tcW w:w="567" w:type="dxa"/>
            <w:vMerge/>
            <w:tcBorders>
              <w:left w:val="nil"/>
              <w:bottom w:val="single" w:sz="4" w:space="0" w:color="548DD4" w:themeColor="text2" w:themeTint="99"/>
              <w:right w:val="single" w:sz="4" w:space="0" w:color="548DD4" w:themeColor="text2" w:themeTint="99"/>
            </w:tcBorders>
          </w:tcPr>
          <w:p w14:paraId="1860536E" w14:textId="77777777" w:rsidR="00801298" w:rsidRPr="00FF207E" w:rsidRDefault="00801298"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426D60A1" w14:textId="77777777" w:rsidR="00801298" w:rsidRPr="00FF207E" w:rsidRDefault="00801298" w:rsidP="001E304B">
            <w:pPr>
              <w:spacing w:line="240" w:lineRule="atLeast"/>
              <w:jc w:val="both"/>
              <w:rPr>
                <w:rFonts w:cs="Arial"/>
                <w:sz w:val="20"/>
                <w:szCs w:val="20"/>
                <w:lang w:val="sl-SI"/>
              </w:rPr>
            </w:pPr>
            <w:r w:rsidRPr="00FF207E">
              <w:rPr>
                <w:rFonts w:cs="Arial"/>
                <w:sz w:val="20"/>
                <w:szCs w:val="20"/>
                <w:lang w:val="sl-SI"/>
              </w:rPr>
              <w:t>Rok izvedbe</w:t>
            </w:r>
          </w:p>
        </w:tc>
        <w:tc>
          <w:tcPr>
            <w:tcW w:w="6100" w:type="dxa"/>
            <w:gridSpan w:val="2"/>
            <w:tcBorders>
              <w:top w:val="dotted" w:sz="4" w:space="0" w:color="548DD4" w:themeColor="text2" w:themeTint="99"/>
              <w:left w:val="single" w:sz="4" w:space="0" w:color="548DD4" w:themeColor="text2" w:themeTint="99"/>
              <w:bottom w:val="single" w:sz="4" w:space="0" w:color="548DD4" w:themeColor="text2" w:themeTint="99"/>
              <w:right w:val="nil"/>
            </w:tcBorders>
          </w:tcPr>
          <w:p w14:paraId="7920C6C5" w14:textId="10496E47" w:rsidR="00801298" w:rsidRPr="00FF207E" w:rsidRDefault="00A401F6" w:rsidP="001E304B">
            <w:pPr>
              <w:spacing w:line="240" w:lineRule="atLeast"/>
              <w:jc w:val="both"/>
              <w:rPr>
                <w:rFonts w:cs="Arial"/>
                <w:sz w:val="20"/>
                <w:szCs w:val="20"/>
                <w:lang w:val="sl-SI"/>
              </w:rPr>
            </w:pPr>
            <w:r w:rsidRPr="00FF207E">
              <w:rPr>
                <w:rFonts w:cs="Arial"/>
                <w:sz w:val="20"/>
                <w:szCs w:val="20"/>
                <w:lang w:val="sl-SI"/>
              </w:rPr>
              <w:t>2026</w:t>
            </w:r>
          </w:p>
        </w:tc>
      </w:tr>
      <w:tr w:rsidR="00837CF7" w:rsidRPr="00FF207E" w14:paraId="1CE6BF33" w14:textId="77777777" w:rsidTr="007B0A54">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70BE6611" w14:textId="64D43A43" w:rsidR="00837CF7" w:rsidRPr="00FF207E" w:rsidRDefault="00801298" w:rsidP="001E304B">
            <w:pPr>
              <w:spacing w:line="240" w:lineRule="atLeast"/>
              <w:jc w:val="both"/>
              <w:rPr>
                <w:rFonts w:cs="Arial"/>
                <w:b/>
                <w:sz w:val="24"/>
                <w:lang w:val="sl-SI"/>
              </w:rPr>
            </w:pPr>
            <w:r w:rsidRPr="00FF207E">
              <w:rPr>
                <w:rFonts w:cs="Arial"/>
                <w:b/>
                <w:sz w:val="24"/>
                <w:lang w:val="sl-SI"/>
              </w:rPr>
              <w:t>4</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535E9967" w14:textId="77777777" w:rsidR="00837CF7" w:rsidRPr="00FF207E" w:rsidRDefault="00837CF7" w:rsidP="001E304B">
            <w:pPr>
              <w:spacing w:line="240" w:lineRule="atLeast"/>
              <w:jc w:val="both"/>
              <w:rPr>
                <w:rFonts w:cs="Arial"/>
                <w:sz w:val="20"/>
                <w:szCs w:val="20"/>
                <w:lang w:val="sl-SI"/>
              </w:rPr>
            </w:pPr>
            <w:r w:rsidRPr="00FF207E">
              <w:rPr>
                <w:rFonts w:cs="Arial"/>
                <w:sz w:val="20"/>
                <w:szCs w:val="20"/>
                <w:lang w:val="sl-SI"/>
              </w:rPr>
              <w:t>Vsebina</w:t>
            </w:r>
          </w:p>
        </w:tc>
        <w:tc>
          <w:tcPr>
            <w:tcW w:w="6100" w:type="dxa"/>
            <w:gridSpan w:val="2"/>
            <w:tcBorders>
              <w:top w:val="single" w:sz="4" w:space="0" w:color="548DD4" w:themeColor="text2" w:themeTint="99"/>
              <w:left w:val="single" w:sz="4" w:space="0" w:color="548DD4" w:themeColor="text2" w:themeTint="99"/>
              <w:bottom w:val="dotted" w:sz="4" w:space="0" w:color="548DD4" w:themeColor="text2" w:themeTint="99"/>
              <w:right w:val="nil"/>
            </w:tcBorders>
          </w:tcPr>
          <w:p w14:paraId="6F2FEEBD" w14:textId="65A81E6E" w:rsidR="00837CF7" w:rsidRPr="00FF207E" w:rsidRDefault="005F5F18" w:rsidP="00CB3F8C">
            <w:pPr>
              <w:spacing w:line="240" w:lineRule="atLeast"/>
              <w:jc w:val="both"/>
              <w:rPr>
                <w:rFonts w:cs="Arial"/>
                <w:sz w:val="20"/>
                <w:szCs w:val="20"/>
                <w:lang w:val="sl-SI"/>
              </w:rPr>
            </w:pPr>
            <w:r w:rsidRPr="00FF207E">
              <w:rPr>
                <w:rFonts w:cs="Arial"/>
                <w:sz w:val="20"/>
                <w:szCs w:val="20"/>
                <w:lang w:val="sl-SI"/>
              </w:rPr>
              <w:t>p</w:t>
            </w:r>
            <w:r w:rsidR="00837CF7" w:rsidRPr="00FF207E">
              <w:rPr>
                <w:rFonts w:cs="Arial"/>
                <w:sz w:val="20"/>
                <w:szCs w:val="20"/>
                <w:lang w:val="sl-SI"/>
              </w:rPr>
              <w:t>riprava</w:t>
            </w:r>
            <w:r w:rsidR="002966AE" w:rsidRPr="00FF207E">
              <w:rPr>
                <w:rFonts w:cs="Arial"/>
                <w:sz w:val="20"/>
                <w:szCs w:val="20"/>
                <w:lang w:val="sl-SI"/>
              </w:rPr>
              <w:t xml:space="preserve">, uskladitev in </w:t>
            </w:r>
            <w:r w:rsidR="00CB3F8C" w:rsidRPr="00FF207E">
              <w:rPr>
                <w:rFonts w:cs="Arial"/>
                <w:sz w:val="20"/>
                <w:szCs w:val="20"/>
                <w:lang w:val="sl-SI"/>
              </w:rPr>
              <w:t xml:space="preserve">sprejetje </w:t>
            </w:r>
            <w:r w:rsidR="002966AE" w:rsidRPr="00FF207E">
              <w:rPr>
                <w:rFonts w:cs="Arial"/>
                <w:sz w:val="20"/>
                <w:szCs w:val="20"/>
                <w:lang w:val="sl-SI"/>
              </w:rPr>
              <w:t>akcijskega načrta za naslednje triletno obdobje</w:t>
            </w:r>
          </w:p>
        </w:tc>
      </w:tr>
      <w:tr w:rsidR="00837CF7" w:rsidRPr="00FF207E" w14:paraId="053B4FEF" w14:textId="77777777" w:rsidTr="007B0A54">
        <w:tc>
          <w:tcPr>
            <w:tcW w:w="567" w:type="dxa"/>
            <w:vMerge/>
            <w:tcBorders>
              <w:left w:val="nil"/>
              <w:bottom w:val="single" w:sz="4" w:space="0" w:color="548DD4" w:themeColor="text2" w:themeTint="99"/>
              <w:right w:val="single" w:sz="4" w:space="0" w:color="548DD4" w:themeColor="text2" w:themeTint="99"/>
            </w:tcBorders>
          </w:tcPr>
          <w:p w14:paraId="5B41C8CA" w14:textId="77777777" w:rsidR="00837CF7" w:rsidRPr="00FF207E" w:rsidRDefault="00837CF7"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5C0CF3E" w14:textId="77777777" w:rsidR="00837CF7" w:rsidRPr="00FF207E" w:rsidRDefault="00837CF7" w:rsidP="001E304B">
            <w:pPr>
              <w:spacing w:line="240" w:lineRule="atLeast"/>
              <w:jc w:val="both"/>
              <w:rPr>
                <w:rFonts w:cs="Arial"/>
                <w:sz w:val="20"/>
                <w:szCs w:val="20"/>
                <w:lang w:val="sl-SI"/>
              </w:rPr>
            </w:pPr>
            <w:r w:rsidRPr="00FF207E">
              <w:rPr>
                <w:rFonts w:cs="Arial"/>
                <w:sz w:val="20"/>
                <w:szCs w:val="20"/>
                <w:lang w:val="sl-SI"/>
              </w:rPr>
              <w:t>Odgovornost</w:t>
            </w:r>
          </w:p>
        </w:tc>
        <w:tc>
          <w:tcPr>
            <w:tcW w:w="6100" w:type="dxa"/>
            <w:gridSpan w:val="2"/>
            <w:tcBorders>
              <w:top w:val="dotted" w:sz="4" w:space="0" w:color="548DD4" w:themeColor="text2" w:themeTint="99"/>
              <w:left w:val="single" w:sz="4" w:space="0" w:color="548DD4" w:themeColor="text2" w:themeTint="99"/>
              <w:bottom w:val="dotted" w:sz="4" w:space="0" w:color="548DD4" w:themeColor="text2" w:themeTint="99"/>
              <w:right w:val="nil"/>
            </w:tcBorders>
          </w:tcPr>
          <w:p w14:paraId="50DB398A" w14:textId="77777777" w:rsidR="00837CF7" w:rsidRPr="00FF207E" w:rsidRDefault="00837CF7" w:rsidP="001E304B">
            <w:pPr>
              <w:spacing w:line="240" w:lineRule="atLeast"/>
              <w:jc w:val="both"/>
              <w:rPr>
                <w:rFonts w:cs="Arial"/>
                <w:sz w:val="20"/>
                <w:szCs w:val="20"/>
                <w:lang w:val="sl-SI"/>
              </w:rPr>
            </w:pPr>
            <w:r w:rsidRPr="00FF207E">
              <w:rPr>
                <w:rFonts w:cs="Arial"/>
                <w:sz w:val="20"/>
                <w:szCs w:val="20"/>
                <w:lang w:val="sl-SI"/>
              </w:rPr>
              <w:t>MOPE</w:t>
            </w:r>
          </w:p>
        </w:tc>
      </w:tr>
      <w:tr w:rsidR="00837CF7" w:rsidRPr="00FF207E" w14:paraId="3BCE1D57" w14:textId="77777777" w:rsidTr="007B0A54">
        <w:tc>
          <w:tcPr>
            <w:tcW w:w="567" w:type="dxa"/>
            <w:vMerge/>
            <w:tcBorders>
              <w:left w:val="nil"/>
              <w:bottom w:val="single" w:sz="4" w:space="0" w:color="548DD4" w:themeColor="text2" w:themeTint="99"/>
              <w:right w:val="single" w:sz="4" w:space="0" w:color="548DD4" w:themeColor="text2" w:themeTint="99"/>
            </w:tcBorders>
          </w:tcPr>
          <w:p w14:paraId="4F762D69" w14:textId="77777777" w:rsidR="00837CF7" w:rsidRPr="00FF207E" w:rsidRDefault="00837CF7"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3B8E7B8" w14:textId="77777777" w:rsidR="00837CF7" w:rsidRPr="00FF207E" w:rsidRDefault="00837CF7"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100" w:type="dxa"/>
            <w:gridSpan w:val="2"/>
            <w:tcBorders>
              <w:top w:val="dotted" w:sz="4" w:space="0" w:color="548DD4" w:themeColor="text2" w:themeTint="99"/>
              <w:left w:val="single" w:sz="4" w:space="0" w:color="548DD4" w:themeColor="text2" w:themeTint="99"/>
              <w:bottom w:val="dotted" w:sz="4" w:space="0" w:color="548DD4" w:themeColor="text2" w:themeTint="99"/>
              <w:right w:val="nil"/>
            </w:tcBorders>
          </w:tcPr>
          <w:p w14:paraId="679E37C3" w14:textId="23D2D3E7" w:rsidR="00837CF7" w:rsidRPr="00FF207E" w:rsidRDefault="00C26A19" w:rsidP="0006530A">
            <w:pPr>
              <w:spacing w:line="240" w:lineRule="atLeast"/>
              <w:jc w:val="both"/>
              <w:rPr>
                <w:rFonts w:cs="Arial"/>
                <w:sz w:val="20"/>
                <w:szCs w:val="20"/>
                <w:lang w:val="sl-SI"/>
              </w:rPr>
            </w:pPr>
            <w:r w:rsidRPr="00FF207E">
              <w:rPr>
                <w:rFonts w:cs="Arial"/>
                <w:sz w:val="20"/>
                <w:szCs w:val="20"/>
                <w:lang w:val="sl-SI"/>
              </w:rPr>
              <w:t>so</w:t>
            </w:r>
            <w:r w:rsidR="00837CF7" w:rsidRPr="00FF207E">
              <w:rPr>
                <w:rFonts w:cs="Arial"/>
                <w:sz w:val="20"/>
                <w:szCs w:val="20"/>
                <w:lang w:val="sl-SI"/>
              </w:rPr>
              <w:t xml:space="preserve">svet za zmanjševanje energetske revščine, </w:t>
            </w:r>
            <w:proofErr w:type="spellStart"/>
            <w:r w:rsidR="00837CF7" w:rsidRPr="00FF207E">
              <w:rPr>
                <w:rFonts w:cs="Arial"/>
                <w:sz w:val="20"/>
                <w:szCs w:val="20"/>
                <w:lang w:val="sl-SI"/>
              </w:rPr>
              <w:t>Eko</w:t>
            </w:r>
            <w:proofErr w:type="spellEnd"/>
            <w:r w:rsidR="00837CF7" w:rsidRPr="00FF207E">
              <w:rPr>
                <w:rFonts w:cs="Arial"/>
                <w:sz w:val="20"/>
                <w:szCs w:val="20"/>
                <w:lang w:val="sl-SI"/>
              </w:rPr>
              <w:t xml:space="preserve"> sklad, MDDSZ, </w:t>
            </w:r>
            <w:r w:rsidR="0006530A" w:rsidRPr="00FF207E">
              <w:rPr>
                <w:rFonts w:cs="Arial"/>
                <w:sz w:val="20"/>
                <w:szCs w:val="20"/>
                <w:lang w:val="sl-SI"/>
              </w:rPr>
              <w:t xml:space="preserve">drugi </w:t>
            </w:r>
            <w:r w:rsidR="00837CF7" w:rsidRPr="00FF207E">
              <w:rPr>
                <w:rFonts w:cs="Arial"/>
                <w:sz w:val="20"/>
                <w:szCs w:val="20"/>
                <w:lang w:val="sl-SI"/>
              </w:rPr>
              <w:t>izvajalci ukrepov</w:t>
            </w:r>
            <w:r w:rsidR="002966AE" w:rsidRPr="00FF207E">
              <w:rPr>
                <w:rFonts w:cs="Arial"/>
                <w:sz w:val="20"/>
                <w:szCs w:val="20"/>
                <w:lang w:val="sl-SI"/>
              </w:rPr>
              <w:t xml:space="preserve">, </w:t>
            </w:r>
            <w:r w:rsidR="0006530A" w:rsidRPr="00FF207E">
              <w:rPr>
                <w:rFonts w:cs="Arial"/>
                <w:sz w:val="20"/>
                <w:szCs w:val="20"/>
                <w:lang w:val="sl-SI"/>
              </w:rPr>
              <w:t xml:space="preserve">drugi </w:t>
            </w:r>
            <w:r w:rsidR="002966AE" w:rsidRPr="00FF207E">
              <w:rPr>
                <w:rFonts w:cs="Arial"/>
                <w:sz w:val="20"/>
                <w:szCs w:val="20"/>
                <w:lang w:val="sl-SI"/>
              </w:rPr>
              <w:t>deležniki</w:t>
            </w:r>
          </w:p>
        </w:tc>
      </w:tr>
      <w:tr w:rsidR="00837CF7" w:rsidRPr="00FF207E" w14:paraId="21240F9E" w14:textId="77777777" w:rsidTr="007B0A54">
        <w:tc>
          <w:tcPr>
            <w:tcW w:w="567" w:type="dxa"/>
            <w:vMerge/>
            <w:tcBorders>
              <w:left w:val="nil"/>
              <w:bottom w:val="single" w:sz="4" w:space="0" w:color="548DD4" w:themeColor="text2" w:themeTint="99"/>
              <w:right w:val="single" w:sz="4" w:space="0" w:color="548DD4" w:themeColor="text2" w:themeTint="99"/>
            </w:tcBorders>
          </w:tcPr>
          <w:p w14:paraId="6D4862DA" w14:textId="77777777" w:rsidR="00837CF7" w:rsidRPr="00FF207E" w:rsidRDefault="00837CF7"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0D0533A5" w14:textId="77777777" w:rsidR="00837CF7" w:rsidRPr="00FF207E" w:rsidRDefault="00837CF7" w:rsidP="001E304B">
            <w:pPr>
              <w:spacing w:line="240" w:lineRule="atLeast"/>
              <w:jc w:val="both"/>
              <w:rPr>
                <w:rFonts w:cs="Arial"/>
                <w:sz w:val="20"/>
                <w:szCs w:val="20"/>
                <w:lang w:val="sl-SI"/>
              </w:rPr>
            </w:pPr>
            <w:r w:rsidRPr="00FF207E">
              <w:rPr>
                <w:rFonts w:cs="Arial"/>
                <w:sz w:val="20"/>
                <w:szCs w:val="20"/>
                <w:lang w:val="sl-SI"/>
              </w:rPr>
              <w:t>Rok izvedbe</w:t>
            </w:r>
          </w:p>
        </w:tc>
        <w:tc>
          <w:tcPr>
            <w:tcW w:w="6100" w:type="dxa"/>
            <w:gridSpan w:val="2"/>
            <w:tcBorders>
              <w:top w:val="dotted" w:sz="4" w:space="0" w:color="548DD4" w:themeColor="text2" w:themeTint="99"/>
              <w:left w:val="single" w:sz="4" w:space="0" w:color="548DD4" w:themeColor="text2" w:themeTint="99"/>
              <w:bottom w:val="single" w:sz="4" w:space="0" w:color="548DD4" w:themeColor="text2" w:themeTint="99"/>
              <w:right w:val="nil"/>
            </w:tcBorders>
          </w:tcPr>
          <w:p w14:paraId="1B9AEA87" w14:textId="2B8A40C7" w:rsidR="00837CF7" w:rsidRPr="00FF207E" w:rsidRDefault="00A401F6" w:rsidP="001E304B">
            <w:pPr>
              <w:spacing w:line="240" w:lineRule="atLeast"/>
              <w:jc w:val="both"/>
              <w:rPr>
                <w:rFonts w:cs="Arial"/>
                <w:sz w:val="20"/>
                <w:szCs w:val="20"/>
                <w:lang w:val="sl-SI"/>
              </w:rPr>
            </w:pPr>
            <w:r w:rsidRPr="00FF207E">
              <w:rPr>
                <w:rFonts w:cs="Arial"/>
                <w:sz w:val="20"/>
                <w:szCs w:val="20"/>
                <w:lang w:val="sl-SI"/>
              </w:rPr>
              <w:t>2026</w:t>
            </w:r>
          </w:p>
        </w:tc>
      </w:tr>
    </w:tbl>
    <w:p w14:paraId="38AB29AC" w14:textId="6913BB7B" w:rsidR="00F356FD" w:rsidRPr="00FF207E" w:rsidRDefault="00F356FD" w:rsidP="001E304B">
      <w:pPr>
        <w:pStyle w:val="Naslov3"/>
        <w:jc w:val="both"/>
        <w:rPr>
          <w:lang w:val="sl-SI"/>
        </w:rPr>
      </w:pPr>
      <w:bookmarkStart w:id="91" w:name="_Toc151148801"/>
      <w:r w:rsidRPr="00FF207E">
        <w:rPr>
          <w:lang w:val="sl-SI"/>
        </w:rPr>
        <w:t>Zaščita pred odklopom in nujna oskrba</w:t>
      </w:r>
      <w:bookmarkEnd w:id="91"/>
    </w:p>
    <w:tbl>
      <w:tblPr>
        <w:tblStyle w:val="Tabelamrea"/>
        <w:tblW w:w="0" w:type="auto"/>
        <w:tblLook w:val="04A0" w:firstRow="1" w:lastRow="0" w:firstColumn="1" w:lastColumn="0" w:noHBand="0" w:noVBand="1"/>
      </w:tblPr>
      <w:tblGrid>
        <w:gridCol w:w="567"/>
        <w:gridCol w:w="2405"/>
        <w:gridCol w:w="6090"/>
      </w:tblGrid>
      <w:tr w:rsidR="00C0783C" w:rsidRPr="00FF207E" w14:paraId="74E6BB81" w14:textId="77777777" w:rsidTr="00641D4A">
        <w:tc>
          <w:tcPr>
            <w:tcW w:w="2972" w:type="dxa"/>
            <w:gridSpan w:val="2"/>
            <w:tcBorders>
              <w:top w:val="nil"/>
              <w:left w:val="nil"/>
              <w:bottom w:val="nil"/>
              <w:right w:val="single" w:sz="4" w:space="0" w:color="548DD4" w:themeColor="text2" w:themeTint="99"/>
            </w:tcBorders>
            <w:shd w:val="clear" w:color="auto" w:fill="548DD4" w:themeFill="text2" w:themeFillTint="99"/>
            <w:vAlign w:val="center"/>
          </w:tcPr>
          <w:p w14:paraId="11C1EEB0" w14:textId="77777777" w:rsidR="00C0783C" w:rsidRPr="00FF207E" w:rsidRDefault="00C0783C" w:rsidP="001E304B">
            <w:pPr>
              <w:spacing w:before="40" w:after="40"/>
              <w:jc w:val="both"/>
              <w:rPr>
                <w:rFonts w:cs="Arial"/>
                <w:b/>
                <w:color w:val="FFFFFF" w:themeColor="background1"/>
                <w:lang w:val="sl-SI"/>
              </w:rPr>
            </w:pPr>
            <w:r w:rsidRPr="00FF207E">
              <w:rPr>
                <w:rFonts w:cs="Arial"/>
                <w:b/>
                <w:color w:val="FFFFFF" w:themeColor="background1"/>
                <w:lang w:val="sl-SI"/>
              </w:rPr>
              <w:t>ER_NeFin-03</w:t>
            </w:r>
          </w:p>
        </w:tc>
        <w:tc>
          <w:tcPr>
            <w:tcW w:w="6090" w:type="dxa"/>
            <w:tcBorders>
              <w:top w:val="nil"/>
              <w:left w:val="single" w:sz="4" w:space="0" w:color="548DD4" w:themeColor="text2" w:themeTint="99"/>
              <w:bottom w:val="nil"/>
              <w:right w:val="nil"/>
            </w:tcBorders>
            <w:shd w:val="clear" w:color="auto" w:fill="548DD4" w:themeFill="text2" w:themeFillTint="99"/>
            <w:vAlign w:val="center"/>
          </w:tcPr>
          <w:p w14:paraId="57EE8810" w14:textId="77777777" w:rsidR="00C0783C" w:rsidRPr="00FF207E" w:rsidRDefault="00C0783C" w:rsidP="001E304B">
            <w:pPr>
              <w:pStyle w:val="Naslov5"/>
              <w:jc w:val="both"/>
            </w:pPr>
            <w:bookmarkStart w:id="92" w:name="_Zaščita_pred_odklopom"/>
            <w:bookmarkEnd w:id="92"/>
            <w:r w:rsidRPr="00FF207E">
              <w:t>Zaščita pred odklopom in nujna oskrba</w:t>
            </w:r>
          </w:p>
        </w:tc>
      </w:tr>
      <w:tr w:rsidR="00C0783C" w:rsidRPr="00FF207E" w14:paraId="68311718" w14:textId="77777777" w:rsidTr="00641D4A">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52B44111" w14:textId="77777777" w:rsidR="00C0783C" w:rsidRPr="00FF207E" w:rsidRDefault="00C0783C" w:rsidP="001E304B">
            <w:pPr>
              <w:spacing w:before="60" w:after="60" w:line="240" w:lineRule="atLeast"/>
              <w:jc w:val="both"/>
              <w:rPr>
                <w:rFonts w:cs="Arial"/>
                <w:b/>
                <w:szCs w:val="22"/>
                <w:lang w:val="sl-SI"/>
              </w:rPr>
            </w:pPr>
            <w:r w:rsidRPr="00FF207E">
              <w:rPr>
                <w:rFonts w:cs="Arial"/>
                <w:b/>
                <w:szCs w:val="22"/>
                <w:lang w:val="sl-SI"/>
              </w:rPr>
              <w:t>Osnovne informacije</w:t>
            </w:r>
          </w:p>
        </w:tc>
      </w:tr>
      <w:tr w:rsidR="00C0783C" w:rsidRPr="00FF207E" w14:paraId="49AD6105" w14:textId="77777777" w:rsidTr="00641D4A">
        <w:tc>
          <w:tcPr>
            <w:tcW w:w="2972" w:type="dxa"/>
            <w:gridSpan w:val="2"/>
            <w:tcBorders>
              <w:top w:val="nil"/>
              <w:left w:val="nil"/>
              <w:bottom w:val="single" w:sz="4" w:space="0" w:color="548DD4" w:themeColor="text2" w:themeTint="99"/>
              <w:right w:val="single" w:sz="4" w:space="0" w:color="548DD4" w:themeColor="text2" w:themeTint="99"/>
            </w:tcBorders>
          </w:tcPr>
          <w:p w14:paraId="3E4FDF77" w14:textId="77777777" w:rsidR="00C0783C" w:rsidRPr="00FF207E" w:rsidRDefault="00C0783C" w:rsidP="001E304B">
            <w:pPr>
              <w:spacing w:line="240" w:lineRule="atLeast"/>
              <w:jc w:val="both"/>
              <w:rPr>
                <w:rFonts w:cs="Arial"/>
                <w:spacing w:val="-4"/>
                <w:sz w:val="20"/>
                <w:szCs w:val="20"/>
                <w:lang w:val="sl-SI"/>
              </w:rPr>
            </w:pPr>
            <w:r w:rsidRPr="00FF207E">
              <w:rPr>
                <w:rFonts w:cs="Arial"/>
                <w:spacing w:val="-4"/>
                <w:sz w:val="20"/>
                <w:szCs w:val="20"/>
                <w:lang w:val="sl-SI"/>
              </w:rPr>
              <w:t>Odgovornost za izvedbo ukrepa</w:t>
            </w:r>
          </w:p>
        </w:tc>
        <w:tc>
          <w:tcPr>
            <w:tcW w:w="6090" w:type="dxa"/>
            <w:tcBorders>
              <w:top w:val="nil"/>
              <w:left w:val="single" w:sz="4" w:space="0" w:color="548DD4" w:themeColor="text2" w:themeTint="99"/>
              <w:bottom w:val="single" w:sz="4" w:space="0" w:color="548DD4" w:themeColor="text2" w:themeTint="99"/>
              <w:right w:val="nil"/>
            </w:tcBorders>
          </w:tcPr>
          <w:p w14:paraId="193CB9B7"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MOPE</w:t>
            </w:r>
          </w:p>
        </w:tc>
      </w:tr>
      <w:tr w:rsidR="00C0783C" w:rsidRPr="00FF207E" w14:paraId="45DCBD08" w14:textId="77777777" w:rsidTr="00641D4A">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1B6FD7DB"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CB8BAA3" w14:textId="2C9AB065"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dobavitelji energije, operaterji distribucijskih sistemov, Agencija za energijo</w:t>
            </w:r>
            <w:r w:rsidR="00F063B4" w:rsidRPr="00FF207E">
              <w:rPr>
                <w:rFonts w:cs="Arial"/>
                <w:sz w:val="20"/>
                <w:szCs w:val="20"/>
                <w:lang w:val="sl-SI"/>
              </w:rPr>
              <w:t xml:space="preserve">, MDDSZ, humanitarne organizacije, </w:t>
            </w:r>
            <w:proofErr w:type="spellStart"/>
            <w:r w:rsidR="00F063B4" w:rsidRPr="00FF207E">
              <w:rPr>
                <w:rFonts w:cs="Arial"/>
                <w:sz w:val="20"/>
                <w:szCs w:val="20"/>
                <w:lang w:val="sl-SI"/>
              </w:rPr>
              <w:t>Eko</w:t>
            </w:r>
            <w:proofErr w:type="spellEnd"/>
            <w:r w:rsidR="00F063B4" w:rsidRPr="00FF207E">
              <w:rPr>
                <w:rFonts w:cs="Arial"/>
                <w:sz w:val="20"/>
                <w:szCs w:val="20"/>
                <w:lang w:val="sl-SI"/>
              </w:rPr>
              <w:t xml:space="preserve"> sklad</w:t>
            </w:r>
          </w:p>
        </w:tc>
      </w:tr>
      <w:tr w:rsidR="00C0783C" w:rsidRPr="00FF207E" w14:paraId="4EBB811F" w14:textId="77777777" w:rsidTr="00641D4A">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404CB020"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Strateške podlage in njihova veljavnost</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90D9BC2" w14:textId="764BC33F"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 xml:space="preserve">Nujno oskrbo z električno energijo v skladu z </w:t>
            </w:r>
            <w:r w:rsidRPr="00FF207E">
              <w:rPr>
                <w:rFonts w:cs="Arial"/>
                <w:i/>
                <w:sz w:val="20"/>
                <w:szCs w:val="20"/>
                <w:lang w:val="sl-SI"/>
              </w:rPr>
              <w:t>Direktivo 2019/944/EU o skupnih pravilih notranjega trga električne energije</w:t>
            </w:r>
            <w:r w:rsidRPr="00FF207E">
              <w:rPr>
                <w:rFonts w:cs="Arial"/>
                <w:sz w:val="20"/>
                <w:szCs w:val="20"/>
                <w:lang w:val="sl-SI"/>
              </w:rPr>
              <w:t xml:space="preserve"> urejajo </w:t>
            </w:r>
            <w:r w:rsidRPr="00FF207E">
              <w:rPr>
                <w:rFonts w:cs="Arial"/>
                <w:i/>
                <w:sz w:val="20"/>
                <w:szCs w:val="20"/>
                <w:lang w:val="sl-SI"/>
              </w:rPr>
              <w:t>Zakon o oskrbi z električno energijo (ZOEE; Ur</w:t>
            </w:r>
            <w:r w:rsidR="00943875" w:rsidRPr="00FF207E">
              <w:rPr>
                <w:rFonts w:cs="Arial"/>
                <w:i/>
                <w:sz w:val="20"/>
                <w:szCs w:val="20"/>
                <w:lang w:val="sl-SI"/>
              </w:rPr>
              <w:t>adni</w:t>
            </w:r>
            <w:r w:rsidRPr="00FF207E">
              <w:rPr>
                <w:rFonts w:cs="Arial"/>
                <w:i/>
                <w:sz w:val="20"/>
                <w:szCs w:val="20"/>
                <w:lang w:val="sl-SI"/>
              </w:rPr>
              <w:t xml:space="preserve"> </w:t>
            </w:r>
            <w:r w:rsidR="00943875" w:rsidRPr="00FF207E">
              <w:rPr>
                <w:rFonts w:cs="Arial"/>
                <w:i/>
                <w:sz w:val="20"/>
                <w:szCs w:val="20"/>
                <w:lang w:val="sl-SI"/>
              </w:rPr>
              <w:t>list</w:t>
            </w:r>
            <w:r w:rsidRPr="00FF207E">
              <w:rPr>
                <w:rFonts w:cs="Arial"/>
                <w:i/>
                <w:sz w:val="20"/>
                <w:szCs w:val="20"/>
                <w:lang w:val="sl-SI"/>
              </w:rPr>
              <w:t xml:space="preserve"> RS, št. 172/21)</w:t>
            </w:r>
            <w:r w:rsidRPr="00FF207E">
              <w:rPr>
                <w:rFonts w:cs="Arial"/>
                <w:sz w:val="20"/>
                <w:szCs w:val="20"/>
                <w:lang w:val="sl-SI"/>
              </w:rPr>
              <w:t xml:space="preserve"> v 33. členu, </w:t>
            </w:r>
            <w:r w:rsidRPr="00FF207E">
              <w:rPr>
                <w:rFonts w:cs="Arial"/>
                <w:i/>
                <w:sz w:val="20"/>
                <w:szCs w:val="20"/>
                <w:lang w:val="sl-SI"/>
              </w:rPr>
              <w:t>Akt o kriterijih in pravilih za zagotavljanje nujne oskrbe z električno energijo (Ur</w:t>
            </w:r>
            <w:r w:rsidR="00943875" w:rsidRPr="00FF207E">
              <w:rPr>
                <w:rFonts w:cs="Arial"/>
                <w:i/>
                <w:sz w:val="20"/>
                <w:szCs w:val="20"/>
                <w:lang w:val="sl-SI"/>
              </w:rPr>
              <w:t>adni</w:t>
            </w:r>
            <w:r w:rsidRPr="00FF207E">
              <w:rPr>
                <w:rFonts w:cs="Arial"/>
                <w:i/>
                <w:sz w:val="20"/>
                <w:szCs w:val="20"/>
                <w:lang w:val="sl-SI"/>
              </w:rPr>
              <w:t xml:space="preserve"> </w:t>
            </w:r>
            <w:r w:rsidR="00943875" w:rsidRPr="00FF207E">
              <w:rPr>
                <w:rFonts w:cs="Arial"/>
                <w:i/>
                <w:sz w:val="20"/>
                <w:szCs w:val="20"/>
                <w:lang w:val="sl-SI"/>
              </w:rPr>
              <w:t>list</w:t>
            </w:r>
            <w:r w:rsidRPr="00FF207E">
              <w:rPr>
                <w:rFonts w:cs="Arial"/>
                <w:i/>
                <w:sz w:val="20"/>
                <w:szCs w:val="20"/>
                <w:lang w:val="sl-SI"/>
              </w:rPr>
              <w:t xml:space="preserve"> RS, št. 48/16 172/21 – ZOEE)</w:t>
            </w:r>
            <w:r w:rsidRPr="00FF207E">
              <w:rPr>
                <w:rFonts w:cs="Arial"/>
                <w:sz w:val="20"/>
                <w:szCs w:val="20"/>
                <w:lang w:val="sl-SI"/>
              </w:rPr>
              <w:t xml:space="preserve"> in </w:t>
            </w:r>
            <w:r w:rsidRPr="00FF207E">
              <w:rPr>
                <w:rFonts w:cs="Arial"/>
                <w:i/>
                <w:sz w:val="20"/>
                <w:szCs w:val="20"/>
                <w:lang w:val="sl-SI"/>
              </w:rPr>
              <w:t>Sistemska obratovalna navodila za distribucijski sistem električne energije (SONDSEE)</w:t>
            </w:r>
            <w:r w:rsidRPr="00FF207E">
              <w:rPr>
                <w:rFonts w:cs="Arial"/>
                <w:sz w:val="20"/>
                <w:szCs w:val="20"/>
                <w:lang w:val="sl-SI"/>
              </w:rPr>
              <w:t>.</w:t>
            </w:r>
          </w:p>
          <w:p w14:paraId="7A1D3D09" w14:textId="770C0C6D" w:rsidR="00C0783C" w:rsidRPr="00FF207E" w:rsidRDefault="00C0783C" w:rsidP="00943875">
            <w:pPr>
              <w:spacing w:line="240" w:lineRule="atLeast"/>
              <w:jc w:val="both"/>
              <w:rPr>
                <w:rFonts w:cs="Arial"/>
                <w:sz w:val="20"/>
                <w:szCs w:val="20"/>
                <w:lang w:val="sl-SI"/>
              </w:rPr>
            </w:pPr>
            <w:r w:rsidRPr="00FF207E">
              <w:rPr>
                <w:rFonts w:cs="Arial"/>
                <w:sz w:val="20"/>
                <w:szCs w:val="20"/>
                <w:lang w:val="sl-SI"/>
              </w:rPr>
              <w:t xml:space="preserve">Na področju oskrbe z zemeljskim plinom ureja nujno oskrbo </w:t>
            </w:r>
            <w:r w:rsidRPr="00FF207E">
              <w:rPr>
                <w:rFonts w:cs="Arial"/>
                <w:i/>
                <w:sz w:val="20"/>
                <w:szCs w:val="20"/>
                <w:lang w:val="sl-SI"/>
              </w:rPr>
              <w:t>Zakon o oskrbi s plini (ZOP; Ur</w:t>
            </w:r>
            <w:r w:rsidR="00943875" w:rsidRPr="00FF207E">
              <w:rPr>
                <w:rFonts w:cs="Arial"/>
                <w:i/>
                <w:sz w:val="20"/>
                <w:szCs w:val="20"/>
                <w:lang w:val="sl-SI"/>
              </w:rPr>
              <w:t>adni</w:t>
            </w:r>
            <w:r w:rsidRPr="00FF207E">
              <w:rPr>
                <w:rFonts w:cs="Arial"/>
                <w:i/>
                <w:sz w:val="20"/>
                <w:szCs w:val="20"/>
                <w:lang w:val="sl-SI"/>
              </w:rPr>
              <w:t xml:space="preserve"> </w:t>
            </w:r>
            <w:r w:rsidR="00943875" w:rsidRPr="00FF207E">
              <w:rPr>
                <w:rFonts w:cs="Arial"/>
                <w:i/>
                <w:sz w:val="20"/>
                <w:szCs w:val="20"/>
                <w:lang w:val="sl-SI"/>
              </w:rPr>
              <w:t>list</w:t>
            </w:r>
            <w:r w:rsidRPr="00FF207E">
              <w:rPr>
                <w:rFonts w:cs="Arial"/>
                <w:i/>
                <w:sz w:val="20"/>
                <w:szCs w:val="20"/>
                <w:lang w:val="sl-SI"/>
              </w:rPr>
              <w:t xml:space="preserve"> RS, št. 204/21 in 121/22)</w:t>
            </w:r>
            <w:r w:rsidRPr="00FF207E">
              <w:rPr>
                <w:rFonts w:cs="Arial"/>
                <w:sz w:val="20"/>
                <w:szCs w:val="20"/>
                <w:lang w:val="sl-SI"/>
              </w:rPr>
              <w:t xml:space="preserve"> v 18. členu, na področju daljinskega ogrevanja pa </w:t>
            </w:r>
            <w:r w:rsidRPr="00FF207E">
              <w:rPr>
                <w:rFonts w:cs="Arial"/>
                <w:i/>
                <w:sz w:val="20"/>
                <w:szCs w:val="20"/>
                <w:lang w:val="sl-SI"/>
              </w:rPr>
              <w:t>Zakon o oskrbi s toploto iz distribucijskih sistemov (ZOTDS; Ur</w:t>
            </w:r>
            <w:r w:rsidR="00943875" w:rsidRPr="00FF207E">
              <w:rPr>
                <w:rFonts w:cs="Arial"/>
                <w:i/>
                <w:sz w:val="20"/>
                <w:szCs w:val="20"/>
                <w:lang w:val="sl-SI"/>
              </w:rPr>
              <w:t>adni</w:t>
            </w:r>
            <w:r w:rsidRPr="00FF207E">
              <w:rPr>
                <w:rFonts w:cs="Arial"/>
                <w:i/>
                <w:sz w:val="20"/>
                <w:szCs w:val="20"/>
                <w:lang w:val="sl-SI"/>
              </w:rPr>
              <w:t xml:space="preserve"> </w:t>
            </w:r>
            <w:r w:rsidR="00943875" w:rsidRPr="00FF207E">
              <w:rPr>
                <w:rFonts w:cs="Arial"/>
                <w:i/>
                <w:sz w:val="20"/>
                <w:szCs w:val="20"/>
                <w:lang w:val="sl-SI"/>
              </w:rPr>
              <w:t>list</w:t>
            </w:r>
            <w:r w:rsidRPr="00FF207E">
              <w:rPr>
                <w:rFonts w:cs="Arial"/>
                <w:i/>
                <w:sz w:val="20"/>
                <w:szCs w:val="20"/>
                <w:lang w:val="sl-SI"/>
              </w:rPr>
              <w:t xml:space="preserve"> RS, št. 44/22)</w:t>
            </w:r>
            <w:r w:rsidRPr="00FF207E">
              <w:rPr>
                <w:rFonts w:cs="Arial"/>
                <w:sz w:val="20"/>
                <w:szCs w:val="20"/>
                <w:lang w:val="sl-SI"/>
              </w:rPr>
              <w:t xml:space="preserve"> v 16. členu.</w:t>
            </w:r>
          </w:p>
        </w:tc>
      </w:tr>
      <w:tr w:rsidR="00C0783C" w:rsidRPr="00FF207E" w14:paraId="46691634" w14:textId="77777777" w:rsidTr="00641D4A">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0A557009"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Veljavnost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AB7C0B8"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2030</w:t>
            </w:r>
          </w:p>
        </w:tc>
      </w:tr>
      <w:tr w:rsidR="00C0783C" w:rsidRPr="00FF207E" w14:paraId="0BF2D631" w14:textId="77777777" w:rsidTr="00641D4A">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4885AE0B"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Vrsta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B72BE14"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sklop ukrepov (predpis, informiranje in ozaveščanje)</w:t>
            </w:r>
          </w:p>
        </w:tc>
      </w:tr>
      <w:tr w:rsidR="00C0783C" w:rsidRPr="00FF207E" w14:paraId="6F006725" w14:textId="77777777" w:rsidTr="00641D4A">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7E0FCFDE"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Pričakovani učinki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3FA66F16" w14:textId="3CB7E63F" w:rsidR="00C0783C" w:rsidRPr="00FF207E" w:rsidRDefault="0073090D" w:rsidP="001E304B">
            <w:pPr>
              <w:spacing w:line="240" w:lineRule="atLeast"/>
              <w:jc w:val="both"/>
              <w:rPr>
                <w:rFonts w:cs="Arial"/>
                <w:sz w:val="20"/>
                <w:szCs w:val="20"/>
                <w:lang w:val="sl-SI"/>
              </w:rPr>
            </w:pPr>
            <w:r w:rsidRPr="00FF207E">
              <w:rPr>
                <w:rFonts w:cs="Arial"/>
                <w:sz w:val="20"/>
                <w:szCs w:val="20"/>
                <w:lang w:val="sl-SI"/>
              </w:rPr>
              <w:t>z</w:t>
            </w:r>
            <w:r w:rsidR="005A0880" w:rsidRPr="00FF207E">
              <w:rPr>
                <w:rFonts w:cs="Arial"/>
                <w:sz w:val="20"/>
                <w:szCs w:val="20"/>
                <w:lang w:val="sl-SI"/>
              </w:rPr>
              <w:t>manjšati število odklopov</w:t>
            </w:r>
          </w:p>
        </w:tc>
      </w:tr>
      <w:tr w:rsidR="00C0783C" w:rsidRPr="00FF207E" w14:paraId="68D0CFB9" w14:textId="77777777" w:rsidTr="00641D4A">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7D81F391"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Status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7D6A0F10" w14:textId="2445A67D" w:rsidR="00C0783C" w:rsidRPr="00FF207E" w:rsidRDefault="00736A5E" w:rsidP="001E304B">
            <w:pPr>
              <w:spacing w:line="240" w:lineRule="atLeast"/>
              <w:jc w:val="both"/>
              <w:rPr>
                <w:rFonts w:cs="Arial"/>
                <w:sz w:val="20"/>
                <w:szCs w:val="20"/>
                <w:lang w:val="sl-SI"/>
              </w:rPr>
            </w:pPr>
            <w:r w:rsidRPr="00FF207E">
              <w:rPr>
                <w:rFonts w:cs="Arial"/>
                <w:sz w:val="20"/>
                <w:szCs w:val="20"/>
                <w:lang w:val="sl-SI"/>
              </w:rPr>
              <w:t xml:space="preserve">veljaven </w:t>
            </w:r>
            <w:r w:rsidR="00C0783C" w:rsidRPr="00FF207E">
              <w:rPr>
                <w:rFonts w:cs="Arial"/>
                <w:sz w:val="20"/>
                <w:szCs w:val="20"/>
                <w:lang w:val="sl-SI"/>
              </w:rPr>
              <w:t>ukrep z nadgradnjo</w:t>
            </w:r>
          </w:p>
        </w:tc>
      </w:tr>
      <w:tr w:rsidR="00C0783C" w:rsidRPr="00FF207E" w14:paraId="65EA7A71" w14:textId="77777777" w:rsidTr="00641D4A">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2DBDD03D" w14:textId="77777777" w:rsidR="00C0783C" w:rsidRPr="00FF207E" w:rsidRDefault="00C0783C" w:rsidP="001E304B">
            <w:pPr>
              <w:keepNext/>
              <w:spacing w:before="60" w:after="60" w:line="240" w:lineRule="atLeast"/>
              <w:jc w:val="both"/>
              <w:rPr>
                <w:rFonts w:cs="Arial"/>
                <w:b/>
                <w:lang w:val="sl-SI"/>
              </w:rPr>
            </w:pPr>
            <w:r w:rsidRPr="00FF207E">
              <w:rPr>
                <w:rFonts w:cs="Arial"/>
                <w:b/>
                <w:lang w:val="sl-SI"/>
              </w:rPr>
              <w:t>Dolgoročna vsebina ukrepa</w:t>
            </w:r>
          </w:p>
        </w:tc>
      </w:tr>
      <w:tr w:rsidR="00C0783C" w:rsidRPr="00FF207E" w14:paraId="2B87346D" w14:textId="77777777" w:rsidTr="00641D4A">
        <w:tc>
          <w:tcPr>
            <w:tcW w:w="9062" w:type="dxa"/>
            <w:gridSpan w:val="3"/>
            <w:tcBorders>
              <w:top w:val="single" w:sz="4" w:space="0" w:color="548DD4" w:themeColor="text2" w:themeTint="99"/>
              <w:left w:val="nil"/>
              <w:bottom w:val="single" w:sz="4" w:space="0" w:color="548DD4" w:themeColor="text2" w:themeTint="99"/>
              <w:right w:val="nil"/>
            </w:tcBorders>
          </w:tcPr>
          <w:p w14:paraId="6F68296C"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V okviru ukrepa je treba dolgoročno:</w:t>
            </w:r>
          </w:p>
          <w:p w14:paraId="0A0A156A" w14:textId="1F10D637" w:rsidR="00C0783C" w:rsidRPr="00FF207E" w:rsidRDefault="00C0783C" w:rsidP="001E304B">
            <w:pPr>
              <w:pStyle w:val="Odstavekseznama"/>
              <w:numPr>
                <w:ilvl w:val="0"/>
                <w:numId w:val="16"/>
              </w:numPr>
              <w:spacing w:line="240" w:lineRule="atLeast"/>
              <w:ind w:left="357" w:hanging="357"/>
              <w:jc w:val="both"/>
              <w:rPr>
                <w:rFonts w:cs="Arial"/>
                <w:sz w:val="20"/>
                <w:szCs w:val="20"/>
                <w:lang w:val="sl-SI"/>
              </w:rPr>
            </w:pPr>
            <w:r w:rsidRPr="00FF207E">
              <w:rPr>
                <w:rFonts w:cs="Arial"/>
                <w:sz w:val="20"/>
                <w:szCs w:val="20"/>
                <w:lang w:val="sl-SI"/>
              </w:rPr>
              <w:t xml:space="preserve">zagotoviti </w:t>
            </w:r>
            <w:r w:rsidR="003249EA" w:rsidRPr="00FF207E">
              <w:rPr>
                <w:rFonts w:cs="Arial"/>
                <w:sz w:val="20"/>
                <w:szCs w:val="20"/>
                <w:lang w:val="sl-SI"/>
              </w:rPr>
              <w:t xml:space="preserve">dejavno </w:t>
            </w:r>
            <w:r w:rsidRPr="00FF207E">
              <w:rPr>
                <w:rFonts w:cs="Arial"/>
                <w:b/>
                <w:sz w:val="20"/>
                <w:szCs w:val="20"/>
                <w:lang w:val="sl-SI"/>
              </w:rPr>
              <w:t xml:space="preserve">vpetost dobaviteljev energije, operaterjev distribucijskih sistemov in Agencije za energijo v neformalno mrežo za informiranje in </w:t>
            </w:r>
            <w:r w:rsidRPr="00FF207E">
              <w:rPr>
                <w:rFonts w:cs="Arial"/>
                <w:b/>
                <w:spacing w:val="-2"/>
                <w:sz w:val="20"/>
                <w:szCs w:val="20"/>
                <w:lang w:val="sl-SI"/>
              </w:rPr>
              <w:t>ozaveščanje</w:t>
            </w:r>
            <w:r w:rsidRPr="00FF207E">
              <w:rPr>
                <w:rFonts w:cs="Arial"/>
                <w:spacing w:val="-2"/>
                <w:sz w:val="20"/>
                <w:szCs w:val="20"/>
                <w:lang w:val="sl-SI"/>
              </w:rPr>
              <w:t xml:space="preserve"> o energetski revščini;</w:t>
            </w:r>
          </w:p>
          <w:p w14:paraId="3FE43CAE" w14:textId="4199B065" w:rsidR="00C0783C" w:rsidRPr="00FF207E" w:rsidRDefault="00C0783C" w:rsidP="001E304B">
            <w:pPr>
              <w:pStyle w:val="Odstavekseznama"/>
              <w:numPr>
                <w:ilvl w:val="0"/>
                <w:numId w:val="16"/>
              </w:numPr>
              <w:spacing w:line="240" w:lineRule="atLeast"/>
              <w:ind w:left="357" w:hanging="357"/>
              <w:jc w:val="both"/>
              <w:rPr>
                <w:rFonts w:cs="Arial"/>
                <w:sz w:val="20"/>
                <w:szCs w:val="20"/>
                <w:lang w:val="sl-SI"/>
              </w:rPr>
            </w:pPr>
            <w:r w:rsidRPr="00FF207E">
              <w:rPr>
                <w:rFonts w:cs="Arial"/>
                <w:sz w:val="20"/>
                <w:szCs w:val="20"/>
                <w:lang w:val="sl-SI"/>
              </w:rPr>
              <w:t xml:space="preserve">zagotoviti </w:t>
            </w:r>
            <w:r w:rsidRPr="00FF207E">
              <w:rPr>
                <w:rFonts w:cs="Arial"/>
                <w:b/>
                <w:sz w:val="20"/>
                <w:szCs w:val="20"/>
                <w:lang w:val="sl-SI"/>
              </w:rPr>
              <w:t>vključevanje Agencije za energijo</w:t>
            </w:r>
            <w:r w:rsidRPr="00FF207E">
              <w:rPr>
                <w:rFonts w:cs="Arial"/>
                <w:sz w:val="20"/>
                <w:szCs w:val="20"/>
                <w:lang w:val="sl-SI"/>
              </w:rPr>
              <w:t xml:space="preserve"> v nadaljnji razvoj področja zmanjševanja energetske revščine;</w:t>
            </w:r>
          </w:p>
          <w:p w14:paraId="73C0A0FF" w14:textId="77777777" w:rsidR="00363DE2" w:rsidRPr="00FF207E" w:rsidRDefault="00C0783C" w:rsidP="001E304B">
            <w:pPr>
              <w:pStyle w:val="Odstavekseznama"/>
              <w:numPr>
                <w:ilvl w:val="0"/>
                <w:numId w:val="16"/>
              </w:numPr>
              <w:spacing w:line="240" w:lineRule="atLeast"/>
              <w:ind w:left="357" w:hanging="357"/>
              <w:jc w:val="both"/>
              <w:rPr>
                <w:rFonts w:cs="Arial"/>
                <w:sz w:val="20"/>
                <w:szCs w:val="20"/>
                <w:lang w:val="sl-SI"/>
              </w:rPr>
            </w:pPr>
            <w:r w:rsidRPr="00FF207E">
              <w:rPr>
                <w:rFonts w:cs="Arial"/>
                <w:b/>
                <w:sz w:val="20"/>
                <w:szCs w:val="20"/>
                <w:lang w:val="sl-SI"/>
              </w:rPr>
              <w:t xml:space="preserve">razviti širši koncept </w:t>
            </w:r>
            <w:r w:rsidRPr="00FF207E">
              <w:rPr>
                <w:rFonts w:cs="Arial"/>
                <w:sz w:val="20"/>
                <w:szCs w:val="20"/>
                <w:lang w:val="sl-SI"/>
              </w:rPr>
              <w:t>za zmanjševanje števila odklopov</w:t>
            </w:r>
            <w:r w:rsidR="00363DE2" w:rsidRPr="00FF207E">
              <w:rPr>
                <w:rFonts w:cs="Arial"/>
                <w:sz w:val="20"/>
                <w:szCs w:val="20"/>
                <w:lang w:val="sl-SI"/>
              </w:rPr>
              <w:t>;</w:t>
            </w:r>
          </w:p>
          <w:p w14:paraId="31F8A964" w14:textId="54AAF987" w:rsidR="00C0783C" w:rsidRPr="00FF207E" w:rsidRDefault="00363DE2" w:rsidP="00BA68CB">
            <w:pPr>
              <w:pStyle w:val="Odstavekseznama"/>
              <w:numPr>
                <w:ilvl w:val="0"/>
                <w:numId w:val="16"/>
              </w:numPr>
              <w:spacing w:line="240" w:lineRule="atLeast"/>
              <w:ind w:left="357" w:hanging="357"/>
              <w:jc w:val="both"/>
              <w:rPr>
                <w:rFonts w:cs="Arial"/>
                <w:sz w:val="20"/>
                <w:szCs w:val="20"/>
                <w:lang w:val="sl-SI"/>
              </w:rPr>
            </w:pPr>
            <w:r w:rsidRPr="00FF207E">
              <w:rPr>
                <w:rFonts w:cs="Arial"/>
                <w:sz w:val="20"/>
                <w:szCs w:val="20"/>
                <w:lang w:val="sl-SI"/>
              </w:rPr>
              <w:t xml:space="preserve">zagotoviti, da energetsko revna gospodinjstva </w:t>
            </w:r>
            <w:r w:rsidRPr="00FF207E">
              <w:rPr>
                <w:rFonts w:cs="Arial"/>
                <w:b/>
                <w:sz w:val="20"/>
                <w:szCs w:val="20"/>
                <w:lang w:val="sl-SI"/>
              </w:rPr>
              <w:t xml:space="preserve">ne bodo izključena iz dostopa do pametnih </w:t>
            </w:r>
            <w:r w:rsidR="00706159" w:rsidRPr="00FF207E">
              <w:rPr>
                <w:rFonts w:cs="Arial"/>
                <w:b/>
                <w:sz w:val="20"/>
                <w:szCs w:val="20"/>
                <w:lang w:val="sl-SI"/>
              </w:rPr>
              <w:t xml:space="preserve">merilnih sistemov in drugih pametnih </w:t>
            </w:r>
            <w:r w:rsidRPr="00FF207E">
              <w:rPr>
                <w:rFonts w:cs="Arial"/>
                <w:b/>
                <w:sz w:val="20"/>
                <w:szCs w:val="20"/>
                <w:lang w:val="sl-SI"/>
              </w:rPr>
              <w:t>tehnologij</w:t>
            </w:r>
            <w:r w:rsidR="000A089B" w:rsidRPr="00FF207E">
              <w:rPr>
                <w:rFonts w:cs="Arial"/>
                <w:sz w:val="20"/>
                <w:szCs w:val="20"/>
                <w:lang w:val="sl-SI"/>
              </w:rPr>
              <w:t xml:space="preserve">, ki so jim lahko v pomoč pri zmanjševanju </w:t>
            </w:r>
            <w:r w:rsidR="00D745D0" w:rsidRPr="00FF207E">
              <w:rPr>
                <w:rFonts w:cs="Arial"/>
                <w:sz w:val="20"/>
                <w:szCs w:val="20"/>
                <w:lang w:val="sl-SI"/>
              </w:rPr>
              <w:t xml:space="preserve">porabe energije </w:t>
            </w:r>
            <w:r w:rsidR="000A089B" w:rsidRPr="00FF207E">
              <w:rPr>
                <w:rFonts w:cs="Arial"/>
                <w:sz w:val="20"/>
                <w:szCs w:val="20"/>
                <w:lang w:val="sl-SI"/>
              </w:rPr>
              <w:t>ali boljšem ravnanju z energijo</w:t>
            </w:r>
            <w:r w:rsidR="00C0783C" w:rsidRPr="00FF207E">
              <w:rPr>
                <w:rFonts w:cs="Arial"/>
                <w:sz w:val="20"/>
                <w:szCs w:val="20"/>
                <w:lang w:val="sl-SI"/>
              </w:rPr>
              <w:t>.</w:t>
            </w:r>
          </w:p>
        </w:tc>
      </w:tr>
      <w:tr w:rsidR="00C0783C" w:rsidRPr="00FF207E" w14:paraId="1104867B" w14:textId="77777777" w:rsidTr="00641D4A">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7CF2FDEE" w14:textId="77777777" w:rsidR="00C0783C" w:rsidRPr="00FF207E" w:rsidRDefault="00C0783C" w:rsidP="001E304B">
            <w:pPr>
              <w:spacing w:before="60" w:after="60" w:line="240" w:lineRule="atLeast"/>
              <w:jc w:val="both"/>
              <w:rPr>
                <w:rFonts w:cs="Arial"/>
                <w:b/>
                <w:lang w:val="sl-SI"/>
              </w:rPr>
            </w:pPr>
            <w:r w:rsidRPr="00FF207E">
              <w:rPr>
                <w:rFonts w:cs="Arial"/>
                <w:b/>
                <w:lang w:val="sl-SI"/>
              </w:rPr>
              <w:t>Kratkoročna izvedba ukrepa v obdobju 2024–2026</w:t>
            </w:r>
          </w:p>
        </w:tc>
      </w:tr>
      <w:tr w:rsidR="00C0783C" w:rsidRPr="00FF207E" w14:paraId="158E3447" w14:textId="77777777" w:rsidTr="00C0783C">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75A7C943"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Kratkoročni cilj</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0E11277" w14:textId="3E3395F2"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Razvit</w:t>
            </w:r>
            <w:r w:rsidR="005A0880" w:rsidRPr="00FF207E">
              <w:rPr>
                <w:rFonts w:cs="Arial"/>
                <w:sz w:val="20"/>
                <w:szCs w:val="20"/>
                <w:lang w:val="sl-SI"/>
              </w:rPr>
              <w:t>i</w:t>
            </w:r>
            <w:r w:rsidRPr="00FF207E">
              <w:rPr>
                <w:rFonts w:cs="Arial"/>
                <w:sz w:val="20"/>
                <w:szCs w:val="20"/>
                <w:lang w:val="sl-SI"/>
              </w:rPr>
              <w:t xml:space="preserve"> koncept za zmanjševanje števila odklopov</w:t>
            </w:r>
            <w:r w:rsidR="00463134" w:rsidRPr="00FF207E">
              <w:rPr>
                <w:rFonts w:cs="Arial"/>
                <w:sz w:val="20"/>
                <w:szCs w:val="20"/>
                <w:lang w:val="sl-SI"/>
              </w:rPr>
              <w:t>, in sicer zlasti za področje oskrbe z električno energijo in daljinsko toploto</w:t>
            </w:r>
            <w:r w:rsidR="00D745D0" w:rsidRPr="00FF207E">
              <w:rPr>
                <w:rFonts w:cs="Arial"/>
                <w:sz w:val="20"/>
                <w:szCs w:val="20"/>
                <w:lang w:val="sl-SI"/>
              </w:rPr>
              <w:t>.</w:t>
            </w:r>
          </w:p>
        </w:tc>
      </w:tr>
      <w:tr w:rsidR="00C0783C" w:rsidRPr="00FF207E" w14:paraId="0E4210FE" w14:textId="77777777" w:rsidTr="002513F9">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5714CC8" w14:textId="2C94727E" w:rsidR="00C0783C" w:rsidRPr="00FF207E" w:rsidRDefault="00537ACD" w:rsidP="001E304B">
            <w:pPr>
              <w:spacing w:line="240" w:lineRule="atLeast"/>
              <w:jc w:val="both"/>
              <w:rPr>
                <w:rFonts w:cs="Arial"/>
                <w:sz w:val="20"/>
                <w:szCs w:val="20"/>
                <w:lang w:val="sl-SI"/>
              </w:rPr>
            </w:pPr>
            <w:r w:rsidRPr="00FF207E">
              <w:rPr>
                <w:rFonts w:cs="Arial"/>
                <w:sz w:val="20"/>
                <w:szCs w:val="20"/>
                <w:lang w:val="sl-SI"/>
              </w:rPr>
              <w:t>Potrebna sredstva</w:t>
            </w:r>
            <w:r w:rsidR="00F4436A" w:rsidRPr="00FF207E">
              <w:rPr>
                <w:lang w:val="sl-SI"/>
              </w:rPr>
              <w:t xml:space="preserve"> </w:t>
            </w:r>
            <w:r w:rsidRPr="00FF207E">
              <w:rPr>
                <w:rFonts w:cs="Arial"/>
                <w:sz w:val="20"/>
                <w:szCs w:val="20"/>
                <w:lang w:val="sl-SI"/>
              </w:rPr>
              <w:t>in viri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tcPr>
          <w:p w14:paraId="1B31FE2F" w14:textId="63F6B66C" w:rsidR="00537ACD" w:rsidRPr="00FF207E" w:rsidRDefault="00537ACD" w:rsidP="002513F9">
            <w:pPr>
              <w:spacing w:line="240" w:lineRule="atLeast"/>
              <w:rPr>
                <w:rFonts w:cs="Arial"/>
                <w:sz w:val="20"/>
                <w:szCs w:val="20"/>
                <w:lang w:val="sl-SI"/>
              </w:rPr>
            </w:pPr>
            <w:r w:rsidRPr="00FF207E">
              <w:rPr>
                <w:rFonts w:cs="Arial"/>
                <w:sz w:val="20"/>
                <w:szCs w:val="20"/>
                <w:lang w:val="sl-SI"/>
              </w:rPr>
              <w:t xml:space="preserve">Stroški dela: v okviru rednega dela ministrstev, </w:t>
            </w:r>
            <w:r w:rsidR="00086058" w:rsidRPr="00FF207E">
              <w:rPr>
                <w:rFonts w:cs="Arial"/>
                <w:sz w:val="20"/>
                <w:szCs w:val="20"/>
                <w:lang w:val="sl-SI"/>
              </w:rPr>
              <w:t>t</w:t>
            </w:r>
            <w:r w:rsidR="00811106" w:rsidRPr="00FF207E">
              <w:rPr>
                <w:rFonts w:cs="Arial"/>
                <w:sz w:val="20"/>
                <w:szCs w:val="20"/>
                <w:lang w:val="sl-SI"/>
              </w:rPr>
              <w:t>abela 7</w:t>
            </w:r>
          </w:p>
          <w:p w14:paraId="069B48BC" w14:textId="5C0C3FF3" w:rsidR="00C0783C" w:rsidRPr="00FF207E" w:rsidRDefault="00537ACD" w:rsidP="002513F9">
            <w:pPr>
              <w:spacing w:before="60" w:line="240" w:lineRule="atLeast"/>
              <w:rPr>
                <w:rFonts w:cs="Arial"/>
                <w:sz w:val="20"/>
                <w:szCs w:val="20"/>
                <w:lang w:val="sl-SI"/>
              </w:rPr>
            </w:pPr>
            <w:r w:rsidRPr="00FF207E">
              <w:rPr>
                <w:rFonts w:cs="Arial"/>
                <w:sz w:val="20"/>
                <w:szCs w:val="20"/>
                <w:lang w:val="sl-SI"/>
              </w:rPr>
              <w:t>Viri sredstev: proračun</w:t>
            </w:r>
            <w:r w:rsidR="00D745D0" w:rsidRPr="00FF207E">
              <w:rPr>
                <w:rFonts w:cs="Arial"/>
                <w:sz w:val="20"/>
                <w:szCs w:val="20"/>
                <w:lang w:val="sl-SI"/>
              </w:rPr>
              <w:t>.</w:t>
            </w:r>
          </w:p>
        </w:tc>
      </w:tr>
      <w:tr w:rsidR="00C0783C" w:rsidRPr="00FF207E" w14:paraId="6DF8B5E2" w14:textId="77777777" w:rsidTr="00641D4A">
        <w:tc>
          <w:tcPr>
            <w:tcW w:w="9062" w:type="dxa"/>
            <w:gridSpan w:val="3"/>
            <w:tcBorders>
              <w:top w:val="single" w:sz="4" w:space="0" w:color="548DD4" w:themeColor="text2" w:themeTint="99"/>
              <w:left w:val="nil"/>
              <w:bottom w:val="single" w:sz="4" w:space="0" w:color="548DD4" w:themeColor="text2" w:themeTint="99"/>
              <w:right w:val="nil"/>
            </w:tcBorders>
            <w:shd w:val="clear" w:color="auto" w:fill="DBE5F1" w:themeFill="accent1" w:themeFillTint="33"/>
          </w:tcPr>
          <w:p w14:paraId="179298B2" w14:textId="77777777" w:rsidR="00C0783C" w:rsidRPr="00FF207E" w:rsidRDefault="00C0783C" w:rsidP="001E304B">
            <w:pPr>
              <w:spacing w:before="40" w:after="40" w:line="240" w:lineRule="atLeast"/>
              <w:jc w:val="both"/>
              <w:rPr>
                <w:rFonts w:cs="Arial"/>
                <w:sz w:val="20"/>
                <w:szCs w:val="20"/>
                <w:lang w:val="sl-SI"/>
              </w:rPr>
            </w:pPr>
            <w:r w:rsidRPr="00FF207E">
              <w:rPr>
                <w:rFonts w:cs="Arial"/>
                <w:sz w:val="20"/>
                <w:szCs w:val="20"/>
                <w:lang w:val="sl-SI"/>
              </w:rPr>
              <w:lastRenderedPageBreak/>
              <w:t>Potek izvedbe</w:t>
            </w:r>
          </w:p>
        </w:tc>
      </w:tr>
      <w:tr w:rsidR="00C0783C" w:rsidRPr="00FF207E" w14:paraId="19B6476B" w14:textId="77777777" w:rsidTr="00C0783C">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79669B68" w14:textId="77777777" w:rsidR="00C0783C" w:rsidRPr="00FF207E" w:rsidRDefault="00C0783C" w:rsidP="001E304B">
            <w:pPr>
              <w:spacing w:line="240" w:lineRule="atLeast"/>
              <w:jc w:val="both"/>
              <w:rPr>
                <w:rFonts w:cs="Arial"/>
                <w:b/>
                <w:sz w:val="24"/>
                <w:lang w:val="sl-SI"/>
              </w:rPr>
            </w:pPr>
            <w:r w:rsidRPr="00FF207E">
              <w:rPr>
                <w:rFonts w:cs="Arial"/>
                <w:b/>
                <w:sz w:val="24"/>
                <w:lang w:val="sl-SI"/>
              </w:rPr>
              <w:t>1</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7064CBCE"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65EB94BF" w14:textId="06DFDD8A" w:rsidR="00C0783C" w:rsidRPr="00FF207E" w:rsidRDefault="00D745D0" w:rsidP="00D745D0">
            <w:pPr>
              <w:spacing w:line="240" w:lineRule="atLeast"/>
              <w:jc w:val="both"/>
              <w:rPr>
                <w:rFonts w:cs="Arial"/>
                <w:sz w:val="20"/>
                <w:szCs w:val="20"/>
                <w:lang w:val="sl-SI"/>
              </w:rPr>
            </w:pPr>
            <w:r w:rsidRPr="00FF207E">
              <w:rPr>
                <w:rFonts w:cs="Arial"/>
                <w:sz w:val="20"/>
                <w:szCs w:val="20"/>
                <w:lang w:val="sl-SI"/>
              </w:rPr>
              <w:t>v</w:t>
            </w:r>
            <w:r w:rsidR="00C0783C" w:rsidRPr="00FF207E">
              <w:rPr>
                <w:rFonts w:cs="Arial"/>
                <w:sz w:val="20"/>
                <w:szCs w:val="20"/>
                <w:lang w:val="sl-SI"/>
              </w:rPr>
              <w:t>peljava obveznosti dobaviteljev energije oz</w:t>
            </w:r>
            <w:r w:rsidR="00B77973" w:rsidRPr="00FF207E">
              <w:rPr>
                <w:rFonts w:cs="Arial"/>
                <w:sz w:val="20"/>
                <w:szCs w:val="20"/>
                <w:lang w:val="sl-SI"/>
              </w:rPr>
              <w:t>iroma</w:t>
            </w:r>
            <w:r w:rsidR="00C0783C" w:rsidRPr="00FF207E">
              <w:rPr>
                <w:rFonts w:cs="Arial"/>
                <w:sz w:val="20"/>
                <w:szCs w:val="20"/>
                <w:lang w:val="sl-SI"/>
              </w:rPr>
              <w:t xml:space="preserve"> operaterjev distribucijskih sistemov, da nadgradijo obstoječe obveščanje zamudnikov pri plačilu storitev in jim hkrati z opominom </w:t>
            </w:r>
            <w:r w:rsidRPr="00FF207E">
              <w:rPr>
                <w:rFonts w:cs="Arial"/>
                <w:sz w:val="20"/>
                <w:szCs w:val="20"/>
                <w:lang w:val="sl-SI"/>
              </w:rPr>
              <w:t xml:space="preserve">pošljejo </w:t>
            </w:r>
            <w:r w:rsidR="00C0783C" w:rsidRPr="00FF207E">
              <w:rPr>
                <w:rFonts w:cs="Arial"/>
                <w:sz w:val="20"/>
                <w:szCs w:val="20"/>
                <w:lang w:val="sl-SI"/>
              </w:rPr>
              <w:t>tudi informacije o možnostih za zmanjševanje energetske revščine (ukrepi za zmanjševanje rabe energije, kontakt</w:t>
            </w:r>
            <w:r w:rsidR="00235238" w:rsidRPr="00FF207E">
              <w:rPr>
                <w:rFonts w:cs="Arial"/>
                <w:sz w:val="20"/>
                <w:szCs w:val="20"/>
                <w:lang w:val="sl-SI"/>
              </w:rPr>
              <w:t>n</w:t>
            </w:r>
            <w:r w:rsidR="00C0783C" w:rsidRPr="00FF207E">
              <w:rPr>
                <w:rFonts w:cs="Arial"/>
                <w:sz w:val="20"/>
                <w:szCs w:val="20"/>
                <w:lang w:val="sl-SI"/>
              </w:rPr>
              <w:t xml:space="preserve">i podatki za nadaljnje informacije </w:t>
            </w:r>
            <w:r w:rsidR="00B77973" w:rsidRPr="00FF207E">
              <w:rPr>
                <w:rFonts w:cs="Arial"/>
                <w:sz w:val="20"/>
                <w:szCs w:val="20"/>
                <w:lang w:val="sl-SI"/>
              </w:rPr>
              <w:t>in tako dalje</w:t>
            </w:r>
            <w:r w:rsidR="00C0783C" w:rsidRPr="00FF207E">
              <w:rPr>
                <w:rFonts w:cs="Arial"/>
                <w:sz w:val="20"/>
                <w:szCs w:val="20"/>
                <w:lang w:val="sl-SI"/>
              </w:rPr>
              <w:t>)</w:t>
            </w:r>
          </w:p>
        </w:tc>
      </w:tr>
      <w:tr w:rsidR="00C0783C" w:rsidRPr="00FF207E" w14:paraId="2A7116C6" w14:textId="77777777" w:rsidTr="00C0783C">
        <w:tc>
          <w:tcPr>
            <w:tcW w:w="567" w:type="dxa"/>
            <w:vMerge/>
            <w:tcBorders>
              <w:left w:val="nil"/>
              <w:bottom w:val="single" w:sz="4" w:space="0" w:color="548DD4" w:themeColor="text2" w:themeTint="99"/>
              <w:right w:val="single" w:sz="4" w:space="0" w:color="548DD4" w:themeColor="text2" w:themeTint="99"/>
            </w:tcBorders>
          </w:tcPr>
          <w:p w14:paraId="00DE9A28" w14:textId="77777777" w:rsidR="00C0783C" w:rsidRPr="00FF207E" w:rsidRDefault="00C0783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76CCB28A"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5EA5950"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MOPE</w:t>
            </w:r>
          </w:p>
        </w:tc>
      </w:tr>
      <w:tr w:rsidR="00C0783C" w:rsidRPr="00FF207E" w14:paraId="1A95D93C" w14:textId="77777777" w:rsidTr="00C0783C">
        <w:tc>
          <w:tcPr>
            <w:tcW w:w="567" w:type="dxa"/>
            <w:vMerge/>
            <w:tcBorders>
              <w:left w:val="nil"/>
              <w:bottom w:val="single" w:sz="4" w:space="0" w:color="548DD4" w:themeColor="text2" w:themeTint="99"/>
              <w:right w:val="single" w:sz="4" w:space="0" w:color="548DD4" w:themeColor="text2" w:themeTint="99"/>
            </w:tcBorders>
          </w:tcPr>
          <w:p w14:paraId="4F83730F" w14:textId="77777777" w:rsidR="00C0783C" w:rsidRPr="00FF207E" w:rsidRDefault="00C0783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0E1EB15"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760435EE" w14:textId="5F13CC7C"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Agencija za energijo, dobavitelji energije, operaterji distribucijskih sistemov</w:t>
            </w:r>
          </w:p>
        </w:tc>
      </w:tr>
      <w:tr w:rsidR="00C0783C" w:rsidRPr="00FF207E" w14:paraId="0170CC26" w14:textId="77777777" w:rsidTr="00C0783C">
        <w:tc>
          <w:tcPr>
            <w:tcW w:w="567" w:type="dxa"/>
            <w:vMerge/>
            <w:tcBorders>
              <w:left w:val="nil"/>
              <w:bottom w:val="single" w:sz="4" w:space="0" w:color="548DD4" w:themeColor="text2" w:themeTint="99"/>
              <w:right w:val="single" w:sz="4" w:space="0" w:color="548DD4" w:themeColor="text2" w:themeTint="99"/>
            </w:tcBorders>
          </w:tcPr>
          <w:p w14:paraId="01BB95DD" w14:textId="77777777" w:rsidR="00C0783C" w:rsidRPr="00FF207E" w:rsidRDefault="00C0783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1470E234"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49A2B118" w14:textId="6F9635F8" w:rsidR="00C0783C" w:rsidRPr="00FF207E" w:rsidRDefault="00235238" w:rsidP="001E304B">
            <w:pPr>
              <w:spacing w:line="240" w:lineRule="atLeast"/>
              <w:jc w:val="both"/>
              <w:rPr>
                <w:rFonts w:cs="Arial"/>
                <w:sz w:val="20"/>
                <w:szCs w:val="20"/>
                <w:lang w:val="sl-SI"/>
              </w:rPr>
            </w:pPr>
            <w:r w:rsidRPr="00FF207E">
              <w:rPr>
                <w:rFonts w:cs="Arial"/>
                <w:sz w:val="20"/>
                <w:szCs w:val="20"/>
                <w:lang w:val="sl-SI"/>
              </w:rPr>
              <w:t>2025</w:t>
            </w:r>
          </w:p>
        </w:tc>
      </w:tr>
      <w:tr w:rsidR="00C0783C" w:rsidRPr="00FF207E" w14:paraId="27185DA6" w14:textId="77777777" w:rsidTr="00C0783C">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5F548CE5" w14:textId="77777777" w:rsidR="00C0783C" w:rsidRPr="00FF207E" w:rsidRDefault="00C0783C" w:rsidP="001E304B">
            <w:pPr>
              <w:spacing w:line="240" w:lineRule="atLeast"/>
              <w:jc w:val="both"/>
              <w:rPr>
                <w:rFonts w:cs="Arial"/>
                <w:b/>
                <w:sz w:val="24"/>
                <w:lang w:val="sl-SI"/>
              </w:rPr>
            </w:pPr>
            <w:r w:rsidRPr="00FF207E">
              <w:rPr>
                <w:rFonts w:cs="Arial"/>
                <w:b/>
                <w:sz w:val="24"/>
                <w:lang w:val="sl-SI"/>
              </w:rPr>
              <w:t>2</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49AE04C9"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33FA5EEC" w14:textId="76F66131" w:rsidR="00C0783C" w:rsidRPr="00FF207E" w:rsidRDefault="00D745D0" w:rsidP="00D745D0">
            <w:pPr>
              <w:spacing w:line="240" w:lineRule="atLeast"/>
              <w:jc w:val="both"/>
              <w:rPr>
                <w:rFonts w:cs="Arial"/>
                <w:sz w:val="20"/>
                <w:szCs w:val="20"/>
                <w:lang w:val="sl-SI"/>
              </w:rPr>
            </w:pPr>
            <w:r w:rsidRPr="00FF207E">
              <w:rPr>
                <w:rFonts w:cs="Arial"/>
                <w:sz w:val="20"/>
                <w:szCs w:val="20"/>
                <w:lang w:val="sl-SI"/>
              </w:rPr>
              <w:t>d</w:t>
            </w:r>
            <w:r w:rsidR="003249EA" w:rsidRPr="00FF207E">
              <w:rPr>
                <w:rFonts w:cs="Arial"/>
                <w:sz w:val="20"/>
                <w:szCs w:val="20"/>
                <w:lang w:val="sl-SI"/>
              </w:rPr>
              <w:t xml:space="preserve">ejavna </w:t>
            </w:r>
            <w:r w:rsidR="00C0783C" w:rsidRPr="00FF207E">
              <w:rPr>
                <w:rFonts w:cs="Arial"/>
                <w:sz w:val="20"/>
                <w:szCs w:val="20"/>
                <w:lang w:val="sl-SI"/>
              </w:rPr>
              <w:t xml:space="preserve">vključitev dobaviteljev energije, operaterjev distribucijskih sistemov in Agencije za energijo v neformalno mrežo za informiranje in ozaveščanje </w:t>
            </w:r>
            <w:r w:rsidR="00C0783C" w:rsidRPr="00FF207E">
              <w:rPr>
                <w:rFonts w:cs="Arial"/>
                <w:spacing w:val="-2"/>
                <w:sz w:val="20"/>
                <w:szCs w:val="20"/>
                <w:lang w:val="sl-SI"/>
              </w:rPr>
              <w:t xml:space="preserve">(glej ukrep </w:t>
            </w:r>
            <w:hyperlink w:anchor="_(Neformalna)_mreža_za" w:history="1">
              <w:hyperlink w:anchor="_Neformalna_mreža_za" w:history="1">
                <w:r w:rsidR="00840C02" w:rsidRPr="00FF207E">
                  <w:rPr>
                    <w:rStyle w:val="Hiperpovezava"/>
                    <w:rFonts w:cs="Arial"/>
                    <w:sz w:val="20"/>
                    <w:szCs w:val="20"/>
                    <w:lang w:val="sl-SI"/>
                  </w:rPr>
                  <w:t>ER_Shema-03</w:t>
                </w:r>
              </w:hyperlink>
            </w:hyperlink>
            <w:r w:rsidR="00C0783C" w:rsidRPr="00FF207E">
              <w:rPr>
                <w:rFonts w:cs="Arial"/>
                <w:spacing w:val="-2"/>
                <w:sz w:val="20"/>
                <w:szCs w:val="20"/>
                <w:lang w:val="sl-SI"/>
              </w:rPr>
              <w:t>)</w:t>
            </w:r>
            <w:r w:rsidRPr="00FF207E">
              <w:rPr>
                <w:rFonts w:cs="Arial"/>
                <w:sz w:val="20"/>
                <w:szCs w:val="20"/>
                <w:lang w:val="sl-SI"/>
              </w:rPr>
              <w:t>;</w:t>
            </w:r>
            <w:r w:rsidR="00C0783C" w:rsidRPr="00FF207E">
              <w:rPr>
                <w:rFonts w:cs="Arial"/>
                <w:sz w:val="20"/>
                <w:szCs w:val="20"/>
                <w:lang w:val="sl-SI"/>
              </w:rPr>
              <w:t xml:space="preserve"> </w:t>
            </w:r>
            <w:r w:rsidRPr="00FF207E">
              <w:rPr>
                <w:rFonts w:cs="Arial"/>
                <w:sz w:val="20"/>
                <w:szCs w:val="20"/>
                <w:lang w:val="sl-SI"/>
              </w:rPr>
              <w:t>d</w:t>
            </w:r>
            <w:r w:rsidR="00C0783C" w:rsidRPr="00FF207E">
              <w:rPr>
                <w:rFonts w:cs="Arial"/>
                <w:sz w:val="20"/>
                <w:szCs w:val="20"/>
                <w:lang w:val="sl-SI"/>
              </w:rPr>
              <w:t xml:space="preserve">eležniki naj svojim odjemalcem zagotavljajo tudi informacije o možnostih za zmanjševanje energetske revščine (prek svojih informacijskih </w:t>
            </w:r>
            <w:r w:rsidR="00C0783C" w:rsidRPr="00FF207E">
              <w:rPr>
                <w:rFonts w:cs="Arial"/>
                <w:spacing w:val="-2"/>
                <w:sz w:val="20"/>
                <w:szCs w:val="20"/>
                <w:lang w:val="sl-SI"/>
              </w:rPr>
              <w:t xml:space="preserve">pisarn, spletnih strani </w:t>
            </w:r>
            <w:r w:rsidR="00B77973" w:rsidRPr="00FF207E">
              <w:rPr>
                <w:rFonts w:cs="Arial"/>
                <w:spacing w:val="-2"/>
                <w:sz w:val="20"/>
                <w:szCs w:val="20"/>
                <w:lang w:val="sl-SI"/>
              </w:rPr>
              <w:t>in tako dalje</w:t>
            </w:r>
            <w:r w:rsidR="00C0783C" w:rsidRPr="00FF207E">
              <w:rPr>
                <w:rFonts w:cs="Arial"/>
                <w:spacing w:val="-2"/>
                <w:sz w:val="20"/>
                <w:szCs w:val="20"/>
                <w:lang w:val="sl-SI"/>
              </w:rPr>
              <w:t>)</w:t>
            </w:r>
            <w:r w:rsidRPr="00FF207E">
              <w:rPr>
                <w:rFonts w:cs="Arial"/>
                <w:spacing w:val="-2"/>
                <w:sz w:val="20"/>
                <w:szCs w:val="20"/>
                <w:lang w:val="sl-SI"/>
              </w:rPr>
              <w:t>;</w:t>
            </w:r>
            <w:r w:rsidR="00C0783C" w:rsidRPr="00FF207E">
              <w:rPr>
                <w:rFonts w:cs="Arial"/>
                <w:spacing w:val="-2"/>
                <w:sz w:val="20"/>
                <w:szCs w:val="20"/>
                <w:lang w:val="sl-SI"/>
              </w:rPr>
              <w:t xml:space="preserve"> </w:t>
            </w:r>
            <w:r w:rsidRPr="00FF207E">
              <w:rPr>
                <w:rFonts w:cs="Arial"/>
                <w:spacing w:val="-2"/>
                <w:sz w:val="20"/>
                <w:szCs w:val="20"/>
                <w:lang w:val="sl-SI"/>
              </w:rPr>
              <w:t>o</w:t>
            </w:r>
            <w:r w:rsidR="00C0783C" w:rsidRPr="00FF207E">
              <w:rPr>
                <w:rFonts w:cs="Arial"/>
                <w:spacing w:val="-2"/>
                <w:sz w:val="20"/>
                <w:szCs w:val="20"/>
                <w:lang w:val="sl-SI"/>
              </w:rPr>
              <w:t>benem naj sodelujejo pri zagotavljanju</w:t>
            </w:r>
            <w:r w:rsidR="00C0783C" w:rsidRPr="00FF207E">
              <w:rPr>
                <w:rFonts w:cs="Arial"/>
                <w:sz w:val="20"/>
                <w:szCs w:val="20"/>
                <w:lang w:val="sl-SI"/>
              </w:rPr>
              <w:t xml:space="preserve"> informacij o svojih </w:t>
            </w:r>
            <w:r w:rsidR="003249EA" w:rsidRPr="00FF207E">
              <w:rPr>
                <w:rFonts w:cs="Arial"/>
                <w:sz w:val="20"/>
                <w:szCs w:val="20"/>
                <w:lang w:val="sl-SI"/>
              </w:rPr>
              <w:t xml:space="preserve">dejavnostih </w:t>
            </w:r>
            <w:r w:rsidR="00C0783C" w:rsidRPr="00FF207E">
              <w:rPr>
                <w:rFonts w:cs="Arial"/>
                <w:sz w:val="20"/>
                <w:szCs w:val="20"/>
                <w:lang w:val="sl-SI"/>
              </w:rPr>
              <w:t>na področju oskrbe z energijo in nujne oskrbe (</w:t>
            </w:r>
            <w:r w:rsidR="00B77973" w:rsidRPr="00FF207E">
              <w:rPr>
                <w:rFonts w:cs="Arial"/>
                <w:sz w:val="20"/>
                <w:szCs w:val="20"/>
                <w:lang w:val="sl-SI"/>
              </w:rPr>
              <w:t>na primer</w:t>
            </w:r>
            <w:r w:rsidR="00C0783C" w:rsidRPr="00FF207E">
              <w:rPr>
                <w:rFonts w:cs="Arial"/>
                <w:sz w:val="20"/>
                <w:szCs w:val="20"/>
                <w:lang w:val="sl-SI"/>
              </w:rPr>
              <w:t xml:space="preserve"> pravice odjemalcev glede dobave energije) tudi </w:t>
            </w:r>
            <w:r w:rsidR="0006530A" w:rsidRPr="00FF207E">
              <w:rPr>
                <w:rFonts w:cs="Arial"/>
                <w:sz w:val="20"/>
                <w:szCs w:val="20"/>
                <w:lang w:val="sl-SI"/>
              </w:rPr>
              <w:t xml:space="preserve">drugim </w:t>
            </w:r>
            <w:r w:rsidR="00C0783C" w:rsidRPr="00FF207E">
              <w:rPr>
                <w:rFonts w:cs="Arial"/>
                <w:sz w:val="20"/>
                <w:szCs w:val="20"/>
                <w:lang w:val="sl-SI"/>
              </w:rPr>
              <w:t xml:space="preserve">deležnikom na področju zmanjševanja energetske revščine (projektna pisarna z </w:t>
            </w:r>
            <w:r w:rsidR="001F3996" w:rsidRPr="00FF207E">
              <w:rPr>
                <w:rFonts w:cs="Arial"/>
                <w:sz w:val="20"/>
                <w:szCs w:val="20"/>
                <w:lang w:val="sl-SI"/>
              </w:rPr>
              <w:t xml:space="preserve">regionalnimi </w:t>
            </w:r>
            <w:r w:rsidR="00C0783C" w:rsidRPr="00FF207E">
              <w:rPr>
                <w:rFonts w:cs="Arial"/>
                <w:sz w:val="20"/>
                <w:szCs w:val="20"/>
                <w:lang w:val="sl-SI"/>
              </w:rPr>
              <w:t>svetovaln</w:t>
            </w:r>
            <w:r w:rsidR="001F3996" w:rsidRPr="00FF207E">
              <w:rPr>
                <w:rFonts w:cs="Arial"/>
                <w:sz w:val="20"/>
                <w:szCs w:val="20"/>
                <w:lang w:val="sl-SI"/>
              </w:rPr>
              <w:t>imi</w:t>
            </w:r>
            <w:r w:rsidR="00C0783C" w:rsidRPr="00FF207E">
              <w:rPr>
                <w:rFonts w:cs="Arial"/>
                <w:sz w:val="20"/>
                <w:szCs w:val="20"/>
                <w:lang w:val="sl-SI"/>
              </w:rPr>
              <w:t xml:space="preserve"> </w:t>
            </w:r>
            <w:r w:rsidR="001F3996" w:rsidRPr="00FF207E">
              <w:rPr>
                <w:rFonts w:cs="Arial"/>
                <w:sz w:val="20"/>
                <w:szCs w:val="20"/>
                <w:lang w:val="sl-SI"/>
              </w:rPr>
              <w:t>točkami</w:t>
            </w:r>
            <w:r w:rsidR="00C0783C" w:rsidRPr="00FF207E">
              <w:rPr>
                <w:rFonts w:cs="Arial"/>
                <w:sz w:val="20"/>
                <w:szCs w:val="20"/>
                <w:lang w:val="sl-SI"/>
              </w:rPr>
              <w:t xml:space="preserve"> in neformalna mreža</w:t>
            </w:r>
            <w:r w:rsidR="001F3996" w:rsidRPr="00FF207E">
              <w:rPr>
                <w:rFonts w:cs="Arial"/>
                <w:sz w:val="20"/>
                <w:szCs w:val="20"/>
                <w:lang w:val="sl-SI"/>
              </w:rPr>
              <w:t xml:space="preserve"> za informiranje in ozaveščanje</w:t>
            </w:r>
            <w:r w:rsidR="00C0783C" w:rsidRPr="00FF207E">
              <w:rPr>
                <w:rFonts w:cs="Arial"/>
                <w:sz w:val="20"/>
                <w:szCs w:val="20"/>
                <w:lang w:val="sl-SI"/>
              </w:rPr>
              <w:t>)</w:t>
            </w:r>
          </w:p>
        </w:tc>
      </w:tr>
      <w:tr w:rsidR="00C0783C" w:rsidRPr="00FF207E" w14:paraId="23656FD2" w14:textId="77777777" w:rsidTr="00C0783C">
        <w:tc>
          <w:tcPr>
            <w:tcW w:w="567" w:type="dxa"/>
            <w:vMerge/>
            <w:tcBorders>
              <w:left w:val="nil"/>
              <w:bottom w:val="single" w:sz="4" w:space="0" w:color="548DD4" w:themeColor="text2" w:themeTint="99"/>
              <w:right w:val="single" w:sz="4" w:space="0" w:color="548DD4" w:themeColor="text2" w:themeTint="99"/>
            </w:tcBorders>
          </w:tcPr>
          <w:p w14:paraId="6CCD81F1" w14:textId="77777777" w:rsidR="00C0783C" w:rsidRPr="00FF207E" w:rsidRDefault="00C0783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22FEF62F"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A3737D3"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MOPE</w:t>
            </w:r>
          </w:p>
        </w:tc>
      </w:tr>
      <w:tr w:rsidR="00C0783C" w:rsidRPr="00FF207E" w14:paraId="1196117D" w14:textId="77777777" w:rsidTr="00C0783C">
        <w:tc>
          <w:tcPr>
            <w:tcW w:w="567" w:type="dxa"/>
            <w:vMerge/>
            <w:tcBorders>
              <w:left w:val="nil"/>
              <w:bottom w:val="single" w:sz="4" w:space="0" w:color="548DD4" w:themeColor="text2" w:themeTint="99"/>
              <w:right w:val="single" w:sz="4" w:space="0" w:color="548DD4" w:themeColor="text2" w:themeTint="99"/>
            </w:tcBorders>
          </w:tcPr>
          <w:p w14:paraId="057FA0C9" w14:textId="77777777" w:rsidR="00C0783C" w:rsidRPr="00FF207E" w:rsidRDefault="00C0783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C47FC2A"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40A19320" w14:textId="54B85E80"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Agencija za energijo, dobavitelji energije, operaterji distribucijskih sistemov</w:t>
            </w:r>
          </w:p>
        </w:tc>
      </w:tr>
      <w:tr w:rsidR="00C0783C" w:rsidRPr="00FF207E" w14:paraId="0950BA94" w14:textId="77777777" w:rsidTr="00C0783C">
        <w:tc>
          <w:tcPr>
            <w:tcW w:w="567" w:type="dxa"/>
            <w:vMerge/>
            <w:tcBorders>
              <w:left w:val="nil"/>
              <w:bottom w:val="single" w:sz="4" w:space="0" w:color="548DD4" w:themeColor="text2" w:themeTint="99"/>
              <w:right w:val="single" w:sz="4" w:space="0" w:color="548DD4" w:themeColor="text2" w:themeTint="99"/>
            </w:tcBorders>
          </w:tcPr>
          <w:p w14:paraId="45299A3D" w14:textId="77777777" w:rsidR="00C0783C" w:rsidRPr="00FF207E" w:rsidRDefault="00C0783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680EE7FB"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1EE66F83" w14:textId="576C16CD" w:rsidR="00C0783C" w:rsidRPr="00FF207E" w:rsidRDefault="00235238" w:rsidP="001E304B">
            <w:pPr>
              <w:spacing w:line="240" w:lineRule="atLeast"/>
              <w:jc w:val="both"/>
              <w:rPr>
                <w:rFonts w:cs="Arial"/>
                <w:sz w:val="20"/>
                <w:szCs w:val="20"/>
                <w:lang w:val="sl-SI"/>
              </w:rPr>
            </w:pPr>
            <w:r w:rsidRPr="00FF207E">
              <w:rPr>
                <w:rFonts w:cs="Arial"/>
                <w:sz w:val="20"/>
                <w:szCs w:val="20"/>
                <w:lang w:val="sl-SI"/>
              </w:rPr>
              <w:t>2025</w:t>
            </w:r>
          </w:p>
        </w:tc>
      </w:tr>
      <w:tr w:rsidR="000A089B" w:rsidRPr="00FF207E" w14:paraId="6294C22C" w14:textId="77777777" w:rsidTr="008E2B75">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5895DEE9" w14:textId="77777777" w:rsidR="000A089B" w:rsidRPr="00FF207E" w:rsidRDefault="000A089B" w:rsidP="008E2B75">
            <w:pPr>
              <w:spacing w:line="240" w:lineRule="atLeast"/>
              <w:jc w:val="both"/>
              <w:rPr>
                <w:rFonts w:cs="Arial"/>
                <w:b/>
                <w:sz w:val="24"/>
                <w:lang w:val="sl-SI"/>
              </w:rPr>
            </w:pPr>
            <w:r w:rsidRPr="00FF207E">
              <w:rPr>
                <w:rFonts w:cs="Arial"/>
                <w:b/>
                <w:sz w:val="24"/>
                <w:lang w:val="sl-SI"/>
              </w:rPr>
              <w:t>3</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08957161" w14:textId="77777777" w:rsidR="000A089B" w:rsidRPr="00FF207E" w:rsidRDefault="000A089B" w:rsidP="008E2B75">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682B5CD2" w14:textId="00B1AC60" w:rsidR="000A089B" w:rsidRPr="00FF207E" w:rsidRDefault="00D745D0" w:rsidP="00D745D0">
            <w:pPr>
              <w:spacing w:line="240" w:lineRule="atLeast"/>
              <w:jc w:val="both"/>
              <w:rPr>
                <w:rFonts w:cs="Arial"/>
                <w:sz w:val="20"/>
                <w:szCs w:val="20"/>
                <w:lang w:val="sl-SI"/>
              </w:rPr>
            </w:pPr>
            <w:r w:rsidRPr="00FF207E">
              <w:rPr>
                <w:rFonts w:cs="Arial"/>
                <w:sz w:val="20"/>
                <w:szCs w:val="20"/>
                <w:lang w:val="sl-SI"/>
              </w:rPr>
              <w:t>z</w:t>
            </w:r>
            <w:r w:rsidR="00A3262B" w:rsidRPr="00FF207E">
              <w:rPr>
                <w:rFonts w:cs="Arial"/>
                <w:sz w:val="20"/>
                <w:szCs w:val="20"/>
                <w:lang w:val="sl-SI"/>
              </w:rPr>
              <w:t xml:space="preserve">agotovitev dostopa do pametnih </w:t>
            </w:r>
            <w:r w:rsidR="00706159" w:rsidRPr="00FF207E">
              <w:rPr>
                <w:rFonts w:cs="Arial"/>
                <w:sz w:val="20"/>
                <w:szCs w:val="20"/>
                <w:lang w:val="sl-SI"/>
              </w:rPr>
              <w:t xml:space="preserve">merilnih sistemov in drugih </w:t>
            </w:r>
            <w:r w:rsidR="00A3262B" w:rsidRPr="00FF207E">
              <w:rPr>
                <w:rFonts w:cs="Arial"/>
                <w:sz w:val="20"/>
                <w:szCs w:val="20"/>
                <w:lang w:val="sl-SI"/>
              </w:rPr>
              <w:t>tehnologij, ki so jim lahko v pomoč pri zmanjševanju ali boljšem ravnanju z energijo,</w:t>
            </w:r>
            <w:r w:rsidR="000A089B" w:rsidRPr="00FF207E">
              <w:rPr>
                <w:rFonts w:cs="Arial"/>
                <w:sz w:val="20"/>
                <w:szCs w:val="20"/>
                <w:lang w:val="sl-SI"/>
              </w:rPr>
              <w:t xml:space="preserve"> tudi </w:t>
            </w:r>
            <w:r w:rsidR="00A3262B" w:rsidRPr="00FF207E">
              <w:rPr>
                <w:rFonts w:cs="Arial"/>
                <w:sz w:val="20"/>
                <w:szCs w:val="20"/>
                <w:lang w:val="sl-SI"/>
              </w:rPr>
              <w:t xml:space="preserve">za </w:t>
            </w:r>
            <w:r w:rsidR="000A089B" w:rsidRPr="00FF207E">
              <w:rPr>
                <w:rFonts w:cs="Arial"/>
                <w:sz w:val="20"/>
                <w:szCs w:val="20"/>
                <w:lang w:val="sl-SI"/>
              </w:rPr>
              <w:t>energetsko revn</w:t>
            </w:r>
            <w:r w:rsidR="00A3262B" w:rsidRPr="00FF207E">
              <w:rPr>
                <w:rFonts w:cs="Arial"/>
                <w:sz w:val="20"/>
                <w:szCs w:val="20"/>
                <w:lang w:val="sl-SI"/>
              </w:rPr>
              <w:t>a</w:t>
            </w:r>
            <w:r w:rsidR="000A089B" w:rsidRPr="00FF207E">
              <w:rPr>
                <w:rFonts w:cs="Arial"/>
                <w:sz w:val="20"/>
                <w:szCs w:val="20"/>
                <w:lang w:val="sl-SI"/>
              </w:rPr>
              <w:t xml:space="preserve"> gospodinjstv</w:t>
            </w:r>
            <w:r w:rsidR="00A3262B" w:rsidRPr="00FF207E">
              <w:rPr>
                <w:rFonts w:cs="Arial"/>
                <w:sz w:val="20"/>
                <w:szCs w:val="20"/>
                <w:lang w:val="sl-SI"/>
              </w:rPr>
              <w:t>a</w:t>
            </w:r>
            <w:r w:rsidRPr="00FF207E">
              <w:rPr>
                <w:rFonts w:cs="Arial"/>
                <w:sz w:val="20"/>
                <w:szCs w:val="20"/>
                <w:lang w:val="sl-SI"/>
              </w:rPr>
              <w:t>;</w:t>
            </w:r>
            <w:r w:rsidR="00706159" w:rsidRPr="00FF207E">
              <w:rPr>
                <w:rFonts w:cs="Arial"/>
                <w:sz w:val="20"/>
                <w:szCs w:val="20"/>
                <w:lang w:val="sl-SI"/>
              </w:rPr>
              <w:t xml:space="preserve"> </w:t>
            </w:r>
            <w:r w:rsidRPr="00FF207E">
              <w:rPr>
                <w:rFonts w:cs="Arial"/>
                <w:sz w:val="20"/>
                <w:szCs w:val="20"/>
                <w:lang w:val="sl-SI"/>
              </w:rPr>
              <w:t>i</w:t>
            </w:r>
            <w:r w:rsidR="00706159" w:rsidRPr="00FF207E">
              <w:rPr>
                <w:rFonts w:cs="Arial"/>
                <w:sz w:val="20"/>
                <w:szCs w:val="20"/>
                <w:lang w:val="sl-SI"/>
              </w:rPr>
              <w:t>nformiranje in usposabljanje za uporabo teh tehnologij</w:t>
            </w:r>
            <w:r w:rsidR="002239A7" w:rsidRPr="00FF207E">
              <w:rPr>
                <w:rFonts w:cs="Arial"/>
                <w:sz w:val="20"/>
                <w:szCs w:val="20"/>
                <w:lang w:val="sl-SI"/>
              </w:rPr>
              <w:t xml:space="preserve">, glej tudi ukrep </w:t>
            </w:r>
            <w:hyperlink w:anchor="_Energetsko_opismenjevanje_energetsk" w:history="1">
              <w:r w:rsidR="002239A7" w:rsidRPr="00FF207E">
                <w:rPr>
                  <w:rStyle w:val="Hiperpovezava"/>
                  <w:rFonts w:cs="Arial"/>
                  <w:sz w:val="20"/>
                  <w:szCs w:val="20"/>
                  <w:lang w:val="sl-SI"/>
                </w:rPr>
                <w:t>ER_NeFin-05</w:t>
              </w:r>
            </w:hyperlink>
          </w:p>
        </w:tc>
      </w:tr>
      <w:tr w:rsidR="000A089B" w:rsidRPr="00FF207E" w14:paraId="46D31C70" w14:textId="77777777" w:rsidTr="008E2B75">
        <w:tc>
          <w:tcPr>
            <w:tcW w:w="567" w:type="dxa"/>
            <w:vMerge/>
            <w:tcBorders>
              <w:left w:val="nil"/>
              <w:bottom w:val="single" w:sz="4" w:space="0" w:color="548DD4" w:themeColor="text2" w:themeTint="99"/>
              <w:right w:val="single" w:sz="4" w:space="0" w:color="548DD4" w:themeColor="text2" w:themeTint="99"/>
            </w:tcBorders>
          </w:tcPr>
          <w:p w14:paraId="7FEA02AC" w14:textId="77777777" w:rsidR="000A089B" w:rsidRPr="00FF207E" w:rsidRDefault="000A089B" w:rsidP="008E2B75">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F7587E1" w14:textId="77777777" w:rsidR="000A089B" w:rsidRPr="00FF207E" w:rsidRDefault="000A089B" w:rsidP="008E2B75">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6AEAA544" w14:textId="77777777" w:rsidR="000A089B" w:rsidRPr="00FF207E" w:rsidRDefault="000A089B" w:rsidP="008E2B75">
            <w:pPr>
              <w:spacing w:line="240" w:lineRule="atLeast"/>
              <w:jc w:val="both"/>
              <w:rPr>
                <w:rFonts w:cs="Arial"/>
                <w:sz w:val="20"/>
                <w:szCs w:val="20"/>
                <w:lang w:val="sl-SI"/>
              </w:rPr>
            </w:pPr>
            <w:r w:rsidRPr="00FF207E">
              <w:rPr>
                <w:rFonts w:cs="Arial"/>
                <w:sz w:val="20"/>
                <w:szCs w:val="20"/>
                <w:lang w:val="sl-SI"/>
              </w:rPr>
              <w:t>MOPE</w:t>
            </w:r>
          </w:p>
        </w:tc>
      </w:tr>
      <w:tr w:rsidR="000A089B" w:rsidRPr="00FF207E" w14:paraId="79128B92" w14:textId="77777777" w:rsidTr="008E2B75">
        <w:tc>
          <w:tcPr>
            <w:tcW w:w="567" w:type="dxa"/>
            <w:vMerge/>
            <w:tcBorders>
              <w:left w:val="nil"/>
              <w:bottom w:val="single" w:sz="4" w:space="0" w:color="548DD4" w:themeColor="text2" w:themeTint="99"/>
              <w:right w:val="single" w:sz="4" w:space="0" w:color="548DD4" w:themeColor="text2" w:themeTint="99"/>
            </w:tcBorders>
          </w:tcPr>
          <w:p w14:paraId="2BF6BC8C" w14:textId="77777777" w:rsidR="000A089B" w:rsidRPr="00FF207E" w:rsidRDefault="000A089B" w:rsidP="008E2B75">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3AC01C1" w14:textId="77777777" w:rsidR="000A089B" w:rsidRPr="00FF207E" w:rsidRDefault="000A089B" w:rsidP="008E2B75">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68CC1A1C" w14:textId="288E7C2D" w:rsidR="000A089B" w:rsidRPr="00FF207E" w:rsidRDefault="000A089B" w:rsidP="008E2B75">
            <w:pPr>
              <w:spacing w:line="240" w:lineRule="atLeast"/>
              <w:jc w:val="both"/>
              <w:rPr>
                <w:rFonts w:cs="Arial"/>
                <w:sz w:val="20"/>
                <w:szCs w:val="20"/>
                <w:lang w:val="sl-SI"/>
              </w:rPr>
            </w:pPr>
            <w:r w:rsidRPr="00FF207E">
              <w:rPr>
                <w:rFonts w:cs="Arial"/>
                <w:sz w:val="20"/>
                <w:szCs w:val="20"/>
                <w:lang w:val="sl-SI"/>
              </w:rPr>
              <w:t>dobavitelji energije, operaterji distribucijskih sistemov</w:t>
            </w:r>
          </w:p>
        </w:tc>
      </w:tr>
      <w:tr w:rsidR="000A089B" w:rsidRPr="00FF207E" w14:paraId="10FF13D4" w14:textId="77777777" w:rsidTr="008E2B75">
        <w:tc>
          <w:tcPr>
            <w:tcW w:w="567" w:type="dxa"/>
            <w:vMerge/>
            <w:tcBorders>
              <w:left w:val="nil"/>
              <w:bottom w:val="single" w:sz="4" w:space="0" w:color="548DD4" w:themeColor="text2" w:themeTint="99"/>
              <w:right w:val="single" w:sz="4" w:space="0" w:color="548DD4" w:themeColor="text2" w:themeTint="99"/>
            </w:tcBorders>
          </w:tcPr>
          <w:p w14:paraId="5781535A" w14:textId="77777777" w:rsidR="000A089B" w:rsidRPr="00FF207E" w:rsidRDefault="000A089B" w:rsidP="008E2B75">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17679284" w14:textId="77777777" w:rsidR="000A089B" w:rsidRPr="00FF207E" w:rsidRDefault="000A089B" w:rsidP="008E2B75">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7B6C9E3A" w14:textId="6AAFA41A" w:rsidR="000A089B" w:rsidRPr="00FF207E" w:rsidRDefault="0087121E" w:rsidP="008E2B75">
            <w:pPr>
              <w:spacing w:line="240" w:lineRule="atLeast"/>
              <w:jc w:val="both"/>
              <w:rPr>
                <w:rFonts w:cs="Arial"/>
                <w:sz w:val="20"/>
                <w:szCs w:val="20"/>
                <w:lang w:val="sl-SI"/>
              </w:rPr>
            </w:pPr>
            <w:r w:rsidRPr="00FF207E">
              <w:rPr>
                <w:rFonts w:cs="Arial"/>
                <w:sz w:val="20"/>
                <w:szCs w:val="20"/>
                <w:lang w:val="sl-SI"/>
              </w:rPr>
              <w:t>2025</w:t>
            </w:r>
          </w:p>
        </w:tc>
      </w:tr>
      <w:tr w:rsidR="003F36CB" w:rsidRPr="00FF207E" w14:paraId="48B84E35" w14:textId="77777777" w:rsidTr="007B0A54">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6EAE5512" w14:textId="2DE8AD5D" w:rsidR="003F36CB" w:rsidRPr="00FF207E" w:rsidRDefault="000A089B" w:rsidP="001E304B">
            <w:pPr>
              <w:spacing w:line="240" w:lineRule="atLeast"/>
              <w:jc w:val="both"/>
              <w:rPr>
                <w:rFonts w:cs="Arial"/>
                <w:b/>
                <w:sz w:val="24"/>
                <w:lang w:val="sl-SI"/>
              </w:rPr>
            </w:pPr>
            <w:r w:rsidRPr="00FF207E">
              <w:rPr>
                <w:rFonts w:cs="Arial"/>
                <w:b/>
                <w:sz w:val="24"/>
                <w:lang w:val="sl-SI"/>
              </w:rPr>
              <w:t>4</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31027F96" w14:textId="77777777" w:rsidR="003F36CB" w:rsidRPr="00FF207E" w:rsidRDefault="003F36CB"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47E574A2" w14:textId="3B2E9B45" w:rsidR="003F36CB" w:rsidRPr="00FF207E" w:rsidRDefault="00D745D0" w:rsidP="001E304B">
            <w:pPr>
              <w:spacing w:line="240" w:lineRule="atLeast"/>
              <w:jc w:val="both"/>
              <w:rPr>
                <w:rFonts w:cs="Arial"/>
                <w:sz w:val="20"/>
                <w:szCs w:val="20"/>
                <w:lang w:val="sl-SI"/>
              </w:rPr>
            </w:pPr>
            <w:r w:rsidRPr="00FF207E">
              <w:rPr>
                <w:rFonts w:cs="Arial"/>
                <w:sz w:val="20"/>
                <w:szCs w:val="20"/>
                <w:lang w:val="sl-SI"/>
              </w:rPr>
              <w:t>u</w:t>
            </w:r>
            <w:r w:rsidR="003F36CB" w:rsidRPr="00FF207E">
              <w:rPr>
                <w:rFonts w:cs="Arial"/>
                <w:sz w:val="20"/>
                <w:szCs w:val="20"/>
                <w:lang w:val="sl-SI"/>
              </w:rPr>
              <w:t xml:space="preserve">sklajevanje </w:t>
            </w:r>
            <w:r w:rsidR="00AC077C" w:rsidRPr="00FF207E">
              <w:rPr>
                <w:rFonts w:cs="Arial"/>
                <w:sz w:val="20"/>
                <w:szCs w:val="20"/>
                <w:lang w:val="sl-SI"/>
              </w:rPr>
              <w:t xml:space="preserve">zakonodaje s </w:t>
            </w:r>
            <w:r w:rsidR="003F36CB" w:rsidRPr="00FF207E">
              <w:rPr>
                <w:rFonts w:cs="Arial"/>
                <w:sz w:val="20"/>
                <w:szCs w:val="20"/>
                <w:lang w:val="sl-SI"/>
              </w:rPr>
              <w:t>področja zaščite pred odklopom in nujne oskrbe s spremembami na ravni EU</w:t>
            </w:r>
          </w:p>
        </w:tc>
      </w:tr>
      <w:tr w:rsidR="003F36CB" w:rsidRPr="00FF207E" w14:paraId="72D27210" w14:textId="77777777" w:rsidTr="007B0A54">
        <w:tc>
          <w:tcPr>
            <w:tcW w:w="567" w:type="dxa"/>
            <w:vMerge/>
            <w:tcBorders>
              <w:left w:val="nil"/>
              <w:bottom w:val="single" w:sz="4" w:space="0" w:color="548DD4" w:themeColor="text2" w:themeTint="99"/>
              <w:right w:val="single" w:sz="4" w:space="0" w:color="548DD4" w:themeColor="text2" w:themeTint="99"/>
            </w:tcBorders>
          </w:tcPr>
          <w:p w14:paraId="619D1B8C" w14:textId="77777777" w:rsidR="003F36CB" w:rsidRPr="00FF207E" w:rsidRDefault="003F36C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336B0F5" w14:textId="77777777" w:rsidR="003F36CB" w:rsidRPr="00FF207E" w:rsidRDefault="003F36CB"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442FA4CF" w14:textId="77777777" w:rsidR="003F36CB" w:rsidRPr="00FF207E" w:rsidRDefault="003F36CB" w:rsidP="001E304B">
            <w:pPr>
              <w:spacing w:line="240" w:lineRule="atLeast"/>
              <w:jc w:val="both"/>
              <w:rPr>
                <w:rFonts w:cs="Arial"/>
                <w:sz w:val="20"/>
                <w:szCs w:val="20"/>
                <w:lang w:val="sl-SI"/>
              </w:rPr>
            </w:pPr>
            <w:r w:rsidRPr="00FF207E">
              <w:rPr>
                <w:rFonts w:cs="Arial"/>
                <w:sz w:val="20"/>
                <w:szCs w:val="20"/>
                <w:lang w:val="sl-SI"/>
              </w:rPr>
              <w:t>MOPE</w:t>
            </w:r>
          </w:p>
        </w:tc>
      </w:tr>
      <w:tr w:rsidR="003F36CB" w:rsidRPr="00FF207E" w14:paraId="78C8B9F4" w14:textId="77777777" w:rsidTr="007B0A54">
        <w:tc>
          <w:tcPr>
            <w:tcW w:w="567" w:type="dxa"/>
            <w:vMerge/>
            <w:tcBorders>
              <w:left w:val="nil"/>
              <w:bottom w:val="single" w:sz="4" w:space="0" w:color="548DD4" w:themeColor="text2" w:themeTint="99"/>
              <w:right w:val="single" w:sz="4" w:space="0" w:color="548DD4" w:themeColor="text2" w:themeTint="99"/>
            </w:tcBorders>
          </w:tcPr>
          <w:p w14:paraId="0E6EB9FD" w14:textId="77777777" w:rsidR="003F36CB" w:rsidRPr="00FF207E" w:rsidRDefault="003F36C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8E1E139" w14:textId="77777777" w:rsidR="003F36CB" w:rsidRPr="00FF207E" w:rsidRDefault="003F36CB"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C8A1808" w14:textId="26F907E7" w:rsidR="003F36CB" w:rsidRPr="00FF207E" w:rsidRDefault="003F36CB" w:rsidP="001E304B">
            <w:pPr>
              <w:spacing w:line="240" w:lineRule="atLeast"/>
              <w:jc w:val="both"/>
              <w:rPr>
                <w:rFonts w:cs="Arial"/>
                <w:sz w:val="20"/>
                <w:szCs w:val="20"/>
                <w:lang w:val="sl-SI"/>
              </w:rPr>
            </w:pPr>
            <w:r w:rsidRPr="00FF207E">
              <w:rPr>
                <w:rFonts w:cs="Arial"/>
                <w:sz w:val="20"/>
                <w:szCs w:val="20"/>
                <w:lang w:val="sl-SI"/>
              </w:rPr>
              <w:t>Agencija za energijo</w:t>
            </w:r>
          </w:p>
        </w:tc>
      </w:tr>
      <w:tr w:rsidR="003F36CB" w:rsidRPr="00FF207E" w14:paraId="04D97648" w14:textId="77777777" w:rsidTr="007B0A54">
        <w:tc>
          <w:tcPr>
            <w:tcW w:w="567" w:type="dxa"/>
            <w:vMerge/>
            <w:tcBorders>
              <w:left w:val="nil"/>
              <w:bottom w:val="single" w:sz="4" w:space="0" w:color="548DD4" w:themeColor="text2" w:themeTint="99"/>
              <w:right w:val="single" w:sz="4" w:space="0" w:color="548DD4" w:themeColor="text2" w:themeTint="99"/>
            </w:tcBorders>
          </w:tcPr>
          <w:p w14:paraId="4792B7AE" w14:textId="77777777" w:rsidR="003F36CB" w:rsidRPr="00FF207E" w:rsidRDefault="003F36CB"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629D79BB" w14:textId="77777777" w:rsidR="003F36CB" w:rsidRPr="00FF207E" w:rsidRDefault="003F36CB"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4E53EDDF" w14:textId="524F8B8C" w:rsidR="003F36CB" w:rsidRPr="00FF207E" w:rsidRDefault="00E8689E" w:rsidP="001E304B">
            <w:pPr>
              <w:spacing w:line="240" w:lineRule="atLeast"/>
              <w:jc w:val="both"/>
              <w:rPr>
                <w:rFonts w:cs="Arial"/>
                <w:sz w:val="20"/>
                <w:szCs w:val="20"/>
                <w:lang w:val="sl-SI"/>
              </w:rPr>
            </w:pPr>
            <w:r w:rsidRPr="00FF207E">
              <w:rPr>
                <w:rFonts w:cs="Arial"/>
                <w:sz w:val="20"/>
                <w:szCs w:val="20"/>
                <w:lang w:val="sl-SI"/>
              </w:rPr>
              <w:t>po potrebi</w:t>
            </w:r>
          </w:p>
        </w:tc>
      </w:tr>
      <w:tr w:rsidR="00C0783C" w:rsidRPr="00FF207E" w14:paraId="4723E66F" w14:textId="77777777" w:rsidTr="00C0783C">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3A00F848" w14:textId="50A94DA1" w:rsidR="00C0783C" w:rsidRPr="00FF207E" w:rsidRDefault="000A089B" w:rsidP="001E304B">
            <w:pPr>
              <w:spacing w:line="240" w:lineRule="atLeast"/>
              <w:jc w:val="both"/>
              <w:rPr>
                <w:rFonts w:cs="Arial"/>
                <w:b/>
                <w:sz w:val="24"/>
                <w:lang w:val="sl-SI"/>
              </w:rPr>
            </w:pPr>
            <w:r w:rsidRPr="00FF207E">
              <w:rPr>
                <w:rFonts w:cs="Arial"/>
                <w:b/>
                <w:sz w:val="24"/>
                <w:lang w:val="sl-SI"/>
              </w:rPr>
              <w:t>5</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5241BC72"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3EE73688" w14:textId="37D07CDF" w:rsidR="00C0783C" w:rsidRPr="00FF207E" w:rsidRDefault="00D745D0" w:rsidP="001E304B">
            <w:pPr>
              <w:spacing w:line="240" w:lineRule="atLeast"/>
              <w:jc w:val="both"/>
              <w:rPr>
                <w:rFonts w:cs="Arial"/>
                <w:sz w:val="20"/>
                <w:szCs w:val="20"/>
                <w:lang w:val="sl-SI"/>
              </w:rPr>
            </w:pPr>
            <w:r w:rsidRPr="00FF207E">
              <w:rPr>
                <w:rFonts w:cs="Arial"/>
                <w:sz w:val="20"/>
                <w:szCs w:val="20"/>
                <w:lang w:val="sl-SI"/>
              </w:rPr>
              <w:t>p</w:t>
            </w:r>
            <w:r w:rsidR="00C0783C" w:rsidRPr="00FF207E">
              <w:rPr>
                <w:rFonts w:cs="Arial"/>
                <w:sz w:val="20"/>
                <w:szCs w:val="20"/>
                <w:lang w:val="sl-SI"/>
              </w:rPr>
              <w:t>riprava predloga širšega koncepta za zmanjševanje števila odklopov (</w:t>
            </w:r>
            <w:r w:rsidR="00B77973" w:rsidRPr="00FF207E">
              <w:rPr>
                <w:rFonts w:cs="Arial"/>
                <w:sz w:val="20"/>
                <w:szCs w:val="20"/>
                <w:lang w:val="sl-SI"/>
              </w:rPr>
              <w:t>na primer</w:t>
            </w:r>
            <w:r w:rsidR="00C0783C" w:rsidRPr="00FF207E">
              <w:rPr>
                <w:rFonts w:cs="Arial"/>
                <w:sz w:val="20"/>
                <w:szCs w:val="20"/>
                <w:lang w:val="sl-SI"/>
              </w:rPr>
              <w:t xml:space="preserve"> energetski boni za plačilo energije in energentov za energetsko revne, ureditev zakonodajnih podlag, da se kritičn</w:t>
            </w:r>
            <w:r w:rsidRPr="00FF207E">
              <w:rPr>
                <w:rFonts w:cs="Arial"/>
                <w:sz w:val="20"/>
                <w:szCs w:val="20"/>
                <w:lang w:val="sl-SI"/>
              </w:rPr>
              <w:t>i</w:t>
            </w:r>
            <w:r w:rsidR="00C0783C" w:rsidRPr="00FF207E">
              <w:rPr>
                <w:rFonts w:cs="Arial"/>
                <w:sz w:val="20"/>
                <w:szCs w:val="20"/>
                <w:lang w:val="sl-SI"/>
              </w:rPr>
              <w:t xml:space="preserve"> odjemalc</w:t>
            </w:r>
            <w:r w:rsidRPr="00FF207E">
              <w:rPr>
                <w:rFonts w:cs="Arial"/>
                <w:sz w:val="20"/>
                <w:szCs w:val="20"/>
                <w:lang w:val="sl-SI"/>
              </w:rPr>
              <w:t>i</w:t>
            </w:r>
            <w:r w:rsidR="00C0783C" w:rsidRPr="00FF207E">
              <w:rPr>
                <w:rFonts w:cs="Arial"/>
                <w:sz w:val="20"/>
                <w:szCs w:val="20"/>
                <w:lang w:val="sl-SI"/>
              </w:rPr>
              <w:t xml:space="preserve"> lahko identificira</w:t>
            </w:r>
            <w:r w:rsidRPr="00FF207E">
              <w:rPr>
                <w:rFonts w:cs="Arial"/>
                <w:sz w:val="20"/>
                <w:szCs w:val="20"/>
                <w:lang w:val="sl-SI"/>
              </w:rPr>
              <w:t>jo</w:t>
            </w:r>
            <w:r w:rsidR="00C0783C" w:rsidRPr="00FF207E">
              <w:rPr>
                <w:rFonts w:cs="Arial"/>
                <w:sz w:val="20"/>
                <w:szCs w:val="20"/>
                <w:lang w:val="sl-SI"/>
              </w:rPr>
              <w:t xml:space="preserve"> in </w:t>
            </w:r>
            <w:r w:rsidRPr="00FF207E">
              <w:rPr>
                <w:rFonts w:cs="Arial"/>
                <w:sz w:val="20"/>
                <w:szCs w:val="20"/>
                <w:lang w:val="sl-SI"/>
              </w:rPr>
              <w:t xml:space="preserve">se </w:t>
            </w:r>
            <w:r w:rsidR="00C0783C" w:rsidRPr="00FF207E">
              <w:rPr>
                <w:rFonts w:cs="Arial"/>
                <w:sz w:val="20"/>
                <w:szCs w:val="20"/>
                <w:lang w:val="sl-SI"/>
              </w:rPr>
              <w:t>jim pomaga</w:t>
            </w:r>
            <w:r w:rsidRPr="00FF207E">
              <w:rPr>
                <w:rFonts w:cs="Arial"/>
                <w:sz w:val="20"/>
                <w:szCs w:val="20"/>
                <w:lang w:val="sl-SI"/>
              </w:rPr>
              <w:t>,</w:t>
            </w:r>
            <w:r w:rsidR="00C0783C" w:rsidRPr="00FF207E">
              <w:rPr>
                <w:rFonts w:cs="Arial"/>
                <w:sz w:val="20"/>
                <w:szCs w:val="20"/>
                <w:lang w:val="sl-SI"/>
              </w:rPr>
              <w:t xml:space="preserve"> še preden pride do odklopa, okrepitev informiranja in ozaveščanja glede možnosti za ukrepanje v primeru nezmožnosti plačila </w:t>
            </w:r>
            <w:r w:rsidR="00B77973" w:rsidRPr="00FF207E">
              <w:rPr>
                <w:rFonts w:cs="Arial"/>
                <w:sz w:val="20"/>
                <w:szCs w:val="20"/>
                <w:lang w:val="sl-SI"/>
              </w:rPr>
              <w:t>in tako dalje</w:t>
            </w:r>
            <w:r w:rsidR="00C0783C" w:rsidRPr="00FF207E">
              <w:rPr>
                <w:rFonts w:cs="Arial"/>
                <w:sz w:val="20"/>
                <w:szCs w:val="20"/>
                <w:lang w:val="sl-SI"/>
              </w:rPr>
              <w:t>)</w:t>
            </w:r>
          </w:p>
        </w:tc>
      </w:tr>
      <w:tr w:rsidR="00C0783C" w:rsidRPr="00FF207E" w14:paraId="5EF51513" w14:textId="77777777" w:rsidTr="00C0783C">
        <w:tc>
          <w:tcPr>
            <w:tcW w:w="567" w:type="dxa"/>
            <w:vMerge/>
            <w:tcBorders>
              <w:left w:val="nil"/>
              <w:bottom w:val="single" w:sz="4" w:space="0" w:color="548DD4" w:themeColor="text2" w:themeTint="99"/>
              <w:right w:val="single" w:sz="4" w:space="0" w:color="548DD4" w:themeColor="text2" w:themeTint="99"/>
            </w:tcBorders>
          </w:tcPr>
          <w:p w14:paraId="474C00CC" w14:textId="77777777" w:rsidR="00C0783C" w:rsidRPr="00FF207E" w:rsidRDefault="00C0783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9C76F18"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2FDD586"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MOPE</w:t>
            </w:r>
          </w:p>
        </w:tc>
      </w:tr>
      <w:tr w:rsidR="00C0783C" w:rsidRPr="00FF207E" w14:paraId="111985FA" w14:textId="77777777" w:rsidTr="00C0783C">
        <w:tc>
          <w:tcPr>
            <w:tcW w:w="567" w:type="dxa"/>
            <w:vMerge/>
            <w:tcBorders>
              <w:left w:val="nil"/>
              <w:bottom w:val="single" w:sz="4" w:space="0" w:color="548DD4" w:themeColor="text2" w:themeTint="99"/>
              <w:right w:val="single" w:sz="4" w:space="0" w:color="548DD4" w:themeColor="text2" w:themeTint="99"/>
            </w:tcBorders>
          </w:tcPr>
          <w:p w14:paraId="7B3657DD" w14:textId="77777777" w:rsidR="00C0783C" w:rsidRPr="00FF207E" w:rsidRDefault="00C0783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ED5A195"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4A4CB57" w14:textId="739E6087" w:rsidR="00C0783C" w:rsidRPr="00FF207E" w:rsidRDefault="00C0783C" w:rsidP="00D745D0">
            <w:pPr>
              <w:spacing w:line="240" w:lineRule="atLeast"/>
              <w:jc w:val="both"/>
              <w:rPr>
                <w:rFonts w:cs="Arial"/>
                <w:sz w:val="20"/>
                <w:szCs w:val="20"/>
                <w:lang w:val="sl-SI"/>
              </w:rPr>
            </w:pPr>
            <w:r w:rsidRPr="00FF207E">
              <w:rPr>
                <w:rFonts w:cs="Arial"/>
                <w:sz w:val="20"/>
                <w:szCs w:val="20"/>
                <w:lang w:val="sl-SI"/>
              </w:rPr>
              <w:t xml:space="preserve">Agencija za energijo, dobavitelji energije, operaterji distribucijskih sistemov, MDDSZ, humanitarne organizacije, </w:t>
            </w: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C0783C" w:rsidRPr="00FF207E" w14:paraId="471E1B8D" w14:textId="77777777" w:rsidTr="00C0783C">
        <w:tc>
          <w:tcPr>
            <w:tcW w:w="567" w:type="dxa"/>
            <w:vMerge/>
            <w:tcBorders>
              <w:left w:val="nil"/>
              <w:bottom w:val="single" w:sz="4" w:space="0" w:color="548DD4" w:themeColor="text2" w:themeTint="99"/>
              <w:right w:val="single" w:sz="4" w:space="0" w:color="548DD4" w:themeColor="text2" w:themeTint="99"/>
            </w:tcBorders>
          </w:tcPr>
          <w:p w14:paraId="1B35723B" w14:textId="77777777" w:rsidR="00C0783C" w:rsidRPr="00FF207E" w:rsidRDefault="00C0783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6C6C13ED" w14:textId="77777777" w:rsidR="00C0783C" w:rsidRPr="00FF207E" w:rsidRDefault="00C0783C"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09456AC7" w14:textId="46E85B35" w:rsidR="00C0783C" w:rsidRPr="00FF207E" w:rsidRDefault="00E8689E" w:rsidP="001E304B">
            <w:pPr>
              <w:spacing w:line="240" w:lineRule="atLeast"/>
              <w:jc w:val="both"/>
              <w:rPr>
                <w:rFonts w:cs="Arial"/>
                <w:sz w:val="20"/>
                <w:szCs w:val="20"/>
                <w:lang w:val="sl-SI"/>
              </w:rPr>
            </w:pPr>
            <w:r w:rsidRPr="00FF207E">
              <w:rPr>
                <w:rFonts w:cs="Arial"/>
                <w:sz w:val="20"/>
                <w:szCs w:val="20"/>
                <w:lang w:val="sl-SI"/>
              </w:rPr>
              <w:t>2025</w:t>
            </w:r>
          </w:p>
        </w:tc>
      </w:tr>
    </w:tbl>
    <w:p w14:paraId="2A0B29EA" w14:textId="64864359" w:rsidR="00F356FD" w:rsidRPr="00FF207E" w:rsidRDefault="00DC567D" w:rsidP="001E304B">
      <w:pPr>
        <w:pStyle w:val="Naslov3"/>
        <w:jc w:val="both"/>
        <w:rPr>
          <w:lang w:val="sl-SI"/>
        </w:rPr>
      </w:pPr>
      <w:bookmarkStart w:id="93" w:name="_Toc151148802"/>
      <w:r w:rsidRPr="00FF207E">
        <w:rPr>
          <w:lang w:val="sl-SI"/>
        </w:rPr>
        <w:t>Vključevanje energetske revščine v lokalne energetske koncepte</w:t>
      </w:r>
      <w:bookmarkEnd w:id="93"/>
    </w:p>
    <w:tbl>
      <w:tblPr>
        <w:tblStyle w:val="Tabelamrea"/>
        <w:tblW w:w="0" w:type="auto"/>
        <w:tblLook w:val="04A0" w:firstRow="1" w:lastRow="0" w:firstColumn="1" w:lastColumn="0" w:noHBand="0" w:noVBand="1"/>
      </w:tblPr>
      <w:tblGrid>
        <w:gridCol w:w="715"/>
        <w:gridCol w:w="2378"/>
        <w:gridCol w:w="5979"/>
      </w:tblGrid>
      <w:tr w:rsidR="003B4033" w:rsidRPr="00FF207E" w14:paraId="14C11FB3" w14:textId="77777777" w:rsidTr="002513F9">
        <w:tc>
          <w:tcPr>
            <w:tcW w:w="3093" w:type="dxa"/>
            <w:gridSpan w:val="2"/>
            <w:tcBorders>
              <w:top w:val="nil"/>
              <w:left w:val="nil"/>
              <w:bottom w:val="nil"/>
              <w:right w:val="single" w:sz="4" w:space="0" w:color="548DD4" w:themeColor="text2" w:themeTint="99"/>
            </w:tcBorders>
            <w:shd w:val="clear" w:color="auto" w:fill="548DD4" w:themeFill="text2" w:themeFillTint="99"/>
            <w:vAlign w:val="center"/>
          </w:tcPr>
          <w:p w14:paraId="18B670CD" w14:textId="77777777" w:rsidR="003B4033" w:rsidRPr="00FF207E" w:rsidRDefault="003B4033" w:rsidP="001E304B">
            <w:pPr>
              <w:spacing w:before="40" w:after="40"/>
              <w:jc w:val="both"/>
              <w:rPr>
                <w:rFonts w:cs="Arial"/>
                <w:b/>
                <w:color w:val="FFFFFF" w:themeColor="background1"/>
                <w:lang w:val="sl-SI"/>
              </w:rPr>
            </w:pPr>
            <w:r w:rsidRPr="00FF207E">
              <w:rPr>
                <w:rFonts w:cs="Arial"/>
                <w:b/>
                <w:color w:val="FFFFFF" w:themeColor="background1"/>
                <w:lang w:val="sl-SI"/>
              </w:rPr>
              <w:t>ER_NeFin-04</w:t>
            </w:r>
          </w:p>
        </w:tc>
        <w:tc>
          <w:tcPr>
            <w:tcW w:w="5979" w:type="dxa"/>
            <w:tcBorders>
              <w:top w:val="nil"/>
              <w:left w:val="single" w:sz="4" w:space="0" w:color="548DD4" w:themeColor="text2" w:themeTint="99"/>
              <w:bottom w:val="nil"/>
              <w:right w:val="nil"/>
            </w:tcBorders>
            <w:shd w:val="clear" w:color="auto" w:fill="548DD4" w:themeFill="text2" w:themeFillTint="99"/>
            <w:vAlign w:val="center"/>
          </w:tcPr>
          <w:p w14:paraId="2A122278" w14:textId="77777777" w:rsidR="003B4033" w:rsidRPr="00FF207E" w:rsidRDefault="003B4033" w:rsidP="001E304B">
            <w:pPr>
              <w:pStyle w:val="Naslov5"/>
              <w:spacing w:line="260" w:lineRule="atLeast"/>
              <w:jc w:val="both"/>
            </w:pPr>
            <w:bookmarkStart w:id="94" w:name="_Vključevanje_energetske_revščine"/>
            <w:bookmarkEnd w:id="94"/>
            <w:r w:rsidRPr="00FF207E">
              <w:t>Vključevanje energetske revščine v lokalne energetske koncepte</w:t>
            </w:r>
          </w:p>
        </w:tc>
      </w:tr>
      <w:tr w:rsidR="003B4033" w:rsidRPr="00FF207E" w14:paraId="5A95E0FC" w14:textId="77777777" w:rsidTr="002513F9">
        <w:tc>
          <w:tcPr>
            <w:tcW w:w="907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4FE9E227" w14:textId="77777777" w:rsidR="003B4033" w:rsidRPr="00FF207E" w:rsidRDefault="003B4033" w:rsidP="001E304B">
            <w:pPr>
              <w:spacing w:before="60" w:after="60" w:line="240" w:lineRule="atLeast"/>
              <w:jc w:val="both"/>
              <w:rPr>
                <w:rFonts w:cs="Arial"/>
                <w:b/>
                <w:szCs w:val="22"/>
                <w:lang w:val="sl-SI"/>
              </w:rPr>
            </w:pPr>
            <w:r w:rsidRPr="00FF207E">
              <w:rPr>
                <w:rFonts w:cs="Arial"/>
                <w:b/>
                <w:szCs w:val="22"/>
                <w:lang w:val="sl-SI"/>
              </w:rPr>
              <w:t>Osnovne informacije</w:t>
            </w:r>
          </w:p>
        </w:tc>
      </w:tr>
      <w:tr w:rsidR="003B4033" w:rsidRPr="00FF207E" w14:paraId="7B998069" w14:textId="77777777" w:rsidTr="002513F9">
        <w:tc>
          <w:tcPr>
            <w:tcW w:w="3093" w:type="dxa"/>
            <w:gridSpan w:val="2"/>
            <w:tcBorders>
              <w:top w:val="nil"/>
              <w:left w:val="nil"/>
              <w:bottom w:val="single" w:sz="4" w:space="0" w:color="548DD4" w:themeColor="text2" w:themeTint="99"/>
              <w:right w:val="single" w:sz="4" w:space="0" w:color="548DD4" w:themeColor="text2" w:themeTint="99"/>
            </w:tcBorders>
          </w:tcPr>
          <w:p w14:paraId="42E51630" w14:textId="77777777" w:rsidR="003B4033" w:rsidRPr="00FF207E" w:rsidRDefault="003B4033" w:rsidP="001E304B">
            <w:pPr>
              <w:spacing w:line="240" w:lineRule="atLeast"/>
              <w:jc w:val="both"/>
              <w:rPr>
                <w:rFonts w:cs="Arial"/>
                <w:spacing w:val="-4"/>
                <w:sz w:val="20"/>
                <w:szCs w:val="20"/>
                <w:lang w:val="sl-SI"/>
              </w:rPr>
            </w:pPr>
            <w:r w:rsidRPr="00FF207E">
              <w:rPr>
                <w:rFonts w:cs="Arial"/>
                <w:spacing w:val="-4"/>
                <w:sz w:val="20"/>
                <w:szCs w:val="20"/>
                <w:lang w:val="sl-SI"/>
              </w:rPr>
              <w:lastRenderedPageBreak/>
              <w:t>Odgovornost za izvedbo ukrepa</w:t>
            </w:r>
          </w:p>
        </w:tc>
        <w:tc>
          <w:tcPr>
            <w:tcW w:w="5979" w:type="dxa"/>
            <w:tcBorders>
              <w:top w:val="nil"/>
              <w:left w:val="single" w:sz="4" w:space="0" w:color="548DD4" w:themeColor="text2" w:themeTint="99"/>
              <w:bottom w:val="single" w:sz="4" w:space="0" w:color="548DD4" w:themeColor="text2" w:themeTint="99"/>
              <w:right w:val="nil"/>
            </w:tcBorders>
          </w:tcPr>
          <w:p w14:paraId="699105D4" w14:textId="77777777" w:rsidR="003B4033" w:rsidRPr="00FF207E" w:rsidRDefault="003B4033" w:rsidP="001E304B">
            <w:pPr>
              <w:spacing w:line="240" w:lineRule="atLeast"/>
              <w:jc w:val="both"/>
              <w:rPr>
                <w:rFonts w:cs="Arial"/>
                <w:sz w:val="20"/>
                <w:szCs w:val="20"/>
                <w:lang w:val="sl-SI"/>
              </w:rPr>
            </w:pPr>
            <w:r w:rsidRPr="00FF207E">
              <w:rPr>
                <w:rFonts w:cs="Arial"/>
                <w:sz w:val="20"/>
                <w:szCs w:val="20"/>
                <w:lang w:val="sl-SI"/>
              </w:rPr>
              <w:t>MOPE</w:t>
            </w:r>
          </w:p>
        </w:tc>
      </w:tr>
      <w:tr w:rsidR="003B4033" w:rsidRPr="00FF207E" w14:paraId="6DF49F8F" w14:textId="77777777" w:rsidTr="002513F9">
        <w:tc>
          <w:tcPr>
            <w:tcW w:w="3093"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4AE039A6" w14:textId="77777777" w:rsidR="003B4033" w:rsidRPr="00FF207E" w:rsidRDefault="003B4033" w:rsidP="001E304B">
            <w:pPr>
              <w:spacing w:line="240" w:lineRule="atLeast"/>
              <w:jc w:val="both"/>
              <w:rPr>
                <w:rFonts w:cs="Arial"/>
                <w:sz w:val="20"/>
                <w:szCs w:val="20"/>
                <w:lang w:val="sl-SI"/>
              </w:rPr>
            </w:pPr>
            <w:r w:rsidRPr="00FF207E">
              <w:rPr>
                <w:rFonts w:cs="Arial"/>
                <w:sz w:val="20"/>
                <w:szCs w:val="20"/>
                <w:lang w:val="sl-SI"/>
              </w:rPr>
              <w:t>Vključeni deležniki</w:t>
            </w:r>
          </w:p>
        </w:tc>
        <w:tc>
          <w:tcPr>
            <w:tcW w:w="597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171078BD" w14:textId="3AF6887C" w:rsidR="003B4033" w:rsidRPr="00FF207E" w:rsidRDefault="003B4033" w:rsidP="001E304B">
            <w:pPr>
              <w:spacing w:line="240" w:lineRule="atLeast"/>
              <w:jc w:val="both"/>
              <w:rPr>
                <w:rFonts w:cs="Arial"/>
                <w:sz w:val="20"/>
                <w:szCs w:val="20"/>
                <w:lang w:val="sl-SI"/>
              </w:rPr>
            </w:pPr>
            <w:r w:rsidRPr="00FF207E">
              <w:rPr>
                <w:rFonts w:cs="Arial"/>
                <w:sz w:val="20"/>
                <w:szCs w:val="20"/>
                <w:lang w:val="sl-SI"/>
              </w:rPr>
              <w:t>občine, lokalne energetske agencije, pripravljavci LEK, pripravljavci nadgradnje metodologije LEK</w:t>
            </w:r>
            <w:r w:rsidR="00C61B60" w:rsidRPr="00FF207E">
              <w:rPr>
                <w:rFonts w:cs="Arial"/>
                <w:sz w:val="20"/>
                <w:szCs w:val="20"/>
                <w:lang w:val="sl-SI"/>
              </w:rPr>
              <w:t xml:space="preserve">, </w:t>
            </w:r>
            <w:proofErr w:type="spellStart"/>
            <w:r w:rsidR="00C61B60" w:rsidRPr="00FF207E">
              <w:rPr>
                <w:rFonts w:cs="Arial"/>
                <w:sz w:val="20"/>
                <w:szCs w:val="20"/>
                <w:lang w:val="sl-SI"/>
              </w:rPr>
              <w:t>Eko</w:t>
            </w:r>
            <w:proofErr w:type="spellEnd"/>
            <w:r w:rsidR="00C61B60" w:rsidRPr="00FF207E">
              <w:rPr>
                <w:rFonts w:cs="Arial"/>
                <w:sz w:val="20"/>
                <w:szCs w:val="20"/>
                <w:lang w:val="sl-SI"/>
              </w:rPr>
              <w:t xml:space="preserve"> sklad, MDDSZ</w:t>
            </w:r>
          </w:p>
        </w:tc>
      </w:tr>
      <w:tr w:rsidR="003B4033" w:rsidRPr="00FF207E" w14:paraId="51057E02" w14:textId="77777777" w:rsidTr="002513F9">
        <w:tc>
          <w:tcPr>
            <w:tcW w:w="3093"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C9A13EE" w14:textId="77777777" w:rsidR="003B4033" w:rsidRPr="00FF207E" w:rsidRDefault="003B4033" w:rsidP="001E304B">
            <w:pPr>
              <w:spacing w:line="240" w:lineRule="atLeast"/>
              <w:jc w:val="both"/>
              <w:rPr>
                <w:rFonts w:cs="Arial"/>
                <w:sz w:val="20"/>
                <w:szCs w:val="20"/>
                <w:lang w:val="sl-SI"/>
              </w:rPr>
            </w:pPr>
            <w:r w:rsidRPr="00FF207E">
              <w:rPr>
                <w:rFonts w:cs="Arial"/>
                <w:sz w:val="20"/>
                <w:szCs w:val="20"/>
                <w:lang w:val="sl-SI"/>
              </w:rPr>
              <w:t>Strateške podlage in njihova veljavnost</w:t>
            </w:r>
          </w:p>
        </w:tc>
        <w:tc>
          <w:tcPr>
            <w:tcW w:w="597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1DFB695B" w14:textId="77777777" w:rsidR="003B4033" w:rsidRPr="00FF207E" w:rsidRDefault="003B4033" w:rsidP="001E304B">
            <w:pPr>
              <w:spacing w:line="240" w:lineRule="atLeast"/>
              <w:jc w:val="both"/>
              <w:rPr>
                <w:rFonts w:cs="Arial"/>
                <w:sz w:val="20"/>
                <w:szCs w:val="20"/>
                <w:lang w:val="sl-SI"/>
              </w:rPr>
            </w:pPr>
            <w:r w:rsidRPr="00FF207E">
              <w:rPr>
                <w:rFonts w:cs="Arial"/>
                <w:sz w:val="20"/>
                <w:szCs w:val="20"/>
                <w:lang w:val="sl-SI"/>
              </w:rPr>
              <w:t>-</w:t>
            </w:r>
          </w:p>
        </w:tc>
      </w:tr>
      <w:tr w:rsidR="003B4033" w:rsidRPr="00FF207E" w14:paraId="5E8D03F7" w14:textId="77777777" w:rsidTr="002513F9">
        <w:tc>
          <w:tcPr>
            <w:tcW w:w="3093"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ABFE42C" w14:textId="77777777" w:rsidR="003B4033" w:rsidRPr="00FF207E" w:rsidRDefault="003B4033" w:rsidP="001E304B">
            <w:pPr>
              <w:spacing w:line="240" w:lineRule="atLeast"/>
              <w:jc w:val="both"/>
              <w:rPr>
                <w:rFonts w:cs="Arial"/>
                <w:sz w:val="20"/>
                <w:szCs w:val="20"/>
                <w:lang w:val="sl-SI"/>
              </w:rPr>
            </w:pPr>
            <w:r w:rsidRPr="00FF207E">
              <w:rPr>
                <w:rFonts w:cs="Arial"/>
                <w:sz w:val="20"/>
                <w:szCs w:val="20"/>
                <w:lang w:val="sl-SI"/>
              </w:rPr>
              <w:t>Veljavnost ukrepa</w:t>
            </w:r>
          </w:p>
        </w:tc>
        <w:tc>
          <w:tcPr>
            <w:tcW w:w="597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EA156D6" w14:textId="77777777" w:rsidR="003B4033" w:rsidRPr="00FF207E" w:rsidRDefault="003B4033" w:rsidP="001E304B">
            <w:pPr>
              <w:spacing w:line="240" w:lineRule="atLeast"/>
              <w:jc w:val="both"/>
              <w:rPr>
                <w:rFonts w:cs="Arial"/>
                <w:sz w:val="20"/>
                <w:szCs w:val="20"/>
                <w:lang w:val="sl-SI"/>
              </w:rPr>
            </w:pPr>
            <w:r w:rsidRPr="00FF207E">
              <w:rPr>
                <w:rFonts w:cs="Arial"/>
                <w:sz w:val="20"/>
                <w:szCs w:val="20"/>
                <w:lang w:val="sl-SI"/>
              </w:rPr>
              <w:t>2030</w:t>
            </w:r>
          </w:p>
        </w:tc>
      </w:tr>
      <w:tr w:rsidR="003B4033" w:rsidRPr="00FF207E" w14:paraId="41952DB9" w14:textId="77777777" w:rsidTr="002513F9">
        <w:tc>
          <w:tcPr>
            <w:tcW w:w="3093"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62DE0BB8" w14:textId="77777777" w:rsidR="003B4033" w:rsidRPr="00FF207E" w:rsidRDefault="003B4033" w:rsidP="001E304B">
            <w:pPr>
              <w:spacing w:line="240" w:lineRule="atLeast"/>
              <w:jc w:val="both"/>
              <w:rPr>
                <w:rFonts w:cs="Arial"/>
                <w:sz w:val="20"/>
                <w:szCs w:val="20"/>
                <w:lang w:val="sl-SI"/>
              </w:rPr>
            </w:pPr>
            <w:r w:rsidRPr="00FF207E">
              <w:rPr>
                <w:rFonts w:cs="Arial"/>
                <w:sz w:val="20"/>
                <w:szCs w:val="20"/>
                <w:lang w:val="sl-SI"/>
              </w:rPr>
              <w:t>Vrsta ukrepa</w:t>
            </w:r>
          </w:p>
        </w:tc>
        <w:tc>
          <w:tcPr>
            <w:tcW w:w="597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7B748EBF" w14:textId="77777777" w:rsidR="003B4033" w:rsidRPr="00FF207E" w:rsidRDefault="003B4033" w:rsidP="001E304B">
            <w:pPr>
              <w:spacing w:line="240" w:lineRule="atLeast"/>
              <w:jc w:val="both"/>
              <w:rPr>
                <w:rFonts w:cs="Arial"/>
                <w:sz w:val="20"/>
                <w:szCs w:val="20"/>
                <w:lang w:val="sl-SI"/>
              </w:rPr>
            </w:pPr>
            <w:r w:rsidRPr="00FF207E">
              <w:rPr>
                <w:rFonts w:cs="Arial"/>
                <w:sz w:val="20"/>
                <w:szCs w:val="20"/>
                <w:lang w:val="sl-SI"/>
              </w:rPr>
              <w:t>načrtovanje</w:t>
            </w:r>
          </w:p>
        </w:tc>
      </w:tr>
      <w:tr w:rsidR="003B4033" w:rsidRPr="00FF207E" w14:paraId="71AA2E0A" w14:textId="77777777" w:rsidTr="002513F9">
        <w:tc>
          <w:tcPr>
            <w:tcW w:w="3093"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1307E142" w14:textId="77777777" w:rsidR="003B4033" w:rsidRPr="00FF207E" w:rsidRDefault="003B4033" w:rsidP="001E304B">
            <w:pPr>
              <w:spacing w:line="240" w:lineRule="atLeast"/>
              <w:jc w:val="both"/>
              <w:rPr>
                <w:rFonts w:cs="Arial"/>
                <w:sz w:val="20"/>
                <w:szCs w:val="20"/>
                <w:lang w:val="sl-SI"/>
              </w:rPr>
            </w:pPr>
            <w:r w:rsidRPr="00FF207E">
              <w:rPr>
                <w:rFonts w:cs="Arial"/>
                <w:sz w:val="20"/>
                <w:szCs w:val="20"/>
                <w:lang w:val="sl-SI"/>
              </w:rPr>
              <w:t>Pričakovani učinki ukrepa</w:t>
            </w:r>
          </w:p>
        </w:tc>
        <w:tc>
          <w:tcPr>
            <w:tcW w:w="597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tcPr>
          <w:p w14:paraId="30596CA8" w14:textId="54535353" w:rsidR="003B4033" w:rsidRPr="00FF207E" w:rsidRDefault="00D745D0" w:rsidP="001E304B">
            <w:pPr>
              <w:spacing w:line="240" w:lineRule="atLeast"/>
              <w:jc w:val="both"/>
              <w:rPr>
                <w:rFonts w:cs="Arial"/>
                <w:sz w:val="20"/>
                <w:szCs w:val="20"/>
                <w:lang w:val="sl-SI"/>
              </w:rPr>
            </w:pPr>
            <w:r w:rsidRPr="00FF207E">
              <w:rPr>
                <w:rFonts w:cs="Arial"/>
                <w:sz w:val="20"/>
                <w:szCs w:val="20"/>
                <w:lang w:val="sl-SI"/>
              </w:rPr>
              <w:t>v</w:t>
            </w:r>
            <w:r w:rsidR="000C689E" w:rsidRPr="00FF207E">
              <w:rPr>
                <w:rFonts w:cs="Arial"/>
                <w:sz w:val="20"/>
                <w:szCs w:val="20"/>
                <w:lang w:val="sl-SI"/>
              </w:rPr>
              <w:t>ključitev ukrepov za zmanjševanje energetske revščine v lokalne energetske koncepte in njihovo izvajanje</w:t>
            </w:r>
          </w:p>
        </w:tc>
      </w:tr>
      <w:tr w:rsidR="003B4033" w:rsidRPr="00FF207E" w14:paraId="0FACA997" w14:textId="77777777" w:rsidTr="002513F9">
        <w:tc>
          <w:tcPr>
            <w:tcW w:w="3093"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8B51AA3" w14:textId="77777777" w:rsidR="003B4033" w:rsidRPr="00FF207E" w:rsidRDefault="003B4033" w:rsidP="001E304B">
            <w:pPr>
              <w:spacing w:line="240" w:lineRule="atLeast"/>
              <w:jc w:val="both"/>
              <w:rPr>
                <w:rFonts w:cs="Arial"/>
                <w:sz w:val="20"/>
                <w:szCs w:val="20"/>
                <w:lang w:val="sl-SI"/>
              </w:rPr>
            </w:pPr>
            <w:r w:rsidRPr="00FF207E">
              <w:rPr>
                <w:rFonts w:cs="Arial"/>
                <w:sz w:val="20"/>
                <w:szCs w:val="20"/>
                <w:lang w:val="sl-SI"/>
              </w:rPr>
              <w:t>Status ukrepa</w:t>
            </w:r>
          </w:p>
        </w:tc>
        <w:tc>
          <w:tcPr>
            <w:tcW w:w="597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6CBB35C" w14:textId="77777777" w:rsidR="003B4033" w:rsidRPr="00FF207E" w:rsidRDefault="003B4033" w:rsidP="001E304B">
            <w:pPr>
              <w:spacing w:line="240" w:lineRule="atLeast"/>
              <w:jc w:val="both"/>
              <w:rPr>
                <w:rFonts w:cs="Arial"/>
                <w:sz w:val="20"/>
                <w:szCs w:val="20"/>
                <w:lang w:val="sl-SI"/>
              </w:rPr>
            </w:pPr>
            <w:r w:rsidRPr="00FF207E">
              <w:rPr>
                <w:rFonts w:cs="Arial"/>
                <w:sz w:val="20"/>
                <w:szCs w:val="20"/>
                <w:lang w:val="sl-SI"/>
              </w:rPr>
              <w:t>nov ukrep</w:t>
            </w:r>
          </w:p>
        </w:tc>
      </w:tr>
      <w:tr w:rsidR="003B4033" w:rsidRPr="00FF207E" w14:paraId="149CF977" w14:textId="77777777" w:rsidTr="002513F9">
        <w:tc>
          <w:tcPr>
            <w:tcW w:w="907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6DF2BF2C" w14:textId="77777777" w:rsidR="003B4033" w:rsidRPr="00FF207E" w:rsidRDefault="003B4033" w:rsidP="001E304B">
            <w:pPr>
              <w:spacing w:before="60" w:after="60" w:line="240" w:lineRule="atLeast"/>
              <w:jc w:val="both"/>
              <w:rPr>
                <w:rFonts w:cs="Arial"/>
                <w:b/>
                <w:lang w:val="sl-SI"/>
              </w:rPr>
            </w:pPr>
            <w:r w:rsidRPr="00FF207E">
              <w:rPr>
                <w:rFonts w:cs="Arial"/>
                <w:b/>
                <w:lang w:val="sl-SI"/>
              </w:rPr>
              <w:t>Dolgoročna vsebina ukrepa</w:t>
            </w:r>
          </w:p>
        </w:tc>
      </w:tr>
      <w:tr w:rsidR="003B4033" w:rsidRPr="00FF207E" w14:paraId="031A5767" w14:textId="77777777" w:rsidTr="002513F9">
        <w:tc>
          <w:tcPr>
            <w:tcW w:w="9072" w:type="dxa"/>
            <w:gridSpan w:val="3"/>
            <w:tcBorders>
              <w:top w:val="single" w:sz="4" w:space="0" w:color="548DD4" w:themeColor="text2" w:themeTint="99"/>
              <w:left w:val="nil"/>
              <w:bottom w:val="single" w:sz="4" w:space="0" w:color="548DD4" w:themeColor="text2" w:themeTint="99"/>
              <w:right w:val="nil"/>
            </w:tcBorders>
          </w:tcPr>
          <w:p w14:paraId="651B1515" w14:textId="77777777" w:rsidR="003B4033" w:rsidRPr="00FF207E" w:rsidRDefault="003B4033" w:rsidP="001E304B">
            <w:pPr>
              <w:spacing w:line="240" w:lineRule="atLeast"/>
              <w:jc w:val="both"/>
              <w:rPr>
                <w:rFonts w:cs="Arial"/>
                <w:sz w:val="20"/>
                <w:szCs w:val="20"/>
                <w:lang w:val="sl-SI"/>
              </w:rPr>
            </w:pPr>
            <w:r w:rsidRPr="00FF207E">
              <w:rPr>
                <w:rFonts w:cs="Arial"/>
                <w:sz w:val="20"/>
                <w:szCs w:val="20"/>
                <w:lang w:val="sl-SI"/>
              </w:rPr>
              <w:t>V okviru ukrepa je treba dolgoročno:</w:t>
            </w:r>
          </w:p>
          <w:p w14:paraId="5629DD5F" w14:textId="1BB0689A" w:rsidR="000C689E" w:rsidRPr="00FF207E" w:rsidRDefault="000C689E" w:rsidP="001E304B">
            <w:pPr>
              <w:pStyle w:val="Odstavekseznama"/>
              <w:numPr>
                <w:ilvl w:val="0"/>
                <w:numId w:val="17"/>
              </w:numPr>
              <w:spacing w:line="240" w:lineRule="atLeast"/>
              <w:ind w:left="357" w:hanging="357"/>
              <w:jc w:val="both"/>
              <w:rPr>
                <w:rFonts w:cs="Arial"/>
                <w:sz w:val="20"/>
                <w:szCs w:val="20"/>
                <w:lang w:val="sl-SI"/>
              </w:rPr>
            </w:pPr>
            <w:r w:rsidRPr="00FF207E">
              <w:rPr>
                <w:rFonts w:cs="Arial"/>
                <w:sz w:val="20"/>
                <w:szCs w:val="20"/>
                <w:lang w:val="sl-SI"/>
              </w:rPr>
              <w:t xml:space="preserve">pripraviti </w:t>
            </w:r>
            <w:r w:rsidRPr="00FF207E">
              <w:rPr>
                <w:rFonts w:cs="Arial"/>
                <w:b/>
                <w:sz w:val="20"/>
                <w:szCs w:val="20"/>
                <w:lang w:val="sl-SI"/>
              </w:rPr>
              <w:t>metodologijo za oceno energetske revščine na lokalni (občinski) ravni</w:t>
            </w:r>
            <w:r w:rsidRPr="00FF207E">
              <w:rPr>
                <w:rFonts w:cs="Arial"/>
                <w:sz w:val="20"/>
                <w:szCs w:val="20"/>
                <w:lang w:val="sl-SI"/>
              </w:rPr>
              <w:t xml:space="preserve">, oblikovati kazalnike za spremljanje ter omogočiti dostop do </w:t>
            </w:r>
            <w:r w:rsidR="00AB5B90" w:rsidRPr="00FF207E">
              <w:rPr>
                <w:rFonts w:cs="Arial"/>
                <w:sz w:val="20"/>
                <w:szCs w:val="20"/>
                <w:lang w:val="sl-SI"/>
              </w:rPr>
              <w:t xml:space="preserve">pomembnih </w:t>
            </w:r>
            <w:r w:rsidRPr="00FF207E">
              <w:rPr>
                <w:rFonts w:cs="Arial"/>
                <w:sz w:val="20"/>
                <w:szCs w:val="20"/>
                <w:lang w:val="sl-SI"/>
              </w:rPr>
              <w:t>podatkovnih virov;</w:t>
            </w:r>
          </w:p>
          <w:p w14:paraId="1F1E613A" w14:textId="5B7C768C" w:rsidR="000C689E" w:rsidRPr="00FF207E" w:rsidRDefault="000C689E" w:rsidP="001E304B">
            <w:pPr>
              <w:pStyle w:val="Odstavekseznama"/>
              <w:numPr>
                <w:ilvl w:val="0"/>
                <w:numId w:val="17"/>
              </w:numPr>
              <w:spacing w:line="240" w:lineRule="atLeast"/>
              <w:ind w:left="357" w:hanging="357"/>
              <w:jc w:val="both"/>
              <w:rPr>
                <w:rFonts w:cs="Arial"/>
                <w:sz w:val="20"/>
                <w:szCs w:val="20"/>
                <w:lang w:val="sl-SI"/>
              </w:rPr>
            </w:pPr>
            <w:r w:rsidRPr="00FF207E">
              <w:rPr>
                <w:rFonts w:cs="Arial"/>
                <w:sz w:val="20"/>
                <w:szCs w:val="20"/>
                <w:lang w:val="sl-SI"/>
              </w:rPr>
              <w:t xml:space="preserve">z dopolnitvijo metodologije za pripravo </w:t>
            </w:r>
            <w:r w:rsidRPr="00FF207E">
              <w:rPr>
                <w:rFonts w:cs="Arial"/>
                <w:b/>
                <w:sz w:val="20"/>
                <w:szCs w:val="20"/>
                <w:lang w:val="sl-SI"/>
              </w:rPr>
              <w:t xml:space="preserve">lokalnih energetskih konceptov (LEK) </w:t>
            </w:r>
            <w:r w:rsidRPr="00FF207E">
              <w:rPr>
                <w:rFonts w:cs="Arial"/>
                <w:sz w:val="20"/>
                <w:szCs w:val="20"/>
                <w:lang w:val="sl-SI"/>
              </w:rPr>
              <w:t xml:space="preserve">zavezati občine, da v </w:t>
            </w:r>
            <w:r w:rsidRPr="00FF207E">
              <w:rPr>
                <w:rFonts w:cs="Arial"/>
                <w:b/>
                <w:sz w:val="20"/>
                <w:szCs w:val="20"/>
                <w:lang w:val="sl-SI"/>
              </w:rPr>
              <w:t>LEK naslovijo strategije, politike in ukrepe za zmanjševanje energetske revščine</w:t>
            </w:r>
            <w:r w:rsidRPr="00FF207E">
              <w:rPr>
                <w:rFonts w:cs="Arial"/>
                <w:sz w:val="20"/>
                <w:szCs w:val="20"/>
                <w:lang w:val="sl-SI"/>
              </w:rPr>
              <w:t xml:space="preserve"> </w:t>
            </w:r>
            <w:r w:rsidR="00BC3061" w:rsidRPr="00FF207E">
              <w:rPr>
                <w:rFonts w:cs="Arial"/>
                <w:sz w:val="20"/>
                <w:szCs w:val="20"/>
                <w:lang w:val="sl-SI"/>
              </w:rPr>
              <w:t xml:space="preserve">tern </w:t>
            </w:r>
            <w:r w:rsidRPr="00FF207E">
              <w:rPr>
                <w:rFonts w:cs="Arial"/>
                <w:sz w:val="20"/>
                <w:szCs w:val="20"/>
                <w:lang w:val="sl-SI"/>
              </w:rPr>
              <w:t>zagotovijo izvajanje načrtovanih ukrepov;</w:t>
            </w:r>
          </w:p>
          <w:p w14:paraId="5E306EDF" w14:textId="530A0573" w:rsidR="003B4033" w:rsidRPr="00FF207E" w:rsidRDefault="000C689E" w:rsidP="001E304B">
            <w:pPr>
              <w:pStyle w:val="Odstavekseznama"/>
              <w:numPr>
                <w:ilvl w:val="0"/>
                <w:numId w:val="17"/>
              </w:numPr>
              <w:spacing w:line="240" w:lineRule="atLeast"/>
              <w:ind w:left="357" w:hanging="357"/>
              <w:jc w:val="both"/>
              <w:rPr>
                <w:rFonts w:cs="Arial"/>
                <w:sz w:val="20"/>
                <w:szCs w:val="20"/>
                <w:lang w:val="sl-SI"/>
              </w:rPr>
            </w:pPr>
            <w:r w:rsidRPr="00FF207E">
              <w:rPr>
                <w:rFonts w:cs="Arial"/>
                <w:sz w:val="20"/>
                <w:szCs w:val="20"/>
                <w:lang w:val="sl-SI"/>
              </w:rPr>
              <w:t xml:space="preserve">zagotoviti pregled nad ukrepi za zmanjševanje energetske revščine na ravni občin ter omogočiti redno spremljanje </w:t>
            </w:r>
            <w:r w:rsidR="003F0D10" w:rsidRPr="00FF207E">
              <w:rPr>
                <w:rFonts w:cs="Arial"/>
                <w:sz w:val="20"/>
                <w:szCs w:val="20"/>
                <w:lang w:val="sl-SI"/>
              </w:rPr>
              <w:t xml:space="preserve">njihovega </w:t>
            </w:r>
            <w:r w:rsidRPr="00FF207E">
              <w:rPr>
                <w:rFonts w:cs="Arial"/>
                <w:sz w:val="20"/>
                <w:szCs w:val="20"/>
                <w:lang w:val="sl-SI"/>
              </w:rPr>
              <w:t xml:space="preserve">izvajanja in </w:t>
            </w:r>
            <w:r w:rsidR="003F0D10" w:rsidRPr="00FF207E">
              <w:rPr>
                <w:rFonts w:cs="Arial"/>
                <w:sz w:val="20"/>
                <w:szCs w:val="20"/>
                <w:lang w:val="sl-SI"/>
              </w:rPr>
              <w:t xml:space="preserve">doseženih </w:t>
            </w:r>
            <w:r w:rsidRPr="00FF207E">
              <w:rPr>
                <w:rFonts w:cs="Arial"/>
                <w:sz w:val="20"/>
                <w:szCs w:val="20"/>
                <w:lang w:val="sl-SI"/>
              </w:rPr>
              <w:t>učinkov</w:t>
            </w:r>
            <w:r w:rsidR="003F0D10" w:rsidRPr="00FF207E">
              <w:rPr>
                <w:rFonts w:cs="Arial"/>
                <w:sz w:val="20"/>
                <w:szCs w:val="20"/>
                <w:lang w:val="sl-SI"/>
              </w:rPr>
              <w:t>.</w:t>
            </w:r>
          </w:p>
        </w:tc>
      </w:tr>
      <w:tr w:rsidR="003B4033" w:rsidRPr="00FF207E" w14:paraId="6C514C61" w14:textId="77777777" w:rsidTr="002513F9">
        <w:tc>
          <w:tcPr>
            <w:tcW w:w="907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2497BD99" w14:textId="77777777" w:rsidR="003B4033" w:rsidRPr="00FF207E" w:rsidRDefault="003B4033" w:rsidP="001E304B">
            <w:pPr>
              <w:spacing w:before="60" w:after="60" w:line="240" w:lineRule="atLeast"/>
              <w:jc w:val="both"/>
              <w:rPr>
                <w:rFonts w:cs="Arial"/>
                <w:b/>
                <w:lang w:val="sl-SI"/>
              </w:rPr>
            </w:pPr>
            <w:r w:rsidRPr="00FF207E">
              <w:rPr>
                <w:rFonts w:cs="Arial"/>
                <w:b/>
                <w:lang w:val="sl-SI"/>
              </w:rPr>
              <w:t>Kratkoročna izvedba ukrepa v obdobju 2024–2026</w:t>
            </w:r>
          </w:p>
        </w:tc>
      </w:tr>
      <w:tr w:rsidR="003B4033" w:rsidRPr="00FF207E" w14:paraId="58AB189C" w14:textId="77777777" w:rsidTr="002513F9">
        <w:tc>
          <w:tcPr>
            <w:tcW w:w="3093"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05EC261E" w14:textId="77777777" w:rsidR="003B4033" w:rsidRPr="00FF207E" w:rsidRDefault="003B4033" w:rsidP="001E304B">
            <w:pPr>
              <w:spacing w:line="240" w:lineRule="atLeast"/>
              <w:jc w:val="both"/>
              <w:rPr>
                <w:rFonts w:cs="Arial"/>
                <w:sz w:val="20"/>
                <w:szCs w:val="20"/>
                <w:lang w:val="sl-SI"/>
              </w:rPr>
            </w:pPr>
            <w:r w:rsidRPr="00FF207E">
              <w:rPr>
                <w:rFonts w:cs="Arial"/>
                <w:sz w:val="20"/>
                <w:szCs w:val="20"/>
                <w:lang w:val="sl-SI"/>
              </w:rPr>
              <w:t>Kratkoročni cilj</w:t>
            </w:r>
          </w:p>
        </w:tc>
        <w:tc>
          <w:tcPr>
            <w:tcW w:w="597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F7F108F" w14:textId="70189218" w:rsidR="003B4033" w:rsidRPr="00FF207E" w:rsidRDefault="003B4033" w:rsidP="001E304B">
            <w:pPr>
              <w:spacing w:line="240" w:lineRule="atLeast"/>
              <w:jc w:val="both"/>
              <w:rPr>
                <w:rFonts w:cs="Arial"/>
                <w:sz w:val="20"/>
                <w:szCs w:val="20"/>
                <w:lang w:val="sl-SI"/>
              </w:rPr>
            </w:pPr>
            <w:r w:rsidRPr="00FF207E">
              <w:rPr>
                <w:rFonts w:cs="Arial"/>
                <w:sz w:val="20"/>
                <w:szCs w:val="20"/>
                <w:lang w:val="sl-SI"/>
              </w:rPr>
              <w:t>Vključitev področja zmanjševanja energetske revščine v nadgradnjo metodologije za pripravo LEK. Priprava metodologije za oceno energetske revščine na lokalni (občinski) ravni.</w:t>
            </w:r>
          </w:p>
        </w:tc>
      </w:tr>
      <w:tr w:rsidR="003B4033" w:rsidRPr="00FF207E" w14:paraId="73DFF4C6" w14:textId="77777777" w:rsidTr="002513F9">
        <w:tc>
          <w:tcPr>
            <w:tcW w:w="3093"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36DC10A2" w14:textId="14E42ABA" w:rsidR="003B4033" w:rsidRPr="00FF207E" w:rsidRDefault="00BF0315" w:rsidP="00F4436A">
            <w:pPr>
              <w:spacing w:line="240" w:lineRule="atLeast"/>
              <w:jc w:val="both"/>
              <w:rPr>
                <w:rFonts w:cs="Arial"/>
                <w:sz w:val="20"/>
                <w:szCs w:val="20"/>
                <w:lang w:val="sl-SI"/>
              </w:rPr>
            </w:pPr>
            <w:r w:rsidRPr="00FF207E">
              <w:rPr>
                <w:rFonts w:cs="Arial"/>
                <w:sz w:val="20"/>
                <w:szCs w:val="20"/>
                <w:lang w:val="sl-SI"/>
              </w:rPr>
              <w:t>Potrebna sredstva in viri</w:t>
            </w:r>
          </w:p>
        </w:tc>
        <w:tc>
          <w:tcPr>
            <w:tcW w:w="5979"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tcPr>
          <w:p w14:paraId="6A517D78" w14:textId="50DCC9DA" w:rsidR="009F2DF8" w:rsidRPr="00FF207E" w:rsidRDefault="009F2DF8" w:rsidP="002513F9">
            <w:pPr>
              <w:spacing w:line="240" w:lineRule="atLeast"/>
              <w:rPr>
                <w:rFonts w:cs="Arial"/>
                <w:sz w:val="20"/>
                <w:szCs w:val="20"/>
                <w:lang w:val="sl-SI"/>
              </w:rPr>
            </w:pPr>
            <w:r w:rsidRPr="00FF207E">
              <w:rPr>
                <w:rFonts w:cs="Arial"/>
                <w:sz w:val="20"/>
                <w:szCs w:val="20"/>
                <w:lang w:val="sl-SI"/>
              </w:rPr>
              <w:t xml:space="preserve">Stroški dela: v okviru rednega dela ministrstev, </w:t>
            </w:r>
            <w:r w:rsidR="00086058" w:rsidRPr="00FF207E">
              <w:rPr>
                <w:rFonts w:cs="Arial"/>
                <w:sz w:val="20"/>
                <w:szCs w:val="20"/>
                <w:lang w:val="sl-SI"/>
              </w:rPr>
              <w:t>t</w:t>
            </w:r>
            <w:r w:rsidR="00811106" w:rsidRPr="00FF207E">
              <w:rPr>
                <w:rFonts w:cs="Arial"/>
                <w:sz w:val="20"/>
                <w:szCs w:val="20"/>
                <w:lang w:val="sl-SI"/>
              </w:rPr>
              <w:t>abela 7</w:t>
            </w:r>
            <w:r w:rsidR="00BC3061" w:rsidRPr="00FF207E">
              <w:rPr>
                <w:rFonts w:cs="Arial"/>
                <w:sz w:val="20"/>
                <w:szCs w:val="20"/>
                <w:lang w:val="sl-SI"/>
              </w:rPr>
              <w:t>.</w:t>
            </w:r>
          </w:p>
          <w:p w14:paraId="3376E946" w14:textId="3C255698" w:rsidR="003B4033" w:rsidRPr="00FF207E" w:rsidRDefault="009F2DF8" w:rsidP="002513F9">
            <w:pPr>
              <w:spacing w:before="60" w:line="240" w:lineRule="atLeast"/>
              <w:rPr>
                <w:rFonts w:cs="Arial"/>
                <w:sz w:val="20"/>
                <w:szCs w:val="20"/>
                <w:lang w:val="sl-SI"/>
              </w:rPr>
            </w:pPr>
            <w:r w:rsidRPr="00FF207E">
              <w:rPr>
                <w:rFonts w:cs="Arial"/>
                <w:sz w:val="20"/>
                <w:szCs w:val="20"/>
                <w:lang w:val="sl-SI"/>
              </w:rPr>
              <w:t xml:space="preserve">Viri sredstev: proračun, </w:t>
            </w:r>
            <w:r w:rsidR="00E37FD4" w:rsidRPr="00FF207E">
              <w:rPr>
                <w:rFonts w:cs="Arial"/>
                <w:sz w:val="20"/>
                <w:szCs w:val="20"/>
                <w:lang w:val="sl-SI"/>
              </w:rPr>
              <w:t>Sklad za podnebne spremembe</w:t>
            </w:r>
            <w:r w:rsidRPr="00FF207E">
              <w:rPr>
                <w:rFonts w:cs="Arial"/>
                <w:sz w:val="20"/>
                <w:szCs w:val="20"/>
                <w:lang w:val="sl-SI"/>
              </w:rPr>
              <w:t xml:space="preserve"> (projekt LIFE </w:t>
            </w:r>
            <w:r w:rsidR="00E37FD4" w:rsidRPr="00FF207E">
              <w:rPr>
                <w:rFonts w:cs="Arial"/>
                <w:sz w:val="20"/>
                <w:szCs w:val="20"/>
                <w:lang w:val="sl-SI"/>
              </w:rPr>
              <w:t>IP CARE4CLIMATE</w:t>
            </w:r>
            <w:r w:rsidRPr="00FF207E">
              <w:rPr>
                <w:rFonts w:cs="Arial"/>
                <w:sz w:val="20"/>
                <w:szCs w:val="20"/>
                <w:lang w:val="sl-SI"/>
              </w:rPr>
              <w:t xml:space="preserve"> in drugi)</w:t>
            </w:r>
          </w:p>
        </w:tc>
      </w:tr>
      <w:tr w:rsidR="003B4033" w:rsidRPr="00FF207E" w14:paraId="2AEA3323" w14:textId="77777777" w:rsidTr="002513F9">
        <w:tc>
          <w:tcPr>
            <w:tcW w:w="9072" w:type="dxa"/>
            <w:gridSpan w:val="3"/>
            <w:tcBorders>
              <w:top w:val="single" w:sz="4" w:space="0" w:color="548DD4" w:themeColor="text2" w:themeTint="99"/>
              <w:left w:val="nil"/>
              <w:bottom w:val="single" w:sz="4" w:space="0" w:color="548DD4" w:themeColor="text2" w:themeTint="99"/>
              <w:right w:val="nil"/>
            </w:tcBorders>
            <w:shd w:val="clear" w:color="auto" w:fill="DBE5F1" w:themeFill="accent1" w:themeFillTint="33"/>
          </w:tcPr>
          <w:p w14:paraId="71BE41AB" w14:textId="77777777" w:rsidR="003B4033" w:rsidRPr="00FF207E" w:rsidRDefault="003B4033" w:rsidP="001E304B">
            <w:pPr>
              <w:spacing w:before="40" w:after="40" w:line="240" w:lineRule="atLeast"/>
              <w:jc w:val="both"/>
              <w:rPr>
                <w:rFonts w:cs="Arial"/>
                <w:sz w:val="20"/>
                <w:szCs w:val="20"/>
                <w:lang w:val="sl-SI"/>
              </w:rPr>
            </w:pPr>
            <w:r w:rsidRPr="00FF207E">
              <w:rPr>
                <w:rFonts w:cs="Arial"/>
                <w:sz w:val="20"/>
                <w:szCs w:val="20"/>
                <w:lang w:val="sl-SI"/>
              </w:rPr>
              <w:t>Potek izvedbe</w:t>
            </w:r>
          </w:p>
        </w:tc>
      </w:tr>
      <w:tr w:rsidR="003B4033" w:rsidRPr="00FF207E" w14:paraId="6E846F93" w14:textId="77777777" w:rsidTr="002513F9">
        <w:tc>
          <w:tcPr>
            <w:tcW w:w="715"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04A4A1A8" w14:textId="1228193C" w:rsidR="003B4033" w:rsidRPr="00FF207E" w:rsidRDefault="00C41033" w:rsidP="001E304B">
            <w:pPr>
              <w:spacing w:line="240" w:lineRule="atLeast"/>
              <w:jc w:val="both"/>
              <w:rPr>
                <w:rFonts w:cs="Arial"/>
                <w:b/>
                <w:sz w:val="24"/>
                <w:lang w:val="sl-SI"/>
              </w:rPr>
            </w:pPr>
            <w:r w:rsidRPr="00FF207E">
              <w:rPr>
                <w:rFonts w:cs="Arial"/>
                <w:b/>
                <w:sz w:val="24"/>
                <w:lang w:val="sl-SI"/>
              </w:rPr>
              <w:t>1</w:t>
            </w:r>
          </w:p>
        </w:tc>
        <w:tc>
          <w:tcPr>
            <w:tcW w:w="2378"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3ADA6A18" w14:textId="77777777" w:rsidR="003B4033" w:rsidRPr="00FF207E" w:rsidRDefault="003B4033" w:rsidP="001E304B">
            <w:pPr>
              <w:spacing w:line="240" w:lineRule="atLeast"/>
              <w:jc w:val="both"/>
              <w:rPr>
                <w:rFonts w:cs="Arial"/>
                <w:sz w:val="20"/>
                <w:szCs w:val="20"/>
                <w:lang w:val="sl-SI"/>
              </w:rPr>
            </w:pPr>
            <w:r w:rsidRPr="00FF207E">
              <w:rPr>
                <w:rFonts w:cs="Arial"/>
                <w:sz w:val="20"/>
                <w:szCs w:val="20"/>
                <w:lang w:val="sl-SI"/>
              </w:rPr>
              <w:t>Vsebina</w:t>
            </w:r>
          </w:p>
        </w:tc>
        <w:tc>
          <w:tcPr>
            <w:tcW w:w="5979"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6825002B" w14:textId="7EBE5FBF" w:rsidR="003B4033" w:rsidRPr="00FF207E" w:rsidRDefault="00BC3061" w:rsidP="00AB5B90">
            <w:pPr>
              <w:spacing w:line="240" w:lineRule="atLeast"/>
              <w:jc w:val="both"/>
              <w:rPr>
                <w:rFonts w:cs="Arial"/>
                <w:sz w:val="20"/>
                <w:szCs w:val="20"/>
                <w:lang w:val="sl-SI"/>
              </w:rPr>
            </w:pPr>
            <w:r w:rsidRPr="00FF207E">
              <w:rPr>
                <w:rFonts w:cs="Arial"/>
                <w:sz w:val="20"/>
                <w:szCs w:val="20"/>
                <w:lang w:val="sl-SI"/>
              </w:rPr>
              <w:t>p</w:t>
            </w:r>
            <w:r w:rsidR="003B4033" w:rsidRPr="00FF207E">
              <w:rPr>
                <w:rFonts w:cs="Arial"/>
                <w:sz w:val="20"/>
                <w:szCs w:val="20"/>
                <w:lang w:val="sl-SI"/>
              </w:rPr>
              <w:t xml:space="preserve">riprava metodologije za oceno stanja energetske revščine na lokalni (občinski) ravni, oblikovanje kazalnikov za spremljanje ter zagotovitev dostopa do </w:t>
            </w:r>
            <w:r w:rsidR="00AB5B90" w:rsidRPr="00FF207E">
              <w:rPr>
                <w:rFonts w:cs="Arial"/>
                <w:sz w:val="20"/>
                <w:szCs w:val="20"/>
                <w:lang w:val="sl-SI"/>
              </w:rPr>
              <w:t xml:space="preserve">pomembnih </w:t>
            </w:r>
            <w:r w:rsidR="003B4033" w:rsidRPr="00FF207E">
              <w:rPr>
                <w:rFonts w:cs="Arial"/>
                <w:sz w:val="20"/>
                <w:szCs w:val="20"/>
                <w:lang w:val="sl-SI"/>
              </w:rPr>
              <w:t>podatkovnih virov</w:t>
            </w:r>
          </w:p>
        </w:tc>
      </w:tr>
      <w:tr w:rsidR="003B4033" w:rsidRPr="00FF207E" w14:paraId="4947E3E4" w14:textId="77777777" w:rsidTr="002513F9">
        <w:tc>
          <w:tcPr>
            <w:tcW w:w="715" w:type="dxa"/>
            <w:vMerge/>
            <w:tcBorders>
              <w:left w:val="nil"/>
              <w:bottom w:val="single" w:sz="4" w:space="0" w:color="548DD4" w:themeColor="text2" w:themeTint="99"/>
              <w:right w:val="single" w:sz="4" w:space="0" w:color="548DD4" w:themeColor="text2" w:themeTint="99"/>
            </w:tcBorders>
          </w:tcPr>
          <w:p w14:paraId="69B94134" w14:textId="77777777" w:rsidR="003B4033" w:rsidRPr="00FF207E" w:rsidRDefault="003B4033" w:rsidP="001E304B">
            <w:pPr>
              <w:spacing w:line="240" w:lineRule="atLeast"/>
              <w:jc w:val="both"/>
              <w:rPr>
                <w:rFonts w:cs="Arial"/>
                <w:sz w:val="20"/>
                <w:szCs w:val="20"/>
                <w:lang w:val="sl-SI"/>
              </w:rPr>
            </w:pPr>
          </w:p>
        </w:tc>
        <w:tc>
          <w:tcPr>
            <w:tcW w:w="2378"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30749D3" w14:textId="77777777" w:rsidR="003B4033" w:rsidRPr="00FF207E" w:rsidRDefault="003B4033" w:rsidP="001E304B">
            <w:pPr>
              <w:spacing w:line="240" w:lineRule="atLeast"/>
              <w:jc w:val="both"/>
              <w:rPr>
                <w:rFonts w:cs="Arial"/>
                <w:sz w:val="20"/>
                <w:szCs w:val="20"/>
                <w:lang w:val="sl-SI"/>
              </w:rPr>
            </w:pPr>
            <w:r w:rsidRPr="00FF207E">
              <w:rPr>
                <w:rFonts w:cs="Arial"/>
                <w:sz w:val="20"/>
                <w:szCs w:val="20"/>
                <w:lang w:val="sl-SI"/>
              </w:rPr>
              <w:t>Odgovornost</w:t>
            </w:r>
          </w:p>
        </w:tc>
        <w:tc>
          <w:tcPr>
            <w:tcW w:w="5979"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49A7E6A3" w14:textId="77777777" w:rsidR="003B4033" w:rsidRPr="00FF207E" w:rsidRDefault="003B4033" w:rsidP="001E304B">
            <w:pPr>
              <w:spacing w:line="240" w:lineRule="atLeast"/>
              <w:jc w:val="both"/>
              <w:rPr>
                <w:rFonts w:cs="Arial"/>
                <w:sz w:val="20"/>
                <w:szCs w:val="20"/>
                <w:lang w:val="sl-SI"/>
              </w:rPr>
            </w:pPr>
            <w:r w:rsidRPr="00FF207E">
              <w:rPr>
                <w:rFonts w:cs="Arial"/>
                <w:sz w:val="20"/>
                <w:szCs w:val="20"/>
                <w:lang w:val="sl-SI"/>
              </w:rPr>
              <w:t>MOPE</w:t>
            </w:r>
          </w:p>
        </w:tc>
      </w:tr>
      <w:tr w:rsidR="00EA5927" w:rsidRPr="00FF207E" w14:paraId="685CA283" w14:textId="77777777" w:rsidTr="002513F9">
        <w:tc>
          <w:tcPr>
            <w:tcW w:w="715" w:type="dxa"/>
            <w:vMerge/>
            <w:tcBorders>
              <w:left w:val="nil"/>
              <w:bottom w:val="single" w:sz="4" w:space="0" w:color="548DD4" w:themeColor="text2" w:themeTint="99"/>
              <w:right w:val="single" w:sz="4" w:space="0" w:color="548DD4" w:themeColor="text2" w:themeTint="99"/>
            </w:tcBorders>
          </w:tcPr>
          <w:p w14:paraId="65FE8927" w14:textId="77777777" w:rsidR="00EA5927" w:rsidRPr="00FF207E" w:rsidRDefault="00EA5927" w:rsidP="001E304B">
            <w:pPr>
              <w:spacing w:line="240" w:lineRule="atLeast"/>
              <w:jc w:val="both"/>
              <w:rPr>
                <w:rFonts w:cs="Arial"/>
                <w:sz w:val="20"/>
                <w:szCs w:val="20"/>
                <w:lang w:val="sl-SI"/>
              </w:rPr>
            </w:pPr>
          </w:p>
        </w:tc>
        <w:tc>
          <w:tcPr>
            <w:tcW w:w="2378"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70E08983" w14:textId="77777777" w:rsidR="00EA5927" w:rsidRPr="00FF207E" w:rsidRDefault="00EA5927" w:rsidP="001E304B">
            <w:pPr>
              <w:spacing w:line="240" w:lineRule="atLeast"/>
              <w:jc w:val="both"/>
              <w:rPr>
                <w:rFonts w:cs="Arial"/>
                <w:sz w:val="20"/>
                <w:szCs w:val="20"/>
                <w:lang w:val="sl-SI"/>
              </w:rPr>
            </w:pPr>
            <w:r w:rsidRPr="00FF207E">
              <w:rPr>
                <w:rFonts w:cs="Arial"/>
                <w:sz w:val="20"/>
                <w:szCs w:val="20"/>
                <w:lang w:val="sl-SI"/>
              </w:rPr>
              <w:t>Vključeni deležniki</w:t>
            </w:r>
          </w:p>
        </w:tc>
        <w:tc>
          <w:tcPr>
            <w:tcW w:w="5979"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71085974" w14:textId="686C2CDA" w:rsidR="00EA5927" w:rsidRPr="00FF207E" w:rsidRDefault="00EA5927" w:rsidP="001E304B">
            <w:pPr>
              <w:spacing w:line="240" w:lineRule="atLeast"/>
              <w:jc w:val="both"/>
              <w:rPr>
                <w:rFonts w:cs="Arial"/>
                <w:sz w:val="20"/>
                <w:szCs w:val="20"/>
                <w:lang w:val="sl-SI"/>
              </w:rPr>
            </w:pPr>
            <w:r w:rsidRPr="00FF207E">
              <w:rPr>
                <w:rFonts w:cs="Arial"/>
                <w:sz w:val="20"/>
                <w:szCs w:val="20"/>
                <w:lang w:val="sl-SI"/>
              </w:rPr>
              <w:t xml:space="preserve">lokalne energetske agencije, občine, pripravljavci nadgradnje metodologije LEK, </w:t>
            </w:r>
            <w:proofErr w:type="spellStart"/>
            <w:r w:rsidRPr="00FF207E">
              <w:rPr>
                <w:rFonts w:cs="Arial"/>
                <w:sz w:val="20"/>
                <w:szCs w:val="20"/>
                <w:lang w:val="sl-SI"/>
              </w:rPr>
              <w:t>Eko</w:t>
            </w:r>
            <w:proofErr w:type="spellEnd"/>
            <w:r w:rsidRPr="00FF207E">
              <w:rPr>
                <w:rFonts w:cs="Arial"/>
                <w:sz w:val="20"/>
                <w:szCs w:val="20"/>
                <w:lang w:val="sl-SI"/>
              </w:rPr>
              <w:t xml:space="preserve"> sklad – projektna pisarna, regionalne svetovalne točke, MDDSZ, izdelovalci LEK</w:t>
            </w:r>
          </w:p>
        </w:tc>
      </w:tr>
      <w:tr w:rsidR="00EA5927" w:rsidRPr="00FF207E" w14:paraId="496CD53D" w14:textId="77777777" w:rsidTr="002513F9">
        <w:tc>
          <w:tcPr>
            <w:tcW w:w="715" w:type="dxa"/>
            <w:vMerge/>
            <w:tcBorders>
              <w:left w:val="nil"/>
              <w:bottom w:val="single" w:sz="4" w:space="0" w:color="548DD4" w:themeColor="text2" w:themeTint="99"/>
              <w:right w:val="single" w:sz="4" w:space="0" w:color="548DD4" w:themeColor="text2" w:themeTint="99"/>
            </w:tcBorders>
          </w:tcPr>
          <w:p w14:paraId="44D360AB" w14:textId="77777777" w:rsidR="00EA5927" w:rsidRPr="00FF207E" w:rsidRDefault="00EA5927" w:rsidP="001E304B">
            <w:pPr>
              <w:spacing w:line="240" w:lineRule="atLeast"/>
              <w:jc w:val="both"/>
              <w:rPr>
                <w:rFonts w:cs="Arial"/>
                <w:sz w:val="20"/>
                <w:szCs w:val="20"/>
                <w:lang w:val="sl-SI"/>
              </w:rPr>
            </w:pPr>
          </w:p>
        </w:tc>
        <w:tc>
          <w:tcPr>
            <w:tcW w:w="2378"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7C305B3B" w14:textId="77777777" w:rsidR="00EA5927" w:rsidRPr="00FF207E" w:rsidRDefault="00EA5927" w:rsidP="001E304B">
            <w:pPr>
              <w:spacing w:line="240" w:lineRule="atLeast"/>
              <w:jc w:val="both"/>
              <w:rPr>
                <w:rFonts w:cs="Arial"/>
                <w:sz w:val="20"/>
                <w:szCs w:val="20"/>
                <w:lang w:val="sl-SI"/>
              </w:rPr>
            </w:pPr>
            <w:r w:rsidRPr="00FF207E">
              <w:rPr>
                <w:rFonts w:cs="Arial"/>
                <w:sz w:val="20"/>
                <w:szCs w:val="20"/>
                <w:lang w:val="sl-SI"/>
              </w:rPr>
              <w:t>Rok izvedbe</w:t>
            </w:r>
          </w:p>
        </w:tc>
        <w:tc>
          <w:tcPr>
            <w:tcW w:w="5979"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6628E1D7" w14:textId="038FD807" w:rsidR="00EA5927" w:rsidRPr="00FF207E" w:rsidRDefault="00E8689E" w:rsidP="001E304B">
            <w:pPr>
              <w:spacing w:line="240" w:lineRule="atLeast"/>
              <w:jc w:val="both"/>
              <w:rPr>
                <w:rFonts w:cs="Arial"/>
                <w:sz w:val="20"/>
                <w:szCs w:val="20"/>
                <w:lang w:val="sl-SI"/>
              </w:rPr>
            </w:pPr>
            <w:r w:rsidRPr="00FF207E">
              <w:rPr>
                <w:rFonts w:cs="Arial"/>
                <w:sz w:val="20"/>
                <w:szCs w:val="20"/>
                <w:lang w:val="sl-SI"/>
              </w:rPr>
              <w:t>2024</w:t>
            </w:r>
          </w:p>
        </w:tc>
      </w:tr>
      <w:tr w:rsidR="00AD5FD4" w:rsidRPr="00FF207E" w14:paraId="638186B8" w14:textId="77777777" w:rsidTr="002513F9">
        <w:tc>
          <w:tcPr>
            <w:tcW w:w="715"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3C861DB9" w14:textId="302BDAB4" w:rsidR="00AD5FD4" w:rsidRPr="00FF207E" w:rsidRDefault="00C41033" w:rsidP="001E304B">
            <w:pPr>
              <w:spacing w:line="240" w:lineRule="atLeast"/>
              <w:jc w:val="both"/>
              <w:rPr>
                <w:rFonts w:cs="Arial"/>
                <w:b/>
                <w:sz w:val="24"/>
                <w:lang w:val="sl-SI"/>
              </w:rPr>
            </w:pPr>
            <w:r w:rsidRPr="00FF207E">
              <w:rPr>
                <w:rFonts w:cs="Arial"/>
                <w:b/>
                <w:sz w:val="24"/>
                <w:lang w:val="sl-SI"/>
              </w:rPr>
              <w:t>2</w:t>
            </w:r>
          </w:p>
        </w:tc>
        <w:tc>
          <w:tcPr>
            <w:tcW w:w="2378"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002F1FDF" w14:textId="77777777" w:rsidR="00AD5FD4" w:rsidRPr="00FF207E" w:rsidRDefault="00AD5FD4" w:rsidP="001E304B">
            <w:pPr>
              <w:spacing w:line="240" w:lineRule="atLeast"/>
              <w:jc w:val="both"/>
              <w:rPr>
                <w:rFonts w:cs="Arial"/>
                <w:sz w:val="20"/>
                <w:szCs w:val="20"/>
                <w:lang w:val="sl-SI"/>
              </w:rPr>
            </w:pPr>
            <w:r w:rsidRPr="00FF207E">
              <w:rPr>
                <w:rFonts w:cs="Arial"/>
                <w:sz w:val="20"/>
                <w:szCs w:val="20"/>
                <w:lang w:val="sl-SI"/>
              </w:rPr>
              <w:t>Vsebina</w:t>
            </w:r>
          </w:p>
        </w:tc>
        <w:tc>
          <w:tcPr>
            <w:tcW w:w="5979"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2AE66370" w14:textId="6D9CDB73" w:rsidR="00AD5FD4" w:rsidRPr="00FF207E" w:rsidRDefault="00BC3061" w:rsidP="001E304B">
            <w:pPr>
              <w:spacing w:line="240" w:lineRule="atLeast"/>
              <w:jc w:val="both"/>
              <w:rPr>
                <w:rFonts w:cs="Arial"/>
                <w:sz w:val="20"/>
                <w:szCs w:val="20"/>
                <w:lang w:val="sl-SI"/>
              </w:rPr>
            </w:pPr>
            <w:r w:rsidRPr="00FF207E">
              <w:rPr>
                <w:rFonts w:cs="Arial"/>
                <w:sz w:val="20"/>
                <w:szCs w:val="20"/>
                <w:lang w:val="sl-SI"/>
              </w:rPr>
              <w:t>v</w:t>
            </w:r>
            <w:r w:rsidR="00AD5FD4" w:rsidRPr="00FF207E">
              <w:rPr>
                <w:rFonts w:cs="Arial"/>
                <w:sz w:val="20"/>
                <w:szCs w:val="20"/>
                <w:lang w:val="sl-SI"/>
              </w:rPr>
              <w:t>ključitev področja zmanjševanja energetske revščine v metodologijo za pripravo LEK</w:t>
            </w:r>
          </w:p>
        </w:tc>
      </w:tr>
      <w:tr w:rsidR="00AD5FD4" w:rsidRPr="00FF207E" w14:paraId="17D6B3F8" w14:textId="77777777" w:rsidTr="002513F9">
        <w:tc>
          <w:tcPr>
            <w:tcW w:w="715" w:type="dxa"/>
            <w:vMerge/>
            <w:tcBorders>
              <w:left w:val="nil"/>
              <w:bottom w:val="single" w:sz="4" w:space="0" w:color="548DD4" w:themeColor="text2" w:themeTint="99"/>
              <w:right w:val="single" w:sz="4" w:space="0" w:color="548DD4" w:themeColor="text2" w:themeTint="99"/>
            </w:tcBorders>
          </w:tcPr>
          <w:p w14:paraId="7B1A308F" w14:textId="77777777" w:rsidR="00AD5FD4" w:rsidRPr="00FF207E" w:rsidRDefault="00AD5FD4" w:rsidP="001E304B">
            <w:pPr>
              <w:spacing w:line="240" w:lineRule="atLeast"/>
              <w:jc w:val="both"/>
              <w:rPr>
                <w:rFonts w:cs="Arial"/>
                <w:sz w:val="20"/>
                <w:szCs w:val="20"/>
                <w:lang w:val="sl-SI"/>
              </w:rPr>
            </w:pPr>
          </w:p>
        </w:tc>
        <w:tc>
          <w:tcPr>
            <w:tcW w:w="2378"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6C5D77C" w14:textId="77777777" w:rsidR="00AD5FD4" w:rsidRPr="00FF207E" w:rsidRDefault="00AD5FD4" w:rsidP="001E304B">
            <w:pPr>
              <w:spacing w:line="240" w:lineRule="atLeast"/>
              <w:jc w:val="both"/>
              <w:rPr>
                <w:rFonts w:cs="Arial"/>
                <w:sz w:val="20"/>
                <w:szCs w:val="20"/>
                <w:lang w:val="sl-SI"/>
              </w:rPr>
            </w:pPr>
            <w:r w:rsidRPr="00FF207E">
              <w:rPr>
                <w:rFonts w:cs="Arial"/>
                <w:sz w:val="20"/>
                <w:szCs w:val="20"/>
                <w:lang w:val="sl-SI"/>
              </w:rPr>
              <w:t>Odgovornost</w:t>
            </w:r>
          </w:p>
        </w:tc>
        <w:tc>
          <w:tcPr>
            <w:tcW w:w="5979"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5EE87B80" w14:textId="77777777" w:rsidR="00AD5FD4" w:rsidRPr="00FF207E" w:rsidRDefault="00AD5FD4" w:rsidP="001E304B">
            <w:pPr>
              <w:spacing w:line="240" w:lineRule="atLeast"/>
              <w:jc w:val="both"/>
              <w:rPr>
                <w:rFonts w:cs="Arial"/>
                <w:sz w:val="20"/>
                <w:szCs w:val="20"/>
                <w:lang w:val="sl-SI"/>
              </w:rPr>
            </w:pPr>
            <w:r w:rsidRPr="00FF207E">
              <w:rPr>
                <w:rFonts w:cs="Arial"/>
                <w:sz w:val="20"/>
                <w:szCs w:val="20"/>
                <w:lang w:val="sl-SI"/>
              </w:rPr>
              <w:t>MOPE</w:t>
            </w:r>
          </w:p>
        </w:tc>
      </w:tr>
      <w:tr w:rsidR="00AD5FD4" w:rsidRPr="00FF207E" w14:paraId="0E7E2220" w14:textId="77777777" w:rsidTr="002513F9">
        <w:tc>
          <w:tcPr>
            <w:tcW w:w="715" w:type="dxa"/>
            <w:vMerge/>
            <w:tcBorders>
              <w:left w:val="nil"/>
              <w:bottom w:val="single" w:sz="4" w:space="0" w:color="548DD4" w:themeColor="text2" w:themeTint="99"/>
              <w:right w:val="single" w:sz="4" w:space="0" w:color="548DD4" w:themeColor="text2" w:themeTint="99"/>
            </w:tcBorders>
          </w:tcPr>
          <w:p w14:paraId="22C2FC19" w14:textId="77777777" w:rsidR="00AD5FD4" w:rsidRPr="00FF207E" w:rsidRDefault="00AD5FD4" w:rsidP="001E304B">
            <w:pPr>
              <w:spacing w:line="240" w:lineRule="atLeast"/>
              <w:jc w:val="both"/>
              <w:rPr>
                <w:rFonts w:cs="Arial"/>
                <w:sz w:val="20"/>
                <w:szCs w:val="20"/>
                <w:lang w:val="sl-SI"/>
              </w:rPr>
            </w:pPr>
          </w:p>
        </w:tc>
        <w:tc>
          <w:tcPr>
            <w:tcW w:w="2378"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2D4E1E1B" w14:textId="77777777" w:rsidR="00AD5FD4" w:rsidRPr="00FF207E" w:rsidRDefault="00AD5FD4" w:rsidP="001E304B">
            <w:pPr>
              <w:spacing w:line="240" w:lineRule="atLeast"/>
              <w:jc w:val="both"/>
              <w:rPr>
                <w:rFonts w:cs="Arial"/>
                <w:sz w:val="20"/>
                <w:szCs w:val="20"/>
                <w:lang w:val="sl-SI"/>
              </w:rPr>
            </w:pPr>
            <w:r w:rsidRPr="00FF207E">
              <w:rPr>
                <w:rFonts w:cs="Arial"/>
                <w:sz w:val="20"/>
                <w:szCs w:val="20"/>
                <w:lang w:val="sl-SI"/>
              </w:rPr>
              <w:t>Vključeni deležniki</w:t>
            </w:r>
          </w:p>
        </w:tc>
        <w:tc>
          <w:tcPr>
            <w:tcW w:w="5979"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8E5AF2D" w14:textId="359BCC54" w:rsidR="00AD5FD4" w:rsidRPr="00FF207E" w:rsidRDefault="00AD5FD4" w:rsidP="001E304B">
            <w:pPr>
              <w:spacing w:line="240" w:lineRule="atLeast"/>
              <w:jc w:val="both"/>
              <w:rPr>
                <w:rFonts w:cs="Arial"/>
                <w:sz w:val="20"/>
                <w:szCs w:val="20"/>
                <w:lang w:val="sl-SI"/>
              </w:rPr>
            </w:pPr>
            <w:r w:rsidRPr="00FF207E">
              <w:rPr>
                <w:rFonts w:cs="Arial"/>
                <w:sz w:val="20"/>
                <w:szCs w:val="20"/>
                <w:lang w:val="sl-SI"/>
              </w:rPr>
              <w:t xml:space="preserve">pripravljavci LEK, občine </w:t>
            </w:r>
          </w:p>
        </w:tc>
      </w:tr>
      <w:tr w:rsidR="00AD5FD4" w:rsidRPr="00FF207E" w14:paraId="14B0153D" w14:textId="77777777" w:rsidTr="002513F9">
        <w:tc>
          <w:tcPr>
            <w:tcW w:w="715" w:type="dxa"/>
            <w:vMerge/>
            <w:tcBorders>
              <w:left w:val="nil"/>
              <w:bottom w:val="single" w:sz="4" w:space="0" w:color="548DD4" w:themeColor="text2" w:themeTint="99"/>
              <w:right w:val="single" w:sz="4" w:space="0" w:color="548DD4" w:themeColor="text2" w:themeTint="99"/>
            </w:tcBorders>
          </w:tcPr>
          <w:p w14:paraId="17EFD1C3" w14:textId="77777777" w:rsidR="00AD5FD4" w:rsidRPr="00FF207E" w:rsidRDefault="00AD5FD4" w:rsidP="001E304B">
            <w:pPr>
              <w:spacing w:line="240" w:lineRule="atLeast"/>
              <w:jc w:val="both"/>
              <w:rPr>
                <w:rFonts w:cs="Arial"/>
                <w:sz w:val="20"/>
                <w:szCs w:val="20"/>
                <w:lang w:val="sl-SI"/>
              </w:rPr>
            </w:pPr>
          </w:p>
        </w:tc>
        <w:tc>
          <w:tcPr>
            <w:tcW w:w="2378"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664ED8CA" w14:textId="77777777" w:rsidR="00AD5FD4" w:rsidRPr="00FF207E" w:rsidRDefault="00AD5FD4" w:rsidP="001E304B">
            <w:pPr>
              <w:spacing w:line="240" w:lineRule="atLeast"/>
              <w:jc w:val="both"/>
              <w:rPr>
                <w:rFonts w:cs="Arial"/>
                <w:sz w:val="20"/>
                <w:szCs w:val="20"/>
                <w:lang w:val="sl-SI"/>
              </w:rPr>
            </w:pPr>
            <w:r w:rsidRPr="00FF207E">
              <w:rPr>
                <w:rFonts w:cs="Arial"/>
                <w:sz w:val="20"/>
                <w:szCs w:val="20"/>
                <w:lang w:val="sl-SI"/>
              </w:rPr>
              <w:t>Rok izvedbe</w:t>
            </w:r>
          </w:p>
        </w:tc>
        <w:tc>
          <w:tcPr>
            <w:tcW w:w="5979"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79DFAB00" w14:textId="502809E4" w:rsidR="00AD5FD4" w:rsidRPr="00FF207E" w:rsidRDefault="00E8689E" w:rsidP="001E304B">
            <w:pPr>
              <w:spacing w:line="240" w:lineRule="atLeast"/>
              <w:jc w:val="both"/>
              <w:rPr>
                <w:rFonts w:cs="Arial"/>
                <w:color w:val="000000" w:themeColor="text1"/>
                <w:sz w:val="20"/>
                <w:szCs w:val="20"/>
                <w:lang w:val="sl-SI"/>
              </w:rPr>
            </w:pPr>
            <w:r w:rsidRPr="00FF207E">
              <w:rPr>
                <w:rFonts w:cs="Arial"/>
                <w:sz w:val="20"/>
                <w:szCs w:val="20"/>
                <w:lang w:val="sl-SI"/>
              </w:rPr>
              <w:t>2024</w:t>
            </w:r>
          </w:p>
        </w:tc>
      </w:tr>
      <w:tr w:rsidR="00AD5FD4" w:rsidRPr="00FF207E" w14:paraId="0D762B23" w14:textId="77777777" w:rsidTr="002513F9">
        <w:tc>
          <w:tcPr>
            <w:tcW w:w="715"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6F3D60B8" w14:textId="36E120E7" w:rsidR="00AD5FD4" w:rsidRPr="00FF207E" w:rsidRDefault="00C41033" w:rsidP="001E304B">
            <w:pPr>
              <w:spacing w:line="240" w:lineRule="atLeast"/>
              <w:jc w:val="both"/>
              <w:rPr>
                <w:rFonts w:cs="Arial"/>
                <w:b/>
                <w:sz w:val="24"/>
                <w:lang w:val="sl-SI"/>
              </w:rPr>
            </w:pPr>
            <w:r w:rsidRPr="00FF207E">
              <w:rPr>
                <w:rFonts w:cs="Arial"/>
                <w:b/>
                <w:sz w:val="24"/>
                <w:lang w:val="sl-SI"/>
              </w:rPr>
              <w:t>3</w:t>
            </w:r>
          </w:p>
        </w:tc>
        <w:tc>
          <w:tcPr>
            <w:tcW w:w="2378"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20B471B3" w14:textId="77777777" w:rsidR="00AD5FD4" w:rsidRPr="00FF207E" w:rsidRDefault="00AD5FD4" w:rsidP="001E304B">
            <w:pPr>
              <w:spacing w:line="240" w:lineRule="atLeast"/>
              <w:jc w:val="both"/>
              <w:rPr>
                <w:rFonts w:cs="Arial"/>
                <w:sz w:val="20"/>
                <w:szCs w:val="20"/>
                <w:lang w:val="sl-SI"/>
              </w:rPr>
            </w:pPr>
            <w:r w:rsidRPr="00FF207E">
              <w:rPr>
                <w:rFonts w:cs="Arial"/>
                <w:sz w:val="20"/>
                <w:szCs w:val="20"/>
                <w:lang w:val="sl-SI"/>
              </w:rPr>
              <w:t>Vsebina</w:t>
            </w:r>
          </w:p>
        </w:tc>
        <w:tc>
          <w:tcPr>
            <w:tcW w:w="5979"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457AA76F" w14:textId="0B3D8CDB" w:rsidR="00AD5FD4" w:rsidRPr="00FF207E" w:rsidRDefault="00BC3061" w:rsidP="001E304B">
            <w:pPr>
              <w:spacing w:line="240" w:lineRule="atLeast"/>
              <w:jc w:val="both"/>
              <w:rPr>
                <w:rFonts w:cs="Arial"/>
                <w:sz w:val="20"/>
                <w:szCs w:val="20"/>
                <w:lang w:val="sl-SI"/>
              </w:rPr>
            </w:pPr>
            <w:r w:rsidRPr="00FF207E">
              <w:rPr>
                <w:rFonts w:cs="Arial"/>
                <w:sz w:val="20"/>
                <w:szCs w:val="20"/>
                <w:lang w:val="sl-SI"/>
              </w:rPr>
              <w:t>u</w:t>
            </w:r>
            <w:r w:rsidR="00AD5FD4" w:rsidRPr="00FF207E">
              <w:rPr>
                <w:rFonts w:cs="Arial"/>
                <w:sz w:val="20"/>
                <w:szCs w:val="20"/>
                <w:lang w:val="sl-SI"/>
              </w:rPr>
              <w:t>sposabljanje pripravljavcev LEK</w:t>
            </w:r>
          </w:p>
        </w:tc>
      </w:tr>
      <w:tr w:rsidR="00AD5FD4" w:rsidRPr="00FF207E" w14:paraId="7118C48B" w14:textId="77777777" w:rsidTr="002513F9">
        <w:tc>
          <w:tcPr>
            <w:tcW w:w="715" w:type="dxa"/>
            <w:vMerge/>
            <w:tcBorders>
              <w:left w:val="nil"/>
              <w:bottom w:val="single" w:sz="4" w:space="0" w:color="548DD4" w:themeColor="text2" w:themeTint="99"/>
              <w:right w:val="single" w:sz="4" w:space="0" w:color="548DD4" w:themeColor="text2" w:themeTint="99"/>
            </w:tcBorders>
          </w:tcPr>
          <w:p w14:paraId="0961A114" w14:textId="77777777" w:rsidR="00AD5FD4" w:rsidRPr="00FF207E" w:rsidRDefault="00AD5FD4" w:rsidP="001E304B">
            <w:pPr>
              <w:spacing w:line="240" w:lineRule="atLeast"/>
              <w:jc w:val="both"/>
              <w:rPr>
                <w:rFonts w:cs="Arial"/>
                <w:sz w:val="20"/>
                <w:szCs w:val="20"/>
                <w:lang w:val="sl-SI"/>
              </w:rPr>
            </w:pPr>
          </w:p>
        </w:tc>
        <w:tc>
          <w:tcPr>
            <w:tcW w:w="2378"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16D3B0F" w14:textId="77777777" w:rsidR="00AD5FD4" w:rsidRPr="00FF207E" w:rsidRDefault="00AD5FD4" w:rsidP="001E304B">
            <w:pPr>
              <w:spacing w:line="240" w:lineRule="atLeast"/>
              <w:jc w:val="both"/>
              <w:rPr>
                <w:rFonts w:cs="Arial"/>
                <w:sz w:val="20"/>
                <w:szCs w:val="20"/>
                <w:lang w:val="sl-SI"/>
              </w:rPr>
            </w:pPr>
            <w:r w:rsidRPr="00FF207E">
              <w:rPr>
                <w:rFonts w:cs="Arial"/>
                <w:sz w:val="20"/>
                <w:szCs w:val="20"/>
                <w:lang w:val="sl-SI"/>
              </w:rPr>
              <w:t>Odgovornost</w:t>
            </w:r>
          </w:p>
        </w:tc>
        <w:tc>
          <w:tcPr>
            <w:tcW w:w="5979"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567F6A2B" w14:textId="07492AD7" w:rsidR="00AD5FD4" w:rsidRPr="00FF207E" w:rsidRDefault="00AD5FD4" w:rsidP="001E304B">
            <w:pPr>
              <w:spacing w:line="240" w:lineRule="atLeast"/>
              <w:jc w:val="both"/>
              <w:rPr>
                <w:rFonts w:cs="Arial"/>
                <w:sz w:val="20"/>
                <w:szCs w:val="20"/>
                <w:lang w:val="sl-SI"/>
              </w:rPr>
            </w:pPr>
            <w:r w:rsidRPr="00FF207E">
              <w:rPr>
                <w:rFonts w:cs="Arial"/>
                <w:sz w:val="20"/>
                <w:szCs w:val="20"/>
                <w:lang w:val="sl-SI"/>
              </w:rPr>
              <w:t>MOPE</w:t>
            </w:r>
          </w:p>
        </w:tc>
      </w:tr>
      <w:tr w:rsidR="00AD5FD4" w:rsidRPr="00FF207E" w14:paraId="4DD65825" w14:textId="77777777" w:rsidTr="002513F9">
        <w:tc>
          <w:tcPr>
            <w:tcW w:w="715" w:type="dxa"/>
            <w:vMerge/>
            <w:tcBorders>
              <w:left w:val="nil"/>
              <w:bottom w:val="single" w:sz="4" w:space="0" w:color="548DD4" w:themeColor="text2" w:themeTint="99"/>
              <w:right w:val="single" w:sz="4" w:space="0" w:color="548DD4" w:themeColor="text2" w:themeTint="99"/>
            </w:tcBorders>
          </w:tcPr>
          <w:p w14:paraId="5E38F464" w14:textId="77777777" w:rsidR="00AD5FD4" w:rsidRPr="00FF207E" w:rsidRDefault="00AD5FD4" w:rsidP="001E304B">
            <w:pPr>
              <w:spacing w:line="240" w:lineRule="atLeast"/>
              <w:jc w:val="both"/>
              <w:rPr>
                <w:rFonts w:cs="Arial"/>
                <w:sz w:val="20"/>
                <w:szCs w:val="20"/>
                <w:lang w:val="sl-SI"/>
              </w:rPr>
            </w:pPr>
          </w:p>
        </w:tc>
        <w:tc>
          <w:tcPr>
            <w:tcW w:w="2378"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A048FBF" w14:textId="77777777" w:rsidR="00AD5FD4" w:rsidRPr="00FF207E" w:rsidRDefault="00AD5FD4" w:rsidP="001E304B">
            <w:pPr>
              <w:spacing w:line="240" w:lineRule="atLeast"/>
              <w:jc w:val="both"/>
              <w:rPr>
                <w:rFonts w:cs="Arial"/>
                <w:sz w:val="20"/>
                <w:szCs w:val="20"/>
                <w:lang w:val="sl-SI"/>
              </w:rPr>
            </w:pPr>
            <w:r w:rsidRPr="00FF207E">
              <w:rPr>
                <w:rFonts w:cs="Arial"/>
                <w:sz w:val="20"/>
                <w:szCs w:val="20"/>
                <w:lang w:val="sl-SI"/>
              </w:rPr>
              <w:t>Vključeni deležniki</w:t>
            </w:r>
          </w:p>
        </w:tc>
        <w:tc>
          <w:tcPr>
            <w:tcW w:w="5979"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C0B700C" w14:textId="5351580B" w:rsidR="00AD5FD4" w:rsidRPr="00FF207E" w:rsidRDefault="00AD5FD4" w:rsidP="001E304B">
            <w:pPr>
              <w:spacing w:line="240" w:lineRule="atLeast"/>
              <w:jc w:val="both"/>
              <w:rPr>
                <w:rFonts w:cs="Arial"/>
                <w:sz w:val="20"/>
                <w:szCs w:val="20"/>
                <w:lang w:val="sl-SI"/>
              </w:rPr>
            </w:pPr>
            <w:r w:rsidRPr="00FF207E">
              <w:rPr>
                <w:rFonts w:cs="Arial"/>
                <w:sz w:val="20"/>
                <w:szCs w:val="20"/>
                <w:lang w:val="sl-SI"/>
              </w:rPr>
              <w:t>pripravljavci LEK</w:t>
            </w:r>
          </w:p>
        </w:tc>
      </w:tr>
      <w:tr w:rsidR="00AD5FD4" w:rsidRPr="00FF207E" w14:paraId="3D3512EE" w14:textId="77777777" w:rsidTr="002513F9">
        <w:tc>
          <w:tcPr>
            <w:tcW w:w="715" w:type="dxa"/>
            <w:vMerge/>
            <w:tcBorders>
              <w:left w:val="nil"/>
              <w:bottom w:val="single" w:sz="4" w:space="0" w:color="548DD4" w:themeColor="text2" w:themeTint="99"/>
              <w:right w:val="single" w:sz="4" w:space="0" w:color="548DD4" w:themeColor="text2" w:themeTint="99"/>
            </w:tcBorders>
          </w:tcPr>
          <w:p w14:paraId="330070D6" w14:textId="77777777" w:rsidR="00AD5FD4" w:rsidRPr="00FF207E" w:rsidRDefault="00AD5FD4" w:rsidP="001E304B">
            <w:pPr>
              <w:spacing w:line="240" w:lineRule="atLeast"/>
              <w:jc w:val="both"/>
              <w:rPr>
                <w:rFonts w:cs="Arial"/>
                <w:sz w:val="20"/>
                <w:szCs w:val="20"/>
                <w:lang w:val="sl-SI"/>
              </w:rPr>
            </w:pPr>
          </w:p>
        </w:tc>
        <w:tc>
          <w:tcPr>
            <w:tcW w:w="2378"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32F5A313" w14:textId="77777777" w:rsidR="00AD5FD4" w:rsidRPr="00FF207E" w:rsidRDefault="00AD5FD4" w:rsidP="001E304B">
            <w:pPr>
              <w:spacing w:line="240" w:lineRule="atLeast"/>
              <w:jc w:val="both"/>
              <w:rPr>
                <w:rFonts w:cs="Arial"/>
                <w:sz w:val="20"/>
                <w:szCs w:val="20"/>
                <w:lang w:val="sl-SI"/>
              </w:rPr>
            </w:pPr>
            <w:r w:rsidRPr="00FF207E">
              <w:rPr>
                <w:rFonts w:cs="Arial"/>
                <w:sz w:val="20"/>
                <w:szCs w:val="20"/>
                <w:lang w:val="sl-SI"/>
              </w:rPr>
              <w:t>Rok izvedbe</w:t>
            </w:r>
          </w:p>
        </w:tc>
        <w:tc>
          <w:tcPr>
            <w:tcW w:w="5979"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147DE7DF" w14:textId="73E2EF99" w:rsidR="00AD5FD4" w:rsidRPr="00FF207E" w:rsidRDefault="00E8689E" w:rsidP="001E304B">
            <w:pPr>
              <w:spacing w:line="240" w:lineRule="atLeast"/>
              <w:jc w:val="both"/>
              <w:rPr>
                <w:rFonts w:cs="Arial"/>
                <w:color w:val="000000" w:themeColor="text1"/>
                <w:sz w:val="20"/>
                <w:szCs w:val="20"/>
                <w:lang w:val="sl-SI"/>
              </w:rPr>
            </w:pPr>
            <w:r w:rsidRPr="00FF207E">
              <w:rPr>
                <w:rFonts w:cs="Arial"/>
                <w:color w:val="000000" w:themeColor="text1"/>
                <w:sz w:val="20"/>
                <w:szCs w:val="20"/>
                <w:lang w:val="sl-SI"/>
              </w:rPr>
              <w:t>2025 (začetek)</w:t>
            </w:r>
          </w:p>
        </w:tc>
      </w:tr>
    </w:tbl>
    <w:p w14:paraId="2E0EB5AE" w14:textId="4B6B6F2A" w:rsidR="00F356FD" w:rsidRPr="00FF207E" w:rsidRDefault="00F356FD" w:rsidP="001E304B">
      <w:pPr>
        <w:pStyle w:val="Naslov3"/>
        <w:jc w:val="both"/>
        <w:rPr>
          <w:lang w:val="sl-SI"/>
        </w:rPr>
      </w:pPr>
      <w:bookmarkStart w:id="95" w:name="_Toc151148803"/>
      <w:r w:rsidRPr="00FF207E">
        <w:rPr>
          <w:lang w:val="sl-SI"/>
        </w:rPr>
        <w:t>Energetsko opismenjevanje energetsko revnih</w:t>
      </w:r>
      <w:bookmarkEnd w:id="95"/>
    </w:p>
    <w:tbl>
      <w:tblPr>
        <w:tblStyle w:val="Tabelamrea"/>
        <w:tblW w:w="0" w:type="auto"/>
        <w:tblLook w:val="04A0" w:firstRow="1" w:lastRow="0" w:firstColumn="1" w:lastColumn="0" w:noHBand="0" w:noVBand="1"/>
      </w:tblPr>
      <w:tblGrid>
        <w:gridCol w:w="567"/>
        <w:gridCol w:w="2405"/>
        <w:gridCol w:w="6090"/>
      </w:tblGrid>
      <w:tr w:rsidR="00BD4C7D" w:rsidRPr="00FF207E" w14:paraId="15957809" w14:textId="77777777" w:rsidTr="00641D4A">
        <w:tc>
          <w:tcPr>
            <w:tcW w:w="2972" w:type="dxa"/>
            <w:gridSpan w:val="2"/>
            <w:tcBorders>
              <w:top w:val="nil"/>
              <w:left w:val="nil"/>
              <w:bottom w:val="nil"/>
              <w:right w:val="single" w:sz="4" w:space="0" w:color="548DD4" w:themeColor="text2" w:themeTint="99"/>
            </w:tcBorders>
            <w:shd w:val="clear" w:color="auto" w:fill="548DD4" w:themeFill="text2" w:themeFillTint="99"/>
            <w:vAlign w:val="center"/>
          </w:tcPr>
          <w:p w14:paraId="4ACEF7C5" w14:textId="77777777" w:rsidR="00BD4C7D" w:rsidRPr="00FF207E" w:rsidRDefault="00BD4C7D" w:rsidP="001E304B">
            <w:pPr>
              <w:spacing w:before="40" w:after="40"/>
              <w:jc w:val="both"/>
              <w:rPr>
                <w:rFonts w:cs="Arial"/>
                <w:b/>
                <w:color w:val="FFFFFF" w:themeColor="background1"/>
                <w:lang w:val="sl-SI"/>
              </w:rPr>
            </w:pPr>
            <w:r w:rsidRPr="00FF207E">
              <w:rPr>
                <w:rFonts w:cs="Arial"/>
                <w:b/>
                <w:color w:val="FFFFFF" w:themeColor="background1"/>
                <w:lang w:val="sl-SI"/>
              </w:rPr>
              <w:t>ER_NeFin-05</w:t>
            </w:r>
          </w:p>
        </w:tc>
        <w:tc>
          <w:tcPr>
            <w:tcW w:w="6090" w:type="dxa"/>
            <w:tcBorders>
              <w:top w:val="nil"/>
              <w:left w:val="single" w:sz="4" w:space="0" w:color="548DD4" w:themeColor="text2" w:themeTint="99"/>
              <w:bottom w:val="nil"/>
              <w:right w:val="nil"/>
            </w:tcBorders>
            <w:shd w:val="clear" w:color="auto" w:fill="548DD4" w:themeFill="text2" w:themeFillTint="99"/>
            <w:vAlign w:val="center"/>
          </w:tcPr>
          <w:p w14:paraId="01041B3C" w14:textId="77777777" w:rsidR="00BD4C7D" w:rsidRPr="00FF207E" w:rsidRDefault="00BD4C7D" w:rsidP="001E304B">
            <w:pPr>
              <w:pStyle w:val="Naslov5"/>
              <w:jc w:val="both"/>
            </w:pPr>
            <w:bookmarkStart w:id="96" w:name="_Energetsko_opismenjevanje_energetsk"/>
            <w:bookmarkEnd w:id="96"/>
            <w:r w:rsidRPr="00FF207E">
              <w:t>Energetsko opismenjevanje energetsko revnih</w:t>
            </w:r>
          </w:p>
        </w:tc>
      </w:tr>
      <w:tr w:rsidR="00BD4C7D" w:rsidRPr="00FF207E" w14:paraId="57E27D5D" w14:textId="77777777" w:rsidTr="00641D4A">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222A9D55" w14:textId="77777777" w:rsidR="00BD4C7D" w:rsidRPr="00FF207E" w:rsidRDefault="00BD4C7D" w:rsidP="001E304B">
            <w:pPr>
              <w:spacing w:before="60" w:after="60" w:line="240" w:lineRule="atLeast"/>
              <w:jc w:val="both"/>
              <w:rPr>
                <w:rFonts w:cs="Arial"/>
                <w:b/>
                <w:szCs w:val="22"/>
                <w:lang w:val="sl-SI"/>
              </w:rPr>
            </w:pPr>
            <w:r w:rsidRPr="00FF207E">
              <w:rPr>
                <w:rFonts w:cs="Arial"/>
                <w:b/>
                <w:szCs w:val="22"/>
                <w:lang w:val="sl-SI"/>
              </w:rPr>
              <w:t>Osnovne informacije</w:t>
            </w:r>
          </w:p>
        </w:tc>
      </w:tr>
      <w:tr w:rsidR="00BD4C7D" w:rsidRPr="00FF207E" w14:paraId="36DB054B" w14:textId="77777777" w:rsidTr="0095357D">
        <w:tc>
          <w:tcPr>
            <w:tcW w:w="2972" w:type="dxa"/>
            <w:gridSpan w:val="2"/>
            <w:tcBorders>
              <w:top w:val="nil"/>
              <w:left w:val="nil"/>
              <w:bottom w:val="single" w:sz="4" w:space="0" w:color="548DD4" w:themeColor="text2" w:themeTint="99"/>
              <w:right w:val="single" w:sz="4" w:space="0" w:color="548DD4" w:themeColor="text2" w:themeTint="99"/>
            </w:tcBorders>
          </w:tcPr>
          <w:p w14:paraId="26F032D0" w14:textId="77777777" w:rsidR="00BD4C7D" w:rsidRPr="00FF207E" w:rsidRDefault="00BD4C7D" w:rsidP="001E304B">
            <w:pPr>
              <w:spacing w:line="240" w:lineRule="atLeast"/>
              <w:jc w:val="both"/>
              <w:rPr>
                <w:rFonts w:cs="Arial"/>
                <w:spacing w:val="-4"/>
                <w:sz w:val="20"/>
                <w:szCs w:val="20"/>
                <w:lang w:val="sl-SI"/>
              </w:rPr>
            </w:pPr>
            <w:r w:rsidRPr="00FF207E">
              <w:rPr>
                <w:rFonts w:cs="Arial"/>
                <w:spacing w:val="-4"/>
                <w:sz w:val="20"/>
                <w:szCs w:val="20"/>
                <w:lang w:val="sl-SI"/>
              </w:rPr>
              <w:t>Odgovornost za izvedbo ukrepa</w:t>
            </w:r>
          </w:p>
        </w:tc>
        <w:tc>
          <w:tcPr>
            <w:tcW w:w="6090" w:type="dxa"/>
            <w:tcBorders>
              <w:top w:val="nil"/>
              <w:left w:val="single" w:sz="4" w:space="0" w:color="548DD4" w:themeColor="text2" w:themeTint="99"/>
              <w:bottom w:val="single" w:sz="4" w:space="0" w:color="548DD4" w:themeColor="text2" w:themeTint="99"/>
              <w:right w:val="nil"/>
            </w:tcBorders>
          </w:tcPr>
          <w:p w14:paraId="67DA256F" w14:textId="123E7FC9" w:rsidR="00BD4C7D" w:rsidRPr="00FF207E" w:rsidRDefault="00BD4C7D"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w:t>
            </w:r>
            <w:r w:rsidR="008458A4" w:rsidRPr="00FF207E">
              <w:rPr>
                <w:rFonts w:cs="Arial"/>
                <w:sz w:val="20"/>
                <w:szCs w:val="20"/>
                <w:lang w:val="sl-SI"/>
              </w:rPr>
              <w:t>, projektna pisarna z regionalnimi svetovalnimi točkami, regionalni koordinatorji neformalne mreže za informiranje in ozaveščanje</w:t>
            </w:r>
          </w:p>
        </w:tc>
      </w:tr>
      <w:tr w:rsidR="00BD4C7D" w:rsidRPr="00FF207E" w14:paraId="09578EB7" w14:textId="77777777" w:rsidTr="0095357D">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0B66CC4A" w14:textId="77777777" w:rsidR="00BD4C7D" w:rsidRPr="00FF207E" w:rsidRDefault="00BD4C7D"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1B7F5A6" w14:textId="3712BF10" w:rsidR="00BD4C7D" w:rsidRPr="00FF207E" w:rsidRDefault="001F3996" w:rsidP="001E304B">
            <w:pPr>
              <w:spacing w:line="240" w:lineRule="atLeast"/>
              <w:jc w:val="both"/>
              <w:rPr>
                <w:rFonts w:cs="Arial"/>
                <w:sz w:val="20"/>
                <w:szCs w:val="20"/>
                <w:lang w:val="sl-SI"/>
              </w:rPr>
            </w:pPr>
            <w:r w:rsidRPr="00FF207E">
              <w:rPr>
                <w:rFonts w:cs="Arial"/>
                <w:sz w:val="20"/>
                <w:szCs w:val="20"/>
                <w:lang w:val="sl-SI"/>
              </w:rPr>
              <w:t>neformaln</w:t>
            </w:r>
            <w:r w:rsidR="008458A4" w:rsidRPr="00FF207E">
              <w:rPr>
                <w:rFonts w:cs="Arial"/>
                <w:sz w:val="20"/>
                <w:szCs w:val="20"/>
                <w:lang w:val="sl-SI"/>
              </w:rPr>
              <w:t>a</w:t>
            </w:r>
            <w:r w:rsidR="00BD4C7D" w:rsidRPr="00FF207E">
              <w:rPr>
                <w:rFonts w:cs="Arial"/>
                <w:sz w:val="20"/>
                <w:szCs w:val="20"/>
                <w:lang w:val="sl-SI"/>
              </w:rPr>
              <w:t xml:space="preserve"> mrež</w:t>
            </w:r>
            <w:r w:rsidR="008458A4" w:rsidRPr="00FF207E">
              <w:rPr>
                <w:rFonts w:cs="Arial"/>
                <w:sz w:val="20"/>
                <w:szCs w:val="20"/>
                <w:lang w:val="sl-SI"/>
              </w:rPr>
              <w:t xml:space="preserve">a </w:t>
            </w:r>
            <w:r w:rsidR="00BD4C7D" w:rsidRPr="00FF207E">
              <w:rPr>
                <w:rFonts w:cs="Arial"/>
                <w:sz w:val="20"/>
                <w:szCs w:val="20"/>
                <w:lang w:val="sl-SI"/>
              </w:rPr>
              <w:t>za informiranje in ozaveščanje, CSD,</w:t>
            </w:r>
            <w:r w:rsidR="00413C16" w:rsidRPr="00FF207E">
              <w:rPr>
                <w:rFonts w:cs="Arial"/>
                <w:sz w:val="20"/>
                <w:szCs w:val="20"/>
                <w:lang w:val="sl-SI"/>
              </w:rPr>
              <w:t xml:space="preserve"> ENSVET, humanitarne organizacije</w:t>
            </w:r>
            <w:r w:rsidR="009273DC" w:rsidRPr="00FF207E">
              <w:rPr>
                <w:rFonts w:cs="Arial"/>
                <w:sz w:val="20"/>
                <w:szCs w:val="20"/>
                <w:lang w:val="sl-SI"/>
              </w:rPr>
              <w:t>, NVO, MOPE</w:t>
            </w:r>
          </w:p>
        </w:tc>
      </w:tr>
      <w:tr w:rsidR="00BD4C7D" w:rsidRPr="00FF207E" w14:paraId="6A441F71" w14:textId="77777777" w:rsidTr="0095357D">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7F0AB8CD" w14:textId="77777777" w:rsidR="00BD4C7D" w:rsidRPr="00FF207E" w:rsidRDefault="00BD4C7D" w:rsidP="001E304B">
            <w:pPr>
              <w:spacing w:line="240" w:lineRule="atLeast"/>
              <w:jc w:val="both"/>
              <w:rPr>
                <w:rFonts w:cs="Arial"/>
                <w:sz w:val="20"/>
                <w:szCs w:val="20"/>
                <w:lang w:val="sl-SI"/>
              </w:rPr>
            </w:pPr>
            <w:r w:rsidRPr="00FF207E">
              <w:rPr>
                <w:rFonts w:cs="Arial"/>
                <w:sz w:val="20"/>
                <w:szCs w:val="20"/>
                <w:lang w:val="sl-SI"/>
              </w:rPr>
              <w:lastRenderedPageBreak/>
              <w:t>Strateške podlage in njihova veljavnost</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9609BC1" w14:textId="65389084" w:rsidR="00BD4C7D" w:rsidRPr="00FF207E" w:rsidRDefault="00BC3061" w:rsidP="001E304B">
            <w:pPr>
              <w:spacing w:line="240" w:lineRule="atLeast"/>
              <w:jc w:val="both"/>
              <w:rPr>
                <w:rFonts w:cs="Arial"/>
                <w:sz w:val="20"/>
                <w:szCs w:val="20"/>
                <w:lang w:val="sl-SI"/>
              </w:rPr>
            </w:pPr>
            <w:r w:rsidRPr="00FF207E">
              <w:rPr>
                <w:rFonts w:cs="Arial"/>
                <w:sz w:val="20"/>
                <w:szCs w:val="20"/>
                <w:lang w:val="sl-SI"/>
              </w:rPr>
              <w:t>–</w:t>
            </w:r>
          </w:p>
        </w:tc>
      </w:tr>
      <w:tr w:rsidR="00BD4C7D" w:rsidRPr="00FF207E" w14:paraId="1CB820C1" w14:textId="77777777" w:rsidTr="0095357D">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2771435" w14:textId="77777777" w:rsidR="00BD4C7D" w:rsidRPr="00FF207E" w:rsidRDefault="00BD4C7D" w:rsidP="001E304B">
            <w:pPr>
              <w:spacing w:line="240" w:lineRule="atLeast"/>
              <w:jc w:val="both"/>
              <w:rPr>
                <w:rFonts w:cs="Arial"/>
                <w:sz w:val="20"/>
                <w:szCs w:val="20"/>
                <w:lang w:val="sl-SI"/>
              </w:rPr>
            </w:pPr>
            <w:r w:rsidRPr="00FF207E">
              <w:rPr>
                <w:rFonts w:cs="Arial"/>
                <w:sz w:val="20"/>
                <w:szCs w:val="20"/>
                <w:lang w:val="sl-SI"/>
              </w:rPr>
              <w:t>Veljavnost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3D4F0D25" w14:textId="77777777" w:rsidR="00BD4C7D" w:rsidRPr="00FF207E" w:rsidRDefault="00BD4C7D" w:rsidP="001E304B">
            <w:pPr>
              <w:spacing w:line="240" w:lineRule="atLeast"/>
              <w:jc w:val="both"/>
              <w:rPr>
                <w:rFonts w:cs="Arial"/>
                <w:sz w:val="20"/>
                <w:szCs w:val="20"/>
                <w:lang w:val="sl-SI"/>
              </w:rPr>
            </w:pPr>
            <w:r w:rsidRPr="00FF207E">
              <w:rPr>
                <w:rFonts w:cs="Arial"/>
                <w:sz w:val="20"/>
                <w:szCs w:val="20"/>
                <w:lang w:val="sl-SI"/>
              </w:rPr>
              <w:t>2030</w:t>
            </w:r>
          </w:p>
        </w:tc>
      </w:tr>
      <w:tr w:rsidR="00BD4C7D" w:rsidRPr="00FF207E" w14:paraId="7F9C69B2" w14:textId="77777777" w:rsidTr="0095357D">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ECD5D8F" w14:textId="77777777" w:rsidR="00BD4C7D" w:rsidRPr="00FF207E" w:rsidRDefault="00BD4C7D" w:rsidP="001E304B">
            <w:pPr>
              <w:spacing w:line="240" w:lineRule="atLeast"/>
              <w:jc w:val="both"/>
              <w:rPr>
                <w:rFonts w:cs="Arial"/>
                <w:sz w:val="20"/>
                <w:szCs w:val="20"/>
                <w:lang w:val="sl-SI"/>
              </w:rPr>
            </w:pPr>
            <w:r w:rsidRPr="00FF207E">
              <w:rPr>
                <w:rFonts w:cs="Arial"/>
                <w:sz w:val="20"/>
                <w:szCs w:val="20"/>
                <w:lang w:val="sl-SI"/>
              </w:rPr>
              <w:t>Vrsta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78B21CD" w14:textId="77777777" w:rsidR="00BD4C7D" w:rsidRPr="00FF207E" w:rsidRDefault="00BD4C7D" w:rsidP="001E304B">
            <w:pPr>
              <w:spacing w:line="240" w:lineRule="atLeast"/>
              <w:jc w:val="both"/>
              <w:rPr>
                <w:rFonts w:cs="Arial"/>
                <w:sz w:val="20"/>
                <w:szCs w:val="20"/>
                <w:lang w:val="sl-SI"/>
              </w:rPr>
            </w:pPr>
            <w:r w:rsidRPr="00FF207E">
              <w:rPr>
                <w:rFonts w:cs="Arial"/>
                <w:sz w:val="20"/>
                <w:szCs w:val="20"/>
                <w:lang w:val="sl-SI"/>
              </w:rPr>
              <w:t>izobraževanje, usposabljanje</w:t>
            </w:r>
          </w:p>
        </w:tc>
      </w:tr>
      <w:tr w:rsidR="00BD4C7D" w:rsidRPr="00FF207E" w14:paraId="0B7D4261" w14:textId="77777777" w:rsidTr="0095357D">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E8FC2A8" w14:textId="77777777" w:rsidR="00BD4C7D" w:rsidRPr="00FF207E" w:rsidRDefault="00BD4C7D" w:rsidP="001E304B">
            <w:pPr>
              <w:spacing w:line="240" w:lineRule="atLeast"/>
              <w:jc w:val="both"/>
              <w:rPr>
                <w:rFonts w:cs="Arial"/>
                <w:sz w:val="20"/>
                <w:szCs w:val="20"/>
                <w:lang w:val="sl-SI"/>
              </w:rPr>
            </w:pPr>
            <w:r w:rsidRPr="00FF207E">
              <w:rPr>
                <w:rFonts w:cs="Arial"/>
                <w:sz w:val="20"/>
                <w:szCs w:val="20"/>
                <w:lang w:val="sl-SI"/>
              </w:rPr>
              <w:t>Pričakovani učinki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C2B7D92" w14:textId="460D11A3" w:rsidR="00BD4C7D" w:rsidRPr="00FF207E" w:rsidRDefault="00BC3061" w:rsidP="001E304B">
            <w:pPr>
              <w:spacing w:line="240" w:lineRule="atLeast"/>
              <w:jc w:val="both"/>
              <w:rPr>
                <w:rFonts w:cs="Arial"/>
                <w:sz w:val="20"/>
                <w:szCs w:val="20"/>
                <w:lang w:val="sl-SI"/>
              </w:rPr>
            </w:pPr>
            <w:r w:rsidRPr="00FF207E">
              <w:rPr>
                <w:rFonts w:cs="Arial"/>
                <w:sz w:val="20"/>
                <w:szCs w:val="20"/>
                <w:lang w:val="sl-SI"/>
              </w:rPr>
              <w:t>v</w:t>
            </w:r>
            <w:r w:rsidR="00E5406E" w:rsidRPr="00FF207E">
              <w:rPr>
                <w:rFonts w:cs="Arial"/>
                <w:sz w:val="20"/>
                <w:szCs w:val="20"/>
                <w:lang w:val="sl-SI"/>
              </w:rPr>
              <w:t xml:space="preserve">zpostavitev rednih usposabljanj/izobraževanj za energetsko (URE in </w:t>
            </w:r>
            <w:r w:rsidR="00026105" w:rsidRPr="00FF207E">
              <w:rPr>
                <w:rFonts w:cs="Arial"/>
                <w:sz w:val="20"/>
                <w:szCs w:val="20"/>
                <w:lang w:val="sl-SI"/>
              </w:rPr>
              <w:t xml:space="preserve">raba </w:t>
            </w:r>
            <w:r w:rsidR="00E5406E" w:rsidRPr="00FF207E">
              <w:rPr>
                <w:rFonts w:cs="Arial"/>
                <w:sz w:val="20"/>
                <w:szCs w:val="20"/>
                <w:lang w:val="sl-SI"/>
              </w:rPr>
              <w:t>OVE) in finančno pismenost za prejemnike denarne pomoči za kritje stroškov energije</w:t>
            </w:r>
          </w:p>
        </w:tc>
      </w:tr>
      <w:tr w:rsidR="00BD4C7D" w:rsidRPr="00FF207E" w14:paraId="306D3986" w14:textId="77777777" w:rsidTr="00641D4A">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F682BC6" w14:textId="77777777" w:rsidR="00BD4C7D" w:rsidRPr="00FF207E" w:rsidRDefault="00BD4C7D" w:rsidP="001E304B">
            <w:pPr>
              <w:spacing w:line="240" w:lineRule="atLeast"/>
              <w:jc w:val="both"/>
              <w:rPr>
                <w:rFonts w:cs="Arial"/>
                <w:sz w:val="20"/>
                <w:szCs w:val="20"/>
                <w:lang w:val="sl-SI"/>
              </w:rPr>
            </w:pPr>
            <w:r w:rsidRPr="00FF207E">
              <w:rPr>
                <w:rFonts w:cs="Arial"/>
                <w:sz w:val="20"/>
                <w:szCs w:val="20"/>
                <w:lang w:val="sl-SI"/>
              </w:rPr>
              <w:t>Status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3A642F09" w14:textId="77777777" w:rsidR="00BD4C7D" w:rsidRPr="00FF207E" w:rsidRDefault="00BD4C7D" w:rsidP="001E304B">
            <w:pPr>
              <w:spacing w:line="240" w:lineRule="atLeast"/>
              <w:jc w:val="both"/>
              <w:rPr>
                <w:rFonts w:cs="Arial"/>
                <w:sz w:val="20"/>
                <w:szCs w:val="20"/>
                <w:lang w:val="sl-SI"/>
              </w:rPr>
            </w:pPr>
            <w:r w:rsidRPr="00FF207E">
              <w:rPr>
                <w:rFonts w:cs="Arial"/>
                <w:sz w:val="20"/>
                <w:szCs w:val="20"/>
                <w:lang w:val="sl-SI"/>
              </w:rPr>
              <w:t>nov ukrep</w:t>
            </w:r>
          </w:p>
        </w:tc>
      </w:tr>
      <w:tr w:rsidR="00BD4C7D" w:rsidRPr="00FF207E" w14:paraId="0511C73B" w14:textId="77777777" w:rsidTr="00641D4A">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69448791" w14:textId="77777777" w:rsidR="00BD4C7D" w:rsidRPr="00FF207E" w:rsidRDefault="00BD4C7D" w:rsidP="001E304B">
            <w:pPr>
              <w:spacing w:before="60" w:after="60" w:line="240" w:lineRule="atLeast"/>
              <w:jc w:val="both"/>
              <w:rPr>
                <w:rFonts w:cs="Arial"/>
                <w:b/>
                <w:lang w:val="sl-SI"/>
              </w:rPr>
            </w:pPr>
            <w:r w:rsidRPr="00FF207E">
              <w:rPr>
                <w:rFonts w:cs="Arial"/>
                <w:b/>
                <w:lang w:val="sl-SI"/>
              </w:rPr>
              <w:t>Dolgoročna vsebina ukrepa</w:t>
            </w:r>
          </w:p>
        </w:tc>
      </w:tr>
      <w:tr w:rsidR="00BD4C7D" w:rsidRPr="00FF207E" w14:paraId="31EE84A5" w14:textId="77777777" w:rsidTr="00641D4A">
        <w:tc>
          <w:tcPr>
            <w:tcW w:w="9062" w:type="dxa"/>
            <w:gridSpan w:val="3"/>
            <w:tcBorders>
              <w:top w:val="single" w:sz="4" w:space="0" w:color="548DD4" w:themeColor="text2" w:themeTint="99"/>
              <w:left w:val="nil"/>
              <w:bottom w:val="single" w:sz="4" w:space="0" w:color="548DD4" w:themeColor="text2" w:themeTint="99"/>
              <w:right w:val="nil"/>
            </w:tcBorders>
          </w:tcPr>
          <w:p w14:paraId="1614D816" w14:textId="77777777" w:rsidR="00BD4C7D" w:rsidRPr="00FF207E" w:rsidRDefault="00BD4C7D" w:rsidP="001E304B">
            <w:pPr>
              <w:spacing w:line="240" w:lineRule="atLeast"/>
              <w:jc w:val="both"/>
              <w:rPr>
                <w:rFonts w:cs="Arial"/>
                <w:sz w:val="20"/>
                <w:szCs w:val="20"/>
                <w:lang w:val="sl-SI"/>
              </w:rPr>
            </w:pPr>
            <w:r w:rsidRPr="00FF207E">
              <w:rPr>
                <w:rFonts w:cs="Arial"/>
                <w:sz w:val="20"/>
                <w:szCs w:val="20"/>
                <w:lang w:val="sl-SI"/>
              </w:rPr>
              <w:t>V okviru ukrepa je treba dolgoročno:</w:t>
            </w:r>
          </w:p>
          <w:p w14:paraId="38B27991" w14:textId="7E6A7373" w:rsidR="00BD4C7D" w:rsidRPr="00FF207E" w:rsidRDefault="00BD4C7D" w:rsidP="00BC3061">
            <w:pPr>
              <w:pStyle w:val="Odstavekseznama"/>
              <w:numPr>
                <w:ilvl w:val="0"/>
                <w:numId w:val="18"/>
              </w:numPr>
              <w:spacing w:line="240" w:lineRule="atLeast"/>
              <w:ind w:left="357" w:hanging="357"/>
              <w:jc w:val="both"/>
              <w:rPr>
                <w:rFonts w:cs="Arial"/>
                <w:sz w:val="20"/>
                <w:szCs w:val="20"/>
                <w:lang w:val="sl-SI"/>
              </w:rPr>
            </w:pPr>
            <w:r w:rsidRPr="00FF207E">
              <w:rPr>
                <w:rFonts w:cs="Arial"/>
                <w:b/>
                <w:sz w:val="20"/>
                <w:szCs w:val="20"/>
                <w:lang w:val="sl-SI"/>
              </w:rPr>
              <w:t>vzpostaviti usposabljanja</w:t>
            </w:r>
            <w:r w:rsidRPr="00FF207E">
              <w:rPr>
                <w:rFonts w:cs="Arial"/>
                <w:sz w:val="20"/>
                <w:szCs w:val="20"/>
                <w:lang w:val="sl-SI"/>
              </w:rPr>
              <w:t xml:space="preserve"> za energetsko (URE in </w:t>
            </w:r>
            <w:r w:rsidR="00026105" w:rsidRPr="00FF207E">
              <w:rPr>
                <w:rFonts w:cs="Arial"/>
                <w:sz w:val="20"/>
                <w:szCs w:val="20"/>
                <w:lang w:val="sl-SI"/>
              </w:rPr>
              <w:t xml:space="preserve">raba </w:t>
            </w:r>
            <w:r w:rsidRPr="00FF207E">
              <w:rPr>
                <w:rFonts w:cs="Arial"/>
                <w:sz w:val="20"/>
                <w:szCs w:val="20"/>
                <w:lang w:val="sl-SI"/>
              </w:rPr>
              <w:t xml:space="preserve">OVE) in finančno opismenjevanje skupin, ki so prejemniki denarne </w:t>
            </w:r>
            <w:r w:rsidR="00E5406E" w:rsidRPr="00FF207E">
              <w:rPr>
                <w:rFonts w:cs="Arial"/>
                <w:sz w:val="20"/>
                <w:szCs w:val="20"/>
                <w:lang w:val="sl-SI"/>
              </w:rPr>
              <w:t>pomoči</w:t>
            </w:r>
            <w:r w:rsidRPr="00FF207E">
              <w:rPr>
                <w:rFonts w:cs="Arial"/>
                <w:sz w:val="20"/>
                <w:szCs w:val="20"/>
                <w:lang w:val="sl-SI"/>
              </w:rPr>
              <w:t xml:space="preserve"> za kritje stroškov energije</w:t>
            </w:r>
            <w:r w:rsidR="006C2153" w:rsidRPr="00FF207E">
              <w:rPr>
                <w:rFonts w:cs="Arial"/>
                <w:sz w:val="20"/>
                <w:szCs w:val="20"/>
                <w:lang w:val="sl-SI"/>
              </w:rPr>
              <w:t>,</w:t>
            </w:r>
            <w:r w:rsidR="00154E01" w:rsidRPr="00FF207E">
              <w:rPr>
                <w:rFonts w:cs="Arial"/>
                <w:sz w:val="20"/>
                <w:szCs w:val="20"/>
                <w:lang w:val="sl-SI"/>
              </w:rPr>
              <w:t xml:space="preserve"> </w:t>
            </w:r>
            <w:r w:rsidR="00BC3061" w:rsidRPr="00FF207E">
              <w:rPr>
                <w:rFonts w:cs="Arial"/>
                <w:sz w:val="20"/>
                <w:szCs w:val="20"/>
                <w:lang w:val="sl-SI"/>
              </w:rPr>
              <w:t xml:space="preserve">ter </w:t>
            </w:r>
            <w:r w:rsidR="008649E8" w:rsidRPr="00FF207E">
              <w:rPr>
                <w:rFonts w:cs="Arial"/>
                <w:b/>
                <w:sz w:val="20"/>
                <w:szCs w:val="20"/>
                <w:lang w:val="sl-SI"/>
              </w:rPr>
              <w:t>preučiti možnosti za širitev</w:t>
            </w:r>
            <w:r w:rsidR="008649E8" w:rsidRPr="00FF207E">
              <w:rPr>
                <w:rFonts w:cs="Arial"/>
                <w:sz w:val="20"/>
                <w:szCs w:val="20"/>
                <w:lang w:val="sl-SI"/>
              </w:rPr>
              <w:t xml:space="preserve"> takšnega opismenjevanja na vse energetsko revne</w:t>
            </w:r>
            <w:r w:rsidR="00BC3061" w:rsidRPr="00FF207E">
              <w:rPr>
                <w:rFonts w:cs="Arial"/>
                <w:sz w:val="20"/>
                <w:szCs w:val="20"/>
                <w:lang w:val="sl-SI"/>
              </w:rPr>
              <w:t>.</w:t>
            </w:r>
          </w:p>
        </w:tc>
      </w:tr>
      <w:tr w:rsidR="00BD4C7D" w:rsidRPr="00FF207E" w14:paraId="5340169F" w14:textId="77777777" w:rsidTr="00641D4A">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26638708" w14:textId="77777777" w:rsidR="00BD4C7D" w:rsidRPr="00FF207E" w:rsidRDefault="00BD4C7D" w:rsidP="001E304B">
            <w:pPr>
              <w:spacing w:before="60" w:after="60" w:line="240" w:lineRule="atLeast"/>
              <w:jc w:val="both"/>
              <w:rPr>
                <w:rFonts w:cs="Arial"/>
                <w:b/>
                <w:lang w:val="sl-SI"/>
              </w:rPr>
            </w:pPr>
            <w:r w:rsidRPr="00FF207E">
              <w:rPr>
                <w:rFonts w:cs="Arial"/>
                <w:b/>
                <w:lang w:val="sl-SI"/>
              </w:rPr>
              <w:t>Kratkoročna izvedba ukrepa v obdobju 2024–2026</w:t>
            </w:r>
          </w:p>
        </w:tc>
      </w:tr>
      <w:tr w:rsidR="00BD4C7D" w:rsidRPr="00FF207E" w14:paraId="5DEF374A" w14:textId="77777777" w:rsidTr="0095357D">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CB0ADFF" w14:textId="77777777" w:rsidR="00BD4C7D" w:rsidRPr="00FF207E" w:rsidRDefault="00BD4C7D" w:rsidP="001E304B">
            <w:pPr>
              <w:spacing w:line="240" w:lineRule="atLeast"/>
              <w:jc w:val="both"/>
              <w:rPr>
                <w:rFonts w:cs="Arial"/>
                <w:sz w:val="20"/>
                <w:szCs w:val="20"/>
                <w:lang w:val="sl-SI"/>
              </w:rPr>
            </w:pPr>
            <w:r w:rsidRPr="00FF207E">
              <w:rPr>
                <w:rFonts w:cs="Arial"/>
                <w:sz w:val="20"/>
                <w:szCs w:val="20"/>
                <w:lang w:val="sl-SI"/>
              </w:rPr>
              <w:t>Kratkoročni cilj</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110007C" w14:textId="6C0FE87A" w:rsidR="00BD4C7D" w:rsidRPr="00FF207E" w:rsidRDefault="00BD4C7D" w:rsidP="001E304B">
            <w:pPr>
              <w:spacing w:line="240" w:lineRule="atLeast"/>
              <w:jc w:val="both"/>
              <w:rPr>
                <w:rFonts w:cs="Arial"/>
                <w:sz w:val="20"/>
                <w:szCs w:val="20"/>
                <w:lang w:val="sl-SI"/>
              </w:rPr>
            </w:pPr>
            <w:r w:rsidRPr="00FF207E">
              <w:rPr>
                <w:rFonts w:cs="Arial"/>
                <w:sz w:val="20"/>
                <w:szCs w:val="20"/>
                <w:lang w:val="sl-SI"/>
              </w:rPr>
              <w:t>Izvedeni</w:t>
            </w:r>
            <w:r w:rsidR="00D96248" w:rsidRPr="00FF207E">
              <w:rPr>
                <w:rFonts w:cs="Arial"/>
                <w:sz w:val="20"/>
                <w:szCs w:val="20"/>
                <w:lang w:val="sl-SI"/>
              </w:rPr>
              <w:t xml:space="preserve"> dve </w:t>
            </w:r>
            <w:r w:rsidRPr="00FF207E">
              <w:rPr>
                <w:rFonts w:cs="Arial"/>
                <w:sz w:val="20"/>
                <w:szCs w:val="20"/>
                <w:lang w:val="sl-SI"/>
              </w:rPr>
              <w:t>pilotni izobraževanji za prejemnike denarne pomoči</w:t>
            </w:r>
            <w:r w:rsidR="002E3F00" w:rsidRPr="00FF207E">
              <w:rPr>
                <w:rFonts w:cs="Arial"/>
                <w:sz w:val="20"/>
                <w:szCs w:val="20"/>
                <w:lang w:val="sl-SI"/>
              </w:rPr>
              <w:t>, predvidoma v pilotnih regijah</w:t>
            </w:r>
            <w:r w:rsidR="00BC3061" w:rsidRPr="00FF207E">
              <w:rPr>
                <w:rFonts w:cs="Arial"/>
                <w:sz w:val="20"/>
                <w:szCs w:val="20"/>
                <w:lang w:val="sl-SI"/>
              </w:rPr>
              <w:t>.</w:t>
            </w:r>
          </w:p>
        </w:tc>
      </w:tr>
      <w:tr w:rsidR="00BD4C7D" w:rsidRPr="00FF207E" w14:paraId="361C13CC" w14:textId="77777777" w:rsidTr="002513F9">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3D28EC19" w14:textId="46874CE9" w:rsidR="00BD4C7D" w:rsidRPr="00FF207E" w:rsidRDefault="00BF0315" w:rsidP="001E304B">
            <w:pPr>
              <w:spacing w:line="240" w:lineRule="atLeast"/>
              <w:jc w:val="both"/>
              <w:rPr>
                <w:rFonts w:cs="Arial"/>
                <w:sz w:val="20"/>
                <w:szCs w:val="20"/>
                <w:lang w:val="sl-SI"/>
              </w:rPr>
            </w:pPr>
            <w:r w:rsidRPr="00FF207E">
              <w:rPr>
                <w:rFonts w:cs="Arial"/>
                <w:sz w:val="20"/>
                <w:szCs w:val="20"/>
                <w:lang w:val="sl-SI"/>
              </w:rPr>
              <w:t>Potrebna sredstva</w:t>
            </w:r>
            <w:r w:rsidR="00F4436A" w:rsidRPr="00FF207E">
              <w:rPr>
                <w:lang w:val="sl-SI"/>
              </w:rPr>
              <w:t xml:space="preserve"> </w:t>
            </w:r>
            <w:r w:rsidRPr="00FF207E">
              <w:rPr>
                <w:rFonts w:cs="Arial"/>
                <w:sz w:val="20"/>
                <w:szCs w:val="20"/>
                <w:lang w:val="sl-SI"/>
              </w:rPr>
              <w:t>in viri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tcPr>
          <w:p w14:paraId="069114CC" w14:textId="29925E57" w:rsidR="00154E01" w:rsidRPr="00FF207E" w:rsidRDefault="00154E01" w:rsidP="002513F9">
            <w:pPr>
              <w:spacing w:line="240" w:lineRule="atLeast"/>
              <w:rPr>
                <w:rFonts w:cs="Arial"/>
                <w:sz w:val="20"/>
                <w:szCs w:val="20"/>
                <w:lang w:val="sl-SI"/>
              </w:rPr>
            </w:pPr>
            <w:r w:rsidRPr="00FF207E">
              <w:rPr>
                <w:rFonts w:cs="Arial"/>
                <w:sz w:val="20"/>
                <w:szCs w:val="20"/>
                <w:lang w:val="sl-SI"/>
              </w:rPr>
              <w:t xml:space="preserve">Stroški ukrepa so že vključeni v stroških za delovanje projektne pisarne in regionalnih svetovalnih točk. </w:t>
            </w:r>
          </w:p>
          <w:p w14:paraId="39F7C6A8" w14:textId="54DC0FCB" w:rsidR="00811106" w:rsidRPr="00FF207E" w:rsidRDefault="00086058" w:rsidP="002513F9">
            <w:pPr>
              <w:spacing w:line="240" w:lineRule="atLeast"/>
              <w:rPr>
                <w:rFonts w:cs="Arial"/>
                <w:sz w:val="20"/>
                <w:szCs w:val="20"/>
                <w:lang w:val="sl-SI"/>
              </w:rPr>
            </w:pPr>
            <w:r w:rsidRPr="00FF207E">
              <w:rPr>
                <w:rFonts w:cs="Arial"/>
                <w:sz w:val="20"/>
                <w:szCs w:val="20"/>
                <w:lang w:val="sl-SI"/>
              </w:rPr>
              <w:t>t</w:t>
            </w:r>
            <w:r w:rsidR="00811106" w:rsidRPr="00FF207E">
              <w:rPr>
                <w:rFonts w:cs="Arial"/>
                <w:sz w:val="20"/>
                <w:szCs w:val="20"/>
                <w:lang w:val="sl-SI"/>
              </w:rPr>
              <w:t>abela 7</w:t>
            </w:r>
          </w:p>
          <w:p w14:paraId="65F654B2" w14:textId="39567673" w:rsidR="00BD4C7D" w:rsidRPr="00FF207E" w:rsidRDefault="00154E01" w:rsidP="002513F9">
            <w:pPr>
              <w:spacing w:before="60" w:line="240" w:lineRule="atLeast"/>
              <w:rPr>
                <w:rFonts w:cs="Arial"/>
                <w:sz w:val="20"/>
                <w:szCs w:val="20"/>
                <w:lang w:val="sl-SI"/>
              </w:rPr>
            </w:pPr>
            <w:r w:rsidRPr="00FF207E">
              <w:rPr>
                <w:rFonts w:cs="Arial"/>
                <w:sz w:val="20"/>
                <w:szCs w:val="20"/>
                <w:lang w:val="sl-SI"/>
              </w:rPr>
              <w:t>Viri sredstev so: Sklad za podnebne spremembe, kohezijska sredstva ali drugi</w:t>
            </w:r>
            <w:r w:rsidR="00BC3061" w:rsidRPr="00FF207E">
              <w:rPr>
                <w:rFonts w:cs="Arial"/>
                <w:sz w:val="20"/>
                <w:szCs w:val="20"/>
                <w:lang w:val="sl-SI"/>
              </w:rPr>
              <w:t>.</w:t>
            </w:r>
          </w:p>
        </w:tc>
      </w:tr>
      <w:tr w:rsidR="00BD4C7D" w:rsidRPr="00FF207E" w14:paraId="4AF4539A" w14:textId="77777777" w:rsidTr="00641D4A">
        <w:tc>
          <w:tcPr>
            <w:tcW w:w="9062" w:type="dxa"/>
            <w:gridSpan w:val="3"/>
            <w:tcBorders>
              <w:top w:val="single" w:sz="4" w:space="0" w:color="548DD4" w:themeColor="text2" w:themeTint="99"/>
              <w:left w:val="nil"/>
              <w:bottom w:val="single" w:sz="4" w:space="0" w:color="548DD4" w:themeColor="text2" w:themeTint="99"/>
              <w:right w:val="nil"/>
            </w:tcBorders>
            <w:shd w:val="clear" w:color="auto" w:fill="DBE5F1" w:themeFill="accent1" w:themeFillTint="33"/>
          </w:tcPr>
          <w:p w14:paraId="6E30387F" w14:textId="77777777" w:rsidR="00BD4C7D" w:rsidRPr="00FF207E" w:rsidRDefault="00BD4C7D" w:rsidP="001E304B">
            <w:pPr>
              <w:spacing w:before="40" w:after="40" w:line="240" w:lineRule="atLeast"/>
              <w:jc w:val="both"/>
              <w:rPr>
                <w:rFonts w:cs="Arial"/>
                <w:sz w:val="20"/>
                <w:szCs w:val="20"/>
                <w:lang w:val="sl-SI"/>
              </w:rPr>
            </w:pPr>
            <w:r w:rsidRPr="00FF207E">
              <w:rPr>
                <w:rFonts w:cs="Arial"/>
                <w:sz w:val="20"/>
                <w:szCs w:val="20"/>
                <w:lang w:val="sl-SI"/>
              </w:rPr>
              <w:t>Potek izvedbe</w:t>
            </w:r>
          </w:p>
        </w:tc>
      </w:tr>
      <w:tr w:rsidR="002E3F00" w:rsidRPr="00FF207E" w14:paraId="3C5E7EC7" w14:textId="77777777" w:rsidTr="0095357D">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0F6BB6EA" w14:textId="5CAFECAD" w:rsidR="002E3F00" w:rsidRPr="00FF207E" w:rsidRDefault="002E3F00" w:rsidP="001E304B">
            <w:pPr>
              <w:spacing w:line="240" w:lineRule="atLeast"/>
              <w:jc w:val="both"/>
              <w:rPr>
                <w:rFonts w:cs="Arial"/>
                <w:b/>
                <w:sz w:val="24"/>
                <w:lang w:val="sl-SI"/>
              </w:rPr>
            </w:pPr>
            <w:r w:rsidRPr="00FF207E">
              <w:rPr>
                <w:rFonts w:cs="Arial"/>
                <w:b/>
                <w:sz w:val="24"/>
                <w:lang w:val="sl-SI"/>
              </w:rPr>
              <w:t>1</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3254F96A" w14:textId="77777777" w:rsidR="002E3F00" w:rsidRPr="00FF207E" w:rsidRDefault="002E3F00"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00F11926" w14:textId="460E371F" w:rsidR="002E3F00" w:rsidRPr="00FF207E" w:rsidRDefault="00BC3061" w:rsidP="00BC3061">
            <w:pPr>
              <w:spacing w:line="240" w:lineRule="atLeast"/>
              <w:jc w:val="both"/>
              <w:rPr>
                <w:rFonts w:cs="Arial"/>
                <w:sz w:val="20"/>
                <w:szCs w:val="20"/>
                <w:lang w:val="sl-SI"/>
              </w:rPr>
            </w:pPr>
            <w:r w:rsidRPr="00FF207E">
              <w:rPr>
                <w:rFonts w:cs="Arial"/>
                <w:sz w:val="20"/>
                <w:szCs w:val="20"/>
                <w:lang w:val="sl-SI"/>
              </w:rPr>
              <w:t>p</w:t>
            </w:r>
            <w:r w:rsidR="002E3F00" w:rsidRPr="00FF207E">
              <w:rPr>
                <w:rFonts w:cs="Arial"/>
                <w:sz w:val="20"/>
                <w:szCs w:val="20"/>
                <w:lang w:val="sl-SI"/>
              </w:rPr>
              <w:t>riprava vsebine pilotnega izobraževanja</w:t>
            </w:r>
            <w:r w:rsidRPr="00FF207E">
              <w:rPr>
                <w:rFonts w:cs="Arial"/>
                <w:sz w:val="20"/>
                <w:szCs w:val="20"/>
                <w:lang w:val="sl-SI"/>
              </w:rPr>
              <w:t>;</w:t>
            </w:r>
            <w:r w:rsidR="002E3F00" w:rsidRPr="00FF207E">
              <w:rPr>
                <w:rFonts w:cs="Arial"/>
                <w:sz w:val="20"/>
                <w:szCs w:val="20"/>
                <w:lang w:val="sl-SI"/>
              </w:rPr>
              <w:t xml:space="preserve"> </w:t>
            </w:r>
            <w:r w:rsidRPr="00FF207E">
              <w:rPr>
                <w:rFonts w:cs="Arial"/>
                <w:sz w:val="20"/>
                <w:szCs w:val="20"/>
                <w:lang w:val="sl-SI"/>
              </w:rPr>
              <w:t>v</w:t>
            </w:r>
            <w:r w:rsidR="002E3F00" w:rsidRPr="00FF207E">
              <w:rPr>
                <w:rFonts w:cs="Arial"/>
                <w:sz w:val="20"/>
                <w:szCs w:val="20"/>
                <w:lang w:val="sl-SI"/>
              </w:rPr>
              <w:t xml:space="preserve"> izobraževanje je smiselno vključiti tudi informacije glede oskrbe z energijo (pravice odjemalcev, menjave dobaviteljev, </w:t>
            </w:r>
            <w:r w:rsidR="00A97384" w:rsidRPr="00FF207E">
              <w:rPr>
                <w:rFonts w:cs="Arial"/>
                <w:sz w:val="20"/>
                <w:szCs w:val="20"/>
                <w:lang w:val="sl-SI"/>
              </w:rPr>
              <w:t xml:space="preserve">razvrstitev </w:t>
            </w:r>
            <w:r w:rsidR="00437C05" w:rsidRPr="00FF207E">
              <w:rPr>
                <w:rFonts w:cs="Arial"/>
                <w:sz w:val="20"/>
                <w:szCs w:val="20"/>
                <w:lang w:val="sl-SI"/>
              </w:rPr>
              <w:t xml:space="preserve">v ustrezno odjemno skupino, eno- ali </w:t>
            </w:r>
            <w:r w:rsidR="0092027D" w:rsidRPr="00FF207E">
              <w:rPr>
                <w:rFonts w:cs="Arial"/>
                <w:sz w:val="20"/>
                <w:szCs w:val="20"/>
                <w:lang w:val="sl-SI"/>
              </w:rPr>
              <w:t>dvotarifno</w:t>
            </w:r>
            <w:r w:rsidR="00437C05" w:rsidRPr="00FF207E">
              <w:rPr>
                <w:rFonts w:cs="Arial"/>
                <w:sz w:val="20"/>
                <w:szCs w:val="20"/>
                <w:lang w:val="sl-SI"/>
              </w:rPr>
              <w:t xml:space="preserve"> merjenje, </w:t>
            </w:r>
            <w:r w:rsidR="002E3F00" w:rsidRPr="00FF207E">
              <w:rPr>
                <w:rFonts w:cs="Arial"/>
                <w:sz w:val="20"/>
                <w:szCs w:val="20"/>
                <w:lang w:val="sl-SI"/>
              </w:rPr>
              <w:t xml:space="preserve">ravnanje v primeru nezmožnosti plačila, da ne pride do odklopa, </w:t>
            </w:r>
            <w:r w:rsidR="00B77973" w:rsidRPr="00FF207E">
              <w:rPr>
                <w:rFonts w:cs="Arial"/>
                <w:sz w:val="20"/>
                <w:szCs w:val="20"/>
                <w:lang w:val="sl-SI"/>
              </w:rPr>
              <w:t>in tako dalje</w:t>
            </w:r>
            <w:r w:rsidR="002E3F00" w:rsidRPr="00FF207E">
              <w:rPr>
                <w:rFonts w:cs="Arial"/>
                <w:sz w:val="20"/>
                <w:szCs w:val="20"/>
                <w:lang w:val="sl-SI"/>
              </w:rPr>
              <w:t>)</w:t>
            </w:r>
            <w:r w:rsidR="00706159" w:rsidRPr="00FF207E">
              <w:rPr>
                <w:rFonts w:cs="Arial"/>
                <w:sz w:val="20"/>
                <w:szCs w:val="20"/>
                <w:lang w:val="sl-SI"/>
              </w:rPr>
              <w:t xml:space="preserve"> ter uporabe pametnih merilnih sistemov in drugih pametnih tehnologij</w:t>
            </w:r>
            <w:r w:rsidRPr="00FF207E">
              <w:rPr>
                <w:rFonts w:cs="Arial"/>
                <w:sz w:val="20"/>
                <w:szCs w:val="20"/>
                <w:lang w:val="sl-SI"/>
              </w:rPr>
              <w:t>,</w:t>
            </w:r>
            <w:r w:rsidR="002E3F00" w:rsidRPr="00FF207E">
              <w:rPr>
                <w:rFonts w:cs="Arial"/>
                <w:sz w:val="20"/>
                <w:szCs w:val="20"/>
                <w:lang w:val="sl-SI"/>
              </w:rPr>
              <w:t xml:space="preserve"> glej tudi ukrep </w:t>
            </w:r>
            <w:hyperlink w:anchor="_Zaščita_pred_odklopom" w:history="1">
              <w:r w:rsidR="002E3F00" w:rsidRPr="00FF207E">
                <w:rPr>
                  <w:rStyle w:val="Hiperpovezava"/>
                  <w:rFonts w:cs="Arial"/>
                  <w:sz w:val="20"/>
                  <w:szCs w:val="20"/>
                  <w:lang w:val="sl-SI"/>
                </w:rPr>
                <w:t>ER_NeFin-03</w:t>
              </w:r>
            </w:hyperlink>
            <w:r w:rsidR="002E3F00" w:rsidRPr="00FF207E">
              <w:rPr>
                <w:rStyle w:val="Hiperpovezava"/>
                <w:rFonts w:cs="Arial"/>
                <w:color w:val="000000" w:themeColor="text1"/>
                <w:sz w:val="20"/>
                <w:szCs w:val="20"/>
                <w:u w:val="none"/>
                <w:lang w:val="sl-SI"/>
              </w:rPr>
              <w:t>,</w:t>
            </w:r>
            <w:r w:rsidR="002E3F00" w:rsidRPr="00FF207E">
              <w:rPr>
                <w:rStyle w:val="Hiperpovezava"/>
                <w:color w:val="000000" w:themeColor="text1"/>
                <w:u w:val="none"/>
                <w:lang w:val="sl-SI"/>
              </w:rPr>
              <w:t xml:space="preserve"> </w:t>
            </w:r>
            <w:r w:rsidR="002E3F00" w:rsidRPr="00FF207E">
              <w:rPr>
                <w:rFonts w:cs="Arial"/>
                <w:sz w:val="20"/>
                <w:szCs w:val="20"/>
                <w:lang w:val="sl-SI"/>
              </w:rPr>
              <w:t>ter splošna priporočila glede učinkovitega ravnanja z energijo</w:t>
            </w:r>
          </w:p>
        </w:tc>
      </w:tr>
      <w:tr w:rsidR="002E3F00" w:rsidRPr="00FF207E" w14:paraId="0F70DEF8" w14:textId="77777777" w:rsidTr="0095357D">
        <w:tc>
          <w:tcPr>
            <w:tcW w:w="567" w:type="dxa"/>
            <w:vMerge/>
            <w:tcBorders>
              <w:left w:val="nil"/>
              <w:bottom w:val="single" w:sz="4" w:space="0" w:color="548DD4" w:themeColor="text2" w:themeTint="99"/>
              <w:right w:val="single" w:sz="4" w:space="0" w:color="548DD4" w:themeColor="text2" w:themeTint="99"/>
            </w:tcBorders>
          </w:tcPr>
          <w:p w14:paraId="10326613" w14:textId="77777777" w:rsidR="002E3F00" w:rsidRPr="00FF207E" w:rsidRDefault="002E3F00"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7882944E" w14:textId="77777777" w:rsidR="002E3F00" w:rsidRPr="00FF207E" w:rsidRDefault="002E3F00"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44807763" w14:textId="6404B1BE" w:rsidR="002E3F00" w:rsidRPr="00FF207E" w:rsidRDefault="002E3F00" w:rsidP="001E304B">
            <w:pPr>
              <w:spacing w:line="240" w:lineRule="atLeast"/>
              <w:jc w:val="both"/>
              <w:rPr>
                <w:rFonts w:cs="Arial"/>
                <w:sz w:val="20"/>
                <w:szCs w:val="20"/>
                <w:lang w:val="sl-SI"/>
              </w:rPr>
            </w:pPr>
            <w:r w:rsidRPr="00FF207E">
              <w:rPr>
                <w:rFonts w:cs="Arial"/>
                <w:sz w:val="20"/>
                <w:szCs w:val="20"/>
                <w:lang w:val="sl-SI"/>
              </w:rPr>
              <w:t>projektna pisarna</w:t>
            </w:r>
          </w:p>
        </w:tc>
      </w:tr>
      <w:tr w:rsidR="002E3F00" w:rsidRPr="00FF207E" w14:paraId="237AD686" w14:textId="77777777" w:rsidTr="0095357D">
        <w:tc>
          <w:tcPr>
            <w:tcW w:w="567" w:type="dxa"/>
            <w:vMerge/>
            <w:tcBorders>
              <w:left w:val="nil"/>
              <w:bottom w:val="single" w:sz="4" w:space="0" w:color="548DD4" w:themeColor="text2" w:themeTint="99"/>
              <w:right w:val="single" w:sz="4" w:space="0" w:color="548DD4" w:themeColor="text2" w:themeTint="99"/>
            </w:tcBorders>
          </w:tcPr>
          <w:p w14:paraId="782686F0" w14:textId="77777777" w:rsidR="002E3F00" w:rsidRPr="00FF207E" w:rsidRDefault="002E3F00"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7913A3E3" w14:textId="77777777" w:rsidR="002E3F00" w:rsidRPr="00FF207E" w:rsidRDefault="002E3F00"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018341AA" w14:textId="2A656B1E" w:rsidR="002E3F00" w:rsidRPr="00FF207E" w:rsidRDefault="002E3F00" w:rsidP="001E304B">
            <w:pPr>
              <w:spacing w:line="240" w:lineRule="atLeast"/>
              <w:jc w:val="both"/>
              <w:rPr>
                <w:rFonts w:cs="Arial"/>
                <w:sz w:val="20"/>
                <w:szCs w:val="20"/>
                <w:lang w:val="sl-SI"/>
              </w:rPr>
            </w:pPr>
            <w:r w:rsidRPr="00FF207E">
              <w:rPr>
                <w:rFonts w:cs="Arial"/>
                <w:sz w:val="20"/>
                <w:szCs w:val="20"/>
                <w:lang w:val="sl-SI"/>
              </w:rPr>
              <w:t>CSD, ENSVET, humanitarne organizacije</w:t>
            </w:r>
          </w:p>
        </w:tc>
      </w:tr>
      <w:tr w:rsidR="002E3F00" w:rsidRPr="00FF207E" w14:paraId="62B57459" w14:textId="77777777" w:rsidTr="0095357D">
        <w:tc>
          <w:tcPr>
            <w:tcW w:w="567" w:type="dxa"/>
            <w:vMerge/>
            <w:tcBorders>
              <w:left w:val="nil"/>
              <w:bottom w:val="single" w:sz="4" w:space="0" w:color="548DD4" w:themeColor="text2" w:themeTint="99"/>
              <w:right w:val="single" w:sz="4" w:space="0" w:color="548DD4" w:themeColor="text2" w:themeTint="99"/>
            </w:tcBorders>
          </w:tcPr>
          <w:p w14:paraId="3A849C43" w14:textId="77777777" w:rsidR="002E3F00" w:rsidRPr="00FF207E" w:rsidRDefault="002E3F00"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0C6B838F" w14:textId="77777777" w:rsidR="002E3F00" w:rsidRPr="00FF207E" w:rsidRDefault="002E3F00"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13A2AC37" w14:textId="54E81430" w:rsidR="002E3F00" w:rsidRPr="00FF207E" w:rsidRDefault="00E8689E" w:rsidP="001E304B">
            <w:pPr>
              <w:spacing w:line="240" w:lineRule="atLeast"/>
              <w:jc w:val="both"/>
              <w:rPr>
                <w:rFonts w:cs="Arial"/>
                <w:sz w:val="20"/>
                <w:szCs w:val="20"/>
                <w:lang w:val="sl-SI"/>
              </w:rPr>
            </w:pPr>
            <w:r w:rsidRPr="00FF207E">
              <w:rPr>
                <w:rFonts w:cs="Arial"/>
                <w:sz w:val="20"/>
                <w:szCs w:val="20"/>
                <w:lang w:val="sl-SI"/>
              </w:rPr>
              <w:t>2025</w:t>
            </w:r>
          </w:p>
        </w:tc>
      </w:tr>
      <w:tr w:rsidR="001413D4" w:rsidRPr="00FF207E" w14:paraId="1D3A8ECF" w14:textId="77777777" w:rsidTr="0095357D">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199C2D93" w14:textId="730D13B7" w:rsidR="001413D4" w:rsidRPr="00FF207E" w:rsidRDefault="001413D4" w:rsidP="001E304B">
            <w:pPr>
              <w:spacing w:line="240" w:lineRule="atLeast"/>
              <w:jc w:val="both"/>
              <w:rPr>
                <w:rFonts w:cs="Arial"/>
                <w:b/>
                <w:sz w:val="24"/>
                <w:lang w:val="sl-SI"/>
              </w:rPr>
            </w:pPr>
            <w:r w:rsidRPr="00FF207E">
              <w:rPr>
                <w:rFonts w:cs="Arial"/>
                <w:b/>
                <w:sz w:val="24"/>
                <w:lang w:val="sl-SI"/>
              </w:rPr>
              <w:t>2</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178D1F58" w14:textId="77777777" w:rsidR="001413D4" w:rsidRPr="00FF207E" w:rsidRDefault="001413D4"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1BF83CA0" w14:textId="395C458E" w:rsidR="001413D4" w:rsidRPr="00FF207E" w:rsidRDefault="00BC3061" w:rsidP="000A57B2">
            <w:pPr>
              <w:spacing w:line="240" w:lineRule="atLeast"/>
              <w:jc w:val="both"/>
              <w:rPr>
                <w:rFonts w:cs="Arial"/>
                <w:sz w:val="20"/>
                <w:szCs w:val="20"/>
                <w:lang w:val="sl-SI"/>
              </w:rPr>
            </w:pPr>
            <w:r w:rsidRPr="00FF207E">
              <w:rPr>
                <w:rFonts w:cs="Arial"/>
                <w:sz w:val="20"/>
                <w:szCs w:val="20"/>
                <w:lang w:val="sl-SI"/>
              </w:rPr>
              <w:t>p</w:t>
            </w:r>
            <w:r w:rsidR="00955843" w:rsidRPr="00FF207E">
              <w:rPr>
                <w:rFonts w:cs="Arial"/>
                <w:sz w:val="20"/>
                <w:szCs w:val="20"/>
                <w:lang w:val="sl-SI"/>
              </w:rPr>
              <w:t>reučitev možnosti, da se takšna izobraževanja izvede</w:t>
            </w:r>
            <w:r w:rsidRPr="00FF207E">
              <w:rPr>
                <w:rFonts w:cs="Arial"/>
                <w:sz w:val="20"/>
                <w:szCs w:val="20"/>
                <w:lang w:val="sl-SI"/>
              </w:rPr>
              <w:t>jo</w:t>
            </w:r>
            <w:r w:rsidR="00955843" w:rsidRPr="00FF207E">
              <w:rPr>
                <w:rFonts w:cs="Arial"/>
                <w:sz w:val="20"/>
                <w:szCs w:val="20"/>
                <w:lang w:val="sl-SI"/>
              </w:rPr>
              <w:t xml:space="preserve"> in vzpostavi</w:t>
            </w:r>
            <w:r w:rsidRPr="00FF207E">
              <w:rPr>
                <w:rFonts w:cs="Arial"/>
                <w:sz w:val="20"/>
                <w:szCs w:val="20"/>
                <w:lang w:val="sl-SI"/>
              </w:rPr>
              <w:t>jo</w:t>
            </w:r>
            <w:r w:rsidR="00955843" w:rsidRPr="00FF207E">
              <w:rPr>
                <w:rFonts w:cs="Arial"/>
                <w:sz w:val="20"/>
                <w:szCs w:val="20"/>
                <w:lang w:val="sl-SI"/>
              </w:rPr>
              <w:t xml:space="preserve"> znotraj že obstoječih mrež izobraževanj (</w:t>
            </w:r>
            <w:r w:rsidR="00B77973" w:rsidRPr="00FF207E">
              <w:rPr>
                <w:rFonts w:cs="Arial"/>
                <w:sz w:val="20"/>
                <w:szCs w:val="20"/>
                <w:lang w:val="sl-SI"/>
              </w:rPr>
              <w:t>na primer</w:t>
            </w:r>
            <w:r w:rsidR="001413D4" w:rsidRPr="00FF207E">
              <w:rPr>
                <w:rFonts w:cs="Arial"/>
                <w:sz w:val="20"/>
                <w:szCs w:val="20"/>
                <w:lang w:val="sl-SI"/>
              </w:rPr>
              <w:t xml:space="preserve"> nevladne humanitarne organizacije že organizirajo različna izobraževanja</w:t>
            </w:r>
            <w:r w:rsidRPr="00FF207E">
              <w:rPr>
                <w:rFonts w:cs="Arial"/>
                <w:sz w:val="20"/>
                <w:szCs w:val="20"/>
                <w:lang w:val="sl-SI"/>
              </w:rPr>
              <w:t>,</w:t>
            </w:r>
            <w:r w:rsidR="001413D4" w:rsidRPr="00FF207E">
              <w:rPr>
                <w:rFonts w:cs="Arial"/>
                <w:sz w:val="20"/>
                <w:szCs w:val="20"/>
                <w:lang w:val="sl-SI"/>
              </w:rPr>
              <w:t xml:space="preserve"> </w:t>
            </w:r>
            <w:r w:rsidR="00B77973" w:rsidRPr="00FF207E">
              <w:rPr>
                <w:rFonts w:cs="Arial"/>
                <w:sz w:val="20"/>
                <w:szCs w:val="20"/>
                <w:lang w:val="sl-SI"/>
              </w:rPr>
              <w:t>na primer</w:t>
            </w:r>
            <w:r w:rsidR="001413D4" w:rsidRPr="00FF207E">
              <w:rPr>
                <w:rFonts w:cs="Arial"/>
                <w:sz w:val="20"/>
                <w:szCs w:val="20"/>
                <w:lang w:val="sl-SI"/>
              </w:rPr>
              <w:t xml:space="preserve"> finančna pismenost za svoje prejemnike storitev)</w:t>
            </w:r>
          </w:p>
        </w:tc>
      </w:tr>
      <w:tr w:rsidR="00874B89" w:rsidRPr="00FF207E" w14:paraId="480CA0DA" w14:textId="77777777" w:rsidTr="0095357D">
        <w:tc>
          <w:tcPr>
            <w:tcW w:w="567" w:type="dxa"/>
            <w:vMerge/>
            <w:tcBorders>
              <w:left w:val="nil"/>
              <w:bottom w:val="single" w:sz="4" w:space="0" w:color="548DD4" w:themeColor="text2" w:themeTint="99"/>
              <w:right w:val="single" w:sz="4" w:space="0" w:color="548DD4" w:themeColor="text2" w:themeTint="99"/>
            </w:tcBorders>
          </w:tcPr>
          <w:p w14:paraId="6A855604" w14:textId="77777777" w:rsidR="00874B89" w:rsidRPr="00FF207E" w:rsidRDefault="00874B8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841C7D9" w14:textId="77777777"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E9C94FE" w14:textId="50E5C7DB"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projektna pisarna z regionalnimi svetovalnimi točkami</w:t>
            </w:r>
          </w:p>
        </w:tc>
      </w:tr>
      <w:tr w:rsidR="00874B89" w:rsidRPr="00FF207E" w14:paraId="01A73724" w14:textId="77777777" w:rsidTr="0095357D">
        <w:tc>
          <w:tcPr>
            <w:tcW w:w="567" w:type="dxa"/>
            <w:vMerge/>
            <w:tcBorders>
              <w:left w:val="nil"/>
              <w:bottom w:val="single" w:sz="4" w:space="0" w:color="548DD4" w:themeColor="text2" w:themeTint="99"/>
              <w:right w:val="single" w:sz="4" w:space="0" w:color="548DD4" w:themeColor="text2" w:themeTint="99"/>
            </w:tcBorders>
          </w:tcPr>
          <w:p w14:paraId="27839719" w14:textId="77777777" w:rsidR="00874B89" w:rsidRPr="00FF207E" w:rsidRDefault="00874B8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7E4873FE" w14:textId="77777777"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3C96D647" w14:textId="23E53221"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 xml:space="preserve">humanitarne organizacije, </w:t>
            </w:r>
            <w:r w:rsidR="009273DC" w:rsidRPr="00FF207E">
              <w:rPr>
                <w:rFonts w:cs="Arial"/>
                <w:sz w:val="20"/>
                <w:szCs w:val="20"/>
                <w:lang w:val="sl-SI"/>
              </w:rPr>
              <w:t xml:space="preserve">NVO, </w:t>
            </w:r>
            <w:r w:rsidRPr="00FF207E">
              <w:rPr>
                <w:rFonts w:cs="Arial"/>
                <w:sz w:val="20"/>
                <w:szCs w:val="20"/>
                <w:lang w:val="sl-SI"/>
              </w:rPr>
              <w:t>MOPE</w:t>
            </w:r>
          </w:p>
        </w:tc>
      </w:tr>
      <w:tr w:rsidR="00874B89" w:rsidRPr="00FF207E" w14:paraId="2C20EDEE" w14:textId="77777777" w:rsidTr="0095357D">
        <w:tc>
          <w:tcPr>
            <w:tcW w:w="567" w:type="dxa"/>
            <w:vMerge/>
            <w:tcBorders>
              <w:left w:val="nil"/>
              <w:bottom w:val="single" w:sz="4" w:space="0" w:color="548DD4" w:themeColor="text2" w:themeTint="99"/>
              <w:right w:val="single" w:sz="4" w:space="0" w:color="548DD4" w:themeColor="text2" w:themeTint="99"/>
            </w:tcBorders>
          </w:tcPr>
          <w:p w14:paraId="06FB0F49" w14:textId="77777777" w:rsidR="00874B89" w:rsidRPr="00FF207E" w:rsidRDefault="00874B8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688627A1" w14:textId="77777777"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7DAB3519" w14:textId="0C13C599" w:rsidR="00874B89" w:rsidRPr="00FF207E" w:rsidRDefault="00E8689E" w:rsidP="001E304B">
            <w:pPr>
              <w:spacing w:line="240" w:lineRule="atLeast"/>
              <w:jc w:val="both"/>
              <w:rPr>
                <w:rFonts w:cs="Arial"/>
                <w:sz w:val="20"/>
                <w:szCs w:val="20"/>
                <w:lang w:val="sl-SI"/>
              </w:rPr>
            </w:pPr>
            <w:r w:rsidRPr="00FF207E">
              <w:rPr>
                <w:rFonts w:cs="Arial"/>
                <w:sz w:val="20"/>
                <w:szCs w:val="20"/>
                <w:lang w:val="sl-SI"/>
              </w:rPr>
              <w:t>2025</w:t>
            </w:r>
          </w:p>
        </w:tc>
      </w:tr>
      <w:tr w:rsidR="00874B89" w:rsidRPr="00FF207E" w14:paraId="00E0499D" w14:textId="77777777" w:rsidTr="0095357D">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3ECA91F1" w14:textId="7AE47A67" w:rsidR="00874B89" w:rsidRPr="00FF207E" w:rsidRDefault="00874B89" w:rsidP="001E304B">
            <w:pPr>
              <w:spacing w:line="240" w:lineRule="atLeast"/>
              <w:jc w:val="both"/>
              <w:rPr>
                <w:rFonts w:cs="Arial"/>
                <w:b/>
                <w:sz w:val="24"/>
                <w:lang w:val="sl-SI"/>
              </w:rPr>
            </w:pPr>
            <w:r w:rsidRPr="00FF207E">
              <w:rPr>
                <w:rFonts w:cs="Arial"/>
                <w:b/>
                <w:sz w:val="24"/>
                <w:lang w:val="sl-SI"/>
              </w:rPr>
              <w:t>3</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7C4DB0AD" w14:textId="77777777"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4B7FCCCA" w14:textId="423CF5E5" w:rsidR="00874B89" w:rsidRPr="00FF207E" w:rsidRDefault="00BC3061" w:rsidP="003249EA">
            <w:pPr>
              <w:spacing w:line="240" w:lineRule="atLeast"/>
              <w:jc w:val="both"/>
              <w:rPr>
                <w:rFonts w:cs="Arial"/>
                <w:sz w:val="20"/>
                <w:szCs w:val="20"/>
                <w:lang w:val="sl-SI"/>
              </w:rPr>
            </w:pPr>
            <w:r w:rsidRPr="00FF207E">
              <w:rPr>
                <w:rFonts w:cs="Arial"/>
                <w:sz w:val="20"/>
                <w:szCs w:val="20"/>
                <w:lang w:val="sl-SI"/>
              </w:rPr>
              <w:t>p</w:t>
            </w:r>
            <w:r w:rsidR="00874B89" w:rsidRPr="00FF207E">
              <w:rPr>
                <w:rFonts w:cs="Arial"/>
                <w:sz w:val="20"/>
                <w:szCs w:val="20"/>
                <w:lang w:val="sl-SI"/>
              </w:rPr>
              <w:t xml:space="preserve">riprava izobraževanj za izvedbo v dveh izbranih pilotnih regijah, navezava na </w:t>
            </w:r>
            <w:r w:rsidR="003249EA" w:rsidRPr="00FF207E">
              <w:rPr>
                <w:rFonts w:cs="Arial"/>
                <w:sz w:val="20"/>
                <w:szCs w:val="20"/>
                <w:lang w:val="sl-SI"/>
              </w:rPr>
              <w:t xml:space="preserve">dejavnosti </w:t>
            </w:r>
            <w:r w:rsidR="00874B89" w:rsidRPr="00FF207E">
              <w:rPr>
                <w:rFonts w:cs="Arial"/>
                <w:sz w:val="20"/>
                <w:szCs w:val="20"/>
                <w:lang w:val="sl-SI"/>
              </w:rPr>
              <w:t>ozaveščanja in informiranja</w:t>
            </w:r>
          </w:p>
        </w:tc>
      </w:tr>
      <w:tr w:rsidR="00874B89" w:rsidRPr="00FF207E" w14:paraId="6531EA4B" w14:textId="77777777" w:rsidTr="0095357D">
        <w:tc>
          <w:tcPr>
            <w:tcW w:w="567" w:type="dxa"/>
            <w:vMerge/>
            <w:tcBorders>
              <w:left w:val="nil"/>
              <w:bottom w:val="single" w:sz="4" w:space="0" w:color="548DD4" w:themeColor="text2" w:themeTint="99"/>
              <w:right w:val="single" w:sz="4" w:space="0" w:color="548DD4" w:themeColor="text2" w:themeTint="99"/>
            </w:tcBorders>
          </w:tcPr>
          <w:p w14:paraId="3774B28D" w14:textId="77777777" w:rsidR="00874B89" w:rsidRPr="00FF207E" w:rsidRDefault="00874B8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2F28CA4" w14:textId="77777777"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7E0A1E1B" w14:textId="019DEA80"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projektna pisarna z regionalnimi svetovalnimi točkami, regionalni koordinatorji neformalne mreže za informiranje in ozaveščanje</w:t>
            </w:r>
          </w:p>
        </w:tc>
      </w:tr>
      <w:tr w:rsidR="00874B89" w:rsidRPr="00FF207E" w14:paraId="35A37124" w14:textId="77777777" w:rsidTr="0095357D">
        <w:tc>
          <w:tcPr>
            <w:tcW w:w="567" w:type="dxa"/>
            <w:vMerge/>
            <w:tcBorders>
              <w:left w:val="nil"/>
              <w:bottom w:val="single" w:sz="4" w:space="0" w:color="548DD4" w:themeColor="text2" w:themeTint="99"/>
              <w:right w:val="single" w:sz="4" w:space="0" w:color="548DD4" w:themeColor="text2" w:themeTint="99"/>
            </w:tcBorders>
          </w:tcPr>
          <w:p w14:paraId="46F61C15" w14:textId="77777777" w:rsidR="00874B89" w:rsidRPr="00FF207E" w:rsidRDefault="00874B8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AA02D7D" w14:textId="77777777"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DFE08C7" w14:textId="1E296DAE"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vsi deležniki neformalne mreže za informiranje in ozaveščanje v pilotnih regijah</w:t>
            </w:r>
          </w:p>
        </w:tc>
      </w:tr>
      <w:tr w:rsidR="00874B89" w:rsidRPr="00FF207E" w14:paraId="69510B22" w14:textId="77777777" w:rsidTr="0095357D">
        <w:tc>
          <w:tcPr>
            <w:tcW w:w="567" w:type="dxa"/>
            <w:vMerge/>
            <w:tcBorders>
              <w:left w:val="nil"/>
              <w:bottom w:val="single" w:sz="4" w:space="0" w:color="548DD4" w:themeColor="text2" w:themeTint="99"/>
              <w:right w:val="single" w:sz="4" w:space="0" w:color="548DD4" w:themeColor="text2" w:themeTint="99"/>
            </w:tcBorders>
          </w:tcPr>
          <w:p w14:paraId="5A384A6B" w14:textId="77777777" w:rsidR="00874B89" w:rsidRPr="00FF207E" w:rsidRDefault="00874B8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3C8BCAA1" w14:textId="77777777"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59E96192" w14:textId="6098448B" w:rsidR="00874B89" w:rsidRPr="00FF207E" w:rsidRDefault="00E8689E" w:rsidP="001E304B">
            <w:pPr>
              <w:spacing w:line="240" w:lineRule="atLeast"/>
              <w:jc w:val="both"/>
              <w:rPr>
                <w:rFonts w:cs="Arial"/>
                <w:sz w:val="20"/>
                <w:szCs w:val="20"/>
                <w:lang w:val="sl-SI"/>
              </w:rPr>
            </w:pPr>
            <w:r w:rsidRPr="00FF207E">
              <w:rPr>
                <w:rFonts w:cs="Arial"/>
                <w:sz w:val="20"/>
                <w:szCs w:val="20"/>
                <w:lang w:val="sl-SI"/>
              </w:rPr>
              <w:t>2026</w:t>
            </w:r>
          </w:p>
        </w:tc>
      </w:tr>
      <w:tr w:rsidR="00874B89" w:rsidRPr="00FF207E" w14:paraId="25E39B18" w14:textId="77777777" w:rsidTr="00C27DEA">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426ECE38" w14:textId="77777777" w:rsidR="00874B89" w:rsidRPr="00FF207E" w:rsidRDefault="00874B89" w:rsidP="001E304B">
            <w:pPr>
              <w:spacing w:line="240" w:lineRule="atLeast"/>
              <w:jc w:val="both"/>
              <w:rPr>
                <w:rFonts w:cs="Arial"/>
                <w:b/>
                <w:sz w:val="24"/>
                <w:lang w:val="sl-SI"/>
              </w:rPr>
            </w:pPr>
            <w:r w:rsidRPr="00FF207E">
              <w:rPr>
                <w:rFonts w:cs="Arial"/>
                <w:b/>
                <w:sz w:val="24"/>
                <w:lang w:val="sl-SI"/>
              </w:rPr>
              <w:t>4</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2FEA1815" w14:textId="77777777"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42AA9A05" w14:textId="37B21EEB" w:rsidR="00874B89" w:rsidRPr="00FF207E" w:rsidRDefault="00BC3061" w:rsidP="001E304B">
            <w:pPr>
              <w:spacing w:line="240" w:lineRule="atLeast"/>
              <w:jc w:val="both"/>
              <w:rPr>
                <w:rFonts w:cs="Arial"/>
                <w:sz w:val="20"/>
                <w:szCs w:val="20"/>
                <w:lang w:val="sl-SI"/>
              </w:rPr>
            </w:pPr>
            <w:r w:rsidRPr="00FF207E">
              <w:rPr>
                <w:rFonts w:cs="Arial"/>
                <w:sz w:val="20"/>
                <w:szCs w:val="20"/>
                <w:lang w:val="sl-SI"/>
              </w:rPr>
              <w:t>i</w:t>
            </w:r>
            <w:r w:rsidR="00874B89" w:rsidRPr="00FF207E">
              <w:rPr>
                <w:rFonts w:cs="Arial"/>
                <w:sz w:val="20"/>
                <w:szCs w:val="20"/>
                <w:lang w:val="sl-SI"/>
              </w:rPr>
              <w:t>zvedba pilotnih izobraževanj za prejemnike denarne pomoči za kritje stroškov energije in vrednotenje izobraževanj</w:t>
            </w:r>
          </w:p>
        </w:tc>
      </w:tr>
      <w:tr w:rsidR="00874B89" w:rsidRPr="00FF207E" w14:paraId="7AB738DD" w14:textId="77777777" w:rsidTr="00C27DEA">
        <w:tc>
          <w:tcPr>
            <w:tcW w:w="567" w:type="dxa"/>
            <w:vMerge/>
            <w:tcBorders>
              <w:left w:val="nil"/>
              <w:bottom w:val="single" w:sz="4" w:space="0" w:color="548DD4" w:themeColor="text2" w:themeTint="99"/>
              <w:right w:val="single" w:sz="4" w:space="0" w:color="548DD4" w:themeColor="text2" w:themeTint="99"/>
            </w:tcBorders>
          </w:tcPr>
          <w:p w14:paraId="27C1A310" w14:textId="77777777" w:rsidR="00874B89" w:rsidRPr="00FF207E" w:rsidRDefault="00874B8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A997142" w14:textId="77777777"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7B9ABFA6" w14:textId="2B1DEFE6"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projektna pisarna z regionalnimi svetovalnimi točkami</w:t>
            </w:r>
          </w:p>
        </w:tc>
      </w:tr>
      <w:tr w:rsidR="00874B89" w:rsidRPr="00FF207E" w14:paraId="31B6FD87" w14:textId="77777777" w:rsidTr="00C27DEA">
        <w:tc>
          <w:tcPr>
            <w:tcW w:w="567" w:type="dxa"/>
            <w:vMerge/>
            <w:tcBorders>
              <w:left w:val="nil"/>
              <w:bottom w:val="single" w:sz="4" w:space="0" w:color="548DD4" w:themeColor="text2" w:themeTint="99"/>
              <w:right w:val="single" w:sz="4" w:space="0" w:color="548DD4" w:themeColor="text2" w:themeTint="99"/>
            </w:tcBorders>
          </w:tcPr>
          <w:p w14:paraId="620D7656" w14:textId="77777777" w:rsidR="00874B89" w:rsidRPr="00FF207E" w:rsidRDefault="00874B8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3981AB6B" w14:textId="77777777"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3E99EA1C" w14:textId="4758F736"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CSD, ENSVET, humanitarne organizacije</w:t>
            </w:r>
          </w:p>
        </w:tc>
      </w:tr>
      <w:tr w:rsidR="00874B89" w:rsidRPr="00FF207E" w14:paraId="3510DEF8" w14:textId="77777777" w:rsidTr="00C27DEA">
        <w:tc>
          <w:tcPr>
            <w:tcW w:w="567" w:type="dxa"/>
            <w:vMerge/>
            <w:tcBorders>
              <w:left w:val="nil"/>
              <w:bottom w:val="single" w:sz="4" w:space="0" w:color="548DD4" w:themeColor="text2" w:themeTint="99"/>
              <w:right w:val="single" w:sz="4" w:space="0" w:color="548DD4" w:themeColor="text2" w:themeTint="99"/>
            </w:tcBorders>
          </w:tcPr>
          <w:p w14:paraId="5428F736" w14:textId="77777777" w:rsidR="00874B89" w:rsidRPr="00FF207E" w:rsidRDefault="00874B8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42A0C449" w14:textId="77777777"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2C96ED0D" w14:textId="7F5EE1AE" w:rsidR="00874B89" w:rsidRPr="00FF207E" w:rsidRDefault="00E8689E" w:rsidP="001E304B">
            <w:pPr>
              <w:spacing w:line="240" w:lineRule="atLeast"/>
              <w:jc w:val="both"/>
              <w:rPr>
                <w:rFonts w:cs="Arial"/>
                <w:sz w:val="20"/>
                <w:szCs w:val="20"/>
                <w:lang w:val="sl-SI"/>
              </w:rPr>
            </w:pPr>
            <w:r w:rsidRPr="00FF207E">
              <w:rPr>
                <w:rFonts w:cs="Arial"/>
                <w:sz w:val="20"/>
                <w:szCs w:val="20"/>
                <w:lang w:val="sl-SI"/>
              </w:rPr>
              <w:t>2026</w:t>
            </w:r>
          </w:p>
        </w:tc>
      </w:tr>
      <w:tr w:rsidR="00874B89" w:rsidRPr="00FF207E" w14:paraId="1F774247" w14:textId="77777777" w:rsidTr="0095357D">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1A381157" w14:textId="27CFB48F" w:rsidR="00874B89" w:rsidRPr="00FF207E" w:rsidRDefault="00874B89" w:rsidP="001E304B">
            <w:pPr>
              <w:spacing w:line="240" w:lineRule="atLeast"/>
              <w:jc w:val="both"/>
              <w:rPr>
                <w:rFonts w:cs="Arial"/>
                <w:b/>
                <w:sz w:val="24"/>
                <w:lang w:val="sl-SI"/>
              </w:rPr>
            </w:pPr>
            <w:r w:rsidRPr="00FF207E">
              <w:rPr>
                <w:rFonts w:cs="Arial"/>
                <w:b/>
                <w:sz w:val="24"/>
                <w:lang w:val="sl-SI"/>
              </w:rPr>
              <w:t>5</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73FDFAA3" w14:textId="77777777"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71853CB8" w14:textId="3B10A44A" w:rsidR="00874B89" w:rsidRPr="00FF207E" w:rsidRDefault="00BC3061" w:rsidP="001E304B">
            <w:pPr>
              <w:spacing w:line="240" w:lineRule="atLeast"/>
              <w:jc w:val="both"/>
              <w:rPr>
                <w:rFonts w:cs="Arial"/>
                <w:sz w:val="20"/>
                <w:szCs w:val="20"/>
                <w:lang w:val="sl-SI"/>
              </w:rPr>
            </w:pPr>
            <w:r w:rsidRPr="00FF207E">
              <w:rPr>
                <w:rFonts w:cs="Arial"/>
                <w:sz w:val="20"/>
                <w:szCs w:val="20"/>
                <w:lang w:val="sl-SI"/>
              </w:rPr>
              <w:t>v</w:t>
            </w:r>
            <w:r w:rsidR="00874B89" w:rsidRPr="00FF207E">
              <w:rPr>
                <w:rFonts w:cs="Arial"/>
                <w:sz w:val="20"/>
                <w:szCs w:val="20"/>
                <w:lang w:val="sl-SI"/>
              </w:rPr>
              <w:t xml:space="preserve">zpostavitev sistema rednih izobraževanj energetskega opismenjevanja za prejemnike denarne pomoči za kritje stroškov </w:t>
            </w:r>
            <w:r w:rsidR="00874B89" w:rsidRPr="00FF207E">
              <w:rPr>
                <w:rFonts w:cs="Arial"/>
                <w:sz w:val="20"/>
                <w:szCs w:val="20"/>
                <w:lang w:val="sl-SI"/>
              </w:rPr>
              <w:lastRenderedPageBreak/>
              <w:t>energije; preučitev možnosti za širitev izobraževanja na vse energetsko revne</w:t>
            </w:r>
          </w:p>
        </w:tc>
      </w:tr>
      <w:tr w:rsidR="00874B89" w:rsidRPr="00FF207E" w14:paraId="718FFE00" w14:textId="77777777" w:rsidTr="0095357D">
        <w:tc>
          <w:tcPr>
            <w:tcW w:w="567" w:type="dxa"/>
            <w:vMerge/>
            <w:tcBorders>
              <w:left w:val="nil"/>
              <w:bottom w:val="single" w:sz="4" w:space="0" w:color="548DD4" w:themeColor="text2" w:themeTint="99"/>
              <w:right w:val="single" w:sz="4" w:space="0" w:color="548DD4" w:themeColor="text2" w:themeTint="99"/>
            </w:tcBorders>
          </w:tcPr>
          <w:p w14:paraId="3D3652C5" w14:textId="77777777" w:rsidR="00874B89" w:rsidRPr="00FF207E" w:rsidRDefault="00874B8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8121326" w14:textId="77777777"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87592DE" w14:textId="5DCA43A7"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projektna pisarna z regionalnimi svetovalnimi točkami</w:t>
            </w:r>
          </w:p>
        </w:tc>
      </w:tr>
      <w:tr w:rsidR="00874B89" w:rsidRPr="00FF207E" w14:paraId="1D790F6C" w14:textId="77777777" w:rsidTr="0095357D">
        <w:tc>
          <w:tcPr>
            <w:tcW w:w="567" w:type="dxa"/>
            <w:vMerge/>
            <w:tcBorders>
              <w:left w:val="nil"/>
              <w:bottom w:val="single" w:sz="4" w:space="0" w:color="548DD4" w:themeColor="text2" w:themeTint="99"/>
              <w:right w:val="single" w:sz="4" w:space="0" w:color="548DD4" w:themeColor="text2" w:themeTint="99"/>
            </w:tcBorders>
          </w:tcPr>
          <w:p w14:paraId="3C103E69" w14:textId="77777777" w:rsidR="00874B89" w:rsidRPr="00FF207E" w:rsidRDefault="00874B8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56371816" w14:textId="77777777"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AA3EAF2" w14:textId="087B8447"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ENSVET, humanitarne organizacije, projektna pisarna z regionalnimi svetovalnimi točkami, CSD</w:t>
            </w:r>
          </w:p>
        </w:tc>
      </w:tr>
      <w:tr w:rsidR="00874B89" w:rsidRPr="00FF207E" w14:paraId="37A67BF9" w14:textId="77777777" w:rsidTr="0095357D">
        <w:tc>
          <w:tcPr>
            <w:tcW w:w="567" w:type="dxa"/>
            <w:vMerge/>
            <w:tcBorders>
              <w:left w:val="nil"/>
              <w:bottom w:val="single" w:sz="4" w:space="0" w:color="548DD4" w:themeColor="text2" w:themeTint="99"/>
              <w:right w:val="single" w:sz="4" w:space="0" w:color="548DD4" w:themeColor="text2" w:themeTint="99"/>
            </w:tcBorders>
          </w:tcPr>
          <w:p w14:paraId="48515CFA" w14:textId="77777777" w:rsidR="00874B89" w:rsidRPr="00FF207E" w:rsidRDefault="00874B89"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7468CC3E" w14:textId="77777777" w:rsidR="00874B89" w:rsidRPr="00FF207E" w:rsidRDefault="00874B89"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7370562A" w14:textId="4617F907" w:rsidR="00874B89" w:rsidRPr="00FF207E" w:rsidRDefault="00E8689E" w:rsidP="001E304B">
            <w:pPr>
              <w:spacing w:line="240" w:lineRule="atLeast"/>
              <w:jc w:val="both"/>
              <w:rPr>
                <w:rFonts w:cs="Arial"/>
                <w:sz w:val="20"/>
                <w:szCs w:val="20"/>
                <w:lang w:val="sl-SI"/>
              </w:rPr>
            </w:pPr>
            <w:r w:rsidRPr="00FF207E">
              <w:rPr>
                <w:rFonts w:cs="Arial"/>
                <w:sz w:val="20"/>
                <w:szCs w:val="20"/>
                <w:lang w:val="sl-SI"/>
              </w:rPr>
              <w:t>2026</w:t>
            </w:r>
          </w:p>
        </w:tc>
      </w:tr>
    </w:tbl>
    <w:p w14:paraId="60E757C4" w14:textId="7EE39070" w:rsidR="004E5BCD" w:rsidRPr="00FF207E" w:rsidRDefault="004E5BCD" w:rsidP="001E304B">
      <w:pPr>
        <w:pStyle w:val="Naslov2"/>
        <w:jc w:val="both"/>
        <w:rPr>
          <w:lang w:val="sl-SI"/>
        </w:rPr>
      </w:pPr>
      <w:bookmarkStart w:id="97" w:name="_Ref135395945"/>
      <w:bookmarkStart w:id="98" w:name="_Toc151148804"/>
      <w:r w:rsidRPr="00FF207E">
        <w:rPr>
          <w:lang w:val="sl-SI"/>
        </w:rPr>
        <w:t xml:space="preserve">Ukrepi, </w:t>
      </w:r>
      <w:r w:rsidR="00C65309" w:rsidRPr="00FF207E">
        <w:rPr>
          <w:lang w:val="sl-SI"/>
        </w:rPr>
        <w:t>priporočeni</w:t>
      </w:r>
      <w:r w:rsidRPr="00FF207E">
        <w:rPr>
          <w:lang w:val="sl-SI"/>
        </w:rPr>
        <w:t xml:space="preserve"> za naslednji </w:t>
      </w:r>
      <w:r w:rsidR="00C65309" w:rsidRPr="00FF207E">
        <w:rPr>
          <w:lang w:val="sl-SI"/>
        </w:rPr>
        <w:t>akcijski načrt</w:t>
      </w:r>
      <w:bookmarkEnd w:id="97"/>
      <w:bookmarkEnd w:id="98"/>
    </w:p>
    <w:p w14:paraId="1B94EBB9" w14:textId="058E3FA9" w:rsidR="004E5BCD" w:rsidRPr="00FF207E" w:rsidRDefault="00C65309" w:rsidP="001E304B">
      <w:pPr>
        <w:spacing w:after="120"/>
        <w:jc w:val="both"/>
        <w:rPr>
          <w:rFonts w:cs="Arial"/>
          <w:szCs w:val="22"/>
          <w:lang w:val="sl-SI"/>
        </w:rPr>
      </w:pPr>
      <w:r w:rsidRPr="00FF207E">
        <w:rPr>
          <w:rFonts w:cs="Arial"/>
          <w:szCs w:val="22"/>
          <w:lang w:val="sl-SI"/>
        </w:rPr>
        <w:t>V obdobju 2024</w:t>
      </w:r>
      <w:r w:rsidRPr="00FF207E">
        <w:rPr>
          <w:rFonts w:cs="Arial"/>
          <w:lang w:val="sl-SI"/>
        </w:rPr>
        <w:t>–</w:t>
      </w:r>
      <w:r w:rsidRPr="00FF207E">
        <w:rPr>
          <w:rFonts w:cs="Arial"/>
          <w:szCs w:val="22"/>
          <w:lang w:val="sl-SI"/>
        </w:rPr>
        <w:t xml:space="preserve">2026 je treba prednostno vzpostaviti izvajanje ukrepov za zmanjševanje energetske revščine, ki so podrobneje predstavljeni v poglavjih </w:t>
      </w:r>
      <w:r w:rsidRPr="00FF207E">
        <w:rPr>
          <w:rFonts w:cs="Arial"/>
          <w:szCs w:val="22"/>
          <w:lang w:val="sl-SI"/>
        </w:rPr>
        <w:fldChar w:fldCharType="begin"/>
      </w:r>
      <w:r w:rsidRPr="00FF207E">
        <w:rPr>
          <w:rFonts w:cs="Arial"/>
          <w:szCs w:val="22"/>
          <w:lang w:val="sl-SI"/>
        </w:rPr>
        <w:instrText xml:space="preserve"> REF _Ref135394392 \r \h </w:instrText>
      </w:r>
      <w:r w:rsidR="001E304B" w:rsidRPr="00FF207E">
        <w:rPr>
          <w:rFonts w:cs="Arial"/>
          <w:szCs w:val="22"/>
          <w:lang w:val="sl-SI"/>
        </w:rPr>
        <w:instrText xml:space="preserve"> \* MERGEFORMAT </w:instrText>
      </w:r>
      <w:r w:rsidRPr="00FF207E">
        <w:rPr>
          <w:rFonts w:cs="Arial"/>
          <w:szCs w:val="22"/>
          <w:lang w:val="sl-SI"/>
        </w:rPr>
      </w:r>
      <w:r w:rsidRPr="00FF207E">
        <w:rPr>
          <w:rFonts w:cs="Arial"/>
          <w:szCs w:val="22"/>
          <w:lang w:val="sl-SI"/>
        </w:rPr>
        <w:fldChar w:fldCharType="separate"/>
      </w:r>
      <w:r w:rsidR="00F37FD1" w:rsidRPr="00FF207E">
        <w:rPr>
          <w:rFonts w:cs="Arial"/>
          <w:szCs w:val="22"/>
          <w:lang w:val="sl-SI"/>
        </w:rPr>
        <w:t>4</w:t>
      </w:r>
      <w:r w:rsidRPr="00FF207E">
        <w:rPr>
          <w:rFonts w:cs="Arial"/>
          <w:szCs w:val="22"/>
          <w:lang w:val="sl-SI"/>
        </w:rPr>
        <w:fldChar w:fldCharType="end"/>
      </w:r>
      <w:r w:rsidRPr="00FF207E">
        <w:rPr>
          <w:rFonts w:cs="Arial"/>
          <w:szCs w:val="22"/>
          <w:lang w:val="sl-SI"/>
        </w:rPr>
        <w:t xml:space="preserve">, </w:t>
      </w:r>
      <w:r w:rsidRPr="00FF207E">
        <w:rPr>
          <w:rFonts w:cs="Arial"/>
          <w:szCs w:val="22"/>
          <w:lang w:val="sl-SI"/>
        </w:rPr>
        <w:fldChar w:fldCharType="begin"/>
      </w:r>
      <w:r w:rsidRPr="00FF207E">
        <w:rPr>
          <w:rFonts w:cs="Arial"/>
          <w:szCs w:val="22"/>
          <w:lang w:val="sl-SI"/>
        </w:rPr>
        <w:instrText xml:space="preserve"> REF _Ref135394403 \r \h </w:instrText>
      </w:r>
      <w:r w:rsidR="001E304B" w:rsidRPr="00FF207E">
        <w:rPr>
          <w:rFonts w:cs="Arial"/>
          <w:szCs w:val="22"/>
          <w:lang w:val="sl-SI"/>
        </w:rPr>
        <w:instrText xml:space="preserve"> \* MERGEFORMAT </w:instrText>
      </w:r>
      <w:r w:rsidRPr="00FF207E">
        <w:rPr>
          <w:rFonts w:cs="Arial"/>
          <w:szCs w:val="22"/>
          <w:lang w:val="sl-SI"/>
        </w:rPr>
      </w:r>
      <w:r w:rsidRPr="00FF207E">
        <w:rPr>
          <w:rFonts w:cs="Arial"/>
          <w:szCs w:val="22"/>
          <w:lang w:val="sl-SI"/>
        </w:rPr>
        <w:fldChar w:fldCharType="separate"/>
      </w:r>
      <w:r w:rsidR="00F37FD1" w:rsidRPr="00FF207E">
        <w:rPr>
          <w:rFonts w:cs="Arial"/>
          <w:szCs w:val="22"/>
          <w:lang w:val="sl-SI"/>
        </w:rPr>
        <w:t>5.1</w:t>
      </w:r>
      <w:r w:rsidRPr="00FF207E">
        <w:rPr>
          <w:rFonts w:cs="Arial"/>
          <w:szCs w:val="22"/>
          <w:lang w:val="sl-SI"/>
        </w:rPr>
        <w:fldChar w:fldCharType="end"/>
      </w:r>
      <w:r w:rsidRPr="00FF207E">
        <w:rPr>
          <w:rFonts w:cs="Arial"/>
          <w:szCs w:val="22"/>
          <w:lang w:val="sl-SI"/>
        </w:rPr>
        <w:t xml:space="preserve"> in </w:t>
      </w:r>
      <w:r w:rsidRPr="00FF207E">
        <w:rPr>
          <w:rFonts w:cs="Arial"/>
          <w:szCs w:val="22"/>
          <w:lang w:val="sl-SI"/>
        </w:rPr>
        <w:fldChar w:fldCharType="begin"/>
      </w:r>
      <w:r w:rsidRPr="00FF207E">
        <w:rPr>
          <w:rFonts w:cs="Arial"/>
          <w:szCs w:val="22"/>
          <w:lang w:val="sl-SI"/>
        </w:rPr>
        <w:instrText xml:space="preserve"> REF _Ref135394409 \r \h </w:instrText>
      </w:r>
      <w:r w:rsidR="001E304B" w:rsidRPr="00FF207E">
        <w:rPr>
          <w:rFonts w:cs="Arial"/>
          <w:szCs w:val="22"/>
          <w:lang w:val="sl-SI"/>
        </w:rPr>
        <w:instrText xml:space="preserve"> \* MERGEFORMAT </w:instrText>
      </w:r>
      <w:r w:rsidRPr="00FF207E">
        <w:rPr>
          <w:rFonts w:cs="Arial"/>
          <w:szCs w:val="22"/>
          <w:lang w:val="sl-SI"/>
        </w:rPr>
      </w:r>
      <w:r w:rsidRPr="00FF207E">
        <w:rPr>
          <w:rFonts w:cs="Arial"/>
          <w:szCs w:val="22"/>
          <w:lang w:val="sl-SI"/>
        </w:rPr>
        <w:fldChar w:fldCharType="separate"/>
      </w:r>
      <w:r w:rsidR="00F37FD1" w:rsidRPr="00FF207E">
        <w:rPr>
          <w:rFonts w:cs="Arial"/>
          <w:szCs w:val="22"/>
          <w:lang w:val="sl-SI"/>
        </w:rPr>
        <w:t>6</w:t>
      </w:r>
      <w:r w:rsidRPr="00FF207E">
        <w:rPr>
          <w:rFonts w:cs="Arial"/>
          <w:szCs w:val="22"/>
          <w:lang w:val="sl-SI"/>
        </w:rPr>
        <w:fldChar w:fldCharType="end"/>
      </w:r>
      <w:r w:rsidRPr="00FF207E">
        <w:rPr>
          <w:rFonts w:cs="Arial"/>
          <w:szCs w:val="22"/>
          <w:lang w:val="sl-SI"/>
        </w:rPr>
        <w:t xml:space="preserve">. Za obdobje od leta 2027 dalje priporočamo, da se pri pripravi naslednjega akcijskega načrta, ta mora biti v </w:t>
      </w:r>
      <w:r w:rsidRPr="00FF207E">
        <w:rPr>
          <w:rFonts w:cs="Arial"/>
          <w:spacing w:val="-4"/>
          <w:szCs w:val="22"/>
          <w:lang w:val="sl-SI"/>
        </w:rPr>
        <w:t xml:space="preserve">skladu </w:t>
      </w:r>
      <w:r w:rsidR="0092027D" w:rsidRPr="00FF207E">
        <w:rPr>
          <w:rFonts w:cs="Arial"/>
          <w:spacing w:val="-4"/>
          <w:szCs w:val="22"/>
          <w:lang w:val="sl-SI"/>
        </w:rPr>
        <w:t>z</w:t>
      </w:r>
      <w:r w:rsidRPr="00FF207E">
        <w:rPr>
          <w:rFonts w:cs="Arial"/>
          <w:spacing w:val="-4"/>
          <w:szCs w:val="22"/>
          <w:lang w:val="sl-SI"/>
        </w:rPr>
        <w:t xml:space="preserve"> </w:t>
      </w:r>
      <w:r w:rsidR="00C71C07" w:rsidRPr="00FF207E">
        <w:rPr>
          <w:rFonts w:cs="Arial"/>
          <w:spacing w:val="-4"/>
          <w:szCs w:val="22"/>
          <w:lang w:val="sl-SI"/>
        </w:rPr>
        <w:t>uredbo pripravljen vsaka tri leta,</w:t>
      </w:r>
      <w:r w:rsidRPr="00FF207E">
        <w:rPr>
          <w:rFonts w:cs="Arial"/>
          <w:spacing w:val="-4"/>
          <w:szCs w:val="22"/>
          <w:lang w:val="sl-SI"/>
        </w:rPr>
        <w:t xml:space="preserve"> preuči in </w:t>
      </w:r>
      <w:r w:rsidR="00D7684A" w:rsidRPr="00FF207E">
        <w:rPr>
          <w:rFonts w:cs="Arial"/>
          <w:spacing w:val="-4"/>
          <w:szCs w:val="22"/>
          <w:lang w:val="sl-SI"/>
        </w:rPr>
        <w:t xml:space="preserve">po </w:t>
      </w:r>
      <w:r w:rsidR="00BC3061" w:rsidRPr="00FF207E">
        <w:rPr>
          <w:rFonts w:cs="Arial"/>
          <w:spacing w:val="-4"/>
          <w:szCs w:val="22"/>
          <w:lang w:val="sl-SI"/>
        </w:rPr>
        <w:t xml:space="preserve">potrebi </w:t>
      </w:r>
      <w:r w:rsidRPr="00FF207E">
        <w:rPr>
          <w:rFonts w:cs="Arial"/>
          <w:spacing w:val="-4"/>
          <w:szCs w:val="22"/>
          <w:lang w:val="sl-SI"/>
        </w:rPr>
        <w:t>pripravi za izvajanj</w:t>
      </w:r>
      <w:r w:rsidR="00C71C07" w:rsidRPr="00FF207E">
        <w:rPr>
          <w:rFonts w:cs="Arial"/>
          <w:spacing w:val="-4"/>
          <w:szCs w:val="22"/>
          <w:lang w:val="sl-SI"/>
        </w:rPr>
        <w:t>e še naslednje ukrepe</w:t>
      </w:r>
      <w:r w:rsidR="00846409" w:rsidRPr="00FF207E">
        <w:rPr>
          <w:rFonts w:cs="Arial"/>
          <w:spacing w:val="-4"/>
          <w:szCs w:val="22"/>
          <w:lang w:val="sl-SI"/>
        </w:rPr>
        <w:t>:</w:t>
      </w:r>
      <w:r w:rsidR="00C71C07" w:rsidRPr="00FF207E">
        <w:rPr>
          <w:rStyle w:val="Sprotnaopomba-sklic"/>
          <w:rFonts w:cs="Arial"/>
          <w:spacing w:val="-4"/>
          <w:szCs w:val="22"/>
          <w:lang w:val="sl-SI"/>
        </w:rPr>
        <w:footnoteReference w:id="21"/>
      </w:r>
    </w:p>
    <w:p w14:paraId="63F1E5DE" w14:textId="2FB20E88" w:rsidR="00065F6F" w:rsidRPr="00FF207E" w:rsidRDefault="00C71C07" w:rsidP="001E304B">
      <w:pPr>
        <w:pStyle w:val="Odstavekseznama"/>
        <w:numPr>
          <w:ilvl w:val="0"/>
          <w:numId w:val="6"/>
        </w:numPr>
        <w:spacing w:after="240"/>
        <w:jc w:val="both"/>
        <w:rPr>
          <w:rFonts w:cs="Arial"/>
          <w:szCs w:val="22"/>
          <w:lang w:val="sl-SI"/>
        </w:rPr>
      </w:pPr>
      <w:bookmarkStart w:id="99" w:name="_Ref120100067"/>
      <w:r w:rsidRPr="00FF207E">
        <w:rPr>
          <w:lang w:val="sl-SI"/>
        </w:rPr>
        <w:t>i</w:t>
      </w:r>
      <w:r w:rsidR="00065F6F" w:rsidRPr="00FF207E">
        <w:rPr>
          <w:lang w:val="sl-SI"/>
        </w:rPr>
        <w:t xml:space="preserve">zvajanje ukrepov za zmanjševanje energetske revščine v okviru sheme </w:t>
      </w:r>
      <w:r w:rsidR="00065F6F" w:rsidRPr="00FF207E">
        <w:rPr>
          <w:rFonts w:eastAsiaTheme="majorEastAsia"/>
          <w:lang w:val="sl-SI"/>
        </w:rPr>
        <w:t>obveznega doseganja prihrankov končne energije za zavezance</w:t>
      </w:r>
      <w:bookmarkEnd w:id="99"/>
      <w:r w:rsidR="00065F6F" w:rsidRPr="00FF207E">
        <w:rPr>
          <w:rFonts w:eastAsiaTheme="majorEastAsia"/>
          <w:lang w:val="sl-SI"/>
        </w:rPr>
        <w:t>;</w:t>
      </w:r>
    </w:p>
    <w:p w14:paraId="480B10C7" w14:textId="3DFF5035" w:rsidR="00065F6F" w:rsidRPr="00FF207E" w:rsidRDefault="00C71C07" w:rsidP="001E304B">
      <w:pPr>
        <w:pStyle w:val="Odstavekseznama"/>
        <w:numPr>
          <w:ilvl w:val="0"/>
          <w:numId w:val="6"/>
        </w:numPr>
        <w:spacing w:after="240"/>
        <w:jc w:val="both"/>
        <w:rPr>
          <w:rFonts w:cs="Arial"/>
          <w:szCs w:val="22"/>
          <w:lang w:val="sl-SI"/>
        </w:rPr>
      </w:pPr>
      <w:bookmarkStart w:id="100" w:name="_Ref120100073"/>
      <w:r w:rsidRPr="00FF207E">
        <w:rPr>
          <w:lang w:val="sl-SI"/>
        </w:rPr>
        <w:t>v</w:t>
      </w:r>
      <w:r w:rsidR="00065F6F" w:rsidRPr="00FF207E">
        <w:rPr>
          <w:lang w:val="sl-SI"/>
        </w:rPr>
        <w:t xml:space="preserve">ključevanje večstanovanjskih stavb z mešanim lastništvom v energetske prenove po modelu energetskega </w:t>
      </w:r>
      <w:proofErr w:type="spellStart"/>
      <w:r w:rsidR="00065F6F" w:rsidRPr="00FF207E">
        <w:rPr>
          <w:lang w:val="sl-SI"/>
        </w:rPr>
        <w:t>pogodbeništva</w:t>
      </w:r>
      <w:bookmarkEnd w:id="100"/>
      <w:proofErr w:type="spellEnd"/>
      <w:r w:rsidR="00065F6F" w:rsidRPr="00FF207E">
        <w:rPr>
          <w:rFonts w:eastAsiaTheme="majorEastAsia"/>
          <w:lang w:val="sl-SI"/>
        </w:rPr>
        <w:t>;</w:t>
      </w:r>
    </w:p>
    <w:p w14:paraId="569E00B4" w14:textId="26937B7B" w:rsidR="00B05E01" w:rsidRPr="00FF207E" w:rsidRDefault="00C71C07" w:rsidP="001E304B">
      <w:pPr>
        <w:pStyle w:val="Odstavekseznama"/>
        <w:numPr>
          <w:ilvl w:val="0"/>
          <w:numId w:val="6"/>
        </w:numPr>
        <w:spacing w:after="240"/>
        <w:jc w:val="both"/>
        <w:rPr>
          <w:rFonts w:cs="Arial"/>
          <w:szCs w:val="22"/>
          <w:lang w:val="sl-SI"/>
        </w:rPr>
      </w:pPr>
      <w:bookmarkStart w:id="101" w:name="_Ref120100155"/>
      <w:r w:rsidRPr="00FF207E">
        <w:rPr>
          <w:lang w:val="sl-SI"/>
        </w:rPr>
        <w:t>pilotni projekt za vzpostavitev s</w:t>
      </w:r>
      <w:r w:rsidR="00E57E3A" w:rsidRPr="00FF207E">
        <w:rPr>
          <w:lang w:val="sl-SI"/>
        </w:rPr>
        <w:t>kupnostn</w:t>
      </w:r>
      <w:r w:rsidRPr="00FF207E">
        <w:rPr>
          <w:lang w:val="sl-SI"/>
        </w:rPr>
        <w:t>ih</w:t>
      </w:r>
      <w:r w:rsidR="00E57E3A" w:rsidRPr="00FF207E">
        <w:rPr>
          <w:lang w:val="sl-SI"/>
        </w:rPr>
        <w:t xml:space="preserve"> srečanj in »naredi sam« delavnic</w:t>
      </w:r>
      <w:bookmarkEnd w:id="101"/>
      <w:r w:rsidR="003771DE" w:rsidRPr="00FF207E">
        <w:rPr>
          <w:lang w:val="sl-SI"/>
        </w:rPr>
        <w:t>,</w:t>
      </w:r>
    </w:p>
    <w:p w14:paraId="02F4DB21" w14:textId="7CF879FE" w:rsidR="00D7684A" w:rsidRPr="00FF207E" w:rsidRDefault="00D7684A" w:rsidP="001E304B">
      <w:pPr>
        <w:pStyle w:val="Odstavekseznama"/>
        <w:numPr>
          <w:ilvl w:val="0"/>
          <w:numId w:val="6"/>
        </w:numPr>
        <w:spacing w:after="240"/>
        <w:jc w:val="both"/>
        <w:rPr>
          <w:rFonts w:cs="Arial"/>
          <w:szCs w:val="22"/>
          <w:lang w:val="sl-SI"/>
        </w:rPr>
      </w:pPr>
      <w:r w:rsidRPr="00FF207E">
        <w:rPr>
          <w:rFonts w:cs="Arial"/>
          <w:szCs w:val="22"/>
          <w:lang w:val="sl-SI"/>
        </w:rPr>
        <w:t>spodbude za dodatne ukrepe energetske učinkovitosti (</w:t>
      </w:r>
      <w:r w:rsidR="00B77973" w:rsidRPr="00FF207E">
        <w:rPr>
          <w:rFonts w:cs="Arial"/>
          <w:szCs w:val="22"/>
          <w:lang w:val="sl-SI"/>
        </w:rPr>
        <w:t>na primer</w:t>
      </w:r>
      <w:r w:rsidRPr="00FF207E">
        <w:rPr>
          <w:rFonts w:cs="Arial"/>
          <w:szCs w:val="22"/>
          <w:lang w:val="sl-SI"/>
        </w:rPr>
        <w:t xml:space="preserve"> nakup gospodinjskih aparatov)</w:t>
      </w:r>
      <w:r w:rsidR="00846409" w:rsidRPr="00FF207E">
        <w:rPr>
          <w:rFonts w:cs="Arial"/>
          <w:szCs w:val="22"/>
          <w:lang w:val="sl-SI"/>
        </w:rPr>
        <w:t>;</w:t>
      </w:r>
      <w:r w:rsidRPr="00FF207E">
        <w:rPr>
          <w:rStyle w:val="Sprotnaopomba-sklic"/>
          <w:rFonts w:cs="Arial"/>
          <w:szCs w:val="22"/>
          <w:lang w:val="sl-SI"/>
        </w:rPr>
        <w:footnoteReference w:id="22"/>
      </w:r>
    </w:p>
    <w:p w14:paraId="261580C5" w14:textId="69861EE9" w:rsidR="003771DE" w:rsidRPr="00FF207E" w:rsidRDefault="003771DE" w:rsidP="001E304B">
      <w:pPr>
        <w:pStyle w:val="Odstavekseznama"/>
        <w:numPr>
          <w:ilvl w:val="0"/>
          <w:numId w:val="6"/>
        </w:numPr>
        <w:spacing w:after="120"/>
        <w:ind w:left="714" w:hanging="357"/>
        <w:jc w:val="both"/>
        <w:rPr>
          <w:rFonts w:cs="Arial"/>
          <w:szCs w:val="22"/>
          <w:lang w:val="sl-SI"/>
        </w:rPr>
      </w:pPr>
      <w:r w:rsidRPr="00FF207E">
        <w:rPr>
          <w:rFonts w:cs="Arial"/>
          <w:szCs w:val="22"/>
          <w:lang w:val="sl-SI"/>
        </w:rPr>
        <w:t>skupinski nakup električne energije</w:t>
      </w:r>
      <w:r w:rsidR="00846409" w:rsidRPr="00FF207E">
        <w:rPr>
          <w:rFonts w:cs="Arial"/>
          <w:szCs w:val="22"/>
          <w:lang w:val="sl-SI"/>
        </w:rPr>
        <w:t>,</w:t>
      </w:r>
      <w:r w:rsidR="009F7F6F" w:rsidRPr="00FF207E">
        <w:rPr>
          <w:rStyle w:val="Sprotnaopomba-sklic"/>
          <w:rFonts w:cs="Arial"/>
          <w:szCs w:val="22"/>
          <w:lang w:val="sl-SI"/>
        </w:rPr>
        <w:footnoteReference w:id="23"/>
      </w:r>
      <w:r w:rsidR="0027626E" w:rsidRPr="00FF207E">
        <w:rPr>
          <w:rFonts w:cs="Arial"/>
          <w:szCs w:val="22"/>
          <w:lang w:val="sl-SI"/>
        </w:rPr>
        <w:t xml:space="preserve"> ki po svoji vsebini sicer </w:t>
      </w:r>
      <w:r w:rsidR="004963C7" w:rsidRPr="00FF207E">
        <w:rPr>
          <w:rFonts w:cs="Arial"/>
          <w:szCs w:val="22"/>
          <w:lang w:val="sl-SI"/>
        </w:rPr>
        <w:t xml:space="preserve">spada </w:t>
      </w:r>
      <w:r w:rsidR="0027626E" w:rsidRPr="00FF207E">
        <w:rPr>
          <w:rFonts w:cs="Arial"/>
          <w:szCs w:val="22"/>
          <w:lang w:val="sl-SI"/>
        </w:rPr>
        <w:t>med ukrepe za blaženje energetske revščine</w:t>
      </w:r>
      <w:r w:rsidR="009F7F6F" w:rsidRPr="00FF207E">
        <w:rPr>
          <w:rFonts w:cs="Arial"/>
          <w:szCs w:val="22"/>
          <w:lang w:val="sl-SI"/>
        </w:rPr>
        <w:t>.</w:t>
      </w:r>
    </w:p>
    <w:p w14:paraId="5CF67A30" w14:textId="48690786" w:rsidR="001C1FD2" w:rsidRPr="00FF207E" w:rsidRDefault="00C71C07" w:rsidP="001E304B">
      <w:pPr>
        <w:jc w:val="both"/>
        <w:rPr>
          <w:rFonts w:cs="Arial"/>
          <w:lang w:val="sl-SI"/>
        </w:rPr>
      </w:pPr>
      <w:r w:rsidRPr="00FF207E">
        <w:rPr>
          <w:rFonts w:cs="Arial"/>
          <w:lang w:val="sl-SI"/>
        </w:rPr>
        <w:t xml:space="preserve">Navedeni seznam ni izključujoč. </w:t>
      </w:r>
      <w:r w:rsidR="00947310" w:rsidRPr="00FF207E">
        <w:rPr>
          <w:rFonts w:cs="Arial"/>
          <w:lang w:val="sl-SI"/>
        </w:rPr>
        <w:t>Pri</w:t>
      </w:r>
      <w:r w:rsidRPr="00FF207E">
        <w:rPr>
          <w:rFonts w:cs="Arial"/>
          <w:szCs w:val="22"/>
          <w:lang w:val="sl-SI"/>
        </w:rPr>
        <w:t xml:space="preserve"> pripravi naslednjega akcijskega načrta</w:t>
      </w:r>
      <w:r w:rsidR="00947310" w:rsidRPr="00FF207E">
        <w:rPr>
          <w:rFonts w:cs="Arial"/>
          <w:szCs w:val="22"/>
          <w:lang w:val="sl-SI"/>
        </w:rPr>
        <w:t xml:space="preserve"> je treba </w:t>
      </w:r>
      <w:r w:rsidR="00387DF6" w:rsidRPr="00FF207E">
        <w:rPr>
          <w:rFonts w:cs="Arial"/>
          <w:szCs w:val="22"/>
          <w:lang w:val="sl-SI"/>
        </w:rPr>
        <w:t xml:space="preserve">nadaljevati razvoj </w:t>
      </w:r>
      <w:r w:rsidR="00736A5E" w:rsidRPr="00FF207E">
        <w:rPr>
          <w:rFonts w:cs="Arial"/>
          <w:szCs w:val="22"/>
          <w:lang w:val="sl-SI"/>
        </w:rPr>
        <w:t xml:space="preserve">veljavnih </w:t>
      </w:r>
      <w:r w:rsidR="00387DF6" w:rsidRPr="00FF207E">
        <w:rPr>
          <w:rFonts w:cs="Arial"/>
          <w:szCs w:val="22"/>
          <w:lang w:val="sl-SI"/>
        </w:rPr>
        <w:t xml:space="preserve">in novih ukrepov, </w:t>
      </w:r>
      <w:r w:rsidR="00B266A4" w:rsidRPr="00FF207E">
        <w:rPr>
          <w:rFonts w:cs="Arial"/>
          <w:szCs w:val="22"/>
          <w:lang w:val="sl-SI"/>
        </w:rPr>
        <w:t xml:space="preserve">v skladu </w:t>
      </w:r>
      <w:r w:rsidR="00387DF6" w:rsidRPr="00FF207E">
        <w:rPr>
          <w:rFonts w:cs="Arial"/>
          <w:szCs w:val="22"/>
          <w:lang w:val="sl-SI"/>
        </w:rPr>
        <w:t>z aktualnimi okoliščinami in ugotovitvami.</w:t>
      </w:r>
    </w:p>
    <w:p w14:paraId="0BB2E3F9" w14:textId="31FA0D13" w:rsidR="003800A0" w:rsidRPr="00FF207E" w:rsidRDefault="003800A0" w:rsidP="001E304B">
      <w:pPr>
        <w:pStyle w:val="Naslov1"/>
        <w:numPr>
          <w:ilvl w:val="0"/>
          <w:numId w:val="2"/>
        </w:numPr>
        <w:jc w:val="both"/>
        <w:rPr>
          <w:lang w:val="sl-SI"/>
        </w:rPr>
      </w:pPr>
      <w:bookmarkStart w:id="102" w:name="_Ref135394409"/>
      <w:bookmarkStart w:id="103" w:name="_Toc151148805"/>
      <w:r w:rsidRPr="00FF207E">
        <w:rPr>
          <w:lang w:val="sl-SI"/>
        </w:rPr>
        <w:lastRenderedPageBreak/>
        <w:t>Ukrepi za blaženje energetske revščine</w:t>
      </w:r>
      <w:bookmarkEnd w:id="102"/>
      <w:bookmarkEnd w:id="103"/>
    </w:p>
    <w:p w14:paraId="70DE6B0C" w14:textId="3DB6CA66" w:rsidR="00074038" w:rsidRPr="00FF207E" w:rsidRDefault="00074038" w:rsidP="001E304B">
      <w:pPr>
        <w:spacing w:after="240"/>
        <w:jc w:val="both"/>
        <w:rPr>
          <w:rFonts w:cs="Arial"/>
          <w:szCs w:val="22"/>
          <w:lang w:val="sl-SI"/>
        </w:rPr>
      </w:pPr>
      <w:r w:rsidRPr="00FF207E">
        <w:rPr>
          <w:rFonts w:cs="Arial"/>
          <w:szCs w:val="22"/>
          <w:lang w:val="sl-SI"/>
        </w:rPr>
        <w:t xml:space="preserve">Blaženje energetske revščine je usmerjeno v trenutno razbremenitev energetsko revnih, običajno s finančno pomočjo pri plačilu stroškov energije. Poleg denarne pomoči, ki jo lahko upravičenci prejmejo prek CSD (glej ukrep </w:t>
      </w:r>
      <w:hyperlink w:anchor="_Denarna_pomoč_CSD_2" w:history="1">
        <w:r w:rsidRPr="00FF207E">
          <w:rPr>
            <w:rStyle w:val="Hiperpovezava"/>
            <w:rFonts w:cs="Arial"/>
            <w:szCs w:val="22"/>
            <w:lang w:val="sl-SI"/>
          </w:rPr>
          <w:t>ER_Blž-01</w:t>
        </w:r>
      </w:hyperlink>
      <w:r w:rsidRPr="00FF207E">
        <w:rPr>
          <w:rFonts w:cs="Arial"/>
          <w:szCs w:val="22"/>
          <w:lang w:val="sl-SI"/>
        </w:rPr>
        <w:t xml:space="preserve">), so na tem področju </w:t>
      </w:r>
      <w:r w:rsidRPr="00FF207E">
        <w:rPr>
          <w:rFonts w:cs="Arial"/>
          <w:b/>
          <w:szCs w:val="22"/>
          <w:lang w:val="sl-SI"/>
        </w:rPr>
        <w:t xml:space="preserve">izjemno pomembne tudi humanitarne organizacije, ki </w:t>
      </w:r>
      <w:r w:rsidR="005B385E" w:rsidRPr="00FF207E">
        <w:rPr>
          <w:rFonts w:cs="Arial"/>
          <w:b/>
          <w:szCs w:val="22"/>
          <w:lang w:val="sl-SI"/>
        </w:rPr>
        <w:t xml:space="preserve">najranljivejšim </w:t>
      </w:r>
      <w:r w:rsidR="00B266A4" w:rsidRPr="00FF207E">
        <w:rPr>
          <w:rFonts w:cs="Arial"/>
          <w:b/>
          <w:szCs w:val="22"/>
          <w:lang w:val="sl-SI"/>
        </w:rPr>
        <w:t xml:space="preserve">prav </w:t>
      </w:r>
      <w:r w:rsidRPr="00FF207E">
        <w:rPr>
          <w:rFonts w:cs="Arial"/>
          <w:b/>
          <w:szCs w:val="22"/>
          <w:lang w:val="sl-SI"/>
        </w:rPr>
        <w:t>tako zagotavljajo pomoč pri plačilu stroškov energije</w:t>
      </w:r>
      <w:r w:rsidRPr="00FF207E">
        <w:rPr>
          <w:rFonts w:cs="Arial"/>
          <w:szCs w:val="22"/>
          <w:lang w:val="sl-SI"/>
        </w:rPr>
        <w:t>.</w:t>
      </w:r>
    </w:p>
    <w:p w14:paraId="1FBDB096" w14:textId="1CE61E95" w:rsidR="00074038" w:rsidRPr="00FF207E" w:rsidRDefault="00EC0BC8" w:rsidP="001E304B">
      <w:pPr>
        <w:spacing w:after="240"/>
        <w:jc w:val="both"/>
        <w:rPr>
          <w:rFonts w:cs="Arial"/>
          <w:szCs w:val="22"/>
          <w:lang w:val="sl-SI"/>
        </w:rPr>
      </w:pPr>
      <w:r w:rsidRPr="00FF207E">
        <w:rPr>
          <w:rFonts w:cs="Arial"/>
          <w:szCs w:val="22"/>
          <w:lang w:val="sl-SI"/>
        </w:rPr>
        <w:t xml:space="preserve">Zaradi </w:t>
      </w:r>
      <w:r w:rsidR="008D61D4" w:rsidRPr="00FF207E">
        <w:rPr>
          <w:rFonts w:cs="Arial"/>
          <w:szCs w:val="22"/>
          <w:lang w:val="sl-SI"/>
        </w:rPr>
        <w:t xml:space="preserve">svetovnih </w:t>
      </w:r>
      <w:r w:rsidRPr="00FF207E">
        <w:rPr>
          <w:rFonts w:cs="Arial"/>
          <w:szCs w:val="22"/>
          <w:lang w:val="sl-SI"/>
        </w:rPr>
        <w:t>okoliščin, ki se prispevale k veliki rasti cen energije</w:t>
      </w:r>
      <w:r w:rsidR="00907102" w:rsidRPr="00FF207E">
        <w:rPr>
          <w:rFonts w:cs="Arial"/>
          <w:szCs w:val="22"/>
          <w:lang w:val="sl-SI"/>
        </w:rPr>
        <w:t>,</w:t>
      </w:r>
      <w:r w:rsidRPr="00FF207E">
        <w:rPr>
          <w:rFonts w:cs="Arial"/>
          <w:szCs w:val="22"/>
          <w:lang w:val="sl-SI"/>
        </w:rPr>
        <w:t xml:space="preserve"> </w:t>
      </w:r>
      <w:r w:rsidR="00D76518" w:rsidRPr="00FF207E">
        <w:rPr>
          <w:rFonts w:cs="Arial"/>
          <w:szCs w:val="22"/>
          <w:lang w:val="sl-SI"/>
        </w:rPr>
        <w:t>je Slovenija</w:t>
      </w:r>
      <w:r w:rsidR="00907102" w:rsidRPr="00FF207E">
        <w:rPr>
          <w:rFonts w:cs="Arial"/>
          <w:szCs w:val="22"/>
          <w:lang w:val="sl-SI"/>
        </w:rPr>
        <w:t xml:space="preserve"> leta</w:t>
      </w:r>
      <w:r w:rsidRPr="00FF207E">
        <w:rPr>
          <w:rFonts w:cs="Arial"/>
          <w:szCs w:val="22"/>
          <w:lang w:val="sl-SI"/>
        </w:rPr>
        <w:t xml:space="preserve"> 2022</w:t>
      </w:r>
      <w:r w:rsidR="00907102" w:rsidRPr="00FF207E">
        <w:rPr>
          <w:rFonts w:cs="Arial"/>
          <w:szCs w:val="22"/>
          <w:lang w:val="sl-SI"/>
        </w:rPr>
        <w:t xml:space="preserve"> z dvema paketoma</w:t>
      </w:r>
      <w:r w:rsidRPr="00FF207E">
        <w:rPr>
          <w:rFonts w:cs="Arial"/>
          <w:szCs w:val="22"/>
          <w:lang w:val="sl-SI"/>
        </w:rPr>
        <w:t xml:space="preserve"> uvedla tudi nekaj</w:t>
      </w:r>
      <w:r w:rsidR="00074038" w:rsidRPr="00FF207E">
        <w:rPr>
          <w:rFonts w:cs="Arial"/>
          <w:szCs w:val="22"/>
          <w:lang w:val="sl-SI"/>
        </w:rPr>
        <w:t xml:space="preserve"> </w:t>
      </w:r>
      <w:r w:rsidR="003E305A" w:rsidRPr="00FF207E">
        <w:rPr>
          <w:rFonts w:cs="Arial"/>
          <w:szCs w:val="22"/>
          <w:lang w:val="sl-SI"/>
        </w:rPr>
        <w:t xml:space="preserve">začasnih </w:t>
      </w:r>
      <w:r w:rsidR="00074038" w:rsidRPr="00FF207E">
        <w:rPr>
          <w:rFonts w:cs="Arial"/>
          <w:szCs w:val="22"/>
          <w:lang w:val="sl-SI"/>
        </w:rPr>
        <w:t>izredni</w:t>
      </w:r>
      <w:r w:rsidRPr="00FF207E">
        <w:rPr>
          <w:rFonts w:cs="Arial"/>
          <w:szCs w:val="22"/>
          <w:lang w:val="sl-SI"/>
        </w:rPr>
        <w:t>h</w:t>
      </w:r>
      <w:r w:rsidR="00074038" w:rsidRPr="00FF207E">
        <w:rPr>
          <w:rFonts w:cs="Arial"/>
          <w:szCs w:val="22"/>
          <w:lang w:val="sl-SI"/>
        </w:rPr>
        <w:t xml:space="preserve"> ukrep</w:t>
      </w:r>
      <w:r w:rsidRPr="00FF207E">
        <w:rPr>
          <w:rFonts w:cs="Arial"/>
          <w:szCs w:val="22"/>
          <w:lang w:val="sl-SI"/>
        </w:rPr>
        <w:t>ov</w:t>
      </w:r>
      <w:r w:rsidR="00907102" w:rsidRPr="00FF207E">
        <w:rPr>
          <w:rFonts w:cs="Arial"/>
          <w:szCs w:val="22"/>
          <w:lang w:val="sl-SI"/>
        </w:rPr>
        <w:t xml:space="preserve"> za </w:t>
      </w:r>
      <w:r w:rsidR="003D4FE7" w:rsidRPr="00FF207E">
        <w:rPr>
          <w:rFonts w:cs="Arial"/>
          <w:szCs w:val="22"/>
          <w:lang w:val="sl-SI"/>
        </w:rPr>
        <w:t>preprečevanje energetske revščine</w:t>
      </w:r>
      <w:r w:rsidR="003E305A" w:rsidRPr="00FF207E">
        <w:rPr>
          <w:rFonts w:cs="Arial"/>
          <w:szCs w:val="22"/>
          <w:lang w:val="sl-SI"/>
        </w:rPr>
        <w:t>, med njimi tudi</w:t>
      </w:r>
      <w:r w:rsidR="00074038" w:rsidRPr="00FF207E">
        <w:rPr>
          <w:rFonts w:cs="Arial"/>
          <w:szCs w:val="22"/>
          <w:lang w:val="sl-SI"/>
        </w:rPr>
        <w:t xml:space="preserve"> solidarnostn</w:t>
      </w:r>
      <w:r w:rsidR="003E305A" w:rsidRPr="00FF207E">
        <w:rPr>
          <w:rFonts w:cs="Arial"/>
          <w:szCs w:val="22"/>
          <w:lang w:val="sl-SI"/>
        </w:rPr>
        <w:t>i</w:t>
      </w:r>
      <w:r w:rsidR="00074038" w:rsidRPr="00FF207E">
        <w:rPr>
          <w:rFonts w:cs="Arial"/>
          <w:szCs w:val="22"/>
          <w:lang w:val="sl-SI"/>
        </w:rPr>
        <w:t xml:space="preserve"> oz</w:t>
      </w:r>
      <w:r w:rsidR="00B77973" w:rsidRPr="00FF207E">
        <w:rPr>
          <w:rFonts w:cs="Arial"/>
          <w:szCs w:val="22"/>
          <w:lang w:val="sl-SI"/>
        </w:rPr>
        <w:t>iroma</w:t>
      </w:r>
      <w:r w:rsidR="00074038" w:rsidRPr="00FF207E">
        <w:rPr>
          <w:rFonts w:cs="Arial"/>
          <w:szCs w:val="22"/>
          <w:lang w:val="sl-SI"/>
        </w:rPr>
        <w:t xml:space="preserve"> draginjsk</w:t>
      </w:r>
      <w:r w:rsidR="003E305A" w:rsidRPr="00FF207E">
        <w:rPr>
          <w:rFonts w:cs="Arial"/>
          <w:szCs w:val="22"/>
          <w:lang w:val="sl-SI"/>
        </w:rPr>
        <w:t>i</w:t>
      </w:r>
      <w:r w:rsidR="00074038" w:rsidRPr="00FF207E">
        <w:rPr>
          <w:rFonts w:cs="Arial"/>
          <w:szCs w:val="22"/>
          <w:lang w:val="sl-SI"/>
        </w:rPr>
        <w:t xml:space="preserve"> dodat</w:t>
      </w:r>
      <w:r w:rsidR="003E305A" w:rsidRPr="00FF207E">
        <w:rPr>
          <w:rFonts w:cs="Arial"/>
          <w:szCs w:val="22"/>
          <w:lang w:val="sl-SI"/>
        </w:rPr>
        <w:t>ek</w:t>
      </w:r>
      <w:r w:rsidR="00074038" w:rsidRPr="00FF207E">
        <w:rPr>
          <w:rFonts w:cs="Arial"/>
          <w:szCs w:val="22"/>
          <w:lang w:val="sl-SI"/>
        </w:rPr>
        <w:t xml:space="preserve"> (glej ukrep </w:t>
      </w:r>
      <w:hyperlink w:anchor="_Dodatek_za_blaženje" w:history="1">
        <w:r w:rsidR="00074038" w:rsidRPr="00FF207E">
          <w:rPr>
            <w:rStyle w:val="Hiperpovezava"/>
            <w:rFonts w:cs="Arial"/>
            <w:szCs w:val="22"/>
            <w:lang w:val="sl-SI"/>
          </w:rPr>
          <w:t>ER_Blž-02</w:t>
        </w:r>
      </w:hyperlink>
      <w:r w:rsidR="00074038" w:rsidRPr="00FF207E">
        <w:rPr>
          <w:rFonts w:cs="Arial"/>
          <w:szCs w:val="22"/>
          <w:lang w:val="sl-SI"/>
        </w:rPr>
        <w:t>)</w:t>
      </w:r>
      <w:r w:rsidR="003E305A" w:rsidRPr="00FF207E">
        <w:rPr>
          <w:rFonts w:cs="Arial"/>
          <w:szCs w:val="22"/>
          <w:lang w:val="sl-SI"/>
        </w:rPr>
        <w:t xml:space="preserve">. </w:t>
      </w:r>
      <w:r w:rsidR="00074038" w:rsidRPr="00FF207E">
        <w:rPr>
          <w:rFonts w:cs="Arial"/>
          <w:szCs w:val="22"/>
          <w:lang w:val="sl-SI"/>
        </w:rPr>
        <w:t xml:space="preserve">Priporočamo, da se </w:t>
      </w:r>
      <w:r w:rsidR="00E70A72" w:rsidRPr="00FF207E">
        <w:rPr>
          <w:rFonts w:cs="Arial"/>
          <w:szCs w:val="22"/>
          <w:lang w:val="sl-SI"/>
        </w:rPr>
        <w:t xml:space="preserve">načini </w:t>
      </w:r>
      <w:r w:rsidR="00074038" w:rsidRPr="00FF207E">
        <w:rPr>
          <w:rFonts w:cs="Arial"/>
          <w:szCs w:val="22"/>
          <w:lang w:val="sl-SI"/>
        </w:rPr>
        <w:t>reševanj</w:t>
      </w:r>
      <w:r w:rsidR="00E70A72" w:rsidRPr="00FF207E">
        <w:rPr>
          <w:rFonts w:cs="Arial"/>
          <w:szCs w:val="22"/>
          <w:lang w:val="sl-SI"/>
        </w:rPr>
        <w:t>a</w:t>
      </w:r>
      <w:r w:rsidR="00074038" w:rsidRPr="00FF207E">
        <w:rPr>
          <w:rFonts w:cs="Arial"/>
          <w:szCs w:val="22"/>
          <w:lang w:val="sl-SI"/>
        </w:rPr>
        <w:t xml:space="preserve"> energetske draginje, kot so </w:t>
      </w:r>
      <w:r w:rsidR="00B77973" w:rsidRPr="00FF207E">
        <w:rPr>
          <w:rFonts w:cs="Arial"/>
          <w:szCs w:val="22"/>
          <w:lang w:val="sl-SI"/>
        </w:rPr>
        <w:t>na primer</w:t>
      </w:r>
      <w:r w:rsidR="00074038" w:rsidRPr="00FF207E">
        <w:rPr>
          <w:rFonts w:cs="Arial"/>
          <w:szCs w:val="22"/>
          <w:lang w:val="sl-SI"/>
        </w:rPr>
        <w:t xml:space="preserve"> </w:t>
      </w:r>
      <w:r w:rsidR="00074038" w:rsidRPr="00FF207E">
        <w:rPr>
          <w:rFonts w:cs="Arial"/>
          <w:b/>
          <w:szCs w:val="22"/>
          <w:lang w:val="sl-SI"/>
        </w:rPr>
        <w:t>nižje cene energije</w:t>
      </w:r>
      <w:r w:rsidR="00074038" w:rsidRPr="00FF207E">
        <w:rPr>
          <w:rFonts w:cs="Arial"/>
          <w:szCs w:val="22"/>
          <w:lang w:val="sl-SI"/>
        </w:rPr>
        <w:t xml:space="preserve"> (socialne tarife, oprostitev plačila nekaterih prispevkov, nižje davčne stopnje …) ali </w:t>
      </w:r>
      <w:r w:rsidR="00074038" w:rsidRPr="00FF207E">
        <w:rPr>
          <w:rFonts w:cs="Arial"/>
          <w:b/>
          <w:szCs w:val="22"/>
          <w:lang w:val="sl-SI"/>
        </w:rPr>
        <w:t>omejitev oz</w:t>
      </w:r>
      <w:r w:rsidR="00B77973" w:rsidRPr="00FF207E">
        <w:rPr>
          <w:rFonts w:cs="Arial"/>
          <w:b/>
          <w:szCs w:val="22"/>
          <w:lang w:val="sl-SI"/>
        </w:rPr>
        <w:t>iroma</w:t>
      </w:r>
      <w:r w:rsidR="00074038" w:rsidRPr="00FF207E">
        <w:rPr>
          <w:rFonts w:cs="Arial"/>
          <w:b/>
          <w:szCs w:val="22"/>
          <w:lang w:val="sl-SI"/>
        </w:rPr>
        <w:t xml:space="preserve"> regulacija najvišje cene energije</w:t>
      </w:r>
      <w:r w:rsidR="00074038" w:rsidRPr="00FF207E">
        <w:rPr>
          <w:rFonts w:cs="Arial"/>
          <w:szCs w:val="22"/>
          <w:lang w:val="sl-SI"/>
        </w:rPr>
        <w:t>, uporablja</w:t>
      </w:r>
      <w:r w:rsidR="00546B1A" w:rsidRPr="00FF207E">
        <w:rPr>
          <w:rFonts w:cs="Arial"/>
          <w:szCs w:val="22"/>
          <w:lang w:val="sl-SI"/>
        </w:rPr>
        <w:t>jo</w:t>
      </w:r>
      <w:r w:rsidR="00074038" w:rsidRPr="00FF207E">
        <w:rPr>
          <w:rFonts w:cs="Arial"/>
          <w:szCs w:val="22"/>
          <w:lang w:val="sl-SI"/>
        </w:rPr>
        <w:t xml:space="preserve"> samo kot </w:t>
      </w:r>
      <w:r w:rsidR="00074038" w:rsidRPr="00FF207E">
        <w:rPr>
          <w:rFonts w:cs="Arial"/>
          <w:b/>
          <w:szCs w:val="22"/>
          <w:lang w:val="sl-SI"/>
        </w:rPr>
        <w:t>nujen ukrep v izrednih okoliščinah za točno določeno ciljno skupino in s točno določenim, omejenim trajanjem</w:t>
      </w:r>
      <w:r w:rsidR="00074038" w:rsidRPr="00FF207E">
        <w:rPr>
          <w:rFonts w:cs="Arial"/>
          <w:szCs w:val="22"/>
          <w:lang w:val="sl-SI"/>
        </w:rPr>
        <w:t>.</w:t>
      </w:r>
    </w:p>
    <w:p w14:paraId="43A014D1" w14:textId="432FFB51" w:rsidR="00FA687E" w:rsidRPr="00FF207E" w:rsidRDefault="00FA687E" w:rsidP="001E304B">
      <w:pPr>
        <w:spacing w:after="240"/>
        <w:jc w:val="both"/>
        <w:rPr>
          <w:lang w:val="sl-SI"/>
        </w:rPr>
      </w:pPr>
      <w:r w:rsidRPr="00FF207E">
        <w:rPr>
          <w:rFonts w:cs="Arial"/>
          <w:szCs w:val="22"/>
          <w:lang w:val="sl-SI"/>
        </w:rPr>
        <w:t>Ukrep</w:t>
      </w:r>
      <w:r w:rsidR="008402BF" w:rsidRPr="00FF207E">
        <w:rPr>
          <w:rFonts w:cs="Arial"/>
          <w:szCs w:val="22"/>
          <w:lang w:val="sl-SI"/>
        </w:rPr>
        <w:t>a</w:t>
      </w:r>
      <w:r w:rsidRPr="00FF207E">
        <w:rPr>
          <w:rFonts w:cs="Arial"/>
          <w:szCs w:val="22"/>
          <w:lang w:val="sl-SI"/>
        </w:rPr>
        <w:t xml:space="preserve"> za blaženje energetske revščine</w:t>
      </w:r>
      <w:r w:rsidRPr="00FF207E">
        <w:rPr>
          <w:lang w:val="sl-SI"/>
        </w:rPr>
        <w:t xml:space="preserve"> </w:t>
      </w:r>
      <w:r w:rsidR="008402BF" w:rsidRPr="00FF207E">
        <w:rPr>
          <w:lang w:val="sl-SI"/>
        </w:rPr>
        <w:t>sta</w:t>
      </w:r>
      <w:r w:rsidRPr="00FF207E">
        <w:rPr>
          <w:lang w:val="sl-SI"/>
        </w:rPr>
        <w:t xml:space="preserve"> pregledno predstavljen</w:t>
      </w:r>
      <w:r w:rsidR="00253520" w:rsidRPr="00FF207E">
        <w:rPr>
          <w:lang w:val="sl-SI"/>
        </w:rPr>
        <w:t>a</w:t>
      </w:r>
      <w:r w:rsidRPr="00FF207E">
        <w:rPr>
          <w:lang w:val="sl-SI"/>
        </w:rPr>
        <w:t xml:space="preserve"> v tabeli (</w:t>
      </w:r>
      <w:r w:rsidRPr="00FF207E">
        <w:rPr>
          <w:lang w:val="sl-SI"/>
        </w:rPr>
        <w:fldChar w:fldCharType="begin"/>
      </w:r>
      <w:r w:rsidRPr="00FF207E">
        <w:rPr>
          <w:lang w:val="sl-SI"/>
        </w:rPr>
        <w:instrText xml:space="preserve"> REF _Ref136275089 \h </w:instrText>
      </w:r>
      <w:r w:rsidR="001E304B" w:rsidRPr="00FF207E">
        <w:rPr>
          <w:lang w:val="sl-SI"/>
        </w:rPr>
        <w:instrText xml:space="preserve"> \* MERGEFORMAT </w:instrText>
      </w:r>
      <w:r w:rsidRPr="00FF207E">
        <w:rPr>
          <w:lang w:val="sl-SI"/>
        </w:rPr>
      </w:r>
      <w:r w:rsidRPr="00FF207E">
        <w:rPr>
          <w:lang w:val="sl-SI"/>
        </w:rPr>
        <w:fldChar w:fldCharType="separate"/>
      </w:r>
      <w:r w:rsidR="00086058" w:rsidRPr="00FF207E">
        <w:rPr>
          <w:lang w:val="sl-SI"/>
        </w:rPr>
        <w:t>t</w:t>
      </w:r>
      <w:r w:rsidR="00F37FD1" w:rsidRPr="00FF207E">
        <w:rPr>
          <w:lang w:val="sl-SI"/>
        </w:rPr>
        <w:t>abela 6</w:t>
      </w:r>
      <w:r w:rsidRPr="00FF207E">
        <w:rPr>
          <w:lang w:val="sl-SI"/>
        </w:rPr>
        <w:fldChar w:fldCharType="end"/>
      </w:r>
      <w:r w:rsidRPr="00FF207E">
        <w:rPr>
          <w:lang w:val="sl-SI"/>
        </w:rPr>
        <w:t>) in nadaljevanju tega poglavja.</w:t>
      </w:r>
    </w:p>
    <w:p w14:paraId="13DC09D4" w14:textId="59E14F11" w:rsidR="00FA687E" w:rsidRPr="00FF207E" w:rsidRDefault="00FA687E" w:rsidP="001E304B">
      <w:pPr>
        <w:pStyle w:val="Table"/>
        <w:jc w:val="both"/>
      </w:pPr>
      <w:bookmarkStart w:id="104" w:name="_Ref136275089"/>
      <w:bookmarkStart w:id="105" w:name="_Toc138161836"/>
      <w:r w:rsidRPr="00FF207E">
        <w:t xml:space="preserve">Tabela </w:t>
      </w:r>
      <w:r w:rsidR="005428A9" w:rsidRPr="00FF207E">
        <w:fldChar w:fldCharType="begin"/>
      </w:r>
      <w:r w:rsidR="005428A9" w:rsidRPr="00FF207E">
        <w:instrText xml:space="preserve"> SEQ Tabela \* ARABIC </w:instrText>
      </w:r>
      <w:r w:rsidR="005428A9" w:rsidRPr="00FF207E">
        <w:fldChar w:fldCharType="separate"/>
      </w:r>
      <w:r w:rsidR="00F37FD1" w:rsidRPr="00FF207E">
        <w:t>6</w:t>
      </w:r>
      <w:r w:rsidR="005428A9" w:rsidRPr="00FF207E">
        <w:fldChar w:fldCharType="end"/>
      </w:r>
      <w:bookmarkEnd w:id="104"/>
      <w:r w:rsidRPr="00FF207E">
        <w:t>:</w:t>
      </w:r>
      <w:r w:rsidRPr="00FF207E">
        <w:tab/>
        <w:t>Ukrep</w:t>
      </w:r>
      <w:r w:rsidR="008402BF" w:rsidRPr="00FF207E">
        <w:t>a</w:t>
      </w:r>
      <w:r w:rsidRPr="00FF207E">
        <w:t xml:space="preserve"> za blaženje energetske revščine</w:t>
      </w:r>
      <w:bookmarkEnd w:id="105"/>
    </w:p>
    <w:tbl>
      <w:tblPr>
        <w:tblStyle w:val="Tabelamrea"/>
        <w:tblW w:w="0" w:type="auto"/>
        <w:tblBorders>
          <w:top w:val="none" w:sz="0" w:space="0" w:color="auto"/>
          <w:left w:val="none" w:sz="0" w:space="0" w:color="auto"/>
          <w:bottom w:val="none" w:sz="0" w:space="0" w:color="auto"/>
          <w:right w:val="none" w:sz="0" w:space="0" w:color="auto"/>
          <w:insideH w:val="single" w:sz="4" w:space="0" w:color="548DD4" w:themeColor="text2" w:themeTint="99"/>
          <w:insideV w:val="single" w:sz="4" w:space="0" w:color="548DD4" w:themeColor="text2" w:themeTint="99"/>
        </w:tblBorders>
        <w:tblLook w:val="04A0" w:firstRow="1" w:lastRow="0" w:firstColumn="1" w:lastColumn="0" w:noHBand="0" w:noVBand="1"/>
      </w:tblPr>
      <w:tblGrid>
        <w:gridCol w:w="1418"/>
        <w:gridCol w:w="3362"/>
        <w:gridCol w:w="1410"/>
        <w:gridCol w:w="1410"/>
        <w:gridCol w:w="1472"/>
      </w:tblGrid>
      <w:tr w:rsidR="00FA687E" w:rsidRPr="00FF207E" w14:paraId="5391EFC5" w14:textId="77777777" w:rsidTr="00FA687E">
        <w:trPr>
          <w:tblHeader/>
        </w:trPr>
        <w:tc>
          <w:tcPr>
            <w:tcW w:w="1418" w:type="dxa"/>
            <w:shd w:val="clear" w:color="auto" w:fill="548DD4" w:themeFill="text2" w:themeFillTint="99"/>
            <w:vAlign w:val="center"/>
          </w:tcPr>
          <w:p w14:paraId="4F65A25F" w14:textId="77777777" w:rsidR="00FA687E" w:rsidRPr="00FF207E" w:rsidRDefault="00FA687E"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Oznaka ukrepa</w:t>
            </w:r>
          </w:p>
        </w:tc>
        <w:tc>
          <w:tcPr>
            <w:tcW w:w="3362" w:type="dxa"/>
            <w:shd w:val="clear" w:color="auto" w:fill="548DD4" w:themeFill="text2" w:themeFillTint="99"/>
            <w:vAlign w:val="center"/>
          </w:tcPr>
          <w:p w14:paraId="09130050" w14:textId="77777777" w:rsidR="00FA687E" w:rsidRPr="00FF207E" w:rsidRDefault="00FA687E"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Ime ukrepa</w:t>
            </w:r>
          </w:p>
        </w:tc>
        <w:tc>
          <w:tcPr>
            <w:tcW w:w="1410" w:type="dxa"/>
            <w:shd w:val="clear" w:color="auto" w:fill="548DD4" w:themeFill="text2" w:themeFillTint="99"/>
            <w:vAlign w:val="center"/>
          </w:tcPr>
          <w:p w14:paraId="38FFC2D2" w14:textId="77777777" w:rsidR="00FA687E" w:rsidRPr="00FF207E" w:rsidRDefault="00FA687E"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Status ukrepa</w:t>
            </w:r>
          </w:p>
        </w:tc>
        <w:tc>
          <w:tcPr>
            <w:tcW w:w="1410" w:type="dxa"/>
            <w:shd w:val="clear" w:color="auto" w:fill="548DD4" w:themeFill="text2" w:themeFillTint="99"/>
            <w:vAlign w:val="center"/>
          </w:tcPr>
          <w:p w14:paraId="46E1D040" w14:textId="77777777" w:rsidR="00FA687E" w:rsidRPr="00FF207E" w:rsidRDefault="00FA687E"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Vrsta ukrepa</w:t>
            </w:r>
          </w:p>
        </w:tc>
        <w:tc>
          <w:tcPr>
            <w:tcW w:w="1472" w:type="dxa"/>
            <w:shd w:val="clear" w:color="auto" w:fill="548DD4" w:themeFill="text2" w:themeFillTint="99"/>
            <w:vAlign w:val="center"/>
          </w:tcPr>
          <w:p w14:paraId="5FFEF88C" w14:textId="77777777" w:rsidR="00FA687E" w:rsidRPr="00FF207E" w:rsidRDefault="00FA687E" w:rsidP="001E304B">
            <w:pPr>
              <w:spacing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Odgovornost</w:t>
            </w:r>
          </w:p>
        </w:tc>
      </w:tr>
      <w:tr w:rsidR="00FA687E" w:rsidRPr="00FF207E" w14:paraId="5B49D9F9" w14:textId="77777777" w:rsidTr="00FA687E">
        <w:tc>
          <w:tcPr>
            <w:tcW w:w="1418" w:type="dxa"/>
            <w:tcBorders>
              <w:bottom w:val="single" w:sz="4" w:space="0" w:color="548DD4" w:themeColor="text2" w:themeTint="99"/>
            </w:tcBorders>
            <w:shd w:val="clear" w:color="auto" w:fill="FDE9D9" w:themeFill="accent6" w:themeFillTint="33"/>
            <w:vAlign w:val="center"/>
          </w:tcPr>
          <w:p w14:paraId="10AF1121" w14:textId="77777777" w:rsidR="00FA687E" w:rsidRPr="00FF207E" w:rsidRDefault="00FA687E" w:rsidP="001E304B">
            <w:pPr>
              <w:spacing w:line="240" w:lineRule="auto"/>
              <w:jc w:val="both"/>
              <w:rPr>
                <w:rFonts w:cs="Arial"/>
                <w:b/>
                <w:sz w:val="18"/>
                <w:szCs w:val="18"/>
                <w:lang w:val="sl-SI"/>
              </w:rPr>
            </w:pPr>
            <w:r w:rsidRPr="00FF207E">
              <w:rPr>
                <w:rFonts w:cs="Arial"/>
                <w:b/>
                <w:sz w:val="18"/>
                <w:szCs w:val="18"/>
                <w:lang w:val="sl-SI"/>
              </w:rPr>
              <w:t>ER_Blž-01</w:t>
            </w:r>
          </w:p>
        </w:tc>
        <w:tc>
          <w:tcPr>
            <w:tcW w:w="3362" w:type="dxa"/>
            <w:tcBorders>
              <w:bottom w:val="single" w:sz="4" w:space="0" w:color="548DD4" w:themeColor="text2" w:themeTint="99"/>
            </w:tcBorders>
            <w:vAlign w:val="center"/>
          </w:tcPr>
          <w:p w14:paraId="2730CDD2" w14:textId="32D7D741" w:rsidR="00FA687E" w:rsidRPr="00FF207E" w:rsidRDefault="005428A9" w:rsidP="001E304B">
            <w:pPr>
              <w:spacing w:line="240" w:lineRule="auto"/>
              <w:jc w:val="both"/>
              <w:rPr>
                <w:rStyle w:val="Hiperpovezava"/>
                <w:rFonts w:cs="Arial"/>
                <w:bCs/>
                <w:color w:val="4F81BD" w:themeColor="accent1"/>
                <w:sz w:val="18"/>
                <w:szCs w:val="18"/>
                <w:lang w:val="sl-SI"/>
              </w:rPr>
            </w:pPr>
            <w:hyperlink w:anchor="_Denarna_pomoč_CSD_2" w:history="1">
              <w:r w:rsidR="00081D6C" w:rsidRPr="00FF207E">
                <w:rPr>
                  <w:rStyle w:val="Hiperpovezava"/>
                  <w:rFonts w:cs="Arial"/>
                  <w:bCs/>
                  <w:color w:val="4F81BD" w:themeColor="accent1"/>
                  <w:sz w:val="18"/>
                  <w:szCs w:val="18"/>
                  <w:lang w:val="sl-SI"/>
                </w:rPr>
                <w:t>Denarna pomoč CSD pri plačilu stroškov energije</w:t>
              </w:r>
            </w:hyperlink>
            <w:r w:rsidR="00081D6C" w:rsidRPr="00FF207E">
              <w:rPr>
                <w:rStyle w:val="Hiperpovezava"/>
                <w:rFonts w:cs="Arial"/>
                <w:bCs/>
                <w:color w:val="4F81BD" w:themeColor="accent1"/>
                <w:sz w:val="18"/>
                <w:szCs w:val="18"/>
                <w:lang w:val="sl-SI"/>
              </w:rPr>
              <w:t xml:space="preserve"> </w:t>
            </w:r>
          </w:p>
        </w:tc>
        <w:tc>
          <w:tcPr>
            <w:tcW w:w="1410" w:type="dxa"/>
            <w:tcBorders>
              <w:bottom w:val="single" w:sz="4" w:space="0" w:color="548DD4" w:themeColor="text2" w:themeTint="99"/>
            </w:tcBorders>
            <w:vAlign w:val="center"/>
          </w:tcPr>
          <w:p w14:paraId="1654B8EC" w14:textId="22C92D51" w:rsidR="00FA687E" w:rsidRPr="00FF207E" w:rsidRDefault="00736A5E" w:rsidP="001E304B">
            <w:pPr>
              <w:spacing w:line="240" w:lineRule="auto"/>
              <w:jc w:val="both"/>
              <w:rPr>
                <w:rFonts w:cs="Arial"/>
                <w:sz w:val="18"/>
                <w:szCs w:val="18"/>
                <w:lang w:val="sl-SI"/>
              </w:rPr>
            </w:pPr>
            <w:r w:rsidRPr="00FF207E">
              <w:rPr>
                <w:rFonts w:cs="Arial"/>
                <w:sz w:val="18"/>
                <w:szCs w:val="18"/>
                <w:lang w:val="sl-SI"/>
              </w:rPr>
              <w:t xml:space="preserve">veljaven </w:t>
            </w:r>
            <w:r w:rsidR="00FA687E" w:rsidRPr="00FF207E">
              <w:rPr>
                <w:rFonts w:cs="Arial"/>
                <w:sz w:val="18"/>
                <w:szCs w:val="18"/>
                <w:lang w:val="sl-SI"/>
              </w:rPr>
              <w:t>ukrep z nadgradnjo</w:t>
            </w:r>
          </w:p>
        </w:tc>
        <w:tc>
          <w:tcPr>
            <w:tcW w:w="1410" w:type="dxa"/>
            <w:tcBorders>
              <w:bottom w:val="single" w:sz="4" w:space="0" w:color="548DD4" w:themeColor="text2" w:themeTint="99"/>
            </w:tcBorders>
            <w:vAlign w:val="center"/>
          </w:tcPr>
          <w:p w14:paraId="4B470216" w14:textId="77777777" w:rsidR="00FA687E" w:rsidRPr="00FF207E" w:rsidRDefault="00FA687E" w:rsidP="001E304B">
            <w:pPr>
              <w:spacing w:line="240" w:lineRule="auto"/>
              <w:jc w:val="both"/>
              <w:rPr>
                <w:rFonts w:cs="Arial"/>
                <w:sz w:val="18"/>
                <w:szCs w:val="18"/>
                <w:lang w:val="sl-SI"/>
              </w:rPr>
            </w:pPr>
            <w:r w:rsidRPr="00FF207E">
              <w:rPr>
                <w:rFonts w:cs="Arial"/>
                <w:sz w:val="18"/>
                <w:szCs w:val="18"/>
                <w:lang w:val="sl-SI"/>
              </w:rPr>
              <w:t>ekonomski</w:t>
            </w:r>
          </w:p>
        </w:tc>
        <w:tc>
          <w:tcPr>
            <w:tcW w:w="1472" w:type="dxa"/>
            <w:tcBorders>
              <w:bottom w:val="single" w:sz="4" w:space="0" w:color="548DD4" w:themeColor="text2" w:themeTint="99"/>
            </w:tcBorders>
            <w:vAlign w:val="center"/>
          </w:tcPr>
          <w:p w14:paraId="7E27E359" w14:textId="77777777" w:rsidR="00FA687E" w:rsidRPr="00FF207E" w:rsidRDefault="00FA687E" w:rsidP="001E304B">
            <w:pPr>
              <w:spacing w:line="240" w:lineRule="auto"/>
              <w:jc w:val="both"/>
              <w:rPr>
                <w:rFonts w:cs="Arial"/>
                <w:sz w:val="18"/>
                <w:szCs w:val="18"/>
                <w:lang w:val="sl-SI"/>
              </w:rPr>
            </w:pPr>
            <w:r w:rsidRPr="00FF207E">
              <w:rPr>
                <w:rFonts w:cs="Arial"/>
                <w:sz w:val="18"/>
                <w:szCs w:val="18"/>
                <w:lang w:val="sl-SI"/>
              </w:rPr>
              <w:t>MDDSZ</w:t>
            </w:r>
          </w:p>
        </w:tc>
      </w:tr>
      <w:tr w:rsidR="00FA687E" w:rsidRPr="00FF207E" w14:paraId="190F4740" w14:textId="77777777" w:rsidTr="00FA687E">
        <w:tc>
          <w:tcPr>
            <w:tcW w:w="1418" w:type="dxa"/>
            <w:tcBorders>
              <w:top w:val="single" w:sz="4" w:space="0" w:color="548DD4" w:themeColor="text2" w:themeTint="99"/>
              <w:bottom w:val="single" w:sz="4" w:space="0" w:color="548DD4" w:themeColor="text2" w:themeTint="99"/>
            </w:tcBorders>
            <w:shd w:val="clear" w:color="auto" w:fill="FDE9D9" w:themeFill="accent6" w:themeFillTint="33"/>
            <w:vAlign w:val="center"/>
          </w:tcPr>
          <w:p w14:paraId="3B3BFD0C" w14:textId="77777777" w:rsidR="00FA687E" w:rsidRPr="00FF207E" w:rsidRDefault="00FA687E" w:rsidP="001E304B">
            <w:pPr>
              <w:spacing w:line="240" w:lineRule="auto"/>
              <w:jc w:val="both"/>
              <w:rPr>
                <w:rFonts w:cs="Arial"/>
                <w:b/>
                <w:sz w:val="18"/>
                <w:szCs w:val="18"/>
                <w:lang w:val="sl-SI"/>
              </w:rPr>
            </w:pPr>
            <w:r w:rsidRPr="00FF207E">
              <w:rPr>
                <w:rFonts w:cs="Arial"/>
                <w:b/>
                <w:sz w:val="18"/>
                <w:szCs w:val="18"/>
                <w:lang w:val="sl-SI"/>
              </w:rPr>
              <w:t>ER_Blž-02</w:t>
            </w:r>
          </w:p>
        </w:tc>
        <w:tc>
          <w:tcPr>
            <w:tcW w:w="3362" w:type="dxa"/>
            <w:tcBorders>
              <w:top w:val="single" w:sz="4" w:space="0" w:color="548DD4" w:themeColor="text2" w:themeTint="99"/>
              <w:bottom w:val="single" w:sz="4" w:space="0" w:color="548DD4" w:themeColor="text2" w:themeTint="99"/>
            </w:tcBorders>
            <w:vAlign w:val="center"/>
          </w:tcPr>
          <w:p w14:paraId="07679C2A" w14:textId="1D69A9FD" w:rsidR="00FA687E" w:rsidRPr="00FF207E" w:rsidRDefault="005428A9" w:rsidP="001E304B">
            <w:pPr>
              <w:spacing w:line="240" w:lineRule="auto"/>
              <w:jc w:val="both"/>
              <w:rPr>
                <w:rStyle w:val="Hiperpovezava"/>
                <w:bCs/>
                <w:color w:val="4F81BD" w:themeColor="accent1"/>
                <w:lang w:val="sl-SI"/>
              </w:rPr>
            </w:pPr>
            <w:hyperlink w:anchor="_Dodatek_za_blaženje" w:history="1">
              <w:r w:rsidR="00081D6C" w:rsidRPr="00FF207E">
                <w:rPr>
                  <w:rStyle w:val="Hiperpovezava"/>
                  <w:rFonts w:cs="Arial"/>
                  <w:bCs/>
                  <w:color w:val="4F81BD" w:themeColor="accent1"/>
                  <w:sz w:val="18"/>
                  <w:szCs w:val="18"/>
                  <w:lang w:val="sl-SI"/>
                </w:rPr>
                <w:t>Dodatek za blaženje energetske revščine, tudi draginjski dodatek</w:t>
              </w:r>
            </w:hyperlink>
            <w:r w:rsidR="00081D6C" w:rsidRPr="00FF207E">
              <w:rPr>
                <w:rStyle w:val="Hiperpovezava"/>
                <w:bCs/>
                <w:color w:val="4F81BD" w:themeColor="accent1"/>
                <w:lang w:val="sl-SI"/>
              </w:rPr>
              <w:t xml:space="preserve"> </w:t>
            </w:r>
          </w:p>
        </w:tc>
        <w:tc>
          <w:tcPr>
            <w:tcW w:w="1410" w:type="dxa"/>
            <w:tcBorders>
              <w:top w:val="single" w:sz="4" w:space="0" w:color="548DD4" w:themeColor="text2" w:themeTint="99"/>
              <w:bottom w:val="single" w:sz="4" w:space="0" w:color="548DD4" w:themeColor="text2" w:themeTint="99"/>
            </w:tcBorders>
            <w:vAlign w:val="center"/>
          </w:tcPr>
          <w:p w14:paraId="2CDEB2D4" w14:textId="77777777" w:rsidR="00FA687E" w:rsidRPr="00FF207E" w:rsidRDefault="00FA687E" w:rsidP="001E304B">
            <w:pPr>
              <w:spacing w:line="240" w:lineRule="auto"/>
              <w:jc w:val="both"/>
              <w:rPr>
                <w:rFonts w:cs="Arial"/>
                <w:sz w:val="18"/>
                <w:szCs w:val="18"/>
                <w:lang w:val="sl-SI"/>
              </w:rPr>
            </w:pPr>
            <w:r w:rsidRPr="00FF207E">
              <w:rPr>
                <w:rFonts w:cs="Arial"/>
                <w:sz w:val="18"/>
                <w:szCs w:val="18"/>
                <w:lang w:val="sl-SI"/>
              </w:rPr>
              <w:t>izredni ukrep</w:t>
            </w:r>
          </w:p>
        </w:tc>
        <w:tc>
          <w:tcPr>
            <w:tcW w:w="1410" w:type="dxa"/>
            <w:tcBorders>
              <w:top w:val="single" w:sz="4" w:space="0" w:color="548DD4" w:themeColor="text2" w:themeTint="99"/>
              <w:bottom w:val="single" w:sz="4" w:space="0" w:color="548DD4" w:themeColor="text2" w:themeTint="99"/>
            </w:tcBorders>
            <w:vAlign w:val="center"/>
          </w:tcPr>
          <w:p w14:paraId="767F3200" w14:textId="77777777" w:rsidR="00FA687E" w:rsidRPr="00FF207E" w:rsidRDefault="00FA687E" w:rsidP="001E304B">
            <w:pPr>
              <w:spacing w:line="240" w:lineRule="auto"/>
              <w:jc w:val="both"/>
              <w:rPr>
                <w:rFonts w:cs="Arial"/>
                <w:sz w:val="18"/>
                <w:szCs w:val="18"/>
                <w:lang w:val="sl-SI"/>
              </w:rPr>
            </w:pPr>
            <w:r w:rsidRPr="00FF207E">
              <w:rPr>
                <w:rFonts w:cs="Arial"/>
                <w:sz w:val="18"/>
                <w:szCs w:val="18"/>
                <w:lang w:val="sl-SI"/>
              </w:rPr>
              <w:t>ekonomski</w:t>
            </w:r>
          </w:p>
        </w:tc>
        <w:tc>
          <w:tcPr>
            <w:tcW w:w="1472" w:type="dxa"/>
            <w:tcBorders>
              <w:top w:val="single" w:sz="4" w:space="0" w:color="548DD4" w:themeColor="text2" w:themeTint="99"/>
              <w:bottom w:val="single" w:sz="4" w:space="0" w:color="548DD4" w:themeColor="text2" w:themeTint="99"/>
            </w:tcBorders>
            <w:vAlign w:val="center"/>
          </w:tcPr>
          <w:p w14:paraId="08AE12AE" w14:textId="607C6CEB" w:rsidR="00FA687E" w:rsidRPr="00FF207E" w:rsidRDefault="00FA687E" w:rsidP="001E304B">
            <w:pPr>
              <w:spacing w:line="240" w:lineRule="auto"/>
              <w:jc w:val="both"/>
              <w:rPr>
                <w:rFonts w:cs="Arial"/>
                <w:sz w:val="18"/>
                <w:szCs w:val="18"/>
                <w:lang w:val="sl-SI"/>
              </w:rPr>
            </w:pPr>
            <w:r w:rsidRPr="00FF207E">
              <w:rPr>
                <w:rFonts w:cs="Arial"/>
                <w:sz w:val="18"/>
                <w:szCs w:val="18"/>
                <w:lang w:val="sl-SI"/>
              </w:rPr>
              <w:t>MDDSZ, MOPE</w:t>
            </w:r>
          </w:p>
        </w:tc>
      </w:tr>
    </w:tbl>
    <w:p w14:paraId="24F42B20" w14:textId="2EDCD168" w:rsidR="003800A0" w:rsidRPr="00FF207E" w:rsidRDefault="00F058C9" w:rsidP="00950C97">
      <w:pPr>
        <w:pStyle w:val="Naslov2"/>
        <w:numPr>
          <w:ilvl w:val="1"/>
          <w:numId w:val="2"/>
        </w:numPr>
        <w:jc w:val="both"/>
        <w:rPr>
          <w:lang w:val="sl-SI"/>
        </w:rPr>
      </w:pPr>
      <w:bookmarkStart w:id="106" w:name="_Denarna_pomoč_CSD_1"/>
      <w:bookmarkStart w:id="107" w:name="_Toc151148806"/>
      <w:bookmarkEnd w:id="106"/>
      <w:r w:rsidRPr="00FF207E">
        <w:rPr>
          <w:lang w:val="sl-SI"/>
        </w:rPr>
        <w:t>D</w:t>
      </w:r>
      <w:r w:rsidR="003800A0" w:rsidRPr="00FF207E">
        <w:rPr>
          <w:lang w:val="sl-SI"/>
        </w:rPr>
        <w:t>enarna pomoč CSD pri plačilu stroškov energije</w:t>
      </w:r>
      <w:bookmarkEnd w:id="107"/>
    </w:p>
    <w:tbl>
      <w:tblPr>
        <w:tblStyle w:val="Tabelamrea"/>
        <w:tblW w:w="0" w:type="auto"/>
        <w:tblLook w:val="04A0" w:firstRow="1" w:lastRow="0" w:firstColumn="1" w:lastColumn="0" w:noHBand="0" w:noVBand="1"/>
      </w:tblPr>
      <w:tblGrid>
        <w:gridCol w:w="567"/>
        <w:gridCol w:w="2405"/>
        <w:gridCol w:w="6090"/>
      </w:tblGrid>
      <w:tr w:rsidR="00D23F26" w:rsidRPr="00FF207E" w14:paraId="36CB5B83" w14:textId="77777777" w:rsidTr="007D7A94">
        <w:tc>
          <w:tcPr>
            <w:tcW w:w="2972" w:type="dxa"/>
            <w:gridSpan w:val="2"/>
            <w:tcBorders>
              <w:top w:val="nil"/>
              <w:left w:val="nil"/>
              <w:bottom w:val="nil"/>
              <w:right w:val="single" w:sz="4" w:space="0" w:color="548DD4" w:themeColor="text2" w:themeTint="99"/>
            </w:tcBorders>
            <w:shd w:val="clear" w:color="auto" w:fill="548DD4" w:themeFill="text2" w:themeFillTint="99"/>
            <w:vAlign w:val="center"/>
          </w:tcPr>
          <w:p w14:paraId="75D25281" w14:textId="312B0B7D" w:rsidR="00D23F26" w:rsidRPr="00FF207E" w:rsidRDefault="00D23F26" w:rsidP="001E304B">
            <w:pPr>
              <w:spacing w:before="40" w:after="40"/>
              <w:jc w:val="both"/>
              <w:rPr>
                <w:rFonts w:cs="Arial"/>
                <w:b/>
                <w:color w:val="FFFFFF" w:themeColor="background1"/>
                <w:lang w:val="sl-SI"/>
              </w:rPr>
            </w:pPr>
            <w:r w:rsidRPr="00FF207E">
              <w:rPr>
                <w:rFonts w:cs="Arial"/>
                <w:b/>
                <w:color w:val="FFFFFF" w:themeColor="background1"/>
                <w:lang w:val="sl-SI"/>
              </w:rPr>
              <w:t>ER_Blž-01</w:t>
            </w:r>
          </w:p>
        </w:tc>
        <w:tc>
          <w:tcPr>
            <w:tcW w:w="6090" w:type="dxa"/>
            <w:tcBorders>
              <w:top w:val="nil"/>
              <w:left w:val="single" w:sz="4" w:space="0" w:color="548DD4" w:themeColor="text2" w:themeTint="99"/>
              <w:bottom w:val="nil"/>
              <w:right w:val="nil"/>
            </w:tcBorders>
            <w:shd w:val="clear" w:color="auto" w:fill="548DD4" w:themeFill="text2" w:themeFillTint="99"/>
            <w:vAlign w:val="center"/>
          </w:tcPr>
          <w:p w14:paraId="20B40FB5" w14:textId="38EEADD9" w:rsidR="00D23F26" w:rsidRPr="00FF207E" w:rsidRDefault="00F058C9" w:rsidP="001E304B">
            <w:pPr>
              <w:pStyle w:val="Naslov5"/>
              <w:jc w:val="both"/>
              <w:rPr>
                <w:spacing w:val="-2"/>
              </w:rPr>
            </w:pPr>
            <w:bookmarkStart w:id="108" w:name="_Denarna_pomoč_CSD_2"/>
            <w:bookmarkStart w:id="109" w:name="_Ref120100223"/>
            <w:bookmarkEnd w:id="108"/>
            <w:r w:rsidRPr="00FF207E">
              <w:rPr>
                <w:spacing w:val="-2"/>
              </w:rPr>
              <w:t>D</w:t>
            </w:r>
            <w:r w:rsidR="00D23F26" w:rsidRPr="00FF207E">
              <w:rPr>
                <w:spacing w:val="-2"/>
              </w:rPr>
              <w:t>enarna pomoč CSD pri plačilu stroškov energije</w:t>
            </w:r>
            <w:bookmarkEnd w:id="109"/>
          </w:p>
        </w:tc>
      </w:tr>
      <w:tr w:rsidR="00D23F26" w:rsidRPr="00FF207E" w14:paraId="516AB925" w14:textId="77777777" w:rsidTr="007D7A94">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32827261" w14:textId="77777777" w:rsidR="00D23F26" w:rsidRPr="00FF207E" w:rsidRDefault="00D23F26" w:rsidP="001E304B">
            <w:pPr>
              <w:spacing w:before="60" w:after="60" w:line="240" w:lineRule="atLeast"/>
              <w:jc w:val="both"/>
              <w:rPr>
                <w:rFonts w:cs="Arial"/>
                <w:b/>
                <w:szCs w:val="22"/>
                <w:lang w:val="sl-SI"/>
              </w:rPr>
            </w:pPr>
            <w:r w:rsidRPr="00FF207E">
              <w:rPr>
                <w:rFonts w:cs="Arial"/>
                <w:b/>
                <w:szCs w:val="22"/>
                <w:lang w:val="sl-SI"/>
              </w:rPr>
              <w:t>Osnovne informacije</w:t>
            </w:r>
          </w:p>
        </w:tc>
      </w:tr>
      <w:tr w:rsidR="00D23F26" w:rsidRPr="00FF207E" w14:paraId="67AB870E" w14:textId="77777777" w:rsidTr="00C24955">
        <w:tc>
          <w:tcPr>
            <w:tcW w:w="2972" w:type="dxa"/>
            <w:gridSpan w:val="2"/>
            <w:tcBorders>
              <w:top w:val="nil"/>
              <w:left w:val="nil"/>
              <w:bottom w:val="single" w:sz="4" w:space="0" w:color="548DD4" w:themeColor="text2" w:themeTint="99"/>
              <w:right w:val="single" w:sz="4" w:space="0" w:color="548DD4" w:themeColor="text2" w:themeTint="99"/>
            </w:tcBorders>
          </w:tcPr>
          <w:p w14:paraId="064DAC58" w14:textId="77777777" w:rsidR="00D23F26" w:rsidRPr="00FF207E" w:rsidRDefault="00D23F26" w:rsidP="001E304B">
            <w:pPr>
              <w:spacing w:line="240" w:lineRule="atLeast"/>
              <w:jc w:val="both"/>
              <w:rPr>
                <w:rFonts w:cs="Arial"/>
                <w:spacing w:val="-4"/>
                <w:sz w:val="20"/>
                <w:szCs w:val="20"/>
                <w:lang w:val="sl-SI"/>
              </w:rPr>
            </w:pPr>
            <w:r w:rsidRPr="00FF207E">
              <w:rPr>
                <w:rFonts w:cs="Arial"/>
                <w:spacing w:val="-4"/>
                <w:sz w:val="20"/>
                <w:szCs w:val="20"/>
                <w:lang w:val="sl-SI"/>
              </w:rPr>
              <w:t>Odgovornost za izvedbo ukrepa</w:t>
            </w:r>
          </w:p>
        </w:tc>
        <w:tc>
          <w:tcPr>
            <w:tcW w:w="6090" w:type="dxa"/>
            <w:tcBorders>
              <w:top w:val="nil"/>
              <w:left w:val="single" w:sz="4" w:space="0" w:color="548DD4" w:themeColor="text2" w:themeTint="99"/>
              <w:bottom w:val="single" w:sz="4" w:space="0" w:color="548DD4" w:themeColor="text2" w:themeTint="99"/>
              <w:right w:val="nil"/>
            </w:tcBorders>
          </w:tcPr>
          <w:p w14:paraId="6CD94EA8" w14:textId="782C0DB2" w:rsidR="00D23F26" w:rsidRPr="00FF207E" w:rsidRDefault="00D23F26" w:rsidP="001E304B">
            <w:pPr>
              <w:spacing w:line="240" w:lineRule="atLeast"/>
              <w:jc w:val="both"/>
              <w:rPr>
                <w:rFonts w:cs="Arial"/>
                <w:sz w:val="20"/>
                <w:szCs w:val="20"/>
                <w:lang w:val="sl-SI"/>
              </w:rPr>
            </w:pPr>
            <w:r w:rsidRPr="00FF207E">
              <w:rPr>
                <w:rFonts w:cs="Arial"/>
                <w:sz w:val="20"/>
                <w:szCs w:val="20"/>
                <w:lang w:val="sl-SI"/>
              </w:rPr>
              <w:t>MDDSZ</w:t>
            </w:r>
          </w:p>
        </w:tc>
      </w:tr>
      <w:tr w:rsidR="00D23F26" w:rsidRPr="00FF207E" w14:paraId="5A4279E5" w14:textId="77777777" w:rsidTr="00C24955">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3A690006" w14:textId="77777777" w:rsidR="00D23F26" w:rsidRPr="00FF207E" w:rsidRDefault="00D23F26"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932BB25" w14:textId="1ADC3C91" w:rsidR="00D23F26" w:rsidRPr="00FF207E" w:rsidRDefault="00D23F26" w:rsidP="001E304B">
            <w:pPr>
              <w:spacing w:line="240" w:lineRule="atLeast"/>
              <w:jc w:val="both"/>
              <w:rPr>
                <w:rFonts w:cs="Arial"/>
                <w:sz w:val="20"/>
                <w:szCs w:val="20"/>
                <w:lang w:val="sl-SI"/>
              </w:rPr>
            </w:pPr>
            <w:r w:rsidRPr="00FF207E">
              <w:rPr>
                <w:rFonts w:cs="Arial"/>
                <w:sz w:val="20"/>
                <w:szCs w:val="20"/>
                <w:lang w:val="sl-SI"/>
              </w:rPr>
              <w:t>CSD</w:t>
            </w:r>
            <w:r w:rsidR="003C2A52" w:rsidRPr="00FF207E">
              <w:rPr>
                <w:rFonts w:cs="Arial"/>
                <w:sz w:val="20"/>
                <w:szCs w:val="20"/>
                <w:lang w:val="sl-SI"/>
              </w:rPr>
              <w:t xml:space="preserve">, MOPE, </w:t>
            </w:r>
            <w:proofErr w:type="spellStart"/>
            <w:r w:rsidR="003C2A52" w:rsidRPr="00FF207E">
              <w:rPr>
                <w:rFonts w:cs="Arial"/>
                <w:sz w:val="20"/>
                <w:szCs w:val="20"/>
                <w:lang w:val="sl-SI"/>
              </w:rPr>
              <w:t>Eko</w:t>
            </w:r>
            <w:proofErr w:type="spellEnd"/>
            <w:r w:rsidR="003C2A52" w:rsidRPr="00FF207E">
              <w:rPr>
                <w:rFonts w:cs="Arial"/>
                <w:sz w:val="20"/>
                <w:szCs w:val="20"/>
                <w:lang w:val="sl-SI"/>
              </w:rPr>
              <w:t xml:space="preserve"> sklad</w:t>
            </w:r>
            <w:r w:rsidR="00801298" w:rsidRPr="00FF207E">
              <w:rPr>
                <w:rFonts w:cs="Arial"/>
                <w:sz w:val="20"/>
                <w:szCs w:val="20"/>
                <w:lang w:val="sl-SI"/>
              </w:rPr>
              <w:t>, neformalna mreža za informiranje in ozaveščanje</w:t>
            </w:r>
          </w:p>
        </w:tc>
      </w:tr>
      <w:tr w:rsidR="00D23F26" w:rsidRPr="00FF207E" w14:paraId="6CCA68B6" w14:textId="77777777" w:rsidTr="00C24955">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434B1EE8" w14:textId="77777777" w:rsidR="00D23F26" w:rsidRPr="00FF207E" w:rsidRDefault="00D23F26" w:rsidP="001E304B">
            <w:pPr>
              <w:spacing w:line="240" w:lineRule="atLeast"/>
              <w:jc w:val="both"/>
              <w:rPr>
                <w:rFonts w:cs="Arial"/>
                <w:sz w:val="20"/>
                <w:szCs w:val="20"/>
                <w:lang w:val="sl-SI"/>
              </w:rPr>
            </w:pPr>
            <w:r w:rsidRPr="00FF207E">
              <w:rPr>
                <w:rFonts w:cs="Arial"/>
                <w:sz w:val="20"/>
                <w:szCs w:val="20"/>
                <w:lang w:val="sl-SI"/>
              </w:rPr>
              <w:t>Strateške podlage in njihova veljavnost</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3A4E66CC" w14:textId="729F028F" w:rsidR="00D23F26" w:rsidRPr="00FF207E" w:rsidRDefault="00D23F26" w:rsidP="001E304B">
            <w:pPr>
              <w:spacing w:line="240" w:lineRule="atLeast"/>
              <w:jc w:val="both"/>
              <w:rPr>
                <w:rFonts w:cs="Arial"/>
                <w:sz w:val="20"/>
                <w:szCs w:val="20"/>
                <w:lang w:val="sl-SI"/>
              </w:rPr>
            </w:pPr>
            <w:r w:rsidRPr="00FF207E">
              <w:rPr>
                <w:rFonts w:cs="Arial"/>
                <w:bCs/>
                <w:kern w:val="36"/>
                <w:sz w:val="20"/>
                <w:szCs w:val="20"/>
                <w:lang w:val="sl-SI"/>
              </w:rPr>
              <w:t xml:space="preserve">Zakon o socialno varstvenih prejemkih </w:t>
            </w:r>
            <w:r w:rsidRPr="00FF207E">
              <w:rPr>
                <w:rFonts w:cs="Arial"/>
                <w:kern w:val="36"/>
                <w:sz w:val="20"/>
                <w:szCs w:val="20"/>
                <w:lang w:val="sl-SI"/>
              </w:rPr>
              <w:t>(</w:t>
            </w:r>
            <w:r w:rsidRPr="00FF207E">
              <w:rPr>
                <w:rFonts w:cs="Arial"/>
                <w:bCs/>
                <w:kern w:val="36"/>
                <w:sz w:val="20"/>
                <w:szCs w:val="20"/>
                <w:lang w:val="sl-SI"/>
              </w:rPr>
              <w:t>ZSVarPre-NPB4</w:t>
            </w:r>
            <w:r w:rsidRPr="00FF207E">
              <w:rPr>
                <w:rFonts w:cs="Arial"/>
                <w:kern w:val="36"/>
                <w:sz w:val="20"/>
                <w:szCs w:val="20"/>
                <w:lang w:val="sl-SI"/>
              </w:rPr>
              <w:t>), 32.−34. člen, 49.−53. člen</w:t>
            </w:r>
          </w:p>
        </w:tc>
      </w:tr>
      <w:tr w:rsidR="00D23F26" w:rsidRPr="00FF207E" w14:paraId="162066B6" w14:textId="77777777" w:rsidTr="00C24955">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C200EB2" w14:textId="77777777" w:rsidR="00D23F26" w:rsidRPr="00FF207E" w:rsidRDefault="00D23F26" w:rsidP="001E304B">
            <w:pPr>
              <w:spacing w:line="240" w:lineRule="atLeast"/>
              <w:jc w:val="both"/>
              <w:rPr>
                <w:rFonts w:cs="Arial"/>
                <w:sz w:val="20"/>
                <w:szCs w:val="20"/>
                <w:lang w:val="sl-SI"/>
              </w:rPr>
            </w:pPr>
            <w:r w:rsidRPr="00FF207E">
              <w:rPr>
                <w:rFonts w:cs="Arial"/>
                <w:sz w:val="20"/>
                <w:szCs w:val="20"/>
                <w:lang w:val="sl-SI"/>
              </w:rPr>
              <w:t>Veljavnost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4E090D0" w14:textId="7557C52F" w:rsidR="00D23F26" w:rsidRPr="00FF207E" w:rsidRDefault="00D23F26" w:rsidP="001E304B">
            <w:pPr>
              <w:spacing w:line="240" w:lineRule="atLeast"/>
              <w:jc w:val="both"/>
              <w:rPr>
                <w:rFonts w:cs="Arial"/>
                <w:sz w:val="20"/>
                <w:szCs w:val="20"/>
                <w:lang w:val="sl-SI"/>
              </w:rPr>
            </w:pPr>
            <w:r w:rsidRPr="00FF207E">
              <w:rPr>
                <w:rFonts w:cs="Arial"/>
                <w:sz w:val="20"/>
                <w:szCs w:val="20"/>
                <w:lang w:val="sl-SI"/>
              </w:rPr>
              <w:t>2030</w:t>
            </w:r>
          </w:p>
        </w:tc>
      </w:tr>
      <w:tr w:rsidR="00D23F26" w:rsidRPr="00FF207E" w14:paraId="3948BD74" w14:textId="77777777" w:rsidTr="00C24955">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74112436" w14:textId="77777777" w:rsidR="00D23F26" w:rsidRPr="00FF207E" w:rsidRDefault="00D23F26" w:rsidP="001E304B">
            <w:pPr>
              <w:spacing w:line="240" w:lineRule="atLeast"/>
              <w:jc w:val="both"/>
              <w:rPr>
                <w:rFonts w:cs="Arial"/>
                <w:sz w:val="20"/>
                <w:szCs w:val="20"/>
                <w:lang w:val="sl-SI"/>
              </w:rPr>
            </w:pPr>
            <w:r w:rsidRPr="00FF207E">
              <w:rPr>
                <w:rFonts w:cs="Arial"/>
                <w:sz w:val="20"/>
                <w:szCs w:val="20"/>
                <w:lang w:val="sl-SI"/>
              </w:rPr>
              <w:t>Vrsta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0A7327D" w14:textId="52BB545E" w:rsidR="00D23F26" w:rsidRPr="00FF207E" w:rsidRDefault="00D23F26" w:rsidP="001E304B">
            <w:pPr>
              <w:spacing w:line="240" w:lineRule="atLeast"/>
              <w:jc w:val="both"/>
              <w:rPr>
                <w:rFonts w:cs="Arial"/>
                <w:sz w:val="20"/>
                <w:szCs w:val="20"/>
                <w:lang w:val="sl-SI"/>
              </w:rPr>
            </w:pPr>
            <w:r w:rsidRPr="00FF207E">
              <w:rPr>
                <w:rFonts w:cs="Arial"/>
                <w:sz w:val="20"/>
                <w:szCs w:val="20"/>
                <w:lang w:val="sl-SI"/>
              </w:rPr>
              <w:t>ekonomski</w:t>
            </w:r>
          </w:p>
        </w:tc>
      </w:tr>
      <w:tr w:rsidR="00D23F26" w:rsidRPr="00FF207E" w14:paraId="1C9B72FC" w14:textId="77777777" w:rsidTr="00C24955">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3698CF07" w14:textId="77777777" w:rsidR="00D23F26" w:rsidRPr="00FF207E" w:rsidRDefault="00D23F26" w:rsidP="001E304B">
            <w:pPr>
              <w:spacing w:line="240" w:lineRule="atLeast"/>
              <w:jc w:val="both"/>
              <w:rPr>
                <w:rFonts w:cs="Arial"/>
                <w:sz w:val="20"/>
                <w:szCs w:val="20"/>
                <w:lang w:val="sl-SI"/>
              </w:rPr>
            </w:pPr>
            <w:r w:rsidRPr="00FF207E">
              <w:rPr>
                <w:rFonts w:cs="Arial"/>
                <w:sz w:val="20"/>
                <w:szCs w:val="20"/>
                <w:lang w:val="sl-SI"/>
              </w:rPr>
              <w:t>Pričakovani učinki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1F4B08C0" w14:textId="08E89BC5" w:rsidR="00D23F26" w:rsidRPr="00FF207E" w:rsidRDefault="00B4534D" w:rsidP="001E304B">
            <w:pPr>
              <w:spacing w:line="240" w:lineRule="atLeast"/>
              <w:jc w:val="both"/>
              <w:rPr>
                <w:rFonts w:cs="Arial"/>
                <w:sz w:val="20"/>
                <w:szCs w:val="20"/>
                <w:lang w:val="sl-SI"/>
              </w:rPr>
            </w:pPr>
            <w:r w:rsidRPr="00FF207E">
              <w:rPr>
                <w:rFonts w:cs="Arial"/>
                <w:sz w:val="20"/>
                <w:szCs w:val="20"/>
                <w:lang w:val="sl-SI"/>
              </w:rPr>
              <w:t>s</w:t>
            </w:r>
            <w:r w:rsidR="00682EAA" w:rsidRPr="00FF207E">
              <w:rPr>
                <w:rFonts w:cs="Arial"/>
                <w:sz w:val="20"/>
                <w:szCs w:val="20"/>
                <w:lang w:val="sl-SI"/>
              </w:rPr>
              <w:t xml:space="preserve">prejeta enotna navodila za vse CSD glede možnosti za </w:t>
            </w:r>
            <w:r w:rsidR="004A1F6B" w:rsidRPr="00FF207E">
              <w:rPr>
                <w:rFonts w:cs="Arial"/>
                <w:sz w:val="20"/>
                <w:szCs w:val="20"/>
                <w:lang w:val="sl-SI"/>
              </w:rPr>
              <w:t>uporabo</w:t>
            </w:r>
            <w:r w:rsidR="00682EAA" w:rsidRPr="00FF207E">
              <w:rPr>
                <w:rFonts w:cs="Arial"/>
                <w:sz w:val="20"/>
                <w:szCs w:val="20"/>
                <w:lang w:val="sl-SI"/>
              </w:rPr>
              <w:t xml:space="preserve"> denarne pomoči </w:t>
            </w:r>
            <w:r w:rsidR="004A1F6B" w:rsidRPr="00FF207E">
              <w:rPr>
                <w:rFonts w:cs="Arial"/>
                <w:sz w:val="20"/>
                <w:szCs w:val="20"/>
                <w:lang w:val="sl-SI"/>
              </w:rPr>
              <w:t>pri plačilu stroškov energije</w:t>
            </w:r>
            <w:r w:rsidR="00682EAA" w:rsidRPr="00FF207E">
              <w:rPr>
                <w:rFonts w:cs="Arial"/>
                <w:sz w:val="20"/>
                <w:szCs w:val="20"/>
                <w:lang w:val="sl-SI"/>
              </w:rPr>
              <w:t xml:space="preserve"> in njihova uporaba v praksi</w:t>
            </w:r>
          </w:p>
        </w:tc>
      </w:tr>
      <w:tr w:rsidR="00D23F26" w:rsidRPr="00FF207E" w14:paraId="319FB1CA" w14:textId="77777777" w:rsidTr="007D7A94">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12970118" w14:textId="77777777" w:rsidR="00D23F26" w:rsidRPr="00FF207E" w:rsidRDefault="00D23F26" w:rsidP="001E304B">
            <w:pPr>
              <w:spacing w:line="240" w:lineRule="atLeast"/>
              <w:jc w:val="both"/>
              <w:rPr>
                <w:rFonts w:cs="Arial"/>
                <w:sz w:val="20"/>
                <w:szCs w:val="20"/>
                <w:lang w:val="sl-SI"/>
              </w:rPr>
            </w:pPr>
            <w:r w:rsidRPr="00FF207E">
              <w:rPr>
                <w:rFonts w:cs="Arial"/>
                <w:sz w:val="20"/>
                <w:szCs w:val="20"/>
                <w:lang w:val="sl-SI"/>
              </w:rPr>
              <w:t>Status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611BD80" w14:textId="1DEB88A6" w:rsidR="00D23F26" w:rsidRPr="00FF207E" w:rsidRDefault="00736A5E" w:rsidP="008D61D4">
            <w:pPr>
              <w:spacing w:line="240" w:lineRule="atLeast"/>
              <w:jc w:val="both"/>
              <w:rPr>
                <w:rFonts w:cs="Arial"/>
                <w:sz w:val="20"/>
                <w:szCs w:val="20"/>
                <w:lang w:val="sl-SI"/>
              </w:rPr>
            </w:pPr>
            <w:r w:rsidRPr="00FF207E">
              <w:rPr>
                <w:rFonts w:cs="Arial"/>
                <w:sz w:val="20"/>
                <w:szCs w:val="20"/>
                <w:lang w:val="sl-SI"/>
              </w:rPr>
              <w:t xml:space="preserve">Veljaven </w:t>
            </w:r>
            <w:r w:rsidR="00D23F26" w:rsidRPr="00FF207E">
              <w:rPr>
                <w:rFonts w:cs="Arial"/>
                <w:sz w:val="20"/>
                <w:szCs w:val="20"/>
                <w:lang w:val="sl-SI"/>
              </w:rPr>
              <w:t xml:space="preserve">ukrep z nadgradnjo. V okviru denarne pomoči CSD je mogoče že </w:t>
            </w:r>
            <w:r w:rsidR="008D61D4" w:rsidRPr="00FF207E">
              <w:rPr>
                <w:rFonts w:cs="Arial"/>
                <w:sz w:val="20"/>
                <w:szCs w:val="20"/>
                <w:lang w:val="sl-SI"/>
              </w:rPr>
              <w:t xml:space="preserve">zdaj </w:t>
            </w:r>
            <w:r w:rsidR="00D23F26" w:rsidRPr="00FF207E">
              <w:rPr>
                <w:rFonts w:cs="Arial"/>
                <w:sz w:val="20"/>
                <w:szCs w:val="20"/>
                <w:lang w:val="sl-SI"/>
              </w:rPr>
              <w:t>v izrednih primerih pridobiti izredno denarno pomoč ali varstveni dodatek za plačilo stroškov energije. Prosilci za pomoč zaprosijo sami.</w:t>
            </w:r>
          </w:p>
        </w:tc>
      </w:tr>
      <w:tr w:rsidR="00D23F26" w:rsidRPr="00FF207E" w14:paraId="4AB38087" w14:textId="77777777" w:rsidTr="007D7A94">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56746780" w14:textId="77777777" w:rsidR="00D23F26" w:rsidRPr="00FF207E" w:rsidRDefault="00D23F26" w:rsidP="001E304B">
            <w:pPr>
              <w:spacing w:before="60" w:after="60" w:line="240" w:lineRule="atLeast"/>
              <w:jc w:val="both"/>
              <w:rPr>
                <w:rFonts w:cs="Arial"/>
                <w:b/>
                <w:lang w:val="sl-SI"/>
              </w:rPr>
            </w:pPr>
            <w:r w:rsidRPr="00FF207E">
              <w:rPr>
                <w:rFonts w:cs="Arial"/>
                <w:b/>
                <w:lang w:val="sl-SI"/>
              </w:rPr>
              <w:t>Dolgoročna vsebina ukrepa</w:t>
            </w:r>
          </w:p>
        </w:tc>
      </w:tr>
      <w:tr w:rsidR="00D23F26" w:rsidRPr="00FF207E" w14:paraId="10A1A016" w14:textId="77777777" w:rsidTr="007D7A94">
        <w:tc>
          <w:tcPr>
            <w:tcW w:w="9062" w:type="dxa"/>
            <w:gridSpan w:val="3"/>
            <w:tcBorders>
              <w:top w:val="single" w:sz="4" w:space="0" w:color="548DD4" w:themeColor="text2" w:themeTint="99"/>
              <w:left w:val="nil"/>
              <w:bottom w:val="single" w:sz="4" w:space="0" w:color="548DD4" w:themeColor="text2" w:themeTint="99"/>
              <w:right w:val="nil"/>
            </w:tcBorders>
          </w:tcPr>
          <w:p w14:paraId="63568B84" w14:textId="77777777" w:rsidR="00D23F26" w:rsidRPr="00FF207E" w:rsidRDefault="00D23F26" w:rsidP="001E304B">
            <w:pPr>
              <w:spacing w:line="240" w:lineRule="atLeast"/>
              <w:jc w:val="both"/>
              <w:rPr>
                <w:rFonts w:cs="Arial"/>
                <w:sz w:val="20"/>
                <w:szCs w:val="20"/>
                <w:lang w:val="sl-SI"/>
              </w:rPr>
            </w:pPr>
            <w:r w:rsidRPr="00FF207E">
              <w:rPr>
                <w:rFonts w:cs="Arial"/>
                <w:sz w:val="20"/>
                <w:szCs w:val="20"/>
                <w:lang w:val="sl-SI"/>
              </w:rPr>
              <w:t>V okviru ukrepa je treba dolgoročno:</w:t>
            </w:r>
          </w:p>
          <w:p w14:paraId="330B77AF" w14:textId="69F53FE8" w:rsidR="00D23F26" w:rsidRPr="00FF207E" w:rsidRDefault="00D23F26" w:rsidP="001E304B">
            <w:pPr>
              <w:pStyle w:val="Odstavekseznama"/>
              <w:numPr>
                <w:ilvl w:val="0"/>
                <w:numId w:val="19"/>
              </w:numPr>
              <w:spacing w:line="240" w:lineRule="atLeast"/>
              <w:ind w:left="357" w:hanging="357"/>
              <w:jc w:val="both"/>
              <w:rPr>
                <w:rFonts w:cs="Arial"/>
                <w:sz w:val="20"/>
                <w:szCs w:val="20"/>
                <w:lang w:val="sl-SI"/>
              </w:rPr>
            </w:pPr>
            <w:r w:rsidRPr="00FF207E">
              <w:rPr>
                <w:rFonts w:cs="Arial"/>
                <w:sz w:val="20"/>
                <w:szCs w:val="20"/>
                <w:lang w:val="sl-SI"/>
              </w:rPr>
              <w:t xml:space="preserve">pripraviti </w:t>
            </w:r>
            <w:r w:rsidRPr="00FF207E">
              <w:rPr>
                <w:rFonts w:cs="Arial"/>
                <w:b/>
                <w:sz w:val="20"/>
                <w:szCs w:val="20"/>
                <w:lang w:val="sl-SI"/>
              </w:rPr>
              <w:t>enotna navodila za vse CSD</w:t>
            </w:r>
            <w:r w:rsidRPr="00FF207E">
              <w:rPr>
                <w:rFonts w:cs="Arial"/>
                <w:sz w:val="20"/>
                <w:szCs w:val="20"/>
                <w:lang w:val="sl-SI"/>
              </w:rPr>
              <w:t xml:space="preserve">, katerim stroškom je </w:t>
            </w:r>
            <w:r w:rsidR="00EB41FC" w:rsidRPr="00FF207E">
              <w:rPr>
                <w:rFonts w:cs="Arial"/>
                <w:sz w:val="20"/>
                <w:szCs w:val="20"/>
                <w:lang w:val="sl-SI"/>
              </w:rPr>
              <w:t xml:space="preserve">taka </w:t>
            </w:r>
            <w:r w:rsidRPr="00FF207E">
              <w:rPr>
                <w:rFonts w:cs="Arial"/>
                <w:sz w:val="20"/>
                <w:szCs w:val="20"/>
                <w:lang w:val="sl-SI"/>
              </w:rPr>
              <w:t>pomoč lahko namenjena</w:t>
            </w:r>
            <w:r w:rsidR="00EB41FC" w:rsidRPr="00FF207E">
              <w:rPr>
                <w:rFonts w:cs="Arial"/>
                <w:sz w:val="20"/>
                <w:szCs w:val="20"/>
                <w:lang w:val="sl-SI"/>
              </w:rPr>
              <w:t>;</w:t>
            </w:r>
          </w:p>
          <w:p w14:paraId="1D318AAC" w14:textId="57FBE358" w:rsidR="00682EAA" w:rsidRPr="00FF207E" w:rsidRDefault="00682EAA" w:rsidP="001E304B">
            <w:pPr>
              <w:pStyle w:val="Odstavekseznama"/>
              <w:numPr>
                <w:ilvl w:val="0"/>
                <w:numId w:val="19"/>
              </w:numPr>
              <w:spacing w:line="240" w:lineRule="atLeast"/>
              <w:ind w:left="357" w:hanging="357"/>
              <w:jc w:val="both"/>
              <w:rPr>
                <w:rFonts w:cs="Arial"/>
                <w:sz w:val="20"/>
                <w:szCs w:val="20"/>
                <w:lang w:val="sl-SI"/>
              </w:rPr>
            </w:pPr>
            <w:r w:rsidRPr="00FF207E">
              <w:rPr>
                <w:rFonts w:cs="Arial"/>
                <w:b/>
                <w:sz w:val="20"/>
                <w:szCs w:val="20"/>
                <w:lang w:val="sl-SI"/>
              </w:rPr>
              <w:t>zagotoviti uporabo teh navodil</w:t>
            </w:r>
            <w:r w:rsidRPr="00FF207E">
              <w:rPr>
                <w:rFonts w:cs="Arial"/>
                <w:sz w:val="20"/>
                <w:szCs w:val="20"/>
                <w:lang w:val="sl-SI"/>
              </w:rPr>
              <w:t xml:space="preserve"> in jih po potrebi prilagajati aktualnim okoliščinam in ugotovitvam</w:t>
            </w:r>
            <w:r w:rsidR="00EB41FC" w:rsidRPr="00FF207E">
              <w:rPr>
                <w:rFonts w:cs="Arial"/>
                <w:sz w:val="20"/>
                <w:szCs w:val="20"/>
                <w:lang w:val="sl-SI"/>
              </w:rPr>
              <w:t>.</w:t>
            </w:r>
          </w:p>
        </w:tc>
      </w:tr>
      <w:tr w:rsidR="00D23F26" w:rsidRPr="00FF207E" w14:paraId="10875F03" w14:textId="77777777" w:rsidTr="007D7A94">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238716EE" w14:textId="77777777" w:rsidR="00D23F26" w:rsidRPr="00FF207E" w:rsidRDefault="00D23F26" w:rsidP="00FF6853">
            <w:pPr>
              <w:keepNext/>
              <w:spacing w:before="60" w:after="60" w:line="240" w:lineRule="atLeast"/>
              <w:jc w:val="both"/>
              <w:rPr>
                <w:rFonts w:cs="Arial"/>
                <w:b/>
                <w:lang w:val="sl-SI"/>
              </w:rPr>
            </w:pPr>
            <w:r w:rsidRPr="00FF207E">
              <w:rPr>
                <w:rFonts w:cs="Arial"/>
                <w:b/>
                <w:lang w:val="sl-SI"/>
              </w:rPr>
              <w:lastRenderedPageBreak/>
              <w:t>Kratkoročna izvedba ukrepa v obdobju 2024–2026</w:t>
            </w:r>
          </w:p>
        </w:tc>
      </w:tr>
      <w:tr w:rsidR="007335D9" w:rsidRPr="00FF207E" w14:paraId="76AE5F99" w14:textId="77777777" w:rsidTr="007D7A94">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3454B28F" w14:textId="77777777" w:rsidR="007335D9" w:rsidRPr="00FF207E" w:rsidRDefault="007335D9" w:rsidP="001E304B">
            <w:pPr>
              <w:spacing w:line="240" w:lineRule="atLeast"/>
              <w:jc w:val="both"/>
              <w:rPr>
                <w:rFonts w:cs="Arial"/>
                <w:sz w:val="20"/>
                <w:szCs w:val="20"/>
                <w:lang w:val="sl-SI"/>
              </w:rPr>
            </w:pPr>
            <w:r w:rsidRPr="00FF207E">
              <w:rPr>
                <w:rFonts w:cs="Arial"/>
                <w:sz w:val="20"/>
                <w:szCs w:val="20"/>
                <w:lang w:val="sl-SI"/>
              </w:rPr>
              <w:t>Kratkoročni cilj</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3052E1D4" w14:textId="00A18C83" w:rsidR="007335D9" w:rsidRPr="00FF207E" w:rsidRDefault="007335D9" w:rsidP="001E304B">
            <w:pPr>
              <w:spacing w:line="240" w:lineRule="atLeast"/>
              <w:jc w:val="both"/>
              <w:rPr>
                <w:rFonts w:cs="Arial"/>
                <w:sz w:val="20"/>
                <w:szCs w:val="20"/>
                <w:lang w:val="sl-SI"/>
              </w:rPr>
            </w:pPr>
            <w:r w:rsidRPr="00FF207E">
              <w:rPr>
                <w:rFonts w:cs="Arial"/>
                <w:sz w:val="20"/>
                <w:szCs w:val="20"/>
                <w:lang w:val="sl-SI"/>
              </w:rPr>
              <w:t>Pripravljena, usklajena in sprejeta enotna navodila za vse CSD glede možnosti za uporabo denarne pomoči pri plačilu stroškov energije</w:t>
            </w:r>
            <w:r w:rsidR="00B4534D" w:rsidRPr="00FF207E">
              <w:rPr>
                <w:rFonts w:cs="Arial"/>
                <w:sz w:val="20"/>
                <w:szCs w:val="20"/>
                <w:lang w:val="sl-SI"/>
              </w:rPr>
              <w:t>.</w:t>
            </w:r>
          </w:p>
        </w:tc>
      </w:tr>
      <w:tr w:rsidR="007335D9" w:rsidRPr="00FF207E" w14:paraId="7DC0C903" w14:textId="77777777" w:rsidTr="002513F9">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1A966BC4" w14:textId="7C9C74ED" w:rsidR="007335D9" w:rsidRPr="00FF207E" w:rsidRDefault="00BF0315" w:rsidP="001E304B">
            <w:pPr>
              <w:spacing w:line="240" w:lineRule="atLeast"/>
              <w:jc w:val="both"/>
              <w:rPr>
                <w:rFonts w:cs="Arial"/>
                <w:sz w:val="20"/>
                <w:szCs w:val="20"/>
                <w:lang w:val="sl-SI"/>
              </w:rPr>
            </w:pPr>
            <w:r w:rsidRPr="00FF207E">
              <w:rPr>
                <w:rFonts w:cs="Arial"/>
                <w:sz w:val="20"/>
                <w:szCs w:val="20"/>
                <w:lang w:val="sl-SI"/>
              </w:rPr>
              <w:t>Potrebna sredstva</w:t>
            </w:r>
            <w:r w:rsidRPr="00FF207E">
              <w:rPr>
                <w:rFonts w:cs="Arial"/>
                <w:sz w:val="20"/>
                <w:szCs w:val="20"/>
                <w:lang w:val="sl-SI"/>
              </w:rPr>
              <w:fldChar w:fldCharType="begin"/>
            </w:r>
            <w:r w:rsidRPr="00FF207E">
              <w:rPr>
                <w:rFonts w:cs="Arial"/>
                <w:sz w:val="20"/>
                <w:szCs w:val="20"/>
                <w:lang w:val="sl-SI"/>
              </w:rPr>
              <w:instrText xml:space="preserve"> NOTEREF _Ref137802489 \f \h </w:instrText>
            </w:r>
            <w:r w:rsidR="001E304B" w:rsidRPr="00FF207E">
              <w:rPr>
                <w:rFonts w:cs="Arial"/>
                <w:sz w:val="20"/>
                <w:szCs w:val="20"/>
                <w:lang w:val="sl-SI"/>
              </w:rPr>
              <w:instrText xml:space="preserve"> \* MERGEFORMAT </w:instrText>
            </w:r>
            <w:r w:rsidRPr="00FF207E">
              <w:rPr>
                <w:rFonts w:cs="Arial"/>
                <w:sz w:val="20"/>
                <w:szCs w:val="20"/>
                <w:lang w:val="sl-SI"/>
              </w:rPr>
            </w:r>
            <w:r w:rsidRPr="00FF207E">
              <w:rPr>
                <w:rFonts w:cs="Arial"/>
                <w:sz w:val="20"/>
                <w:szCs w:val="20"/>
                <w:lang w:val="sl-SI"/>
              </w:rPr>
              <w:fldChar w:fldCharType="separate"/>
            </w:r>
            <w:r w:rsidR="00F37FD1" w:rsidRPr="00FF207E">
              <w:rPr>
                <w:rStyle w:val="Sprotnaopomba-sklic"/>
                <w:lang w:val="sl-SI"/>
              </w:rPr>
              <w:t>19</w:t>
            </w:r>
            <w:r w:rsidRPr="00FF207E">
              <w:rPr>
                <w:rFonts w:cs="Arial"/>
                <w:sz w:val="20"/>
                <w:szCs w:val="20"/>
                <w:lang w:val="sl-SI"/>
              </w:rPr>
              <w:fldChar w:fldCharType="end"/>
            </w:r>
            <w:r w:rsidRPr="00FF207E">
              <w:rPr>
                <w:rFonts w:cs="Arial"/>
                <w:sz w:val="20"/>
                <w:szCs w:val="20"/>
                <w:lang w:val="sl-SI"/>
              </w:rPr>
              <w:t xml:space="preserve"> in viri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tcPr>
          <w:p w14:paraId="10A6B6BD" w14:textId="50984046" w:rsidR="00811106" w:rsidRPr="00FF207E" w:rsidRDefault="00086058" w:rsidP="002513F9">
            <w:pPr>
              <w:spacing w:before="60" w:line="240" w:lineRule="atLeast"/>
              <w:rPr>
                <w:rFonts w:cs="Arial"/>
                <w:sz w:val="20"/>
                <w:szCs w:val="20"/>
                <w:lang w:val="sl-SI"/>
              </w:rPr>
            </w:pPr>
            <w:r w:rsidRPr="00FF207E">
              <w:rPr>
                <w:rFonts w:cs="Arial"/>
                <w:sz w:val="20"/>
                <w:szCs w:val="20"/>
                <w:lang w:val="sl-SI"/>
              </w:rPr>
              <w:t>t</w:t>
            </w:r>
            <w:r w:rsidR="00811106" w:rsidRPr="00FF207E">
              <w:rPr>
                <w:rFonts w:cs="Arial"/>
                <w:sz w:val="20"/>
                <w:szCs w:val="20"/>
                <w:lang w:val="sl-SI"/>
              </w:rPr>
              <w:t>abela 7</w:t>
            </w:r>
          </w:p>
          <w:p w14:paraId="17B1095C" w14:textId="277DD415" w:rsidR="007335D9" w:rsidRPr="00FF207E" w:rsidRDefault="007C7233" w:rsidP="002513F9">
            <w:pPr>
              <w:spacing w:before="60" w:line="240" w:lineRule="atLeast"/>
              <w:rPr>
                <w:rFonts w:cs="Arial"/>
                <w:sz w:val="20"/>
                <w:szCs w:val="20"/>
                <w:lang w:val="sl-SI"/>
              </w:rPr>
            </w:pPr>
            <w:r w:rsidRPr="00FF207E">
              <w:rPr>
                <w:rFonts w:cs="Arial"/>
                <w:sz w:val="20"/>
                <w:szCs w:val="20"/>
                <w:lang w:val="sl-SI"/>
              </w:rPr>
              <w:t>Viri sredstev: redno delo ministrstev</w:t>
            </w:r>
            <w:r w:rsidR="00B4534D" w:rsidRPr="00FF207E">
              <w:rPr>
                <w:rFonts w:cs="Arial"/>
                <w:sz w:val="20"/>
                <w:szCs w:val="20"/>
                <w:lang w:val="sl-SI"/>
              </w:rPr>
              <w:t>.</w:t>
            </w:r>
          </w:p>
        </w:tc>
      </w:tr>
      <w:tr w:rsidR="00D23F26" w:rsidRPr="00FF207E" w14:paraId="760EE425" w14:textId="77777777" w:rsidTr="007D7A94">
        <w:tc>
          <w:tcPr>
            <w:tcW w:w="9062" w:type="dxa"/>
            <w:gridSpan w:val="3"/>
            <w:tcBorders>
              <w:top w:val="single" w:sz="4" w:space="0" w:color="548DD4" w:themeColor="text2" w:themeTint="99"/>
              <w:left w:val="nil"/>
              <w:bottom w:val="single" w:sz="4" w:space="0" w:color="548DD4" w:themeColor="text2" w:themeTint="99"/>
              <w:right w:val="nil"/>
            </w:tcBorders>
            <w:shd w:val="clear" w:color="auto" w:fill="DBE5F1" w:themeFill="accent1" w:themeFillTint="33"/>
          </w:tcPr>
          <w:p w14:paraId="67EC79F0" w14:textId="77777777" w:rsidR="00D23F26" w:rsidRPr="00FF207E" w:rsidRDefault="00D23F26" w:rsidP="001E304B">
            <w:pPr>
              <w:spacing w:before="40" w:after="40" w:line="240" w:lineRule="atLeast"/>
              <w:jc w:val="both"/>
              <w:rPr>
                <w:rFonts w:cs="Arial"/>
                <w:sz w:val="20"/>
                <w:szCs w:val="20"/>
                <w:lang w:val="sl-SI"/>
              </w:rPr>
            </w:pPr>
            <w:r w:rsidRPr="00FF207E">
              <w:rPr>
                <w:rFonts w:cs="Arial"/>
                <w:sz w:val="20"/>
                <w:szCs w:val="20"/>
                <w:lang w:val="sl-SI"/>
              </w:rPr>
              <w:t>Potek izvedbe</w:t>
            </w:r>
          </w:p>
        </w:tc>
      </w:tr>
      <w:tr w:rsidR="00B61B96" w:rsidRPr="00FF207E" w14:paraId="4902FDE6" w14:textId="77777777" w:rsidTr="00C24955">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3453583A" w14:textId="77777777" w:rsidR="00B61B96" w:rsidRPr="00FF207E" w:rsidRDefault="00B61B96" w:rsidP="001E304B">
            <w:pPr>
              <w:spacing w:line="240" w:lineRule="atLeast"/>
              <w:jc w:val="both"/>
              <w:rPr>
                <w:rFonts w:cs="Arial"/>
                <w:b/>
                <w:sz w:val="24"/>
                <w:lang w:val="sl-SI"/>
              </w:rPr>
            </w:pPr>
            <w:r w:rsidRPr="00FF207E">
              <w:rPr>
                <w:rFonts w:cs="Arial"/>
                <w:b/>
                <w:sz w:val="24"/>
                <w:lang w:val="sl-SI"/>
              </w:rPr>
              <w:t>1</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7C6C7B6A" w14:textId="77777777" w:rsidR="00B61B96" w:rsidRPr="00FF207E" w:rsidRDefault="00B61B96"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68C7833F" w14:textId="7BE6B098" w:rsidR="00B61B96" w:rsidRPr="00FF207E" w:rsidRDefault="00B4534D" w:rsidP="001E304B">
            <w:pPr>
              <w:spacing w:line="240" w:lineRule="atLeast"/>
              <w:jc w:val="both"/>
              <w:rPr>
                <w:rFonts w:cs="Arial"/>
                <w:sz w:val="20"/>
                <w:szCs w:val="20"/>
                <w:lang w:val="sl-SI"/>
              </w:rPr>
            </w:pPr>
            <w:r w:rsidRPr="00FF207E">
              <w:rPr>
                <w:rFonts w:cs="Arial"/>
                <w:sz w:val="20"/>
                <w:szCs w:val="20"/>
                <w:lang w:val="sl-SI"/>
              </w:rPr>
              <w:t>o</w:t>
            </w:r>
            <w:r w:rsidR="00B61B96" w:rsidRPr="00FF207E">
              <w:rPr>
                <w:rFonts w:cs="Arial"/>
                <w:sz w:val="20"/>
                <w:szCs w:val="20"/>
                <w:lang w:val="sl-SI"/>
              </w:rPr>
              <w:t>blikovanje skupine za pripravo enotnih navodil</w:t>
            </w:r>
          </w:p>
        </w:tc>
      </w:tr>
      <w:tr w:rsidR="00B61B96" w:rsidRPr="00FF207E" w14:paraId="24FCC04B" w14:textId="77777777" w:rsidTr="00C24955">
        <w:tc>
          <w:tcPr>
            <w:tcW w:w="567" w:type="dxa"/>
            <w:vMerge/>
            <w:tcBorders>
              <w:left w:val="nil"/>
              <w:bottom w:val="single" w:sz="4" w:space="0" w:color="548DD4" w:themeColor="text2" w:themeTint="99"/>
              <w:right w:val="single" w:sz="4" w:space="0" w:color="548DD4" w:themeColor="text2" w:themeTint="99"/>
            </w:tcBorders>
          </w:tcPr>
          <w:p w14:paraId="12D33D9E" w14:textId="77777777" w:rsidR="00B61B96" w:rsidRPr="00FF207E" w:rsidRDefault="00B61B96"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4CEFA0CD" w14:textId="77777777" w:rsidR="00B61B96" w:rsidRPr="00FF207E" w:rsidRDefault="00B61B96"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FF8C07A" w14:textId="07970E90" w:rsidR="00B61B96" w:rsidRPr="00FF207E" w:rsidRDefault="00B61B96" w:rsidP="001E304B">
            <w:pPr>
              <w:spacing w:line="240" w:lineRule="atLeast"/>
              <w:jc w:val="both"/>
              <w:rPr>
                <w:rFonts w:cs="Arial"/>
                <w:sz w:val="20"/>
                <w:szCs w:val="20"/>
                <w:lang w:val="sl-SI"/>
              </w:rPr>
            </w:pPr>
            <w:r w:rsidRPr="00FF207E">
              <w:rPr>
                <w:rFonts w:cs="Arial"/>
                <w:sz w:val="20"/>
                <w:szCs w:val="20"/>
                <w:lang w:val="sl-SI"/>
              </w:rPr>
              <w:t>MDDSZ</w:t>
            </w:r>
          </w:p>
        </w:tc>
      </w:tr>
      <w:tr w:rsidR="00B61B96" w:rsidRPr="00FF207E" w14:paraId="0F6B2E63" w14:textId="77777777" w:rsidTr="00C24955">
        <w:tc>
          <w:tcPr>
            <w:tcW w:w="567" w:type="dxa"/>
            <w:vMerge/>
            <w:tcBorders>
              <w:left w:val="nil"/>
              <w:bottom w:val="single" w:sz="4" w:space="0" w:color="548DD4" w:themeColor="text2" w:themeTint="99"/>
              <w:right w:val="single" w:sz="4" w:space="0" w:color="548DD4" w:themeColor="text2" w:themeTint="99"/>
            </w:tcBorders>
          </w:tcPr>
          <w:p w14:paraId="0F69CB06" w14:textId="77777777" w:rsidR="00B61B96" w:rsidRPr="00FF207E" w:rsidRDefault="00B61B96"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689E6D7C" w14:textId="77777777" w:rsidR="00B61B96" w:rsidRPr="00FF207E" w:rsidRDefault="00B61B96"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0DB12C1" w14:textId="5C11A37D" w:rsidR="00B61B96" w:rsidRPr="00FF207E" w:rsidRDefault="00B61B96"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 MOPE, CSD</w:t>
            </w:r>
          </w:p>
        </w:tc>
      </w:tr>
      <w:tr w:rsidR="00B61B96" w:rsidRPr="00FF207E" w14:paraId="2322DB98" w14:textId="77777777" w:rsidTr="00C24955">
        <w:tc>
          <w:tcPr>
            <w:tcW w:w="567" w:type="dxa"/>
            <w:vMerge/>
            <w:tcBorders>
              <w:left w:val="nil"/>
              <w:bottom w:val="single" w:sz="4" w:space="0" w:color="548DD4" w:themeColor="text2" w:themeTint="99"/>
              <w:right w:val="single" w:sz="4" w:space="0" w:color="548DD4" w:themeColor="text2" w:themeTint="99"/>
            </w:tcBorders>
          </w:tcPr>
          <w:p w14:paraId="1DDF4F41" w14:textId="77777777" w:rsidR="00B61B96" w:rsidRPr="00FF207E" w:rsidRDefault="00B61B96"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1AF02870" w14:textId="77777777" w:rsidR="00B61B96" w:rsidRPr="00FF207E" w:rsidRDefault="00B61B96"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0A4C1088" w14:textId="3D050F4F" w:rsidR="00B61B96" w:rsidRPr="00FF207E" w:rsidRDefault="00FF6853" w:rsidP="001E304B">
            <w:pPr>
              <w:spacing w:line="240" w:lineRule="atLeast"/>
              <w:jc w:val="both"/>
              <w:rPr>
                <w:rFonts w:cs="Arial"/>
                <w:sz w:val="20"/>
                <w:szCs w:val="20"/>
                <w:lang w:val="sl-SI"/>
              </w:rPr>
            </w:pPr>
            <w:r w:rsidRPr="00FF207E">
              <w:rPr>
                <w:rFonts w:cs="Arial"/>
                <w:sz w:val="20"/>
                <w:szCs w:val="20"/>
                <w:lang w:val="sl-SI"/>
              </w:rPr>
              <w:t>2024</w:t>
            </w:r>
          </w:p>
        </w:tc>
      </w:tr>
      <w:tr w:rsidR="00D23F26" w:rsidRPr="00FF207E" w14:paraId="613FC773" w14:textId="77777777" w:rsidTr="00C24955">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0B4F13D0" w14:textId="77777777" w:rsidR="00D23F26" w:rsidRPr="00FF207E" w:rsidRDefault="00D23F26" w:rsidP="001E304B">
            <w:pPr>
              <w:spacing w:line="240" w:lineRule="atLeast"/>
              <w:jc w:val="both"/>
              <w:rPr>
                <w:rFonts w:cs="Arial"/>
                <w:b/>
                <w:sz w:val="24"/>
                <w:lang w:val="sl-SI"/>
              </w:rPr>
            </w:pPr>
            <w:r w:rsidRPr="00FF207E">
              <w:rPr>
                <w:rFonts w:cs="Arial"/>
                <w:b/>
                <w:sz w:val="24"/>
                <w:lang w:val="sl-SI"/>
              </w:rPr>
              <w:t>2</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73B7D1E0" w14:textId="77777777" w:rsidR="00D23F26" w:rsidRPr="00FF207E" w:rsidRDefault="00D23F26"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6DFB6ADE" w14:textId="38D144AA" w:rsidR="00D23F26" w:rsidRPr="00FF207E" w:rsidRDefault="00B4534D" w:rsidP="00B4534D">
            <w:pPr>
              <w:spacing w:line="240" w:lineRule="atLeast"/>
              <w:jc w:val="both"/>
              <w:rPr>
                <w:rFonts w:cs="Arial"/>
                <w:sz w:val="20"/>
                <w:szCs w:val="20"/>
                <w:lang w:val="sl-SI"/>
              </w:rPr>
            </w:pPr>
            <w:r w:rsidRPr="00FF207E">
              <w:rPr>
                <w:rFonts w:cs="Arial"/>
                <w:sz w:val="20"/>
                <w:szCs w:val="20"/>
                <w:lang w:val="sl-SI"/>
              </w:rPr>
              <w:t>p</w:t>
            </w:r>
            <w:r w:rsidR="00D23F26" w:rsidRPr="00FF207E">
              <w:rPr>
                <w:rFonts w:cs="Arial"/>
                <w:sz w:val="20"/>
                <w:szCs w:val="20"/>
                <w:lang w:val="sl-SI"/>
              </w:rPr>
              <w:t>riprava enotnih navodil za vse CSD, določitev</w:t>
            </w:r>
            <w:r w:rsidRPr="00FF207E">
              <w:rPr>
                <w:rFonts w:cs="Arial"/>
                <w:sz w:val="20"/>
                <w:szCs w:val="20"/>
                <w:lang w:val="sl-SI"/>
              </w:rPr>
              <w:t>,</w:t>
            </w:r>
            <w:r w:rsidR="00D23F26" w:rsidRPr="00FF207E">
              <w:rPr>
                <w:rFonts w:cs="Arial"/>
                <w:sz w:val="20"/>
                <w:szCs w:val="20"/>
                <w:lang w:val="sl-SI"/>
              </w:rPr>
              <w:t xml:space="preserve"> za katere </w:t>
            </w:r>
            <w:r w:rsidRPr="00FF207E">
              <w:rPr>
                <w:rFonts w:cs="Arial"/>
                <w:sz w:val="20"/>
                <w:szCs w:val="20"/>
                <w:lang w:val="sl-SI"/>
              </w:rPr>
              <w:t xml:space="preserve">stroške </w:t>
            </w:r>
            <w:r w:rsidR="00D23F26" w:rsidRPr="00FF207E">
              <w:rPr>
                <w:rFonts w:cs="Arial"/>
                <w:sz w:val="20"/>
                <w:szCs w:val="20"/>
                <w:lang w:val="sl-SI"/>
              </w:rPr>
              <w:t>se lahko nameni denarna pomoč</w:t>
            </w:r>
          </w:p>
        </w:tc>
      </w:tr>
      <w:tr w:rsidR="00B61B96" w:rsidRPr="00FF207E" w14:paraId="1EFA67D5" w14:textId="77777777" w:rsidTr="00C24955">
        <w:tc>
          <w:tcPr>
            <w:tcW w:w="567" w:type="dxa"/>
            <w:vMerge/>
            <w:tcBorders>
              <w:left w:val="nil"/>
              <w:bottom w:val="single" w:sz="4" w:space="0" w:color="548DD4" w:themeColor="text2" w:themeTint="99"/>
              <w:right w:val="single" w:sz="4" w:space="0" w:color="548DD4" w:themeColor="text2" w:themeTint="99"/>
            </w:tcBorders>
          </w:tcPr>
          <w:p w14:paraId="66D369E8" w14:textId="77777777" w:rsidR="00B61B96" w:rsidRPr="00FF207E" w:rsidRDefault="00B61B96"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5792CF08" w14:textId="77777777" w:rsidR="00B61B96" w:rsidRPr="00FF207E" w:rsidRDefault="00B61B96"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361D595F" w14:textId="64E85192" w:rsidR="00B61B96" w:rsidRPr="00FF207E" w:rsidRDefault="00B61B96" w:rsidP="001E304B">
            <w:pPr>
              <w:spacing w:line="240" w:lineRule="atLeast"/>
              <w:jc w:val="both"/>
              <w:rPr>
                <w:rFonts w:cs="Arial"/>
                <w:sz w:val="20"/>
                <w:szCs w:val="20"/>
                <w:lang w:val="sl-SI"/>
              </w:rPr>
            </w:pPr>
            <w:r w:rsidRPr="00FF207E">
              <w:rPr>
                <w:rFonts w:cs="Arial"/>
                <w:sz w:val="20"/>
                <w:szCs w:val="20"/>
                <w:lang w:val="sl-SI"/>
              </w:rPr>
              <w:t>MDDSZ</w:t>
            </w:r>
          </w:p>
        </w:tc>
      </w:tr>
      <w:tr w:rsidR="00B61B96" w:rsidRPr="00FF207E" w14:paraId="7CAF9ED4" w14:textId="77777777" w:rsidTr="00C24955">
        <w:tc>
          <w:tcPr>
            <w:tcW w:w="567" w:type="dxa"/>
            <w:vMerge/>
            <w:tcBorders>
              <w:left w:val="nil"/>
              <w:bottom w:val="single" w:sz="4" w:space="0" w:color="548DD4" w:themeColor="text2" w:themeTint="99"/>
              <w:right w:val="single" w:sz="4" w:space="0" w:color="548DD4" w:themeColor="text2" w:themeTint="99"/>
            </w:tcBorders>
          </w:tcPr>
          <w:p w14:paraId="076E1373" w14:textId="77777777" w:rsidR="00B61B96" w:rsidRPr="00FF207E" w:rsidRDefault="00B61B96"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24ECD7AE" w14:textId="77777777" w:rsidR="00B61B96" w:rsidRPr="00FF207E" w:rsidRDefault="00B61B96"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D1AEAD4" w14:textId="4F4409EB" w:rsidR="00B61B96" w:rsidRPr="00FF207E" w:rsidRDefault="00B61B96" w:rsidP="001E304B">
            <w:pPr>
              <w:spacing w:line="240" w:lineRule="atLeast"/>
              <w:jc w:val="both"/>
              <w:rPr>
                <w:rFonts w:cs="Arial"/>
                <w:sz w:val="20"/>
                <w:szCs w:val="20"/>
                <w:lang w:val="sl-SI"/>
              </w:rPr>
            </w:pPr>
            <w:proofErr w:type="spellStart"/>
            <w:r w:rsidRPr="00FF207E">
              <w:rPr>
                <w:rFonts w:cs="Arial"/>
                <w:sz w:val="20"/>
                <w:szCs w:val="20"/>
                <w:lang w:val="sl-SI"/>
              </w:rPr>
              <w:t>Eko</w:t>
            </w:r>
            <w:proofErr w:type="spellEnd"/>
            <w:r w:rsidRPr="00FF207E">
              <w:rPr>
                <w:rFonts w:cs="Arial"/>
                <w:sz w:val="20"/>
                <w:szCs w:val="20"/>
                <w:lang w:val="sl-SI"/>
              </w:rPr>
              <w:t xml:space="preserve"> sklad, MOPE, CSD</w:t>
            </w:r>
          </w:p>
        </w:tc>
      </w:tr>
      <w:tr w:rsidR="00B61B96" w:rsidRPr="00FF207E" w14:paraId="61A1514A" w14:textId="77777777" w:rsidTr="00C24955">
        <w:tc>
          <w:tcPr>
            <w:tcW w:w="567" w:type="dxa"/>
            <w:vMerge/>
            <w:tcBorders>
              <w:left w:val="nil"/>
              <w:bottom w:val="single" w:sz="4" w:space="0" w:color="548DD4" w:themeColor="text2" w:themeTint="99"/>
              <w:right w:val="single" w:sz="4" w:space="0" w:color="548DD4" w:themeColor="text2" w:themeTint="99"/>
            </w:tcBorders>
          </w:tcPr>
          <w:p w14:paraId="786D26B8" w14:textId="77777777" w:rsidR="00B61B96" w:rsidRPr="00FF207E" w:rsidRDefault="00B61B96"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0E735CDA" w14:textId="77777777" w:rsidR="00B61B96" w:rsidRPr="00FF207E" w:rsidRDefault="00B61B96"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7ABDE258" w14:textId="69875DE6" w:rsidR="00B61B96" w:rsidRPr="00FF207E" w:rsidRDefault="00FF6853" w:rsidP="001E304B">
            <w:pPr>
              <w:spacing w:line="240" w:lineRule="atLeast"/>
              <w:jc w:val="both"/>
              <w:rPr>
                <w:rFonts w:cs="Arial"/>
                <w:sz w:val="20"/>
                <w:szCs w:val="20"/>
                <w:lang w:val="sl-SI"/>
              </w:rPr>
            </w:pPr>
            <w:r w:rsidRPr="00FF207E">
              <w:rPr>
                <w:rFonts w:cs="Arial"/>
                <w:sz w:val="20"/>
                <w:szCs w:val="20"/>
                <w:lang w:val="sl-SI"/>
              </w:rPr>
              <w:t>2024</w:t>
            </w:r>
          </w:p>
        </w:tc>
      </w:tr>
      <w:tr w:rsidR="00B61B96" w:rsidRPr="00FF207E" w14:paraId="31A21D15" w14:textId="77777777" w:rsidTr="00C24955">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04B85F86" w14:textId="77777777" w:rsidR="00B61B96" w:rsidRPr="00FF207E" w:rsidRDefault="00B61B96" w:rsidP="001E304B">
            <w:pPr>
              <w:spacing w:line="240" w:lineRule="atLeast"/>
              <w:jc w:val="both"/>
              <w:rPr>
                <w:rFonts w:cs="Arial"/>
                <w:b/>
                <w:sz w:val="24"/>
                <w:lang w:val="sl-SI"/>
              </w:rPr>
            </w:pPr>
            <w:r w:rsidRPr="00FF207E">
              <w:rPr>
                <w:rFonts w:cs="Arial"/>
                <w:b/>
                <w:sz w:val="24"/>
                <w:lang w:val="sl-SI"/>
              </w:rPr>
              <w:t>3</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303550C7" w14:textId="77777777" w:rsidR="00B61B96" w:rsidRPr="00FF207E" w:rsidRDefault="00B61B96"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0868A582" w14:textId="4E884B9D" w:rsidR="00B61B96" w:rsidRPr="00FF207E" w:rsidRDefault="00B4534D" w:rsidP="001E304B">
            <w:pPr>
              <w:spacing w:line="240" w:lineRule="atLeast"/>
              <w:jc w:val="both"/>
              <w:rPr>
                <w:rFonts w:cs="Arial"/>
                <w:sz w:val="20"/>
                <w:szCs w:val="20"/>
                <w:lang w:val="sl-SI"/>
              </w:rPr>
            </w:pPr>
            <w:r w:rsidRPr="00FF207E">
              <w:rPr>
                <w:rFonts w:cs="Arial"/>
                <w:sz w:val="20"/>
                <w:szCs w:val="20"/>
                <w:lang w:val="sl-SI"/>
              </w:rPr>
              <w:t>s</w:t>
            </w:r>
            <w:r w:rsidR="00B61B96" w:rsidRPr="00FF207E">
              <w:rPr>
                <w:rFonts w:cs="Arial"/>
                <w:sz w:val="20"/>
                <w:szCs w:val="20"/>
                <w:lang w:val="sl-SI"/>
              </w:rPr>
              <w:t>prejetje enotnih navodil</w:t>
            </w:r>
            <w:r w:rsidR="000D2E36" w:rsidRPr="00FF207E">
              <w:rPr>
                <w:rFonts w:cs="Arial"/>
                <w:sz w:val="20"/>
                <w:szCs w:val="20"/>
                <w:lang w:val="sl-SI"/>
              </w:rPr>
              <w:t>,</w:t>
            </w:r>
            <w:r w:rsidR="00A10AF8" w:rsidRPr="00FF207E">
              <w:rPr>
                <w:rFonts w:cs="Arial"/>
                <w:sz w:val="20"/>
                <w:szCs w:val="20"/>
                <w:lang w:val="sl-SI"/>
              </w:rPr>
              <w:t xml:space="preserve"> usposabljanje </w:t>
            </w:r>
            <w:r w:rsidR="000D2E36" w:rsidRPr="00FF207E">
              <w:rPr>
                <w:rFonts w:cs="Arial"/>
                <w:sz w:val="20"/>
                <w:szCs w:val="20"/>
                <w:lang w:val="sl-SI"/>
              </w:rPr>
              <w:t>zaposlenih v CSD za uporabo navodil, uporaba navodil v praksi</w:t>
            </w:r>
            <w:r w:rsidR="00801298" w:rsidRPr="00FF207E">
              <w:rPr>
                <w:rFonts w:cs="Arial"/>
                <w:sz w:val="20"/>
                <w:szCs w:val="20"/>
                <w:lang w:val="sl-SI"/>
              </w:rPr>
              <w:t>, seznanitev članov neformalne mreže za informiranje in ozaveščanje z vsebino navodil</w:t>
            </w:r>
          </w:p>
        </w:tc>
      </w:tr>
      <w:tr w:rsidR="00B61B96" w:rsidRPr="00FF207E" w14:paraId="28F42ABD" w14:textId="77777777" w:rsidTr="00C24955">
        <w:tc>
          <w:tcPr>
            <w:tcW w:w="567" w:type="dxa"/>
            <w:vMerge/>
            <w:tcBorders>
              <w:left w:val="nil"/>
              <w:bottom w:val="single" w:sz="4" w:space="0" w:color="548DD4" w:themeColor="text2" w:themeTint="99"/>
              <w:right w:val="single" w:sz="4" w:space="0" w:color="548DD4" w:themeColor="text2" w:themeTint="99"/>
            </w:tcBorders>
          </w:tcPr>
          <w:p w14:paraId="33427297" w14:textId="77777777" w:rsidR="00B61B96" w:rsidRPr="00FF207E" w:rsidRDefault="00B61B96"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732DB08" w14:textId="77777777" w:rsidR="00B61B96" w:rsidRPr="00FF207E" w:rsidRDefault="00B61B96"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5098306" w14:textId="3F613AD0" w:rsidR="00B61B96" w:rsidRPr="00FF207E" w:rsidRDefault="00B61B96" w:rsidP="001E304B">
            <w:pPr>
              <w:spacing w:line="240" w:lineRule="atLeast"/>
              <w:jc w:val="both"/>
              <w:rPr>
                <w:rFonts w:cs="Arial"/>
                <w:sz w:val="20"/>
                <w:szCs w:val="20"/>
                <w:lang w:val="sl-SI"/>
              </w:rPr>
            </w:pPr>
            <w:r w:rsidRPr="00FF207E">
              <w:rPr>
                <w:rFonts w:cs="Arial"/>
                <w:sz w:val="20"/>
                <w:szCs w:val="20"/>
                <w:lang w:val="sl-SI"/>
              </w:rPr>
              <w:t>MDDSZ</w:t>
            </w:r>
          </w:p>
        </w:tc>
      </w:tr>
      <w:tr w:rsidR="00B61B96" w:rsidRPr="00FF207E" w14:paraId="6CA129B3" w14:textId="77777777" w:rsidTr="00C24955">
        <w:tc>
          <w:tcPr>
            <w:tcW w:w="567" w:type="dxa"/>
            <w:vMerge/>
            <w:tcBorders>
              <w:left w:val="nil"/>
              <w:bottom w:val="single" w:sz="4" w:space="0" w:color="548DD4" w:themeColor="text2" w:themeTint="99"/>
              <w:right w:val="single" w:sz="4" w:space="0" w:color="548DD4" w:themeColor="text2" w:themeTint="99"/>
            </w:tcBorders>
          </w:tcPr>
          <w:p w14:paraId="3A1858EC" w14:textId="77777777" w:rsidR="00B61B96" w:rsidRPr="00FF207E" w:rsidRDefault="00B61B96"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53181B6B" w14:textId="77777777" w:rsidR="00B61B96" w:rsidRPr="00FF207E" w:rsidRDefault="00B61B96"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5EE0AEDC" w14:textId="5DC99FE0" w:rsidR="00B61B96" w:rsidRPr="00FF207E" w:rsidRDefault="00B61B96" w:rsidP="001E304B">
            <w:pPr>
              <w:spacing w:line="240" w:lineRule="atLeast"/>
              <w:jc w:val="both"/>
              <w:rPr>
                <w:rFonts w:cs="Arial"/>
                <w:sz w:val="20"/>
                <w:szCs w:val="20"/>
                <w:lang w:val="sl-SI"/>
              </w:rPr>
            </w:pPr>
            <w:r w:rsidRPr="00FF207E">
              <w:rPr>
                <w:rFonts w:cs="Arial"/>
                <w:sz w:val="20"/>
                <w:szCs w:val="20"/>
                <w:lang w:val="sl-SI"/>
              </w:rPr>
              <w:t>CSD</w:t>
            </w:r>
            <w:r w:rsidR="000D2E36" w:rsidRPr="00FF207E">
              <w:rPr>
                <w:rFonts w:cs="Arial"/>
                <w:sz w:val="20"/>
                <w:szCs w:val="20"/>
                <w:lang w:val="sl-SI"/>
              </w:rPr>
              <w:t xml:space="preserve">, </w:t>
            </w:r>
            <w:proofErr w:type="spellStart"/>
            <w:r w:rsidR="000D2E36" w:rsidRPr="00FF207E">
              <w:rPr>
                <w:rFonts w:cs="Arial"/>
                <w:sz w:val="20"/>
                <w:szCs w:val="20"/>
                <w:lang w:val="sl-SI"/>
              </w:rPr>
              <w:t>Eko</w:t>
            </w:r>
            <w:proofErr w:type="spellEnd"/>
            <w:r w:rsidR="000D2E36" w:rsidRPr="00FF207E">
              <w:rPr>
                <w:rFonts w:cs="Arial"/>
                <w:sz w:val="20"/>
                <w:szCs w:val="20"/>
                <w:lang w:val="sl-SI"/>
              </w:rPr>
              <w:t xml:space="preserve"> sklad</w:t>
            </w:r>
            <w:r w:rsidR="00801298" w:rsidRPr="00FF207E">
              <w:rPr>
                <w:rFonts w:cs="Arial"/>
                <w:sz w:val="20"/>
                <w:szCs w:val="20"/>
                <w:lang w:val="sl-SI"/>
              </w:rPr>
              <w:t>, neformalna mreža za informiranje in ozaveščanje</w:t>
            </w:r>
          </w:p>
        </w:tc>
      </w:tr>
      <w:tr w:rsidR="00B61B96" w:rsidRPr="00FF207E" w14:paraId="64B17DD0" w14:textId="77777777" w:rsidTr="00C24955">
        <w:tc>
          <w:tcPr>
            <w:tcW w:w="567" w:type="dxa"/>
            <w:vMerge/>
            <w:tcBorders>
              <w:left w:val="nil"/>
              <w:bottom w:val="single" w:sz="4" w:space="0" w:color="548DD4" w:themeColor="text2" w:themeTint="99"/>
              <w:right w:val="single" w:sz="4" w:space="0" w:color="548DD4" w:themeColor="text2" w:themeTint="99"/>
            </w:tcBorders>
          </w:tcPr>
          <w:p w14:paraId="7DC9BAEC" w14:textId="77777777" w:rsidR="00B61B96" w:rsidRPr="00FF207E" w:rsidRDefault="00B61B96"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3F14FC86" w14:textId="77777777" w:rsidR="00B61B96" w:rsidRPr="00FF207E" w:rsidRDefault="00B61B96"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23288636" w14:textId="2894EB96" w:rsidR="00B61B96" w:rsidRPr="00FF207E" w:rsidRDefault="00FF6853" w:rsidP="001E304B">
            <w:pPr>
              <w:spacing w:line="240" w:lineRule="atLeast"/>
              <w:jc w:val="both"/>
              <w:rPr>
                <w:rFonts w:cs="Arial"/>
                <w:sz w:val="20"/>
                <w:szCs w:val="20"/>
                <w:lang w:val="sl-SI"/>
              </w:rPr>
            </w:pPr>
            <w:r w:rsidRPr="00FF207E">
              <w:rPr>
                <w:rFonts w:cs="Arial"/>
                <w:sz w:val="20"/>
                <w:szCs w:val="20"/>
                <w:lang w:val="sl-SI"/>
              </w:rPr>
              <w:t>2024</w:t>
            </w:r>
          </w:p>
        </w:tc>
      </w:tr>
      <w:tr w:rsidR="005D14CA" w:rsidRPr="00FF207E" w14:paraId="769ED196" w14:textId="77777777" w:rsidTr="005C2342">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581F7B18" w14:textId="77777777" w:rsidR="005D14CA" w:rsidRPr="00FF207E" w:rsidRDefault="005D14CA" w:rsidP="001E304B">
            <w:pPr>
              <w:spacing w:line="240" w:lineRule="atLeast"/>
              <w:jc w:val="both"/>
              <w:rPr>
                <w:rFonts w:cs="Arial"/>
                <w:b/>
                <w:sz w:val="24"/>
                <w:lang w:val="sl-SI"/>
              </w:rPr>
            </w:pPr>
            <w:bookmarkStart w:id="110" w:name="_Dodatek__za"/>
            <w:bookmarkEnd w:id="110"/>
            <w:r w:rsidRPr="00FF207E">
              <w:rPr>
                <w:rFonts w:cs="Arial"/>
                <w:b/>
                <w:sz w:val="24"/>
                <w:lang w:val="sl-SI"/>
              </w:rPr>
              <w:t>4</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4AC22142" w14:textId="77777777" w:rsidR="005D14CA" w:rsidRPr="00FF207E" w:rsidRDefault="005D14CA"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1482BD24" w14:textId="1B073470" w:rsidR="005D14CA" w:rsidRPr="00FF207E" w:rsidRDefault="00B4534D" w:rsidP="001E304B">
            <w:pPr>
              <w:spacing w:line="240" w:lineRule="atLeast"/>
              <w:jc w:val="both"/>
              <w:rPr>
                <w:rFonts w:cs="Arial"/>
                <w:sz w:val="20"/>
                <w:szCs w:val="20"/>
                <w:lang w:val="sl-SI"/>
              </w:rPr>
            </w:pPr>
            <w:r w:rsidRPr="00FF207E">
              <w:rPr>
                <w:rFonts w:cs="Arial"/>
                <w:sz w:val="20"/>
                <w:szCs w:val="20"/>
                <w:lang w:val="sl-SI"/>
              </w:rPr>
              <w:t>v</w:t>
            </w:r>
            <w:r w:rsidR="005D14CA" w:rsidRPr="00FF207E">
              <w:rPr>
                <w:rFonts w:cs="Arial"/>
                <w:sz w:val="20"/>
                <w:szCs w:val="20"/>
                <w:lang w:val="sl-SI"/>
              </w:rPr>
              <w:t>rednotenje učinkov in po potrebi sprememb</w:t>
            </w:r>
            <w:r w:rsidR="00154E01" w:rsidRPr="00FF207E">
              <w:rPr>
                <w:rFonts w:cs="Arial"/>
                <w:sz w:val="20"/>
                <w:szCs w:val="20"/>
                <w:lang w:val="sl-SI"/>
              </w:rPr>
              <w:t>a</w:t>
            </w:r>
            <w:r w:rsidR="005D14CA" w:rsidRPr="00FF207E">
              <w:rPr>
                <w:rFonts w:cs="Arial"/>
                <w:sz w:val="20"/>
                <w:szCs w:val="20"/>
                <w:lang w:val="sl-SI"/>
              </w:rPr>
              <w:t xml:space="preserve"> navodil</w:t>
            </w:r>
          </w:p>
        </w:tc>
      </w:tr>
      <w:tr w:rsidR="005D14CA" w:rsidRPr="00FF207E" w14:paraId="2B047E98" w14:textId="77777777" w:rsidTr="005C2342">
        <w:tc>
          <w:tcPr>
            <w:tcW w:w="567" w:type="dxa"/>
            <w:vMerge/>
            <w:tcBorders>
              <w:left w:val="nil"/>
              <w:bottom w:val="single" w:sz="4" w:space="0" w:color="548DD4" w:themeColor="text2" w:themeTint="99"/>
              <w:right w:val="single" w:sz="4" w:space="0" w:color="548DD4" w:themeColor="text2" w:themeTint="99"/>
            </w:tcBorders>
          </w:tcPr>
          <w:p w14:paraId="45DB5A95" w14:textId="77777777" w:rsidR="005D14CA" w:rsidRPr="00FF207E" w:rsidRDefault="005D14CA"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0B2EDFF9" w14:textId="77777777" w:rsidR="005D14CA" w:rsidRPr="00FF207E" w:rsidRDefault="005D14CA"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2052FEC5" w14:textId="77777777" w:rsidR="005D14CA" w:rsidRPr="00FF207E" w:rsidRDefault="005D14CA" w:rsidP="001E304B">
            <w:pPr>
              <w:spacing w:line="240" w:lineRule="atLeast"/>
              <w:jc w:val="both"/>
              <w:rPr>
                <w:rFonts w:cs="Arial"/>
                <w:sz w:val="20"/>
                <w:szCs w:val="20"/>
                <w:lang w:val="sl-SI"/>
              </w:rPr>
            </w:pPr>
            <w:r w:rsidRPr="00FF207E">
              <w:rPr>
                <w:rFonts w:cs="Arial"/>
                <w:sz w:val="20"/>
                <w:szCs w:val="20"/>
                <w:lang w:val="sl-SI"/>
              </w:rPr>
              <w:t>MDDSZ</w:t>
            </w:r>
          </w:p>
        </w:tc>
      </w:tr>
      <w:tr w:rsidR="005D14CA" w:rsidRPr="00FF207E" w14:paraId="55386777" w14:textId="77777777" w:rsidTr="005C2342">
        <w:tc>
          <w:tcPr>
            <w:tcW w:w="567" w:type="dxa"/>
            <w:vMerge/>
            <w:tcBorders>
              <w:left w:val="nil"/>
              <w:bottom w:val="single" w:sz="4" w:space="0" w:color="548DD4" w:themeColor="text2" w:themeTint="99"/>
              <w:right w:val="single" w:sz="4" w:space="0" w:color="548DD4" w:themeColor="text2" w:themeTint="99"/>
            </w:tcBorders>
          </w:tcPr>
          <w:p w14:paraId="66795B71" w14:textId="77777777" w:rsidR="005D14CA" w:rsidRPr="00FF207E" w:rsidRDefault="005D14CA"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58B5F02A" w14:textId="77777777" w:rsidR="005D14CA" w:rsidRPr="00FF207E" w:rsidRDefault="005D14CA"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56CB6D99" w14:textId="7E735AEA" w:rsidR="005D14CA" w:rsidRPr="00FF207E" w:rsidRDefault="005D14CA" w:rsidP="001E304B">
            <w:pPr>
              <w:spacing w:line="240" w:lineRule="atLeast"/>
              <w:jc w:val="both"/>
              <w:rPr>
                <w:rFonts w:cs="Arial"/>
                <w:sz w:val="20"/>
                <w:szCs w:val="20"/>
                <w:lang w:val="sl-SI"/>
              </w:rPr>
            </w:pPr>
            <w:r w:rsidRPr="00FF207E">
              <w:rPr>
                <w:rFonts w:cs="Arial"/>
                <w:sz w:val="20"/>
                <w:szCs w:val="20"/>
                <w:lang w:val="sl-SI"/>
              </w:rPr>
              <w:t xml:space="preserve">CSD, </w:t>
            </w:r>
            <w:proofErr w:type="spellStart"/>
            <w:r w:rsidRPr="00FF207E">
              <w:rPr>
                <w:rFonts w:cs="Arial"/>
                <w:sz w:val="20"/>
                <w:szCs w:val="20"/>
                <w:lang w:val="sl-SI"/>
              </w:rPr>
              <w:t>Eko</w:t>
            </w:r>
            <w:proofErr w:type="spellEnd"/>
            <w:r w:rsidRPr="00FF207E">
              <w:rPr>
                <w:rFonts w:cs="Arial"/>
                <w:sz w:val="20"/>
                <w:szCs w:val="20"/>
                <w:lang w:val="sl-SI"/>
              </w:rPr>
              <w:t xml:space="preserve"> sklad</w:t>
            </w:r>
          </w:p>
        </w:tc>
      </w:tr>
      <w:tr w:rsidR="005D14CA" w:rsidRPr="00FF207E" w14:paraId="34B86F6D" w14:textId="77777777" w:rsidTr="005C2342">
        <w:tc>
          <w:tcPr>
            <w:tcW w:w="567" w:type="dxa"/>
            <w:vMerge/>
            <w:tcBorders>
              <w:left w:val="nil"/>
              <w:bottom w:val="single" w:sz="4" w:space="0" w:color="548DD4" w:themeColor="text2" w:themeTint="99"/>
              <w:right w:val="single" w:sz="4" w:space="0" w:color="548DD4" w:themeColor="text2" w:themeTint="99"/>
            </w:tcBorders>
          </w:tcPr>
          <w:p w14:paraId="6FE614BF" w14:textId="77777777" w:rsidR="005D14CA" w:rsidRPr="00FF207E" w:rsidRDefault="005D14CA"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68B6DF64" w14:textId="77777777" w:rsidR="005D14CA" w:rsidRPr="00FF207E" w:rsidRDefault="005D14CA"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4AA4F0D8" w14:textId="3B9DC2D2" w:rsidR="005D14CA" w:rsidRPr="00FF207E" w:rsidRDefault="00FF6853" w:rsidP="001E304B">
            <w:pPr>
              <w:spacing w:line="240" w:lineRule="atLeast"/>
              <w:jc w:val="both"/>
              <w:rPr>
                <w:rFonts w:cs="Arial"/>
                <w:sz w:val="20"/>
                <w:szCs w:val="20"/>
                <w:lang w:val="sl-SI"/>
              </w:rPr>
            </w:pPr>
            <w:r w:rsidRPr="00FF207E">
              <w:rPr>
                <w:rFonts w:cs="Arial"/>
                <w:sz w:val="20"/>
                <w:szCs w:val="20"/>
                <w:lang w:val="sl-SI"/>
              </w:rPr>
              <w:t>2025</w:t>
            </w:r>
          </w:p>
        </w:tc>
      </w:tr>
    </w:tbl>
    <w:p w14:paraId="54AF01F8" w14:textId="20988634" w:rsidR="003800A0" w:rsidRPr="00FF207E" w:rsidRDefault="003800A0" w:rsidP="00950C97">
      <w:pPr>
        <w:pStyle w:val="Naslov2"/>
        <w:numPr>
          <w:ilvl w:val="1"/>
          <w:numId w:val="2"/>
        </w:numPr>
        <w:jc w:val="both"/>
        <w:rPr>
          <w:lang w:val="sl-SI"/>
        </w:rPr>
      </w:pPr>
      <w:bookmarkStart w:id="111" w:name="_Toc151148807"/>
      <w:r w:rsidRPr="00FF207E">
        <w:rPr>
          <w:lang w:val="sl-SI"/>
        </w:rPr>
        <w:t>Dodatek za blaženje energetske revščine, tudi draginjski dodatek</w:t>
      </w:r>
      <w:bookmarkEnd w:id="111"/>
    </w:p>
    <w:tbl>
      <w:tblPr>
        <w:tblStyle w:val="Tabelamrea"/>
        <w:tblW w:w="0" w:type="auto"/>
        <w:tblLook w:val="04A0" w:firstRow="1" w:lastRow="0" w:firstColumn="1" w:lastColumn="0" w:noHBand="0" w:noVBand="1"/>
      </w:tblPr>
      <w:tblGrid>
        <w:gridCol w:w="567"/>
        <w:gridCol w:w="2405"/>
        <w:gridCol w:w="6090"/>
      </w:tblGrid>
      <w:tr w:rsidR="00451B1C" w:rsidRPr="00FF207E" w14:paraId="1796D2A7" w14:textId="77777777" w:rsidTr="00B05268">
        <w:tc>
          <w:tcPr>
            <w:tcW w:w="2972" w:type="dxa"/>
            <w:gridSpan w:val="2"/>
            <w:tcBorders>
              <w:top w:val="nil"/>
              <w:left w:val="nil"/>
              <w:bottom w:val="nil"/>
              <w:right w:val="single" w:sz="4" w:space="0" w:color="548DD4" w:themeColor="text2" w:themeTint="99"/>
            </w:tcBorders>
            <w:shd w:val="clear" w:color="auto" w:fill="548DD4" w:themeFill="text2" w:themeFillTint="99"/>
            <w:vAlign w:val="center"/>
          </w:tcPr>
          <w:p w14:paraId="0B6B26EE" w14:textId="60ADA45E" w:rsidR="00451B1C" w:rsidRPr="00FF207E" w:rsidRDefault="00451B1C" w:rsidP="001E304B">
            <w:pPr>
              <w:spacing w:before="40" w:after="40"/>
              <w:jc w:val="both"/>
              <w:rPr>
                <w:rFonts w:cs="Arial"/>
                <w:b/>
                <w:color w:val="FFFFFF" w:themeColor="background1"/>
                <w:lang w:val="sl-SI"/>
              </w:rPr>
            </w:pPr>
            <w:r w:rsidRPr="00FF207E">
              <w:rPr>
                <w:rFonts w:cs="Arial"/>
                <w:b/>
                <w:color w:val="FFFFFF" w:themeColor="background1"/>
                <w:lang w:val="sl-SI"/>
              </w:rPr>
              <w:t>ER_Blž-02</w:t>
            </w:r>
          </w:p>
        </w:tc>
        <w:tc>
          <w:tcPr>
            <w:tcW w:w="6090" w:type="dxa"/>
            <w:tcBorders>
              <w:top w:val="nil"/>
              <w:left w:val="single" w:sz="4" w:space="0" w:color="548DD4" w:themeColor="text2" w:themeTint="99"/>
              <w:bottom w:val="nil"/>
              <w:right w:val="nil"/>
            </w:tcBorders>
            <w:shd w:val="clear" w:color="auto" w:fill="548DD4" w:themeFill="text2" w:themeFillTint="99"/>
            <w:vAlign w:val="center"/>
          </w:tcPr>
          <w:p w14:paraId="28C1383A" w14:textId="138056E0" w:rsidR="00451B1C" w:rsidRPr="00FF207E" w:rsidRDefault="00451B1C" w:rsidP="001E304B">
            <w:pPr>
              <w:pStyle w:val="Naslov5"/>
              <w:spacing w:line="260" w:lineRule="atLeast"/>
              <w:jc w:val="both"/>
            </w:pPr>
            <w:bookmarkStart w:id="112" w:name="_Dodatek_za_blaženje"/>
            <w:bookmarkStart w:id="113" w:name="_Ref120100232"/>
            <w:bookmarkEnd w:id="112"/>
            <w:r w:rsidRPr="00FF207E">
              <w:t>Dodatek za blaženje energetske revščine, tudi draginjski dodatek</w:t>
            </w:r>
            <w:bookmarkEnd w:id="113"/>
          </w:p>
        </w:tc>
      </w:tr>
      <w:tr w:rsidR="00451B1C" w:rsidRPr="00FF207E" w14:paraId="1FF9F88B" w14:textId="77777777" w:rsidTr="00B05268">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101C1262" w14:textId="77777777" w:rsidR="00451B1C" w:rsidRPr="00FF207E" w:rsidRDefault="00451B1C" w:rsidP="001E304B">
            <w:pPr>
              <w:spacing w:before="60" w:after="60" w:line="240" w:lineRule="atLeast"/>
              <w:jc w:val="both"/>
              <w:rPr>
                <w:rFonts w:cs="Arial"/>
                <w:b/>
                <w:szCs w:val="22"/>
                <w:lang w:val="sl-SI"/>
              </w:rPr>
            </w:pPr>
            <w:r w:rsidRPr="00FF207E">
              <w:rPr>
                <w:rFonts w:cs="Arial"/>
                <w:b/>
                <w:szCs w:val="22"/>
                <w:lang w:val="sl-SI"/>
              </w:rPr>
              <w:t>Osnovne informacije</w:t>
            </w:r>
          </w:p>
        </w:tc>
      </w:tr>
      <w:tr w:rsidR="00451B1C" w:rsidRPr="00FF207E" w14:paraId="075E6C05" w14:textId="77777777" w:rsidTr="00C24955">
        <w:tc>
          <w:tcPr>
            <w:tcW w:w="2972" w:type="dxa"/>
            <w:gridSpan w:val="2"/>
            <w:tcBorders>
              <w:top w:val="nil"/>
              <w:left w:val="nil"/>
              <w:bottom w:val="single" w:sz="4" w:space="0" w:color="548DD4" w:themeColor="text2" w:themeTint="99"/>
              <w:right w:val="single" w:sz="4" w:space="0" w:color="548DD4" w:themeColor="text2" w:themeTint="99"/>
            </w:tcBorders>
          </w:tcPr>
          <w:p w14:paraId="53C0B626" w14:textId="77777777" w:rsidR="00451B1C" w:rsidRPr="00FF207E" w:rsidRDefault="00451B1C" w:rsidP="001E304B">
            <w:pPr>
              <w:spacing w:line="240" w:lineRule="atLeast"/>
              <w:jc w:val="both"/>
              <w:rPr>
                <w:rFonts w:cs="Arial"/>
                <w:spacing w:val="-4"/>
                <w:sz w:val="20"/>
                <w:szCs w:val="20"/>
                <w:lang w:val="sl-SI"/>
              </w:rPr>
            </w:pPr>
            <w:r w:rsidRPr="00FF207E">
              <w:rPr>
                <w:rFonts w:cs="Arial"/>
                <w:spacing w:val="-4"/>
                <w:sz w:val="20"/>
                <w:szCs w:val="20"/>
                <w:lang w:val="sl-SI"/>
              </w:rPr>
              <w:t>Odgovornost za izvedbo ukrepa</w:t>
            </w:r>
          </w:p>
        </w:tc>
        <w:tc>
          <w:tcPr>
            <w:tcW w:w="6090" w:type="dxa"/>
            <w:tcBorders>
              <w:top w:val="nil"/>
              <w:left w:val="single" w:sz="4" w:space="0" w:color="548DD4" w:themeColor="text2" w:themeTint="99"/>
              <w:bottom w:val="single" w:sz="4" w:space="0" w:color="548DD4" w:themeColor="text2" w:themeTint="99"/>
              <w:right w:val="nil"/>
            </w:tcBorders>
          </w:tcPr>
          <w:p w14:paraId="2318BEDA" w14:textId="057A85CD" w:rsidR="00451B1C" w:rsidRPr="00FF207E" w:rsidRDefault="00451B1C" w:rsidP="001E304B">
            <w:pPr>
              <w:spacing w:line="240" w:lineRule="atLeast"/>
              <w:jc w:val="both"/>
              <w:rPr>
                <w:rFonts w:cs="Arial"/>
                <w:sz w:val="20"/>
                <w:szCs w:val="20"/>
                <w:lang w:val="sl-SI"/>
              </w:rPr>
            </w:pPr>
            <w:r w:rsidRPr="00FF207E">
              <w:rPr>
                <w:rFonts w:cs="Arial"/>
                <w:sz w:val="20"/>
                <w:szCs w:val="20"/>
                <w:lang w:val="sl-SI"/>
              </w:rPr>
              <w:t xml:space="preserve">MDDSZ, </w:t>
            </w:r>
            <w:r w:rsidR="00490AF5" w:rsidRPr="00FF207E">
              <w:rPr>
                <w:rFonts w:cs="Arial"/>
                <w:sz w:val="20"/>
                <w:szCs w:val="20"/>
                <w:lang w:val="sl-SI"/>
              </w:rPr>
              <w:t>MOPE</w:t>
            </w:r>
          </w:p>
        </w:tc>
      </w:tr>
      <w:tr w:rsidR="00451B1C" w:rsidRPr="00FF207E" w14:paraId="06A646D6" w14:textId="77777777" w:rsidTr="00C24955">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4C629F7B" w14:textId="77777777" w:rsidR="00451B1C" w:rsidRPr="00FF207E" w:rsidRDefault="00451B1C"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7E8D1D34" w14:textId="1D7C0EB6" w:rsidR="00451B1C" w:rsidRPr="00FF207E" w:rsidRDefault="005A156F" w:rsidP="001E304B">
            <w:pPr>
              <w:spacing w:line="240" w:lineRule="atLeast"/>
              <w:jc w:val="both"/>
              <w:rPr>
                <w:rFonts w:cs="Arial"/>
                <w:sz w:val="20"/>
                <w:szCs w:val="20"/>
                <w:lang w:val="sl-SI"/>
              </w:rPr>
            </w:pPr>
            <w:r w:rsidRPr="00FF207E">
              <w:rPr>
                <w:rFonts w:cs="Arial"/>
                <w:sz w:val="20"/>
                <w:szCs w:val="20"/>
                <w:lang w:val="sl-SI"/>
              </w:rPr>
              <w:t xml:space="preserve">MF, </w:t>
            </w:r>
            <w:proofErr w:type="spellStart"/>
            <w:r w:rsidRPr="00FF207E">
              <w:rPr>
                <w:rFonts w:cs="Arial"/>
                <w:sz w:val="20"/>
                <w:szCs w:val="20"/>
                <w:lang w:val="sl-SI"/>
              </w:rPr>
              <w:t>Eko</w:t>
            </w:r>
            <w:proofErr w:type="spellEnd"/>
            <w:r w:rsidRPr="00FF207E">
              <w:rPr>
                <w:rFonts w:cs="Arial"/>
                <w:sz w:val="20"/>
                <w:szCs w:val="20"/>
                <w:lang w:val="sl-SI"/>
              </w:rPr>
              <w:t xml:space="preserve"> sklad, humanitarne organizacije</w:t>
            </w:r>
          </w:p>
        </w:tc>
      </w:tr>
      <w:tr w:rsidR="00451B1C" w:rsidRPr="00FF207E" w14:paraId="6DB0FFF5" w14:textId="77777777" w:rsidTr="00C24955">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33F8256F" w14:textId="77777777" w:rsidR="00451B1C" w:rsidRPr="00FF207E" w:rsidRDefault="00451B1C" w:rsidP="001E304B">
            <w:pPr>
              <w:spacing w:line="240" w:lineRule="atLeast"/>
              <w:jc w:val="both"/>
              <w:rPr>
                <w:rFonts w:cs="Arial"/>
                <w:sz w:val="20"/>
                <w:szCs w:val="20"/>
                <w:lang w:val="sl-SI"/>
              </w:rPr>
            </w:pPr>
            <w:r w:rsidRPr="00FF207E">
              <w:rPr>
                <w:rFonts w:cs="Arial"/>
                <w:sz w:val="20"/>
                <w:szCs w:val="20"/>
                <w:lang w:val="sl-SI"/>
              </w:rPr>
              <w:t>Strateške podlage in njihova veljavnost</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3DD79766" w14:textId="454EFE3A" w:rsidR="00B61B96" w:rsidRPr="00FF207E" w:rsidRDefault="00B4534D" w:rsidP="001E304B">
            <w:pPr>
              <w:spacing w:line="240" w:lineRule="atLeast"/>
              <w:jc w:val="both"/>
              <w:rPr>
                <w:rFonts w:cs="Arial"/>
                <w:sz w:val="20"/>
                <w:szCs w:val="20"/>
                <w:lang w:val="sl-SI"/>
              </w:rPr>
            </w:pPr>
            <w:r w:rsidRPr="00FF207E">
              <w:rPr>
                <w:rFonts w:cs="Arial"/>
                <w:sz w:val="20"/>
                <w:szCs w:val="20"/>
                <w:lang w:val="sl-SI"/>
              </w:rPr>
              <w:t>p</w:t>
            </w:r>
            <w:r w:rsidR="009775F7" w:rsidRPr="00FF207E">
              <w:rPr>
                <w:rFonts w:cs="Arial"/>
                <w:sz w:val="20"/>
                <w:szCs w:val="20"/>
                <w:lang w:val="sl-SI"/>
              </w:rPr>
              <w:t xml:space="preserve">rva izvedba ukrepa: </w:t>
            </w:r>
            <w:r w:rsidR="00B61B96" w:rsidRPr="00FF207E">
              <w:rPr>
                <w:rFonts w:cs="Arial"/>
                <w:sz w:val="20"/>
                <w:szCs w:val="20"/>
                <w:lang w:val="sl-SI"/>
              </w:rPr>
              <w:t>Zakon o nujnih ukrepih za omilitev posledic zaradi vpliva visokih cen energentov</w:t>
            </w:r>
            <w:r w:rsidR="009775F7" w:rsidRPr="00FF207E">
              <w:rPr>
                <w:rFonts w:cs="Arial"/>
                <w:sz w:val="20"/>
                <w:szCs w:val="20"/>
                <w:lang w:val="sl-SI"/>
              </w:rPr>
              <w:t xml:space="preserve"> (Ur</w:t>
            </w:r>
            <w:r w:rsidR="00943875" w:rsidRPr="00FF207E">
              <w:rPr>
                <w:rFonts w:cs="Arial"/>
                <w:sz w:val="20"/>
                <w:szCs w:val="20"/>
                <w:lang w:val="sl-SI"/>
              </w:rPr>
              <w:t>adni</w:t>
            </w:r>
            <w:r w:rsidR="009775F7" w:rsidRPr="00FF207E">
              <w:rPr>
                <w:rFonts w:cs="Arial"/>
                <w:sz w:val="20"/>
                <w:szCs w:val="20"/>
                <w:lang w:val="sl-SI"/>
              </w:rPr>
              <w:t xml:space="preserve"> l</w:t>
            </w:r>
            <w:r w:rsidR="00943875" w:rsidRPr="00FF207E">
              <w:rPr>
                <w:rFonts w:cs="Arial"/>
                <w:sz w:val="20"/>
                <w:szCs w:val="20"/>
                <w:lang w:val="sl-SI"/>
              </w:rPr>
              <w:t>ist</w:t>
            </w:r>
            <w:r w:rsidR="009775F7" w:rsidRPr="00FF207E">
              <w:rPr>
                <w:rFonts w:cs="Arial"/>
                <w:sz w:val="20"/>
                <w:szCs w:val="20"/>
                <w:lang w:val="sl-SI"/>
              </w:rPr>
              <w:t xml:space="preserve"> RS, št. 29/22)</w:t>
            </w:r>
            <w:r w:rsidRPr="00FF207E">
              <w:rPr>
                <w:rFonts w:cs="Arial"/>
                <w:sz w:val="20"/>
                <w:szCs w:val="20"/>
                <w:lang w:val="sl-SI"/>
              </w:rPr>
              <w:t>;</w:t>
            </w:r>
          </w:p>
          <w:p w14:paraId="51C0D4D0" w14:textId="095F018B" w:rsidR="009775F7" w:rsidRPr="00FF207E" w:rsidRDefault="00B4534D" w:rsidP="005B385E">
            <w:pPr>
              <w:spacing w:line="240" w:lineRule="atLeast"/>
              <w:jc w:val="both"/>
              <w:rPr>
                <w:rFonts w:cs="Arial"/>
                <w:sz w:val="20"/>
                <w:szCs w:val="20"/>
                <w:lang w:val="sl-SI"/>
              </w:rPr>
            </w:pPr>
            <w:r w:rsidRPr="00FF207E">
              <w:rPr>
                <w:rFonts w:cs="Arial"/>
                <w:sz w:val="20"/>
                <w:szCs w:val="20"/>
                <w:lang w:val="sl-SI"/>
              </w:rPr>
              <w:t>d</w:t>
            </w:r>
            <w:r w:rsidR="009775F7" w:rsidRPr="00FF207E">
              <w:rPr>
                <w:rFonts w:cs="Arial"/>
                <w:sz w:val="20"/>
                <w:szCs w:val="20"/>
                <w:lang w:val="sl-SI"/>
              </w:rPr>
              <w:t>ruga izvedba ukrepa: Zakon o začasnih ukrepih za odpravo posledic draginje za najbolj ranljive skupine prebivalstva (Ur</w:t>
            </w:r>
            <w:r w:rsidR="00943875" w:rsidRPr="00FF207E">
              <w:rPr>
                <w:rFonts w:cs="Arial"/>
                <w:sz w:val="20"/>
                <w:szCs w:val="20"/>
                <w:lang w:val="sl-SI"/>
              </w:rPr>
              <w:t>adni</w:t>
            </w:r>
            <w:r w:rsidR="009775F7" w:rsidRPr="00FF207E">
              <w:rPr>
                <w:rFonts w:cs="Arial"/>
                <w:sz w:val="20"/>
                <w:szCs w:val="20"/>
                <w:lang w:val="sl-SI"/>
              </w:rPr>
              <w:t xml:space="preserve"> l</w:t>
            </w:r>
            <w:r w:rsidR="00943875" w:rsidRPr="00FF207E">
              <w:rPr>
                <w:rFonts w:cs="Arial"/>
                <w:sz w:val="20"/>
                <w:szCs w:val="20"/>
                <w:lang w:val="sl-SI"/>
              </w:rPr>
              <w:t>ist</w:t>
            </w:r>
            <w:r w:rsidR="009775F7" w:rsidRPr="00FF207E">
              <w:rPr>
                <w:rFonts w:cs="Arial"/>
                <w:sz w:val="20"/>
                <w:szCs w:val="20"/>
                <w:lang w:val="sl-SI"/>
              </w:rPr>
              <w:t xml:space="preserve"> RS, št. 117/22)</w:t>
            </w:r>
          </w:p>
        </w:tc>
      </w:tr>
      <w:tr w:rsidR="00451B1C" w:rsidRPr="00FF207E" w14:paraId="3E506910" w14:textId="77777777" w:rsidTr="00C24955">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3A585663" w14:textId="77777777" w:rsidR="00451B1C" w:rsidRPr="00FF207E" w:rsidRDefault="00451B1C" w:rsidP="001E304B">
            <w:pPr>
              <w:spacing w:line="240" w:lineRule="atLeast"/>
              <w:jc w:val="both"/>
              <w:rPr>
                <w:rFonts w:cs="Arial"/>
                <w:sz w:val="20"/>
                <w:szCs w:val="20"/>
                <w:lang w:val="sl-SI"/>
              </w:rPr>
            </w:pPr>
            <w:r w:rsidRPr="00FF207E">
              <w:rPr>
                <w:rFonts w:cs="Arial"/>
                <w:sz w:val="20"/>
                <w:szCs w:val="20"/>
                <w:lang w:val="sl-SI"/>
              </w:rPr>
              <w:t>Veljavnost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9F6DB85" w14:textId="58CE9B7C" w:rsidR="00451B1C" w:rsidRPr="00FF207E" w:rsidRDefault="00451B1C" w:rsidP="001E304B">
            <w:pPr>
              <w:spacing w:line="240" w:lineRule="atLeast"/>
              <w:jc w:val="both"/>
              <w:rPr>
                <w:rFonts w:cs="Arial"/>
                <w:sz w:val="20"/>
                <w:szCs w:val="20"/>
                <w:lang w:val="sl-SI"/>
              </w:rPr>
            </w:pPr>
            <w:r w:rsidRPr="00FF207E">
              <w:rPr>
                <w:rFonts w:cs="Arial"/>
                <w:sz w:val="20"/>
                <w:szCs w:val="20"/>
                <w:lang w:val="sl-SI"/>
              </w:rPr>
              <w:t>izredni ukrep</w:t>
            </w:r>
          </w:p>
        </w:tc>
      </w:tr>
      <w:tr w:rsidR="00451B1C" w:rsidRPr="00FF207E" w14:paraId="1C0D0FD8" w14:textId="77777777" w:rsidTr="00C24955">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DDB6C4C" w14:textId="77777777" w:rsidR="00451B1C" w:rsidRPr="00FF207E" w:rsidRDefault="00451B1C" w:rsidP="001E304B">
            <w:pPr>
              <w:spacing w:line="240" w:lineRule="atLeast"/>
              <w:jc w:val="both"/>
              <w:rPr>
                <w:rFonts w:cs="Arial"/>
                <w:sz w:val="20"/>
                <w:szCs w:val="20"/>
                <w:lang w:val="sl-SI"/>
              </w:rPr>
            </w:pPr>
            <w:r w:rsidRPr="00FF207E">
              <w:rPr>
                <w:rFonts w:cs="Arial"/>
                <w:sz w:val="20"/>
                <w:szCs w:val="20"/>
                <w:lang w:val="sl-SI"/>
              </w:rPr>
              <w:t>Vrsta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5D65F26" w14:textId="07833FEB" w:rsidR="00451B1C" w:rsidRPr="00FF207E" w:rsidRDefault="00451B1C" w:rsidP="001E304B">
            <w:pPr>
              <w:spacing w:line="240" w:lineRule="atLeast"/>
              <w:jc w:val="both"/>
              <w:rPr>
                <w:rFonts w:cs="Arial"/>
                <w:sz w:val="20"/>
                <w:szCs w:val="20"/>
                <w:lang w:val="sl-SI"/>
              </w:rPr>
            </w:pPr>
            <w:r w:rsidRPr="00FF207E">
              <w:rPr>
                <w:rFonts w:cs="Arial"/>
                <w:sz w:val="20"/>
                <w:szCs w:val="20"/>
                <w:lang w:val="sl-SI"/>
              </w:rPr>
              <w:t>ekonomski</w:t>
            </w:r>
          </w:p>
        </w:tc>
      </w:tr>
      <w:tr w:rsidR="00451B1C" w:rsidRPr="00FF207E" w14:paraId="18A37012" w14:textId="77777777" w:rsidTr="00C24955">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3C259F8B" w14:textId="77777777" w:rsidR="00451B1C" w:rsidRPr="00FF207E" w:rsidRDefault="00451B1C" w:rsidP="001E304B">
            <w:pPr>
              <w:spacing w:line="240" w:lineRule="atLeast"/>
              <w:jc w:val="both"/>
              <w:rPr>
                <w:rFonts w:cs="Arial"/>
                <w:sz w:val="20"/>
                <w:szCs w:val="20"/>
                <w:lang w:val="sl-SI"/>
              </w:rPr>
            </w:pPr>
            <w:r w:rsidRPr="00FF207E">
              <w:rPr>
                <w:rFonts w:cs="Arial"/>
                <w:sz w:val="20"/>
                <w:szCs w:val="20"/>
                <w:lang w:val="sl-SI"/>
              </w:rPr>
              <w:t>Pričakovani učinki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A667BAE" w14:textId="2EAE260C" w:rsidR="00451B1C" w:rsidRPr="00FF207E" w:rsidRDefault="00B61B96" w:rsidP="001E304B">
            <w:pPr>
              <w:spacing w:line="240" w:lineRule="atLeast"/>
              <w:jc w:val="both"/>
              <w:rPr>
                <w:rFonts w:cs="Arial"/>
                <w:sz w:val="20"/>
                <w:szCs w:val="20"/>
                <w:lang w:val="sl-SI"/>
              </w:rPr>
            </w:pPr>
            <w:r w:rsidRPr="00FF207E">
              <w:rPr>
                <w:rFonts w:cs="Arial"/>
                <w:sz w:val="20"/>
                <w:szCs w:val="20"/>
                <w:lang w:val="sl-SI"/>
              </w:rPr>
              <w:t xml:space="preserve">preprečevanje pojava ali poglobitve energetske revščine zaradi izrednih okoliščin; ukrep </w:t>
            </w:r>
            <w:r w:rsidR="009775F7" w:rsidRPr="00FF207E">
              <w:rPr>
                <w:rFonts w:cs="Arial"/>
                <w:sz w:val="20"/>
                <w:szCs w:val="20"/>
                <w:lang w:val="sl-SI"/>
              </w:rPr>
              <w:t>mora biti</w:t>
            </w:r>
            <w:r w:rsidRPr="00FF207E">
              <w:rPr>
                <w:rFonts w:cs="Arial"/>
                <w:sz w:val="20"/>
                <w:szCs w:val="20"/>
                <w:lang w:val="sl-SI"/>
              </w:rPr>
              <w:t xml:space="preserve"> natančno ciljno usmerjen</w:t>
            </w:r>
            <w:r w:rsidR="00B37E5B" w:rsidRPr="00FF207E">
              <w:rPr>
                <w:rFonts w:cs="Arial"/>
                <w:sz w:val="20"/>
                <w:szCs w:val="20"/>
                <w:lang w:val="sl-SI"/>
              </w:rPr>
              <w:t>, pri čemer se višina upravičenosti do bodoče pomoči določi upoštevajoč razpoložljivi  oz. prilagojeni razpoložljivi dohodek gospodinjstva.</w:t>
            </w:r>
          </w:p>
        </w:tc>
      </w:tr>
      <w:tr w:rsidR="00451B1C" w:rsidRPr="00FF207E" w14:paraId="4E0488D4" w14:textId="77777777" w:rsidTr="00B05268">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510F1C4F" w14:textId="77777777" w:rsidR="00451B1C" w:rsidRPr="00FF207E" w:rsidRDefault="00451B1C" w:rsidP="001E304B">
            <w:pPr>
              <w:spacing w:line="240" w:lineRule="atLeast"/>
              <w:jc w:val="both"/>
              <w:rPr>
                <w:rFonts w:cs="Arial"/>
                <w:sz w:val="20"/>
                <w:szCs w:val="20"/>
                <w:lang w:val="sl-SI"/>
              </w:rPr>
            </w:pPr>
            <w:r w:rsidRPr="00FF207E">
              <w:rPr>
                <w:rFonts w:cs="Arial"/>
                <w:sz w:val="20"/>
                <w:szCs w:val="20"/>
                <w:lang w:val="sl-SI"/>
              </w:rPr>
              <w:t>Status ukrepa</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EE5E2B7" w14:textId="1CCAD53D" w:rsidR="00451B1C" w:rsidRPr="00FF207E" w:rsidRDefault="00451B1C" w:rsidP="001E304B">
            <w:pPr>
              <w:spacing w:line="240" w:lineRule="atLeast"/>
              <w:jc w:val="both"/>
              <w:rPr>
                <w:rFonts w:cs="Arial"/>
                <w:sz w:val="20"/>
                <w:szCs w:val="20"/>
                <w:lang w:val="sl-SI"/>
              </w:rPr>
            </w:pPr>
            <w:r w:rsidRPr="00FF207E">
              <w:rPr>
                <w:rFonts w:cs="Arial"/>
                <w:sz w:val="20"/>
                <w:szCs w:val="20"/>
                <w:lang w:val="sl-SI"/>
              </w:rPr>
              <w:t>Izredni ukrep, katerega potrebnost se presoja glede na trenutne okoliščine. Prejemniki so do dodatka oz</w:t>
            </w:r>
            <w:r w:rsidR="00B77973" w:rsidRPr="00FF207E">
              <w:rPr>
                <w:rFonts w:cs="Arial"/>
                <w:sz w:val="20"/>
                <w:szCs w:val="20"/>
                <w:lang w:val="sl-SI"/>
              </w:rPr>
              <w:t>iroma</w:t>
            </w:r>
            <w:r w:rsidRPr="00FF207E">
              <w:rPr>
                <w:rFonts w:cs="Arial"/>
                <w:sz w:val="20"/>
                <w:szCs w:val="20"/>
                <w:lang w:val="sl-SI"/>
              </w:rPr>
              <w:t xml:space="preserve"> drugih ugodnosti upravičeni, ne da bi morali zanj posebej zaprositi.</w:t>
            </w:r>
          </w:p>
          <w:p w14:paraId="4BBDDE43" w14:textId="2C63514A" w:rsidR="00451B1C" w:rsidRPr="00FF207E" w:rsidRDefault="00451B1C" w:rsidP="005547CF">
            <w:pPr>
              <w:spacing w:before="60" w:line="240" w:lineRule="atLeast"/>
              <w:jc w:val="both"/>
              <w:rPr>
                <w:rFonts w:cs="Arial"/>
                <w:sz w:val="20"/>
                <w:szCs w:val="20"/>
                <w:lang w:val="sl-SI"/>
              </w:rPr>
            </w:pPr>
            <w:r w:rsidRPr="00FF207E">
              <w:rPr>
                <w:rFonts w:cs="Arial"/>
                <w:sz w:val="20"/>
                <w:szCs w:val="20"/>
                <w:lang w:val="sl-SI"/>
              </w:rPr>
              <w:t xml:space="preserve">Ukrep je bil prvič izveden spomladi 2022, ko je bilo za izboljšanje socialne varnosti ranljivih skupin izvedeno izplačilo enkratnega solidarnostnega dodatka v višini 150 </w:t>
            </w:r>
            <w:r w:rsidR="005547CF" w:rsidRPr="00FF207E">
              <w:rPr>
                <w:rFonts w:cs="Arial"/>
                <w:sz w:val="20"/>
                <w:szCs w:val="20"/>
                <w:lang w:val="sl-SI"/>
              </w:rPr>
              <w:t xml:space="preserve">evrov </w:t>
            </w:r>
            <w:r w:rsidRPr="00FF207E">
              <w:rPr>
                <w:rFonts w:cs="Arial"/>
                <w:sz w:val="20"/>
                <w:szCs w:val="20"/>
                <w:lang w:val="sl-SI"/>
              </w:rPr>
              <w:t xml:space="preserve">(sredstva iz Sklada za podnebne spremembe) za namen odprave posledic povečanja cen energentov. Krog upravičencev je bil zelo širok, od upokojencev do </w:t>
            </w:r>
            <w:r w:rsidRPr="00FF207E">
              <w:rPr>
                <w:rFonts w:cs="Arial"/>
                <w:sz w:val="20"/>
                <w:szCs w:val="20"/>
                <w:lang w:val="sl-SI"/>
              </w:rPr>
              <w:lastRenderedPageBreak/>
              <w:t xml:space="preserve">prejemnikov dodatka za veliko družino. </w:t>
            </w:r>
            <w:r w:rsidR="00A82305" w:rsidRPr="00FF207E">
              <w:rPr>
                <w:rFonts w:cs="Arial"/>
                <w:sz w:val="20"/>
                <w:szCs w:val="20"/>
                <w:lang w:val="sl-SI"/>
              </w:rPr>
              <w:t>Drugič</w:t>
            </w:r>
            <w:r w:rsidR="00006AFF" w:rsidRPr="00FF207E">
              <w:rPr>
                <w:rFonts w:cs="Arial"/>
                <w:sz w:val="20"/>
                <w:szCs w:val="20"/>
                <w:lang w:val="sl-SI"/>
              </w:rPr>
              <w:t>,</w:t>
            </w:r>
            <w:r w:rsidR="00A82305" w:rsidRPr="00FF207E">
              <w:rPr>
                <w:rFonts w:cs="Arial"/>
                <w:sz w:val="20"/>
                <w:szCs w:val="20"/>
                <w:lang w:val="sl-SI"/>
              </w:rPr>
              <w:t xml:space="preserve"> </w:t>
            </w:r>
            <w:r w:rsidR="00521448" w:rsidRPr="00FF207E">
              <w:rPr>
                <w:rFonts w:cs="Arial"/>
                <w:sz w:val="20"/>
                <w:szCs w:val="20"/>
                <w:lang w:val="sl-SI"/>
              </w:rPr>
              <w:t>jeseni leta 2022</w:t>
            </w:r>
            <w:r w:rsidRPr="00FF207E">
              <w:rPr>
                <w:rFonts w:cs="Arial"/>
                <w:sz w:val="20"/>
                <w:szCs w:val="20"/>
                <w:lang w:val="sl-SI"/>
              </w:rPr>
              <w:t xml:space="preserve">, </w:t>
            </w:r>
            <w:r w:rsidR="00521448" w:rsidRPr="00FF207E">
              <w:rPr>
                <w:rFonts w:cs="Arial"/>
                <w:sz w:val="20"/>
                <w:szCs w:val="20"/>
                <w:lang w:val="sl-SI"/>
              </w:rPr>
              <w:t xml:space="preserve">so bili do </w:t>
            </w:r>
            <w:r w:rsidRPr="00FF207E">
              <w:rPr>
                <w:rFonts w:cs="Arial"/>
                <w:sz w:val="20"/>
                <w:szCs w:val="20"/>
                <w:lang w:val="sl-SI"/>
              </w:rPr>
              <w:t>enkratn</w:t>
            </w:r>
            <w:r w:rsidR="00521448" w:rsidRPr="00FF207E">
              <w:rPr>
                <w:rFonts w:cs="Arial"/>
                <w:sz w:val="20"/>
                <w:szCs w:val="20"/>
                <w:lang w:val="sl-SI"/>
              </w:rPr>
              <w:t>ega</w:t>
            </w:r>
            <w:r w:rsidRPr="00FF207E">
              <w:rPr>
                <w:rFonts w:cs="Arial"/>
                <w:sz w:val="20"/>
                <w:szCs w:val="20"/>
                <w:lang w:val="sl-SI"/>
              </w:rPr>
              <w:t xml:space="preserve"> dodat</w:t>
            </w:r>
            <w:r w:rsidR="00521448" w:rsidRPr="00FF207E">
              <w:rPr>
                <w:rFonts w:cs="Arial"/>
                <w:sz w:val="20"/>
                <w:szCs w:val="20"/>
                <w:lang w:val="sl-SI"/>
              </w:rPr>
              <w:t>ka upravičeni</w:t>
            </w:r>
            <w:r w:rsidRPr="00FF207E">
              <w:rPr>
                <w:rFonts w:cs="Arial"/>
                <w:sz w:val="20"/>
                <w:szCs w:val="20"/>
                <w:lang w:val="sl-SI"/>
              </w:rPr>
              <w:t xml:space="preserve"> prejemnik</w:t>
            </w:r>
            <w:r w:rsidR="00521448" w:rsidRPr="00FF207E">
              <w:rPr>
                <w:rFonts w:cs="Arial"/>
                <w:sz w:val="20"/>
                <w:szCs w:val="20"/>
                <w:lang w:val="sl-SI"/>
              </w:rPr>
              <w:t>i</w:t>
            </w:r>
            <w:r w:rsidRPr="00FF207E">
              <w:rPr>
                <w:rFonts w:cs="Arial"/>
                <w:sz w:val="20"/>
                <w:szCs w:val="20"/>
                <w:lang w:val="sl-SI"/>
              </w:rPr>
              <w:t xml:space="preserve"> denarne socialne pomoči in varstvenega dodatka ter invalid</w:t>
            </w:r>
            <w:r w:rsidR="00521448" w:rsidRPr="00FF207E">
              <w:rPr>
                <w:rFonts w:cs="Arial"/>
                <w:sz w:val="20"/>
                <w:szCs w:val="20"/>
                <w:lang w:val="sl-SI"/>
              </w:rPr>
              <w:t>i</w:t>
            </w:r>
            <w:r w:rsidRPr="00FF207E">
              <w:rPr>
                <w:rFonts w:cs="Arial"/>
                <w:sz w:val="20"/>
                <w:szCs w:val="20"/>
                <w:lang w:val="sl-SI"/>
              </w:rPr>
              <w:t>.</w:t>
            </w:r>
          </w:p>
        </w:tc>
      </w:tr>
      <w:tr w:rsidR="00451B1C" w:rsidRPr="00FF207E" w14:paraId="2EC78EF6" w14:textId="77777777" w:rsidTr="00B05268">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1F021AB7" w14:textId="77777777" w:rsidR="00451B1C" w:rsidRPr="00FF207E" w:rsidRDefault="00451B1C" w:rsidP="001E304B">
            <w:pPr>
              <w:spacing w:before="60" w:after="60" w:line="240" w:lineRule="atLeast"/>
              <w:jc w:val="both"/>
              <w:rPr>
                <w:rFonts w:cs="Arial"/>
                <w:b/>
                <w:lang w:val="sl-SI"/>
              </w:rPr>
            </w:pPr>
            <w:r w:rsidRPr="00FF207E">
              <w:rPr>
                <w:rFonts w:cs="Arial"/>
                <w:b/>
                <w:lang w:val="sl-SI"/>
              </w:rPr>
              <w:lastRenderedPageBreak/>
              <w:t>Dolgoročna vsebina ukrepa</w:t>
            </w:r>
          </w:p>
        </w:tc>
      </w:tr>
      <w:tr w:rsidR="00451B1C" w:rsidRPr="00FF207E" w14:paraId="6F1CF546" w14:textId="77777777" w:rsidTr="00B05268">
        <w:tc>
          <w:tcPr>
            <w:tcW w:w="9062" w:type="dxa"/>
            <w:gridSpan w:val="3"/>
            <w:tcBorders>
              <w:top w:val="single" w:sz="4" w:space="0" w:color="548DD4" w:themeColor="text2" w:themeTint="99"/>
              <w:left w:val="nil"/>
              <w:bottom w:val="single" w:sz="4" w:space="0" w:color="548DD4" w:themeColor="text2" w:themeTint="99"/>
              <w:right w:val="nil"/>
            </w:tcBorders>
          </w:tcPr>
          <w:p w14:paraId="38C43AD9" w14:textId="77777777" w:rsidR="00451B1C" w:rsidRPr="00FF207E" w:rsidRDefault="00451B1C" w:rsidP="001E304B">
            <w:pPr>
              <w:spacing w:line="240" w:lineRule="atLeast"/>
              <w:jc w:val="both"/>
              <w:rPr>
                <w:rFonts w:cs="Arial"/>
                <w:sz w:val="20"/>
                <w:szCs w:val="20"/>
                <w:lang w:val="sl-SI"/>
              </w:rPr>
            </w:pPr>
            <w:r w:rsidRPr="00FF207E">
              <w:rPr>
                <w:rFonts w:cs="Arial"/>
                <w:sz w:val="20"/>
                <w:szCs w:val="20"/>
                <w:lang w:val="sl-SI"/>
              </w:rPr>
              <w:t>V okviru ukrepa je treba dolgoročno:</w:t>
            </w:r>
          </w:p>
          <w:p w14:paraId="5B127B9C" w14:textId="384D738E" w:rsidR="00451B1C" w:rsidRPr="00FF207E" w:rsidRDefault="00451B1C" w:rsidP="001E304B">
            <w:pPr>
              <w:pStyle w:val="Odstavekseznama"/>
              <w:numPr>
                <w:ilvl w:val="0"/>
                <w:numId w:val="20"/>
              </w:numPr>
              <w:spacing w:line="240" w:lineRule="atLeast"/>
              <w:ind w:left="357" w:hanging="357"/>
              <w:jc w:val="both"/>
              <w:rPr>
                <w:rFonts w:cs="Arial"/>
                <w:sz w:val="20"/>
                <w:szCs w:val="20"/>
                <w:lang w:val="sl-SI"/>
              </w:rPr>
            </w:pPr>
            <w:r w:rsidRPr="00FF207E">
              <w:rPr>
                <w:rFonts w:cs="Arial"/>
                <w:sz w:val="20"/>
                <w:szCs w:val="20"/>
                <w:lang w:val="sl-SI"/>
              </w:rPr>
              <w:t xml:space="preserve">zagotoviti, da bodo </w:t>
            </w:r>
            <w:r w:rsidRPr="00FF207E">
              <w:rPr>
                <w:rFonts w:cs="Arial"/>
                <w:b/>
                <w:sz w:val="20"/>
                <w:szCs w:val="20"/>
                <w:lang w:val="sl-SI"/>
              </w:rPr>
              <w:t>dodatka dejansko deležni tisti, ki ga potrebujejo</w:t>
            </w:r>
            <w:r w:rsidRPr="00FF207E">
              <w:rPr>
                <w:rFonts w:cs="Arial"/>
                <w:sz w:val="20"/>
                <w:szCs w:val="20"/>
                <w:lang w:val="sl-SI"/>
              </w:rPr>
              <w:t>.</w:t>
            </w:r>
          </w:p>
        </w:tc>
      </w:tr>
      <w:tr w:rsidR="00451B1C" w:rsidRPr="00FF207E" w14:paraId="54D98CA3" w14:textId="77777777" w:rsidTr="00B05268">
        <w:tc>
          <w:tcPr>
            <w:tcW w:w="906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44FA63F5" w14:textId="77777777" w:rsidR="00451B1C" w:rsidRPr="00FF207E" w:rsidRDefault="00451B1C" w:rsidP="001E304B">
            <w:pPr>
              <w:keepNext/>
              <w:spacing w:before="60" w:after="60" w:line="240" w:lineRule="atLeast"/>
              <w:jc w:val="both"/>
              <w:rPr>
                <w:rFonts w:cs="Arial"/>
                <w:b/>
                <w:lang w:val="sl-SI"/>
              </w:rPr>
            </w:pPr>
            <w:r w:rsidRPr="00FF207E">
              <w:rPr>
                <w:rFonts w:cs="Arial"/>
                <w:b/>
                <w:lang w:val="sl-SI"/>
              </w:rPr>
              <w:t>Kratkoročna izvedba ukrepa v obdobju 2024–2026</w:t>
            </w:r>
          </w:p>
        </w:tc>
      </w:tr>
      <w:tr w:rsidR="00451B1C" w:rsidRPr="00FF207E" w14:paraId="5AA9AFCB" w14:textId="77777777" w:rsidTr="00C24955">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38F532DD" w14:textId="77777777" w:rsidR="00451B1C" w:rsidRPr="00FF207E" w:rsidRDefault="00451B1C" w:rsidP="001E304B">
            <w:pPr>
              <w:spacing w:line="240" w:lineRule="atLeast"/>
              <w:jc w:val="both"/>
              <w:rPr>
                <w:rFonts w:cs="Arial"/>
                <w:sz w:val="20"/>
                <w:szCs w:val="20"/>
                <w:lang w:val="sl-SI"/>
              </w:rPr>
            </w:pPr>
            <w:r w:rsidRPr="00FF207E">
              <w:rPr>
                <w:rFonts w:cs="Arial"/>
                <w:sz w:val="20"/>
                <w:szCs w:val="20"/>
                <w:lang w:val="sl-SI"/>
              </w:rPr>
              <w:t>Kratkoročni cilj</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F9DF488" w14:textId="77777777" w:rsidR="00451B1C" w:rsidRPr="00FF207E" w:rsidRDefault="005F056F" w:rsidP="00EB41FC">
            <w:pPr>
              <w:spacing w:line="240" w:lineRule="atLeast"/>
              <w:jc w:val="both"/>
              <w:rPr>
                <w:rFonts w:cs="Arial"/>
                <w:sz w:val="20"/>
                <w:szCs w:val="20"/>
                <w:lang w:val="sl-SI"/>
              </w:rPr>
            </w:pPr>
            <w:r w:rsidRPr="00FF207E">
              <w:rPr>
                <w:rFonts w:cs="Arial"/>
                <w:sz w:val="20"/>
                <w:szCs w:val="20"/>
                <w:lang w:val="sl-SI"/>
              </w:rPr>
              <w:t xml:space="preserve">Natančneje opredeliti ciljne skupine, upravičene do </w:t>
            </w:r>
            <w:r w:rsidR="00EB41FC" w:rsidRPr="00FF207E">
              <w:rPr>
                <w:rFonts w:cs="Arial"/>
                <w:sz w:val="20"/>
                <w:szCs w:val="20"/>
                <w:lang w:val="sl-SI"/>
              </w:rPr>
              <w:t xml:space="preserve">takih </w:t>
            </w:r>
            <w:r w:rsidR="00202A3B" w:rsidRPr="00FF207E">
              <w:rPr>
                <w:rFonts w:cs="Arial"/>
                <w:sz w:val="20"/>
                <w:szCs w:val="20"/>
                <w:lang w:val="sl-SI"/>
              </w:rPr>
              <w:t xml:space="preserve">dodatkov; preučiti </w:t>
            </w:r>
            <w:r w:rsidR="007605A9" w:rsidRPr="00FF207E">
              <w:rPr>
                <w:rFonts w:cs="Arial"/>
                <w:sz w:val="20"/>
                <w:szCs w:val="20"/>
                <w:lang w:val="sl-SI"/>
              </w:rPr>
              <w:t xml:space="preserve">možnost za vzpostavitev </w:t>
            </w:r>
            <w:r w:rsidR="00EB41FC" w:rsidRPr="00FF207E">
              <w:rPr>
                <w:rFonts w:cs="Arial"/>
                <w:sz w:val="20"/>
                <w:szCs w:val="20"/>
                <w:lang w:val="sl-SI"/>
              </w:rPr>
              <w:t xml:space="preserve">zbirke </w:t>
            </w:r>
            <w:r w:rsidR="007605A9" w:rsidRPr="00FF207E">
              <w:rPr>
                <w:rFonts w:cs="Arial"/>
                <w:sz w:val="20"/>
                <w:szCs w:val="20"/>
                <w:lang w:val="sl-SI"/>
              </w:rPr>
              <w:t>upravičencev, ki bi omogočala izplačila takšnega dodatka brez posebnega zaprosila</w:t>
            </w:r>
            <w:r w:rsidR="005547CF" w:rsidRPr="00FF207E">
              <w:rPr>
                <w:rFonts w:cs="Arial"/>
                <w:sz w:val="20"/>
                <w:szCs w:val="20"/>
                <w:lang w:val="sl-SI"/>
              </w:rPr>
              <w:t>.</w:t>
            </w:r>
          </w:p>
          <w:p w14:paraId="31AD2679" w14:textId="6064214F" w:rsidR="00B37E5B" w:rsidRPr="00FF207E" w:rsidRDefault="00B37E5B" w:rsidP="00EB41FC">
            <w:pPr>
              <w:spacing w:line="240" w:lineRule="atLeast"/>
              <w:jc w:val="both"/>
              <w:rPr>
                <w:rFonts w:cs="Arial"/>
                <w:sz w:val="20"/>
                <w:szCs w:val="20"/>
                <w:lang w:val="sl-SI"/>
              </w:rPr>
            </w:pPr>
            <w:r w:rsidRPr="00FF207E">
              <w:rPr>
                <w:rFonts w:cs="Arial"/>
                <w:sz w:val="20"/>
                <w:szCs w:val="20"/>
                <w:lang w:val="sl-SI"/>
              </w:rPr>
              <w:t>Višina upravičenosti do bodoče pomoči se določi upoštevajoč razpoložljivi  oz. prilagojeni razpoložljivi dohodek gospodinjstva.</w:t>
            </w:r>
          </w:p>
        </w:tc>
      </w:tr>
      <w:tr w:rsidR="00451B1C" w:rsidRPr="00FF207E" w14:paraId="2BD8D63A" w14:textId="77777777" w:rsidTr="00B05268">
        <w:tc>
          <w:tcPr>
            <w:tcW w:w="297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3AC9F5A8" w14:textId="4D3AB0D1" w:rsidR="00451B1C" w:rsidRPr="00FF207E" w:rsidRDefault="00BF0315" w:rsidP="001E304B">
            <w:pPr>
              <w:spacing w:line="240" w:lineRule="atLeast"/>
              <w:jc w:val="both"/>
              <w:rPr>
                <w:rFonts w:cs="Arial"/>
                <w:sz w:val="20"/>
                <w:szCs w:val="20"/>
                <w:lang w:val="sl-SI"/>
              </w:rPr>
            </w:pPr>
            <w:r w:rsidRPr="00FF207E">
              <w:rPr>
                <w:rFonts w:cs="Arial"/>
                <w:sz w:val="20"/>
                <w:szCs w:val="20"/>
                <w:lang w:val="sl-SI"/>
              </w:rPr>
              <w:t>Potrebna sredstva</w:t>
            </w:r>
            <w:r w:rsidR="004E2064" w:rsidRPr="00FF207E">
              <w:rPr>
                <w:lang w:val="sl-SI"/>
              </w:rPr>
              <w:t xml:space="preserve"> </w:t>
            </w:r>
            <w:r w:rsidRPr="00FF207E">
              <w:rPr>
                <w:rFonts w:cs="Arial"/>
                <w:sz w:val="20"/>
                <w:szCs w:val="20"/>
                <w:lang w:val="sl-SI"/>
              </w:rPr>
              <w:t>in viri</w:t>
            </w:r>
          </w:p>
        </w:tc>
        <w:tc>
          <w:tcPr>
            <w:tcW w:w="609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40881A5" w14:textId="4788272D" w:rsidR="000D2E36" w:rsidRPr="00FF207E" w:rsidRDefault="000D2E36" w:rsidP="001E304B">
            <w:pPr>
              <w:spacing w:line="240" w:lineRule="atLeast"/>
              <w:jc w:val="both"/>
              <w:rPr>
                <w:rFonts w:cs="Arial"/>
                <w:sz w:val="20"/>
                <w:szCs w:val="20"/>
                <w:lang w:val="sl-SI"/>
              </w:rPr>
            </w:pPr>
            <w:r w:rsidRPr="00FF207E">
              <w:rPr>
                <w:rFonts w:cs="Arial"/>
                <w:sz w:val="20"/>
                <w:szCs w:val="20"/>
                <w:lang w:val="sl-SI"/>
              </w:rPr>
              <w:t>Ni ocene, gre za interventna sredstva</w:t>
            </w:r>
            <w:r w:rsidR="005547CF" w:rsidRPr="00FF207E">
              <w:rPr>
                <w:rFonts w:cs="Arial"/>
                <w:sz w:val="20"/>
                <w:szCs w:val="20"/>
                <w:lang w:val="sl-SI"/>
              </w:rPr>
              <w:t>.</w:t>
            </w:r>
          </w:p>
          <w:p w14:paraId="70E211FC" w14:textId="4D53B314" w:rsidR="00451B1C" w:rsidRPr="00FF207E" w:rsidRDefault="000D2E36" w:rsidP="001E304B">
            <w:pPr>
              <w:spacing w:before="60" w:line="240" w:lineRule="atLeast"/>
              <w:jc w:val="both"/>
              <w:rPr>
                <w:rFonts w:cs="Arial"/>
                <w:sz w:val="20"/>
                <w:szCs w:val="20"/>
                <w:lang w:val="sl-SI"/>
              </w:rPr>
            </w:pPr>
            <w:r w:rsidRPr="00FF207E">
              <w:rPr>
                <w:rFonts w:cs="Arial"/>
                <w:sz w:val="20"/>
                <w:szCs w:val="20"/>
                <w:lang w:val="sl-SI"/>
              </w:rPr>
              <w:t>Viri sredstev: proračun</w:t>
            </w:r>
            <w:r w:rsidR="005547CF" w:rsidRPr="00FF207E">
              <w:rPr>
                <w:rFonts w:cs="Arial"/>
                <w:sz w:val="20"/>
                <w:szCs w:val="20"/>
                <w:lang w:val="sl-SI"/>
              </w:rPr>
              <w:t>.</w:t>
            </w:r>
          </w:p>
        </w:tc>
      </w:tr>
      <w:tr w:rsidR="00451B1C" w:rsidRPr="00FF207E" w14:paraId="4ECBC633" w14:textId="77777777" w:rsidTr="00B05268">
        <w:tc>
          <w:tcPr>
            <w:tcW w:w="9062" w:type="dxa"/>
            <w:gridSpan w:val="3"/>
            <w:tcBorders>
              <w:top w:val="single" w:sz="4" w:space="0" w:color="548DD4" w:themeColor="text2" w:themeTint="99"/>
              <w:left w:val="nil"/>
              <w:bottom w:val="single" w:sz="4" w:space="0" w:color="548DD4" w:themeColor="text2" w:themeTint="99"/>
              <w:right w:val="nil"/>
            </w:tcBorders>
            <w:shd w:val="clear" w:color="auto" w:fill="DBE5F1" w:themeFill="accent1" w:themeFillTint="33"/>
          </w:tcPr>
          <w:p w14:paraId="389F3547" w14:textId="77777777" w:rsidR="00451B1C" w:rsidRPr="00FF207E" w:rsidRDefault="00451B1C" w:rsidP="001E304B">
            <w:pPr>
              <w:spacing w:before="40" w:after="40" w:line="240" w:lineRule="atLeast"/>
              <w:jc w:val="both"/>
              <w:rPr>
                <w:rFonts w:cs="Arial"/>
                <w:sz w:val="20"/>
                <w:szCs w:val="20"/>
                <w:lang w:val="sl-SI"/>
              </w:rPr>
            </w:pPr>
            <w:r w:rsidRPr="00FF207E">
              <w:rPr>
                <w:rFonts w:cs="Arial"/>
                <w:sz w:val="20"/>
                <w:szCs w:val="20"/>
                <w:lang w:val="sl-SI"/>
              </w:rPr>
              <w:t>Potek izvedbe</w:t>
            </w:r>
          </w:p>
        </w:tc>
      </w:tr>
      <w:tr w:rsidR="00451B1C" w:rsidRPr="00FF207E" w14:paraId="6118D6F7" w14:textId="77777777" w:rsidTr="00C24955">
        <w:tc>
          <w:tcPr>
            <w:tcW w:w="567"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14:paraId="7A7F7175" w14:textId="77777777" w:rsidR="00451B1C" w:rsidRPr="00FF207E" w:rsidRDefault="00451B1C" w:rsidP="001E304B">
            <w:pPr>
              <w:spacing w:line="240" w:lineRule="atLeast"/>
              <w:jc w:val="both"/>
              <w:rPr>
                <w:rFonts w:cs="Arial"/>
                <w:b/>
                <w:sz w:val="24"/>
                <w:lang w:val="sl-SI"/>
              </w:rPr>
            </w:pPr>
            <w:r w:rsidRPr="00FF207E">
              <w:rPr>
                <w:rFonts w:cs="Arial"/>
                <w:b/>
                <w:sz w:val="24"/>
                <w:lang w:val="sl-SI"/>
              </w:rPr>
              <w:t>1</w:t>
            </w:r>
          </w:p>
        </w:tc>
        <w:tc>
          <w:tcPr>
            <w:tcW w:w="2405" w:type="dxa"/>
            <w:tcBorders>
              <w:top w:val="single" w:sz="4" w:space="0" w:color="548DD4" w:themeColor="text2" w:themeTint="99"/>
              <w:left w:val="nil"/>
              <w:bottom w:val="dotted" w:sz="4" w:space="0" w:color="548DD4" w:themeColor="text2" w:themeTint="99"/>
              <w:right w:val="single" w:sz="4" w:space="0" w:color="548DD4" w:themeColor="text2" w:themeTint="99"/>
            </w:tcBorders>
          </w:tcPr>
          <w:p w14:paraId="06309B08" w14:textId="77777777" w:rsidR="00451B1C" w:rsidRPr="00FF207E" w:rsidRDefault="00451B1C" w:rsidP="001E304B">
            <w:pPr>
              <w:spacing w:line="240" w:lineRule="atLeast"/>
              <w:jc w:val="both"/>
              <w:rPr>
                <w:rFonts w:cs="Arial"/>
                <w:sz w:val="20"/>
                <w:szCs w:val="20"/>
                <w:lang w:val="sl-SI"/>
              </w:rPr>
            </w:pPr>
            <w:r w:rsidRPr="00FF207E">
              <w:rPr>
                <w:rFonts w:cs="Arial"/>
                <w:sz w:val="20"/>
                <w:szCs w:val="20"/>
                <w:lang w:val="sl-SI"/>
              </w:rPr>
              <w:t>Vsebina</w:t>
            </w:r>
          </w:p>
        </w:tc>
        <w:tc>
          <w:tcPr>
            <w:tcW w:w="6090" w:type="dxa"/>
            <w:tcBorders>
              <w:top w:val="single" w:sz="4" w:space="0" w:color="548DD4" w:themeColor="text2" w:themeTint="99"/>
              <w:left w:val="single" w:sz="4" w:space="0" w:color="548DD4" w:themeColor="text2" w:themeTint="99"/>
              <w:bottom w:val="dotted" w:sz="4" w:space="0" w:color="548DD4" w:themeColor="text2" w:themeTint="99"/>
              <w:right w:val="nil"/>
            </w:tcBorders>
          </w:tcPr>
          <w:p w14:paraId="11B82966" w14:textId="0D77EA17" w:rsidR="00451B1C" w:rsidRPr="00FF207E" w:rsidRDefault="009A03AF" w:rsidP="005547CF">
            <w:pPr>
              <w:spacing w:line="240" w:lineRule="atLeast"/>
              <w:jc w:val="both"/>
              <w:rPr>
                <w:rFonts w:cs="Arial"/>
                <w:sz w:val="20"/>
                <w:szCs w:val="20"/>
                <w:lang w:val="sl-SI"/>
              </w:rPr>
            </w:pPr>
            <w:r w:rsidRPr="00FF207E">
              <w:rPr>
                <w:rFonts w:cs="Arial"/>
                <w:sz w:val="20"/>
                <w:szCs w:val="20"/>
                <w:lang w:val="sl-SI"/>
              </w:rPr>
              <w:t>Natančnejša opredelitev</w:t>
            </w:r>
            <w:r w:rsidR="00451B1C" w:rsidRPr="00FF207E">
              <w:rPr>
                <w:rFonts w:cs="Arial"/>
                <w:sz w:val="20"/>
                <w:szCs w:val="20"/>
                <w:lang w:val="sl-SI"/>
              </w:rPr>
              <w:t xml:space="preserve"> upravičencev do </w:t>
            </w:r>
            <w:r w:rsidR="00EB41FC" w:rsidRPr="00FF207E">
              <w:rPr>
                <w:rFonts w:cs="Arial"/>
                <w:sz w:val="20"/>
                <w:szCs w:val="20"/>
                <w:lang w:val="sl-SI"/>
              </w:rPr>
              <w:t xml:space="preserve">takega </w:t>
            </w:r>
            <w:r w:rsidR="00B61B96" w:rsidRPr="00FF207E">
              <w:rPr>
                <w:rFonts w:cs="Arial"/>
                <w:sz w:val="20"/>
                <w:szCs w:val="20"/>
                <w:lang w:val="sl-SI"/>
              </w:rPr>
              <w:t>dodatka</w:t>
            </w:r>
            <w:r w:rsidR="00451B1C" w:rsidRPr="00FF207E">
              <w:rPr>
                <w:rFonts w:cs="Arial"/>
                <w:sz w:val="20"/>
                <w:szCs w:val="20"/>
                <w:lang w:val="sl-SI"/>
              </w:rPr>
              <w:t>. Med upravičence je treba vključiti čim več potrebnih pomoči, torej tudi tiste, ki niso prejemniki socialnih transferjev, so pa pod pragom tveganja revščine oz</w:t>
            </w:r>
            <w:r w:rsidR="00B77973" w:rsidRPr="00FF207E">
              <w:rPr>
                <w:rFonts w:cs="Arial"/>
                <w:sz w:val="20"/>
                <w:szCs w:val="20"/>
                <w:lang w:val="sl-SI"/>
              </w:rPr>
              <w:t>iroma</w:t>
            </w:r>
            <w:r w:rsidR="00451B1C" w:rsidRPr="00FF207E">
              <w:rPr>
                <w:rFonts w:cs="Arial"/>
                <w:sz w:val="20"/>
                <w:szCs w:val="20"/>
                <w:lang w:val="sl-SI"/>
              </w:rPr>
              <w:t xml:space="preserve"> le nekoliko nad trenutnim cenzusom za socialne transferje. Določiti je treba sistem in merila, ki bodo dovoljevala takšno spremembo kroga upravičencev, tudi v skladu s prizadevanji za razširitev kroga upravičencev za investicijske spodbude za ukrepe URE in </w:t>
            </w:r>
            <w:r w:rsidR="00026105" w:rsidRPr="00FF207E">
              <w:rPr>
                <w:rFonts w:cs="Arial"/>
                <w:sz w:val="20"/>
                <w:szCs w:val="20"/>
                <w:lang w:val="sl-SI"/>
              </w:rPr>
              <w:t xml:space="preserve">rabe </w:t>
            </w:r>
            <w:r w:rsidR="00451B1C" w:rsidRPr="00FF207E">
              <w:rPr>
                <w:rFonts w:cs="Arial"/>
                <w:sz w:val="20"/>
                <w:szCs w:val="20"/>
                <w:lang w:val="sl-SI"/>
              </w:rPr>
              <w:t xml:space="preserve">OVE za energetsko revne (glej tudi ukrep </w:t>
            </w:r>
            <w:hyperlink w:anchor="_Investicijske_spodbude_za" w:history="1">
              <w:r w:rsidR="00FF6853" w:rsidRPr="00FF207E">
                <w:rPr>
                  <w:rStyle w:val="Hiperpovezava"/>
                  <w:rFonts w:cs="Arial"/>
                  <w:sz w:val="20"/>
                  <w:szCs w:val="20"/>
                  <w:lang w:val="sl-SI"/>
                </w:rPr>
                <w:t>ER_Shema-01</w:t>
              </w:r>
            </w:hyperlink>
            <w:r w:rsidR="00451B1C" w:rsidRPr="00FF207E">
              <w:rPr>
                <w:rFonts w:cs="Arial"/>
                <w:sz w:val="20"/>
                <w:szCs w:val="20"/>
                <w:lang w:val="sl-SI"/>
              </w:rPr>
              <w:t xml:space="preserve">, zlasti </w:t>
            </w:r>
            <w:r w:rsidR="00AC16E5" w:rsidRPr="00FF207E">
              <w:rPr>
                <w:rFonts w:cs="Arial"/>
                <w:sz w:val="20"/>
                <w:szCs w:val="20"/>
                <w:lang w:val="sl-SI"/>
              </w:rPr>
              <w:t>7</w:t>
            </w:r>
            <w:r w:rsidR="00451B1C" w:rsidRPr="00FF207E">
              <w:rPr>
                <w:rFonts w:cs="Arial"/>
                <w:sz w:val="20"/>
                <w:szCs w:val="20"/>
                <w:lang w:val="sl-SI"/>
              </w:rPr>
              <w:t xml:space="preserve">. točko pri kratkoročnih </w:t>
            </w:r>
            <w:r w:rsidR="003249EA" w:rsidRPr="00FF207E">
              <w:rPr>
                <w:rFonts w:cs="Arial"/>
                <w:sz w:val="20"/>
                <w:szCs w:val="20"/>
                <w:lang w:val="sl-SI"/>
              </w:rPr>
              <w:t>dejavnostih</w:t>
            </w:r>
            <w:r w:rsidR="00451B1C" w:rsidRPr="00FF207E">
              <w:rPr>
                <w:rFonts w:cs="Arial"/>
                <w:sz w:val="20"/>
                <w:szCs w:val="20"/>
                <w:lang w:val="sl-SI"/>
              </w:rPr>
              <w:t>)</w:t>
            </w:r>
            <w:r w:rsidR="005A156F" w:rsidRPr="00FF207E">
              <w:rPr>
                <w:rFonts w:cs="Arial"/>
                <w:sz w:val="20"/>
                <w:szCs w:val="20"/>
                <w:lang w:val="sl-SI"/>
              </w:rPr>
              <w:t xml:space="preserve">. Preučiti je treba tudi možnost za vzpostavitev </w:t>
            </w:r>
            <w:r w:rsidR="005547CF" w:rsidRPr="00FF207E">
              <w:rPr>
                <w:rFonts w:cs="Arial"/>
                <w:sz w:val="20"/>
                <w:szCs w:val="20"/>
                <w:lang w:val="sl-SI"/>
              </w:rPr>
              <w:t xml:space="preserve">zbirke </w:t>
            </w:r>
            <w:r w:rsidR="005A156F" w:rsidRPr="00FF207E">
              <w:rPr>
                <w:rFonts w:cs="Arial"/>
                <w:sz w:val="20"/>
                <w:szCs w:val="20"/>
                <w:lang w:val="sl-SI"/>
              </w:rPr>
              <w:t>upravičencev, ki bi omogočala izplačila takšnega dodatka brez posebnega zaprosila.</w:t>
            </w:r>
          </w:p>
        </w:tc>
      </w:tr>
      <w:tr w:rsidR="00451B1C" w:rsidRPr="00FF207E" w14:paraId="76CB87B3" w14:textId="77777777" w:rsidTr="00C24955">
        <w:tc>
          <w:tcPr>
            <w:tcW w:w="567" w:type="dxa"/>
            <w:vMerge/>
            <w:tcBorders>
              <w:left w:val="nil"/>
              <w:bottom w:val="single" w:sz="4" w:space="0" w:color="548DD4" w:themeColor="text2" w:themeTint="99"/>
              <w:right w:val="single" w:sz="4" w:space="0" w:color="548DD4" w:themeColor="text2" w:themeTint="99"/>
            </w:tcBorders>
          </w:tcPr>
          <w:p w14:paraId="10FBA251" w14:textId="77777777" w:rsidR="00451B1C" w:rsidRPr="00FF207E" w:rsidRDefault="00451B1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208EB613" w14:textId="77777777" w:rsidR="00451B1C" w:rsidRPr="00FF207E" w:rsidRDefault="00451B1C" w:rsidP="001E304B">
            <w:pPr>
              <w:spacing w:line="240" w:lineRule="atLeast"/>
              <w:jc w:val="both"/>
              <w:rPr>
                <w:rFonts w:cs="Arial"/>
                <w:sz w:val="20"/>
                <w:szCs w:val="20"/>
                <w:lang w:val="sl-SI"/>
              </w:rPr>
            </w:pPr>
            <w:r w:rsidRPr="00FF207E">
              <w:rPr>
                <w:rFonts w:cs="Arial"/>
                <w:sz w:val="20"/>
                <w:szCs w:val="20"/>
                <w:lang w:val="sl-SI"/>
              </w:rPr>
              <w:t>Odgovornost</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1DEBB6AB" w14:textId="16C7FA10" w:rsidR="00451B1C" w:rsidRPr="00FF207E" w:rsidRDefault="005A156F" w:rsidP="001E304B">
            <w:pPr>
              <w:spacing w:line="240" w:lineRule="atLeast"/>
              <w:jc w:val="both"/>
              <w:rPr>
                <w:rFonts w:cs="Arial"/>
                <w:sz w:val="20"/>
                <w:szCs w:val="20"/>
                <w:lang w:val="sl-SI"/>
              </w:rPr>
            </w:pPr>
            <w:r w:rsidRPr="00FF207E">
              <w:rPr>
                <w:rFonts w:cs="Arial"/>
                <w:sz w:val="20"/>
                <w:szCs w:val="20"/>
                <w:lang w:val="sl-SI"/>
              </w:rPr>
              <w:t>MDDSZ, MOPE</w:t>
            </w:r>
          </w:p>
        </w:tc>
      </w:tr>
      <w:tr w:rsidR="00451B1C" w:rsidRPr="00FF207E" w14:paraId="60621339" w14:textId="77777777" w:rsidTr="00C24955">
        <w:tc>
          <w:tcPr>
            <w:tcW w:w="567" w:type="dxa"/>
            <w:vMerge/>
            <w:tcBorders>
              <w:left w:val="nil"/>
              <w:bottom w:val="single" w:sz="4" w:space="0" w:color="548DD4" w:themeColor="text2" w:themeTint="99"/>
              <w:right w:val="single" w:sz="4" w:space="0" w:color="548DD4" w:themeColor="text2" w:themeTint="99"/>
            </w:tcBorders>
          </w:tcPr>
          <w:p w14:paraId="7921C619" w14:textId="77777777" w:rsidR="00451B1C" w:rsidRPr="00FF207E" w:rsidRDefault="00451B1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dotted" w:sz="4" w:space="0" w:color="548DD4" w:themeColor="text2" w:themeTint="99"/>
              <w:right w:val="single" w:sz="4" w:space="0" w:color="548DD4" w:themeColor="text2" w:themeTint="99"/>
            </w:tcBorders>
          </w:tcPr>
          <w:p w14:paraId="1FB9B8D3" w14:textId="77777777" w:rsidR="00451B1C" w:rsidRPr="00FF207E" w:rsidRDefault="00451B1C" w:rsidP="001E304B">
            <w:pPr>
              <w:spacing w:line="240" w:lineRule="atLeast"/>
              <w:jc w:val="both"/>
              <w:rPr>
                <w:rFonts w:cs="Arial"/>
                <w:sz w:val="20"/>
                <w:szCs w:val="20"/>
                <w:lang w:val="sl-SI"/>
              </w:rPr>
            </w:pPr>
            <w:r w:rsidRPr="00FF207E">
              <w:rPr>
                <w:rFonts w:cs="Arial"/>
                <w:sz w:val="20"/>
                <w:szCs w:val="20"/>
                <w:lang w:val="sl-SI"/>
              </w:rPr>
              <w:t>Vključeni deležniki</w:t>
            </w:r>
          </w:p>
        </w:tc>
        <w:tc>
          <w:tcPr>
            <w:tcW w:w="6090" w:type="dxa"/>
            <w:tcBorders>
              <w:top w:val="dotted" w:sz="4" w:space="0" w:color="548DD4" w:themeColor="text2" w:themeTint="99"/>
              <w:left w:val="single" w:sz="4" w:space="0" w:color="548DD4" w:themeColor="text2" w:themeTint="99"/>
              <w:bottom w:val="dotted" w:sz="4" w:space="0" w:color="548DD4" w:themeColor="text2" w:themeTint="99"/>
              <w:right w:val="nil"/>
            </w:tcBorders>
          </w:tcPr>
          <w:p w14:paraId="32F4475A" w14:textId="10D0F987" w:rsidR="00451B1C" w:rsidRPr="00FF207E" w:rsidRDefault="00451B1C" w:rsidP="001E304B">
            <w:pPr>
              <w:spacing w:line="240" w:lineRule="atLeast"/>
              <w:jc w:val="both"/>
              <w:rPr>
                <w:rFonts w:cs="Arial"/>
                <w:sz w:val="20"/>
                <w:szCs w:val="20"/>
                <w:lang w:val="sl-SI"/>
              </w:rPr>
            </w:pPr>
            <w:r w:rsidRPr="00FF207E">
              <w:rPr>
                <w:rFonts w:cs="Arial"/>
                <w:sz w:val="20"/>
                <w:szCs w:val="20"/>
                <w:lang w:val="sl-SI"/>
              </w:rPr>
              <w:t xml:space="preserve">MF, </w:t>
            </w:r>
            <w:proofErr w:type="spellStart"/>
            <w:r w:rsidRPr="00FF207E">
              <w:rPr>
                <w:rFonts w:cs="Arial"/>
                <w:sz w:val="20"/>
                <w:szCs w:val="20"/>
                <w:lang w:val="sl-SI"/>
              </w:rPr>
              <w:t>Eko</w:t>
            </w:r>
            <w:proofErr w:type="spellEnd"/>
            <w:r w:rsidRPr="00FF207E">
              <w:rPr>
                <w:rFonts w:cs="Arial"/>
                <w:sz w:val="20"/>
                <w:szCs w:val="20"/>
                <w:lang w:val="sl-SI"/>
              </w:rPr>
              <w:t xml:space="preserve"> sklad, humanitarne organizacije</w:t>
            </w:r>
          </w:p>
        </w:tc>
      </w:tr>
      <w:tr w:rsidR="00451B1C" w:rsidRPr="00FF207E" w14:paraId="278F1F12" w14:textId="77777777" w:rsidTr="00C24955">
        <w:tc>
          <w:tcPr>
            <w:tcW w:w="567" w:type="dxa"/>
            <w:vMerge/>
            <w:tcBorders>
              <w:left w:val="nil"/>
              <w:bottom w:val="single" w:sz="4" w:space="0" w:color="548DD4" w:themeColor="text2" w:themeTint="99"/>
              <w:right w:val="single" w:sz="4" w:space="0" w:color="548DD4" w:themeColor="text2" w:themeTint="99"/>
            </w:tcBorders>
          </w:tcPr>
          <w:p w14:paraId="2D884F25" w14:textId="77777777" w:rsidR="00451B1C" w:rsidRPr="00FF207E" w:rsidRDefault="00451B1C" w:rsidP="001E304B">
            <w:pPr>
              <w:spacing w:line="240" w:lineRule="atLeast"/>
              <w:jc w:val="both"/>
              <w:rPr>
                <w:rFonts w:cs="Arial"/>
                <w:sz w:val="20"/>
                <w:szCs w:val="20"/>
                <w:lang w:val="sl-SI"/>
              </w:rPr>
            </w:pPr>
          </w:p>
        </w:tc>
        <w:tc>
          <w:tcPr>
            <w:tcW w:w="2405" w:type="dxa"/>
            <w:tcBorders>
              <w:top w:val="dotted" w:sz="4" w:space="0" w:color="548DD4" w:themeColor="text2" w:themeTint="99"/>
              <w:left w:val="nil"/>
              <w:bottom w:val="single" w:sz="4" w:space="0" w:color="548DD4" w:themeColor="text2" w:themeTint="99"/>
              <w:right w:val="single" w:sz="4" w:space="0" w:color="548DD4" w:themeColor="text2" w:themeTint="99"/>
            </w:tcBorders>
          </w:tcPr>
          <w:p w14:paraId="61510552" w14:textId="77777777" w:rsidR="00451B1C" w:rsidRPr="00FF207E" w:rsidRDefault="00451B1C" w:rsidP="001E304B">
            <w:pPr>
              <w:spacing w:line="240" w:lineRule="atLeast"/>
              <w:jc w:val="both"/>
              <w:rPr>
                <w:rFonts w:cs="Arial"/>
                <w:sz w:val="20"/>
                <w:szCs w:val="20"/>
                <w:lang w:val="sl-SI"/>
              </w:rPr>
            </w:pPr>
            <w:r w:rsidRPr="00FF207E">
              <w:rPr>
                <w:rFonts w:cs="Arial"/>
                <w:sz w:val="20"/>
                <w:szCs w:val="20"/>
                <w:lang w:val="sl-SI"/>
              </w:rPr>
              <w:t>Rok izvedbe</w:t>
            </w:r>
          </w:p>
        </w:tc>
        <w:tc>
          <w:tcPr>
            <w:tcW w:w="6090" w:type="dxa"/>
            <w:tcBorders>
              <w:top w:val="dotted" w:sz="4" w:space="0" w:color="548DD4" w:themeColor="text2" w:themeTint="99"/>
              <w:left w:val="single" w:sz="4" w:space="0" w:color="548DD4" w:themeColor="text2" w:themeTint="99"/>
              <w:bottom w:val="single" w:sz="4" w:space="0" w:color="548DD4" w:themeColor="text2" w:themeTint="99"/>
              <w:right w:val="nil"/>
            </w:tcBorders>
          </w:tcPr>
          <w:p w14:paraId="7C46148B" w14:textId="6BCBE42A" w:rsidR="00451B1C" w:rsidRPr="00FF207E" w:rsidRDefault="00FF6853" w:rsidP="001E304B">
            <w:pPr>
              <w:spacing w:line="240" w:lineRule="atLeast"/>
              <w:jc w:val="both"/>
              <w:rPr>
                <w:rFonts w:cs="Arial"/>
                <w:sz w:val="20"/>
                <w:szCs w:val="20"/>
                <w:lang w:val="sl-SI"/>
              </w:rPr>
            </w:pPr>
            <w:r w:rsidRPr="00FF207E">
              <w:rPr>
                <w:rFonts w:cs="Arial"/>
                <w:sz w:val="20"/>
                <w:szCs w:val="20"/>
                <w:lang w:val="sl-SI"/>
              </w:rPr>
              <w:t>2024</w:t>
            </w:r>
          </w:p>
        </w:tc>
      </w:tr>
    </w:tbl>
    <w:p w14:paraId="0BA85AC6" w14:textId="77777777" w:rsidR="003800A0" w:rsidRPr="00FF207E" w:rsidRDefault="003800A0" w:rsidP="001E304B">
      <w:pPr>
        <w:jc w:val="both"/>
        <w:rPr>
          <w:rFonts w:cs="Arial"/>
          <w:lang w:val="sl-SI"/>
        </w:rPr>
      </w:pPr>
    </w:p>
    <w:p w14:paraId="24BED362" w14:textId="77777777" w:rsidR="00575608" w:rsidRPr="00FF207E" w:rsidRDefault="00575608" w:rsidP="001E304B">
      <w:pPr>
        <w:jc w:val="both"/>
        <w:rPr>
          <w:rFonts w:cs="Arial"/>
          <w:lang w:val="sl-SI"/>
        </w:rPr>
      </w:pPr>
    </w:p>
    <w:p w14:paraId="2168E8DB" w14:textId="77777777" w:rsidR="00A15C27" w:rsidRPr="00FF207E" w:rsidRDefault="00A15C27" w:rsidP="001E304B">
      <w:pPr>
        <w:jc w:val="both"/>
        <w:rPr>
          <w:rFonts w:eastAsiaTheme="majorEastAsia" w:cs="Arial"/>
          <w:b/>
          <w:bCs/>
          <w:color w:val="000000" w:themeColor="text1"/>
          <w:lang w:val="sl-SI"/>
        </w:rPr>
      </w:pPr>
      <w:r w:rsidRPr="00FF207E">
        <w:rPr>
          <w:rFonts w:cs="Arial"/>
          <w:color w:val="000000" w:themeColor="text1"/>
          <w:lang w:val="sl-SI"/>
        </w:rPr>
        <w:br w:type="page"/>
      </w:r>
    </w:p>
    <w:p w14:paraId="1DE703CD" w14:textId="42CCC664" w:rsidR="00140594" w:rsidRPr="00FF207E" w:rsidRDefault="00C27DEA" w:rsidP="001E304B">
      <w:pPr>
        <w:pStyle w:val="Naslov1"/>
        <w:jc w:val="both"/>
        <w:rPr>
          <w:lang w:val="sl-SI"/>
        </w:rPr>
      </w:pPr>
      <w:bookmarkStart w:id="114" w:name="_Ref136361246"/>
      <w:bookmarkStart w:id="115" w:name="_Toc151148808"/>
      <w:r w:rsidRPr="00FF207E">
        <w:rPr>
          <w:lang w:val="sl-SI"/>
        </w:rPr>
        <w:lastRenderedPageBreak/>
        <w:t xml:space="preserve">Potrebna sredstva in viri za financiranje </w:t>
      </w:r>
      <w:r w:rsidR="00140594" w:rsidRPr="00FF207E">
        <w:rPr>
          <w:lang w:val="sl-SI"/>
        </w:rPr>
        <w:t>akcijskega načrta</w:t>
      </w:r>
      <w:bookmarkEnd w:id="114"/>
      <w:bookmarkEnd w:id="115"/>
    </w:p>
    <w:p w14:paraId="461CFD5E" w14:textId="59B76B30" w:rsidR="007C0C93" w:rsidRPr="00FF207E" w:rsidRDefault="00D65D62" w:rsidP="001E304B">
      <w:pPr>
        <w:spacing w:after="120"/>
        <w:jc w:val="both"/>
        <w:rPr>
          <w:lang w:val="sl-SI"/>
        </w:rPr>
      </w:pPr>
      <w:r w:rsidRPr="00FF207E">
        <w:rPr>
          <w:lang w:val="sl-SI"/>
        </w:rPr>
        <w:t>Potrebna sredstva za izvajanje akcijskega načrta za obdobje 2024</w:t>
      </w:r>
      <w:r w:rsidRPr="00FF207E">
        <w:rPr>
          <w:rFonts w:cs="Arial"/>
          <w:kern w:val="36"/>
          <w:sz w:val="20"/>
          <w:szCs w:val="20"/>
          <w:lang w:val="sl-SI"/>
        </w:rPr>
        <w:t>−</w:t>
      </w:r>
      <w:r w:rsidRPr="00FF207E">
        <w:rPr>
          <w:lang w:val="sl-SI"/>
        </w:rPr>
        <w:t>2026 so ocenjena na 33,8 milijonov evrov (</w:t>
      </w:r>
      <w:r w:rsidRPr="00FF207E">
        <w:rPr>
          <w:lang w:val="sl-SI"/>
        </w:rPr>
        <w:fldChar w:fldCharType="begin"/>
      </w:r>
      <w:r w:rsidRPr="00FF207E">
        <w:rPr>
          <w:lang w:val="sl-SI"/>
        </w:rPr>
        <w:instrText xml:space="preserve"> REF _Ref137470948 \h  \* MERGEFORMAT </w:instrText>
      </w:r>
      <w:r w:rsidRPr="00FF207E">
        <w:rPr>
          <w:lang w:val="sl-SI"/>
        </w:rPr>
      </w:r>
      <w:r w:rsidRPr="00FF207E">
        <w:rPr>
          <w:lang w:val="sl-SI"/>
        </w:rPr>
        <w:fldChar w:fldCharType="separate"/>
      </w:r>
      <w:r w:rsidRPr="00FF207E">
        <w:rPr>
          <w:lang w:val="sl-SI"/>
        </w:rPr>
        <w:t>tabela 7</w:t>
      </w:r>
      <w:r w:rsidRPr="00FF207E">
        <w:rPr>
          <w:lang w:val="sl-SI"/>
        </w:rPr>
        <w:fldChar w:fldCharType="end"/>
      </w:r>
      <w:r w:rsidRPr="00FF207E">
        <w:rPr>
          <w:lang w:val="sl-SI"/>
        </w:rPr>
        <w:t>), od tega je bilo 80,2 odstotka sredstev namenjenih investicijam v URE in rabo OVE, 14,8 odstotka sredstev namenjenih vključevanju energetsko revnih gospodinjstev v energetske skupnosti in 5 odstotkov sredstev namenjenih stroškom izvajanja programa in druge podporne dejavnosti.</w:t>
      </w:r>
      <w:r w:rsidR="007C0C93" w:rsidRPr="00FF207E">
        <w:rPr>
          <w:lang w:val="sl-SI"/>
        </w:rPr>
        <w:t xml:space="preserve"> </w:t>
      </w:r>
      <w:r w:rsidR="005547CF" w:rsidRPr="00FF207E">
        <w:rPr>
          <w:lang w:val="sl-SI"/>
        </w:rPr>
        <w:t>Potrebna sredstva za izvajanje akcijskega načrta za obdobje 2024</w:t>
      </w:r>
      <w:r w:rsidR="005547CF" w:rsidRPr="00FF207E">
        <w:rPr>
          <w:rFonts w:cs="Arial"/>
          <w:kern w:val="36"/>
          <w:sz w:val="20"/>
          <w:szCs w:val="20"/>
          <w:lang w:val="sl-SI"/>
        </w:rPr>
        <w:t>−</w:t>
      </w:r>
      <w:r w:rsidR="005547CF" w:rsidRPr="00FF207E">
        <w:rPr>
          <w:lang w:val="sl-SI"/>
        </w:rPr>
        <w:t>2026 v</w:t>
      </w:r>
      <w:r w:rsidR="007C0C93" w:rsidRPr="00FF207E">
        <w:rPr>
          <w:lang w:val="sl-SI"/>
        </w:rPr>
        <w:t>ključujejo stroške:</w:t>
      </w:r>
    </w:p>
    <w:p w14:paraId="6130E845" w14:textId="54DBC90E" w:rsidR="007C0C93" w:rsidRPr="00FF207E" w:rsidRDefault="007C0C93" w:rsidP="001E304B">
      <w:pPr>
        <w:pStyle w:val="Odstavekseznama"/>
        <w:numPr>
          <w:ilvl w:val="0"/>
          <w:numId w:val="31"/>
        </w:numPr>
        <w:spacing w:after="240"/>
        <w:jc w:val="both"/>
        <w:rPr>
          <w:lang w:val="sl-SI"/>
        </w:rPr>
      </w:pPr>
      <w:r w:rsidRPr="00FF207E">
        <w:rPr>
          <w:lang w:val="sl-SI"/>
        </w:rPr>
        <w:t>nadaljevanja obstoječih investicijskih spodbud za izvedbo ukrepov;</w:t>
      </w:r>
    </w:p>
    <w:p w14:paraId="2C4B9933" w14:textId="5B1983F1" w:rsidR="007C0C93" w:rsidRPr="00FF207E" w:rsidRDefault="007C0C93" w:rsidP="001E304B">
      <w:pPr>
        <w:pStyle w:val="Odstavekseznama"/>
        <w:numPr>
          <w:ilvl w:val="0"/>
          <w:numId w:val="31"/>
        </w:numPr>
        <w:spacing w:after="240"/>
        <w:jc w:val="both"/>
        <w:rPr>
          <w:lang w:val="sl-SI"/>
        </w:rPr>
      </w:pPr>
      <w:r w:rsidRPr="00FF207E">
        <w:rPr>
          <w:lang w:val="sl-SI"/>
        </w:rPr>
        <w:t>pilotne faze nove sheme za zmanjševanje energetske revščine;</w:t>
      </w:r>
    </w:p>
    <w:p w14:paraId="6B411636" w14:textId="5A804D9F" w:rsidR="007C0C93" w:rsidRPr="00FF207E" w:rsidRDefault="005547CF" w:rsidP="001E304B">
      <w:pPr>
        <w:pStyle w:val="Odstavekseznama"/>
        <w:numPr>
          <w:ilvl w:val="0"/>
          <w:numId w:val="31"/>
        </w:numPr>
        <w:spacing w:after="240"/>
        <w:jc w:val="both"/>
        <w:rPr>
          <w:lang w:val="sl-SI"/>
        </w:rPr>
      </w:pPr>
      <w:r w:rsidRPr="00FF207E">
        <w:rPr>
          <w:lang w:val="sl-SI"/>
        </w:rPr>
        <w:t xml:space="preserve">vzpostavitve </w:t>
      </w:r>
      <w:r w:rsidR="007C0C93" w:rsidRPr="00FF207E">
        <w:rPr>
          <w:lang w:val="sl-SI"/>
        </w:rPr>
        <w:t>polnega delovanja sheme za obdobje po letu 2026 in</w:t>
      </w:r>
    </w:p>
    <w:p w14:paraId="3AFE09E8" w14:textId="4F58A0AB" w:rsidR="007C0C93" w:rsidRPr="00FF207E" w:rsidRDefault="007C0C93" w:rsidP="001E304B">
      <w:pPr>
        <w:pStyle w:val="Odstavekseznama"/>
        <w:numPr>
          <w:ilvl w:val="0"/>
          <w:numId w:val="31"/>
        </w:numPr>
        <w:spacing w:after="240"/>
        <w:jc w:val="both"/>
        <w:rPr>
          <w:lang w:val="sl-SI"/>
        </w:rPr>
      </w:pPr>
      <w:r w:rsidRPr="00FF207E">
        <w:rPr>
          <w:lang w:val="sl-SI"/>
        </w:rPr>
        <w:t>drugih ukrepov tega akcijskega načrta.</w:t>
      </w:r>
    </w:p>
    <w:p w14:paraId="3ECEDF86" w14:textId="239FADC0" w:rsidR="007C0C93" w:rsidRPr="00FF207E" w:rsidRDefault="007C0C93" w:rsidP="001E304B">
      <w:pPr>
        <w:spacing w:after="120"/>
        <w:jc w:val="both"/>
        <w:rPr>
          <w:lang w:val="sl-SI"/>
        </w:rPr>
      </w:pPr>
      <w:r w:rsidRPr="00FF207E">
        <w:rPr>
          <w:lang w:val="sl-SI"/>
        </w:rPr>
        <w:t>Zagotovljena sredstva znašajo:</w:t>
      </w:r>
    </w:p>
    <w:p w14:paraId="2161F425" w14:textId="5F9E6A94" w:rsidR="007C0C93" w:rsidRPr="00FF207E" w:rsidRDefault="007C0C93" w:rsidP="004E2064">
      <w:pPr>
        <w:pStyle w:val="Odstavekseznama"/>
        <w:numPr>
          <w:ilvl w:val="0"/>
          <w:numId w:val="32"/>
        </w:numPr>
        <w:ind w:left="714" w:hanging="357"/>
        <w:jc w:val="both"/>
        <w:rPr>
          <w:lang w:val="sl-SI"/>
        </w:rPr>
      </w:pPr>
      <w:r w:rsidRPr="00FF207E">
        <w:rPr>
          <w:lang w:val="sl-SI"/>
        </w:rPr>
        <w:t>24 milijonov evrov iz Sklada za podnebne spremembe (</w:t>
      </w:r>
      <w:r w:rsidR="00717A52" w:rsidRPr="00FF207E">
        <w:rPr>
          <w:lang w:val="sl-SI"/>
        </w:rPr>
        <w:t xml:space="preserve">SPS; </w:t>
      </w:r>
      <w:r w:rsidRPr="00FF207E">
        <w:rPr>
          <w:rFonts w:cs="Arial"/>
          <w:i/>
          <w:szCs w:val="22"/>
          <w:lang w:val="sl-SI"/>
        </w:rPr>
        <w:t xml:space="preserve">Odlok o Programu porabe sredstev Sklada za podnebne spremembe za </w:t>
      </w:r>
      <w:r w:rsidR="00C60049" w:rsidRPr="00FF207E">
        <w:rPr>
          <w:rFonts w:cs="Arial"/>
          <w:i/>
          <w:szCs w:val="22"/>
          <w:lang w:val="sl-SI"/>
        </w:rPr>
        <w:t>leta 2023–2026</w:t>
      </w:r>
      <w:r w:rsidR="004E2064" w:rsidRPr="00FF207E">
        <w:rPr>
          <w:rFonts w:cs="Arial"/>
          <w:i/>
          <w:szCs w:val="22"/>
          <w:vertAlign w:val="superscript"/>
          <w:lang w:val="sl-SI"/>
        </w:rPr>
        <w:footnoteReference w:id="24"/>
      </w:r>
      <w:r w:rsidRPr="00FF207E">
        <w:rPr>
          <w:rFonts w:cs="Arial"/>
          <w:szCs w:val="22"/>
          <w:lang w:val="sl-SI"/>
        </w:rPr>
        <w:t xml:space="preserve"> je bil sprejet oktobra </w:t>
      </w:r>
      <w:r w:rsidR="009126D0" w:rsidRPr="00FF207E">
        <w:rPr>
          <w:rFonts w:cs="Arial"/>
          <w:szCs w:val="22"/>
          <w:lang w:val="sl-SI"/>
        </w:rPr>
        <w:t>2023</w:t>
      </w:r>
      <w:r w:rsidRPr="00FF207E">
        <w:rPr>
          <w:lang w:val="sl-SI"/>
        </w:rPr>
        <w:t>),</w:t>
      </w:r>
    </w:p>
    <w:p w14:paraId="45DFE876" w14:textId="2BDC0EF1" w:rsidR="007C0C93" w:rsidRPr="00FF207E" w:rsidRDefault="002D701F" w:rsidP="001E304B">
      <w:pPr>
        <w:pStyle w:val="Odstavekseznama"/>
        <w:numPr>
          <w:ilvl w:val="0"/>
          <w:numId w:val="32"/>
        </w:numPr>
        <w:spacing w:after="120"/>
        <w:jc w:val="both"/>
        <w:rPr>
          <w:lang w:val="sl-SI"/>
        </w:rPr>
      </w:pPr>
      <w:r w:rsidRPr="00FF207E">
        <w:rPr>
          <w:lang w:val="sl-SI"/>
        </w:rPr>
        <w:t>23</w:t>
      </w:r>
      <w:r w:rsidR="007C0C93" w:rsidRPr="00FF207E">
        <w:rPr>
          <w:lang w:val="sl-SI"/>
        </w:rPr>
        <w:t xml:space="preserve"> </w:t>
      </w:r>
      <w:r w:rsidR="005547CF" w:rsidRPr="00FF207E">
        <w:rPr>
          <w:lang w:val="sl-SI"/>
        </w:rPr>
        <w:t xml:space="preserve">milijona </w:t>
      </w:r>
      <w:r w:rsidR="007C0C93" w:rsidRPr="00FF207E">
        <w:rPr>
          <w:lang w:val="sl-SI"/>
        </w:rPr>
        <w:t>evrov</w:t>
      </w:r>
      <w:r w:rsidR="007C0C93" w:rsidRPr="00FF207E">
        <w:rPr>
          <w:rStyle w:val="Sprotnaopomba-sklic"/>
          <w:rFonts w:eastAsiaTheme="majorEastAsia"/>
          <w:lang w:val="sl-SI"/>
        </w:rPr>
        <w:footnoteReference w:id="25"/>
      </w:r>
      <w:r w:rsidR="007C0C93" w:rsidRPr="00FF207E">
        <w:rPr>
          <w:lang w:val="sl-SI"/>
        </w:rPr>
        <w:t xml:space="preserve"> iz sredstev </w:t>
      </w:r>
      <w:r w:rsidR="00A7676B" w:rsidRPr="00FF207E">
        <w:rPr>
          <w:lang w:val="sl-SI"/>
        </w:rPr>
        <w:t xml:space="preserve">Evropskega </w:t>
      </w:r>
      <w:r w:rsidR="007C0C93" w:rsidRPr="00FF207E">
        <w:rPr>
          <w:lang w:val="sl-SI"/>
        </w:rPr>
        <w:t>sklada</w:t>
      </w:r>
      <w:r w:rsidR="00A7676B" w:rsidRPr="00FF207E">
        <w:rPr>
          <w:lang w:val="sl-SI"/>
        </w:rPr>
        <w:t xml:space="preserve"> za regionalni razvoj</w:t>
      </w:r>
      <w:r w:rsidR="007C0C93" w:rsidRPr="00FF207E">
        <w:rPr>
          <w:lang w:val="sl-SI"/>
        </w:rPr>
        <w:t xml:space="preserve"> (</w:t>
      </w:r>
      <w:r w:rsidR="00A7676B" w:rsidRPr="00FF207E">
        <w:rPr>
          <w:lang w:val="sl-SI"/>
        </w:rPr>
        <w:t>ESRR</w:t>
      </w:r>
      <w:r w:rsidR="00717A52" w:rsidRPr="00FF207E">
        <w:rPr>
          <w:lang w:val="sl-SI"/>
        </w:rPr>
        <w:t xml:space="preserve">; </w:t>
      </w:r>
      <w:r w:rsidR="007C0C93" w:rsidRPr="00FF207E">
        <w:rPr>
          <w:lang w:val="sl-SI"/>
        </w:rPr>
        <w:t xml:space="preserve">v </w:t>
      </w:r>
      <w:r w:rsidR="007C0C93" w:rsidRPr="00FF207E">
        <w:rPr>
          <w:i/>
          <w:lang w:val="sl-SI"/>
        </w:rPr>
        <w:t>Programu Evropske kohezijske politike v obdobju 2021</w:t>
      </w:r>
      <w:r w:rsidR="007C0C93" w:rsidRPr="00FF207E">
        <w:rPr>
          <w:rFonts w:cs="Arial"/>
          <w:i/>
          <w:szCs w:val="22"/>
          <w:lang w:val="sl-SI"/>
        </w:rPr>
        <w:t>–2027</w:t>
      </w:r>
      <w:r w:rsidR="007C0C93" w:rsidRPr="00FF207E">
        <w:rPr>
          <w:rFonts w:cs="Arial"/>
          <w:szCs w:val="22"/>
          <w:lang w:val="sl-SI"/>
        </w:rPr>
        <w:t xml:space="preserve">, ki je bil sprejet decembra 2022, so sredstva načrtovana </w:t>
      </w:r>
      <w:r w:rsidR="007C0C93" w:rsidRPr="00FF207E">
        <w:rPr>
          <w:lang w:val="sl-SI"/>
        </w:rPr>
        <w:t xml:space="preserve">tako za naložbe za </w:t>
      </w:r>
      <w:r w:rsidR="00A94C3B" w:rsidRPr="00FF207E">
        <w:rPr>
          <w:lang w:val="sl-SI"/>
        </w:rPr>
        <w:t>blaženje</w:t>
      </w:r>
      <w:r w:rsidR="007C0C93" w:rsidRPr="00FF207E">
        <w:rPr>
          <w:lang w:val="sl-SI"/>
        </w:rPr>
        <w:t xml:space="preserve"> energetske revščine kot tudi </w:t>
      </w:r>
      <w:r w:rsidR="00B97067" w:rsidRPr="00FF207E">
        <w:rPr>
          <w:lang w:val="sl-SI"/>
        </w:rPr>
        <w:t xml:space="preserve">za </w:t>
      </w:r>
      <w:r w:rsidR="007C0C93" w:rsidRPr="00FF207E">
        <w:rPr>
          <w:lang w:val="sl-SI"/>
        </w:rPr>
        <w:t>svetovanje in ukrepe za spremembe vedenjskih navad</w:t>
      </w:r>
      <w:r w:rsidR="007C0C93" w:rsidRPr="00FF207E">
        <w:rPr>
          <w:rStyle w:val="Sprotnaopomba-sklic"/>
          <w:rFonts w:eastAsiaTheme="majorEastAsia"/>
          <w:lang w:val="sl-SI"/>
        </w:rPr>
        <w:footnoteReference w:id="26"/>
      </w:r>
      <w:r w:rsidR="007C0C93" w:rsidRPr="00FF207E">
        <w:rPr>
          <w:lang w:val="sl-SI"/>
        </w:rPr>
        <w:t>)</w:t>
      </w:r>
      <w:r w:rsidR="00A7676B" w:rsidRPr="00FF207E">
        <w:rPr>
          <w:lang w:val="sl-SI"/>
        </w:rPr>
        <w:t xml:space="preserve"> in pripadajoče slovenske udeležbe (državni proračun)</w:t>
      </w:r>
      <w:r w:rsidR="009D3648" w:rsidRPr="00FF207E">
        <w:rPr>
          <w:lang w:val="sl-SI"/>
        </w:rPr>
        <w:t>,</w:t>
      </w:r>
    </w:p>
    <w:p w14:paraId="17048139" w14:textId="7306B5BE" w:rsidR="000D10CA" w:rsidRPr="00FF207E" w:rsidRDefault="00B97067" w:rsidP="000D10CA">
      <w:pPr>
        <w:pStyle w:val="Odstavekseznama"/>
        <w:numPr>
          <w:ilvl w:val="0"/>
          <w:numId w:val="32"/>
        </w:numPr>
        <w:spacing w:after="120"/>
        <w:jc w:val="both"/>
        <w:rPr>
          <w:lang w:val="sl-SI"/>
        </w:rPr>
      </w:pPr>
      <w:r w:rsidRPr="00FF207E">
        <w:rPr>
          <w:lang w:val="sl-SI"/>
        </w:rPr>
        <w:t xml:space="preserve">sredstva za </w:t>
      </w:r>
      <w:r w:rsidR="000D10CA" w:rsidRPr="00FF207E">
        <w:rPr>
          <w:lang w:val="sl-SI"/>
        </w:rPr>
        <w:t>skupne ukrepe pri energetski prenovi večstanovanjskih stavb</w:t>
      </w:r>
      <w:r w:rsidRPr="00FF207E">
        <w:rPr>
          <w:lang w:val="sl-SI"/>
        </w:rPr>
        <w:t>, ki</w:t>
      </w:r>
      <w:r w:rsidR="000D10CA" w:rsidRPr="00FF207E">
        <w:rPr>
          <w:lang w:val="sl-SI"/>
        </w:rPr>
        <w:t xml:space="preserve"> se še </w:t>
      </w:r>
      <w:r w:rsidRPr="00FF207E">
        <w:rPr>
          <w:lang w:val="sl-SI"/>
        </w:rPr>
        <w:t xml:space="preserve">naprej </w:t>
      </w:r>
      <w:r w:rsidR="000D10CA" w:rsidRPr="00FF207E">
        <w:rPr>
          <w:lang w:val="sl-SI"/>
        </w:rPr>
        <w:t>financira</w:t>
      </w:r>
      <w:r w:rsidRPr="00FF207E">
        <w:rPr>
          <w:lang w:val="sl-SI"/>
        </w:rPr>
        <w:t>jo</w:t>
      </w:r>
      <w:r w:rsidR="000D10CA" w:rsidRPr="00FF207E">
        <w:rPr>
          <w:lang w:val="sl-SI"/>
        </w:rPr>
        <w:t xml:space="preserve"> iz prispevka URE</w:t>
      </w:r>
      <w:r w:rsidR="00A94C3B" w:rsidRPr="00FF207E">
        <w:rPr>
          <w:lang w:val="sl-SI"/>
        </w:rPr>
        <w:t xml:space="preserve"> (višina prispevka se spreminja z </w:t>
      </w:r>
      <w:proofErr w:type="spellStart"/>
      <w:r w:rsidR="00A94C3B" w:rsidRPr="00FF207E">
        <w:rPr>
          <w:lang w:val="sl-SI"/>
        </w:rPr>
        <w:t>opredelelitvijo</w:t>
      </w:r>
      <w:proofErr w:type="spellEnd"/>
      <w:r w:rsidR="00A94C3B" w:rsidRPr="00FF207E">
        <w:rPr>
          <w:lang w:val="sl-SI"/>
        </w:rPr>
        <w:t xml:space="preserve"> v NEPN)</w:t>
      </w:r>
      <w:r w:rsidR="000D10CA" w:rsidRPr="00FF207E">
        <w:rPr>
          <w:lang w:val="sl-SI"/>
        </w:rPr>
        <w:t xml:space="preserve">, okvirna ocena teh sredstev znaša 1 </w:t>
      </w:r>
      <w:r w:rsidR="003A4D91" w:rsidRPr="00FF207E">
        <w:rPr>
          <w:lang w:val="sl-SI"/>
        </w:rPr>
        <w:t>milijon evrov</w:t>
      </w:r>
      <w:r w:rsidR="000D10CA" w:rsidRPr="00FF207E">
        <w:rPr>
          <w:lang w:val="sl-SI"/>
        </w:rPr>
        <w:t>.</w:t>
      </w:r>
    </w:p>
    <w:p w14:paraId="50FCB42C" w14:textId="45B7B31F" w:rsidR="00B37E5B" w:rsidRPr="00FF207E" w:rsidRDefault="00B37E5B" w:rsidP="00A94C3B">
      <w:pPr>
        <w:spacing w:after="240"/>
        <w:jc w:val="both"/>
        <w:rPr>
          <w:lang w:val="sl-SI"/>
        </w:rPr>
      </w:pPr>
      <w:r w:rsidRPr="00FF207E">
        <w:rPr>
          <w:lang w:val="sl-SI"/>
        </w:rPr>
        <w:t>Glede na naloge, predvidene na strani MDDSZ in CSD za izvajanje akcijskega načrta, bo na navedenih organih potreben dodaten kader, ki pa v kadrovskih potrebah akcijskega načrta ni predviden, posledično tudi ne finančna sredstva, potrebna za ta namen.</w:t>
      </w:r>
    </w:p>
    <w:p w14:paraId="374A9F86" w14:textId="52BA5286" w:rsidR="000D10CA" w:rsidRPr="00FF207E" w:rsidRDefault="000D10CA" w:rsidP="00A94C3B">
      <w:pPr>
        <w:spacing w:after="240"/>
        <w:jc w:val="both"/>
        <w:rPr>
          <w:lang w:val="sl-SI"/>
        </w:rPr>
      </w:pPr>
      <w:r w:rsidRPr="00FF207E">
        <w:rPr>
          <w:lang w:val="sl-SI"/>
        </w:rPr>
        <w:t>Zagotovljena sredstva v obdobju 2024</w:t>
      </w:r>
      <w:r w:rsidRPr="00FF207E">
        <w:rPr>
          <w:rFonts w:cs="Arial"/>
          <w:i/>
          <w:szCs w:val="22"/>
          <w:lang w:val="sl-SI"/>
        </w:rPr>
        <w:t>–</w:t>
      </w:r>
      <w:r w:rsidRPr="00FF207E">
        <w:rPr>
          <w:lang w:val="sl-SI"/>
        </w:rPr>
        <w:t xml:space="preserve">2026 skupaj znašajo </w:t>
      </w:r>
      <w:r w:rsidR="00882192" w:rsidRPr="00FF207E">
        <w:rPr>
          <w:lang w:val="sl-SI"/>
        </w:rPr>
        <w:t>48</w:t>
      </w:r>
      <w:r w:rsidR="00DB5DDE" w:rsidRPr="00FF207E">
        <w:rPr>
          <w:lang w:val="sl-SI"/>
        </w:rPr>
        <w:t xml:space="preserve"> </w:t>
      </w:r>
      <w:r w:rsidR="003A4D91" w:rsidRPr="00FF207E">
        <w:rPr>
          <w:lang w:val="sl-SI"/>
        </w:rPr>
        <w:t>milijona evrov</w:t>
      </w:r>
      <w:r w:rsidR="00DB5DDE" w:rsidRPr="00FF207E">
        <w:rPr>
          <w:lang w:val="sl-SI"/>
        </w:rPr>
        <w:t xml:space="preserve">. Vsa razpoložljiva sredstva bodo </w:t>
      </w:r>
      <w:r w:rsidR="00A94C3B" w:rsidRPr="00FF207E">
        <w:rPr>
          <w:lang w:val="sl-SI"/>
        </w:rPr>
        <w:t xml:space="preserve">razpisana </w:t>
      </w:r>
      <w:r w:rsidR="00DB5DDE" w:rsidRPr="00FF207E">
        <w:rPr>
          <w:lang w:val="sl-SI"/>
        </w:rPr>
        <w:t>v obd</w:t>
      </w:r>
      <w:r w:rsidR="002B0589" w:rsidRPr="00FF207E">
        <w:rPr>
          <w:lang w:val="sl-SI"/>
        </w:rPr>
        <w:t>o</w:t>
      </w:r>
      <w:r w:rsidR="00DB5DDE" w:rsidRPr="00FF207E">
        <w:rPr>
          <w:lang w:val="sl-SI"/>
        </w:rPr>
        <w:t>bju 2024</w:t>
      </w:r>
      <w:r w:rsidR="002B0589" w:rsidRPr="00FF207E">
        <w:rPr>
          <w:rFonts w:cs="Arial"/>
          <w:i/>
          <w:szCs w:val="22"/>
          <w:lang w:val="sl-SI"/>
        </w:rPr>
        <w:t>–</w:t>
      </w:r>
      <w:r w:rsidR="00DB5DDE" w:rsidRPr="00FF207E">
        <w:rPr>
          <w:lang w:val="sl-SI"/>
        </w:rPr>
        <w:t>2026</w:t>
      </w:r>
      <w:r w:rsidR="00834E90" w:rsidRPr="00FF207E">
        <w:rPr>
          <w:lang w:val="sl-SI"/>
        </w:rPr>
        <w:t xml:space="preserve">. Od tega bo 33,8 milijona evrov sredstev črpanih za projekte izvedene v letih 2024 do 2026, kar je </w:t>
      </w:r>
      <w:proofErr w:type="spellStart"/>
      <w:r w:rsidR="00824E64" w:rsidRPr="00FF207E">
        <w:rPr>
          <w:lang w:val="sl-SI"/>
        </w:rPr>
        <w:t>uskajen</w:t>
      </w:r>
      <w:r w:rsidR="00834E90" w:rsidRPr="00FF207E">
        <w:rPr>
          <w:lang w:val="sl-SI"/>
        </w:rPr>
        <w:t>o</w:t>
      </w:r>
      <w:proofErr w:type="spellEnd"/>
      <w:r w:rsidR="00824E64" w:rsidRPr="00FF207E">
        <w:rPr>
          <w:lang w:val="sl-SI"/>
        </w:rPr>
        <w:t xml:space="preserve"> z oceno stroškov izvajanja programa</w:t>
      </w:r>
      <w:r w:rsidRPr="00FF207E">
        <w:rPr>
          <w:lang w:val="sl-SI"/>
        </w:rPr>
        <w:t>.</w:t>
      </w:r>
      <w:r w:rsidR="00834E90" w:rsidRPr="00FF207E">
        <w:rPr>
          <w:lang w:val="sl-SI"/>
        </w:rPr>
        <w:t xml:space="preserve"> Ostala razpisana sredstva pa bodo predvidoma črpana v </w:t>
      </w:r>
      <w:r w:rsidR="006546F9" w:rsidRPr="00FF207E">
        <w:rPr>
          <w:lang w:val="sl-SI"/>
        </w:rPr>
        <w:t>obdobju</w:t>
      </w:r>
      <w:r w:rsidR="00834E90" w:rsidRPr="00FF207E">
        <w:rPr>
          <w:lang w:val="sl-SI"/>
        </w:rPr>
        <w:t xml:space="preserve"> 2027</w:t>
      </w:r>
      <w:r w:rsidR="006546F9" w:rsidRPr="00FF207E">
        <w:rPr>
          <w:rFonts w:cs="Arial"/>
          <w:lang w:val="sl-SI"/>
        </w:rPr>
        <w:t>‒</w:t>
      </w:r>
      <w:r w:rsidR="00834E90" w:rsidRPr="00FF207E">
        <w:rPr>
          <w:lang w:val="sl-SI"/>
        </w:rPr>
        <w:t>202</w:t>
      </w:r>
      <w:r w:rsidR="006546F9" w:rsidRPr="00FF207E">
        <w:rPr>
          <w:lang w:val="sl-SI"/>
        </w:rPr>
        <w:t>9</w:t>
      </w:r>
      <w:r w:rsidR="00834E90" w:rsidRPr="00FF207E">
        <w:rPr>
          <w:lang w:val="sl-SI"/>
        </w:rPr>
        <w:t>.</w:t>
      </w:r>
    </w:p>
    <w:p w14:paraId="420DD924" w14:textId="38B13137" w:rsidR="00C27DEA" w:rsidRPr="00FF207E" w:rsidRDefault="00040671" w:rsidP="001E304B">
      <w:pPr>
        <w:spacing w:after="240"/>
        <w:jc w:val="both"/>
        <w:rPr>
          <w:lang w:val="sl-SI"/>
        </w:rPr>
      </w:pPr>
      <w:bookmarkStart w:id="116" w:name="_Hlk150444002"/>
      <w:r w:rsidRPr="00FF207E">
        <w:rPr>
          <w:lang w:val="sl-SI"/>
        </w:rPr>
        <w:lastRenderedPageBreak/>
        <w:t xml:space="preserve">Na ravni </w:t>
      </w:r>
      <w:r w:rsidR="007C0C93" w:rsidRPr="00FF207E">
        <w:rPr>
          <w:lang w:val="sl-SI"/>
        </w:rPr>
        <w:t xml:space="preserve">EU </w:t>
      </w:r>
      <w:r w:rsidRPr="00FF207E">
        <w:rPr>
          <w:lang w:val="sl-SI"/>
        </w:rPr>
        <w:t xml:space="preserve">bodo </w:t>
      </w:r>
      <w:r w:rsidR="007C0C93" w:rsidRPr="00FF207E">
        <w:rPr>
          <w:lang w:val="sl-SI"/>
        </w:rPr>
        <w:t xml:space="preserve">v obdobju 2026–2032 </w:t>
      </w:r>
      <w:r w:rsidRPr="00FF207E">
        <w:rPr>
          <w:lang w:val="sl-SI"/>
        </w:rPr>
        <w:t xml:space="preserve">za zmanjševanje energetske revščine </w:t>
      </w:r>
      <w:r w:rsidR="007C0C93" w:rsidRPr="00FF207E">
        <w:rPr>
          <w:lang w:val="sl-SI"/>
        </w:rPr>
        <w:t xml:space="preserve">na voljo tudi </w:t>
      </w:r>
      <w:r w:rsidRPr="00FF207E">
        <w:rPr>
          <w:lang w:val="sl-SI"/>
        </w:rPr>
        <w:t xml:space="preserve">sredstva </w:t>
      </w:r>
      <w:r w:rsidR="007C0C93" w:rsidRPr="00FF207E">
        <w:rPr>
          <w:lang w:val="sl-SI"/>
        </w:rPr>
        <w:t>iz Socialnega sklada za podnebje</w:t>
      </w:r>
      <w:r w:rsidR="00846409" w:rsidRPr="00FF207E">
        <w:rPr>
          <w:lang w:val="sl-SI"/>
        </w:rPr>
        <w:t>,</w:t>
      </w:r>
      <w:r w:rsidR="007C0C93" w:rsidRPr="00FF207E">
        <w:rPr>
          <w:vertAlign w:val="superscript"/>
          <w:lang w:val="sl-SI"/>
        </w:rPr>
        <w:footnoteReference w:id="27"/>
      </w:r>
      <w:r w:rsidR="007C0C93" w:rsidRPr="00FF207E">
        <w:rPr>
          <w:lang w:val="sl-SI"/>
        </w:rPr>
        <w:t xml:space="preserve"> kjer je za različne namene za Slovenijo predvidenih dobrih 300 milijonov evrov sredstev.</w:t>
      </w:r>
      <w:r w:rsidR="00C60049" w:rsidRPr="00FF207E">
        <w:rPr>
          <w:lang w:val="sl-SI"/>
        </w:rPr>
        <w:t xml:space="preserve"> </w:t>
      </w:r>
      <w:r w:rsidR="00800A35" w:rsidRPr="00FF207E">
        <w:rPr>
          <w:rFonts w:cs="Arial"/>
          <w:szCs w:val="22"/>
          <w:lang w:val="sl-SI"/>
        </w:rPr>
        <w:t xml:space="preserve">Za črpanje teh sredstev mora Slovenija </w:t>
      </w:r>
      <w:r w:rsidR="008D61D4" w:rsidRPr="00FF207E">
        <w:rPr>
          <w:rFonts w:cs="Arial"/>
          <w:szCs w:val="22"/>
          <w:lang w:val="sl-SI"/>
        </w:rPr>
        <w:t xml:space="preserve">najpozneje </w:t>
      </w:r>
      <w:r w:rsidR="00800A35" w:rsidRPr="00FF207E">
        <w:rPr>
          <w:rFonts w:cs="Arial"/>
          <w:szCs w:val="22"/>
          <w:lang w:val="sl-SI"/>
        </w:rPr>
        <w:t xml:space="preserve">do junija 2025 pripraviti in Evropski komisiji </w:t>
      </w:r>
      <w:r w:rsidR="00A179E1" w:rsidRPr="00FF207E">
        <w:rPr>
          <w:rFonts w:cs="Arial"/>
          <w:szCs w:val="22"/>
          <w:lang w:val="sl-SI"/>
        </w:rPr>
        <w:t xml:space="preserve">poslati </w:t>
      </w:r>
      <w:r w:rsidR="00800A35" w:rsidRPr="00FF207E">
        <w:rPr>
          <w:rFonts w:cs="Arial"/>
          <w:szCs w:val="22"/>
          <w:lang w:val="sl-SI"/>
        </w:rPr>
        <w:t xml:space="preserve">socialni načrt za podnebje. V njegovem okviru je </w:t>
      </w:r>
      <w:r w:rsidR="00A179E1" w:rsidRPr="00FF207E">
        <w:rPr>
          <w:rFonts w:cs="Arial"/>
          <w:szCs w:val="22"/>
          <w:lang w:val="sl-SI"/>
        </w:rPr>
        <w:t xml:space="preserve">treba </w:t>
      </w:r>
      <w:r w:rsidR="00800A35" w:rsidRPr="00FF207E">
        <w:rPr>
          <w:rFonts w:cs="Arial"/>
          <w:szCs w:val="22"/>
          <w:lang w:val="sl-SI"/>
        </w:rPr>
        <w:t xml:space="preserve">zagotoviti tudi manjkajoča sredstva, okvirno </w:t>
      </w:r>
      <w:r w:rsidR="00711608" w:rsidRPr="00FF207E">
        <w:rPr>
          <w:rFonts w:cs="Arial"/>
          <w:szCs w:val="22"/>
          <w:lang w:val="sl-SI"/>
        </w:rPr>
        <w:t>85</w:t>
      </w:r>
      <w:r w:rsidR="000C55F2" w:rsidRPr="00FF207E">
        <w:rPr>
          <w:rFonts w:cs="Arial"/>
          <w:szCs w:val="22"/>
          <w:lang w:val="sl-SI"/>
        </w:rPr>
        <w:t> milijonov evrov</w:t>
      </w:r>
      <w:r w:rsidR="000C55F2" w:rsidRPr="00FF207E">
        <w:rPr>
          <w:rStyle w:val="Sprotnaopomba-sklic"/>
          <w:rFonts w:cs="Arial"/>
          <w:szCs w:val="22"/>
          <w:lang w:val="sl-SI"/>
        </w:rPr>
        <w:footnoteReference w:id="28"/>
      </w:r>
      <w:r w:rsidR="000C55F2" w:rsidRPr="00FF207E">
        <w:rPr>
          <w:rFonts w:cs="Arial"/>
          <w:szCs w:val="22"/>
          <w:lang w:val="sl-SI"/>
        </w:rPr>
        <w:t>,</w:t>
      </w:r>
      <w:r w:rsidR="00800A35" w:rsidRPr="00FF207E">
        <w:rPr>
          <w:rFonts w:cs="Arial"/>
          <w:szCs w:val="22"/>
          <w:lang w:val="sl-SI"/>
        </w:rPr>
        <w:t xml:space="preserve"> ki bodo namenjena zmanjševanju energetske revščine v obdobju 2026–2030 in s tem doseganju cilja, ki izhaja iz 8. člena EED </w:t>
      </w:r>
      <w:bookmarkEnd w:id="116"/>
      <w:r w:rsidR="00800A35" w:rsidRPr="00FF207E">
        <w:rPr>
          <w:rFonts w:cs="Arial"/>
          <w:szCs w:val="22"/>
          <w:lang w:val="sl-SI"/>
        </w:rPr>
        <w:t xml:space="preserve">(glej poglavje </w:t>
      </w:r>
      <w:r w:rsidR="00800A35" w:rsidRPr="00FF207E">
        <w:rPr>
          <w:rFonts w:cs="Arial"/>
          <w:szCs w:val="22"/>
          <w:lang w:val="sl-SI"/>
        </w:rPr>
        <w:fldChar w:fldCharType="begin"/>
      </w:r>
      <w:r w:rsidR="00800A35" w:rsidRPr="00FF207E">
        <w:rPr>
          <w:rFonts w:cs="Arial"/>
          <w:szCs w:val="22"/>
          <w:lang w:val="sl-SI"/>
        </w:rPr>
        <w:instrText xml:space="preserve"> REF _Ref150249089 \r \h </w:instrText>
      </w:r>
      <w:r w:rsidR="00800A35" w:rsidRPr="00FF207E">
        <w:rPr>
          <w:rFonts w:cs="Arial"/>
          <w:szCs w:val="22"/>
          <w:lang w:val="sl-SI"/>
        </w:rPr>
      </w:r>
      <w:r w:rsidR="00FF207E">
        <w:rPr>
          <w:rFonts w:cs="Arial"/>
          <w:szCs w:val="22"/>
          <w:lang w:val="sl-SI"/>
        </w:rPr>
        <w:instrText xml:space="preserve"> \* MERGEFORMAT </w:instrText>
      </w:r>
      <w:r w:rsidR="00800A35" w:rsidRPr="00FF207E">
        <w:rPr>
          <w:rFonts w:cs="Arial"/>
          <w:szCs w:val="22"/>
          <w:lang w:val="sl-SI"/>
        </w:rPr>
        <w:fldChar w:fldCharType="separate"/>
      </w:r>
      <w:r w:rsidR="00F37FD1" w:rsidRPr="00FF207E">
        <w:rPr>
          <w:rFonts w:cs="Arial"/>
          <w:szCs w:val="22"/>
          <w:lang w:val="sl-SI"/>
        </w:rPr>
        <w:t>2.1</w:t>
      </w:r>
      <w:r w:rsidR="00800A35" w:rsidRPr="00FF207E">
        <w:rPr>
          <w:rFonts w:cs="Arial"/>
          <w:szCs w:val="22"/>
          <w:lang w:val="sl-SI"/>
        </w:rPr>
        <w:fldChar w:fldCharType="end"/>
      </w:r>
      <w:r w:rsidR="00800A35" w:rsidRPr="00FF207E">
        <w:rPr>
          <w:rFonts w:cs="Arial"/>
          <w:szCs w:val="22"/>
          <w:lang w:val="sl-SI"/>
        </w:rPr>
        <w:t>).</w:t>
      </w:r>
    </w:p>
    <w:p w14:paraId="4C05117A" w14:textId="7A3EA2B5" w:rsidR="00487E79" w:rsidRPr="00FF207E" w:rsidRDefault="00487E79" w:rsidP="001E304B">
      <w:pPr>
        <w:spacing w:after="240"/>
        <w:jc w:val="both"/>
        <w:rPr>
          <w:lang w:val="sl-SI"/>
        </w:rPr>
      </w:pPr>
      <w:r w:rsidRPr="00FF207E">
        <w:rPr>
          <w:lang w:val="sl-SI"/>
        </w:rPr>
        <w:t xml:space="preserve">Za nadgradnjo sheme, drugih instrumentov, uvajanje novih oblik pomoči ter za strokovne podlage v te namene so kot potencialni viri sredstev identificirani tudi ciljni raziskovalni programi ARRS </w:t>
      </w:r>
      <w:r w:rsidR="00B97067" w:rsidRPr="00FF207E">
        <w:rPr>
          <w:lang w:val="sl-SI"/>
        </w:rPr>
        <w:t xml:space="preserve">in </w:t>
      </w:r>
      <w:r w:rsidRPr="00FF207E">
        <w:rPr>
          <w:lang w:val="sl-SI"/>
        </w:rPr>
        <w:t xml:space="preserve">pristojnih ministrstev ter razpisi programov EU: LIFE, INTERREG </w:t>
      </w:r>
      <w:r w:rsidR="00B77973" w:rsidRPr="00FF207E">
        <w:rPr>
          <w:lang w:val="sl-SI"/>
        </w:rPr>
        <w:t>in tako dalje</w:t>
      </w:r>
      <w:r w:rsidR="00B97067" w:rsidRPr="00FF207E">
        <w:rPr>
          <w:lang w:val="sl-SI"/>
        </w:rPr>
        <w:t>.</w:t>
      </w:r>
    </w:p>
    <w:p w14:paraId="2C4B3BC3" w14:textId="77777777" w:rsidR="00487E79" w:rsidRPr="00FF207E" w:rsidRDefault="00487E79" w:rsidP="001E304B">
      <w:pPr>
        <w:spacing w:after="240"/>
        <w:jc w:val="both"/>
        <w:rPr>
          <w:lang w:val="sl-SI"/>
        </w:rPr>
      </w:pPr>
    </w:p>
    <w:p w14:paraId="0A702DB7" w14:textId="29328B66" w:rsidR="00BE5752" w:rsidRPr="00FF207E" w:rsidRDefault="00BE5752" w:rsidP="001E304B">
      <w:pPr>
        <w:jc w:val="both"/>
        <w:rPr>
          <w:lang w:val="sl-SI"/>
        </w:rPr>
        <w:sectPr w:rsidR="00BE5752" w:rsidRPr="00FF207E" w:rsidSect="000A3AC2">
          <w:footerReference w:type="default" r:id="rId16"/>
          <w:pgSz w:w="11906" w:h="16838"/>
          <w:pgMar w:top="1417" w:right="1417" w:bottom="1417" w:left="1417" w:header="708" w:footer="708" w:gutter="0"/>
          <w:cols w:space="708"/>
          <w:titlePg/>
          <w:docGrid w:linePitch="360"/>
        </w:sectPr>
      </w:pPr>
    </w:p>
    <w:p w14:paraId="4625D874" w14:textId="6052AED4" w:rsidR="00BE5752" w:rsidRPr="00FF207E" w:rsidRDefault="00BE5752" w:rsidP="00DA36CB">
      <w:pPr>
        <w:pStyle w:val="Table"/>
        <w:spacing w:after="240"/>
      </w:pPr>
      <w:bookmarkStart w:id="117" w:name="_Ref137470948"/>
      <w:bookmarkStart w:id="118" w:name="_Toc138161837"/>
      <w:r w:rsidRPr="00FF207E">
        <w:lastRenderedPageBreak/>
        <w:t xml:space="preserve">Tabela </w:t>
      </w:r>
      <w:r w:rsidR="005428A9" w:rsidRPr="00FF207E">
        <w:fldChar w:fldCharType="begin"/>
      </w:r>
      <w:r w:rsidR="005428A9" w:rsidRPr="00FF207E">
        <w:instrText xml:space="preserve"> SEQ Tabela \* ARABIC </w:instrText>
      </w:r>
      <w:r w:rsidR="005428A9" w:rsidRPr="00FF207E">
        <w:fldChar w:fldCharType="separate"/>
      </w:r>
      <w:r w:rsidR="008140B0" w:rsidRPr="00FF207E">
        <w:rPr>
          <w:noProof/>
        </w:rPr>
        <w:t>7</w:t>
      </w:r>
      <w:r w:rsidR="005428A9" w:rsidRPr="00FF207E">
        <w:rPr>
          <w:noProof/>
        </w:rPr>
        <w:fldChar w:fldCharType="end"/>
      </w:r>
      <w:bookmarkEnd w:id="117"/>
      <w:r w:rsidRPr="00FF207E">
        <w:t>:</w:t>
      </w:r>
      <w:r w:rsidRPr="00FF207E">
        <w:tab/>
        <w:t xml:space="preserve">Potrebna sredstva za izvajanje akcijskega načrta za zmanjševanje energetske revščine </w:t>
      </w:r>
      <w:r w:rsidR="00C27DEA" w:rsidRPr="00FF207E">
        <w:t>v obdobju 2024‒</w:t>
      </w:r>
      <w:r w:rsidRPr="00FF207E">
        <w:t>2026 in viri sredstev</w:t>
      </w:r>
      <w:bookmarkEnd w:id="118"/>
    </w:p>
    <w:tbl>
      <w:tblPr>
        <w:tblStyle w:val="Tabelamrea"/>
        <w:tblW w:w="8937" w:type="dxa"/>
        <w:jc w:val="center"/>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5960"/>
        <w:gridCol w:w="1276"/>
        <w:gridCol w:w="1701"/>
      </w:tblGrid>
      <w:tr w:rsidR="00800A35" w:rsidRPr="00FF207E" w14:paraId="402D9DDB" w14:textId="77777777" w:rsidTr="00800A35">
        <w:trPr>
          <w:cantSplit/>
          <w:jc w:val="center"/>
        </w:trPr>
        <w:tc>
          <w:tcPr>
            <w:tcW w:w="5960" w:type="dxa"/>
            <w:shd w:val="clear" w:color="auto" w:fill="548DD4" w:themeFill="text2" w:themeFillTint="99"/>
          </w:tcPr>
          <w:p w14:paraId="649FF44B" w14:textId="77777777" w:rsidR="00800A35" w:rsidRPr="00FF207E" w:rsidRDefault="00800A35" w:rsidP="001E304B">
            <w:pPr>
              <w:spacing w:before="60" w:after="60" w:line="240" w:lineRule="auto"/>
              <w:jc w:val="both"/>
              <w:rPr>
                <w:rFonts w:cs="Arial"/>
                <w:b/>
                <w:color w:val="FFFFFF" w:themeColor="background1"/>
                <w:sz w:val="20"/>
                <w:szCs w:val="20"/>
                <w:lang w:val="sl-SI"/>
              </w:rPr>
            </w:pPr>
          </w:p>
        </w:tc>
        <w:tc>
          <w:tcPr>
            <w:tcW w:w="1276" w:type="dxa"/>
            <w:shd w:val="clear" w:color="auto" w:fill="548DD4" w:themeFill="text2" w:themeFillTint="99"/>
            <w:vAlign w:val="center"/>
          </w:tcPr>
          <w:p w14:paraId="2ECC2070" w14:textId="370A5DE5" w:rsidR="00800A35" w:rsidRPr="00FF207E" w:rsidRDefault="00800A35" w:rsidP="001E304B">
            <w:pPr>
              <w:keepNext/>
              <w:spacing w:before="60" w:after="60"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Vrednost</w:t>
            </w:r>
            <w:r w:rsidRPr="00FF207E">
              <w:rPr>
                <w:rFonts w:cs="Arial"/>
                <w:b/>
                <w:color w:val="FFFFFF" w:themeColor="background1"/>
                <w:sz w:val="20"/>
                <w:szCs w:val="20"/>
                <w:lang w:val="sl-SI"/>
              </w:rPr>
              <w:br/>
              <w:t>(mio EUR)</w:t>
            </w:r>
          </w:p>
        </w:tc>
        <w:tc>
          <w:tcPr>
            <w:tcW w:w="1701" w:type="dxa"/>
            <w:shd w:val="clear" w:color="auto" w:fill="548DD4" w:themeFill="text2" w:themeFillTint="99"/>
            <w:vAlign w:val="center"/>
          </w:tcPr>
          <w:p w14:paraId="680525C0" w14:textId="77777777" w:rsidR="00800A35" w:rsidRPr="00FF207E" w:rsidRDefault="00800A35" w:rsidP="001E304B">
            <w:pPr>
              <w:keepNext/>
              <w:spacing w:before="60" w:after="60" w:line="240" w:lineRule="auto"/>
              <w:jc w:val="both"/>
              <w:rPr>
                <w:rFonts w:cs="Arial"/>
                <w:b/>
                <w:color w:val="FFFFFF" w:themeColor="background1"/>
                <w:sz w:val="20"/>
                <w:szCs w:val="20"/>
                <w:lang w:val="sl-SI"/>
              </w:rPr>
            </w:pPr>
            <w:r w:rsidRPr="00FF207E">
              <w:rPr>
                <w:rFonts w:cs="Arial"/>
                <w:b/>
                <w:color w:val="FFFFFF" w:themeColor="background1"/>
                <w:sz w:val="20"/>
                <w:szCs w:val="20"/>
                <w:lang w:val="sl-SI"/>
              </w:rPr>
              <w:t>Viri sredstev</w:t>
            </w:r>
          </w:p>
        </w:tc>
      </w:tr>
      <w:tr w:rsidR="00800A35" w:rsidRPr="00FF207E" w14:paraId="02EFFCDE" w14:textId="77777777" w:rsidTr="00800A35">
        <w:trPr>
          <w:cantSplit/>
          <w:jc w:val="center"/>
        </w:trPr>
        <w:tc>
          <w:tcPr>
            <w:tcW w:w="5960" w:type="dxa"/>
            <w:shd w:val="clear" w:color="auto" w:fill="C6D9F1" w:themeFill="text2" w:themeFillTint="33"/>
          </w:tcPr>
          <w:p w14:paraId="13694C56" w14:textId="4EFC3179" w:rsidR="00800A35" w:rsidRPr="00FF207E" w:rsidRDefault="000E4002" w:rsidP="001E304B">
            <w:pPr>
              <w:spacing w:before="60" w:after="60" w:line="240" w:lineRule="auto"/>
              <w:jc w:val="both"/>
              <w:rPr>
                <w:rFonts w:cs="Arial"/>
                <w:b/>
                <w:bCs/>
                <w:sz w:val="20"/>
                <w:szCs w:val="20"/>
                <w:lang w:val="sl-SI"/>
              </w:rPr>
            </w:pPr>
            <w:r w:rsidRPr="00FF207E">
              <w:rPr>
                <w:rFonts w:cs="Arial"/>
                <w:b/>
                <w:bCs/>
                <w:sz w:val="20"/>
                <w:szCs w:val="20"/>
                <w:lang w:val="sl-SI"/>
              </w:rPr>
              <w:t xml:space="preserve">Spodbude za izvedbo </w:t>
            </w:r>
            <w:r w:rsidR="00824E64" w:rsidRPr="00FF207E">
              <w:rPr>
                <w:rFonts w:cs="Arial"/>
                <w:b/>
                <w:bCs/>
                <w:sz w:val="20"/>
                <w:szCs w:val="20"/>
                <w:lang w:val="sl-SI"/>
              </w:rPr>
              <w:t xml:space="preserve">investicijskih </w:t>
            </w:r>
            <w:r w:rsidRPr="00FF207E">
              <w:rPr>
                <w:rFonts w:cs="Arial"/>
                <w:b/>
                <w:bCs/>
                <w:sz w:val="20"/>
                <w:szCs w:val="20"/>
                <w:lang w:val="sl-SI"/>
              </w:rPr>
              <w:t>ukrepov</w:t>
            </w:r>
          </w:p>
        </w:tc>
        <w:tc>
          <w:tcPr>
            <w:tcW w:w="1276" w:type="dxa"/>
            <w:shd w:val="clear" w:color="auto" w:fill="C6D9F1" w:themeFill="text2" w:themeFillTint="33"/>
            <w:vAlign w:val="center"/>
          </w:tcPr>
          <w:p w14:paraId="6EF66936" w14:textId="51B0D8D2" w:rsidR="00800A35" w:rsidRPr="00FF207E" w:rsidRDefault="00711608" w:rsidP="00800A35">
            <w:pPr>
              <w:keepNext/>
              <w:spacing w:line="240" w:lineRule="atLeast"/>
              <w:jc w:val="center"/>
              <w:rPr>
                <w:rFonts w:cs="Arial"/>
                <w:b/>
                <w:bCs/>
                <w:sz w:val="20"/>
                <w:szCs w:val="20"/>
                <w:lang w:val="sl-SI"/>
              </w:rPr>
            </w:pPr>
            <w:r w:rsidRPr="00FF207E">
              <w:rPr>
                <w:rFonts w:cs="Arial"/>
                <w:b/>
                <w:bCs/>
                <w:sz w:val="20"/>
                <w:szCs w:val="20"/>
                <w:lang w:val="sl-SI"/>
              </w:rPr>
              <w:t>27,0</w:t>
            </w:r>
          </w:p>
        </w:tc>
        <w:tc>
          <w:tcPr>
            <w:tcW w:w="1701" w:type="dxa"/>
            <w:shd w:val="clear" w:color="auto" w:fill="C6D9F1" w:themeFill="text2" w:themeFillTint="33"/>
            <w:vAlign w:val="center"/>
          </w:tcPr>
          <w:p w14:paraId="7E2F2CDB" w14:textId="4FF50006" w:rsidR="00800A35" w:rsidRPr="00FF207E" w:rsidRDefault="00B97067" w:rsidP="001E304B">
            <w:pPr>
              <w:keepNext/>
              <w:spacing w:line="240" w:lineRule="atLeast"/>
              <w:jc w:val="both"/>
              <w:rPr>
                <w:rFonts w:cs="Arial"/>
                <w:b/>
                <w:bCs/>
                <w:sz w:val="20"/>
                <w:szCs w:val="20"/>
                <w:lang w:val="sl-SI"/>
              </w:rPr>
            </w:pPr>
            <w:r w:rsidRPr="00FF207E">
              <w:rPr>
                <w:rFonts w:cs="Arial"/>
                <w:b/>
                <w:bCs/>
                <w:sz w:val="20"/>
                <w:szCs w:val="20"/>
                <w:lang w:val="sl-SI"/>
              </w:rPr>
              <w:t>–</w:t>
            </w:r>
          </w:p>
        </w:tc>
      </w:tr>
      <w:tr w:rsidR="00800A35" w:rsidRPr="00FF207E" w14:paraId="40E68CB7" w14:textId="77777777" w:rsidTr="00800A35">
        <w:trPr>
          <w:cantSplit/>
          <w:jc w:val="center"/>
        </w:trPr>
        <w:tc>
          <w:tcPr>
            <w:tcW w:w="5960" w:type="dxa"/>
          </w:tcPr>
          <w:p w14:paraId="4BC4743D" w14:textId="050ED334" w:rsidR="00800A35" w:rsidRPr="00FF207E" w:rsidRDefault="00800A35" w:rsidP="00097EB2">
            <w:pPr>
              <w:spacing w:before="60" w:after="60" w:line="240" w:lineRule="auto"/>
              <w:ind w:left="340"/>
              <w:jc w:val="both"/>
              <w:rPr>
                <w:rFonts w:cs="Arial"/>
                <w:sz w:val="20"/>
                <w:szCs w:val="20"/>
                <w:lang w:val="sl-SI"/>
              </w:rPr>
            </w:pPr>
            <w:r w:rsidRPr="00FF207E">
              <w:rPr>
                <w:rFonts w:cs="Arial"/>
                <w:sz w:val="20"/>
                <w:szCs w:val="20"/>
                <w:lang w:val="sl-SI"/>
              </w:rPr>
              <w:t xml:space="preserve">Sofinanciranje </w:t>
            </w:r>
            <w:r w:rsidR="00097EB2" w:rsidRPr="00FF207E">
              <w:rPr>
                <w:rFonts w:cs="Arial"/>
                <w:sz w:val="20"/>
                <w:szCs w:val="20"/>
                <w:lang w:val="sl-SI"/>
              </w:rPr>
              <w:t>energetske revščine</w:t>
            </w:r>
            <w:r w:rsidRPr="00FF207E">
              <w:rPr>
                <w:rFonts w:cs="Arial"/>
                <w:sz w:val="20"/>
                <w:szCs w:val="20"/>
                <w:lang w:val="sl-SI"/>
              </w:rPr>
              <w:t xml:space="preserve"> v VSS</w:t>
            </w:r>
          </w:p>
        </w:tc>
        <w:tc>
          <w:tcPr>
            <w:tcW w:w="1276" w:type="dxa"/>
            <w:vAlign w:val="center"/>
          </w:tcPr>
          <w:p w14:paraId="4A3C502E" w14:textId="4F405B2D" w:rsidR="00800A35" w:rsidRPr="00FF207E" w:rsidRDefault="00800A35" w:rsidP="00800A35">
            <w:pPr>
              <w:keepNext/>
              <w:spacing w:line="240" w:lineRule="atLeast"/>
              <w:jc w:val="center"/>
              <w:rPr>
                <w:rFonts w:cs="Arial"/>
                <w:sz w:val="20"/>
                <w:szCs w:val="20"/>
                <w:lang w:val="sl-SI"/>
              </w:rPr>
            </w:pPr>
            <w:r w:rsidRPr="00FF207E">
              <w:rPr>
                <w:rFonts w:cs="Arial"/>
                <w:sz w:val="20"/>
                <w:szCs w:val="20"/>
                <w:lang w:val="sl-SI"/>
              </w:rPr>
              <w:t>1,0</w:t>
            </w:r>
          </w:p>
        </w:tc>
        <w:tc>
          <w:tcPr>
            <w:tcW w:w="1701" w:type="dxa"/>
            <w:vAlign w:val="center"/>
          </w:tcPr>
          <w:p w14:paraId="06DCDD8A" w14:textId="24C93062" w:rsidR="00800A35" w:rsidRPr="00FF207E" w:rsidRDefault="00B97067" w:rsidP="001E304B">
            <w:pPr>
              <w:keepNext/>
              <w:spacing w:line="240" w:lineRule="atLeast"/>
              <w:jc w:val="both"/>
              <w:rPr>
                <w:rFonts w:cs="Arial"/>
                <w:sz w:val="20"/>
                <w:szCs w:val="20"/>
                <w:lang w:val="sl-SI"/>
              </w:rPr>
            </w:pPr>
            <w:r w:rsidRPr="00FF207E">
              <w:rPr>
                <w:rFonts w:cs="Arial"/>
                <w:sz w:val="20"/>
                <w:szCs w:val="20"/>
                <w:lang w:val="sl-SI"/>
              </w:rPr>
              <w:t>p</w:t>
            </w:r>
            <w:r w:rsidR="00800A35" w:rsidRPr="00FF207E">
              <w:rPr>
                <w:rFonts w:cs="Arial"/>
                <w:sz w:val="20"/>
                <w:szCs w:val="20"/>
                <w:lang w:val="sl-SI"/>
              </w:rPr>
              <w:t>rispevek URE</w:t>
            </w:r>
          </w:p>
        </w:tc>
      </w:tr>
      <w:tr w:rsidR="000E4002" w:rsidRPr="00FF207E" w14:paraId="77C82AAA" w14:textId="77777777" w:rsidTr="00800A35">
        <w:trPr>
          <w:cantSplit/>
          <w:jc w:val="center"/>
        </w:trPr>
        <w:tc>
          <w:tcPr>
            <w:tcW w:w="5960" w:type="dxa"/>
          </w:tcPr>
          <w:p w14:paraId="67B114E8" w14:textId="70DBEA81" w:rsidR="000E4002" w:rsidRPr="00FF207E" w:rsidRDefault="000E4002" w:rsidP="003041CD">
            <w:pPr>
              <w:spacing w:before="60" w:after="60" w:line="240" w:lineRule="auto"/>
              <w:ind w:left="340"/>
              <w:jc w:val="both"/>
              <w:rPr>
                <w:rFonts w:cs="Arial"/>
                <w:sz w:val="20"/>
                <w:szCs w:val="20"/>
                <w:lang w:val="sl-SI"/>
              </w:rPr>
            </w:pPr>
            <w:r w:rsidRPr="00FF207E">
              <w:rPr>
                <w:rFonts w:cs="Arial"/>
                <w:sz w:val="20"/>
                <w:szCs w:val="20"/>
                <w:lang w:val="sl-SI"/>
              </w:rPr>
              <w:t>Stroški</w:t>
            </w:r>
            <w:r w:rsidRPr="00FF207E">
              <w:rPr>
                <w:rFonts w:cs="Arial"/>
                <w:color w:val="000000"/>
                <w:sz w:val="18"/>
                <w:szCs w:val="18"/>
                <w:lang w:val="sl-SI"/>
              </w:rPr>
              <w:t xml:space="preserve"> izvedbe ukrepov URE in </w:t>
            </w:r>
            <w:r w:rsidR="00026105" w:rsidRPr="00FF207E">
              <w:rPr>
                <w:rFonts w:cs="Arial"/>
                <w:color w:val="000000"/>
                <w:sz w:val="18"/>
                <w:szCs w:val="18"/>
                <w:lang w:val="sl-SI"/>
              </w:rPr>
              <w:t xml:space="preserve">rabe </w:t>
            </w:r>
            <w:r w:rsidRPr="00FF207E">
              <w:rPr>
                <w:rFonts w:cs="Arial"/>
                <w:color w:val="000000"/>
                <w:sz w:val="18"/>
                <w:szCs w:val="18"/>
                <w:lang w:val="sl-SI"/>
              </w:rPr>
              <w:t>OVE, vključno z ukrepi KNLB</w:t>
            </w:r>
            <w:r w:rsidR="002F25E8" w:rsidRPr="00FF207E">
              <w:rPr>
                <w:rFonts w:cs="Arial"/>
                <w:color w:val="000000"/>
                <w:sz w:val="18"/>
                <w:szCs w:val="18"/>
                <w:lang w:val="sl-SI"/>
              </w:rPr>
              <w:t>.</w:t>
            </w:r>
            <w:r w:rsidRPr="00FF207E">
              <w:rPr>
                <w:rFonts w:cs="Arial"/>
                <w:color w:val="000000"/>
                <w:sz w:val="18"/>
                <w:szCs w:val="18"/>
                <w:lang w:val="sl-SI"/>
              </w:rPr>
              <w:t xml:space="preserve"> </w:t>
            </w:r>
            <w:r w:rsidR="007710ED" w:rsidRPr="00FF207E">
              <w:rPr>
                <w:rFonts w:cs="Arial"/>
                <w:color w:val="000000"/>
                <w:sz w:val="18"/>
                <w:szCs w:val="18"/>
                <w:lang w:val="sl-SI"/>
              </w:rPr>
              <w:t xml:space="preserve">Stroški vključujejo stroške priprave </w:t>
            </w:r>
            <w:r w:rsidRPr="00FF207E">
              <w:rPr>
                <w:rFonts w:cs="Arial"/>
                <w:color w:val="000000"/>
                <w:sz w:val="18"/>
                <w:szCs w:val="18"/>
                <w:lang w:val="sl-SI"/>
              </w:rPr>
              <w:t>in izvedb</w:t>
            </w:r>
            <w:r w:rsidR="007710ED" w:rsidRPr="00FF207E">
              <w:rPr>
                <w:rFonts w:cs="Arial"/>
                <w:color w:val="000000"/>
                <w:sz w:val="18"/>
                <w:szCs w:val="18"/>
                <w:lang w:val="sl-SI"/>
              </w:rPr>
              <w:t>e</w:t>
            </w:r>
            <w:r w:rsidRPr="00FF207E">
              <w:rPr>
                <w:rFonts w:cs="Arial"/>
                <w:color w:val="000000"/>
                <w:sz w:val="18"/>
                <w:szCs w:val="18"/>
                <w:lang w:val="sl-SI"/>
              </w:rPr>
              <w:t xml:space="preserve"> </w:t>
            </w:r>
            <w:r w:rsidR="00711608" w:rsidRPr="00FF207E">
              <w:rPr>
                <w:rFonts w:cs="Arial"/>
                <w:color w:val="000000"/>
                <w:sz w:val="18"/>
                <w:szCs w:val="18"/>
                <w:lang w:val="sl-SI"/>
              </w:rPr>
              <w:t xml:space="preserve">1.000 </w:t>
            </w:r>
            <w:r w:rsidRPr="00FF207E">
              <w:rPr>
                <w:rFonts w:cs="Arial"/>
                <w:color w:val="000000"/>
                <w:sz w:val="18"/>
                <w:szCs w:val="18"/>
                <w:lang w:val="sl-SI"/>
              </w:rPr>
              <w:t xml:space="preserve">investicij v URE in </w:t>
            </w:r>
            <w:r w:rsidR="00026105" w:rsidRPr="00FF207E">
              <w:rPr>
                <w:rFonts w:cs="Arial"/>
                <w:color w:val="000000"/>
                <w:sz w:val="18"/>
                <w:szCs w:val="18"/>
                <w:lang w:val="sl-SI"/>
              </w:rPr>
              <w:t xml:space="preserve">rabo </w:t>
            </w:r>
            <w:r w:rsidRPr="00FF207E">
              <w:rPr>
                <w:rFonts w:cs="Arial"/>
                <w:color w:val="000000"/>
                <w:sz w:val="18"/>
                <w:szCs w:val="18"/>
                <w:lang w:val="sl-SI"/>
              </w:rPr>
              <w:t>OVE ter 600 investicij v KNLB</w:t>
            </w:r>
            <w:r w:rsidR="00824E64" w:rsidRPr="00FF207E">
              <w:rPr>
                <w:rFonts w:cs="Arial"/>
                <w:color w:val="000000"/>
                <w:sz w:val="18"/>
                <w:szCs w:val="18"/>
                <w:lang w:val="sl-SI"/>
              </w:rPr>
              <w:t xml:space="preserve">. Vključeni </w:t>
            </w:r>
            <w:r w:rsidR="00EC612D" w:rsidRPr="00FF207E">
              <w:rPr>
                <w:rFonts w:cs="Arial"/>
                <w:color w:val="000000"/>
                <w:sz w:val="18"/>
                <w:szCs w:val="18"/>
                <w:lang w:val="sl-SI"/>
              </w:rPr>
              <w:t xml:space="preserve">so </w:t>
            </w:r>
            <w:r w:rsidR="00F679D5" w:rsidRPr="00FF207E">
              <w:rPr>
                <w:rFonts w:cs="Arial"/>
                <w:color w:val="000000"/>
                <w:sz w:val="18"/>
                <w:szCs w:val="18"/>
                <w:lang w:val="sl-SI"/>
              </w:rPr>
              <w:t xml:space="preserve">investicijski stroški za ukrepe URE in </w:t>
            </w:r>
            <w:r w:rsidR="00026105" w:rsidRPr="00FF207E">
              <w:rPr>
                <w:rFonts w:cs="Arial"/>
                <w:color w:val="000000"/>
                <w:sz w:val="18"/>
                <w:szCs w:val="18"/>
                <w:lang w:val="sl-SI"/>
              </w:rPr>
              <w:t xml:space="preserve">rabe </w:t>
            </w:r>
            <w:r w:rsidR="00F679D5" w:rsidRPr="00FF207E">
              <w:rPr>
                <w:rFonts w:cs="Arial"/>
                <w:color w:val="000000"/>
                <w:sz w:val="18"/>
                <w:szCs w:val="18"/>
                <w:lang w:val="sl-SI"/>
              </w:rPr>
              <w:t xml:space="preserve">OVE ter </w:t>
            </w:r>
            <w:r w:rsidR="00824E64" w:rsidRPr="00FF207E">
              <w:rPr>
                <w:rFonts w:cs="Arial"/>
                <w:color w:val="000000"/>
                <w:sz w:val="18"/>
                <w:szCs w:val="18"/>
                <w:lang w:val="sl-SI"/>
              </w:rPr>
              <w:t xml:space="preserve">stroški za </w:t>
            </w:r>
            <w:r w:rsidRPr="00FF207E">
              <w:rPr>
                <w:rFonts w:cs="Arial"/>
                <w:color w:val="000000"/>
                <w:sz w:val="18"/>
                <w:szCs w:val="18"/>
                <w:lang w:val="sl-SI"/>
              </w:rPr>
              <w:t>potrebn</w:t>
            </w:r>
            <w:r w:rsidR="00824E64" w:rsidRPr="00FF207E">
              <w:rPr>
                <w:rFonts w:cs="Arial"/>
                <w:color w:val="000000"/>
                <w:sz w:val="18"/>
                <w:szCs w:val="18"/>
                <w:lang w:val="sl-SI"/>
              </w:rPr>
              <w:t>e</w:t>
            </w:r>
            <w:r w:rsidRPr="00FF207E">
              <w:rPr>
                <w:rFonts w:cs="Arial"/>
                <w:color w:val="000000"/>
                <w:sz w:val="18"/>
                <w:szCs w:val="18"/>
                <w:lang w:val="sl-SI"/>
              </w:rPr>
              <w:t xml:space="preserve"> dodatn</w:t>
            </w:r>
            <w:r w:rsidR="00824E64" w:rsidRPr="00FF207E">
              <w:rPr>
                <w:rFonts w:cs="Arial"/>
                <w:color w:val="000000"/>
                <w:sz w:val="18"/>
                <w:szCs w:val="18"/>
                <w:lang w:val="sl-SI"/>
              </w:rPr>
              <w:t>e</w:t>
            </w:r>
            <w:r w:rsidRPr="00FF207E">
              <w:rPr>
                <w:rFonts w:cs="Arial"/>
                <w:color w:val="000000"/>
                <w:sz w:val="18"/>
                <w:szCs w:val="18"/>
                <w:lang w:val="sl-SI"/>
              </w:rPr>
              <w:t xml:space="preserve"> ukrep</w:t>
            </w:r>
            <w:r w:rsidR="00824E64" w:rsidRPr="00FF207E">
              <w:rPr>
                <w:rFonts w:cs="Arial"/>
                <w:color w:val="000000"/>
                <w:sz w:val="18"/>
                <w:szCs w:val="18"/>
                <w:lang w:val="sl-SI"/>
              </w:rPr>
              <w:t xml:space="preserve">e </w:t>
            </w:r>
            <w:r w:rsidRPr="00FF207E">
              <w:rPr>
                <w:rFonts w:cs="Arial"/>
                <w:color w:val="000000"/>
                <w:sz w:val="18"/>
                <w:szCs w:val="18"/>
                <w:lang w:val="sl-SI"/>
              </w:rPr>
              <w:t xml:space="preserve">(sanacije streh </w:t>
            </w:r>
            <w:r w:rsidR="00B77973" w:rsidRPr="00FF207E">
              <w:rPr>
                <w:rFonts w:cs="Arial"/>
                <w:color w:val="000000"/>
                <w:sz w:val="18"/>
                <w:szCs w:val="18"/>
                <w:lang w:val="sl-SI"/>
              </w:rPr>
              <w:t>in podobno</w:t>
            </w:r>
            <w:r w:rsidRPr="00FF207E">
              <w:rPr>
                <w:rFonts w:cs="Arial"/>
                <w:color w:val="000000"/>
                <w:sz w:val="18"/>
                <w:szCs w:val="18"/>
                <w:lang w:val="sl-SI"/>
              </w:rPr>
              <w:t>)</w:t>
            </w:r>
            <w:r w:rsidR="00F679D5" w:rsidRPr="00FF207E">
              <w:rPr>
                <w:rFonts w:cs="Arial"/>
                <w:color w:val="000000"/>
                <w:sz w:val="18"/>
                <w:szCs w:val="18"/>
                <w:lang w:val="sl-SI"/>
              </w:rPr>
              <w:t xml:space="preserve"> za 20 </w:t>
            </w:r>
            <w:r w:rsidR="003041CD" w:rsidRPr="00FF207E">
              <w:rPr>
                <w:rFonts w:cs="Arial"/>
                <w:color w:val="000000"/>
                <w:sz w:val="18"/>
                <w:szCs w:val="18"/>
                <w:lang w:val="sl-SI"/>
              </w:rPr>
              <w:t xml:space="preserve">odstotkov </w:t>
            </w:r>
            <w:r w:rsidR="00F679D5" w:rsidRPr="00FF207E">
              <w:rPr>
                <w:rFonts w:cs="Arial"/>
                <w:color w:val="000000"/>
                <w:sz w:val="18"/>
                <w:szCs w:val="18"/>
                <w:lang w:val="sl-SI"/>
              </w:rPr>
              <w:t>naložb</w:t>
            </w:r>
            <w:r w:rsidRPr="00FF207E">
              <w:rPr>
                <w:rFonts w:cs="Arial"/>
                <w:color w:val="000000"/>
                <w:sz w:val="18"/>
                <w:szCs w:val="18"/>
                <w:lang w:val="sl-SI"/>
              </w:rPr>
              <w:t xml:space="preserve">. V oceni </w:t>
            </w:r>
            <w:r w:rsidR="00F679D5" w:rsidRPr="00FF207E">
              <w:rPr>
                <w:rFonts w:cs="Arial"/>
                <w:color w:val="000000"/>
                <w:sz w:val="18"/>
                <w:szCs w:val="18"/>
                <w:lang w:val="sl-SI"/>
              </w:rPr>
              <w:t>so</w:t>
            </w:r>
            <w:r w:rsidR="00824E64" w:rsidRPr="00FF207E">
              <w:rPr>
                <w:rFonts w:cs="Arial"/>
                <w:color w:val="000000"/>
                <w:sz w:val="18"/>
                <w:szCs w:val="18"/>
                <w:lang w:val="sl-SI"/>
              </w:rPr>
              <w:t xml:space="preserve"> zajet</w:t>
            </w:r>
            <w:r w:rsidR="00F679D5" w:rsidRPr="00FF207E">
              <w:rPr>
                <w:rFonts w:cs="Arial"/>
                <w:color w:val="000000"/>
                <w:sz w:val="18"/>
                <w:szCs w:val="18"/>
                <w:lang w:val="sl-SI"/>
              </w:rPr>
              <w:t>i</w:t>
            </w:r>
            <w:r w:rsidR="00824E64" w:rsidRPr="00FF207E">
              <w:rPr>
                <w:rFonts w:cs="Arial"/>
                <w:color w:val="000000"/>
                <w:sz w:val="18"/>
                <w:szCs w:val="18"/>
                <w:lang w:val="sl-SI"/>
              </w:rPr>
              <w:t xml:space="preserve"> </w:t>
            </w:r>
            <w:r w:rsidRPr="00FF207E">
              <w:rPr>
                <w:rFonts w:cs="Arial"/>
                <w:color w:val="000000"/>
                <w:sz w:val="18"/>
                <w:szCs w:val="18"/>
                <w:lang w:val="sl-SI"/>
              </w:rPr>
              <w:t xml:space="preserve">tudi </w:t>
            </w:r>
            <w:r w:rsidR="00824E64" w:rsidRPr="00FF207E">
              <w:rPr>
                <w:rFonts w:cs="Arial"/>
                <w:color w:val="000000"/>
                <w:sz w:val="18"/>
                <w:szCs w:val="18"/>
                <w:lang w:val="sl-SI"/>
              </w:rPr>
              <w:t>strošk</w:t>
            </w:r>
            <w:r w:rsidR="00F679D5" w:rsidRPr="00FF207E">
              <w:rPr>
                <w:rFonts w:cs="Arial"/>
                <w:color w:val="000000"/>
                <w:sz w:val="18"/>
                <w:szCs w:val="18"/>
                <w:lang w:val="sl-SI"/>
              </w:rPr>
              <w:t>i</w:t>
            </w:r>
            <w:r w:rsidR="00824E64" w:rsidRPr="00FF207E">
              <w:rPr>
                <w:rFonts w:cs="Arial"/>
                <w:color w:val="000000"/>
                <w:sz w:val="18"/>
                <w:szCs w:val="18"/>
                <w:lang w:val="sl-SI"/>
              </w:rPr>
              <w:t xml:space="preserve"> priprave projektov oz</w:t>
            </w:r>
            <w:r w:rsidR="00B77973" w:rsidRPr="00FF207E">
              <w:rPr>
                <w:rFonts w:cs="Arial"/>
                <w:color w:val="000000"/>
                <w:sz w:val="18"/>
                <w:szCs w:val="18"/>
                <w:lang w:val="sl-SI"/>
              </w:rPr>
              <w:t>iroma</w:t>
            </w:r>
            <w:r w:rsidR="00824E64" w:rsidRPr="00FF207E">
              <w:rPr>
                <w:rFonts w:cs="Arial"/>
                <w:color w:val="000000"/>
                <w:sz w:val="18"/>
                <w:szCs w:val="18"/>
                <w:lang w:val="sl-SI"/>
              </w:rPr>
              <w:t xml:space="preserve"> financiranje </w:t>
            </w:r>
            <w:r w:rsidRPr="00FF207E">
              <w:rPr>
                <w:rFonts w:cs="Arial"/>
                <w:color w:val="000000"/>
                <w:sz w:val="18"/>
                <w:szCs w:val="18"/>
                <w:lang w:val="sl-SI"/>
              </w:rPr>
              <w:t>pomoč</w:t>
            </w:r>
            <w:r w:rsidR="00F679D5" w:rsidRPr="00FF207E">
              <w:rPr>
                <w:rFonts w:cs="Arial"/>
                <w:color w:val="000000"/>
                <w:sz w:val="18"/>
                <w:szCs w:val="18"/>
                <w:lang w:val="sl-SI"/>
              </w:rPr>
              <w:t>i</w:t>
            </w:r>
            <w:r w:rsidRPr="00FF207E">
              <w:rPr>
                <w:rFonts w:cs="Arial"/>
                <w:color w:val="000000"/>
                <w:sz w:val="18"/>
                <w:szCs w:val="18"/>
                <w:lang w:val="sl-SI"/>
              </w:rPr>
              <w:t xml:space="preserve"> potencialni</w:t>
            </w:r>
            <w:r w:rsidR="00824E64" w:rsidRPr="00FF207E">
              <w:rPr>
                <w:rFonts w:cs="Arial"/>
                <w:color w:val="000000"/>
                <w:sz w:val="18"/>
                <w:szCs w:val="18"/>
                <w:lang w:val="sl-SI"/>
              </w:rPr>
              <w:t>m</w:t>
            </w:r>
            <w:r w:rsidRPr="00FF207E">
              <w:rPr>
                <w:rFonts w:cs="Arial"/>
                <w:color w:val="000000"/>
                <w:sz w:val="18"/>
                <w:szCs w:val="18"/>
                <w:lang w:val="sl-SI"/>
              </w:rPr>
              <w:t xml:space="preserve"> vlagateljem pri prijav</w:t>
            </w:r>
            <w:r w:rsidR="00824E64" w:rsidRPr="00FF207E">
              <w:rPr>
                <w:rFonts w:cs="Arial"/>
                <w:color w:val="000000"/>
                <w:sz w:val="18"/>
                <w:szCs w:val="18"/>
                <w:lang w:val="sl-SI"/>
              </w:rPr>
              <w:t>ah</w:t>
            </w:r>
            <w:r w:rsidRPr="00FF207E">
              <w:rPr>
                <w:rFonts w:cs="Arial"/>
                <w:color w:val="000000"/>
                <w:sz w:val="18"/>
                <w:szCs w:val="18"/>
                <w:lang w:val="sl-SI"/>
              </w:rPr>
              <w:t xml:space="preserve"> na javni poziv, energetsko svetovanje ter pomoč pri izvedbi projekta</w:t>
            </w:r>
            <w:r w:rsidR="00F679D5" w:rsidRPr="00FF207E">
              <w:rPr>
                <w:rFonts w:cs="Arial"/>
                <w:color w:val="000000"/>
                <w:sz w:val="18"/>
                <w:szCs w:val="18"/>
                <w:lang w:val="sl-SI"/>
              </w:rPr>
              <w:t>, ki se bodo izvajali v okviru delovanja regionalnih točki in s pomočjo zunanjih energetskih svetovalcev ter asistentov/koordinatorjev</w:t>
            </w:r>
            <w:r w:rsidRPr="00FF207E">
              <w:rPr>
                <w:rFonts w:cs="Arial"/>
                <w:color w:val="000000"/>
                <w:sz w:val="18"/>
                <w:szCs w:val="18"/>
                <w:lang w:val="sl-SI"/>
              </w:rPr>
              <w:t xml:space="preserve">. </w:t>
            </w:r>
          </w:p>
        </w:tc>
        <w:tc>
          <w:tcPr>
            <w:tcW w:w="1276" w:type="dxa"/>
            <w:vAlign w:val="center"/>
          </w:tcPr>
          <w:p w14:paraId="2030FED5" w14:textId="4F488107" w:rsidR="000E4002" w:rsidRPr="00FF207E" w:rsidRDefault="00711608" w:rsidP="000E4002">
            <w:pPr>
              <w:keepNext/>
              <w:spacing w:line="240" w:lineRule="atLeast"/>
              <w:jc w:val="center"/>
              <w:rPr>
                <w:rFonts w:cs="Arial"/>
                <w:sz w:val="20"/>
                <w:szCs w:val="20"/>
                <w:lang w:val="sl-SI"/>
              </w:rPr>
            </w:pPr>
            <w:r w:rsidRPr="00FF207E">
              <w:rPr>
                <w:rFonts w:cs="Arial"/>
                <w:sz w:val="20"/>
                <w:szCs w:val="20"/>
                <w:lang w:val="sl-SI"/>
              </w:rPr>
              <w:t>26,0</w:t>
            </w:r>
          </w:p>
        </w:tc>
        <w:tc>
          <w:tcPr>
            <w:tcW w:w="1701" w:type="dxa"/>
            <w:vAlign w:val="center"/>
          </w:tcPr>
          <w:p w14:paraId="12ACE2E9" w14:textId="77777777" w:rsidR="000E4002" w:rsidRPr="00FF207E" w:rsidRDefault="000E4002" w:rsidP="000E4002">
            <w:pPr>
              <w:keepNext/>
              <w:spacing w:line="240" w:lineRule="atLeast"/>
              <w:jc w:val="both"/>
              <w:rPr>
                <w:rFonts w:cs="Arial"/>
                <w:sz w:val="20"/>
                <w:szCs w:val="20"/>
                <w:lang w:val="sl-SI"/>
              </w:rPr>
            </w:pPr>
            <w:r w:rsidRPr="00FF207E">
              <w:rPr>
                <w:rFonts w:cs="Arial"/>
                <w:sz w:val="20"/>
                <w:szCs w:val="20"/>
                <w:lang w:val="sl-SI"/>
              </w:rPr>
              <w:t>SPS, KS</w:t>
            </w:r>
          </w:p>
        </w:tc>
      </w:tr>
      <w:tr w:rsidR="000E4002" w:rsidRPr="00FF207E" w14:paraId="699AC60E" w14:textId="77777777" w:rsidTr="00800A35">
        <w:trPr>
          <w:cantSplit/>
          <w:jc w:val="center"/>
        </w:trPr>
        <w:tc>
          <w:tcPr>
            <w:tcW w:w="5960" w:type="dxa"/>
            <w:tcBorders>
              <w:top w:val="single" w:sz="12" w:space="0" w:color="548DD4" w:themeColor="text2" w:themeTint="99"/>
              <w:bottom w:val="single" w:sz="12" w:space="0" w:color="548DD4" w:themeColor="text2" w:themeTint="99"/>
            </w:tcBorders>
            <w:shd w:val="clear" w:color="auto" w:fill="C6D9F1" w:themeFill="text2" w:themeFillTint="33"/>
          </w:tcPr>
          <w:p w14:paraId="31F5840C" w14:textId="0FB04DB0" w:rsidR="000E4002" w:rsidRPr="00FF207E" w:rsidRDefault="000E4002" w:rsidP="00097EB2">
            <w:pPr>
              <w:spacing w:before="60" w:after="60" w:line="240" w:lineRule="auto"/>
              <w:jc w:val="both"/>
              <w:rPr>
                <w:rFonts w:cs="Arial"/>
                <w:b/>
                <w:bCs/>
                <w:sz w:val="20"/>
                <w:szCs w:val="20"/>
                <w:lang w:val="sl-SI"/>
              </w:rPr>
            </w:pPr>
            <w:r w:rsidRPr="00FF207E">
              <w:rPr>
                <w:rFonts w:cs="Arial"/>
                <w:b/>
                <w:bCs/>
                <w:sz w:val="20"/>
                <w:szCs w:val="20"/>
                <w:lang w:val="sl-SI"/>
              </w:rPr>
              <w:t xml:space="preserve">Spodbude za vključevanje </w:t>
            </w:r>
            <w:r w:rsidR="00097EB2" w:rsidRPr="00FF207E">
              <w:rPr>
                <w:rFonts w:cs="Arial"/>
                <w:b/>
                <w:bCs/>
                <w:sz w:val="20"/>
                <w:szCs w:val="20"/>
                <w:lang w:val="sl-SI"/>
              </w:rPr>
              <w:t xml:space="preserve">energetske revščine </w:t>
            </w:r>
            <w:r w:rsidRPr="00FF207E">
              <w:rPr>
                <w:rFonts w:cs="Arial"/>
                <w:b/>
                <w:bCs/>
                <w:sz w:val="20"/>
                <w:szCs w:val="20"/>
                <w:lang w:val="sl-SI"/>
              </w:rPr>
              <w:t>v energetske skupnosti</w:t>
            </w:r>
          </w:p>
        </w:tc>
        <w:tc>
          <w:tcPr>
            <w:tcW w:w="1276" w:type="dxa"/>
            <w:tcBorders>
              <w:top w:val="single" w:sz="12" w:space="0" w:color="548DD4" w:themeColor="text2" w:themeTint="99"/>
              <w:bottom w:val="single" w:sz="12" w:space="0" w:color="548DD4" w:themeColor="text2" w:themeTint="99"/>
            </w:tcBorders>
            <w:shd w:val="clear" w:color="auto" w:fill="C6D9F1" w:themeFill="text2" w:themeFillTint="33"/>
            <w:vAlign w:val="center"/>
          </w:tcPr>
          <w:p w14:paraId="0FDF7AC5" w14:textId="523F20ED" w:rsidR="000E4002" w:rsidRPr="00FF207E" w:rsidRDefault="000E4002" w:rsidP="000E4002">
            <w:pPr>
              <w:keepNext/>
              <w:spacing w:line="240" w:lineRule="atLeast"/>
              <w:jc w:val="center"/>
              <w:rPr>
                <w:rFonts w:cs="Arial"/>
                <w:b/>
                <w:bCs/>
                <w:sz w:val="20"/>
                <w:szCs w:val="20"/>
                <w:lang w:val="sl-SI"/>
              </w:rPr>
            </w:pPr>
            <w:r w:rsidRPr="00FF207E">
              <w:rPr>
                <w:rFonts w:cs="Arial"/>
                <w:b/>
                <w:bCs/>
                <w:sz w:val="20"/>
                <w:szCs w:val="20"/>
                <w:lang w:val="sl-SI"/>
              </w:rPr>
              <w:t>5,00</w:t>
            </w:r>
          </w:p>
        </w:tc>
        <w:tc>
          <w:tcPr>
            <w:tcW w:w="1701" w:type="dxa"/>
            <w:tcBorders>
              <w:top w:val="single" w:sz="12" w:space="0" w:color="548DD4" w:themeColor="text2" w:themeTint="99"/>
              <w:bottom w:val="single" w:sz="12" w:space="0" w:color="548DD4" w:themeColor="text2" w:themeTint="99"/>
            </w:tcBorders>
            <w:shd w:val="clear" w:color="auto" w:fill="C6D9F1" w:themeFill="text2" w:themeFillTint="33"/>
            <w:vAlign w:val="center"/>
          </w:tcPr>
          <w:p w14:paraId="0B758AAC" w14:textId="77777777" w:rsidR="000E4002" w:rsidRPr="00FF207E" w:rsidRDefault="000E4002" w:rsidP="000E4002">
            <w:pPr>
              <w:keepNext/>
              <w:spacing w:line="240" w:lineRule="atLeast"/>
              <w:jc w:val="both"/>
              <w:rPr>
                <w:rFonts w:cs="Arial"/>
                <w:b/>
                <w:bCs/>
                <w:sz w:val="20"/>
                <w:szCs w:val="20"/>
                <w:lang w:val="sl-SI"/>
              </w:rPr>
            </w:pPr>
            <w:r w:rsidRPr="00FF207E">
              <w:rPr>
                <w:rFonts w:cs="Arial"/>
                <w:b/>
                <w:bCs/>
                <w:sz w:val="20"/>
                <w:szCs w:val="20"/>
                <w:lang w:val="sl-SI"/>
              </w:rPr>
              <w:t>SPS</w:t>
            </w:r>
          </w:p>
        </w:tc>
      </w:tr>
      <w:tr w:rsidR="000E4002" w:rsidRPr="00FF207E" w14:paraId="1FC17169" w14:textId="77777777" w:rsidTr="00800A35">
        <w:trPr>
          <w:cantSplit/>
          <w:jc w:val="center"/>
        </w:trPr>
        <w:tc>
          <w:tcPr>
            <w:tcW w:w="5960" w:type="dxa"/>
            <w:tcBorders>
              <w:top w:val="single" w:sz="12" w:space="0" w:color="548DD4" w:themeColor="text2" w:themeTint="99"/>
            </w:tcBorders>
            <w:shd w:val="clear" w:color="auto" w:fill="C6D9F1" w:themeFill="text2" w:themeFillTint="33"/>
          </w:tcPr>
          <w:p w14:paraId="13F80AD6" w14:textId="387BE2EF" w:rsidR="000E4002" w:rsidRPr="00FF207E" w:rsidRDefault="000E4002" w:rsidP="000E4002">
            <w:pPr>
              <w:spacing w:before="60" w:after="60" w:line="240" w:lineRule="auto"/>
              <w:jc w:val="both"/>
              <w:rPr>
                <w:rFonts w:cs="Arial"/>
                <w:b/>
                <w:bCs/>
                <w:sz w:val="20"/>
                <w:szCs w:val="20"/>
                <w:lang w:val="sl-SI"/>
              </w:rPr>
            </w:pPr>
            <w:r w:rsidRPr="00FF207E">
              <w:rPr>
                <w:rFonts w:cs="Arial"/>
                <w:b/>
                <w:bCs/>
                <w:sz w:val="20"/>
                <w:szCs w:val="20"/>
                <w:lang w:val="sl-SI"/>
              </w:rPr>
              <w:t>Delovanje projektne pisarne z lokalno svetovalno mrežo in neformalno informacijsko mrežo</w:t>
            </w:r>
          </w:p>
        </w:tc>
        <w:tc>
          <w:tcPr>
            <w:tcW w:w="1276" w:type="dxa"/>
            <w:tcBorders>
              <w:top w:val="single" w:sz="12" w:space="0" w:color="548DD4" w:themeColor="text2" w:themeTint="99"/>
            </w:tcBorders>
            <w:shd w:val="clear" w:color="auto" w:fill="C6D9F1" w:themeFill="text2" w:themeFillTint="33"/>
            <w:vAlign w:val="center"/>
          </w:tcPr>
          <w:p w14:paraId="649B8B49" w14:textId="4CDE74DD" w:rsidR="000E4002" w:rsidRPr="00FF207E" w:rsidRDefault="00711608" w:rsidP="000E4002">
            <w:pPr>
              <w:keepNext/>
              <w:spacing w:line="240" w:lineRule="atLeast"/>
              <w:jc w:val="center"/>
              <w:rPr>
                <w:rFonts w:cs="Arial"/>
                <w:sz w:val="20"/>
                <w:szCs w:val="20"/>
                <w:lang w:val="sl-SI"/>
              </w:rPr>
            </w:pPr>
            <w:r w:rsidRPr="00FF207E">
              <w:rPr>
                <w:rFonts w:cs="Arial"/>
                <w:b/>
                <w:bCs/>
                <w:sz w:val="20"/>
                <w:szCs w:val="20"/>
                <w:lang w:val="sl-SI"/>
              </w:rPr>
              <w:t>1</w:t>
            </w:r>
            <w:r w:rsidR="00CF4999" w:rsidRPr="00FF207E">
              <w:rPr>
                <w:rFonts w:cs="Arial"/>
                <w:b/>
                <w:bCs/>
                <w:sz w:val="20"/>
                <w:szCs w:val="20"/>
                <w:lang w:val="sl-SI"/>
              </w:rPr>
              <w:t>,0</w:t>
            </w:r>
          </w:p>
        </w:tc>
        <w:tc>
          <w:tcPr>
            <w:tcW w:w="1701" w:type="dxa"/>
            <w:tcBorders>
              <w:top w:val="single" w:sz="12" w:space="0" w:color="548DD4" w:themeColor="text2" w:themeTint="99"/>
            </w:tcBorders>
            <w:shd w:val="clear" w:color="auto" w:fill="C6D9F1" w:themeFill="text2" w:themeFillTint="33"/>
            <w:vAlign w:val="center"/>
          </w:tcPr>
          <w:p w14:paraId="3E3B6D79" w14:textId="337F10AE" w:rsidR="000E4002" w:rsidRPr="00FF207E" w:rsidRDefault="000E4002" w:rsidP="000E4002">
            <w:pPr>
              <w:keepNext/>
              <w:spacing w:line="240" w:lineRule="atLeast"/>
              <w:jc w:val="both"/>
              <w:rPr>
                <w:rFonts w:cs="Arial"/>
                <w:sz w:val="20"/>
                <w:szCs w:val="20"/>
                <w:lang w:val="sl-SI"/>
              </w:rPr>
            </w:pPr>
            <w:r w:rsidRPr="00FF207E">
              <w:rPr>
                <w:rFonts w:cs="Arial"/>
                <w:sz w:val="20"/>
                <w:szCs w:val="20"/>
                <w:lang w:val="sl-SI"/>
              </w:rPr>
              <w:t>-</w:t>
            </w:r>
          </w:p>
        </w:tc>
      </w:tr>
      <w:tr w:rsidR="000E4002" w:rsidRPr="00FF207E" w14:paraId="706AC3D1" w14:textId="77777777" w:rsidTr="00800A35">
        <w:trPr>
          <w:cantSplit/>
          <w:jc w:val="center"/>
        </w:trPr>
        <w:tc>
          <w:tcPr>
            <w:tcW w:w="5960" w:type="dxa"/>
            <w:vAlign w:val="center"/>
          </w:tcPr>
          <w:p w14:paraId="5B288C21" w14:textId="47F88BD0" w:rsidR="000E4002" w:rsidRPr="00FF207E" w:rsidRDefault="000E4002" w:rsidP="003249EA">
            <w:pPr>
              <w:spacing w:before="60" w:after="60" w:line="240" w:lineRule="auto"/>
              <w:ind w:left="340"/>
              <w:jc w:val="both"/>
              <w:rPr>
                <w:rFonts w:cs="Arial"/>
                <w:sz w:val="20"/>
                <w:szCs w:val="20"/>
                <w:lang w:val="sl-SI"/>
              </w:rPr>
            </w:pPr>
            <w:r w:rsidRPr="00FF207E">
              <w:rPr>
                <w:rFonts w:cs="Arial"/>
                <w:sz w:val="20"/>
                <w:szCs w:val="20"/>
                <w:lang w:val="sl-SI"/>
              </w:rPr>
              <w:t xml:space="preserve">Dodatni stroški </w:t>
            </w:r>
            <w:proofErr w:type="spellStart"/>
            <w:r w:rsidRPr="00FF207E">
              <w:rPr>
                <w:rFonts w:cs="Arial"/>
                <w:sz w:val="20"/>
                <w:szCs w:val="20"/>
                <w:lang w:val="sl-SI"/>
              </w:rPr>
              <w:t>Eko</w:t>
            </w:r>
            <w:proofErr w:type="spellEnd"/>
            <w:r w:rsidRPr="00FF207E">
              <w:rPr>
                <w:rFonts w:cs="Arial"/>
                <w:sz w:val="20"/>
                <w:szCs w:val="20"/>
                <w:lang w:val="sl-SI"/>
              </w:rPr>
              <w:t xml:space="preserve"> sklad</w:t>
            </w:r>
            <w:r w:rsidR="00A52C55" w:rsidRPr="00FF207E">
              <w:rPr>
                <w:rFonts w:cs="Arial"/>
                <w:sz w:val="20"/>
                <w:szCs w:val="20"/>
                <w:lang w:val="sl-SI"/>
              </w:rPr>
              <w:t>a</w:t>
            </w:r>
            <w:r w:rsidRPr="00FF207E">
              <w:rPr>
                <w:rFonts w:cs="Arial"/>
                <w:sz w:val="20"/>
                <w:szCs w:val="20"/>
                <w:lang w:val="sl-SI"/>
              </w:rPr>
              <w:t xml:space="preserve"> </w:t>
            </w:r>
            <w:r w:rsidR="00824E64" w:rsidRPr="00FF207E">
              <w:rPr>
                <w:rFonts w:cs="Arial"/>
                <w:sz w:val="20"/>
                <w:szCs w:val="20"/>
                <w:lang w:val="sl-SI"/>
              </w:rPr>
              <w:t xml:space="preserve">za izvajanje programa </w:t>
            </w:r>
            <w:r w:rsidRPr="00FF207E">
              <w:rPr>
                <w:rFonts w:cs="Arial"/>
                <w:sz w:val="20"/>
                <w:szCs w:val="20"/>
                <w:lang w:val="sl-SI"/>
              </w:rPr>
              <w:t>(stroški projektne pisarne)</w:t>
            </w:r>
            <w:r w:rsidR="00824E64" w:rsidRPr="00FF207E">
              <w:rPr>
                <w:rFonts w:cs="Arial"/>
                <w:sz w:val="20"/>
                <w:szCs w:val="20"/>
                <w:lang w:val="sl-SI"/>
              </w:rPr>
              <w:t>.</w:t>
            </w:r>
            <w:r w:rsidR="007710ED" w:rsidRPr="00FF207E">
              <w:rPr>
                <w:rFonts w:cs="Arial"/>
                <w:sz w:val="20"/>
                <w:szCs w:val="20"/>
                <w:lang w:val="sl-SI"/>
              </w:rPr>
              <w:t xml:space="preserve"> </w:t>
            </w:r>
            <w:r w:rsidRPr="00FF207E">
              <w:rPr>
                <w:rFonts w:cs="Arial"/>
                <w:sz w:val="20"/>
                <w:szCs w:val="20"/>
                <w:lang w:val="sl-SI"/>
              </w:rPr>
              <w:t>Stroški vključujejo stroške dela in posredne stroške zaposlitve, potne stroške</w:t>
            </w:r>
            <w:r w:rsidR="007710ED" w:rsidRPr="00FF207E">
              <w:rPr>
                <w:rFonts w:cs="Arial"/>
                <w:sz w:val="20"/>
                <w:szCs w:val="20"/>
                <w:lang w:val="sl-SI"/>
              </w:rPr>
              <w:t>,</w:t>
            </w:r>
            <w:r w:rsidRPr="00FF207E">
              <w:rPr>
                <w:rFonts w:cs="Arial"/>
                <w:sz w:val="20"/>
                <w:szCs w:val="20"/>
                <w:lang w:val="sl-SI"/>
              </w:rPr>
              <w:t xml:space="preserve"> stroške zunanjih izvajalcev</w:t>
            </w:r>
            <w:r w:rsidR="007710ED" w:rsidRPr="00FF207E">
              <w:rPr>
                <w:rFonts w:cs="Arial"/>
                <w:sz w:val="20"/>
                <w:szCs w:val="20"/>
                <w:lang w:val="sl-SI"/>
              </w:rPr>
              <w:t xml:space="preserve"> ter druge stroške</w:t>
            </w:r>
            <w:r w:rsidRPr="00FF207E">
              <w:rPr>
                <w:rFonts w:cs="Arial"/>
                <w:sz w:val="20"/>
                <w:szCs w:val="20"/>
                <w:lang w:val="sl-SI"/>
              </w:rPr>
              <w:t xml:space="preserve"> za izvajanje podpornih </w:t>
            </w:r>
            <w:r w:rsidR="003249EA" w:rsidRPr="00FF207E">
              <w:rPr>
                <w:rFonts w:cs="Arial"/>
                <w:sz w:val="20"/>
                <w:szCs w:val="20"/>
                <w:lang w:val="sl-SI"/>
              </w:rPr>
              <w:t xml:space="preserve">dejavnosti </w:t>
            </w:r>
            <w:r w:rsidR="006D196B" w:rsidRPr="00FF207E">
              <w:rPr>
                <w:rFonts w:cs="Arial"/>
                <w:sz w:val="20"/>
                <w:szCs w:val="20"/>
                <w:lang w:val="sl-SI"/>
              </w:rPr>
              <w:t>informiranja</w:t>
            </w:r>
            <w:r w:rsidRPr="00FF207E">
              <w:rPr>
                <w:rFonts w:cs="Arial"/>
                <w:sz w:val="20"/>
                <w:szCs w:val="20"/>
                <w:lang w:val="sl-SI"/>
              </w:rPr>
              <w:t xml:space="preserve">, usposabljanja, priprave javnih naročil in pozivov </w:t>
            </w:r>
            <w:r w:rsidR="00B77973" w:rsidRPr="00FF207E">
              <w:rPr>
                <w:rFonts w:cs="Arial"/>
                <w:sz w:val="20"/>
                <w:szCs w:val="20"/>
                <w:lang w:val="sl-SI"/>
              </w:rPr>
              <w:t>in drugo</w:t>
            </w:r>
            <w:r w:rsidR="00A52C55" w:rsidRPr="00FF207E">
              <w:rPr>
                <w:rFonts w:cs="Arial"/>
                <w:sz w:val="20"/>
                <w:szCs w:val="20"/>
                <w:lang w:val="sl-SI"/>
              </w:rPr>
              <w:t>.</w:t>
            </w:r>
          </w:p>
        </w:tc>
        <w:tc>
          <w:tcPr>
            <w:tcW w:w="1276" w:type="dxa"/>
            <w:vAlign w:val="center"/>
          </w:tcPr>
          <w:p w14:paraId="1515BCAE" w14:textId="138C8F77" w:rsidR="000E4002" w:rsidRPr="00FF207E" w:rsidRDefault="00711608" w:rsidP="000E4002">
            <w:pPr>
              <w:keepNext/>
              <w:spacing w:line="240" w:lineRule="atLeast"/>
              <w:jc w:val="center"/>
              <w:rPr>
                <w:rFonts w:cs="Arial"/>
                <w:sz w:val="20"/>
                <w:szCs w:val="20"/>
                <w:lang w:val="sl-SI"/>
              </w:rPr>
            </w:pPr>
            <w:r w:rsidRPr="00FF207E">
              <w:rPr>
                <w:rFonts w:cs="Arial"/>
                <w:sz w:val="20"/>
                <w:szCs w:val="20"/>
                <w:lang w:val="sl-SI"/>
              </w:rPr>
              <w:t>0,9</w:t>
            </w:r>
          </w:p>
        </w:tc>
        <w:tc>
          <w:tcPr>
            <w:tcW w:w="1701" w:type="dxa"/>
            <w:vAlign w:val="center"/>
          </w:tcPr>
          <w:p w14:paraId="7DF42AE3" w14:textId="77777777" w:rsidR="000E4002" w:rsidRPr="00FF207E" w:rsidRDefault="000E4002" w:rsidP="000E4002">
            <w:pPr>
              <w:keepNext/>
              <w:spacing w:line="240" w:lineRule="atLeast"/>
              <w:jc w:val="both"/>
              <w:rPr>
                <w:rFonts w:cs="Arial"/>
                <w:sz w:val="20"/>
                <w:szCs w:val="20"/>
                <w:lang w:val="sl-SI"/>
              </w:rPr>
            </w:pPr>
            <w:r w:rsidRPr="00FF207E">
              <w:rPr>
                <w:rFonts w:cs="Arial"/>
                <w:sz w:val="20"/>
                <w:szCs w:val="20"/>
                <w:lang w:val="sl-SI"/>
              </w:rPr>
              <w:t>SPS</w:t>
            </w:r>
          </w:p>
        </w:tc>
      </w:tr>
      <w:tr w:rsidR="000E4002" w:rsidRPr="00FF207E" w14:paraId="129D08FD" w14:textId="77777777" w:rsidTr="00800A35">
        <w:trPr>
          <w:cantSplit/>
          <w:jc w:val="center"/>
        </w:trPr>
        <w:tc>
          <w:tcPr>
            <w:tcW w:w="5960" w:type="dxa"/>
            <w:vAlign w:val="center"/>
          </w:tcPr>
          <w:p w14:paraId="6EB13946" w14:textId="77777777" w:rsidR="007710ED" w:rsidRPr="00FF207E" w:rsidRDefault="000E4002" w:rsidP="000E4002">
            <w:pPr>
              <w:spacing w:before="60" w:after="60" w:line="240" w:lineRule="auto"/>
              <w:ind w:left="340"/>
              <w:jc w:val="both"/>
              <w:rPr>
                <w:rFonts w:cs="Arial"/>
                <w:color w:val="000000"/>
                <w:sz w:val="20"/>
                <w:szCs w:val="20"/>
                <w:lang w:val="sl-SI"/>
              </w:rPr>
            </w:pPr>
            <w:r w:rsidRPr="00FF207E">
              <w:rPr>
                <w:rFonts w:cs="Arial"/>
                <w:color w:val="000000"/>
                <w:sz w:val="20"/>
                <w:szCs w:val="20"/>
                <w:lang w:val="sl-SI"/>
              </w:rPr>
              <w:t>Stroški za 2 regionalni točki</w:t>
            </w:r>
            <w:r w:rsidR="007710ED" w:rsidRPr="00FF207E">
              <w:rPr>
                <w:rFonts w:cs="Arial"/>
                <w:color w:val="000000"/>
                <w:sz w:val="20"/>
                <w:szCs w:val="20"/>
                <w:lang w:val="sl-SI"/>
              </w:rPr>
              <w:t>.</w:t>
            </w:r>
          </w:p>
          <w:p w14:paraId="4AE72A67" w14:textId="251888D3" w:rsidR="000E4002" w:rsidRPr="00FF207E" w:rsidRDefault="000E4002" w:rsidP="003249EA">
            <w:pPr>
              <w:spacing w:before="60" w:after="60" w:line="240" w:lineRule="auto"/>
              <w:ind w:left="340"/>
              <w:jc w:val="both"/>
              <w:rPr>
                <w:rFonts w:cs="Arial"/>
                <w:sz w:val="20"/>
                <w:szCs w:val="20"/>
                <w:lang w:val="sl-SI"/>
              </w:rPr>
            </w:pPr>
            <w:r w:rsidRPr="00FF207E">
              <w:rPr>
                <w:rFonts w:cs="Arial"/>
                <w:color w:val="000000"/>
                <w:sz w:val="20"/>
                <w:szCs w:val="20"/>
                <w:lang w:val="sl-SI"/>
              </w:rPr>
              <w:t xml:space="preserve">Stroški </w:t>
            </w:r>
            <w:r w:rsidR="006D196B" w:rsidRPr="00FF207E">
              <w:rPr>
                <w:rFonts w:cs="Arial"/>
                <w:color w:val="000000"/>
                <w:sz w:val="20"/>
                <w:szCs w:val="20"/>
                <w:lang w:val="sl-SI"/>
              </w:rPr>
              <w:t>vključujejo</w:t>
            </w:r>
            <w:r w:rsidRPr="00FF207E">
              <w:rPr>
                <w:rFonts w:cs="Arial"/>
                <w:color w:val="000000"/>
                <w:sz w:val="20"/>
                <w:szCs w:val="20"/>
                <w:lang w:val="sl-SI"/>
              </w:rPr>
              <w:t xml:space="preserve"> stroške vodenja regionalne točke, stroške koordiniranja in podpore </w:t>
            </w:r>
            <w:r w:rsidR="006D196B" w:rsidRPr="00FF207E">
              <w:rPr>
                <w:rFonts w:cs="Arial"/>
                <w:color w:val="000000"/>
                <w:sz w:val="20"/>
                <w:szCs w:val="20"/>
                <w:lang w:val="sl-SI"/>
              </w:rPr>
              <w:t>regionalni</w:t>
            </w:r>
            <w:r w:rsidRPr="00FF207E">
              <w:rPr>
                <w:rFonts w:cs="Arial"/>
                <w:color w:val="000000"/>
                <w:sz w:val="20"/>
                <w:szCs w:val="20"/>
                <w:lang w:val="sl-SI"/>
              </w:rPr>
              <w:t xml:space="preserve"> mreži za informiranje ter koordinacijo </w:t>
            </w:r>
            <w:r w:rsidR="003249EA" w:rsidRPr="00FF207E">
              <w:rPr>
                <w:rFonts w:cs="Arial"/>
                <w:color w:val="000000"/>
                <w:sz w:val="20"/>
                <w:szCs w:val="20"/>
                <w:lang w:val="sl-SI"/>
              </w:rPr>
              <w:t xml:space="preserve">dejavnosti </w:t>
            </w:r>
            <w:r w:rsidRPr="00FF207E">
              <w:rPr>
                <w:rFonts w:cs="Arial"/>
                <w:color w:val="000000"/>
                <w:sz w:val="20"/>
                <w:szCs w:val="20"/>
                <w:lang w:val="sl-SI"/>
              </w:rPr>
              <w:t>s projektno pisarno. Stroški pomoči in svetovanja energetsko revnim gospodinjstvom so opredeljeni pri stroških izvajanja ukrepov.</w:t>
            </w:r>
          </w:p>
        </w:tc>
        <w:tc>
          <w:tcPr>
            <w:tcW w:w="1276" w:type="dxa"/>
            <w:vAlign w:val="center"/>
          </w:tcPr>
          <w:p w14:paraId="0F1724B2" w14:textId="0D1D95C0" w:rsidR="000E4002" w:rsidRPr="00FF207E" w:rsidRDefault="00711608" w:rsidP="000E4002">
            <w:pPr>
              <w:keepNext/>
              <w:spacing w:line="240" w:lineRule="atLeast"/>
              <w:jc w:val="center"/>
              <w:rPr>
                <w:rFonts w:cs="Arial"/>
                <w:sz w:val="20"/>
                <w:szCs w:val="20"/>
                <w:lang w:val="sl-SI"/>
              </w:rPr>
            </w:pPr>
            <w:r w:rsidRPr="00FF207E">
              <w:rPr>
                <w:rFonts w:cs="Arial"/>
                <w:sz w:val="20"/>
                <w:szCs w:val="20"/>
                <w:lang w:val="sl-SI"/>
              </w:rPr>
              <w:t>0,1</w:t>
            </w:r>
          </w:p>
        </w:tc>
        <w:tc>
          <w:tcPr>
            <w:tcW w:w="1701" w:type="dxa"/>
            <w:vAlign w:val="center"/>
          </w:tcPr>
          <w:p w14:paraId="05E776FE" w14:textId="77777777" w:rsidR="000E4002" w:rsidRPr="00FF207E" w:rsidRDefault="000E4002" w:rsidP="000E4002">
            <w:pPr>
              <w:keepNext/>
              <w:spacing w:line="240" w:lineRule="atLeast"/>
              <w:jc w:val="both"/>
              <w:rPr>
                <w:rFonts w:cs="Arial"/>
                <w:sz w:val="20"/>
                <w:szCs w:val="20"/>
                <w:lang w:val="sl-SI"/>
              </w:rPr>
            </w:pPr>
            <w:r w:rsidRPr="00FF207E">
              <w:rPr>
                <w:rFonts w:cs="Arial"/>
                <w:sz w:val="20"/>
                <w:szCs w:val="20"/>
                <w:lang w:val="sl-SI"/>
              </w:rPr>
              <w:t>SPS</w:t>
            </w:r>
          </w:p>
        </w:tc>
      </w:tr>
      <w:tr w:rsidR="000E4002" w:rsidRPr="00FF207E" w14:paraId="26ECAEEA" w14:textId="77777777" w:rsidTr="00200EC5">
        <w:trPr>
          <w:cantSplit/>
          <w:jc w:val="center"/>
        </w:trPr>
        <w:tc>
          <w:tcPr>
            <w:tcW w:w="5960" w:type="dxa"/>
            <w:tcBorders>
              <w:top w:val="single" w:sz="12" w:space="0" w:color="548DD4" w:themeColor="text2" w:themeTint="99"/>
              <w:bottom w:val="single" w:sz="12" w:space="0" w:color="548DD4" w:themeColor="text2" w:themeTint="99"/>
            </w:tcBorders>
            <w:shd w:val="clear" w:color="auto" w:fill="C6D9F1" w:themeFill="text2" w:themeFillTint="33"/>
            <w:vAlign w:val="center"/>
          </w:tcPr>
          <w:p w14:paraId="2BBE1882" w14:textId="479A31B6" w:rsidR="000E4002" w:rsidRPr="00FF207E" w:rsidRDefault="000E4002" w:rsidP="000E4002">
            <w:pPr>
              <w:spacing w:before="60" w:after="60" w:line="240" w:lineRule="auto"/>
              <w:jc w:val="both"/>
              <w:rPr>
                <w:rFonts w:cs="Arial"/>
                <w:b/>
                <w:bCs/>
                <w:sz w:val="20"/>
                <w:szCs w:val="20"/>
                <w:lang w:val="sl-SI"/>
              </w:rPr>
            </w:pPr>
            <w:r w:rsidRPr="00FF207E">
              <w:rPr>
                <w:rFonts w:cs="Arial"/>
                <w:b/>
                <w:bCs/>
                <w:sz w:val="20"/>
                <w:szCs w:val="20"/>
                <w:lang w:val="sl-SI"/>
              </w:rPr>
              <w:t xml:space="preserve">SKUPAJ AKCIJSKI NAČRT </w:t>
            </w:r>
            <w:r w:rsidRPr="00FF207E">
              <w:rPr>
                <w:b/>
                <w:sz w:val="20"/>
                <w:szCs w:val="20"/>
                <w:lang w:val="sl-SI"/>
              </w:rPr>
              <w:t>‒</w:t>
            </w:r>
            <w:r w:rsidRPr="00FF207E">
              <w:rPr>
                <w:rFonts w:cs="Arial"/>
                <w:b/>
                <w:bCs/>
                <w:sz w:val="20"/>
                <w:szCs w:val="20"/>
                <w:lang w:val="sl-SI"/>
              </w:rPr>
              <w:t xml:space="preserve"> DODATNI STROŠKI</w:t>
            </w:r>
          </w:p>
        </w:tc>
        <w:tc>
          <w:tcPr>
            <w:tcW w:w="1276" w:type="dxa"/>
            <w:tcBorders>
              <w:top w:val="single" w:sz="12" w:space="0" w:color="548DD4" w:themeColor="text2" w:themeTint="99"/>
              <w:bottom w:val="single" w:sz="12" w:space="0" w:color="548DD4" w:themeColor="text2" w:themeTint="99"/>
            </w:tcBorders>
            <w:shd w:val="clear" w:color="auto" w:fill="C6D9F1" w:themeFill="text2" w:themeFillTint="33"/>
            <w:vAlign w:val="center"/>
          </w:tcPr>
          <w:p w14:paraId="36BEF6AA" w14:textId="787EA232" w:rsidR="000E4002" w:rsidRPr="00FF207E" w:rsidRDefault="00711608" w:rsidP="000E4002">
            <w:pPr>
              <w:keepNext/>
              <w:spacing w:line="240" w:lineRule="atLeast"/>
              <w:jc w:val="center"/>
              <w:rPr>
                <w:rFonts w:cs="Arial"/>
                <w:b/>
                <w:bCs/>
                <w:sz w:val="20"/>
                <w:szCs w:val="20"/>
                <w:lang w:val="sl-SI"/>
              </w:rPr>
            </w:pPr>
            <w:r w:rsidRPr="00FF207E">
              <w:rPr>
                <w:rFonts w:cs="Arial"/>
                <w:b/>
                <w:bCs/>
                <w:sz w:val="20"/>
                <w:szCs w:val="20"/>
                <w:lang w:val="sl-SI"/>
              </w:rPr>
              <w:t>33,0</w:t>
            </w:r>
          </w:p>
        </w:tc>
        <w:tc>
          <w:tcPr>
            <w:tcW w:w="1701" w:type="dxa"/>
            <w:tcBorders>
              <w:top w:val="single" w:sz="12" w:space="0" w:color="548DD4" w:themeColor="text2" w:themeTint="99"/>
              <w:bottom w:val="single" w:sz="12" w:space="0" w:color="548DD4" w:themeColor="text2" w:themeTint="99"/>
            </w:tcBorders>
            <w:shd w:val="clear" w:color="auto" w:fill="C6D9F1" w:themeFill="text2" w:themeFillTint="33"/>
            <w:vAlign w:val="center"/>
          </w:tcPr>
          <w:p w14:paraId="57099D84" w14:textId="77777777" w:rsidR="000E4002" w:rsidRPr="00FF207E" w:rsidRDefault="000E4002" w:rsidP="000E4002">
            <w:pPr>
              <w:keepNext/>
              <w:spacing w:line="240" w:lineRule="atLeast"/>
              <w:jc w:val="both"/>
              <w:rPr>
                <w:rFonts w:cs="Arial"/>
                <w:b/>
                <w:bCs/>
                <w:sz w:val="20"/>
                <w:szCs w:val="20"/>
                <w:lang w:val="sl-SI"/>
              </w:rPr>
            </w:pPr>
          </w:p>
        </w:tc>
      </w:tr>
      <w:tr w:rsidR="000E4002" w:rsidRPr="00FF207E" w14:paraId="48E74B62" w14:textId="77777777" w:rsidTr="00800A35">
        <w:trPr>
          <w:cantSplit/>
          <w:jc w:val="center"/>
        </w:trPr>
        <w:tc>
          <w:tcPr>
            <w:tcW w:w="5960" w:type="dxa"/>
            <w:vAlign w:val="center"/>
          </w:tcPr>
          <w:p w14:paraId="2D6E8803" w14:textId="0EBCFD53" w:rsidR="000E4002" w:rsidRPr="00FF207E" w:rsidRDefault="000E4002" w:rsidP="000A57B2">
            <w:pPr>
              <w:spacing w:before="60" w:after="60" w:line="240" w:lineRule="auto"/>
              <w:ind w:left="340"/>
              <w:jc w:val="both"/>
              <w:rPr>
                <w:rFonts w:cs="Arial"/>
                <w:color w:val="000000"/>
                <w:sz w:val="20"/>
                <w:szCs w:val="20"/>
                <w:lang w:val="sl-SI"/>
              </w:rPr>
            </w:pPr>
            <w:r w:rsidRPr="00FF207E">
              <w:rPr>
                <w:rFonts w:cs="Arial"/>
                <w:sz w:val="20"/>
                <w:szCs w:val="20"/>
                <w:lang w:val="sl-SI"/>
              </w:rPr>
              <w:t>Stroški</w:t>
            </w:r>
            <w:r w:rsidRPr="00FF207E">
              <w:rPr>
                <w:rFonts w:cs="Arial"/>
                <w:color w:val="000000"/>
                <w:sz w:val="20"/>
                <w:szCs w:val="20"/>
                <w:lang w:val="sl-SI"/>
              </w:rPr>
              <w:t xml:space="preserve"> dela </w:t>
            </w:r>
            <w:proofErr w:type="spellStart"/>
            <w:r w:rsidRPr="00FF207E">
              <w:rPr>
                <w:rFonts w:cs="Arial"/>
                <w:color w:val="000000"/>
                <w:sz w:val="20"/>
                <w:szCs w:val="20"/>
                <w:lang w:val="sl-SI"/>
              </w:rPr>
              <w:t>Eko</w:t>
            </w:r>
            <w:proofErr w:type="spellEnd"/>
            <w:r w:rsidRPr="00FF207E">
              <w:rPr>
                <w:rFonts w:cs="Arial"/>
                <w:color w:val="000000"/>
                <w:sz w:val="20"/>
                <w:szCs w:val="20"/>
                <w:lang w:val="sl-SI"/>
              </w:rPr>
              <w:t xml:space="preserve"> sklad </w:t>
            </w:r>
            <w:r w:rsidRPr="00FF207E">
              <w:rPr>
                <w:sz w:val="20"/>
                <w:szCs w:val="20"/>
                <w:lang w:val="sl-SI"/>
              </w:rPr>
              <w:t>‒</w:t>
            </w:r>
            <w:r w:rsidRPr="00FF207E">
              <w:rPr>
                <w:rFonts w:cs="Arial"/>
                <w:b/>
                <w:bCs/>
                <w:sz w:val="20"/>
                <w:szCs w:val="20"/>
                <w:lang w:val="sl-SI"/>
              </w:rPr>
              <w:t xml:space="preserve"> </w:t>
            </w:r>
            <w:r w:rsidRPr="00FF207E">
              <w:rPr>
                <w:rFonts w:cs="Arial"/>
                <w:color w:val="000000"/>
                <w:sz w:val="20"/>
                <w:szCs w:val="20"/>
                <w:lang w:val="sl-SI"/>
              </w:rPr>
              <w:t>obstoječi kadri</w:t>
            </w:r>
          </w:p>
        </w:tc>
        <w:tc>
          <w:tcPr>
            <w:tcW w:w="1276" w:type="dxa"/>
            <w:vAlign w:val="center"/>
          </w:tcPr>
          <w:p w14:paraId="2192D8C8" w14:textId="0075C6C2" w:rsidR="000E4002" w:rsidRPr="00FF207E" w:rsidRDefault="00CF4999" w:rsidP="000E4002">
            <w:pPr>
              <w:keepNext/>
              <w:spacing w:line="240" w:lineRule="atLeast"/>
              <w:jc w:val="center"/>
              <w:rPr>
                <w:rFonts w:cs="Arial"/>
                <w:color w:val="000000"/>
                <w:sz w:val="20"/>
                <w:szCs w:val="20"/>
                <w:lang w:val="sl-SI"/>
              </w:rPr>
            </w:pPr>
            <w:r w:rsidRPr="00FF207E">
              <w:rPr>
                <w:rFonts w:cs="Arial"/>
                <w:sz w:val="20"/>
                <w:szCs w:val="20"/>
                <w:lang w:val="sl-SI"/>
              </w:rPr>
              <w:t>0,8</w:t>
            </w:r>
          </w:p>
        </w:tc>
        <w:tc>
          <w:tcPr>
            <w:tcW w:w="1701" w:type="dxa"/>
            <w:vAlign w:val="center"/>
          </w:tcPr>
          <w:p w14:paraId="199325A2" w14:textId="52629693" w:rsidR="000E4002" w:rsidRPr="00FF207E" w:rsidRDefault="000E4002" w:rsidP="000E4002">
            <w:pPr>
              <w:keepNext/>
              <w:spacing w:line="240" w:lineRule="atLeast"/>
              <w:jc w:val="both"/>
              <w:rPr>
                <w:rFonts w:cs="Arial"/>
                <w:sz w:val="20"/>
                <w:szCs w:val="20"/>
                <w:lang w:val="sl-SI"/>
              </w:rPr>
            </w:pPr>
          </w:p>
        </w:tc>
      </w:tr>
      <w:tr w:rsidR="000E4002" w:rsidRPr="00FF207E" w14:paraId="541E5EA0" w14:textId="77777777" w:rsidTr="00800A35">
        <w:trPr>
          <w:cantSplit/>
          <w:jc w:val="center"/>
        </w:trPr>
        <w:tc>
          <w:tcPr>
            <w:tcW w:w="5960" w:type="dxa"/>
            <w:tcBorders>
              <w:top w:val="single" w:sz="12" w:space="0" w:color="548DD4" w:themeColor="text2" w:themeTint="99"/>
              <w:bottom w:val="single" w:sz="12" w:space="0" w:color="548DD4" w:themeColor="text2" w:themeTint="99"/>
            </w:tcBorders>
            <w:shd w:val="clear" w:color="auto" w:fill="C6D9F1" w:themeFill="text2" w:themeFillTint="33"/>
            <w:vAlign w:val="center"/>
          </w:tcPr>
          <w:p w14:paraId="7F3891FC" w14:textId="4595FBCD" w:rsidR="000E4002" w:rsidRPr="00FF207E" w:rsidRDefault="000E4002" w:rsidP="000E4002">
            <w:pPr>
              <w:spacing w:before="60" w:after="60" w:line="240" w:lineRule="auto"/>
              <w:jc w:val="both"/>
              <w:rPr>
                <w:rFonts w:cs="Arial"/>
                <w:b/>
                <w:bCs/>
                <w:sz w:val="20"/>
                <w:szCs w:val="20"/>
                <w:lang w:val="sl-SI"/>
              </w:rPr>
            </w:pPr>
            <w:r w:rsidRPr="00FF207E">
              <w:rPr>
                <w:rFonts w:cs="Arial"/>
                <w:b/>
                <w:bCs/>
                <w:sz w:val="20"/>
                <w:szCs w:val="20"/>
                <w:lang w:val="sl-SI"/>
              </w:rPr>
              <w:t>SKUPAJ AKCIJSKI NAČRT</w:t>
            </w:r>
          </w:p>
        </w:tc>
        <w:tc>
          <w:tcPr>
            <w:tcW w:w="1276" w:type="dxa"/>
            <w:tcBorders>
              <w:top w:val="single" w:sz="12" w:space="0" w:color="548DD4" w:themeColor="text2" w:themeTint="99"/>
              <w:bottom w:val="single" w:sz="12" w:space="0" w:color="548DD4" w:themeColor="text2" w:themeTint="99"/>
            </w:tcBorders>
            <w:shd w:val="clear" w:color="auto" w:fill="C6D9F1" w:themeFill="text2" w:themeFillTint="33"/>
            <w:vAlign w:val="center"/>
          </w:tcPr>
          <w:p w14:paraId="5B622327" w14:textId="6765CFC1" w:rsidR="000E4002" w:rsidRPr="00FF207E" w:rsidRDefault="00CF4999" w:rsidP="000E4002">
            <w:pPr>
              <w:keepNext/>
              <w:spacing w:line="240" w:lineRule="atLeast"/>
              <w:jc w:val="center"/>
              <w:rPr>
                <w:rFonts w:cs="Arial"/>
                <w:b/>
                <w:bCs/>
                <w:sz w:val="20"/>
                <w:szCs w:val="20"/>
                <w:lang w:val="sl-SI"/>
              </w:rPr>
            </w:pPr>
            <w:r w:rsidRPr="00FF207E">
              <w:rPr>
                <w:rFonts w:cs="Arial"/>
                <w:b/>
                <w:bCs/>
                <w:sz w:val="20"/>
                <w:szCs w:val="20"/>
                <w:lang w:val="sl-SI"/>
              </w:rPr>
              <w:t>33,8</w:t>
            </w:r>
          </w:p>
        </w:tc>
        <w:tc>
          <w:tcPr>
            <w:tcW w:w="1701" w:type="dxa"/>
            <w:tcBorders>
              <w:top w:val="single" w:sz="12" w:space="0" w:color="548DD4" w:themeColor="text2" w:themeTint="99"/>
              <w:bottom w:val="single" w:sz="12" w:space="0" w:color="548DD4" w:themeColor="text2" w:themeTint="99"/>
            </w:tcBorders>
            <w:shd w:val="clear" w:color="auto" w:fill="C6D9F1" w:themeFill="text2" w:themeFillTint="33"/>
            <w:vAlign w:val="center"/>
          </w:tcPr>
          <w:p w14:paraId="5EEB7A04" w14:textId="77777777" w:rsidR="000E4002" w:rsidRPr="00FF207E" w:rsidRDefault="000E4002" w:rsidP="000E4002">
            <w:pPr>
              <w:keepNext/>
              <w:spacing w:line="240" w:lineRule="atLeast"/>
              <w:jc w:val="both"/>
              <w:rPr>
                <w:rFonts w:cs="Arial"/>
                <w:b/>
                <w:bCs/>
                <w:sz w:val="20"/>
                <w:szCs w:val="20"/>
                <w:lang w:val="sl-SI"/>
              </w:rPr>
            </w:pPr>
          </w:p>
        </w:tc>
      </w:tr>
    </w:tbl>
    <w:p w14:paraId="6B7CB8DE" w14:textId="00B9DB62" w:rsidR="007D4654" w:rsidRPr="00FF207E" w:rsidRDefault="00EE4665" w:rsidP="007D4654">
      <w:pPr>
        <w:spacing w:before="240" w:after="240"/>
        <w:jc w:val="both"/>
        <w:rPr>
          <w:lang w:val="sl-SI"/>
        </w:rPr>
      </w:pPr>
      <w:r w:rsidRPr="00FF207E">
        <w:rPr>
          <w:lang w:val="sl-SI"/>
        </w:rPr>
        <w:t xml:space="preserve">Kadrovske potrebe za izvajanje </w:t>
      </w:r>
      <w:r w:rsidR="00CB3F8C" w:rsidRPr="00FF207E">
        <w:rPr>
          <w:lang w:val="sl-SI"/>
        </w:rPr>
        <w:t xml:space="preserve">akcijskega načrta </w:t>
      </w:r>
      <w:r w:rsidRPr="00FF207E">
        <w:rPr>
          <w:lang w:val="sl-SI"/>
        </w:rPr>
        <w:t xml:space="preserve">so ocenjene v poglavju </w:t>
      </w:r>
      <w:r w:rsidRPr="00FF207E">
        <w:rPr>
          <w:lang w:val="sl-SI"/>
        </w:rPr>
        <w:fldChar w:fldCharType="begin"/>
      </w:r>
      <w:r w:rsidRPr="00FF207E">
        <w:rPr>
          <w:lang w:val="sl-SI"/>
        </w:rPr>
        <w:instrText xml:space="preserve"> REF _Ref136362942 \r \h </w:instrText>
      </w:r>
      <w:r w:rsidRPr="00FF207E">
        <w:rPr>
          <w:lang w:val="sl-SI"/>
        </w:rPr>
      </w:r>
      <w:r w:rsidR="00FF207E">
        <w:rPr>
          <w:lang w:val="sl-SI"/>
        </w:rPr>
        <w:instrText xml:space="preserve"> \* MERGEFORMAT </w:instrText>
      </w:r>
      <w:r w:rsidRPr="00FF207E">
        <w:rPr>
          <w:lang w:val="sl-SI"/>
        </w:rPr>
        <w:fldChar w:fldCharType="separate"/>
      </w:r>
      <w:r w:rsidR="00F37FD1" w:rsidRPr="00FF207E">
        <w:rPr>
          <w:lang w:val="sl-SI"/>
        </w:rPr>
        <w:t>8</w:t>
      </w:r>
      <w:r w:rsidRPr="00FF207E">
        <w:rPr>
          <w:lang w:val="sl-SI"/>
        </w:rPr>
        <w:fldChar w:fldCharType="end"/>
      </w:r>
      <w:r w:rsidRPr="00FF207E">
        <w:rPr>
          <w:lang w:val="sl-SI"/>
        </w:rPr>
        <w:t xml:space="preserve">. Učinki </w:t>
      </w:r>
      <w:r w:rsidR="00CB3F8C" w:rsidRPr="00FF207E">
        <w:rPr>
          <w:lang w:val="sl-SI"/>
        </w:rPr>
        <w:t xml:space="preserve">akcijskega načrta </w:t>
      </w:r>
      <w:r w:rsidRPr="00FF207E">
        <w:rPr>
          <w:lang w:val="sl-SI"/>
        </w:rPr>
        <w:t>brez razširitve kadrovskih zmogljivosti so pod zastavljenimi cilji iz nove EED.</w:t>
      </w:r>
    </w:p>
    <w:p w14:paraId="5DECA878" w14:textId="1DBDF6EF" w:rsidR="00E85D99" w:rsidRPr="00FF207E" w:rsidRDefault="00E85D99" w:rsidP="001E304B">
      <w:pPr>
        <w:pStyle w:val="Table"/>
        <w:jc w:val="both"/>
      </w:pPr>
    </w:p>
    <w:p w14:paraId="6D301D18" w14:textId="77777777" w:rsidR="00BE5752" w:rsidRPr="00FF207E" w:rsidRDefault="00BE5752" w:rsidP="001E304B">
      <w:pPr>
        <w:jc w:val="both"/>
        <w:rPr>
          <w:lang w:val="sl-SI"/>
        </w:rPr>
        <w:sectPr w:rsidR="00BE5752" w:rsidRPr="00FF207E" w:rsidSect="00DA36CB">
          <w:pgSz w:w="11906" w:h="16838"/>
          <w:pgMar w:top="1417" w:right="1417" w:bottom="1417" w:left="1417" w:header="708" w:footer="708" w:gutter="0"/>
          <w:cols w:space="708"/>
          <w:docGrid w:linePitch="360"/>
        </w:sectPr>
      </w:pPr>
    </w:p>
    <w:p w14:paraId="32AF04A6" w14:textId="32135003" w:rsidR="00140594" w:rsidRPr="00FF207E" w:rsidRDefault="00140594" w:rsidP="001E304B">
      <w:pPr>
        <w:pStyle w:val="Naslov1"/>
        <w:jc w:val="both"/>
        <w:rPr>
          <w:lang w:val="sl-SI"/>
        </w:rPr>
      </w:pPr>
      <w:bookmarkStart w:id="119" w:name="_Ref136362942"/>
      <w:bookmarkStart w:id="120" w:name="_Toc151148809"/>
      <w:r w:rsidRPr="00FF207E">
        <w:rPr>
          <w:lang w:val="sl-SI"/>
        </w:rPr>
        <w:lastRenderedPageBreak/>
        <w:t>Organiziranost za izvajanje</w:t>
      </w:r>
      <w:bookmarkEnd w:id="119"/>
      <w:bookmarkEnd w:id="120"/>
    </w:p>
    <w:p w14:paraId="68B4BF70" w14:textId="360F7A8F" w:rsidR="00483010" w:rsidRPr="00FF207E" w:rsidRDefault="003D5E6A" w:rsidP="001E304B">
      <w:pPr>
        <w:spacing w:after="240"/>
        <w:jc w:val="both"/>
        <w:rPr>
          <w:lang w:val="sl-SI"/>
        </w:rPr>
      </w:pPr>
      <w:r w:rsidRPr="00FF207E">
        <w:rPr>
          <w:lang w:val="sl-SI"/>
        </w:rPr>
        <w:t xml:space="preserve">Organiziranost za izvajanje ukrepov za zmanjševanje energetske revščine je s tem akcijskim načrtom zastavljena dolgoročno, zato je v nadaljevanju predstavljena </w:t>
      </w:r>
      <w:r w:rsidR="003639B6" w:rsidRPr="00FF207E">
        <w:rPr>
          <w:lang w:val="sl-SI"/>
        </w:rPr>
        <w:t xml:space="preserve">tako </w:t>
      </w:r>
      <w:r w:rsidR="003F6533" w:rsidRPr="00FF207E">
        <w:rPr>
          <w:lang w:val="sl-SI"/>
        </w:rPr>
        <w:t>za različna obdobja do leta 2030</w:t>
      </w:r>
      <w:r w:rsidR="003639B6" w:rsidRPr="00FF207E">
        <w:rPr>
          <w:lang w:val="sl-SI"/>
        </w:rPr>
        <w:t xml:space="preserve"> kot tudi </w:t>
      </w:r>
      <w:r w:rsidR="0081177C" w:rsidRPr="00FF207E">
        <w:rPr>
          <w:lang w:val="sl-SI"/>
        </w:rPr>
        <w:t>po posameznih organizacijskih enotah</w:t>
      </w:r>
      <w:r w:rsidR="00DF33CE" w:rsidRPr="00FF207E">
        <w:rPr>
          <w:lang w:val="sl-SI"/>
        </w:rPr>
        <w:t>.</w:t>
      </w:r>
      <w:r w:rsidR="0089562E" w:rsidRPr="00FF207E">
        <w:rPr>
          <w:lang w:val="sl-SI"/>
        </w:rPr>
        <w:t xml:space="preserve"> </w:t>
      </w:r>
      <w:r w:rsidR="008204FD" w:rsidRPr="00FF207E">
        <w:rPr>
          <w:rFonts w:cs="Arial"/>
          <w:szCs w:val="22"/>
          <w:lang w:val="sl-SI"/>
        </w:rPr>
        <w:t xml:space="preserve">Časovni potek ukrepov iz tega akcijskega načrta je podrobneje predstavljen tudi v </w:t>
      </w:r>
      <w:hyperlink w:anchor="_Priloga_3:_Časovni" w:history="1">
        <w:r w:rsidR="00297630" w:rsidRPr="00FF207E">
          <w:rPr>
            <w:rStyle w:val="Hiperpovezava"/>
            <w:rFonts w:cs="Arial"/>
            <w:i/>
            <w:szCs w:val="22"/>
            <w:lang w:val="sl-SI"/>
          </w:rPr>
          <w:t>p</w:t>
        </w:r>
        <w:r w:rsidR="008204FD" w:rsidRPr="00FF207E">
          <w:rPr>
            <w:rStyle w:val="Hiperpovezava"/>
            <w:rFonts w:cs="Arial"/>
            <w:i/>
            <w:szCs w:val="22"/>
            <w:lang w:val="sl-SI"/>
          </w:rPr>
          <w:t xml:space="preserve">rilogi </w:t>
        </w:r>
        <w:r w:rsidR="00AC3BC7" w:rsidRPr="00FF207E">
          <w:rPr>
            <w:rStyle w:val="Hiperpovezava"/>
            <w:rFonts w:cs="Arial"/>
            <w:i/>
            <w:szCs w:val="22"/>
            <w:lang w:val="sl-SI"/>
          </w:rPr>
          <w:t>2</w:t>
        </w:r>
      </w:hyperlink>
      <w:r w:rsidR="008204FD" w:rsidRPr="00FF207E">
        <w:rPr>
          <w:rFonts w:cs="Arial"/>
          <w:szCs w:val="22"/>
          <w:lang w:val="sl-SI"/>
        </w:rPr>
        <w:t xml:space="preserve">. </w:t>
      </w:r>
      <w:r w:rsidR="0089562E" w:rsidRPr="00FF207E">
        <w:rPr>
          <w:lang w:val="sl-SI"/>
        </w:rPr>
        <w:t xml:space="preserve">Ustrezna organiziranost z zagotovljenimi kadri in sredstvi za delovanje je </w:t>
      </w:r>
      <w:r w:rsidR="00407B66" w:rsidRPr="00FF207E">
        <w:rPr>
          <w:lang w:val="sl-SI"/>
        </w:rPr>
        <w:t xml:space="preserve">pri tem </w:t>
      </w:r>
      <w:r w:rsidR="00D55FFB" w:rsidRPr="00FF207E">
        <w:rPr>
          <w:lang w:val="sl-SI"/>
        </w:rPr>
        <w:t xml:space="preserve">prvi pogoj </w:t>
      </w:r>
      <w:r w:rsidR="000800E4" w:rsidRPr="00FF207E">
        <w:rPr>
          <w:lang w:val="sl-SI"/>
        </w:rPr>
        <w:t>za uspešno izvajanje akcijskega načrta.</w:t>
      </w:r>
      <w:r w:rsidR="00407B66" w:rsidRPr="00FF207E">
        <w:rPr>
          <w:lang w:val="sl-SI"/>
        </w:rPr>
        <w:t xml:space="preserve"> Za zmanjševanje energetske revščine je </w:t>
      </w:r>
      <w:r w:rsidR="00107260" w:rsidRPr="00FF207E">
        <w:rPr>
          <w:lang w:val="sl-SI"/>
        </w:rPr>
        <w:t xml:space="preserve">sicer </w:t>
      </w:r>
      <w:r w:rsidR="00407B66" w:rsidRPr="00FF207E">
        <w:rPr>
          <w:lang w:val="sl-SI"/>
        </w:rPr>
        <w:t xml:space="preserve">na ravni ministrstev odgovorno </w:t>
      </w:r>
      <w:r w:rsidR="00407B66" w:rsidRPr="00FF207E">
        <w:rPr>
          <w:i/>
          <w:lang w:val="sl-SI"/>
        </w:rPr>
        <w:t>Ministrstvo za okolje, podnebje in energijo</w:t>
      </w:r>
      <w:r w:rsidR="00CE5592" w:rsidRPr="00FF207E">
        <w:rPr>
          <w:i/>
          <w:lang w:val="sl-SI"/>
        </w:rPr>
        <w:t xml:space="preserve"> Republike Slovenije</w:t>
      </w:r>
      <w:r w:rsidR="00407B66" w:rsidRPr="00FF207E">
        <w:rPr>
          <w:i/>
          <w:lang w:val="sl-SI"/>
        </w:rPr>
        <w:t xml:space="preserve"> (MOPE)</w:t>
      </w:r>
      <w:r w:rsidR="00407B66" w:rsidRPr="00FF207E">
        <w:rPr>
          <w:lang w:val="sl-SI"/>
        </w:rPr>
        <w:t xml:space="preserve">, za blaženje energetske revščine pa </w:t>
      </w:r>
      <w:r w:rsidR="00407B66" w:rsidRPr="00FF207E">
        <w:rPr>
          <w:i/>
          <w:lang w:val="sl-SI"/>
        </w:rPr>
        <w:t>Ministrstvo za delo, družino, socialne zadeve in enake možnosti</w:t>
      </w:r>
      <w:r w:rsidR="00CE5592" w:rsidRPr="00FF207E">
        <w:rPr>
          <w:i/>
          <w:lang w:val="sl-SI"/>
        </w:rPr>
        <w:t xml:space="preserve"> Republike Slovenije</w:t>
      </w:r>
      <w:r w:rsidR="00407B66" w:rsidRPr="00FF207E">
        <w:rPr>
          <w:i/>
          <w:lang w:val="sl-SI"/>
        </w:rPr>
        <w:t xml:space="preserve"> (MDDSZ)</w:t>
      </w:r>
      <w:r w:rsidR="00407B66" w:rsidRPr="00FF207E">
        <w:rPr>
          <w:lang w:val="sl-SI"/>
        </w:rPr>
        <w:t>.</w:t>
      </w:r>
    </w:p>
    <w:p w14:paraId="4318F971" w14:textId="64B43A88" w:rsidR="0062325A" w:rsidRPr="00FF207E" w:rsidRDefault="0062325A" w:rsidP="001E304B">
      <w:pPr>
        <w:pStyle w:val="Naslov2"/>
        <w:jc w:val="both"/>
        <w:rPr>
          <w:lang w:val="sl-SI"/>
        </w:rPr>
      </w:pPr>
      <w:bookmarkStart w:id="121" w:name="_Ref137464171"/>
      <w:bookmarkStart w:id="122" w:name="_Toc151148810"/>
      <w:r w:rsidRPr="00FF207E">
        <w:rPr>
          <w:lang w:val="sl-SI"/>
        </w:rPr>
        <w:t>Organiziranost za izvajanje po obdobjih</w:t>
      </w:r>
      <w:bookmarkEnd w:id="121"/>
      <w:bookmarkEnd w:id="122"/>
    </w:p>
    <w:p w14:paraId="61B856EA" w14:textId="14B67034" w:rsidR="00E74808" w:rsidRPr="00FF207E" w:rsidRDefault="00AE2847" w:rsidP="001E304B">
      <w:pPr>
        <w:spacing w:after="120"/>
        <w:jc w:val="both"/>
        <w:rPr>
          <w:lang w:val="sl-SI"/>
        </w:rPr>
      </w:pPr>
      <w:r w:rsidRPr="00FF207E">
        <w:rPr>
          <w:b/>
          <w:color w:val="4F81BD" w:themeColor="accent1"/>
          <w:lang w:val="sl-SI"/>
        </w:rPr>
        <w:t>Leto</w:t>
      </w:r>
      <w:r w:rsidR="00E74808" w:rsidRPr="00FF207E">
        <w:rPr>
          <w:b/>
          <w:color w:val="4F81BD" w:themeColor="accent1"/>
          <w:lang w:val="sl-SI"/>
        </w:rPr>
        <w:t xml:space="preserve"> </w:t>
      </w:r>
      <w:r w:rsidR="00151EC7" w:rsidRPr="00FF207E">
        <w:rPr>
          <w:b/>
          <w:color w:val="4F81BD" w:themeColor="accent1"/>
          <w:lang w:val="sl-SI"/>
        </w:rPr>
        <w:t>2024</w:t>
      </w:r>
      <w:r w:rsidRPr="00FF207E">
        <w:rPr>
          <w:b/>
          <w:color w:val="4F81BD" w:themeColor="accent1"/>
          <w:lang w:val="sl-SI"/>
        </w:rPr>
        <w:t>.</w:t>
      </w:r>
      <w:r w:rsidR="00E74808" w:rsidRPr="00FF207E">
        <w:rPr>
          <w:lang w:val="sl-SI"/>
        </w:rPr>
        <w:t xml:space="preserve"> </w:t>
      </w:r>
      <w:r w:rsidR="00DF33CE" w:rsidRPr="00FF207E">
        <w:rPr>
          <w:b/>
          <w:lang w:val="sl-SI"/>
        </w:rPr>
        <w:t>Deležniki nadaljujejo</w:t>
      </w:r>
      <w:r w:rsidR="00E74808" w:rsidRPr="00FF207E">
        <w:rPr>
          <w:b/>
          <w:lang w:val="sl-SI"/>
        </w:rPr>
        <w:t xml:space="preserve"> izvajanje </w:t>
      </w:r>
      <w:r w:rsidR="00416161" w:rsidRPr="00FF207E">
        <w:rPr>
          <w:b/>
          <w:lang w:val="sl-SI"/>
        </w:rPr>
        <w:t xml:space="preserve">veljavnih </w:t>
      </w:r>
      <w:r w:rsidR="00DF33CE" w:rsidRPr="00FF207E">
        <w:rPr>
          <w:b/>
          <w:lang w:val="sl-SI"/>
        </w:rPr>
        <w:t>ukrepov</w:t>
      </w:r>
      <w:r w:rsidR="00DF33CE" w:rsidRPr="00FF207E">
        <w:rPr>
          <w:lang w:val="sl-SI"/>
        </w:rPr>
        <w:t xml:space="preserve"> </w:t>
      </w:r>
      <w:r w:rsidR="00E74808" w:rsidRPr="00FF207E">
        <w:rPr>
          <w:lang w:val="sl-SI"/>
        </w:rPr>
        <w:t>(</w:t>
      </w:r>
      <w:r w:rsidR="00B77973" w:rsidRPr="00FF207E">
        <w:rPr>
          <w:lang w:val="sl-SI"/>
        </w:rPr>
        <w:t>na primer</w:t>
      </w:r>
      <w:r w:rsidR="00E74808" w:rsidRPr="00FF207E">
        <w:rPr>
          <w:lang w:val="sl-SI"/>
        </w:rPr>
        <w:t xml:space="preserve"> spodbude </w:t>
      </w:r>
      <w:proofErr w:type="spellStart"/>
      <w:r w:rsidR="00E74808" w:rsidRPr="00FF207E">
        <w:rPr>
          <w:lang w:val="sl-SI"/>
        </w:rPr>
        <w:t>Eko</w:t>
      </w:r>
      <w:proofErr w:type="spellEnd"/>
      <w:r w:rsidR="00E74808" w:rsidRPr="00FF207E">
        <w:rPr>
          <w:lang w:val="sl-SI"/>
        </w:rPr>
        <w:t xml:space="preserve"> sklada za skupne ukrepe pri energetski prenovi večstanovanjskih stavb, svetovanje mreže ENSVET energetsko revnim</w:t>
      </w:r>
      <w:r w:rsidR="008A32D4" w:rsidRPr="00FF207E">
        <w:rPr>
          <w:lang w:val="sl-SI"/>
        </w:rPr>
        <w:t xml:space="preserve"> v okviru projekta ZERO, ki se bo z letom 2024 v tej obliki predvidoma iztekel</w:t>
      </w:r>
      <w:r w:rsidR="00E74808" w:rsidRPr="00FF207E">
        <w:rPr>
          <w:lang w:val="sl-SI"/>
        </w:rPr>
        <w:t xml:space="preserve">, izredna denarna pomoč za plačilo stroškov energije, ki jo lahko dodelijo </w:t>
      </w:r>
      <w:r w:rsidR="005F05B4" w:rsidRPr="00FF207E">
        <w:rPr>
          <w:lang w:val="sl-SI"/>
        </w:rPr>
        <w:t>c</w:t>
      </w:r>
      <w:r w:rsidR="00E74808" w:rsidRPr="00FF207E">
        <w:rPr>
          <w:lang w:val="sl-SI"/>
        </w:rPr>
        <w:t>entri za socialno delo</w:t>
      </w:r>
      <w:r w:rsidR="0018531D" w:rsidRPr="00FF207E">
        <w:rPr>
          <w:lang w:val="sl-SI"/>
        </w:rPr>
        <w:t>,</w:t>
      </w:r>
      <w:r w:rsidR="00E74808" w:rsidRPr="00FF207E">
        <w:rPr>
          <w:lang w:val="sl-SI"/>
        </w:rPr>
        <w:t xml:space="preserve"> </w:t>
      </w:r>
      <w:r w:rsidR="00B77973" w:rsidRPr="00FF207E">
        <w:rPr>
          <w:lang w:val="sl-SI"/>
        </w:rPr>
        <w:t>in tako dalje</w:t>
      </w:r>
      <w:r w:rsidR="00E74808" w:rsidRPr="00FF207E">
        <w:rPr>
          <w:lang w:val="sl-SI"/>
        </w:rPr>
        <w:t>)</w:t>
      </w:r>
      <w:r w:rsidR="00DF33CE" w:rsidRPr="00FF207E">
        <w:rPr>
          <w:lang w:val="sl-SI"/>
        </w:rPr>
        <w:t xml:space="preserve">, </w:t>
      </w:r>
      <w:r w:rsidR="00717F6A" w:rsidRPr="00FF207E">
        <w:rPr>
          <w:b/>
          <w:lang w:val="sl-SI"/>
        </w:rPr>
        <w:t xml:space="preserve">brez večjih sprememb </w:t>
      </w:r>
      <w:r w:rsidR="00DF33CE" w:rsidRPr="00FF207E">
        <w:rPr>
          <w:b/>
          <w:lang w:val="sl-SI"/>
        </w:rPr>
        <w:t>organiziranost</w:t>
      </w:r>
      <w:r w:rsidR="00717F6A" w:rsidRPr="00FF207E">
        <w:rPr>
          <w:b/>
          <w:lang w:val="sl-SI"/>
        </w:rPr>
        <w:t>i za izvajanje</w:t>
      </w:r>
      <w:r w:rsidR="00E74808" w:rsidRPr="00FF207E">
        <w:rPr>
          <w:lang w:val="sl-SI"/>
        </w:rPr>
        <w:t xml:space="preserve">. </w:t>
      </w:r>
      <w:proofErr w:type="spellStart"/>
      <w:r w:rsidR="00E74808" w:rsidRPr="00FF207E">
        <w:rPr>
          <w:lang w:val="sl-SI"/>
        </w:rPr>
        <w:t>Eko</w:t>
      </w:r>
      <w:proofErr w:type="spellEnd"/>
      <w:r w:rsidR="00E74808" w:rsidRPr="00FF207E">
        <w:rPr>
          <w:lang w:val="sl-SI"/>
        </w:rPr>
        <w:t xml:space="preserve"> sklad </w:t>
      </w:r>
      <w:r w:rsidR="008A32D4" w:rsidRPr="00FF207E">
        <w:rPr>
          <w:lang w:val="sl-SI"/>
        </w:rPr>
        <w:t xml:space="preserve">pripravlja </w:t>
      </w:r>
      <w:r w:rsidR="00E74808" w:rsidRPr="00FF207E">
        <w:rPr>
          <w:b/>
          <w:lang w:val="sl-SI"/>
        </w:rPr>
        <w:t>nov poziv za</w:t>
      </w:r>
      <w:r w:rsidR="00E74808" w:rsidRPr="00FF207E">
        <w:rPr>
          <w:lang w:val="sl-SI"/>
        </w:rPr>
        <w:t xml:space="preserve"> </w:t>
      </w:r>
      <w:r w:rsidR="00DA0488" w:rsidRPr="00FF207E">
        <w:rPr>
          <w:b/>
          <w:bCs/>
          <w:lang w:val="sl-SI"/>
        </w:rPr>
        <w:t xml:space="preserve">nepovratne finančne spodbude socialno šibkim občanom za investicije v ukrepe </w:t>
      </w:r>
      <w:r w:rsidR="008A32D4" w:rsidRPr="00FF207E">
        <w:rPr>
          <w:b/>
          <w:bCs/>
          <w:lang w:val="sl-SI"/>
        </w:rPr>
        <w:t xml:space="preserve">URE in </w:t>
      </w:r>
      <w:r w:rsidR="00026105" w:rsidRPr="00FF207E">
        <w:rPr>
          <w:b/>
          <w:bCs/>
          <w:lang w:val="sl-SI"/>
        </w:rPr>
        <w:t xml:space="preserve">rabe </w:t>
      </w:r>
      <w:r w:rsidR="008A32D4" w:rsidRPr="00FF207E">
        <w:rPr>
          <w:b/>
          <w:bCs/>
          <w:lang w:val="sl-SI"/>
        </w:rPr>
        <w:t>OVE</w:t>
      </w:r>
      <w:r w:rsidR="008A32D4" w:rsidRPr="00FF207E">
        <w:rPr>
          <w:bCs/>
          <w:lang w:val="sl-SI"/>
        </w:rPr>
        <w:t>, vključno z vgradnjo novih kurilnih naprav na lesno biomaso in energetskim svetovanjem kot sestavnim delom postopka za dodeljevanje spodbud</w:t>
      </w:r>
      <w:r w:rsidR="005D4B72" w:rsidRPr="00FF207E">
        <w:rPr>
          <w:bCs/>
          <w:lang w:val="sl-SI"/>
        </w:rPr>
        <w:t>, ki se financira iz sredstev Sklada za podnebne spremembe</w:t>
      </w:r>
      <w:r w:rsidR="00A52C55" w:rsidRPr="00FF207E">
        <w:rPr>
          <w:bCs/>
          <w:lang w:val="sl-SI"/>
        </w:rPr>
        <w:t xml:space="preserve">, </w:t>
      </w:r>
      <w:r w:rsidR="00A52C55" w:rsidRPr="00FF207E">
        <w:rPr>
          <w:lang w:val="sl-SI"/>
        </w:rPr>
        <w:t>ter ga bo objavil predvidoma do konca leta 2023</w:t>
      </w:r>
      <w:r w:rsidR="00DA0488" w:rsidRPr="00FF207E">
        <w:rPr>
          <w:bCs/>
          <w:lang w:val="sl-SI"/>
        </w:rPr>
        <w:t xml:space="preserve">. Gre za nadgradnjo pozivov iz programa ZERO500, ki </w:t>
      </w:r>
      <w:r w:rsidR="003F6533" w:rsidRPr="00FF207E">
        <w:rPr>
          <w:bCs/>
          <w:lang w:val="sl-SI"/>
        </w:rPr>
        <w:t xml:space="preserve">pa </w:t>
      </w:r>
      <w:r w:rsidR="00DA0488" w:rsidRPr="00FF207E">
        <w:rPr>
          <w:bCs/>
          <w:lang w:val="sl-SI"/>
        </w:rPr>
        <w:t>so se financirali iz kohezijskih sredstev.</w:t>
      </w:r>
      <w:r w:rsidR="005D4B72" w:rsidRPr="00FF207E">
        <w:rPr>
          <w:bCs/>
          <w:lang w:val="sl-SI"/>
        </w:rPr>
        <w:t xml:space="preserve"> Za </w:t>
      </w:r>
      <w:r w:rsidR="005D4B72" w:rsidRPr="00FF207E">
        <w:rPr>
          <w:lang w:val="sl-SI"/>
        </w:rPr>
        <w:t xml:space="preserve">leto 2024 </w:t>
      </w:r>
      <w:r w:rsidR="000C55F2" w:rsidRPr="00FF207E">
        <w:rPr>
          <w:lang w:val="sl-SI"/>
        </w:rPr>
        <w:t xml:space="preserve">sta </w:t>
      </w:r>
      <w:r w:rsidR="005D4B72" w:rsidRPr="00FF207E">
        <w:rPr>
          <w:lang w:val="sl-SI"/>
        </w:rPr>
        <w:t>načrtovan</w:t>
      </w:r>
      <w:r w:rsidR="000C55F2" w:rsidRPr="00FF207E">
        <w:rPr>
          <w:lang w:val="sl-SI"/>
        </w:rPr>
        <w:t>a</w:t>
      </w:r>
      <w:r w:rsidR="005D4B72" w:rsidRPr="00FF207E">
        <w:rPr>
          <w:lang w:val="sl-SI"/>
        </w:rPr>
        <w:t xml:space="preserve"> tudi </w:t>
      </w:r>
      <w:r w:rsidR="005D4B72" w:rsidRPr="00FF207E">
        <w:rPr>
          <w:b/>
          <w:lang w:val="sl-SI"/>
        </w:rPr>
        <w:t>začetek delovanja sosveta za energetsko revščino</w:t>
      </w:r>
      <w:r w:rsidR="002122FA" w:rsidRPr="00FF207E">
        <w:rPr>
          <w:lang w:val="sl-SI"/>
        </w:rPr>
        <w:t xml:space="preserve">, ki </w:t>
      </w:r>
      <w:r w:rsidR="000C55F2" w:rsidRPr="00FF207E">
        <w:rPr>
          <w:lang w:val="sl-SI"/>
        </w:rPr>
        <w:t xml:space="preserve">sicer </w:t>
      </w:r>
      <w:r w:rsidR="002122FA" w:rsidRPr="00FF207E">
        <w:rPr>
          <w:lang w:val="sl-SI"/>
        </w:rPr>
        <w:t>ni izvajalsko telo</w:t>
      </w:r>
      <w:r w:rsidR="000C55F2" w:rsidRPr="00FF207E">
        <w:rPr>
          <w:lang w:val="sl-SI"/>
        </w:rPr>
        <w:t>, in pa prvi poziv za dodeljevanje sredstev iz Kohezijskega sklada</w:t>
      </w:r>
      <w:r w:rsidR="005D4B72" w:rsidRPr="00FF207E">
        <w:rPr>
          <w:lang w:val="sl-SI"/>
        </w:rPr>
        <w:t>.</w:t>
      </w:r>
    </w:p>
    <w:p w14:paraId="628256D8" w14:textId="0ADECA42" w:rsidR="00DA0488" w:rsidRPr="00FF207E" w:rsidRDefault="00DA0488" w:rsidP="001E304B">
      <w:pPr>
        <w:spacing w:after="240"/>
        <w:jc w:val="both"/>
        <w:rPr>
          <w:lang w:val="sl-SI"/>
        </w:rPr>
      </w:pPr>
      <w:r w:rsidRPr="00FF207E">
        <w:rPr>
          <w:b/>
          <w:color w:val="4F81BD" w:themeColor="accent1"/>
          <w:lang w:val="sl-SI"/>
        </w:rPr>
        <w:t xml:space="preserve">Obdobje </w:t>
      </w:r>
      <w:r w:rsidR="005D4B72" w:rsidRPr="00FF207E">
        <w:rPr>
          <w:b/>
          <w:color w:val="4F81BD" w:themeColor="accent1"/>
          <w:lang w:val="sl-SI"/>
        </w:rPr>
        <w:t>2025</w:t>
      </w:r>
      <w:r w:rsidRPr="00FF207E">
        <w:rPr>
          <w:b/>
          <w:color w:val="4F81BD" w:themeColor="accent1"/>
          <w:lang w:val="sl-SI"/>
        </w:rPr>
        <w:t>–2026.</w:t>
      </w:r>
      <w:r w:rsidRPr="00FF207E">
        <w:rPr>
          <w:lang w:val="sl-SI"/>
        </w:rPr>
        <w:t xml:space="preserve"> </w:t>
      </w:r>
      <w:r w:rsidRPr="00FF207E">
        <w:rPr>
          <w:b/>
          <w:lang w:val="sl-SI"/>
        </w:rPr>
        <w:t xml:space="preserve">Leta </w:t>
      </w:r>
      <w:r w:rsidR="005D4B72" w:rsidRPr="00FF207E">
        <w:rPr>
          <w:b/>
          <w:lang w:val="sl-SI"/>
        </w:rPr>
        <w:t xml:space="preserve">2025 </w:t>
      </w:r>
      <w:r w:rsidRPr="00FF207E">
        <w:rPr>
          <w:b/>
          <w:lang w:val="sl-SI"/>
        </w:rPr>
        <w:t>se vzpostavi shema za zmanjševanje energetske revščine</w:t>
      </w:r>
      <w:r w:rsidRPr="00FF207E">
        <w:rPr>
          <w:lang w:val="sl-SI"/>
        </w:rPr>
        <w:t xml:space="preserve"> (glej poglavje </w:t>
      </w:r>
      <w:r w:rsidRPr="00FF207E">
        <w:rPr>
          <w:lang w:val="sl-SI"/>
        </w:rPr>
        <w:fldChar w:fldCharType="begin"/>
      </w:r>
      <w:r w:rsidRPr="00FF207E">
        <w:rPr>
          <w:lang w:val="sl-SI"/>
        </w:rPr>
        <w:instrText xml:space="preserve"> REF _Ref136356036 \r \h </w:instrText>
      </w:r>
      <w:r w:rsidR="001E304B" w:rsidRPr="00FF207E">
        <w:rPr>
          <w:lang w:val="sl-SI"/>
        </w:rPr>
        <w:instrText xml:space="preserve"> \* MERGEFORMAT </w:instrText>
      </w:r>
      <w:r w:rsidRPr="00FF207E">
        <w:rPr>
          <w:lang w:val="sl-SI"/>
        </w:rPr>
      </w:r>
      <w:r w:rsidRPr="00FF207E">
        <w:rPr>
          <w:lang w:val="sl-SI"/>
        </w:rPr>
        <w:fldChar w:fldCharType="separate"/>
      </w:r>
      <w:r w:rsidR="00F37FD1" w:rsidRPr="00FF207E">
        <w:rPr>
          <w:lang w:val="sl-SI"/>
        </w:rPr>
        <w:t>3</w:t>
      </w:r>
      <w:r w:rsidRPr="00FF207E">
        <w:rPr>
          <w:lang w:val="sl-SI"/>
        </w:rPr>
        <w:fldChar w:fldCharType="end"/>
      </w:r>
      <w:r w:rsidRPr="00FF207E">
        <w:rPr>
          <w:lang w:val="sl-SI"/>
        </w:rPr>
        <w:t xml:space="preserve">) v </w:t>
      </w:r>
      <w:r w:rsidR="00594418" w:rsidRPr="00FF207E">
        <w:rPr>
          <w:lang w:val="sl-SI"/>
        </w:rPr>
        <w:t>pilotnem obsegu</w:t>
      </w:r>
      <w:r w:rsidR="008426BD" w:rsidRPr="00FF207E">
        <w:rPr>
          <w:lang w:val="sl-SI"/>
        </w:rPr>
        <w:t>.</w:t>
      </w:r>
      <w:r w:rsidR="00594418" w:rsidRPr="00FF207E">
        <w:rPr>
          <w:lang w:val="sl-SI"/>
        </w:rPr>
        <w:t xml:space="preserve"> </w:t>
      </w:r>
      <w:r w:rsidR="008426BD" w:rsidRPr="00FF207E">
        <w:rPr>
          <w:lang w:val="sl-SI"/>
        </w:rPr>
        <w:t>Shema</w:t>
      </w:r>
      <w:r w:rsidR="00594418" w:rsidRPr="00FF207E">
        <w:rPr>
          <w:lang w:val="sl-SI"/>
        </w:rPr>
        <w:t xml:space="preserve"> vključuje oblikovanje </w:t>
      </w:r>
      <w:r w:rsidR="00594418" w:rsidRPr="00FF207E">
        <w:rPr>
          <w:b/>
          <w:lang w:val="sl-SI"/>
        </w:rPr>
        <w:t xml:space="preserve">projektne pisarne za energetsko revščino pri </w:t>
      </w:r>
      <w:proofErr w:type="spellStart"/>
      <w:r w:rsidR="00594418" w:rsidRPr="00FF207E">
        <w:rPr>
          <w:b/>
          <w:lang w:val="sl-SI"/>
        </w:rPr>
        <w:t>Eko</w:t>
      </w:r>
      <w:proofErr w:type="spellEnd"/>
      <w:r w:rsidR="00594418" w:rsidRPr="00FF207E">
        <w:rPr>
          <w:b/>
          <w:lang w:val="sl-SI"/>
        </w:rPr>
        <w:t xml:space="preserve"> skladu ter regionalnih svetovalnih točk </w:t>
      </w:r>
      <w:r w:rsidR="00A52C55" w:rsidRPr="00FF207E">
        <w:rPr>
          <w:b/>
          <w:lang w:val="sl-SI"/>
        </w:rPr>
        <w:t xml:space="preserve">in </w:t>
      </w:r>
      <w:r w:rsidR="008426BD" w:rsidRPr="00FF207E">
        <w:rPr>
          <w:b/>
          <w:lang w:val="sl-SI"/>
        </w:rPr>
        <w:t>neformalnih mrež za informiranje in ozaveščanje v dveh pilotnih regijah</w:t>
      </w:r>
      <w:r w:rsidR="008426BD" w:rsidRPr="00FF207E">
        <w:rPr>
          <w:lang w:val="sl-SI"/>
        </w:rPr>
        <w:t xml:space="preserve"> (</w:t>
      </w:r>
      <w:r w:rsidR="008426BD" w:rsidRPr="00FF207E">
        <w:rPr>
          <w:lang w:val="sl-SI"/>
        </w:rPr>
        <w:fldChar w:fldCharType="begin"/>
      </w:r>
      <w:r w:rsidR="008426BD" w:rsidRPr="00FF207E">
        <w:rPr>
          <w:lang w:val="sl-SI"/>
        </w:rPr>
        <w:instrText xml:space="preserve"> REF _Ref137460006 \h </w:instrText>
      </w:r>
      <w:r w:rsidR="001E304B" w:rsidRPr="00FF207E">
        <w:rPr>
          <w:lang w:val="sl-SI"/>
        </w:rPr>
        <w:instrText xml:space="preserve"> \* MERGEFORMAT </w:instrText>
      </w:r>
      <w:r w:rsidR="008426BD" w:rsidRPr="00FF207E">
        <w:rPr>
          <w:lang w:val="sl-SI"/>
        </w:rPr>
      </w:r>
      <w:r w:rsidR="008426BD" w:rsidRPr="00FF207E">
        <w:rPr>
          <w:lang w:val="sl-SI"/>
        </w:rPr>
        <w:fldChar w:fldCharType="separate"/>
      </w:r>
      <w:r w:rsidR="001B0970" w:rsidRPr="00FF207E">
        <w:rPr>
          <w:lang w:val="sl-SI"/>
        </w:rPr>
        <w:t>s</w:t>
      </w:r>
      <w:r w:rsidR="00F37FD1" w:rsidRPr="00FF207E">
        <w:rPr>
          <w:lang w:val="sl-SI"/>
        </w:rPr>
        <w:t>lika 2</w:t>
      </w:r>
      <w:r w:rsidR="008426BD" w:rsidRPr="00FF207E">
        <w:rPr>
          <w:lang w:val="sl-SI"/>
        </w:rPr>
        <w:fldChar w:fldCharType="end"/>
      </w:r>
      <w:r w:rsidR="008426BD" w:rsidRPr="00FF207E">
        <w:rPr>
          <w:lang w:val="sl-SI"/>
        </w:rPr>
        <w:t>)</w:t>
      </w:r>
      <w:r w:rsidR="003F2E0F" w:rsidRPr="00FF207E">
        <w:rPr>
          <w:lang w:val="sl-SI"/>
        </w:rPr>
        <w:t>, ki so podrobneje predstavljene v nadaljevanju</w:t>
      </w:r>
      <w:r w:rsidR="00867FA4" w:rsidRPr="00FF207E">
        <w:rPr>
          <w:lang w:val="sl-SI"/>
        </w:rPr>
        <w:t xml:space="preserve"> (glej poglavje </w:t>
      </w:r>
      <w:r w:rsidR="00867FA4" w:rsidRPr="00FF207E">
        <w:rPr>
          <w:lang w:val="sl-SI"/>
        </w:rPr>
        <w:fldChar w:fldCharType="begin"/>
      </w:r>
      <w:r w:rsidR="00867FA4" w:rsidRPr="00FF207E">
        <w:rPr>
          <w:lang w:val="sl-SI"/>
        </w:rPr>
        <w:instrText xml:space="preserve"> REF _Ref137464184 \r \h </w:instrText>
      </w:r>
      <w:r w:rsidR="001E304B" w:rsidRPr="00FF207E">
        <w:rPr>
          <w:lang w:val="sl-SI"/>
        </w:rPr>
        <w:instrText xml:space="preserve"> \* MERGEFORMAT </w:instrText>
      </w:r>
      <w:r w:rsidR="00867FA4" w:rsidRPr="00FF207E">
        <w:rPr>
          <w:lang w:val="sl-SI"/>
        </w:rPr>
      </w:r>
      <w:r w:rsidR="00867FA4" w:rsidRPr="00FF207E">
        <w:rPr>
          <w:lang w:val="sl-SI"/>
        </w:rPr>
        <w:fldChar w:fldCharType="separate"/>
      </w:r>
      <w:r w:rsidR="00F37FD1" w:rsidRPr="00FF207E">
        <w:rPr>
          <w:lang w:val="sl-SI"/>
        </w:rPr>
        <w:t>8.2</w:t>
      </w:r>
      <w:r w:rsidR="00867FA4" w:rsidRPr="00FF207E">
        <w:rPr>
          <w:lang w:val="sl-SI"/>
        </w:rPr>
        <w:fldChar w:fldCharType="end"/>
      </w:r>
      <w:r w:rsidR="00867FA4" w:rsidRPr="00FF207E">
        <w:rPr>
          <w:lang w:val="sl-SI"/>
        </w:rPr>
        <w:t>)</w:t>
      </w:r>
      <w:r w:rsidRPr="00FF207E">
        <w:rPr>
          <w:lang w:val="sl-SI"/>
        </w:rPr>
        <w:t xml:space="preserve">. </w:t>
      </w:r>
      <w:r w:rsidR="008426BD" w:rsidRPr="00FF207E">
        <w:rPr>
          <w:lang w:val="sl-SI"/>
        </w:rPr>
        <w:t>V okviru pilotnega projekta se testira</w:t>
      </w:r>
      <w:r w:rsidR="00BE35D8" w:rsidRPr="00FF207E">
        <w:rPr>
          <w:lang w:val="sl-SI"/>
        </w:rPr>
        <w:t>ta</w:t>
      </w:r>
      <w:r w:rsidR="008426BD" w:rsidRPr="00FF207E">
        <w:rPr>
          <w:lang w:val="sl-SI"/>
        </w:rPr>
        <w:t xml:space="preserve"> </w:t>
      </w:r>
      <w:r w:rsidR="00BE35D8" w:rsidRPr="00FF207E">
        <w:rPr>
          <w:lang w:val="sl-SI"/>
        </w:rPr>
        <w:t xml:space="preserve">tako </w:t>
      </w:r>
      <w:r w:rsidR="008426BD" w:rsidRPr="00FF207E">
        <w:rPr>
          <w:lang w:val="sl-SI"/>
        </w:rPr>
        <w:t xml:space="preserve">nov </w:t>
      </w:r>
      <w:r w:rsidR="00E70A72" w:rsidRPr="00FF207E">
        <w:rPr>
          <w:lang w:val="sl-SI"/>
        </w:rPr>
        <w:t xml:space="preserve">način </w:t>
      </w:r>
      <w:r w:rsidR="00BE35D8" w:rsidRPr="00FF207E">
        <w:rPr>
          <w:lang w:val="sl-SI"/>
        </w:rPr>
        <w:t>izvedb</w:t>
      </w:r>
      <w:r w:rsidR="00E70A72" w:rsidRPr="00FF207E">
        <w:rPr>
          <w:lang w:val="sl-SI"/>
        </w:rPr>
        <w:t>e</w:t>
      </w:r>
      <w:r w:rsidR="00BE35D8" w:rsidRPr="00FF207E">
        <w:rPr>
          <w:lang w:val="sl-SI"/>
        </w:rPr>
        <w:t xml:space="preserve"> ukrepov večje energetske učinkovitosti z izbiro izvajalcev kot tudi prenos svetovanja in komunikacije z energetsko revnimi, izvajalci ukrepov in deležniki, ki lahko podprejo informativno-ozaveščevalne </w:t>
      </w:r>
      <w:r w:rsidR="003249EA" w:rsidRPr="00FF207E">
        <w:rPr>
          <w:lang w:val="sl-SI"/>
        </w:rPr>
        <w:t>dejavnosti</w:t>
      </w:r>
      <w:r w:rsidR="00BE35D8" w:rsidRPr="00FF207E">
        <w:rPr>
          <w:lang w:val="sl-SI"/>
        </w:rPr>
        <w:t xml:space="preserve">, na regionalno raven. </w:t>
      </w:r>
      <w:r w:rsidR="00BE35D8" w:rsidRPr="00FF207E">
        <w:rPr>
          <w:b/>
          <w:lang w:val="sl-SI"/>
        </w:rPr>
        <w:t xml:space="preserve">Za vse </w:t>
      </w:r>
      <w:r w:rsidR="0006530A" w:rsidRPr="00FF207E">
        <w:rPr>
          <w:b/>
          <w:lang w:val="sl-SI"/>
        </w:rPr>
        <w:t xml:space="preserve">druge </w:t>
      </w:r>
      <w:r w:rsidR="00BE35D8" w:rsidRPr="00FF207E">
        <w:rPr>
          <w:b/>
          <w:lang w:val="sl-SI"/>
        </w:rPr>
        <w:t>regije, ki niso del pilotnega projekta, se izvajanje ukrepov nadaljuje na že uveljavljen način</w:t>
      </w:r>
      <w:r w:rsidR="00BE35D8" w:rsidRPr="00FF207E">
        <w:rPr>
          <w:lang w:val="sl-SI"/>
        </w:rPr>
        <w:t>. Ravno tako organizacijsko ni sprememb pri ukrep</w:t>
      </w:r>
      <w:r w:rsidR="004625E9" w:rsidRPr="00FF207E">
        <w:rPr>
          <w:lang w:val="sl-SI"/>
        </w:rPr>
        <w:t>ih</w:t>
      </w:r>
      <w:r w:rsidR="00BE35D8" w:rsidRPr="00FF207E">
        <w:rPr>
          <w:lang w:val="sl-SI"/>
        </w:rPr>
        <w:t xml:space="preserve">, ki jih izvajajo drugi deležniki </w:t>
      </w:r>
      <w:r w:rsidR="004625E9" w:rsidRPr="00FF207E">
        <w:rPr>
          <w:lang w:val="sl-SI"/>
        </w:rPr>
        <w:t>(</w:t>
      </w:r>
      <w:r w:rsidR="00B77973" w:rsidRPr="00FF207E">
        <w:rPr>
          <w:lang w:val="sl-SI"/>
        </w:rPr>
        <w:t>na primer</w:t>
      </w:r>
      <w:r w:rsidR="004625E9" w:rsidRPr="00FF207E">
        <w:rPr>
          <w:lang w:val="sl-SI"/>
        </w:rPr>
        <w:t xml:space="preserve"> </w:t>
      </w:r>
      <w:r w:rsidR="005F05B4" w:rsidRPr="00FF207E">
        <w:rPr>
          <w:lang w:val="sl-SI"/>
        </w:rPr>
        <w:t>c</w:t>
      </w:r>
      <w:r w:rsidR="004625E9" w:rsidRPr="00FF207E">
        <w:rPr>
          <w:lang w:val="sl-SI"/>
        </w:rPr>
        <w:t>entri za socialno delo, ki dodeljujejo izredno denarno pomoč za plačilo stroškov energije).</w:t>
      </w:r>
      <w:r w:rsidR="0062325A" w:rsidRPr="00FF207E">
        <w:rPr>
          <w:lang w:val="sl-SI"/>
        </w:rPr>
        <w:t xml:space="preserve"> </w:t>
      </w:r>
      <w:r w:rsidR="002122FA" w:rsidRPr="00FF207E">
        <w:rPr>
          <w:b/>
          <w:lang w:val="sl-SI"/>
        </w:rPr>
        <w:t>Do junija 2025 je treba pripraviti tudi socialni načrt za podnebje</w:t>
      </w:r>
      <w:r w:rsidR="002122FA" w:rsidRPr="00FF207E">
        <w:rPr>
          <w:lang w:val="sl-SI"/>
        </w:rPr>
        <w:t xml:space="preserve"> in vanj ustrezno vključiti tudi zmanjševanje energetske revščine. </w:t>
      </w:r>
      <w:r w:rsidR="0062325A" w:rsidRPr="00FF207E">
        <w:rPr>
          <w:b/>
          <w:lang w:val="sl-SI"/>
        </w:rPr>
        <w:t>Leta 2026 je predvideno, da se bo projektna pisarna kadrovsko okrepila</w:t>
      </w:r>
      <w:r w:rsidR="0062325A" w:rsidRPr="00FF207E">
        <w:rPr>
          <w:lang w:val="sl-SI"/>
        </w:rPr>
        <w:t>, da bo lahko shema za zmanjševanje energetske revščine leta 2027 zaživela v polnem obsegu.</w:t>
      </w:r>
    </w:p>
    <w:p w14:paraId="1ABAD1BF" w14:textId="2001F75B" w:rsidR="0062325A" w:rsidRPr="00FF207E" w:rsidRDefault="0062325A" w:rsidP="001E304B">
      <w:pPr>
        <w:spacing w:after="240"/>
        <w:jc w:val="both"/>
        <w:rPr>
          <w:lang w:val="sl-SI"/>
        </w:rPr>
      </w:pPr>
      <w:r w:rsidRPr="00FF207E">
        <w:rPr>
          <w:b/>
          <w:color w:val="4F81BD" w:themeColor="accent1"/>
          <w:lang w:val="sl-SI"/>
        </w:rPr>
        <w:t>Obdobje 2027–2030.</w:t>
      </w:r>
      <w:r w:rsidRPr="00FF207E">
        <w:rPr>
          <w:lang w:val="sl-SI"/>
        </w:rPr>
        <w:t xml:space="preserve"> </w:t>
      </w:r>
      <w:r w:rsidRPr="00FF207E">
        <w:rPr>
          <w:b/>
          <w:lang w:val="sl-SI"/>
        </w:rPr>
        <w:t>Od vključno leta 2027 dalje je načrtovano, da bo shema za zmanjševanje energetske revščine delovala v polnem obsegu</w:t>
      </w:r>
      <w:r w:rsidRPr="00FF207E">
        <w:rPr>
          <w:lang w:val="sl-SI"/>
        </w:rPr>
        <w:t xml:space="preserve">, kar pomeni dodatno kadrovsko okrepitev projektne pisarne in vzpostavitev regionalnih svetovalnih točk </w:t>
      </w:r>
      <w:r w:rsidR="000B3428" w:rsidRPr="00FF207E">
        <w:rPr>
          <w:lang w:val="sl-SI"/>
        </w:rPr>
        <w:t>ter</w:t>
      </w:r>
      <w:r w:rsidRPr="00FF207E">
        <w:rPr>
          <w:lang w:val="sl-SI"/>
        </w:rPr>
        <w:t xml:space="preserve"> </w:t>
      </w:r>
      <w:r w:rsidRPr="00FF207E">
        <w:rPr>
          <w:lang w:val="sl-SI"/>
        </w:rPr>
        <w:lastRenderedPageBreak/>
        <w:t>neformalnih mrež za informiranje in ozaveščanje v vseh regijah</w:t>
      </w:r>
      <w:r w:rsidR="00867FA4" w:rsidRPr="00FF207E">
        <w:rPr>
          <w:lang w:val="sl-SI"/>
        </w:rPr>
        <w:t>, z možnostjo povezovanja manjših oz</w:t>
      </w:r>
      <w:r w:rsidR="00B77973" w:rsidRPr="00FF207E">
        <w:rPr>
          <w:lang w:val="sl-SI"/>
        </w:rPr>
        <w:t>iroma</w:t>
      </w:r>
      <w:r w:rsidR="00867FA4" w:rsidRPr="00FF207E">
        <w:rPr>
          <w:lang w:val="sl-SI"/>
        </w:rPr>
        <w:t xml:space="preserve"> podobnih regij</w:t>
      </w:r>
      <w:r w:rsidRPr="00FF207E">
        <w:rPr>
          <w:lang w:val="sl-SI"/>
        </w:rPr>
        <w:t xml:space="preserve">. </w:t>
      </w:r>
      <w:r w:rsidR="000B3428" w:rsidRPr="00FF207E">
        <w:rPr>
          <w:lang w:val="sl-SI"/>
        </w:rPr>
        <w:t xml:space="preserve">Organiziranost za izvajanje </w:t>
      </w:r>
      <w:r w:rsidR="00867FA4" w:rsidRPr="00FF207E">
        <w:rPr>
          <w:lang w:val="sl-SI"/>
        </w:rPr>
        <w:t xml:space="preserve">sheme </w:t>
      </w:r>
      <w:r w:rsidR="000B3428" w:rsidRPr="00FF207E">
        <w:rPr>
          <w:lang w:val="sl-SI"/>
        </w:rPr>
        <w:t>v polnem obsegu</w:t>
      </w:r>
      <w:r w:rsidR="00867FA4" w:rsidRPr="00FF207E">
        <w:rPr>
          <w:lang w:val="sl-SI"/>
        </w:rPr>
        <w:t xml:space="preserve"> </w:t>
      </w:r>
      <w:r w:rsidR="000B3428" w:rsidRPr="00FF207E">
        <w:rPr>
          <w:lang w:val="sl-SI"/>
        </w:rPr>
        <w:t xml:space="preserve">se lahko </w:t>
      </w:r>
      <w:r w:rsidR="00867FA4" w:rsidRPr="00FF207E">
        <w:rPr>
          <w:lang w:val="sl-SI"/>
        </w:rPr>
        <w:t>pri tem n</w:t>
      </w:r>
      <w:r w:rsidRPr="00FF207E">
        <w:rPr>
          <w:lang w:val="sl-SI"/>
        </w:rPr>
        <w:t xml:space="preserve">a podlagi izkušenj </w:t>
      </w:r>
      <w:r w:rsidR="00867FA4" w:rsidRPr="00FF207E">
        <w:rPr>
          <w:lang w:val="sl-SI"/>
        </w:rPr>
        <w:t>iz pilotnega projekta</w:t>
      </w:r>
      <w:r w:rsidRPr="00FF207E">
        <w:rPr>
          <w:lang w:val="sl-SI"/>
        </w:rPr>
        <w:t xml:space="preserve"> v obdobju </w:t>
      </w:r>
      <w:r w:rsidR="002122FA" w:rsidRPr="00FF207E">
        <w:rPr>
          <w:lang w:val="sl-SI"/>
        </w:rPr>
        <w:t>2025</w:t>
      </w:r>
      <w:r w:rsidRPr="00FF207E">
        <w:rPr>
          <w:lang w:val="sl-SI"/>
        </w:rPr>
        <w:t xml:space="preserve">–2026 </w:t>
      </w:r>
      <w:r w:rsidR="000B3428" w:rsidRPr="00FF207E">
        <w:rPr>
          <w:lang w:val="sl-SI"/>
        </w:rPr>
        <w:t>ustrezno prilagodi</w:t>
      </w:r>
      <w:r w:rsidRPr="00FF207E">
        <w:rPr>
          <w:lang w:val="sl-SI"/>
        </w:rPr>
        <w:t>.</w:t>
      </w:r>
    </w:p>
    <w:p w14:paraId="46B5BFBF" w14:textId="41DC452C" w:rsidR="0062325A" w:rsidRPr="00FF207E" w:rsidRDefault="0062325A" w:rsidP="001E304B">
      <w:pPr>
        <w:pStyle w:val="Naslov2"/>
        <w:jc w:val="both"/>
        <w:rPr>
          <w:lang w:val="sl-SI"/>
        </w:rPr>
      </w:pPr>
      <w:bookmarkStart w:id="123" w:name="_Ref137464184"/>
      <w:bookmarkStart w:id="124" w:name="_Toc151148811"/>
      <w:r w:rsidRPr="00FF207E">
        <w:rPr>
          <w:lang w:val="sl-SI"/>
        </w:rPr>
        <w:t>Organiziranost za izvajanje po organizacijskih enotah</w:t>
      </w:r>
      <w:bookmarkEnd w:id="123"/>
      <w:bookmarkEnd w:id="124"/>
    </w:p>
    <w:p w14:paraId="1EC8140A" w14:textId="763CDF89" w:rsidR="00923652" w:rsidRPr="00FF207E" w:rsidRDefault="009441D2" w:rsidP="001E304B">
      <w:pPr>
        <w:spacing w:before="240" w:after="240"/>
        <w:jc w:val="both"/>
        <w:rPr>
          <w:lang w:val="sl-SI"/>
        </w:rPr>
      </w:pPr>
      <w:r w:rsidRPr="00FF207E">
        <w:rPr>
          <w:b/>
          <w:bCs/>
          <w:color w:val="4F81BD" w:themeColor="accent1"/>
          <w:lang w:val="sl-SI"/>
        </w:rPr>
        <w:t xml:space="preserve">Državna </w:t>
      </w:r>
      <w:r w:rsidR="00923652" w:rsidRPr="00FF207E">
        <w:rPr>
          <w:b/>
          <w:bCs/>
          <w:color w:val="4F81BD" w:themeColor="accent1"/>
          <w:lang w:val="sl-SI"/>
        </w:rPr>
        <w:t>raven</w:t>
      </w:r>
      <w:r w:rsidR="00923652" w:rsidRPr="00FF207E">
        <w:rPr>
          <w:b/>
          <w:color w:val="4F81BD" w:themeColor="accent1"/>
          <w:lang w:val="sl-SI"/>
        </w:rPr>
        <w:t>.</w:t>
      </w:r>
      <w:r w:rsidR="00923652" w:rsidRPr="00FF207E">
        <w:rPr>
          <w:lang w:val="sl-SI"/>
        </w:rPr>
        <w:t xml:space="preserve"> V okviru sheme za zmanjševanje energetske revščine je na </w:t>
      </w:r>
      <w:r w:rsidRPr="00FF207E">
        <w:rPr>
          <w:lang w:val="sl-SI"/>
        </w:rPr>
        <w:t xml:space="preserve">državni </w:t>
      </w:r>
      <w:r w:rsidR="00923652" w:rsidRPr="00FF207E">
        <w:rPr>
          <w:lang w:val="sl-SI"/>
        </w:rPr>
        <w:t xml:space="preserve">ravni pri </w:t>
      </w:r>
      <w:proofErr w:type="spellStart"/>
      <w:r w:rsidR="00923652" w:rsidRPr="00FF207E">
        <w:rPr>
          <w:lang w:val="sl-SI"/>
        </w:rPr>
        <w:t>Eko</w:t>
      </w:r>
      <w:proofErr w:type="spellEnd"/>
      <w:r w:rsidR="00923652" w:rsidRPr="00FF207E">
        <w:rPr>
          <w:lang w:val="sl-SI"/>
        </w:rPr>
        <w:t xml:space="preserve"> skladu vzpostavljena </w:t>
      </w:r>
      <w:r w:rsidR="00923652" w:rsidRPr="00FF207E">
        <w:rPr>
          <w:b/>
          <w:bCs/>
          <w:i/>
          <w:iCs/>
          <w:u w:val="single"/>
          <w:lang w:val="sl-SI"/>
        </w:rPr>
        <w:t>projektna pisarna</w:t>
      </w:r>
      <w:r w:rsidR="00923652" w:rsidRPr="00FF207E">
        <w:rPr>
          <w:lang w:val="sl-SI"/>
        </w:rPr>
        <w:t xml:space="preserve"> (glej</w:t>
      </w:r>
      <w:r w:rsidR="00923652" w:rsidRPr="00FF207E">
        <w:rPr>
          <w:i/>
          <w:iCs/>
          <w:lang w:val="sl-SI"/>
        </w:rPr>
        <w:t xml:space="preserve"> </w:t>
      </w:r>
      <w:r w:rsidR="00120D12" w:rsidRPr="00FF207E">
        <w:rPr>
          <w:iCs/>
          <w:lang w:val="sl-SI"/>
        </w:rPr>
        <w:t>u</w:t>
      </w:r>
      <w:r w:rsidR="00923652" w:rsidRPr="00FF207E">
        <w:rPr>
          <w:iCs/>
          <w:lang w:val="sl-SI"/>
        </w:rPr>
        <w:t>krep</w:t>
      </w:r>
      <w:r w:rsidR="00923652" w:rsidRPr="00FF207E">
        <w:rPr>
          <w:i/>
          <w:iCs/>
          <w:lang w:val="sl-SI"/>
        </w:rPr>
        <w:t xml:space="preserve"> </w:t>
      </w:r>
      <w:hyperlink w:anchor="_Projektna_pisarna_z" w:history="1">
        <w:r w:rsidR="00923652" w:rsidRPr="00FF207E">
          <w:rPr>
            <w:rStyle w:val="Hiperpovezava"/>
            <w:rFonts w:cs="Arial"/>
            <w:i/>
            <w:szCs w:val="22"/>
            <w:lang w:val="sl-SI"/>
          </w:rPr>
          <w:t>ER_Shema-02</w:t>
        </w:r>
      </w:hyperlink>
      <w:r w:rsidR="00923652" w:rsidRPr="00FF207E">
        <w:rPr>
          <w:i/>
          <w:iCs/>
          <w:lang w:val="sl-SI"/>
        </w:rPr>
        <w:t xml:space="preserve">) </w:t>
      </w:r>
      <w:r w:rsidR="00923652" w:rsidRPr="00FF207E">
        <w:rPr>
          <w:lang w:val="sl-SI"/>
        </w:rPr>
        <w:t xml:space="preserve">za energetsko revščino, ki na enem mestu zagotavlja celostno multidisciplinarno pomoč (tehnična, socialna in osebna pomoč) za energetsko revne. To vključuje shemo spodbud, energetsko svetovanje, svetovanje o </w:t>
      </w:r>
      <w:r w:rsidR="00196103" w:rsidRPr="00FF207E">
        <w:rPr>
          <w:lang w:val="sl-SI"/>
        </w:rPr>
        <w:t xml:space="preserve">mogočih </w:t>
      </w:r>
      <w:r w:rsidR="00923652" w:rsidRPr="00FF207E">
        <w:rPr>
          <w:lang w:val="sl-SI"/>
        </w:rPr>
        <w:t>vir</w:t>
      </w:r>
      <w:r w:rsidR="003F7FBF" w:rsidRPr="00FF207E">
        <w:rPr>
          <w:lang w:val="sl-SI"/>
        </w:rPr>
        <w:t>ih</w:t>
      </w:r>
      <w:r w:rsidR="00923652" w:rsidRPr="00FF207E">
        <w:rPr>
          <w:lang w:val="sl-SI"/>
        </w:rPr>
        <w:t xml:space="preserve"> financiranja ter informiranje in ozaveščanje. Pisarna pripravlja informacijske vsebine in vzpostavi enotno točko z vsemi informacijami na temo zmanjševanja energetske revščine, ki je namenjena tako tistim, ki se ukvarjajo z zmanjševanjem energetske revščine, kot tudi energetsko revnim.</w:t>
      </w:r>
      <w:r w:rsidR="006573BD" w:rsidRPr="00FF207E">
        <w:rPr>
          <w:lang w:val="sl-SI"/>
        </w:rPr>
        <w:t xml:space="preserve"> </w:t>
      </w:r>
      <w:r w:rsidR="00F46935" w:rsidRPr="00FF207E">
        <w:rPr>
          <w:lang w:val="sl-SI"/>
        </w:rPr>
        <w:t>Za vzpostavitev</w:t>
      </w:r>
      <w:r w:rsidR="008C2168" w:rsidRPr="00FF207E">
        <w:rPr>
          <w:lang w:val="sl-SI"/>
        </w:rPr>
        <w:t xml:space="preserve"> in delovanje</w:t>
      </w:r>
      <w:r w:rsidR="00F46935" w:rsidRPr="00FF207E">
        <w:rPr>
          <w:lang w:val="sl-SI"/>
        </w:rPr>
        <w:t xml:space="preserve"> projektne pisarne bo </w:t>
      </w:r>
      <w:proofErr w:type="spellStart"/>
      <w:r w:rsidR="00F46935" w:rsidRPr="00FF207E">
        <w:rPr>
          <w:lang w:val="sl-SI"/>
        </w:rPr>
        <w:t>Eko</w:t>
      </w:r>
      <w:proofErr w:type="spellEnd"/>
      <w:r w:rsidR="00F46935" w:rsidRPr="00FF207E">
        <w:rPr>
          <w:lang w:val="sl-SI"/>
        </w:rPr>
        <w:t xml:space="preserve"> sklad leta 2024 potreboval </w:t>
      </w:r>
      <w:r w:rsidR="00906FA3" w:rsidRPr="00FF207E">
        <w:rPr>
          <w:lang w:val="sl-SI"/>
        </w:rPr>
        <w:t xml:space="preserve">skupno </w:t>
      </w:r>
      <w:r w:rsidR="0059166E" w:rsidRPr="00FF207E">
        <w:rPr>
          <w:lang w:val="sl-SI"/>
        </w:rPr>
        <w:t>osem</w:t>
      </w:r>
      <w:r w:rsidR="00906FA3" w:rsidRPr="00FF207E">
        <w:rPr>
          <w:lang w:val="sl-SI"/>
        </w:rPr>
        <w:t xml:space="preserve"> zaposlenih</w:t>
      </w:r>
      <w:r w:rsidR="00F46935" w:rsidRPr="00FF207E">
        <w:rPr>
          <w:lang w:val="sl-SI"/>
        </w:rPr>
        <w:t xml:space="preserve">, za njeno delovanje v polnem obsegu </w:t>
      </w:r>
      <w:r w:rsidR="003F7FBF" w:rsidRPr="00FF207E">
        <w:rPr>
          <w:lang w:val="sl-SI"/>
        </w:rPr>
        <w:t xml:space="preserve">od vključno leta 2027 dalje </w:t>
      </w:r>
      <w:r w:rsidR="00F46935" w:rsidRPr="00FF207E">
        <w:rPr>
          <w:lang w:val="sl-SI"/>
        </w:rPr>
        <w:t xml:space="preserve">pa predvidoma </w:t>
      </w:r>
      <w:r w:rsidR="00906FA3" w:rsidRPr="00FF207E">
        <w:rPr>
          <w:lang w:val="sl-SI"/>
        </w:rPr>
        <w:t xml:space="preserve">skupaj </w:t>
      </w:r>
      <w:r w:rsidR="008C2168" w:rsidRPr="00FF207E">
        <w:rPr>
          <w:lang w:val="sl-SI"/>
        </w:rPr>
        <w:t>14</w:t>
      </w:r>
      <w:r w:rsidR="00F46935" w:rsidRPr="00FF207E">
        <w:rPr>
          <w:lang w:val="sl-SI"/>
        </w:rPr>
        <w:t xml:space="preserve"> </w:t>
      </w:r>
      <w:r w:rsidR="0062325A" w:rsidRPr="00FF207E">
        <w:rPr>
          <w:lang w:val="sl-SI"/>
        </w:rPr>
        <w:t>(</w:t>
      </w:r>
      <w:r w:rsidR="0062325A" w:rsidRPr="00FF207E">
        <w:rPr>
          <w:lang w:val="sl-SI"/>
        </w:rPr>
        <w:fldChar w:fldCharType="begin"/>
      </w:r>
      <w:r w:rsidR="0062325A" w:rsidRPr="00FF207E">
        <w:rPr>
          <w:lang w:val="sl-SI"/>
        </w:rPr>
        <w:instrText xml:space="preserve"> REF _Ref137224927 \h </w:instrText>
      </w:r>
      <w:r w:rsidR="001E304B" w:rsidRPr="00FF207E">
        <w:rPr>
          <w:lang w:val="sl-SI"/>
        </w:rPr>
        <w:instrText xml:space="preserve"> \* MERGEFORMAT </w:instrText>
      </w:r>
      <w:r w:rsidR="0062325A" w:rsidRPr="00FF207E">
        <w:rPr>
          <w:lang w:val="sl-SI"/>
        </w:rPr>
      </w:r>
      <w:r w:rsidR="0062325A" w:rsidRPr="00FF207E">
        <w:rPr>
          <w:lang w:val="sl-SI"/>
        </w:rPr>
        <w:fldChar w:fldCharType="separate"/>
      </w:r>
      <w:r w:rsidR="00086058" w:rsidRPr="00FF207E">
        <w:rPr>
          <w:lang w:val="sl-SI"/>
        </w:rPr>
        <w:t>t</w:t>
      </w:r>
      <w:r w:rsidR="00F37FD1" w:rsidRPr="00FF207E">
        <w:rPr>
          <w:lang w:val="sl-SI"/>
        </w:rPr>
        <w:t xml:space="preserve">abela </w:t>
      </w:r>
      <w:r w:rsidR="0062325A" w:rsidRPr="00FF207E">
        <w:rPr>
          <w:lang w:val="sl-SI"/>
        </w:rPr>
        <w:fldChar w:fldCharType="end"/>
      </w:r>
      <w:r w:rsidR="0009394C" w:rsidRPr="00FF207E">
        <w:rPr>
          <w:lang w:val="sl-SI"/>
        </w:rPr>
        <w:t>8</w:t>
      </w:r>
      <w:r w:rsidR="0062325A" w:rsidRPr="00FF207E">
        <w:rPr>
          <w:lang w:val="sl-SI"/>
        </w:rPr>
        <w:t>)</w:t>
      </w:r>
      <w:r w:rsidR="00F46935" w:rsidRPr="00FF207E">
        <w:rPr>
          <w:lang w:val="sl-SI"/>
        </w:rPr>
        <w:t>.</w:t>
      </w:r>
    </w:p>
    <w:p w14:paraId="523CAF64" w14:textId="281C583C" w:rsidR="00F46935" w:rsidRPr="00FF207E" w:rsidRDefault="00F46935" w:rsidP="001E304B">
      <w:pPr>
        <w:spacing w:before="240" w:after="240"/>
        <w:jc w:val="both"/>
        <w:rPr>
          <w:lang w:val="sl-SI"/>
        </w:rPr>
      </w:pPr>
      <w:r w:rsidRPr="00FF207E">
        <w:rPr>
          <w:lang w:val="sl-SI"/>
        </w:rPr>
        <w:t xml:space="preserve">Na </w:t>
      </w:r>
      <w:r w:rsidR="009441D2" w:rsidRPr="00FF207E">
        <w:rPr>
          <w:lang w:val="sl-SI"/>
        </w:rPr>
        <w:t xml:space="preserve">državni </w:t>
      </w:r>
      <w:r w:rsidRPr="00FF207E">
        <w:rPr>
          <w:lang w:val="sl-SI"/>
        </w:rPr>
        <w:t xml:space="preserve">ravni </w:t>
      </w:r>
      <w:r w:rsidR="00120D12" w:rsidRPr="00FF207E">
        <w:rPr>
          <w:lang w:val="sl-SI"/>
        </w:rPr>
        <w:t xml:space="preserve">deluje tudi </w:t>
      </w:r>
      <w:r w:rsidR="00120D12" w:rsidRPr="00FF207E">
        <w:rPr>
          <w:b/>
          <w:i/>
          <w:u w:val="single"/>
          <w:lang w:val="sl-SI"/>
        </w:rPr>
        <w:t>sosvet za energetsko revščino</w:t>
      </w:r>
      <w:r w:rsidR="00120D12" w:rsidRPr="00FF207E">
        <w:rPr>
          <w:lang w:val="sl-SI"/>
        </w:rPr>
        <w:t xml:space="preserve"> (glej</w:t>
      </w:r>
      <w:r w:rsidR="00120D12" w:rsidRPr="00FF207E">
        <w:rPr>
          <w:i/>
          <w:iCs/>
          <w:lang w:val="sl-SI"/>
        </w:rPr>
        <w:t xml:space="preserve"> </w:t>
      </w:r>
      <w:r w:rsidR="00120D12" w:rsidRPr="00FF207E">
        <w:rPr>
          <w:iCs/>
          <w:lang w:val="sl-SI"/>
        </w:rPr>
        <w:t>ukrep</w:t>
      </w:r>
      <w:r w:rsidR="00120D12" w:rsidRPr="00FF207E">
        <w:rPr>
          <w:i/>
          <w:iCs/>
          <w:lang w:val="sl-SI"/>
        </w:rPr>
        <w:t xml:space="preserve"> </w:t>
      </w:r>
      <w:hyperlink w:anchor="_Strateški_svet_za" w:history="1">
        <w:r w:rsidR="00120D12" w:rsidRPr="00FF207E">
          <w:rPr>
            <w:rStyle w:val="Hiperpovezava"/>
            <w:rFonts w:cs="Arial"/>
            <w:i/>
            <w:szCs w:val="22"/>
            <w:lang w:val="sl-SI"/>
          </w:rPr>
          <w:t>ER_Shema-07</w:t>
        </w:r>
      </w:hyperlink>
      <w:r w:rsidR="00120D12" w:rsidRPr="00FF207E">
        <w:rPr>
          <w:i/>
          <w:iCs/>
          <w:lang w:val="sl-SI"/>
        </w:rPr>
        <w:t>)</w:t>
      </w:r>
      <w:r w:rsidR="00120D12" w:rsidRPr="00FF207E">
        <w:rPr>
          <w:lang w:val="sl-SI"/>
        </w:rPr>
        <w:t xml:space="preserve"> ki sicer ni izvajalsko telo, je pa telo, ki </w:t>
      </w:r>
      <w:r w:rsidR="00120D12" w:rsidRPr="00FF207E">
        <w:rPr>
          <w:rFonts w:cs="Arial"/>
          <w:b/>
          <w:szCs w:val="22"/>
          <w:lang w:val="sl-SI"/>
        </w:rPr>
        <w:t>energetsko revščino</w:t>
      </w:r>
      <w:r w:rsidR="00120D12" w:rsidRPr="00FF207E">
        <w:rPr>
          <w:rFonts w:cs="Arial"/>
          <w:szCs w:val="22"/>
          <w:lang w:val="sl-SI"/>
        </w:rPr>
        <w:t xml:space="preserve"> </w:t>
      </w:r>
      <w:r w:rsidR="00120D12" w:rsidRPr="00FF207E">
        <w:rPr>
          <w:rFonts w:cs="Arial"/>
          <w:b/>
          <w:szCs w:val="22"/>
          <w:lang w:val="sl-SI"/>
        </w:rPr>
        <w:t xml:space="preserve">celostno spremlja in obravnava </w:t>
      </w:r>
      <w:r w:rsidR="00120D12" w:rsidRPr="00FF207E">
        <w:rPr>
          <w:rFonts w:cs="Arial"/>
          <w:szCs w:val="22"/>
          <w:lang w:val="sl-SI"/>
        </w:rPr>
        <w:t xml:space="preserve">(medsektorsko, interdisciplinarno in </w:t>
      </w:r>
      <w:proofErr w:type="spellStart"/>
      <w:r w:rsidR="00120D12" w:rsidRPr="00FF207E">
        <w:rPr>
          <w:rFonts w:cs="Arial"/>
          <w:szCs w:val="22"/>
          <w:lang w:val="sl-SI"/>
        </w:rPr>
        <w:t>večnivojsko</w:t>
      </w:r>
      <w:proofErr w:type="spellEnd"/>
      <w:r w:rsidR="00120D12" w:rsidRPr="00FF207E">
        <w:rPr>
          <w:rFonts w:cs="Arial"/>
          <w:szCs w:val="22"/>
          <w:lang w:val="sl-SI"/>
        </w:rPr>
        <w:t>).</w:t>
      </w:r>
      <w:r w:rsidR="000D0B55" w:rsidRPr="00FF207E">
        <w:rPr>
          <w:rFonts w:cs="Arial"/>
          <w:szCs w:val="22"/>
          <w:lang w:val="sl-SI"/>
        </w:rPr>
        <w:t xml:space="preserve"> Vanj so vključeni predstavniki MDDSZ, MOPE, </w:t>
      </w:r>
      <w:proofErr w:type="spellStart"/>
      <w:r w:rsidR="000D0B55" w:rsidRPr="00FF207E">
        <w:rPr>
          <w:rFonts w:cs="Arial"/>
          <w:szCs w:val="22"/>
          <w:lang w:val="sl-SI"/>
        </w:rPr>
        <w:t>Eko</w:t>
      </w:r>
      <w:proofErr w:type="spellEnd"/>
      <w:r w:rsidR="000D0B55" w:rsidRPr="00FF207E">
        <w:rPr>
          <w:rFonts w:cs="Arial"/>
          <w:szCs w:val="22"/>
          <w:lang w:val="sl-SI"/>
        </w:rPr>
        <w:t xml:space="preserve"> sklada, lokalnih skupnosti, </w:t>
      </w:r>
      <w:proofErr w:type="spellStart"/>
      <w:r w:rsidR="00FC0368" w:rsidRPr="00FF207E">
        <w:rPr>
          <w:rFonts w:cs="Arial"/>
          <w:szCs w:val="22"/>
          <w:lang w:val="sl-SI"/>
        </w:rPr>
        <w:t>okoljskih</w:t>
      </w:r>
      <w:proofErr w:type="spellEnd"/>
      <w:r w:rsidR="00FC0368" w:rsidRPr="00FF207E">
        <w:rPr>
          <w:rFonts w:cs="Arial"/>
          <w:szCs w:val="22"/>
          <w:lang w:val="sl-SI"/>
        </w:rPr>
        <w:t xml:space="preserve"> in humanitarnih NVO ter strokovnih institucij s področja energetske učinkovitosti in socialnega dela.</w:t>
      </w:r>
    </w:p>
    <w:p w14:paraId="38B8DF86" w14:textId="710B8AB7" w:rsidR="00F46935" w:rsidRPr="00FF207E" w:rsidRDefault="00F46935" w:rsidP="001E304B">
      <w:pPr>
        <w:pStyle w:val="Napis"/>
        <w:keepNext/>
        <w:spacing w:after="120"/>
        <w:jc w:val="both"/>
      </w:pPr>
      <w:bookmarkStart w:id="125" w:name="_Ref137224927"/>
      <w:bookmarkStart w:id="126" w:name="_Toc138161839"/>
      <w:r w:rsidRPr="00FF207E">
        <w:t xml:space="preserve">Tabela </w:t>
      </w:r>
      <w:bookmarkEnd w:id="125"/>
      <w:r w:rsidR="00811106" w:rsidRPr="00FF207E">
        <w:t>8</w:t>
      </w:r>
      <w:r w:rsidRPr="00FF207E">
        <w:t>:</w:t>
      </w:r>
      <w:r w:rsidRPr="00FF207E">
        <w:tab/>
      </w:r>
      <w:r w:rsidR="00120D12" w:rsidRPr="00FF207E">
        <w:rPr>
          <w:spacing w:val="-2"/>
        </w:rPr>
        <w:t>Skupno š</w:t>
      </w:r>
      <w:r w:rsidRPr="00FF207E">
        <w:rPr>
          <w:spacing w:val="-2"/>
        </w:rPr>
        <w:t>tevilo zaposlenih, potrebnih za izvajanje akcijskega načrta, po letih</w:t>
      </w:r>
      <w:bookmarkEnd w:id="126"/>
    </w:p>
    <w:tbl>
      <w:tblPr>
        <w:tblStyle w:val="Tabelamrea"/>
        <w:tblW w:w="9073" w:type="dxa"/>
        <w:jc w:val="center"/>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3403"/>
        <w:gridCol w:w="1134"/>
        <w:gridCol w:w="1134"/>
        <w:gridCol w:w="1134"/>
        <w:gridCol w:w="2268"/>
      </w:tblGrid>
      <w:tr w:rsidR="00F46935" w:rsidRPr="00FF207E" w14:paraId="479B21A6" w14:textId="77777777" w:rsidTr="00F46935">
        <w:trPr>
          <w:cantSplit/>
          <w:trHeight w:val="553"/>
          <w:jc w:val="center"/>
        </w:trPr>
        <w:tc>
          <w:tcPr>
            <w:tcW w:w="3403" w:type="dxa"/>
            <w:shd w:val="clear" w:color="auto" w:fill="548DD4" w:themeFill="text2" w:themeFillTint="99"/>
            <w:vAlign w:val="center"/>
          </w:tcPr>
          <w:p w14:paraId="2763F784" w14:textId="77777777" w:rsidR="00F46935" w:rsidRPr="00FF207E" w:rsidRDefault="00F46935" w:rsidP="001E304B">
            <w:pPr>
              <w:spacing w:before="40" w:after="40" w:line="240" w:lineRule="auto"/>
              <w:jc w:val="both"/>
              <w:rPr>
                <w:rFonts w:cs="Arial"/>
                <w:b/>
                <w:color w:val="FFFFFF" w:themeColor="background1"/>
                <w:sz w:val="20"/>
                <w:szCs w:val="20"/>
                <w:lang w:val="sl-SI"/>
              </w:rPr>
            </w:pPr>
            <w:bookmarkStart w:id="127" w:name="_Hlk137464510"/>
            <w:r w:rsidRPr="00FF207E">
              <w:rPr>
                <w:rFonts w:cs="Arial"/>
                <w:b/>
                <w:bCs/>
                <w:color w:val="FFFFFF" w:themeColor="background1"/>
                <w:sz w:val="20"/>
                <w:szCs w:val="20"/>
                <w:lang w:val="sl-SI"/>
              </w:rPr>
              <w:t>Organizacijska enota</w:t>
            </w:r>
          </w:p>
        </w:tc>
        <w:tc>
          <w:tcPr>
            <w:tcW w:w="1134" w:type="dxa"/>
            <w:shd w:val="clear" w:color="auto" w:fill="548DD4" w:themeFill="text2" w:themeFillTint="99"/>
            <w:vAlign w:val="center"/>
          </w:tcPr>
          <w:p w14:paraId="411B42A4" w14:textId="77777777" w:rsidR="00F46935" w:rsidRPr="00FF207E" w:rsidRDefault="00F46935" w:rsidP="001E304B">
            <w:pPr>
              <w:keepNext/>
              <w:spacing w:before="40" w:after="40" w:line="240" w:lineRule="auto"/>
              <w:jc w:val="both"/>
              <w:rPr>
                <w:rFonts w:cs="Arial"/>
                <w:b/>
                <w:color w:val="FFFFFF" w:themeColor="background1"/>
                <w:sz w:val="20"/>
                <w:szCs w:val="20"/>
                <w:lang w:val="sl-SI"/>
              </w:rPr>
            </w:pPr>
            <w:r w:rsidRPr="00FF207E">
              <w:rPr>
                <w:rFonts w:cs="Arial"/>
                <w:b/>
                <w:bCs/>
                <w:color w:val="FFFFFF" w:themeColor="background1"/>
                <w:sz w:val="20"/>
                <w:szCs w:val="20"/>
                <w:lang w:val="sl-SI"/>
              </w:rPr>
              <w:t>2024</w:t>
            </w:r>
          </w:p>
        </w:tc>
        <w:tc>
          <w:tcPr>
            <w:tcW w:w="1134" w:type="dxa"/>
            <w:shd w:val="clear" w:color="auto" w:fill="548DD4" w:themeFill="text2" w:themeFillTint="99"/>
            <w:vAlign w:val="center"/>
          </w:tcPr>
          <w:p w14:paraId="4DD8768D" w14:textId="77777777" w:rsidR="00F46935" w:rsidRPr="00FF207E" w:rsidRDefault="00F46935" w:rsidP="001E304B">
            <w:pPr>
              <w:keepNext/>
              <w:spacing w:before="40" w:after="40" w:line="240" w:lineRule="auto"/>
              <w:jc w:val="both"/>
              <w:rPr>
                <w:rFonts w:cs="Arial"/>
                <w:b/>
                <w:color w:val="FFFFFF" w:themeColor="background1"/>
                <w:sz w:val="20"/>
                <w:szCs w:val="20"/>
                <w:lang w:val="sl-SI"/>
              </w:rPr>
            </w:pPr>
            <w:r w:rsidRPr="00FF207E">
              <w:rPr>
                <w:rFonts w:cs="Arial"/>
                <w:b/>
                <w:bCs/>
                <w:color w:val="FFFFFF" w:themeColor="background1"/>
                <w:sz w:val="20"/>
                <w:szCs w:val="20"/>
                <w:lang w:val="sl-SI"/>
              </w:rPr>
              <w:t>2025</w:t>
            </w:r>
          </w:p>
        </w:tc>
        <w:tc>
          <w:tcPr>
            <w:tcW w:w="1134" w:type="dxa"/>
            <w:shd w:val="clear" w:color="auto" w:fill="548DD4" w:themeFill="text2" w:themeFillTint="99"/>
            <w:vAlign w:val="center"/>
          </w:tcPr>
          <w:p w14:paraId="0448EB6C" w14:textId="77777777" w:rsidR="00F46935" w:rsidRPr="00FF207E" w:rsidRDefault="00F46935" w:rsidP="001E304B">
            <w:pPr>
              <w:keepNext/>
              <w:spacing w:before="40" w:after="40" w:line="240" w:lineRule="auto"/>
              <w:jc w:val="both"/>
              <w:rPr>
                <w:rFonts w:cs="Arial"/>
                <w:b/>
                <w:color w:val="FFFFFF" w:themeColor="background1"/>
                <w:sz w:val="20"/>
                <w:szCs w:val="20"/>
                <w:lang w:val="sl-SI"/>
              </w:rPr>
            </w:pPr>
            <w:r w:rsidRPr="00FF207E">
              <w:rPr>
                <w:rFonts w:cs="Arial"/>
                <w:b/>
                <w:bCs/>
                <w:color w:val="FFFFFF" w:themeColor="background1"/>
                <w:sz w:val="20"/>
                <w:szCs w:val="20"/>
                <w:lang w:val="sl-SI"/>
              </w:rPr>
              <w:t>2026</w:t>
            </w:r>
          </w:p>
        </w:tc>
        <w:tc>
          <w:tcPr>
            <w:tcW w:w="2268" w:type="dxa"/>
            <w:shd w:val="clear" w:color="auto" w:fill="548DD4" w:themeFill="text2" w:themeFillTint="99"/>
            <w:vAlign w:val="center"/>
          </w:tcPr>
          <w:p w14:paraId="7C7C4CCC" w14:textId="77777777" w:rsidR="00F46935" w:rsidRPr="00FF207E" w:rsidRDefault="00F46935" w:rsidP="001E304B">
            <w:pPr>
              <w:keepNext/>
              <w:spacing w:before="40" w:after="40" w:line="240" w:lineRule="auto"/>
              <w:jc w:val="both"/>
              <w:rPr>
                <w:rFonts w:cs="Arial"/>
                <w:b/>
                <w:color w:val="FFFFFF" w:themeColor="background1"/>
                <w:sz w:val="20"/>
                <w:szCs w:val="20"/>
                <w:lang w:val="sl-SI"/>
              </w:rPr>
            </w:pPr>
            <w:r w:rsidRPr="00FF207E">
              <w:rPr>
                <w:rFonts w:cs="Arial"/>
                <w:b/>
                <w:bCs/>
                <w:color w:val="FFFFFF" w:themeColor="background1"/>
                <w:sz w:val="20"/>
                <w:szCs w:val="20"/>
                <w:lang w:val="sl-SI"/>
              </w:rPr>
              <w:t>2027</w:t>
            </w:r>
          </w:p>
        </w:tc>
      </w:tr>
      <w:tr w:rsidR="00F46935" w:rsidRPr="00FF207E" w14:paraId="4D8BA3A8" w14:textId="77777777" w:rsidTr="00F46935">
        <w:trPr>
          <w:cantSplit/>
          <w:trHeight w:val="357"/>
          <w:jc w:val="center"/>
        </w:trPr>
        <w:tc>
          <w:tcPr>
            <w:tcW w:w="3403" w:type="dxa"/>
          </w:tcPr>
          <w:p w14:paraId="2566BABE" w14:textId="56CEC738" w:rsidR="00F46935" w:rsidRPr="00FF207E" w:rsidRDefault="00F46935" w:rsidP="001E304B">
            <w:pPr>
              <w:spacing w:before="60" w:after="60" w:line="240" w:lineRule="auto"/>
              <w:jc w:val="both"/>
              <w:rPr>
                <w:rFonts w:cs="Arial"/>
                <w:sz w:val="20"/>
                <w:szCs w:val="20"/>
                <w:lang w:val="sl-SI"/>
              </w:rPr>
            </w:pPr>
            <w:r w:rsidRPr="00FF207E">
              <w:rPr>
                <w:rFonts w:cs="Arial"/>
                <w:sz w:val="20"/>
                <w:szCs w:val="20"/>
                <w:lang w:val="sl-SI"/>
              </w:rPr>
              <w:t xml:space="preserve">Projektna pisarna (glej </w:t>
            </w:r>
            <w:r w:rsidR="00541603" w:rsidRPr="00FF207E">
              <w:rPr>
                <w:rFonts w:cs="Arial"/>
                <w:iCs/>
                <w:sz w:val="20"/>
                <w:szCs w:val="20"/>
                <w:lang w:val="sl-SI"/>
              </w:rPr>
              <w:t>u</w:t>
            </w:r>
            <w:r w:rsidRPr="00FF207E">
              <w:rPr>
                <w:rFonts w:cs="Arial"/>
                <w:iCs/>
                <w:sz w:val="20"/>
                <w:szCs w:val="20"/>
                <w:lang w:val="sl-SI"/>
              </w:rPr>
              <w:t>krep</w:t>
            </w:r>
            <w:r w:rsidRPr="00FF207E">
              <w:rPr>
                <w:rFonts w:cs="Arial"/>
                <w:sz w:val="20"/>
                <w:szCs w:val="20"/>
                <w:lang w:val="sl-SI"/>
              </w:rPr>
              <w:t xml:space="preserve"> </w:t>
            </w:r>
            <w:hyperlink w:anchor="_Projektna_pisarna_z" w:history="1">
              <w:r w:rsidRPr="00FF207E">
                <w:rPr>
                  <w:rStyle w:val="Hiperpovezava"/>
                  <w:rFonts w:cs="Arial"/>
                  <w:i/>
                  <w:iCs/>
                  <w:sz w:val="20"/>
                  <w:szCs w:val="20"/>
                  <w:lang w:val="sl-SI"/>
                </w:rPr>
                <w:t>ER_Shema-02</w:t>
              </w:r>
            </w:hyperlink>
            <w:r w:rsidRPr="00FF207E">
              <w:rPr>
                <w:rFonts w:cs="Arial"/>
                <w:sz w:val="20"/>
                <w:szCs w:val="20"/>
                <w:lang w:val="sl-SI"/>
              </w:rPr>
              <w:t>)</w:t>
            </w:r>
          </w:p>
        </w:tc>
        <w:tc>
          <w:tcPr>
            <w:tcW w:w="1134" w:type="dxa"/>
            <w:vAlign w:val="center"/>
          </w:tcPr>
          <w:p w14:paraId="7116D1E7" w14:textId="557B38C4" w:rsidR="00F46935" w:rsidRPr="00FF207E" w:rsidRDefault="008C2168" w:rsidP="001E304B">
            <w:pPr>
              <w:keepNext/>
              <w:spacing w:line="240" w:lineRule="atLeast"/>
              <w:jc w:val="both"/>
              <w:rPr>
                <w:rFonts w:cs="Arial"/>
                <w:sz w:val="20"/>
                <w:szCs w:val="20"/>
                <w:lang w:val="sl-SI"/>
              </w:rPr>
            </w:pPr>
            <w:r w:rsidRPr="00FF207E">
              <w:rPr>
                <w:rFonts w:cs="Arial"/>
                <w:sz w:val="20"/>
                <w:szCs w:val="20"/>
                <w:lang w:val="sl-SI"/>
              </w:rPr>
              <w:t>8</w:t>
            </w:r>
          </w:p>
        </w:tc>
        <w:tc>
          <w:tcPr>
            <w:tcW w:w="1134" w:type="dxa"/>
            <w:vAlign w:val="center"/>
          </w:tcPr>
          <w:p w14:paraId="137F84AE" w14:textId="733D9F0D" w:rsidR="00F46935" w:rsidRPr="00FF207E" w:rsidRDefault="008C2168" w:rsidP="001E304B">
            <w:pPr>
              <w:keepNext/>
              <w:spacing w:line="240" w:lineRule="atLeast"/>
              <w:jc w:val="both"/>
              <w:rPr>
                <w:rFonts w:cs="Arial"/>
                <w:sz w:val="20"/>
                <w:szCs w:val="20"/>
                <w:lang w:val="sl-SI"/>
              </w:rPr>
            </w:pPr>
            <w:r w:rsidRPr="00FF207E">
              <w:rPr>
                <w:rFonts w:cs="Arial"/>
                <w:sz w:val="20"/>
                <w:szCs w:val="20"/>
                <w:lang w:val="sl-SI"/>
              </w:rPr>
              <w:t>8</w:t>
            </w:r>
          </w:p>
        </w:tc>
        <w:tc>
          <w:tcPr>
            <w:tcW w:w="1134" w:type="dxa"/>
            <w:vAlign w:val="center"/>
          </w:tcPr>
          <w:p w14:paraId="1E11C122" w14:textId="1E0BAC7D" w:rsidR="00F46935" w:rsidRPr="00FF207E" w:rsidRDefault="008C2168" w:rsidP="001E304B">
            <w:pPr>
              <w:keepNext/>
              <w:spacing w:line="240" w:lineRule="atLeast"/>
              <w:jc w:val="both"/>
              <w:rPr>
                <w:rFonts w:cs="Arial"/>
                <w:sz w:val="20"/>
                <w:szCs w:val="20"/>
                <w:lang w:val="sl-SI"/>
              </w:rPr>
            </w:pPr>
            <w:r w:rsidRPr="00FF207E">
              <w:rPr>
                <w:rFonts w:cs="Arial"/>
                <w:sz w:val="20"/>
                <w:szCs w:val="20"/>
                <w:lang w:val="sl-SI"/>
              </w:rPr>
              <w:t>10</w:t>
            </w:r>
          </w:p>
        </w:tc>
        <w:tc>
          <w:tcPr>
            <w:tcW w:w="2268" w:type="dxa"/>
            <w:vAlign w:val="center"/>
          </w:tcPr>
          <w:p w14:paraId="2A2AF87D" w14:textId="40E4E724" w:rsidR="00F46935" w:rsidRPr="00FF207E" w:rsidRDefault="008C2168" w:rsidP="001E304B">
            <w:pPr>
              <w:keepNext/>
              <w:spacing w:line="240" w:lineRule="atLeast"/>
              <w:jc w:val="both"/>
              <w:rPr>
                <w:rFonts w:cs="Arial"/>
                <w:sz w:val="20"/>
                <w:szCs w:val="20"/>
                <w:lang w:val="sl-SI"/>
              </w:rPr>
            </w:pPr>
            <w:r w:rsidRPr="00FF207E">
              <w:rPr>
                <w:rFonts w:cs="Arial"/>
                <w:sz w:val="20"/>
                <w:szCs w:val="20"/>
                <w:lang w:val="sl-SI"/>
              </w:rPr>
              <w:t>14</w:t>
            </w:r>
          </w:p>
        </w:tc>
      </w:tr>
      <w:tr w:rsidR="00F46935" w:rsidRPr="00FF207E" w14:paraId="1B302900" w14:textId="77777777" w:rsidTr="00F46935">
        <w:trPr>
          <w:cantSplit/>
          <w:trHeight w:val="357"/>
          <w:jc w:val="center"/>
        </w:trPr>
        <w:tc>
          <w:tcPr>
            <w:tcW w:w="3403" w:type="dxa"/>
          </w:tcPr>
          <w:p w14:paraId="0112527B" w14:textId="66441F37" w:rsidR="00F46935" w:rsidRPr="00FF207E" w:rsidRDefault="00F46935" w:rsidP="001E304B">
            <w:pPr>
              <w:spacing w:before="60" w:after="60" w:line="240" w:lineRule="auto"/>
              <w:jc w:val="both"/>
              <w:rPr>
                <w:rFonts w:cs="Arial"/>
                <w:sz w:val="20"/>
                <w:szCs w:val="20"/>
                <w:lang w:val="sl-SI"/>
              </w:rPr>
            </w:pPr>
            <w:r w:rsidRPr="00FF207E">
              <w:rPr>
                <w:rFonts w:cs="Arial"/>
                <w:sz w:val="20"/>
                <w:szCs w:val="20"/>
                <w:lang w:val="sl-SI"/>
              </w:rPr>
              <w:t xml:space="preserve">Regionalne svetovalne točke (glej </w:t>
            </w:r>
            <w:r w:rsidR="00541603" w:rsidRPr="00FF207E">
              <w:rPr>
                <w:rFonts w:cs="Arial"/>
                <w:iCs/>
                <w:sz w:val="20"/>
                <w:szCs w:val="20"/>
                <w:lang w:val="sl-SI"/>
              </w:rPr>
              <w:t>u</w:t>
            </w:r>
            <w:r w:rsidRPr="00FF207E">
              <w:rPr>
                <w:rFonts w:cs="Arial"/>
                <w:iCs/>
                <w:sz w:val="20"/>
                <w:szCs w:val="20"/>
                <w:lang w:val="sl-SI"/>
              </w:rPr>
              <w:t>krep</w:t>
            </w:r>
            <w:r w:rsidRPr="00FF207E">
              <w:rPr>
                <w:rFonts w:cs="Arial"/>
                <w:sz w:val="20"/>
                <w:szCs w:val="20"/>
                <w:lang w:val="sl-SI"/>
              </w:rPr>
              <w:t xml:space="preserve"> </w:t>
            </w:r>
            <w:hyperlink w:anchor="_Projektna_pisarna_z" w:history="1">
              <w:r w:rsidR="00541603" w:rsidRPr="00FF207E">
                <w:rPr>
                  <w:rStyle w:val="Hiperpovezava"/>
                  <w:rFonts w:cs="Arial"/>
                  <w:i/>
                  <w:iCs/>
                  <w:sz w:val="20"/>
                  <w:szCs w:val="20"/>
                  <w:lang w:val="sl-SI"/>
                </w:rPr>
                <w:t>ER_Shema-02</w:t>
              </w:r>
            </w:hyperlink>
            <w:r w:rsidRPr="00FF207E">
              <w:rPr>
                <w:rFonts w:cs="Arial"/>
                <w:sz w:val="20"/>
                <w:szCs w:val="20"/>
                <w:lang w:val="sl-SI"/>
              </w:rPr>
              <w:t xml:space="preserve">), vključno z regionalnimi koordinatorji za informiranje in ozaveščanje (glej </w:t>
            </w:r>
            <w:r w:rsidR="00541603" w:rsidRPr="00FF207E">
              <w:rPr>
                <w:rFonts w:cs="Arial"/>
                <w:iCs/>
                <w:sz w:val="20"/>
                <w:szCs w:val="20"/>
                <w:lang w:val="sl-SI"/>
              </w:rPr>
              <w:t>u</w:t>
            </w:r>
            <w:r w:rsidRPr="00FF207E">
              <w:rPr>
                <w:rFonts w:cs="Arial"/>
                <w:iCs/>
                <w:sz w:val="20"/>
                <w:szCs w:val="20"/>
                <w:lang w:val="sl-SI"/>
              </w:rPr>
              <w:t xml:space="preserve">krep </w:t>
            </w:r>
            <w:hyperlink w:anchor="_Neformalna_mreža_za" w:history="1">
              <w:r w:rsidRPr="00FF207E">
                <w:rPr>
                  <w:rStyle w:val="Hiperpovezava"/>
                  <w:rFonts w:cs="Arial"/>
                  <w:i/>
                  <w:iCs/>
                  <w:sz w:val="20"/>
                  <w:szCs w:val="20"/>
                  <w:lang w:val="sl-SI"/>
                </w:rPr>
                <w:t>ER_Shema-03</w:t>
              </w:r>
            </w:hyperlink>
            <w:r w:rsidRPr="00FF207E">
              <w:rPr>
                <w:rFonts w:cs="Arial"/>
                <w:sz w:val="20"/>
                <w:szCs w:val="20"/>
                <w:lang w:val="sl-SI"/>
              </w:rPr>
              <w:t>)</w:t>
            </w:r>
          </w:p>
        </w:tc>
        <w:tc>
          <w:tcPr>
            <w:tcW w:w="1134" w:type="dxa"/>
            <w:vAlign w:val="center"/>
          </w:tcPr>
          <w:p w14:paraId="36F2E21F" w14:textId="6271C00D" w:rsidR="00F46935" w:rsidRPr="00FF207E" w:rsidRDefault="0059166E" w:rsidP="001E304B">
            <w:pPr>
              <w:keepNext/>
              <w:spacing w:line="240" w:lineRule="atLeast"/>
              <w:jc w:val="both"/>
              <w:rPr>
                <w:rFonts w:cs="Arial"/>
                <w:sz w:val="20"/>
                <w:szCs w:val="20"/>
                <w:lang w:val="sl-SI"/>
              </w:rPr>
            </w:pPr>
            <w:r w:rsidRPr="00FF207E">
              <w:rPr>
                <w:rFonts w:cs="Arial"/>
                <w:sz w:val="20"/>
                <w:szCs w:val="20"/>
                <w:lang w:val="sl-SI"/>
              </w:rPr>
              <w:t>–</w:t>
            </w:r>
          </w:p>
        </w:tc>
        <w:tc>
          <w:tcPr>
            <w:tcW w:w="1134" w:type="dxa"/>
            <w:vAlign w:val="center"/>
          </w:tcPr>
          <w:p w14:paraId="1ED983E6" w14:textId="10083939" w:rsidR="00F46935" w:rsidRPr="00FF207E" w:rsidRDefault="00F46935" w:rsidP="001E304B">
            <w:pPr>
              <w:keepNext/>
              <w:spacing w:line="240" w:lineRule="atLeast"/>
              <w:jc w:val="both"/>
              <w:rPr>
                <w:rFonts w:cs="Arial"/>
                <w:sz w:val="20"/>
                <w:szCs w:val="20"/>
                <w:lang w:val="sl-SI"/>
              </w:rPr>
            </w:pPr>
            <w:r w:rsidRPr="00FF207E">
              <w:rPr>
                <w:rFonts w:cs="Arial"/>
                <w:sz w:val="20"/>
                <w:szCs w:val="20"/>
                <w:lang w:val="sl-SI"/>
              </w:rPr>
              <w:t>4</w:t>
            </w:r>
          </w:p>
        </w:tc>
        <w:tc>
          <w:tcPr>
            <w:tcW w:w="1134" w:type="dxa"/>
            <w:vAlign w:val="center"/>
          </w:tcPr>
          <w:p w14:paraId="19A5DC2F" w14:textId="2687F150" w:rsidR="00F46935" w:rsidRPr="00FF207E" w:rsidRDefault="00F46935" w:rsidP="001E304B">
            <w:pPr>
              <w:keepNext/>
              <w:spacing w:line="240" w:lineRule="atLeast"/>
              <w:jc w:val="both"/>
              <w:rPr>
                <w:rFonts w:cs="Arial"/>
                <w:sz w:val="20"/>
                <w:szCs w:val="20"/>
                <w:lang w:val="sl-SI"/>
              </w:rPr>
            </w:pPr>
            <w:r w:rsidRPr="00FF207E">
              <w:rPr>
                <w:rFonts w:cs="Arial"/>
                <w:sz w:val="20"/>
                <w:szCs w:val="20"/>
                <w:lang w:val="sl-SI"/>
              </w:rPr>
              <w:t>4</w:t>
            </w:r>
          </w:p>
        </w:tc>
        <w:tc>
          <w:tcPr>
            <w:tcW w:w="2268" w:type="dxa"/>
            <w:vAlign w:val="center"/>
          </w:tcPr>
          <w:p w14:paraId="0AFCB172" w14:textId="1E1ADE74" w:rsidR="00F46935" w:rsidRPr="00FF207E" w:rsidRDefault="00F46935" w:rsidP="001E304B">
            <w:pPr>
              <w:keepNext/>
              <w:spacing w:line="240" w:lineRule="atLeast"/>
              <w:jc w:val="both"/>
              <w:rPr>
                <w:rFonts w:cs="Arial"/>
                <w:sz w:val="20"/>
                <w:szCs w:val="20"/>
                <w:lang w:val="sl-SI"/>
              </w:rPr>
            </w:pPr>
            <w:r w:rsidRPr="00FF207E">
              <w:rPr>
                <w:rFonts w:cs="Arial"/>
                <w:sz w:val="20"/>
                <w:szCs w:val="20"/>
                <w:lang w:val="sl-SI"/>
              </w:rPr>
              <w:t>od 14 do 24</w:t>
            </w:r>
            <w:r w:rsidRPr="00FF207E">
              <w:rPr>
                <w:rStyle w:val="Sprotnaopomba-sklic"/>
                <w:rFonts w:cs="Arial"/>
                <w:sz w:val="20"/>
                <w:szCs w:val="20"/>
                <w:lang w:val="sl-SI"/>
              </w:rPr>
              <w:footnoteReference w:id="29"/>
            </w:r>
          </w:p>
        </w:tc>
      </w:tr>
    </w:tbl>
    <w:bookmarkEnd w:id="127"/>
    <w:p w14:paraId="7CB57B3A" w14:textId="7263D909" w:rsidR="00923652" w:rsidRPr="00FF207E" w:rsidRDefault="00923652" w:rsidP="001E304B">
      <w:pPr>
        <w:spacing w:before="240" w:after="240"/>
        <w:jc w:val="both"/>
        <w:rPr>
          <w:lang w:val="sl-SI"/>
        </w:rPr>
      </w:pPr>
      <w:r w:rsidRPr="00FF207E">
        <w:rPr>
          <w:b/>
          <w:bCs/>
          <w:color w:val="4F81BD" w:themeColor="accent1"/>
          <w:lang w:val="sl-SI"/>
        </w:rPr>
        <w:t>Regionalna raven</w:t>
      </w:r>
      <w:r w:rsidR="00995641" w:rsidRPr="00FF207E">
        <w:rPr>
          <w:b/>
          <w:color w:val="4F81BD" w:themeColor="accent1"/>
          <w:lang w:val="sl-SI"/>
        </w:rPr>
        <w:t>.</w:t>
      </w:r>
      <w:r w:rsidRPr="00FF207E">
        <w:rPr>
          <w:lang w:val="sl-SI"/>
        </w:rPr>
        <w:t xml:space="preserve"> Skupaj s projektno pisarno delujejo </w:t>
      </w:r>
      <w:r w:rsidRPr="00FF207E">
        <w:rPr>
          <w:b/>
          <w:bCs/>
          <w:i/>
          <w:iCs/>
          <w:u w:val="single"/>
          <w:lang w:val="sl-SI"/>
        </w:rPr>
        <w:t>regionalne svetovalne točke</w:t>
      </w:r>
      <w:r w:rsidRPr="00FF207E">
        <w:rPr>
          <w:lang w:val="sl-SI"/>
        </w:rPr>
        <w:t xml:space="preserve"> (</w:t>
      </w:r>
      <w:r w:rsidR="000D0B55" w:rsidRPr="00FF207E">
        <w:rPr>
          <w:lang w:val="sl-SI"/>
        </w:rPr>
        <w:t>glej</w:t>
      </w:r>
      <w:r w:rsidR="000D0B55" w:rsidRPr="00FF207E">
        <w:rPr>
          <w:i/>
          <w:iCs/>
          <w:lang w:val="sl-SI"/>
        </w:rPr>
        <w:t xml:space="preserve"> </w:t>
      </w:r>
      <w:r w:rsidR="000D0B55" w:rsidRPr="00FF207E">
        <w:rPr>
          <w:iCs/>
          <w:lang w:val="sl-SI"/>
        </w:rPr>
        <w:t>ukrep</w:t>
      </w:r>
      <w:r w:rsidR="000D0B55" w:rsidRPr="00FF207E">
        <w:rPr>
          <w:i/>
          <w:iCs/>
          <w:lang w:val="sl-SI"/>
        </w:rPr>
        <w:t xml:space="preserve"> </w:t>
      </w:r>
      <w:hyperlink w:anchor="_Projektna_pisarna_z" w:history="1">
        <w:r w:rsidR="000D0B55" w:rsidRPr="00FF207E">
          <w:rPr>
            <w:rStyle w:val="Hiperpovezava"/>
            <w:rFonts w:cs="Arial"/>
            <w:i/>
            <w:szCs w:val="22"/>
            <w:lang w:val="sl-SI"/>
          </w:rPr>
          <w:t>ER_Shema-02</w:t>
        </w:r>
      </w:hyperlink>
      <w:r w:rsidRPr="00FF207E">
        <w:rPr>
          <w:lang w:val="sl-SI"/>
        </w:rPr>
        <w:t xml:space="preserve">), ki </w:t>
      </w:r>
      <w:r w:rsidR="000D0B55" w:rsidRPr="00FF207E">
        <w:rPr>
          <w:lang w:val="sl-SI"/>
        </w:rPr>
        <w:t xml:space="preserve">v lokalnem okolju </w:t>
      </w:r>
      <w:r w:rsidRPr="00FF207E">
        <w:rPr>
          <w:lang w:val="sl-SI"/>
        </w:rPr>
        <w:t xml:space="preserve">nudijo celostno pomoč in svetovanje energetsko revnim glede vseh ukrepov, ki so namenjeni zmanjševanju energetske revščine (o ukrepih </w:t>
      </w:r>
      <w:proofErr w:type="spellStart"/>
      <w:r w:rsidRPr="00FF207E">
        <w:rPr>
          <w:lang w:val="sl-SI"/>
        </w:rPr>
        <w:t>Eko</w:t>
      </w:r>
      <w:proofErr w:type="spellEnd"/>
      <w:r w:rsidRPr="00FF207E">
        <w:rPr>
          <w:lang w:val="sl-SI"/>
        </w:rPr>
        <w:t xml:space="preserve"> sklada, energetskih skupnostih, možnostih za pridobivanje pomoči za plačilo stroškov energije, ukrepih za preprečevanje odklopa električne energije</w:t>
      </w:r>
      <w:r w:rsidR="00471621" w:rsidRPr="00FF207E">
        <w:rPr>
          <w:lang w:val="sl-SI"/>
        </w:rPr>
        <w:t xml:space="preserve">, </w:t>
      </w:r>
      <w:r w:rsidR="00471621" w:rsidRPr="00FF207E">
        <w:rPr>
          <w:szCs w:val="22"/>
          <w:lang w:val="sl-SI"/>
        </w:rPr>
        <w:t xml:space="preserve">na splošno </w:t>
      </w:r>
      <w:r w:rsidR="00471621" w:rsidRPr="00FF207E">
        <w:rPr>
          <w:spacing w:val="-2"/>
          <w:szCs w:val="22"/>
          <w:lang w:val="sl-SI"/>
        </w:rPr>
        <w:t>glede učinkovitega</w:t>
      </w:r>
      <w:r w:rsidR="00471621" w:rsidRPr="00FF207E">
        <w:rPr>
          <w:szCs w:val="22"/>
          <w:lang w:val="sl-SI"/>
        </w:rPr>
        <w:t xml:space="preserve"> ravnanja z energijo</w:t>
      </w:r>
      <w:r w:rsidRPr="00FF207E">
        <w:rPr>
          <w:lang w:val="sl-SI"/>
        </w:rPr>
        <w:t xml:space="preserve"> </w:t>
      </w:r>
      <w:r w:rsidR="00B77973" w:rsidRPr="00FF207E">
        <w:rPr>
          <w:lang w:val="sl-SI"/>
        </w:rPr>
        <w:t>in tako dalje</w:t>
      </w:r>
      <w:r w:rsidRPr="00FF207E">
        <w:rPr>
          <w:lang w:val="sl-SI"/>
        </w:rPr>
        <w:t>).</w:t>
      </w:r>
      <w:r w:rsidR="000D0B55" w:rsidRPr="00FF207E">
        <w:rPr>
          <w:lang w:val="sl-SI"/>
        </w:rPr>
        <w:t xml:space="preserve"> Za delovanje posamezne regionalne točke sta predvideni 2 zaposlitvi.</w:t>
      </w:r>
      <w:r w:rsidR="00C9464F" w:rsidRPr="00FF207E">
        <w:rPr>
          <w:lang w:val="sl-SI"/>
        </w:rPr>
        <w:t xml:space="preserve"> </w:t>
      </w:r>
      <w:r w:rsidRPr="00FF207E">
        <w:rPr>
          <w:lang w:val="sl-SI"/>
        </w:rPr>
        <w:t xml:space="preserve">Pri energetskem svetovanju sodelujejo tudi energetski svetovalci </w:t>
      </w:r>
      <w:r w:rsidRPr="00FF207E">
        <w:rPr>
          <w:b/>
          <w:i/>
          <w:u w:val="single"/>
          <w:lang w:val="sl-SI"/>
        </w:rPr>
        <w:t>mreže ENSVET</w:t>
      </w:r>
      <w:r w:rsidRPr="00FF207E">
        <w:rPr>
          <w:lang w:val="sl-SI"/>
        </w:rPr>
        <w:t>.</w:t>
      </w:r>
    </w:p>
    <w:p w14:paraId="594557BB" w14:textId="073FC69A" w:rsidR="00923652" w:rsidRPr="00FF207E" w:rsidRDefault="00923652" w:rsidP="001E304B">
      <w:pPr>
        <w:spacing w:after="240"/>
        <w:jc w:val="both"/>
        <w:rPr>
          <w:lang w:val="sl-SI"/>
        </w:rPr>
      </w:pPr>
      <w:r w:rsidRPr="00FF207E">
        <w:rPr>
          <w:lang w:val="sl-SI"/>
        </w:rPr>
        <w:t xml:space="preserve">Na regionalni ravni je določen </w:t>
      </w:r>
      <w:r w:rsidRPr="00FF207E">
        <w:rPr>
          <w:b/>
          <w:i/>
          <w:u w:val="single"/>
          <w:lang w:val="sl-SI"/>
        </w:rPr>
        <w:t>r</w:t>
      </w:r>
      <w:r w:rsidRPr="00FF207E">
        <w:rPr>
          <w:b/>
          <w:bCs/>
          <w:i/>
          <w:iCs/>
          <w:u w:val="single"/>
          <w:lang w:val="sl-SI"/>
        </w:rPr>
        <w:t>egionalni koordinator</w:t>
      </w:r>
      <w:r w:rsidR="000D0B55" w:rsidRPr="00FF207E">
        <w:rPr>
          <w:b/>
          <w:bCs/>
          <w:i/>
          <w:iCs/>
          <w:u w:val="single"/>
          <w:lang w:val="sl-SI"/>
        </w:rPr>
        <w:t xml:space="preserve"> za informiranje in ozaveščanje</w:t>
      </w:r>
      <w:r w:rsidRPr="00FF207E">
        <w:rPr>
          <w:lang w:val="sl-SI"/>
        </w:rPr>
        <w:t xml:space="preserve">, predvidoma v regionalnih svetovalnih točkah, ki sodeluje s projektno pisarno in prenaša </w:t>
      </w:r>
      <w:r w:rsidR="00AB5B90" w:rsidRPr="00FF207E">
        <w:rPr>
          <w:lang w:val="sl-SI"/>
        </w:rPr>
        <w:t xml:space="preserve">pomembne </w:t>
      </w:r>
      <w:r w:rsidRPr="00FF207E">
        <w:rPr>
          <w:lang w:val="sl-SI"/>
        </w:rPr>
        <w:t xml:space="preserve">informacije do deležnikov, ki so del </w:t>
      </w:r>
      <w:r w:rsidRPr="00FF207E">
        <w:rPr>
          <w:b/>
          <w:bCs/>
          <w:i/>
          <w:iCs/>
          <w:u w:val="single"/>
          <w:lang w:val="sl-SI"/>
        </w:rPr>
        <w:t xml:space="preserve">neformalne mreže za informiranje in </w:t>
      </w:r>
      <w:r w:rsidRPr="00FF207E">
        <w:rPr>
          <w:b/>
          <w:bCs/>
          <w:i/>
          <w:iCs/>
          <w:u w:val="single"/>
          <w:lang w:val="sl-SI"/>
        </w:rPr>
        <w:lastRenderedPageBreak/>
        <w:t>ozaveščanje</w:t>
      </w:r>
      <w:r w:rsidRPr="00FF207E">
        <w:rPr>
          <w:bCs/>
          <w:iCs/>
          <w:lang w:val="sl-SI"/>
        </w:rPr>
        <w:t xml:space="preserve"> na regionalni ravni </w:t>
      </w:r>
      <w:r w:rsidRPr="00FF207E">
        <w:rPr>
          <w:lang w:val="sl-SI"/>
        </w:rPr>
        <w:t xml:space="preserve">(glej </w:t>
      </w:r>
      <w:r w:rsidR="00995641" w:rsidRPr="00FF207E">
        <w:rPr>
          <w:iCs/>
          <w:lang w:val="sl-SI"/>
        </w:rPr>
        <w:t>u</w:t>
      </w:r>
      <w:r w:rsidRPr="00FF207E">
        <w:rPr>
          <w:iCs/>
          <w:lang w:val="sl-SI"/>
        </w:rPr>
        <w:t>krep</w:t>
      </w:r>
      <w:r w:rsidRPr="00FF207E">
        <w:rPr>
          <w:i/>
          <w:iCs/>
          <w:lang w:val="sl-SI"/>
        </w:rPr>
        <w:t xml:space="preserve"> </w:t>
      </w:r>
      <w:hyperlink w:anchor="_Neformalna_mreža_za" w:history="1">
        <w:r w:rsidRPr="00FF207E">
          <w:rPr>
            <w:rStyle w:val="Hiperpovezava"/>
            <w:rFonts w:cs="Arial"/>
            <w:i/>
            <w:szCs w:val="22"/>
            <w:lang w:val="sl-SI"/>
          </w:rPr>
          <w:t>ER_Shema-03</w:t>
        </w:r>
      </w:hyperlink>
      <w:r w:rsidRPr="00FF207E">
        <w:rPr>
          <w:lang w:val="sl-SI"/>
        </w:rPr>
        <w:t>). Deležnike redno informira in obvešča o novostih na področju zmanjševanja energetske revščine prek e-pošte, organiziranih srečanj ali usposabljanj. Predaja jim najnovejše informacije (</w:t>
      </w:r>
      <w:r w:rsidR="00B77973" w:rsidRPr="00FF207E">
        <w:rPr>
          <w:lang w:val="sl-SI"/>
        </w:rPr>
        <w:t>na primer</w:t>
      </w:r>
      <w:r w:rsidRPr="00FF207E">
        <w:rPr>
          <w:lang w:val="sl-SI"/>
        </w:rPr>
        <w:t xml:space="preserve"> o prenehanju izvajanja nekaterih ukrepov, o novih ukrepih …), jih informira o samih ukrepih (kam se upravičenci lahko obrnejo za več informacij, kdo je upravičen, do česa </w:t>
      </w:r>
      <w:r w:rsidR="000C6B52" w:rsidRPr="00FF207E">
        <w:rPr>
          <w:lang w:val="sl-SI"/>
        </w:rPr>
        <w:t xml:space="preserve">je upravičen </w:t>
      </w:r>
      <w:r w:rsidRPr="00FF207E">
        <w:rPr>
          <w:lang w:val="sl-SI"/>
        </w:rPr>
        <w:t xml:space="preserve">…) </w:t>
      </w:r>
      <w:r w:rsidR="000C6B52" w:rsidRPr="00FF207E">
        <w:rPr>
          <w:lang w:val="sl-SI"/>
        </w:rPr>
        <w:t xml:space="preserve">ter </w:t>
      </w:r>
      <w:r w:rsidRPr="00FF207E">
        <w:rPr>
          <w:lang w:val="sl-SI"/>
        </w:rPr>
        <w:t>vzpostavi reden stik na področju informiranja med projektno pisarno in regionalnimi deležniki.</w:t>
      </w:r>
    </w:p>
    <w:p w14:paraId="7BBD6F8B" w14:textId="1F2C578A" w:rsidR="000800E4" w:rsidRPr="00FF207E" w:rsidRDefault="00923652" w:rsidP="001E304B">
      <w:pPr>
        <w:spacing w:after="240"/>
        <w:jc w:val="both"/>
        <w:rPr>
          <w:lang w:val="sl-SI"/>
        </w:rPr>
      </w:pPr>
      <w:r w:rsidRPr="00FF207E">
        <w:rPr>
          <w:lang w:val="sl-SI"/>
        </w:rPr>
        <w:t xml:space="preserve">Na regionalni ravni so </w:t>
      </w:r>
      <w:r w:rsidR="003249EA" w:rsidRPr="00FF207E">
        <w:rPr>
          <w:lang w:val="sl-SI"/>
        </w:rPr>
        <w:t xml:space="preserve">dejavni </w:t>
      </w:r>
      <w:r w:rsidRPr="00FF207E">
        <w:rPr>
          <w:lang w:val="sl-SI"/>
        </w:rPr>
        <w:t>deležniki, ki imajo stik z različnimi ciljnimi skupinami, ki so izpostavljene energetski revščini (</w:t>
      </w:r>
      <w:r w:rsidR="00B77973" w:rsidRPr="00FF207E">
        <w:rPr>
          <w:lang w:val="sl-SI"/>
        </w:rPr>
        <w:t>na primer</w:t>
      </w:r>
      <w:r w:rsidRPr="00FF207E">
        <w:rPr>
          <w:lang w:val="sl-SI"/>
        </w:rPr>
        <w:t xml:space="preserve"> upokojenci, invalidi, enostarševske družine, brezposelni</w:t>
      </w:r>
      <w:r w:rsidR="00471621" w:rsidRPr="00FF207E">
        <w:rPr>
          <w:lang w:val="sl-SI"/>
        </w:rPr>
        <w:t>, ženske</w:t>
      </w:r>
      <w:r w:rsidRPr="00FF207E">
        <w:rPr>
          <w:lang w:val="sl-SI"/>
        </w:rPr>
        <w:t xml:space="preserve"> </w:t>
      </w:r>
      <w:r w:rsidR="00B77973" w:rsidRPr="00FF207E">
        <w:rPr>
          <w:lang w:val="sl-SI"/>
        </w:rPr>
        <w:t>in tako dalje</w:t>
      </w:r>
      <w:r w:rsidRPr="00FF207E">
        <w:rPr>
          <w:lang w:val="sl-SI"/>
        </w:rPr>
        <w:t xml:space="preserve">). Združeni so v </w:t>
      </w:r>
      <w:r w:rsidRPr="00FF207E">
        <w:rPr>
          <w:b/>
          <w:bCs/>
          <w:i/>
          <w:iCs/>
          <w:u w:val="single"/>
          <w:lang w:val="sl-SI"/>
        </w:rPr>
        <w:t>neformalno mrežo za informiranje in ozaveščanje</w:t>
      </w:r>
      <w:r w:rsidRPr="00FF207E">
        <w:rPr>
          <w:lang w:val="sl-SI"/>
        </w:rPr>
        <w:t xml:space="preserve">, katere namen je zagotoviti, da informacije o programih in ukrepih za zmanjševanje energetske revščine pridejo do upravičencev. Deležniki prek različnih kanalov vzpostavljajo </w:t>
      </w:r>
      <w:r w:rsidR="000C6B52" w:rsidRPr="00FF207E">
        <w:rPr>
          <w:lang w:val="sl-SI"/>
        </w:rPr>
        <w:t xml:space="preserve">neposreden stik </w:t>
      </w:r>
      <w:r w:rsidRPr="00FF207E">
        <w:rPr>
          <w:lang w:val="sl-SI"/>
        </w:rPr>
        <w:t xml:space="preserve">s potencialnimi upravičenci in jih usmerjajo na </w:t>
      </w:r>
      <w:r w:rsidRPr="00FF207E">
        <w:rPr>
          <w:b/>
          <w:bCs/>
          <w:i/>
          <w:iCs/>
          <w:u w:val="single"/>
          <w:lang w:val="sl-SI"/>
        </w:rPr>
        <w:t>regionalne svetovalne točke</w:t>
      </w:r>
      <w:r w:rsidRPr="00FF207E">
        <w:rPr>
          <w:lang w:val="sl-SI"/>
        </w:rPr>
        <w:t>.</w:t>
      </w:r>
    </w:p>
    <w:p w14:paraId="6A90C596" w14:textId="77777777" w:rsidR="00923652" w:rsidRPr="00FF207E" w:rsidRDefault="00923652" w:rsidP="001E304B">
      <w:pPr>
        <w:spacing w:after="240"/>
        <w:jc w:val="both"/>
        <w:rPr>
          <w:lang w:val="sl-SI"/>
        </w:rPr>
      </w:pPr>
    </w:p>
    <w:p w14:paraId="372079FC" w14:textId="77777777" w:rsidR="00923652" w:rsidRPr="00FF207E" w:rsidRDefault="00923652" w:rsidP="001E304B">
      <w:pPr>
        <w:spacing w:after="240"/>
        <w:jc w:val="both"/>
        <w:rPr>
          <w:lang w:val="sl-SI"/>
        </w:rPr>
      </w:pPr>
    </w:p>
    <w:p w14:paraId="6B9F2D9D" w14:textId="77777777" w:rsidR="004C2557" w:rsidRPr="00FF207E" w:rsidRDefault="004C2557" w:rsidP="001E304B">
      <w:pPr>
        <w:spacing w:after="240"/>
        <w:jc w:val="both"/>
        <w:rPr>
          <w:lang w:val="sl-SI"/>
        </w:rPr>
        <w:sectPr w:rsidR="004C2557" w:rsidRPr="00FF207E" w:rsidSect="00B93EA5">
          <w:pgSz w:w="11906" w:h="16838"/>
          <w:pgMar w:top="1417" w:right="1417" w:bottom="1417" w:left="1417" w:header="708" w:footer="708" w:gutter="0"/>
          <w:cols w:space="708"/>
          <w:docGrid w:linePitch="360"/>
        </w:sectPr>
      </w:pPr>
    </w:p>
    <w:p w14:paraId="6D207BE8" w14:textId="317A7A79" w:rsidR="00526671" w:rsidRPr="00FF207E" w:rsidRDefault="00526671" w:rsidP="001E304B">
      <w:pPr>
        <w:spacing w:after="120" w:line="240" w:lineRule="auto"/>
        <w:jc w:val="both"/>
        <w:rPr>
          <w:lang w:val="sl-SI"/>
        </w:rPr>
      </w:pPr>
      <w:r w:rsidRPr="00FF207E">
        <w:rPr>
          <w:noProof/>
          <w:lang w:val="sl-SI" w:eastAsia="sl-SI"/>
        </w:rPr>
        <w:lastRenderedPageBreak/>
        <w:drawing>
          <wp:inline distT="0" distB="0" distL="0" distR="0" wp14:anchorId="42B94661" wp14:editId="12F9E770">
            <wp:extent cx="8727312" cy="55379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741695" cy="5547061"/>
                    </a:xfrm>
                    <a:prstGeom prst="rect">
                      <a:avLst/>
                    </a:prstGeom>
                  </pic:spPr>
                </pic:pic>
              </a:graphicData>
            </a:graphic>
          </wp:inline>
        </w:drawing>
      </w:r>
    </w:p>
    <w:p w14:paraId="7E1F688B" w14:textId="007C7367" w:rsidR="004C2557" w:rsidRPr="00FF207E" w:rsidRDefault="004C2557" w:rsidP="001E304B">
      <w:pPr>
        <w:pStyle w:val="Napis"/>
        <w:keepNext/>
        <w:spacing w:after="240"/>
        <w:jc w:val="both"/>
      </w:pPr>
      <w:bookmarkStart w:id="128" w:name="_Ref137460006"/>
      <w:bookmarkStart w:id="129" w:name="_Toc138161830"/>
      <w:r w:rsidRPr="00FF207E">
        <w:t xml:space="preserve">Slika </w:t>
      </w:r>
      <w:r w:rsidR="005428A9" w:rsidRPr="00FF207E">
        <w:fldChar w:fldCharType="begin"/>
      </w:r>
      <w:r w:rsidR="005428A9" w:rsidRPr="00FF207E">
        <w:instrText xml:space="preserve"> SEQ Slika \* ARABIC </w:instrText>
      </w:r>
      <w:r w:rsidR="005428A9" w:rsidRPr="00FF207E">
        <w:fldChar w:fldCharType="separate"/>
      </w:r>
      <w:r w:rsidR="00F37FD1" w:rsidRPr="00FF207E">
        <w:t>2</w:t>
      </w:r>
      <w:r w:rsidR="005428A9" w:rsidRPr="00FF207E">
        <w:fldChar w:fldCharType="end"/>
      </w:r>
      <w:bookmarkEnd w:id="128"/>
      <w:r w:rsidRPr="00FF207E">
        <w:t>:</w:t>
      </w:r>
      <w:r w:rsidR="002B6351" w:rsidRPr="00FF207E">
        <w:tab/>
      </w:r>
      <w:r w:rsidRPr="00FF207E">
        <w:t xml:space="preserve">Predlagana organizacija </w:t>
      </w:r>
      <w:r w:rsidR="002B6351" w:rsidRPr="00FF207E">
        <w:t xml:space="preserve">za izvajanje </w:t>
      </w:r>
      <w:r w:rsidR="00CB3F8C" w:rsidRPr="00FF207E">
        <w:t xml:space="preserve">akcijskega načrta </w:t>
      </w:r>
      <w:r w:rsidRPr="00FF207E">
        <w:t xml:space="preserve">na </w:t>
      </w:r>
      <w:r w:rsidR="00CB3F8C" w:rsidRPr="00FF207E">
        <w:t xml:space="preserve">državni </w:t>
      </w:r>
      <w:r w:rsidRPr="00FF207E">
        <w:t xml:space="preserve">in regionalni ravni v </w:t>
      </w:r>
      <w:r w:rsidR="002B6351" w:rsidRPr="00FF207E">
        <w:t>obdobju</w:t>
      </w:r>
      <w:r w:rsidRPr="00FF207E">
        <w:t xml:space="preserve"> 202</w:t>
      </w:r>
      <w:r w:rsidR="002B6351" w:rsidRPr="00FF207E">
        <w:t>4–</w:t>
      </w:r>
      <w:r w:rsidRPr="00FF207E">
        <w:t>2026</w:t>
      </w:r>
      <w:bookmarkEnd w:id="129"/>
    </w:p>
    <w:p w14:paraId="4D29B08F" w14:textId="77777777" w:rsidR="004C2557" w:rsidRPr="00FF207E" w:rsidRDefault="004C2557" w:rsidP="001E304B">
      <w:pPr>
        <w:spacing w:after="240"/>
        <w:jc w:val="both"/>
        <w:rPr>
          <w:lang w:val="sl-SI"/>
        </w:rPr>
        <w:sectPr w:rsidR="004C2557" w:rsidRPr="00FF207E" w:rsidSect="002B6351">
          <w:pgSz w:w="16838" w:h="11906" w:orient="landscape"/>
          <w:pgMar w:top="1247" w:right="1418" w:bottom="1247" w:left="1418" w:header="709" w:footer="709" w:gutter="0"/>
          <w:cols w:space="708"/>
          <w:docGrid w:linePitch="360"/>
        </w:sectPr>
      </w:pPr>
    </w:p>
    <w:p w14:paraId="16374096" w14:textId="0EC53100" w:rsidR="00663CE1" w:rsidRPr="00FF207E" w:rsidRDefault="00D40076" w:rsidP="001E304B">
      <w:pPr>
        <w:pStyle w:val="Naslov1"/>
        <w:jc w:val="both"/>
        <w:rPr>
          <w:lang w:val="sl-SI"/>
        </w:rPr>
      </w:pPr>
      <w:bookmarkStart w:id="130" w:name="_Toc151148812"/>
      <w:r w:rsidRPr="00FF207E">
        <w:rPr>
          <w:lang w:val="sl-SI"/>
        </w:rPr>
        <w:lastRenderedPageBreak/>
        <w:t>O</w:t>
      </w:r>
      <w:r w:rsidR="00B67583" w:rsidRPr="00FF207E">
        <w:rPr>
          <w:lang w:val="sl-SI"/>
        </w:rPr>
        <w:t xml:space="preserve">znake, </w:t>
      </w:r>
      <w:r w:rsidR="00663CE1" w:rsidRPr="00FF207E">
        <w:rPr>
          <w:lang w:val="sl-SI"/>
        </w:rPr>
        <w:t>slike, tabele</w:t>
      </w:r>
      <w:bookmarkEnd w:id="130"/>
    </w:p>
    <w:p w14:paraId="1A7CAC8E" w14:textId="77777777" w:rsidR="000D1A89" w:rsidRPr="00FF207E" w:rsidRDefault="000D1A89" w:rsidP="001E304B">
      <w:pPr>
        <w:pStyle w:val="Naslov2"/>
        <w:spacing w:after="240"/>
        <w:jc w:val="both"/>
        <w:rPr>
          <w:lang w:val="sl-SI"/>
        </w:rPr>
      </w:pPr>
      <w:bookmarkStart w:id="131" w:name="_Toc151148813"/>
      <w:r w:rsidRPr="00FF207E">
        <w:rPr>
          <w:lang w:val="sl-SI"/>
        </w:rPr>
        <w:t>Seznam oznak in kratic</w:t>
      </w:r>
      <w:bookmarkEnd w:id="131"/>
    </w:p>
    <w:tbl>
      <w:tblPr>
        <w:tblW w:w="9214" w:type="dxa"/>
        <w:tblLook w:val="04A0" w:firstRow="1" w:lastRow="0" w:firstColumn="1" w:lastColumn="0" w:noHBand="0" w:noVBand="1"/>
      </w:tblPr>
      <w:tblGrid>
        <w:gridCol w:w="1526"/>
        <w:gridCol w:w="7688"/>
      </w:tblGrid>
      <w:tr w:rsidR="000D1A89" w:rsidRPr="00FF207E" w14:paraId="69D8573C" w14:textId="77777777" w:rsidTr="00682482">
        <w:trPr>
          <w:trHeight w:val="255"/>
        </w:trPr>
        <w:tc>
          <w:tcPr>
            <w:tcW w:w="1526" w:type="dxa"/>
            <w:shd w:val="clear" w:color="auto" w:fill="auto"/>
            <w:noWrap/>
            <w:vAlign w:val="center"/>
            <w:hideMark/>
          </w:tcPr>
          <w:p w14:paraId="3BF4817A" w14:textId="5EE83D1A" w:rsidR="000D1A89" w:rsidRPr="00FF207E" w:rsidRDefault="000D1A89" w:rsidP="001E304B">
            <w:pPr>
              <w:spacing w:line="300" w:lineRule="exact"/>
              <w:jc w:val="both"/>
              <w:rPr>
                <w:rFonts w:cs="Arial"/>
                <w:b/>
                <w:bCs/>
                <w:i/>
                <w:iCs/>
                <w:sz w:val="18"/>
                <w:szCs w:val="18"/>
                <w:lang w:val="sl-SI"/>
              </w:rPr>
            </w:pPr>
            <w:r w:rsidRPr="00FF207E">
              <w:rPr>
                <w:rFonts w:cs="Arial"/>
                <w:b/>
                <w:bCs/>
                <w:i/>
                <w:iCs/>
                <w:sz w:val="18"/>
                <w:szCs w:val="18"/>
                <w:lang w:val="sl-SI"/>
              </w:rPr>
              <w:t>AN</w:t>
            </w:r>
          </w:p>
        </w:tc>
        <w:tc>
          <w:tcPr>
            <w:tcW w:w="7688" w:type="dxa"/>
            <w:shd w:val="clear" w:color="auto" w:fill="auto"/>
            <w:noWrap/>
            <w:vAlign w:val="center"/>
            <w:hideMark/>
          </w:tcPr>
          <w:p w14:paraId="2E180082" w14:textId="4E69062D" w:rsidR="000D1A89" w:rsidRPr="00FF207E" w:rsidRDefault="000C6B52" w:rsidP="001E304B">
            <w:pPr>
              <w:spacing w:line="300" w:lineRule="exact"/>
              <w:jc w:val="both"/>
              <w:rPr>
                <w:rFonts w:cs="Arial"/>
                <w:color w:val="000000"/>
                <w:sz w:val="18"/>
                <w:szCs w:val="18"/>
                <w:lang w:val="sl-SI"/>
              </w:rPr>
            </w:pPr>
            <w:r w:rsidRPr="00FF207E">
              <w:rPr>
                <w:rFonts w:cs="Arial"/>
                <w:color w:val="000000"/>
                <w:sz w:val="18"/>
                <w:szCs w:val="18"/>
                <w:lang w:val="sl-SI"/>
              </w:rPr>
              <w:t>a</w:t>
            </w:r>
            <w:r w:rsidR="000D1A89" w:rsidRPr="00FF207E">
              <w:rPr>
                <w:rFonts w:cs="Arial"/>
                <w:color w:val="000000"/>
                <w:sz w:val="18"/>
                <w:szCs w:val="18"/>
                <w:lang w:val="sl-SI"/>
              </w:rPr>
              <w:t>kcijski načrt</w:t>
            </w:r>
          </w:p>
        </w:tc>
      </w:tr>
      <w:tr w:rsidR="00B31199" w:rsidRPr="00FF207E" w14:paraId="0750499F" w14:textId="77777777" w:rsidTr="00682482">
        <w:trPr>
          <w:trHeight w:val="255"/>
        </w:trPr>
        <w:tc>
          <w:tcPr>
            <w:tcW w:w="1526" w:type="dxa"/>
            <w:shd w:val="clear" w:color="auto" w:fill="auto"/>
            <w:noWrap/>
            <w:vAlign w:val="center"/>
          </w:tcPr>
          <w:p w14:paraId="05631E6C" w14:textId="21FD909C" w:rsidR="00B31199" w:rsidRPr="00FF207E" w:rsidRDefault="00B31199" w:rsidP="001E304B">
            <w:pPr>
              <w:spacing w:line="300" w:lineRule="exact"/>
              <w:jc w:val="both"/>
              <w:rPr>
                <w:rFonts w:cs="Arial"/>
                <w:b/>
                <w:bCs/>
                <w:i/>
                <w:iCs/>
                <w:sz w:val="18"/>
                <w:szCs w:val="18"/>
                <w:lang w:val="sl-SI"/>
              </w:rPr>
            </w:pPr>
            <w:r w:rsidRPr="00FF207E">
              <w:rPr>
                <w:rFonts w:cs="Arial"/>
                <w:b/>
                <w:bCs/>
                <w:i/>
                <w:iCs/>
                <w:sz w:val="18"/>
                <w:szCs w:val="18"/>
                <w:lang w:val="sl-SI"/>
              </w:rPr>
              <w:t>ARRS</w:t>
            </w:r>
          </w:p>
        </w:tc>
        <w:tc>
          <w:tcPr>
            <w:tcW w:w="7688" w:type="dxa"/>
            <w:shd w:val="clear" w:color="auto" w:fill="auto"/>
            <w:noWrap/>
            <w:vAlign w:val="center"/>
          </w:tcPr>
          <w:p w14:paraId="4692C304" w14:textId="54BB4D34" w:rsidR="00B31199" w:rsidRPr="00FF207E" w:rsidRDefault="00973C38" w:rsidP="001E304B">
            <w:pPr>
              <w:spacing w:line="300" w:lineRule="exact"/>
              <w:jc w:val="both"/>
              <w:rPr>
                <w:rFonts w:cs="Arial"/>
                <w:color w:val="000000"/>
                <w:sz w:val="18"/>
                <w:szCs w:val="18"/>
                <w:lang w:val="sl-SI"/>
              </w:rPr>
            </w:pPr>
            <w:r w:rsidRPr="00FF207E">
              <w:rPr>
                <w:rFonts w:cs="Arial"/>
                <w:color w:val="000000"/>
                <w:sz w:val="18"/>
                <w:szCs w:val="18"/>
                <w:lang w:val="sl-SI"/>
              </w:rPr>
              <w:t>Javna agencija za znanstvenoraziskovalno in inovacijsko dejavnost Republike Slovenije</w:t>
            </w:r>
          </w:p>
        </w:tc>
      </w:tr>
      <w:tr w:rsidR="000D1A89" w:rsidRPr="00FF207E" w14:paraId="2355AE62" w14:textId="77777777" w:rsidTr="00682482">
        <w:trPr>
          <w:trHeight w:val="255"/>
        </w:trPr>
        <w:tc>
          <w:tcPr>
            <w:tcW w:w="1526" w:type="dxa"/>
            <w:shd w:val="clear" w:color="auto" w:fill="auto"/>
            <w:noWrap/>
            <w:vAlign w:val="center"/>
            <w:hideMark/>
          </w:tcPr>
          <w:p w14:paraId="3E3E02CF" w14:textId="77777777" w:rsidR="000D1A89" w:rsidRPr="00FF207E" w:rsidRDefault="000D1A89" w:rsidP="001E304B">
            <w:pPr>
              <w:spacing w:line="300" w:lineRule="exact"/>
              <w:jc w:val="both"/>
              <w:rPr>
                <w:rFonts w:cs="Arial"/>
                <w:b/>
                <w:bCs/>
                <w:i/>
                <w:iCs/>
                <w:sz w:val="18"/>
                <w:szCs w:val="18"/>
                <w:lang w:val="sl-SI"/>
              </w:rPr>
            </w:pPr>
            <w:r w:rsidRPr="00FF207E">
              <w:rPr>
                <w:rFonts w:cs="Arial"/>
                <w:b/>
                <w:bCs/>
                <w:i/>
                <w:iCs/>
                <w:sz w:val="18"/>
                <w:szCs w:val="18"/>
                <w:lang w:val="sl-SI"/>
              </w:rPr>
              <w:t>CSD</w:t>
            </w:r>
          </w:p>
        </w:tc>
        <w:tc>
          <w:tcPr>
            <w:tcW w:w="7688" w:type="dxa"/>
            <w:shd w:val="clear" w:color="auto" w:fill="auto"/>
            <w:noWrap/>
            <w:vAlign w:val="center"/>
            <w:hideMark/>
          </w:tcPr>
          <w:p w14:paraId="6BFEA6E6" w14:textId="77777777" w:rsidR="000D1A89" w:rsidRPr="00FF207E" w:rsidRDefault="000D1A89" w:rsidP="001E304B">
            <w:pPr>
              <w:spacing w:line="300" w:lineRule="exact"/>
              <w:jc w:val="both"/>
              <w:rPr>
                <w:rFonts w:cs="Arial"/>
                <w:color w:val="000000"/>
                <w:sz w:val="18"/>
                <w:szCs w:val="18"/>
                <w:lang w:val="sl-SI"/>
              </w:rPr>
            </w:pPr>
            <w:r w:rsidRPr="00FF207E">
              <w:rPr>
                <w:rFonts w:cs="Arial"/>
                <w:color w:val="000000"/>
                <w:sz w:val="18"/>
                <w:szCs w:val="18"/>
                <w:lang w:val="sl-SI"/>
              </w:rPr>
              <w:t xml:space="preserve">center za socialno delo </w:t>
            </w:r>
          </w:p>
        </w:tc>
      </w:tr>
      <w:tr w:rsidR="00BD4A45" w:rsidRPr="00FF207E" w14:paraId="7713F0E0" w14:textId="77777777" w:rsidTr="00D9237F">
        <w:trPr>
          <w:trHeight w:val="255"/>
        </w:trPr>
        <w:tc>
          <w:tcPr>
            <w:tcW w:w="1526" w:type="dxa"/>
            <w:shd w:val="clear" w:color="auto" w:fill="auto"/>
            <w:noWrap/>
            <w:vAlign w:val="center"/>
          </w:tcPr>
          <w:p w14:paraId="335E2508" w14:textId="3208C4E4" w:rsidR="00BD4A45" w:rsidRPr="00FF207E" w:rsidRDefault="00BD4A45" w:rsidP="001E304B">
            <w:pPr>
              <w:spacing w:line="300" w:lineRule="exact"/>
              <w:jc w:val="both"/>
              <w:rPr>
                <w:rFonts w:cs="Arial"/>
                <w:b/>
                <w:bCs/>
                <w:i/>
                <w:iCs/>
                <w:sz w:val="18"/>
                <w:szCs w:val="18"/>
                <w:lang w:val="sl-SI"/>
              </w:rPr>
            </w:pPr>
            <w:r w:rsidRPr="00FF207E">
              <w:rPr>
                <w:rFonts w:cs="Arial"/>
                <w:b/>
                <w:bCs/>
                <w:i/>
                <w:iCs/>
                <w:sz w:val="18"/>
                <w:szCs w:val="18"/>
                <w:lang w:val="sl-SI"/>
              </w:rPr>
              <w:t>ČD</w:t>
            </w:r>
          </w:p>
        </w:tc>
        <w:tc>
          <w:tcPr>
            <w:tcW w:w="7688" w:type="dxa"/>
            <w:shd w:val="clear" w:color="auto" w:fill="auto"/>
            <w:noWrap/>
            <w:vAlign w:val="center"/>
          </w:tcPr>
          <w:p w14:paraId="3DBF8311" w14:textId="56F2E910" w:rsidR="00BD4A45" w:rsidRPr="00FF207E" w:rsidRDefault="00BD4A45" w:rsidP="001E304B">
            <w:pPr>
              <w:spacing w:line="300" w:lineRule="exact"/>
              <w:jc w:val="both"/>
              <w:rPr>
                <w:rFonts w:cs="Arial"/>
                <w:color w:val="000000"/>
                <w:sz w:val="18"/>
                <w:szCs w:val="18"/>
                <w:lang w:val="sl-SI"/>
              </w:rPr>
            </w:pPr>
            <w:r w:rsidRPr="00FF207E">
              <w:rPr>
                <w:rFonts w:cs="Arial"/>
                <w:color w:val="000000"/>
                <w:sz w:val="18"/>
                <w:szCs w:val="18"/>
                <w:lang w:val="sl-SI"/>
              </w:rPr>
              <w:t>človek dan</w:t>
            </w:r>
          </w:p>
        </w:tc>
      </w:tr>
      <w:tr w:rsidR="00E07BF0" w:rsidRPr="00FF207E" w14:paraId="3BD535A8" w14:textId="77777777" w:rsidTr="00682482">
        <w:trPr>
          <w:trHeight w:val="255"/>
        </w:trPr>
        <w:tc>
          <w:tcPr>
            <w:tcW w:w="1526" w:type="dxa"/>
            <w:shd w:val="clear" w:color="auto" w:fill="auto"/>
            <w:noWrap/>
            <w:vAlign w:val="center"/>
          </w:tcPr>
          <w:p w14:paraId="754743BB" w14:textId="434624E3" w:rsidR="00E07BF0" w:rsidRPr="00FF207E" w:rsidRDefault="00BD4A45" w:rsidP="001E304B">
            <w:pPr>
              <w:spacing w:line="300" w:lineRule="exact"/>
              <w:jc w:val="both"/>
              <w:rPr>
                <w:rFonts w:cs="Arial"/>
                <w:b/>
                <w:bCs/>
                <w:i/>
                <w:iCs/>
                <w:sz w:val="18"/>
                <w:szCs w:val="18"/>
                <w:lang w:val="sl-SI"/>
              </w:rPr>
            </w:pPr>
            <w:r w:rsidRPr="00FF207E">
              <w:rPr>
                <w:rFonts w:cs="Arial"/>
                <w:b/>
                <w:bCs/>
                <w:i/>
                <w:iCs/>
                <w:sz w:val="18"/>
                <w:szCs w:val="18"/>
                <w:lang w:val="sl-SI"/>
              </w:rPr>
              <w:t>ČL</w:t>
            </w:r>
          </w:p>
        </w:tc>
        <w:tc>
          <w:tcPr>
            <w:tcW w:w="7688" w:type="dxa"/>
            <w:shd w:val="clear" w:color="auto" w:fill="auto"/>
            <w:noWrap/>
            <w:vAlign w:val="center"/>
          </w:tcPr>
          <w:p w14:paraId="49FE4CCD" w14:textId="18663752" w:rsidR="00E07BF0" w:rsidRPr="00FF207E" w:rsidRDefault="00E07BF0" w:rsidP="001E304B">
            <w:pPr>
              <w:spacing w:line="300" w:lineRule="exact"/>
              <w:jc w:val="both"/>
              <w:rPr>
                <w:rFonts w:cs="Arial"/>
                <w:color w:val="000000"/>
                <w:sz w:val="18"/>
                <w:szCs w:val="18"/>
                <w:lang w:val="sl-SI"/>
              </w:rPr>
            </w:pPr>
            <w:r w:rsidRPr="00FF207E">
              <w:rPr>
                <w:rFonts w:cs="Arial"/>
                <w:color w:val="000000"/>
                <w:sz w:val="18"/>
                <w:szCs w:val="18"/>
                <w:lang w:val="sl-SI"/>
              </w:rPr>
              <w:t>človek leto</w:t>
            </w:r>
          </w:p>
        </w:tc>
      </w:tr>
      <w:tr w:rsidR="00D40076" w:rsidRPr="00FF207E" w14:paraId="77372BA7" w14:textId="77777777" w:rsidTr="001E4067">
        <w:trPr>
          <w:trHeight w:val="255"/>
        </w:trPr>
        <w:tc>
          <w:tcPr>
            <w:tcW w:w="1526" w:type="dxa"/>
            <w:shd w:val="clear" w:color="auto" w:fill="auto"/>
            <w:noWrap/>
            <w:vAlign w:val="center"/>
          </w:tcPr>
          <w:p w14:paraId="1AB08C81" w14:textId="7E18F4B6" w:rsidR="00D40076" w:rsidRPr="00FF207E" w:rsidRDefault="00BD4A45" w:rsidP="001E304B">
            <w:pPr>
              <w:spacing w:line="300" w:lineRule="exact"/>
              <w:jc w:val="both"/>
              <w:rPr>
                <w:rFonts w:cs="Arial"/>
                <w:b/>
                <w:bCs/>
                <w:i/>
                <w:iCs/>
                <w:sz w:val="18"/>
                <w:szCs w:val="18"/>
                <w:lang w:val="sl-SI"/>
              </w:rPr>
            </w:pPr>
            <w:r w:rsidRPr="00FF207E">
              <w:rPr>
                <w:rFonts w:cs="Arial"/>
                <w:b/>
                <w:bCs/>
                <w:i/>
                <w:iCs/>
                <w:sz w:val="18"/>
                <w:szCs w:val="18"/>
                <w:lang w:val="sl-SI"/>
              </w:rPr>
              <w:t>ČM</w:t>
            </w:r>
          </w:p>
        </w:tc>
        <w:tc>
          <w:tcPr>
            <w:tcW w:w="7688" w:type="dxa"/>
            <w:shd w:val="clear" w:color="auto" w:fill="auto"/>
            <w:noWrap/>
            <w:vAlign w:val="center"/>
          </w:tcPr>
          <w:p w14:paraId="020AE671" w14:textId="2464F1AC" w:rsidR="00D40076" w:rsidRPr="00FF207E" w:rsidRDefault="00D40076" w:rsidP="001E304B">
            <w:pPr>
              <w:spacing w:line="300" w:lineRule="exact"/>
              <w:jc w:val="both"/>
              <w:rPr>
                <w:rFonts w:cs="Arial"/>
                <w:color w:val="000000"/>
                <w:sz w:val="18"/>
                <w:szCs w:val="18"/>
                <w:lang w:val="sl-SI"/>
              </w:rPr>
            </w:pPr>
            <w:r w:rsidRPr="00FF207E">
              <w:rPr>
                <w:rFonts w:cs="Arial"/>
                <w:color w:val="000000"/>
                <w:sz w:val="18"/>
                <w:szCs w:val="18"/>
                <w:lang w:val="sl-SI"/>
              </w:rPr>
              <w:t>človek mesec</w:t>
            </w:r>
          </w:p>
        </w:tc>
      </w:tr>
      <w:tr w:rsidR="000D1A89" w:rsidRPr="00FF207E" w14:paraId="09845305" w14:textId="77777777" w:rsidTr="00682482">
        <w:trPr>
          <w:trHeight w:val="255"/>
        </w:trPr>
        <w:tc>
          <w:tcPr>
            <w:tcW w:w="1526" w:type="dxa"/>
            <w:shd w:val="clear" w:color="auto" w:fill="auto"/>
            <w:noWrap/>
            <w:vAlign w:val="center"/>
          </w:tcPr>
          <w:p w14:paraId="290F9D93" w14:textId="77777777" w:rsidR="000D1A89" w:rsidRPr="00FF207E" w:rsidRDefault="000D1A89" w:rsidP="001E304B">
            <w:pPr>
              <w:spacing w:line="300" w:lineRule="exact"/>
              <w:jc w:val="both"/>
              <w:rPr>
                <w:rFonts w:cs="Arial"/>
                <w:b/>
                <w:bCs/>
                <w:i/>
                <w:iCs/>
                <w:sz w:val="18"/>
                <w:szCs w:val="18"/>
                <w:lang w:val="sl-SI"/>
              </w:rPr>
            </w:pPr>
            <w:r w:rsidRPr="00FF207E">
              <w:rPr>
                <w:rFonts w:cs="Arial"/>
                <w:b/>
                <w:bCs/>
                <w:i/>
                <w:iCs/>
                <w:sz w:val="18"/>
                <w:szCs w:val="18"/>
                <w:lang w:val="sl-SI"/>
              </w:rPr>
              <w:t>DDV</w:t>
            </w:r>
          </w:p>
        </w:tc>
        <w:tc>
          <w:tcPr>
            <w:tcW w:w="7688" w:type="dxa"/>
            <w:shd w:val="clear" w:color="auto" w:fill="auto"/>
            <w:noWrap/>
            <w:vAlign w:val="center"/>
          </w:tcPr>
          <w:p w14:paraId="571CDE2D" w14:textId="77777777" w:rsidR="000D1A89" w:rsidRPr="00FF207E" w:rsidRDefault="000D1A89" w:rsidP="001E304B">
            <w:pPr>
              <w:spacing w:line="300" w:lineRule="exact"/>
              <w:jc w:val="both"/>
              <w:rPr>
                <w:rFonts w:cs="Arial"/>
                <w:color w:val="000000"/>
                <w:sz w:val="18"/>
                <w:szCs w:val="18"/>
                <w:lang w:val="sl-SI"/>
              </w:rPr>
            </w:pPr>
            <w:r w:rsidRPr="00FF207E">
              <w:rPr>
                <w:rFonts w:cs="Arial"/>
                <w:color w:val="000000"/>
                <w:sz w:val="18"/>
                <w:szCs w:val="18"/>
                <w:lang w:val="sl-SI"/>
              </w:rPr>
              <w:t>davek na dodano vrednost</w:t>
            </w:r>
          </w:p>
        </w:tc>
      </w:tr>
      <w:tr w:rsidR="000D1A89" w:rsidRPr="00FF207E" w14:paraId="6CC70AE7" w14:textId="77777777" w:rsidTr="00682482">
        <w:trPr>
          <w:trHeight w:val="255"/>
        </w:trPr>
        <w:tc>
          <w:tcPr>
            <w:tcW w:w="1526" w:type="dxa"/>
            <w:shd w:val="clear" w:color="auto" w:fill="auto"/>
            <w:noWrap/>
            <w:vAlign w:val="center"/>
            <w:hideMark/>
          </w:tcPr>
          <w:p w14:paraId="3471A528" w14:textId="77777777" w:rsidR="000D1A89" w:rsidRPr="00FF207E" w:rsidRDefault="000D1A89" w:rsidP="001E304B">
            <w:pPr>
              <w:spacing w:line="300" w:lineRule="exact"/>
              <w:jc w:val="both"/>
              <w:rPr>
                <w:rFonts w:cs="Arial"/>
                <w:b/>
                <w:bCs/>
                <w:i/>
                <w:iCs/>
                <w:sz w:val="18"/>
                <w:szCs w:val="18"/>
                <w:lang w:val="sl-SI"/>
              </w:rPr>
            </w:pPr>
            <w:r w:rsidRPr="00FF207E">
              <w:rPr>
                <w:rFonts w:cs="Arial"/>
                <w:b/>
                <w:bCs/>
                <w:i/>
                <w:iCs/>
                <w:sz w:val="18"/>
                <w:szCs w:val="18"/>
                <w:lang w:val="sl-SI"/>
              </w:rPr>
              <w:t>DE</w:t>
            </w:r>
          </w:p>
        </w:tc>
        <w:tc>
          <w:tcPr>
            <w:tcW w:w="7688" w:type="dxa"/>
            <w:shd w:val="clear" w:color="auto" w:fill="auto"/>
            <w:noWrap/>
            <w:vAlign w:val="center"/>
            <w:hideMark/>
          </w:tcPr>
          <w:p w14:paraId="06D9CE2B" w14:textId="77777777" w:rsidR="000D1A89" w:rsidRPr="00FF207E" w:rsidRDefault="000D1A89" w:rsidP="001E304B">
            <w:pPr>
              <w:spacing w:line="300" w:lineRule="exact"/>
              <w:jc w:val="both"/>
              <w:rPr>
                <w:rFonts w:cs="Arial"/>
                <w:color w:val="000000"/>
                <w:sz w:val="18"/>
                <w:szCs w:val="18"/>
                <w:lang w:val="sl-SI"/>
              </w:rPr>
            </w:pPr>
            <w:r w:rsidRPr="00FF207E">
              <w:rPr>
                <w:rFonts w:cs="Arial"/>
                <w:color w:val="000000"/>
                <w:sz w:val="18"/>
                <w:szCs w:val="18"/>
                <w:lang w:val="sl-SI"/>
              </w:rPr>
              <w:t>Direktorat za energijo</w:t>
            </w:r>
          </w:p>
        </w:tc>
      </w:tr>
      <w:tr w:rsidR="000D1A89" w:rsidRPr="00FF207E" w14:paraId="43BFA5BE" w14:textId="77777777" w:rsidTr="00682482">
        <w:trPr>
          <w:trHeight w:val="255"/>
        </w:trPr>
        <w:tc>
          <w:tcPr>
            <w:tcW w:w="1526" w:type="dxa"/>
            <w:shd w:val="clear" w:color="auto" w:fill="auto"/>
            <w:noWrap/>
            <w:vAlign w:val="center"/>
            <w:hideMark/>
          </w:tcPr>
          <w:p w14:paraId="2AFA4478" w14:textId="77777777" w:rsidR="000D1A89" w:rsidRPr="00FF207E" w:rsidRDefault="000D1A89" w:rsidP="001E304B">
            <w:pPr>
              <w:spacing w:line="300" w:lineRule="exact"/>
              <w:jc w:val="both"/>
              <w:rPr>
                <w:rFonts w:cs="Arial"/>
                <w:b/>
                <w:bCs/>
                <w:i/>
                <w:iCs/>
                <w:sz w:val="18"/>
                <w:szCs w:val="18"/>
                <w:lang w:val="sl-SI"/>
              </w:rPr>
            </w:pPr>
            <w:r w:rsidRPr="00FF207E">
              <w:rPr>
                <w:rFonts w:cs="Arial"/>
                <w:b/>
                <w:bCs/>
                <w:i/>
                <w:iCs/>
                <w:sz w:val="18"/>
                <w:szCs w:val="18"/>
                <w:lang w:val="sl-SI"/>
              </w:rPr>
              <w:t>DSEPS 2050</w:t>
            </w:r>
          </w:p>
        </w:tc>
        <w:tc>
          <w:tcPr>
            <w:tcW w:w="7688" w:type="dxa"/>
            <w:shd w:val="clear" w:color="auto" w:fill="auto"/>
            <w:noWrap/>
            <w:vAlign w:val="center"/>
            <w:hideMark/>
          </w:tcPr>
          <w:p w14:paraId="5E216F82" w14:textId="77777777" w:rsidR="000D1A89" w:rsidRPr="00FF207E" w:rsidRDefault="000D1A89" w:rsidP="001E304B">
            <w:pPr>
              <w:spacing w:line="300" w:lineRule="exact"/>
              <w:jc w:val="both"/>
              <w:rPr>
                <w:rFonts w:cs="Arial"/>
                <w:color w:val="000000"/>
                <w:sz w:val="18"/>
                <w:szCs w:val="18"/>
                <w:lang w:val="sl-SI"/>
              </w:rPr>
            </w:pPr>
            <w:r w:rsidRPr="00FF207E">
              <w:rPr>
                <w:rFonts w:cs="Arial"/>
                <w:color w:val="000000"/>
                <w:sz w:val="18"/>
                <w:szCs w:val="18"/>
                <w:lang w:val="sl-SI"/>
              </w:rPr>
              <w:t xml:space="preserve">Dolgoročna strategija energetske prenove stavb do leta 2050 </w:t>
            </w:r>
          </w:p>
        </w:tc>
      </w:tr>
      <w:tr w:rsidR="000D1A89" w:rsidRPr="00FF207E" w14:paraId="4FFE15A5" w14:textId="77777777" w:rsidTr="00682482">
        <w:trPr>
          <w:trHeight w:val="255"/>
        </w:trPr>
        <w:tc>
          <w:tcPr>
            <w:tcW w:w="1526" w:type="dxa"/>
            <w:shd w:val="clear" w:color="auto" w:fill="auto"/>
            <w:noWrap/>
            <w:vAlign w:val="center"/>
            <w:hideMark/>
          </w:tcPr>
          <w:p w14:paraId="2A4649DC" w14:textId="77777777" w:rsidR="000D1A89" w:rsidRPr="00FF207E" w:rsidRDefault="000D1A89" w:rsidP="001E304B">
            <w:pPr>
              <w:spacing w:line="300" w:lineRule="exact"/>
              <w:jc w:val="both"/>
              <w:rPr>
                <w:rFonts w:cs="Arial"/>
                <w:b/>
                <w:bCs/>
                <w:i/>
                <w:iCs/>
                <w:sz w:val="18"/>
                <w:szCs w:val="18"/>
                <w:lang w:val="sl-SI"/>
              </w:rPr>
            </w:pPr>
            <w:r w:rsidRPr="00FF207E">
              <w:rPr>
                <w:rFonts w:cs="Arial"/>
                <w:b/>
                <w:bCs/>
                <w:i/>
                <w:iCs/>
                <w:sz w:val="18"/>
                <w:szCs w:val="18"/>
                <w:lang w:val="sl-SI"/>
              </w:rPr>
              <w:t>DSP</w:t>
            </w:r>
          </w:p>
        </w:tc>
        <w:tc>
          <w:tcPr>
            <w:tcW w:w="7688" w:type="dxa"/>
            <w:shd w:val="clear" w:color="auto" w:fill="auto"/>
            <w:noWrap/>
            <w:vAlign w:val="center"/>
            <w:hideMark/>
          </w:tcPr>
          <w:p w14:paraId="658C3C9C" w14:textId="77777777" w:rsidR="000D1A89" w:rsidRPr="00FF207E" w:rsidRDefault="000D1A89" w:rsidP="001E304B">
            <w:pPr>
              <w:spacing w:line="300" w:lineRule="exact"/>
              <w:jc w:val="both"/>
              <w:rPr>
                <w:rFonts w:cs="Arial"/>
                <w:color w:val="000000"/>
                <w:sz w:val="18"/>
                <w:szCs w:val="18"/>
                <w:lang w:val="sl-SI"/>
              </w:rPr>
            </w:pPr>
            <w:r w:rsidRPr="00FF207E">
              <w:rPr>
                <w:rFonts w:cs="Arial"/>
                <w:color w:val="000000"/>
                <w:sz w:val="18"/>
                <w:szCs w:val="18"/>
                <w:lang w:val="sl-SI"/>
              </w:rPr>
              <w:t>denarna socialna pomoč</w:t>
            </w:r>
          </w:p>
        </w:tc>
      </w:tr>
      <w:tr w:rsidR="002D56C6" w:rsidRPr="00FF207E" w14:paraId="6922C8F8" w14:textId="77777777" w:rsidTr="00C27DEA">
        <w:trPr>
          <w:trHeight w:val="255"/>
        </w:trPr>
        <w:tc>
          <w:tcPr>
            <w:tcW w:w="1526" w:type="dxa"/>
            <w:shd w:val="clear" w:color="auto" w:fill="auto"/>
            <w:noWrap/>
            <w:vAlign w:val="center"/>
            <w:hideMark/>
          </w:tcPr>
          <w:p w14:paraId="5916E97F" w14:textId="0E0138B0" w:rsidR="002D56C6" w:rsidRPr="00FF207E" w:rsidRDefault="002D56C6" w:rsidP="001E304B">
            <w:pPr>
              <w:spacing w:line="300" w:lineRule="exact"/>
              <w:jc w:val="both"/>
              <w:rPr>
                <w:rFonts w:cs="Arial"/>
                <w:b/>
                <w:bCs/>
                <w:i/>
                <w:iCs/>
                <w:sz w:val="18"/>
                <w:szCs w:val="18"/>
                <w:lang w:val="sl-SI"/>
              </w:rPr>
            </w:pPr>
            <w:r w:rsidRPr="00FF207E">
              <w:rPr>
                <w:rFonts w:cs="Arial"/>
                <w:b/>
                <w:bCs/>
                <w:i/>
                <w:iCs/>
                <w:sz w:val="18"/>
                <w:szCs w:val="18"/>
                <w:lang w:val="sl-SI"/>
              </w:rPr>
              <w:t>DZ</w:t>
            </w:r>
          </w:p>
        </w:tc>
        <w:tc>
          <w:tcPr>
            <w:tcW w:w="7688" w:type="dxa"/>
            <w:shd w:val="clear" w:color="auto" w:fill="auto"/>
            <w:noWrap/>
            <w:vAlign w:val="center"/>
            <w:hideMark/>
          </w:tcPr>
          <w:p w14:paraId="5F08A159" w14:textId="3A933957" w:rsidR="002D56C6" w:rsidRPr="00FF207E" w:rsidRDefault="002D56C6" w:rsidP="001E304B">
            <w:pPr>
              <w:spacing w:line="300" w:lineRule="exact"/>
              <w:jc w:val="both"/>
              <w:rPr>
                <w:rFonts w:cs="Arial"/>
                <w:color w:val="000000"/>
                <w:sz w:val="18"/>
                <w:szCs w:val="18"/>
                <w:lang w:val="sl-SI"/>
              </w:rPr>
            </w:pPr>
            <w:r w:rsidRPr="00FF207E">
              <w:rPr>
                <w:rFonts w:cs="Arial"/>
                <w:color w:val="000000"/>
                <w:sz w:val="18"/>
                <w:szCs w:val="18"/>
                <w:lang w:val="sl-SI"/>
              </w:rPr>
              <w:t>Državni zbor</w:t>
            </w:r>
          </w:p>
        </w:tc>
      </w:tr>
      <w:tr w:rsidR="000D1A89" w:rsidRPr="00FF207E" w14:paraId="455D9A1C" w14:textId="77777777" w:rsidTr="00682482">
        <w:trPr>
          <w:trHeight w:val="255"/>
        </w:trPr>
        <w:tc>
          <w:tcPr>
            <w:tcW w:w="1526" w:type="dxa"/>
            <w:shd w:val="clear" w:color="auto" w:fill="auto"/>
            <w:noWrap/>
            <w:vAlign w:val="center"/>
            <w:hideMark/>
          </w:tcPr>
          <w:p w14:paraId="3820452F" w14:textId="77777777" w:rsidR="000D1A89" w:rsidRPr="00FF207E" w:rsidRDefault="000D1A89" w:rsidP="001E304B">
            <w:pPr>
              <w:spacing w:line="300" w:lineRule="exact"/>
              <w:jc w:val="both"/>
              <w:rPr>
                <w:rFonts w:cs="Arial"/>
                <w:b/>
                <w:bCs/>
                <w:i/>
                <w:iCs/>
                <w:sz w:val="18"/>
                <w:szCs w:val="18"/>
                <w:lang w:val="sl-SI"/>
              </w:rPr>
            </w:pPr>
            <w:r w:rsidRPr="00FF207E">
              <w:rPr>
                <w:rFonts w:cs="Arial"/>
                <w:b/>
                <w:bCs/>
                <w:i/>
                <w:iCs/>
                <w:sz w:val="18"/>
                <w:szCs w:val="18"/>
                <w:lang w:val="sl-SI"/>
              </w:rPr>
              <w:t>ENSVET</w:t>
            </w:r>
          </w:p>
        </w:tc>
        <w:tc>
          <w:tcPr>
            <w:tcW w:w="7688" w:type="dxa"/>
            <w:shd w:val="clear" w:color="auto" w:fill="auto"/>
            <w:noWrap/>
            <w:vAlign w:val="center"/>
            <w:hideMark/>
          </w:tcPr>
          <w:p w14:paraId="490AFB75" w14:textId="77777777" w:rsidR="000D1A89" w:rsidRPr="00FF207E" w:rsidRDefault="000D1A89" w:rsidP="001E304B">
            <w:pPr>
              <w:spacing w:line="300" w:lineRule="exact"/>
              <w:jc w:val="both"/>
              <w:rPr>
                <w:rFonts w:cs="Arial"/>
                <w:color w:val="000000"/>
                <w:sz w:val="18"/>
                <w:szCs w:val="18"/>
                <w:lang w:val="sl-SI"/>
              </w:rPr>
            </w:pPr>
            <w:r w:rsidRPr="00FF207E">
              <w:rPr>
                <w:rFonts w:cs="Arial"/>
                <w:color w:val="000000"/>
                <w:sz w:val="18"/>
                <w:szCs w:val="18"/>
                <w:lang w:val="sl-SI"/>
              </w:rPr>
              <w:t>Energetsko svetovalna mreža za občane</w:t>
            </w:r>
          </w:p>
        </w:tc>
      </w:tr>
      <w:tr w:rsidR="000D1A89" w:rsidRPr="00FF207E" w14:paraId="52E92321" w14:textId="77777777" w:rsidTr="00682482">
        <w:trPr>
          <w:trHeight w:val="255"/>
        </w:trPr>
        <w:tc>
          <w:tcPr>
            <w:tcW w:w="1526" w:type="dxa"/>
            <w:shd w:val="clear" w:color="auto" w:fill="auto"/>
            <w:noWrap/>
            <w:vAlign w:val="center"/>
          </w:tcPr>
          <w:p w14:paraId="3AC9BDAD" w14:textId="77777777" w:rsidR="000D1A89" w:rsidRPr="00FF207E" w:rsidRDefault="000D1A89" w:rsidP="001E304B">
            <w:pPr>
              <w:spacing w:line="300" w:lineRule="exact"/>
              <w:jc w:val="both"/>
              <w:rPr>
                <w:rFonts w:cs="Arial"/>
                <w:b/>
                <w:bCs/>
                <w:i/>
                <w:iCs/>
                <w:sz w:val="18"/>
                <w:szCs w:val="18"/>
                <w:lang w:val="sl-SI"/>
              </w:rPr>
            </w:pPr>
            <w:r w:rsidRPr="00FF207E">
              <w:rPr>
                <w:rFonts w:cs="Arial"/>
                <w:b/>
                <w:bCs/>
                <w:i/>
                <w:iCs/>
                <w:sz w:val="18"/>
                <w:szCs w:val="18"/>
                <w:lang w:val="sl-SI"/>
              </w:rPr>
              <w:t>ER</w:t>
            </w:r>
          </w:p>
        </w:tc>
        <w:tc>
          <w:tcPr>
            <w:tcW w:w="7688" w:type="dxa"/>
            <w:shd w:val="clear" w:color="auto" w:fill="auto"/>
            <w:noWrap/>
            <w:vAlign w:val="center"/>
          </w:tcPr>
          <w:p w14:paraId="687E5E00" w14:textId="77777777" w:rsidR="000D1A89" w:rsidRPr="00FF207E" w:rsidRDefault="000D1A89" w:rsidP="001E304B">
            <w:pPr>
              <w:spacing w:line="300" w:lineRule="exact"/>
              <w:jc w:val="both"/>
              <w:rPr>
                <w:rFonts w:cs="Arial"/>
                <w:color w:val="000000"/>
                <w:sz w:val="18"/>
                <w:szCs w:val="18"/>
                <w:lang w:val="sl-SI"/>
              </w:rPr>
            </w:pPr>
            <w:r w:rsidRPr="00FF207E">
              <w:rPr>
                <w:rFonts w:cs="Arial"/>
                <w:color w:val="000000"/>
                <w:sz w:val="18"/>
                <w:szCs w:val="18"/>
                <w:lang w:val="sl-SI"/>
              </w:rPr>
              <w:t>energetska revščina</w:t>
            </w:r>
          </w:p>
        </w:tc>
      </w:tr>
      <w:tr w:rsidR="000D1A89" w:rsidRPr="00FF207E" w14:paraId="3499B545" w14:textId="77777777" w:rsidTr="00682482">
        <w:trPr>
          <w:trHeight w:val="255"/>
        </w:trPr>
        <w:tc>
          <w:tcPr>
            <w:tcW w:w="1526" w:type="dxa"/>
            <w:shd w:val="clear" w:color="auto" w:fill="auto"/>
            <w:noWrap/>
            <w:vAlign w:val="center"/>
            <w:hideMark/>
          </w:tcPr>
          <w:p w14:paraId="4FC8ED19" w14:textId="77777777" w:rsidR="000D1A89" w:rsidRPr="00FF207E" w:rsidRDefault="000D1A89" w:rsidP="001E304B">
            <w:pPr>
              <w:spacing w:line="300" w:lineRule="exact"/>
              <w:jc w:val="both"/>
              <w:rPr>
                <w:rFonts w:cs="Arial"/>
                <w:b/>
                <w:bCs/>
                <w:i/>
                <w:iCs/>
                <w:sz w:val="18"/>
                <w:szCs w:val="18"/>
                <w:lang w:val="sl-SI"/>
              </w:rPr>
            </w:pPr>
            <w:r w:rsidRPr="00FF207E">
              <w:rPr>
                <w:rFonts w:cs="Arial"/>
                <w:b/>
                <w:bCs/>
                <w:i/>
                <w:iCs/>
                <w:sz w:val="18"/>
                <w:szCs w:val="18"/>
                <w:lang w:val="sl-SI"/>
              </w:rPr>
              <w:t>EU-SILC</w:t>
            </w:r>
          </w:p>
        </w:tc>
        <w:tc>
          <w:tcPr>
            <w:tcW w:w="7688" w:type="dxa"/>
            <w:shd w:val="clear" w:color="auto" w:fill="auto"/>
            <w:noWrap/>
            <w:vAlign w:val="center"/>
            <w:hideMark/>
          </w:tcPr>
          <w:p w14:paraId="6A3CABDA" w14:textId="77777777" w:rsidR="000D1A89" w:rsidRPr="00FF207E" w:rsidRDefault="000D1A89" w:rsidP="001E304B">
            <w:pPr>
              <w:spacing w:line="300" w:lineRule="exact"/>
              <w:jc w:val="both"/>
              <w:rPr>
                <w:rFonts w:cs="Arial"/>
                <w:color w:val="000000"/>
                <w:sz w:val="18"/>
                <w:szCs w:val="18"/>
                <w:lang w:val="sl-SI"/>
              </w:rPr>
            </w:pPr>
            <w:r w:rsidRPr="00FF207E">
              <w:rPr>
                <w:rFonts w:cs="Arial"/>
                <w:color w:val="000000"/>
                <w:sz w:val="18"/>
                <w:szCs w:val="18"/>
                <w:lang w:val="sl-SI"/>
              </w:rPr>
              <w:t xml:space="preserve">EU </w:t>
            </w:r>
            <w:proofErr w:type="spellStart"/>
            <w:r w:rsidRPr="00FF207E">
              <w:rPr>
                <w:rFonts w:cs="Arial"/>
                <w:color w:val="000000"/>
                <w:sz w:val="18"/>
                <w:szCs w:val="18"/>
                <w:lang w:val="sl-SI"/>
              </w:rPr>
              <w:t>statistics</w:t>
            </w:r>
            <w:proofErr w:type="spellEnd"/>
            <w:r w:rsidRPr="00FF207E">
              <w:rPr>
                <w:rFonts w:cs="Arial"/>
                <w:color w:val="000000"/>
                <w:sz w:val="18"/>
                <w:szCs w:val="18"/>
                <w:lang w:val="sl-SI"/>
              </w:rPr>
              <w:t xml:space="preserve"> on </w:t>
            </w:r>
            <w:proofErr w:type="spellStart"/>
            <w:r w:rsidRPr="00FF207E">
              <w:rPr>
                <w:rFonts w:cs="Arial"/>
                <w:color w:val="000000"/>
                <w:sz w:val="18"/>
                <w:szCs w:val="18"/>
                <w:lang w:val="sl-SI"/>
              </w:rPr>
              <w:t>income</w:t>
            </w:r>
            <w:proofErr w:type="spellEnd"/>
            <w:r w:rsidRPr="00FF207E">
              <w:rPr>
                <w:rFonts w:cs="Arial"/>
                <w:color w:val="000000"/>
                <w:sz w:val="18"/>
                <w:szCs w:val="18"/>
                <w:lang w:val="sl-SI"/>
              </w:rPr>
              <w:t xml:space="preserve"> </w:t>
            </w:r>
            <w:proofErr w:type="spellStart"/>
            <w:r w:rsidRPr="00FF207E">
              <w:rPr>
                <w:rFonts w:cs="Arial"/>
                <w:color w:val="000000"/>
                <w:sz w:val="18"/>
                <w:szCs w:val="18"/>
                <w:lang w:val="sl-SI"/>
              </w:rPr>
              <w:t>and</w:t>
            </w:r>
            <w:proofErr w:type="spellEnd"/>
            <w:r w:rsidRPr="00FF207E">
              <w:rPr>
                <w:rFonts w:cs="Arial"/>
                <w:color w:val="000000"/>
                <w:sz w:val="18"/>
                <w:szCs w:val="18"/>
                <w:lang w:val="sl-SI"/>
              </w:rPr>
              <w:t xml:space="preserve"> </w:t>
            </w:r>
            <w:proofErr w:type="spellStart"/>
            <w:r w:rsidRPr="00FF207E">
              <w:rPr>
                <w:rFonts w:cs="Arial"/>
                <w:color w:val="000000"/>
                <w:sz w:val="18"/>
                <w:szCs w:val="18"/>
                <w:lang w:val="sl-SI"/>
              </w:rPr>
              <w:t>living</w:t>
            </w:r>
            <w:proofErr w:type="spellEnd"/>
            <w:r w:rsidRPr="00FF207E">
              <w:rPr>
                <w:rFonts w:cs="Arial"/>
                <w:color w:val="000000"/>
                <w:sz w:val="18"/>
                <w:szCs w:val="18"/>
                <w:lang w:val="sl-SI"/>
              </w:rPr>
              <w:t xml:space="preserve"> </w:t>
            </w:r>
            <w:proofErr w:type="spellStart"/>
            <w:r w:rsidRPr="00FF207E">
              <w:rPr>
                <w:rFonts w:cs="Arial"/>
                <w:color w:val="000000"/>
                <w:sz w:val="18"/>
                <w:szCs w:val="18"/>
                <w:lang w:val="sl-SI"/>
              </w:rPr>
              <w:t>conditions</w:t>
            </w:r>
            <w:proofErr w:type="spellEnd"/>
          </w:p>
        </w:tc>
      </w:tr>
      <w:tr w:rsidR="000D1A89" w:rsidRPr="00FF207E" w14:paraId="7B4F8669" w14:textId="77777777" w:rsidTr="00682482">
        <w:trPr>
          <w:trHeight w:val="255"/>
        </w:trPr>
        <w:tc>
          <w:tcPr>
            <w:tcW w:w="1526" w:type="dxa"/>
            <w:shd w:val="clear" w:color="auto" w:fill="auto"/>
            <w:noWrap/>
            <w:vAlign w:val="center"/>
            <w:hideMark/>
          </w:tcPr>
          <w:p w14:paraId="07CBE133" w14:textId="77777777" w:rsidR="000D1A89" w:rsidRPr="00FF207E" w:rsidRDefault="000D1A89" w:rsidP="001E304B">
            <w:pPr>
              <w:spacing w:line="300" w:lineRule="exact"/>
              <w:jc w:val="both"/>
              <w:rPr>
                <w:rFonts w:cs="Arial"/>
                <w:b/>
                <w:bCs/>
                <w:i/>
                <w:iCs/>
                <w:sz w:val="18"/>
                <w:szCs w:val="18"/>
                <w:lang w:val="sl-SI"/>
              </w:rPr>
            </w:pPr>
            <w:r w:rsidRPr="00FF207E">
              <w:rPr>
                <w:rFonts w:cs="Arial"/>
                <w:b/>
                <w:bCs/>
                <w:i/>
                <w:iCs/>
                <w:sz w:val="18"/>
                <w:szCs w:val="18"/>
                <w:lang w:val="sl-SI"/>
              </w:rPr>
              <w:t>EU</w:t>
            </w:r>
          </w:p>
        </w:tc>
        <w:tc>
          <w:tcPr>
            <w:tcW w:w="7688" w:type="dxa"/>
            <w:shd w:val="clear" w:color="auto" w:fill="auto"/>
            <w:noWrap/>
            <w:vAlign w:val="center"/>
            <w:hideMark/>
          </w:tcPr>
          <w:p w14:paraId="338B1FCB" w14:textId="77777777" w:rsidR="000D1A89" w:rsidRPr="00FF207E" w:rsidRDefault="000D1A89" w:rsidP="001E304B">
            <w:pPr>
              <w:spacing w:line="300" w:lineRule="exact"/>
              <w:jc w:val="both"/>
              <w:rPr>
                <w:rFonts w:cs="Arial"/>
                <w:color w:val="000000"/>
                <w:sz w:val="18"/>
                <w:szCs w:val="18"/>
                <w:lang w:val="sl-SI"/>
              </w:rPr>
            </w:pPr>
            <w:r w:rsidRPr="00FF207E">
              <w:rPr>
                <w:rFonts w:cs="Arial"/>
                <w:color w:val="000000"/>
                <w:sz w:val="18"/>
                <w:szCs w:val="18"/>
                <w:lang w:val="sl-SI"/>
              </w:rPr>
              <w:t>Evropska unija (</w:t>
            </w:r>
            <w:proofErr w:type="spellStart"/>
            <w:r w:rsidRPr="00FF207E">
              <w:rPr>
                <w:rFonts w:cs="Arial"/>
                <w:color w:val="000000"/>
                <w:sz w:val="18"/>
                <w:szCs w:val="18"/>
                <w:lang w:val="sl-SI"/>
              </w:rPr>
              <w:t>European</w:t>
            </w:r>
            <w:proofErr w:type="spellEnd"/>
            <w:r w:rsidRPr="00FF207E">
              <w:rPr>
                <w:rFonts w:cs="Arial"/>
                <w:color w:val="000000"/>
                <w:sz w:val="18"/>
                <w:szCs w:val="18"/>
                <w:lang w:val="sl-SI"/>
              </w:rPr>
              <w:t xml:space="preserve"> Union)</w:t>
            </w:r>
          </w:p>
        </w:tc>
      </w:tr>
      <w:tr w:rsidR="000D1A89" w:rsidRPr="00FF207E" w14:paraId="1D6FE086" w14:textId="77777777" w:rsidTr="00682482">
        <w:trPr>
          <w:trHeight w:val="255"/>
        </w:trPr>
        <w:tc>
          <w:tcPr>
            <w:tcW w:w="1526" w:type="dxa"/>
            <w:shd w:val="clear" w:color="auto" w:fill="auto"/>
            <w:noWrap/>
            <w:vAlign w:val="center"/>
            <w:hideMark/>
          </w:tcPr>
          <w:p w14:paraId="34E457EA" w14:textId="77777777" w:rsidR="000D1A89" w:rsidRPr="00FF207E" w:rsidRDefault="000D1A89" w:rsidP="001E304B">
            <w:pPr>
              <w:spacing w:line="300" w:lineRule="exact"/>
              <w:jc w:val="both"/>
              <w:rPr>
                <w:rFonts w:cs="Arial"/>
                <w:b/>
                <w:bCs/>
                <w:i/>
                <w:iCs/>
                <w:sz w:val="18"/>
                <w:szCs w:val="18"/>
                <w:lang w:val="sl-SI"/>
              </w:rPr>
            </w:pPr>
            <w:r w:rsidRPr="00FF207E">
              <w:rPr>
                <w:rFonts w:cs="Arial"/>
                <w:b/>
                <w:bCs/>
                <w:i/>
                <w:iCs/>
                <w:sz w:val="18"/>
                <w:szCs w:val="18"/>
                <w:lang w:val="sl-SI"/>
              </w:rPr>
              <w:t>EZ-1</w:t>
            </w:r>
          </w:p>
        </w:tc>
        <w:tc>
          <w:tcPr>
            <w:tcW w:w="7688" w:type="dxa"/>
            <w:shd w:val="clear" w:color="auto" w:fill="auto"/>
            <w:noWrap/>
            <w:vAlign w:val="center"/>
            <w:hideMark/>
          </w:tcPr>
          <w:p w14:paraId="370D89E5" w14:textId="77777777" w:rsidR="000D1A89" w:rsidRPr="00FF207E" w:rsidRDefault="000D1A89" w:rsidP="001E304B">
            <w:pPr>
              <w:spacing w:line="300" w:lineRule="exact"/>
              <w:jc w:val="both"/>
              <w:rPr>
                <w:rFonts w:cs="Arial"/>
                <w:color w:val="000000"/>
                <w:sz w:val="18"/>
                <w:szCs w:val="18"/>
                <w:lang w:val="sl-SI"/>
              </w:rPr>
            </w:pPr>
            <w:r w:rsidRPr="00FF207E">
              <w:rPr>
                <w:rFonts w:cs="Arial"/>
                <w:color w:val="000000"/>
                <w:sz w:val="18"/>
                <w:szCs w:val="18"/>
                <w:lang w:val="sl-SI"/>
              </w:rPr>
              <w:t>Energetski zakon</w:t>
            </w:r>
          </w:p>
        </w:tc>
      </w:tr>
      <w:tr w:rsidR="000D1A89" w:rsidRPr="00FF207E" w14:paraId="68C651C8" w14:textId="77777777" w:rsidTr="00682482">
        <w:trPr>
          <w:trHeight w:val="255"/>
        </w:trPr>
        <w:tc>
          <w:tcPr>
            <w:tcW w:w="1526" w:type="dxa"/>
            <w:shd w:val="clear" w:color="auto" w:fill="auto"/>
            <w:noWrap/>
            <w:vAlign w:val="center"/>
          </w:tcPr>
          <w:p w14:paraId="68052F59" w14:textId="77777777" w:rsidR="000D1A89" w:rsidRPr="00FF207E" w:rsidRDefault="000D1A89" w:rsidP="001E304B">
            <w:pPr>
              <w:spacing w:line="300" w:lineRule="exact"/>
              <w:jc w:val="both"/>
              <w:rPr>
                <w:rFonts w:cs="Arial"/>
                <w:b/>
                <w:bCs/>
                <w:i/>
                <w:iCs/>
                <w:sz w:val="18"/>
                <w:szCs w:val="18"/>
                <w:lang w:val="sl-SI"/>
              </w:rPr>
            </w:pPr>
            <w:r w:rsidRPr="00FF207E">
              <w:rPr>
                <w:rFonts w:cs="Arial"/>
                <w:b/>
                <w:bCs/>
                <w:i/>
                <w:iCs/>
                <w:sz w:val="18"/>
                <w:szCs w:val="18"/>
                <w:lang w:val="sl-SI"/>
              </w:rPr>
              <w:t>FURS</w:t>
            </w:r>
          </w:p>
        </w:tc>
        <w:tc>
          <w:tcPr>
            <w:tcW w:w="7688" w:type="dxa"/>
            <w:shd w:val="clear" w:color="auto" w:fill="auto"/>
            <w:noWrap/>
            <w:vAlign w:val="center"/>
          </w:tcPr>
          <w:p w14:paraId="29F64BCA" w14:textId="77777777" w:rsidR="000D1A89" w:rsidRPr="00FF207E" w:rsidRDefault="000D1A89" w:rsidP="001E304B">
            <w:pPr>
              <w:spacing w:line="300" w:lineRule="exact"/>
              <w:jc w:val="both"/>
              <w:rPr>
                <w:rFonts w:cs="Arial"/>
                <w:color w:val="000000"/>
                <w:sz w:val="18"/>
                <w:szCs w:val="18"/>
                <w:lang w:val="sl-SI"/>
              </w:rPr>
            </w:pPr>
            <w:r w:rsidRPr="00FF207E">
              <w:rPr>
                <w:rFonts w:cs="Arial"/>
                <w:color w:val="000000"/>
                <w:sz w:val="18"/>
                <w:szCs w:val="18"/>
                <w:lang w:val="sl-SI"/>
              </w:rPr>
              <w:t>Finančna uprava Republike Slovenije</w:t>
            </w:r>
          </w:p>
        </w:tc>
      </w:tr>
      <w:tr w:rsidR="000D1A89" w:rsidRPr="00FF207E" w14:paraId="0D28990F" w14:textId="77777777" w:rsidTr="00682482">
        <w:trPr>
          <w:trHeight w:val="255"/>
        </w:trPr>
        <w:tc>
          <w:tcPr>
            <w:tcW w:w="1526" w:type="dxa"/>
            <w:shd w:val="clear" w:color="auto" w:fill="auto"/>
            <w:noWrap/>
            <w:vAlign w:val="center"/>
          </w:tcPr>
          <w:p w14:paraId="1B3C57D9" w14:textId="77777777" w:rsidR="000D1A89" w:rsidRPr="00FF207E" w:rsidRDefault="000D1A89" w:rsidP="001E304B">
            <w:pPr>
              <w:spacing w:line="300" w:lineRule="exact"/>
              <w:jc w:val="both"/>
              <w:rPr>
                <w:rFonts w:cs="Arial"/>
                <w:b/>
                <w:bCs/>
                <w:i/>
                <w:iCs/>
                <w:sz w:val="18"/>
                <w:szCs w:val="18"/>
                <w:lang w:val="sl-SI"/>
              </w:rPr>
            </w:pPr>
            <w:r w:rsidRPr="00FF207E">
              <w:rPr>
                <w:rFonts w:cs="Arial"/>
                <w:b/>
                <w:bCs/>
                <w:i/>
                <w:iCs/>
                <w:sz w:val="18"/>
                <w:szCs w:val="18"/>
                <w:lang w:val="sl-SI"/>
              </w:rPr>
              <w:t>GURS</w:t>
            </w:r>
          </w:p>
        </w:tc>
        <w:tc>
          <w:tcPr>
            <w:tcW w:w="7688" w:type="dxa"/>
            <w:shd w:val="clear" w:color="auto" w:fill="auto"/>
            <w:noWrap/>
            <w:vAlign w:val="center"/>
          </w:tcPr>
          <w:p w14:paraId="7502F2C6" w14:textId="77777777" w:rsidR="000D1A89" w:rsidRPr="00FF207E" w:rsidRDefault="000D1A89" w:rsidP="001E304B">
            <w:pPr>
              <w:spacing w:line="300" w:lineRule="exact"/>
              <w:jc w:val="both"/>
              <w:rPr>
                <w:rFonts w:cs="Arial"/>
                <w:color w:val="000000"/>
                <w:sz w:val="18"/>
                <w:szCs w:val="18"/>
                <w:lang w:val="sl-SI"/>
              </w:rPr>
            </w:pPr>
            <w:r w:rsidRPr="00FF207E">
              <w:rPr>
                <w:rFonts w:cs="Arial"/>
                <w:color w:val="000000"/>
                <w:sz w:val="18"/>
                <w:szCs w:val="18"/>
                <w:lang w:val="sl-SI"/>
              </w:rPr>
              <w:t>Geodetska uprava Republike Slovenije</w:t>
            </w:r>
          </w:p>
        </w:tc>
      </w:tr>
      <w:tr w:rsidR="000D1A89" w:rsidRPr="00FF207E" w14:paraId="0075C5F5" w14:textId="77777777" w:rsidTr="00682482">
        <w:trPr>
          <w:trHeight w:val="255"/>
        </w:trPr>
        <w:tc>
          <w:tcPr>
            <w:tcW w:w="1526" w:type="dxa"/>
            <w:shd w:val="clear" w:color="auto" w:fill="auto"/>
            <w:noWrap/>
            <w:vAlign w:val="center"/>
          </w:tcPr>
          <w:p w14:paraId="69848321" w14:textId="77777777" w:rsidR="000D1A89" w:rsidRPr="00FF207E" w:rsidRDefault="000D1A89" w:rsidP="001E304B">
            <w:pPr>
              <w:spacing w:line="300" w:lineRule="exact"/>
              <w:jc w:val="both"/>
              <w:rPr>
                <w:rFonts w:cs="Arial"/>
                <w:b/>
                <w:bCs/>
                <w:i/>
                <w:iCs/>
                <w:sz w:val="18"/>
                <w:szCs w:val="18"/>
                <w:lang w:val="sl-SI"/>
              </w:rPr>
            </w:pPr>
            <w:r w:rsidRPr="00FF207E">
              <w:rPr>
                <w:rFonts w:cs="Arial"/>
                <w:b/>
                <w:bCs/>
                <w:i/>
                <w:iCs/>
                <w:sz w:val="18"/>
                <w:szCs w:val="18"/>
                <w:lang w:val="sl-SI"/>
              </w:rPr>
              <w:t>HO</w:t>
            </w:r>
          </w:p>
        </w:tc>
        <w:tc>
          <w:tcPr>
            <w:tcW w:w="7688" w:type="dxa"/>
            <w:shd w:val="clear" w:color="auto" w:fill="auto"/>
            <w:noWrap/>
            <w:vAlign w:val="center"/>
          </w:tcPr>
          <w:p w14:paraId="1BA7690D" w14:textId="77777777" w:rsidR="000D1A89" w:rsidRPr="00FF207E" w:rsidRDefault="000D1A89" w:rsidP="001E304B">
            <w:pPr>
              <w:spacing w:line="300" w:lineRule="exact"/>
              <w:jc w:val="both"/>
              <w:rPr>
                <w:rFonts w:cs="Arial"/>
                <w:color w:val="000000"/>
                <w:sz w:val="18"/>
                <w:szCs w:val="18"/>
                <w:lang w:val="sl-SI"/>
              </w:rPr>
            </w:pPr>
            <w:r w:rsidRPr="00FF207E">
              <w:rPr>
                <w:rFonts w:cs="Arial"/>
                <w:color w:val="000000"/>
                <w:sz w:val="18"/>
                <w:szCs w:val="18"/>
                <w:lang w:val="sl-SI"/>
              </w:rPr>
              <w:t>humanitarne organizacije</w:t>
            </w:r>
          </w:p>
        </w:tc>
      </w:tr>
      <w:tr w:rsidR="000D1A89" w:rsidRPr="00FF207E" w14:paraId="72DBB46F" w14:textId="77777777" w:rsidTr="00682482">
        <w:trPr>
          <w:trHeight w:val="255"/>
        </w:trPr>
        <w:tc>
          <w:tcPr>
            <w:tcW w:w="1526" w:type="dxa"/>
            <w:shd w:val="clear" w:color="auto" w:fill="auto"/>
            <w:noWrap/>
            <w:vAlign w:val="center"/>
          </w:tcPr>
          <w:p w14:paraId="5EDDA0B7" w14:textId="77777777" w:rsidR="000D1A89" w:rsidRPr="00FF207E" w:rsidRDefault="000D1A89" w:rsidP="001E304B">
            <w:pPr>
              <w:spacing w:line="300" w:lineRule="exact"/>
              <w:jc w:val="both"/>
              <w:rPr>
                <w:rFonts w:cs="Arial"/>
                <w:b/>
                <w:bCs/>
                <w:i/>
                <w:iCs/>
                <w:sz w:val="18"/>
                <w:szCs w:val="18"/>
                <w:lang w:val="sl-SI"/>
              </w:rPr>
            </w:pPr>
            <w:r w:rsidRPr="00FF207E">
              <w:rPr>
                <w:rFonts w:cs="Arial"/>
                <w:b/>
                <w:bCs/>
                <w:i/>
                <w:iCs/>
                <w:sz w:val="18"/>
                <w:szCs w:val="18"/>
                <w:lang w:val="sl-SI"/>
              </w:rPr>
              <w:t>IER</w:t>
            </w:r>
          </w:p>
        </w:tc>
        <w:tc>
          <w:tcPr>
            <w:tcW w:w="7688" w:type="dxa"/>
            <w:shd w:val="clear" w:color="auto" w:fill="auto"/>
            <w:noWrap/>
            <w:vAlign w:val="center"/>
          </w:tcPr>
          <w:p w14:paraId="776B8509" w14:textId="77777777" w:rsidR="000D1A89" w:rsidRPr="00FF207E" w:rsidRDefault="000D1A89" w:rsidP="001E304B">
            <w:pPr>
              <w:spacing w:line="300" w:lineRule="exact"/>
              <w:jc w:val="both"/>
              <w:rPr>
                <w:rFonts w:cs="Arial"/>
                <w:color w:val="000000"/>
                <w:sz w:val="18"/>
                <w:szCs w:val="18"/>
                <w:lang w:val="sl-SI"/>
              </w:rPr>
            </w:pPr>
            <w:r w:rsidRPr="00FF207E">
              <w:rPr>
                <w:rFonts w:cs="Arial"/>
                <w:color w:val="000000"/>
                <w:sz w:val="18"/>
                <w:szCs w:val="18"/>
                <w:lang w:val="sl-SI"/>
              </w:rPr>
              <w:t>Inštitut za ekonomska raziskovanja</w:t>
            </w:r>
          </w:p>
        </w:tc>
      </w:tr>
      <w:tr w:rsidR="000D1A89" w:rsidRPr="00FF207E" w14:paraId="1609A2E1" w14:textId="77777777" w:rsidTr="00682482">
        <w:trPr>
          <w:trHeight w:val="255"/>
        </w:trPr>
        <w:tc>
          <w:tcPr>
            <w:tcW w:w="1526" w:type="dxa"/>
            <w:shd w:val="clear" w:color="auto" w:fill="auto"/>
            <w:noWrap/>
            <w:vAlign w:val="center"/>
          </w:tcPr>
          <w:p w14:paraId="71A6046D" w14:textId="77777777" w:rsidR="000D1A89" w:rsidRPr="00FF207E" w:rsidRDefault="000D1A89" w:rsidP="001E304B">
            <w:pPr>
              <w:spacing w:line="300" w:lineRule="exact"/>
              <w:jc w:val="both"/>
              <w:rPr>
                <w:rFonts w:cs="Arial"/>
                <w:b/>
                <w:bCs/>
                <w:i/>
                <w:iCs/>
                <w:sz w:val="18"/>
                <w:szCs w:val="18"/>
                <w:lang w:val="sl-SI"/>
              </w:rPr>
            </w:pPr>
            <w:r w:rsidRPr="00FF207E">
              <w:rPr>
                <w:rFonts w:cs="Arial"/>
                <w:b/>
                <w:bCs/>
                <w:i/>
                <w:iCs/>
                <w:sz w:val="18"/>
                <w:szCs w:val="18"/>
                <w:lang w:val="sl-SI"/>
              </w:rPr>
              <w:t>IJS</w:t>
            </w:r>
          </w:p>
        </w:tc>
        <w:tc>
          <w:tcPr>
            <w:tcW w:w="7688" w:type="dxa"/>
            <w:shd w:val="clear" w:color="auto" w:fill="auto"/>
            <w:noWrap/>
            <w:vAlign w:val="center"/>
          </w:tcPr>
          <w:p w14:paraId="0904BE6A" w14:textId="77777777" w:rsidR="000D1A89" w:rsidRPr="00FF207E" w:rsidRDefault="000D1A89" w:rsidP="001E304B">
            <w:pPr>
              <w:spacing w:line="300" w:lineRule="exact"/>
              <w:jc w:val="both"/>
              <w:rPr>
                <w:rFonts w:cs="Arial"/>
                <w:color w:val="000000"/>
                <w:sz w:val="18"/>
                <w:szCs w:val="18"/>
                <w:lang w:val="sl-SI"/>
              </w:rPr>
            </w:pPr>
            <w:r w:rsidRPr="00FF207E">
              <w:rPr>
                <w:rFonts w:cs="Arial"/>
                <w:color w:val="000000"/>
                <w:sz w:val="18"/>
                <w:szCs w:val="18"/>
                <w:lang w:val="sl-SI"/>
              </w:rPr>
              <w:t>Institut »Jožef Stefan«</w:t>
            </w:r>
          </w:p>
        </w:tc>
      </w:tr>
      <w:tr w:rsidR="00973C38" w:rsidRPr="00FF207E" w14:paraId="601D2168" w14:textId="77777777" w:rsidTr="00682482">
        <w:trPr>
          <w:trHeight w:val="255"/>
        </w:trPr>
        <w:tc>
          <w:tcPr>
            <w:tcW w:w="1526" w:type="dxa"/>
            <w:shd w:val="clear" w:color="auto" w:fill="auto"/>
            <w:noWrap/>
            <w:vAlign w:val="center"/>
          </w:tcPr>
          <w:p w14:paraId="14B59F46" w14:textId="3FBF4E38" w:rsidR="00973C38" w:rsidRPr="00FF207E" w:rsidRDefault="00973C38" w:rsidP="001E304B">
            <w:pPr>
              <w:spacing w:line="300" w:lineRule="exact"/>
              <w:jc w:val="both"/>
              <w:rPr>
                <w:rFonts w:cs="Arial"/>
                <w:b/>
                <w:bCs/>
                <w:i/>
                <w:iCs/>
                <w:sz w:val="18"/>
                <w:szCs w:val="18"/>
                <w:lang w:val="sl-SI"/>
              </w:rPr>
            </w:pPr>
            <w:r w:rsidRPr="00FF207E">
              <w:rPr>
                <w:rFonts w:cs="Arial"/>
                <w:b/>
                <w:bCs/>
                <w:i/>
                <w:iCs/>
                <w:sz w:val="18"/>
                <w:szCs w:val="18"/>
                <w:lang w:val="sl-SI"/>
              </w:rPr>
              <w:t>INTERREG</w:t>
            </w:r>
          </w:p>
        </w:tc>
        <w:tc>
          <w:tcPr>
            <w:tcW w:w="7688" w:type="dxa"/>
            <w:shd w:val="clear" w:color="auto" w:fill="auto"/>
            <w:noWrap/>
            <w:vAlign w:val="center"/>
          </w:tcPr>
          <w:p w14:paraId="16AC03DE" w14:textId="4678E3F7" w:rsidR="00973C38" w:rsidRPr="00FF207E" w:rsidRDefault="00973C38" w:rsidP="001E304B">
            <w:pPr>
              <w:spacing w:line="300" w:lineRule="exact"/>
              <w:jc w:val="both"/>
              <w:rPr>
                <w:rFonts w:cs="Arial"/>
                <w:color w:val="000000"/>
                <w:sz w:val="18"/>
                <w:szCs w:val="18"/>
                <w:lang w:val="sl-SI"/>
              </w:rPr>
            </w:pPr>
            <w:r w:rsidRPr="00FF207E">
              <w:rPr>
                <w:rFonts w:cs="Arial"/>
                <w:color w:val="000000"/>
                <w:sz w:val="18"/>
                <w:szCs w:val="18"/>
                <w:lang w:val="sl-SI"/>
              </w:rPr>
              <w:t>program Evropskega teritorialnega sodelovanja</w:t>
            </w:r>
          </w:p>
        </w:tc>
      </w:tr>
      <w:tr w:rsidR="00780134" w:rsidRPr="00FF207E" w14:paraId="3701322D" w14:textId="77777777" w:rsidTr="00682482">
        <w:trPr>
          <w:trHeight w:val="255"/>
        </w:trPr>
        <w:tc>
          <w:tcPr>
            <w:tcW w:w="1526" w:type="dxa"/>
            <w:shd w:val="clear" w:color="auto" w:fill="auto"/>
            <w:noWrap/>
            <w:vAlign w:val="center"/>
          </w:tcPr>
          <w:p w14:paraId="46EBC6AE" w14:textId="0F25184F" w:rsidR="00780134" w:rsidRPr="00FF207E" w:rsidRDefault="00780134" w:rsidP="001E304B">
            <w:pPr>
              <w:spacing w:line="300" w:lineRule="exact"/>
              <w:jc w:val="both"/>
              <w:rPr>
                <w:rFonts w:cs="Arial"/>
                <w:b/>
                <w:bCs/>
                <w:i/>
                <w:iCs/>
                <w:sz w:val="18"/>
                <w:szCs w:val="18"/>
                <w:lang w:val="sl-SI"/>
              </w:rPr>
            </w:pPr>
            <w:r w:rsidRPr="00FF207E">
              <w:rPr>
                <w:rFonts w:cs="Arial"/>
                <w:b/>
                <w:bCs/>
                <w:i/>
                <w:iCs/>
                <w:sz w:val="18"/>
                <w:szCs w:val="18"/>
                <w:lang w:val="sl-SI"/>
              </w:rPr>
              <w:t>KNLB</w:t>
            </w:r>
          </w:p>
        </w:tc>
        <w:tc>
          <w:tcPr>
            <w:tcW w:w="7688" w:type="dxa"/>
            <w:shd w:val="clear" w:color="auto" w:fill="auto"/>
            <w:noWrap/>
            <w:vAlign w:val="center"/>
          </w:tcPr>
          <w:p w14:paraId="5E31C937" w14:textId="464820C8" w:rsidR="00780134" w:rsidRPr="00FF207E" w:rsidRDefault="00780134" w:rsidP="001E304B">
            <w:pPr>
              <w:spacing w:line="300" w:lineRule="exact"/>
              <w:jc w:val="both"/>
              <w:rPr>
                <w:rFonts w:cs="Arial"/>
                <w:color w:val="000000"/>
                <w:sz w:val="18"/>
                <w:szCs w:val="18"/>
                <w:lang w:val="sl-SI"/>
              </w:rPr>
            </w:pPr>
            <w:r w:rsidRPr="00FF207E">
              <w:rPr>
                <w:rFonts w:cs="Arial"/>
                <w:color w:val="000000"/>
                <w:sz w:val="18"/>
                <w:szCs w:val="18"/>
                <w:lang w:val="sl-SI"/>
              </w:rPr>
              <w:t>kurilna naprava na lesno biomaso</w:t>
            </w:r>
          </w:p>
        </w:tc>
      </w:tr>
      <w:tr w:rsidR="00A7676B" w:rsidRPr="00FF207E" w14:paraId="5FBD472B" w14:textId="77777777" w:rsidTr="0077297B">
        <w:trPr>
          <w:trHeight w:val="255"/>
        </w:trPr>
        <w:tc>
          <w:tcPr>
            <w:tcW w:w="1526" w:type="dxa"/>
            <w:shd w:val="clear" w:color="auto" w:fill="auto"/>
            <w:noWrap/>
            <w:vAlign w:val="center"/>
          </w:tcPr>
          <w:p w14:paraId="03A0C650" w14:textId="63A3A4AC"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LEA</w:t>
            </w:r>
          </w:p>
        </w:tc>
        <w:tc>
          <w:tcPr>
            <w:tcW w:w="7688" w:type="dxa"/>
            <w:shd w:val="clear" w:color="auto" w:fill="auto"/>
            <w:noWrap/>
            <w:vAlign w:val="center"/>
          </w:tcPr>
          <w:p w14:paraId="49E48B35" w14:textId="17F14D21"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lokalna energetska agencija</w:t>
            </w:r>
          </w:p>
        </w:tc>
      </w:tr>
      <w:tr w:rsidR="00A7676B" w:rsidRPr="00FF207E" w14:paraId="31A2A804" w14:textId="77777777" w:rsidTr="00682482">
        <w:trPr>
          <w:trHeight w:val="255"/>
        </w:trPr>
        <w:tc>
          <w:tcPr>
            <w:tcW w:w="1526" w:type="dxa"/>
            <w:shd w:val="clear" w:color="auto" w:fill="auto"/>
            <w:noWrap/>
            <w:vAlign w:val="center"/>
          </w:tcPr>
          <w:p w14:paraId="1750C009" w14:textId="1F289B05"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LEK</w:t>
            </w:r>
          </w:p>
        </w:tc>
        <w:tc>
          <w:tcPr>
            <w:tcW w:w="7688" w:type="dxa"/>
            <w:shd w:val="clear" w:color="auto" w:fill="auto"/>
            <w:noWrap/>
            <w:vAlign w:val="center"/>
          </w:tcPr>
          <w:p w14:paraId="0FE3CFAC" w14:textId="73CFD2D9"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lokalni energetski koncept</w:t>
            </w:r>
          </w:p>
        </w:tc>
      </w:tr>
      <w:tr w:rsidR="00A7676B" w:rsidRPr="00FF207E" w14:paraId="59B24213" w14:textId="77777777" w:rsidTr="00682482">
        <w:trPr>
          <w:trHeight w:val="255"/>
        </w:trPr>
        <w:tc>
          <w:tcPr>
            <w:tcW w:w="1526" w:type="dxa"/>
            <w:shd w:val="clear" w:color="auto" w:fill="auto"/>
            <w:noWrap/>
            <w:vAlign w:val="center"/>
            <w:hideMark/>
          </w:tcPr>
          <w:p w14:paraId="0E02F72F" w14:textId="06D8CC57"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LIFE</w:t>
            </w:r>
          </w:p>
        </w:tc>
        <w:tc>
          <w:tcPr>
            <w:tcW w:w="7688" w:type="dxa"/>
            <w:shd w:val="clear" w:color="auto" w:fill="auto"/>
            <w:noWrap/>
            <w:vAlign w:val="center"/>
            <w:hideMark/>
          </w:tcPr>
          <w:p w14:paraId="22D17CED" w14:textId="4623E2AC"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Evropski program – instrument financiranja na področju okolja</w:t>
            </w:r>
          </w:p>
        </w:tc>
      </w:tr>
      <w:tr w:rsidR="00A7676B" w:rsidRPr="00FF207E" w14:paraId="5F1B82F6" w14:textId="77777777" w:rsidTr="00682482">
        <w:trPr>
          <w:trHeight w:val="255"/>
        </w:trPr>
        <w:tc>
          <w:tcPr>
            <w:tcW w:w="1526" w:type="dxa"/>
            <w:shd w:val="clear" w:color="auto" w:fill="auto"/>
            <w:noWrap/>
            <w:vAlign w:val="center"/>
          </w:tcPr>
          <w:p w14:paraId="18938E69" w14:textId="69BBBBBF"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MDDSZ</w:t>
            </w:r>
          </w:p>
        </w:tc>
        <w:tc>
          <w:tcPr>
            <w:tcW w:w="7688" w:type="dxa"/>
            <w:shd w:val="clear" w:color="auto" w:fill="auto"/>
            <w:noWrap/>
            <w:vAlign w:val="center"/>
          </w:tcPr>
          <w:p w14:paraId="6FCB2370" w14:textId="1623FC9A"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Ministrstvo za delo, družino, socialne zadeve in enake možnosti</w:t>
            </w:r>
            <w:r w:rsidR="00CE5592" w:rsidRPr="00FF207E">
              <w:rPr>
                <w:rFonts w:cs="Arial"/>
                <w:color w:val="000000"/>
                <w:sz w:val="18"/>
                <w:szCs w:val="18"/>
                <w:lang w:val="sl-SI"/>
              </w:rPr>
              <w:t xml:space="preserve"> Republike Slovenije</w:t>
            </w:r>
          </w:p>
        </w:tc>
      </w:tr>
      <w:tr w:rsidR="00A7676B" w:rsidRPr="00FF207E" w14:paraId="65C6DCE0" w14:textId="77777777" w:rsidTr="00682482">
        <w:trPr>
          <w:trHeight w:val="255"/>
        </w:trPr>
        <w:tc>
          <w:tcPr>
            <w:tcW w:w="1526" w:type="dxa"/>
            <w:shd w:val="clear" w:color="auto" w:fill="auto"/>
            <w:noWrap/>
            <w:vAlign w:val="center"/>
          </w:tcPr>
          <w:p w14:paraId="012A9703" w14:textId="44EFFAF7"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MF</w:t>
            </w:r>
          </w:p>
        </w:tc>
        <w:tc>
          <w:tcPr>
            <w:tcW w:w="7688" w:type="dxa"/>
            <w:shd w:val="clear" w:color="auto" w:fill="auto"/>
            <w:noWrap/>
            <w:vAlign w:val="center"/>
          </w:tcPr>
          <w:p w14:paraId="59EFF640" w14:textId="55C62C0C"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Ministrstvo za finance</w:t>
            </w:r>
            <w:r w:rsidR="00CE5592" w:rsidRPr="00FF207E">
              <w:rPr>
                <w:rFonts w:cs="Arial"/>
                <w:color w:val="000000"/>
                <w:sz w:val="18"/>
                <w:szCs w:val="18"/>
                <w:lang w:val="sl-SI"/>
              </w:rPr>
              <w:t xml:space="preserve"> Republike Slovenije</w:t>
            </w:r>
          </w:p>
        </w:tc>
      </w:tr>
      <w:tr w:rsidR="00A7676B" w:rsidRPr="00FF207E" w14:paraId="2FBD2DA2" w14:textId="77777777" w:rsidTr="00682482">
        <w:trPr>
          <w:trHeight w:val="255"/>
        </w:trPr>
        <w:tc>
          <w:tcPr>
            <w:tcW w:w="1526" w:type="dxa"/>
            <w:shd w:val="clear" w:color="auto" w:fill="auto"/>
            <w:noWrap/>
            <w:vAlign w:val="center"/>
            <w:hideMark/>
          </w:tcPr>
          <w:p w14:paraId="19146AB3" w14:textId="33FD5F11"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MGTŠ</w:t>
            </w:r>
          </w:p>
        </w:tc>
        <w:tc>
          <w:tcPr>
            <w:tcW w:w="7688" w:type="dxa"/>
            <w:shd w:val="clear" w:color="auto" w:fill="auto"/>
            <w:noWrap/>
            <w:vAlign w:val="center"/>
            <w:hideMark/>
          </w:tcPr>
          <w:p w14:paraId="3F4E0907" w14:textId="66F9CA17"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Ministrstvo za gospodarstvo, turizem in šport</w:t>
            </w:r>
            <w:r w:rsidR="00F22E0A" w:rsidRPr="00FF207E">
              <w:rPr>
                <w:rFonts w:cs="Arial"/>
                <w:color w:val="000000"/>
                <w:sz w:val="18"/>
                <w:szCs w:val="18"/>
                <w:lang w:val="sl-SI"/>
              </w:rPr>
              <w:t xml:space="preserve"> Republike Slovenije</w:t>
            </w:r>
          </w:p>
        </w:tc>
      </w:tr>
      <w:tr w:rsidR="00A7676B" w:rsidRPr="00FF207E" w14:paraId="2357DE70" w14:textId="77777777" w:rsidTr="005674F1">
        <w:trPr>
          <w:trHeight w:val="255"/>
        </w:trPr>
        <w:tc>
          <w:tcPr>
            <w:tcW w:w="1526" w:type="dxa"/>
            <w:shd w:val="clear" w:color="auto" w:fill="auto"/>
            <w:noWrap/>
            <w:vAlign w:val="center"/>
          </w:tcPr>
          <w:p w14:paraId="3DD4F90B" w14:textId="7B7FE8C0"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MJU</w:t>
            </w:r>
          </w:p>
        </w:tc>
        <w:tc>
          <w:tcPr>
            <w:tcW w:w="7688" w:type="dxa"/>
            <w:shd w:val="clear" w:color="auto" w:fill="auto"/>
            <w:noWrap/>
            <w:vAlign w:val="center"/>
          </w:tcPr>
          <w:p w14:paraId="2E62E780" w14:textId="17CAB89D"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Ministrstvo za javno upravo</w:t>
            </w:r>
            <w:r w:rsidR="00F22E0A" w:rsidRPr="00FF207E">
              <w:rPr>
                <w:rFonts w:cs="Arial"/>
                <w:color w:val="000000"/>
                <w:sz w:val="18"/>
                <w:szCs w:val="18"/>
                <w:lang w:val="sl-SI"/>
              </w:rPr>
              <w:t xml:space="preserve"> Republike Slovenije</w:t>
            </w:r>
          </w:p>
        </w:tc>
      </w:tr>
      <w:tr w:rsidR="00A7676B" w:rsidRPr="00FF207E" w14:paraId="41E164F4" w14:textId="77777777" w:rsidTr="005674F1">
        <w:trPr>
          <w:trHeight w:val="255"/>
        </w:trPr>
        <w:tc>
          <w:tcPr>
            <w:tcW w:w="1526" w:type="dxa"/>
            <w:shd w:val="clear" w:color="auto" w:fill="auto"/>
            <w:noWrap/>
            <w:vAlign w:val="center"/>
          </w:tcPr>
          <w:p w14:paraId="38D9EC51" w14:textId="4B9CDAD0"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MOPE</w:t>
            </w:r>
          </w:p>
        </w:tc>
        <w:tc>
          <w:tcPr>
            <w:tcW w:w="7688" w:type="dxa"/>
            <w:shd w:val="clear" w:color="auto" w:fill="auto"/>
            <w:noWrap/>
            <w:vAlign w:val="center"/>
          </w:tcPr>
          <w:p w14:paraId="1B4BB166" w14:textId="571913DC"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Ministrstvo za okolje, podnebje in energijo</w:t>
            </w:r>
            <w:r w:rsidR="00F22E0A" w:rsidRPr="00FF207E">
              <w:rPr>
                <w:rFonts w:cs="Arial"/>
                <w:color w:val="000000"/>
                <w:sz w:val="18"/>
                <w:szCs w:val="18"/>
                <w:lang w:val="sl-SI"/>
              </w:rPr>
              <w:t xml:space="preserve"> Republike Slovenije</w:t>
            </w:r>
          </w:p>
        </w:tc>
      </w:tr>
      <w:tr w:rsidR="00A7676B" w:rsidRPr="00FF207E" w14:paraId="3BB6A9CA" w14:textId="77777777" w:rsidTr="00682482">
        <w:trPr>
          <w:trHeight w:val="255"/>
        </w:trPr>
        <w:tc>
          <w:tcPr>
            <w:tcW w:w="1526" w:type="dxa"/>
            <w:shd w:val="clear" w:color="auto" w:fill="auto"/>
            <w:noWrap/>
            <w:vAlign w:val="center"/>
            <w:hideMark/>
          </w:tcPr>
          <w:p w14:paraId="53AE3E23" w14:textId="413B064B"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MSP</w:t>
            </w:r>
          </w:p>
        </w:tc>
        <w:tc>
          <w:tcPr>
            <w:tcW w:w="7688" w:type="dxa"/>
            <w:shd w:val="clear" w:color="auto" w:fill="auto"/>
            <w:noWrap/>
            <w:vAlign w:val="center"/>
            <w:hideMark/>
          </w:tcPr>
          <w:p w14:paraId="5E92AAFE" w14:textId="781BBAEE"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Ministrstvo za solidarno prihodnost</w:t>
            </w:r>
            <w:r w:rsidR="00F22E0A" w:rsidRPr="00FF207E">
              <w:rPr>
                <w:rFonts w:cs="Arial"/>
                <w:color w:val="000000"/>
                <w:sz w:val="18"/>
                <w:szCs w:val="18"/>
                <w:lang w:val="sl-SI"/>
              </w:rPr>
              <w:t xml:space="preserve"> Republike Slovenije</w:t>
            </w:r>
          </w:p>
        </w:tc>
      </w:tr>
      <w:tr w:rsidR="00A7676B" w:rsidRPr="00FF207E" w14:paraId="61F0FDA7" w14:textId="77777777" w:rsidTr="00682482">
        <w:trPr>
          <w:trHeight w:val="255"/>
        </w:trPr>
        <w:tc>
          <w:tcPr>
            <w:tcW w:w="1526" w:type="dxa"/>
            <w:shd w:val="clear" w:color="auto" w:fill="auto"/>
            <w:noWrap/>
            <w:vAlign w:val="center"/>
          </w:tcPr>
          <w:p w14:paraId="2BC858B7" w14:textId="48FAC5F1"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MZ</w:t>
            </w:r>
          </w:p>
        </w:tc>
        <w:tc>
          <w:tcPr>
            <w:tcW w:w="7688" w:type="dxa"/>
            <w:shd w:val="clear" w:color="auto" w:fill="auto"/>
            <w:noWrap/>
            <w:vAlign w:val="center"/>
          </w:tcPr>
          <w:p w14:paraId="40002DFC" w14:textId="5ADF3EC3"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Ministrstvo za zdravje</w:t>
            </w:r>
            <w:r w:rsidR="00F22E0A" w:rsidRPr="00FF207E">
              <w:rPr>
                <w:rFonts w:cs="Arial"/>
                <w:color w:val="000000"/>
                <w:sz w:val="18"/>
                <w:szCs w:val="18"/>
                <w:lang w:val="sl-SI"/>
              </w:rPr>
              <w:t xml:space="preserve"> Republike Slovenije</w:t>
            </w:r>
          </w:p>
        </w:tc>
      </w:tr>
      <w:tr w:rsidR="00A7676B" w:rsidRPr="00FF207E" w14:paraId="039BD1D8" w14:textId="77777777" w:rsidTr="008E2B75">
        <w:trPr>
          <w:trHeight w:val="255"/>
        </w:trPr>
        <w:tc>
          <w:tcPr>
            <w:tcW w:w="1526" w:type="dxa"/>
            <w:shd w:val="clear" w:color="auto" w:fill="auto"/>
            <w:noWrap/>
            <w:vAlign w:val="center"/>
          </w:tcPr>
          <w:p w14:paraId="7E5A3419" w14:textId="14FE213E" w:rsidR="00A7676B" w:rsidRPr="00FF207E" w:rsidRDefault="00A7676B" w:rsidP="008E2B75">
            <w:pPr>
              <w:spacing w:line="300" w:lineRule="exact"/>
              <w:jc w:val="both"/>
              <w:rPr>
                <w:rFonts w:cs="Arial"/>
                <w:b/>
                <w:bCs/>
                <w:i/>
                <w:iCs/>
                <w:sz w:val="18"/>
                <w:szCs w:val="18"/>
                <w:lang w:val="sl-SI"/>
              </w:rPr>
            </w:pPr>
            <w:r w:rsidRPr="00FF207E">
              <w:rPr>
                <w:rFonts w:cs="Arial"/>
                <w:b/>
                <w:bCs/>
                <w:i/>
                <w:iCs/>
                <w:sz w:val="18"/>
                <w:szCs w:val="18"/>
                <w:lang w:val="sl-SI"/>
              </w:rPr>
              <w:t>NEPN</w:t>
            </w:r>
          </w:p>
        </w:tc>
        <w:tc>
          <w:tcPr>
            <w:tcW w:w="7688" w:type="dxa"/>
            <w:shd w:val="clear" w:color="auto" w:fill="auto"/>
            <w:noWrap/>
            <w:vAlign w:val="center"/>
          </w:tcPr>
          <w:p w14:paraId="658D950C" w14:textId="70778B97" w:rsidR="00A7676B" w:rsidRPr="00FF207E" w:rsidRDefault="00A7676B" w:rsidP="008E2B75">
            <w:pPr>
              <w:spacing w:line="300" w:lineRule="exact"/>
              <w:jc w:val="both"/>
              <w:rPr>
                <w:rFonts w:cs="Arial"/>
                <w:color w:val="000000"/>
                <w:sz w:val="18"/>
                <w:szCs w:val="18"/>
                <w:lang w:val="sl-SI"/>
              </w:rPr>
            </w:pPr>
            <w:r w:rsidRPr="00FF207E">
              <w:rPr>
                <w:rFonts w:cs="Arial"/>
                <w:color w:val="000000"/>
                <w:sz w:val="18"/>
                <w:szCs w:val="18"/>
                <w:lang w:val="sl-SI"/>
              </w:rPr>
              <w:t>Nacionalni energetsko podnebni načrt</w:t>
            </w:r>
          </w:p>
        </w:tc>
      </w:tr>
      <w:tr w:rsidR="00A7676B" w:rsidRPr="00FF207E" w14:paraId="64E2D419" w14:textId="77777777" w:rsidTr="00682482">
        <w:trPr>
          <w:trHeight w:val="255"/>
        </w:trPr>
        <w:tc>
          <w:tcPr>
            <w:tcW w:w="1526" w:type="dxa"/>
            <w:shd w:val="clear" w:color="auto" w:fill="auto"/>
            <w:noWrap/>
            <w:vAlign w:val="center"/>
            <w:hideMark/>
          </w:tcPr>
          <w:p w14:paraId="3BA34E2B" w14:textId="35330C21"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NOD</w:t>
            </w:r>
          </w:p>
        </w:tc>
        <w:tc>
          <w:tcPr>
            <w:tcW w:w="7688" w:type="dxa"/>
            <w:shd w:val="clear" w:color="auto" w:fill="auto"/>
            <w:noWrap/>
            <w:vAlign w:val="center"/>
            <w:hideMark/>
          </w:tcPr>
          <w:p w14:paraId="02FAA6EF" w14:textId="0265139A" w:rsidR="00A7676B" w:rsidRPr="00FF207E" w:rsidRDefault="00A7676B" w:rsidP="001E304B">
            <w:pPr>
              <w:spacing w:line="300" w:lineRule="exact"/>
              <w:jc w:val="both"/>
              <w:rPr>
                <w:rFonts w:cs="Arial"/>
                <w:color w:val="000000"/>
                <w:sz w:val="18"/>
                <w:szCs w:val="18"/>
                <w:lang w:val="sl-SI"/>
              </w:rPr>
            </w:pPr>
            <w:proofErr w:type="spellStart"/>
            <w:r w:rsidRPr="00FF207E">
              <w:rPr>
                <w:rFonts w:cs="Arial"/>
                <w:color w:val="000000"/>
                <w:sz w:val="18"/>
                <w:szCs w:val="18"/>
                <w:lang w:val="sl-SI"/>
              </w:rPr>
              <w:t>nizkoogljična</w:t>
            </w:r>
            <w:proofErr w:type="spellEnd"/>
            <w:r w:rsidRPr="00FF207E">
              <w:rPr>
                <w:rFonts w:cs="Arial"/>
                <w:color w:val="000000"/>
                <w:sz w:val="18"/>
                <w:szCs w:val="18"/>
                <w:lang w:val="sl-SI"/>
              </w:rPr>
              <w:t xml:space="preserve"> družba</w:t>
            </w:r>
          </w:p>
        </w:tc>
      </w:tr>
      <w:tr w:rsidR="00A7676B" w:rsidRPr="00FF207E" w14:paraId="6BAD6BC0" w14:textId="77777777" w:rsidTr="00682482">
        <w:trPr>
          <w:trHeight w:val="255"/>
        </w:trPr>
        <w:tc>
          <w:tcPr>
            <w:tcW w:w="1526" w:type="dxa"/>
            <w:shd w:val="clear" w:color="auto" w:fill="auto"/>
            <w:noWrap/>
            <w:vAlign w:val="center"/>
          </w:tcPr>
          <w:p w14:paraId="45C427DA" w14:textId="7AADA49A"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NVO</w:t>
            </w:r>
          </w:p>
        </w:tc>
        <w:tc>
          <w:tcPr>
            <w:tcW w:w="7688" w:type="dxa"/>
            <w:shd w:val="clear" w:color="auto" w:fill="auto"/>
            <w:noWrap/>
            <w:vAlign w:val="center"/>
          </w:tcPr>
          <w:p w14:paraId="1139A64C" w14:textId="7290A7D9"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nevladna organizacija</w:t>
            </w:r>
          </w:p>
        </w:tc>
      </w:tr>
      <w:tr w:rsidR="00A7676B" w:rsidRPr="00FF207E" w14:paraId="66362705" w14:textId="77777777" w:rsidTr="00682482">
        <w:trPr>
          <w:trHeight w:val="255"/>
        </w:trPr>
        <w:tc>
          <w:tcPr>
            <w:tcW w:w="1526" w:type="dxa"/>
            <w:shd w:val="clear" w:color="auto" w:fill="auto"/>
            <w:noWrap/>
            <w:vAlign w:val="center"/>
          </w:tcPr>
          <w:p w14:paraId="770BA327" w14:textId="328422FF"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OVE</w:t>
            </w:r>
          </w:p>
        </w:tc>
        <w:tc>
          <w:tcPr>
            <w:tcW w:w="7688" w:type="dxa"/>
            <w:shd w:val="clear" w:color="auto" w:fill="auto"/>
            <w:noWrap/>
            <w:vAlign w:val="center"/>
          </w:tcPr>
          <w:p w14:paraId="147EF97F" w14:textId="123F7186"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obnovljivi viri energije</w:t>
            </w:r>
          </w:p>
        </w:tc>
      </w:tr>
      <w:tr w:rsidR="00A7676B" w:rsidRPr="00FF207E" w14:paraId="3A37CEA3" w14:textId="77777777" w:rsidTr="00682482">
        <w:trPr>
          <w:trHeight w:val="255"/>
        </w:trPr>
        <w:tc>
          <w:tcPr>
            <w:tcW w:w="1526" w:type="dxa"/>
            <w:shd w:val="clear" w:color="auto" w:fill="auto"/>
            <w:noWrap/>
            <w:vAlign w:val="center"/>
            <w:hideMark/>
          </w:tcPr>
          <w:p w14:paraId="4F52912B" w14:textId="26F2CFD6"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ReDPS50</w:t>
            </w:r>
          </w:p>
        </w:tc>
        <w:tc>
          <w:tcPr>
            <w:tcW w:w="7688" w:type="dxa"/>
            <w:shd w:val="clear" w:color="auto" w:fill="auto"/>
            <w:noWrap/>
            <w:vAlign w:val="center"/>
            <w:hideMark/>
          </w:tcPr>
          <w:p w14:paraId="2D97F8FD" w14:textId="4C1C1A63" w:rsidR="00A7676B" w:rsidRPr="00FF207E" w:rsidRDefault="00A7676B" w:rsidP="001E304B">
            <w:pPr>
              <w:spacing w:line="300" w:lineRule="exact"/>
              <w:jc w:val="both"/>
              <w:rPr>
                <w:rFonts w:cs="Arial"/>
                <w:color w:val="000000"/>
                <w:sz w:val="18"/>
                <w:szCs w:val="18"/>
                <w:lang w:val="sl-SI"/>
              </w:rPr>
            </w:pPr>
            <w:r w:rsidRPr="00FF207E">
              <w:rPr>
                <w:rFonts w:cs="Arial"/>
                <w:sz w:val="18"/>
                <w:szCs w:val="18"/>
                <w:lang w:val="sl-SI"/>
              </w:rPr>
              <w:t>Resolucija o Dolgoročni podnebni strategiji Slovenije do leta 2050</w:t>
            </w:r>
          </w:p>
        </w:tc>
      </w:tr>
      <w:tr w:rsidR="00A7676B" w:rsidRPr="00FF207E" w14:paraId="4564230A" w14:textId="77777777" w:rsidTr="00682482">
        <w:trPr>
          <w:trHeight w:val="255"/>
        </w:trPr>
        <w:tc>
          <w:tcPr>
            <w:tcW w:w="1526" w:type="dxa"/>
            <w:shd w:val="clear" w:color="auto" w:fill="auto"/>
            <w:noWrap/>
            <w:vAlign w:val="center"/>
          </w:tcPr>
          <w:p w14:paraId="7165BCDF" w14:textId="6D2D130A"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RS</w:t>
            </w:r>
          </w:p>
        </w:tc>
        <w:tc>
          <w:tcPr>
            <w:tcW w:w="7688" w:type="dxa"/>
            <w:shd w:val="clear" w:color="auto" w:fill="auto"/>
            <w:noWrap/>
            <w:vAlign w:val="center"/>
          </w:tcPr>
          <w:p w14:paraId="670BA920" w14:textId="754066FB" w:rsidR="00A7676B" w:rsidRPr="00FF207E" w:rsidRDefault="00A7676B" w:rsidP="001E304B">
            <w:pPr>
              <w:spacing w:line="300" w:lineRule="exact"/>
              <w:jc w:val="both"/>
              <w:rPr>
                <w:rFonts w:cs="Arial"/>
                <w:sz w:val="18"/>
                <w:szCs w:val="18"/>
                <w:lang w:val="sl-SI"/>
              </w:rPr>
            </w:pPr>
            <w:r w:rsidRPr="00FF207E">
              <w:rPr>
                <w:rFonts w:cs="Arial"/>
                <w:color w:val="000000"/>
                <w:sz w:val="18"/>
                <w:szCs w:val="18"/>
                <w:lang w:val="sl-SI"/>
              </w:rPr>
              <w:t>Republika Slovenija</w:t>
            </w:r>
          </w:p>
        </w:tc>
      </w:tr>
      <w:tr w:rsidR="00A7676B" w:rsidRPr="00FF207E" w14:paraId="332914B8" w14:textId="77777777" w:rsidTr="00682482">
        <w:trPr>
          <w:trHeight w:val="255"/>
        </w:trPr>
        <w:tc>
          <w:tcPr>
            <w:tcW w:w="1526" w:type="dxa"/>
            <w:shd w:val="clear" w:color="auto" w:fill="auto"/>
            <w:noWrap/>
            <w:vAlign w:val="center"/>
          </w:tcPr>
          <w:p w14:paraId="60F550F2" w14:textId="42BBB13B"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SONDSEE</w:t>
            </w:r>
          </w:p>
        </w:tc>
        <w:tc>
          <w:tcPr>
            <w:tcW w:w="7688" w:type="dxa"/>
            <w:shd w:val="clear" w:color="auto" w:fill="auto"/>
            <w:noWrap/>
            <w:vAlign w:val="center"/>
          </w:tcPr>
          <w:p w14:paraId="3E2F2EF4" w14:textId="6DD41935"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sistemska obratovalna navodila za distribucijski sistem električne energije</w:t>
            </w:r>
          </w:p>
        </w:tc>
      </w:tr>
      <w:tr w:rsidR="00A7676B" w:rsidRPr="00FF207E" w14:paraId="5C2638CA" w14:textId="77777777" w:rsidTr="00C27DEA">
        <w:trPr>
          <w:trHeight w:val="255"/>
        </w:trPr>
        <w:tc>
          <w:tcPr>
            <w:tcW w:w="1526" w:type="dxa"/>
            <w:shd w:val="clear" w:color="auto" w:fill="auto"/>
            <w:noWrap/>
            <w:vAlign w:val="center"/>
            <w:hideMark/>
          </w:tcPr>
          <w:p w14:paraId="6112637F" w14:textId="300A57F3"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SPS</w:t>
            </w:r>
          </w:p>
        </w:tc>
        <w:tc>
          <w:tcPr>
            <w:tcW w:w="7688" w:type="dxa"/>
            <w:shd w:val="clear" w:color="auto" w:fill="auto"/>
            <w:noWrap/>
            <w:vAlign w:val="center"/>
            <w:hideMark/>
          </w:tcPr>
          <w:p w14:paraId="197FEFFB" w14:textId="17DCC63E"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Sklad za podnebne spremembe</w:t>
            </w:r>
          </w:p>
        </w:tc>
      </w:tr>
      <w:tr w:rsidR="00A7676B" w:rsidRPr="00FF207E" w14:paraId="4F8CBF59" w14:textId="77777777" w:rsidTr="0077297B">
        <w:trPr>
          <w:trHeight w:val="255"/>
        </w:trPr>
        <w:tc>
          <w:tcPr>
            <w:tcW w:w="1526" w:type="dxa"/>
            <w:shd w:val="clear" w:color="auto" w:fill="auto"/>
            <w:noWrap/>
            <w:vAlign w:val="center"/>
            <w:hideMark/>
          </w:tcPr>
          <w:p w14:paraId="2DB58404" w14:textId="0BADFE83"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SURS</w:t>
            </w:r>
          </w:p>
        </w:tc>
        <w:tc>
          <w:tcPr>
            <w:tcW w:w="7688" w:type="dxa"/>
            <w:shd w:val="clear" w:color="auto" w:fill="auto"/>
            <w:noWrap/>
            <w:vAlign w:val="center"/>
            <w:hideMark/>
          </w:tcPr>
          <w:p w14:paraId="27966426" w14:textId="2D098DBB"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Statistični urad Republike Slovenije</w:t>
            </w:r>
          </w:p>
        </w:tc>
      </w:tr>
      <w:tr w:rsidR="00A7676B" w:rsidRPr="00FF207E" w14:paraId="6E4DD25E" w14:textId="77777777" w:rsidTr="00682482">
        <w:trPr>
          <w:trHeight w:val="255"/>
        </w:trPr>
        <w:tc>
          <w:tcPr>
            <w:tcW w:w="1526" w:type="dxa"/>
            <w:shd w:val="clear" w:color="auto" w:fill="auto"/>
            <w:noWrap/>
            <w:vAlign w:val="center"/>
            <w:hideMark/>
          </w:tcPr>
          <w:p w14:paraId="26C85D52" w14:textId="628F03DE"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lastRenderedPageBreak/>
              <w:t>TGP</w:t>
            </w:r>
          </w:p>
        </w:tc>
        <w:tc>
          <w:tcPr>
            <w:tcW w:w="7688" w:type="dxa"/>
            <w:shd w:val="clear" w:color="auto" w:fill="auto"/>
            <w:noWrap/>
            <w:vAlign w:val="center"/>
            <w:hideMark/>
          </w:tcPr>
          <w:p w14:paraId="6FB0D7A5" w14:textId="239439AF"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toplogredni plini</w:t>
            </w:r>
          </w:p>
        </w:tc>
      </w:tr>
      <w:tr w:rsidR="00A7676B" w:rsidRPr="00FF207E" w14:paraId="183E697A" w14:textId="77777777" w:rsidTr="00682482">
        <w:trPr>
          <w:trHeight w:val="255"/>
        </w:trPr>
        <w:tc>
          <w:tcPr>
            <w:tcW w:w="1526" w:type="dxa"/>
            <w:shd w:val="clear" w:color="auto" w:fill="auto"/>
            <w:noWrap/>
            <w:vAlign w:val="center"/>
            <w:hideMark/>
          </w:tcPr>
          <w:p w14:paraId="3A8C630C" w14:textId="0875C6D8"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UL</w:t>
            </w:r>
          </w:p>
        </w:tc>
        <w:tc>
          <w:tcPr>
            <w:tcW w:w="7688" w:type="dxa"/>
            <w:shd w:val="clear" w:color="auto" w:fill="auto"/>
            <w:noWrap/>
            <w:vAlign w:val="center"/>
            <w:hideMark/>
          </w:tcPr>
          <w:p w14:paraId="36C0A9CA" w14:textId="2959FEE6"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Uradni list</w:t>
            </w:r>
          </w:p>
        </w:tc>
      </w:tr>
      <w:tr w:rsidR="00A7676B" w:rsidRPr="00FF207E" w14:paraId="34418054" w14:textId="77777777" w:rsidTr="00682482">
        <w:trPr>
          <w:trHeight w:val="255"/>
        </w:trPr>
        <w:tc>
          <w:tcPr>
            <w:tcW w:w="1526" w:type="dxa"/>
            <w:shd w:val="clear" w:color="auto" w:fill="auto"/>
            <w:noWrap/>
            <w:vAlign w:val="center"/>
            <w:hideMark/>
          </w:tcPr>
          <w:p w14:paraId="2D611E8D" w14:textId="7C947A65"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URE</w:t>
            </w:r>
          </w:p>
        </w:tc>
        <w:tc>
          <w:tcPr>
            <w:tcW w:w="7688" w:type="dxa"/>
            <w:shd w:val="clear" w:color="auto" w:fill="auto"/>
            <w:noWrap/>
            <w:vAlign w:val="center"/>
            <w:hideMark/>
          </w:tcPr>
          <w:p w14:paraId="01DDC7AA" w14:textId="67286169"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učinkovita raba energije</w:t>
            </w:r>
          </w:p>
        </w:tc>
      </w:tr>
      <w:tr w:rsidR="00A7676B" w:rsidRPr="00FF207E" w14:paraId="1EB7DD25" w14:textId="77777777" w:rsidTr="00682482">
        <w:trPr>
          <w:trHeight w:val="255"/>
        </w:trPr>
        <w:tc>
          <w:tcPr>
            <w:tcW w:w="1526" w:type="dxa"/>
            <w:shd w:val="clear" w:color="auto" w:fill="auto"/>
            <w:noWrap/>
            <w:vAlign w:val="center"/>
            <w:hideMark/>
          </w:tcPr>
          <w:p w14:paraId="70F373F7" w14:textId="132DE891"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VD</w:t>
            </w:r>
          </w:p>
        </w:tc>
        <w:tc>
          <w:tcPr>
            <w:tcW w:w="7688" w:type="dxa"/>
            <w:shd w:val="clear" w:color="auto" w:fill="auto"/>
            <w:noWrap/>
            <w:vAlign w:val="center"/>
            <w:hideMark/>
          </w:tcPr>
          <w:p w14:paraId="46B4BCB2" w14:textId="633FB9F9"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varstveni dodatek</w:t>
            </w:r>
          </w:p>
        </w:tc>
      </w:tr>
      <w:tr w:rsidR="00A7676B" w:rsidRPr="00FF207E" w14:paraId="6CE09CE9" w14:textId="77777777" w:rsidTr="00682482">
        <w:trPr>
          <w:trHeight w:val="255"/>
        </w:trPr>
        <w:tc>
          <w:tcPr>
            <w:tcW w:w="1526" w:type="dxa"/>
            <w:shd w:val="clear" w:color="auto" w:fill="auto"/>
            <w:noWrap/>
            <w:vAlign w:val="center"/>
            <w:hideMark/>
          </w:tcPr>
          <w:p w14:paraId="0EAB9E2D" w14:textId="1ECE613F"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VSS</w:t>
            </w:r>
          </w:p>
        </w:tc>
        <w:tc>
          <w:tcPr>
            <w:tcW w:w="7688" w:type="dxa"/>
            <w:shd w:val="clear" w:color="auto" w:fill="auto"/>
            <w:noWrap/>
            <w:vAlign w:val="center"/>
            <w:hideMark/>
          </w:tcPr>
          <w:p w14:paraId="68DFCDA2" w14:textId="6E7574EB"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večstanovanjska stavba</w:t>
            </w:r>
          </w:p>
        </w:tc>
      </w:tr>
      <w:tr w:rsidR="00A7676B" w:rsidRPr="00FF207E" w14:paraId="0C3BAD48" w14:textId="77777777" w:rsidTr="00682482">
        <w:trPr>
          <w:trHeight w:val="255"/>
        </w:trPr>
        <w:tc>
          <w:tcPr>
            <w:tcW w:w="1526" w:type="dxa"/>
            <w:shd w:val="clear" w:color="auto" w:fill="auto"/>
            <w:noWrap/>
            <w:vAlign w:val="center"/>
          </w:tcPr>
          <w:p w14:paraId="2AA15179" w14:textId="2B133CB4"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ZOEE</w:t>
            </w:r>
          </w:p>
        </w:tc>
        <w:tc>
          <w:tcPr>
            <w:tcW w:w="7688" w:type="dxa"/>
            <w:shd w:val="clear" w:color="auto" w:fill="auto"/>
            <w:noWrap/>
            <w:vAlign w:val="center"/>
          </w:tcPr>
          <w:p w14:paraId="09BF5565" w14:textId="1C0C9D6F"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Zakon o oskrbi z električno energijo</w:t>
            </w:r>
          </w:p>
        </w:tc>
      </w:tr>
      <w:tr w:rsidR="00A7676B" w:rsidRPr="00FF207E" w14:paraId="660048BE" w14:textId="77777777" w:rsidTr="00682482">
        <w:trPr>
          <w:trHeight w:val="255"/>
        </w:trPr>
        <w:tc>
          <w:tcPr>
            <w:tcW w:w="1526" w:type="dxa"/>
            <w:shd w:val="clear" w:color="auto" w:fill="auto"/>
            <w:noWrap/>
            <w:vAlign w:val="center"/>
          </w:tcPr>
          <w:p w14:paraId="137575D5" w14:textId="2B006F36"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ZOP</w:t>
            </w:r>
          </w:p>
        </w:tc>
        <w:tc>
          <w:tcPr>
            <w:tcW w:w="7688" w:type="dxa"/>
            <w:shd w:val="clear" w:color="auto" w:fill="auto"/>
            <w:noWrap/>
            <w:vAlign w:val="center"/>
          </w:tcPr>
          <w:p w14:paraId="1C3630F1" w14:textId="4AB733D2"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Zakon o oskrbi s plini</w:t>
            </w:r>
          </w:p>
        </w:tc>
      </w:tr>
      <w:tr w:rsidR="00A7676B" w:rsidRPr="00FF207E" w14:paraId="47753D9F" w14:textId="77777777" w:rsidTr="00682482">
        <w:trPr>
          <w:trHeight w:val="255"/>
        </w:trPr>
        <w:tc>
          <w:tcPr>
            <w:tcW w:w="1526" w:type="dxa"/>
            <w:shd w:val="clear" w:color="auto" w:fill="auto"/>
            <w:noWrap/>
            <w:vAlign w:val="center"/>
            <w:hideMark/>
          </w:tcPr>
          <w:p w14:paraId="33F38DE5" w14:textId="714BEAE2"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ZOTDS</w:t>
            </w:r>
          </w:p>
        </w:tc>
        <w:tc>
          <w:tcPr>
            <w:tcW w:w="7688" w:type="dxa"/>
            <w:shd w:val="clear" w:color="auto" w:fill="auto"/>
            <w:noWrap/>
            <w:vAlign w:val="center"/>
            <w:hideMark/>
          </w:tcPr>
          <w:p w14:paraId="2197611C" w14:textId="7CD7F632"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Zakon o oskrbi s toploto iz distribucijskih sistemov</w:t>
            </w:r>
          </w:p>
        </w:tc>
      </w:tr>
      <w:tr w:rsidR="00A7676B" w:rsidRPr="00FF207E" w14:paraId="38AB61EA" w14:textId="77777777" w:rsidTr="00682482">
        <w:trPr>
          <w:trHeight w:val="255"/>
        </w:trPr>
        <w:tc>
          <w:tcPr>
            <w:tcW w:w="1526" w:type="dxa"/>
            <w:shd w:val="clear" w:color="auto" w:fill="auto"/>
            <w:noWrap/>
            <w:vAlign w:val="center"/>
            <w:hideMark/>
          </w:tcPr>
          <w:p w14:paraId="77C9DD6B" w14:textId="057E6CF3"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ZPM</w:t>
            </w:r>
          </w:p>
        </w:tc>
        <w:tc>
          <w:tcPr>
            <w:tcW w:w="7688" w:type="dxa"/>
            <w:shd w:val="clear" w:color="auto" w:fill="auto"/>
            <w:noWrap/>
            <w:vAlign w:val="center"/>
            <w:hideMark/>
          </w:tcPr>
          <w:p w14:paraId="164037DA" w14:textId="5E26612B"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Zveza prijateljev mladine</w:t>
            </w:r>
          </w:p>
        </w:tc>
      </w:tr>
      <w:tr w:rsidR="00A7676B" w:rsidRPr="00FF207E" w14:paraId="3322D244" w14:textId="77777777" w:rsidTr="00682482">
        <w:trPr>
          <w:trHeight w:val="255"/>
        </w:trPr>
        <w:tc>
          <w:tcPr>
            <w:tcW w:w="1526" w:type="dxa"/>
            <w:shd w:val="clear" w:color="auto" w:fill="auto"/>
            <w:noWrap/>
            <w:vAlign w:val="center"/>
            <w:hideMark/>
          </w:tcPr>
          <w:p w14:paraId="21D81EEF" w14:textId="016AA5FC"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ZPS</w:t>
            </w:r>
          </w:p>
        </w:tc>
        <w:tc>
          <w:tcPr>
            <w:tcW w:w="7688" w:type="dxa"/>
            <w:shd w:val="clear" w:color="auto" w:fill="auto"/>
            <w:noWrap/>
            <w:vAlign w:val="center"/>
            <w:hideMark/>
          </w:tcPr>
          <w:p w14:paraId="7B2770E4" w14:textId="736E7595"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Zveza potrošnikov Slovenije</w:t>
            </w:r>
          </w:p>
        </w:tc>
      </w:tr>
      <w:tr w:rsidR="00A7676B" w:rsidRPr="00FF207E" w14:paraId="533DEED0" w14:textId="77777777" w:rsidTr="00682482">
        <w:trPr>
          <w:trHeight w:val="255"/>
        </w:trPr>
        <w:tc>
          <w:tcPr>
            <w:tcW w:w="1526" w:type="dxa"/>
            <w:shd w:val="clear" w:color="auto" w:fill="auto"/>
            <w:noWrap/>
            <w:vAlign w:val="center"/>
            <w:hideMark/>
          </w:tcPr>
          <w:p w14:paraId="59E942DC" w14:textId="6FA1C871"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ZSROVE</w:t>
            </w:r>
          </w:p>
        </w:tc>
        <w:tc>
          <w:tcPr>
            <w:tcW w:w="7688" w:type="dxa"/>
            <w:shd w:val="clear" w:color="auto" w:fill="auto"/>
            <w:noWrap/>
            <w:vAlign w:val="center"/>
            <w:hideMark/>
          </w:tcPr>
          <w:p w14:paraId="64B6C8B0" w14:textId="2C939169"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Zakon o spodbujanju rabe obnovljivih virov energije</w:t>
            </w:r>
          </w:p>
        </w:tc>
      </w:tr>
      <w:tr w:rsidR="00A7676B" w:rsidRPr="00FF207E" w14:paraId="1CD03F6E" w14:textId="77777777" w:rsidTr="00682482">
        <w:trPr>
          <w:trHeight w:val="255"/>
        </w:trPr>
        <w:tc>
          <w:tcPr>
            <w:tcW w:w="1526" w:type="dxa"/>
            <w:shd w:val="clear" w:color="auto" w:fill="auto"/>
            <w:noWrap/>
            <w:vAlign w:val="center"/>
          </w:tcPr>
          <w:p w14:paraId="4163155E" w14:textId="343E3473" w:rsidR="00A7676B" w:rsidRPr="00FF207E" w:rsidRDefault="00A7676B" w:rsidP="001E304B">
            <w:pPr>
              <w:spacing w:line="300" w:lineRule="exact"/>
              <w:jc w:val="both"/>
              <w:rPr>
                <w:rFonts w:cs="Arial"/>
                <w:b/>
                <w:bCs/>
                <w:i/>
                <w:iCs/>
                <w:sz w:val="18"/>
                <w:szCs w:val="18"/>
                <w:lang w:val="sl-SI"/>
              </w:rPr>
            </w:pPr>
            <w:r w:rsidRPr="00FF207E">
              <w:rPr>
                <w:rFonts w:cs="Arial"/>
                <w:b/>
                <w:bCs/>
                <w:i/>
                <w:iCs/>
                <w:sz w:val="18"/>
                <w:szCs w:val="18"/>
                <w:lang w:val="sl-SI"/>
              </w:rPr>
              <w:t>ZURE</w:t>
            </w:r>
          </w:p>
        </w:tc>
        <w:tc>
          <w:tcPr>
            <w:tcW w:w="7688" w:type="dxa"/>
            <w:shd w:val="clear" w:color="auto" w:fill="auto"/>
            <w:noWrap/>
            <w:vAlign w:val="center"/>
          </w:tcPr>
          <w:p w14:paraId="11379809" w14:textId="516EE84F" w:rsidR="00A7676B" w:rsidRPr="00FF207E" w:rsidRDefault="00A7676B" w:rsidP="001E304B">
            <w:pPr>
              <w:spacing w:line="300" w:lineRule="exact"/>
              <w:jc w:val="both"/>
              <w:rPr>
                <w:rFonts w:cs="Arial"/>
                <w:color w:val="000000"/>
                <w:sz w:val="18"/>
                <w:szCs w:val="18"/>
                <w:lang w:val="sl-SI"/>
              </w:rPr>
            </w:pPr>
            <w:r w:rsidRPr="00FF207E">
              <w:rPr>
                <w:rFonts w:cs="Arial"/>
                <w:color w:val="000000"/>
                <w:sz w:val="18"/>
                <w:szCs w:val="18"/>
                <w:lang w:val="sl-SI"/>
              </w:rPr>
              <w:t xml:space="preserve">Zakon o učinkoviti rabi energije </w:t>
            </w:r>
          </w:p>
        </w:tc>
      </w:tr>
      <w:tr w:rsidR="00A7676B" w:rsidRPr="00FF207E" w14:paraId="4F368D15" w14:textId="77777777" w:rsidTr="00682482">
        <w:trPr>
          <w:trHeight w:val="255"/>
        </w:trPr>
        <w:tc>
          <w:tcPr>
            <w:tcW w:w="1526" w:type="dxa"/>
            <w:shd w:val="clear" w:color="auto" w:fill="auto"/>
            <w:noWrap/>
            <w:vAlign w:val="center"/>
          </w:tcPr>
          <w:p w14:paraId="7C1E0E3D" w14:textId="26D2F1F2" w:rsidR="00A7676B" w:rsidRPr="00FF207E" w:rsidRDefault="00A7676B" w:rsidP="001E304B">
            <w:pPr>
              <w:spacing w:line="300" w:lineRule="exact"/>
              <w:jc w:val="both"/>
              <w:rPr>
                <w:rFonts w:cs="Arial"/>
                <w:b/>
                <w:bCs/>
                <w:i/>
                <w:iCs/>
                <w:sz w:val="18"/>
                <w:szCs w:val="18"/>
                <w:lang w:val="sl-SI"/>
              </w:rPr>
            </w:pPr>
          </w:p>
        </w:tc>
        <w:tc>
          <w:tcPr>
            <w:tcW w:w="7688" w:type="dxa"/>
            <w:shd w:val="clear" w:color="auto" w:fill="auto"/>
            <w:noWrap/>
            <w:vAlign w:val="center"/>
          </w:tcPr>
          <w:p w14:paraId="28152B9A" w14:textId="0598A330" w:rsidR="00A7676B" w:rsidRPr="00FF207E" w:rsidRDefault="00A7676B" w:rsidP="001E304B">
            <w:pPr>
              <w:spacing w:line="300" w:lineRule="exact"/>
              <w:jc w:val="both"/>
              <w:rPr>
                <w:rFonts w:cs="Arial"/>
                <w:color w:val="000000"/>
                <w:sz w:val="18"/>
                <w:szCs w:val="18"/>
                <w:lang w:val="sl-SI"/>
              </w:rPr>
            </w:pPr>
          </w:p>
        </w:tc>
      </w:tr>
    </w:tbl>
    <w:p w14:paraId="6AF01C25" w14:textId="77777777" w:rsidR="00AC4C85" w:rsidRPr="00FF207E" w:rsidRDefault="00AC4C85" w:rsidP="001E304B">
      <w:pPr>
        <w:tabs>
          <w:tab w:val="left" w:pos="1134"/>
          <w:tab w:val="right" w:leader="dot" w:pos="9061"/>
        </w:tabs>
        <w:spacing w:after="120"/>
        <w:ind w:left="1134" w:hanging="1134"/>
        <w:jc w:val="both"/>
        <w:rPr>
          <w:lang w:val="sl-SI"/>
        </w:rPr>
      </w:pPr>
    </w:p>
    <w:p w14:paraId="1BC1F905" w14:textId="279B1FAB" w:rsidR="009238CF" w:rsidRPr="00FF207E" w:rsidRDefault="009238CF" w:rsidP="001E304B">
      <w:pPr>
        <w:pStyle w:val="Naslov2"/>
        <w:spacing w:after="240"/>
        <w:jc w:val="both"/>
        <w:rPr>
          <w:lang w:val="sl-SI"/>
        </w:rPr>
      </w:pPr>
      <w:bookmarkStart w:id="132" w:name="_Toc151148814"/>
      <w:r w:rsidRPr="00FF207E">
        <w:rPr>
          <w:lang w:val="sl-SI"/>
        </w:rPr>
        <w:t xml:space="preserve">Seznam </w:t>
      </w:r>
      <w:r w:rsidR="00EA6955" w:rsidRPr="00FF207E">
        <w:rPr>
          <w:lang w:val="sl-SI"/>
        </w:rPr>
        <w:t>slik</w:t>
      </w:r>
      <w:bookmarkEnd w:id="132"/>
    </w:p>
    <w:p w14:paraId="298055EC" w14:textId="6EC20A71" w:rsidR="008C5036" w:rsidRPr="00FF207E" w:rsidRDefault="00D807FB" w:rsidP="001E304B">
      <w:pPr>
        <w:pStyle w:val="Kazaloslik"/>
        <w:tabs>
          <w:tab w:val="left" w:pos="1134"/>
          <w:tab w:val="right" w:leader="dot" w:pos="9062"/>
        </w:tabs>
        <w:spacing w:before="60"/>
        <w:ind w:left="1134" w:hanging="1134"/>
        <w:jc w:val="both"/>
        <w:rPr>
          <w:rFonts w:asciiTheme="minorHAnsi" w:eastAsiaTheme="minorEastAsia" w:hAnsiTheme="minorHAnsi" w:cstheme="minorBidi"/>
          <w:szCs w:val="22"/>
          <w:lang w:val="sl-SI" w:eastAsia="sl-SI"/>
        </w:rPr>
      </w:pPr>
      <w:r w:rsidRPr="00FF207E">
        <w:rPr>
          <w:lang w:val="sl-SI"/>
        </w:rPr>
        <w:fldChar w:fldCharType="begin"/>
      </w:r>
      <w:r w:rsidRPr="00FF207E">
        <w:rPr>
          <w:lang w:val="sl-SI"/>
        </w:rPr>
        <w:instrText xml:space="preserve"> TOC \h \z \c "Slika" </w:instrText>
      </w:r>
      <w:r w:rsidRPr="00FF207E">
        <w:rPr>
          <w:lang w:val="sl-SI"/>
        </w:rPr>
        <w:fldChar w:fldCharType="separate"/>
      </w:r>
      <w:hyperlink w:anchor="_Toc138161829" w:history="1">
        <w:r w:rsidR="008C5036" w:rsidRPr="00FF207E">
          <w:rPr>
            <w:rStyle w:val="Hiperpovezava"/>
            <w:rFonts w:eastAsiaTheme="majorEastAsia"/>
            <w:lang w:val="sl-SI"/>
          </w:rPr>
          <w:t>Slika 1:</w:t>
        </w:r>
        <w:r w:rsidR="008C5036" w:rsidRPr="00FF207E">
          <w:rPr>
            <w:rFonts w:asciiTheme="minorHAnsi" w:eastAsiaTheme="minorEastAsia" w:hAnsiTheme="minorHAnsi" w:cstheme="minorBidi"/>
            <w:szCs w:val="22"/>
            <w:lang w:val="sl-SI" w:eastAsia="sl-SI"/>
          </w:rPr>
          <w:tab/>
        </w:r>
        <w:r w:rsidR="008C5036" w:rsidRPr="00FF207E">
          <w:rPr>
            <w:rStyle w:val="Hiperpovezava"/>
            <w:rFonts w:eastAsiaTheme="majorEastAsia"/>
            <w:lang w:val="sl-SI"/>
          </w:rPr>
          <w:t>Shema za zmanjševanje energetske revščine</w:t>
        </w:r>
        <w:r w:rsidR="008C5036" w:rsidRPr="00FF207E">
          <w:rPr>
            <w:webHidden/>
            <w:lang w:val="sl-SI"/>
          </w:rPr>
          <w:tab/>
        </w:r>
        <w:r w:rsidR="008C5036" w:rsidRPr="00FF207E">
          <w:rPr>
            <w:webHidden/>
            <w:lang w:val="sl-SI"/>
          </w:rPr>
          <w:fldChar w:fldCharType="begin"/>
        </w:r>
        <w:r w:rsidR="008C5036" w:rsidRPr="00FF207E">
          <w:rPr>
            <w:webHidden/>
            <w:lang w:val="sl-SI"/>
          </w:rPr>
          <w:instrText xml:space="preserve"> PAGEREF _Toc138161829 \h </w:instrText>
        </w:r>
        <w:r w:rsidR="008C5036" w:rsidRPr="00FF207E">
          <w:rPr>
            <w:webHidden/>
            <w:lang w:val="sl-SI"/>
          </w:rPr>
        </w:r>
        <w:r w:rsidR="008C5036" w:rsidRPr="00FF207E">
          <w:rPr>
            <w:webHidden/>
            <w:lang w:val="sl-SI"/>
          </w:rPr>
          <w:fldChar w:fldCharType="separate"/>
        </w:r>
        <w:r w:rsidR="00F37FD1" w:rsidRPr="00FF207E">
          <w:rPr>
            <w:webHidden/>
            <w:lang w:val="sl-SI"/>
          </w:rPr>
          <w:t>19</w:t>
        </w:r>
        <w:r w:rsidR="008C5036" w:rsidRPr="00FF207E">
          <w:rPr>
            <w:webHidden/>
            <w:lang w:val="sl-SI"/>
          </w:rPr>
          <w:fldChar w:fldCharType="end"/>
        </w:r>
      </w:hyperlink>
    </w:p>
    <w:p w14:paraId="3B6D0A1D" w14:textId="6ECE03C9" w:rsidR="008C5036" w:rsidRPr="00FF207E" w:rsidRDefault="005428A9" w:rsidP="001E304B">
      <w:pPr>
        <w:pStyle w:val="Kazaloslik"/>
        <w:tabs>
          <w:tab w:val="left" w:pos="1134"/>
          <w:tab w:val="right" w:leader="dot" w:pos="9062"/>
        </w:tabs>
        <w:spacing w:before="60"/>
        <w:ind w:left="1134" w:hanging="1134"/>
        <w:jc w:val="both"/>
        <w:rPr>
          <w:rFonts w:asciiTheme="minorHAnsi" w:eastAsiaTheme="minorEastAsia" w:hAnsiTheme="minorHAnsi" w:cstheme="minorBidi"/>
          <w:szCs w:val="22"/>
          <w:lang w:val="sl-SI" w:eastAsia="sl-SI"/>
        </w:rPr>
      </w:pPr>
      <w:hyperlink w:anchor="_Toc138161830" w:history="1">
        <w:r w:rsidR="008C5036" w:rsidRPr="00FF207E">
          <w:rPr>
            <w:rStyle w:val="Hiperpovezava"/>
            <w:rFonts w:eastAsiaTheme="majorEastAsia"/>
            <w:lang w:val="sl-SI"/>
          </w:rPr>
          <w:t>Slika 2:</w:t>
        </w:r>
        <w:r w:rsidR="008C5036" w:rsidRPr="00FF207E">
          <w:rPr>
            <w:rFonts w:asciiTheme="minorHAnsi" w:eastAsiaTheme="minorEastAsia" w:hAnsiTheme="minorHAnsi" w:cstheme="minorBidi"/>
            <w:szCs w:val="22"/>
            <w:lang w:val="sl-SI" w:eastAsia="sl-SI"/>
          </w:rPr>
          <w:tab/>
        </w:r>
        <w:r w:rsidR="008C5036" w:rsidRPr="00FF207E">
          <w:rPr>
            <w:rStyle w:val="Hiperpovezava"/>
            <w:rFonts w:eastAsiaTheme="majorEastAsia"/>
            <w:lang w:val="sl-SI"/>
          </w:rPr>
          <w:t xml:space="preserve">Predlagana organizacija za izvajanje </w:t>
        </w:r>
        <w:r w:rsidR="00CB3F8C" w:rsidRPr="00FF207E">
          <w:rPr>
            <w:rStyle w:val="Hiperpovezava"/>
            <w:rFonts w:eastAsiaTheme="majorEastAsia"/>
            <w:lang w:val="sl-SI"/>
          </w:rPr>
          <w:t xml:space="preserve">akcijskega načrta </w:t>
        </w:r>
        <w:r w:rsidR="008C5036" w:rsidRPr="00FF207E">
          <w:rPr>
            <w:rStyle w:val="Hiperpovezava"/>
            <w:rFonts w:eastAsiaTheme="majorEastAsia"/>
            <w:lang w:val="sl-SI"/>
          </w:rPr>
          <w:t xml:space="preserve">na </w:t>
        </w:r>
        <w:r w:rsidR="00CB3F8C" w:rsidRPr="00FF207E">
          <w:rPr>
            <w:rStyle w:val="Hiperpovezava"/>
            <w:rFonts w:eastAsiaTheme="majorEastAsia"/>
            <w:lang w:val="sl-SI"/>
          </w:rPr>
          <w:t xml:space="preserve">državni </w:t>
        </w:r>
        <w:r w:rsidR="008C5036" w:rsidRPr="00FF207E">
          <w:rPr>
            <w:rStyle w:val="Hiperpovezava"/>
            <w:rFonts w:eastAsiaTheme="majorEastAsia"/>
            <w:lang w:val="sl-SI"/>
          </w:rPr>
          <w:t>in regionalni ravni v obdobju 2024–2026</w:t>
        </w:r>
        <w:r w:rsidR="008C5036" w:rsidRPr="00FF207E">
          <w:rPr>
            <w:webHidden/>
            <w:lang w:val="sl-SI"/>
          </w:rPr>
          <w:tab/>
        </w:r>
        <w:r w:rsidR="008C5036" w:rsidRPr="00FF207E">
          <w:rPr>
            <w:webHidden/>
            <w:lang w:val="sl-SI"/>
          </w:rPr>
          <w:fldChar w:fldCharType="begin"/>
        </w:r>
        <w:r w:rsidR="008C5036" w:rsidRPr="00FF207E">
          <w:rPr>
            <w:webHidden/>
            <w:lang w:val="sl-SI"/>
          </w:rPr>
          <w:instrText xml:space="preserve"> PAGEREF _Toc138161830 \h </w:instrText>
        </w:r>
        <w:r w:rsidR="008C5036" w:rsidRPr="00FF207E">
          <w:rPr>
            <w:webHidden/>
            <w:lang w:val="sl-SI"/>
          </w:rPr>
        </w:r>
        <w:r w:rsidR="008C5036" w:rsidRPr="00FF207E">
          <w:rPr>
            <w:webHidden/>
            <w:lang w:val="sl-SI"/>
          </w:rPr>
          <w:fldChar w:fldCharType="separate"/>
        </w:r>
        <w:r w:rsidR="00F37FD1" w:rsidRPr="00FF207E">
          <w:rPr>
            <w:webHidden/>
            <w:lang w:val="sl-SI"/>
          </w:rPr>
          <w:t>57</w:t>
        </w:r>
        <w:r w:rsidR="008C5036" w:rsidRPr="00FF207E">
          <w:rPr>
            <w:webHidden/>
            <w:lang w:val="sl-SI"/>
          </w:rPr>
          <w:fldChar w:fldCharType="end"/>
        </w:r>
      </w:hyperlink>
    </w:p>
    <w:p w14:paraId="4A164F33" w14:textId="5A55D2AE" w:rsidR="007E2ED1" w:rsidRPr="00FF207E" w:rsidRDefault="00D807FB" w:rsidP="001E304B">
      <w:pPr>
        <w:tabs>
          <w:tab w:val="left" w:pos="1134"/>
          <w:tab w:val="right" w:leader="dot" w:pos="9061"/>
        </w:tabs>
        <w:spacing w:after="120"/>
        <w:ind w:left="1134" w:hanging="1134"/>
        <w:jc w:val="both"/>
        <w:rPr>
          <w:lang w:val="sl-SI"/>
        </w:rPr>
      </w:pPr>
      <w:r w:rsidRPr="00FF207E">
        <w:rPr>
          <w:lang w:val="sl-SI"/>
        </w:rPr>
        <w:fldChar w:fldCharType="end"/>
      </w:r>
    </w:p>
    <w:p w14:paraId="57A57863" w14:textId="3AB9EF3F" w:rsidR="009238CF" w:rsidRPr="00FF207E" w:rsidRDefault="009238CF" w:rsidP="001E304B">
      <w:pPr>
        <w:pStyle w:val="Naslov2"/>
        <w:jc w:val="both"/>
        <w:rPr>
          <w:lang w:val="sl-SI"/>
        </w:rPr>
      </w:pPr>
      <w:bookmarkStart w:id="133" w:name="_Toc151148815"/>
      <w:r w:rsidRPr="00FF207E">
        <w:rPr>
          <w:lang w:val="sl-SI"/>
        </w:rPr>
        <w:t xml:space="preserve">Seznam </w:t>
      </w:r>
      <w:r w:rsidR="00EA6955" w:rsidRPr="00FF207E">
        <w:rPr>
          <w:lang w:val="sl-SI"/>
        </w:rPr>
        <w:t>tabel</w:t>
      </w:r>
      <w:bookmarkEnd w:id="133"/>
    </w:p>
    <w:p w14:paraId="6949266B" w14:textId="0352B4E6" w:rsidR="008C5036" w:rsidRPr="00FF207E" w:rsidRDefault="0068383E" w:rsidP="001E304B">
      <w:pPr>
        <w:pStyle w:val="Kazaloslik"/>
        <w:tabs>
          <w:tab w:val="left" w:pos="1718"/>
          <w:tab w:val="right" w:leader="dot" w:pos="9062"/>
        </w:tabs>
        <w:spacing w:before="60"/>
        <w:ind w:left="1134" w:hanging="1134"/>
        <w:jc w:val="both"/>
        <w:rPr>
          <w:rFonts w:asciiTheme="minorHAnsi" w:eastAsiaTheme="minorEastAsia" w:hAnsiTheme="minorHAnsi" w:cstheme="minorBidi"/>
          <w:szCs w:val="22"/>
          <w:lang w:val="sl-SI" w:eastAsia="sl-SI"/>
        </w:rPr>
      </w:pPr>
      <w:r w:rsidRPr="00FF207E">
        <w:rPr>
          <w:lang w:val="sl-SI"/>
        </w:rPr>
        <w:fldChar w:fldCharType="begin"/>
      </w:r>
      <w:r w:rsidRPr="00FF207E">
        <w:rPr>
          <w:lang w:val="sl-SI"/>
        </w:rPr>
        <w:instrText xml:space="preserve"> TOC \h \z \c "Tabela" </w:instrText>
      </w:r>
      <w:r w:rsidRPr="00FF207E">
        <w:rPr>
          <w:lang w:val="sl-SI"/>
        </w:rPr>
        <w:fldChar w:fldCharType="separate"/>
      </w:r>
      <w:hyperlink w:anchor="_Toc138161831" w:history="1">
        <w:r w:rsidR="008C5036" w:rsidRPr="00FF207E">
          <w:rPr>
            <w:rStyle w:val="Hiperpovezava"/>
            <w:rFonts w:eastAsiaTheme="majorEastAsia"/>
            <w:lang w:val="sl-SI"/>
          </w:rPr>
          <w:t>Tabela 1:</w:t>
        </w:r>
        <w:r w:rsidR="008C5036" w:rsidRPr="00FF207E">
          <w:rPr>
            <w:rFonts w:asciiTheme="minorHAnsi" w:eastAsiaTheme="minorEastAsia" w:hAnsiTheme="minorHAnsi" w:cstheme="minorBidi"/>
            <w:szCs w:val="22"/>
            <w:lang w:val="sl-SI" w:eastAsia="sl-SI"/>
          </w:rPr>
          <w:tab/>
        </w:r>
        <w:r w:rsidR="008C5036" w:rsidRPr="00FF207E">
          <w:rPr>
            <w:rStyle w:val="Hiperpovezava"/>
            <w:rFonts w:eastAsiaTheme="majorEastAsia"/>
            <w:lang w:val="sl-SI"/>
          </w:rPr>
          <w:t>Ukrepi akcijskega načrta za zmanjševanje energetske revščine</w:t>
        </w:r>
        <w:r w:rsidR="008C5036" w:rsidRPr="00FF207E">
          <w:rPr>
            <w:webHidden/>
            <w:lang w:val="sl-SI"/>
          </w:rPr>
          <w:tab/>
        </w:r>
        <w:r w:rsidR="008C5036" w:rsidRPr="00FF207E">
          <w:rPr>
            <w:webHidden/>
            <w:lang w:val="sl-SI"/>
          </w:rPr>
          <w:fldChar w:fldCharType="begin"/>
        </w:r>
        <w:r w:rsidR="008C5036" w:rsidRPr="00FF207E">
          <w:rPr>
            <w:webHidden/>
            <w:lang w:val="sl-SI"/>
          </w:rPr>
          <w:instrText xml:space="preserve"> PAGEREF _Toc138161831 \h </w:instrText>
        </w:r>
        <w:r w:rsidR="008C5036" w:rsidRPr="00FF207E">
          <w:rPr>
            <w:webHidden/>
            <w:lang w:val="sl-SI"/>
          </w:rPr>
        </w:r>
        <w:r w:rsidR="008C5036" w:rsidRPr="00FF207E">
          <w:rPr>
            <w:webHidden/>
            <w:lang w:val="sl-SI"/>
          </w:rPr>
          <w:fldChar w:fldCharType="separate"/>
        </w:r>
        <w:r w:rsidR="00F37FD1" w:rsidRPr="00FF207E">
          <w:rPr>
            <w:webHidden/>
            <w:lang w:val="sl-SI"/>
          </w:rPr>
          <w:t>7</w:t>
        </w:r>
        <w:r w:rsidR="008C5036" w:rsidRPr="00FF207E">
          <w:rPr>
            <w:webHidden/>
            <w:lang w:val="sl-SI"/>
          </w:rPr>
          <w:fldChar w:fldCharType="end"/>
        </w:r>
      </w:hyperlink>
    </w:p>
    <w:p w14:paraId="3653D700" w14:textId="73013098" w:rsidR="008C5036" w:rsidRPr="00FF207E" w:rsidRDefault="005428A9" w:rsidP="001E304B">
      <w:pPr>
        <w:pStyle w:val="Kazaloslik"/>
        <w:tabs>
          <w:tab w:val="left" w:pos="1718"/>
          <w:tab w:val="right" w:leader="dot" w:pos="9062"/>
        </w:tabs>
        <w:spacing w:before="60"/>
        <w:ind w:left="1134" w:hanging="1134"/>
        <w:jc w:val="both"/>
        <w:rPr>
          <w:rFonts w:asciiTheme="minorHAnsi" w:eastAsiaTheme="minorEastAsia" w:hAnsiTheme="minorHAnsi" w:cstheme="minorBidi"/>
          <w:szCs w:val="22"/>
          <w:lang w:val="sl-SI" w:eastAsia="sl-SI"/>
        </w:rPr>
      </w:pPr>
      <w:hyperlink w:anchor="_Toc138161832" w:history="1">
        <w:r w:rsidR="008C5036" w:rsidRPr="00FF207E">
          <w:rPr>
            <w:rStyle w:val="Hiperpovezava"/>
            <w:rFonts w:eastAsiaTheme="majorEastAsia"/>
            <w:lang w:val="sl-SI"/>
          </w:rPr>
          <w:t>Tabela 2:</w:t>
        </w:r>
        <w:r w:rsidR="008C5036" w:rsidRPr="00FF207E">
          <w:rPr>
            <w:rFonts w:asciiTheme="minorHAnsi" w:eastAsiaTheme="minorEastAsia" w:hAnsiTheme="minorHAnsi" w:cstheme="minorBidi"/>
            <w:szCs w:val="22"/>
            <w:lang w:val="sl-SI" w:eastAsia="sl-SI"/>
          </w:rPr>
          <w:tab/>
        </w:r>
        <w:r w:rsidR="008C5036" w:rsidRPr="00FF207E">
          <w:rPr>
            <w:rStyle w:val="Hiperpovezava"/>
            <w:rFonts w:eastAsiaTheme="majorEastAsia"/>
            <w:lang w:val="sl-SI"/>
          </w:rPr>
          <w:t>Ciljne vrednosti za število izvedenih naložb pri energetsko revnih za različne namene dodeljevanja spodbud, letno in skupno v obdobju 2024–2026</w:t>
        </w:r>
        <w:r w:rsidR="008C5036" w:rsidRPr="00FF207E">
          <w:rPr>
            <w:webHidden/>
            <w:lang w:val="sl-SI"/>
          </w:rPr>
          <w:tab/>
        </w:r>
        <w:r w:rsidR="008C5036" w:rsidRPr="00FF207E">
          <w:rPr>
            <w:webHidden/>
            <w:lang w:val="sl-SI"/>
          </w:rPr>
          <w:fldChar w:fldCharType="begin"/>
        </w:r>
        <w:r w:rsidR="008C5036" w:rsidRPr="00FF207E">
          <w:rPr>
            <w:webHidden/>
            <w:lang w:val="sl-SI"/>
          </w:rPr>
          <w:instrText xml:space="preserve"> PAGEREF _Toc138161832 \h </w:instrText>
        </w:r>
        <w:r w:rsidR="008C5036" w:rsidRPr="00FF207E">
          <w:rPr>
            <w:webHidden/>
            <w:lang w:val="sl-SI"/>
          </w:rPr>
        </w:r>
        <w:r w:rsidR="008C5036" w:rsidRPr="00FF207E">
          <w:rPr>
            <w:webHidden/>
            <w:lang w:val="sl-SI"/>
          </w:rPr>
          <w:fldChar w:fldCharType="separate"/>
        </w:r>
        <w:r w:rsidR="00F37FD1" w:rsidRPr="00FF207E">
          <w:rPr>
            <w:webHidden/>
            <w:lang w:val="sl-SI"/>
          </w:rPr>
          <w:t>18</w:t>
        </w:r>
        <w:r w:rsidR="008C5036" w:rsidRPr="00FF207E">
          <w:rPr>
            <w:webHidden/>
            <w:lang w:val="sl-SI"/>
          </w:rPr>
          <w:fldChar w:fldCharType="end"/>
        </w:r>
      </w:hyperlink>
    </w:p>
    <w:p w14:paraId="496BE5B4" w14:textId="41CBAA27" w:rsidR="008C5036" w:rsidRPr="00FF207E" w:rsidRDefault="005428A9" w:rsidP="001E304B">
      <w:pPr>
        <w:pStyle w:val="Kazaloslik"/>
        <w:tabs>
          <w:tab w:val="left" w:pos="1718"/>
          <w:tab w:val="right" w:leader="dot" w:pos="9062"/>
        </w:tabs>
        <w:spacing w:before="60"/>
        <w:ind w:left="1134" w:hanging="1134"/>
        <w:jc w:val="both"/>
        <w:rPr>
          <w:rFonts w:asciiTheme="minorHAnsi" w:eastAsiaTheme="minorEastAsia" w:hAnsiTheme="minorHAnsi" w:cstheme="minorBidi"/>
          <w:szCs w:val="22"/>
          <w:lang w:val="sl-SI" w:eastAsia="sl-SI"/>
        </w:rPr>
      </w:pPr>
      <w:hyperlink w:anchor="_Toc138161833" w:history="1">
        <w:r w:rsidR="008C5036" w:rsidRPr="00FF207E">
          <w:rPr>
            <w:rStyle w:val="Hiperpovezava"/>
            <w:rFonts w:eastAsiaTheme="majorEastAsia"/>
            <w:lang w:val="sl-SI"/>
          </w:rPr>
          <w:t>Tabela 3:</w:t>
        </w:r>
        <w:r w:rsidR="008C5036" w:rsidRPr="00FF207E">
          <w:rPr>
            <w:rFonts w:asciiTheme="minorHAnsi" w:eastAsiaTheme="minorEastAsia" w:hAnsiTheme="minorHAnsi" w:cstheme="minorBidi"/>
            <w:szCs w:val="22"/>
            <w:lang w:val="sl-SI" w:eastAsia="sl-SI"/>
          </w:rPr>
          <w:tab/>
        </w:r>
        <w:r w:rsidR="008C5036" w:rsidRPr="00FF207E">
          <w:rPr>
            <w:rStyle w:val="Hiperpovezava"/>
            <w:rFonts w:eastAsiaTheme="majorEastAsia"/>
            <w:lang w:val="sl-SI"/>
          </w:rPr>
          <w:t>Ukrepi, vključeni v shemo za zmanjševanje energetske revščine</w:t>
        </w:r>
        <w:r w:rsidR="008C5036" w:rsidRPr="00FF207E">
          <w:rPr>
            <w:webHidden/>
            <w:lang w:val="sl-SI"/>
          </w:rPr>
          <w:tab/>
        </w:r>
        <w:r w:rsidR="008C5036" w:rsidRPr="00FF207E">
          <w:rPr>
            <w:webHidden/>
            <w:lang w:val="sl-SI"/>
          </w:rPr>
          <w:fldChar w:fldCharType="begin"/>
        </w:r>
        <w:r w:rsidR="008C5036" w:rsidRPr="00FF207E">
          <w:rPr>
            <w:webHidden/>
            <w:lang w:val="sl-SI"/>
          </w:rPr>
          <w:instrText xml:space="preserve"> PAGEREF _Toc138161833 \h </w:instrText>
        </w:r>
        <w:r w:rsidR="008C5036" w:rsidRPr="00FF207E">
          <w:rPr>
            <w:webHidden/>
            <w:lang w:val="sl-SI"/>
          </w:rPr>
        </w:r>
        <w:r w:rsidR="008C5036" w:rsidRPr="00FF207E">
          <w:rPr>
            <w:webHidden/>
            <w:lang w:val="sl-SI"/>
          </w:rPr>
          <w:fldChar w:fldCharType="separate"/>
        </w:r>
        <w:r w:rsidR="00F37FD1" w:rsidRPr="00FF207E">
          <w:rPr>
            <w:webHidden/>
            <w:lang w:val="sl-SI"/>
          </w:rPr>
          <w:t>19</w:t>
        </w:r>
        <w:r w:rsidR="008C5036" w:rsidRPr="00FF207E">
          <w:rPr>
            <w:webHidden/>
            <w:lang w:val="sl-SI"/>
          </w:rPr>
          <w:fldChar w:fldCharType="end"/>
        </w:r>
      </w:hyperlink>
    </w:p>
    <w:p w14:paraId="4B5807E7" w14:textId="13075E64" w:rsidR="008C5036" w:rsidRPr="00FF207E" w:rsidRDefault="005428A9" w:rsidP="001E304B">
      <w:pPr>
        <w:pStyle w:val="Kazaloslik"/>
        <w:tabs>
          <w:tab w:val="left" w:pos="1718"/>
          <w:tab w:val="right" w:leader="dot" w:pos="9062"/>
        </w:tabs>
        <w:spacing w:before="60"/>
        <w:ind w:left="1134" w:hanging="1134"/>
        <w:jc w:val="both"/>
        <w:rPr>
          <w:rFonts w:asciiTheme="minorHAnsi" w:eastAsiaTheme="minorEastAsia" w:hAnsiTheme="minorHAnsi" w:cstheme="minorBidi"/>
          <w:szCs w:val="22"/>
          <w:lang w:val="sl-SI" w:eastAsia="sl-SI"/>
        </w:rPr>
      </w:pPr>
      <w:hyperlink w:anchor="_Toc138161834" w:history="1">
        <w:r w:rsidR="008C5036" w:rsidRPr="00FF207E">
          <w:rPr>
            <w:rStyle w:val="Hiperpovezava"/>
            <w:rFonts w:eastAsiaTheme="majorEastAsia"/>
            <w:lang w:val="sl-SI"/>
          </w:rPr>
          <w:t>Tabela 4:</w:t>
        </w:r>
        <w:r w:rsidR="008C5036" w:rsidRPr="00FF207E">
          <w:rPr>
            <w:rFonts w:asciiTheme="minorHAnsi" w:eastAsiaTheme="minorEastAsia" w:hAnsiTheme="minorHAnsi" w:cstheme="minorBidi"/>
            <w:szCs w:val="22"/>
            <w:lang w:val="sl-SI" w:eastAsia="sl-SI"/>
          </w:rPr>
          <w:tab/>
        </w:r>
        <w:r w:rsidR="008C5036" w:rsidRPr="00FF207E">
          <w:rPr>
            <w:rStyle w:val="Hiperpovezava"/>
            <w:rFonts w:eastAsiaTheme="majorEastAsia"/>
            <w:lang w:val="sl-SI"/>
          </w:rPr>
          <w:t>Pregled kazalnikov, uporabljenih za izbor pilotne regije</w:t>
        </w:r>
        <w:r w:rsidR="008C5036" w:rsidRPr="00FF207E">
          <w:rPr>
            <w:webHidden/>
            <w:lang w:val="sl-SI"/>
          </w:rPr>
          <w:tab/>
        </w:r>
        <w:r w:rsidR="008C5036" w:rsidRPr="00FF207E">
          <w:rPr>
            <w:webHidden/>
            <w:lang w:val="sl-SI"/>
          </w:rPr>
          <w:fldChar w:fldCharType="begin"/>
        </w:r>
        <w:r w:rsidR="008C5036" w:rsidRPr="00FF207E">
          <w:rPr>
            <w:webHidden/>
            <w:lang w:val="sl-SI"/>
          </w:rPr>
          <w:instrText xml:space="preserve"> PAGEREF _Toc138161834 \h </w:instrText>
        </w:r>
        <w:r w:rsidR="008C5036" w:rsidRPr="00FF207E">
          <w:rPr>
            <w:webHidden/>
            <w:lang w:val="sl-SI"/>
          </w:rPr>
        </w:r>
        <w:r w:rsidR="008C5036" w:rsidRPr="00FF207E">
          <w:rPr>
            <w:webHidden/>
            <w:lang w:val="sl-SI"/>
          </w:rPr>
          <w:fldChar w:fldCharType="separate"/>
        </w:r>
        <w:r w:rsidR="00F37FD1" w:rsidRPr="00FF207E">
          <w:rPr>
            <w:webHidden/>
            <w:lang w:val="sl-SI"/>
          </w:rPr>
          <w:t>20</w:t>
        </w:r>
        <w:r w:rsidR="008C5036" w:rsidRPr="00FF207E">
          <w:rPr>
            <w:webHidden/>
            <w:lang w:val="sl-SI"/>
          </w:rPr>
          <w:fldChar w:fldCharType="end"/>
        </w:r>
      </w:hyperlink>
    </w:p>
    <w:p w14:paraId="0B33F6C6" w14:textId="7074334C" w:rsidR="008C5036" w:rsidRPr="00FF207E" w:rsidRDefault="005428A9" w:rsidP="001E304B">
      <w:pPr>
        <w:pStyle w:val="Kazaloslik"/>
        <w:tabs>
          <w:tab w:val="left" w:pos="1718"/>
          <w:tab w:val="right" w:leader="dot" w:pos="9062"/>
        </w:tabs>
        <w:spacing w:before="60"/>
        <w:ind w:left="1134" w:hanging="1134"/>
        <w:jc w:val="both"/>
        <w:rPr>
          <w:rFonts w:asciiTheme="minorHAnsi" w:eastAsiaTheme="minorEastAsia" w:hAnsiTheme="minorHAnsi" w:cstheme="minorBidi"/>
          <w:szCs w:val="22"/>
          <w:lang w:val="sl-SI" w:eastAsia="sl-SI"/>
        </w:rPr>
      </w:pPr>
      <w:hyperlink w:anchor="_Toc138161835" w:history="1">
        <w:r w:rsidR="008C5036" w:rsidRPr="00FF207E">
          <w:rPr>
            <w:rStyle w:val="Hiperpovezava"/>
            <w:rFonts w:eastAsiaTheme="majorEastAsia"/>
            <w:lang w:val="sl-SI"/>
          </w:rPr>
          <w:t>Tabela 5:</w:t>
        </w:r>
        <w:r w:rsidR="008C5036" w:rsidRPr="00FF207E">
          <w:rPr>
            <w:rFonts w:asciiTheme="minorHAnsi" w:eastAsiaTheme="minorEastAsia" w:hAnsiTheme="minorHAnsi" w:cstheme="minorBidi"/>
            <w:szCs w:val="22"/>
            <w:lang w:val="sl-SI" w:eastAsia="sl-SI"/>
          </w:rPr>
          <w:tab/>
        </w:r>
        <w:r w:rsidR="0006530A" w:rsidRPr="00FF207E">
          <w:rPr>
            <w:rStyle w:val="Hiperpovezava"/>
            <w:rFonts w:eastAsiaTheme="majorEastAsia"/>
            <w:lang w:val="sl-SI"/>
          </w:rPr>
          <w:t xml:space="preserve">Drugi </w:t>
        </w:r>
        <w:r w:rsidR="008C5036" w:rsidRPr="00FF207E">
          <w:rPr>
            <w:rStyle w:val="Hiperpovezava"/>
            <w:rFonts w:eastAsiaTheme="majorEastAsia"/>
            <w:lang w:val="sl-SI"/>
          </w:rPr>
          <w:t>ukrepi za zmanjševanje energetske revščine</w:t>
        </w:r>
        <w:r w:rsidR="008C5036" w:rsidRPr="00FF207E">
          <w:rPr>
            <w:webHidden/>
            <w:lang w:val="sl-SI"/>
          </w:rPr>
          <w:tab/>
        </w:r>
        <w:r w:rsidR="008C5036" w:rsidRPr="00FF207E">
          <w:rPr>
            <w:webHidden/>
            <w:lang w:val="sl-SI"/>
          </w:rPr>
          <w:fldChar w:fldCharType="begin"/>
        </w:r>
        <w:r w:rsidR="008C5036" w:rsidRPr="00FF207E">
          <w:rPr>
            <w:webHidden/>
            <w:lang w:val="sl-SI"/>
          </w:rPr>
          <w:instrText xml:space="preserve"> PAGEREF _Toc138161835 \h </w:instrText>
        </w:r>
        <w:r w:rsidR="008C5036" w:rsidRPr="00FF207E">
          <w:rPr>
            <w:webHidden/>
            <w:lang w:val="sl-SI"/>
          </w:rPr>
        </w:r>
        <w:r w:rsidR="008C5036" w:rsidRPr="00FF207E">
          <w:rPr>
            <w:webHidden/>
            <w:lang w:val="sl-SI"/>
          </w:rPr>
          <w:fldChar w:fldCharType="separate"/>
        </w:r>
        <w:r w:rsidR="00F37FD1" w:rsidRPr="00FF207E">
          <w:rPr>
            <w:webHidden/>
            <w:lang w:val="sl-SI"/>
          </w:rPr>
          <w:t>39</w:t>
        </w:r>
        <w:r w:rsidR="008C5036" w:rsidRPr="00FF207E">
          <w:rPr>
            <w:webHidden/>
            <w:lang w:val="sl-SI"/>
          </w:rPr>
          <w:fldChar w:fldCharType="end"/>
        </w:r>
      </w:hyperlink>
    </w:p>
    <w:p w14:paraId="638EB2D7" w14:textId="2525ECF5" w:rsidR="008C5036" w:rsidRPr="00FF207E" w:rsidRDefault="005428A9" w:rsidP="001E304B">
      <w:pPr>
        <w:pStyle w:val="Kazaloslik"/>
        <w:tabs>
          <w:tab w:val="left" w:pos="1718"/>
          <w:tab w:val="right" w:leader="dot" w:pos="9062"/>
        </w:tabs>
        <w:spacing w:before="60"/>
        <w:ind w:left="1134" w:hanging="1134"/>
        <w:jc w:val="both"/>
        <w:rPr>
          <w:rFonts w:asciiTheme="minorHAnsi" w:eastAsiaTheme="minorEastAsia" w:hAnsiTheme="minorHAnsi" w:cstheme="minorBidi"/>
          <w:szCs w:val="22"/>
          <w:lang w:val="sl-SI" w:eastAsia="sl-SI"/>
        </w:rPr>
      </w:pPr>
      <w:hyperlink w:anchor="_Toc138161836" w:history="1">
        <w:r w:rsidR="008C5036" w:rsidRPr="00FF207E">
          <w:rPr>
            <w:rStyle w:val="Hiperpovezava"/>
            <w:rFonts w:eastAsiaTheme="majorEastAsia"/>
            <w:lang w:val="sl-SI"/>
          </w:rPr>
          <w:t>Tabela 6:</w:t>
        </w:r>
        <w:r w:rsidR="008C5036" w:rsidRPr="00FF207E">
          <w:rPr>
            <w:rFonts w:asciiTheme="minorHAnsi" w:eastAsiaTheme="minorEastAsia" w:hAnsiTheme="minorHAnsi" w:cstheme="minorBidi"/>
            <w:szCs w:val="22"/>
            <w:lang w:val="sl-SI" w:eastAsia="sl-SI"/>
          </w:rPr>
          <w:tab/>
        </w:r>
        <w:r w:rsidR="008C5036" w:rsidRPr="00FF207E">
          <w:rPr>
            <w:rStyle w:val="Hiperpovezava"/>
            <w:rFonts w:eastAsiaTheme="majorEastAsia"/>
            <w:lang w:val="sl-SI"/>
          </w:rPr>
          <w:t>Ukrepa za blaženje energetske revščine</w:t>
        </w:r>
        <w:r w:rsidR="008C5036" w:rsidRPr="00FF207E">
          <w:rPr>
            <w:webHidden/>
            <w:lang w:val="sl-SI"/>
          </w:rPr>
          <w:tab/>
        </w:r>
        <w:r w:rsidR="008C5036" w:rsidRPr="00FF207E">
          <w:rPr>
            <w:webHidden/>
            <w:lang w:val="sl-SI"/>
          </w:rPr>
          <w:fldChar w:fldCharType="begin"/>
        </w:r>
        <w:r w:rsidR="008C5036" w:rsidRPr="00FF207E">
          <w:rPr>
            <w:webHidden/>
            <w:lang w:val="sl-SI"/>
          </w:rPr>
          <w:instrText xml:space="preserve"> PAGEREF _Toc138161836 \h </w:instrText>
        </w:r>
        <w:r w:rsidR="008C5036" w:rsidRPr="00FF207E">
          <w:rPr>
            <w:webHidden/>
            <w:lang w:val="sl-SI"/>
          </w:rPr>
        </w:r>
        <w:r w:rsidR="008C5036" w:rsidRPr="00FF207E">
          <w:rPr>
            <w:webHidden/>
            <w:lang w:val="sl-SI"/>
          </w:rPr>
          <w:fldChar w:fldCharType="separate"/>
        </w:r>
        <w:r w:rsidR="00F37FD1" w:rsidRPr="00FF207E">
          <w:rPr>
            <w:webHidden/>
            <w:lang w:val="sl-SI"/>
          </w:rPr>
          <w:t>49</w:t>
        </w:r>
        <w:r w:rsidR="008C5036" w:rsidRPr="00FF207E">
          <w:rPr>
            <w:webHidden/>
            <w:lang w:val="sl-SI"/>
          </w:rPr>
          <w:fldChar w:fldCharType="end"/>
        </w:r>
      </w:hyperlink>
    </w:p>
    <w:p w14:paraId="746FC2AF" w14:textId="13D34030" w:rsidR="008C5036" w:rsidRPr="00FF207E" w:rsidRDefault="005428A9" w:rsidP="001E304B">
      <w:pPr>
        <w:pStyle w:val="Kazaloslik"/>
        <w:tabs>
          <w:tab w:val="left" w:pos="1718"/>
          <w:tab w:val="right" w:leader="dot" w:pos="9062"/>
        </w:tabs>
        <w:spacing w:before="60"/>
        <w:ind w:left="1134" w:hanging="1134"/>
        <w:jc w:val="both"/>
        <w:rPr>
          <w:rFonts w:asciiTheme="minorHAnsi" w:eastAsiaTheme="minorEastAsia" w:hAnsiTheme="minorHAnsi" w:cstheme="minorBidi"/>
          <w:szCs w:val="22"/>
          <w:lang w:val="sl-SI" w:eastAsia="sl-SI"/>
        </w:rPr>
      </w:pPr>
      <w:hyperlink w:anchor="_Toc138161837" w:history="1">
        <w:r w:rsidR="008C5036" w:rsidRPr="00FF207E">
          <w:rPr>
            <w:rStyle w:val="Hiperpovezava"/>
            <w:rFonts w:eastAsiaTheme="majorEastAsia"/>
            <w:lang w:val="sl-SI"/>
          </w:rPr>
          <w:t>Tabela 7:</w:t>
        </w:r>
        <w:r w:rsidR="008C5036" w:rsidRPr="00FF207E">
          <w:rPr>
            <w:rFonts w:asciiTheme="minorHAnsi" w:eastAsiaTheme="minorEastAsia" w:hAnsiTheme="minorHAnsi" w:cstheme="minorBidi"/>
            <w:szCs w:val="22"/>
            <w:lang w:val="sl-SI" w:eastAsia="sl-SI"/>
          </w:rPr>
          <w:tab/>
        </w:r>
        <w:r w:rsidR="008C5036" w:rsidRPr="00FF207E">
          <w:rPr>
            <w:rStyle w:val="Hiperpovezava"/>
            <w:rFonts w:eastAsiaTheme="majorEastAsia"/>
            <w:lang w:val="sl-SI"/>
          </w:rPr>
          <w:t xml:space="preserve">Potrebna sredstva za izvajanje akcijskega načrta za zmanjševanje </w:t>
        </w:r>
        <w:r w:rsidR="00BF7CD0" w:rsidRPr="00FF207E">
          <w:rPr>
            <w:rStyle w:val="Hiperpovezava"/>
            <w:rFonts w:eastAsiaTheme="majorEastAsia"/>
            <w:lang w:val="sl-SI"/>
          </w:rPr>
          <w:br/>
        </w:r>
        <w:r w:rsidR="008C5036" w:rsidRPr="00FF207E">
          <w:rPr>
            <w:rStyle w:val="Hiperpovezava"/>
            <w:rFonts w:eastAsiaTheme="majorEastAsia"/>
            <w:lang w:val="sl-SI"/>
          </w:rPr>
          <w:t>energetske revščine v obdobju 2024‒2026 in viri sredstev</w:t>
        </w:r>
        <w:r w:rsidR="008C5036" w:rsidRPr="00FF207E">
          <w:rPr>
            <w:webHidden/>
            <w:lang w:val="sl-SI"/>
          </w:rPr>
          <w:tab/>
        </w:r>
        <w:r w:rsidR="008C5036" w:rsidRPr="00FF207E">
          <w:rPr>
            <w:webHidden/>
            <w:lang w:val="sl-SI"/>
          </w:rPr>
          <w:fldChar w:fldCharType="begin"/>
        </w:r>
        <w:r w:rsidR="008C5036" w:rsidRPr="00FF207E">
          <w:rPr>
            <w:webHidden/>
            <w:lang w:val="sl-SI"/>
          </w:rPr>
          <w:instrText xml:space="preserve"> PAGEREF _Toc138161837 \h </w:instrText>
        </w:r>
        <w:r w:rsidR="008C5036" w:rsidRPr="00FF207E">
          <w:rPr>
            <w:webHidden/>
            <w:lang w:val="sl-SI"/>
          </w:rPr>
        </w:r>
        <w:r w:rsidR="008C5036" w:rsidRPr="00FF207E">
          <w:rPr>
            <w:webHidden/>
            <w:lang w:val="sl-SI"/>
          </w:rPr>
          <w:fldChar w:fldCharType="separate"/>
        </w:r>
        <w:r w:rsidR="00F37FD1" w:rsidRPr="00FF207E">
          <w:rPr>
            <w:webHidden/>
            <w:lang w:val="sl-SI"/>
          </w:rPr>
          <w:t>53</w:t>
        </w:r>
        <w:r w:rsidR="008C5036" w:rsidRPr="00FF207E">
          <w:rPr>
            <w:webHidden/>
            <w:lang w:val="sl-SI"/>
          </w:rPr>
          <w:fldChar w:fldCharType="end"/>
        </w:r>
      </w:hyperlink>
    </w:p>
    <w:p w14:paraId="7E8CB8F1" w14:textId="11FBFB12" w:rsidR="008C5036" w:rsidRPr="00FF207E" w:rsidRDefault="005428A9" w:rsidP="001E304B">
      <w:pPr>
        <w:pStyle w:val="Kazaloslik"/>
        <w:tabs>
          <w:tab w:val="left" w:pos="1718"/>
          <w:tab w:val="right" w:leader="dot" w:pos="9062"/>
        </w:tabs>
        <w:spacing w:before="60"/>
        <w:ind w:left="1134" w:hanging="1134"/>
        <w:jc w:val="both"/>
        <w:rPr>
          <w:rFonts w:asciiTheme="minorHAnsi" w:eastAsiaTheme="minorEastAsia" w:hAnsiTheme="minorHAnsi" w:cstheme="minorBidi"/>
          <w:szCs w:val="22"/>
          <w:lang w:val="sl-SI" w:eastAsia="sl-SI"/>
        </w:rPr>
      </w:pPr>
      <w:hyperlink w:anchor="_Toc138161838" w:history="1">
        <w:r w:rsidR="008C5036" w:rsidRPr="00FF207E">
          <w:rPr>
            <w:rStyle w:val="Hiperpovezava"/>
            <w:rFonts w:eastAsiaTheme="majorEastAsia"/>
            <w:lang w:val="sl-SI"/>
          </w:rPr>
          <w:t>Tabela 8:</w:t>
        </w:r>
        <w:r w:rsidR="008C5036" w:rsidRPr="00FF207E">
          <w:rPr>
            <w:rFonts w:asciiTheme="minorHAnsi" w:eastAsiaTheme="minorEastAsia" w:hAnsiTheme="minorHAnsi" w:cstheme="minorBidi"/>
            <w:szCs w:val="22"/>
            <w:lang w:val="sl-SI" w:eastAsia="sl-SI"/>
          </w:rPr>
          <w:tab/>
        </w:r>
        <w:r w:rsidR="008C5036" w:rsidRPr="00FF207E">
          <w:rPr>
            <w:rStyle w:val="Hiperpovezava"/>
            <w:rFonts w:eastAsiaTheme="majorEastAsia"/>
            <w:lang w:val="sl-SI"/>
          </w:rPr>
          <w:t xml:space="preserve">Stroški dela projektne pisarne z dvema regionalnima svetovalnima točkama </w:t>
        </w:r>
        <w:r w:rsidR="00BF7CD0" w:rsidRPr="00FF207E">
          <w:rPr>
            <w:rStyle w:val="Hiperpovezava"/>
            <w:rFonts w:eastAsiaTheme="majorEastAsia"/>
            <w:lang w:val="sl-SI"/>
          </w:rPr>
          <w:br/>
        </w:r>
        <w:r w:rsidR="008C5036" w:rsidRPr="00FF207E">
          <w:rPr>
            <w:rStyle w:val="Hiperpovezava"/>
            <w:rFonts w:eastAsiaTheme="majorEastAsia"/>
            <w:lang w:val="sl-SI"/>
          </w:rPr>
          <w:t xml:space="preserve">za izvajanje akcijskega načrta za zmanjševanje energetske revščine </w:t>
        </w:r>
        <w:r w:rsidR="00BF7CD0" w:rsidRPr="00FF207E">
          <w:rPr>
            <w:rStyle w:val="Hiperpovezava"/>
            <w:rFonts w:eastAsiaTheme="majorEastAsia"/>
            <w:lang w:val="sl-SI"/>
          </w:rPr>
          <w:br/>
        </w:r>
        <w:r w:rsidR="008C5036" w:rsidRPr="00FF207E">
          <w:rPr>
            <w:rStyle w:val="Hiperpovezava"/>
            <w:rFonts w:eastAsiaTheme="majorEastAsia"/>
            <w:lang w:val="sl-SI"/>
          </w:rPr>
          <w:t>v obdobju 2024‒2026 ‒ podrobneje</w:t>
        </w:r>
        <w:r w:rsidR="008C5036" w:rsidRPr="00FF207E">
          <w:rPr>
            <w:webHidden/>
            <w:lang w:val="sl-SI"/>
          </w:rPr>
          <w:tab/>
        </w:r>
        <w:r w:rsidR="008276DF" w:rsidRPr="00FF207E">
          <w:rPr>
            <w:webHidden/>
            <w:lang w:val="sl-SI"/>
          </w:rPr>
          <w:t>55</w:t>
        </w:r>
      </w:hyperlink>
    </w:p>
    <w:p w14:paraId="77A0020A" w14:textId="300AEC64" w:rsidR="008C5036" w:rsidRPr="00FF207E" w:rsidRDefault="005428A9" w:rsidP="001E304B">
      <w:pPr>
        <w:pStyle w:val="Kazaloslik"/>
        <w:tabs>
          <w:tab w:val="left" w:pos="1718"/>
          <w:tab w:val="right" w:leader="dot" w:pos="9062"/>
        </w:tabs>
        <w:spacing w:before="60"/>
        <w:ind w:left="1134" w:hanging="1134"/>
        <w:jc w:val="both"/>
        <w:rPr>
          <w:rFonts w:asciiTheme="minorHAnsi" w:eastAsiaTheme="minorEastAsia" w:hAnsiTheme="minorHAnsi" w:cstheme="minorBidi"/>
          <w:szCs w:val="22"/>
          <w:lang w:val="sl-SI" w:eastAsia="sl-SI"/>
        </w:rPr>
      </w:pPr>
      <w:hyperlink w:anchor="_Toc138161839" w:history="1">
        <w:r w:rsidR="008C5036" w:rsidRPr="00FF207E">
          <w:rPr>
            <w:rStyle w:val="Hiperpovezava"/>
            <w:rFonts w:eastAsiaTheme="majorEastAsia"/>
            <w:lang w:val="sl-SI"/>
          </w:rPr>
          <w:t>Tabela 9:</w:t>
        </w:r>
        <w:r w:rsidR="008C5036" w:rsidRPr="00FF207E">
          <w:rPr>
            <w:rFonts w:asciiTheme="minorHAnsi" w:eastAsiaTheme="minorEastAsia" w:hAnsiTheme="minorHAnsi" w:cstheme="minorBidi"/>
            <w:szCs w:val="22"/>
            <w:lang w:val="sl-SI" w:eastAsia="sl-SI"/>
          </w:rPr>
          <w:tab/>
        </w:r>
        <w:r w:rsidR="008C5036" w:rsidRPr="00FF207E">
          <w:rPr>
            <w:rStyle w:val="Hiperpovezava"/>
            <w:rFonts w:eastAsiaTheme="majorEastAsia"/>
            <w:spacing w:val="-2"/>
            <w:lang w:val="sl-SI"/>
          </w:rPr>
          <w:t>Skupno število dodatno zaposlenih, potrebnih za izvajanje akcijskega načrta, po letih</w:t>
        </w:r>
        <w:r w:rsidR="008C5036" w:rsidRPr="00FF207E">
          <w:rPr>
            <w:webHidden/>
            <w:lang w:val="sl-SI"/>
          </w:rPr>
          <w:tab/>
        </w:r>
        <w:r w:rsidR="00BF7CD0" w:rsidRPr="00FF207E">
          <w:rPr>
            <w:webHidden/>
            <w:lang w:val="sl-SI"/>
          </w:rPr>
          <w:tab/>
        </w:r>
        <w:r w:rsidR="008C5036" w:rsidRPr="00FF207E">
          <w:rPr>
            <w:webHidden/>
            <w:lang w:val="sl-SI"/>
          </w:rPr>
          <w:fldChar w:fldCharType="begin"/>
        </w:r>
        <w:r w:rsidR="008C5036" w:rsidRPr="00FF207E">
          <w:rPr>
            <w:webHidden/>
            <w:lang w:val="sl-SI"/>
          </w:rPr>
          <w:instrText xml:space="preserve"> PAGEREF _Toc138161839 \h </w:instrText>
        </w:r>
        <w:r w:rsidR="008C5036" w:rsidRPr="00FF207E">
          <w:rPr>
            <w:webHidden/>
            <w:lang w:val="sl-SI"/>
          </w:rPr>
        </w:r>
        <w:r w:rsidR="008C5036" w:rsidRPr="00FF207E">
          <w:rPr>
            <w:webHidden/>
            <w:lang w:val="sl-SI"/>
          </w:rPr>
          <w:fldChar w:fldCharType="separate"/>
        </w:r>
        <w:r w:rsidR="00F37FD1" w:rsidRPr="00FF207E">
          <w:rPr>
            <w:webHidden/>
            <w:lang w:val="sl-SI"/>
          </w:rPr>
          <w:t>55</w:t>
        </w:r>
        <w:r w:rsidR="008C5036" w:rsidRPr="00FF207E">
          <w:rPr>
            <w:webHidden/>
            <w:lang w:val="sl-SI"/>
          </w:rPr>
          <w:fldChar w:fldCharType="end"/>
        </w:r>
      </w:hyperlink>
    </w:p>
    <w:p w14:paraId="695E97E9" w14:textId="6178906A" w:rsidR="00FD5131" w:rsidRPr="00FF207E" w:rsidRDefault="0068383E" w:rsidP="001E304B">
      <w:pPr>
        <w:tabs>
          <w:tab w:val="left" w:pos="1134"/>
          <w:tab w:val="right" w:leader="dot" w:pos="9061"/>
        </w:tabs>
        <w:spacing w:before="60"/>
        <w:ind w:left="1134" w:hanging="1134"/>
        <w:jc w:val="both"/>
        <w:rPr>
          <w:lang w:val="sl-SI"/>
        </w:rPr>
      </w:pPr>
      <w:r w:rsidRPr="00FF207E">
        <w:rPr>
          <w:lang w:val="sl-SI"/>
        </w:rPr>
        <w:fldChar w:fldCharType="end"/>
      </w:r>
    </w:p>
    <w:p w14:paraId="4DC4E892" w14:textId="77777777" w:rsidR="00AC4C85" w:rsidRPr="00FF207E" w:rsidRDefault="00AC4C85" w:rsidP="001E304B">
      <w:pPr>
        <w:tabs>
          <w:tab w:val="left" w:pos="1134"/>
          <w:tab w:val="right" w:leader="dot" w:pos="9061"/>
        </w:tabs>
        <w:spacing w:after="120"/>
        <w:ind w:left="1134" w:hanging="1134"/>
        <w:jc w:val="both"/>
        <w:rPr>
          <w:lang w:val="sl-SI"/>
        </w:rPr>
      </w:pPr>
    </w:p>
    <w:p w14:paraId="6B05B474" w14:textId="77777777" w:rsidR="000A7AFE" w:rsidRPr="00FF207E" w:rsidRDefault="000A7AFE" w:rsidP="001E304B">
      <w:pPr>
        <w:tabs>
          <w:tab w:val="left" w:pos="1134"/>
          <w:tab w:val="right" w:leader="dot" w:pos="9061"/>
        </w:tabs>
        <w:spacing w:after="120"/>
        <w:ind w:left="1134" w:hanging="1134"/>
        <w:jc w:val="both"/>
        <w:rPr>
          <w:rFonts w:cs="Arial"/>
          <w:lang w:val="sl-SI"/>
        </w:rPr>
        <w:sectPr w:rsidR="000A7AFE" w:rsidRPr="00FF207E" w:rsidSect="00B93EA5">
          <w:pgSz w:w="11906" w:h="16838"/>
          <w:pgMar w:top="1417" w:right="1417" w:bottom="1417" w:left="1417" w:header="708" w:footer="708" w:gutter="0"/>
          <w:cols w:space="708"/>
          <w:docGrid w:linePitch="360"/>
        </w:sectPr>
      </w:pPr>
    </w:p>
    <w:p w14:paraId="7DAC901D" w14:textId="23532484" w:rsidR="000A7AFE" w:rsidRPr="00FF207E" w:rsidRDefault="000A7AFE" w:rsidP="001E304B">
      <w:pPr>
        <w:pStyle w:val="Naslov1"/>
        <w:numPr>
          <w:ilvl w:val="0"/>
          <w:numId w:val="0"/>
        </w:numPr>
        <w:ind w:left="1701" w:hanging="1701"/>
        <w:jc w:val="both"/>
        <w:rPr>
          <w:lang w:val="sl-SI"/>
        </w:rPr>
      </w:pPr>
      <w:bookmarkStart w:id="134" w:name="_Priloga_1:_"/>
      <w:bookmarkStart w:id="135" w:name="_Ref137643349"/>
      <w:bookmarkStart w:id="136" w:name="_Toc151148816"/>
      <w:bookmarkEnd w:id="134"/>
      <w:r w:rsidRPr="00FF207E">
        <w:rPr>
          <w:lang w:val="sl-SI"/>
        </w:rPr>
        <w:lastRenderedPageBreak/>
        <w:t xml:space="preserve">Priloga 1: </w:t>
      </w:r>
      <w:r w:rsidRPr="00FF207E">
        <w:rPr>
          <w:lang w:val="sl-SI"/>
        </w:rPr>
        <w:tab/>
        <w:t>Metodologija za izbor pilotnih regij</w:t>
      </w:r>
      <w:bookmarkEnd w:id="135"/>
      <w:bookmarkEnd w:id="136"/>
    </w:p>
    <w:p w14:paraId="416CFC73" w14:textId="34E0DF6C" w:rsidR="00051CE8" w:rsidRPr="00FF207E" w:rsidRDefault="00D331D7" w:rsidP="001E304B">
      <w:pPr>
        <w:pStyle w:val="Odstavekseznama"/>
        <w:numPr>
          <w:ilvl w:val="0"/>
          <w:numId w:val="28"/>
        </w:numPr>
        <w:tabs>
          <w:tab w:val="left" w:pos="1134"/>
          <w:tab w:val="right" w:leader="dot" w:pos="9061"/>
        </w:tabs>
        <w:spacing w:after="120"/>
        <w:ind w:left="357" w:hanging="357"/>
        <w:jc w:val="both"/>
        <w:rPr>
          <w:rFonts w:cs="Arial"/>
          <w:b/>
          <w:bCs/>
          <w:color w:val="4F81BD" w:themeColor="accent1"/>
          <w:sz w:val="26"/>
          <w:szCs w:val="26"/>
          <w:lang w:val="sl-SI"/>
        </w:rPr>
      </w:pPr>
      <w:r w:rsidRPr="00FF207E">
        <w:rPr>
          <w:rFonts w:cs="Arial"/>
          <w:b/>
          <w:bCs/>
          <w:color w:val="4F81BD" w:themeColor="accent1"/>
          <w:sz w:val="26"/>
          <w:szCs w:val="26"/>
          <w:lang w:val="sl-SI"/>
        </w:rPr>
        <w:t xml:space="preserve">Merila </w:t>
      </w:r>
      <w:r w:rsidR="00051CE8" w:rsidRPr="00FF207E">
        <w:rPr>
          <w:rFonts w:cs="Arial"/>
          <w:b/>
          <w:bCs/>
          <w:color w:val="4F81BD" w:themeColor="accent1"/>
          <w:sz w:val="26"/>
          <w:szCs w:val="26"/>
          <w:lang w:val="sl-SI"/>
        </w:rPr>
        <w:t>za izbiro pilotne regije</w:t>
      </w:r>
    </w:p>
    <w:p w14:paraId="0D1D963B" w14:textId="586B1CBB"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Za izbir</w:t>
      </w:r>
      <w:r w:rsidR="00B847CE" w:rsidRPr="00FF207E">
        <w:rPr>
          <w:rFonts w:cs="Arial"/>
          <w:lang w:val="sl-SI"/>
        </w:rPr>
        <w:t>o</w:t>
      </w:r>
      <w:r w:rsidRPr="00FF207E">
        <w:rPr>
          <w:rFonts w:cs="Arial"/>
          <w:lang w:val="sl-SI"/>
        </w:rPr>
        <w:t xml:space="preserve"> pilotne regije je bil pripravljen izčrpen seznam različnih kvantitativnih</w:t>
      </w:r>
      <w:r w:rsidR="00D331D7" w:rsidRPr="00FF207E">
        <w:rPr>
          <w:rFonts w:cs="Arial"/>
          <w:lang w:val="sl-SI"/>
        </w:rPr>
        <w:t xml:space="preserve"> meril</w:t>
      </w:r>
      <w:r w:rsidRPr="00FF207E">
        <w:rPr>
          <w:rFonts w:cs="Arial"/>
          <w:lang w:val="sl-SI"/>
        </w:rPr>
        <w:t xml:space="preserve">. Pregled vseh preliminarnih </w:t>
      </w:r>
      <w:r w:rsidR="00D331D7" w:rsidRPr="00FF207E">
        <w:rPr>
          <w:rFonts w:cs="Arial"/>
          <w:lang w:val="sl-SI"/>
        </w:rPr>
        <w:t xml:space="preserve">meril </w:t>
      </w:r>
      <w:r w:rsidRPr="00FF207E">
        <w:rPr>
          <w:rFonts w:cs="Arial"/>
          <w:lang w:val="sl-SI"/>
        </w:rPr>
        <w:t xml:space="preserve">je na voljo v </w:t>
      </w:r>
      <w:r w:rsidR="002148ED" w:rsidRPr="00FF207E">
        <w:rPr>
          <w:rFonts w:cs="Arial"/>
          <w:lang w:val="sl-SI"/>
        </w:rPr>
        <w:t>spodnji tabeli (</w:t>
      </w:r>
      <w:r w:rsidR="001B0970" w:rsidRPr="00FF207E">
        <w:rPr>
          <w:rFonts w:cs="Arial"/>
          <w:lang w:val="sl-SI"/>
        </w:rPr>
        <w:t>t</w:t>
      </w:r>
      <w:r w:rsidR="002148ED" w:rsidRPr="00FF207E">
        <w:rPr>
          <w:rFonts w:cs="Arial"/>
          <w:lang w:val="sl-SI"/>
        </w:rPr>
        <w:t>abela 1)</w:t>
      </w:r>
      <w:r w:rsidRPr="00FF207E">
        <w:rPr>
          <w:rFonts w:cs="Arial"/>
          <w:lang w:val="sl-SI"/>
        </w:rPr>
        <w:t xml:space="preserve">. </w:t>
      </w:r>
      <w:r w:rsidR="002148ED" w:rsidRPr="00FF207E">
        <w:rPr>
          <w:rFonts w:cs="Arial"/>
          <w:lang w:val="sl-SI"/>
        </w:rPr>
        <w:t>Med</w:t>
      </w:r>
      <w:r w:rsidRPr="00FF207E">
        <w:rPr>
          <w:rFonts w:cs="Arial"/>
          <w:lang w:val="sl-SI"/>
        </w:rPr>
        <w:t xml:space="preserve"> priprav</w:t>
      </w:r>
      <w:r w:rsidR="002148ED" w:rsidRPr="00FF207E">
        <w:rPr>
          <w:rFonts w:cs="Arial"/>
          <w:lang w:val="sl-SI"/>
        </w:rPr>
        <w:t>o</w:t>
      </w:r>
      <w:r w:rsidRPr="00FF207E">
        <w:rPr>
          <w:rFonts w:cs="Arial"/>
          <w:lang w:val="sl-SI"/>
        </w:rPr>
        <w:t xml:space="preserve"> </w:t>
      </w:r>
      <w:r w:rsidR="002148ED" w:rsidRPr="00FF207E">
        <w:rPr>
          <w:rFonts w:cs="Arial"/>
          <w:lang w:val="sl-SI"/>
        </w:rPr>
        <w:t xml:space="preserve">strokovnih podlag za </w:t>
      </w:r>
      <w:r w:rsidRPr="00FF207E">
        <w:rPr>
          <w:rFonts w:cs="Arial"/>
          <w:lang w:val="sl-SI"/>
        </w:rPr>
        <w:t>akcijsk</w:t>
      </w:r>
      <w:r w:rsidR="002148ED" w:rsidRPr="00FF207E">
        <w:rPr>
          <w:rFonts w:cs="Arial"/>
          <w:lang w:val="sl-SI"/>
        </w:rPr>
        <w:t>i</w:t>
      </w:r>
      <w:r w:rsidRPr="00FF207E">
        <w:rPr>
          <w:rFonts w:cs="Arial"/>
          <w:lang w:val="sl-SI"/>
        </w:rPr>
        <w:t xml:space="preserve"> načrt je bil nabor kazalnikov zožen</w:t>
      </w:r>
      <w:r w:rsidR="002148ED" w:rsidRPr="00FF207E">
        <w:rPr>
          <w:rFonts w:cs="Arial"/>
          <w:lang w:val="sl-SI"/>
        </w:rPr>
        <w:t>, kar je podrobneje prikazano</w:t>
      </w:r>
      <w:r w:rsidRPr="00FF207E">
        <w:rPr>
          <w:rFonts w:cs="Arial"/>
          <w:lang w:val="sl-SI"/>
        </w:rPr>
        <w:t xml:space="preserve"> v poglavju </w:t>
      </w:r>
      <w:r w:rsidR="002148ED" w:rsidRPr="00FF207E">
        <w:rPr>
          <w:rFonts w:cs="Arial"/>
          <w:lang w:val="sl-SI"/>
        </w:rPr>
        <w:fldChar w:fldCharType="begin"/>
      </w:r>
      <w:r w:rsidR="002148ED" w:rsidRPr="00FF207E">
        <w:rPr>
          <w:rFonts w:cs="Arial"/>
          <w:lang w:val="sl-SI"/>
        </w:rPr>
        <w:instrText xml:space="preserve"> REF _Ref134003890 \r \h </w:instrText>
      </w:r>
      <w:r w:rsidR="001E304B" w:rsidRPr="00FF207E">
        <w:rPr>
          <w:rFonts w:cs="Arial"/>
          <w:lang w:val="sl-SI"/>
        </w:rPr>
        <w:instrText xml:space="preserve"> \* MERGEFORMAT </w:instrText>
      </w:r>
      <w:r w:rsidR="002148ED" w:rsidRPr="00FF207E">
        <w:rPr>
          <w:rFonts w:cs="Arial"/>
          <w:lang w:val="sl-SI"/>
        </w:rPr>
      </w:r>
      <w:r w:rsidR="002148ED" w:rsidRPr="00FF207E">
        <w:rPr>
          <w:rFonts w:cs="Arial"/>
          <w:lang w:val="sl-SI"/>
        </w:rPr>
        <w:fldChar w:fldCharType="separate"/>
      </w:r>
      <w:r w:rsidR="00F37FD1" w:rsidRPr="00FF207E">
        <w:rPr>
          <w:rFonts w:cs="Arial"/>
          <w:lang w:val="sl-SI"/>
        </w:rPr>
        <w:t>3.1</w:t>
      </w:r>
      <w:r w:rsidR="002148ED" w:rsidRPr="00FF207E">
        <w:rPr>
          <w:rFonts w:cs="Arial"/>
          <w:lang w:val="sl-SI"/>
        </w:rPr>
        <w:fldChar w:fldCharType="end"/>
      </w:r>
      <w:r w:rsidRPr="00FF207E">
        <w:rPr>
          <w:rFonts w:cs="Arial"/>
          <w:lang w:val="sl-SI"/>
        </w:rPr>
        <w:t>.</w:t>
      </w:r>
    </w:p>
    <w:p w14:paraId="31E1A3CE" w14:textId="203A22A1" w:rsidR="002148ED" w:rsidRPr="00FF207E" w:rsidRDefault="002148ED" w:rsidP="001E304B">
      <w:pPr>
        <w:tabs>
          <w:tab w:val="left" w:pos="1134"/>
          <w:tab w:val="right" w:leader="dot" w:pos="9061"/>
        </w:tabs>
        <w:spacing w:after="240"/>
        <w:ind w:left="1134" w:hanging="1134"/>
        <w:jc w:val="both"/>
        <w:rPr>
          <w:rFonts w:cs="Arial"/>
          <w:b/>
          <w:sz w:val="20"/>
          <w:szCs w:val="20"/>
          <w:lang w:val="sl-SI"/>
        </w:rPr>
      </w:pPr>
      <w:r w:rsidRPr="00FF207E">
        <w:rPr>
          <w:b/>
          <w:sz w:val="20"/>
          <w:szCs w:val="20"/>
          <w:lang w:val="sl-SI"/>
        </w:rPr>
        <w:t>Tabela 1:</w:t>
      </w:r>
      <w:r w:rsidRPr="00FF207E">
        <w:rPr>
          <w:b/>
          <w:sz w:val="20"/>
          <w:szCs w:val="20"/>
          <w:lang w:val="sl-SI"/>
        </w:rPr>
        <w:tab/>
        <w:t xml:space="preserve">Pregled preliminarnega seznama </w:t>
      </w:r>
      <w:r w:rsidR="00D331D7" w:rsidRPr="00FF207E">
        <w:rPr>
          <w:b/>
          <w:sz w:val="20"/>
          <w:szCs w:val="20"/>
          <w:lang w:val="sl-SI"/>
        </w:rPr>
        <w:t xml:space="preserve">meril </w:t>
      </w:r>
      <w:r w:rsidRPr="00FF207E">
        <w:rPr>
          <w:b/>
          <w:sz w:val="20"/>
          <w:szCs w:val="20"/>
          <w:lang w:val="sl-SI"/>
        </w:rPr>
        <w:t>za izbiro pilotne regije</w:t>
      </w:r>
    </w:p>
    <w:tbl>
      <w:tblPr>
        <w:tblStyle w:val="Tabelamrea"/>
        <w:tblW w:w="9781" w:type="dxa"/>
        <w:tblInd w:w="-397" w:type="dxa"/>
        <w:tblLayout w:type="fixed"/>
        <w:tblLook w:val="04A0" w:firstRow="1" w:lastRow="0" w:firstColumn="1" w:lastColumn="0" w:noHBand="0" w:noVBand="1"/>
      </w:tblPr>
      <w:tblGrid>
        <w:gridCol w:w="2372"/>
        <w:gridCol w:w="4149"/>
        <w:gridCol w:w="3260"/>
      </w:tblGrid>
      <w:tr w:rsidR="00051CE8" w:rsidRPr="00FF207E" w14:paraId="3F26E280" w14:textId="77777777" w:rsidTr="007C087C">
        <w:trPr>
          <w:trHeight w:val="383"/>
        </w:trPr>
        <w:tc>
          <w:tcPr>
            <w:tcW w:w="2372" w:type="dxa"/>
            <w:tcBorders>
              <w:top w:val="nil"/>
              <w:left w:val="nil"/>
              <w:bottom w:val="nil"/>
              <w:right w:val="single" w:sz="4" w:space="0" w:color="548DD4" w:themeColor="text2" w:themeTint="99"/>
            </w:tcBorders>
            <w:shd w:val="clear" w:color="auto" w:fill="548DD4" w:themeFill="text2" w:themeFillTint="99"/>
            <w:vAlign w:val="center"/>
          </w:tcPr>
          <w:p w14:paraId="337D388C" w14:textId="77777777" w:rsidR="00051CE8" w:rsidRPr="00FF207E" w:rsidRDefault="00051CE8" w:rsidP="001E304B">
            <w:pPr>
              <w:spacing w:before="40" w:after="40"/>
              <w:jc w:val="both"/>
              <w:rPr>
                <w:rFonts w:cs="Arial"/>
                <w:b/>
                <w:color w:val="FFFFFF" w:themeColor="background1"/>
                <w:lang w:val="sl-SI"/>
              </w:rPr>
            </w:pPr>
            <w:r w:rsidRPr="00FF207E">
              <w:rPr>
                <w:rFonts w:cs="Arial"/>
                <w:b/>
                <w:color w:val="FFFFFF" w:themeColor="background1"/>
                <w:lang w:val="sl-SI"/>
              </w:rPr>
              <w:t>Kazalnik</w:t>
            </w:r>
          </w:p>
        </w:tc>
        <w:tc>
          <w:tcPr>
            <w:tcW w:w="4149" w:type="dxa"/>
            <w:tcBorders>
              <w:top w:val="nil"/>
              <w:left w:val="single" w:sz="4" w:space="0" w:color="548DD4" w:themeColor="text2" w:themeTint="99"/>
              <w:bottom w:val="nil"/>
              <w:right w:val="nil"/>
            </w:tcBorders>
            <w:shd w:val="clear" w:color="auto" w:fill="548DD4" w:themeFill="text2" w:themeFillTint="99"/>
            <w:vAlign w:val="center"/>
          </w:tcPr>
          <w:p w14:paraId="65EF34DD" w14:textId="3DCBA46F" w:rsidR="00051CE8" w:rsidRPr="00FF207E" w:rsidRDefault="005926D4" w:rsidP="001E304B">
            <w:pPr>
              <w:spacing w:before="40" w:after="40"/>
              <w:jc w:val="both"/>
              <w:rPr>
                <w:rFonts w:cs="Arial"/>
                <w:b/>
                <w:color w:val="FFFFFF" w:themeColor="background1"/>
                <w:lang w:val="sl-SI"/>
              </w:rPr>
            </w:pPr>
            <w:r w:rsidRPr="00FF207E">
              <w:rPr>
                <w:rFonts w:cs="Arial"/>
                <w:b/>
                <w:color w:val="FFFFFF" w:themeColor="background1"/>
                <w:lang w:val="sl-SI"/>
              </w:rPr>
              <w:t>Pojasnilo</w:t>
            </w:r>
            <w:r w:rsidR="00051CE8" w:rsidRPr="00FF207E">
              <w:rPr>
                <w:rFonts w:cs="Arial"/>
                <w:b/>
                <w:color w:val="FFFFFF" w:themeColor="background1"/>
                <w:lang w:val="sl-SI"/>
              </w:rPr>
              <w:t xml:space="preserve"> in vir</w:t>
            </w:r>
          </w:p>
        </w:tc>
        <w:tc>
          <w:tcPr>
            <w:tcW w:w="3260" w:type="dxa"/>
            <w:tcBorders>
              <w:top w:val="nil"/>
              <w:left w:val="single" w:sz="4" w:space="0" w:color="548DD4" w:themeColor="text2" w:themeTint="99"/>
              <w:bottom w:val="nil"/>
              <w:right w:val="nil"/>
            </w:tcBorders>
            <w:shd w:val="clear" w:color="auto" w:fill="548DD4" w:themeFill="text2" w:themeFillTint="99"/>
            <w:vAlign w:val="center"/>
          </w:tcPr>
          <w:p w14:paraId="24CBF29B" w14:textId="2E012017" w:rsidR="00051CE8" w:rsidRPr="00FF207E" w:rsidRDefault="00051CE8" w:rsidP="001E304B">
            <w:pPr>
              <w:spacing w:before="40" w:after="40"/>
              <w:jc w:val="both"/>
              <w:rPr>
                <w:rFonts w:cs="Arial"/>
                <w:b/>
                <w:color w:val="FFFFFF" w:themeColor="background1"/>
                <w:lang w:val="sl-SI"/>
              </w:rPr>
            </w:pPr>
            <w:r w:rsidRPr="00FF207E">
              <w:rPr>
                <w:rFonts w:cs="Arial"/>
                <w:b/>
                <w:color w:val="FFFFFF" w:themeColor="background1"/>
                <w:lang w:val="sl-SI"/>
              </w:rPr>
              <w:t>Ali je kazalnik vključen</w:t>
            </w:r>
            <w:r w:rsidR="002148ED" w:rsidRPr="00FF207E">
              <w:rPr>
                <w:rFonts w:cs="Arial"/>
                <w:b/>
                <w:color w:val="FFFFFF" w:themeColor="background1"/>
                <w:lang w:val="sl-SI"/>
              </w:rPr>
              <w:t xml:space="preserve"> v končni nabor</w:t>
            </w:r>
            <w:r w:rsidRPr="00FF207E">
              <w:rPr>
                <w:rFonts w:cs="Arial"/>
                <w:b/>
                <w:color w:val="FFFFFF" w:themeColor="background1"/>
                <w:lang w:val="sl-SI"/>
              </w:rPr>
              <w:t xml:space="preserve"> in </w:t>
            </w:r>
            <w:r w:rsidR="005926D4" w:rsidRPr="00FF207E">
              <w:rPr>
                <w:rFonts w:cs="Arial"/>
                <w:b/>
                <w:color w:val="FFFFFF" w:themeColor="background1"/>
                <w:lang w:val="sl-SI"/>
              </w:rPr>
              <w:t>obrazložitev</w:t>
            </w:r>
          </w:p>
        </w:tc>
      </w:tr>
      <w:tr w:rsidR="00051CE8" w:rsidRPr="00FF207E" w14:paraId="1DEF850F" w14:textId="77777777" w:rsidTr="007C087C">
        <w:trPr>
          <w:trHeight w:val="356"/>
        </w:trPr>
        <w:tc>
          <w:tcPr>
            <w:tcW w:w="9781" w:type="dxa"/>
            <w:gridSpan w:val="3"/>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C6D9F1" w:themeFill="text2" w:themeFillTint="33"/>
          </w:tcPr>
          <w:p w14:paraId="51CC1932" w14:textId="77777777" w:rsidR="00051CE8" w:rsidRPr="00FF207E" w:rsidRDefault="00051CE8" w:rsidP="001E304B">
            <w:pPr>
              <w:spacing w:before="40" w:after="40"/>
              <w:jc w:val="both"/>
              <w:rPr>
                <w:rFonts w:cs="Arial"/>
                <w:b/>
                <w:lang w:val="sl-SI"/>
              </w:rPr>
            </w:pPr>
            <w:r w:rsidRPr="00FF207E">
              <w:rPr>
                <w:rFonts w:cs="Arial"/>
                <w:b/>
                <w:lang w:val="sl-SI"/>
              </w:rPr>
              <w:t>Razvitost regije</w:t>
            </w:r>
          </w:p>
        </w:tc>
      </w:tr>
      <w:tr w:rsidR="00051CE8" w:rsidRPr="00FF207E" w14:paraId="07F87FE7" w14:textId="77777777" w:rsidTr="007C087C">
        <w:trPr>
          <w:trHeight w:val="475"/>
        </w:trPr>
        <w:tc>
          <w:tcPr>
            <w:tcW w:w="2372" w:type="dxa"/>
            <w:tcBorders>
              <w:top w:val="nil"/>
              <w:left w:val="nil"/>
              <w:bottom w:val="single" w:sz="4" w:space="0" w:color="548DD4" w:themeColor="text2" w:themeTint="99"/>
              <w:right w:val="single" w:sz="4" w:space="0" w:color="548DD4" w:themeColor="text2" w:themeTint="99"/>
            </w:tcBorders>
          </w:tcPr>
          <w:p w14:paraId="08D04786" w14:textId="77777777" w:rsidR="00051CE8" w:rsidRPr="00FF207E" w:rsidRDefault="00051CE8" w:rsidP="001E304B">
            <w:pPr>
              <w:spacing w:line="240" w:lineRule="atLeast"/>
              <w:jc w:val="both"/>
              <w:rPr>
                <w:rFonts w:cs="Arial"/>
                <w:spacing w:val="-4"/>
                <w:sz w:val="20"/>
                <w:szCs w:val="20"/>
                <w:lang w:val="sl-SI"/>
              </w:rPr>
            </w:pPr>
            <w:r w:rsidRPr="00FF207E">
              <w:rPr>
                <w:rFonts w:cs="Arial"/>
                <w:sz w:val="20"/>
                <w:szCs w:val="20"/>
                <w:lang w:val="sl-SI"/>
              </w:rPr>
              <w:t>Delež energetsko revnih gospodinjstev v regiji</w:t>
            </w:r>
          </w:p>
        </w:tc>
        <w:tc>
          <w:tcPr>
            <w:tcW w:w="4149" w:type="dxa"/>
            <w:tcBorders>
              <w:top w:val="nil"/>
              <w:left w:val="single" w:sz="4" w:space="0" w:color="548DD4" w:themeColor="text2" w:themeTint="99"/>
              <w:bottom w:val="single" w:sz="4" w:space="0" w:color="548DD4" w:themeColor="text2" w:themeTint="99"/>
              <w:right w:val="nil"/>
            </w:tcBorders>
            <w:vAlign w:val="center"/>
          </w:tcPr>
          <w:p w14:paraId="3954A690" w14:textId="040CC465" w:rsidR="00051CE8" w:rsidRPr="00FF207E" w:rsidRDefault="00051CE8" w:rsidP="001E304B">
            <w:pPr>
              <w:spacing w:line="240" w:lineRule="atLeast"/>
              <w:jc w:val="both"/>
              <w:rPr>
                <w:sz w:val="20"/>
                <w:szCs w:val="20"/>
                <w:lang w:val="sl-SI"/>
              </w:rPr>
            </w:pPr>
            <w:r w:rsidRPr="00FF207E">
              <w:rPr>
                <w:sz w:val="20"/>
                <w:szCs w:val="20"/>
                <w:lang w:val="sl-SI"/>
              </w:rPr>
              <w:t>Podatek o deležu energetsko revnih gospodinjstev se vzame za zadnje razpoložljivo leto. Višja vrednost prinaša več točk.</w:t>
            </w:r>
          </w:p>
          <w:p w14:paraId="7F86B5B4" w14:textId="2B4392C1" w:rsidR="00051CE8" w:rsidRPr="00FF207E" w:rsidRDefault="00051CE8" w:rsidP="001E304B">
            <w:pPr>
              <w:spacing w:before="60" w:line="240" w:lineRule="atLeast"/>
              <w:jc w:val="both"/>
              <w:rPr>
                <w:rFonts w:cs="Arial"/>
                <w:sz w:val="20"/>
                <w:szCs w:val="20"/>
                <w:lang w:val="sl-SI"/>
              </w:rPr>
            </w:pPr>
            <w:r w:rsidRPr="00FF207E">
              <w:rPr>
                <w:sz w:val="20"/>
                <w:szCs w:val="20"/>
                <w:lang w:val="sl-SI"/>
              </w:rPr>
              <w:t xml:space="preserve">Vir: </w:t>
            </w:r>
            <w:hyperlink r:id="rId18" w:history="1">
              <w:r w:rsidRPr="00FF207E">
                <w:rPr>
                  <w:rStyle w:val="Hiperpovezava"/>
                  <w:rFonts w:eastAsiaTheme="majorEastAsia"/>
                  <w:sz w:val="20"/>
                  <w:szCs w:val="20"/>
                  <w:lang w:val="sl-SI"/>
                </w:rPr>
                <w:t>https://pxweb.stat.si/SiStatData/pxweb/sl/Data/Data/0886704S.px/</w:t>
              </w:r>
            </w:hyperlink>
            <w:r w:rsidR="00751D1E" w:rsidRPr="00FF207E">
              <w:rPr>
                <w:rStyle w:val="Hiperpovezava"/>
                <w:rFonts w:eastAsiaTheme="majorEastAsia"/>
                <w:sz w:val="20"/>
                <w:szCs w:val="20"/>
                <w:lang w:val="sl-SI"/>
              </w:rPr>
              <w:t>.</w:t>
            </w:r>
          </w:p>
        </w:tc>
        <w:tc>
          <w:tcPr>
            <w:tcW w:w="3260" w:type="dxa"/>
            <w:tcBorders>
              <w:top w:val="nil"/>
              <w:left w:val="single" w:sz="4" w:space="0" w:color="548DD4" w:themeColor="text2" w:themeTint="99"/>
              <w:bottom w:val="single" w:sz="4" w:space="0" w:color="548DD4" w:themeColor="text2" w:themeTint="99"/>
              <w:right w:val="nil"/>
            </w:tcBorders>
            <w:shd w:val="clear" w:color="auto" w:fill="D6E3BC" w:themeFill="accent3" w:themeFillTint="66"/>
          </w:tcPr>
          <w:p w14:paraId="6DF5C0F6" w14:textId="77777777" w:rsidR="00051CE8" w:rsidRPr="00FF207E" w:rsidRDefault="00051CE8" w:rsidP="001E304B">
            <w:pPr>
              <w:spacing w:line="240" w:lineRule="atLeast"/>
              <w:jc w:val="both"/>
              <w:rPr>
                <w:sz w:val="20"/>
                <w:szCs w:val="20"/>
                <w:lang w:val="sl-SI"/>
              </w:rPr>
            </w:pPr>
            <w:r w:rsidRPr="00FF207E">
              <w:rPr>
                <w:sz w:val="20"/>
                <w:szCs w:val="20"/>
                <w:lang w:val="sl-SI"/>
              </w:rPr>
              <w:t>DA</w:t>
            </w:r>
          </w:p>
        </w:tc>
      </w:tr>
      <w:tr w:rsidR="00051CE8" w:rsidRPr="00FF207E" w14:paraId="1771DB0D" w14:textId="77777777" w:rsidTr="007C087C">
        <w:trPr>
          <w:trHeight w:val="475"/>
        </w:trPr>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634F6EFF" w14:textId="77777777"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Delež energetsko revnih oseb v regiji</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14:paraId="796221AC" w14:textId="5A61ADB5"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 xml:space="preserve">Vir: </w:t>
            </w:r>
            <w:hyperlink r:id="rId19" w:history="1">
              <w:r w:rsidRPr="00FF207E">
                <w:rPr>
                  <w:rStyle w:val="Hiperpovezava"/>
                  <w:rFonts w:cs="Arial"/>
                  <w:sz w:val="20"/>
                  <w:szCs w:val="20"/>
                  <w:lang w:val="sl-SI"/>
                </w:rPr>
                <w:t>https://pxweb.stat.si/SiStatData/pxweb/sl/Data/Data/0886704S.px/</w:t>
              </w:r>
            </w:hyperlink>
            <w:r w:rsidR="00751D1E" w:rsidRPr="00FF207E">
              <w:rPr>
                <w:rStyle w:val="Hiperpovezava"/>
                <w:rFonts w:cs="Arial"/>
                <w:sz w:val="20"/>
                <w:szCs w:val="20"/>
                <w:lang w:val="sl-SI"/>
              </w:rPr>
              <w:t>.</w:t>
            </w:r>
            <w:r w:rsidRPr="00FF207E">
              <w:rPr>
                <w:rFonts w:cs="Arial"/>
                <w:sz w:val="20"/>
                <w:szCs w:val="20"/>
                <w:lang w:val="sl-SI"/>
              </w:rPr>
              <w:t xml:space="preserve"> </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E5B8B7" w:themeFill="accent2" w:themeFillTint="66"/>
          </w:tcPr>
          <w:p w14:paraId="44B2B90C" w14:textId="7AC6CB06"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 xml:space="preserve">NE; podvajanje s kazalnikom </w:t>
            </w:r>
            <w:r w:rsidR="002148ED" w:rsidRPr="00FF207E">
              <w:rPr>
                <w:rFonts w:cs="Arial"/>
                <w:i/>
                <w:sz w:val="20"/>
                <w:szCs w:val="20"/>
                <w:lang w:val="sl-SI"/>
              </w:rPr>
              <w:t>D</w:t>
            </w:r>
            <w:r w:rsidRPr="00FF207E">
              <w:rPr>
                <w:rFonts w:cs="Arial"/>
                <w:i/>
                <w:sz w:val="20"/>
                <w:szCs w:val="20"/>
                <w:lang w:val="sl-SI"/>
              </w:rPr>
              <w:t>elež energetsko revnih gospodinjstev v regiji</w:t>
            </w:r>
          </w:p>
        </w:tc>
      </w:tr>
      <w:tr w:rsidR="00051CE8" w:rsidRPr="00FF207E" w14:paraId="0DA09127" w14:textId="77777777" w:rsidTr="007C087C">
        <w:trPr>
          <w:trHeight w:val="1890"/>
        </w:trPr>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05ED4576" w14:textId="77777777"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Sprememba kazalnika deleža energetsko revnih gospodinjstev v regiji</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14:paraId="7A8E7B22" w14:textId="714F3528"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 xml:space="preserve">V letu 2022 se je spremenila metodologija merjenja energetske revščine. </w:t>
            </w:r>
            <w:r w:rsidR="008E17A9" w:rsidRPr="00FF207E">
              <w:rPr>
                <w:rFonts w:cs="Arial"/>
                <w:sz w:val="20"/>
                <w:szCs w:val="20"/>
                <w:lang w:val="sl-SI"/>
              </w:rPr>
              <w:t>S kazalnikom se z</w:t>
            </w:r>
            <w:r w:rsidRPr="00FF207E">
              <w:rPr>
                <w:rFonts w:cs="Arial"/>
                <w:sz w:val="20"/>
                <w:szCs w:val="20"/>
                <w:lang w:val="sl-SI"/>
              </w:rPr>
              <w:t xml:space="preserve">ato </w:t>
            </w:r>
            <w:r w:rsidR="008E17A9" w:rsidRPr="00FF207E">
              <w:rPr>
                <w:rFonts w:cs="Arial"/>
                <w:sz w:val="20"/>
                <w:szCs w:val="20"/>
                <w:lang w:val="sl-SI"/>
              </w:rPr>
              <w:t>preveri</w:t>
            </w:r>
            <w:r w:rsidR="009D6431" w:rsidRPr="00FF207E">
              <w:rPr>
                <w:rFonts w:cs="Arial"/>
                <w:sz w:val="20"/>
                <w:szCs w:val="20"/>
                <w:lang w:val="sl-SI"/>
              </w:rPr>
              <w:t>,</w:t>
            </w:r>
            <w:r w:rsidRPr="00FF207E">
              <w:rPr>
                <w:rFonts w:cs="Arial"/>
                <w:sz w:val="20"/>
                <w:szCs w:val="20"/>
                <w:lang w:val="sl-SI"/>
              </w:rPr>
              <w:t xml:space="preserve"> za </w:t>
            </w:r>
            <w:r w:rsidR="002148ED" w:rsidRPr="00FF207E">
              <w:rPr>
                <w:rFonts w:cs="Arial"/>
                <w:sz w:val="20"/>
                <w:szCs w:val="20"/>
                <w:lang w:val="sl-SI"/>
              </w:rPr>
              <w:t xml:space="preserve">koliko (v </w:t>
            </w:r>
            <w:r w:rsidR="009D6431" w:rsidRPr="00FF207E">
              <w:rPr>
                <w:rFonts w:cs="Arial"/>
                <w:sz w:val="20"/>
                <w:szCs w:val="20"/>
                <w:lang w:val="sl-SI"/>
              </w:rPr>
              <w:t>odstotkih</w:t>
            </w:r>
            <w:r w:rsidR="002148ED" w:rsidRPr="00FF207E">
              <w:rPr>
                <w:rFonts w:cs="Arial"/>
                <w:sz w:val="20"/>
                <w:szCs w:val="20"/>
                <w:lang w:val="sl-SI"/>
              </w:rPr>
              <w:t>)</w:t>
            </w:r>
            <w:r w:rsidRPr="00FF207E">
              <w:rPr>
                <w:rFonts w:cs="Arial"/>
                <w:sz w:val="20"/>
                <w:szCs w:val="20"/>
                <w:lang w:val="sl-SI"/>
              </w:rPr>
              <w:t xml:space="preserve"> se je energetska revščina </w:t>
            </w:r>
            <w:r w:rsidR="002148ED" w:rsidRPr="00FF207E">
              <w:rPr>
                <w:rFonts w:cs="Arial"/>
                <w:sz w:val="20"/>
                <w:szCs w:val="20"/>
                <w:lang w:val="sl-SI"/>
              </w:rPr>
              <w:t xml:space="preserve">v </w:t>
            </w:r>
            <w:r w:rsidR="00183C7B" w:rsidRPr="00FF207E">
              <w:rPr>
                <w:rFonts w:cs="Arial"/>
                <w:sz w:val="20"/>
                <w:szCs w:val="20"/>
                <w:lang w:val="sl-SI"/>
              </w:rPr>
              <w:t>posamezni regiji</w:t>
            </w:r>
            <w:r w:rsidR="002148ED" w:rsidRPr="00FF207E">
              <w:rPr>
                <w:rFonts w:cs="Arial"/>
                <w:sz w:val="20"/>
                <w:szCs w:val="20"/>
                <w:lang w:val="sl-SI"/>
              </w:rPr>
              <w:t xml:space="preserve"> </w:t>
            </w:r>
            <w:r w:rsidR="00183C7B" w:rsidRPr="00FF207E">
              <w:rPr>
                <w:rFonts w:cs="Arial"/>
                <w:sz w:val="20"/>
                <w:szCs w:val="20"/>
                <w:lang w:val="sl-SI"/>
              </w:rPr>
              <w:t xml:space="preserve">spremenila leta 2021 v </w:t>
            </w:r>
            <w:r w:rsidR="00970083" w:rsidRPr="00FF207E">
              <w:rPr>
                <w:rFonts w:cs="Arial"/>
                <w:sz w:val="20"/>
                <w:szCs w:val="20"/>
                <w:lang w:val="sl-SI"/>
              </w:rPr>
              <w:t>primerjavi</w:t>
            </w:r>
            <w:r w:rsidR="00183C7B" w:rsidRPr="00FF207E">
              <w:rPr>
                <w:rFonts w:cs="Arial"/>
                <w:sz w:val="20"/>
                <w:szCs w:val="20"/>
                <w:lang w:val="sl-SI"/>
              </w:rPr>
              <w:t xml:space="preserve"> z letom 2017</w:t>
            </w:r>
            <w:r w:rsidRPr="00FF207E">
              <w:rPr>
                <w:rFonts w:cs="Arial"/>
                <w:sz w:val="20"/>
                <w:szCs w:val="20"/>
                <w:lang w:val="sl-SI"/>
              </w:rPr>
              <w:t>. Višja vrednost prinaša več točk.</w:t>
            </w:r>
          </w:p>
          <w:p w14:paraId="4716BB31" w14:textId="7051F069" w:rsidR="00051CE8" w:rsidRPr="00FF207E" w:rsidRDefault="00051CE8" w:rsidP="001E304B">
            <w:pPr>
              <w:spacing w:before="60" w:line="240" w:lineRule="atLeast"/>
              <w:jc w:val="both"/>
              <w:rPr>
                <w:rFonts w:cs="Arial"/>
                <w:sz w:val="20"/>
                <w:szCs w:val="20"/>
                <w:lang w:val="sl-SI"/>
              </w:rPr>
            </w:pPr>
            <w:r w:rsidRPr="00FF207E">
              <w:rPr>
                <w:rFonts w:cs="Arial"/>
                <w:sz w:val="20"/>
                <w:szCs w:val="20"/>
                <w:lang w:val="sl-SI"/>
              </w:rPr>
              <w:t xml:space="preserve">Vir: </w:t>
            </w:r>
            <w:hyperlink r:id="rId20" w:history="1">
              <w:r w:rsidRPr="00FF207E">
                <w:rPr>
                  <w:rStyle w:val="Hiperpovezava"/>
                  <w:rFonts w:eastAsiaTheme="majorEastAsia"/>
                  <w:sz w:val="20"/>
                  <w:szCs w:val="20"/>
                  <w:lang w:val="sl-SI"/>
                </w:rPr>
                <w:t>https://pxweb.stat.si/SiStatData/pxweb/sl/Data/Data/0886704S.px/</w:t>
              </w:r>
            </w:hyperlink>
            <w:r w:rsidR="00751D1E" w:rsidRPr="00FF207E">
              <w:rPr>
                <w:rStyle w:val="Hiperpovezava"/>
                <w:rFonts w:eastAsiaTheme="majorEastAsia"/>
                <w:sz w:val="20"/>
                <w:szCs w:val="20"/>
                <w:lang w:val="sl-SI"/>
              </w:rPr>
              <w:t>.</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D6E3BC" w:themeFill="accent3" w:themeFillTint="66"/>
          </w:tcPr>
          <w:p w14:paraId="4E1819BF" w14:textId="77777777"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DA</w:t>
            </w:r>
          </w:p>
        </w:tc>
      </w:tr>
      <w:tr w:rsidR="002148ED" w:rsidRPr="00FF207E" w14:paraId="30629171" w14:textId="77777777" w:rsidTr="007C087C">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63ED33B2" w14:textId="77777777" w:rsidR="002148ED" w:rsidRPr="00FF207E" w:rsidRDefault="002148ED" w:rsidP="001E304B">
            <w:pPr>
              <w:spacing w:line="240" w:lineRule="atLeast"/>
              <w:jc w:val="both"/>
              <w:rPr>
                <w:rFonts w:cs="Arial"/>
                <w:sz w:val="20"/>
                <w:szCs w:val="20"/>
                <w:lang w:val="sl-SI"/>
              </w:rPr>
            </w:pPr>
            <w:r w:rsidRPr="00FF207E">
              <w:rPr>
                <w:rFonts w:cs="Arial"/>
                <w:sz w:val="20"/>
                <w:szCs w:val="20"/>
                <w:lang w:val="sl-SI"/>
              </w:rPr>
              <w:t>Stopnja tveganja revščine</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1DE52C27" w14:textId="1280EF6C" w:rsidR="002148ED" w:rsidRPr="00FF207E" w:rsidRDefault="002148ED" w:rsidP="001E304B">
            <w:pPr>
              <w:spacing w:line="240" w:lineRule="atLeast"/>
              <w:jc w:val="both"/>
              <w:rPr>
                <w:rFonts w:cs="Arial"/>
                <w:sz w:val="20"/>
                <w:szCs w:val="20"/>
                <w:lang w:val="sl-SI"/>
              </w:rPr>
            </w:pPr>
            <w:r w:rsidRPr="00FF207E">
              <w:rPr>
                <w:rFonts w:cs="Arial"/>
                <w:sz w:val="20"/>
                <w:szCs w:val="20"/>
                <w:lang w:val="sl-SI"/>
              </w:rPr>
              <w:t xml:space="preserve">Vir: </w:t>
            </w:r>
            <w:hyperlink r:id="rId21" w:history="1">
              <w:r w:rsidRPr="00FF207E">
                <w:rPr>
                  <w:rStyle w:val="Hiperpovezava"/>
                  <w:rFonts w:cs="Arial"/>
                  <w:sz w:val="20"/>
                  <w:szCs w:val="20"/>
                  <w:lang w:val="sl-SI"/>
                </w:rPr>
                <w:t>https://pxweb.stat.si/SiStatData/pxweb/sl/Data/-/0867636S.PX/table/tableViewLayout2/</w:t>
              </w:r>
            </w:hyperlink>
            <w:r w:rsidR="00751D1E" w:rsidRPr="00FF207E">
              <w:rPr>
                <w:rStyle w:val="Hiperpovezava"/>
                <w:rFonts w:cs="Arial"/>
                <w:sz w:val="20"/>
                <w:szCs w:val="20"/>
                <w:lang w:val="sl-SI"/>
              </w:rPr>
              <w:t>.</w:t>
            </w:r>
            <w:r w:rsidRPr="00FF207E">
              <w:rPr>
                <w:rFonts w:cs="Arial"/>
                <w:sz w:val="20"/>
                <w:szCs w:val="20"/>
                <w:lang w:val="sl-SI"/>
              </w:rPr>
              <w:t xml:space="preserve"> </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E5B8B7" w:themeFill="accent2" w:themeFillTint="66"/>
          </w:tcPr>
          <w:p w14:paraId="7BDB8AA3" w14:textId="07FC2D85" w:rsidR="002148ED" w:rsidRPr="00FF207E" w:rsidRDefault="002148ED" w:rsidP="001E304B">
            <w:pPr>
              <w:spacing w:line="240" w:lineRule="atLeast"/>
              <w:jc w:val="both"/>
              <w:rPr>
                <w:rFonts w:cs="Arial"/>
                <w:sz w:val="20"/>
                <w:szCs w:val="20"/>
                <w:lang w:val="sl-SI"/>
              </w:rPr>
            </w:pPr>
            <w:r w:rsidRPr="00FF207E">
              <w:rPr>
                <w:rFonts w:cs="Arial"/>
                <w:sz w:val="20"/>
                <w:szCs w:val="20"/>
                <w:lang w:val="sl-SI"/>
              </w:rPr>
              <w:t xml:space="preserve">NE; podvajanje s kazalnikom </w:t>
            </w:r>
            <w:r w:rsidRPr="00FF207E">
              <w:rPr>
                <w:rFonts w:cs="Arial"/>
                <w:i/>
                <w:sz w:val="20"/>
                <w:szCs w:val="20"/>
                <w:lang w:val="sl-SI"/>
              </w:rPr>
              <w:t>Delež energetsko revnih gospodinjstev v regiji</w:t>
            </w:r>
          </w:p>
        </w:tc>
      </w:tr>
      <w:tr w:rsidR="00051CE8" w:rsidRPr="00FF207E" w14:paraId="2CEEC96C" w14:textId="77777777" w:rsidTr="007C087C">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50726A33" w14:textId="77777777"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Število oseb pod pragom tveganja revščine</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06111AD" w14:textId="776DBEB3"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 xml:space="preserve">Vir: </w:t>
            </w:r>
            <w:hyperlink r:id="rId22" w:history="1">
              <w:r w:rsidRPr="00FF207E">
                <w:rPr>
                  <w:rStyle w:val="Hiperpovezava"/>
                  <w:rFonts w:cs="Arial"/>
                  <w:sz w:val="20"/>
                  <w:szCs w:val="20"/>
                  <w:lang w:val="sl-SI"/>
                </w:rPr>
                <w:t>https://pxweb.stat.si/SiStatData/pxweb/sl/Data/-/0867636S.PX/table/tableViewLayout2/</w:t>
              </w:r>
            </w:hyperlink>
            <w:r w:rsidR="00751D1E" w:rsidRPr="00FF207E">
              <w:rPr>
                <w:rStyle w:val="Hiperpovezava"/>
                <w:rFonts w:cs="Arial"/>
                <w:sz w:val="20"/>
                <w:szCs w:val="20"/>
                <w:lang w:val="sl-SI"/>
              </w:rPr>
              <w:t>.</w:t>
            </w:r>
            <w:r w:rsidRPr="00FF207E">
              <w:rPr>
                <w:rFonts w:cs="Arial"/>
                <w:sz w:val="20"/>
                <w:szCs w:val="20"/>
                <w:lang w:val="sl-SI"/>
              </w:rPr>
              <w:t xml:space="preserve"> </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E5B8B7" w:themeFill="accent2" w:themeFillTint="66"/>
          </w:tcPr>
          <w:p w14:paraId="36EFE9F2" w14:textId="600C52FA"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NE; kazalnik je že vključen kot merilo za določitev energetsko revnega gospodinjstva</w:t>
            </w:r>
            <w:r w:rsidR="005926D4" w:rsidRPr="00FF207E">
              <w:rPr>
                <w:rFonts w:cs="Arial"/>
                <w:sz w:val="20"/>
                <w:szCs w:val="20"/>
                <w:vertAlign w:val="superscript"/>
                <w:lang w:val="sl-SI"/>
              </w:rPr>
              <w:t>1</w:t>
            </w:r>
          </w:p>
        </w:tc>
      </w:tr>
      <w:tr w:rsidR="005926D4" w:rsidRPr="00FF207E" w14:paraId="7E27D51A" w14:textId="77777777" w:rsidTr="007C087C">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5FB20C46" w14:textId="77777777" w:rsidR="005926D4" w:rsidRPr="00FF207E" w:rsidRDefault="005926D4" w:rsidP="001E304B">
            <w:pPr>
              <w:spacing w:line="240" w:lineRule="atLeast"/>
              <w:jc w:val="both"/>
              <w:rPr>
                <w:rFonts w:cs="Arial"/>
                <w:sz w:val="20"/>
                <w:szCs w:val="20"/>
                <w:lang w:val="sl-SI"/>
              </w:rPr>
            </w:pPr>
            <w:r w:rsidRPr="00FF207E">
              <w:rPr>
                <w:rFonts w:cs="Arial"/>
                <w:sz w:val="20"/>
                <w:szCs w:val="20"/>
                <w:lang w:val="sl-SI"/>
              </w:rPr>
              <w:t xml:space="preserve">Stopnja tveganja socialne izključenosti </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C8DC3AD" w14:textId="4839C945" w:rsidR="005926D4" w:rsidRPr="00FF207E" w:rsidRDefault="005926D4" w:rsidP="001E304B">
            <w:pPr>
              <w:spacing w:line="240" w:lineRule="atLeast"/>
              <w:jc w:val="both"/>
              <w:rPr>
                <w:rFonts w:cs="Arial"/>
                <w:sz w:val="20"/>
                <w:szCs w:val="20"/>
                <w:lang w:val="sl-SI"/>
              </w:rPr>
            </w:pPr>
            <w:r w:rsidRPr="00FF207E">
              <w:rPr>
                <w:rFonts w:cs="Arial"/>
                <w:sz w:val="20"/>
                <w:szCs w:val="20"/>
                <w:lang w:val="sl-SI"/>
              </w:rPr>
              <w:t xml:space="preserve">Vir: </w:t>
            </w:r>
            <w:hyperlink r:id="rId23" w:history="1">
              <w:r w:rsidRPr="00FF207E">
                <w:rPr>
                  <w:rStyle w:val="Hiperpovezava"/>
                  <w:rFonts w:cs="Arial"/>
                  <w:sz w:val="20"/>
                  <w:szCs w:val="20"/>
                  <w:lang w:val="sl-SI"/>
                </w:rPr>
                <w:t>https://pxweb.stat.si/SiStatData/pxweb/sl/Data/-/0867631S.PX/table/tableViewLayout2/</w:t>
              </w:r>
            </w:hyperlink>
            <w:r w:rsidR="00751D1E" w:rsidRPr="00FF207E">
              <w:rPr>
                <w:rStyle w:val="Hiperpovezava"/>
                <w:rFonts w:cs="Arial"/>
                <w:sz w:val="20"/>
                <w:szCs w:val="20"/>
                <w:lang w:val="sl-SI"/>
              </w:rPr>
              <w:t>.</w:t>
            </w:r>
            <w:r w:rsidRPr="00FF207E">
              <w:rPr>
                <w:rFonts w:cs="Arial"/>
                <w:sz w:val="20"/>
                <w:szCs w:val="20"/>
                <w:lang w:val="sl-SI"/>
              </w:rPr>
              <w:t xml:space="preserve"> </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E5B8B7" w:themeFill="accent2" w:themeFillTint="66"/>
          </w:tcPr>
          <w:p w14:paraId="7598B36A" w14:textId="5C37F7F6" w:rsidR="005926D4" w:rsidRPr="00FF207E" w:rsidRDefault="005926D4" w:rsidP="001E304B">
            <w:pPr>
              <w:spacing w:line="240" w:lineRule="atLeast"/>
              <w:jc w:val="both"/>
              <w:rPr>
                <w:rFonts w:cs="Arial"/>
                <w:sz w:val="20"/>
                <w:szCs w:val="20"/>
                <w:lang w:val="sl-SI"/>
              </w:rPr>
            </w:pPr>
            <w:r w:rsidRPr="00FF207E">
              <w:rPr>
                <w:rFonts w:cs="Arial"/>
                <w:sz w:val="20"/>
                <w:szCs w:val="20"/>
                <w:lang w:val="sl-SI"/>
              </w:rPr>
              <w:t xml:space="preserve">NE; podvajanje s kazalnikom </w:t>
            </w:r>
            <w:r w:rsidRPr="00FF207E">
              <w:rPr>
                <w:rFonts w:cs="Arial"/>
                <w:i/>
                <w:sz w:val="20"/>
                <w:szCs w:val="20"/>
                <w:lang w:val="sl-SI"/>
              </w:rPr>
              <w:t>Delež energetsko revnih gospodinjstev v regiji</w:t>
            </w:r>
          </w:p>
        </w:tc>
      </w:tr>
      <w:tr w:rsidR="00051CE8" w:rsidRPr="00FF207E" w14:paraId="1F3165B4" w14:textId="77777777" w:rsidTr="007C087C">
        <w:trPr>
          <w:trHeight w:val="671"/>
        </w:trPr>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5927405A" w14:textId="77777777"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Stopnja stanovanjske prikrajšanosti po kakovosti stanovanja</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14:paraId="51DCAAEA" w14:textId="6BEB39CD"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 xml:space="preserve">Vir: </w:t>
            </w:r>
            <w:hyperlink r:id="rId24" w:history="1">
              <w:r w:rsidRPr="00FF207E">
                <w:rPr>
                  <w:rStyle w:val="Hiperpovezava"/>
                  <w:rFonts w:cs="Arial"/>
                  <w:sz w:val="20"/>
                  <w:szCs w:val="20"/>
                  <w:lang w:val="sl-SI"/>
                </w:rPr>
                <w:t>http://kazalci.arso.gov.si/sl/content/stanovanja-2</w:t>
              </w:r>
            </w:hyperlink>
            <w:r w:rsidR="00751D1E" w:rsidRPr="00FF207E">
              <w:rPr>
                <w:rStyle w:val="Hiperpovezava"/>
                <w:rFonts w:cs="Arial"/>
                <w:sz w:val="20"/>
                <w:szCs w:val="20"/>
                <w:lang w:val="sl-SI"/>
              </w:rPr>
              <w:t>.</w:t>
            </w:r>
            <w:r w:rsidRPr="00FF207E">
              <w:rPr>
                <w:rFonts w:cs="Arial"/>
                <w:sz w:val="20"/>
                <w:szCs w:val="20"/>
                <w:lang w:val="sl-SI"/>
              </w:rPr>
              <w:t xml:space="preserve"> </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E5B8B7" w:themeFill="accent2" w:themeFillTint="66"/>
          </w:tcPr>
          <w:p w14:paraId="1995B444" w14:textId="25B1697D"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NE; kazalnik je že vključen kot merilo za določitev energetsko revnega gospodinjstva</w:t>
            </w:r>
            <w:r w:rsidR="005926D4" w:rsidRPr="00FF207E">
              <w:rPr>
                <w:rFonts w:cs="Arial"/>
                <w:sz w:val="20"/>
                <w:szCs w:val="20"/>
                <w:vertAlign w:val="superscript"/>
                <w:lang w:val="sl-SI"/>
              </w:rPr>
              <w:t>1</w:t>
            </w:r>
          </w:p>
        </w:tc>
      </w:tr>
      <w:tr w:rsidR="00051CE8" w:rsidRPr="00FF207E" w14:paraId="0BE635A4" w14:textId="77777777" w:rsidTr="007C087C">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45176B6E" w14:textId="77777777"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Stopnja brezposelnosti</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E8127EA" w14:textId="3A15503B"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 xml:space="preserve">Vir: </w:t>
            </w:r>
            <w:hyperlink r:id="rId25" w:history="1">
              <w:r w:rsidRPr="00FF207E">
                <w:rPr>
                  <w:rStyle w:val="Hiperpovezava"/>
                  <w:rFonts w:cs="Arial"/>
                  <w:sz w:val="20"/>
                  <w:szCs w:val="20"/>
                  <w:lang w:val="sl-SI"/>
                </w:rPr>
                <w:t>https://pxweb.stat.si/SiStatData/pxweb/sl/Data/-/0762115S.px/</w:t>
              </w:r>
            </w:hyperlink>
            <w:r w:rsidR="00751D1E" w:rsidRPr="00FF207E">
              <w:rPr>
                <w:rStyle w:val="Hiperpovezava"/>
                <w:rFonts w:cs="Arial"/>
                <w:sz w:val="20"/>
                <w:szCs w:val="20"/>
                <w:lang w:val="sl-SI"/>
              </w:rPr>
              <w:t>.</w:t>
            </w:r>
            <w:r w:rsidRPr="00FF207E">
              <w:rPr>
                <w:rFonts w:cs="Arial"/>
                <w:sz w:val="20"/>
                <w:szCs w:val="20"/>
                <w:lang w:val="sl-SI"/>
              </w:rPr>
              <w:t xml:space="preserve"> </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E5B8B7" w:themeFill="accent2" w:themeFillTint="66"/>
          </w:tcPr>
          <w:p w14:paraId="2BE50464" w14:textId="4014676A"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NE; kazalnik je že vključen v izračun koeficienta razvitosti občine</w:t>
            </w:r>
            <w:r w:rsidR="00D0361D" w:rsidRPr="00FF207E">
              <w:rPr>
                <w:rFonts w:cs="Arial"/>
                <w:sz w:val="20"/>
                <w:szCs w:val="20"/>
                <w:vertAlign w:val="superscript"/>
                <w:lang w:val="sl-SI"/>
              </w:rPr>
              <w:t>2</w:t>
            </w:r>
          </w:p>
        </w:tc>
      </w:tr>
      <w:tr w:rsidR="00051CE8" w:rsidRPr="00FF207E" w14:paraId="49E7A5B3" w14:textId="77777777" w:rsidTr="007C087C">
        <w:trPr>
          <w:trHeight w:val="557"/>
        </w:trPr>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19A488BB" w14:textId="1857091F"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Stopnja delovne aktivnosti</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81E3198" w14:textId="5EB3AA7E"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 xml:space="preserve">Vir: </w:t>
            </w:r>
            <w:hyperlink r:id="rId26" w:history="1">
              <w:r w:rsidRPr="00FF207E">
                <w:rPr>
                  <w:rStyle w:val="Hiperpovezava"/>
                  <w:rFonts w:cs="Arial"/>
                  <w:sz w:val="20"/>
                  <w:szCs w:val="20"/>
                  <w:lang w:val="sl-SI"/>
                </w:rPr>
                <w:t>https://gis.stat.si/#</w:t>
              </w:r>
            </w:hyperlink>
            <w:r w:rsidR="00751D1E" w:rsidRPr="00FF207E">
              <w:rPr>
                <w:rStyle w:val="Hiperpovezava"/>
                <w:rFonts w:cs="Arial"/>
                <w:sz w:val="20"/>
                <w:szCs w:val="20"/>
                <w:lang w:val="sl-SI"/>
              </w:rPr>
              <w:t>.</w:t>
            </w:r>
            <w:r w:rsidRPr="00FF207E">
              <w:rPr>
                <w:rFonts w:cs="Arial"/>
                <w:sz w:val="20"/>
                <w:szCs w:val="20"/>
                <w:lang w:val="sl-SI"/>
              </w:rPr>
              <w:t xml:space="preserve"> </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E5B8B7" w:themeFill="accent2" w:themeFillTint="66"/>
          </w:tcPr>
          <w:p w14:paraId="19616EE2" w14:textId="394D618F"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 xml:space="preserve">NE; kazalnik je že vključen v izračun koeficienta razvitosti </w:t>
            </w:r>
            <w:r w:rsidR="00D0361D" w:rsidRPr="00FF207E">
              <w:rPr>
                <w:rFonts w:cs="Arial"/>
                <w:sz w:val="20"/>
                <w:szCs w:val="20"/>
                <w:lang w:val="sl-SI"/>
              </w:rPr>
              <w:t>občine</w:t>
            </w:r>
            <w:r w:rsidR="00D0361D" w:rsidRPr="00FF207E">
              <w:rPr>
                <w:rFonts w:cs="Arial"/>
                <w:sz w:val="20"/>
                <w:szCs w:val="20"/>
                <w:vertAlign w:val="superscript"/>
                <w:lang w:val="sl-SI"/>
              </w:rPr>
              <w:t>2</w:t>
            </w:r>
          </w:p>
        </w:tc>
      </w:tr>
      <w:tr w:rsidR="00051CE8" w:rsidRPr="00FF207E" w14:paraId="22F8BCDE" w14:textId="77777777" w:rsidTr="007C087C">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56CC9673" w14:textId="77777777"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Povprečna mesečna neto plača</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1B48C21" w14:textId="2DA0936B"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 xml:space="preserve">Vir: </w:t>
            </w:r>
            <w:hyperlink r:id="rId27" w:history="1">
              <w:r w:rsidRPr="00FF207E">
                <w:rPr>
                  <w:rStyle w:val="Hiperpovezava"/>
                  <w:rFonts w:cs="Arial"/>
                  <w:sz w:val="20"/>
                  <w:szCs w:val="20"/>
                  <w:lang w:val="sl-SI"/>
                </w:rPr>
                <w:t>https://gis.stat.si/#</w:t>
              </w:r>
            </w:hyperlink>
            <w:r w:rsidR="00751D1E" w:rsidRPr="00FF207E">
              <w:rPr>
                <w:rStyle w:val="Hiperpovezava"/>
                <w:rFonts w:cs="Arial"/>
                <w:sz w:val="20"/>
                <w:szCs w:val="20"/>
                <w:lang w:val="sl-SI"/>
              </w:rPr>
              <w:t>.</w:t>
            </w:r>
            <w:r w:rsidRPr="00FF207E">
              <w:rPr>
                <w:rFonts w:cs="Arial"/>
                <w:sz w:val="20"/>
                <w:szCs w:val="20"/>
                <w:lang w:val="sl-SI"/>
              </w:rPr>
              <w:t xml:space="preserve"> </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E5B8B7" w:themeFill="accent2" w:themeFillTint="66"/>
          </w:tcPr>
          <w:p w14:paraId="06707302" w14:textId="074290B1"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 xml:space="preserve">NE; podoben kazalnik je že vključen v izračun koeficienta razvitosti </w:t>
            </w:r>
            <w:r w:rsidR="00D0361D" w:rsidRPr="00FF207E">
              <w:rPr>
                <w:rFonts w:cs="Arial"/>
                <w:sz w:val="20"/>
                <w:szCs w:val="20"/>
                <w:lang w:val="sl-SI"/>
              </w:rPr>
              <w:t>občine</w:t>
            </w:r>
            <w:r w:rsidR="00D0361D" w:rsidRPr="00FF207E">
              <w:rPr>
                <w:rFonts w:cs="Arial"/>
                <w:sz w:val="20"/>
                <w:szCs w:val="20"/>
                <w:vertAlign w:val="superscript"/>
                <w:lang w:val="sl-SI"/>
              </w:rPr>
              <w:t>2</w:t>
            </w:r>
          </w:p>
        </w:tc>
      </w:tr>
      <w:tr w:rsidR="00051CE8" w:rsidRPr="00FF207E" w14:paraId="4545A4A0" w14:textId="77777777" w:rsidTr="007C087C">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3B725067" w14:textId="5E059F4F"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lastRenderedPageBreak/>
              <w:t>Razpoložljivi dohodek gospodinjstev</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B83601D" w14:textId="04443C14"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 xml:space="preserve">Vir: </w:t>
            </w:r>
            <w:hyperlink r:id="rId28" w:history="1">
              <w:r w:rsidRPr="00FF207E">
                <w:rPr>
                  <w:rStyle w:val="Hiperpovezava"/>
                  <w:rFonts w:cs="Arial"/>
                  <w:sz w:val="20"/>
                  <w:szCs w:val="20"/>
                  <w:lang w:val="sl-SI"/>
                </w:rPr>
                <w:t>https://www.stat.si/StatWeb/News/Index/10644</w:t>
              </w:r>
            </w:hyperlink>
            <w:r w:rsidR="00751D1E" w:rsidRPr="00FF207E">
              <w:rPr>
                <w:rStyle w:val="Hiperpovezava"/>
                <w:rFonts w:cs="Arial"/>
                <w:sz w:val="20"/>
                <w:szCs w:val="20"/>
                <w:lang w:val="sl-SI"/>
              </w:rPr>
              <w:t>.</w:t>
            </w:r>
            <w:r w:rsidRPr="00FF207E">
              <w:rPr>
                <w:rFonts w:cs="Arial"/>
                <w:sz w:val="20"/>
                <w:szCs w:val="20"/>
                <w:lang w:val="sl-SI"/>
              </w:rPr>
              <w:t xml:space="preserve"> </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E5B8B7" w:themeFill="accent2" w:themeFillTint="66"/>
          </w:tcPr>
          <w:p w14:paraId="6A0B0EDA" w14:textId="13E0788B"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 xml:space="preserve">NE; podoben kazalnik je že vključen v izračun koeficienta razvitosti </w:t>
            </w:r>
            <w:r w:rsidR="00D0361D" w:rsidRPr="00FF207E">
              <w:rPr>
                <w:rFonts w:cs="Arial"/>
                <w:sz w:val="20"/>
                <w:szCs w:val="20"/>
                <w:lang w:val="sl-SI"/>
              </w:rPr>
              <w:t>občine</w:t>
            </w:r>
            <w:r w:rsidR="00D0361D" w:rsidRPr="00FF207E">
              <w:rPr>
                <w:rFonts w:cs="Arial"/>
                <w:sz w:val="20"/>
                <w:szCs w:val="20"/>
                <w:vertAlign w:val="superscript"/>
                <w:lang w:val="sl-SI"/>
              </w:rPr>
              <w:t>2</w:t>
            </w:r>
          </w:p>
        </w:tc>
      </w:tr>
      <w:tr w:rsidR="00051CE8" w:rsidRPr="00FF207E" w14:paraId="78E68C6F" w14:textId="77777777" w:rsidTr="007C087C">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1BC96964" w14:textId="77777777"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Koeficient razvitosti regije</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E45CCFE" w14:textId="0B3E9E1A" w:rsidR="006918A6" w:rsidRPr="00FF207E" w:rsidRDefault="006918A6" w:rsidP="001E304B">
            <w:pPr>
              <w:spacing w:line="240" w:lineRule="atLeast"/>
              <w:jc w:val="both"/>
              <w:rPr>
                <w:rFonts w:cs="Arial"/>
                <w:sz w:val="20"/>
                <w:szCs w:val="20"/>
                <w:lang w:val="sl-SI"/>
              </w:rPr>
            </w:pPr>
            <w:r w:rsidRPr="00FF207E">
              <w:rPr>
                <w:rFonts w:cs="Arial"/>
                <w:sz w:val="20"/>
                <w:szCs w:val="20"/>
                <w:lang w:val="sl-SI"/>
              </w:rPr>
              <w:t>Koeficient</w:t>
            </w:r>
            <w:r w:rsidR="009D6431" w:rsidRPr="00FF207E">
              <w:rPr>
                <w:rFonts w:cs="Arial"/>
                <w:sz w:val="20"/>
                <w:szCs w:val="20"/>
                <w:lang w:val="sl-SI"/>
              </w:rPr>
              <w:t>i</w:t>
            </w:r>
            <w:r w:rsidRPr="00FF207E">
              <w:rPr>
                <w:rFonts w:cs="Arial"/>
                <w:sz w:val="20"/>
                <w:szCs w:val="20"/>
                <w:lang w:val="sl-SI"/>
              </w:rPr>
              <w:t xml:space="preserve"> razvitosti statističnih regij se izračuna</w:t>
            </w:r>
            <w:r w:rsidR="009D6431" w:rsidRPr="00FF207E">
              <w:rPr>
                <w:rFonts w:cs="Arial"/>
                <w:sz w:val="20"/>
                <w:szCs w:val="20"/>
                <w:lang w:val="sl-SI"/>
              </w:rPr>
              <w:t>jo</w:t>
            </w:r>
            <w:r w:rsidRPr="00FF207E">
              <w:rPr>
                <w:rFonts w:cs="Arial"/>
                <w:sz w:val="20"/>
                <w:szCs w:val="20"/>
                <w:lang w:val="sl-SI"/>
              </w:rPr>
              <w:t xml:space="preserve"> na podlagi zadnjih razpoložljivih koeficientov razvitosti občin in števila prebivalcev v posamezni občini. Ker se občine po velikosti razlikujejo (</w:t>
            </w:r>
            <w:r w:rsidR="00B77973" w:rsidRPr="00FF207E">
              <w:rPr>
                <w:rFonts w:cs="Arial"/>
                <w:sz w:val="20"/>
                <w:szCs w:val="20"/>
                <w:lang w:val="sl-SI"/>
              </w:rPr>
              <w:t>to je</w:t>
            </w:r>
            <w:r w:rsidRPr="00FF207E">
              <w:rPr>
                <w:rFonts w:cs="Arial"/>
                <w:sz w:val="20"/>
                <w:szCs w:val="20"/>
                <w:lang w:val="sl-SI"/>
              </w:rPr>
              <w:t xml:space="preserve"> nekatere so zelo majhne in </w:t>
            </w:r>
            <w:r w:rsidR="00352753" w:rsidRPr="00FF207E">
              <w:rPr>
                <w:rFonts w:cs="Arial"/>
                <w:sz w:val="20"/>
                <w:szCs w:val="20"/>
                <w:lang w:val="sl-SI"/>
              </w:rPr>
              <w:t xml:space="preserve">zato </w:t>
            </w:r>
            <w:r w:rsidRPr="00FF207E">
              <w:rPr>
                <w:rFonts w:cs="Arial"/>
                <w:sz w:val="20"/>
                <w:szCs w:val="20"/>
                <w:lang w:val="sl-SI"/>
              </w:rPr>
              <w:t xml:space="preserve">niso primerljive z večjimi občinami), je podatke </w:t>
            </w:r>
            <w:r w:rsidR="00A179E1" w:rsidRPr="00FF207E">
              <w:rPr>
                <w:rFonts w:cs="Arial"/>
                <w:sz w:val="20"/>
                <w:szCs w:val="20"/>
                <w:lang w:val="sl-SI"/>
              </w:rPr>
              <w:t xml:space="preserve">treba </w:t>
            </w:r>
            <w:proofErr w:type="spellStart"/>
            <w:r w:rsidRPr="00FF207E">
              <w:rPr>
                <w:rFonts w:cs="Arial"/>
                <w:sz w:val="20"/>
                <w:szCs w:val="20"/>
                <w:lang w:val="sl-SI"/>
              </w:rPr>
              <w:t>utežiti</w:t>
            </w:r>
            <w:proofErr w:type="spellEnd"/>
            <w:r w:rsidRPr="00FF207E">
              <w:rPr>
                <w:rFonts w:cs="Arial"/>
                <w:sz w:val="20"/>
                <w:szCs w:val="20"/>
                <w:lang w:val="sl-SI"/>
              </w:rPr>
              <w:t xml:space="preserve"> glede na število prebivalcev občine. To poteka v treh korakih: (1) utež se preračuna tako, da se število prebivalcev občine deli z vsoto vseh prebivalcev v regiji; (2) </w:t>
            </w:r>
            <w:r w:rsidR="00EC673B" w:rsidRPr="00FF207E">
              <w:rPr>
                <w:rFonts w:cs="Arial"/>
                <w:sz w:val="20"/>
                <w:szCs w:val="20"/>
                <w:lang w:val="sl-SI"/>
              </w:rPr>
              <w:t>u</w:t>
            </w:r>
            <w:r w:rsidRPr="00FF207E">
              <w:rPr>
                <w:rFonts w:cs="Arial"/>
                <w:sz w:val="20"/>
                <w:szCs w:val="20"/>
                <w:lang w:val="sl-SI"/>
              </w:rPr>
              <w:t>teži se množi</w:t>
            </w:r>
            <w:r w:rsidR="009D6431" w:rsidRPr="00FF207E">
              <w:rPr>
                <w:rFonts w:cs="Arial"/>
                <w:sz w:val="20"/>
                <w:szCs w:val="20"/>
                <w:lang w:val="sl-SI"/>
              </w:rPr>
              <w:t>jo</w:t>
            </w:r>
            <w:r w:rsidRPr="00FF207E">
              <w:rPr>
                <w:rFonts w:cs="Arial"/>
                <w:sz w:val="20"/>
                <w:szCs w:val="20"/>
                <w:lang w:val="sl-SI"/>
              </w:rPr>
              <w:t xml:space="preserve"> s koeficienti razvitosti občine</w:t>
            </w:r>
            <w:r w:rsidR="00EC673B" w:rsidRPr="00FF207E">
              <w:rPr>
                <w:rFonts w:cs="Arial"/>
                <w:sz w:val="20"/>
                <w:szCs w:val="20"/>
                <w:lang w:val="sl-SI"/>
              </w:rPr>
              <w:t>;</w:t>
            </w:r>
            <w:r w:rsidRPr="00FF207E">
              <w:rPr>
                <w:rFonts w:cs="Arial"/>
                <w:sz w:val="20"/>
                <w:szCs w:val="20"/>
                <w:lang w:val="sl-SI"/>
              </w:rPr>
              <w:t xml:space="preserve"> (3) </w:t>
            </w:r>
            <w:r w:rsidR="00EC673B" w:rsidRPr="00FF207E">
              <w:rPr>
                <w:rFonts w:cs="Arial"/>
                <w:sz w:val="20"/>
                <w:szCs w:val="20"/>
                <w:lang w:val="sl-SI"/>
              </w:rPr>
              <w:t>s</w:t>
            </w:r>
            <w:r w:rsidRPr="00FF207E">
              <w:rPr>
                <w:rFonts w:cs="Arial"/>
                <w:sz w:val="20"/>
                <w:szCs w:val="20"/>
                <w:lang w:val="sl-SI"/>
              </w:rPr>
              <w:t>ešteje</w:t>
            </w:r>
            <w:r w:rsidR="009D6431" w:rsidRPr="00FF207E">
              <w:rPr>
                <w:rFonts w:cs="Arial"/>
                <w:sz w:val="20"/>
                <w:szCs w:val="20"/>
                <w:lang w:val="sl-SI"/>
              </w:rPr>
              <w:t>jo</w:t>
            </w:r>
            <w:r w:rsidRPr="00FF207E">
              <w:rPr>
                <w:rFonts w:cs="Arial"/>
                <w:sz w:val="20"/>
                <w:szCs w:val="20"/>
                <w:lang w:val="sl-SI"/>
              </w:rPr>
              <w:t xml:space="preserve"> se podatk</w:t>
            </w:r>
            <w:r w:rsidR="009D6431" w:rsidRPr="00FF207E">
              <w:rPr>
                <w:rFonts w:cs="Arial"/>
                <w:sz w:val="20"/>
                <w:szCs w:val="20"/>
                <w:lang w:val="sl-SI"/>
              </w:rPr>
              <w:t>i</w:t>
            </w:r>
            <w:r w:rsidRPr="00FF207E">
              <w:rPr>
                <w:rFonts w:cs="Arial"/>
                <w:sz w:val="20"/>
                <w:szCs w:val="20"/>
                <w:lang w:val="sl-SI"/>
              </w:rPr>
              <w:t xml:space="preserve"> za občine, ki </w:t>
            </w:r>
            <w:r w:rsidR="00EC673B" w:rsidRPr="00FF207E">
              <w:rPr>
                <w:rFonts w:cs="Arial"/>
                <w:sz w:val="20"/>
                <w:szCs w:val="20"/>
                <w:lang w:val="sl-SI"/>
              </w:rPr>
              <w:t>so</w:t>
            </w:r>
            <w:r w:rsidRPr="00FF207E">
              <w:rPr>
                <w:rFonts w:cs="Arial"/>
                <w:sz w:val="20"/>
                <w:szCs w:val="20"/>
                <w:lang w:val="sl-SI"/>
              </w:rPr>
              <w:t xml:space="preserve"> v isti statistični regiji. Višja vrednost prinaša manj točk, saj je regija bolj razvita od drugih.</w:t>
            </w:r>
          </w:p>
          <w:p w14:paraId="13DFEB2A" w14:textId="2A1B2059" w:rsidR="006918A6" w:rsidRPr="00FF207E" w:rsidRDefault="006918A6" w:rsidP="001E304B">
            <w:pPr>
              <w:spacing w:before="60" w:line="240" w:lineRule="atLeast"/>
              <w:jc w:val="both"/>
              <w:rPr>
                <w:rFonts w:cs="Arial"/>
                <w:sz w:val="20"/>
                <w:szCs w:val="20"/>
                <w:lang w:val="sl-SI"/>
              </w:rPr>
            </w:pPr>
            <w:r w:rsidRPr="00FF207E">
              <w:rPr>
                <w:rFonts w:cs="Arial"/>
                <w:sz w:val="20"/>
                <w:szCs w:val="20"/>
                <w:lang w:val="sl-SI"/>
              </w:rPr>
              <w:t xml:space="preserve">Uporabijo se podatki (koeficient razvitosti občine), ki so bili na podlagi </w:t>
            </w:r>
            <w:r w:rsidR="00EC673B" w:rsidRPr="00FF207E">
              <w:rPr>
                <w:rFonts w:cs="Arial"/>
                <w:sz w:val="20"/>
                <w:szCs w:val="20"/>
                <w:lang w:val="sl-SI"/>
              </w:rPr>
              <w:t>U</w:t>
            </w:r>
            <w:r w:rsidRPr="00FF207E">
              <w:rPr>
                <w:rFonts w:cs="Arial"/>
                <w:sz w:val="20"/>
                <w:szCs w:val="20"/>
                <w:lang w:val="sl-SI"/>
              </w:rPr>
              <w:t>redbe o metodologiji za določitev razvitosti občin</w:t>
            </w:r>
            <w:r w:rsidR="00381B02" w:rsidRPr="00FF207E">
              <w:rPr>
                <w:rFonts w:cs="Arial"/>
                <w:sz w:val="20"/>
                <w:szCs w:val="20"/>
                <w:vertAlign w:val="superscript"/>
                <w:lang w:val="sl-SI"/>
              </w:rPr>
              <w:t>3</w:t>
            </w:r>
            <w:r w:rsidR="00EC673B" w:rsidRPr="00FF207E">
              <w:rPr>
                <w:rFonts w:cs="Arial"/>
                <w:sz w:val="20"/>
                <w:szCs w:val="20"/>
                <w:lang w:val="sl-SI"/>
              </w:rPr>
              <w:t xml:space="preserve"> zadnji pripravljeni</w:t>
            </w:r>
            <w:r w:rsidRPr="00FF207E">
              <w:rPr>
                <w:rFonts w:cs="Arial"/>
                <w:sz w:val="20"/>
                <w:szCs w:val="20"/>
                <w:lang w:val="sl-SI"/>
              </w:rPr>
              <w:t>.</w:t>
            </w:r>
          </w:p>
          <w:p w14:paraId="6C3B64BA" w14:textId="48C17453" w:rsidR="00051CE8" w:rsidRPr="00FF207E" w:rsidRDefault="00051CE8" w:rsidP="001E304B">
            <w:pPr>
              <w:spacing w:before="60" w:line="240" w:lineRule="atLeast"/>
              <w:jc w:val="both"/>
              <w:rPr>
                <w:rFonts w:cs="Arial"/>
                <w:sz w:val="20"/>
                <w:szCs w:val="20"/>
                <w:lang w:val="sl-SI"/>
              </w:rPr>
            </w:pPr>
            <w:r w:rsidRPr="00FF207E">
              <w:rPr>
                <w:rFonts w:cs="Arial"/>
                <w:sz w:val="20"/>
                <w:szCs w:val="20"/>
                <w:lang w:val="sl-SI"/>
              </w:rPr>
              <w:t xml:space="preserve">Vir: </w:t>
            </w:r>
            <w:hyperlink r:id="rId29" w:history="1">
              <w:r w:rsidRPr="00FF207E">
                <w:rPr>
                  <w:rStyle w:val="Hiperpovezava"/>
                  <w:rFonts w:eastAsiaTheme="majorEastAsia"/>
                  <w:sz w:val="20"/>
                  <w:szCs w:val="20"/>
                  <w:lang w:val="sl-SI"/>
                </w:rPr>
                <w:t>https://www.gov.si/assets/ministrstva/MF/Proracun-direktorat/DP-SSFLS/Izracuni/Koeficienti-razvitosti/Koeficienti_razvitosti_obcin_in_odstorek_sofinanciranja-22-23-tabela.pdf</w:t>
              </w:r>
            </w:hyperlink>
            <w:r w:rsidR="00751D1E" w:rsidRPr="00FF207E">
              <w:rPr>
                <w:rStyle w:val="Hiperpovezava"/>
                <w:rFonts w:eastAsiaTheme="majorEastAsia"/>
                <w:sz w:val="20"/>
                <w:szCs w:val="20"/>
                <w:lang w:val="sl-SI"/>
              </w:rPr>
              <w:t>.</w:t>
            </w:r>
            <w:r w:rsidRPr="00FF207E">
              <w:rPr>
                <w:rStyle w:val="Hiperpovezava"/>
                <w:rFonts w:eastAsiaTheme="majorEastAsia"/>
                <w:sz w:val="20"/>
                <w:szCs w:val="20"/>
                <w:lang w:val="sl-SI"/>
              </w:rPr>
              <w:t xml:space="preserve"> </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D6E3BC" w:themeFill="accent3" w:themeFillTint="66"/>
          </w:tcPr>
          <w:p w14:paraId="3D942F47" w14:textId="77777777"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DA</w:t>
            </w:r>
          </w:p>
        </w:tc>
      </w:tr>
      <w:tr w:rsidR="00051CE8" w:rsidRPr="00FF207E" w14:paraId="3D62905E" w14:textId="77777777" w:rsidTr="007C087C">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3FA66FC4" w14:textId="17DF802B"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Povprečni letni znesek socialnih transferjev na prebivalca po statističnih regijah</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F1A8C57" w14:textId="0AB7A827"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 xml:space="preserve">Iz zadnjega poročila o socialnih transferjih, ki jih pripravlja MDDSZ, se za preteklo leto vzame povprečni letni znesek socialnih transferjev na prebivalca v milijonih </w:t>
            </w:r>
            <w:r w:rsidR="005926D4" w:rsidRPr="00FF207E">
              <w:rPr>
                <w:rFonts w:cs="Arial"/>
                <w:sz w:val="20"/>
                <w:szCs w:val="20"/>
                <w:lang w:val="sl-SI"/>
              </w:rPr>
              <w:t>evrov</w:t>
            </w:r>
            <w:r w:rsidRPr="00FF207E">
              <w:rPr>
                <w:rFonts w:cs="Arial"/>
                <w:sz w:val="20"/>
                <w:szCs w:val="20"/>
                <w:lang w:val="sl-SI"/>
              </w:rPr>
              <w:t>.</w:t>
            </w:r>
            <w:r w:rsidRPr="00FF207E">
              <w:rPr>
                <w:sz w:val="20"/>
                <w:szCs w:val="20"/>
                <w:lang w:val="sl-SI"/>
              </w:rPr>
              <w:t xml:space="preserve"> </w:t>
            </w:r>
            <w:r w:rsidRPr="00FF207E">
              <w:rPr>
                <w:rFonts w:cs="Arial"/>
                <w:sz w:val="20"/>
                <w:szCs w:val="20"/>
                <w:lang w:val="sl-SI"/>
              </w:rPr>
              <w:t>Višja vrednost prinaša več točk.</w:t>
            </w:r>
          </w:p>
          <w:p w14:paraId="6886D326" w14:textId="409882AC" w:rsidR="00051CE8" w:rsidRPr="00FF207E" w:rsidRDefault="00051CE8" w:rsidP="00840C02">
            <w:pPr>
              <w:spacing w:before="60" w:line="240" w:lineRule="atLeast"/>
              <w:rPr>
                <w:rFonts w:cs="Arial"/>
                <w:sz w:val="20"/>
                <w:szCs w:val="20"/>
                <w:lang w:val="sl-SI"/>
              </w:rPr>
            </w:pPr>
            <w:r w:rsidRPr="00FF207E">
              <w:rPr>
                <w:rFonts w:cs="Arial"/>
                <w:sz w:val="20"/>
                <w:szCs w:val="20"/>
                <w:lang w:val="sl-SI"/>
              </w:rPr>
              <w:t xml:space="preserve">Vir: </w:t>
            </w:r>
            <w:hyperlink r:id="rId30" w:history="1">
              <w:r w:rsidRPr="00FF207E">
                <w:rPr>
                  <w:rStyle w:val="Hiperpovezava"/>
                  <w:rFonts w:cs="Arial"/>
                  <w:sz w:val="20"/>
                  <w:szCs w:val="20"/>
                  <w:lang w:val="sl-SI"/>
                </w:rPr>
                <w:t>https://www.gov.si/drzavni-organi/ministrstva/ministrstvo-za-delo-druzino-socialne-zadeve-in-enake-moznosti/o-ministrstvu/sluzba-za-analize-in-razvoj/</w:t>
              </w:r>
            </w:hyperlink>
            <w:r w:rsidR="00751D1E" w:rsidRPr="00FF207E">
              <w:rPr>
                <w:rStyle w:val="Hiperpovezava"/>
                <w:rFonts w:cs="Arial"/>
                <w:sz w:val="20"/>
                <w:szCs w:val="20"/>
                <w:lang w:val="sl-SI"/>
              </w:rPr>
              <w:t>.</w:t>
            </w:r>
            <w:r w:rsidRPr="00FF207E">
              <w:rPr>
                <w:rFonts w:cs="Arial"/>
                <w:sz w:val="20"/>
                <w:szCs w:val="20"/>
                <w:lang w:val="sl-SI"/>
              </w:rPr>
              <w:t xml:space="preserve"> </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D6E3BC" w:themeFill="accent3" w:themeFillTint="66"/>
          </w:tcPr>
          <w:p w14:paraId="175F483A" w14:textId="77777777" w:rsidR="00051CE8" w:rsidRPr="00FF207E" w:rsidRDefault="00051CE8" w:rsidP="001E304B">
            <w:pPr>
              <w:spacing w:line="240" w:lineRule="atLeast"/>
              <w:jc w:val="both"/>
              <w:rPr>
                <w:rFonts w:cs="Arial"/>
                <w:sz w:val="20"/>
                <w:szCs w:val="20"/>
                <w:lang w:val="sl-SI"/>
              </w:rPr>
            </w:pPr>
            <w:r w:rsidRPr="00FF207E">
              <w:rPr>
                <w:rFonts w:cs="Arial"/>
                <w:sz w:val="20"/>
                <w:szCs w:val="20"/>
                <w:lang w:val="sl-SI"/>
              </w:rPr>
              <w:t>DA</w:t>
            </w:r>
          </w:p>
        </w:tc>
      </w:tr>
      <w:tr w:rsidR="00051CE8" w:rsidRPr="00FF207E" w14:paraId="5A735B38" w14:textId="77777777" w:rsidTr="007C087C">
        <w:trPr>
          <w:trHeight w:val="476"/>
        </w:trPr>
        <w:tc>
          <w:tcPr>
            <w:tcW w:w="9781" w:type="dxa"/>
            <w:gridSpan w:val="3"/>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C6D9F1" w:themeFill="text2" w:themeFillTint="33"/>
            <w:vAlign w:val="center"/>
          </w:tcPr>
          <w:p w14:paraId="094941F0" w14:textId="7C43F2EE" w:rsidR="00051CE8" w:rsidRPr="00FF207E" w:rsidRDefault="003249EA" w:rsidP="001E304B">
            <w:pPr>
              <w:spacing w:line="240" w:lineRule="atLeast"/>
              <w:jc w:val="both"/>
              <w:rPr>
                <w:rFonts w:cs="Arial"/>
                <w:sz w:val="20"/>
                <w:szCs w:val="20"/>
                <w:lang w:val="sl-SI"/>
              </w:rPr>
            </w:pPr>
            <w:r w:rsidRPr="00FF207E">
              <w:rPr>
                <w:rFonts w:cs="Arial"/>
                <w:b/>
                <w:szCs w:val="22"/>
                <w:lang w:val="sl-SI"/>
              </w:rPr>
              <w:t xml:space="preserve">Dejavnost </w:t>
            </w:r>
            <w:r w:rsidR="00051CE8" w:rsidRPr="00FF207E">
              <w:rPr>
                <w:rFonts w:cs="Arial"/>
                <w:b/>
                <w:szCs w:val="22"/>
                <w:lang w:val="sl-SI"/>
              </w:rPr>
              <w:t>regije</w:t>
            </w:r>
          </w:p>
        </w:tc>
      </w:tr>
      <w:tr w:rsidR="00051CE8" w:rsidRPr="00FF207E" w14:paraId="5682C9CB" w14:textId="77777777" w:rsidTr="007C087C">
        <w:trPr>
          <w:trHeight w:val="713"/>
        </w:trPr>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167F54AE" w14:textId="77777777" w:rsidR="00051CE8" w:rsidRPr="00FF207E" w:rsidRDefault="00051CE8" w:rsidP="001E304B">
            <w:pPr>
              <w:spacing w:line="240" w:lineRule="atLeast"/>
              <w:jc w:val="both"/>
              <w:rPr>
                <w:sz w:val="20"/>
                <w:szCs w:val="20"/>
                <w:lang w:val="sl-SI"/>
              </w:rPr>
            </w:pPr>
            <w:r w:rsidRPr="00FF207E">
              <w:rPr>
                <w:sz w:val="20"/>
                <w:szCs w:val="20"/>
                <w:lang w:val="sl-SI"/>
              </w:rPr>
              <w:t>Prisotnost lokalne energetske agencije (LEA)</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DE048D1" w14:textId="35D9D741" w:rsidR="00051CE8" w:rsidRPr="00FF207E" w:rsidRDefault="00051CE8" w:rsidP="001E304B">
            <w:pPr>
              <w:spacing w:line="240" w:lineRule="atLeast"/>
              <w:jc w:val="both"/>
              <w:rPr>
                <w:sz w:val="20"/>
                <w:szCs w:val="20"/>
                <w:lang w:val="sl-SI"/>
              </w:rPr>
            </w:pPr>
            <w:r w:rsidRPr="00FF207E">
              <w:rPr>
                <w:sz w:val="20"/>
                <w:szCs w:val="20"/>
                <w:lang w:val="sl-SI"/>
              </w:rPr>
              <w:t xml:space="preserve">Vir: </w:t>
            </w:r>
            <w:hyperlink r:id="rId31" w:history="1">
              <w:r w:rsidRPr="00FF207E">
                <w:rPr>
                  <w:rStyle w:val="Hiperpovezava"/>
                  <w:sz w:val="20"/>
                  <w:szCs w:val="20"/>
                  <w:lang w:val="sl-SI"/>
                </w:rPr>
                <w:t>https://www.energetika-portal.si/podrocja/energetika/lokalne-energetske-agencije/</w:t>
              </w:r>
            </w:hyperlink>
            <w:r w:rsidR="00751D1E" w:rsidRPr="00FF207E">
              <w:rPr>
                <w:rStyle w:val="Hiperpovezava"/>
                <w:sz w:val="20"/>
                <w:szCs w:val="20"/>
                <w:lang w:val="sl-SI"/>
              </w:rPr>
              <w:t>.</w:t>
            </w:r>
            <w:r w:rsidRPr="00FF207E">
              <w:rPr>
                <w:sz w:val="20"/>
                <w:szCs w:val="20"/>
                <w:lang w:val="sl-SI"/>
              </w:rPr>
              <w:t xml:space="preserve"> </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E5B8B7" w:themeFill="accent2" w:themeFillTint="66"/>
          </w:tcPr>
          <w:p w14:paraId="105636D9" w14:textId="55CB8A19" w:rsidR="00051CE8" w:rsidRPr="00FF207E" w:rsidRDefault="00051CE8" w:rsidP="009D6431">
            <w:pPr>
              <w:spacing w:line="240" w:lineRule="atLeast"/>
              <w:jc w:val="both"/>
              <w:rPr>
                <w:sz w:val="20"/>
                <w:szCs w:val="20"/>
                <w:lang w:val="sl-SI"/>
              </w:rPr>
            </w:pPr>
            <w:r w:rsidRPr="00FF207E">
              <w:rPr>
                <w:sz w:val="20"/>
                <w:szCs w:val="20"/>
                <w:lang w:val="sl-SI"/>
              </w:rPr>
              <w:t xml:space="preserve">NE; prisotnost lokalne energetske agencije ni ustrezen </w:t>
            </w:r>
            <w:r w:rsidR="009D6431" w:rsidRPr="00FF207E">
              <w:rPr>
                <w:sz w:val="20"/>
                <w:szCs w:val="20"/>
                <w:lang w:val="sl-SI"/>
              </w:rPr>
              <w:t>kazalnik</w:t>
            </w:r>
          </w:p>
        </w:tc>
      </w:tr>
      <w:tr w:rsidR="00051CE8" w:rsidRPr="00FF207E" w14:paraId="64678EB2" w14:textId="77777777" w:rsidTr="007C087C">
        <w:trPr>
          <w:trHeight w:val="713"/>
        </w:trPr>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72845BF7" w14:textId="7F813581" w:rsidR="00051CE8" w:rsidRPr="00FF207E" w:rsidRDefault="003249EA" w:rsidP="00097EB2">
            <w:pPr>
              <w:spacing w:line="240" w:lineRule="atLeast"/>
              <w:jc w:val="both"/>
              <w:rPr>
                <w:rFonts w:cs="Arial"/>
                <w:sz w:val="20"/>
                <w:szCs w:val="20"/>
                <w:lang w:val="sl-SI"/>
              </w:rPr>
            </w:pPr>
            <w:r w:rsidRPr="00FF207E">
              <w:rPr>
                <w:sz w:val="20"/>
                <w:szCs w:val="20"/>
                <w:lang w:val="sl-SI"/>
              </w:rPr>
              <w:t xml:space="preserve">Obravnavanje </w:t>
            </w:r>
            <w:r w:rsidR="00097EB2" w:rsidRPr="00FF207E">
              <w:rPr>
                <w:sz w:val="20"/>
                <w:szCs w:val="20"/>
                <w:lang w:val="sl-SI"/>
              </w:rPr>
              <w:t>energetske revščine</w:t>
            </w:r>
            <w:r w:rsidR="00051CE8" w:rsidRPr="00FF207E">
              <w:rPr>
                <w:sz w:val="20"/>
                <w:szCs w:val="20"/>
                <w:lang w:val="sl-SI"/>
              </w:rPr>
              <w:t xml:space="preserve"> v Regionalnem razvojnem programu 2021</w:t>
            </w:r>
            <w:r w:rsidR="00051CE8" w:rsidRPr="00FF207E">
              <w:rPr>
                <w:rFonts w:cs="Arial"/>
                <w:sz w:val="20"/>
                <w:szCs w:val="20"/>
                <w:lang w:val="sl-SI"/>
              </w:rPr>
              <w:t>–</w:t>
            </w:r>
            <w:r w:rsidR="00051CE8" w:rsidRPr="00FF207E">
              <w:rPr>
                <w:sz w:val="20"/>
                <w:szCs w:val="20"/>
                <w:lang w:val="sl-SI"/>
              </w:rPr>
              <w:t>2027</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AC91029" w14:textId="4EA0D4AE" w:rsidR="00051CE8" w:rsidRPr="00FF207E" w:rsidRDefault="00051CE8" w:rsidP="001E304B">
            <w:pPr>
              <w:spacing w:line="240" w:lineRule="atLeast"/>
              <w:jc w:val="both"/>
              <w:rPr>
                <w:sz w:val="20"/>
                <w:szCs w:val="20"/>
                <w:lang w:val="sl-SI"/>
              </w:rPr>
            </w:pPr>
            <w:r w:rsidRPr="00FF207E">
              <w:rPr>
                <w:sz w:val="20"/>
                <w:szCs w:val="20"/>
                <w:lang w:val="sl-SI"/>
              </w:rPr>
              <w:t xml:space="preserve">Regija omeni/prepozna problematiko energetske revščine v svojem razvojnem </w:t>
            </w:r>
            <w:r w:rsidRPr="00FF207E">
              <w:rPr>
                <w:spacing w:val="-2"/>
                <w:sz w:val="20"/>
                <w:szCs w:val="20"/>
                <w:lang w:val="sl-SI"/>
              </w:rPr>
              <w:t>programu za obdobje 2021</w:t>
            </w:r>
            <w:r w:rsidR="005926D4" w:rsidRPr="00FF207E">
              <w:rPr>
                <w:rFonts w:cs="Arial"/>
                <w:spacing w:val="-2"/>
                <w:sz w:val="20"/>
                <w:szCs w:val="20"/>
                <w:lang w:val="sl-SI"/>
              </w:rPr>
              <w:t>–</w:t>
            </w:r>
            <w:r w:rsidRPr="00FF207E">
              <w:rPr>
                <w:spacing w:val="-2"/>
                <w:sz w:val="20"/>
                <w:szCs w:val="20"/>
                <w:lang w:val="sl-SI"/>
              </w:rPr>
              <w:t>2027</w:t>
            </w:r>
            <w:r w:rsidR="00EC673B" w:rsidRPr="00FF207E">
              <w:rPr>
                <w:spacing w:val="-2"/>
                <w:sz w:val="20"/>
                <w:szCs w:val="20"/>
                <w:lang w:val="sl-SI"/>
              </w:rPr>
              <w:t xml:space="preserve"> (</w:t>
            </w:r>
            <w:r w:rsidR="001B0970" w:rsidRPr="00FF207E">
              <w:rPr>
                <w:spacing w:val="-2"/>
                <w:sz w:val="20"/>
                <w:szCs w:val="20"/>
                <w:lang w:val="sl-SI"/>
              </w:rPr>
              <w:t>t</w:t>
            </w:r>
            <w:r w:rsidR="00EC673B" w:rsidRPr="00FF207E">
              <w:rPr>
                <w:spacing w:val="-2"/>
                <w:sz w:val="20"/>
                <w:szCs w:val="20"/>
                <w:lang w:val="sl-SI"/>
              </w:rPr>
              <w:t>abela</w:t>
            </w:r>
            <w:r w:rsidR="00B65E4D" w:rsidRPr="00FF207E">
              <w:rPr>
                <w:spacing w:val="-2"/>
                <w:sz w:val="20"/>
                <w:szCs w:val="20"/>
                <w:lang w:val="sl-SI"/>
              </w:rPr>
              <w:t> </w:t>
            </w:r>
            <w:r w:rsidR="00EC673B" w:rsidRPr="00FF207E">
              <w:rPr>
                <w:spacing w:val="-2"/>
                <w:sz w:val="20"/>
                <w:szCs w:val="20"/>
                <w:lang w:val="sl-SI"/>
              </w:rPr>
              <w:t>2)</w:t>
            </w:r>
            <w:r w:rsidRPr="00FF207E">
              <w:rPr>
                <w:spacing w:val="-2"/>
                <w:sz w:val="20"/>
                <w:szCs w:val="20"/>
                <w:lang w:val="sl-SI"/>
              </w:rPr>
              <w:t>.</w:t>
            </w:r>
            <w:r w:rsidRPr="00FF207E">
              <w:rPr>
                <w:sz w:val="20"/>
                <w:szCs w:val="20"/>
                <w:lang w:val="sl-SI"/>
              </w:rPr>
              <w:t xml:space="preserve"> Merilo regiji prinese vse </w:t>
            </w:r>
            <w:r w:rsidR="009D6431" w:rsidRPr="00FF207E">
              <w:rPr>
                <w:sz w:val="20"/>
                <w:szCs w:val="20"/>
                <w:lang w:val="sl-SI"/>
              </w:rPr>
              <w:t xml:space="preserve">točke </w:t>
            </w:r>
            <w:r w:rsidRPr="00FF207E">
              <w:rPr>
                <w:sz w:val="20"/>
                <w:szCs w:val="20"/>
                <w:lang w:val="sl-SI"/>
              </w:rPr>
              <w:t xml:space="preserve">ali </w:t>
            </w:r>
            <w:r w:rsidR="009D6431" w:rsidRPr="00FF207E">
              <w:rPr>
                <w:sz w:val="20"/>
                <w:szCs w:val="20"/>
                <w:lang w:val="sl-SI"/>
              </w:rPr>
              <w:t>nobene</w:t>
            </w:r>
            <w:r w:rsidRPr="00FF207E">
              <w:rPr>
                <w:sz w:val="20"/>
                <w:szCs w:val="20"/>
                <w:lang w:val="sl-SI"/>
              </w:rPr>
              <w:t>.</w:t>
            </w:r>
          </w:p>
          <w:p w14:paraId="6E7DD16E" w14:textId="01239921" w:rsidR="00051CE8" w:rsidRPr="00FF207E" w:rsidRDefault="00051CE8" w:rsidP="001E304B">
            <w:pPr>
              <w:spacing w:before="60" w:line="240" w:lineRule="atLeast"/>
              <w:jc w:val="both"/>
              <w:rPr>
                <w:sz w:val="20"/>
                <w:szCs w:val="20"/>
                <w:lang w:val="sl-SI"/>
              </w:rPr>
            </w:pPr>
            <w:r w:rsidRPr="00FF207E">
              <w:rPr>
                <w:sz w:val="20"/>
                <w:szCs w:val="20"/>
                <w:lang w:val="sl-SI"/>
              </w:rPr>
              <w:t xml:space="preserve">Vir: </w:t>
            </w:r>
            <w:hyperlink r:id="rId32" w:history="1">
              <w:r w:rsidRPr="00FF207E">
                <w:rPr>
                  <w:rStyle w:val="Hiperpovezava"/>
                  <w:rFonts w:eastAsiaTheme="majorEastAsia" w:cs="Arial"/>
                  <w:sz w:val="20"/>
                  <w:szCs w:val="20"/>
                  <w:lang w:val="sl-SI"/>
                </w:rPr>
                <w:t>https://www.gov.si/teme/razvojne-regije/</w:t>
              </w:r>
            </w:hyperlink>
            <w:r w:rsidR="00751D1E" w:rsidRPr="00FF207E">
              <w:rPr>
                <w:rStyle w:val="Hiperpovezava"/>
                <w:rFonts w:eastAsiaTheme="majorEastAsia" w:cs="Arial"/>
                <w:sz w:val="20"/>
                <w:szCs w:val="20"/>
                <w:lang w:val="sl-SI"/>
              </w:rPr>
              <w:t>.</w:t>
            </w:r>
            <w:r w:rsidRPr="00FF207E">
              <w:rPr>
                <w:rFonts w:cs="Arial"/>
                <w:sz w:val="20"/>
                <w:szCs w:val="20"/>
                <w:lang w:val="sl-SI"/>
              </w:rPr>
              <w:t xml:space="preserve"> </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D6E3BC" w:themeFill="accent3" w:themeFillTint="66"/>
          </w:tcPr>
          <w:p w14:paraId="6BD84F50" w14:textId="77777777" w:rsidR="00051CE8" w:rsidRPr="00FF207E" w:rsidRDefault="00051CE8" w:rsidP="001E304B">
            <w:pPr>
              <w:spacing w:line="240" w:lineRule="atLeast"/>
              <w:jc w:val="both"/>
              <w:rPr>
                <w:sz w:val="20"/>
                <w:szCs w:val="20"/>
                <w:lang w:val="sl-SI"/>
              </w:rPr>
            </w:pPr>
            <w:r w:rsidRPr="00FF207E">
              <w:rPr>
                <w:sz w:val="20"/>
                <w:szCs w:val="20"/>
                <w:lang w:val="sl-SI"/>
              </w:rPr>
              <w:t>DA</w:t>
            </w:r>
          </w:p>
        </w:tc>
      </w:tr>
      <w:tr w:rsidR="00051CE8" w:rsidRPr="00FF207E" w14:paraId="393CA92C" w14:textId="77777777" w:rsidTr="007C087C">
        <w:trPr>
          <w:trHeight w:val="1189"/>
        </w:trPr>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73DA2C63" w14:textId="0B0BF6F9" w:rsidR="00051CE8" w:rsidRPr="00FF207E" w:rsidRDefault="003249EA" w:rsidP="001E304B">
            <w:pPr>
              <w:spacing w:line="240" w:lineRule="atLeast"/>
              <w:jc w:val="both"/>
              <w:rPr>
                <w:sz w:val="20"/>
                <w:szCs w:val="20"/>
                <w:lang w:val="sl-SI"/>
              </w:rPr>
            </w:pPr>
            <w:r w:rsidRPr="00FF207E">
              <w:rPr>
                <w:sz w:val="20"/>
                <w:szCs w:val="20"/>
                <w:lang w:val="sl-SI"/>
              </w:rPr>
              <w:t xml:space="preserve">Dejavnost </w:t>
            </w:r>
            <w:r w:rsidR="00051CE8" w:rsidRPr="00FF207E">
              <w:rPr>
                <w:sz w:val="20"/>
                <w:szCs w:val="20"/>
                <w:lang w:val="sl-SI"/>
              </w:rPr>
              <w:t>ENSVET na število prebivalcev v regiji</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13E5B71F" w14:textId="77777777" w:rsidR="00051CE8" w:rsidRPr="00FF207E" w:rsidRDefault="00051CE8" w:rsidP="001E304B">
            <w:pPr>
              <w:spacing w:line="240" w:lineRule="atLeast"/>
              <w:jc w:val="both"/>
              <w:rPr>
                <w:sz w:val="20"/>
                <w:szCs w:val="20"/>
                <w:lang w:val="sl-SI"/>
              </w:rPr>
            </w:pPr>
            <w:r w:rsidRPr="00FF207E">
              <w:rPr>
                <w:sz w:val="20"/>
                <w:szCs w:val="20"/>
                <w:lang w:val="sl-SI"/>
              </w:rPr>
              <w:t>Število pisarn ENSVET mreže prisotnih v regiji na število prebivalcev, ki bivajo v regiji.</w:t>
            </w:r>
          </w:p>
          <w:p w14:paraId="6EAEDC20" w14:textId="4DB64986" w:rsidR="00051CE8" w:rsidRPr="00FF207E" w:rsidRDefault="00051CE8" w:rsidP="001E304B">
            <w:pPr>
              <w:spacing w:before="60" w:line="240" w:lineRule="atLeast"/>
              <w:jc w:val="both"/>
              <w:rPr>
                <w:sz w:val="20"/>
                <w:szCs w:val="20"/>
                <w:lang w:val="sl-SI"/>
              </w:rPr>
            </w:pPr>
            <w:r w:rsidRPr="00FF207E">
              <w:rPr>
                <w:sz w:val="20"/>
                <w:szCs w:val="20"/>
                <w:lang w:val="sl-SI"/>
              </w:rPr>
              <w:t xml:space="preserve">Vir: </w:t>
            </w:r>
            <w:hyperlink r:id="rId33" w:history="1">
              <w:r w:rsidRPr="00FF207E">
                <w:rPr>
                  <w:rStyle w:val="Hiperpovezava"/>
                  <w:sz w:val="20"/>
                  <w:szCs w:val="20"/>
                  <w:lang w:val="sl-SI"/>
                </w:rPr>
                <w:t>https://www.ekosklad.si/prebivalstvo/ensvet/pisarna</w:t>
              </w:r>
            </w:hyperlink>
            <w:r w:rsidR="00751D1E" w:rsidRPr="00FF207E">
              <w:rPr>
                <w:rStyle w:val="Hiperpovezava"/>
                <w:sz w:val="20"/>
                <w:szCs w:val="20"/>
                <w:lang w:val="sl-SI"/>
              </w:rPr>
              <w:t>.</w:t>
            </w:r>
            <w:r w:rsidRPr="00FF207E">
              <w:rPr>
                <w:sz w:val="20"/>
                <w:szCs w:val="20"/>
                <w:lang w:val="sl-SI"/>
              </w:rPr>
              <w:t xml:space="preserve"> </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E5B8B7" w:themeFill="accent2" w:themeFillTint="66"/>
          </w:tcPr>
          <w:p w14:paraId="453FBCD9" w14:textId="650E672D" w:rsidR="00051CE8" w:rsidRPr="00FF207E" w:rsidRDefault="00051CE8" w:rsidP="009D6431">
            <w:pPr>
              <w:spacing w:line="240" w:lineRule="atLeast"/>
              <w:jc w:val="both"/>
              <w:rPr>
                <w:sz w:val="20"/>
                <w:szCs w:val="20"/>
                <w:lang w:val="sl-SI"/>
              </w:rPr>
            </w:pPr>
            <w:r w:rsidRPr="00FF207E">
              <w:rPr>
                <w:sz w:val="20"/>
                <w:szCs w:val="20"/>
                <w:lang w:val="sl-SI"/>
              </w:rPr>
              <w:t xml:space="preserve">NE; število pisarn svetovalne mreže ENSVET ni ustrezen </w:t>
            </w:r>
            <w:r w:rsidR="009D6431" w:rsidRPr="00FF207E">
              <w:rPr>
                <w:sz w:val="20"/>
                <w:szCs w:val="20"/>
                <w:lang w:val="sl-SI"/>
              </w:rPr>
              <w:t>kazalnik</w:t>
            </w:r>
          </w:p>
        </w:tc>
      </w:tr>
      <w:tr w:rsidR="00051CE8" w:rsidRPr="00FF207E" w14:paraId="6CC70C1C" w14:textId="77777777" w:rsidTr="007C087C">
        <w:trPr>
          <w:trHeight w:val="1189"/>
        </w:trPr>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6732DCBE" w14:textId="77777777" w:rsidR="00051CE8" w:rsidRPr="00FF207E" w:rsidRDefault="00051CE8" w:rsidP="001E304B">
            <w:pPr>
              <w:spacing w:line="240" w:lineRule="atLeast"/>
              <w:jc w:val="both"/>
              <w:rPr>
                <w:sz w:val="20"/>
                <w:szCs w:val="20"/>
                <w:lang w:val="sl-SI"/>
              </w:rPr>
            </w:pPr>
            <w:r w:rsidRPr="00FF207E">
              <w:rPr>
                <w:sz w:val="20"/>
                <w:szCs w:val="20"/>
                <w:lang w:val="sl-SI"/>
              </w:rPr>
              <w:lastRenderedPageBreak/>
              <w:t>Število uspešnih vlog programa ZERO500 na regijo na prebivalca</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54B441C" w14:textId="74991671" w:rsidR="00051CE8" w:rsidRPr="00FF207E" w:rsidRDefault="00051CE8" w:rsidP="001E304B">
            <w:pPr>
              <w:spacing w:line="240" w:lineRule="atLeast"/>
              <w:jc w:val="both"/>
              <w:rPr>
                <w:sz w:val="20"/>
                <w:szCs w:val="20"/>
                <w:lang w:val="sl-SI"/>
              </w:rPr>
            </w:pPr>
            <w:r w:rsidRPr="00FF207E">
              <w:rPr>
                <w:sz w:val="20"/>
                <w:szCs w:val="20"/>
                <w:lang w:val="sl-SI"/>
              </w:rPr>
              <w:t>Število uspešnih vlog (</w:t>
            </w:r>
            <w:r w:rsidR="00B77973" w:rsidRPr="00FF207E">
              <w:rPr>
                <w:sz w:val="20"/>
                <w:szCs w:val="20"/>
                <w:lang w:val="sl-SI"/>
              </w:rPr>
              <w:t>to je</w:t>
            </w:r>
            <w:r w:rsidRPr="00FF207E">
              <w:rPr>
                <w:sz w:val="20"/>
                <w:szCs w:val="20"/>
                <w:lang w:val="sl-SI"/>
              </w:rPr>
              <w:t xml:space="preserve"> vlog, na podlagi katerih so vlagatelji prejeli sredstva) v okviru programa ZERO500 se deli s številom prebivalcev v regiji. Višja vrednost prinaša več točk.</w:t>
            </w:r>
          </w:p>
          <w:p w14:paraId="5380ACE7" w14:textId="0056A3E7" w:rsidR="00051CE8" w:rsidRPr="00FF207E" w:rsidRDefault="00051CE8" w:rsidP="001E304B">
            <w:pPr>
              <w:spacing w:before="60" w:line="240" w:lineRule="atLeast"/>
              <w:jc w:val="both"/>
              <w:rPr>
                <w:sz w:val="20"/>
                <w:szCs w:val="20"/>
                <w:lang w:val="sl-SI"/>
              </w:rPr>
            </w:pPr>
            <w:r w:rsidRPr="00FF207E">
              <w:rPr>
                <w:rFonts w:cs="Arial"/>
                <w:sz w:val="20"/>
                <w:szCs w:val="20"/>
                <w:lang w:val="sl-SI"/>
              </w:rPr>
              <w:t xml:space="preserve">Vir: rezultati programa ZERO500, </w:t>
            </w:r>
            <w:proofErr w:type="spellStart"/>
            <w:r w:rsidRPr="00FF207E">
              <w:rPr>
                <w:rFonts w:cs="Arial"/>
                <w:sz w:val="20"/>
                <w:szCs w:val="20"/>
                <w:lang w:val="sl-SI"/>
              </w:rPr>
              <w:t>Eko</w:t>
            </w:r>
            <w:proofErr w:type="spellEnd"/>
            <w:r w:rsidRPr="00FF207E">
              <w:rPr>
                <w:rFonts w:cs="Arial"/>
                <w:sz w:val="20"/>
                <w:szCs w:val="20"/>
                <w:lang w:val="sl-SI"/>
              </w:rPr>
              <w:t xml:space="preserve"> sklad</w:t>
            </w:r>
            <w:r w:rsidR="00751D1E" w:rsidRPr="00FF207E">
              <w:rPr>
                <w:rFonts w:cs="Arial"/>
                <w:sz w:val="20"/>
                <w:szCs w:val="20"/>
                <w:lang w:val="sl-SI"/>
              </w:rPr>
              <w:t>.</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D6E3BC" w:themeFill="accent3" w:themeFillTint="66"/>
          </w:tcPr>
          <w:p w14:paraId="0A7605BE" w14:textId="77777777" w:rsidR="00051CE8" w:rsidRPr="00FF207E" w:rsidRDefault="00051CE8" w:rsidP="001E304B">
            <w:pPr>
              <w:spacing w:line="240" w:lineRule="atLeast"/>
              <w:jc w:val="both"/>
              <w:rPr>
                <w:sz w:val="20"/>
                <w:szCs w:val="20"/>
                <w:lang w:val="sl-SI"/>
              </w:rPr>
            </w:pPr>
            <w:r w:rsidRPr="00FF207E">
              <w:rPr>
                <w:sz w:val="20"/>
                <w:szCs w:val="20"/>
                <w:lang w:val="sl-SI"/>
              </w:rPr>
              <w:t>DA</w:t>
            </w:r>
          </w:p>
        </w:tc>
      </w:tr>
      <w:tr w:rsidR="00051CE8" w:rsidRPr="00FF207E" w14:paraId="69923B0A" w14:textId="77777777" w:rsidTr="007C087C">
        <w:trPr>
          <w:trHeight w:val="713"/>
        </w:trPr>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2B286FF4" w14:textId="77777777" w:rsidR="00051CE8" w:rsidRPr="00FF207E" w:rsidRDefault="00051CE8" w:rsidP="001E304B">
            <w:pPr>
              <w:spacing w:line="240" w:lineRule="atLeast"/>
              <w:jc w:val="both"/>
              <w:rPr>
                <w:sz w:val="20"/>
                <w:szCs w:val="20"/>
                <w:lang w:val="sl-SI"/>
              </w:rPr>
            </w:pPr>
            <w:r w:rsidRPr="00FF207E">
              <w:rPr>
                <w:sz w:val="20"/>
                <w:szCs w:val="20"/>
                <w:lang w:val="sl-SI"/>
              </w:rPr>
              <w:t>Število vloženih vlog programa ZERO500 na regijo na prebivalca</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495BBF21" w14:textId="16DA76CA" w:rsidR="00051CE8" w:rsidRPr="00FF207E" w:rsidRDefault="00051CE8" w:rsidP="001E304B">
            <w:pPr>
              <w:spacing w:line="240" w:lineRule="atLeast"/>
              <w:jc w:val="both"/>
              <w:rPr>
                <w:sz w:val="20"/>
                <w:szCs w:val="20"/>
                <w:lang w:val="sl-SI"/>
              </w:rPr>
            </w:pPr>
            <w:r w:rsidRPr="00FF207E">
              <w:rPr>
                <w:sz w:val="20"/>
                <w:szCs w:val="20"/>
                <w:lang w:val="sl-SI"/>
              </w:rPr>
              <w:t xml:space="preserve">Vir: </w:t>
            </w:r>
            <w:r w:rsidRPr="00FF207E">
              <w:rPr>
                <w:rFonts w:cs="Arial"/>
                <w:sz w:val="20"/>
                <w:szCs w:val="20"/>
                <w:lang w:val="sl-SI"/>
              </w:rPr>
              <w:t xml:space="preserve">rezultati programa ZERO500, </w:t>
            </w:r>
            <w:proofErr w:type="spellStart"/>
            <w:r w:rsidRPr="00FF207E">
              <w:rPr>
                <w:rFonts w:cs="Arial"/>
                <w:sz w:val="20"/>
                <w:szCs w:val="20"/>
                <w:lang w:val="sl-SI"/>
              </w:rPr>
              <w:t>Eko</w:t>
            </w:r>
            <w:proofErr w:type="spellEnd"/>
            <w:r w:rsidRPr="00FF207E">
              <w:rPr>
                <w:rFonts w:cs="Arial"/>
                <w:sz w:val="20"/>
                <w:szCs w:val="20"/>
                <w:lang w:val="sl-SI"/>
              </w:rPr>
              <w:t xml:space="preserve"> sklad</w:t>
            </w:r>
            <w:r w:rsidR="00751D1E" w:rsidRPr="00FF207E">
              <w:rPr>
                <w:rFonts w:cs="Arial"/>
                <w:sz w:val="20"/>
                <w:szCs w:val="20"/>
                <w:lang w:val="sl-SI"/>
              </w:rPr>
              <w:t>.</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E5B8B7" w:themeFill="accent2" w:themeFillTint="66"/>
          </w:tcPr>
          <w:p w14:paraId="5FC02682" w14:textId="6C521326" w:rsidR="00051CE8" w:rsidRPr="00FF207E" w:rsidRDefault="00051CE8" w:rsidP="001E304B">
            <w:pPr>
              <w:spacing w:line="240" w:lineRule="atLeast"/>
              <w:jc w:val="both"/>
              <w:rPr>
                <w:sz w:val="20"/>
                <w:szCs w:val="20"/>
                <w:lang w:val="sl-SI"/>
              </w:rPr>
            </w:pPr>
            <w:r w:rsidRPr="00FF207E">
              <w:rPr>
                <w:sz w:val="20"/>
                <w:szCs w:val="20"/>
                <w:lang w:val="sl-SI"/>
              </w:rPr>
              <w:t xml:space="preserve">NE; podvajanje s kazalnikom </w:t>
            </w:r>
            <w:r w:rsidR="005926D4" w:rsidRPr="00FF207E">
              <w:rPr>
                <w:i/>
                <w:sz w:val="20"/>
                <w:szCs w:val="20"/>
                <w:lang w:val="sl-SI"/>
              </w:rPr>
              <w:t>Š</w:t>
            </w:r>
            <w:r w:rsidRPr="00FF207E">
              <w:rPr>
                <w:i/>
                <w:sz w:val="20"/>
                <w:szCs w:val="20"/>
                <w:lang w:val="sl-SI"/>
              </w:rPr>
              <w:t>tevilo uspešnih vlog programa ZERO500 na regijo na prebivalca</w:t>
            </w:r>
          </w:p>
        </w:tc>
      </w:tr>
      <w:tr w:rsidR="00051CE8" w:rsidRPr="00FF207E" w14:paraId="11C889CF" w14:textId="77777777" w:rsidTr="007C087C">
        <w:trPr>
          <w:trHeight w:val="1189"/>
        </w:trPr>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29EFEB77" w14:textId="41D8E676" w:rsidR="00051CE8" w:rsidRPr="00FF207E" w:rsidRDefault="005926D4" w:rsidP="001E304B">
            <w:pPr>
              <w:spacing w:line="240" w:lineRule="atLeast"/>
              <w:jc w:val="both"/>
              <w:rPr>
                <w:sz w:val="20"/>
                <w:szCs w:val="20"/>
                <w:lang w:val="sl-SI"/>
              </w:rPr>
            </w:pPr>
            <w:r w:rsidRPr="00FF207E">
              <w:rPr>
                <w:sz w:val="20"/>
                <w:szCs w:val="20"/>
                <w:lang w:val="sl-SI"/>
              </w:rPr>
              <w:t>P</w:t>
            </w:r>
            <w:r w:rsidR="00051CE8" w:rsidRPr="00FF207E">
              <w:rPr>
                <w:sz w:val="20"/>
                <w:szCs w:val="20"/>
                <w:lang w:val="sl-SI"/>
              </w:rPr>
              <w:t xml:space="preserve">aketi </w:t>
            </w:r>
            <w:r w:rsidRPr="00FF207E">
              <w:rPr>
                <w:sz w:val="20"/>
                <w:szCs w:val="20"/>
                <w:lang w:val="sl-SI"/>
              </w:rPr>
              <w:t xml:space="preserve">ZERO </w:t>
            </w:r>
            <w:r w:rsidR="00051CE8" w:rsidRPr="00FF207E">
              <w:rPr>
                <w:sz w:val="20"/>
                <w:szCs w:val="20"/>
                <w:lang w:val="sl-SI"/>
              </w:rPr>
              <w:t>na regijo na prebivalca</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7428FF3B" w14:textId="560BDAC1" w:rsidR="00051CE8" w:rsidRPr="00FF207E" w:rsidRDefault="00051CE8" w:rsidP="001E304B">
            <w:pPr>
              <w:spacing w:line="240" w:lineRule="atLeast"/>
              <w:jc w:val="both"/>
              <w:rPr>
                <w:sz w:val="20"/>
                <w:szCs w:val="20"/>
                <w:lang w:val="sl-SI"/>
              </w:rPr>
            </w:pPr>
            <w:r w:rsidRPr="00FF207E">
              <w:rPr>
                <w:sz w:val="20"/>
                <w:szCs w:val="20"/>
                <w:lang w:val="sl-SI"/>
              </w:rPr>
              <w:t xml:space="preserve">Število dodeljenih </w:t>
            </w:r>
            <w:r w:rsidR="005926D4" w:rsidRPr="00FF207E">
              <w:rPr>
                <w:sz w:val="20"/>
                <w:szCs w:val="20"/>
                <w:lang w:val="sl-SI"/>
              </w:rPr>
              <w:t xml:space="preserve">paketov </w:t>
            </w:r>
            <w:r w:rsidRPr="00FF207E">
              <w:rPr>
                <w:sz w:val="20"/>
                <w:szCs w:val="20"/>
                <w:lang w:val="sl-SI"/>
              </w:rPr>
              <w:t>ZERO v posamezni regiji deljeno s število</w:t>
            </w:r>
            <w:r w:rsidR="009D6431" w:rsidRPr="00FF207E">
              <w:rPr>
                <w:sz w:val="20"/>
                <w:szCs w:val="20"/>
                <w:lang w:val="sl-SI"/>
              </w:rPr>
              <w:t>m</w:t>
            </w:r>
            <w:r w:rsidRPr="00FF207E">
              <w:rPr>
                <w:sz w:val="20"/>
                <w:szCs w:val="20"/>
                <w:lang w:val="sl-SI"/>
              </w:rPr>
              <w:t xml:space="preserve"> posameznikov, ki prebivajo v regiji.</w:t>
            </w:r>
          </w:p>
          <w:p w14:paraId="63D473D1" w14:textId="5B25CF31" w:rsidR="00051CE8" w:rsidRPr="00FF207E" w:rsidRDefault="00051CE8" w:rsidP="001E304B">
            <w:pPr>
              <w:spacing w:before="60" w:line="240" w:lineRule="atLeast"/>
              <w:jc w:val="both"/>
              <w:rPr>
                <w:sz w:val="20"/>
                <w:szCs w:val="20"/>
                <w:lang w:val="sl-SI"/>
              </w:rPr>
            </w:pPr>
            <w:r w:rsidRPr="00FF207E">
              <w:rPr>
                <w:sz w:val="20"/>
                <w:szCs w:val="20"/>
                <w:lang w:val="sl-SI"/>
              </w:rPr>
              <w:t xml:space="preserve">Vir: rezultati </w:t>
            </w:r>
            <w:r w:rsidR="005926D4" w:rsidRPr="00FF207E">
              <w:rPr>
                <w:sz w:val="20"/>
                <w:szCs w:val="20"/>
                <w:lang w:val="sl-SI"/>
              </w:rPr>
              <w:t>projekta</w:t>
            </w:r>
            <w:r w:rsidRPr="00FF207E">
              <w:rPr>
                <w:sz w:val="20"/>
                <w:szCs w:val="20"/>
                <w:lang w:val="sl-SI"/>
              </w:rPr>
              <w:t xml:space="preserve"> ZERO, </w:t>
            </w:r>
            <w:proofErr w:type="spellStart"/>
            <w:r w:rsidRPr="00FF207E">
              <w:rPr>
                <w:sz w:val="20"/>
                <w:szCs w:val="20"/>
                <w:lang w:val="sl-SI"/>
              </w:rPr>
              <w:t>Eko</w:t>
            </w:r>
            <w:proofErr w:type="spellEnd"/>
            <w:r w:rsidRPr="00FF207E">
              <w:rPr>
                <w:sz w:val="20"/>
                <w:szCs w:val="20"/>
                <w:lang w:val="sl-SI"/>
              </w:rPr>
              <w:t xml:space="preserve"> sklad</w:t>
            </w:r>
            <w:r w:rsidR="00751D1E" w:rsidRPr="00FF207E">
              <w:rPr>
                <w:sz w:val="20"/>
                <w:szCs w:val="20"/>
                <w:lang w:val="sl-SI"/>
              </w:rPr>
              <w:t>.</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E5B8B7" w:themeFill="accent2" w:themeFillTint="66"/>
          </w:tcPr>
          <w:p w14:paraId="686BFCA7" w14:textId="4372C20B" w:rsidR="00051CE8" w:rsidRPr="00FF207E" w:rsidRDefault="00051CE8" w:rsidP="001E304B">
            <w:pPr>
              <w:spacing w:line="240" w:lineRule="atLeast"/>
              <w:jc w:val="both"/>
              <w:rPr>
                <w:sz w:val="20"/>
                <w:szCs w:val="20"/>
                <w:lang w:val="sl-SI"/>
              </w:rPr>
            </w:pPr>
            <w:r w:rsidRPr="00FF207E">
              <w:rPr>
                <w:sz w:val="20"/>
                <w:szCs w:val="20"/>
                <w:lang w:val="sl-SI"/>
              </w:rPr>
              <w:t xml:space="preserve">NE; podvajanje s kazalnikom </w:t>
            </w:r>
            <w:r w:rsidR="005926D4" w:rsidRPr="00FF207E">
              <w:rPr>
                <w:i/>
                <w:sz w:val="20"/>
                <w:szCs w:val="20"/>
                <w:lang w:val="sl-SI"/>
              </w:rPr>
              <w:t>Š</w:t>
            </w:r>
            <w:r w:rsidRPr="00FF207E">
              <w:rPr>
                <w:i/>
                <w:sz w:val="20"/>
                <w:szCs w:val="20"/>
                <w:lang w:val="sl-SI"/>
              </w:rPr>
              <w:t>tevilo uspešnih vlog programa ZERO500 na regijo na prebivalca</w:t>
            </w:r>
          </w:p>
        </w:tc>
      </w:tr>
      <w:tr w:rsidR="00051CE8" w:rsidRPr="00FF207E" w14:paraId="6986241B" w14:textId="77777777" w:rsidTr="007C087C">
        <w:trPr>
          <w:trHeight w:val="557"/>
        </w:trPr>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555B7655" w14:textId="1EBEE970" w:rsidR="00051CE8" w:rsidRPr="00FF207E" w:rsidRDefault="00051CE8" w:rsidP="001E304B">
            <w:pPr>
              <w:spacing w:line="240" w:lineRule="atLeast"/>
              <w:jc w:val="both"/>
              <w:rPr>
                <w:sz w:val="20"/>
                <w:szCs w:val="20"/>
                <w:lang w:val="sl-SI"/>
              </w:rPr>
            </w:pPr>
            <w:r w:rsidRPr="00FF207E">
              <w:rPr>
                <w:sz w:val="20"/>
                <w:szCs w:val="20"/>
                <w:lang w:val="sl-SI"/>
              </w:rPr>
              <w:t xml:space="preserve">Delež kurilnih naprav na lesno biomaso </w:t>
            </w:r>
            <w:r w:rsidR="005926D4" w:rsidRPr="00FF207E">
              <w:rPr>
                <w:rFonts w:cs="Arial"/>
                <w:sz w:val="20"/>
                <w:szCs w:val="20"/>
                <w:lang w:val="sl-SI"/>
              </w:rPr>
              <w:t>–</w:t>
            </w:r>
            <w:r w:rsidRPr="00FF207E">
              <w:rPr>
                <w:sz w:val="20"/>
                <w:szCs w:val="20"/>
                <w:lang w:val="sl-SI"/>
              </w:rPr>
              <w:t xml:space="preserve"> socialno šibki občani</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30D77432" w14:textId="548A7A71" w:rsidR="00051CE8" w:rsidRPr="00FF207E" w:rsidRDefault="00051CE8" w:rsidP="001E304B">
            <w:pPr>
              <w:spacing w:line="240" w:lineRule="atLeast"/>
              <w:jc w:val="both"/>
              <w:rPr>
                <w:sz w:val="20"/>
                <w:szCs w:val="20"/>
                <w:lang w:val="sl-SI"/>
              </w:rPr>
            </w:pPr>
            <w:r w:rsidRPr="00FF207E">
              <w:rPr>
                <w:sz w:val="20"/>
                <w:szCs w:val="20"/>
                <w:lang w:val="sl-SI"/>
              </w:rPr>
              <w:t>Vir: rezultati programa KN</w:t>
            </w:r>
            <w:r w:rsidR="005926D4" w:rsidRPr="00FF207E">
              <w:rPr>
                <w:sz w:val="20"/>
                <w:szCs w:val="20"/>
                <w:lang w:val="sl-SI"/>
              </w:rPr>
              <w:t>LB</w:t>
            </w:r>
            <w:r w:rsidRPr="00FF207E">
              <w:rPr>
                <w:sz w:val="20"/>
                <w:szCs w:val="20"/>
                <w:lang w:val="sl-SI"/>
              </w:rPr>
              <w:t xml:space="preserve">, </w:t>
            </w:r>
            <w:proofErr w:type="spellStart"/>
            <w:r w:rsidRPr="00FF207E">
              <w:rPr>
                <w:sz w:val="20"/>
                <w:szCs w:val="20"/>
                <w:lang w:val="sl-SI"/>
              </w:rPr>
              <w:t>Eko</w:t>
            </w:r>
            <w:proofErr w:type="spellEnd"/>
            <w:r w:rsidRPr="00FF207E">
              <w:rPr>
                <w:sz w:val="20"/>
                <w:szCs w:val="20"/>
                <w:lang w:val="sl-SI"/>
              </w:rPr>
              <w:t xml:space="preserve"> sklad</w:t>
            </w:r>
            <w:r w:rsidR="00751D1E" w:rsidRPr="00FF207E">
              <w:rPr>
                <w:sz w:val="20"/>
                <w:szCs w:val="20"/>
                <w:lang w:val="sl-SI"/>
              </w:rPr>
              <w:t>.</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E5B8B7" w:themeFill="accent2" w:themeFillTint="66"/>
          </w:tcPr>
          <w:p w14:paraId="5491696C" w14:textId="01660684" w:rsidR="00051CE8" w:rsidRPr="00FF207E" w:rsidRDefault="00051CE8" w:rsidP="001E304B">
            <w:pPr>
              <w:spacing w:line="240" w:lineRule="atLeast"/>
              <w:jc w:val="both"/>
              <w:rPr>
                <w:sz w:val="20"/>
                <w:szCs w:val="20"/>
                <w:lang w:val="sl-SI"/>
              </w:rPr>
            </w:pPr>
            <w:r w:rsidRPr="00FF207E">
              <w:rPr>
                <w:sz w:val="20"/>
                <w:szCs w:val="20"/>
                <w:lang w:val="sl-SI"/>
              </w:rPr>
              <w:t xml:space="preserve">NE; podvajanje s kazalnikom </w:t>
            </w:r>
            <w:r w:rsidR="005926D4" w:rsidRPr="00FF207E">
              <w:rPr>
                <w:sz w:val="20"/>
                <w:szCs w:val="20"/>
                <w:lang w:val="sl-SI"/>
              </w:rPr>
              <w:t>Š</w:t>
            </w:r>
            <w:r w:rsidRPr="00FF207E">
              <w:rPr>
                <w:sz w:val="20"/>
                <w:szCs w:val="20"/>
                <w:lang w:val="sl-SI"/>
              </w:rPr>
              <w:t xml:space="preserve">tevilo uspešnih vlog programa </w:t>
            </w:r>
            <w:r w:rsidRPr="00FF207E">
              <w:rPr>
                <w:i/>
                <w:sz w:val="20"/>
                <w:szCs w:val="20"/>
                <w:lang w:val="sl-SI"/>
              </w:rPr>
              <w:t>ZERO500 na regijo na prebivalca</w:t>
            </w:r>
          </w:p>
        </w:tc>
      </w:tr>
      <w:tr w:rsidR="00051CE8" w:rsidRPr="00FF207E" w14:paraId="1F33CE0A" w14:textId="77777777" w:rsidTr="007C087C">
        <w:trPr>
          <w:trHeight w:val="1189"/>
        </w:trPr>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5A2411C6" w14:textId="77777777" w:rsidR="00051CE8" w:rsidRPr="00FF207E" w:rsidRDefault="00051CE8" w:rsidP="001E304B">
            <w:pPr>
              <w:spacing w:line="240" w:lineRule="atLeast"/>
              <w:jc w:val="both"/>
              <w:rPr>
                <w:sz w:val="20"/>
                <w:szCs w:val="20"/>
                <w:lang w:val="sl-SI"/>
              </w:rPr>
            </w:pPr>
            <w:r w:rsidRPr="00FF207E">
              <w:rPr>
                <w:sz w:val="20"/>
                <w:szCs w:val="20"/>
                <w:lang w:val="sl-SI"/>
              </w:rPr>
              <w:t>Število opravljenih prostovoljskih ur na področju socialne dejavnosti v regiji na prebivalca</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34CABD56" w14:textId="2FFED8E0" w:rsidR="00051CE8" w:rsidRPr="00FF207E" w:rsidRDefault="00051CE8" w:rsidP="001E304B">
            <w:pPr>
              <w:spacing w:line="240" w:lineRule="atLeast"/>
              <w:jc w:val="both"/>
              <w:rPr>
                <w:sz w:val="20"/>
                <w:szCs w:val="20"/>
                <w:lang w:val="sl-SI"/>
              </w:rPr>
            </w:pPr>
            <w:r w:rsidRPr="00FF207E">
              <w:rPr>
                <w:sz w:val="20"/>
                <w:szCs w:val="20"/>
                <w:lang w:val="sl-SI"/>
              </w:rPr>
              <w:t xml:space="preserve">Na podlagi zadnjega razpoložljivega skupnega poročila o prostovoljstvu v Sloveniji, ki ga pripravlja </w:t>
            </w:r>
            <w:r w:rsidR="005926D4" w:rsidRPr="00FF207E">
              <w:rPr>
                <w:sz w:val="20"/>
                <w:szCs w:val="20"/>
                <w:lang w:val="sl-SI"/>
              </w:rPr>
              <w:t>M</w:t>
            </w:r>
            <w:r w:rsidRPr="00FF207E">
              <w:rPr>
                <w:sz w:val="20"/>
                <w:szCs w:val="20"/>
                <w:lang w:val="sl-SI"/>
              </w:rPr>
              <w:t>inistrstvo za javno upravo</w:t>
            </w:r>
            <w:r w:rsidR="00F22E0A" w:rsidRPr="00FF207E">
              <w:rPr>
                <w:sz w:val="20"/>
                <w:szCs w:val="20"/>
                <w:lang w:val="sl-SI"/>
              </w:rPr>
              <w:t xml:space="preserve"> Republike Slovenije</w:t>
            </w:r>
            <w:r w:rsidRPr="00FF207E">
              <w:rPr>
                <w:sz w:val="20"/>
                <w:szCs w:val="20"/>
                <w:lang w:val="sl-SI"/>
              </w:rPr>
              <w:t xml:space="preserve">, se število opravljenih prostovoljskih ur na področju socialne dejavnosti v regiji deli s številom prebivalcev v regiji. </w:t>
            </w:r>
            <w:r w:rsidR="00D331D7" w:rsidRPr="00FF207E">
              <w:rPr>
                <w:sz w:val="20"/>
                <w:szCs w:val="20"/>
                <w:lang w:val="sl-SI"/>
              </w:rPr>
              <w:t xml:space="preserve">Z merilom </w:t>
            </w:r>
            <w:r w:rsidRPr="00FF207E">
              <w:rPr>
                <w:sz w:val="20"/>
                <w:szCs w:val="20"/>
                <w:lang w:val="sl-SI"/>
              </w:rPr>
              <w:t>se ocenjuje pripravljenost lokalnega prebivalstva v regiji na izvajanje dejavnosti v okviru pilotnega projekta. Višja vrednost prinaša več točk.</w:t>
            </w:r>
          </w:p>
          <w:p w14:paraId="60CE4F00" w14:textId="66C7F063" w:rsidR="00051CE8" w:rsidRPr="00FF207E" w:rsidRDefault="00051CE8" w:rsidP="001E304B">
            <w:pPr>
              <w:spacing w:before="60" w:line="240" w:lineRule="atLeast"/>
              <w:jc w:val="both"/>
              <w:rPr>
                <w:sz w:val="20"/>
                <w:szCs w:val="20"/>
                <w:lang w:val="sl-SI"/>
              </w:rPr>
            </w:pPr>
            <w:r w:rsidRPr="00FF207E">
              <w:rPr>
                <w:sz w:val="20"/>
                <w:szCs w:val="20"/>
                <w:lang w:val="sl-SI"/>
              </w:rPr>
              <w:t xml:space="preserve">Vir: </w:t>
            </w:r>
            <w:hyperlink r:id="rId34" w:anchor="content" w:history="1">
              <w:r w:rsidRPr="00FF207E">
                <w:rPr>
                  <w:rStyle w:val="Hiperpovezava"/>
                  <w:sz w:val="20"/>
                  <w:szCs w:val="20"/>
                  <w:lang w:val="sl-SI"/>
                </w:rPr>
                <w:t>https://www.gov.si/teme/prostovoljstvo/#content</w:t>
              </w:r>
            </w:hyperlink>
            <w:r w:rsidR="00751D1E" w:rsidRPr="00FF207E">
              <w:rPr>
                <w:rStyle w:val="Hiperpovezava"/>
                <w:sz w:val="20"/>
                <w:szCs w:val="20"/>
                <w:lang w:val="sl-SI"/>
              </w:rPr>
              <w:t>.</w:t>
            </w:r>
            <w:r w:rsidRPr="00FF207E">
              <w:rPr>
                <w:sz w:val="20"/>
                <w:szCs w:val="20"/>
                <w:lang w:val="sl-SI"/>
              </w:rPr>
              <w:t xml:space="preserve"> </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D6E3BC" w:themeFill="accent3" w:themeFillTint="66"/>
          </w:tcPr>
          <w:p w14:paraId="65B9AD22" w14:textId="77777777" w:rsidR="00051CE8" w:rsidRPr="00FF207E" w:rsidRDefault="00051CE8" w:rsidP="001E304B">
            <w:pPr>
              <w:spacing w:line="240" w:lineRule="atLeast"/>
              <w:jc w:val="both"/>
              <w:rPr>
                <w:sz w:val="20"/>
                <w:szCs w:val="20"/>
                <w:lang w:val="sl-SI"/>
              </w:rPr>
            </w:pPr>
            <w:r w:rsidRPr="00FF207E">
              <w:rPr>
                <w:sz w:val="20"/>
                <w:szCs w:val="20"/>
                <w:lang w:val="sl-SI"/>
              </w:rPr>
              <w:t>DA</w:t>
            </w:r>
          </w:p>
        </w:tc>
      </w:tr>
      <w:tr w:rsidR="00051CE8" w:rsidRPr="00FF207E" w14:paraId="02DDE0E1" w14:textId="77777777" w:rsidTr="007C087C">
        <w:trPr>
          <w:trHeight w:val="869"/>
        </w:trPr>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2174238F" w14:textId="77777777" w:rsidR="00051CE8" w:rsidRPr="00FF207E" w:rsidRDefault="00051CE8" w:rsidP="001E304B">
            <w:pPr>
              <w:spacing w:line="240" w:lineRule="atLeast"/>
              <w:jc w:val="both"/>
              <w:rPr>
                <w:sz w:val="20"/>
                <w:szCs w:val="20"/>
                <w:lang w:val="sl-SI"/>
              </w:rPr>
            </w:pPr>
            <w:r w:rsidRPr="00FF207E">
              <w:rPr>
                <w:sz w:val="20"/>
                <w:szCs w:val="20"/>
                <w:lang w:val="sl-SI"/>
              </w:rPr>
              <w:t>Število prostovoljcev v regiji na število prebivalcev</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7F84FB30" w14:textId="1F5E045F" w:rsidR="00051CE8" w:rsidRPr="00FF207E" w:rsidRDefault="00051CE8" w:rsidP="001E304B">
            <w:pPr>
              <w:spacing w:line="240" w:lineRule="atLeast"/>
              <w:jc w:val="both"/>
              <w:rPr>
                <w:sz w:val="20"/>
                <w:szCs w:val="20"/>
                <w:lang w:val="sl-SI"/>
              </w:rPr>
            </w:pPr>
            <w:r w:rsidRPr="00FF207E">
              <w:rPr>
                <w:sz w:val="20"/>
                <w:szCs w:val="20"/>
                <w:lang w:val="sl-SI"/>
              </w:rPr>
              <w:t xml:space="preserve">Vir: </w:t>
            </w:r>
            <w:hyperlink r:id="rId35" w:anchor="content" w:history="1">
              <w:r w:rsidR="005926D4" w:rsidRPr="00FF207E">
                <w:rPr>
                  <w:rStyle w:val="Hiperpovezava"/>
                  <w:sz w:val="20"/>
                  <w:szCs w:val="20"/>
                  <w:lang w:val="sl-SI"/>
                </w:rPr>
                <w:t>https://www.gov.si/teme/prostovoljstvo/#content</w:t>
              </w:r>
            </w:hyperlink>
            <w:r w:rsidR="00751D1E" w:rsidRPr="00FF207E">
              <w:rPr>
                <w:rStyle w:val="Hiperpovezava"/>
                <w:sz w:val="20"/>
                <w:szCs w:val="20"/>
                <w:lang w:val="sl-SI"/>
              </w:rPr>
              <w:t>.</w:t>
            </w:r>
            <w:r w:rsidR="005926D4" w:rsidRPr="00FF207E">
              <w:rPr>
                <w:sz w:val="20"/>
                <w:szCs w:val="20"/>
                <w:lang w:val="sl-SI"/>
              </w:rPr>
              <w:t xml:space="preserve"> </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E5B8B7" w:themeFill="accent2" w:themeFillTint="66"/>
          </w:tcPr>
          <w:p w14:paraId="2BA56344" w14:textId="5ED2CB89" w:rsidR="00051CE8" w:rsidRPr="00FF207E" w:rsidRDefault="00051CE8" w:rsidP="00C521CC">
            <w:pPr>
              <w:spacing w:line="240" w:lineRule="atLeast"/>
              <w:jc w:val="both"/>
              <w:rPr>
                <w:sz w:val="20"/>
                <w:szCs w:val="20"/>
                <w:lang w:val="sl-SI"/>
              </w:rPr>
            </w:pPr>
            <w:r w:rsidRPr="00FF207E">
              <w:rPr>
                <w:sz w:val="20"/>
                <w:szCs w:val="20"/>
                <w:lang w:val="sl-SI"/>
              </w:rPr>
              <w:t xml:space="preserve">NE; podatek o številu prostovoljcev glede na področje delovanja ni na voljo, zato ta </w:t>
            </w:r>
            <w:r w:rsidR="00C521CC" w:rsidRPr="00FF207E">
              <w:rPr>
                <w:sz w:val="20"/>
                <w:szCs w:val="20"/>
                <w:lang w:val="sl-SI"/>
              </w:rPr>
              <w:t xml:space="preserve">kazalnik </w:t>
            </w:r>
            <w:r w:rsidRPr="00FF207E">
              <w:rPr>
                <w:sz w:val="20"/>
                <w:szCs w:val="20"/>
                <w:lang w:val="sl-SI"/>
              </w:rPr>
              <w:t>zaradi premalo natančnosti ni ustreze</w:t>
            </w:r>
            <w:r w:rsidR="005926D4" w:rsidRPr="00FF207E">
              <w:rPr>
                <w:sz w:val="20"/>
                <w:szCs w:val="20"/>
                <w:lang w:val="sl-SI"/>
              </w:rPr>
              <w:t>n</w:t>
            </w:r>
          </w:p>
        </w:tc>
      </w:tr>
      <w:tr w:rsidR="00051CE8" w:rsidRPr="00FF207E" w14:paraId="55C67FEA" w14:textId="77777777" w:rsidTr="007C087C">
        <w:trPr>
          <w:trHeight w:val="1189"/>
        </w:trPr>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1508BB8F" w14:textId="77777777" w:rsidR="00051CE8" w:rsidRPr="00FF207E" w:rsidRDefault="00051CE8" w:rsidP="001E304B">
            <w:pPr>
              <w:spacing w:line="240" w:lineRule="atLeast"/>
              <w:jc w:val="both"/>
              <w:rPr>
                <w:sz w:val="20"/>
                <w:szCs w:val="20"/>
                <w:lang w:val="sl-SI"/>
              </w:rPr>
            </w:pPr>
            <w:r w:rsidRPr="00FF207E">
              <w:rPr>
                <w:sz w:val="20"/>
                <w:szCs w:val="20"/>
                <w:lang w:val="sl-SI"/>
              </w:rPr>
              <w:t>Število prostovoljskih organizacij v regiji</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0B1009B0" w14:textId="7E6C7DCE" w:rsidR="00051CE8" w:rsidRPr="00FF207E" w:rsidRDefault="00051CE8" w:rsidP="001E304B">
            <w:pPr>
              <w:spacing w:line="240" w:lineRule="atLeast"/>
              <w:jc w:val="both"/>
              <w:rPr>
                <w:sz w:val="20"/>
                <w:szCs w:val="20"/>
                <w:lang w:val="sl-SI"/>
              </w:rPr>
            </w:pPr>
            <w:r w:rsidRPr="00FF207E">
              <w:rPr>
                <w:sz w:val="20"/>
                <w:szCs w:val="20"/>
                <w:lang w:val="sl-SI"/>
              </w:rPr>
              <w:t xml:space="preserve">Število registriranih prostovoljskih organizacij v posamezni regiji. </w:t>
            </w:r>
          </w:p>
          <w:p w14:paraId="015059EA" w14:textId="74DA7465" w:rsidR="00051CE8" w:rsidRPr="00FF207E" w:rsidRDefault="00051CE8" w:rsidP="001E304B">
            <w:pPr>
              <w:spacing w:before="60" w:line="240" w:lineRule="atLeast"/>
              <w:jc w:val="both"/>
              <w:rPr>
                <w:sz w:val="20"/>
                <w:szCs w:val="20"/>
                <w:lang w:val="sl-SI"/>
              </w:rPr>
            </w:pPr>
            <w:r w:rsidRPr="00FF207E">
              <w:rPr>
                <w:sz w:val="20"/>
                <w:szCs w:val="20"/>
                <w:lang w:val="sl-SI"/>
              </w:rPr>
              <w:t xml:space="preserve">Vir: </w:t>
            </w:r>
            <w:hyperlink r:id="rId36" w:anchor="content" w:history="1">
              <w:r w:rsidRPr="00FF207E">
                <w:rPr>
                  <w:rStyle w:val="Hiperpovezava"/>
                  <w:sz w:val="20"/>
                  <w:szCs w:val="20"/>
                  <w:lang w:val="sl-SI"/>
                </w:rPr>
                <w:t>https://www.gov.si/teme/prostovoljstvo/#content</w:t>
              </w:r>
            </w:hyperlink>
            <w:r w:rsidR="00751D1E" w:rsidRPr="00FF207E">
              <w:rPr>
                <w:rStyle w:val="Hiperpovezava"/>
                <w:sz w:val="20"/>
                <w:szCs w:val="20"/>
                <w:lang w:val="sl-SI"/>
              </w:rPr>
              <w:t>.</w:t>
            </w:r>
            <w:r w:rsidRPr="00FF207E">
              <w:rPr>
                <w:sz w:val="20"/>
                <w:szCs w:val="20"/>
                <w:lang w:val="sl-SI"/>
              </w:rPr>
              <w:t xml:space="preserve"> </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E5B8B7" w:themeFill="accent2" w:themeFillTint="66"/>
          </w:tcPr>
          <w:p w14:paraId="02962999" w14:textId="0D9C1C7E" w:rsidR="00051CE8" w:rsidRPr="00FF207E" w:rsidRDefault="00051CE8" w:rsidP="00352753">
            <w:pPr>
              <w:spacing w:line="240" w:lineRule="atLeast"/>
              <w:jc w:val="both"/>
              <w:rPr>
                <w:sz w:val="20"/>
                <w:szCs w:val="20"/>
                <w:lang w:val="sl-SI"/>
              </w:rPr>
            </w:pPr>
            <w:r w:rsidRPr="00FF207E">
              <w:rPr>
                <w:sz w:val="20"/>
                <w:szCs w:val="20"/>
                <w:lang w:val="sl-SI"/>
              </w:rPr>
              <w:t xml:space="preserve">NE; </w:t>
            </w:r>
            <w:r w:rsidR="00C521CC" w:rsidRPr="00FF207E">
              <w:rPr>
                <w:sz w:val="20"/>
                <w:szCs w:val="20"/>
                <w:lang w:val="sl-SI"/>
              </w:rPr>
              <w:t xml:space="preserve">kazalnik </w:t>
            </w:r>
            <w:r w:rsidRPr="00FF207E">
              <w:rPr>
                <w:sz w:val="20"/>
                <w:szCs w:val="20"/>
                <w:lang w:val="sl-SI"/>
              </w:rPr>
              <w:t xml:space="preserve">ne odraža realnosti, saj so določene organizacije registrirane, </w:t>
            </w:r>
            <w:r w:rsidR="00352753" w:rsidRPr="00FF207E">
              <w:rPr>
                <w:sz w:val="20"/>
                <w:szCs w:val="20"/>
                <w:lang w:val="sl-SI"/>
              </w:rPr>
              <w:t xml:space="preserve">vendar niso </w:t>
            </w:r>
            <w:r w:rsidR="003249EA" w:rsidRPr="00FF207E">
              <w:rPr>
                <w:sz w:val="20"/>
                <w:szCs w:val="20"/>
                <w:lang w:val="sl-SI"/>
              </w:rPr>
              <w:t>dejavn</w:t>
            </w:r>
            <w:r w:rsidR="00352753" w:rsidRPr="00FF207E">
              <w:rPr>
                <w:sz w:val="20"/>
                <w:szCs w:val="20"/>
                <w:lang w:val="sl-SI"/>
              </w:rPr>
              <w:t>e</w:t>
            </w:r>
          </w:p>
        </w:tc>
      </w:tr>
      <w:tr w:rsidR="00051CE8" w:rsidRPr="00FF207E" w14:paraId="139CC38F" w14:textId="77777777" w:rsidTr="007C087C">
        <w:trPr>
          <w:trHeight w:val="1189"/>
        </w:trPr>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3B26153A" w14:textId="77777777" w:rsidR="00051CE8" w:rsidRPr="00FF207E" w:rsidRDefault="00051CE8" w:rsidP="001E304B">
            <w:pPr>
              <w:spacing w:line="240" w:lineRule="atLeast"/>
              <w:jc w:val="both"/>
              <w:rPr>
                <w:sz w:val="20"/>
                <w:szCs w:val="20"/>
                <w:lang w:val="sl-SI"/>
              </w:rPr>
            </w:pPr>
            <w:r w:rsidRPr="00FF207E">
              <w:rPr>
                <w:sz w:val="20"/>
                <w:szCs w:val="20"/>
                <w:lang w:val="sl-SI"/>
              </w:rPr>
              <w:t>Število javnih zavodov v regiji</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3F091BCD" w14:textId="77777777" w:rsidR="00051CE8" w:rsidRPr="00FF207E" w:rsidRDefault="00051CE8" w:rsidP="001E304B">
            <w:pPr>
              <w:spacing w:line="240" w:lineRule="atLeast"/>
              <w:jc w:val="both"/>
              <w:rPr>
                <w:sz w:val="20"/>
                <w:szCs w:val="20"/>
                <w:lang w:val="sl-SI"/>
              </w:rPr>
            </w:pPr>
            <w:r w:rsidRPr="00FF207E">
              <w:rPr>
                <w:sz w:val="20"/>
                <w:szCs w:val="20"/>
                <w:lang w:val="sl-SI"/>
              </w:rPr>
              <w:t xml:space="preserve">Število registriranih javnih zavodov v posamezni regiji. </w:t>
            </w:r>
          </w:p>
          <w:p w14:paraId="5B7C571F" w14:textId="7BB03642" w:rsidR="00051CE8" w:rsidRPr="00FF207E" w:rsidRDefault="00051CE8" w:rsidP="001E304B">
            <w:pPr>
              <w:spacing w:before="60" w:line="240" w:lineRule="atLeast"/>
              <w:jc w:val="both"/>
              <w:rPr>
                <w:sz w:val="20"/>
                <w:szCs w:val="20"/>
                <w:lang w:val="sl-SI"/>
              </w:rPr>
            </w:pPr>
            <w:r w:rsidRPr="00FF207E">
              <w:rPr>
                <w:sz w:val="20"/>
                <w:szCs w:val="20"/>
                <w:lang w:val="sl-SI"/>
              </w:rPr>
              <w:t xml:space="preserve">Vir: </w:t>
            </w:r>
            <w:hyperlink r:id="rId37" w:anchor="content" w:history="1">
              <w:r w:rsidRPr="00FF207E">
                <w:rPr>
                  <w:rStyle w:val="Hiperpovezava"/>
                  <w:sz w:val="20"/>
                  <w:szCs w:val="20"/>
                  <w:lang w:val="sl-SI"/>
                </w:rPr>
                <w:t>https://www.gov.si/teme/prostovoljstvo/#content</w:t>
              </w:r>
            </w:hyperlink>
            <w:r w:rsidR="00751D1E" w:rsidRPr="00FF207E">
              <w:rPr>
                <w:rStyle w:val="Hiperpovezava"/>
                <w:sz w:val="20"/>
                <w:szCs w:val="20"/>
                <w:lang w:val="sl-SI"/>
              </w:rPr>
              <w:t>.</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E5B8B7" w:themeFill="accent2" w:themeFillTint="66"/>
          </w:tcPr>
          <w:p w14:paraId="4C271D52" w14:textId="4518B353" w:rsidR="00051CE8" w:rsidRPr="00FF207E" w:rsidRDefault="00051CE8" w:rsidP="00352753">
            <w:pPr>
              <w:spacing w:line="240" w:lineRule="atLeast"/>
              <w:jc w:val="both"/>
              <w:rPr>
                <w:sz w:val="20"/>
                <w:szCs w:val="20"/>
                <w:lang w:val="sl-SI"/>
              </w:rPr>
            </w:pPr>
            <w:r w:rsidRPr="00FF207E">
              <w:rPr>
                <w:sz w:val="20"/>
                <w:szCs w:val="20"/>
                <w:lang w:val="sl-SI"/>
              </w:rPr>
              <w:t xml:space="preserve">NE; </w:t>
            </w:r>
            <w:r w:rsidR="00C521CC" w:rsidRPr="00FF207E">
              <w:rPr>
                <w:sz w:val="20"/>
                <w:szCs w:val="20"/>
                <w:lang w:val="sl-SI"/>
              </w:rPr>
              <w:t xml:space="preserve">kazalnik </w:t>
            </w:r>
            <w:r w:rsidRPr="00FF207E">
              <w:rPr>
                <w:sz w:val="20"/>
                <w:szCs w:val="20"/>
                <w:lang w:val="sl-SI"/>
              </w:rPr>
              <w:t xml:space="preserve">ne odraža realnosti, saj so določene organizacije registrirane, </w:t>
            </w:r>
            <w:r w:rsidR="00352753" w:rsidRPr="00FF207E">
              <w:rPr>
                <w:sz w:val="20"/>
                <w:szCs w:val="20"/>
                <w:lang w:val="sl-SI"/>
              </w:rPr>
              <w:t xml:space="preserve">vendar niso </w:t>
            </w:r>
            <w:r w:rsidR="003249EA" w:rsidRPr="00FF207E">
              <w:rPr>
                <w:sz w:val="20"/>
                <w:szCs w:val="20"/>
                <w:lang w:val="sl-SI"/>
              </w:rPr>
              <w:t>dejavn</w:t>
            </w:r>
            <w:r w:rsidR="00352753" w:rsidRPr="00FF207E">
              <w:rPr>
                <w:sz w:val="20"/>
                <w:szCs w:val="20"/>
                <w:lang w:val="sl-SI"/>
              </w:rPr>
              <w:t>e</w:t>
            </w:r>
          </w:p>
        </w:tc>
      </w:tr>
      <w:tr w:rsidR="00051CE8" w:rsidRPr="00FF207E" w14:paraId="56E323E3" w14:textId="77777777" w:rsidTr="008E17A9">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00070697" w14:textId="77777777" w:rsidR="00051CE8" w:rsidRPr="00FF207E" w:rsidRDefault="00051CE8" w:rsidP="001E304B">
            <w:pPr>
              <w:spacing w:line="240" w:lineRule="atLeast"/>
              <w:jc w:val="both"/>
              <w:rPr>
                <w:sz w:val="20"/>
                <w:szCs w:val="20"/>
                <w:lang w:val="sl-SI"/>
              </w:rPr>
            </w:pPr>
            <w:r w:rsidRPr="00FF207E">
              <w:rPr>
                <w:sz w:val="20"/>
                <w:szCs w:val="20"/>
                <w:lang w:val="sl-SI"/>
              </w:rPr>
              <w:t xml:space="preserve">Tip lastništva </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89486D4" w14:textId="77777777" w:rsidR="00051CE8" w:rsidRPr="00FF207E" w:rsidRDefault="00051CE8" w:rsidP="001E304B">
            <w:pPr>
              <w:spacing w:line="240" w:lineRule="atLeast"/>
              <w:jc w:val="both"/>
              <w:rPr>
                <w:sz w:val="20"/>
                <w:szCs w:val="20"/>
                <w:lang w:val="sl-SI"/>
              </w:rPr>
            </w:pPr>
            <w:r w:rsidRPr="00FF207E">
              <w:rPr>
                <w:sz w:val="20"/>
                <w:szCs w:val="20"/>
                <w:lang w:val="sl-SI"/>
              </w:rPr>
              <w:t xml:space="preserve">Delež lastniških stanovanj v regiji. </w:t>
            </w:r>
          </w:p>
          <w:p w14:paraId="650540CA" w14:textId="321E6DA6" w:rsidR="00051CE8" w:rsidRPr="00FF207E" w:rsidRDefault="00051CE8" w:rsidP="001E304B">
            <w:pPr>
              <w:spacing w:before="60" w:line="240" w:lineRule="atLeast"/>
              <w:jc w:val="both"/>
              <w:rPr>
                <w:sz w:val="20"/>
                <w:szCs w:val="20"/>
                <w:lang w:val="sl-SI"/>
              </w:rPr>
            </w:pPr>
            <w:r w:rsidRPr="00FF207E">
              <w:rPr>
                <w:sz w:val="20"/>
                <w:szCs w:val="20"/>
                <w:lang w:val="sl-SI"/>
              </w:rPr>
              <w:t xml:space="preserve">Vir: </w:t>
            </w:r>
            <w:hyperlink r:id="rId38" w:history="1">
              <w:r w:rsidRPr="00FF207E">
                <w:rPr>
                  <w:rStyle w:val="Hiperpovezava"/>
                  <w:sz w:val="20"/>
                  <w:szCs w:val="20"/>
                  <w:lang w:val="sl-SI"/>
                </w:rPr>
                <w:t>https://pxweb.stat.si/SiStatData/pxweb/sl/Data/-/0861202s.px/table/tableViewLayout2/</w:t>
              </w:r>
            </w:hyperlink>
            <w:r w:rsidR="00751D1E" w:rsidRPr="00FF207E">
              <w:rPr>
                <w:rStyle w:val="Hiperpovezava"/>
                <w:sz w:val="20"/>
                <w:szCs w:val="20"/>
                <w:lang w:val="sl-SI"/>
              </w:rPr>
              <w:t>.</w:t>
            </w:r>
            <w:r w:rsidRPr="00FF207E">
              <w:rPr>
                <w:sz w:val="20"/>
                <w:szCs w:val="20"/>
                <w:lang w:val="sl-SI"/>
              </w:rPr>
              <w:t xml:space="preserve"> </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E5B8B7" w:themeFill="accent2" w:themeFillTint="66"/>
          </w:tcPr>
          <w:p w14:paraId="159381B1" w14:textId="5FA458EF" w:rsidR="00051CE8" w:rsidRPr="00FF207E" w:rsidRDefault="00051CE8" w:rsidP="00C521CC">
            <w:pPr>
              <w:spacing w:line="240" w:lineRule="atLeast"/>
              <w:jc w:val="both"/>
              <w:rPr>
                <w:sz w:val="20"/>
                <w:szCs w:val="20"/>
                <w:lang w:val="sl-SI"/>
              </w:rPr>
            </w:pPr>
            <w:r w:rsidRPr="00FF207E">
              <w:rPr>
                <w:sz w:val="20"/>
                <w:szCs w:val="20"/>
                <w:lang w:val="sl-SI"/>
              </w:rPr>
              <w:t xml:space="preserve">NE; </w:t>
            </w:r>
            <w:r w:rsidR="00C521CC" w:rsidRPr="00FF207E">
              <w:rPr>
                <w:sz w:val="20"/>
                <w:szCs w:val="20"/>
                <w:lang w:val="sl-SI"/>
              </w:rPr>
              <w:t xml:space="preserve">kazalnik </w:t>
            </w:r>
            <w:r w:rsidRPr="00FF207E">
              <w:rPr>
                <w:sz w:val="20"/>
                <w:szCs w:val="20"/>
                <w:lang w:val="sl-SI"/>
              </w:rPr>
              <w:t>ni ustrezen</w:t>
            </w:r>
          </w:p>
        </w:tc>
      </w:tr>
      <w:tr w:rsidR="00051CE8" w:rsidRPr="00FF207E" w14:paraId="127ECBBC" w14:textId="77777777" w:rsidTr="007C087C">
        <w:trPr>
          <w:trHeight w:val="713"/>
        </w:trPr>
        <w:tc>
          <w:tcPr>
            <w:tcW w:w="2372" w:type="dxa"/>
            <w:tcBorders>
              <w:top w:val="single" w:sz="4" w:space="0" w:color="548DD4" w:themeColor="text2" w:themeTint="99"/>
              <w:left w:val="nil"/>
              <w:bottom w:val="single" w:sz="4" w:space="0" w:color="548DD4" w:themeColor="text2" w:themeTint="99"/>
              <w:right w:val="single" w:sz="4" w:space="0" w:color="548DD4" w:themeColor="text2" w:themeTint="99"/>
            </w:tcBorders>
          </w:tcPr>
          <w:p w14:paraId="62E4AB55" w14:textId="77777777" w:rsidR="00051CE8" w:rsidRPr="00FF207E" w:rsidRDefault="00051CE8" w:rsidP="001E304B">
            <w:pPr>
              <w:spacing w:line="240" w:lineRule="atLeast"/>
              <w:jc w:val="both"/>
              <w:rPr>
                <w:rFonts w:cs="Arial"/>
                <w:sz w:val="20"/>
                <w:szCs w:val="20"/>
                <w:lang w:val="sl-SI"/>
              </w:rPr>
            </w:pPr>
            <w:r w:rsidRPr="00FF207E">
              <w:rPr>
                <w:sz w:val="20"/>
                <w:szCs w:val="20"/>
                <w:lang w:val="sl-SI"/>
              </w:rPr>
              <w:t>Starost stavbnega fonda v regiji glede na število prebivalcev</w:t>
            </w:r>
          </w:p>
        </w:tc>
        <w:tc>
          <w:tcPr>
            <w:tcW w:w="4149"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798DBCFC" w14:textId="773AE16B" w:rsidR="00051CE8" w:rsidRPr="00FF207E" w:rsidRDefault="00C521CC" w:rsidP="001E304B">
            <w:pPr>
              <w:spacing w:line="240" w:lineRule="atLeast"/>
              <w:jc w:val="both"/>
              <w:rPr>
                <w:sz w:val="20"/>
                <w:szCs w:val="20"/>
                <w:lang w:val="sl-SI"/>
              </w:rPr>
            </w:pPr>
            <w:r w:rsidRPr="00FF207E">
              <w:rPr>
                <w:sz w:val="20"/>
                <w:szCs w:val="20"/>
                <w:lang w:val="sl-SI"/>
              </w:rPr>
              <w:t xml:space="preserve">Kazalnik </w:t>
            </w:r>
            <w:r w:rsidR="00381B02" w:rsidRPr="00FF207E">
              <w:rPr>
                <w:sz w:val="20"/>
                <w:szCs w:val="20"/>
                <w:lang w:val="sl-SI"/>
              </w:rPr>
              <w:t xml:space="preserve">se pripravi na podlagi podatkov o starosti stavbne površine v posamezni regiji iz registra nepremičnin. Za stavbe, ki so bile zgrajene pred letom 2002 in bi </w:t>
            </w:r>
            <w:r w:rsidR="00352753" w:rsidRPr="00FF207E">
              <w:rPr>
                <w:sz w:val="20"/>
                <w:szCs w:val="20"/>
                <w:lang w:val="sl-SI"/>
              </w:rPr>
              <w:t xml:space="preserve">jih </w:t>
            </w:r>
            <w:r w:rsidR="00381B02" w:rsidRPr="00FF207E">
              <w:rPr>
                <w:sz w:val="20"/>
                <w:szCs w:val="20"/>
                <w:lang w:val="sl-SI"/>
              </w:rPr>
              <w:t>bil</w:t>
            </w:r>
            <w:r w:rsidR="00352753" w:rsidRPr="00FF207E">
              <w:rPr>
                <w:sz w:val="20"/>
                <w:szCs w:val="20"/>
                <w:lang w:val="sl-SI"/>
              </w:rPr>
              <w:t>o</w:t>
            </w:r>
            <w:r w:rsidR="00381B02" w:rsidRPr="00FF207E">
              <w:rPr>
                <w:sz w:val="20"/>
                <w:szCs w:val="20"/>
                <w:lang w:val="sl-SI"/>
              </w:rPr>
              <w:t xml:space="preserve"> </w:t>
            </w:r>
            <w:r w:rsidR="00352753" w:rsidRPr="00FF207E">
              <w:rPr>
                <w:sz w:val="20"/>
                <w:szCs w:val="20"/>
                <w:lang w:val="sl-SI"/>
              </w:rPr>
              <w:t>zato treba obnoviti</w:t>
            </w:r>
            <w:r w:rsidR="00381B02" w:rsidRPr="00FF207E">
              <w:rPr>
                <w:sz w:val="20"/>
                <w:szCs w:val="20"/>
                <w:lang w:val="sl-SI"/>
              </w:rPr>
              <w:t>, se upoštevajo podatki o površini stavb z razredi 1</w:t>
            </w:r>
            <w:r w:rsidR="00381B02" w:rsidRPr="00FF207E">
              <w:rPr>
                <w:rFonts w:cs="Arial"/>
                <w:sz w:val="20"/>
                <w:szCs w:val="20"/>
                <w:lang w:val="sl-SI"/>
              </w:rPr>
              <w:t>–</w:t>
            </w:r>
            <w:r w:rsidR="00381B02" w:rsidRPr="00FF207E">
              <w:rPr>
                <w:sz w:val="20"/>
                <w:szCs w:val="20"/>
                <w:lang w:val="sl-SI"/>
              </w:rPr>
              <w:t xml:space="preserve">4. Površina se deli </w:t>
            </w:r>
            <w:r w:rsidR="00381B02" w:rsidRPr="00FF207E">
              <w:rPr>
                <w:sz w:val="20"/>
                <w:szCs w:val="20"/>
                <w:lang w:val="sl-SI"/>
              </w:rPr>
              <w:lastRenderedPageBreak/>
              <w:t>s številom prebivalcev v regiji (</w:t>
            </w:r>
            <w:r w:rsidR="001B0970" w:rsidRPr="00FF207E">
              <w:rPr>
                <w:sz w:val="20"/>
                <w:szCs w:val="20"/>
                <w:lang w:val="sl-SI"/>
              </w:rPr>
              <w:t>t</w:t>
            </w:r>
            <w:r w:rsidR="00381B02" w:rsidRPr="00FF207E">
              <w:rPr>
                <w:sz w:val="20"/>
                <w:szCs w:val="20"/>
                <w:lang w:val="sl-SI"/>
              </w:rPr>
              <w:t>abela 3). Višja vrednost prinaša več točk.</w:t>
            </w:r>
          </w:p>
          <w:p w14:paraId="4D97F8F8" w14:textId="546153E4" w:rsidR="00051CE8" w:rsidRPr="00FF207E" w:rsidRDefault="00051CE8" w:rsidP="001E304B">
            <w:pPr>
              <w:spacing w:before="60" w:line="240" w:lineRule="atLeast"/>
              <w:jc w:val="both"/>
              <w:rPr>
                <w:rFonts w:cs="Arial"/>
                <w:sz w:val="20"/>
                <w:szCs w:val="20"/>
                <w:lang w:val="sl-SI"/>
              </w:rPr>
            </w:pPr>
            <w:r w:rsidRPr="00FF207E">
              <w:rPr>
                <w:rFonts w:cs="Arial"/>
                <w:sz w:val="20"/>
                <w:szCs w:val="20"/>
                <w:lang w:val="sl-SI"/>
              </w:rPr>
              <w:t>Vir: toplotna karta IJS-CEU</w:t>
            </w:r>
            <w:r w:rsidR="00751D1E" w:rsidRPr="00FF207E">
              <w:rPr>
                <w:rFonts w:cs="Arial"/>
                <w:sz w:val="20"/>
                <w:szCs w:val="20"/>
                <w:lang w:val="sl-SI"/>
              </w:rPr>
              <w:t>.</w:t>
            </w:r>
          </w:p>
        </w:tc>
        <w:tc>
          <w:tcPr>
            <w:tcW w:w="326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D6E3BC" w:themeFill="accent3" w:themeFillTint="66"/>
          </w:tcPr>
          <w:p w14:paraId="5A3731D0" w14:textId="77777777" w:rsidR="00051CE8" w:rsidRPr="00FF207E" w:rsidRDefault="00051CE8" w:rsidP="001E304B">
            <w:pPr>
              <w:spacing w:line="240" w:lineRule="atLeast"/>
              <w:jc w:val="both"/>
              <w:rPr>
                <w:sz w:val="20"/>
                <w:szCs w:val="20"/>
                <w:lang w:val="sl-SI"/>
              </w:rPr>
            </w:pPr>
            <w:r w:rsidRPr="00FF207E">
              <w:rPr>
                <w:sz w:val="20"/>
                <w:szCs w:val="20"/>
                <w:lang w:val="sl-SI"/>
              </w:rPr>
              <w:lastRenderedPageBreak/>
              <w:t>DA</w:t>
            </w:r>
          </w:p>
        </w:tc>
      </w:tr>
    </w:tbl>
    <w:p w14:paraId="255AB69A" w14:textId="189474D0" w:rsidR="00051CE8" w:rsidRPr="00FF207E" w:rsidRDefault="005926D4" w:rsidP="001E304B">
      <w:pPr>
        <w:tabs>
          <w:tab w:val="left" w:pos="1134"/>
          <w:tab w:val="right" w:leader="dot" w:pos="9061"/>
        </w:tabs>
        <w:jc w:val="both"/>
        <w:rPr>
          <w:rFonts w:cs="Arial"/>
          <w:sz w:val="18"/>
          <w:szCs w:val="18"/>
          <w:lang w:val="sl-SI"/>
        </w:rPr>
      </w:pPr>
      <w:r w:rsidRPr="00FF207E">
        <w:rPr>
          <w:rFonts w:cs="Arial"/>
          <w:sz w:val="18"/>
          <w:szCs w:val="18"/>
          <w:lang w:val="sl-SI"/>
        </w:rPr>
        <w:t>Opombe:</w:t>
      </w:r>
    </w:p>
    <w:p w14:paraId="125214CD" w14:textId="6D643DD3" w:rsidR="00D0361D" w:rsidRPr="00FF207E" w:rsidRDefault="00D0361D" w:rsidP="001E304B">
      <w:pPr>
        <w:tabs>
          <w:tab w:val="left" w:pos="1134"/>
          <w:tab w:val="right" w:leader="dot" w:pos="9061"/>
        </w:tabs>
        <w:spacing w:line="240" w:lineRule="auto"/>
        <w:ind w:left="284" w:hanging="284"/>
        <w:jc w:val="both"/>
        <w:rPr>
          <w:lang w:val="sl-SI"/>
        </w:rPr>
      </w:pPr>
      <w:r w:rsidRPr="00FF207E">
        <w:rPr>
          <w:rFonts w:cs="Arial"/>
          <w:sz w:val="18"/>
          <w:szCs w:val="18"/>
          <w:vertAlign w:val="superscript"/>
          <w:lang w:val="sl-SI"/>
        </w:rPr>
        <w:t>1</w:t>
      </w:r>
      <w:r w:rsidRPr="00FF207E">
        <w:rPr>
          <w:rFonts w:cs="Arial"/>
          <w:sz w:val="18"/>
          <w:szCs w:val="18"/>
          <w:lang w:val="sl-SI"/>
        </w:rPr>
        <w:t xml:space="preserve"> </w:t>
      </w:r>
      <w:r w:rsidRPr="00FF207E">
        <w:rPr>
          <w:rFonts w:cs="Arial"/>
          <w:sz w:val="18"/>
          <w:szCs w:val="18"/>
          <w:lang w:val="sl-SI"/>
        </w:rPr>
        <w:tab/>
      </w:r>
      <w:hyperlink r:id="rId39" w:history="1">
        <w:r w:rsidR="00381B02" w:rsidRPr="00FF207E">
          <w:rPr>
            <w:rStyle w:val="Hiperpovezava"/>
            <w:sz w:val="18"/>
            <w:szCs w:val="18"/>
            <w:lang w:val="sl-SI"/>
          </w:rPr>
          <w:t>https://www.uradni-list.si/glasilo-uradni-list-rs/vsebina/2022-01-3199/uredba-o-merilih-za-opredelitev-in-ocenjevanje-stevila-energetsko-revnih-gospodinjstev</w:t>
        </w:r>
      </w:hyperlink>
      <w:r w:rsidR="007055DE" w:rsidRPr="00FF207E">
        <w:rPr>
          <w:rStyle w:val="Hiperpovezava"/>
          <w:sz w:val="18"/>
          <w:szCs w:val="18"/>
          <w:lang w:val="sl-SI"/>
        </w:rPr>
        <w:t>.</w:t>
      </w:r>
    </w:p>
    <w:p w14:paraId="7422D2ED" w14:textId="39A4B56C" w:rsidR="00D0361D" w:rsidRPr="00FF207E" w:rsidRDefault="00381B02" w:rsidP="001E304B">
      <w:pPr>
        <w:tabs>
          <w:tab w:val="left" w:pos="1134"/>
          <w:tab w:val="right" w:leader="dot" w:pos="9061"/>
        </w:tabs>
        <w:spacing w:line="240" w:lineRule="auto"/>
        <w:ind w:left="284" w:hanging="284"/>
        <w:jc w:val="both"/>
        <w:rPr>
          <w:rStyle w:val="Hiperpovezava"/>
          <w:sz w:val="18"/>
          <w:szCs w:val="18"/>
          <w:lang w:val="sl-SI"/>
        </w:rPr>
      </w:pPr>
      <w:r w:rsidRPr="00FF207E">
        <w:rPr>
          <w:rFonts w:cs="Arial"/>
          <w:sz w:val="18"/>
          <w:szCs w:val="18"/>
          <w:vertAlign w:val="superscript"/>
          <w:lang w:val="sl-SI"/>
        </w:rPr>
        <w:t>2</w:t>
      </w:r>
      <w:r w:rsidR="00D0361D" w:rsidRPr="00FF207E">
        <w:rPr>
          <w:rFonts w:cs="Arial"/>
          <w:sz w:val="18"/>
          <w:szCs w:val="18"/>
          <w:lang w:val="sl-SI"/>
        </w:rPr>
        <w:tab/>
      </w:r>
      <w:hyperlink r:id="rId40" w:history="1">
        <w:r w:rsidR="00D0361D" w:rsidRPr="00FF207E">
          <w:rPr>
            <w:rStyle w:val="Hiperpovezava"/>
            <w:sz w:val="18"/>
            <w:szCs w:val="18"/>
            <w:lang w:val="sl-SI"/>
          </w:rPr>
          <w:t>https://www.uradni-list.si/glasilo-uradni-list-rs/vsebina/2021-01-4389/uredba-o-metodologiji-za-dolocitev-razvitosti-obcin-za-leti-2022-in-2023</w:t>
        </w:r>
      </w:hyperlink>
      <w:r w:rsidR="007055DE" w:rsidRPr="00FF207E">
        <w:rPr>
          <w:rStyle w:val="Hiperpovezava"/>
          <w:sz w:val="18"/>
          <w:szCs w:val="18"/>
          <w:lang w:val="sl-SI"/>
        </w:rPr>
        <w:t>.</w:t>
      </w:r>
    </w:p>
    <w:p w14:paraId="7F496B85" w14:textId="7ED0CE1E" w:rsidR="00381B02" w:rsidRPr="00FF207E" w:rsidRDefault="00381B02" w:rsidP="001E304B">
      <w:pPr>
        <w:tabs>
          <w:tab w:val="left" w:pos="1134"/>
          <w:tab w:val="right" w:leader="dot" w:pos="9061"/>
        </w:tabs>
        <w:spacing w:after="120" w:line="240" w:lineRule="auto"/>
        <w:ind w:left="284" w:hanging="284"/>
        <w:jc w:val="both"/>
        <w:rPr>
          <w:sz w:val="18"/>
          <w:szCs w:val="18"/>
          <w:lang w:val="sl-SI"/>
        </w:rPr>
      </w:pPr>
      <w:r w:rsidRPr="00FF207E">
        <w:rPr>
          <w:rFonts w:cs="Arial"/>
          <w:sz w:val="18"/>
          <w:szCs w:val="18"/>
          <w:vertAlign w:val="superscript"/>
          <w:lang w:val="sl-SI"/>
        </w:rPr>
        <w:t>3</w:t>
      </w:r>
      <w:r w:rsidRPr="00FF207E">
        <w:rPr>
          <w:rFonts w:cs="Arial"/>
          <w:sz w:val="18"/>
          <w:szCs w:val="18"/>
          <w:lang w:val="sl-SI"/>
        </w:rPr>
        <w:tab/>
      </w:r>
      <w:r w:rsidRPr="00FF207E">
        <w:rPr>
          <w:sz w:val="18"/>
          <w:szCs w:val="18"/>
          <w:lang w:val="sl-SI"/>
        </w:rPr>
        <w:t>Uradni list RS, št. 208/21 (</w:t>
      </w:r>
      <w:hyperlink r:id="rId41" w:history="1">
        <w:r w:rsidRPr="00FF207E">
          <w:rPr>
            <w:rStyle w:val="Hiperpovezava"/>
            <w:sz w:val="18"/>
            <w:szCs w:val="18"/>
            <w:lang w:val="sl-SI"/>
          </w:rPr>
          <w:t>http://www.pisrs.si/Pis.web/pregledPredpisa?id=URED8435</w:t>
        </w:r>
      </w:hyperlink>
      <w:r w:rsidRPr="00FF207E">
        <w:rPr>
          <w:sz w:val="18"/>
          <w:szCs w:val="18"/>
          <w:lang w:val="sl-SI"/>
        </w:rPr>
        <w:t>)</w:t>
      </w:r>
      <w:r w:rsidR="007055DE" w:rsidRPr="00FF207E">
        <w:rPr>
          <w:sz w:val="18"/>
          <w:szCs w:val="18"/>
          <w:lang w:val="sl-SI"/>
        </w:rPr>
        <w:t>.</w:t>
      </w:r>
    </w:p>
    <w:p w14:paraId="0404E314" w14:textId="397D2AE3" w:rsidR="000D189E" w:rsidRPr="00FF207E" w:rsidRDefault="000D189E" w:rsidP="001E304B">
      <w:pPr>
        <w:tabs>
          <w:tab w:val="left" w:pos="1134"/>
          <w:tab w:val="right" w:leader="dot" w:pos="9061"/>
        </w:tabs>
        <w:spacing w:before="360" w:after="120" w:line="240" w:lineRule="auto"/>
        <w:ind w:left="1134" w:hanging="1134"/>
        <w:jc w:val="both"/>
        <w:rPr>
          <w:b/>
          <w:sz w:val="20"/>
          <w:szCs w:val="20"/>
          <w:lang w:val="sl-SI"/>
        </w:rPr>
      </w:pPr>
      <w:r w:rsidRPr="00FF207E">
        <w:rPr>
          <w:b/>
          <w:sz w:val="20"/>
          <w:szCs w:val="20"/>
          <w:lang w:val="sl-SI"/>
        </w:rPr>
        <w:t>Tabela 2:</w:t>
      </w:r>
      <w:r w:rsidRPr="00FF207E">
        <w:rPr>
          <w:b/>
          <w:sz w:val="20"/>
          <w:szCs w:val="20"/>
          <w:lang w:val="sl-SI"/>
        </w:rPr>
        <w:tab/>
      </w:r>
      <w:r w:rsidR="00B50A54" w:rsidRPr="00FF207E">
        <w:rPr>
          <w:b/>
          <w:sz w:val="20"/>
          <w:szCs w:val="20"/>
          <w:lang w:val="sl-SI"/>
        </w:rPr>
        <w:t xml:space="preserve">Pregled </w:t>
      </w:r>
      <w:r w:rsidR="003249EA" w:rsidRPr="00FF207E">
        <w:rPr>
          <w:b/>
          <w:sz w:val="20"/>
          <w:szCs w:val="20"/>
          <w:lang w:val="sl-SI"/>
        </w:rPr>
        <w:t xml:space="preserve">obravnavanja </w:t>
      </w:r>
      <w:r w:rsidR="00B50A54" w:rsidRPr="00FF207E">
        <w:rPr>
          <w:b/>
          <w:sz w:val="20"/>
          <w:szCs w:val="20"/>
          <w:lang w:val="sl-SI"/>
        </w:rPr>
        <w:t xml:space="preserve">energetske revščine v </w:t>
      </w:r>
      <w:r w:rsidR="006F6DCF" w:rsidRPr="00FF207E">
        <w:rPr>
          <w:b/>
          <w:sz w:val="20"/>
          <w:szCs w:val="20"/>
          <w:lang w:val="sl-SI"/>
        </w:rPr>
        <w:t>r</w:t>
      </w:r>
      <w:r w:rsidR="00B50A54" w:rsidRPr="00FF207E">
        <w:rPr>
          <w:b/>
          <w:sz w:val="20"/>
          <w:szCs w:val="20"/>
          <w:lang w:val="sl-SI"/>
        </w:rPr>
        <w:t>egionalnih razvojnih programih za obdobje 2021–2027</w:t>
      </w:r>
    </w:p>
    <w:tbl>
      <w:tblPr>
        <w:tblStyle w:val="Tabelamrea"/>
        <w:tblW w:w="9639" w:type="dxa"/>
        <w:jc w:val="center"/>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309"/>
        <w:gridCol w:w="925"/>
        <w:gridCol w:w="6405"/>
      </w:tblGrid>
      <w:tr w:rsidR="00B50A54" w:rsidRPr="00FF207E" w14:paraId="43EF11DD" w14:textId="77777777" w:rsidTr="00B50A54">
        <w:trPr>
          <w:trHeight w:val="63"/>
          <w:jc w:val="center"/>
        </w:trPr>
        <w:tc>
          <w:tcPr>
            <w:tcW w:w="9639" w:type="dxa"/>
            <w:gridSpan w:val="3"/>
            <w:tcBorders>
              <w:top w:val="single" w:sz="4" w:space="0" w:color="4F81BD" w:themeColor="accent1"/>
            </w:tcBorders>
            <w:shd w:val="clear" w:color="auto" w:fill="548DD4" w:themeFill="text2" w:themeFillTint="99"/>
            <w:vAlign w:val="center"/>
          </w:tcPr>
          <w:p w14:paraId="6B7D6095" w14:textId="11E31AD6" w:rsidR="00B50A54" w:rsidRPr="00FF207E" w:rsidRDefault="00B50A54" w:rsidP="00352753">
            <w:pPr>
              <w:tabs>
                <w:tab w:val="left" w:pos="1134"/>
                <w:tab w:val="right" w:leader="dot" w:pos="9061"/>
              </w:tabs>
              <w:spacing w:before="80" w:after="80" w:line="240" w:lineRule="auto"/>
              <w:jc w:val="both"/>
              <w:rPr>
                <w:rFonts w:cs="Arial"/>
                <w:b/>
                <w:bCs/>
                <w:color w:val="FFFFFF" w:themeColor="background1"/>
                <w:sz w:val="20"/>
                <w:szCs w:val="20"/>
                <w:lang w:val="sl-SI"/>
              </w:rPr>
            </w:pPr>
            <w:r w:rsidRPr="00FF207E">
              <w:rPr>
                <w:rFonts w:cs="Arial"/>
                <w:b/>
                <w:bCs/>
                <w:color w:val="FFFFFF" w:themeColor="background1"/>
                <w:sz w:val="20"/>
                <w:szCs w:val="20"/>
                <w:lang w:val="sl-SI"/>
              </w:rPr>
              <w:t xml:space="preserve">Ali je energetska revščina </w:t>
            </w:r>
            <w:r w:rsidR="00352753" w:rsidRPr="00FF207E">
              <w:rPr>
                <w:rFonts w:cs="Arial"/>
                <w:b/>
                <w:bCs/>
                <w:color w:val="FFFFFF" w:themeColor="background1"/>
                <w:sz w:val="20"/>
                <w:szCs w:val="20"/>
                <w:lang w:val="sl-SI"/>
              </w:rPr>
              <w:t xml:space="preserve">obravnavana </w:t>
            </w:r>
            <w:r w:rsidRPr="00FF207E">
              <w:rPr>
                <w:rFonts w:cs="Arial"/>
                <w:b/>
                <w:bCs/>
                <w:color w:val="FFFFFF" w:themeColor="background1"/>
                <w:sz w:val="20"/>
                <w:szCs w:val="20"/>
                <w:lang w:val="sl-SI"/>
              </w:rPr>
              <w:t>v Regionalnem razvojnem programu za obdobje 2021–2027?</w:t>
            </w:r>
          </w:p>
        </w:tc>
      </w:tr>
      <w:tr w:rsidR="00B50A54" w:rsidRPr="00FF207E" w14:paraId="1C158D8F" w14:textId="77777777" w:rsidTr="00B50A54">
        <w:trPr>
          <w:trHeight w:val="36"/>
          <w:jc w:val="center"/>
        </w:trPr>
        <w:tc>
          <w:tcPr>
            <w:tcW w:w="2309" w:type="dxa"/>
            <w:tcBorders>
              <w:top w:val="single" w:sz="4" w:space="0" w:color="4F81BD" w:themeColor="accent1"/>
            </w:tcBorders>
            <w:shd w:val="clear" w:color="auto" w:fill="C6D9F1" w:themeFill="text2" w:themeFillTint="33"/>
            <w:vAlign w:val="center"/>
          </w:tcPr>
          <w:p w14:paraId="458D2E1E" w14:textId="77777777" w:rsidR="00B50A54" w:rsidRPr="00FF207E" w:rsidRDefault="00B50A54" w:rsidP="001E304B">
            <w:pPr>
              <w:tabs>
                <w:tab w:val="left" w:pos="1134"/>
                <w:tab w:val="right" w:leader="dot" w:pos="9061"/>
              </w:tabs>
              <w:spacing w:before="80" w:after="80" w:line="240" w:lineRule="auto"/>
              <w:jc w:val="both"/>
              <w:rPr>
                <w:rFonts w:cs="Arial"/>
                <w:b/>
                <w:bCs/>
                <w:sz w:val="20"/>
                <w:szCs w:val="20"/>
                <w:lang w:val="sl-SI"/>
              </w:rPr>
            </w:pPr>
            <w:r w:rsidRPr="00FF207E">
              <w:rPr>
                <w:rFonts w:cs="Arial"/>
                <w:b/>
                <w:bCs/>
                <w:sz w:val="20"/>
                <w:szCs w:val="20"/>
                <w:lang w:val="sl-SI"/>
              </w:rPr>
              <w:t>Regija</w:t>
            </w:r>
          </w:p>
        </w:tc>
        <w:tc>
          <w:tcPr>
            <w:tcW w:w="925" w:type="dxa"/>
            <w:tcBorders>
              <w:top w:val="single" w:sz="4" w:space="0" w:color="4F81BD" w:themeColor="accent1"/>
            </w:tcBorders>
            <w:shd w:val="clear" w:color="auto" w:fill="C6D9F1" w:themeFill="text2" w:themeFillTint="33"/>
            <w:vAlign w:val="center"/>
          </w:tcPr>
          <w:p w14:paraId="542EFEC7" w14:textId="77777777" w:rsidR="00B50A54" w:rsidRPr="00FF207E" w:rsidRDefault="00B50A54" w:rsidP="001E304B">
            <w:pPr>
              <w:tabs>
                <w:tab w:val="left" w:pos="1134"/>
                <w:tab w:val="right" w:leader="dot" w:pos="9061"/>
              </w:tabs>
              <w:spacing w:before="80" w:after="80" w:line="240" w:lineRule="auto"/>
              <w:jc w:val="both"/>
              <w:rPr>
                <w:rFonts w:cs="Arial"/>
                <w:b/>
                <w:bCs/>
                <w:sz w:val="20"/>
                <w:szCs w:val="20"/>
                <w:lang w:val="sl-SI"/>
              </w:rPr>
            </w:pPr>
            <w:r w:rsidRPr="00FF207E">
              <w:rPr>
                <w:rFonts w:cs="Arial"/>
                <w:b/>
                <w:bCs/>
                <w:sz w:val="20"/>
                <w:szCs w:val="20"/>
                <w:lang w:val="sl-SI"/>
              </w:rPr>
              <w:t>DA/NE</w:t>
            </w:r>
          </w:p>
        </w:tc>
        <w:tc>
          <w:tcPr>
            <w:tcW w:w="6405" w:type="dxa"/>
            <w:tcBorders>
              <w:top w:val="single" w:sz="4" w:space="0" w:color="4F81BD" w:themeColor="accent1"/>
            </w:tcBorders>
            <w:shd w:val="clear" w:color="auto" w:fill="C6D9F1" w:themeFill="text2" w:themeFillTint="33"/>
            <w:vAlign w:val="center"/>
          </w:tcPr>
          <w:p w14:paraId="29F0F5E1" w14:textId="77777777" w:rsidR="00B50A54" w:rsidRPr="00FF207E" w:rsidRDefault="00B50A54" w:rsidP="001E304B">
            <w:pPr>
              <w:tabs>
                <w:tab w:val="left" w:pos="1134"/>
                <w:tab w:val="right" w:leader="dot" w:pos="9061"/>
              </w:tabs>
              <w:spacing w:before="80" w:after="80" w:line="240" w:lineRule="auto"/>
              <w:jc w:val="both"/>
              <w:rPr>
                <w:rFonts w:cs="Arial"/>
                <w:b/>
                <w:bCs/>
                <w:sz w:val="20"/>
                <w:szCs w:val="20"/>
                <w:lang w:val="sl-SI"/>
              </w:rPr>
            </w:pPr>
            <w:r w:rsidRPr="00FF207E">
              <w:rPr>
                <w:rFonts w:cs="Arial"/>
                <w:b/>
                <w:bCs/>
                <w:sz w:val="20"/>
                <w:szCs w:val="20"/>
                <w:lang w:val="sl-SI"/>
              </w:rPr>
              <w:t>Povezava do regionalnih razvojnih programov 2021–2027</w:t>
            </w:r>
          </w:p>
        </w:tc>
      </w:tr>
      <w:tr w:rsidR="00B50A54" w:rsidRPr="00FF207E" w14:paraId="7C523ECE" w14:textId="77777777" w:rsidTr="00B50A54">
        <w:trPr>
          <w:trHeight w:val="36"/>
          <w:jc w:val="center"/>
        </w:trPr>
        <w:tc>
          <w:tcPr>
            <w:tcW w:w="2309" w:type="dxa"/>
          </w:tcPr>
          <w:p w14:paraId="01E4721B" w14:textId="50894B73" w:rsidR="00B50A54" w:rsidRPr="00FF207E" w:rsidRDefault="009441D2" w:rsidP="001E304B">
            <w:pPr>
              <w:tabs>
                <w:tab w:val="left" w:pos="1134"/>
                <w:tab w:val="right" w:leader="dot" w:pos="9061"/>
              </w:tabs>
              <w:spacing w:before="80" w:after="80" w:line="240" w:lineRule="auto"/>
              <w:jc w:val="both"/>
              <w:rPr>
                <w:rFonts w:cs="Arial"/>
                <w:sz w:val="20"/>
                <w:szCs w:val="22"/>
                <w:lang w:val="sl-SI"/>
              </w:rPr>
            </w:pPr>
            <w:r w:rsidRPr="00FF207E">
              <w:rPr>
                <w:rFonts w:cs="Arial"/>
                <w:sz w:val="20"/>
                <w:szCs w:val="22"/>
                <w:lang w:val="sl-SI"/>
              </w:rPr>
              <w:t>p</w:t>
            </w:r>
            <w:r w:rsidR="00B50A54" w:rsidRPr="00FF207E">
              <w:rPr>
                <w:rFonts w:cs="Arial"/>
                <w:sz w:val="20"/>
                <w:szCs w:val="22"/>
                <w:lang w:val="sl-SI"/>
              </w:rPr>
              <w:t>omurska</w:t>
            </w:r>
          </w:p>
        </w:tc>
        <w:tc>
          <w:tcPr>
            <w:tcW w:w="925" w:type="dxa"/>
          </w:tcPr>
          <w:p w14:paraId="33FA3067" w14:textId="77777777" w:rsidR="00B50A54" w:rsidRPr="00FF207E" w:rsidRDefault="00B50A54" w:rsidP="001E304B">
            <w:pPr>
              <w:tabs>
                <w:tab w:val="left" w:pos="1134"/>
                <w:tab w:val="right" w:leader="dot" w:pos="9061"/>
              </w:tabs>
              <w:spacing w:before="80" w:after="80" w:line="240" w:lineRule="auto"/>
              <w:jc w:val="both"/>
              <w:rPr>
                <w:rFonts w:cs="Arial"/>
                <w:sz w:val="20"/>
                <w:szCs w:val="22"/>
                <w:lang w:val="sl-SI"/>
              </w:rPr>
            </w:pPr>
            <w:r w:rsidRPr="00FF207E">
              <w:rPr>
                <w:sz w:val="20"/>
                <w:szCs w:val="22"/>
                <w:lang w:val="sl-SI"/>
              </w:rPr>
              <w:t>DA</w:t>
            </w:r>
          </w:p>
        </w:tc>
        <w:tc>
          <w:tcPr>
            <w:tcW w:w="6405" w:type="dxa"/>
          </w:tcPr>
          <w:p w14:paraId="201FBAE9" w14:textId="3E204E19" w:rsidR="00B50A54" w:rsidRPr="00FF207E" w:rsidRDefault="005428A9" w:rsidP="009441D2">
            <w:pPr>
              <w:tabs>
                <w:tab w:val="left" w:pos="1134"/>
                <w:tab w:val="right" w:leader="dot" w:pos="9061"/>
              </w:tabs>
              <w:spacing w:before="80" w:after="80" w:line="240" w:lineRule="auto"/>
              <w:jc w:val="both"/>
              <w:rPr>
                <w:rFonts w:cs="Arial"/>
                <w:b/>
                <w:bCs/>
                <w:sz w:val="20"/>
                <w:szCs w:val="22"/>
                <w:lang w:val="sl-SI"/>
              </w:rPr>
            </w:pPr>
            <w:hyperlink r:id="rId42" w:history="1">
              <w:r w:rsidR="00B50A54" w:rsidRPr="00FF207E">
                <w:rPr>
                  <w:rStyle w:val="Hiperpovezava"/>
                  <w:rFonts w:cs="Arial"/>
                  <w:sz w:val="20"/>
                  <w:szCs w:val="22"/>
                  <w:lang w:val="sl-SI"/>
                </w:rPr>
                <w:t xml:space="preserve">RRP </w:t>
              </w:r>
              <w:r w:rsidR="009441D2" w:rsidRPr="00FF207E">
                <w:rPr>
                  <w:rStyle w:val="Hiperpovezava"/>
                  <w:rFonts w:cs="Arial"/>
                  <w:sz w:val="20"/>
                  <w:szCs w:val="22"/>
                  <w:lang w:val="sl-SI"/>
                </w:rPr>
                <w:t>p</w:t>
              </w:r>
              <w:r w:rsidR="00B50A54" w:rsidRPr="00FF207E">
                <w:rPr>
                  <w:rStyle w:val="Hiperpovezava"/>
                  <w:rFonts w:cs="Arial"/>
                  <w:sz w:val="20"/>
                  <w:szCs w:val="22"/>
                  <w:lang w:val="sl-SI"/>
                </w:rPr>
                <w:t>omurske razvojne regije</w:t>
              </w:r>
            </w:hyperlink>
          </w:p>
        </w:tc>
      </w:tr>
      <w:tr w:rsidR="00B50A54" w:rsidRPr="00FF207E" w14:paraId="1BDEA8FC" w14:textId="77777777" w:rsidTr="00B50A54">
        <w:trPr>
          <w:trHeight w:val="36"/>
          <w:jc w:val="center"/>
        </w:trPr>
        <w:tc>
          <w:tcPr>
            <w:tcW w:w="2309" w:type="dxa"/>
            <w:tcBorders>
              <w:bottom w:val="single" w:sz="4" w:space="0" w:color="4F81BD" w:themeColor="accent1"/>
            </w:tcBorders>
          </w:tcPr>
          <w:p w14:paraId="7A404D95" w14:textId="7860EE52" w:rsidR="00B50A54" w:rsidRPr="00FF207E" w:rsidRDefault="009441D2" w:rsidP="001E304B">
            <w:pPr>
              <w:tabs>
                <w:tab w:val="left" w:pos="1134"/>
                <w:tab w:val="right" w:leader="dot" w:pos="9061"/>
              </w:tabs>
              <w:spacing w:before="80" w:after="80" w:line="240" w:lineRule="auto"/>
              <w:jc w:val="both"/>
              <w:rPr>
                <w:rFonts w:cs="Arial"/>
                <w:sz w:val="20"/>
                <w:szCs w:val="22"/>
                <w:lang w:val="sl-SI"/>
              </w:rPr>
            </w:pPr>
            <w:r w:rsidRPr="00FF207E">
              <w:rPr>
                <w:rFonts w:cs="Arial"/>
                <w:sz w:val="20"/>
                <w:szCs w:val="22"/>
                <w:lang w:val="sl-SI"/>
              </w:rPr>
              <w:t>p</w:t>
            </w:r>
            <w:r w:rsidR="00B50A54" w:rsidRPr="00FF207E">
              <w:rPr>
                <w:rFonts w:cs="Arial"/>
                <w:sz w:val="20"/>
                <w:szCs w:val="22"/>
                <w:lang w:val="sl-SI"/>
              </w:rPr>
              <w:t>odravska</w:t>
            </w:r>
          </w:p>
        </w:tc>
        <w:tc>
          <w:tcPr>
            <w:tcW w:w="925" w:type="dxa"/>
            <w:tcBorders>
              <w:bottom w:val="single" w:sz="4" w:space="0" w:color="4F81BD" w:themeColor="accent1"/>
            </w:tcBorders>
          </w:tcPr>
          <w:p w14:paraId="0FED4AF0" w14:textId="77777777" w:rsidR="00B50A54" w:rsidRPr="00FF207E" w:rsidRDefault="00B50A54" w:rsidP="001E304B">
            <w:pPr>
              <w:tabs>
                <w:tab w:val="left" w:pos="1134"/>
                <w:tab w:val="right" w:leader="dot" w:pos="9061"/>
              </w:tabs>
              <w:spacing w:before="80" w:after="80" w:line="240" w:lineRule="auto"/>
              <w:jc w:val="both"/>
              <w:rPr>
                <w:rFonts w:cs="Arial"/>
                <w:sz w:val="20"/>
                <w:szCs w:val="22"/>
                <w:lang w:val="sl-SI"/>
              </w:rPr>
            </w:pPr>
            <w:r w:rsidRPr="00FF207E">
              <w:rPr>
                <w:sz w:val="20"/>
                <w:szCs w:val="22"/>
                <w:lang w:val="sl-SI"/>
              </w:rPr>
              <w:t>DA</w:t>
            </w:r>
          </w:p>
        </w:tc>
        <w:tc>
          <w:tcPr>
            <w:tcW w:w="6405" w:type="dxa"/>
            <w:tcBorders>
              <w:bottom w:val="single" w:sz="4" w:space="0" w:color="4F81BD" w:themeColor="accent1"/>
            </w:tcBorders>
          </w:tcPr>
          <w:p w14:paraId="1D608BC4" w14:textId="39A3A671" w:rsidR="00B50A54" w:rsidRPr="00FF207E" w:rsidRDefault="005428A9" w:rsidP="009441D2">
            <w:pPr>
              <w:tabs>
                <w:tab w:val="left" w:pos="1134"/>
                <w:tab w:val="right" w:leader="dot" w:pos="9061"/>
              </w:tabs>
              <w:spacing w:before="80" w:after="80" w:line="240" w:lineRule="auto"/>
              <w:jc w:val="both"/>
              <w:rPr>
                <w:rStyle w:val="Hiperpovezava"/>
                <w:rFonts w:eastAsiaTheme="majorEastAsia"/>
                <w:sz w:val="20"/>
                <w:szCs w:val="22"/>
                <w:lang w:val="sl-SI"/>
              </w:rPr>
            </w:pPr>
            <w:hyperlink r:id="rId43" w:history="1">
              <w:r w:rsidR="00B50A54" w:rsidRPr="00FF207E">
                <w:rPr>
                  <w:rStyle w:val="Hiperpovezava"/>
                  <w:rFonts w:eastAsiaTheme="majorEastAsia"/>
                  <w:sz w:val="20"/>
                  <w:szCs w:val="22"/>
                  <w:lang w:val="sl-SI"/>
                </w:rPr>
                <w:t xml:space="preserve">RRP </w:t>
              </w:r>
              <w:r w:rsidR="009441D2" w:rsidRPr="00FF207E">
                <w:rPr>
                  <w:rStyle w:val="Hiperpovezava"/>
                  <w:rFonts w:eastAsiaTheme="majorEastAsia"/>
                  <w:sz w:val="20"/>
                  <w:szCs w:val="22"/>
                  <w:lang w:val="sl-SI"/>
                </w:rPr>
                <w:t>p</w:t>
              </w:r>
              <w:r w:rsidR="00B50A54" w:rsidRPr="00FF207E">
                <w:rPr>
                  <w:rStyle w:val="Hiperpovezava"/>
                  <w:rFonts w:eastAsiaTheme="majorEastAsia"/>
                  <w:sz w:val="20"/>
                  <w:szCs w:val="22"/>
                  <w:lang w:val="sl-SI"/>
                </w:rPr>
                <w:t>odravske razvojne regije</w:t>
              </w:r>
            </w:hyperlink>
            <w:r w:rsidR="00B50A54" w:rsidRPr="00FF207E">
              <w:rPr>
                <w:rStyle w:val="Hiperpovezava"/>
                <w:rFonts w:eastAsiaTheme="majorEastAsia"/>
                <w:sz w:val="20"/>
                <w:szCs w:val="22"/>
                <w:lang w:val="sl-SI"/>
              </w:rPr>
              <w:t> </w:t>
            </w:r>
          </w:p>
        </w:tc>
      </w:tr>
      <w:tr w:rsidR="00B50A54" w:rsidRPr="00FF207E" w14:paraId="57CBE382" w14:textId="77777777" w:rsidTr="00B50A54">
        <w:trPr>
          <w:trHeight w:val="36"/>
          <w:jc w:val="center"/>
        </w:trPr>
        <w:tc>
          <w:tcPr>
            <w:tcW w:w="2309" w:type="dxa"/>
            <w:tcBorders>
              <w:top w:val="single" w:sz="4" w:space="0" w:color="4F81BD" w:themeColor="accent1"/>
              <w:bottom w:val="single" w:sz="4" w:space="0" w:color="4F81BD" w:themeColor="accent1"/>
            </w:tcBorders>
          </w:tcPr>
          <w:p w14:paraId="480589AA" w14:textId="56351132" w:rsidR="00B50A54" w:rsidRPr="00FF207E" w:rsidRDefault="009441D2" w:rsidP="001E304B">
            <w:pPr>
              <w:tabs>
                <w:tab w:val="left" w:pos="1134"/>
                <w:tab w:val="right" w:leader="dot" w:pos="9061"/>
              </w:tabs>
              <w:spacing w:before="80" w:after="80" w:line="240" w:lineRule="auto"/>
              <w:jc w:val="both"/>
              <w:rPr>
                <w:rFonts w:cs="Arial"/>
                <w:sz w:val="20"/>
                <w:szCs w:val="22"/>
                <w:lang w:val="sl-SI"/>
              </w:rPr>
            </w:pPr>
            <w:r w:rsidRPr="00FF207E">
              <w:rPr>
                <w:rFonts w:cs="Arial"/>
                <w:sz w:val="20"/>
                <w:szCs w:val="22"/>
                <w:lang w:val="sl-SI"/>
              </w:rPr>
              <w:t>k</w:t>
            </w:r>
            <w:r w:rsidR="00B50A54" w:rsidRPr="00FF207E">
              <w:rPr>
                <w:rFonts w:cs="Arial"/>
                <w:sz w:val="20"/>
                <w:szCs w:val="22"/>
                <w:lang w:val="sl-SI"/>
              </w:rPr>
              <w:t>oroška</w:t>
            </w:r>
          </w:p>
        </w:tc>
        <w:tc>
          <w:tcPr>
            <w:tcW w:w="925" w:type="dxa"/>
            <w:tcBorders>
              <w:top w:val="single" w:sz="4" w:space="0" w:color="4F81BD" w:themeColor="accent1"/>
              <w:bottom w:val="single" w:sz="4" w:space="0" w:color="4F81BD" w:themeColor="accent1"/>
            </w:tcBorders>
          </w:tcPr>
          <w:p w14:paraId="177F087D" w14:textId="77777777" w:rsidR="00B50A54" w:rsidRPr="00FF207E" w:rsidRDefault="00B50A54" w:rsidP="001E304B">
            <w:pPr>
              <w:tabs>
                <w:tab w:val="left" w:pos="1134"/>
                <w:tab w:val="right" w:leader="dot" w:pos="9061"/>
              </w:tabs>
              <w:spacing w:before="80" w:after="80" w:line="240" w:lineRule="auto"/>
              <w:jc w:val="both"/>
              <w:rPr>
                <w:rFonts w:cs="Arial"/>
                <w:sz w:val="20"/>
                <w:szCs w:val="22"/>
                <w:lang w:val="sl-SI"/>
              </w:rPr>
            </w:pPr>
            <w:r w:rsidRPr="00FF207E">
              <w:rPr>
                <w:sz w:val="20"/>
                <w:szCs w:val="22"/>
                <w:lang w:val="sl-SI"/>
              </w:rPr>
              <w:t>NE</w:t>
            </w:r>
          </w:p>
        </w:tc>
        <w:tc>
          <w:tcPr>
            <w:tcW w:w="6405" w:type="dxa"/>
            <w:tcBorders>
              <w:top w:val="single" w:sz="4" w:space="0" w:color="4F81BD" w:themeColor="accent1"/>
              <w:bottom w:val="single" w:sz="4" w:space="0" w:color="4F81BD" w:themeColor="accent1"/>
            </w:tcBorders>
          </w:tcPr>
          <w:p w14:paraId="7F75730E" w14:textId="4CE18454" w:rsidR="00B50A54" w:rsidRPr="00FF207E" w:rsidRDefault="005428A9" w:rsidP="009441D2">
            <w:pPr>
              <w:tabs>
                <w:tab w:val="left" w:pos="1134"/>
                <w:tab w:val="right" w:leader="dot" w:pos="9061"/>
              </w:tabs>
              <w:spacing w:before="80" w:after="80" w:line="240" w:lineRule="auto"/>
              <w:jc w:val="both"/>
              <w:rPr>
                <w:rStyle w:val="Hiperpovezava"/>
                <w:rFonts w:eastAsiaTheme="majorEastAsia"/>
                <w:sz w:val="20"/>
                <w:szCs w:val="22"/>
                <w:lang w:val="sl-SI"/>
              </w:rPr>
            </w:pPr>
            <w:hyperlink r:id="rId44" w:history="1">
              <w:r w:rsidR="00B50A54" w:rsidRPr="00FF207E">
                <w:rPr>
                  <w:rStyle w:val="Hiperpovezava"/>
                  <w:rFonts w:cs="Arial"/>
                  <w:sz w:val="20"/>
                  <w:szCs w:val="22"/>
                  <w:lang w:val="sl-SI"/>
                </w:rPr>
                <w:t xml:space="preserve">RRP </w:t>
              </w:r>
              <w:r w:rsidR="009441D2" w:rsidRPr="00FF207E">
                <w:rPr>
                  <w:rStyle w:val="Hiperpovezava"/>
                  <w:rFonts w:cs="Arial"/>
                  <w:sz w:val="20"/>
                  <w:szCs w:val="22"/>
                  <w:lang w:val="sl-SI"/>
                </w:rPr>
                <w:t>k</w:t>
              </w:r>
              <w:r w:rsidR="00B50A54" w:rsidRPr="00FF207E">
                <w:rPr>
                  <w:rStyle w:val="Hiperpovezava"/>
                  <w:rFonts w:cs="Arial"/>
                  <w:sz w:val="20"/>
                  <w:szCs w:val="22"/>
                  <w:lang w:val="sl-SI"/>
                </w:rPr>
                <w:t>oroške razvojne regije</w:t>
              </w:r>
              <w:r w:rsidR="00B50A54" w:rsidRPr="00FF207E">
                <w:rPr>
                  <w:rStyle w:val="Hiperpovezava"/>
                  <w:rFonts w:eastAsiaTheme="majorEastAsia"/>
                  <w:sz w:val="20"/>
                  <w:szCs w:val="22"/>
                  <w:lang w:val="sl-SI"/>
                </w:rPr>
                <w:t> </w:t>
              </w:r>
            </w:hyperlink>
          </w:p>
        </w:tc>
      </w:tr>
      <w:tr w:rsidR="00B50A54" w:rsidRPr="00FF207E" w14:paraId="16E0FE63" w14:textId="77777777" w:rsidTr="00B50A54">
        <w:trPr>
          <w:trHeight w:val="36"/>
          <w:jc w:val="center"/>
        </w:trPr>
        <w:tc>
          <w:tcPr>
            <w:tcW w:w="2309" w:type="dxa"/>
            <w:tcBorders>
              <w:top w:val="single" w:sz="4" w:space="0" w:color="4F81BD" w:themeColor="accent1"/>
              <w:bottom w:val="single" w:sz="4" w:space="0" w:color="4F81BD" w:themeColor="accent1"/>
            </w:tcBorders>
          </w:tcPr>
          <w:p w14:paraId="43E3E325" w14:textId="029E6A34" w:rsidR="00B50A54" w:rsidRPr="00FF207E" w:rsidRDefault="009441D2" w:rsidP="001E304B">
            <w:pPr>
              <w:tabs>
                <w:tab w:val="left" w:pos="1134"/>
                <w:tab w:val="right" w:leader="dot" w:pos="9061"/>
              </w:tabs>
              <w:spacing w:before="80" w:after="80" w:line="240" w:lineRule="auto"/>
              <w:jc w:val="both"/>
              <w:rPr>
                <w:rFonts w:cs="Arial"/>
                <w:sz w:val="20"/>
                <w:szCs w:val="22"/>
                <w:lang w:val="sl-SI"/>
              </w:rPr>
            </w:pPr>
            <w:r w:rsidRPr="00FF207E">
              <w:rPr>
                <w:rFonts w:cs="Arial"/>
                <w:sz w:val="20"/>
                <w:szCs w:val="22"/>
                <w:lang w:val="sl-SI"/>
              </w:rPr>
              <w:t>s</w:t>
            </w:r>
            <w:r w:rsidR="00B50A54" w:rsidRPr="00FF207E">
              <w:rPr>
                <w:rFonts w:cs="Arial"/>
                <w:sz w:val="20"/>
                <w:szCs w:val="22"/>
                <w:lang w:val="sl-SI"/>
              </w:rPr>
              <w:t>avinjska</w:t>
            </w:r>
          </w:p>
        </w:tc>
        <w:tc>
          <w:tcPr>
            <w:tcW w:w="925" w:type="dxa"/>
            <w:tcBorders>
              <w:top w:val="single" w:sz="4" w:space="0" w:color="4F81BD" w:themeColor="accent1"/>
              <w:bottom w:val="single" w:sz="4" w:space="0" w:color="4F81BD" w:themeColor="accent1"/>
            </w:tcBorders>
          </w:tcPr>
          <w:p w14:paraId="188DD205" w14:textId="77777777" w:rsidR="00B50A54" w:rsidRPr="00FF207E" w:rsidRDefault="00B50A54" w:rsidP="001E304B">
            <w:pPr>
              <w:tabs>
                <w:tab w:val="left" w:pos="1134"/>
                <w:tab w:val="right" w:leader="dot" w:pos="9061"/>
              </w:tabs>
              <w:spacing w:before="80" w:after="80" w:line="240" w:lineRule="auto"/>
              <w:jc w:val="both"/>
              <w:rPr>
                <w:rFonts w:cs="Arial"/>
                <w:sz w:val="20"/>
                <w:szCs w:val="22"/>
                <w:lang w:val="sl-SI"/>
              </w:rPr>
            </w:pPr>
            <w:r w:rsidRPr="00FF207E">
              <w:rPr>
                <w:sz w:val="20"/>
                <w:szCs w:val="22"/>
                <w:lang w:val="sl-SI"/>
              </w:rPr>
              <w:t>DA</w:t>
            </w:r>
          </w:p>
        </w:tc>
        <w:tc>
          <w:tcPr>
            <w:tcW w:w="6405" w:type="dxa"/>
            <w:tcBorders>
              <w:top w:val="single" w:sz="4" w:space="0" w:color="4F81BD" w:themeColor="accent1"/>
              <w:bottom w:val="single" w:sz="4" w:space="0" w:color="4F81BD" w:themeColor="accent1"/>
            </w:tcBorders>
          </w:tcPr>
          <w:p w14:paraId="13BEB98C" w14:textId="125CFEA5" w:rsidR="00B50A54" w:rsidRPr="00FF207E" w:rsidRDefault="005428A9" w:rsidP="009441D2">
            <w:pPr>
              <w:tabs>
                <w:tab w:val="left" w:pos="1134"/>
                <w:tab w:val="right" w:leader="dot" w:pos="9061"/>
              </w:tabs>
              <w:spacing w:before="80" w:after="80" w:line="240" w:lineRule="auto"/>
              <w:jc w:val="both"/>
              <w:rPr>
                <w:rFonts w:cs="Arial"/>
                <w:sz w:val="20"/>
                <w:szCs w:val="22"/>
                <w:lang w:val="sl-SI"/>
              </w:rPr>
            </w:pPr>
            <w:hyperlink r:id="rId45" w:history="1">
              <w:r w:rsidR="00B50A54" w:rsidRPr="00FF207E">
                <w:rPr>
                  <w:rStyle w:val="Hiperpovezava"/>
                  <w:rFonts w:eastAsiaTheme="majorEastAsia"/>
                  <w:sz w:val="20"/>
                  <w:szCs w:val="22"/>
                  <w:lang w:val="sl-SI"/>
                </w:rPr>
                <w:t xml:space="preserve">RRP </w:t>
              </w:r>
              <w:r w:rsidR="009441D2" w:rsidRPr="00FF207E">
                <w:rPr>
                  <w:rStyle w:val="Hiperpovezava"/>
                  <w:rFonts w:eastAsiaTheme="majorEastAsia"/>
                  <w:sz w:val="20"/>
                  <w:szCs w:val="22"/>
                  <w:lang w:val="sl-SI"/>
                </w:rPr>
                <w:t>s</w:t>
              </w:r>
              <w:r w:rsidR="00B50A54" w:rsidRPr="00FF207E">
                <w:rPr>
                  <w:rStyle w:val="Hiperpovezava"/>
                  <w:rFonts w:eastAsiaTheme="majorEastAsia"/>
                  <w:sz w:val="20"/>
                  <w:szCs w:val="22"/>
                  <w:lang w:val="sl-SI"/>
                </w:rPr>
                <w:t>avinjske razvojne regije</w:t>
              </w:r>
              <w:r w:rsidR="00B50A54" w:rsidRPr="00FF207E">
                <w:rPr>
                  <w:rStyle w:val="Hiperpovezava"/>
                  <w:rFonts w:cs="Arial"/>
                  <w:sz w:val="20"/>
                  <w:szCs w:val="22"/>
                  <w:lang w:val="sl-SI"/>
                </w:rPr>
                <w:t> </w:t>
              </w:r>
            </w:hyperlink>
          </w:p>
        </w:tc>
      </w:tr>
      <w:tr w:rsidR="00B50A54" w:rsidRPr="00FF207E" w14:paraId="47F5361E" w14:textId="77777777" w:rsidTr="00B50A54">
        <w:trPr>
          <w:trHeight w:val="36"/>
          <w:jc w:val="center"/>
        </w:trPr>
        <w:tc>
          <w:tcPr>
            <w:tcW w:w="2309" w:type="dxa"/>
            <w:tcBorders>
              <w:top w:val="single" w:sz="4" w:space="0" w:color="4F81BD" w:themeColor="accent1"/>
              <w:bottom w:val="single" w:sz="4" w:space="0" w:color="4F81BD" w:themeColor="accent1"/>
            </w:tcBorders>
          </w:tcPr>
          <w:p w14:paraId="508BDD3A" w14:textId="14A1CACD" w:rsidR="00B50A54" w:rsidRPr="00FF207E" w:rsidRDefault="009441D2" w:rsidP="001E304B">
            <w:pPr>
              <w:tabs>
                <w:tab w:val="left" w:pos="1134"/>
                <w:tab w:val="right" w:leader="dot" w:pos="9061"/>
              </w:tabs>
              <w:spacing w:before="80" w:after="80" w:line="240" w:lineRule="auto"/>
              <w:jc w:val="both"/>
              <w:rPr>
                <w:rFonts w:cs="Arial"/>
                <w:sz w:val="20"/>
                <w:szCs w:val="22"/>
                <w:lang w:val="sl-SI"/>
              </w:rPr>
            </w:pPr>
            <w:r w:rsidRPr="00FF207E">
              <w:rPr>
                <w:rFonts w:cs="Arial"/>
                <w:sz w:val="20"/>
                <w:szCs w:val="22"/>
                <w:lang w:val="sl-SI"/>
              </w:rPr>
              <w:t>z</w:t>
            </w:r>
            <w:r w:rsidR="00B50A54" w:rsidRPr="00FF207E">
              <w:rPr>
                <w:rFonts w:cs="Arial"/>
                <w:sz w:val="20"/>
                <w:szCs w:val="22"/>
                <w:lang w:val="sl-SI"/>
              </w:rPr>
              <w:t>asavska</w:t>
            </w:r>
          </w:p>
        </w:tc>
        <w:tc>
          <w:tcPr>
            <w:tcW w:w="925" w:type="dxa"/>
            <w:tcBorders>
              <w:top w:val="single" w:sz="4" w:space="0" w:color="4F81BD" w:themeColor="accent1"/>
              <w:bottom w:val="single" w:sz="4" w:space="0" w:color="4F81BD" w:themeColor="accent1"/>
            </w:tcBorders>
          </w:tcPr>
          <w:p w14:paraId="20B2DBEE" w14:textId="77777777" w:rsidR="00B50A54" w:rsidRPr="00FF207E" w:rsidRDefault="00B50A54" w:rsidP="001E304B">
            <w:pPr>
              <w:tabs>
                <w:tab w:val="left" w:pos="1134"/>
                <w:tab w:val="right" w:leader="dot" w:pos="9061"/>
              </w:tabs>
              <w:spacing w:before="80" w:after="80" w:line="240" w:lineRule="auto"/>
              <w:jc w:val="both"/>
              <w:rPr>
                <w:rFonts w:cs="Arial"/>
                <w:sz w:val="20"/>
                <w:szCs w:val="22"/>
                <w:lang w:val="sl-SI"/>
              </w:rPr>
            </w:pPr>
            <w:r w:rsidRPr="00FF207E">
              <w:rPr>
                <w:sz w:val="20"/>
                <w:szCs w:val="22"/>
                <w:lang w:val="sl-SI"/>
              </w:rPr>
              <w:t>NE</w:t>
            </w:r>
          </w:p>
        </w:tc>
        <w:tc>
          <w:tcPr>
            <w:tcW w:w="6405" w:type="dxa"/>
            <w:tcBorders>
              <w:top w:val="single" w:sz="4" w:space="0" w:color="4F81BD" w:themeColor="accent1"/>
              <w:bottom w:val="single" w:sz="4" w:space="0" w:color="4F81BD" w:themeColor="accent1"/>
            </w:tcBorders>
          </w:tcPr>
          <w:p w14:paraId="08ABF57B" w14:textId="1DEDD033" w:rsidR="00B50A54" w:rsidRPr="00FF207E" w:rsidRDefault="005428A9" w:rsidP="009441D2">
            <w:pPr>
              <w:tabs>
                <w:tab w:val="left" w:pos="1134"/>
                <w:tab w:val="right" w:leader="dot" w:pos="9061"/>
              </w:tabs>
              <w:spacing w:before="80" w:after="80" w:line="240" w:lineRule="auto"/>
              <w:jc w:val="both"/>
              <w:rPr>
                <w:rFonts w:cs="Arial"/>
                <w:sz w:val="20"/>
                <w:szCs w:val="22"/>
                <w:lang w:val="sl-SI"/>
              </w:rPr>
            </w:pPr>
            <w:hyperlink r:id="rId46" w:history="1">
              <w:r w:rsidR="00B50A54" w:rsidRPr="00FF207E">
                <w:rPr>
                  <w:rStyle w:val="Hiperpovezava"/>
                  <w:rFonts w:eastAsiaTheme="majorEastAsia"/>
                  <w:sz w:val="20"/>
                  <w:szCs w:val="22"/>
                  <w:lang w:val="sl-SI"/>
                </w:rPr>
                <w:t xml:space="preserve">RRP </w:t>
              </w:r>
              <w:r w:rsidR="009441D2" w:rsidRPr="00FF207E">
                <w:rPr>
                  <w:rStyle w:val="Hiperpovezava"/>
                  <w:rFonts w:eastAsiaTheme="majorEastAsia"/>
                  <w:sz w:val="20"/>
                  <w:szCs w:val="22"/>
                  <w:lang w:val="sl-SI"/>
                </w:rPr>
                <w:t>z</w:t>
              </w:r>
              <w:r w:rsidR="00B50A54" w:rsidRPr="00FF207E">
                <w:rPr>
                  <w:rStyle w:val="Hiperpovezava"/>
                  <w:rFonts w:eastAsiaTheme="majorEastAsia"/>
                  <w:sz w:val="20"/>
                  <w:szCs w:val="22"/>
                  <w:lang w:val="sl-SI"/>
                </w:rPr>
                <w:t>asavske razvojne regije</w:t>
              </w:r>
            </w:hyperlink>
          </w:p>
        </w:tc>
      </w:tr>
      <w:tr w:rsidR="00B50A54" w:rsidRPr="00FF207E" w14:paraId="5F305A86" w14:textId="77777777" w:rsidTr="00B50A54">
        <w:trPr>
          <w:trHeight w:val="36"/>
          <w:jc w:val="center"/>
        </w:trPr>
        <w:tc>
          <w:tcPr>
            <w:tcW w:w="2309" w:type="dxa"/>
            <w:tcBorders>
              <w:top w:val="single" w:sz="4" w:space="0" w:color="4F81BD" w:themeColor="accent1"/>
              <w:bottom w:val="single" w:sz="4" w:space="0" w:color="4F81BD" w:themeColor="accent1"/>
            </w:tcBorders>
          </w:tcPr>
          <w:p w14:paraId="2529ECD9" w14:textId="4758F112" w:rsidR="00B50A54" w:rsidRPr="00FF207E" w:rsidRDefault="009441D2" w:rsidP="001E304B">
            <w:pPr>
              <w:tabs>
                <w:tab w:val="left" w:pos="1134"/>
                <w:tab w:val="right" w:leader="dot" w:pos="9061"/>
              </w:tabs>
              <w:spacing w:before="80" w:after="80" w:line="240" w:lineRule="auto"/>
              <w:jc w:val="both"/>
              <w:rPr>
                <w:rFonts w:cs="Arial"/>
                <w:sz w:val="20"/>
                <w:szCs w:val="22"/>
                <w:lang w:val="sl-SI"/>
              </w:rPr>
            </w:pPr>
            <w:r w:rsidRPr="00FF207E">
              <w:rPr>
                <w:rFonts w:cs="Arial"/>
                <w:sz w:val="20"/>
                <w:szCs w:val="22"/>
                <w:lang w:val="sl-SI"/>
              </w:rPr>
              <w:t>p</w:t>
            </w:r>
            <w:r w:rsidR="00B50A54" w:rsidRPr="00FF207E">
              <w:rPr>
                <w:rFonts w:cs="Arial"/>
                <w:sz w:val="20"/>
                <w:szCs w:val="22"/>
                <w:lang w:val="sl-SI"/>
              </w:rPr>
              <w:t>osavska</w:t>
            </w:r>
          </w:p>
        </w:tc>
        <w:tc>
          <w:tcPr>
            <w:tcW w:w="925" w:type="dxa"/>
            <w:tcBorders>
              <w:top w:val="single" w:sz="4" w:space="0" w:color="4F81BD" w:themeColor="accent1"/>
              <w:bottom w:val="single" w:sz="4" w:space="0" w:color="4F81BD" w:themeColor="accent1"/>
            </w:tcBorders>
          </w:tcPr>
          <w:p w14:paraId="54701367" w14:textId="77777777" w:rsidR="00B50A54" w:rsidRPr="00FF207E" w:rsidRDefault="00B50A54" w:rsidP="001E304B">
            <w:pPr>
              <w:tabs>
                <w:tab w:val="left" w:pos="1134"/>
                <w:tab w:val="right" w:leader="dot" w:pos="9061"/>
              </w:tabs>
              <w:spacing w:before="80" w:after="80" w:line="240" w:lineRule="auto"/>
              <w:jc w:val="both"/>
              <w:rPr>
                <w:rFonts w:cs="Arial"/>
                <w:sz w:val="20"/>
                <w:szCs w:val="22"/>
                <w:lang w:val="sl-SI"/>
              </w:rPr>
            </w:pPr>
            <w:r w:rsidRPr="00FF207E">
              <w:rPr>
                <w:sz w:val="20"/>
                <w:szCs w:val="22"/>
                <w:lang w:val="sl-SI"/>
              </w:rPr>
              <w:t>DA</w:t>
            </w:r>
          </w:p>
        </w:tc>
        <w:tc>
          <w:tcPr>
            <w:tcW w:w="6405" w:type="dxa"/>
            <w:tcBorders>
              <w:top w:val="single" w:sz="4" w:space="0" w:color="4F81BD" w:themeColor="accent1"/>
              <w:bottom w:val="single" w:sz="4" w:space="0" w:color="4F81BD" w:themeColor="accent1"/>
            </w:tcBorders>
          </w:tcPr>
          <w:p w14:paraId="6AA536B3" w14:textId="3A251063" w:rsidR="00B50A54" w:rsidRPr="00FF207E" w:rsidRDefault="005428A9" w:rsidP="009441D2">
            <w:pPr>
              <w:tabs>
                <w:tab w:val="left" w:pos="1134"/>
                <w:tab w:val="right" w:leader="dot" w:pos="9061"/>
              </w:tabs>
              <w:spacing w:before="80" w:after="80" w:line="240" w:lineRule="auto"/>
              <w:jc w:val="both"/>
              <w:rPr>
                <w:rFonts w:cs="Arial"/>
                <w:sz w:val="20"/>
                <w:szCs w:val="22"/>
                <w:lang w:val="sl-SI"/>
              </w:rPr>
            </w:pPr>
            <w:hyperlink r:id="rId47" w:history="1">
              <w:r w:rsidR="00B50A54" w:rsidRPr="00FF207E">
                <w:rPr>
                  <w:rStyle w:val="Hiperpovezava"/>
                  <w:rFonts w:eastAsiaTheme="majorEastAsia"/>
                  <w:sz w:val="20"/>
                  <w:szCs w:val="22"/>
                  <w:lang w:val="sl-SI"/>
                </w:rPr>
                <w:t xml:space="preserve">RRP </w:t>
              </w:r>
              <w:r w:rsidR="009441D2" w:rsidRPr="00FF207E">
                <w:rPr>
                  <w:rStyle w:val="Hiperpovezava"/>
                  <w:rFonts w:eastAsiaTheme="majorEastAsia"/>
                  <w:sz w:val="20"/>
                  <w:szCs w:val="22"/>
                  <w:lang w:val="sl-SI"/>
                </w:rPr>
                <w:t>p</w:t>
              </w:r>
              <w:r w:rsidR="00B50A54" w:rsidRPr="00FF207E">
                <w:rPr>
                  <w:rStyle w:val="Hiperpovezava"/>
                  <w:rFonts w:eastAsiaTheme="majorEastAsia"/>
                  <w:sz w:val="20"/>
                  <w:szCs w:val="22"/>
                  <w:lang w:val="sl-SI"/>
                </w:rPr>
                <w:t>osavske razvojne regije</w:t>
              </w:r>
              <w:r w:rsidR="00B50A54" w:rsidRPr="00FF207E">
                <w:rPr>
                  <w:rStyle w:val="Hiperpovezava"/>
                  <w:rFonts w:cs="Arial"/>
                  <w:sz w:val="20"/>
                  <w:szCs w:val="22"/>
                  <w:lang w:val="sl-SI"/>
                </w:rPr>
                <w:t> </w:t>
              </w:r>
            </w:hyperlink>
          </w:p>
        </w:tc>
      </w:tr>
      <w:tr w:rsidR="00B50A54" w:rsidRPr="00FF207E" w14:paraId="48F09423" w14:textId="77777777" w:rsidTr="00B50A54">
        <w:trPr>
          <w:trHeight w:val="36"/>
          <w:jc w:val="center"/>
        </w:trPr>
        <w:tc>
          <w:tcPr>
            <w:tcW w:w="2309" w:type="dxa"/>
            <w:tcBorders>
              <w:top w:val="single" w:sz="4" w:space="0" w:color="4F81BD" w:themeColor="accent1"/>
              <w:bottom w:val="single" w:sz="4" w:space="0" w:color="4F81BD" w:themeColor="accent1"/>
            </w:tcBorders>
          </w:tcPr>
          <w:p w14:paraId="5D0DBD4A" w14:textId="3AF27F6E" w:rsidR="00B50A54" w:rsidRPr="00FF207E" w:rsidRDefault="009441D2" w:rsidP="001E304B">
            <w:pPr>
              <w:tabs>
                <w:tab w:val="left" w:pos="1134"/>
                <w:tab w:val="right" w:leader="dot" w:pos="9061"/>
              </w:tabs>
              <w:spacing w:before="80" w:after="80" w:line="240" w:lineRule="auto"/>
              <w:jc w:val="both"/>
              <w:rPr>
                <w:rFonts w:cs="Arial"/>
                <w:sz w:val="20"/>
                <w:szCs w:val="22"/>
                <w:lang w:val="sl-SI"/>
              </w:rPr>
            </w:pPr>
            <w:r w:rsidRPr="00FF207E">
              <w:rPr>
                <w:rFonts w:cs="Arial"/>
                <w:sz w:val="20"/>
                <w:szCs w:val="22"/>
                <w:lang w:val="sl-SI"/>
              </w:rPr>
              <w:t>j</w:t>
            </w:r>
            <w:r w:rsidR="00B50A54" w:rsidRPr="00FF207E">
              <w:rPr>
                <w:rFonts w:cs="Arial"/>
                <w:sz w:val="20"/>
                <w:szCs w:val="22"/>
                <w:lang w:val="sl-SI"/>
              </w:rPr>
              <w:t>ugovzhodna Slovenija</w:t>
            </w:r>
          </w:p>
        </w:tc>
        <w:tc>
          <w:tcPr>
            <w:tcW w:w="925" w:type="dxa"/>
            <w:tcBorders>
              <w:top w:val="single" w:sz="4" w:space="0" w:color="4F81BD" w:themeColor="accent1"/>
              <w:bottom w:val="single" w:sz="4" w:space="0" w:color="4F81BD" w:themeColor="accent1"/>
            </w:tcBorders>
          </w:tcPr>
          <w:p w14:paraId="7323AE53" w14:textId="77777777" w:rsidR="00B50A54" w:rsidRPr="00FF207E" w:rsidRDefault="00B50A54" w:rsidP="001E304B">
            <w:pPr>
              <w:tabs>
                <w:tab w:val="left" w:pos="1134"/>
                <w:tab w:val="right" w:leader="dot" w:pos="9061"/>
              </w:tabs>
              <w:spacing w:before="80" w:after="80" w:line="240" w:lineRule="auto"/>
              <w:jc w:val="both"/>
              <w:rPr>
                <w:sz w:val="20"/>
                <w:szCs w:val="22"/>
                <w:lang w:val="sl-SI"/>
              </w:rPr>
            </w:pPr>
            <w:r w:rsidRPr="00FF207E">
              <w:rPr>
                <w:sz w:val="20"/>
                <w:szCs w:val="22"/>
                <w:lang w:val="sl-SI"/>
              </w:rPr>
              <w:t>DA</w:t>
            </w:r>
          </w:p>
        </w:tc>
        <w:tc>
          <w:tcPr>
            <w:tcW w:w="6405" w:type="dxa"/>
            <w:tcBorders>
              <w:top w:val="single" w:sz="4" w:space="0" w:color="4F81BD" w:themeColor="accent1"/>
              <w:bottom w:val="single" w:sz="4" w:space="0" w:color="4F81BD" w:themeColor="accent1"/>
            </w:tcBorders>
          </w:tcPr>
          <w:p w14:paraId="3AE39C51" w14:textId="040F7429" w:rsidR="00B50A54" w:rsidRPr="00FF207E" w:rsidRDefault="005428A9" w:rsidP="009441D2">
            <w:pPr>
              <w:tabs>
                <w:tab w:val="left" w:pos="1134"/>
                <w:tab w:val="right" w:leader="dot" w:pos="9061"/>
              </w:tabs>
              <w:spacing w:before="80" w:after="80" w:line="240" w:lineRule="auto"/>
              <w:jc w:val="both"/>
              <w:rPr>
                <w:rFonts w:eastAsiaTheme="majorEastAsia"/>
                <w:sz w:val="20"/>
                <w:szCs w:val="22"/>
                <w:lang w:val="sl-SI"/>
              </w:rPr>
            </w:pPr>
            <w:hyperlink r:id="rId48" w:history="1">
              <w:r w:rsidR="00B50A54" w:rsidRPr="00FF207E">
                <w:rPr>
                  <w:rStyle w:val="Hiperpovezava"/>
                  <w:rFonts w:eastAsiaTheme="majorEastAsia"/>
                  <w:sz w:val="20"/>
                  <w:szCs w:val="22"/>
                  <w:lang w:val="sl-SI"/>
                </w:rPr>
                <w:t xml:space="preserve">RRP razvojne regije </w:t>
              </w:r>
              <w:r w:rsidR="009441D2" w:rsidRPr="00FF207E">
                <w:rPr>
                  <w:rStyle w:val="Hiperpovezava"/>
                  <w:rFonts w:eastAsiaTheme="majorEastAsia"/>
                  <w:sz w:val="20"/>
                  <w:szCs w:val="22"/>
                  <w:lang w:val="sl-SI"/>
                </w:rPr>
                <w:t>jugovzhodna</w:t>
              </w:r>
              <w:r w:rsidR="00B50A54" w:rsidRPr="00FF207E">
                <w:rPr>
                  <w:rStyle w:val="Hiperpovezava"/>
                  <w:rFonts w:eastAsiaTheme="majorEastAsia"/>
                  <w:sz w:val="20"/>
                  <w:szCs w:val="22"/>
                  <w:lang w:val="sl-SI"/>
                </w:rPr>
                <w:t xml:space="preserve"> Slovenija</w:t>
              </w:r>
            </w:hyperlink>
          </w:p>
        </w:tc>
      </w:tr>
      <w:tr w:rsidR="00B50A54" w:rsidRPr="00FF207E" w14:paraId="300EA516" w14:textId="77777777" w:rsidTr="00B50A54">
        <w:trPr>
          <w:trHeight w:val="62"/>
          <w:jc w:val="center"/>
        </w:trPr>
        <w:tc>
          <w:tcPr>
            <w:tcW w:w="2309" w:type="dxa"/>
            <w:tcBorders>
              <w:top w:val="single" w:sz="4" w:space="0" w:color="4F81BD" w:themeColor="accent1"/>
              <w:bottom w:val="single" w:sz="4" w:space="0" w:color="4F81BD" w:themeColor="accent1"/>
            </w:tcBorders>
          </w:tcPr>
          <w:p w14:paraId="506FCBD8" w14:textId="5FE7EA29" w:rsidR="00B50A54" w:rsidRPr="00FF207E" w:rsidRDefault="009441D2" w:rsidP="001E304B">
            <w:pPr>
              <w:tabs>
                <w:tab w:val="left" w:pos="1134"/>
                <w:tab w:val="right" w:leader="dot" w:pos="9061"/>
              </w:tabs>
              <w:spacing w:before="80" w:after="80" w:line="240" w:lineRule="auto"/>
              <w:jc w:val="both"/>
              <w:rPr>
                <w:rFonts w:cs="Arial"/>
                <w:sz w:val="20"/>
                <w:szCs w:val="22"/>
                <w:lang w:val="sl-SI"/>
              </w:rPr>
            </w:pPr>
            <w:r w:rsidRPr="00FF207E">
              <w:rPr>
                <w:rFonts w:cs="Arial"/>
                <w:sz w:val="20"/>
                <w:szCs w:val="22"/>
                <w:lang w:val="sl-SI"/>
              </w:rPr>
              <w:t>p</w:t>
            </w:r>
            <w:r w:rsidR="00B50A54" w:rsidRPr="00FF207E">
              <w:rPr>
                <w:rFonts w:cs="Arial"/>
                <w:sz w:val="20"/>
                <w:szCs w:val="22"/>
                <w:lang w:val="sl-SI"/>
              </w:rPr>
              <w:t>rimorsko-notranjska</w:t>
            </w:r>
          </w:p>
        </w:tc>
        <w:tc>
          <w:tcPr>
            <w:tcW w:w="925" w:type="dxa"/>
            <w:tcBorders>
              <w:top w:val="single" w:sz="4" w:space="0" w:color="4F81BD" w:themeColor="accent1"/>
              <w:bottom w:val="single" w:sz="4" w:space="0" w:color="4F81BD" w:themeColor="accent1"/>
            </w:tcBorders>
          </w:tcPr>
          <w:p w14:paraId="6BEC0218" w14:textId="77777777" w:rsidR="00B50A54" w:rsidRPr="00FF207E" w:rsidRDefault="00B50A54" w:rsidP="001E304B">
            <w:pPr>
              <w:tabs>
                <w:tab w:val="left" w:pos="1134"/>
                <w:tab w:val="right" w:leader="dot" w:pos="9061"/>
              </w:tabs>
              <w:spacing w:before="80" w:after="80" w:line="240" w:lineRule="auto"/>
              <w:jc w:val="both"/>
              <w:rPr>
                <w:rFonts w:cs="Arial"/>
                <w:sz w:val="20"/>
                <w:szCs w:val="22"/>
                <w:lang w:val="sl-SI"/>
              </w:rPr>
            </w:pPr>
            <w:r w:rsidRPr="00FF207E">
              <w:rPr>
                <w:sz w:val="20"/>
                <w:szCs w:val="22"/>
                <w:lang w:val="sl-SI"/>
              </w:rPr>
              <w:t>NE</w:t>
            </w:r>
          </w:p>
        </w:tc>
        <w:tc>
          <w:tcPr>
            <w:tcW w:w="6405" w:type="dxa"/>
            <w:tcBorders>
              <w:top w:val="single" w:sz="4" w:space="0" w:color="4F81BD" w:themeColor="accent1"/>
              <w:bottom w:val="single" w:sz="4" w:space="0" w:color="4F81BD" w:themeColor="accent1"/>
            </w:tcBorders>
          </w:tcPr>
          <w:p w14:paraId="581950BF" w14:textId="47BC402F" w:rsidR="00B50A54" w:rsidRPr="00FF207E" w:rsidRDefault="00B50A54" w:rsidP="001E304B">
            <w:pPr>
              <w:tabs>
                <w:tab w:val="left" w:pos="1134"/>
                <w:tab w:val="right" w:leader="dot" w:pos="9061"/>
              </w:tabs>
              <w:spacing w:before="80" w:after="80" w:line="240" w:lineRule="auto"/>
              <w:jc w:val="both"/>
              <w:rPr>
                <w:rStyle w:val="Hiperpovezava"/>
                <w:rFonts w:cs="Arial"/>
                <w:sz w:val="20"/>
                <w:szCs w:val="22"/>
                <w:lang w:val="sl-SI"/>
              </w:rPr>
            </w:pPr>
            <w:r w:rsidRPr="00FF207E">
              <w:rPr>
                <w:rFonts w:eastAsiaTheme="majorEastAsia"/>
                <w:sz w:val="20"/>
                <w:szCs w:val="22"/>
                <w:lang w:val="sl-SI"/>
              </w:rPr>
              <w:fldChar w:fldCharType="begin"/>
            </w:r>
            <w:r w:rsidRPr="00FF207E">
              <w:rPr>
                <w:rFonts w:eastAsiaTheme="majorEastAsia"/>
                <w:sz w:val="20"/>
                <w:szCs w:val="22"/>
                <w:lang w:val="sl-SI"/>
              </w:rPr>
              <w:instrText xml:space="preserve"> HYPERLINK "https://www.gov.si/assets/ministrstva/MKRR/DRR/RRP-2021_2027/RRP-Primorsko-notranjske-razvojne-regije-Strateski-del.pdf" </w:instrText>
            </w:r>
            <w:r w:rsidRPr="00FF207E">
              <w:rPr>
                <w:rFonts w:eastAsiaTheme="majorEastAsia"/>
                <w:sz w:val="20"/>
                <w:szCs w:val="22"/>
                <w:lang w:val="sl-SI"/>
              </w:rPr>
            </w:r>
            <w:r w:rsidRPr="00FF207E">
              <w:rPr>
                <w:rFonts w:eastAsiaTheme="majorEastAsia"/>
                <w:sz w:val="20"/>
                <w:szCs w:val="22"/>
                <w:lang w:val="sl-SI"/>
              </w:rPr>
              <w:fldChar w:fldCharType="separate"/>
            </w:r>
            <w:r w:rsidRPr="00FF207E">
              <w:rPr>
                <w:rStyle w:val="Hiperpovezava"/>
                <w:rFonts w:eastAsiaTheme="majorEastAsia"/>
                <w:sz w:val="20"/>
                <w:szCs w:val="22"/>
                <w:lang w:val="sl-SI"/>
              </w:rPr>
              <w:t xml:space="preserve">RRP </w:t>
            </w:r>
            <w:r w:rsidR="009441D2" w:rsidRPr="00FF207E">
              <w:rPr>
                <w:rStyle w:val="Hiperpovezava"/>
                <w:rFonts w:eastAsiaTheme="majorEastAsia"/>
                <w:sz w:val="20"/>
                <w:szCs w:val="22"/>
                <w:lang w:val="sl-SI"/>
              </w:rPr>
              <w:t>p</w:t>
            </w:r>
            <w:r w:rsidRPr="00FF207E">
              <w:rPr>
                <w:rStyle w:val="Hiperpovezava"/>
                <w:rFonts w:eastAsiaTheme="majorEastAsia"/>
                <w:sz w:val="20"/>
                <w:szCs w:val="22"/>
                <w:lang w:val="sl-SI"/>
              </w:rPr>
              <w:t>rimorsko</w:t>
            </w:r>
            <w:r w:rsidR="009441D2" w:rsidRPr="00FF207E">
              <w:rPr>
                <w:rStyle w:val="Hiperpovezava"/>
                <w:rFonts w:eastAsiaTheme="majorEastAsia"/>
                <w:sz w:val="20"/>
                <w:szCs w:val="22"/>
                <w:lang w:val="sl-SI"/>
              </w:rPr>
              <w:t>-</w:t>
            </w:r>
            <w:r w:rsidRPr="00FF207E">
              <w:rPr>
                <w:rStyle w:val="Hiperpovezava"/>
                <w:rFonts w:eastAsiaTheme="majorEastAsia"/>
                <w:sz w:val="20"/>
                <w:szCs w:val="22"/>
                <w:lang w:val="sl-SI"/>
              </w:rPr>
              <w:t>notranjske razvojne regije</w:t>
            </w:r>
            <w:r w:rsidR="009441D2" w:rsidRPr="00FF207E">
              <w:rPr>
                <w:rStyle w:val="Hiperpovezava"/>
                <w:rFonts w:eastAsiaTheme="majorEastAsia"/>
                <w:sz w:val="20"/>
                <w:szCs w:val="22"/>
                <w:lang w:val="sl-SI"/>
              </w:rPr>
              <w:t>,</w:t>
            </w:r>
            <w:r w:rsidRPr="00FF207E">
              <w:rPr>
                <w:rStyle w:val="Hiperpovezava"/>
                <w:rFonts w:eastAsiaTheme="majorEastAsia"/>
                <w:sz w:val="20"/>
                <w:szCs w:val="22"/>
                <w:lang w:val="sl-SI"/>
              </w:rPr>
              <w:t xml:space="preserve"> </w:t>
            </w:r>
            <w:r w:rsidR="009441D2" w:rsidRPr="00FF207E">
              <w:rPr>
                <w:rStyle w:val="Hiperpovezava"/>
                <w:rFonts w:eastAsiaTheme="majorEastAsia"/>
                <w:sz w:val="20"/>
                <w:szCs w:val="22"/>
                <w:lang w:val="sl-SI"/>
              </w:rPr>
              <w:t>s</w:t>
            </w:r>
            <w:r w:rsidRPr="00FF207E">
              <w:rPr>
                <w:rStyle w:val="Hiperpovezava"/>
                <w:rFonts w:eastAsiaTheme="majorEastAsia"/>
                <w:sz w:val="20"/>
                <w:szCs w:val="22"/>
                <w:lang w:val="sl-SI"/>
              </w:rPr>
              <w:t>trateški del</w:t>
            </w:r>
            <w:r w:rsidRPr="00FF207E">
              <w:rPr>
                <w:rStyle w:val="Hiperpovezava"/>
                <w:rFonts w:cs="Arial"/>
                <w:sz w:val="20"/>
                <w:szCs w:val="22"/>
                <w:lang w:val="sl-SI"/>
              </w:rPr>
              <w:t> </w:t>
            </w:r>
          </w:p>
          <w:p w14:paraId="5E3B9D4E" w14:textId="033077FE" w:rsidR="00B50A54" w:rsidRPr="00FF207E" w:rsidRDefault="00B50A54" w:rsidP="009441D2">
            <w:pPr>
              <w:tabs>
                <w:tab w:val="left" w:pos="1134"/>
                <w:tab w:val="right" w:leader="dot" w:pos="9061"/>
              </w:tabs>
              <w:spacing w:before="80" w:after="80" w:line="240" w:lineRule="auto"/>
              <w:jc w:val="both"/>
              <w:rPr>
                <w:rFonts w:cs="Arial"/>
                <w:sz w:val="20"/>
                <w:szCs w:val="22"/>
                <w:lang w:val="sl-SI"/>
              </w:rPr>
            </w:pPr>
            <w:r w:rsidRPr="00FF207E">
              <w:rPr>
                <w:rFonts w:eastAsiaTheme="majorEastAsia"/>
                <w:sz w:val="20"/>
                <w:szCs w:val="22"/>
                <w:lang w:val="sl-SI"/>
              </w:rPr>
              <w:fldChar w:fldCharType="end"/>
            </w:r>
            <w:hyperlink r:id="rId49" w:history="1">
              <w:r w:rsidRPr="00FF207E">
                <w:rPr>
                  <w:rStyle w:val="Hiperpovezava"/>
                  <w:rFonts w:eastAsiaTheme="majorEastAsia"/>
                  <w:sz w:val="20"/>
                  <w:szCs w:val="22"/>
                  <w:lang w:val="sl-SI"/>
                </w:rPr>
                <w:t xml:space="preserve">RRP </w:t>
              </w:r>
              <w:r w:rsidR="009441D2" w:rsidRPr="00FF207E">
                <w:rPr>
                  <w:rStyle w:val="Hiperpovezava"/>
                  <w:rFonts w:eastAsiaTheme="majorEastAsia"/>
                  <w:sz w:val="20"/>
                  <w:szCs w:val="22"/>
                  <w:lang w:val="sl-SI"/>
                </w:rPr>
                <w:t>p</w:t>
              </w:r>
              <w:r w:rsidRPr="00FF207E">
                <w:rPr>
                  <w:rStyle w:val="Hiperpovezava"/>
                  <w:rFonts w:eastAsiaTheme="majorEastAsia"/>
                  <w:sz w:val="20"/>
                  <w:szCs w:val="22"/>
                  <w:lang w:val="sl-SI"/>
                </w:rPr>
                <w:t>rimorsko</w:t>
              </w:r>
              <w:r w:rsidR="009441D2" w:rsidRPr="00FF207E">
                <w:rPr>
                  <w:rStyle w:val="Hiperpovezava"/>
                  <w:rFonts w:eastAsiaTheme="majorEastAsia"/>
                  <w:sz w:val="20"/>
                  <w:szCs w:val="22"/>
                  <w:lang w:val="sl-SI"/>
                </w:rPr>
                <w:t>-</w:t>
              </w:r>
              <w:r w:rsidRPr="00FF207E">
                <w:rPr>
                  <w:rStyle w:val="Hiperpovezava"/>
                  <w:rFonts w:eastAsiaTheme="majorEastAsia"/>
                  <w:sz w:val="20"/>
                  <w:szCs w:val="22"/>
                  <w:lang w:val="sl-SI"/>
                </w:rPr>
                <w:t>notranjske razvojne regije</w:t>
              </w:r>
              <w:r w:rsidR="009441D2" w:rsidRPr="00FF207E">
                <w:rPr>
                  <w:rStyle w:val="Hiperpovezava"/>
                  <w:rFonts w:eastAsiaTheme="majorEastAsia"/>
                  <w:sz w:val="20"/>
                  <w:szCs w:val="22"/>
                  <w:lang w:val="sl-SI"/>
                </w:rPr>
                <w:t>,</w:t>
              </w:r>
              <w:r w:rsidRPr="00FF207E">
                <w:rPr>
                  <w:rStyle w:val="Hiperpovezava"/>
                  <w:rFonts w:eastAsiaTheme="majorEastAsia"/>
                  <w:sz w:val="20"/>
                  <w:szCs w:val="22"/>
                  <w:lang w:val="sl-SI"/>
                </w:rPr>
                <w:t xml:space="preserve"> </w:t>
              </w:r>
              <w:r w:rsidR="009441D2" w:rsidRPr="00FF207E">
                <w:rPr>
                  <w:rStyle w:val="Hiperpovezava"/>
                  <w:rFonts w:eastAsiaTheme="majorEastAsia"/>
                  <w:sz w:val="20"/>
                  <w:szCs w:val="22"/>
                  <w:lang w:val="sl-SI"/>
                </w:rPr>
                <w:t>p</w:t>
              </w:r>
              <w:r w:rsidRPr="00FF207E">
                <w:rPr>
                  <w:rStyle w:val="Hiperpovezava"/>
                  <w:rFonts w:eastAsiaTheme="majorEastAsia"/>
                  <w:sz w:val="20"/>
                  <w:szCs w:val="22"/>
                  <w:lang w:val="sl-SI"/>
                </w:rPr>
                <w:t>rogramski del</w:t>
              </w:r>
              <w:r w:rsidRPr="00FF207E">
                <w:rPr>
                  <w:rStyle w:val="Hiperpovezava"/>
                  <w:rFonts w:cs="Arial"/>
                  <w:sz w:val="20"/>
                  <w:szCs w:val="22"/>
                  <w:lang w:val="sl-SI"/>
                </w:rPr>
                <w:t> </w:t>
              </w:r>
            </w:hyperlink>
          </w:p>
        </w:tc>
      </w:tr>
      <w:tr w:rsidR="00B50A54" w:rsidRPr="00FF207E" w14:paraId="1DBAA2B4" w14:textId="77777777" w:rsidTr="00B50A54">
        <w:trPr>
          <w:trHeight w:val="36"/>
          <w:jc w:val="center"/>
        </w:trPr>
        <w:tc>
          <w:tcPr>
            <w:tcW w:w="2309" w:type="dxa"/>
            <w:tcBorders>
              <w:top w:val="single" w:sz="4" w:space="0" w:color="4F81BD" w:themeColor="accent1"/>
              <w:bottom w:val="single" w:sz="4" w:space="0" w:color="4F81BD" w:themeColor="accent1"/>
            </w:tcBorders>
          </w:tcPr>
          <w:p w14:paraId="3CDFF81C" w14:textId="75780E08" w:rsidR="00B50A54" w:rsidRPr="00FF207E" w:rsidRDefault="009441D2" w:rsidP="001E304B">
            <w:pPr>
              <w:tabs>
                <w:tab w:val="left" w:pos="1134"/>
                <w:tab w:val="right" w:leader="dot" w:pos="9061"/>
              </w:tabs>
              <w:spacing w:before="80" w:after="80" w:line="240" w:lineRule="auto"/>
              <w:jc w:val="both"/>
              <w:rPr>
                <w:rFonts w:cs="Arial"/>
                <w:sz w:val="20"/>
                <w:szCs w:val="22"/>
                <w:lang w:val="sl-SI"/>
              </w:rPr>
            </w:pPr>
            <w:r w:rsidRPr="00FF207E">
              <w:rPr>
                <w:rFonts w:cs="Arial"/>
                <w:sz w:val="20"/>
                <w:szCs w:val="22"/>
                <w:lang w:val="sl-SI"/>
              </w:rPr>
              <w:t>o</w:t>
            </w:r>
            <w:r w:rsidR="00B50A54" w:rsidRPr="00FF207E">
              <w:rPr>
                <w:rFonts w:cs="Arial"/>
                <w:sz w:val="20"/>
                <w:szCs w:val="22"/>
                <w:lang w:val="sl-SI"/>
              </w:rPr>
              <w:t>srednjeslovenska</w:t>
            </w:r>
          </w:p>
        </w:tc>
        <w:tc>
          <w:tcPr>
            <w:tcW w:w="925" w:type="dxa"/>
            <w:tcBorders>
              <w:top w:val="single" w:sz="4" w:space="0" w:color="4F81BD" w:themeColor="accent1"/>
              <w:bottom w:val="single" w:sz="4" w:space="0" w:color="4F81BD" w:themeColor="accent1"/>
            </w:tcBorders>
          </w:tcPr>
          <w:p w14:paraId="773E3012" w14:textId="77777777" w:rsidR="00B50A54" w:rsidRPr="00FF207E" w:rsidRDefault="00B50A54" w:rsidP="001E304B">
            <w:pPr>
              <w:tabs>
                <w:tab w:val="left" w:pos="1134"/>
                <w:tab w:val="right" w:leader="dot" w:pos="9061"/>
              </w:tabs>
              <w:spacing w:before="80" w:after="80" w:line="240" w:lineRule="auto"/>
              <w:jc w:val="both"/>
              <w:rPr>
                <w:rFonts w:cs="Arial"/>
                <w:sz w:val="20"/>
                <w:szCs w:val="22"/>
                <w:lang w:val="sl-SI"/>
              </w:rPr>
            </w:pPr>
            <w:r w:rsidRPr="00FF207E">
              <w:rPr>
                <w:sz w:val="20"/>
                <w:szCs w:val="22"/>
                <w:lang w:val="sl-SI"/>
              </w:rPr>
              <w:t>NE</w:t>
            </w:r>
          </w:p>
        </w:tc>
        <w:tc>
          <w:tcPr>
            <w:tcW w:w="6405" w:type="dxa"/>
            <w:tcBorders>
              <w:top w:val="single" w:sz="4" w:space="0" w:color="4F81BD" w:themeColor="accent1"/>
              <w:bottom w:val="single" w:sz="4" w:space="0" w:color="4F81BD" w:themeColor="accent1"/>
            </w:tcBorders>
          </w:tcPr>
          <w:p w14:paraId="27C723F1" w14:textId="19BF430B" w:rsidR="00B50A54" w:rsidRPr="00FF207E" w:rsidRDefault="005428A9" w:rsidP="009441D2">
            <w:pPr>
              <w:tabs>
                <w:tab w:val="left" w:pos="1134"/>
                <w:tab w:val="right" w:leader="dot" w:pos="9061"/>
              </w:tabs>
              <w:spacing w:before="80" w:after="80" w:line="240" w:lineRule="auto"/>
              <w:jc w:val="both"/>
              <w:rPr>
                <w:rStyle w:val="Hiperpovezava"/>
                <w:rFonts w:eastAsiaTheme="majorEastAsia"/>
                <w:sz w:val="20"/>
                <w:szCs w:val="22"/>
                <w:lang w:val="sl-SI"/>
              </w:rPr>
            </w:pPr>
            <w:hyperlink r:id="rId50" w:history="1">
              <w:r w:rsidR="00B50A54" w:rsidRPr="00FF207E">
                <w:rPr>
                  <w:rStyle w:val="Hiperpovezava"/>
                  <w:rFonts w:eastAsiaTheme="majorEastAsia"/>
                  <w:sz w:val="20"/>
                  <w:szCs w:val="22"/>
                  <w:lang w:val="sl-SI"/>
                </w:rPr>
                <w:t xml:space="preserve">RRP </w:t>
              </w:r>
              <w:r w:rsidR="009441D2" w:rsidRPr="00FF207E">
                <w:rPr>
                  <w:rStyle w:val="Hiperpovezava"/>
                  <w:rFonts w:eastAsiaTheme="majorEastAsia"/>
                  <w:sz w:val="20"/>
                  <w:szCs w:val="22"/>
                  <w:lang w:val="sl-SI"/>
                </w:rPr>
                <w:t>o</w:t>
              </w:r>
              <w:r w:rsidR="00B50A54" w:rsidRPr="00FF207E">
                <w:rPr>
                  <w:rStyle w:val="Hiperpovezava"/>
                  <w:rFonts w:eastAsiaTheme="majorEastAsia"/>
                  <w:sz w:val="20"/>
                  <w:szCs w:val="22"/>
                  <w:lang w:val="sl-SI"/>
                </w:rPr>
                <w:t>srednjeslovenske razvojne regije</w:t>
              </w:r>
            </w:hyperlink>
            <w:r w:rsidR="00B50A54" w:rsidRPr="00FF207E">
              <w:rPr>
                <w:rStyle w:val="Hiperpovezava"/>
                <w:rFonts w:eastAsiaTheme="majorEastAsia"/>
                <w:sz w:val="20"/>
                <w:szCs w:val="22"/>
                <w:lang w:val="sl-SI"/>
              </w:rPr>
              <w:t> </w:t>
            </w:r>
          </w:p>
        </w:tc>
      </w:tr>
      <w:tr w:rsidR="00B50A54" w:rsidRPr="00FF207E" w14:paraId="5663ACC6" w14:textId="77777777" w:rsidTr="00B50A54">
        <w:trPr>
          <w:trHeight w:val="37"/>
          <w:jc w:val="center"/>
        </w:trPr>
        <w:tc>
          <w:tcPr>
            <w:tcW w:w="2309" w:type="dxa"/>
            <w:tcBorders>
              <w:top w:val="single" w:sz="4" w:space="0" w:color="4F81BD" w:themeColor="accent1"/>
              <w:bottom w:val="single" w:sz="4" w:space="0" w:color="4F81BD" w:themeColor="accent1"/>
            </w:tcBorders>
          </w:tcPr>
          <w:p w14:paraId="1C00982D" w14:textId="597BCA65" w:rsidR="00B50A54" w:rsidRPr="00FF207E" w:rsidRDefault="009441D2" w:rsidP="001E304B">
            <w:pPr>
              <w:tabs>
                <w:tab w:val="left" w:pos="1134"/>
                <w:tab w:val="right" w:leader="dot" w:pos="9061"/>
              </w:tabs>
              <w:spacing w:before="80" w:after="80" w:line="240" w:lineRule="auto"/>
              <w:jc w:val="both"/>
              <w:rPr>
                <w:rFonts w:cs="Arial"/>
                <w:sz w:val="20"/>
                <w:szCs w:val="22"/>
                <w:lang w:val="sl-SI"/>
              </w:rPr>
            </w:pPr>
            <w:r w:rsidRPr="00FF207E">
              <w:rPr>
                <w:rFonts w:cs="Arial"/>
                <w:sz w:val="20"/>
                <w:szCs w:val="22"/>
                <w:lang w:val="sl-SI"/>
              </w:rPr>
              <w:t>g</w:t>
            </w:r>
            <w:r w:rsidR="00B50A54" w:rsidRPr="00FF207E">
              <w:rPr>
                <w:rFonts w:cs="Arial"/>
                <w:sz w:val="20"/>
                <w:szCs w:val="22"/>
                <w:lang w:val="sl-SI"/>
              </w:rPr>
              <w:t>orenjska</w:t>
            </w:r>
          </w:p>
        </w:tc>
        <w:tc>
          <w:tcPr>
            <w:tcW w:w="925" w:type="dxa"/>
            <w:tcBorders>
              <w:top w:val="single" w:sz="4" w:space="0" w:color="4F81BD" w:themeColor="accent1"/>
              <w:bottom w:val="single" w:sz="4" w:space="0" w:color="4F81BD" w:themeColor="accent1"/>
            </w:tcBorders>
          </w:tcPr>
          <w:p w14:paraId="5DDAC672" w14:textId="77777777" w:rsidR="00B50A54" w:rsidRPr="00FF207E" w:rsidRDefault="00B50A54" w:rsidP="001E304B">
            <w:pPr>
              <w:tabs>
                <w:tab w:val="left" w:pos="1134"/>
                <w:tab w:val="right" w:leader="dot" w:pos="9061"/>
              </w:tabs>
              <w:spacing w:before="80" w:after="80" w:line="240" w:lineRule="auto"/>
              <w:jc w:val="both"/>
              <w:rPr>
                <w:rFonts w:cs="Arial"/>
                <w:sz w:val="20"/>
                <w:szCs w:val="22"/>
                <w:lang w:val="sl-SI"/>
              </w:rPr>
            </w:pPr>
            <w:r w:rsidRPr="00FF207E">
              <w:rPr>
                <w:sz w:val="20"/>
                <w:szCs w:val="22"/>
                <w:lang w:val="sl-SI"/>
              </w:rPr>
              <w:t>NE</w:t>
            </w:r>
          </w:p>
        </w:tc>
        <w:tc>
          <w:tcPr>
            <w:tcW w:w="6405" w:type="dxa"/>
            <w:tcBorders>
              <w:top w:val="single" w:sz="4" w:space="0" w:color="4F81BD" w:themeColor="accent1"/>
              <w:bottom w:val="single" w:sz="4" w:space="0" w:color="4F81BD" w:themeColor="accent1"/>
            </w:tcBorders>
          </w:tcPr>
          <w:p w14:paraId="2CFBE3EC" w14:textId="7D1076E1" w:rsidR="00B50A54" w:rsidRPr="00FF207E" w:rsidRDefault="005428A9" w:rsidP="009441D2">
            <w:pPr>
              <w:tabs>
                <w:tab w:val="left" w:pos="1134"/>
                <w:tab w:val="right" w:leader="dot" w:pos="9061"/>
              </w:tabs>
              <w:spacing w:before="80" w:after="80" w:line="240" w:lineRule="auto"/>
              <w:jc w:val="both"/>
              <w:rPr>
                <w:rStyle w:val="Hiperpovezava"/>
                <w:rFonts w:eastAsiaTheme="majorEastAsia"/>
                <w:sz w:val="20"/>
                <w:szCs w:val="22"/>
                <w:lang w:val="sl-SI"/>
              </w:rPr>
            </w:pPr>
            <w:hyperlink r:id="rId51" w:history="1">
              <w:r w:rsidR="00B50A54" w:rsidRPr="00FF207E">
                <w:rPr>
                  <w:rStyle w:val="Hiperpovezava"/>
                  <w:rFonts w:eastAsiaTheme="majorEastAsia"/>
                  <w:sz w:val="20"/>
                  <w:szCs w:val="22"/>
                  <w:lang w:val="sl-SI"/>
                </w:rPr>
                <w:t xml:space="preserve">RRP </w:t>
              </w:r>
              <w:r w:rsidR="009441D2" w:rsidRPr="00FF207E">
                <w:rPr>
                  <w:rStyle w:val="Hiperpovezava"/>
                  <w:rFonts w:eastAsiaTheme="majorEastAsia"/>
                  <w:sz w:val="20"/>
                  <w:szCs w:val="22"/>
                  <w:lang w:val="sl-SI"/>
                </w:rPr>
                <w:t>g</w:t>
              </w:r>
              <w:r w:rsidR="00B50A54" w:rsidRPr="00FF207E">
                <w:rPr>
                  <w:rStyle w:val="Hiperpovezava"/>
                  <w:rFonts w:eastAsiaTheme="majorEastAsia"/>
                  <w:sz w:val="20"/>
                  <w:szCs w:val="22"/>
                  <w:lang w:val="sl-SI"/>
                </w:rPr>
                <w:t>orenjske razvojne regije </w:t>
              </w:r>
            </w:hyperlink>
          </w:p>
        </w:tc>
      </w:tr>
      <w:tr w:rsidR="00B50A54" w:rsidRPr="00FF207E" w14:paraId="07BEC8DB" w14:textId="77777777" w:rsidTr="00B50A54">
        <w:trPr>
          <w:trHeight w:val="36"/>
          <w:jc w:val="center"/>
        </w:trPr>
        <w:tc>
          <w:tcPr>
            <w:tcW w:w="2309" w:type="dxa"/>
            <w:tcBorders>
              <w:top w:val="single" w:sz="4" w:space="0" w:color="4F81BD" w:themeColor="accent1"/>
              <w:bottom w:val="single" w:sz="4" w:space="0" w:color="4F81BD" w:themeColor="accent1"/>
            </w:tcBorders>
          </w:tcPr>
          <w:p w14:paraId="48E8122E" w14:textId="7BAD8F0B" w:rsidR="00B50A54" w:rsidRPr="00FF207E" w:rsidRDefault="009441D2" w:rsidP="001E304B">
            <w:pPr>
              <w:tabs>
                <w:tab w:val="left" w:pos="1134"/>
                <w:tab w:val="right" w:leader="dot" w:pos="9061"/>
              </w:tabs>
              <w:spacing w:before="80" w:after="80" w:line="240" w:lineRule="auto"/>
              <w:jc w:val="both"/>
              <w:rPr>
                <w:rFonts w:cs="Arial"/>
                <w:sz w:val="20"/>
                <w:szCs w:val="22"/>
                <w:lang w:val="sl-SI"/>
              </w:rPr>
            </w:pPr>
            <w:r w:rsidRPr="00FF207E">
              <w:rPr>
                <w:rFonts w:cs="Arial"/>
                <w:sz w:val="20"/>
                <w:szCs w:val="22"/>
                <w:lang w:val="sl-SI"/>
              </w:rPr>
              <w:t>g</w:t>
            </w:r>
            <w:r w:rsidR="00B50A54" w:rsidRPr="00FF207E">
              <w:rPr>
                <w:rFonts w:cs="Arial"/>
                <w:sz w:val="20"/>
                <w:szCs w:val="22"/>
                <w:lang w:val="sl-SI"/>
              </w:rPr>
              <w:t>oriška</w:t>
            </w:r>
          </w:p>
        </w:tc>
        <w:tc>
          <w:tcPr>
            <w:tcW w:w="925" w:type="dxa"/>
            <w:tcBorders>
              <w:top w:val="single" w:sz="4" w:space="0" w:color="4F81BD" w:themeColor="accent1"/>
              <w:bottom w:val="single" w:sz="4" w:space="0" w:color="4F81BD" w:themeColor="accent1"/>
            </w:tcBorders>
          </w:tcPr>
          <w:p w14:paraId="0A0E37EB" w14:textId="77777777" w:rsidR="00B50A54" w:rsidRPr="00FF207E" w:rsidRDefault="00B50A54" w:rsidP="001E304B">
            <w:pPr>
              <w:tabs>
                <w:tab w:val="left" w:pos="1134"/>
                <w:tab w:val="right" w:leader="dot" w:pos="9061"/>
              </w:tabs>
              <w:spacing w:before="80" w:after="80" w:line="240" w:lineRule="auto"/>
              <w:jc w:val="both"/>
              <w:rPr>
                <w:rFonts w:cs="Arial"/>
                <w:sz w:val="20"/>
                <w:szCs w:val="22"/>
                <w:lang w:val="sl-SI"/>
              </w:rPr>
            </w:pPr>
            <w:r w:rsidRPr="00FF207E">
              <w:rPr>
                <w:sz w:val="20"/>
                <w:szCs w:val="22"/>
                <w:lang w:val="sl-SI"/>
              </w:rPr>
              <w:t>NE</w:t>
            </w:r>
          </w:p>
        </w:tc>
        <w:tc>
          <w:tcPr>
            <w:tcW w:w="6405" w:type="dxa"/>
            <w:tcBorders>
              <w:top w:val="single" w:sz="4" w:space="0" w:color="4F81BD" w:themeColor="accent1"/>
              <w:bottom w:val="single" w:sz="4" w:space="0" w:color="4F81BD" w:themeColor="accent1"/>
            </w:tcBorders>
          </w:tcPr>
          <w:p w14:paraId="5E83F79A" w14:textId="4C559C32" w:rsidR="00B50A54" w:rsidRPr="00FF207E" w:rsidRDefault="005428A9" w:rsidP="009441D2">
            <w:pPr>
              <w:tabs>
                <w:tab w:val="left" w:pos="1134"/>
                <w:tab w:val="right" w:leader="dot" w:pos="9061"/>
              </w:tabs>
              <w:spacing w:before="80" w:after="80" w:line="240" w:lineRule="auto"/>
              <w:jc w:val="both"/>
              <w:rPr>
                <w:rStyle w:val="Hiperpovezava"/>
                <w:rFonts w:eastAsiaTheme="majorEastAsia"/>
                <w:sz w:val="20"/>
                <w:szCs w:val="22"/>
                <w:lang w:val="sl-SI"/>
              </w:rPr>
            </w:pPr>
            <w:hyperlink r:id="rId52" w:history="1">
              <w:r w:rsidR="00B50A54" w:rsidRPr="00FF207E">
                <w:rPr>
                  <w:rStyle w:val="Hiperpovezava"/>
                  <w:rFonts w:eastAsiaTheme="majorEastAsia"/>
                  <w:sz w:val="20"/>
                  <w:szCs w:val="22"/>
                  <w:lang w:val="sl-SI"/>
                </w:rPr>
                <w:t xml:space="preserve">RRP </w:t>
              </w:r>
              <w:r w:rsidR="009441D2" w:rsidRPr="00FF207E">
                <w:rPr>
                  <w:rStyle w:val="Hiperpovezava"/>
                  <w:rFonts w:eastAsiaTheme="majorEastAsia"/>
                  <w:sz w:val="20"/>
                  <w:szCs w:val="22"/>
                  <w:lang w:val="sl-SI"/>
                </w:rPr>
                <w:t>g</w:t>
              </w:r>
              <w:r w:rsidR="00B50A54" w:rsidRPr="00FF207E">
                <w:rPr>
                  <w:rStyle w:val="Hiperpovezava"/>
                  <w:rFonts w:eastAsiaTheme="majorEastAsia"/>
                  <w:sz w:val="20"/>
                  <w:szCs w:val="22"/>
                  <w:lang w:val="sl-SI"/>
                </w:rPr>
                <w:t>oriške razvojne regije</w:t>
              </w:r>
            </w:hyperlink>
          </w:p>
        </w:tc>
      </w:tr>
      <w:tr w:rsidR="00B50A54" w:rsidRPr="00FF207E" w14:paraId="136D0BBB" w14:textId="77777777" w:rsidTr="00B50A54">
        <w:trPr>
          <w:trHeight w:val="34"/>
          <w:jc w:val="center"/>
        </w:trPr>
        <w:tc>
          <w:tcPr>
            <w:tcW w:w="2309" w:type="dxa"/>
            <w:tcBorders>
              <w:top w:val="single" w:sz="4" w:space="0" w:color="4F81BD" w:themeColor="accent1"/>
              <w:bottom w:val="single" w:sz="4" w:space="0" w:color="4F81BD" w:themeColor="accent1"/>
            </w:tcBorders>
          </w:tcPr>
          <w:p w14:paraId="3D2C4157" w14:textId="0B56061B" w:rsidR="00B50A54" w:rsidRPr="00FF207E" w:rsidRDefault="009441D2" w:rsidP="001E304B">
            <w:pPr>
              <w:tabs>
                <w:tab w:val="left" w:pos="1134"/>
                <w:tab w:val="right" w:leader="dot" w:pos="9061"/>
              </w:tabs>
              <w:spacing w:before="80" w:after="80" w:line="240" w:lineRule="auto"/>
              <w:jc w:val="both"/>
              <w:rPr>
                <w:rFonts w:cs="Arial"/>
                <w:sz w:val="20"/>
                <w:szCs w:val="22"/>
                <w:lang w:val="sl-SI"/>
              </w:rPr>
            </w:pPr>
            <w:r w:rsidRPr="00FF207E">
              <w:rPr>
                <w:rFonts w:cs="Arial"/>
                <w:sz w:val="20"/>
                <w:szCs w:val="22"/>
                <w:lang w:val="sl-SI"/>
              </w:rPr>
              <w:t>o</w:t>
            </w:r>
            <w:r w:rsidR="00B50A54" w:rsidRPr="00FF207E">
              <w:rPr>
                <w:rFonts w:cs="Arial"/>
                <w:sz w:val="20"/>
                <w:szCs w:val="22"/>
                <w:lang w:val="sl-SI"/>
              </w:rPr>
              <w:t>balno-kraška</w:t>
            </w:r>
          </w:p>
        </w:tc>
        <w:tc>
          <w:tcPr>
            <w:tcW w:w="925" w:type="dxa"/>
            <w:tcBorders>
              <w:top w:val="single" w:sz="4" w:space="0" w:color="4F81BD" w:themeColor="accent1"/>
              <w:bottom w:val="single" w:sz="4" w:space="0" w:color="4F81BD" w:themeColor="accent1"/>
            </w:tcBorders>
          </w:tcPr>
          <w:p w14:paraId="65D380E4" w14:textId="77777777" w:rsidR="00B50A54" w:rsidRPr="00FF207E" w:rsidRDefault="00B50A54" w:rsidP="001E304B">
            <w:pPr>
              <w:tabs>
                <w:tab w:val="left" w:pos="1134"/>
                <w:tab w:val="right" w:leader="dot" w:pos="9061"/>
              </w:tabs>
              <w:spacing w:before="80" w:after="80" w:line="240" w:lineRule="auto"/>
              <w:jc w:val="both"/>
              <w:rPr>
                <w:rFonts w:cs="Arial"/>
                <w:sz w:val="20"/>
                <w:szCs w:val="22"/>
                <w:lang w:val="sl-SI"/>
              </w:rPr>
            </w:pPr>
            <w:r w:rsidRPr="00FF207E">
              <w:rPr>
                <w:sz w:val="20"/>
                <w:szCs w:val="22"/>
                <w:lang w:val="sl-SI"/>
              </w:rPr>
              <w:t>DA</w:t>
            </w:r>
          </w:p>
        </w:tc>
        <w:tc>
          <w:tcPr>
            <w:tcW w:w="6405" w:type="dxa"/>
            <w:tcBorders>
              <w:top w:val="single" w:sz="4" w:space="0" w:color="4F81BD" w:themeColor="accent1"/>
              <w:bottom w:val="single" w:sz="4" w:space="0" w:color="4F81BD" w:themeColor="accent1"/>
            </w:tcBorders>
          </w:tcPr>
          <w:p w14:paraId="7E04A64E" w14:textId="4EC50399" w:rsidR="00B50A54" w:rsidRPr="00FF207E" w:rsidRDefault="005428A9" w:rsidP="009441D2">
            <w:pPr>
              <w:tabs>
                <w:tab w:val="left" w:pos="1134"/>
                <w:tab w:val="right" w:leader="dot" w:pos="9061"/>
              </w:tabs>
              <w:spacing w:before="80" w:after="80" w:line="240" w:lineRule="auto"/>
              <w:jc w:val="both"/>
              <w:rPr>
                <w:rStyle w:val="Hiperpovezava"/>
                <w:rFonts w:eastAsiaTheme="majorEastAsia"/>
                <w:sz w:val="20"/>
                <w:szCs w:val="22"/>
                <w:lang w:val="sl-SI"/>
              </w:rPr>
            </w:pPr>
            <w:hyperlink r:id="rId53" w:history="1">
              <w:r w:rsidR="00B50A54" w:rsidRPr="00FF207E">
                <w:rPr>
                  <w:rStyle w:val="Hiperpovezava"/>
                  <w:rFonts w:eastAsiaTheme="majorEastAsia"/>
                  <w:sz w:val="20"/>
                  <w:szCs w:val="22"/>
                  <w:lang w:val="sl-SI"/>
                </w:rPr>
                <w:t xml:space="preserve">RRP </w:t>
              </w:r>
              <w:r w:rsidR="009441D2" w:rsidRPr="00FF207E">
                <w:rPr>
                  <w:rStyle w:val="Hiperpovezava"/>
                  <w:rFonts w:eastAsiaTheme="majorEastAsia"/>
                  <w:sz w:val="20"/>
                  <w:szCs w:val="22"/>
                  <w:lang w:val="sl-SI"/>
                </w:rPr>
                <w:t>o</w:t>
              </w:r>
              <w:r w:rsidR="00B50A54" w:rsidRPr="00FF207E">
                <w:rPr>
                  <w:rStyle w:val="Hiperpovezava"/>
                  <w:rFonts w:eastAsiaTheme="majorEastAsia"/>
                  <w:sz w:val="20"/>
                  <w:szCs w:val="22"/>
                  <w:lang w:val="sl-SI"/>
                </w:rPr>
                <w:t>balno</w:t>
              </w:r>
              <w:r w:rsidR="009441D2" w:rsidRPr="00FF207E">
                <w:rPr>
                  <w:rStyle w:val="Hiperpovezava"/>
                  <w:rFonts w:eastAsiaTheme="majorEastAsia"/>
                  <w:sz w:val="20"/>
                  <w:szCs w:val="22"/>
                  <w:lang w:val="sl-SI"/>
                </w:rPr>
                <w:t>-</w:t>
              </w:r>
              <w:r w:rsidR="00B50A54" w:rsidRPr="00FF207E">
                <w:rPr>
                  <w:rStyle w:val="Hiperpovezava"/>
                  <w:rFonts w:eastAsiaTheme="majorEastAsia"/>
                  <w:sz w:val="20"/>
                  <w:szCs w:val="22"/>
                  <w:lang w:val="sl-SI"/>
                </w:rPr>
                <w:t>kraške razvojne regije</w:t>
              </w:r>
            </w:hyperlink>
          </w:p>
        </w:tc>
      </w:tr>
    </w:tbl>
    <w:p w14:paraId="39C12F3B" w14:textId="235BDABF" w:rsidR="000D189E" w:rsidRPr="00FF207E" w:rsidRDefault="000D189E" w:rsidP="001E304B">
      <w:pPr>
        <w:tabs>
          <w:tab w:val="left" w:pos="1134"/>
          <w:tab w:val="right" w:leader="dot" w:pos="9061"/>
        </w:tabs>
        <w:spacing w:after="120"/>
        <w:jc w:val="both"/>
        <w:rPr>
          <w:rFonts w:cs="Arial"/>
          <w:lang w:val="sl-SI"/>
        </w:rPr>
      </w:pPr>
    </w:p>
    <w:p w14:paraId="15E38551" w14:textId="77777777" w:rsidR="00B50A54" w:rsidRPr="00FF207E" w:rsidRDefault="00B50A54" w:rsidP="001E304B">
      <w:pPr>
        <w:tabs>
          <w:tab w:val="left" w:pos="1134"/>
          <w:tab w:val="right" w:leader="dot" w:pos="9061"/>
        </w:tabs>
        <w:spacing w:after="120"/>
        <w:jc w:val="both"/>
        <w:rPr>
          <w:rFonts w:cs="Arial"/>
          <w:lang w:val="sl-SI"/>
        </w:rPr>
      </w:pPr>
    </w:p>
    <w:p w14:paraId="2341836E" w14:textId="77777777" w:rsidR="00B50A54" w:rsidRPr="00FF207E" w:rsidRDefault="00B50A54" w:rsidP="001E304B">
      <w:pPr>
        <w:tabs>
          <w:tab w:val="left" w:pos="1134"/>
          <w:tab w:val="right" w:leader="dot" w:pos="9061"/>
        </w:tabs>
        <w:spacing w:after="120"/>
        <w:jc w:val="both"/>
        <w:rPr>
          <w:rFonts w:cs="Arial"/>
          <w:lang w:val="sl-SI"/>
        </w:rPr>
        <w:sectPr w:rsidR="00B50A54" w:rsidRPr="00FF207E" w:rsidSect="000B50F1">
          <w:footerReference w:type="default" r:id="rId54"/>
          <w:pgSz w:w="11906" w:h="16838"/>
          <w:pgMar w:top="1417" w:right="1417" w:bottom="1417" w:left="1417" w:header="708" w:footer="708" w:gutter="0"/>
          <w:pgNumType w:fmt="numberInDash" w:start="1"/>
          <w:cols w:space="708"/>
          <w:docGrid w:linePitch="360"/>
        </w:sectPr>
      </w:pPr>
    </w:p>
    <w:p w14:paraId="1941223B" w14:textId="3B4C0DCD" w:rsidR="006A46B2" w:rsidRPr="00FF207E" w:rsidRDefault="006A46B2" w:rsidP="001E304B">
      <w:pPr>
        <w:tabs>
          <w:tab w:val="left" w:pos="1134"/>
          <w:tab w:val="right" w:leader="dot" w:pos="9061"/>
        </w:tabs>
        <w:spacing w:before="360" w:after="120" w:line="240" w:lineRule="auto"/>
        <w:ind w:left="1134" w:hanging="1134"/>
        <w:jc w:val="both"/>
        <w:rPr>
          <w:b/>
          <w:sz w:val="20"/>
          <w:szCs w:val="20"/>
          <w:lang w:val="sl-SI"/>
        </w:rPr>
      </w:pPr>
      <w:r w:rsidRPr="00FF207E">
        <w:rPr>
          <w:b/>
          <w:sz w:val="20"/>
          <w:szCs w:val="20"/>
          <w:lang w:val="sl-SI"/>
        </w:rPr>
        <w:lastRenderedPageBreak/>
        <w:t>Tabela 3:</w:t>
      </w:r>
      <w:r w:rsidRPr="00FF207E">
        <w:rPr>
          <w:b/>
          <w:sz w:val="20"/>
          <w:szCs w:val="20"/>
          <w:lang w:val="sl-SI"/>
        </w:rPr>
        <w:tab/>
        <w:t>Starost stavbnega fonda v regiji glede na število prebivalcev</w:t>
      </w:r>
    </w:p>
    <w:tbl>
      <w:tblPr>
        <w:tblW w:w="14870" w:type="dxa"/>
        <w:tblCellMar>
          <w:left w:w="70" w:type="dxa"/>
          <w:right w:w="70" w:type="dxa"/>
        </w:tblCellMar>
        <w:tblLook w:val="04A0" w:firstRow="1" w:lastRow="0" w:firstColumn="1" w:lastColumn="0" w:noHBand="0" w:noVBand="1"/>
      </w:tblPr>
      <w:tblGrid>
        <w:gridCol w:w="1985"/>
        <w:gridCol w:w="1276"/>
        <w:gridCol w:w="1275"/>
        <w:gridCol w:w="1276"/>
        <w:gridCol w:w="1223"/>
        <w:gridCol w:w="1131"/>
        <w:gridCol w:w="734"/>
        <w:gridCol w:w="723"/>
        <w:gridCol w:w="723"/>
        <w:gridCol w:w="723"/>
        <w:gridCol w:w="721"/>
        <w:gridCol w:w="931"/>
        <w:gridCol w:w="721"/>
        <w:gridCol w:w="725"/>
        <w:gridCol w:w="871"/>
      </w:tblGrid>
      <w:tr w:rsidR="006A46B2" w:rsidRPr="00FF207E" w14:paraId="4CF65F9E" w14:textId="77777777" w:rsidTr="0051755A">
        <w:trPr>
          <w:trHeight w:val="505"/>
        </w:trPr>
        <w:tc>
          <w:tcPr>
            <w:tcW w:w="1985" w:type="dxa"/>
            <w:vMerge w:val="restart"/>
            <w:tcBorders>
              <w:top w:val="single" w:sz="4" w:space="0" w:color="548DD4" w:themeColor="text2" w:themeTint="99"/>
              <w:bottom w:val="dashSmallGap" w:sz="4" w:space="0" w:color="FFFFFF" w:themeColor="background1"/>
              <w:right w:val="dashSmallGap" w:sz="4" w:space="0" w:color="FFFFFF" w:themeColor="background1"/>
            </w:tcBorders>
            <w:shd w:val="clear" w:color="auto" w:fill="548DD4" w:themeFill="text2" w:themeFillTint="99"/>
            <w:vAlign w:val="center"/>
            <w:hideMark/>
          </w:tcPr>
          <w:p w14:paraId="4DCAAF01" w14:textId="5D5DC975" w:rsidR="006A46B2" w:rsidRPr="00FF207E" w:rsidRDefault="006A46B2" w:rsidP="001E304B">
            <w:pPr>
              <w:spacing w:before="80" w:after="80" w:line="240" w:lineRule="auto"/>
              <w:jc w:val="both"/>
              <w:rPr>
                <w:rFonts w:cs="Arial"/>
                <w:b/>
                <w:bCs/>
                <w:color w:val="FFFFFF" w:themeColor="background1"/>
                <w:sz w:val="18"/>
                <w:szCs w:val="18"/>
                <w:lang w:val="sl-SI" w:eastAsia="sl-SI"/>
              </w:rPr>
            </w:pPr>
            <w:r w:rsidRPr="00FF207E">
              <w:rPr>
                <w:rFonts w:cs="Arial"/>
                <w:b/>
                <w:bCs/>
                <w:color w:val="FFFFFF" w:themeColor="background1"/>
                <w:sz w:val="18"/>
                <w:szCs w:val="18"/>
                <w:lang w:val="sl-SI" w:eastAsia="sl-SI"/>
              </w:rPr>
              <w:t>Regija</w:t>
            </w:r>
          </w:p>
        </w:tc>
        <w:tc>
          <w:tcPr>
            <w:tcW w:w="5050" w:type="dxa"/>
            <w:gridSpan w:val="4"/>
            <w:tcBorders>
              <w:top w:val="single" w:sz="4" w:space="0" w:color="548DD4" w:themeColor="text2" w:themeTint="99"/>
              <w:left w:val="dashSmallGap" w:sz="4" w:space="0" w:color="FFFFFF" w:themeColor="background1"/>
              <w:bottom w:val="dashSmallGap" w:sz="4" w:space="0" w:color="FFFFFF" w:themeColor="background1"/>
              <w:right w:val="dashSmallGap" w:sz="4" w:space="0" w:color="FFFFFF" w:themeColor="background1"/>
            </w:tcBorders>
            <w:shd w:val="clear" w:color="auto" w:fill="548DD4" w:themeFill="text2" w:themeFillTint="99"/>
            <w:vAlign w:val="center"/>
            <w:hideMark/>
          </w:tcPr>
          <w:p w14:paraId="73A8A508" w14:textId="0EDEF322" w:rsidR="006A46B2" w:rsidRPr="00FF207E" w:rsidRDefault="006A46B2" w:rsidP="001E304B">
            <w:pPr>
              <w:spacing w:before="80" w:after="80" w:line="240" w:lineRule="auto"/>
              <w:jc w:val="both"/>
              <w:rPr>
                <w:rFonts w:cs="Arial"/>
                <w:b/>
                <w:bCs/>
                <w:color w:val="FFFFFF" w:themeColor="background1"/>
                <w:sz w:val="18"/>
                <w:szCs w:val="18"/>
                <w:lang w:val="sl-SI" w:eastAsia="sl-SI"/>
              </w:rPr>
            </w:pPr>
            <w:r w:rsidRPr="00FF207E">
              <w:rPr>
                <w:rFonts w:cs="Arial"/>
                <w:b/>
                <w:bCs/>
                <w:color w:val="FFFFFF" w:themeColor="background1"/>
                <w:sz w:val="18"/>
                <w:szCs w:val="18"/>
                <w:lang w:val="sl-SI" w:eastAsia="sl-SI"/>
              </w:rPr>
              <w:t>Površina stanovanjskega fonda</w:t>
            </w:r>
            <w:r w:rsidR="004963C7" w:rsidRPr="00FF207E">
              <w:rPr>
                <w:rFonts w:cs="Arial"/>
                <w:b/>
                <w:bCs/>
                <w:color w:val="FFFFFF" w:themeColor="background1"/>
                <w:sz w:val="18"/>
                <w:szCs w:val="18"/>
                <w:lang w:val="sl-SI" w:eastAsia="sl-SI"/>
              </w:rPr>
              <w:t>,</w:t>
            </w:r>
            <w:r w:rsidRPr="00FF207E">
              <w:rPr>
                <w:rFonts w:cs="Arial"/>
                <w:b/>
                <w:bCs/>
                <w:color w:val="FFFFFF" w:themeColor="background1"/>
                <w:sz w:val="18"/>
                <w:szCs w:val="18"/>
                <w:lang w:val="sl-SI" w:eastAsia="sl-SI"/>
              </w:rPr>
              <w:t xml:space="preserve"> zgrajena v posameznem obdobju</w:t>
            </w:r>
            <w:r w:rsidR="004963C7" w:rsidRPr="00FF207E">
              <w:rPr>
                <w:rFonts w:cs="Arial"/>
                <w:b/>
                <w:bCs/>
                <w:color w:val="FFFFFF" w:themeColor="background1"/>
                <w:sz w:val="18"/>
                <w:szCs w:val="18"/>
                <w:lang w:val="sl-SI" w:eastAsia="sl-SI"/>
              </w:rPr>
              <w:t>,</w:t>
            </w:r>
            <w:r w:rsidR="00CE45BF" w:rsidRPr="00FF207E">
              <w:rPr>
                <w:rFonts w:cs="Arial"/>
                <w:b/>
                <w:bCs/>
                <w:color w:val="FFFFFF" w:themeColor="background1"/>
                <w:sz w:val="18"/>
                <w:szCs w:val="18"/>
                <w:lang w:val="sl-SI" w:eastAsia="sl-SI"/>
              </w:rPr>
              <w:t xml:space="preserve"> v m</w:t>
            </w:r>
            <w:r w:rsidR="00CE45BF" w:rsidRPr="00FF207E">
              <w:rPr>
                <w:rFonts w:cs="Arial"/>
                <w:b/>
                <w:bCs/>
                <w:color w:val="FFFFFF" w:themeColor="background1"/>
                <w:sz w:val="18"/>
                <w:szCs w:val="18"/>
                <w:vertAlign w:val="superscript"/>
                <w:lang w:val="sl-SI" w:eastAsia="sl-SI"/>
              </w:rPr>
              <w:t>2</w:t>
            </w:r>
          </w:p>
        </w:tc>
        <w:tc>
          <w:tcPr>
            <w:tcW w:w="1002" w:type="dxa"/>
            <w:vMerge w:val="restart"/>
            <w:tcBorders>
              <w:top w:val="single" w:sz="4" w:space="0" w:color="548DD4" w:themeColor="text2" w:themeTint="99"/>
              <w:left w:val="dashSmallGap" w:sz="4" w:space="0" w:color="FFFFFF" w:themeColor="background1"/>
              <w:bottom w:val="dashSmallGap" w:sz="4" w:space="0" w:color="FFFFFF" w:themeColor="background1"/>
              <w:right w:val="dashSmallGap" w:sz="4" w:space="0" w:color="FFFFFF" w:themeColor="background1"/>
            </w:tcBorders>
            <w:shd w:val="clear" w:color="auto" w:fill="548DD4" w:themeFill="text2" w:themeFillTint="99"/>
            <w:vAlign w:val="center"/>
            <w:hideMark/>
          </w:tcPr>
          <w:p w14:paraId="27D024C9" w14:textId="77777777" w:rsidR="006A46B2" w:rsidRPr="00FF207E" w:rsidRDefault="006A46B2" w:rsidP="001E304B">
            <w:pPr>
              <w:spacing w:before="80" w:after="80" w:line="240" w:lineRule="auto"/>
              <w:jc w:val="both"/>
              <w:rPr>
                <w:rFonts w:cs="Arial"/>
                <w:b/>
                <w:bCs/>
                <w:color w:val="FFFFFF" w:themeColor="background1"/>
                <w:sz w:val="18"/>
                <w:szCs w:val="18"/>
                <w:lang w:val="sl-SI" w:eastAsia="sl-SI"/>
              </w:rPr>
            </w:pPr>
            <w:r w:rsidRPr="00FF207E">
              <w:rPr>
                <w:rFonts w:cs="Arial"/>
                <w:b/>
                <w:bCs/>
                <w:color w:val="FFFFFF" w:themeColor="background1"/>
                <w:sz w:val="18"/>
                <w:szCs w:val="18"/>
                <w:lang w:val="sl-SI" w:eastAsia="sl-SI"/>
              </w:rPr>
              <w:t>Število prebivalcev 2021</w:t>
            </w:r>
          </w:p>
        </w:tc>
        <w:tc>
          <w:tcPr>
            <w:tcW w:w="2903" w:type="dxa"/>
            <w:gridSpan w:val="4"/>
            <w:tcBorders>
              <w:top w:val="single" w:sz="4" w:space="0" w:color="548DD4" w:themeColor="text2" w:themeTint="99"/>
              <w:left w:val="dashSmallGap" w:sz="4" w:space="0" w:color="FFFFFF" w:themeColor="background1"/>
              <w:bottom w:val="dashSmallGap" w:sz="4" w:space="0" w:color="FFFFFF" w:themeColor="background1"/>
              <w:right w:val="dashSmallGap" w:sz="4" w:space="0" w:color="FFFFFF" w:themeColor="background1"/>
            </w:tcBorders>
            <w:shd w:val="clear" w:color="auto" w:fill="548DD4" w:themeFill="text2" w:themeFillTint="99"/>
            <w:vAlign w:val="center"/>
            <w:hideMark/>
          </w:tcPr>
          <w:p w14:paraId="771FF6AD" w14:textId="26E31014" w:rsidR="006A46B2" w:rsidRPr="00FF207E" w:rsidRDefault="006A46B2" w:rsidP="001E304B">
            <w:pPr>
              <w:spacing w:before="80" w:after="80" w:line="240" w:lineRule="auto"/>
              <w:jc w:val="both"/>
              <w:rPr>
                <w:rFonts w:cs="Arial"/>
                <w:b/>
                <w:bCs/>
                <w:color w:val="FFFFFF" w:themeColor="background1"/>
                <w:sz w:val="18"/>
                <w:szCs w:val="18"/>
                <w:lang w:val="sl-SI" w:eastAsia="sl-SI"/>
              </w:rPr>
            </w:pPr>
            <w:r w:rsidRPr="00FF207E">
              <w:rPr>
                <w:rFonts w:cs="Arial"/>
                <w:b/>
                <w:bCs/>
                <w:color w:val="FFFFFF" w:themeColor="background1"/>
                <w:sz w:val="18"/>
                <w:szCs w:val="18"/>
                <w:lang w:val="sl-SI" w:eastAsia="sl-SI"/>
              </w:rPr>
              <w:t>Površina stanovanjskega fonda</w:t>
            </w:r>
            <w:r w:rsidR="004963C7" w:rsidRPr="00FF207E">
              <w:rPr>
                <w:rFonts w:cs="Arial"/>
                <w:b/>
                <w:bCs/>
                <w:color w:val="FFFFFF" w:themeColor="background1"/>
                <w:sz w:val="18"/>
                <w:szCs w:val="18"/>
                <w:lang w:val="sl-SI" w:eastAsia="sl-SI"/>
              </w:rPr>
              <w:t>,</w:t>
            </w:r>
            <w:r w:rsidRPr="00FF207E">
              <w:rPr>
                <w:rFonts w:cs="Arial"/>
                <w:b/>
                <w:bCs/>
                <w:color w:val="FFFFFF" w:themeColor="background1"/>
                <w:sz w:val="18"/>
                <w:szCs w:val="18"/>
                <w:lang w:val="sl-SI" w:eastAsia="sl-SI"/>
              </w:rPr>
              <w:t xml:space="preserve"> zgrajena v posameznem obdobju</w:t>
            </w:r>
            <w:r w:rsidR="004963C7" w:rsidRPr="00FF207E">
              <w:rPr>
                <w:rFonts w:cs="Arial"/>
                <w:b/>
                <w:bCs/>
                <w:color w:val="FFFFFF" w:themeColor="background1"/>
                <w:sz w:val="18"/>
                <w:szCs w:val="18"/>
                <w:lang w:val="sl-SI" w:eastAsia="sl-SI"/>
              </w:rPr>
              <w:t>,</w:t>
            </w:r>
            <w:r w:rsidRPr="00FF207E">
              <w:rPr>
                <w:rFonts w:cs="Arial"/>
                <w:b/>
                <w:bCs/>
                <w:color w:val="FFFFFF" w:themeColor="background1"/>
                <w:sz w:val="18"/>
                <w:szCs w:val="18"/>
                <w:lang w:val="sl-SI" w:eastAsia="sl-SI"/>
              </w:rPr>
              <w:t xml:space="preserve"> na število prebivalcev</w:t>
            </w:r>
          </w:p>
        </w:tc>
        <w:tc>
          <w:tcPr>
            <w:tcW w:w="3098" w:type="dxa"/>
            <w:gridSpan w:val="4"/>
            <w:tcBorders>
              <w:top w:val="single" w:sz="4" w:space="0" w:color="548DD4" w:themeColor="text2" w:themeTint="99"/>
              <w:left w:val="dashSmallGap" w:sz="4" w:space="0" w:color="FFFFFF" w:themeColor="background1"/>
              <w:bottom w:val="dashSmallGap" w:sz="4" w:space="0" w:color="FFFFFF" w:themeColor="background1"/>
              <w:right w:val="single" w:sz="4" w:space="0" w:color="FFFFFF" w:themeColor="background1"/>
            </w:tcBorders>
            <w:shd w:val="clear" w:color="auto" w:fill="548DD4" w:themeFill="text2" w:themeFillTint="99"/>
            <w:vAlign w:val="center"/>
            <w:hideMark/>
          </w:tcPr>
          <w:p w14:paraId="20474BE0" w14:textId="6FECA056" w:rsidR="006A46B2" w:rsidRPr="00FF207E" w:rsidRDefault="006A46B2" w:rsidP="001E304B">
            <w:pPr>
              <w:spacing w:before="80" w:after="80" w:line="240" w:lineRule="auto"/>
              <w:jc w:val="both"/>
              <w:rPr>
                <w:rFonts w:cs="Arial"/>
                <w:b/>
                <w:bCs/>
                <w:color w:val="FFFFFF" w:themeColor="background1"/>
                <w:sz w:val="18"/>
                <w:szCs w:val="18"/>
                <w:lang w:val="sl-SI" w:eastAsia="sl-SI"/>
              </w:rPr>
            </w:pPr>
            <w:proofErr w:type="spellStart"/>
            <w:r w:rsidRPr="00FF207E">
              <w:rPr>
                <w:rFonts w:cs="Arial"/>
                <w:b/>
                <w:bCs/>
                <w:color w:val="FFFFFF" w:themeColor="background1"/>
                <w:sz w:val="18"/>
                <w:szCs w:val="18"/>
                <w:lang w:val="sl-SI" w:eastAsia="sl-SI"/>
              </w:rPr>
              <w:t>Uteženi</w:t>
            </w:r>
            <w:proofErr w:type="spellEnd"/>
            <w:r w:rsidRPr="00FF207E">
              <w:rPr>
                <w:rFonts w:cs="Arial"/>
                <w:b/>
                <w:bCs/>
                <w:color w:val="FFFFFF" w:themeColor="background1"/>
                <w:sz w:val="18"/>
                <w:szCs w:val="18"/>
                <w:lang w:val="sl-SI" w:eastAsia="sl-SI"/>
              </w:rPr>
              <w:t xml:space="preserve"> rezultati</w:t>
            </w:r>
          </w:p>
        </w:tc>
        <w:tc>
          <w:tcPr>
            <w:tcW w:w="832" w:type="dxa"/>
            <w:vMerge w:val="restart"/>
            <w:tcBorders>
              <w:top w:val="single" w:sz="4" w:space="0" w:color="548DD4" w:themeColor="text2" w:themeTint="99"/>
              <w:left w:val="single" w:sz="4" w:space="0" w:color="FFFFFF" w:themeColor="background1"/>
              <w:bottom w:val="single" w:sz="4" w:space="0" w:color="548DD4" w:themeColor="text2" w:themeTint="99"/>
            </w:tcBorders>
            <w:shd w:val="clear" w:color="auto" w:fill="548DD4" w:themeFill="text2" w:themeFillTint="99"/>
            <w:noWrap/>
            <w:vAlign w:val="center"/>
            <w:hideMark/>
          </w:tcPr>
          <w:p w14:paraId="6A36A21F" w14:textId="77777777" w:rsidR="006A46B2" w:rsidRPr="00FF207E" w:rsidRDefault="006A46B2" w:rsidP="001E304B">
            <w:pPr>
              <w:spacing w:before="80" w:after="80" w:line="240" w:lineRule="auto"/>
              <w:jc w:val="both"/>
              <w:rPr>
                <w:rFonts w:cs="Arial"/>
                <w:b/>
                <w:bCs/>
                <w:color w:val="FFFFFF" w:themeColor="background1"/>
                <w:sz w:val="18"/>
                <w:szCs w:val="18"/>
                <w:lang w:val="sl-SI" w:eastAsia="sl-SI"/>
              </w:rPr>
            </w:pPr>
            <w:r w:rsidRPr="00FF207E">
              <w:rPr>
                <w:rFonts w:cs="Arial"/>
                <w:b/>
                <w:bCs/>
                <w:color w:val="FFFFFF" w:themeColor="background1"/>
                <w:sz w:val="18"/>
                <w:szCs w:val="18"/>
                <w:lang w:val="sl-SI" w:eastAsia="sl-SI"/>
              </w:rPr>
              <w:t>SKUPAJ</w:t>
            </w:r>
          </w:p>
        </w:tc>
      </w:tr>
      <w:tr w:rsidR="0051755A" w:rsidRPr="00FF207E" w14:paraId="28806E25" w14:textId="77777777" w:rsidTr="0051755A">
        <w:trPr>
          <w:trHeight w:val="422"/>
        </w:trPr>
        <w:tc>
          <w:tcPr>
            <w:tcW w:w="1985" w:type="dxa"/>
            <w:vMerge/>
            <w:tcBorders>
              <w:top w:val="dashSmallGap" w:sz="4" w:space="0" w:color="FFFFFF" w:themeColor="background1"/>
              <w:bottom w:val="single" w:sz="4" w:space="0" w:color="548DD4" w:themeColor="text2" w:themeTint="99"/>
              <w:right w:val="dashSmallGap" w:sz="4" w:space="0" w:color="FFFFFF" w:themeColor="background1"/>
            </w:tcBorders>
            <w:shd w:val="clear" w:color="auto" w:fill="548DD4" w:themeFill="text2" w:themeFillTint="99"/>
            <w:vAlign w:val="center"/>
            <w:hideMark/>
          </w:tcPr>
          <w:p w14:paraId="22BF20DE" w14:textId="77777777" w:rsidR="006A46B2" w:rsidRPr="00FF207E" w:rsidRDefault="006A46B2" w:rsidP="001E304B">
            <w:pPr>
              <w:spacing w:before="80" w:after="80" w:line="240" w:lineRule="auto"/>
              <w:jc w:val="both"/>
              <w:rPr>
                <w:rFonts w:cs="Arial"/>
                <w:b/>
                <w:bCs/>
                <w:color w:val="FFFFFF" w:themeColor="background1"/>
                <w:sz w:val="18"/>
                <w:szCs w:val="18"/>
                <w:lang w:val="sl-SI" w:eastAsia="sl-SI"/>
              </w:rPr>
            </w:pPr>
          </w:p>
        </w:tc>
        <w:tc>
          <w:tcPr>
            <w:tcW w:w="1276" w:type="dxa"/>
            <w:tcBorders>
              <w:top w:val="dashSmallGap" w:sz="4" w:space="0" w:color="FFFFFF" w:themeColor="background1"/>
              <w:left w:val="dashSmallGap" w:sz="4" w:space="0" w:color="FFFFFF" w:themeColor="background1"/>
              <w:bottom w:val="single" w:sz="4" w:space="0" w:color="548DD4" w:themeColor="text2" w:themeTint="99"/>
              <w:right w:val="dashSmallGap" w:sz="4" w:space="0" w:color="FFFFFF" w:themeColor="background1"/>
            </w:tcBorders>
            <w:shd w:val="clear" w:color="auto" w:fill="548DD4" w:themeFill="text2" w:themeFillTint="99"/>
            <w:noWrap/>
            <w:vAlign w:val="bottom"/>
            <w:hideMark/>
          </w:tcPr>
          <w:p w14:paraId="13F68AC0" w14:textId="1857DDC9" w:rsidR="006A46B2" w:rsidRPr="00FF207E" w:rsidRDefault="006A46B2" w:rsidP="001E304B">
            <w:pPr>
              <w:spacing w:before="80" w:after="80" w:line="240" w:lineRule="auto"/>
              <w:jc w:val="both"/>
              <w:rPr>
                <w:rFonts w:cs="Arial"/>
                <w:b/>
                <w:bCs/>
                <w:color w:val="FFFFFF" w:themeColor="background1"/>
                <w:sz w:val="18"/>
                <w:szCs w:val="18"/>
                <w:lang w:val="sl-SI" w:eastAsia="sl-SI"/>
              </w:rPr>
            </w:pPr>
            <w:r w:rsidRPr="00FF207E">
              <w:rPr>
                <w:rFonts w:cs="Arial"/>
                <w:b/>
                <w:bCs/>
                <w:color w:val="FFFFFF" w:themeColor="background1"/>
                <w:sz w:val="18"/>
                <w:szCs w:val="18"/>
                <w:lang w:val="sl-SI" w:eastAsia="sl-SI"/>
              </w:rPr>
              <w:t>1 =</w:t>
            </w:r>
            <w:r w:rsidR="00CE45BF" w:rsidRPr="00FF207E">
              <w:rPr>
                <w:rFonts w:cs="Arial"/>
                <w:b/>
                <w:bCs/>
                <w:color w:val="FFFFFF" w:themeColor="background1"/>
                <w:sz w:val="18"/>
                <w:szCs w:val="18"/>
                <w:lang w:val="sl-SI" w:eastAsia="sl-SI"/>
              </w:rPr>
              <w:br/>
            </w:r>
            <w:r w:rsidRPr="00FF207E">
              <w:rPr>
                <w:rFonts w:cs="Arial"/>
                <w:b/>
                <w:bCs/>
                <w:color w:val="FFFFFF" w:themeColor="background1"/>
                <w:sz w:val="18"/>
                <w:szCs w:val="18"/>
                <w:lang w:val="sl-SI" w:eastAsia="sl-SI"/>
              </w:rPr>
              <w:t>do 1945</w:t>
            </w:r>
          </w:p>
        </w:tc>
        <w:tc>
          <w:tcPr>
            <w:tcW w:w="1275" w:type="dxa"/>
            <w:tcBorders>
              <w:top w:val="dashSmallGap" w:sz="4" w:space="0" w:color="FFFFFF" w:themeColor="background1"/>
              <w:left w:val="dashSmallGap" w:sz="4" w:space="0" w:color="FFFFFF" w:themeColor="background1"/>
              <w:bottom w:val="single" w:sz="4" w:space="0" w:color="548DD4" w:themeColor="text2" w:themeTint="99"/>
              <w:right w:val="dashSmallGap" w:sz="4" w:space="0" w:color="FFFFFF" w:themeColor="background1"/>
            </w:tcBorders>
            <w:shd w:val="clear" w:color="auto" w:fill="548DD4" w:themeFill="text2" w:themeFillTint="99"/>
            <w:noWrap/>
            <w:vAlign w:val="bottom"/>
            <w:hideMark/>
          </w:tcPr>
          <w:p w14:paraId="4B4846EF" w14:textId="31F174F7" w:rsidR="006A46B2" w:rsidRPr="00FF207E" w:rsidRDefault="006A46B2" w:rsidP="001E304B">
            <w:pPr>
              <w:spacing w:before="80" w:after="80" w:line="240" w:lineRule="auto"/>
              <w:jc w:val="both"/>
              <w:rPr>
                <w:rFonts w:cs="Arial"/>
                <w:b/>
                <w:bCs/>
                <w:color w:val="FFFFFF" w:themeColor="background1"/>
                <w:sz w:val="18"/>
                <w:szCs w:val="18"/>
                <w:lang w:val="sl-SI" w:eastAsia="sl-SI"/>
              </w:rPr>
            </w:pPr>
            <w:r w:rsidRPr="00FF207E">
              <w:rPr>
                <w:rFonts w:cs="Arial"/>
                <w:b/>
                <w:bCs/>
                <w:color w:val="FFFFFF" w:themeColor="background1"/>
                <w:sz w:val="18"/>
                <w:szCs w:val="18"/>
                <w:lang w:val="sl-SI" w:eastAsia="sl-SI"/>
              </w:rPr>
              <w:t>2 =</w:t>
            </w:r>
            <w:r w:rsidR="00CE45BF" w:rsidRPr="00FF207E">
              <w:rPr>
                <w:rFonts w:cs="Arial"/>
                <w:b/>
                <w:bCs/>
                <w:color w:val="FFFFFF" w:themeColor="background1"/>
                <w:sz w:val="18"/>
                <w:szCs w:val="18"/>
                <w:lang w:val="sl-SI" w:eastAsia="sl-SI"/>
              </w:rPr>
              <w:br/>
            </w:r>
            <w:r w:rsidRPr="00FF207E">
              <w:rPr>
                <w:rFonts w:cs="Arial"/>
                <w:b/>
                <w:bCs/>
                <w:color w:val="FFFFFF" w:themeColor="background1"/>
                <w:sz w:val="18"/>
                <w:szCs w:val="18"/>
                <w:lang w:val="sl-SI" w:eastAsia="sl-SI"/>
              </w:rPr>
              <w:t>1946–1970</w:t>
            </w:r>
          </w:p>
        </w:tc>
        <w:tc>
          <w:tcPr>
            <w:tcW w:w="1276" w:type="dxa"/>
            <w:tcBorders>
              <w:top w:val="dashSmallGap" w:sz="4" w:space="0" w:color="FFFFFF" w:themeColor="background1"/>
              <w:left w:val="dashSmallGap" w:sz="4" w:space="0" w:color="FFFFFF" w:themeColor="background1"/>
              <w:bottom w:val="single" w:sz="4" w:space="0" w:color="548DD4" w:themeColor="text2" w:themeTint="99"/>
              <w:right w:val="dashSmallGap" w:sz="4" w:space="0" w:color="FFFFFF" w:themeColor="background1"/>
            </w:tcBorders>
            <w:shd w:val="clear" w:color="auto" w:fill="548DD4" w:themeFill="text2" w:themeFillTint="99"/>
            <w:noWrap/>
            <w:vAlign w:val="bottom"/>
            <w:hideMark/>
          </w:tcPr>
          <w:p w14:paraId="68FB26B8" w14:textId="68C48A05" w:rsidR="006A46B2" w:rsidRPr="00FF207E" w:rsidRDefault="006A46B2" w:rsidP="001E304B">
            <w:pPr>
              <w:spacing w:before="80" w:after="80" w:line="240" w:lineRule="auto"/>
              <w:jc w:val="both"/>
              <w:rPr>
                <w:rFonts w:cs="Arial"/>
                <w:b/>
                <w:bCs/>
                <w:color w:val="FFFFFF" w:themeColor="background1"/>
                <w:sz w:val="18"/>
                <w:szCs w:val="18"/>
                <w:lang w:val="sl-SI" w:eastAsia="sl-SI"/>
              </w:rPr>
            </w:pPr>
            <w:r w:rsidRPr="00FF207E">
              <w:rPr>
                <w:rFonts w:cs="Arial"/>
                <w:b/>
                <w:bCs/>
                <w:color w:val="FFFFFF" w:themeColor="background1"/>
                <w:sz w:val="18"/>
                <w:szCs w:val="18"/>
                <w:lang w:val="sl-SI" w:eastAsia="sl-SI"/>
              </w:rPr>
              <w:t>3 =</w:t>
            </w:r>
            <w:r w:rsidR="00CE45BF" w:rsidRPr="00FF207E">
              <w:rPr>
                <w:rFonts w:cs="Arial"/>
                <w:b/>
                <w:bCs/>
                <w:color w:val="FFFFFF" w:themeColor="background1"/>
                <w:sz w:val="18"/>
                <w:szCs w:val="18"/>
                <w:lang w:val="sl-SI" w:eastAsia="sl-SI"/>
              </w:rPr>
              <w:br/>
            </w:r>
            <w:r w:rsidRPr="00FF207E">
              <w:rPr>
                <w:rFonts w:cs="Arial"/>
                <w:b/>
                <w:bCs/>
                <w:color w:val="FFFFFF" w:themeColor="background1"/>
                <w:sz w:val="18"/>
                <w:szCs w:val="18"/>
                <w:lang w:val="sl-SI" w:eastAsia="sl-SI"/>
              </w:rPr>
              <w:t>1971–1980</w:t>
            </w:r>
          </w:p>
        </w:tc>
        <w:tc>
          <w:tcPr>
            <w:tcW w:w="1223" w:type="dxa"/>
            <w:tcBorders>
              <w:top w:val="dashSmallGap" w:sz="4" w:space="0" w:color="FFFFFF" w:themeColor="background1"/>
              <w:left w:val="dashSmallGap" w:sz="4" w:space="0" w:color="FFFFFF" w:themeColor="background1"/>
              <w:bottom w:val="single" w:sz="4" w:space="0" w:color="548DD4" w:themeColor="text2" w:themeTint="99"/>
              <w:right w:val="dashSmallGap" w:sz="4" w:space="0" w:color="FFFFFF" w:themeColor="background1"/>
            </w:tcBorders>
            <w:shd w:val="clear" w:color="auto" w:fill="548DD4" w:themeFill="text2" w:themeFillTint="99"/>
            <w:noWrap/>
            <w:vAlign w:val="center"/>
            <w:hideMark/>
          </w:tcPr>
          <w:p w14:paraId="2BEC13F0" w14:textId="47801C60" w:rsidR="006A46B2" w:rsidRPr="00FF207E" w:rsidRDefault="006A46B2" w:rsidP="001E304B">
            <w:pPr>
              <w:spacing w:before="80" w:after="80" w:line="240" w:lineRule="auto"/>
              <w:jc w:val="both"/>
              <w:rPr>
                <w:rFonts w:cs="Arial"/>
                <w:b/>
                <w:bCs/>
                <w:color w:val="FFFFFF" w:themeColor="background1"/>
                <w:sz w:val="18"/>
                <w:szCs w:val="18"/>
                <w:lang w:val="sl-SI" w:eastAsia="sl-SI"/>
              </w:rPr>
            </w:pPr>
            <w:r w:rsidRPr="00FF207E">
              <w:rPr>
                <w:rFonts w:cs="Arial"/>
                <w:b/>
                <w:bCs/>
                <w:color w:val="FFFFFF" w:themeColor="background1"/>
                <w:sz w:val="18"/>
                <w:szCs w:val="18"/>
                <w:lang w:val="sl-SI" w:eastAsia="sl-SI"/>
              </w:rPr>
              <w:t>4 =</w:t>
            </w:r>
            <w:r w:rsidR="00CE45BF" w:rsidRPr="00FF207E">
              <w:rPr>
                <w:rFonts w:cs="Arial"/>
                <w:b/>
                <w:bCs/>
                <w:color w:val="FFFFFF" w:themeColor="background1"/>
                <w:sz w:val="18"/>
                <w:szCs w:val="18"/>
                <w:lang w:val="sl-SI" w:eastAsia="sl-SI"/>
              </w:rPr>
              <w:br/>
            </w:r>
            <w:r w:rsidRPr="00FF207E">
              <w:rPr>
                <w:rFonts w:cs="Arial"/>
                <w:b/>
                <w:bCs/>
                <w:color w:val="FFFFFF" w:themeColor="background1"/>
                <w:sz w:val="18"/>
                <w:szCs w:val="18"/>
                <w:lang w:val="sl-SI" w:eastAsia="sl-SI"/>
              </w:rPr>
              <w:t>1981–2002</w:t>
            </w:r>
          </w:p>
        </w:tc>
        <w:tc>
          <w:tcPr>
            <w:tcW w:w="1002" w:type="dxa"/>
            <w:vMerge/>
            <w:tcBorders>
              <w:top w:val="dashSmallGap" w:sz="4" w:space="0" w:color="FFFFFF" w:themeColor="background1"/>
              <w:left w:val="dashSmallGap" w:sz="4" w:space="0" w:color="FFFFFF" w:themeColor="background1"/>
              <w:bottom w:val="single" w:sz="4" w:space="0" w:color="548DD4" w:themeColor="text2" w:themeTint="99"/>
              <w:right w:val="dashSmallGap" w:sz="4" w:space="0" w:color="FFFFFF" w:themeColor="background1"/>
            </w:tcBorders>
            <w:shd w:val="clear" w:color="auto" w:fill="548DD4" w:themeFill="text2" w:themeFillTint="99"/>
            <w:vAlign w:val="center"/>
            <w:hideMark/>
          </w:tcPr>
          <w:p w14:paraId="1AC59B68" w14:textId="77777777" w:rsidR="006A46B2" w:rsidRPr="00FF207E" w:rsidRDefault="006A46B2" w:rsidP="001E304B">
            <w:pPr>
              <w:spacing w:before="80" w:after="80" w:line="240" w:lineRule="auto"/>
              <w:jc w:val="both"/>
              <w:rPr>
                <w:rFonts w:cs="Arial"/>
                <w:b/>
                <w:bCs/>
                <w:color w:val="FFFFFF" w:themeColor="background1"/>
                <w:sz w:val="18"/>
                <w:szCs w:val="18"/>
                <w:lang w:val="sl-SI" w:eastAsia="sl-SI"/>
              </w:rPr>
            </w:pPr>
          </w:p>
        </w:tc>
        <w:tc>
          <w:tcPr>
            <w:tcW w:w="734" w:type="dxa"/>
            <w:tcBorders>
              <w:top w:val="dashSmallGap" w:sz="4" w:space="0" w:color="FFFFFF" w:themeColor="background1"/>
              <w:left w:val="dashSmallGap" w:sz="4" w:space="0" w:color="FFFFFF" w:themeColor="background1"/>
              <w:bottom w:val="single" w:sz="4" w:space="0" w:color="548DD4" w:themeColor="text2" w:themeTint="99"/>
              <w:right w:val="dashSmallGap" w:sz="4" w:space="0" w:color="FFFFFF" w:themeColor="background1"/>
            </w:tcBorders>
            <w:shd w:val="clear" w:color="auto" w:fill="548DD4" w:themeFill="text2" w:themeFillTint="99"/>
            <w:noWrap/>
            <w:vAlign w:val="center"/>
            <w:hideMark/>
          </w:tcPr>
          <w:p w14:paraId="29E7A79E" w14:textId="77777777" w:rsidR="006A46B2" w:rsidRPr="00FF207E" w:rsidRDefault="006A46B2" w:rsidP="001E304B">
            <w:pPr>
              <w:spacing w:before="80" w:after="80" w:line="240" w:lineRule="auto"/>
              <w:jc w:val="both"/>
              <w:rPr>
                <w:rFonts w:cs="Arial"/>
                <w:b/>
                <w:bCs/>
                <w:color w:val="FFFFFF" w:themeColor="background1"/>
                <w:sz w:val="18"/>
                <w:szCs w:val="18"/>
                <w:lang w:val="sl-SI" w:eastAsia="sl-SI"/>
              </w:rPr>
            </w:pPr>
            <w:r w:rsidRPr="00FF207E">
              <w:rPr>
                <w:rFonts w:cs="Arial"/>
                <w:b/>
                <w:bCs/>
                <w:color w:val="FFFFFF" w:themeColor="background1"/>
                <w:sz w:val="18"/>
                <w:szCs w:val="18"/>
                <w:lang w:val="sl-SI" w:eastAsia="sl-SI"/>
              </w:rPr>
              <w:t>1</w:t>
            </w:r>
          </w:p>
        </w:tc>
        <w:tc>
          <w:tcPr>
            <w:tcW w:w="723" w:type="dxa"/>
            <w:tcBorders>
              <w:top w:val="dashSmallGap" w:sz="4" w:space="0" w:color="FFFFFF" w:themeColor="background1"/>
              <w:left w:val="dashSmallGap" w:sz="4" w:space="0" w:color="FFFFFF" w:themeColor="background1"/>
              <w:bottom w:val="single" w:sz="4" w:space="0" w:color="548DD4" w:themeColor="text2" w:themeTint="99"/>
              <w:right w:val="dashSmallGap" w:sz="4" w:space="0" w:color="FFFFFF" w:themeColor="background1"/>
            </w:tcBorders>
            <w:shd w:val="clear" w:color="auto" w:fill="548DD4" w:themeFill="text2" w:themeFillTint="99"/>
            <w:noWrap/>
            <w:vAlign w:val="center"/>
            <w:hideMark/>
          </w:tcPr>
          <w:p w14:paraId="37163323" w14:textId="77777777" w:rsidR="006A46B2" w:rsidRPr="00FF207E" w:rsidRDefault="006A46B2" w:rsidP="001E304B">
            <w:pPr>
              <w:spacing w:before="80" w:after="80" w:line="240" w:lineRule="auto"/>
              <w:jc w:val="both"/>
              <w:rPr>
                <w:rFonts w:cs="Arial"/>
                <w:b/>
                <w:bCs/>
                <w:color w:val="FFFFFF" w:themeColor="background1"/>
                <w:sz w:val="18"/>
                <w:szCs w:val="18"/>
                <w:lang w:val="sl-SI" w:eastAsia="sl-SI"/>
              </w:rPr>
            </w:pPr>
            <w:r w:rsidRPr="00FF207E">
              <w:rPr>
                <w:rFonts w:cs="Arial"/>
                <w:b/>
                <w:bCs/>
                <w:color w:val="FFFFFF" w:themeColor="background1"/>
                <w:sz w:val="18"/>
                <w:szCs w:val="18"/>
                <w:lang w:val="sl-SI" w:eastAsia="sl-SI"/>
              </w:rPr>
              <w:t>2</w:t>
            </w:r>
          </w:p>
        </w:tc>
        <w:tc>
          <w:tcPr>
            <w:tcW w:w="723" w:type="dxa"/>
            <w:tcBorders>
              <w:top w:val="dashSmallGap" w:sz="4" w:space="0" w:color="FFFFFF" w:themeColor="background1"/>
              <w:left w:val="dashSmallGap" w:sz="4" w:space="0" w:color="FFFFFF" w:themeColor="background1"/>
              <w:bottom w:val="single" w:sz="4" w:space="0" w:color="548DD4" w:themeColor="text2" w:themeTint="99"/>
              <w:right w:val="dashSmallGap" w:sz="4" w:space="0" w:color="FFFFFF" w:themeColor="background1"/>
            </w:tcBorders>
            <w:shd w:val="clear" w:color="auto" w:fill="548DD4" w:themeFill="text2" w:themeFillTint="99"/>
            <w:noWrap/>
            <w:vAlign w:val="center"/>
            <w:hideMark/>
          </w:tcPr>
          <w:p w14:paraId="69B49E47" w14:textId="77777777" w:rsidR="006A46B2" w:rsidRPr="00FF207E" w:rsidRDefault="006A46B2" w:rsidP="001E304B">
            <w:pPr>
              <w:spacing w:before="80" w:after="80" w:line="240" w:lineRule="auto"/>
              <w:jc w:val="both"/>
              <w:rPr>
                <w:rFonts w:cs="Arial"/>
                <w:b/>
                <w:bCs/>
                <w:color w:val="FFFFFF" w:themeColor="background1"/>
                <w:sz w:val="18"/>
                <w:szCs w:val="18"/>
                <w:lang w:val="sl-SI" w:eastAsia="sl-SI"/>
              </w:rPr>
            </w:pPr>
            <w:r w:rsidRPr="00FF207E">
              <w:rPr>
                <w:rFonts w:cs="Arial"/>
                <w:b/>
                <w:bCs/>
                <w:color w:val="FFFFFF" w:themeColor="background1"/>
                <w:sz w:val="18"/>
                <w:szCs w:val="18"/>
                <w:lang w:val="sl-SI" w:eastAsia="sl-SI"/>
              </w:rPr>
              <w:t>3</w:t>
            </w:r>
          </w:p>
        </w:tc>
        <w:tc>
          <w:tcPr>
            <w:tcW w:w="723" w:type="dxa"/>
            <w:tcBorders>
              <w:top w:val="dashSmallGap" w:sz="4" w:space="0" w:color="FFFFFF" w:themeColor="background1"/>
              <w:left w:val="dashSmallGap" w:sz="4" w:space="0" w:color="FFFFFF" w:themeColor="background1"/>
              <w:bottom w:val="single" w:sz="4" w:space="0" w:color="548DD4" w:themeColor="text2" w:themeTint="99"/>
              <w:right w:val="dashSmallGap" w:sz="4" w:space="0" w:color="FFFFFF" w:themeColor="background1"/>
            </w:tcBorders>
            <w:shd w:val="clear" w:color="auto" w:fill="548DD4" w:themeFill="text2" w:themeFillTint="99"/>
            <w:noWrap/>
            <w:vAlign w:val="center"/>
            <w:hideMark/>
          </w:tcPr>
          <w:p w14:paraId="5128FE75" w14:textId="77777777" w:rsidR="006A46B2" w:rsidRPr="00FF207E" w:rsidRDefault="006A46B2" w:rsidP="001E304B">
            <w:pPr>
              <w:spacing w:before="80" w:after="80" w:line="240" w:lineRule="auto"/>
              <w:jc w:val="both"/>
              <w:rPr>
                <w:rFonts w:cs="Arial"/>
                <w:b/>
                <w:bCs/>
                <w:color w:val="FFFFFF" w:themeColor="background1"/>
                <w:sz w:val="18"/>
                <w:szCs w:val="18"/>
                <w:lang w:val="sl-SI" w:eastAsia="sl-SI"/>
              </w:rPr>
            </w:pPr>
            <w:r w:rsidRPr="00FF207E">
              <w:rPr>
                <w:rFonts w:cs="Arial"/>
                <w:b/>
                <w:bCs/>
                <w:color w:val="FFFFFF" w:themeColor="background1"/>
                <w:sz w:val="18"/>
                <w:szCs w:val="18"/>
                <w:lang w:val="sl-SI" w:eastAsia="sl-SI"/>
              </w:rPr>
              <w:t>4</w:t>
            </w:r>
          </w:p>
        </w:tc>
        <w:tc>
          <w:tcPr>
            <w:tcW w:w="721" w:type="dxa"/>
            <w:tcBorders>
              <w:top w:val="dashSmallGap" w:sz="4" w:space="0" w:color="FFFFFF" w:themeColor="background1"/>
              <w:left w:val="dashSmallGap" w:sz="4" w:space="0" w:color="FFFFFF" w:themeColor="background1"/>
              <w:bottom w:val="single" w:sz="4" w:space="0" w:color="548DD4" w:themeColor="text2" w:themeTint="99"/>
              <w:right w:val="dashSmallGap" w:sz="4" w:space="0" w:color="FFFFFF" w:themeColor="background1"/>
            </w:tcBorders>
            <w:shd w:val="clear" w:color="auto" w:fill="548DD4" w:themeFill="text2" w:themeFillTint="99"/>
            <w:noWrap/>
            <w:vAlign w:val="center"/>
            <w:hideMark/>
          </w:tcPr>
          <w:p w14:paraId="2CB6A13A" w14:textId="77777777" w:rsidR="006A46B2" w:rsidRPr="00FF207E" w:rsidRDefault="006A46B2" w:rsidP="001E304B">
            <w:pPr>
              <w:spacing w:before="80" w:after="80" w:line="240" w:lineRule="auto"/>
              <w:jc w:val="both"/>
              <w:rPr>
                <w:rFonts w:cs="Arial"/>
                <w:b/>
                <w:bCs/>
                <w:color w:val="FFFFFF" w:themeColor="background1"/>
                <w:sz w:val="18"/>
                <w:szCs w:val="18"/>
                <w:lang w:val="sl-SI" w:eastAsia="sl-SI"/>
              </w:rPr>
            </w:pPr>
            <w:r w:rsidRPr="00FF207E">
              <w:rPr>
                <w:rFonts w:cs="Arial"/>
                <w:b/>
                <w:bCs/>
                <w:color w:val="FFFFFF" w:themeColor="background1"/>
                <w:sz w:val="18"/>
                <w:szCs w:val="18"/>
                <w:lang w:val="sl-SI" w:eastAsia="sl-SI"/>
              </w:rPr>
              <w:t>1</w:t>
            </w:r>
          </w:p>
        </w:tc>
        <w:tc>
          <w:tcPr>
            <w:tcW w:w="931" w:type="dxa"/>
            <w:tcBorders>
              <w:top w:val="dashSmallGap" w:sz="4" w:space="0" w:color="FFFFFF" w:themeColor="background1"/>
              <w:left w:val="dashSmallGap" w:sz="4" w:space="0" w:color="FFFFFF" w:themeColor="background1"/>
              <w:bottom w:val="single" w:sz="4" w:space="0" w:color="548DD4" w:themeColor="text2" w:themeTint="99"/>
              <w:right w:val="dashSmallGap" w:sz="4" w:space="0" w:color="FFFFFF" w:themeColor="background1"/>
            </w:tcBorders>
            <w:shd w:val="clear" w:color="auto" w:fill="548DD4" w:themeFill="text2" w:themeFillTint="99"/>
            <w:noWrap/>
            <w:vAlign w:val="center"/>
            <w:hideMark/>
          </w:tcPr>
          <w:p w14:paraId="7553F5EC" w14:textId="77777777" w:rsidR="006A46B2" w:rsidRPr="00FF207E" w:rsidRDefault="006A46B2" w:rsidP="001E304B">
            <w:pPr>
              <w:spacing w:before="80" w:after="80" w:line="240" w:lineRule="auto"/>
              <w:jc w:val="both"/>
              <w:rPr>
                <w:rFonts w:cs="Arial"/>
                <w:b/>
                <w:bCs/>
                <w:color w:val="FFFFFF" w:themeColor="background1"/>
                <w:sz w:val="18"/>
                <w:szCs w:val="18"/>
                <w:lang w:val="sl-SI" w:eastAsia="sl-SI"/>
              </w:rPr>
            </w:pPr>
            <w:r w:rsidRPr="00FF207E">
              <w:rPr>
                <w:rFonts w:cs="Arial"/>
                <w:b/>
                <w:bCs/>
                <w:color w:val="FFFFFF" w:themeColor="background1"/>
                <w:sz w:val="18"/>
                <w:szCs w:val="18"/>
                <w:lang w:val="sl-SI" w:eastAsia="sl-SI"/>
              </w:rPr>
              <w:t>2</w:t>
            </w:r>
          </w:p>
        </w:tc>
        <w:tc>
          <w:tcPr>
            <w:tcW w:w="721" w:type="dxa"/>
            <w:tcBorders>
              <w:top w:val="dashSmallGap" w:sz="4" w:space="0" w:color="FFFFFF" w:themeColor="background1"/>
              <w:left w:val="dashSmallGap" w:sz="4" w:space="0" w:color="FFFFFF" w:themeColor="background1"/>
              <w:bottom w:val="single" w:sz="4" w:space="0" w:color="548DD4" w:themeColor="text2" w:themeTint="99"/>
              <w:right w:val="dashSmallGap" w:sz="4" w:space="0" w:color="FFFFFF" w:themeColor="background1"/>
            </w:tcBorders>
            <w:shd w:val="clear" w:color="auto" w:fill="548DD4" w:themeFill="text2" w:themeFillTint="99"/>
            <w:noWrap/>
            <w:vAlign w:val="center"/>
            <w:hideMark/>
          </w:tcPr>
          <w:p w14:paraId="310E665B" w14:textId="77777777" w:rsidR="006A46B2" w:rsidRPr="00FF207E" w:rsidRDefault="006A46B2" w:rsidP="001E304B">
            <w:pPr>
              <w:spacing w:before="80" w:after="80" w:line="240" w:lineRule="auto"/>
              <w:jc w:val="both"/>
              <w:rPr>
                <w:rFonts w:cs="Arial"/>
                <w:b/>
                <w:bCs/>
                <w:color w:val="FFFFFF" w:themeColor="background1"/>
                <w:sz w:val="18"/>
                <w:szCs w:val="18"/>
                <w:lang w:val="sl-SI" w:eastAsia="sl-SI"/>
              </w:rPr>
            </w:pPr>
            <w:r w:rsidRPr="00FF207E">
              <w:rPr>
                <w:rFonts w:cs="Arial"/>
                <w:b/>
                <w:bCs/>
                <w:color w:val="FFFFFF" w:themeColor="background1"/>
                <w:sz w:val="18"/>
                <w:szCs w:val="18"/>
                <w:lang w:val="sl-SI" w:eastAsia="sl-SI"/>
              </w:rPr>
              <w:t>3</w:t>
            </w:r>
          </w:p>
        </w:tc>
        <w:tc>
          <w:tcPr>
            <w:tcW w:w="725" w:type="dxa"/>
            <w:tcBorders>
              <w:top w:val="dashSmallGap" w:sz="4" w:space="0" w:color="FFFFFF" w:themeColor="background1"/>
              <w:left w:val="dashSmallGap" w:sz="4" w:space="0" w:color="FFFFFF" w:themeColor="background1"/>
              <w:bottom w:val="single" w:sz="4" w:space="0" w:color="548DD4" w:themeColor="text2" w:themeTint="99"/>
              <w:right w:val="single" w:sz="4" w:space="0" w:color="FFFFFF" w:themeColor="background1"/>
            </w:tcBorders>
            <w:shd w:val="clear" w:color="auto" w:fill="548DD4" w:themeFill="text2" w:themeFillTint="99"/>
            <w:noWrap/>
            <w:vAlign w:val="center"/>
            <w:hideMark/>
          </w:tcPr>
          <w:p w14:paraId="10798236" w14:textId="77777777" w:rsidR="006A46B2" w:rsidRPr="00FF207E" w:rsidRDefault="006A46B2" w:rsidP="001E304B">
            <w:pPr>
              <w:spacing w:before="80" w:after="80" w:line="240" w:lineRule="auto"/>
              <w:jc w:val="both"/>
              <w:rPr>
                <w:rFonts w:cs="Arial"/>
                <w:b/>
                <w:bCs/>
                <w:color w:val="FFFFFF" w:themeColor="background1"/>
                <w:sz w:val="18"/>
                <w:szCs w:val="18"/>
                <w:lang w:val="sl-SI" w:eastAsia="sl-SI"/>
              </w:rPr>
            </w:pPr>
            <w:r w:rsidRPr="00FF207E">
              <w:rPr>
                <w:rFonts w:cs="Arial"/>
                <w:b/>
                <w:bCs/>
                <w:color w:val="FFFFFF" w:themeColor="background1"/>
                <w:sz w:val="18"/>
                <w:szCs w:val="18"/>
                <w:lang w:val="sl-SI" w:eastAsia="sl-SI"/>
              </w:rPr>
              <w:t>4</w:t>
            </w:r>
          </w:p>
        </w:tc>
        <w:tc>
          <w:tcPr>
            <w:tcW w:w="832" w:type="dxa"/>
            <w:vMerge/>
            <w:tcBorders>
              <w:left w:val="single" w:sz="4" w:space="0" w:color="FFFFFF" w:themeColor="background1"/>
              <w:bottom w:val="single" w:sz="4" w:space="0" w:color="548DD4" w:themeColor="text2" w:themeTint="99"/>
            </w:tcBorders>
            <w:shd w:val="clear" w:color="auto" w:fill="548DD4" w:themeFill="text2" w:themeFillTint="99"/>
            <w:vAlign w:val="center"/>
            <w:hideMark/>
          </w:tcPr>
          <w:p w14:paraId="2084FA3B" w14:textId="77777777" w:rsidR="006A46B2" w:rsidRPr="00FF207E" w:rsidRDefault="006A46B2" w:rsidP="001E304B">
            <w:pPr>
              <w:spacing w:before="80" w:after="80" w:line="240" w:lineRule="auto"/>
              <w:jc w:val="both"/>
              <w:rPr>
                <w:rFonts w:cs="Arial"/>
                <w:b/>
                <w:bCs/>
                <w:color w:val="FFFFFF" w:themeColor="background1"/>
                <w:sz w:val="18"/>
                <w:szCs w:val="18"/>
                <w:lang w:val="sl-SI" w:eastAsia="sl-SI"/>
              </w:rPr>
            </w:pPr>
          </w:p>
        </w:tc>
      </w:tr>
      <w:tr w:rsidR="00CE45BF" w:rsidRPr="00FF207E" w14:paraId="37CFE67E" w14:textId="77777777" w:rsidTr="0051755A">
        <w:trPr>
          <w:trHeight w:val="282"/>
        </w:trPr>
        <w:tc>
          <w:tcPr>
            <w:tcW w:w="1985" w:type="dxa"/>
            <w:tcBorders>
              <w:top w:val="single"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620E4A92" w14:textId="7727DD5E" w:rsidR="006A46B2" w:rsidRPr="00FF207E" w:rsidRDefault="009441D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g</w:t>
            </w:r>
            <w:r w:rsidR="006A46B2" w:rsidRPr="00FF207E">
              <w:rPr>
                <w:rFonts w:cs="Arial"/>
                <w:color w:val="000000"/>
                <w:sz w:val="20"/>
                <w:szCs w:val="20"/>
                <w:lang w:val="sl-SI" w:eastAsia="sl-SI"/>
              </w:rPr>
              <w:t>orenjska</w:t>
            </w:r>
          </w:p>
        </w:tc>
        <w:tc>
          <w:tcPr>
            <w:tcW w:w="1276" w:type="dxa"/>
            <w:tcBorders>
              <w:top w:val="single"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594FA7AB" w14:textId="635DFFF7"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952.637 </w:t>
            </w:r>
          </w:p>
        </w:tc>
        <w:tc>
          <w:tcPr>
            <w:tcW w:w="1275" w:type="dxa"/>
            <w:tcBorders>
              <w:top w:val="single"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5FE022C9" w14:textId="19DFA875"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935.577 </w:t>
            </w:r>
          </w:p>
        </w:tc>
        <w:tc>
          <w:tcPr>
            <w:tcW w:w="1276" w:type="dxa"/>
            <w:tcBorders>
              <w:top w:val="single"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34A366CA" w14:textId="344E4B53"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824.789 </w:t>
            </w:r>
          </w:p>
        </w:tc>
        <w:tc>
          <w:tcPr>
            <w:tcW w:w="1223" w:type="dxa"/>
            <w:tcBorders>
              <w:top w:val="single"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7BAB3131" w14:textId="3AAC792F"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1.271.788 </w:t>
            </w:r>
          </w:p>
        </w:tc>
        <w:tc>
          <w:tcPr>
            <w:tcW w:w="1002" w:type="dxa"/>
            <w:tcBorders>
              <w:top w:val="single" w:sz="4" w:space="0" w:color="548DD4" w:themeColor="text2" w:themeTint="99"/>
              <w:left w:val="single"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718B0E86" w14:textId="7F965B85"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211.501</w:t>
            </w:r>
          </w:p>
        </w:tc>
        <w:tc>
          <w:tcPr>
            <w:tcW w:w="734" w:type="dxa"/>
            <w:tcBorders>
              <w:top w:val="single"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7EB90FE8" w14:textId="1DCD265A"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4,5</w:t>
            </w:r>
          </w:p>
        </w:tc>
        <w:tc>
          <w:tcPr>
            <w:tcW w:w="723" w:type="dxa"/>
            <w:tcBorders>
              <w:top w:val="single"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1CA42068" w14:textId="0FD9E17D"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4,4</w:t>
            </w:r>
          </w:p>
        </w:tc>
        <w:tc>
          <w:tcPr>
            <w:tcW w:w="723" w:type="dxa"/>
            <w:tcBorders>
              <w:top w:val="single"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5F7C09A0" w14:textId="4FC86AD9"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3,9</w:t>
            </w:r>
          </w:p>
        </w:tc>
        <w:tc>
          <w:tcPr>
            <w:tcW w:w="723" w:type="dxa"/>
            <w:tcBorders>
              <w:top w:val="single"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348A22C8" w14:textId="6666E156"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6,0</w:t>
            </w:r>
          </w:p>
        </w:tc>
        <w:tc>
          <w:tcPr>
            <w:tcW w:w="721" w:type="dxa"/>
            <w:tcBorders>
              <w:top w:val="single"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32651C76" w14:textId="7B2478A4"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3,6</w:t>
            </w:r>
          </w:p>
        </w:tc>
        <w:tc>
          <w:tcPr>
            <w:tcW w:w="931" w:type="dxa"/>
            <w:tcBorders>
              <w:top w:val="single"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6C01B17B" w14:textId="2E287D10"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2,7</w:t>
            </w:r>
          </w:p>
        </w:tc>
        <w:tc>
          <w:tcPr>
            <w:tcW w:w="721" w:type="dxa"/>
            <w:tcBorders>
              <w:top w:val="single"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1802BAFD" w14:textId="153A2194"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1,6</w:t>
            </w:r>
          </w:p>
        </w:tc>
        <w:tc>
          <w:tcPr>
            <w:tcW w:w="725" w:type="dxa"/>
            <w:tcBorders>
              <w:top w:val="single"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3BCC46C4" w14:textId="5B957AC0"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1,2</w:t>
            </w:r>
          </w:p>
        </w:tc>
        <w:tc>
          <w:tcPr>
            <w:tcW w:w="832" w:type="dxa"/>
            <w:tcBorders>
              <w:top w:val="single" w:sz="4" w:space="0" w:color="548DD4" w:themeColor="text2" w:themeTint="99"/>
              <w:left w:val="single" w:sz="4" w:space="0" w:color="548DD4" w:themeColor="text2" w:themeTint="99"/>
              <w:bottom w:val="dashSmallGap" w:sz="4" w:space="0" w:color="548DD4" w:themeColor="text2" w:themeTint="99"/>
            </w:tcBorders>
            <w:shd w:val="clear" w:color="000000" w:fill="FFFFFF"/>
            <w:noWrap/>
            <w:vAlign w:val="center"/>
            <w:hideMark/>
          </w:tcPr>
          <w:p w14:paraId="26C3924A" w14:textId="71987086"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9,0</w:t>
            </w:r>
          </w:p>
        </w:tc>
      </w:tr>
      <w:tr w:rsidR="00CE45BF" w:rsidRPr="00FF207E" w14:paraId="035B5158" w14:textId="77777777" w:rsidTr="0051755A">
        <w:trPr>
          <w:trHeight w:val="282"/>
        </w:trPr>
        <w:tc>
          <w:tcPr>
            <w:tcW w:w="1985" w:type="dxa"/>
            <w:tcBorders>
              <w:top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3DCA3FCC" w14:textId="4F6468B7" w:rsidR="006A46B2" w:rsidRPr="00FF207E" w:rsidRDefault="009441D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g</w:t>
            </w:r>
            <w:r w:rsidR="006A46B2" w:rsidRPr="00FF207E">
              <w:rPr>
                <w:rFonts w:cs="Arial"/>
                <w:color w:val="000000"/>
                <w:sz w:val="20"/>
                <w:szCs w:val="20"/>
                <w:lang w:val="sl-SI" w:eastAsia="sl-SI"/>
              </w:rPr>
              <w:t>oriška</w:t>
            </w:r>
          </w:p>
        </w:tc>
        <w:tc>
          <w:tcPr>
            <w:tcW w:w="1276"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12FE4EA7" w14:textId="2831A3B6"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1.229.149 </w:t>
            </w:r>
          </w:p>
        </w:tc>
        <w:tc>
          <w:tcPr>
            <w:tcW w:w="1275"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411C1277" w14:textId="05B1C53D"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352.058 </w:t>
            </w:r>
          </w:p>
        </w:tc>
        <w:tc>
          <w:tcPr>
            <w:tcW w:w="1276"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6CFD491A" w14:textId="0FE85B60"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509.680 </w:t>
            </w:r>
          </w:p>
        </w:tc>
        <w:tc>
          <w:tcPr>
            <w:tcW w:w="12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4BEA5D89" w14:textId="7FFABAB7"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766.637 </w:t>
            </w:r>
          </w:p>
        </w:tc>
        <w:tc>
          <w:tcPr>
            <w:tcW w:w="1002" w:type="dxa"/>
            <w:tcBorders>
              <w:top w:val="dashSmallGap" w:sz="4" w:space="0" w:color="548DD4" w:themeColor="text2" w:themeTint="99"/>
              <w:left w:val="single"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79132A9B" w14:textId="6DBB9CA5"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118.356</w:t>
            </w:r>
          </w:p>
        </w:tc>
        <w:tc>
          <w:tcPr>
            <w:tcW w:w="734"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6F567457" w14:textId="02E4C091"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10,4</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62BA2D82" w14:textId="7B20B5E1"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3,0</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1B70B077" w14:textId="49743259"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4,3</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4D2E8FB5" w14:textId="18860B0C"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6,5</w:t>
            </w:r>
          </w:p>
        </w:tc>
        <w:tc>
          <w:tcPr>
            <w:tcW w:w="721"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0E4C01BA" w14:textId="27D34326"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8,3</w:t>
            </w:r>
          </w:p>
        </w:tc>
        <w:tc>
          <w:tcPr>
            <w:tcW w:w="93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14EAF06C" w14:textId="670F4B38"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1,8</w:t>
            </w:r>
          </w:p>
        </w:tc>
        <w:tc>
          <w:tcPr>
            <w:tcW w:w="72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14162D63" w14:textId="4799151F"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1,7</w:t>
            </w:r>
          </w:p>
        </w:tc>
        <w:tc>
          <w:tcPr>
            <w:tcW w:w="725"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31D7F3C0" w14:textId="6DA831C1"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1,3</w:t>
            </w:r>
          </w:p>
        </w:tc>
        <w:tc>
          <w:tcPr>
            <w:tcW w:w="832" w:type="dxa"/>
            <w:tcBorders>
              <w:top w:val="dashSmallGap" w:sz="4" w:space="0" w:color="548DD4" w:themeColor="text2" w:themeTint="99"/>
              <w:left w:val="single" w:sz="4" w:space="0" w:color="548DD4" w:themeColor="text2" w:themeTint="99"/>
              <w:bottom w:val="dashSmallGap" w:sz="4" w:space="0" w:color="548DD4" w:themeColor="text2" w:themeTint="99"/>
            </w:tcBorders>
            <w:shd w:val="clear" w:color="000000" w:fill="FFFFFF"/>
            <w:noWrap/>
            <w:vAlign w:val="center"/>
            <w:hideMark/>
          </w:tcPr>
          <w:p w14:paraId="44AEDCD9" w14:textId="0743A26B"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13,1</w:t>
            </w:r>
          </w:p>
        </w:tc>
      </w:tr>
      <w:tr w:rsidR="00CE45BF" w:rsidRPr="00FF207E" w14:paraId="1DCB9C2D" w14:textId="77777777" w:rsidTr="0051755A">
        <w:trPr>
          <w:trHeight w:val="282"/>
        </w:trPr>
        <w:tc>
          <w:tcPr>
            <w:tcW w:w="1985" w:type="dxa"/>
            <w:tcBorders>
              <w:top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614C4EA5" w14:textId="5A122133" w:rsidR="006A46B2" w:rsidRPr="00FF207E" w:rsidRDefault="009441D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j</w:t>
            </w:r>
            <w:r w:rsidR="006A46B2" w:rsidRPr="00FF207E">
              <w:rPr>
                <w:rFonts w:cs="Arial"/>
                <w:color w:val="000000"/>
                <w:sz w:val="20"/>
                <w:szCs w:val="20"/>
                <w:lang w:val="sl-SI" w:eastAsia="sl-SI"/>
              </w:rPr>
              <w:t>ugovzhodna Slovenija</w:t>
            </w:r>
          </w:p>
        </w:tc>
        <w:tc>
          <w:tcPr>
            <w:tcW w:w="1276"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4771FA31" w14:textId="1362560F"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756.119 </w:t>
            </w:r>
          </w:p>
        </w:tc>
        <w:tc>
          <w:tcPr>
            <w:tcW w:w="1275"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7A97F301" w14:textId="60063DC7"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755.369 </w:t>
            </w:r>
          </w:p>
        </w:tc>
        <w:tc>
          <w:tcPr>
            <w:tcW w:w="1276"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325258F6" w14:textId="037062C2"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819.052 </w:t>
            </w:r>
          </w:p>
        </w:tc>
        <w:tc>
          <w:tcPr>
            <w:tcW w:w="12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1C2BA8EA" w14:textId="50D9F9D0"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1.278.423 </w:t>
            </w:r>
          </w:p>
        </w:tc>
        <w:tc>
          <w:tcPr>
            <w:tcW w:w="1002" w:type="dxa"/>
            <w:tcBorders>
              <w:top w:val="dashSmallGap" w:sz="4" w:space="0" w:color="548DD4" w:themeColor="text2" w:themeTint="99"/>
              <w:left w:val="single"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51FBE0CA" w14:textId="1F0A94B5"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145.879</w:t>
            </w:r>
          </w:p>
        </w:tc>
        <w:tc>
          <w:tcPr>
            <w:tcW w:w="734"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46EB7FAC" w14:textId="07181656"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5,2</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538DBE9A" w14:textId="0152A5E0"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5,2</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7FD600F8" w14:textId="03EDC52C"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5,6</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4FF020EE" w14:textId="68103BCC"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8,8</w:t>
            </w:r>
          </w:p>
        </w:tc>
        <w:tc>
          <w:tcPr>
            <w:tcW w:w="721"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4A2C2799" w14:textId="3791583D"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4,1</w:t>
            </w:r>
          </w:p>
        </w:tc>
        <w:tc>
          <w:tcPr>
            <w:tcW w:w="93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1AF7E9F5" w14:textId="4D9A86BF"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3,1</w:t>
            </w:r>
          </w:p>
        </w:tc>
        <w:tc>
          <w:tcPr>
            <w:tcW w:w="72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33D71985" w14:textId="21ADA798"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2,2</w:t>
            </w:r>
          </w:p>
        </w:tc>
        <w:tc>
          <w:tcPr>
            <w:tcW w:w="725"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5DFAE206" w14:textId="7B81BB8C"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1,8</w:t>
            </w:r>
          </w:p>
        </w:tc>
        <w:tc>
          <w:tcPr>
            <w:tcW w:w="832" w:type="dxa"/>
            <w:tcBorders>
              <w:top w:val="dashSmallGap" w:sz="4" w:space="0" w:color="548DD4" w:themeColor="text2" w:themeTint="99"/>
              <w:left w:val="single" w:sz="4" w:space="0" w:color="548DD4" w:themeColor="text2" w:themeTint="99"/>
              <w:bottom w:val="dashSmallGap" w:sz="4" w:space="0" w:color="548DD4" w:themeColor="text2" w:themeTint="99"/>
            </w:tcBorders>
            <w:shd w:val="clear" w:color="000000" w:fill="FFFFFF"/>
            <w:noWrap/>
            <w:vAlign w:val="center"/>
            <w:hideMark/>
          </w:tcPr>
          <w:p w14:paraId="7CBDF0CB" w14:textId="4401F740"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11,3</w:t>
            </w:r>
          </w:p>
        </w:tc>
      </w:tr>
      <w:tr w:rsidR="00CE45BF" w:rsidRPr="00FF207E" w14:paraId="7960B13A" w14:textId="77777777" w:rsidTr="0051755A">
        <w:trPr>
          <w:trHeight w:val="282"/>
        </w:trPr>
        <w:tc>
          <w:tcPr>
            <w:tcW w:w="1985" w:type="dxa"/>
            <w:tcBorders>
              <w:top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27332AB7" w14:textId="049090E0" w:rsidR="006A46B2" w:rsidRPr="00FF207E" w:rsidRDefault="009441D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k</w:t>
            </w:r>
            <w:r w:rsidR="006A46B2" w:rsidRPr="00FF207E">
              <w:rPr>
                <w:rFonts w:cs="Arial"/>
                <w:color w:val="000000"/>
                <w:sz w:val="20"/>
                <w:szCs w:val="20"/>
                <w:lang w:val="sl-SI" w:eastAsia="sl-SI"/>
              </w:rPr>
              <w:t>oroška</w:t>
            </w:r>
          </w:p>
        </w:tc>
        <w:tc>
          <w:tcPr>
            <w:tcW w:w="1276"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70FA6314" w14:textId="3E8C483A"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265.554 </w:t>
            </w:r>
          </w:p>
        </w:tc>
        <w:tc>
          <w:tcPr>
            <w:tcW w:w="1275"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50B7E3BC" w14:textId="6A7CD534"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356.579 </w:t>
            </w:r>
          </w:p>
        </w:tc>
        <w:tc>
          <w:tcPr>
            <w:tcW w:w="1276"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39A88BAC" w14:textId="098954CB"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302.674 </w:t>
            </w:r>
          </w:p>
        </w:tc>
        <w:tc>
          <w:tcPr>
            <w:tcW w:w="12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1203204D" w14:textId="555179CD"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566.356 </w:t>
            </w:r>
          </w:p>
        </w:tc>
        <w:tc>
          <w:tcPr>
            <w:tcW w:w="1002" w:type="dxa"/>
            <w:tcBorders>
              <w:top w:val="dashSmallGap" w:sz="4" w:space="0" w:color="548DD4" w:themeColor="text2" w:themeTint="99"/>
              <w:left w:val="single"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1CFAE325" w14:textId="7D8E174C"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70.636</w:t>
            </w:r>
          </w:p>
        </w:tc>
        <w:tc>
          <w:tcPr>
            <w:tcW w:w="734"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5FE8CC9E" w14:textId="24F7C1FB"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3,8</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00FEC2DD" w14:textId="65FCDF49"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5,0</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48863642" w14:textId="2255F829"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4,3</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5FDC4EA1" w14:textId="371ECA32"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8,0</w:t>
            </w:r>
          </w:p>
        </w:tc>
        <w:tc>
          <w:tcPr>
            <w:tcW w:w="721"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21C154D3" w14:textId="689B6342"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3,0</w:t>
            </w:r>
          </w:p>
        </w:tc>
        <w:tc>
          <w:tcPr>
            <w:tcW w:w="93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10DFF06E" w14:textId="0D743AFC"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3,0</w:t>
            </w:r>
          </w:p>
        </w:tc>
        <w:tc>
          <w:tcPr>
            <w:tcW w:w="72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7A177443" w14:textId="1EB621A4"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1,7</w:t>
            </w:r>
          </w:p>
        </w:tc>
        <w:tc>
          <w:tcPr>
            <w:tcW w:w="725"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70D43967" w14:textId="324A0137"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1,6</w:t>
            </w:r>
          </w:p>
        </w:tc>
        <w:tc>
          <w:tcPr>
            <w:tcW w:w="832" w:type="dxa"/>
            <w:tcBorders>
              <w:top w:val="dashSmallGap" w:sz="4" w:space="0" w:color="548DD4" w:themeColor="text2" w:themeTint="99"/>
              <w:left w:val="single" w:sz="4" w:space="0" w:color="548DD4" w:themeColor="text2" w:themeTint="99"/>
              <w:bottom w:val="dashSmallGap" w:sz="4" w:space="0" w:color="548DD4" w:themeColor="text2" w:themeTint="99"/>
            </w:tcBorders>
            <w:shd w:val="clear" w:color="000000" w:fill="FFFFFF"/>
            <w:noWrap/>
            <w:vAlign w:val="center"/>
            <w:hideMark/>
          </w:tcPr>
          <w:p w14:paraId="18AB296B" w14:textId="71428C05"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9,4</w:t>
            </w:r>
          </w:p>
        </w:tc>
      </w:tr>
      <w:tr w:rsidR="00CE45BF" w:rsidRPr="00FF207E" w14:paraId="4A156998" w14:textId="77777777" w:rsidTr="0051755A">
        <w:trPr>
          <w:trHeight w:val="282"/>
        </w:trPr>
        <w:tc>
          <w:tcPr>
            <w:tcW w:w="1985" w:type="dxa"/>
            <w:tcBorders>
              <w:top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0D7C0997" w14:textId="391291B4" w:rsidR="006A46B2" w:rsidRPr="00FF207E" w:rsidRDefault="009441D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o</w:t>
            </w:r>
            <w:r w:rsidR="006A46B2" w:rsidRPr="00FF207E">
              <w:rPr>
                <w:rFonts w:cs="Arial"/>
                <w:color w:val="000000"/>
                <w:sz w:val="20"/>
                <w:szCs w:val="20"/>
                <w:lang w:val="sl-SI" w:eastAsia="sl-SI"/>
              </w:rPr>
              <w:t>balno-kraška</w:t>
            </w:r>
          </w:p>
        </w:tc>
        <w:tc>
          <w:tcPr>
            <w:tcW w:w="1276"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6A88A1B9" w14:textId="26BBBD8D"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764.331 </w:t>
            </w:r>
          </w:p>
        </w:tc>
        <w:tc>
          <w:tcPr>
            <w:tcW w:w="1275"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16B11512" w14:textId="520C2AE5"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260.144 </w:t>
            </w:r>
          </w:p>
        </w:tc>
        <w:tc>
          <w:tcPr>
            <w:tcW w:w="1276"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2282055E" w14:textId="74869894"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306.788 </w:t>
            </w:r>
          </w:p>
        </w:tc>
        <w:tc>
          <w:tcPr>
            <w:tcW w:w="12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7114B8F8" w14:textId="31BA9420"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671.839 </w:t>
            </w:r>
          </w:p>
        </w:tc>
        <w:tc>
          <w:tcPr>
            <w:tcW w:w="1002" w:type="dxa"/>
            <w:tcBorders>
              <w:top w:val="dashSmallGap" w:sz="4" w:space="0" w:color="548DD4" w:themeColor="text2" w:themeTint="99"/>
              <w:left w:val="single"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4308E96C" w14:textId="38502BC6"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118.494</w:t>
            </w:r>
          </w:p>
        </w:tc>
        <w:tc>
          <w:tcPr>
            <w:tcW w:w="734"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47EF9A4B" w14:textId="2DB016F8"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6,5</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4DFF02B7" w14:textId="30C05158"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2,2</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4B180DA8" w14:textId="01AFC14A"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2,6</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74D0C470" w14:textId="0FF1322F"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5,7</w:t>
            </w:r>
          </w:p>
        </w:tc>
        <w:tc>
          <w:tcPr>
            <w:tcW w:w="721"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080CF7CC" w14:textId="789346BD"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5,2</w:t>
            </w:r>
          </w:p>
        </w:tc>
        <w:tc>
          <w:tcPr>
            <w:tcW w:w="93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748B115E" w14:textId="3D253F2A"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1,3</w:t>
            </w:r>
          </w:p>
        </w:tc>
        <w:tc>
          <w:tcPr>
            <w:tcW w:w="72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16262F33" w14:textId="4CDF8643"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1,0</w:t>
            </w:r>
          </w:p>
        </w:tc>
        <w:tc>
          <w:tcPr>
            <w:tcW w:w="725"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51ED684E" w14:textId="3185B916"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1,1</w:t>
            </w:r>
          </w:p>
        </w:tc>
        <w:tc>
          <w:tcPr>
            <w:tcW w:w="832" w:type="dxa"/>
            <w:tcBorders>
              <w:top w:val="dashSmallGap" w:sz="4" w:space="0" w:color="548DD4" w:themeColor="text2" w:themeTint="99"/>
              <w:left w:val="single" w:sz="4" w:space="0" w:color="548DD4" w:themeColor="text2" w:themeTint="99"/>
              <w:bottom w:val="dashSmallGap" w:sz="4" w:space="0" w:color="548DD4" w:themeColor="text2" w:themeTint="99"/>
            </w:tcBorders>
            <w:shd w:val="clear" w:color="000000" w:fill="FFFFFF"/>
            <w:noWrap/>
            <w:vAlign w:val="center"/>
            <w:hideMark/>
          </w:tcPr>
          <w:p w14:paraId="1BC75BB2" w14:textId="75442FC4"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8,6</w:t>
            </w:r>
          </w:p>
        </w:tc>
      </w:tr>
      <w:tr w:rsidR="00CE45BF" w:rsidRPr="00FF207E" w14:paraId="66007CD5" w14:textId="77777777" w:rsidTr="0051755A">
        <w:trPr>
          <w:trHeight w:val="282"/>
        </w:trPr>
        <w:tc>
          <w:tcPr>
            <w:tcW w:w="1985" w:type="dxa"/>
            <w:tcBorders>
              <w:top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3280D352" w14:textId="186C864D" w:rsidR="006A46B2" w:rsidRPr="00FF207E" w:rsidRDefault="009441D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o</w:t>
            </w:r>
            <w:r w:rsidR="006A46B2" w:rsidRPr="00FF207E">
              <w:rPr>
                <w:rFonts w:cs="Arial"/>
                <w:color w:val="000000"/>
                <w:sz w:val="20"/>
                <w:szCs w:val="20"/>
                <w:lang w:val="sl-SI" w:eastAsia="sl-SI"/>
              </w:rPr>
              <w:t>srednjeslovenska</w:t>
            </w:r>
          </w:p>
        </w:tc>
        <w:tc>
          <w:tcPr>
            <w:tcW w:w="1276"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1337C83C" w14:textId="0B6393F5"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1.438.987 </w:t>
            </w:r>
          </w:p>
        </w:tc>
        <w:tc>
          <w:tcPr>
            <w:tcW w:w="1275"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5E09584C" w14:textId="37D66876"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2.012.282 </w:t>
            </w:r>
          </w:p>
        </w:tc>
        <w:tc>
          <w:tcPr>
            <w:tcW w:w="1276"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278D45C9" w14:textId="6A9865BE"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1.805.467 </w:t>
            </w:r>
          </w:p>
        </w:tc>
        <w:tc>
          <w:tcPr>
            <w:tcW w:w="12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71BAF241" w14:textId="5DD1639E"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2.827.205 </w:t>
            </w:r>
          </w:p>
        </w:tc>
        <w:tc>
          <w:tcPr>
            <w:tcW w:w="1002" w:type="dxa"/>
            <w:tcBorders>
              <w:top w:val="dashSmallGap" w:sz="4" w:space="0" w:color="548DD4" w:themeColor="text2" w:themeTint="99"/>
              <w:left w:val="single"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2BEC9755" w14:textId="42DAE475"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555.441</w:t>
            </w:r>
          </w:p>
        </w:tc>
        <w:tc>
          <w:tcPr>
            <w:tcW w:w="734"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2E766B20" w14:textId="440E57EC"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2,6</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0FF87CE6" w14:textId="0F882305"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3,6</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4ADC47F7" w14:textId="41C9AE42"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3,3</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7FC1A259" w14:textId="32775D26"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5,1</w:t>
            </w:r>
          </w:p>
        </w:tc>
        <w:tc>
          <w:tcPr>
            <w:tcW w:w="721"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427E2572" w14:textId="3ECE0668"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2,1</w:t>
            </w:r>
          </w:p>
        </w:tc>
        <w:tc>
          <w:tcPr>
            <w:tcW w:w="93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7C6F5CA7" w14:textId="10BF12F7"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2,2</w:t>
            </w:r>
          </w:p>
        </w:tc>
        <w:tc>
          <w:tcPr>
            <w:tcW w:w="72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5742757E" w14:textId="002A9C1D"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1,3</w:t>
            </w:r>
          </w:p>
        </w:tc>
        <w:tc>
          <w:tcPr>
            <w:tcW w:w="725"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2BA2424F" w14:textId="73F5FDB2"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1,0</w:t>
            </w:r>
          </w:p>
        </w:tc>
        <w:tc>
          <w:tcPr>
            <w:tcW w:w="832" w:type="dxa"/>
            <w:tcBorders>
              <w:top w:val="dashSmallGap" w:sz="4" w:space="0" w:color="548DD4" w:themeColor="text2" w:themeTint="99"/>
              <w:left w:val="single" w:sz="4" w:space="0" w:color="548DD4" w:themeColor="text2" w:themeTint="99"/>
              <w:bottom w:val="dashSmallGap" w:sz="4" w:space="0" w:color="548DD4" w:themeColor="text2" w:themeTint="99"/>
            </w:tcBorders>
            <w:shd w:val="clear" w:color="000000" w:fill="FFFFFF"/>
            <w:noWrap/>
            <w:vAlign w:val="center"/>
            <w:hideMark/>
          </w:tcPr>
          <w:p w14:paraId="0AD69AE2" w14:textId="4351E255"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6,6</w:t>
            </w:r>
          </w:p>
        </w:tc>
      </w:tr>
      <w:tr w:rsidR="00CE45BF" w:rsidRPr="00FF207E" w14:paraId="5A7232DA" w14:textId="77777777" w:rsidTr="0051755A">
        <w:trPr>
          <w:trHeight w:val="282"/>
        </w:trPr>
        <w:tc>
          <w:tcPr>
            <w:tcW w:w="1985" w:type="dxa"/>
            <w:tcBorders>
              <w:top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3BC1E214" w14:textId="1668FEA2" w:rsidR="006A46B2" w:rsidRPr="00FF207E" w:rsidRDefault="009441D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p</w:t>
            </w:r>
            <w:r w:rsidR="006A46B2" w:rsidRPr="00FF207E">
              <w:rPr>
                <w:rFonts w:cs="Arial"/>
                <w:color w:val="000000"/>
                <w:sz w:val="20"/>
                <w:szCs w:val="20"/>
                <w:lang w:val="sl-SI" w:eastAsia="sl-SI"/>
              </w:rPr>
              <w:t>odravska</w:t>
            </w:r>
          </w:p>
        </w:tc>
        <w:tc>
          <w:tcPr>
            <w:tcW w:w="1276"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180AE5EC" w14:textId="062FC74B"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1.337.477 </w:t>
            </w:r>
          </w:p>
        </w:tc>
        <w:tc>
          <w:tcPr>
            <w:tcW w:w="1275"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75233B3D" w14:textId="37724578"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1.460.268 </w:t>
            </w:r>
          </w:p>
        </w:tc>
        <w:tc>
          <w:tcPr>
            <w:tcW w:w="1276"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63A48F51" w14:textId="73840D27"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1.433.178 </w:t>
            </w:r>
          </w:p>
        </w:tc>
        <w:tc>
          <w:tcPr>
            <w:tcW w:w="12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3B1AEF84" w14:textId="44E795FD"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2.407.258 </w:t>
            </w:r>
          </w:p>
        </w:tc>
        <w:tc>
          <w:tcPr>
            <w:tcW w:w="1002" w:type="dxa"/>
            <w:tcBorders>
              <w:top w:val="dashSmallGap" w:sz="4" w:space="0" w:color="548DD4" w:themeColor="text2" w:themeTint="99"/>
              <w:left w:val="single"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136373AC" w14:textId="2B84A3C8"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327.577</w:t>
            </w:r>
          </w:p>
        </w:tc>
        <w:tc>
          <w:tcPr>
            <w:tcW w:w="734"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6959435B" w14:textId="52DC9B83"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4,1</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2079EAE7" w14:textId="5A12F82B"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4,5</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00356887" w14:textId="10B2725F"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4,4</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1BF7B6E5" w14:textId="59F4E504"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7,3</w:t>
            </w:r>
          </w:p>
        </w:tc>
        <w:tc>
          <w:tcPr>
            <w:tcW w:w="721"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09303D59" w14:textId="2BE7FF83"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3,3</w:t>
            </w:r>
          </w:p>
        </w:tc>
        <w:tc>
          <w:tcPr>
            <w:tcW w:w="93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1AAE2C24" w14:textId="4485CDF5"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2,7</w:t>
            </w:r>
          </w:p>
        </w:tc>
        <w:tc>
          <w:tcPr>
            <w:tcW w:w="72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26E02C62" w14:textId="6279582B"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1,8</w:t>
            </w:r>
          </w:p>
        </w:tc>
        <w:tc>
          <w:tcPr>
            <w:tcW w:w="725"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01137423" w14:textId="62D35A3D"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1,5</w:t>
            </w:r>
          </w:p>
        </w:tc>
        <w:tc>
          <w:tcPr>
            <w:tcW w:w="832" w:type="dxa"/>
            <w:tcBorders>
              <w:top w:val="dashSmallGap" w:sz="4" w:space="0" w:color="548DD4" w:themeColor="text2" w:themeTint="99"/>
              <w:left w:val="single" w:sz="4" w:space="0" w:color="548DD4" w:themeColor="text2" w:themeTint="99"/>
              <w:bottom w:val="dashSmallGap" w:sz="4" w:space="0" w:color="548DD4" w:themeColor="text2" w:themeTint="99"/>
            </w:tcBorders>
            <w:shd w:val="clear" w:color="000000" w:fill="FFFFFF"/>
            <w:noWrap/>
            <w:vAlign w:val="center"/>
            <w:hideMark/>
          </w:tcPr>
          <w:p w14:paraId="625B0F98" w14:textId="7D893D03"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9,2</w:t>
            </w:r>
          </w:p>
        </w:tc>
      </w:tr>
      <w:tr w:rsidR="00CE45BF" w:rsidRPr="00FF207E" w14:paraId="788B4B62" w14:textId="77777777" w:rsidTr="0051755A">
        <w:trPr>
          <w:trHeight w:val="282"/>
        </w:trPr>
        <w:tc>
          <w:tcPr>
            <w:tcW w:w="1985" w:type="dxa"/>
            <w:tcBorders>
              <w:top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6A15CB6E" w14:textId="54FD4B57" w:rsidR="006A46B2" w:rsidRPr="00FF207E" w:rsidRDefault="009441D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p</w:t>
            </w:r>
            <w:r w:rsidR="006A46B2" w:rsidRPr="00FF207E">
              <w:rPr>
                <w:rFonts w:cs="Arial"/>
                <w:color w:val="000000"/>
                <w:sz w:val="20"/>
                <w:szCs w:val="20"/>
                <w:lang w:val="sl-SI" w:eastAsia="sl-SI"/>
              </w:rPr>
              <w:t>omurska</w:t>
            </w:r>
          </w:p>
        </w:tc>
        <w:tc>
          <w:tcPr>
            <w:tcW w:w="1276"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612A2CED" w14:textId="71FD3EF1"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573.273 </w:t>
            </w:r>
          </w:p>
        </w:tc>
        <w:tc>
          <w:tcPr>
            <w:tcW w:w="1275"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2A0A6481" w14:textId="35DFD4D3"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842.489 </w:t>
            </w:r>
          </w:p>
        </w:tc>
        <w:tc>
          <w:tcPr>
            <w:tcW w:w="1276"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6BBE6B9F" w14:textId="2BF976EC"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795.539 </w:t>
            </w:r>
          </w:p>
        </w:tc>
        <w:tc>
          <w:tcPr>
            <w:tcW w:w="12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0333ACE6" w14:textId="0371F2D7"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1.093.828 </w:t>
            </w:r>
          </w:p>
        </w:tc>
        <w:tc>
          <w:tcPr>
            <w:tcW w:w="1002" w:type="dxa"/>
            <w:tcBorders>
              <w:top w:val="dashSmallGap" w:sz="4" w:space="0" w:color="548DD4" w:themeColor="text2" w:themeTint="99"/>
              <w:left w:val="single"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707CAA06" w14:textId="060804D6"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114.540</w:t>
            </w:r>
          </w:p>
        </w:tc>
        <w:tc>
          <w:tcPr>
            <w:tcW w:w="734"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7993AA67" w14:textId="372C2581"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5,0</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30FD3CDC" w14:textId="416FC503"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7,4</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7E149F1B" w14:textId="4571E84F"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6,9</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7828D12E" w14:textId="552709D6"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9,5</w:t>
            </w:r>
          </w:p>
        </w:tc>
        <w:tc>
          <w:tcPr>
            <w:tcW w:w="721"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50EDD403" w14:textId="5488F2F9"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4,0</w:t>
            </w:r>
          </w:p>
        </w:tc>
        <w:tc>
          <w:tcPr>
            <w:tcW w:w="93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4EEB4C22" w14:textId="79ABB786"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4,4</w:t>
            </w:r>
          </w:p>
        </w:tc>
        <w:tc>
          <w:tcPr>
            <w:tcW w:w="72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33D49469" w14:textId="35D0C628"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2,8</w:t>
            </w:r>
          </w:p>
        </w:tc>
        <w:tc>
          <w:tcPr>
            <w:tcW w:w="725"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7D4E54BC" w14:textId="5A5399BA"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1,9</w:t>
            </w:r>
          </w:p>
        </w:tc>
        <w:tc>
          <w:tcPr>
            <w:tcW w:w="832" w:type="dxa"/>
            <w:tcBorders>
              <w:top w:val="dashSmallGap" w:sz="4" w:space="0" w:color="548DD4" w:themeColor="text2" w:themeTint="99"/>
              <w:left w:val="single" w:sz="4" w:space="0" w:color="548DD4" w:themeColor="text2" w:themeTint="99"/>
              <w:bottom w:val="dashSmallGap" w:sz="4" w:space="0" w:color="548DD4" w:themeColor="text2" w:themeTint="99"/>
            </w:tcBorders>
            <w:shd w:val="clear" w:color="000000" w:fill="FFFFFF"/>
            <w:noWrap/>
            <w:vAlign w:val="center"/>
            <w:hideMark/>
          </w:tcPr>
          <w:p w14:paraId="4115B346" w14:textId="4EA8474F"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13,1</w:t>
            </w:r>
          </w:p>
        </w:tc>
      </w:tr>
      <w:tr w:rsidR="00CE45BF" w:rsidRPr="00FF207E" w14:paraId="6243A1B0" w14:textId="77777777" w:rsidTr="0051755A">
        <w:trPr>
          <w:trHeight w:val="282"/>
        </w:trPr>
        <w:tc>
          <w:tcPr>
            <w:tcW w:w="1985" w:type="dxa"/>
            <w:tcBorders>
              <w:top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12D7EF55" w14:textId="1440352E" w:rsidR="006A46B2" w:rsidRPr="00FF207E" w:rsidRDefault="009441D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p</w:t>
            </w:r>
            <w:r w:rsidR="006A46B2" w:rsidRPr="00FF207E">
              <w:rPr>
                <w:rFonts w:cs="Arial"/>
                <w:color w:val="000000"/>
                <w:sz w:val="20"/>
                <w:szCs w:val="20"/>
                <w:lang w:val="sl-SI" w:eastAsia="sl-SI"/>
              </w:rPr>
              <w:t>osavska</w:t>
            </w:r>
          </w:p>
        </w:tc>
        <w:tc>
          <w:tcPr>
            <w:tcW w:w="1276"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010545C2" w14:textId="1B649452"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363.509 </w:t>
            </w:r>
          </w:p>
        </w:tc>
        <w:tc>
          <w:tcPr>
            <w:tcW w:w="1275"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4251C798" w14:textId="66F48063"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473.805 </w:t>
            </w:r>
          </w:p>
        </w:tc>
        <w:tc>
          <w:tcPr>
            <w:tcW w:w="1276"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5662DAD3" w14:textId="1C5408FD"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428.600 </w:t>
            </w:r>
          </w:p>
        </w:tc>
        <w:tc>
          <w:tcPr>
            <w:tcW w:w="12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2971B655" w14:textId="457DD31C"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669.707 </w:t>
            </w:r>
          </w:p>
        </w:tc>
        <w:tc>
          <w:tcPr>
            <w:tcW w:w="1002" w:type="dxa"/>
            <w:tcBorders>
              <w:top w:val="dashSmallGap" w:sz="4" w:space="0" w:color="548DD4" w:themeColor="text2" w:themeTint="99"/>
              <w:left w:val="single"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0A6CA104" w14:textId="405D8778"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75.732</w:t>
            </w:r>
          </w:p>
        </w:tc>
        <w:tc>
          <w:tcPr>
            <w:tcW w:w="734"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0469CA88" w14:textId="0BDABC33"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4,8</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698B8019" w14:textId="046C9EA9"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6,3</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27BE1DDE" w14:textId="2B711A6C"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5,7</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438C9EDF" w14:textId="4516E367"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8,8</w:t>
            </w:r>
          </w:p>
        </w:tc>
        <w:tc>
          <w:tcPr>
            <w:tcW w:w="721"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04B7A6F5" w14:textId="1420562E"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3,8</w:t>
            </w:r>
          </w:p>
        </w:tc>
        <w:tc>
          <w:tcPr>
            <w:tcW w:w="93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148CC598" w14:textId="314799BD"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3,8</w:t>
            </w:r>
          </w:p>
        </w:tc>
        <w:tc>
          <w:tcPr>
            <w:tcW w:w="72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778521B8" w14:textId="4902C618"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2,3</w:t>
            </w:r>
          </w:p>
        </w:tc>
        <w:tc>
          <w:tcPr>
            <w:tcW w:w="725"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496B9750" w14:textId="7CB0651B"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1,8</w:t>
            </w:r>
          </w:p>
        </w:tc>
        <w:tc>
          <w:tcPr>
            <w:tcW w:w="832" w:type="dxa"/>
            <w:tcBorders>
              <w:top w:val="dashSmallGap" w:sz="4" w:space="0" w:color="548DD4" w:themeColor="text2" w:themeTint="99"/>
              <w:left w:val="single" w:sz="4" w:space="0" w:color="548DD4" w:themeColor="text2" w:themeTint="99"/>
              <w:bottom w:val="dashSmallGap" w:sz="4" w:space="0" w:color="548DD4" w:themeColor="text2" w:themeTint="99"/>
            </w:tcBorders>
            <w:shd w:val="clear" w:color="000000" w:fill="FFFFFF"/>
            <w:noWrap/>
            <w:vAlign w:val="center"/>
            <w:hideMark/>
          </w:tcPr>
          <w:p w14:paraId="3F98C17D" w14:textId="73E6101B"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11,6</w:t>
            </w:r>
          </w:p>
        </w:tc>
      </w:tr>
      <w:tr w:rsidR="00CE45BF" w:rsidRPr="00FF207E" w14:paraId="63BEFA72" w14:textId="77777777" w:rsidTr="0051755A">
        <w:trPr>
          <w:trHeight w:val="282"/>
        </w:trPr>
        <w:tc>
          <w:tcPr>
            <w:tcW w:w="1985" w:type="dxa"/>
            <w:tcBorders>
              <w:top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579ECF80" w14:textId="7E44E0C0" w:rsidR="006A46B2" w:rsidRPr="00FF207E" w:rsidRDefault="009441D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p</w:t>
            </w:r>
            <w:r w:rsidR="006A46B2" w:rsidRPr="00FF207E">
              <w:rPr>
                <w:rFonts w:cs="Arial"/>
                <w:color w:val="000000"/>
                <w:sz w:val="20"/>
                <w:szCs w:val="20"/>
                <w:lang w:val="sl-SI" w:eastAsia="sl-SI"/>
              </w:rPr>
              <w:t>rimorsko-notranjska</w:t>
            </w:r>
          </w:p>
        </w:tc>
        <w:tc>
          <w:tcPr>
            <w:tcW w:w="1276"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028B574B" w14:textId="7C9ACF7F"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434.620 </w:t>
            </w:r>
          </w:p>
        </w:tc>
        <w:tc>
          <w:tcPr>
            <w:tcW w:w="1275"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36A07A0A" w14:textId="4CEE38B8"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178.866 </w:t>
            </w:r>
          </w:p>
        </w:tc>
        <w:tc>
          <w:tcPr>
            <w:tcW w:w="1276"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4576A867" w14:textId="5EE98FCD"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200.274 </w:t>
            </w:r>
          </w:p>
        </w:tc>
        <w:tc>
          <w:tcPr>
            <w:tcW w:w="12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74274EEE" w14:textId="0718AB13"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365.002 </w:t>
            </w:r>
          </w:p>
        </w:tc>
        <w:tc>
          <w:tcPr>
            <w:tcW w:w="1002" w:type="dxa"/>
            <w:tcBorders>
              <w:top w:val="dashSmallGap" w:sz="4" w:space="0" w:color="548DD4" w:themeColor="text2" w:themeTint="99"/>
              <w:left w:val="single"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230C06A9" w14:textId="55E0ECD3"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53.257</w:t>
            </w:r>
          </w:p>
        </w:tc>
        <w:tc>
          <w:tcPr>
            <w:tcW w:w="734"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1F684129" w14:textId="29A2AB90"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8,2</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7D988B78" w14:textId="6EA0FCB4"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3,4</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602B8908" w14:textId="1F08CCE3"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3,8</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0134DD4A" w14:textId="7BD76AB6"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6,9</w:t>
            </w:r>
          </w:p>
        </w:tc>
        <w:tc>
          <w:tcPr>
            <w:tcW w:w="721"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641A0A24" w14:textId="427EC525"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6,5</w:t>
            </w:r>
          </w:p>
        </w:tc>
        <w:tc>
          <w:tcPr>
            <w:tcW w:w="93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5603F200" w14:textId="714E35E4"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2,0</w:t>
            </w:r>
          </w:p>
        </w:tc>
        <w:tc>
          <w:tcPr>
            <w:tcW w:w="72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7067D705" w14:textId="36134F02"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1,5</w:t>
            </w:r>
          </w:p>
        </w:tc>
        <w:tc>
          <w:tcPr>
            <w:tcW w:w="725"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5AB0BFAB" w14:textId="07771EF8"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1,4</w:t>
            </w:r>
          </w:p>
        </w:tc>
        <w:tc>
          <w:tcPr>
            <w:tcW w:w="832" w:type="dxa"/>
            <w:tcBorders>
              <w:top w:val="dashSmallGap" w:sz="4" w:space="0" w:color="548DD4" w:themeColor="text2" w:themeTint="99"/>
              <w:left w:val="single" w:sz="4" w:space="0" w:color="548DD4" w:themeColor="text2" w:themeTint="99"/>
              <w:bottom w:val="dashSmallGap" w:sz="4" w:space="0" w:color="548DD4" w:themeColor="text2" w:themeTint="99"/>
            </w:tcBorders>
            <w:shd w:val="clear" w:color="000000" w:fill="FFFFFF"/>
            <w:noWrap/>
            <w:vAlign w:val="center"/>
            <w:hideMark/>
          </w:tcPr>
          <w:p w14:paraId="49B5EFD7" w14:textId="105C0500"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11,4</w:t>
            </w:r>
          </w:p>
        </w:tc>
      </w:tr>
      <w:tr w:rsidR="00CE45BF" w:rsidRPr="00FF207E" w14:paraId="0D79BFE1" w14:textId="77777777" w:rsidTr="0051755A">
        <w:trPr>
          <w:trHeight w:val="282"/>
        </w:trPr>
        <w:tc>
          <w:tcPr>
            <w:tcW w:w="1985" w:type="dxa"/>
            <w:tcBorders>
              <w:top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309AE478" w14:textId="336F2B0C" w:rsidR="006A46B2" w:rsidRPr="00FF207E" w:rsidRDefault="009441D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s</w:t>
            </w:r>
            <w:r w:rsidR="006A46B2" w:rsidRPr="00FF207E">
              <w:rPr>
                <w:rFonts w:cs="Arial"/>
                <w:color w:val="000000"/>
                <w:sz w:val="20"/>
                <w:szCs w:val="20"/>
                <w:lang w:val="sl-SI" w:eastAsia="sl-SI"/>
              </w:rPr>
              <w:t>avinjska</w:t>
            </w:r>
          </w:p>
        </w:tc>
        <w:tc>
          <w:tcPr>
            <w:tcW w:w="1276"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413BAF81" w14:textId="5A1746CD"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1.053.511 </w:t>
            </w:r>
          </w:p>
        </w:tc>
        <w:tc>
          <w:tcPr>
            <w:tcW w:w="1275"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29C8AE86" w14:textId="6A02D41E"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1.182.537 </w:t>
            </w:r>
          </w:p>
        </w:tc>
        <w:tc>
          <w:tcPr>
            <w:tcW w:w="1276"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12DC092C" w14:textId="413E86A9"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1.208.954 </w:t>
            </w:r>
          </w:p>
        </w:tc>
        <w:tc>
          <w:tcPr>
            <w:tcW w:w="12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1E58A332" w14:textId="58679978"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1.722.566 </w:t>
            </w:r>
          </w:p>
        </w:tc>
        <w:tc>
          <w:tcPr>
            <w:tcW w:w="1002" w:type="dxa"/>
            <w:tcBorders>
              <w:top w:val="dashSmallGap" w:sz="4" w:space="0" w:color="548DD4" w:themeColor="text2" w:themeTint="99"/>
              <w:left w:val="single"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49797035" w14:textId="27732ED7"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258.677</w:t>
            </w:r>
          </w:p>
        </w:tc>
        <w:tc>
          <w:tcPr>
            <w:tcW w:w="734"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52D28030" w14:textId="4B388981"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4,1</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708C9098" w14:textId="3F353D93"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4,6</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5B940B48" w14:textId="1365BC13"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4,7</w:t>
            </w:r>
          </w:p>
        </w:tc>
        <w:tc>
          <w:tcPr>
            <w:tcW w:w="723"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5981B0EE" w14:textId="58165FD7"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6,7</w:t>
            </w:r>
          </w:p>
        </w:tc>
        <w:tc>
          <w:tcPr>
            <w:tcW w:w="721" w:type="dxa"/>
            <w:tcBorders>
              <w:top w:val="dashSmallGap" w:sz="4" w:space="0" w:color="548DD4" w:themeColor="text2" w:themeTint="99"/>
              <w:left w:val="single"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5F6D8A41" w14:textId="5804E28A"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3,3</w:t>
            </w:r>
          </w:p>
        </w:tc>
        <w:tc>
          <w:tcPr>
            <w:tcW w:w="93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085DB9C1" w14:textId="447E661D"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2,7</w:t>
            </w:r>
          </w:p>
        </w:tc>
        <w:tc>
          <w:tcPr>
            <w:tcW w:w="721" w:type="dxa"/>
            <w:tc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tcBorders>
            <w:shd w:val="clear" w:color="000000" w:fill="FFFFFF"/>
            <w:noWrap/>
            <w:vAlign w:val="center"/>
            <w:hideMark/>
          </w:tcPr>
          <w:p w14:paraId="0EABE84C" w14:textId="2F1C0284"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1,9</w:t>
            </w:r>
          </w:p>
        </w:tc>
        <w:tc>
          <w:tcPr>
            <w:tcW w:w="725" w:type="dxa"/>
            <w:tcBorders>
              <w:top w:val="dashSmallGap" w:sz="4" w:space="0" w:color="548DD4" w:themeColor="text2" w:themeTint="99"/>
              <w:left w:val="dashSmallGap" w:sz="4" w:space="0" w:color="548DD4" w:themeColor="text2" w:themeTint="99"/>
              <w:bottom w:val="dashSmallGap" w:sz="4" w:space="0" w:color="548DD4" w:themeColor="text2" w:themeTint="99"/>
              <w:right w:val="single" w:sz="4" w:space="0" w:color="548DD4" w:themeColor="text2" w:themeTint="99"/>
            </w:tcBorders>
            <w:shd w:val="clear" w:color="000000" w:fill="FFFFFF"/>
            <w:noWrap/>
            <w:vAlign w:val="center"/>
            <w:hideMark/>
          </w:tcPr>
          <w:p w14:paraId="73FB7483" w14:textId="7407A793"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1,3</w:t>
            </w:r>
          </w:p>
        </w:tc>
        <w:tc>
          <w:tcPr>
            <w:tcW w:w="832" w:type="dxa"/>
            <w:tcBorders>
              <w:top w:val="dashSmallGap" w:sz="4" w:space="0" w:color="548DD4" w:themeColor="text2" w:themeTint="99"/>
              <w:left w:val="single" w:sz="4" w:space="0" w:color="548DD4" w:themeColor="text2" w:themeTint="99"/>
              <w:bottom w:val="dashSmallGap" w:sz="4" w:space="0" w:color="548DD4" w:themeColor="text2" w:themeTint="99"/>
            </w:tcBorders>
            <w:shd w:val="clear" w:color="000000" w:fill="FFFFFF"/>
            <w:noWrap/>
            <w:vAlign w:val="center"/>
            <w:hideMark/>
          </w:tcPr>
          <w:p w14:paraId="10B1BBAE" w14:textId="0099D410"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9,2</w:t>
            </w:r>
          </w:p>
        </w:tc>
      </w:tr>
      <w:tr w:rsidR="00CE45BF" w:rsidRPr="00FF207E" w14:paraId="7D44F3E0" w14:textId="77777777" w:rsidTr="0051755A">
        <w:trPr>
          <w:trHeight w:val="294"/>
        </w:trPr>
        <w:tc>
          <w:tcPr>
            <w:tcW w:w="1985" w:type="dxa"/>
            <w:tcBorders>
              <w:top w:val="dashSmallGap" w:sz="4" w:space="0" w:color="548DD4" w:themeColor="text2" w:themeTint="99"/>
              <w:bottom w:val="single" w:sz="4" w:space="0" w:color="548DD4" w:themeColor="text2" w:themeTint="99"/>
              <w:right w:val="single" w:sz="4" w:space="0" w:color="548DD4" w:themeColor="text2" w:themeTint="99"/>
            </w:tcBorders>
            <w:shd w:val="clear" w:color="000000" w:fill="FFFFFF"/>
            <w:noWrap/>
            <w:vAlign w:val="center"/>
            <w:hideMark/>
          </w:tcPr>
          <w:p w14:paraId="12C2E106" w14:textId="4AD34A98" w:rsidR="006A46B2" w:rsidRPr="00FF207E" w:rsidRDefault="009441D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z</w:t>
            </w:r>
            <w:r w:rsidR="006A46B2" w:rsidRPr="00FF207E">
              <w:rPr>
                <w:rFonts w:cs="Arial"/>
                <w:color w:val="000000"/>
                <w:sz w:val="20"/>
                <w:szCs w:val="20"/>
                <w:lang w:val="sl-SI" w:eastAsia="sl-SI"/>
              </w:rPr>
              <w:t>asavska</w:t>
            </w:r>
          </w:p>
        </w:tc>
        <w:tc>
          <w:tcPr>
            <w:tcW w:w="1276" w:type="dxa"/>
            <w:tcBorders>
              <w:top w:val="dashSmallGap" w:sz="4" w:space="0" w:color="548DD4" w:themeColor="text2" w:themeTint="99"/>
              <w:left w:val="single" w:sz="4" w:space="0" w:color="548DD4" w:themeColor="text2" w:themeTint="99"/>
              <w:bottom w:val="single" w:sz="4" w:space="0" w:color="548DD4" w:themeColor="text2" w:themeTint="99"/>
              <w:right w:val="dashSmallGap" w:sz="4" w:space="0" w:color="548DD4" w:themeColor="text2" w:themeTint="99"/>
            </w:tcBorders>
            <w:shd w:val="clear" w:color="000000" w:fill="FFFFFF"/>
            <w:noWrap/>
            <w:vAlign w:val="center"/>
            <w:hideMark/>
          </w:tcPr>
          <w:p w14:paraId="593F6531" w14:textId="4A04167D"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223.746 </w:t>
            </w:r>
          </w:p>
        </w:tc>
        <w:tc>
          <w:tcPr>
            <w:tcW w:w="1275" w:type="dxa"/>
            <w:tcBorders>
              <w:top w:val="dashSmallGap" w:sz="4" w:space="0" w:color="548DD4" w:themeColor="text2" w:themeTint="99"/>
              <w:left w:val="dashSmallGap" w:sz="4" w:space="0" w:color="548DD4" w:themeColor="text2" w:themeTint="99"/>
              <w:bottom w:val="single" w:sz="4" w:space="0" w:color="548DD4" w:themeColor="text2" w:themeTint="99"/>
              <w:right w:val="dashSmallGap" w:sz="4" w:space="0" w:color="548DD4" w:themeColor="text2" w:themeTint="99"/>
            </w:tcBorders>
            <w:shd w:val="clear" w:color="000000" w:fill="FFFFFF"/>
            <w:noWrap/>
            <w:vAlign w:val="center"/>
            <w:hideMark/>
          </w:tcPr>
          <w:p w14:paraId="7019E39C" w14:textId="0990649C"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234.926 </w:t>
            </w:r>
          </w:p>
        </w:tc>
        <w:tc>
          <w:tcPr>
            <w:tcW w:w="1276" w:type="dxa"/>
            <w:tcBorders>
              <w:top w:val="dashSmallGap" w:sz="4" w:space="0" w:color="548DD4" w:themeColor="text2" w:themeTint="99"/>
              <w:left w:val="dashSmallGap" w:sz="4" w:space="0" w:color="548DD4" w:themeColor="text2" w:themeTint="99"/>
              <w:bottom w:val="single" w:sz="4" w:space="0" w:color="548DD4" w:themeColor="text2" w:themeTint="99"/>
              <w:right w:val="dashSmallGap" w:sz="4" w:space="0" w:color="548DD4" w:themeColor="text2" w:themeTint="99"/>
            </w:tcBorders>
            <w:shd w:val="clear" w:color="000000" w:fill="FFFFFF"/>
            <w:noWrap/>
            <w:vAlign w:val="center"/>
            <w:hideMark/>
          </w:tcPr>
          <w:p w14:paraId="2C3DDD92" w14:textId="16C0DD69"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182.020 </w:t>
            </w:r>
          </w:p>
        </w:tc>
        <w:tc>
          <w:tcPr>
            <w:tcW w:w="1223" w:type="dxa"/>
            <w:tcBorders>
              <w:top w:val="dashSmallGap" w:sz="4" w:space="0" w:color="548DD4" w:themeColor="text2" w:themeTint="99"/>
              <w:left w:val="dashSmallGap" w:sz="4" w:space="0" w:color="548DD4" w:themeColor="text2" w:themeTint="99"/>
              <w:bottom w:val="single" w:sz="4" w:space="0" w:color="548DD4" w:themeColor="text2" w:themeTint="99"/>
              <w:right w:val="single" w:sz="4" w:space="0" w:color="548DD4" w:themeColor="text2" w:themeTint="99"/>
            </w:tcBorders>
            <w:shd w:val="clear" w:color="000000" w:fill="FFFFFF"/>
            <w:noWrap/>
            <w:vAlign w:val="center"/>
            <w:hideMark/>
          </w:tcPr>
          <w:p w14:paraId="5C69F44B" w14:textId="197778D2"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 xml:space="preserve">309.592 </w:t>
            </w:r>
          </w:p>
        </w:tc>
        <w:tc>
          <w:tcPr>
            <w:tcW w:w="1002" w:type="dxa"/>
            <w:tcBorders>
              <w:top w:val="dashSmallGap"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noWrap/>
            <w:vAlign w:val="center"/>
            <w:hideMark/>
          </w:tcPr>
          <w:p w14:paraId="67CDBB4F" w14:textId="7B3711BA"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56.917</w:t>
            </w:r>
          </w:p>
        </w:tc>
        <w:tc>
          <w:tcPr>
            <w:tcW w:w="734" w:type="dxa"/>
            <w:tcBorders>
              <w:top w:val="dashSmallGap" w:sz="4" w:space="0" w:color="548DD4" w:themeColor="text2" w:themeTint="99"/>
              <w:left w:val="single" w:sz="4" w:space="0" w:color="548DD4" w:themeColor="text2" w:themeTint="99"/>
              <w:bottom w:val="single" w:sz="4" w:space="0" w:color="548DD4" w:themeColor="text2" w:themeTint="99"/>
              <w:right w:val="dashSmallGap" w:sz="4" w:space="0" w:color="548DD4" w:themeColor="text2" w:themeTint="99"/>
            </w:tcBorders>
            <w:shd w:val="clear" w:color="000000" w:fill="FFFFFF"/>
            <w:noWrap/>
            <w:vAlign w:val="center"/>
            <w:hideMark/>
          </w:tcPr>
          <w:p w14:paraId="5A97AC46" w14:textId="3DFCE938"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3,9</w:t>
            </w:r>
          </w:p>
        </w:tc>
        <w:tc>
          <w:tcPr>
            <w:tcW w:w="723" w:type="dxa"/>
            <w:tcBorders>
              <w:top w:val="dashSmallGap" w:sz="4" w:space="0" w:color="548DD4" w:themeColor="text2" w:themeTint="99"/>
              <w:left w:val="dashSmallGap" w:sz="4" w:space="0" w:color="548DD4" w:themeColor="text2" w:themeTint="99"/>
              <w:bottom w:val="single" w:sz="4" w:space="0" w:color="548DD4" w:themeColor="text2" w:themeTint="99"/>
              <w:right w:val="dashSmallGap" w:sz="4" w:space="0" w:color="548DD4" w:themeColor="text2" w:themeTint="99"/>
            </w:tcBorders>
            <w:shd w:val="clear" w:color="000000" w:fill="FFFFFF"/>
            <w:noWrap/>
            <w:vAlign w:val="center"/>
            <w:hideMark/>
          </w:tcPr>
          <w:p w14:paraId="07B8ECD3" w14:textId="52836029"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4,1</w:t>
            </w:r>
          </w:p>
        </w:tc>
        <w:tc>
          <w:tcPr>
            <w:tcW w:w="723" w:type="dxa"/>
            <w:tcBorders>
              <w:top w:val="dashSmallGap" w:sz="4" w:space="0" w:color="548DD4" w:themeColor="text2" w:themeTint="99"/>
              <w:left w:val="dashSmallGap" w:sz="4" w:space="0" w:color="548DD4" w:themeColor="text2" w:themeTint="99"/>
              <w:bottom w:val="single" w:sz="4" w:space="0" w:color="548DD4" w:themeColor="text2" w:themeTint="99"/>
              <w:right w:val="dashSmallGap" w:sz="4" w:space="0" w:color="548DD4" w:themeColor="text2" w:themeTint="99"/>
            </w:tcBorders>
            <w:shd w:val="clear" w:color="000000" w:fill="FFFFFF"/>
            <w:noWrap/>
            <w:vAlign w:val="center"/>
            <w:hideMark/>
          </w:tcPr>
          <w:p w14:paraId="5C6203A3" w14:textId="2B84500E"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3,2</w:t>
            </w:r>
          </w:p>
        </w:tc>
        <w:tc>
          <w:tcPr>
            <w:tcW w:w="723" w:type="dxa"/>
            <w:tcBorders>
              <w:top w:val="dashSmallGap" w:sz="4" w:space="0" w:color="548DD4" w:themeColor="text2" w:themeTint="99"/>
              <w:left w:val="dashSmallGap" w:sz="4" w:space="0" w:color="548DD4" w:themeColor="text2" w:themeTint="99"/>
              <w:bottom w:val="single" w:sz="4" w:space="0" w:color="548DD4" w:themeColor="text2" w:themeTint="99"/>
              <w:right w:val="single" w:sz="4" w:space="0" w:color="548DD4" w:themeColor="text2" w:themeTint="99"/>
            </w:tcBorders>
            <w:shd w:val="clear" w:color="000000" w:fill="FFFFFF"/>
            <w:noWrap/>
            <w:vAlign w:val="center"/>
            <w:hideMark/>
          </w:tcPr>
          <w:p w14:paraId="37326BC4" w14:textId="2E4CB480"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5,4</w:t>
            </w:r>
          </w:p>
        </w:tc>
        <w:tc>
          <w:tcPr>
            <w:tcW w:w="721" w:type="dxa"/>
            <w:tcBorders>
              <w:top w:val="dashSmallGap" w:sz="4" w:space="0" w:color="548DD4" w:themeColor="text2" w:themeTint="99"/>
              <w:left w:val="single" w:sz="4" w:space="0" w:color="548DD4" w:themeColor="text2" w:themeTint="99"/>
              <w:bottom w:val="single" w:sz="4" w:space="0" w:color="548DD4" w:themeColor="text2" w:themeTint="99"/>
              <w:right w:val="dashSmallGap" w:sz="4" w:space="0" w:color="548DD4" w:themeColor="text2" w:themeTint="99"/>
            </w:tcBorders>
            <w:shd w:val="clear" w:color="000000" w:fill="FFFFFF"/>
            <w:noWrap/>
            <w:vAlign w:val="center"/>
            <w:hideMark/>
          </w:tcPr>
          <w:p w14:paraId="245D1918" w14:textId="641C8B7A"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3,1</w:t>
            </w:r>
          </w:p>
        </w:tc>
        <w:tc>
          <w:tcPr>
            <w:tcW w:w="931" w:type="dxa"/>
            <w:tcBorders>
              <w:top w:val="dashSmallGap" w:sz="4" w:space="0" w:color="548DD4" w:themeColor="text2" w:themeTint="99"/>
              <w:left w:val="dashSmallGap" w:sz="4" w:space="0" w:color="548DD4" w:themeColor="text2" w:themeTint="99"/>
              <w:bottom w:val="single" w:sz="4" w:space="0" w:color="548DD4" w:themeColor="text2" w:themeTint="99"/>
              <w:right w:val="dashSmallGap" w:sz="4" w:space="0" w:color="548DD4" w:themeColor="text2" w:themeTint="99"/>
            </w:tcBorders>
            <w:shd w:val="clear" w:color="000000" w:fill="FFFFFF"/>
            <w:noWrap/>
            <w:vAlign w:val="center"/>
            <w:hideMark/>
          </w:tcPr>
          <w:p w14:paraId="22986DDC" w14:textId="77D693AF"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2,5</w:t>
            </w:r>
          </w:p>
        </w:tc>
        <w:tc>
          <w:tcPr>
            <w:tcW w:w="721" w:type="dxa"/>
            <w:tcBorders>
              <w:top w:val="dashSmallGap" w:sz="4" w:space="0" w:color="548DD4" w:themeColor="text2" w:themeTint="99"/>
              <w:left w:val="dashSmallGap" w:sz="4" w:space="0" w:color="548DD4" w:themeColor="text2" w:themeTint="99"/>
              <w:bottom w:val="single" w:sz="4" w:space="0" w:color="548DD4" w:themeColor="text2" w:themeTint="99"/>
              <w:right w:val="dashSmallGap" w:sz="4" w:space="0" w:color="548DD4" w:themeColor="text2" w:themeTint="99"/>
            </w:tcBorders>
            <w:shd w:val="clear" w:color="000000" w:fill="FFFFFF"/>
            <w:noWrap/>
            <w:vAlign w:val="center"/>
            <w:hideMark/>
          </w:tcPr>
          <w:p w14:paraId="4CBB56FB" w14:textId="785F955E"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1,3</w:t>
            </w:r>
          </w:p>
        </w:tc>
        <w:tc>
          <w:tcPr>
            <w:tcW w:w="725" w:type="dxa"/>
            <w:tcBorders>
              <w:top w:val="dashSmallGap" w:sz="4" w:space="0" w:color="548DD4" w:themeColor="text2" w:themeTint="99"/>
              <w:left w:val="dashSmallGap" w:sz="4" w:space="0" w:color="548DD4" w:themeColor="text2" w:themeTint="99"/>
              <w:bottom w:val="single" w:sz="4" w:space="0" w:color="548DD4" w:themeColor="text2" w:themeTint="99"/>
              <w:right w:val="single" w:sz="4" w:space="0" w:color="548DD4" w:themeColor="text2" w:themeTint="99"/>
            </w:tcBorders>
            <w:shd w:val="clear" w:color="000000" w:fill="FFFFFF"/>
            <w:noWrap/>
            <w:vAlign w:val="center"/>
            <w:hideMark/>
          </w:tcPr>
          <w:p w14:paraId="4A04AEA7" w14:textId="35C42627"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1,1</w:t>
            </w:r>
          </w:p>
        </w:tc>
        <w:tc>
          <w:tcPr>
            <w:tcW w:w="832" w:type="dxa"/>
            <w:tcBorders>
              <w:top w:val="dashSmallGap" w:sz="4" w:space="0" w:color="548DD4" w:themeColor="text2" w:themeTint="99"/>
              <w:left w:val="single" w:sz="4" w:space="0" w:color="548DD4" w:themeColor="text2" w:themeTint="99"/>
              <w:bottom w:val="single" w:sz="4" w:space="0" w:color="548DD4" w:themeColor="text2" w:themeTint="99"/>
            </w:tcBorders>
            <w:shd w:val="clear" w:color="000000" w:fill="FFFFFF"/>
            <w:noWrap/>
            <w:vAlign w:val="center"/>
            <w:hideMark/>
          </w:tcPr>
          <w:p w14:paraId="30AD23D8" w14:textId="186D7D3D" w:rsidR="006A46B2" w:rsidRPr="00FF207E" w:rsidRDefault="006A46B2" w:rsidP="001E304B">
            <w:pPr>
              <w:spacing w:before="80" w:after="80" w:line="240" w:lineRule="auto"/>
              <w:jc w:val="both"/>
              <w:rPr>
                <w:rFonts w:cs="Arial"/>
                <w:color w:val="000000"/>
                <w:sz w:val="20"/>
                <w:szCs w:val="20"/>
                <w:lang w:val="sl-SI" w:eastAsia="sl-SI"/>
              </w:rPr>
            </w:pPr>
            <w:r w:rsidRPr="00FF207E">
              <w:rPr>
                <w:rFonts w:cs="Arial"/>
                <w:color w:val="000000"/>
                <w:sz w:val="20"/>
                <w:szCs w:val="20"/>
                <w:lang w:val="sl-SI" w:eastAsia="sl-SI"/>
              </w:rPr>
              <w:t>8,0</w:t>
            </w:r>
          </w:p>
        </w:tc>
      </w:tr>
      <w:tr w:rsidR="00CE45BF" w:rsidRPr="00FF207E" w14:paraId="66AC4795" w14:textId="77777777" w:rsidTr="0051755A">
        <w:trPr>
          <w:trHeight w:val="294"/>
        </w:trPr>
        <w:tc>
          <w:tcPr>
            <w:tcW w:w="8037" w:type="dxa"/>
            <w:gridSpan w:val="6"/>
            <w:tcBorders>
              <w:top w:val="single" w:sz="4" w:space="0" w:color="548DD4" w:themeColor="text2" w:themeTint="99"/>
              <w:bottom w:val="single" w:sz="4" w:space="0" w:color="548DD4" w:themeColor="text2" w:themeTint="99"/>
              <w:right w:val="single" w:sz="4" w:space="0" w:color="548DD4" w:themeColor="text2" w:themeTint="99"/>
            </w:tcBorders>
            <w:shd w:val="clear" w:color="000000" w:fill="FFFFFF"/>
            <w:noWrap/>
            <w:vAlign w:val="bottom"/>
          </w:tcPr>
          <w:p w14:paraId="594CD37B" w14:textId="77777777" w:rsidR="006A46B2" w:rsidRPr="00FF207E" w:rsidRDefault="006A46B2" w:rsidP="001E304B">
            <w:pPr>
              <w:spacing w:before="80" w:after="80" w:line="240" w:lineRule="auto"/>
              <w:jc w:val="both"/>
              <w:rPr>
                <w:rFonts w:cs="Arial"/>
                <w:b/>
                <w:bCs/>
                <w:szCs w:val="22"/>
                <w:lang w:val="sl-SI" w:eastAsia="sl-SI"/>
              </w:rPr>
            </w:pPr>
            <w:r w:rsidRPr="00FF207E">
              <w:rPr>
                <w:rFonts w:cs="Arial"/>
                <w:b/>
                <w:bCs/>
                <w:szCs w:val="22"/>
                <w:lang w:val="sl-SI" w:eastAsia="sl-SI"/>
              </w:rPr>
              <w:t>Uteži</w:t>
            </w:r>
          </w:p>
        </w:tc>
        <w:tc>
          <w:tcPr>
            <w:tcW w:w="734" w:type="dxa"/>
            <w:tcBorders>
              <w:top w:val="single" w:sz="4" w:space="0" w:color="548DD4" w:themeColor="text2" w:themeTint="99"/>
              <w:left w:val="single" w:sz="4" w:space="0" w:color="548DD4" w:themeColor="text2" w:themeTint="99"/>
              <w:bottom w:val="single" w:sz="4" w:space="0" w:color="548DD4" w:themeColor="text2" w:themeTint="99"/>
              <w:right w:val="dashSmallGap" w:sz="4" w:space="0" w:color="548DD4" w:themeColor="text2" w:themeTint="99"/>
            </w:tcBorders>
            <w:shd w:val="clear" w:color="auto" w:fill="C6D9F1" w:themeFill="text2" w:themeFillTint="33"/>
            <w:noWrap/>
            <w:vAlign w:val="center"/>
          </w:tcPr>
          <w:p w14:paraId="735A004E" w14:textId="77777777" w:rsidR="006A46B2" w:rsidRPr="00FF207E" w:rsidRDefault="006A46B2" w:rsidP="001E304B">
            <w:pPr>
              <w:spacing w:before="80" w:after="80" w:line="240" w:lineRule="auto"/>
              <w:jc w:val="both"/>
              <w:rPr>
                <w:rFonts w:cs="Arial"/>
                <w:b/>
                <w:bCs/>
                <w:szCs w:val="22"/>
                <w:lang w:val="sl-SI" w:eastAsia="sl-SI"/>
              </w:rPr>
            </w:pPr>
            <w:r w:rsidRPr="00FF207E">
              <w:rPr>
                <w:rFonts w:cs="Arial"/>
                <w:b/>
                <w:bCs/>
                <w:szCs w:val="22"/>
                <w:lang w:val="sl-SI" w:eastAsia="sl-SI"/>
              </w:rPr>
              <w:t>0,8</w:t>
            </w:r>
          </w:p>
        </w:tc>
        <w:tc>
          <w:tcPr>
            <w:tcW w:w="723" w:type="dxa"/>
            <w:tcBorders>
              <w:top w:val="single" w:sz="4" w:space="0" w:color="548DD4" w:themeColor="text2" w:themeTint="99"/>
              <w:left w:val="dashSmallGap" w:sz="4" w:space="0" w:color="548DD4" w:themeColor="text2" w:themeTint="99"/>
              <w:bottom w:val="single" w:sz="4" w:space="0" w:color="548DD4" w:themeColor="text2" w:themeTint="99"/>
              <w:right w:val="dashSmallGap" w:sz="4" w:space="0" w:color="548DD4" w:themeColor="text2" w:themeTint="99"/>
            </w:tcBorders>
            <w:shd w:val="clear" w:color="auto" w:fill="C6D9F1" w:themeFill="text2" w:themeFillTint="33"/>
            <w:noWrap/>
            <w:vAlign w:val="center"/>
          </w:tcPr>
          <w:p w14:paraId="5ECA9C62" w14:textId="77777777" w:rsidR="006A46B2" w:rsidRPr="00FF207E" w:rsidRDefault="006A46B2" w:rsidP="001E304B">
            <w:pPr>
              <w:spacing w:before="80" w:after="80" w:line="240" w:lineRule="auto"/>
              <w:jc w:val="both"/>
              <w:rPr>
                <w:rFonts w:cs="Arial"/>
                <w:b/>
                <w:bCs/>
                <w:szCs w:val="22"/>
                <w:lang w:val="sl-SI" w:eastAsia="sl-SI"/>
              </w:rPr>
            </w:pPr>
            <w:r w:rsidRPr="00FF207E">
              <w:rPr>
                <w:rFonts w:cs="Arial"/>
                <w:b/>
                <w:bCs/>
                <w:szCs w:val="22"/>
                <w:lang w:val="sl-SI" w:eastAsia="sl-SI"/>
              </w:rPr>
              <w:t>0,6</w:t>
            </w:r>
          </w:p>
        </w:tc>
        <w:tc>
          <w:tcPr>
            <w:tcW w:w="723" w:type="dxa"/>
            <w:tcBorders>
              <w:top w:val="single" w:sz="4" w:space="0" w:color="548DD4" w:themeColor="text2" w:themeTint="99"/>
              <w:left w:val="dashSmallGap" w:sz="4" w:space="0" w:color="548DD4" w:themeColor="text2" w:themeTint="99"/>
              <w:bottom w:val="single" w:sz="4" w:space="0" w:color="548DD4" w:themeColor="text2" w:themeTint="99"/>
              <w:right w:val="dashSmallGap" w:sz="4" w:space="0" w:color="548DD4" w:themeColor="text2" w:themeTint="99"/>
            </w:tcBorders>
            <w:shd w:val="clear" w:color="auto" w:fill="C6D9F1" w:themeFill="text2" w:themeFillTint="33"/>
            <w:noWrap/>
            <w:vAlign w:val="center"/>
          </w:tcPr>
          <w:p w14:paraId="1DDE32BF" w14:textId="77777777" w:rsidR="006A46B2" w:rsidRPr="00FF207E" w:rsidRDefault="006A46B2" w:rsidP="001E304B">
            <w:pPr>
              <w:spacing w:before="80" w:after="80" w:line="240" w:lineRule="auto"/>
              <w:jc w:val="both"/>
              <w:rPr>
                <w:rFonts w:cs="Arial"/>
                <w:b/>
                <w:bCs/>
                <w:szCs w:val="22"/>
                <w:lang w:val="sl-SI" w:eastAsia="sl-SI"/>
              </w:rPr>
            </w:pPr>
            <w:r w:rsidRPr="00FF207E">
              <w:rPr>
                <w:rFonts w:cs="Arial"/>
                <w:b/>
                <w:bCs/>
                <w:szCs w:val="22"/>
                <w:lang w:val="sl-SI" w:eastAsia="sl-SI"/>
              </w:rPr>
              <w:t>0,4</w:t>
            </w:r>
          </w:p>
        </w:tc>
        <w:tc>
          <w:tcPr>
            <w:tcW w:w="723" w:type="dxa"/>
            <w:tcBorders>
              <w:top w:val="single" w:sz="4" w:space="0" w:color="548DD4" w:themeColor="text2" w:themeTint="99"/>
              <w:left w:val="dashSmallGap"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noWrap/>
            <w:vAlign w:val="center"/>
          </w:tcPr>
          <w:p w14:paraId="704D8660" w14:textId="77777777" w:rsidR="006A46B2" w:rsidRPr="00FF207E" w:rsidRDefault="006A46B2" w:rsidP="001E304B">
            <w:pPr>
              <w:spacing w:before="80" w:after="80" w:line="240" w:lineRule="auto"/>
              <w:jc w:val="both"/>
              <w:rPr>
                <w:rFonts w:cs="Arial"/>
                <w:b/>
                <w:bCs/>
                <w:szCs w:val="22"/>
                <w:lang w:val="sl-SI" w:eastAsia="sl-SI"/>
              </w:rPr>
            </w:pPr>
            <w:r w:rsidRPr="00FF207E">
              <w:rPr>
                <w:rFonts w:cs="Arial"/>
                <w:b/>
                <w:bCs/>
                <w:szCs w:val="22"/>
                <w:lang w:val="sl-SI" w:eastAsia="sl-SI"/>
              </w:rPr>
              <w:t>0,2</w:t>
            </w:r>
          </w:p>
        </w:tc>
        <w:tc>
          <w:tcPr>
            <w:tcW w:w="3930" w:type="dxa"/>
            <w:gridSpan w:val="5"/>
            <w:tcBorders>
              <w:top w:val="single" w:sz="4" w:space="0" w:color="548DD4" w:themeColor="text2" w:themeTint="99"/>
              <w:left w:val="single" w:sz="4" w:space="0" w:color="548DD4" w:themeColor="text2" w:themeTint="99"/>
              <w:bottom w:val="single" w:sz="4" w:space="0" w:color="548DD4" w:themeColor="text2" w:themeTint="99"/>
            </w:tcBorders>
            <w:shd w:val="clear" w:color="000000" w:fill="FFFFFF"/>
            <w:noWrap/>
            <w:vAlign w:val="bottom"/>
          </w:tcPr>
          <w:p w14:paraId="69290B88" w14:textId="77777777" w:rsidR="006A46B2" w:rsidRPr="00FF207E" w:rsidRDefault="006A46B2" w:rsidP="001E304B">
            <w:pPr>
              <w:spacing w:before="80" w:after="80" w:line="240" w:lineRule="auto"/>
              <w:jc w:val="both"/>
              <w:rPr>
                <w:rFonts w:cs="Arial"/>
                <w:b/>
                <w:bCs/>
                <w:color w:val="000000"/>
                <w:szCs w:val="22"/>
                <w:lang w:val="sl-SI" w:eastAsia="sl-SI"/>
              </w:rPr>
            </w:pPr>
          </w:p>
        </w:tc>
      </w:tr>
    </w:tbl>
    <w:p w14:paraId="304EF2B4" w14:textId="5FC19DD5" w:rsidR="00B50A54" w:rsidRPr="00FF207E" w:rsidRDefault="00B50A54" w:rsidP="001E304B">
      <w:pPr>
        <w:tabs>
          <w:tab w:val="left" w:pos="1134"/>
          <w:tab w:val="right" w:leader="dot" w:pos="9061"/>
        </w:tabs>
        <w:spacing w:after="120"/>
        <w:jc w:val="both"/>
        <w:rPr>
          <w:rFonts w:cs="Arial"/>
          <w:lang w:val="sl-SI"/>
        </w:rPr>
      </w:pPr>
    </w:p>
    <w:p w14:paraId="6685C0CB" w14:textId="77777777" w:rsidR="00B50A54" w:rsidRPr="00FF207E" w:rsidRDefault="00B50A54" w:rsidP="001E304B">
      <w:pPr>
        <w:tabs>
          <w:tab w:val="left" w:pos="1134"/>
          <w:tab w:val="right" w:leader="dot" w:pos="9061"/>
        </w:tabs>
        <w:spacing w:after="120"/>
        <w:jc w:val="both"/>
        <w:rPr>
          <w:rFonts w:cs="Arial"/>
          <w:lang w:val="sl-SI"/>
        </w:rPr>
      </w:pPr>
    </w:p>
    <w:p w14:paraId="061882BE" w14:textId="77777777" w:rsidR="00B50A54" w:rsidRPr="00FF207E" w:rsidRDefault="00B50A54" w:rsidP="001E304B">
      <w:pPr>
        <w:tabs>
          <w:tab w:val="left" w:pos="1134"/>
          <w:tab w:val="right" w:leader="dot" w:pos="9061"/>
        </w:tabs>
        <w:spacing w:after="120"/>
        <w:jc w:val="both"/>
        <w:rPr>
          <w:rFonts w:cs="Arial"/>
          <w:lang w:val="sl-SI"/>
        </w:rPr>
        <w:sectPr w:rsidR="00B50A54" w:rsidRPr="00FF207E" w:rsidSect="000B50F1">
          <w:pgSz w:w="16838" w:h="11906" w:orient="landscape"/>
          <w:pgMar w:top="1417" w:right="1417" w:bottom="1417" w:left="1417" w:header="708" w:footer="708" w:gutter="0"/>
          <w:pgNumType w:fmt="numberInDash"/>
          <w:cols w:space="708"/>
          <w:docGrid w:linePitch="360"/>
        </w:sectPr>
      </w:pPr>
    </w:p>
    <w:p w14:paraId="241BFA7A" w14:textId="1C23B307" w:rsidR="00051CE8" w:rsidRPr="00FF207E" w:rsidRDefault="00051CE8" w:rsidP="001E304B">
      <w:pPr>
        <w:pStyle w:val="Odstavekseznama"/>
        <w:numPr>
          <w:ilvl w:val="0"/>
          <w:numId w:val="28"/>
        </w:numPr>
        <w:tabs>
          <w:tab w:val="left" w:pos="1134"/>
          <w:tab w:val="right" w:leader="dot" w:pos="9061"/>
        </w:tabs>
        <w:spacing w:before="240" w:after="120"/>
        <w:ind w:left="357" w:hanging="357"/>
        <w:jc w:val="both"/>
        <w:rPr>
          <w:rFonts w:cs="Arial"/>
          <w:b/>
          <w:bCs/>
          <w:color w:val="4F81BD" w:themeColor="accent1"/>
          <w:sz w:val="26"/>
          <w:szCs w:val="26"/>
          <w:lang w:val="sl-SI"/>
        </w:rPr>
      </w:pPr>
      <w:r w:rsidRPr="00FF207E">
        <w:rPr>
          <w:rFonts w:cs="Arial"/>
          <w:b/>
          <w:bCs/>
          <w:color w:val="4F81BD" w:themeColor="accent1"/>
          <w:sz w:val="26"/>
          <w:szCs w:val="26"/>
          <w:lang w:val="sl-SI"/>
        </w:rPr>
        <w:lastRenderedPageBreak/>
        <w:t>Postopek izbire pilotne regije</w:t>
      </w:r>
    </w:p>
    <w:p w14:paraId="6064ED90" w14:textId="37322EEA" w:rsidR="00051CE8" w:rsidRPr="00FF207E" w:rsidRDefault="00051CE8" w:rsidP="001E304B">
      <w:pPr>
        <w:tabs>
          <w:tab w:val="left" w:pos="1134"/>
          <w:tab w:val="right" w:leader="dot" w:pos="9061"/>
        </w:tabs>
        <w:spacing w:after="120"/>
        <w:jc w:val="both"/>
        <w:rPr>
          <w:lang w:val="sl-SI"/>
        </w:rPr>
      </w:pPr>
      <w:r w:rsidRPr="00FF207E">
        <w:rPr>
          <w:rFonts w:cs="Arial"/>
          <w:lang w:val="sl-SI"/>
        </w:rPr>
        <w:t>Za vsak posamezen kazalnik je določen razpon, na podlagi katerega se oblikuje</w:t>
      </w:r>
      <w:r w:rsidR="004963C7" w:rsidRPr="00FF207E">
        <w:rPr>
          <w:rFonts w:cs="Arial"/>
          <w:lang w:val="sl-SI"/>
        </w:rPr>
        <w:t>jo</w:t>
      </w:r>
      <w:r w:rsidRPr="00FF207E">
        <w:rPr>
          <w:rFonts w:cs="Arial"/>
          <w:lang w:val="sl-SI"/>
        </w:rPr>
        <w:t xml:space="preserve"> štir</w:t>
      </w:r>
      <w:r w:rsidR="004963C7" w:rsidRPr="00FF207E">
        <w:rPr>
          <w:rFonts w:cs="Arial"/>
          <w:lang w:val="sl-SI"/>
        </w:rPr>
        <w:t>je</w:t>
      </w:r>
      <w:r w:rsidRPr="00FF207E">
        <w:rPr>
          <w:rFonts w:cs="Arial"/>
          <w:lang w:val="sl-SI"/>
        </w:rPr>
        <w:t xml:space="preserve"> vrednostn</w:t>
      </w:r>
      <w:r w:rsidR="004963C7" w:rsidRPr="00FF207E">
        <w:rPr>
          <w:rFonts w:cs="Arial"/>
          <w:lang w:val="sl-SI"/>
        </w:rPr>
        <w:t>i</w:t>
      </w:r>
      <w:r w:rsidRPr="00FF207E">
        <w:rPr>
          <w:rFonts w:cs="Arial"/>
          <w:lang w:val="sl-SI"/>
        </w:rPr>
        <w:t xml:space="preserve"> razred</w:t>
      </w:r>
      <w:r w:rsidR="004963C7" w:rsidRPr="00FF207E">
        <w:rPr>
          <w:rFonts w:cs="Arial"/>
          <w:lang w:val="sl-SI"/>
        </w:rPr>
        <w:t>i</w:t>
      </w:r>
      <w:r w:rsidRPr="00FF207E">
        <w:rPr>
          <w:rFonts w:cs="Arial"/>
          <w:lang w:val="sl-SI"/>
        </w:rPr>
        <w:t xml:space="preserve"> (</w:t>
      </w:r>
      <w:r w:rsidR="001B0970" w:rsidRPr="00FF207E">
        <w:rPr>
          <w:rFonts w:cs="Arial"/>
          <w:lang w:val="sl-SI"/>
        </w:rPr>
        <w:t>t</w:t>
      </w:r>
      <w:r w:rsidR="00D0361D" w:rsidRPr="00FF207E">
        <w:rPr>
          <w:rFonts w:cs="Arial"/>
          <w:lang w:val="sl-SI"/>
        </w:rPr>
        <w:t xml:space="preserve">abela </w:t>
      </w:r>
      <w:r w:rsidR="00B50A54" w:rsidRPr="00FF207E">
        <w:rPr>
          <w:rFonts w:cs="Arial"/>
          <w:lang w:val="sl-SI"/>
        </w:rPr>
        <w:t>4</w:t>
      </w:r>
      <w:r w:rsidR="00D0361D" w:rsidRPr="00FF207E">
        <w:rPr>
          <w:rFonts w:cs="Arial"/>
          <w:lang w:val="sl-SI"/>
        </w:rPr>
        <w:t>)</w:t>
      </w:r>
      <w:r w:rsidRPr="00FF207E">
        <w:rPr>
          <w:rFonts w:cs="Arial"/>
          <w:lang w:val="sl-SI"/>
        </w:rPr>
        <w:t xml:space="preserve">. Z vsakim </w:t>
      </w:r>
      <w:r w:rsidR="00D331D7" w:rsidRPr="00FF207E">
        <w:rPr>
          <w:rFonts w:cs="Arial"/>
          <w:lang w:val="sl-SI"/>
        </w:rPr>
        <w:t xml:space="preserve">merilom </w:t>
      </w:r>
      <w:r w:rsidRPr="00FF207E">
        <w:rPr>
          <w:rFonts w:cs="Arial"/>
          <w:lang w:val="sl-SI"/>
        </w:rPr>
        <w:t xml:space="preserve">lahko regija pridobi najmanj eno in največ štiri točke. Točke se seštejejo posebej za </w:t>
      </w:r>
      <w:r w:rsidR="00D331D7" w:rsidRPr="00FF207E">
        <w:rPr>
          <w:rFonts w:cs="Arial"/>
          <w:lang w:val="sl-SI"/>
        </w:rPr>
        <w:t xml:space="preserve">merila </w:t>
      </w:r>
      <w:r w:rsidRPr="00FF207E">
        <w:rPr>
          <w:rFonts w:cs="Arial"/>
          <w:lang w:val="sl-SI"/>
        </w:rPr>
        <w:t xml:space="preserve">razvitosti in </w:t>
      </w:r>
      <w:r w:rsidR="00D331D7" w:rsidRPr="00FF207E">
        <w:rPr>
          <w:rFonts w:cs="Arial"/>
          <w:lang w:val="sl-SI"/>
        </w:rPr>
        <w:t xml:space="preserve">merila </w:t>
      </w:r>
      <w:r w:rsidR="003249EA" w:rsidRPr="00FF207E">
        <w:rPr>
          <w:rFonts w:cs="Arial"/>
          <w:lang w:val="sl-SI"/>
        </w:rPr>
        <w:t>dejavnosti</w:t>
      </w:r>
      <w:r w:rsidRPr="00FF207E">
        <w:rPr>
          <w:rFonts w:cs="Arial"/>
          <w:lang w:val="sl-SI"/>
        </w:rPr>
        <w:t xml:space="preserve">. V prvem koraku so regije razvrščene glede na število točk po </w:t>
      </w:r>
      <w:r w:rsidR="00D331D7" w:rsidRPr="00FF207E">
        <w:rPr>
          <w:rFonts w:cs="Arial"/>
          <w:lang w:val="sl-SI"/>
        </w:rPr>
        <w:t xml:space="preserve">merilih </w:t>
      </w:r>
      <w:r w:rsidRPr="00FF207E">
        <w:rPr>
          <w:rFonts w:cs="Arial"/>
          <w:lang w:val="sl-SI"/>
        </w:rPr>
        <w:t xml:space="preserve">razvitosti. Pet regij z najvišjim številom točk glede na </w:t>
      </w:r>
      <w:r w:rsidR="00D331D7" w:rsidRPr="00FF207E">
        <w:rPr>
          <w:rFonts w:cs="Arial"/>
          <w:lang w:val="sl-SI"/>
        </w:rPr>
        <w:t xml:space="preserve">merilo </w:t>
      </w:r>
      <w:r w:rsidRPr="00FF207E">
        <w:rPr>
          <w:rFonts w:cs="Arial"/>
          <w:lang w:val="sl-SI"/>
        </w:rPr>
        <w:t xml:space="preserve">razvitosti se uvrsti v drugi krog, kjer so razvrščene glede na število točk po </w:t>
      </w:r>
      <w:r w:rsidR="00D331D7" w:rsidRPr="00FF207E">
        <w:rPr>
          <w:rFonts w:cs="Arial"/>
          <w:lang w:val="sl-SI"/>
        </w:rPr>
        <w:t xml:space="preserve">merilih </w:t>
      </w:r>
      <w:r w:rsidR="003249EA" w:rsidRPr="00FF207E">
        <w:rPr>
          <w:rFonts w:cs="Arial"/>
          <w:lang w:val="sl-SI"/>
        </w:rPr>
        <w:t>dejavnosti</w:t>
      </w:r>
      <w:r w:rsidRPr="00FF207E">
        <w:rPr>
          <w:rFonts w:cs="Arial"/>
          <w:lang w:val="sl-SI"/>
        </w:rPr>
        <w:t xml:space="preserve">. </w:t>
      </w:r>
      <w:r w:rsidRPr="00FF207E">
        <w:rPr>
          <w:lang w:val="sl-SI"/>
        </w:rPr>
        <w:t xml:space="preserve">Za izvedbo pilotnega projekta, ki se bo vzporedno izvajal v dveh regijah, so primerne regije, ki po številu točk zasedajo prva tri mesta. Prednost pri izbiri imajo regije, ki spadajo pod kohezijsko regijo </w:t>
      </w:r>
      <w:r w:rsidR="009441D2" w:rsidRPr="00FF207E">
        <w:rPr>
          <w:lang w:val="sl-SI"/>
        </w:rPr>
        <w:t>v</w:t>
      </w:r>
      <w:r w:rsidRPr="00FF207E">
        <w:rPr>
          <w:lang w:val="sl-SI"/>
        </w:rPr>
        <w:t xml:space="preserve">zhodna Slovenija, saj ta na ravni EU </w:t>
      </w:r>
      <w:r w:rsidR="004963C7" w:rsidRPr="00FF207E">
        <w:rPr>
          <w:lang w:val="sl-SI"/>
        </w:rPr>
        <w:t xml:space="preserve">spada </w:t>
      </w:r>
      <w:r w:rsidRPr="00FF207E">
        <w:rPr>
          <w:lang w:val="sl-SI"/>
        </w:rPr>
        <w:t xml:space="preserve">v kategorijo manj razvitih regij in je </w:t>
      </w:r>
      <w:r w:rsidR="004963C7" w:rsidRPr="00FF207E">
        <w:rPr>
          <w:lang w:val="sl-SI"/>
        </w:rPr>
        <w:t xml:space="preserve">zato </w:t>
      </w:r>
      <w:r w:rsidRPr="00FF207E">
        <w:rPr>
          <w:lang w:val="sl-SI"/>
        </w:rPr>
        <w:t>upravičena do večjega deleža kohezijskih sredstev.</w:t>
      </w:r>
      <w:r w:rsidR="0009464A" w:rsidRPr="00FF207E">
        <w:rPr>
          <w:lang w:val="sl-SI"/>
        </w:rPr>
        <w:t xml:space="preserve"> V primeru enakega števila točk ima regija Vzhodna Slovenija prednost.</w:t>
      </w:r>
    </w:p>
    <w:p w14:paraId="3C01E654" w14:textId="34019446" w:rsidR="00D0361D" w:rsidRPr="00FF207E" w:rsidRDefault="00D0361D" w:rsidP="001E304B">
      <w:pPr>
        <w:tabs>
          <w:tab w:val="left" w:pos="1134"/>
          <w:tab w:val="right" w:leader="dot" w:pos="9061"/>
        </w:tabs>
        <w:spacing w:after="240"/>
        <w:ind w:left="1134" w:hanging="1134"/>
        <w:jc w:val="both"/>
        <w:rPr>
          <w:rFonts w:cs="Arial"/>
          <w:b/>
          <w:sz w:val="20"/>
          <w:szCs w:val="20"/>
          <w:lang w:val="sl-SI"/>
        </w:rPr>
      </w:pPr>
      <w:r w:rsidRPr="00FF207E">
        <w:rPr>
          <w:b/>
          <w:sz w:val="20"/>
          <w:szCs w:val="20"/>
          <w:lang w:val="sl-SI"/>
        </w:rPr>
        <w:t xml:space="preserve">Tabela </w:t>
      </w:r>
      <w:r w:rsidR="00586D22" w:rsidRPr="00FF207E">
        <w:rPr>
          <w:b/>
          <w:sz w:val="20"/>
          <w:szCs w:val="20"/>
          <w:lang w:val="sl-SI"/>
        </w:rPr>
        <w:t>4</w:t>
      </w:r>
      <w:r w:rsidRPr="00FF207E">
        <w:rPr>
          <w:b/>
          <w:sz w:val="20"/>
          <w:szCs w:val="20"/>
          <w:lang w:val="sl-SI"/>
        </w:rPr>
        <w:t>:</w:t>
      </w:r>
      <w:r w:rsidRPr="00FF207E">
        <w:rPr>
          <w:b/>
          <w:sz w:val="20"/>
          <w:szCs w:val="20"/>
          <w:lang w:val="sl-SI"/>
        </w:rPr>
        <w:tab/>
        <w:t>Vrednostni razredi kazalnikov</w:t>
      </w:r>
    </w:p>
    <w:tbl>
      <w:tblPr>
        <w:tblStyle w:val="Tabelamrea"/>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505"/>
        <w:gridCol w:w="1412"/>
        <w:gridCol w:w="3607"/>
        <w:gridCol w:w="1417"/>
        <w:gridCol w:w="425"/>
        <w:gridCol w:w="1696"/>
      </w:tblGrid>
      <w:tr w:rsidR="00051CE8" w:rsidRPr="00FF207E" w14:paraId="34DCEC00" w14:textId="77777777" w:rsidTr="00D0361D">
        <w:tc>
          <w:tcPr>
            <w:tcW w:w="505" w:type="dxa"/>
            <w:tcBorders>
              <w:top w:val="single" w:sz="4" w:space="0" w:color="4F81BD" w:themeColor="accent1"/>
              <w:bottom w:val="single" w:sz="4" w:space="0" w:color="4F81BD" w:themeColor="accent1"/>
            </w:tcBorders>
            <w:vAlign w:val="center"/>
          </w:tcPr>
          <w:p w14:paraId="1CBD1FB0" w14:textId="77777777"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1</w:t>
            </w:r>
          </w:p>
        </w:tc>
        <w:tc>
          <w:tcPr>
            <w:tcW w:w="1412" w:type="dxa"/>
            <w:tcBorders>
              <w:top w:val="single" w:sz="4" w:space="0" w:color="4F81BD" w:themeColor="accent1"/>
              <w:bottom w:val="single" w:sz="4" w:space="0" w:color="4F81BD" w:themeColor="accent1"/>
            </w:tcBorders>
            <w:vAlign w:val="center"/>
          </w:tcPr>
          <w:p w14:paraId="1E75768F" w14:textId="4FC3C784"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Min</w:t>
            </w:r>
            <w:r w:rsidR="00D0361D" w:rsidRPr="00FF207E">
              <w:rPr>
                <w:rFonts w:cs="Arial"/>
                <w:lang w:val="sl-SI"/>
              </w:rPr>
              <w:t>imum</w:t>
            </w:r>
          </w:p>
        </w:tc>
        <w:tc>
          <w:tcPr>
            <w:tcW w:w="3607" w:type="dxa"/>
            <w:tcBorders>
              <w:top w:val="single" w:sz="4" w:space="0" w:color="4F81BD" w:themeColor="accent1"/>
              <w:bottom w:val="single" w:sz="4" w:space="0" w:color="4F81BD" w:themeColor="accent1"/>
            </w:tcBorders>
            <w:vAlign w:val="center"/>
          </w:tcPr>
          <w:p w14:paraId="1B521AB4" w14:textId="77777777" w:rsidR="00051CE8" w:rsidRPr="00FF207E" w:rsidRDefault="00051CE8" w:rsidP="001E304B">
            <w:pPr>
              <w:tabs>
                <w:tab w:val="left" w:pos="1134"/>
                <w:tab w:val="right" w:leader="dot" w:pos="9061"/>
              </w:tabs>
              <w:spacing w:after="120"/>
              <w:jc w:val="both"/>
              <w:rPr>
                <w:rFonts w:cs="Arial"/>
                <w:b/>
                <w:bCs/>
                <w:lang w:val="sl-SI"/>
              </w:rPr>
            </w:pPr>
            <w:r w:rsidRPr="00FF207E">
              <w:rPr>
                <w:rFonts w:cs="Arial"/>
                <w:b/>
                <w:bCs/>
                <w:lang w:val="sl-SI"/>
              </w:rPr>
              <w:t>Razred 1</w:t>
            </w:r>
          </w:p>
        </w:tc>
        <w:tc>
          <w:tcPr>
            <w:tcW w:w="1417" w:type="dxa"/>
            <w:tcBorders>
              <w:top w:val="single" w:sz="4" w:space="0" w:color="4F81BD" w:themeColor="accent1"/>
              <w:bottom w:val="single" w:sz="4" w:space="0" w:color="4F81BD" w:themeColor="accent1"/>
            </w:tcBorders>
          </w:tcPr>
          <w:p w14:paraId="37D71B32" w14:textId="0F898275"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Min</w:t>
            </w:r>
            <w:r w:rsidR="004963C7" w:rsidRPr="00FF207E">
              <w:rPr>
                <w:rFonts w:cs="Arial"/>
                <w:lang w:val="sl-SI"/>
              </w:rPr>
              <w:t>imum</w:t>
            </w:r>
            <w:r w:rsidRPr="00FF207E">
              <w:rPr>
                <w:rFonts w:cs="Arial"/>
                <w:lang w:val="sl-SI"/>
              </w:rPr>
              <w:t xml:space="preserve"> &lt;=</w:t>
            </w:r>
          </w:p>
        </w:tc>
        <w:tc>
          <w:tcPr>
            <w:tcW w:w="425" w:type="dxa"/>
            <w:tcBorders>
              <w:top w:val="single" w:sz="4" w:space="0" w:color="4F81BD" w:themeColor="accent1"/>
              <w:bottom w:val="single" w:sz="4" w:space="0" w:color="4F81BD" w:themeColor="accent1"/>
            </w:tcBorders>
          </w:tcPr>
          <w:p w14:paraId="523B22A8" w14:textId="77777777"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X</w:t>
            </w:r>
          </w:p>
        </w:tc>
        <w:tc>
          <w:tcPr>
            <w:tcW w:w="1696" w:type="dxa"/>
            <w:tcBorders>
              <w:top w:val="single" w:sz="4" w:space="0" w:color="4F81BD" w:themeColor="accent1"/>
              <w:bottom w:val="single" w:sz="4" w:space="0" w:color="4F81BD" w:themeColor="accent1"/>
            </w:tcBorders>
          </w:tcPr>
          <w:p w14:paraId="41AD6A89" w14:textId="77777777"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&gt; 25 %</w:t>
            </w:r>
          </w:p>
        </w:tc>
      </w:tr>
      <w:tr w:rsidR="00051CE8" w:rsidRPr="00FF207E" w14:paraId="7B2D6455" w14:textId="77777777" w:rsidTr="00D0361D">
        <w:tc>
          <w:tcPr>
            <w:tcW w:w="505" w:type="dxa"/>
            <w:tcBorders>
              <w:top w:val="single" w:sz="4" w:space="0" w:color="4F81BD" w:themeColor="accent1"/>
            </w:tcBorders>
            <w:vAlign w:val="center"/>
          </w:tcPr>
          <w:p w14:paraId="1A569ADD" w14:textId="77777777"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2</w:t>
            </w:r>
          </w:p>
        </w:tc>
        <w:tc>
          <w:tcPr>
            <w:tcW w:w="1412" w:type="dxa"/>
            <w:tcBorders>
              <w:top w:val="single" w:sz="4" w:space="0" w:color="4F81BD" w:themeColor="accent1"/>
            </w:tcBorders>
            <w:vAlign w:val="center"/>
          </w:tcPr>
          <w:p w14:paraId="077FC21E" w14:textId="77777777"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25 %</w:t>
            </w:r>
          </w:p>
        </w:tc>
        <w:tc>
          <w:tcPr>
            <w:tcW w:w="3607" w:type="dxa"/>
            <w:tcBorders>
              <w:top w:val="single" w:sz="4" w:space="0" w:color="4F81BD" w:themeColor="accent1"/>
            </w:tcBorders>
            <w:vAlign w:val="center"/>
          </w:tcPr>
          <w:p w14:paraId="4B46A45B" w14:textId="77777777" w:rsidR="00051CE8" w:rsidRPr="00FF207E" w:rsidRDefault="00051CE8" w:rsidP="001E304B">
            <w:pPr>
              <w:tabs>
                <w:tab w:val="left" w:pos="1134"/>
                <w:tab w:val="right" w:leader="dot" w:pos="9061"/>
              </w:tabs>
              <w:spacing w:after="120"/>
              <w:jc w:val="both"/>
              <w:rPr>
                <w:rFonts w:cs="Arial"/>
                <w:b/>
                <w:bCs/>
                <w:lang w:val="sl-SI"/>
              </w:rPr>
            </w:pPr>
            <w:r w:rsidRPr="00FF207E">
              <w:rPr>
                <w:rFonts w:cs="Arial"/>
                <w:b/>
                <w:bCs/>
                <w:lang w:val="sl-SI"/>
              </w:rPr>
              <w:t>Razred 2</w:t>
            </w:r>
          </w:p>
        </w:tc>
        <w:tc>
          <w:tcPr>
            <w:tcW w:w="1417" w:type="dxa"/>
            <w:tcBorders>
              <w:top w:val="single" w:sz="4" w:space="0" w:color="4F81BD" w:themeColor="accent1"/>
            </w:tcBorders>
          </w:tcPr>
          <w:p w14:paraId="701C1E62" w14:textId="77777777"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25 % &lt;=</w:t>
            </w:r>
          </w:p>
        </w:tc>
        <w:tc>
          <w:tcPr>
            <w:tcW w:w="425" w:type="dxa"/>
            <w:tcBorders>
              <w:top w:val="single" w:sz="4" w:space="0" w:color="4F81BD" w:themeColor="accent1"/>
            </w:tcBorders>
          </w:tcPr>
          <w:p w14:paraId="01C681F4" w14:textId="77777777"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X</w:t>
            </w:r>
          </w:p>
        </w:tc>
        <w:tc>
          <w:tcPr>
            <w:tcW w:w="1696" w:type="dxa"/>
            <w:tcBorders>
              <w:top w:val="single" w:sz="4" w:space="0" w:color="4F81BD" w:themeColor="accent1"/>
            </w:tcBorders>
          </w:tcPr>
          <w:p w14:paraId="377413EE" w14:textId="77777777"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&gt; mediana</w:t>
            </w:r>
          </w:p>
        </w:tc>
      </w:tr>
      <w:tr w:rsidR="00051CE8" w:rsidRPr="00FF207E" w14:paraId="49775B4B" w14:textId="77777777" w:rsidTr="00D0361D">
        <w:tc>
          <w:tcPr>
            <w:tcW w:w="505" w:type="dxa"/>
            <w:vAlign w:val="center"/>
          </w:tcPr>
          <w:p w14:paraId="176EFDAD" w14:textId="77777777"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3</w:t>
            </w:r>
          </w:p>
        </w:tc>
        <w:tc>
          <w:tcPr>
            <w:tcW w:w="1412" w:type="dxa"/>
            <w:vAlign w:val="center"/>
          </w:tcPr>
          <w:p w14:paraId="1806A5CD" w14:textId="77777777"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Mediana</w:t>
            </w:r>
          </w:p>
        </w:tc>
        <w:tc>
          <w:tcPr>
            <w:tcW w:w="3607" w:type="dxa"/>
            <w:vAlign w:val="center"/>
          </w:tcPr>
          <w:p w14:paraId="521355AE" w14:textId="77777777" w:rsidR="00051CE8" w:rsidRPr="00FF207E" w:rsidRDefault="00051CE8" w:rsidP="001E304B">
            <w:pPr>
              <w:tabs>
                <w:tab w:val="left" w:pos="1134"/>
                <w:tab w:val="right" w:leader="dot" w:pos="9061"/>
              </w:tabs>
              <w:spacing w:after="120"/>
              <w:jc w:val="both"/>
              <w:rPr>
                <w:rFonts w:cs="Arial"/>
                <w:b/>
                <w:bCs/>
                <w:lang w:val="sl-SI"/>
              </w:rPr>
            </w:pPr>
            <w:r w:rsidRPr="00FF207E">
              <w:rPr>
                <w:rFonts w:cs="Arial"/>
                <w:b/>
                <w:bCs/>
                <w:lang w:val="sl-SI"/>
              </w:rPr>
              <w:t>Razred 3</w:t>
            </w:r>
          </w:p>
        </w:tc>
        <w:tc>
          <w:tcPr>
            <w:tcW w:w="1417" w:type="dxa"/>
          </w:tcPr>
          <w:p w14:paraId="4ACAD47E" w14:textId="77777777"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mediana &lt;=</w:t>
            </w:r>
          </w:p>
        </w:tc>
        <w:tc>
          <w:tcPr>
            <w:tcW w:w="425" w:type="dxa"/>
          </w:tcPr>
          <w:p w14:paraId="6246CF45" w14:textId="77777777"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X</w:t>
            </w:r>
          </w:p>
        </w:tc>
        <w:tc>
          <w:tcPr>
            <w:tcW w:w="1696" w:type="dxa"/>
          </w:tcPr>
          <w:p w14:paraId="518A80AD" w14:textId="77777777"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&gt; 75 %</w:t>
            </w:r>
          </w:p>
        </w:tc>
      </w:tr>
      <w:tr w:rsidR="00051CE8" w:rsidRPr="00FF207E" w14:paraId="5156B264" w14:textId="77777777" w:rsidTr="00D0361D">
        <w:tc>
          <w:tcPr>
            <w:tcW w:w="505" w:type="dxa"/>
            <w:tcBorders>
              <w:bottom w:val="single" w:sz="4" w:space="0" w:color="4F81BD" w:themeColor="accent1"/>
            </w:tcBorders>
            <w:vAlign w:val="center"/>
          </w:tcPr>
          <w:p w14:paraId="02F61C0C" w14:textId="77777777"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4</w:t>
            </w:r>
          </w:p>
        </w:tc>
        <w:tc>
          <w:tcPr>
            <w:tcW w:w="1412" w:type="dxa"/>
            <w:tcBorders>
              <w:bottom w:val="single" w:sz="4" w:space="0" w:color="4F81BD" w:themeColor="accent1"/>
            </w:tcBorders>
            <w:vAlign w:val="center"/>
          </w:tcPr>
          <w:p w14:paraId="369EBCFF" w14:textId="77777777"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75 %</w:t>
            </w:r>
          </w:p>
        </w:tc>
        <w:tc>
          <w:tcPr>
            <w:tcW w:w="3607" w:type="dxa"/>
            <w:tcBorders>
              <w:bottom w:val="single" w:sz="4" w:space="0" w:color="4F81BD" w:themeColor="accent1"/>
            </w:tcBorders>
            <w:vAlign w:val="center"/>
          </w:tcPr>
          <w:p w14:paraId="02C544CE" w14:textId="77777777" w:rsidR="00051CE8" w:rsidRPr="00FF207E" w:rsidRDefault="00051CE8" w:rsidP="001E304B">
            <w:pPr>
              <w:tabs>
                <w:tab w:val="left" w:pos="1134"/>
                <w:tab w:val="right" w:leader="dot" w:pos="9061"/>
              </w:tabs>
              <w:spacing w:after="120"/>
              <w:jc w:val="both"/>
              <w:rPr>
                <w:rFonts w:cs="Arial"/>
                <w:b/>
                <w:bCs/>
                <w:lang w:val="sl-SI"/>
              </w:rPr>
            </w:pPr>
            <w:r w:rsidRPr="00FF207E">
              <w:rPr>
                <w:rFonts w:cs="Arial"/>
                <w:b/>
                <w:bCs/>
                <w:lang w:val="sl-SI"/>
              </w:rPr>
              <w:t>Razred 4</w:t>
            </w:r>
          </w:p>
        </w:tc>
        <w:tc>
          <w:tcPr>
            <w:tcW w:w="1417" w:type="dxa"/>
            <w:tcBorders>
              <w:bottom w:val="single" w:sz="4" w:space="0" w:color="4F81BD" w:themeColor="accent1"/>
            </w:tcBorders>
          </w:tcPr>
          <w:p w14:paraId="64ED45DC" w14:textId="77777777"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75 % &lt;=</w:t>
            </w:r>
          </w:p>
        </w:tc>
        <w:tc>
          <w:tcPr>
            <w:tcW w:w="425" w:type="dxa"/>
            <w:tcBorders>
              <w:bottom w:val="single" w:sz="4" w:space="0" w:color="4F81BD" w:themeColor="accent1"/>
            </w:tcBorders>
          </w:tcPr>
          <w:p w14:paraId="7D9DFD82" w14:textId="77777777"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X</w:t>
            </w:r>
          </w:p>
        </w:tc>
        <w:tc>
          <w:tcPr>
            <w:tcW w:w="1696" w:type="dxa"/>
            <w:tcBorders>
              <w:bottom w:val="single" w:sz="4" w:space="0" w:color="4F81BD" w:themeColor="accent1"/>
            </w:tcBorders>
          </w:tcPr>
          <w:p w14:paraId="31136D59" w14:textId="295E827F"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&gt;= Ma</w:t>
            </w:r>
            <w:r w:rsidR="004963C7" w:rsidRPr="00FF207E">
              <w:rPr>
                <w:rFonts w:cs="Arial"/>
                <w:lang w:val="sl-SI"/>
              </w:rPr>
              <w:t>ksimum</w:t>
            </w:r>
          </w:p>
        </w:tc>
      </w:tr>
      <w:tr w:rsidR="00051CE8" w:rsidRPr="00AF7A0E" w14:paraId="4D8BA922" w14:textId="77777777" w:rsidTr="00D0361D">
        <w:tc>
          <w:tcPr>
            <w:tcW w:w="505" w:type="dxa"/>
            <w:tcBorders>
              <w:top w:val="single" w:sz="4" w:space="0" w:color="4F81BD" w:themeColor="accent1"/>
              <w:bottom w:val="single" w:sz="4" w:space="0" w:color="4F81BD" w:themeColor="accent1"/>
            </w:tcBorders>
            <w:vAlign w:val="center"/>
          </w:tcPr>
          <w:p w14:paraId="060695FA" w14:textId="77777777" w:rsidR="00051CE8" w:rsidRPr="00FF207E" w:rsidRDefault="00051CE8" w:rsidP="001E304B">
            <w:pPr>
              <w:tabs>
                <w:tab w:val="left" w:pos="1134"/>
                <w:tab w:val="right" w:leader="dot" w:pos="9061"/>
              </w:tabs>
              <w:spacing w:after="120"/>
              <w:jc w:val="both"/>
              <w:rPr>
                <w:rFonts w:cs="Arial"/>
                <w:lang w:val="sl-SI"/>
              </w:rPr>
            </w:pPr>
            <w:r w:rsidRPr="00FF207E">
              <w:rPr>
                <w:rFonts w:cs="Arial"/>
                <w:lang w:val="sl-SI"/>
              </w:rPr>
              <w:t>5</w:t>
            </w:r>
          </w:p>
        </w:tc>
        <w:tc>
          <w:tcPr>
            <w:tcW w:w="1412" w:type="dxa"/>
            <w:tcBorders>
              <w:top w:val="single" w:sz="4" w:space="0" w:color="4F81BD" w:themeColor="accent1"/>
              <w:bottom w:val="single" w:sz="4" w:space="0" w:color="4F81BD" w:themeColor="accent1"/>
            </w:tcBorders>
            <w:vAlign w:val="center"/>
          </w:tcPr>
          <w:p w14:paraId="45B43DA9" w14:textId="29C0FA42" w:rsidR="00051CE8" w:rsidRPr="00AF7A0E" w:rsidRDefault="00051CE8" w:rsidP="001E304B">
            <w:pPr>
              <w:tabs>
                <w:tab w:val="left" w:pos="1134"/>
                <w:tab w:val="right" w:leader="dot" w:pos="9061"/>
              </w:tabs>
              <w:spacing w:after="120"/>
              <w:jc w:val="both"/>
              <w:rPr>
                <w:rFonts w:cs="Arial"/>
                <w:lang w:val="sl-SI"/>
              </w:rPr>
            </w:pPr>
            <w:r w:rsidRPr="00FF207E">
              <w:rPr>
                <w:rFonts w:cs="Arial"/>
                <w:lang w:val="sl-SI"/>
              </w:rPr>
              <w:t>Ma</w:t>
            </w:r>
            <w:r w:rsidR="004963C7" w:rsidRPr="00FF207E">
              <w:rPr>
                <w:rFonts w:cs="Arial"/>
                <w:lang w:val="sl-SI"/>
              </w:rPr>
              <w:t>ksimum</w:t>
            </w:r>
            <w:r w:rsidRPr="00AF7A0E">
              <w:rPr>
                <w:rFonts w:cs="Arial"/>
                <w:lang w:val="sl-SI"/>
              </w:rPr>
              <w:t xml:space="preserve"> </w:t>
            </w:r>
          </w:p>
        </w:tc>
        <w:tc>
          <w:tcPr>
            <w:tcW w:w="3607" w:type="dxa"/>
            <w:tcBorders>
              <w:top w:val="single" w:sz="4" w:space="0" w:color="4F81BD" w:themeColor="accent1"/>
              <w:bottom w:val="single" w:sz="4" w:space="0" w:color="4F81BD" w:themeColor="accent1"/>
            </w:tcBorders>
          </w:tcPr>
          <w:p w14:paraId="2EAE4BD2" w14:textId="77777777" w:rsidR="00051CE8" w:rsidRPr="00AF7A0E" w:rsidRDefault="00051CE8" w:rsidP="001E304B">
            <w:pPr>
              <w:tabs>
                <w:tab w:val="left" w:pos="1134"/>
                <w:tab w:val="right" w:leader="dot" w:pos="9061"/>
              </w:tabs>
              <w:spacing w:after="120"/>
              <w:jc w:val="both"/>
              <w:rPr>
                <w:rFonts w:cs="Arial"/>
                <w:lang w:val="sl-SI"/>
              </w:rPr>
            </w:pPr>
          </w:p>
        </w:tc>
        <w:tc>
          <w:tcPr>
            <w:tcW w:w="1417" w:type="dxa"/>
            <w:tcBorders>
              <w:top w:val="single" w:sz="4" w:space="0" w:color="4F81BD" w:themeColor="accent1"/>
              <w:bottom w:val="single" w:sz="4" w:space="0" w:color="4F81BD" w:themeColor="accent1"/>
            </w:tcBorders>
          </w:tcPr>
          <w:p w14:paraId="6F9F7F71" w14:textId="77777777" w:rsidR="00051CE8" w:rsidRPr="00AF7A0E" w:rsidRDefault="00051CE8" w:rsidP="001E304B">
            <w:pPr>
              <w:tabs>
                <w:tab w:val="left" w:pos="1134"/>
                <w:tab w:val="right" w:leader="dot" w:pos="9061"/>
              </w:tabs>
              <w:spacing w:after="120"/>
              <w:jc w:val="both"/>
              <w:rPr>
                <w:rFonts w:cs="Arial"/>
                <w:lang w:val="sl-SI"/>
              </w:rPr>
            </w:pPr>
          </w:p>
        </w:tc>
        <w:tc>
          <w:tcPr>
            <w:tcW w:w="425" w:type="dxa"/>
            <w:tcBorders>
              <w:top w:val="single" w:sz="4" w:space="0" w:color="4F81BD" w:themeColor="accent1"/>
              <w:bottom w:val="single" w:sz="4" w:space="0" w:color="4F81BD" w:themeColor="accent1"/>
            </w:tcBorders>
          </w:tcPr>
          <w:p w14:paraId="54E90F2E" w14:textId="77777777" w:rsidR="00051CE8" w:rsidRPr="00AF7A0E" w:rsidRDefault="00051CE8" w:rsidP="001E304B">
            <w:pPr>
              <w:tabs>
                <w:tab w:val="left" w:pos="1134"/>
                <w:tab w:val="right" w:leader="dot" w:pos="9061"/>
              </w:tabs>
              <w:spacing w:after="120"/>
              <w:jc w:val="both"/>
              <w:rPr>
                <w:rFonts w:cs="Arial"/>
                <w:lang w:val="sl-SI"/>
              </w:rPr>
            </w:pPr>
          </w:p>
        </w:tc>
        <w:tc>
          <w:tcPr>
            <w:tcW w:w="1696" w:type="dxa"/>
            <w:tcBorders>
              <w:top w:val="single" w:sz="4" w:space="0" w:color="4F81BD" w:themeColor="accent1"/>
              <w:bottom w:val="single" w:sz="4" w:space="0" w:color="4F81BD" w:themeColor="accent1"/>
            </w:tcBorders>
          </w:tcPr>
          <w:p w14:paraId="0BF83EBE" w14:textId="77777777" w:rsidR="00051CE8" w:rsidRPr="00AF7A0E" w:rsidRDefault="00051CE8" w:rsidP="001E304B">
            <w:pPr>
              <w:keepNext/>
              <w:tabs>
                <w:tab w:val="left" w:pos="1134"/>
                <w:tab w:val="right" w:leader="dot" w:pos="9061"/>
              </w:tabs>
              <w:spacing w:after="120"/>
              <w:jc w:val="both"/>
              <w:rPr>
                <w:rFonts w:cs="Arial"/>
                <w:lang w:val="sl-SI"/>
              </w:rPr>
            </w:pPr>
          </w:p>
        </w:tc>
      </w:tr>
    </w:tbl>
    <w:p w14:paraId="066D0B2C" w14:textId="6E9D3324" w:rsidR="000A7AFE" w:rsidRPr="00AF7A0E" w:rsidRDefault="000A7AFE" w:rsidP="001E304B">
      <w:pPr>
        <w:tabs>
          <w:tab w:val="left" w:pos="1134"/>
          <w:tab w:val="right" w:leader="dot" w:pos="9061"/>
        </w:tabs>
        <w:spacing w:after="120"/>
        <w:jc w:val="both"/>
        <w:rPr>
          <w:rFonts w:cs="Arial"/>
          <w:lang w:val="sl-SI"/>
        </w:rPr>
      </w:pPr>
    </w:p>
    <w:p w14:paraId="1FBFE0D2" w14:textId="77777777" w:rsidR="00586D22" w:rsidRPr="00AF7A0E" w:rsidRDefault="00586D22" w:rsidP="001E304B">
      <w:pPr>
        <w:tabs>
          <w:tab w:val="left" w:pos="1134"/>
          <w:tab w:val="right" w:leader="dot" w:pos="9061"/>
        </w:tabs>
        <w:spacing w:after="120"/>
        <w:jc w:val="both"/>
        <w:rPr>
          <w:rFonts w:cs="Arial"/>
          <w:lang w:val="sl-SI"/>
        </w:rPr>
      </w:pPr>
    </w:p>
    <w:sectPr w:rsidR="00586D22" w:rsidRPr="00AF7A0E" w:rsidSect="00610DF5">
      <w:footerReference w:type="default" r:id="rId55"/>
      <w:pgSz w:w="11906" w:h="16838"/>
      <w:pgMar w:top="1417" w:right="1417" w:bottom="1417" w:left="1417" w:header="708" w:footer="708" w:gutter="0"/>
      <w:pgNumType w:fmt="lowerLetter"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3142" w14:textId="77777777" w:rsidR="004A433E" w:rsidRDefault="004A433E" w:rsidP="00BC01E7">
      <w:r>
        <w:separator/>
      </w:r>
    </w:p>
    <w:p w14:paraId="69C760C7" w14:textId="77777777" w:rsidR="004A433E" w:rsidRDefault="004A433E"/>
  </w:endnote>
  <w:endnote w:type="continuationSeparator" w:id="0">
    <w:p w14:paraId="339DCB4F" w14:textId="77777777" w:rsidR="004A433E" w:rsidRDefault="004A433E" w:rsidP="00BC01E7">
      <w:r>
        <w:continuationSeparator/>
      </w:r>
    </w:p>
    <w:p w14:paraId="478D77EE" w14:textId="77777777" w:rsidR="004A433E" w:rsidRDefault="004A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mpt ExtraLight">
    <w:altName w:val="Prompt ExtraLight"/>
    <w:charset w:val="DE"/>
    <w:family w:val="auto"/>
    <w:pitch w:val="variable"/>
    <w:sig w:usb0="21000007" w:usb1="00000001" w:usb2="00000000" w:usb3="00000000" w:csb0="00010193"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316621"/>
      <w:docPartObj>
        <w:docPartGallery w:val="Page Numbers (Bottom of Page)"/>
        <w:docPartUnique/>
      </w:docPartObj>
    </w:sdtPr>
    <w:sdtEndPr>
      <w:rPr>
        <w:rFonts w:cs="Arial"/>
        <w:sz w:val="20"/>
        <w:szCs w:val="20"/>
      </w:rPr>
    </w:sdtEndPr>
    <w:sdtContent>
      <w:p w14:paraId="52020B22" w14:textId="3D157D7A" w:rsidR="008140B0" w:rsidRPr="00C12CB9" w:rsidRDefault="008140B0">
        <w:pPr>
          <w:pStyle w:val="Noga"/>
          <w:jc w:val="center"/>
          <w:rPr>
            <w:rFonts w:cs="Arial"/>
            <w:sz w:val="20"/>
            <w:szCs w:val="20"/>
          </w:rPr>
        </w:pPr>
        <w:r w:rsidRPr="00C12CB9">
          <w:rPr>
            <w:rFonts w:cs="Arial"/>
            <w:sz w:val="20"/>
            <w:szCs w:val="20"/>
          </w:rPr>
          <w:fldChar w:fldCharType="begin"/>
        </w:r>
        <w:r w:rsidRPr="00C12CB9">
          <w:rPr>
            <w:rFonts w:cs="Arial"/>
            <w:sz w:val="20"/>
            <w:szCs w:val="20"/>
          </w:rPr>
          <w:instrText>PAGE   \* MERGEFORMAT</w:instrText>
        </w:r>
        <w:r w:rsidRPr="00C12CB9">
          <w:rPr>
            <w:rFonts w:cs="Arial"/>
            <w:sz w:val="20"/>
            <w:szCs w:val="20"/>
          </w:rPr>
          <w:fldChar w:fldCharType="separate"/>
        </w:r>
        <w:r w:rsidR="00A94C3B">
          <w:rPr>
            <w:rFonts w:cs="Arial"/>
            <w:noProof/>
            <w:sz w:val="20"/>
            <w:szCs w:val="20"/>
          </w:rPr>
          <w:t>60</w:t>
        </w:r>
        <w:r w:rsidRPr="00C12CB9">
          <w:rPr>
            <w:rFonts w:cs="Arial"/>
            <w:sz w:val="20"/>
            <w:szCs w:val="20"/>
          </w:rPr>
          <w:fldChar w:fldCharType="end"/>
        </w:r>
      </w:p>
    </w:sdtContent>
  </w:sdt>
  <w:p w14:paraId="3371F9BC" w14:textId="77777777" w:rsidR="008140B0" w:rsidRDefault="008140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566630"/>
      <w:docPartObj>
        <w:docPartGallery w:val="Page Numbers (Bottom of Page)"/>
        <w:docPartUnique/>
      </w:docPartObj>
    </w:sdtPr>
    <w:sdtEndPr>
      <w:rPr>
        <w:rFonts w:cs="Arial"/>
        <w:sz w:val="20"/>
        <w:szCs w:val="20"/>
      </w:rPr>
    </w:sdtEndPr>
    <w:sdtContent>
      <w:p w14:paraId="027B72DD" w14:textId="5FCECBCE" w:rsidR="008140B0" w:rsidRPr="00C12CB9" w:rsidRDefault="008140B0">
        <w:pPr>
          <w:pStyle w:val="Noga"/>
          <w:jc w:val="center"/>
          <w:rPr>
            <w:rFonts w:cs="Arial"/>
            <w:sz w:val="20"/>
            <w:szCs w:val="20"/>
          </w:rPr>
        </w:pPr>
        <w:r w:rsidRPr="00C12CB9">
          <w:rPr>
            <w:rFonts w:cs="Arial"/>
            <w:sz w:val="20"/>
            <w:szCs w:val="20"/>
          </w:rPr>
          <w:fldChar w:fldCharType="begin"/>
        </w:r>
        <w:r w:rsidRPr="00C12CB9">
          <w:rPr>
            <w:rFonts w:cs="Arial"/>
            <w:sz w:val="20"/>
            <w:szCs w:val="20"/>
          </w:rPr>
          <w:instrText>PAGE   \* MERGEFORMAT</w:instrText>
        </w:r>
        <w:r w:rsidRPr="00C12CB9">
          <w:rPr>
            <w:rFonts w:cs="Arial"/>
            <w:sz w:val="20"/>
            <w:szCs w:val="20"/>
          </w:rPr>
          <w:fldChar w:fldCharType="separate"/>
        </w:r>
        <w:r w:rsidR="00A94C3B">
          <w:rPr>
            <w:rFonts w:cs="Arial"/>
            <w:noProof/>
            <w:sz w:val="20"/>
            <w:szCs w:val="20"/>
          </w:rPr>
          <w:t>- 2 -</w:t>
        </w:r>
        <w:r w:rsidRPr="00C12CB9">
          <w:rPr>
            <w:rFonts w:cs="Arial"/>
            <w:sz w:val="20"/>
            <w:szCs w:val="20"/>
          </w:rPr>
          <w:fldChar w:fldCharType="end"/>
        </w:r>
      </w:p>
    </w:sdtContent>
  </w:sdt>
  <w:p w14:paraId="54F232D8" w14:textId="77777777" w:rsidR="008140B0" w:rsidRDefault="008140B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FA37" w14:textId="7398DF7A" w:rsidR="008140B0" w:rsidRPr="00C12CB9" w:rsidRDefault="008140B0">
    <w:pPr>
      <w:pStyle w:val="Noga"/>
      <w:jc w:val="center"/>
      <w:rPr>
        <w:rFonts w:cs="Arial"/>
        <w:sz w:val="20"/>
        <w:szCs w:val="20"/>
      </w:rPr>
    </w:pPr>
  </w:p>
  <w:p w14:paraId="6EF0CDCB" w14:textId="77777777" w:rsidR="008140B0" w:rsidRDefault="00814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277F" w14:textId="77777777" w:rsidR="004A433E" w:rsidRDefault="004A433E">
      <w:r>
        <w:separator/>
      </w:r>
    </w:p>
  </w:footnote>
  <w:footnote w:type="continuationSeparator" w:id="0">
    <w:p w14:paraId="16BE6DA9" w14:textId="77777777" w:rsidR="004A433E" w:rsidRDefault="004A433E" w:rsidP="00BC01E7">
      <w:r>
        <w:continuationSeparator/>
      </w:r>
    </w:p>
    <w:p w14:paraId="2281B0CE" w14:textId="77777777" w:rsidR="004A433E" w:rsidRDefault="004A433E"/>
  </w:footnote>
  <w:footnote w:id="1">
    <w:p w14:paraId="04E6107E" w14:textId="77777777" w:rsidR="008140B0" w:rsidRPr="004572A1" w:rsidRDefault="008140B0" w:rsidP="004572A1">
      <w:pPr>
        <w:spacing w:before="60" w:line="240" w:lineRule="auto"/>
        <w:ind w:left="284" w:hanging="284"/>
        <w:rPr>
          <w:rFonts w:cs="Arial"/>
          <w:sz w:val="18"/>
          <w:szCs w:val="18"/>
          <w:lang w:val="sl-SI"/>
        </w:rPr>
      </w:pPr>
      <w:r>
        <w:rPr>
          <w:rStyle w:val="Sprotnaopomba-sklic"/>
        </w:rPr>
        <w:footnoteRef/>
      </w:r>
      <w:r>
        <w:t xml:space="preserve"> </w:t>
      </w:r>
      <w:r w:rsidRPr="004572A1">
        <w:rPr>
          <w:sz w:val="18"/>
          <w:szCs w:val="18"/>
        </w:rPr>
        <w:tab/>
      </w:r>
      <w:r w:rsidRPr="004572A1">
        <w:rPr>
          <w:rFonts w:cs="Arial"/>
          <w:sz w:val="18"/>
          <w:szCs w:val="18"/>
          <w:lang w:val="sl-SI"/>
        </w:rPr>
        <w:t>Legenda barv:</w:t>
      </w:r>
    </w:p>
    <w:p w14:paraId="0913640E" w14:textId="77C78C1B" w:rsidR="008140B0" w:rsidRPr="004572A1" w:rsidRDefault="008140B0" w:rsidP="00D075B6">
      <w:pPr>
        <w:pStyle w:val="Odstavekseznama"/>
        <w:numPr>
          <w:ilvl w:val="0"/>
          <w:numId w:val="33"/>
        </w:numPr>
        <w:tabs>
          <w:tab w:val="left" w:pos="1701"/>
        </w:tabs>
        <w:spacing w:line="240" w:lineRule="auto"/>
        <w:ind w:left="568" w:hanging="284"/>
        <w:rPr>
          <w:rFonts w:cs="Arial"/>
          <w:sz w:val="18"/>
          <w:szCs w:val="18"/>
          <w:lang w:val="sl-SI"/>
        </w:rPr>
      </w:pPr>
      <w:r w:rsidRPr="004572A1">
        <w:rPr>
          <w:rFonts w:cs="Arial"/>
          <w:sz w:val="18"/>
          <w:szCs w:val="18"/>
          <w:shd w:val="clear" w:color="auto" w:fill="FFD966"/>
          <w:lang w:val="sl-SI"/>
        </w:rPr>
        <w:t>rumena</w:t>
      </w:r>
      <w:r w:rsidRPr="004572A1">
        <w:rPr>
          <w:rFonts w:cs="Arial"/>
          <w:sz w:val="18"/>
          <w:szCs w:val="18"/>
          <w:lang w:val="sl-SI"/>
        </w:rPr>
        <w:tab/>
      </w:r>
      <w:r w:rsidRPr="004572A1">
        <w:rPr>
          <w:sz w:val="18"/>
          <w:szCs w:val="18"/>
          <w:lang w:val="sl-SI"/>
        </w:rPr>
        <w:t>organizacijski ukrepi</w:t>
      </w:r>
    </w:p>
    <w:p w14:paraId="47F21BFE" w14:textId="77777777" w:rsidR="008140B0" w:rsidRPr="004572A1" w:rsidRDefault="008140B0" w:rsidP="00D075B6">
      <w:pPr>
        <w:pStyle w:val="Odstavekseznama"/>
        <w:numPr>
          <w:ilvl w:val="0"/>
          <w:numId w:val="33"/>
        </w:numPr>
        <w:tabs>
          <w:tab w:val="left" w:pos="1701"/>
        </w:tabs>
        <w:spacing w:line="240" w:lineRule="auto"/>
        <w:ind w:left="568" w:hanging="284"/>
        <w:rPr>
          <w:rFonts w:cs="Arial"/>
          <w:sz w:val="18"/>
          <w:szCs w:val="18"/>
          <w:lang w:val="sl-SI"/>
        </w:rPr>
      </w:pPr>
      <w:r w:rsidRPr="004572A1">
        <w:rPr>
          <w:rFonts w:cs="Arial"/>
          <w:sz w:val="18"/>
          <w:szCs w:val="18"/>
          <w:shd w:val="clear" w:color="auto" w:fill="D6E3BC" w:themeFill="accent3" w:themeFillTint="66"/>
          <w:lang w:val="sl-SI"/>
        </w:rPr>
        <w:t>zelena</w:t>
      </w:r>
      <w:r w:rsidRPr="004572A1">
        <w:rPr>
          <w:rFonts w:cs="Arial"/>
          <w:sz w:val="18"/>
          <w:szCs w:val="18"/>
          <w:lang w:val="sl-SI"/>
        </w:rPr>
        <w:tab/>
      </w:r>
      <w:r w:rsidRPr="004572A1">
        <w:rPr>
          <w:sz w:val="18"/>
          <w:szCs w:val="18"/>
          <w:lang w:val="sl-SI"/>
        </w:rPr>
        <w:t>ukrepi za zmanjševanje energetske revščine, vključeni v shemo</w:t>
      </w:r>
    </w:p>
    <w:p w14:paraId="2E28ADE0" w14:textId="77777777" w:rsidR="008140B0" w:rsidRPr="004572A1" w:rsidRDefault="008140B0" w:rsidP="00D075B6">
      <w:pPr>
        <w:pStyle w:val="Odstavekseznama"/>
        <w:numPr>
          <w:ilvl w:val="0"/>
          <w:numId w:val="33"/>
        </w:numPr>
        <w:tabs>
          <w:tab w:val="left" w:pos="1701"/>
        </w:tabs>
        <w:spacing w:line="240" w:lineRule="auto"/>
        <w:ind w:left="568" w:hanging="284"/>
        <w:rPr>
          <w:rFonts w:cs="Arial"/>
          <w:sz w:val="18"/>
          <w:szCs w:val="18"/>
          <w:lang w:val="sl-SI"/>
        </w:rPr>
      </w:pPr>
      <w:r w:rsidRPr="004572A1">
        <w:rPr>
          <w:rFonts w:cs="Arial"/>
          <w:sz w:val="18"/>
          <w:szCs w:val="18"/>
          <w:shd w:val="clear" w:color="auto" w:fill="DAEEF3" w:themeFill="accent5" w:themeFillTint="33"/>
          <w:lang w:val="sl-SI"/>
        </w:rPr>
        <w:t>modra</w:t>
      </w:r>
      <w:r w:rsidRPr="004572A1">
        <w:rPr>
          <w:rFonts w:cs="Arial"/>
          <w:sz w:val="18"/>
          <w:szCs w:val="18"/>
          <w:lang w:val="sl-SI"/>
        </w:rPr>
        <w:tab/>
        <w:t xml:space="preserve">ostali </w:t>
      </w:r>
      <w:r w:rsidRPr="004572A1">
        <w:rPr>
          <w:sz w:val="18"/>
          <w:szCs w:val="18"/>
          <w:lang w:val="sl-SI"/>
        </w:rPr>
        <w:t>ukrepi za zmanjševanje energetske revščine</w:t>
      </w:r>
    </w:p>
    <w:p w14:paraId="69A3329B" w14:textId="77777777" w:rsidR="008140B0" w:rsidRPr="004572A1" w:rsidRDefault="008140B0" w:rsidP="00D075B6">
      <w:pPr>
        <w:pStyle w:val="Odstavekseznama"/>
        <w:numPr>
          <w:ilvl w:val="0"/>
          <w:numId w:val="33"/>
        </w:numPr>
        <w:tabs>
          <w:tab w:val="left" w:pos="1701"/>
        </w:tabs>
        <w:spacing w:line="240" w:lineRule="auto"/>
        <w:ind w:left="568" w:hanging="284"/>
        <w:rPr>
          <w:rFonts w:cs="Arial"/>
          <w:sz w:val="18"/>
          <w:szCs w:val="18"/>
          <w:lang w:val="sl-SI"/>
        </w:rPr>
      </w:pPr>
      <w:r w:rsidRPr="004572A1">
        <w:rPr>
          <w:rFonts w:cs="Arial"/>
          <w:sz w:val="18"/>
          <w:szCs w:val="18"/>
          <w:shd w:val="clear" w:color="auto" w:fill="FDE9D9" w:themeFill="accent6" w:themeFillTint="33"/>
          <w:lang w:val="sl-SI"/>
        </w:rPr>
        <w:t>oranžna</w:t>
      </w:r>
      <w:r w:rsidRPr="004572A1">
        <w:rPr>
          <w:rFonts w:cs="Arial"/>
          <w:sz w:val="18"/>
          <w:szCs w:val="18"/>
          <w:lang w:val="sl-SI"/>
        </w:rPr>
        <w:tab/>
      </w:r>
      <w:r w:rsidRPr="004572A1">
        <w:rPr>
          <w:sz w:val="18"/>
          <w:szCs w:val="18"/>
          <w:lang w:val="sl-SI"/>
        </w:rPr>
        <w:t>ukrepi za blaženje energetske revščine</w:t>
      </w:r>
    </w:p>
    <w:p w14:paraId="0E6A99F7" w14:textId="713121AE" w:rsidR="008140B0" w:rsidRDefault="008140B0" w:rsidP="004572A1">
      <w:pPr>
        <w:pStyle w:val="Sprotnaopomba-besedilo"/>
        <w:ind w:left="0" w:firstLine="0"/>
      </w:pPr>
    </w:p>
  </w:footnote>
  <w:footnote w:id="2">
    <w:p w14:paraId="7F1FE798" w14:textId="760E859A" w:rsidR="008140B0" w:rsidRDefault="008140B0">
      <w:pPr>
        <w:pStyle w:val="Sprotnaopomba-besedilo"/>
      </w:pPr>
      <w:r>
        <w:rPr>
          <w:rStyle w:val="Sprotnaopomba-sklic"/>
        </w:rPr>
        <w:footnoteRef/>
      </w:r>
      <w:r>
        <w:tab/>
      </w:r>
      <w:r w:rsidRPr="00723652">
        <w:rPr>
          <w:rFonts w:cs="Arial"/>
          <w:szCs w:val="22"/>
        </w:rPr>
        <w:t>Preučitev in strokovne podlage za razvoj ukrepov za boj proti energetski revščini</w:t>
      </w:r>
      <w:r>
        <w:rPr>
          <w:rFonts w:cs="Arial"/>
          <w:szCs w:val="22"/>
        </w:rPr>
        <w:t xml:space="preserve">, IJS-DP-14268, </w:t>
      </w:r>
      <w:r w:rsidRPr="00C71C07">
        <w:rPr>
          <w:rStyle w:val="FootnoteCharacters"/>
        </w:rPr>
        <w:t xml:space="preserve">Institut »Jožef Stefan«, </w:t>
      </w:r>
      <w:r w:rsidRPr="00C71C07">
        <w:rPr>
          <w:rFonts w:cs="Arial"/>
        </w:rPr>
        <w:t>Inštitut za ekonomska raziskovanja in Focus, društvo za sonaraven razvoj</w:t>
      </w:r>
      <w:r>
        <w:rPr>
          <w:rFonts w:cs="Arial"/>
          <w:szCs w:val="22"/>
        </w:rPr>
        <w:t>, Ljubljana, januar 2023.</w:t>
      </w:r>
    </w:p>
  </w:footnote>
  <w:footnote w:id="3">
    <w:p w14:paraId="48E95778" w14:textId="63FE61A0" w:rsidR="008140B0" w:rsidRPr="006F0480" w:rsidRDefault="008140B0" w:rsidP="00FB796C">
      <w:pPr>
        <w:pStyle w:val="Sprotnaopomba-besedilo"/>
      </w:pPr>
      <w:r w:rsidRPr="006F0480">
        <w:rPr>
          <w:rStyle w:val="Sprotnaopomba-sklic"/>
        </w:rPr>
        <w:footnoteRef/>
      </w:r>
      <w:r w:rsidRPr="006F0480">
        <w:tab/>
        <w:t>Uredba o merilih za opredelitev in ocenjevanje števila energetsko revnih gospodinjstev (Ur</w:t>
      </w:r>
      <w:r>
        <w:t>adni</w:t>
      </w:r>
      <w:r w:rsidRPr="006F0480">
        <w:t xml:space="preserve"> l</w:t>
      </w:r>
      <w:r>
        <w:t>ist</w:t>
      </w:r>
      <w:r w:rsidRPr="006F0480">
        <w:t xml:space="preserve"> RS, št. 132/22)</w:t>
      </w:r>
      <w:r>
        <w:t>.</w:t>
      </w:r>
    </w:p>
  </w:footnote>
  <w:footnote w:id="4">
    <w:p w14:paraId="3ACD7E12" w14:textId="1FA655BE" w:rsidR="008140B0" w:rsidRDefault="008140B0" w:rsidP="004A0CE2">
      <w:pPr>
        <w:pStyle w:val="Sprotnaopomba-besedilo"/>
      </w:pPr>
      <w:r>
        <w:rPr>
          <w:rStyle w:val="Sprotnaopomba-sklic"/>
        </w:rPr>
        <w:footnoteRef/>
      </w:r>
      <w:r>
        <w:tab/>
        <w:t xml:space="preserve">Uredba o dokumentih razvojnega načrtovanja in postopkih za pripravo predloga državnega proračuna (Uradni list RS, št. </w:t>
      </w:r>
      <w:hyperlink r:id="rId1" w:tgtFrame="_blank" w:tooltip="Uredba o dokumentih razvojnega načrtovanja in postopkih za pripravo predloga državnega proračuna" w:history="1">
        <w:r>
          <w:rPr>
            <w:rStyle w:val="Hiperpovezava"/>
            <w:rFonts w:eastAsiaTheme="majorEastAsia"/>
          </w:rPr>
          <w:t>54/10</w:t>
        </w:r>
      </w:hyperlink>
      <w:r>
        <w:t xml:space="preserve"> in </w:t>
      </w:r>
      <w:hyperlink r:id="rId2" w:tgtFrame="_blank" w:tooltip="Uredba o spremembah in dopolnitvah Uredbe o dokumentih razvojnega načrtovanja in postopkih za pripravo predloga državnega proračuna" w:history="1">
        <w:r>
          <w:rPr>
            <w:rStyle w:val="Hiperpovezava"/>
            <w:rFonts w:eastAsiaTheme="majorEastAsia"/>
          </w:rPr>
          <w:t>35/18</w:t>
        </w:r>
      </w:hyperlink>
      <w:r>
        <w:t>).</w:t>
      </w:r>
    </w:p>
  </w:footnote>
  <w:footnote w:id="5">
    <w:p w14:paraId="786A4C75" w14:textId="1E80A24D" w:rsidR="008140B0" w:rsidRDefault="008140B0" w:rsidP="004A0CE2">
      <w:pPr>
        <w:pStyle w:val="Sprotnaopomba-besedilo"/>
      </w:pPr>
      <w:r>
        <w:rPr>
          <w:rStyle w:val="Sprotnaopomba-sklic"/>
          <w:rFonts w:eastAsiaTheme="minorEastAsia"/>
          <w:szCs w:val="18"/>
        </w:rPr>
        <w:footnoteRef/>
      </w:r>
      <w:r>
        <w:tab/>
      </w:r>
      <w:r w:rsidRPr="00C95579">
        <w:rPr>
          <w:rFonts w:cs="Arial"/>
          <w:iCs/>
          <w:szCs w:val="18"/>
        </w:rPr>
        <w:t>Celoviti nacionalni energetsk</w:t>
      </w:r>
      <w:r>
        <w:rPr>
          <w:rFonts w:cs="Arial"/>
          <w:iCs/>
          <w:szCs w:val="18"/>
        </w:rPr>
        <w:t>i</w:t>
      </w:r>
      <w:r w:rsidRPr="00C95579">
        <w:rPr>
          <w:rFonts w:cs="Arial"/>
          <w:iCs/>
          <w:szCs w:val="18"/>
        </w:rPr>
        <w:t xml:space="preserve"> in podnebni načrt Republike Slovenije (NEPN)</w:t>
      </w:r>
      <w:r>
        <w:rPr>
          <w:rStyle w:val="Hiperpovezava"/>
          <w:rFonts w:eastAsiaTheme="majorEastAsia"/>
          <w:iCs/>
          <w:color w:val="auto"/>
          <w:szCs w:val="18"/>
          <w:u w:val="none"/>
        </w:rPr>
        <w:t>, Vlada Republike Slovenije, 28. februar 2020,</w:t>
      </w:r>
      <w:r>
        <w:rPr>
          <w:rStyle w:val="Hiperpovezava"/>
          <w:rFonts w:eastAsiaTheme="majorEastAsia"/>
          <w:iCs/>
          <w:color w:val="auto"/>
          <w:u w:val="none"/>
        </w:rPr>
        <w:t xml:space="preserve"> </w:t>
      </w:r>
      <w:hyperlink r:id="rId3" w:history="1">
        <w:r w:rsidRPr="00B447BD">
          <w:rPr>
            <w:rStyle w:val="Hiperpovezava"/>
            <w:rFonts w:eastAsiaTheme="majorEastAsia"/>
            <w:iCs/>
          </w:rPr>
          <w:t>https://www.energetika-portal.si/fileadmin/dokumenti/publikacije/nepn/dokumenti/nepn_5.0_final_feb-2020.pdf</w:t>
        </w:r>
      </w:hyperlink>
      <w:r w:rsidRPr="00C13308">
        <w:rPr>
          <w:rStyle w:val="Hiperpovezava"/>
          <w:rFonts w:eastAsiaTheme="majorEastAsia"/>
          <w:iCs/>
          <w:u w:val="none"/>
        </w:rPr>
        <w:t>.</w:t>
      </w:r>
      <w:r>
        <w:rPr>
          <w:rStyle w:val="Hiperpovezava"/>
          <w:rFonts w:eastAsiaTheme="majorEastAsia"/>
          <w:iCs/>
          <w:color w:val="auto"/>
          <w:u w:val="none"/>
        </w:rPr>
        <w:t xml:space="preserve"> </w:t>
      </w:r>
    </w:p>
  </w:footnote>
  <w:footnote w:id="6">
    <w:p w14:paraId="754669DF" w14:textId="28CF3786" w:rsidR="008140B0" w:rsidRDefault="008140B0">
      <w:pPr>
        <w:pStyle w:val="Sprotnaopomba-besedilo"/>
      </w:pPr>
      <w:r>
        <w:rPr>
          <w:rStyle w:val="Sprotnaopomba-sklic"/>
        </w:rPr>
        <w:footnoteRef/>
      </w:r>
      <w:r>
        <w:t xml:space="preserve"> </w:t>
      </w:r>
      <w:r>
        <w:tab/>
      </w:r>
      <w:r w:rsidRPr="002C3264">
        <w:t>https://www.energetika-portal.si/fileadmin/dokumenti/publikacije/nepn/dokumenti/nepn_posod_jun2023.pdf</w:t>
      </w:r>
      <w:r>
        <w:t>.</w:t>
      </w:r>
    </w:p>
  </w:footnote>
  <w:footnote w:id="7">
    <w:p w14:paraId="7F7C5413" w14:textId="56EF0D4A" w:rsidR="008140B0" w:rsidRPr="00C95579" w:rsidRDefault="008140B0">
      <w:pPr>
        <w:pStyle w:val="Sprotnaopomba-besedilo"/>
        <w:rPr>
          <w:szCs w:val="18"/>
        </w:rPr>
      </w:pPr>
      <w:r w:rsidRPr="00C95579">
        <w:rPr>
          <w:rStyle w:val="Sprotnaopomba-sklic"/>
          <w:szCs w:val="18"/>
        </w:rPr>
        <w:footnoteRef/>
      </w:r>
      <w:r w:rsidRPr="00C95579">
        <w:rPr>
          <w:szCs w:val="18"/>
        </w:rPr>
        <w:t xml:space="preserve"> </w:t>
      </w:r>
      <w:r w:rsidRPr="00C95579">
        <w:rPr>
          <w:szCs w:val="18"/>
        </w:rPr>
        <w:tab/>
      </w:r>
      <w:r w:rsidRPr="00C95579">
        <w:rPr>
          <w:rFonts w:cs="Arial"/>
          <w:iCs/>
          <w:szCs w:val="18"/>
        </w:rPr>
        <w:t xml:space="preserve">Resolucija o Dolgoročni podnebni strategiji Slovenije do leta 2050 (ReDPS50; </w:t>
      </w:r>
      <w:r w:rsidRPr="00C95579">
        <w:rPr>
          <w:szCs w:val="18"/>
        </w:rPr>
        <w:t>Ur</w:t>
      </w:r>
      <w:r>
        <w:rPr>
          <w:szCs w:val="18"/>
        </w:rPr>
        <w:t>adni</w:t>
      </w:r>
      <w:r w:rsidRPr="00C95579">
        <w:rPr>
          <w:szCs w:val="18"/>
        </w:rPr>
        <w:t xml:space="preserve"> l</w:t>
      </w:r>
      <w:r>
        <w:rPr>
          <w:szCs w:val="18"/>
        </w:rPr>
        <w:t>ist</w:t>
      </w:r>
      <w:r w:rsidRPr="00C95579">
        <w:rPr>
          <w:szCs w:val="18"/>
        </w:rPr>
        <w:t xml:space="preserve"> RS, št. </w:t>
      </w:r>
      <w:hyperlink r:id="rId4" w:tgtFrame="_blank" w:tooltip="Resolucija o Dolgoročni podnebni strategiji Slovenije do leta 2050 (ReDPS50)" w:history="1">
        <w:r w:rsidRPr="00C95579">
          <w:rPr>
            <w:rStyle w:val="Hiperpovezava"/>
            <w:rFonts w:eastAsiaTheme="majorEastAsia"/>
            <w:szCs w:val="18"/>
          </w:rPr>
          <w:t>119/21</w:t>
        </w:r>
      </w:hyperlink>
      <w:r w:rsidRPr="00C95579">
        <w:rPr>
          <w:szCs w:val="18"/>
        </w:rPr>
        <w:t xml:space="preserve"> in </w:t>
      </w:r>
      <w:hyperlink r:id="rId5" w:tgtFrame="_blank" w:tooltip="Zakon o varstvu okolja" w:history="1">
        <w:r w:rsidRPr="00C95579">
          <w:rPr>
            <w:rStyle w:val="Hiperpovezava"/>
            <w:rFonts w:eastAsiaTheme="majorEastAsia"/>
            <w:szCs w:val="18"/>
          </w:rPr>
          <w:t>44/22</w:t>
        </w:r>
      </w:hyperlink>
      <w:r w:rsidRPr="00C95579">
        <w:rPr>
          <w:szCs w:val="18"/>
        </w:rPr>
        <w:t xml:space="preserve"> – ZVO-2)</w:t>
      </w:r>
      <w:r>
        <w:rPr>
          <w:szCs w:val="18"/>
        </w:rPr>
        <w:t>.</w:t>
      </w:r>
    </w:p>
  </w:footnote>
  <w:footnote w:id="8">
    <w:p w14:paraId="0432307A" w14:textId="743D536D" w:rsidR="008140B0" w:rsidRDefault="008140B0">
      <w:pPr>
        <w:pStyle w:val="Sprotnaopomba-besedilo"/>
      </w:pPr>
      <w:r>
        <w:rPr>
          <w:rStyle w:val="Sprotnaopomba-sklic"/>
        </w:rPr>
        <w:footnoteRef/>
      </w:r>
      <w:r>
        <w:t xml:space="preserve"> </w:t>
      </w:r>
      <w:r>
        <w:tab/>
        <w:t>Direktiva (EU) 2023/1791 Evropskega parlamenta in Sveta z dne 13. septembra 2023 o energetski učinkovitosti in spremembi Uredbe (EU) 2023/955 (prenovitev) (</w:t>
      </w:r>
      <w:hyperlink r:id="rId6" w:history="1">
        <w:r w:rsidRPr="000E5984">
          <w:rPr>
            <w:rStyle w:val="Hiperpovezava"/>
          </w:rPr>
          <w:t>https://eur-lex.europa.eu/legal-content/SL/TXT/HTML/?uri=CELEX:32023L1791</w:t>
        </w:r>
      </w:hyperlink>
      <w:r>
        <w:t>).</w:t>
      </w:r>
    </w:p>
  </w:footnote>
  <w:footnote w:id="9">
    <w:p w14:paraId="22B04F4F" w14:textId="6FB66412" w:rsidR="008140B0" w:rsidRDefault="008140B0">
      <w:pPr>
        <w:pStyle w:val="Sprotnaopomba-besedilo"/>
      </w:pPr>
      <w:r>
        <w:rPr>
          <w:rStyle w:val="Sprotnaopomba-sklic"/>
        </w:rPr>
        <w:footnoteRef/>
      </w:r>
      <w:r>
        <w:t xml:space="preserve"> </w:t>
      </w:r>
      <w:r>
        <w:tab/>
        <w:t>Priporočilo Komisije (EU) 2023/2407 z dne 20. oktobra 2023 o energijski revščini (</w:t>
      </w:r>
      <w:r w:rsidRPr="00DD23FF">
        <w:t>https://eur-lex.europa.eu/legal-content/SL/TXT/HTML/?uri=OJ:L_202302407</w:t>
      </w:r>
      <w:r>
        <w:t>).</w:t>
      </w:r>
    </w:p>
  </w:footnote>
  <w:footnote w:id="10">
    <w:p w14:paraId="6DDBBAC0" w14:textId="7B9F8588" w:rsidR="008140B0" w:rsidRPr="00377DB9" w:rsidRDefault="008140B0" w:rsidP="00697109">
      <w:pPr>
        <w:pStyle w:val="Sprotnaopomba-besedilo"/>
      </w:pPr>
      <w:r>
        <w:rPr>
          <w:rStyle w:val="Sprotnaopomba-sklic"/>
        </w:rPr>
        <w:footnoteRef/>
      </w:r>
      <w:r>
        <w:tab/>
      </w:r>
      <w:hyperlink r:id="rId7" w:history="1">
        <w:r w:rsidRPr="00110549">
          <w:rPr>
            <w:rStyle w:val="Hiperpovezava"/>
          </w:rPr>
          <w:t>https://podnebnapot2050.si/rezultati-slovenije/letno-podnebno-ogledalo/</w:t>
        </w:r>
      </w:hyperlink>
      <w:r>
        <w:rPr>
          <w:rStyle w:val="Hiperpovezava"/>
          <w:u w:val="none"/>
        </w:rPr>
        <w:t>.</w:t>
      </w:r>
    </w:p>
  </w:footnote>
  <w:footnote w:id="11">
    <w:p w14:paraId="21985196" w14:textId="5086D53A" w:rsidR="008140B0" w:rsidRPr="00377DB9" w:rsidRDefault="008140B0" w:rsidP="00697109">
      <w:pPr>
        <w:pStyle w:val="Sprotnaopomba-besedilo"/>
      </w:pPr>
      <w:r>
        <w:rPr>
          <w:rStyle w:val="Sprotnaopomba-sklic"/>
        </w:rPr>
        <w:footnoteRef/>
      </w:r>
      <w:r>
        <w:tab/>
      </w:r>
      <w:hyperlink r:id="rId8" w:history="1">
        <w:r w:rsidRPr="00110549">
          <w:rPr>
            <w:rStyle w:val="Hiperpovezava"/>
          </w:rPr>
          <w:t>https://www.ekosklad.si/informacije/o-skladu/letna-porocila</w:t>
        </w:r>
      </w:hyperlink>
      <w:r>
        <w:rPr>
          <w:rStyle w:val="Hiperpovezava"/>
          <w:u w:val="none"/>
        </w:rPr>
        <w:t>.</w:t>
      </w:r>
    </w:p>
  </w:footnote>
  <w:footnote w:id="12">
    <w:p w14:paraId="62E42EFD" w14:textId="5FAF02B0" w:rsidR="008140B0" w:rsidRDefault="008140B0" w:rsidP="00841D61">
      <w:pPr>
        <w:pStyle w:val="Sprotnaopomba-besedilo"/>
      </w:pPr>
      <w:r>
        <w:rPr>
          <w:rStyle w:val="Sprotnaopomba-sklic"/>
        </w:rPr>
        <w:footnoteRef/>
      </w:r>
      <w:r>
        <w:t xml:space="preserve"> </w:t>
      </w:r>
      <w:r>
        <w:tab/>
      </w:r>
      <w:hyperlink r:id="rId9" w:history="1">
        <w:r w:rsidRPr="000E5984">
          <w:rPr>
            <w:rStyle w:val="Hiperpovezava"/>
          </w:rPr>
          <w:t>http://vrs-3.vlada.si/MANDAT22/vladnagradiva.nsf/71d4985ffda5de89c12572c3003716c4/6765accbfa05c366c1258a540048c253?OpenDocument</w:t>
        </w:r>
      </w:hyperlink>
      <w:r>
        <w:rPr>
          <w:rStyle w:val="Hiperpovezava"/>
          <w:u w:val="none"/>
        </w:rPr>
        <w:t>.</w:t>
      </w:r>
      <w:r>
        <w:t xml:space="preserve"> </w:t>
      </w:r>
    </w:p>
  </w:footnote>
  <w:footnote w:id="13">
    <w:p w14:paraId="6F9EBD15" w14:textId="3D1EBA74" w:rsidR="008140B0" w:rsidRDefault="008140B0">
      <w:pPr>
        <w:pStyle w:val="Sprotnaopomba-besedilo"/>
      </w:pPr>
      <w:r>
        <w:rPr>
          <w:rStyle w:val="Sprotnaopomba-sklic"/>
        </w:rPr>
        <w:footnoteRef/>
      </w:r>
      <w:r>
        <w:t xml:space="preserve"> </w:t>
      </w:r>
      <w:r>
        <w:tab/>
        <w:t>Uredba (EU) 2023/955 Evropskega parlamenta in Sveta z dne 10. maja 2023 o vzpostavitvi Socialnega sklada za podnebje in spremembi Uredbe (EU) 2021/1060, UL L130/1.</w:t>
      </w:r>
    </w:p>
  </w:footnote>
  <w:footnote w:id="14">
    <w:p w14:paraId="7975BDB3" w14:textId="74D5A725" w:rsidR="0055078F" w:rsidRDefault="0055078F">
      <w:pPr>
        <w:pStyle w:val="Sprotnaopomba-besedilo"/>
      </w:pPr>
      <w:r>
        <w:rPr>
          <w:rStyle w:val="Sprotnaopomba-sklic"/>
        </w:rPr>
        <w:footnoteRef/>
      </w:r>
      <w:r>
        <w:t xml:space="preserve"> </w:t>
      </w:r>
      <w:r>
        <w:tab/>
        <w:t>Gre za okvirno oceno. Ob pripravi socialnega načrta za podnebje je treba glede na trenutno stanje izvajanja ukrepov in nove okoliščine vrednost potrebnih sredstev za zmanjševanje energetske revščine iz Socialnega sklada za podnebje ponovno oceniti.</w:t>
      </w:r>
    </w:p>
  </w:footnote>
  <w:footnote w:id="15">
    <w:p w14:paraId="47E46782" w14:textId="1F0F95C0" w:rsidR="008E0164" w:rsidRPr="008E0164" w:rsidRDefault="008E0164" w:rsidP="008E0164">
      <w:pPr>
        <w:pStyle w:val="Sprotnaopomba-besedilo"/>
      </w:pPr>
      <w:r w:rsidRPr="00FF207E">
        <w:rPr>
          <w:vertAlign w:val="superscript"/>
        </w:rPr>
        <w:t>2</w:t>
      </w:r>
      <w:r w:rsidRPr="00FF207E">
        <w:t xml:space="preserve"> </w:t>
      </w:r>
      <w:r w:rsidRPr="00FF207E">
        <w:tab/>
        <w:t>Preučitev in strokovne podlage za razvoj ukrepov za boj proti energetski revščini, IJS-DP-14268, Institut »Jožef Stefan«, Inštitut za ekonomska raziskovanja in Focus, društvo za sonaraven razvoj, Ljubljana, januar 2023.</w:t>
      </w:r>
    </w:p>
    <w:p w14:paraId="21040F21" w14:textId="6DD36FAA" w:rsidR="008140B0" w:rsidRDefault="008140B0" w:rsidP="008E0164">
      <w:pPr>
        <w:pStyle w:val="Sprotnaopomba-besedilo"/>
        <w:rPr>
          <w:rFonts w:cs="Arial"/>
          <w:szCs w:val="18"/>
        </w:rPr>
      </w:pPr>
      <w:r>
        <w:rPr>
          <w:rStyle w:val="Sprotnaopomba-sklic"/>
          <w:rFonts w:eastAsiaTheme="minorEastAsia"/>
          <w:szCs w:val="18"/>
        </w:rPr>
        <w:footnoteRef/>
      </w:r>
      <w:r>
        <w:rPr>
          <w:rFonts w:cs="Arial"/>
          <w:szCs w:val="18"/>
        </w:rPr>
        <w:t xml:space="preserve"> </w:t>
      </w:r>
      <w:r>
        <w:rPr>
          <w:rFonts w:cs="Arial"/>
          <w:szCs w:val="18"/>
        </w:rPr>
        <w:tab/>
      </w:r>
      <w:hyperlink r:id="rId10" w:history="1">
        <w:r w:rsidR="008E0164" w:rsidRPr="008E0164">
          <w:rPr>
            <w:rStyle w:val="Hiperpovezava"/>
            <w:rFonts w:eastAsiaTheme="majorEastAsia" w:cs="Arial"/>
            <w:iCs/>
            <w:szCs w:val="18"/>
          </w:rPr>
          <w:t>Dolgoročna strategija energetske prenove stavb do leta 205</w:t>
        </w:r>
        <w:r w:rsidR="008E0164" w:rsidRPr="008E0164">
          <w:rPr>
            <w:rStyle w:val="Hiperpovezava"/>
            <w:rFonts w:eastAsiaTheme="majorEastAsia" w:cs="Arial"/>
            <w:szCs w:val="18"/>
          </w:rPr>
          <w:t>0 (DSEPS2050), Vlada Republike Slovenije, 24. februar 2021</w:t>
        </w:r>
      </w:hyperlink>
      <w:r>
        <w:rPr>
          <w:rStyle w:val="Hiperpovezava"/>
          <w:rFonts w:eastAsiaTheme="majorEastAsia" w:cs="Arial"/>
          <w:color w:val="auto"/>
          <w:szCs w:val="18"/>
          <w:u w:val="none"/>
        </w:rPr>
        <w:t xml:space="preserve">, </w:t>
      </w:r>
      <w:hyperlink r:id="rId11" w:history="1">
        <w:r w:rsidRPr="00B31A4E">
          <w:rPr>
            <w:rStyle w:val="Hiperpovezava"/>
            <w:rFonts w:eastAsiaTheme="majorEastAsia" w:cs="Arial"/>
            <w:szCs w:val="18"/>
          </w:rPr>
          <w:t>https://www.energetika-portal.si/fileadmin/dokumenti/publikacije/dseps/dseps_2050_final.pdf</w:t>
        </w:r>
      </w:hyperlink>
      <w:r>
        <w:rPr>
          <w:rStyle w:val="Hiperpovezava"/>
          <w:rFonts w:eastAsiaTheme="majorEastAsia" w:cs="Arial"/>
          <w:szCs w:val="18"/>
          <w:u w:val="none"/>
        </w:rPr>
        <w:t>.</w:t>
      </w:r>
      <w:r>
        <w:rPr>
          <w:rStyle w:val="Hiperpovezava"/>
          <w:rFonts w:eastAsiaTheme="majorEastAsia" w:cs="Arial"/>
          <w:color w:val="auto"/>
          <w:szCs w:val="18"/>
          <w:u w:val="none"/>
        </w:rPr>
        <w:t xml:space="preserve"> </w:t>
      </w:r>
    </w:p>
  </w:footnote>
  <w:footnote w:id="16">
    <w:p w14:paraId="33C52ABF" w14:textId="32D42F92" w:rsidR="008140B0" w:rsidRDefault="008140B0" w:rsidP="004A0CE2">
      <w:pPr>
        <w:pStyle w:val="Sprotnaopomba-besedilo"/>
      </w:pPr>
      <w:r>
        <w:rPr>
          <w:rStyle w:val="Sprotnaopomba-sklic"/>
        </w:rPr>
        <w:footnoteRef/>
      </w:r>
      <w:r>
        <w:t xml:space="preserve"> </w:t>
      </w:r>
      <w:r>
        <w:tab/>
        <w:t xml:space="preserve">Poročilo </w:t>
      </w:r>
      <w:r>
        <w:rPr>
          <w:rFonts w:cs="Arial"/>
          <w:szCs w:val="18"/>
        </w:rPr>
        <w:t xml:space="preserve">Preučitev in strokovne podlage za razvoj ukrepov za boj proti energetski revščini, IJS-DP-14268, </w:t>
      </w:r>
      <w:r w:rsidRPr="00C71C07">
        <w:rPr>
          <w:rStyle w:val="FootnoteCharacters"/>
        </w:rPr>
        <w:t xml:space="preserve">Institut »Jožef Stefan«, </w:t>
      </w:r>
      <w:r w:rsidRPr="00C71C07">
        <w:rPr>
          <w:rFonts w:cs="Arial"/>
        </w:rPr>
        <w:t>Inštitut za ekonomska raziskovanja in Focus, društvo za sonaraven razvoj</w:t>
      </w:r>
      <w:r>
        <w:rPr>
          <w:rFonts w:cs="Arial"/>
        </w:rPr>
        <w:t>, Ljubljana, januar 2023 (</w:t>
      </w:r>
      <w:hyperlink r:id="rId12" w:history="1">
        <w:r w:rsidRPr="00E2710F">
          <w:rPr>
            <w:rStyle w:val="Hiperpovezava"/>
            <w:rFonts w:cs="Arial"/>
          </w:rPr>
          <w:t>https://www.energetika-portal.si/podrocja/energetika/energetska-revscina/preucitev-in-strokovne-podlage-za-razvoj-ukrepov-za-boj-proti-energetski-revscini/</w:t>
        </w:r>
      </w:hyperlink>
      <w:r>
        <w:rPr>
          <w:rFonts w:cs="Arial"/>
        </w:rPr>
        <w:t>).</w:t>
      </w:r>
    </w:p>
  </w:footnote>
  <w:footnote w:id="17">
    <w:p w14:paraId="3CA573B7" w14:textId="0790F556" w:rsidR="008140B0" w:rsidRPr="0080631C" w:rsidRDefault="008140B0">
      <w:pPr>
        <w:pStyle w:val="Sprotnaopomba-besedilo"/>
      </w:pPr>
      <w:r>
        <w:rPr>
          <w:rStyle w:val="Sprotnaopomba-sklic"/>
        </w:rPr>
        <w:footnoteRef/>
      </w:r>
      <w:r>
        <w:t xml:space="preserve"> </w:t>
      </w:r>
      <w:r>
        <w:tab/>
      </w:r>
      <w:r>
        <w:rPr>
          <w:rFonts w:cs="Arial"/>
        </w:rPr>
        <w:t xml:space="preserve">SiStat portal, </w:t>
      </w:r>
      <w:hyperlink r:id="rId13" w:history="1">
        <w:r w:rsidRPr="00B31A4E">
          <w:rPr>
            <w:rStyle w:val="Hiperpovezava"/>
            <w:rFonts w:cs="Arial"/>
          </w:rPr>
          <w:t>https://pxweb.stat.si/SiStat/sl</w:t>
        </w:r>
      </w:hyperlink>
      <w:r>
        <w:rPr>
          <w:rStyle w:val="Hiperpovezava"/>
          <w:rFonts w:cs="Arial"/>
          <w:u w:val="none"/>
        </w:rPr>
        <w:t>.</w:t>
      </w:r>
    </w:p>
  </w:footnote>
  <w:footnote w:id="18">
    <w:p w14:paraId="373AA4FA" w14:textId="5F2092FF" w:rsidR="008140B0" w:rsidRDefault="008140B0">
      <w:pPr>
        <w:pStyle w:val="Sprotnaopomba-besedilo"/>
      </w:pPr>
      <w:r>
        <w:rPr>
          <w:rStyle w:val="Sprotnaopomba-sklic"/>
        </w:rPr>
        <w:footnoteRef/>
      </w:r>
      <w:r>
        <w:t xml:space="preserve"> </w:t>
      </w:r>
      <w:r>
        <w:tab/>
      </w:r>
      <w:r>
        <w:rPr>
          <w:rFonts w:cs="Arial"/>
        </w:rPr>
        <w:t xml:space="preserve">Eurostat EU-SILC kazalniki, </w:t>
      </w:r>
      <w:hyperlink r:id="rId14" w:history="1">
        <w:r w:rsidRPr="00B31A4E">
          <w:rPr>
            <w:rStyle w:val="Hiperpovezava"/>
            <w:rFonts w:cs="Arial"/>
          </w:rPr>
          <w:t>https://ec.europa.eu/eurostat/web/income-and-living-conditions</w:t>
        </w:r>
      </w:hyperlink>
      <w:r>
        <w:rPr>
          <w:rStyle w:val="Hiperpovezava"/>
          <w:rFonts w:cs="Arial"/>
          <w:u w:val="none"/>
        </w:rPr>
        <w:t>.</w:t>
      </w:r>
      <w:r>
        <w:rPr>
          <w:rFonts w:cs="Arial"/>
        </w:rPr>
        <w:t xml:space="preserve"> </w:t>
      </w:r>
    </w:p>
  </w:footnote>
  <w:footnote w:id="19">
    <w:p w14:paraId="32C71DF4" w14:textId="05383593" w:rsidR="008140B0" w:rsidRPr="009B16AD" w:rsidRDefault="008140B0" w:rsidP="006918A6">
      <w:pPr>
        <w:pStyle w:val="Sprotnaopomba-besedilo"/>
        <w:rPr>
          <w:lang w:val="en-US"/>
        </w:rPr>
      </w:pPr>
      <w:r>
        <w:rPr>
          <w:rStyle w:val="Sprotnaopomba-sklic"/>
        </w:rPr>
        <w:footnoteRef/>
      </w:r>
      <w:r>
        <w:tab/>
      </w:r>
      <w:r w:rsidRPr="002C0CFA">
        <w:t>Uradni list RS, št. 208/21</w:t>
      </w:r>
      <w:r>
        <w:t xml:space="preserve"> (</w:t>
      </w:r>
      <w:hyperlink r:id="rId15" w:history="1">
        <w:r w:rsidRPr="002C0CFA">
          <w:rPr>
            <w:rStyle w:val="Hiperpovezava"/>
          </w:rPr>
          <w:t>http://www.pisrs.si/Pis.web/pregledPredpisa?id=URED8435</w:t>
        </w:r>
      </w:hyperlink>
      <w:r>
        <w:t>).</w:t>
      </w:r>
    </w:p>
  </w:footnote>
  <w:footnote w:id="20">
    <w:p w14:paraId="2BEF0F74" w14:textId="632EEC3E" w:rsidR="008140B0" w:rsidRDefault="008140B0">
      <w:pPr>
        <w:pStyle w:val="Sprotnaopomba-besedilo"/>
      </w:pPr>
      <w:r>
        <w:rPr>
          <w:rStyle w:val="Sprotnaopomba-sklic"/>
        </w:rPr>
        <w:footnoteRef/>
      </w:r>
      <w:r>
        <w:tab/>
      </w:r>
      <w:r w:rsidRPr="00635F12">
        <w:rPr>
          <w:rFonts w:cs="Arial"/>
          <w:sz w:val="20"/>
        </w:rPr>
        <w:t>Uredb</w:t>
      </w:r>
      <w:r>
        <w:rPr>
          <w:rFonts w:cs="Arial"/>
          <w:sz w:val="20"/>
        </w:rPr>
        <w:t>a</w:t>
      </w:r>
      <w:r w:rsidRPr="00635F12">
        <w:rPr>
          <w:rFonts w:cs="Arial"/>
          <w:sz w:val="20"/>
        </w:rPr>
        <w:t xml:space="preserve"> o merilih za opredelitev in ocenjevanje števila energetsko revnih gospodinjstev</w:t>
      </w:r>
    </w:p>
  </w:footnote>
  <w:footnote w:id="21">
    <w:p w14:paraId="4E113DCC" w14:textId="78BC548B" w:rsidR="008140B0" w:rsidRPr="00C71C07" w:rsidRDefault="008140B0" w:rsidP="00C71C07">
      <w:pPr>
        <w:pStyle w:val="Sprotnaopomba-besedilo"/>
        <w:tabs>
          <w:tab w:val="left" w:pos="284"/>
        </w:tabs>
        <w:rPr>
          <w:rStyle w:val="FootnoteCharacters"/>
        </w:rPr>
      </w:pPr>
      <w:r w:rsidRPr="00C71C07">
        <w:rPr>
          <w:rStyle w:val="FootnoteCharacters"/>
          <w:vertAlign w:val="superscript"/>
        </w:rPr>
        <w:footnoteRef/>
      </w:r>
      <w:r w:rsidRPr="00C71C07">
        <w:rPr>
          <w:rStyle w:val="FootnoteCharacters"/>
          <w:vertAlign w:val="superscript"/>
        </w:rPr>
        <w:tab/>
      </w:r>
      <w:r w:rsidRPr="00C71C07">
        <w:rPr>
          <w:rStyle w:val="FootnoteCharacters"/>
        </w:rPr>
        <w:t>Ukrepi so podrobneje predstavljeni v poročilu Preučitev in strokovne podlage za razvoj ukrepov za boj proti energetski revščini,</w:t>
      </w:r>
      <w:r>
        <w:rPr>
          <w:rStyle w:val="FootnoteCharacters"/>
        </w:rPr>
        <w:t xml:space="preserve"> </w:t>
      </w:r>
      <w:r>
        <w:rPr>
          <w:rFonts w:cs="Arial"/>
          <w:szCs w:val="18"/>
        </w:rPr>
        <w:t>IJS-DP-14268,</w:t>
      </w:r>
      <w:r w:rsidRPr="00C71C07">
        <w:rPr>
          <w:rStyle w:val="FootnoteCharacters"/>
        </w:rPr>
        <w:t xml:space="preserve"> Institut »Jožef Stefan«, </w:t>
      </w:r>
      <w:r w:rsidRPr="00C71C07">
        <w:rPr>
          <w:rFonts w:cs="Arial"/>
        </w:rPr>
        <w:t>Inštitut za ekonomska raziskovanja in Focus, društvo za sonaraven razvoj</w:t>
      </w:r>
      <w:r>
        <w:rPr>
          <w:rFonts w:cs="Arial"/>
        </w:rPr>
        <w:t>, Ljubljana, januar 2023 (</w:t>
      </w:r>
      <w:hyperlink r:id="rId16" w:history="1">
        <w:r w:rsidRPr="00E2710F">
          <w:rPr>
            <w:rStyle w:val="Hiperpovezava"/>
            <w:rFonts w:cs="Arial"/>
          </w:rPr>
          <w:t>https://www.energetika-portal.si/podrocja/energetika/energetska-revscina/preucitev-in-strokovne-podlage-za-razvoj-ukrepov-za-boj-proti-energetski-revscini/</w:t>
        </w:r>
      </w:hyperlink>
      <w:r>
        <w:rPr>
          <w:rFonts w:cs="Arial"/>
        </w:rPr>
        <w:t>).</w:t>
      </w:r>
    </w:p>
  </w:footnote>
  <w:footnote w:id="22">
    <w:p w14:paraId="0CCE54BD" w14:textId="3FB3082A" w:rsidR="008140B0" w:rsidRDefault="008140B0">
      <w:pPr>
        <w:pStyle w:val="Sprotnaopomba-besedilo"/>
      </w:pPr>
      <w:r>
        <w:rPr>
          <w:rStyle w:val="Sprotnaopomba-sklic"/>
        </w:rPr>
        <w:footnoteRef/>
      </w:r>
      <w:r>
        <w:t xml:space="preserve"> </w:t>
      </w:r>
      <w:r>
        <w:tab/>
        <w:t>Glede na okoliščine in potrebe se lahko tak ukrep za izvajanje pripravi kadarkoli in ne nujno šele z začetkom veljavnosti naslednjega akcijskega načrta.</w:t>
      </w:r>
    </w:p>
  </w:footnote>
  <w:footnote w:id="23">
    <w:p w14:paraId="0E5C5850" w14:textId="2B21A666" w:rsidR="008140B0" w:rsidRDefault="008140B0">
      <w:pPr>
        <w:pStyle w:val="Sprotnaopomba-besedilo"/>
      </w:pPr>
      <w:r>
        <w:rPr>
          <w:rStyle w:val="Sprotnaopomba-sklic"/>
        </w:rPr>
        <w:footnoteRef/>
      </w:r>
      <w:r>
        <w:t xml:space="preserve"> </w:t>
      </w:r>
      <w:r>
        <w:tab/>
        <w:t>Ukrep je bil vključen v DSEPS 2050. Zaradi trenutnih razmer na trgu z električno energijo trenutno ni aktualen. Po potrebi se lahko z njegovim izvajanjem z načrtovanim ali prilagojenim načinom začne kadarkoli in ne nujno šele z začetkom veljavnosti naslednjega akcijskega načrta.</w:t>
      </w:r>
    </w:p>
  </w:footnote>
  <w:footnote w:id="24">
    <w:p w14:paraId="7D596D21" w14:textId="77777777" w:rsidR="004E2064" w:rsidRDefault="004E2064" w:rsidP="004E2064">
      <w:pPr>
        <w:pStyle w:val="Sprotnaopomba-besedilo"/>
        <w:rPr>
          <w:rFonts w:eastAsiaTheme="minorEastAsia"/>
        </w:rPr>
      </w:pPr>
      <w:r>
        <w:rPr>
          <w:rStyle w:val="Sprotnaopomba-sklic"/>
          <w:rFonts w:eastAsiaTheme="majorEastAsia"/>
          <w:szCs w:val="18"/>
        </w:rPr>
        <w:footnoteRef/>
      </w:r>
      <w:r>
        <w:rPr>
          <w:szCs w:val="18"/>
        </w:rPr>
        <w:t xml:space="preserve"> </w:t>
      </w:r>
      <w:r>
        <w:rPr>
          <w:szCs w:val="18"/>
        </w:rPr>
        <w:tab/>
      </w:r>
      <w:r>
        <w:rPr>
          <w:rFonts w:eastAsiaTheme="minorEastAsia"/>
          <w:szCs w:val="18"/>
        </w:rPr>
        <w:t xml:space="preserve">V </w:t>
      </w:r>
      <w:r>
        <w:rPr>
          <w:i/>
          <w:szCs w:val="18"/>
        </w:rPr>
        <w:t>Programu Evropske kohezijske politike v obdobju 2021</w:t>
      </w:r>
      <w:r>
        <w:rPr>
          <w:rFonts w:cs="Arial"/>
          <w:i/>
          <w:szCs w:val="18"/>
        </w:rPr>
        <w:t>–2027</w:t>
      </w:r>
      <w:r>
        <w:rPr>
          <w:rFonts w:eastAsiaTheme="minorEastAsia"/>
          <w:szCs w:val="18"/>
        </w:rPr>
        <w:t xml:space="preserve"> sredstva niso razporejena po posameznih ukrepih. Navedeni znesek je navedel MzI kot načrtovan za zmanjševanje energetske revščine v okviru kohezijskih sredstev na </w:t>
      </w:r>
      <w:r>
        <w:rPr>
          <w:rFonts w:cs="Arial"/>
          <w:i/>
          <w:szCs w:val="18"/>
        </w:rPr>
        <w:t xml:space="preserve">Nacionalni okrogli mizi o naložbah v trajnostno energijo v Sloveniji </w:t>
      </w:r>
      <w:r>
        <w:rPr>
          <w:rFonts w:cs="Arial"/>
          <w:szCs w:val="18"/>
        </w:rPr>
        <w:t>v Ljubljani 24. maja 2022).</w:t>
      </w:r>
    </w:p>
  </w:footnote>
  <w:footnote w:id="25">
    <w:p w14:paraId="4C8EF3A4" w14:textId="3C61FBDD" w:rsidR="008140B0" w:rsidRDefault="008140B0" w:rsidP="007C0C93">
      <w:pPr>
        <w:pStyle w:val="Sprotnaopomba-besedilo"/>
        <w:rPr>
          <w:rStyle w:val="FootnoteCharacters"/>
          <w:rFonts w:eastAsiaTheme="minorEastAsia"/>
        </w:rPr>
      </w:pPr>
      <w:r>
        <w:rPr>
          <w:rStyle w:val="Sprotnaopomba-sklic"/>
          <w:rFonts w:eastAsiaTheme="majorEastAsia"/>
          <w:szCs w:val="18"/>
        </w:rPr>
        <w:footnoteRef/>
      </w:r>
      <w:r>
        <w:rPr>
          <w:szCs w:val="18"/>
        </w:rPr>
        <w:t xml:space="preserve"> </w:t>
      </w:r>
      <w:r>
        <w:rPr>
          <w:szCs w:val="18"/>
        </w:rPr>
        <w:tab/>
      </w:r>
      <w:r>
        <w:rPr>
          <w:rStyle w:val="FootnoteCharacters"/>
          <w:rFonts w:eastAsiaTheme="minorEastAsia"/>
          <w:szCs w:val="18"/>
        </w:rPr>
        <w:t xml:space="preserve">V </w:t>
      </w:r>
      <w:r>
        <w:rPr>
          <w:i/>
          <w:szCs w:val="18"/>
        </w:rPr>
        <w:t>Programu Evropske kohezijske politike v obdobju 2021</w:t>
      </w:r>
      <w:r>
        <w:rPr>
          <w:rFonts w:cs="Arial"/>
          <w:i/>
          <w:szCs w:val="18"/>
        </w:rPr>
        <w:t>–2027</w:t>
      </w:r>
      <w:r>
        <w:rPr>
          <w:rStyle w:val="FootnoteCharacters"/>
          <w:rFonts w:eastAsiaTheme="minorEastAsia"/>
          <w:szCs w:val="18"/>
        </w:rPr>
        <w:t xml:space="preserve"> sredstva niso razporejena po posameznih ukrepih. Navedeni znesek je navedel MzI kot načrtovan za zmanjševanje energetske revščine v okviru kohezijskih sredstev na </w:t>
      </w:r>
      <w:r>
        <w:rPr>
          <w:rFonts w:cs="Arial"/>
          <w:i/>
          <w:szCs w:val="18"/>
        </w:rPr>
        <w:t xml:space="preserve">Nacionalni okrogli mizi o naložbah v trajnostno energijo v Sloveniji </w:t>
      </w:r>
      <w:r>
        <w:rPr>
          <w:rFonts w:cs="Arial"/>
          <w:szCs w:val="18"/>
        </w:rPr>
        <w:t>v Ljubljani 24. maja 2022).</w:t>
      </w:r>
    </w:p>
  </w:footnote>
  <w:footnote w:id="26">
    <w:p w14:paraId="2325ACA0" w14:textId="73A83F5C" w:rsidR="008140B0" w:rsidRPr="00846409" w:rsidRDefault="008140B0" w:rsidP="007C0C93">
      <w:pPr>
        <w:pStyle w:val="Sprotnaopomba-besedilo"/>
        <w:rPr>
          <w:rFonts w:eastAsiaTheme="minorEastAsia"/>
        </w:rPr>
      </w:pPr>
      <w:r>
        <w:rPr>
          <w:rStyle w:val="Sprotnaopomba-sklic"/>
          <w:rFonts w:eastAsiaTheme="majorEastAsia"/>
          <w:szCs w:val="18"/>
        </w:rPr>
        <w:footnoteRef/>
      </w:r>
      <w:r>
        <w:rPr>
          <w:szCs w:val="18"/>
        </w:rPr>
        <w:tab/>
      </w:r>
      <w:hyperlink r:id="rId17" w:history="1">
        <w:r>
          <w:rPr>
            <w:rStyle w:val="Hiperpovezava"/>
            <w:rFonts w:eastAsiaTheme="majorEastAsia"/>
            <w:szCs w:val="18"/>
          </w:rPr>
          <w:t>https://www.eu-skladi.si/sl/dokumenti/kljucni-dokumenti/program-ekp-2021-27_si_sfc-razlicica-1-2.pdf</w:t>
        </w:r>
      </w:hyperlink>
      <w:r>
        <w:rPr>
          <w:rStyle w:val="Hiperpovezava"/>
          <w:rFonts w:eastAsiaTheme="majorEastAsia"/>
          <w:szCs w:val="18"/>
          <w:u w:val="none"/>
        </w:rPr>
        <w:t>.</w:t>
      </w:r>
    </w:p>
  </w:footnote>
  <w:footnote w:id="27">
    <w:p w14:paraId="775C4BFD" w14:textId="1FDA6AE2" w:rsidR="008140B0" w:rsidRDefault="008140B0" w:rsidP="007C0C93">
      <w:pPr>
        <w:pStyle w:val="Sprotnaopomba-besedilo"/>
      </w:pPr>
      <w:r>
        <w:rPr>
          <w:rStyle w:val="Sprotnaopomba-sklic"/>
        </w:rPr>
        <w:footnoteRef/>
      </w:r>
      <w:r>
        <w:t xml:space="preserve"> </w:t>
      </w:r>
      <w:r>
        <w:tab/>
        <w:t>Uredba (EU) 2023/955 Evropskega parlamenta in Sveta z dne 10. maja 2023 o vzpostavitvi Socialnega sklada za podnebje in spremembi Uredbe (EU) 2021/1060, UL L130/1.</w:t>
      </w:r>
    </w:p>
  </w:footnote>
  <w:footnote w:id="28">
    <w:p w14:paraId="316C5D6D" w14:textId="77777777" w:rsidR="000C55F2" w:rsidRDefault="000C55F2" w:rsidP="000C55F2">
      <w:pPr>
        <w:pStyle w:val="Sprotnaopomba-besedilo"/>
      </w:pPr>
      <w:r w:rsidRPr="00FF207E">
        <w:rPr>
          <w:rStyle w:val="Sprotnaopomba-sklic"/>
        </w:rPr>
        <w:footnoteRef/>
      </w:r>
      <w:r w:rsidRPr="00FF207E">
        <w:t xml:space="preserve"> </w:t>
      </w:r>
      <w:r w:rsidRPr="00FF207E">
        <w:tab/>
        <w:t>Gre za okvirno oceno. Ob pripravi socialnega načrta za podnebje je treba glede na trenutno stanje izvajanja ukrepov in nove okoliščine vrednost potrebnih sredstev za zmanjševanje energetske revščine iz Socialnega sklada za podnebje ponovno oceniti.</w:t>
      </w:r>
    </w:p>
  </w:footnote>
  <w:footnote w:id="29">
    <w:p w14:paraId="21A19C86" w14:textId="19431B86" w:rsidR="008140B0" w:rsidRPr="003B39BE" w:rsidRDefault="008140B0" w:rsidP="00F46935">
      <w:pPr>
        <w:pStyle w:val="Sprotnaopomba-besedilo"/>
      </w:pPr>
      <w:r w:rsidRPr="003B39BE">
        <w:rPr>
          <w:rStyle w:val="Sprotnaopomba-sklic"/>
        </w:rPr>
        <w:footnoteRef/>
      </w:r>
      <w:r w:rsidRPr="003B39BE">
        <w:t xml:space="preserve"> </w:t>
      </w:r>
      <w:r>
        <w:tab/>
        <w:t xml:space="preserve">Upoštevana je </w:t>
      </w:r>
      <w:r w:rsidRPr="003B39BE">
        <w:t>delitev Slovenije na 12 statističnih regij z možnostjo povezovanja</w:t>
      </w:r>
      <w:r>
        <w:t xml:space="preserve"> manjših/podobnih regij</w:t>
      </w:r>
      <w:r w:rsidRPr="003B39BE">
        <w:t xml:space="preserve">. </w:t>
      </w:r>
      <w:r>
        <w:t>Predvidena sta po</w:t>
      </w:r>
      <w:r w:rsidRPr="003B39BE">
        <w:t xml:space="preserve"> dva zaposlena na regijo, pri </w:t>
      </w:r>
      <w:r>
        <w:t xml:space="preserve">čemer je smiselno upoštevati tudi velikost regije </w:t>
      </w:r>
      <w:r w:rsidRPr="003B39BE">
        <w:t>oz</w:t>
      </w:r>
      <w:r>
        <w:t>iroma</w:t>
      </w:r>
      <w:r w:rsidRPr="003B39BE">
        <w:t xml:space="preserve"> število </w:t>
      </w:r>
      <w:r>
        <w:t xml:space="preserve">njenih </w:t>
      </w:r>
      <w:r w:rsidRPr="003B39BE">
        <w:t>prebivalcev.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5D1"/>
    <w:multiLevelType w:val="hybridMultilevel"/>
    <w:tmpl w:val="784A1110"/>
    <w:lvl w:ilvl="0" w:tplc="0409000F">
      <w:start w:val="1"/>
      <w:numFmt w:val="decimal"/>
      <w:lvlText w:val="%1."/>
      <w:lvlJc w:val="left"/>
      <w:pPr>
        <w:ind w:left="765" w:hanging="360"/>
      </w:pPr>
      <w:rPr>
        <w:rFont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 w15:restartNumberingAfterBreak="0">
    <w:nsid w:val="08474B61"/>
    <w:multiLevelType w:val="hybridMultilevel"/>
    <w:tmpl w:val="784A1110"/>
    <w:lvl w:ilvl="0" w:tplc="0409000F">
      <w:start w:val="1"/>
      <w:numFmt w:val="decimal"/>
      <w:lvlText w:val="%1."/>
      <w:lvlJc w:val="left"/>
      <w:pPr>
        <w:ind w:left="765" w:hanging="360"/>
      </w:pPr>
      <w:rPr>
        <w:rFont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 w15:restartNumberingAfterBreak="0">
    <w:nsid w:val="0B0917F0"/>
    <w:multiLevelType w:val="hybridMultilevel"/>
    <w:tmpl w:val="784A1110"/>
    <w:lvl w:ilvl="0" w:tplc="0409000F">
      <w:start w:val="1"/>
      <w:numFmt w:val="decimal"/>
      <w:lvlText w:val="%1."/>
      <w:lvlJc w:val="left"/>
      <w:pPr>
        <w:ind w:left="765" w:hanging="360"/>
      </w:pPr>
      <w:rPr>
        <w:rFont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 w15:restartNumberingAfterBreak="0">
    <w:nsid w:val="0C5B2CAE"/>
    <w:multiLevelType w:val="multilevel"/>
    <w:tmpl w:val="BE6828CA"/>
    <w:lvl w:ilvl="0">
      <w:start w:val="2"/>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1146"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4" w15:restartNumberingAfterBreak="0">
    <w:nsid w:val="0E5635E2"/>
    <w:multiLevelType w:val="hybridMultilevel"/>
    <w:tmpl w:val="784A1110"/>
    <w:lvl w:ilvl="0" w:tplc="0409000F">
      <w:start w:val="1"/>
      <w:numFmt w:val="decimal"/>
      <w:lvlText w:val="%1."/>
      <w:lvlJc w:val="left"/>
      <w:pPr>
        <w:ind w:left="765" w:hanging="360"/>
      </w:pPr>
      <w:rPr>
        <w:rFont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5" w15:restartNumberingAfterBreak="0">
    <w:nsid w:val="103A3E1A"/>
    <w:multiLevelType w:val="hybridMultilevel"/>
    <w:tmpl w:val="6AA264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D77CC7"/>
    <w:multiLevelType w:val="hybridMultilevel"/>
    <w:tmpl w:val="74E0415C"/>
    <w:lvl w:ilvl="0" w:tplc="04240001">
      <w:start w:val="1"/>
      <w:numFmt w:val="bullet"/>
      <w:lvlText w:val=""/>
      <w:lvlJc w:val="left"/>
      <w:pPr>
        <w:ind w:left="780" w:hanging="360"/>
      </w:pPr>
      <w:rPr>
        <w:rFonts w:ascii="Symbol" w:hAnsi="Symbol" w:hint="default"/>
      </w:rPr>
    </w:lvl>
    <w:lvl w:ilvl="1" w:tplc="04240003">
      <w:start w:val="1"/>
      <w:numFmt w:val="bullet"/>
      <w:lvlText w:val="o"/>
      <w:lvlJc w:val="left"/>
      <w:pPr>
        <w:ind w:left="1500" w:hanging="360"/>
      </w:pPr>
      <w:rPr>
        <w:rFonts w:ascii="Courier New" w:hAnsi="Courier New" w:cs="Courier New" w:hint="default"/>
      </w:rPr>
    </w:lvl>
    <w:lvl w:ilvl="2" w:tplc="04240005">
      <w:start w:val="1"/>
      <w:numFmt w:val="bullet"/>
      <w:lvlText w:val=""/>
      <w:lvlJc w:val="left"/>
      <w:pPr>
        <w:ind w:left="2220" w:hanging="360"/>
      </w:pPr>
      <w:rPr>
        <w:rFonts w:ascii="Wingdings" w:hAnsi="Wingdings" w:hint="default"/>
      </w:rPr>
    </w:lvl>
    <w:lvl w:ilvl="3" w:tplc="04240001">
      <w:start w:val="1"/>
      <w:numFmt w:val="bullet"/>
      <w:lvlText w:val=""/>
      <w:lvlJc w:val="left"/>
      <w:pPr>
        <w:ind w:left="2940" w:hanging="360"/>
      </w:pPr>
      <w:rPr>
        <w:rFonts w:ascii="Symbol" w:hAnsi="Symbol" w:hint="default"/>
      </w:rPr>
    </w:lvl>
    <w:lvl w:ilvl="4" w:tplc="04240003">
      <w:start w:val="1"/>
      <w:numFmt w:val="bullet"/>
      <w:lvlText w:val="o"/>
      <w:lvlJc w:val="left"/>
      <w:pPr>
        <w:ind w:left="3660" w:hanging="360"/>
      </w:pPr>
      <w:rPr>
        <w:rFonts w:ascii="Courier New" w:hAnsi="Courier New" w:cs="Courier New" w:hint="default"/>
      </w:rPr>
    </w:lvl>
    <w:lvl w:ilvl="5" w:tplc="04240005">
      <w:start w:val="1"/>
      <w:numFmt w:val="bullet"/>
      <w:lvlText w:val=""/>
      <w:lvlJc w:val="left"/>
      <w:pPr>
        <w:ind w:left="4380" w:hanging="360"/>
      </w:pPr>
      <w:rPr>
        <w:rFonts w:ascii="Wingdings" w:hAnsi="Wingdings" w:hint="default"/>
      </w:rPr>
    </w:lvl>
    <w:lvl w:ilvl="6" w:tplc="04240001">
      <w:start w:val="1"/>
      <w:numFmt w:val="bullet"/>
      <w:lvlText w:val=""/>
      <w:lvlJc w:val="left"/>
      <w:pPr>
        <w:ind w:left="5100" w:hanging="360"/>
      </w:pPr>
      <w:rPr>
        <w:rFonts w:ascii="Symbol" w:hAnsi="Symbol" w:hint="default"/>
      </w:rPr>
    </w:lvl>
    <w:lvl w:ilvl="7" w:tplc="04240003">
      <w:start w:val="1"/>
      <w:numFmt w:val="bullet"/>
      <w:lvlText w:val="o"/>
      <w:lvlJc w:val="left"/>
      <w:pPr>
        <w:ind w:left="5820" w:hanging="360"/>
      </w:pPr>
      <w:rPr>
        <w:rFonts w:ascii="Courier New" w:hAnsi="Courier New" w:cs="Courier New" w:hint="default"/>
      </w:rPr>
    </w:lvl>
    <w:lvl w:ilvl="8" w:tplc="04240005">
      <w:start w:val="1"/>
      <w:numFmt w:val="bullet"/>
      <w:lvlText w:val=""/>
      <w:lvlJc w:val="left"/>
      <w:pPr>
        <w:ind w:left="6540" w:hanging="360"/>
      </w:pPr>
      <w:rPr>
        <w:rFonts w:ascii="Wingdings" w:hAnsi="Wingdings" w:hint="default"/>
      </w:rPr>
    </w:lvl>
  </w:abstractNum>
  <w:abstractNum w:abstractNumId="7" w15:restartNumberingAfterBreak="0">
    <w:nsid w:val="18ED70E1"/>
    <w:multiLevelType w:val="hybridMultilevel"/>
    <w:tmpl w:val="784A1110"/>
    <w:lvl w:ilvl="0" w:tplc="0409000F">
      <w:start w:val="1"/>
      <w:numFmt w:val="decimal"/>
      <w:lvlText w:val="%1."/>
      <w:lvlJc w:val="left"/>
      <w:pPr>
        <w:ind w:left="765" w:hanging="360"/>
      </w:pPr>
      <w:rPr>
        <w:rFont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8" w15:restartNumberingAfterBreak="0">
    <w:nsid w:val="1A9F6ECB"/>
    <w:multiLevelType w:val="hybridMultilevel"/>
    <w:tmpl w:val="784A1110"/>
    <w:lvl w:ilvl="0" w:tplc="0409000F">
      <w:start w:val="1"/>
      <w:numFmt w:val="decimal"/>
      <w:lvlText w:val="%1."/>
      <w:lvlJc w:val="left"/>
      <w:pPr>
        <w:ind w:left="765" w:hanging="360"/>
      </w:pPr>
      <w:rPr>
        <w:rFont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9" w15:restartNumberingAfterBreak="0">
    <w:nsid w:val="1CEC40E5"/>
    <w:multiLevelType w:val="hybridMultilevel"/>
    <w:tmpl w:val="784A1110"/>
    <w:lvl w:ilvl="0" w:tplc="0409000F">
      <w:start w:val="1"/>
      <w:numFmt w:val="decimal"/>
      <w:lvlText w:val="%1."/>
      <w:lvlJc w:val="left"/>
      <w:pPr>
        <w:ind w:left="765" w:hanging="360"/>
      </w:pPr>
      <w:rPr>
        <w:rFont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0" w15:restartNumberingAfterBreak="0">
    <w:nsid w:val="21852FD4"/>
    <w:multiLevelType w:val="hybridMultilevel"/>
    <w:tmpl w:val="390E19EA"/>
    <w:lvl w:ilvl="0" w:tplc="0409000F">
      <w:start w:val="1"/>
      <w:numFmt w:val="decimal"/>
      <w:lvlText w:val="%1."/>
      <w:lvlJc w:val="left"/>
      <w:pPr>
        <w:ind w:left="765" w:hanging="360"/>
      </w:pPr>
      <w:rPr>
        <w:rFont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1" w15:restartNumberingAfterBreak="0">
    <w:nsid w:val="221E0B1E"/>
    <w:multiLevelType w:val="hybridMultilevel"/>
    <w:tmpl w:val="0486C0B2"/>
    <w:lvl w:ilvl="0" w:tplc="04090001">
      <w:start w:val="1"/>
      <w:numFmt w:val="bullet"/>
      <w:lvlText w:val=""/>
      <w:lvlJc w:val="left"/>
      <w:pPr>
        <w:ind w:left="720" w:hanging="360"/>
      </w:pPr>
      <w:rPr>
        <w:rFonts w:ascii="Symbol" w:hAnsi="Symbol" w:hint="default"/>
      </w:rPr>
    </w:lvl>
    <w:lvl w:ilvl="1" w:tplc="BD807A5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23178"/>
    <w:multiLevelType w:val="hybridMultilevel"/>
    <w:tmpl w:val="F7B6BCB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23F82815"/>
    <w:multiLevelType w:val="hybridMultilevel"/>
    <w:tmpl w:val="784A1110"/>
    <w:lvl w:ilvl="0" w:tplc="0409000F">
      <w:start w:val="1"/>
      <w:numFmt w:val="decimal"/>
      <w:lvlText w:val="%1."/>
      <w:lvlJc w:val="left"/>
      <w:pPr>
        <w:ind w:left="765" w:hanging="360"/>
      </w:pPr>
      <w:rPr>
        <w:rFont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4" w15:restartNumberingAfterBreak="0">
    <w:nsid w:val="2CEC1348"/>
    <w:multiLevelType w:val="hybridMultilevel"/>
    <w:tmpl w:val="784A1110"/>
    <w:lvl w:ilvl="0" w:tplc="0409000F">
      <w:start w:val="1"/>
      <w:numFmt w:val="decimal"/>
      <w:lvlText w:val="%1."/>
      <w:lvlJc w:val="left"/>
      <w:pPr>
        <w:ind w:left="765" w:hanging="360"/>
      </w:pPr>
      <w:rPr>
        <w:rFont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5" w15:restartNumberingAfterBreak="0">
    <w:nsid w:val="30B12BC5"/>
    <w:multiLevelType w:val="hybridMultilevel"/>
    <w:tmpl w:val="784A1110"/>
    <w:lvl w:ilvl="0" w:tplc="0409000F">
      <w:start w:val="1"/>
      <w:numFmt w:val="decimal"/>
      <w:lvlText w:val="%1."/>
      <w:lvlJc w:val="left"/>
      <w:pPr>
        <w:ind w:left="765" w:hanging="360"/>
      </w:pPr>
      <w:rPr>
        <w:rFont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6" w15:restartNumberingAfterBreak="0">
    <w:nsid w:val="4495562E"/>
    <w:multiLevelType w:val="hybridMultilevel"/>
    <w:tmpl w:val="BC7218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2A78D6"/>
    <w:multiLevelType w:val="hybridMultilevel"/>
    <w:tmpl w:val="E280EE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B320034"/>
    <w:multiLevelType w:val="hybridMultilevel"/>
    <w:tmpl w:val="784A1110"/>
    <w:lvl w:ilvl="0" w:tplc="0409000F">
      <w:start w:val="1"/>
      <w:numFmt w:val="decimal"/>
      <w:lvlText w:val="%1."/>
      <w:lvlJc w:val="left"/>
      <w:pPr>
        <w:ind w:left="765" w:hanging="360"/>
      </w:pPr>
      <w:rPr>
        <w:rFont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9" w15:restartNumberingAfterBreak="0">
    <w:nsid w:val="520B3FFB"/>
    <w:multiLevelType w:val="hybridMultilevel"/>
    <w:tmpl w:val="5D40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33F5B"/>
    <w:multiLevelType w:val="hybridMultilevel"/>
    <w:tmpl w:val="784A1110"/>
    <w:lvl w:ilvl="0" w:tplc="0409000F">
      <w:start w:val="1"/>
      <w:numFmt w:val="decimal"/>
      <w:lvlText w:val="%1."/>
      <w:lvlJc w:val="left"/>
      <w:pPr>
        <w:ind w:left="765" w:hanging="360"/>
      </w:pPr>
      <w:rPr>
        <w:rFont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1" w15:restartNumberingAfterBreak="0">
    <w:nsid w:val="54477264"/>
    <w:multiLevelType w:val="hybridMultilevel"/>
    <w:tmpl w:val="8CF407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15:restartNumberingAfterBreak="0">
    <w:nsid w:val="5DA9574F"/>
    <w:multiLevelType w:val="hybridMultilevel"/>
    <w:tmpl w:val="F1A272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DDE5CC8"/>
    <w:multiLevelType w:val="hybridMultilevel"/>
    <w:tmpl w:val="784A1110"/>
    <w:lvl w:ilvl="0" w:tplc="0409000F">
      <w:start w:val="1"/>
      <w:numFmt w:val="decimal"/>
      <w:lvlText w:val="%1."/>
      <w:lvlJc w:val="left"/>
      <w:pPr>
        <w:ind w:left="765" w:hanging="360"/>
      </w:pPr>
      <w:rPr>
        <w:rFont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5" w15:restartNumberingAfterBreak="0">
    <w:nsid w:val="638404F0"/>
    <w:multiLevelType w:val="hybridMultilevel"/>
    <w:tmpl w:val="3EB073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6D245BE"/>
    <w:multiLevelType w:val="hybridMultilevel"/>
    <w:tmpl w:val="784A1110"/>
    <w:lvl w:ilvl="0" w:tplc="0409000F">
      <w:start w:val="1"/>
      <w:numFmt w:val="decimal"/>
      <w:lvlText w:val="%1."/>
      <w:lvlJc w:val="left"/>
      <w:pPr>
        <w:ind w:left="765" w:hanging="360"/>
      </w:pPr>
      <w:rPr>
        <w:rFont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7" w15:restartNumberingAfterBreak="0">
    <w:nsid w:val="67BF4741"/>
    <w:multiLevelType w:val="hybridMultilevel"/>
    <w:tmpl w:val="B3D8D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633BF1"/>
    <w:multiLevelType w:val="hybridMultilevel"/>
    <w:tmpl w:val="784A1110"/>
    <w:lvl w:ilvl="0" w:tplc="0409000F">
      <w:start w:val="1"/>
      <w:numFmt w:val="decimal"/>
      <w:lvlText w:val="%1."/>
      <w:lvlJc w:val="left"/>
      <w:pPr>
        <w:ind w:left="765" w:hanging="360"/>
      </w:pPr>
      <w:rPr>
        <w:rFont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9" w15:restartNumberingAfterBreak="0">
    <w:nsid w:val="6DC61CCF"/>
    <w:multiLevelType w:val="hybridMultilevel"/>
    <w:tmpl w:val="E8082DAA"/>
    <w:lvl w:ilvl="0" w:tplc="0409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6EEA5B43"/>
    <w:multiLevelType w:val="hybridMultilevel"/>
    <w:tmpl w:val="D214CD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F2F3420"/>
    <w:multiLevelType w:val="hybridMultilevel"/>
    <w:tmpl w:val="EEDAE0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C034747"/>
    <w:multiLevelType w:val="hybridMultilevel"/>
    <w:tmpl w:val="784A1110"/>
    <w:lvl w:ilvl="0" w:tplc="0409000F">
      <w:start w:val="1"/>
      <w:numFmt w:val="decimal"/>
      <w:lvlText w:val="%1."/>
      <w:lvlJc w:val="left"/>
      <w:pPr>
        <w:ind w:left="765" w:hanging="360"/>
      </w:pPr>
      <w:rPr>
        <w:rFont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num w:numId="1" w16cid:durableId="302349300">
    <w:abstractNumId w:val="3"/>
  </w:num>
  <w:num w:numId="2" w16cid:durableId="449600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2004831">
    <w:abstractNumId w:val="10"/>
  </w:num>
  <w:num w:numId="4" w16cid:durableId="1861121162">
    <w:abstractNumId w:val="20"/>
  </w:num>
  <w:num w:numId="5" w16cid:durableId="1730223764">
    <w:abstractNumId w:val="22"/>
  </w:num>
  <w:num w:numId="6" w16cid:durableId="859660199">
    <w:abstractNumId w:val="19"/>
  </w:num>
  <w:num w:numId="7" w16cid:durableId="575628002">
    <w:abstractNumId w:val="15"/>
  </w:num>
  <w:num w:numId="8" w16cid:durableId="644550213">
    <w:abstractNumId w:val="7"/>
  </w:num>
  <w:num w:numId="9" w16cid:durableId="1951235637">
    <w:abstractNumId w:val="28"/>
  </w:num>
  <w:num w:numId="10" w16cid:durableId="2143421110">
    <w:abstractNumId w:val="2"/>
  </w:num>
  <w:num w:numId="11" w16cid:durableId="1162968165">
    <w:abstractNumId w:val="9"/>
  </w:num>
  <w:num w:numId="12" w16cid:durableId="1203786574">
    <w:abstractNumId w:val="26"/>
  </w:num>
  <w:num w:numId="13" w16cid:durableId="1892577756">
    <w:abstractNumId w:val="18"/>
  </w:num>
  <w:num w:numId="14" w16cid:durableId="2099062295">
    <w:abstractNumId w:val="0"/>
  </w:num>
  <w:num w:numId="15" w16cid:durableId="1381399840">
    <w:abstractNumId w:val="14"/>
  </w:num>
  <w:num w:numId="16" w16cid:durableId="928004129">
    <w:abstractNumId w:val="32"/>
  </w:num>
  <w:num w:numId="17" w16cid:durableId="129054470">
    <w:abstractNumId w:val="8"/>
  </w:num>
  <w:num w:numId="18" w16cid:durableId="1991641277">
    <w:abstractNumId w:val="1"/>
  </w:num>
  <w:num w:numId="19" w16cid:durableId="1093548263">
    <w:abstractNumId w:val="13"/>
  </w:num>
  <w:num w:numId="20" w16cid:durableId="185218629">
    <w:abstractNumId w:val="4"/>
  </w:num>
  <w:num w:numId="21" w16cid:durableId="535002528">
    <w:abstractNumId w:val="11"/>
  </w:num>
  <w:num w:numId="22" w16cid:durableId="414476621">
    <w:abstractNumId w:val="24"/>
  </w:num>
  <w:num w:numId="23" w16cid:durableId="63741822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9057646">
    <w:abstractNumId w:val="12"/>
  </w:num>
  <w:num w:numId="25" w16cid:durableId="1049958173">
    <w:abstractNumId w:val="30"/>
  </w:num>
  <w:num w:numId="26" w16cid:durableId="1269266650">
    <w:abstractNumId w:val="21"/>
  </w:num>
  <w:num w:numId="27" w16cid:durableId="1030568493">
    <w:abstractNumId w:val="25"/>
  </w:num>
  <w:num w:numId="28" w16cid:durableId="1201700200">
    <w:abstractNumId w:val="23"/>
  </w:num>
  <w:num w:numId="29" w16cid:durableId="260458481">
    <w:abstractNumId w:val="17"/>
  </w:num>
  <w:num w:numId="30" w16cid:durableId="1862277414">
    <w:abstractNumId w:val="27"/>
  </w:num>
  <w:num w:numId="31" w16cid:durableId="1564677009">
    <w:abstractNumId w:val="6"/>
  </w:num>
  <w:num w:numId="32" w16cid:durableId="1266424676">
    <w:abstractNumId w:val="29"/>
  </w:num>
  <w:num w:numId="33" w16cid:durableId="179972457">
    <w:abstractNumId w:val="5"/>
  </w:num>
  <w:num w:numId="34" w16cid:durableId="242885529">
    <w:abstractNumId w:val="16"/>
  </w:num>
  <w:num w:numId="35" w16cid:durableId="712846607">
    <w:abstractNumId w:val="31"/>
  </w:num>
  <w:num w:numId="36" w16cid:durableId="2104648612">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wsDA0NjU1NwHSJko6SsGpxcWZ+XkgBZa1AKwYO1UsAAAA"/>
  </w:docVars>
  <w:rsids>
    <w:rsidRoot w:val="00BC01E7"/>
    <w:rsid w:val="00000E95"/>
    <w:rsid w:val="00000EF8"/>
    <w:rsid w:val="00002610"/>
    <w:rsid w:val="00002C71"/>
    <w:rsid w:val="00005727"/>
    <w:rsid w:val="0000684E"/>
    <w:rsid w:val="00006AFF"/>
    <w:rsid w:val="00006F1A"/>
    <w:rsid w:val="000116A8"/>
    <w:rsid w:val="0001181D"/>
    <w:rsid w:val="00011A05"/>
    <w:rsid w:val="00011CEF"/>
    <w:rsid w:val="000121AA"/>
    <w:rsid w:val="0001278F"/>
    <w:rsid w:val="0001316A"/>
    <w:rsid w:val="000144CB"/>
    <w:rsid w:val="00014F03"/>
    <w:rsid w:val="00014F5D"/>
    <w:rsid w:val="0001543E"/>
    <w:rsid w:val="00015AF2"/>
    <w:rsid w:val="00015C26"/>
    <w:rsid w:val="00016E3B"/>
    <w:rsid w:val="00017935"/>
    <w:rsid w:val="000179E6"/>
    <w:rsid w:val="00017CA2"/>
    <w:rsid w:val="00017CE5"/>
    <w:rsid w:val="00020E08"/>
    <w:rsid w:val="00021003"/>
    <w:rsid w:val="00021241"/>
    <w:rsid w:val="00021359"/>
    <w:rsid w:val="00021828"/>
    <w:rsid w:val="00022DC0"/>
    <w:rsid w:val="000234DA"/>
    <w:rsid w:val="00023B3C"/>
    <w:rsid w:val="00024D0A"/>
    <w:rsid w:val="00025665"/>
    <w:rsid w:val="000257EF"/>
    <w:rsid w:val="00025947"/>
    <w:rsid w:val="00026105"/>
    <w:rsid w:val="0002617F"/>
    <w:rsid w:val="000268DD"/>
    <w:rsid w:val="000274C1"/>
    <w:rsid w:val="000275F1"/>
    <w:rsid w:val="00027697"/>
    <w:rsid w:val="00027862"/>
    <w:rsid w:val="00030CBD"/>
    <w:rsid w:val="00030DEC"/>
    <w:rsid w:val="000315C3"/>
    <w:rsid w:val="00032A34"/>
    <w:rsid w:val="00032ED0"/>
    <w:rsid w:val="00032EE2"/>
    <w:rsid w:val="00033C2C"/>
    <w:rsid w:val="000344C4"/>
    <w:rsid w:val="00034664"/>
    <w:rsid w:val="00034DED"/>
    <w:rsid w:val="00035332"/>
    <w:rsid w:val="00035E15"/>
    <w:rsid w:val="000405F4"/>
    <w:rsid w:val="00040671"/>
    <w:rsid w:val="00040DAD"/>
    <w:rsid w:val="00041132"/>
    <w:rsid w:val="00041272"/>
    <w:rsid w:val="00041298"/>
    <w:rsid w:val="000412B4"/>
    <w:rsid w:val="00041868"/>
    <w:rsid w:val="00041ACB"/>
    <w:rsid w:val="00041DC3"/>
    <w:rsid w:val="000422DD"/>
    <w:rsid w:val="00042D94"/>
    <w:rsid w:val="00042F2C"/>
    <w:rsid w:val="0004432B"/>
    <w:rsid w:val="000444C1"/>
    <w:rsid w:val="00044611"/>
    <w:rsid w:val="00044AAB"/>
    <w:rsid w:val="000461D9"/>
    <w:rsid w:val="0004721F"/>
    <w:rsid w:val="00050967"/>
    <w:rsid w:val="00051CE8"/>
    <w:rsid w:val="00051CEB"/>
    <w:rsid w:val="00052154"/>
    <w:rsid w:val="000526DD"/>
    <w:rsid w:val="00052745"/>
    <w:rsid w:val="00052CF8"/>
    <w:rsid w:val="000534AD"/>
    <w:rsid w:val="00054286"/>
    <w:rsid w:val="00054407"/>
    <w:rsid w:val="000547F0"/>
    <w:rsid w:val="00055792"/>
    <w:rsid w:val="00056E35"/>
    <w:rsid w:val="0005737C"/>
    <w:rsid w:val="000578A7"/>
    <w:rsid w:val="000578D5"/>
    <w:rsid w:val="00057DD9"/>
    <w:rsid w:val="00061B48"/>
    <w:rsid w:val="00062685"/>
    <w:rsid w:val="00062E36"/>
    <w:rsid w:val="00063C73"/>
    <w:rsid w:val="000641BE"/>
    <w:rsid w:val="00064217"/>
    <w:rsid w:val="000643AD"/>
    <w:rsid w:val="00065244"/>
    <w:rsid w:val="0006530A"/>
    <w:rsid w:val="00065F6F"/>
    <w:rsid w:val="000666B9"/>
    <w:rsid w:val="00067DBF"/>
    <w:rsid w:val="000713D5"/>
    <w:rsid w:val="000722AD"/>
    <w:rsid w:val="000725BE"/>
    <w:rsid w:val="00074038"/>
    <w:rsid w:val="00074553"/>
    <w:rsid w:val="00074E6E"/>
    <w:rsid w:val="00076207"/>
    <w:rsid w:val="00076703"/>
    <w:rsid w:val="00076C3F"/>
    <w:rsid w:val="00077FF8"/>
    <w:rsid w:val="000800E4"/>
    <w:rsid w:val="00081057"/>
    <w:rsid w:val="00081D6C"/>
    <w:rsid w:val="00082556"/>
    <w:rsid w:val="00082759"/>
    <w:rsid w:val="000828AC"/>
    <w:rsid w:val="00082F36"/>
    <w:rsid w:val="00083C4F"/>
    <w:rsid w:val="000849D9"/>
    <w:rsid w:val="00084C13"/>
    <w:rsid w:val="00085897"/>
    <w:rsid w:val="00086026"/>
    <w:rsid w:val="00086058"/>
    <w:rsid w:val="000860A8"/>
    <w:rsid w:val="000860E4"/>
    <w:rsid w:val="00086EBB"/>
    <w:rsid w:val="00086F09"/>
    <w:rsid w:val="000876EF"/>
    <w:rsid w:val="00087F6E"/>
    <w:rsid w:val="000913FE"/>
    <w:rsid w:val="00091A18"/>
    <w:rsid w:val="000921BC"/>
    <w:rsid w:val="0009293A"/>
    <w:rsid w:val="0009394C"/>
    <w:rsid w:val="00093EA5"/>
    <w:rsid w:val="0009455F"/>
    <w:rsid w:val="0009464A"/>
    <w:rsid w:val="00095130"/>
    <w:rsid w:val="00096780"/>
    <w:rsid w:val="00096E19"/>
    <w:rsid w:val="00097295"/>
    <w:rsid w:val="00097668"/>
    <w:rsid w:val="00097EB2"/>
    <w:rsid w:val="000A047B"/>
    <w:rsid w:val="000A0508"/>
    <w:rsid w:val="000A05F8"/>
    <w:rsid w:val="000A089B"/>
    <w:rsid w:val="000A09D3"/>
    <w:rsid w:val="000A156E"/>
    <w:rsid w:val="000A176D"/>
    <w:rsid w:val="000A190D"/>
    <w:rsid w:val="000A1DCD"/>
    <w:rsid w:val="000A327D"/>
    <w:rsid w:val="000A3964"/>
    <w:rsid w:val="000A3AC2"/>
    <w:rsid w:val="000A3B85"/>
    <w:rsid w:val="000A3F24"/>
    <w:rsid w:val="000A3FC1"/>
    <w:rsid w:val="000A49F1"/>
    <w:rsid w:val="000A5235"/>
    <w:rsid w:val="000A57B2"/>
    <w:rsid w:val="000A6CA1"/>
    <w:rsid w:val="000A7AFE"/>
    <w:rsid w:val="000A7FAA"/>
    <w:rsid w:val="000A7FCC"/>
    <w:rsid w:val="000B0D59"/>
    <w:rsid w:val="000B1130"/>
    <w:rsid w:val="000B1290"/>
    <w:rsid w:val="000B19E0"/>
    <w:rsid w:val="000B3205"/>
    <w:rsid w:val="000B3428"/>
    <w:rsid w:val="000B37D8"/>
    <w:rsid w:val="000B390C"/>
    <w:rsid w:val="000B42DC"/>
    <w:rsid w:val="000B487F"/>
    <w:rsid w:val="000B50F1"/>
    <w:rsid w:val="000B6C2C"/>
    <w:rsid w:val="000C03FB"/>
    <w:rsid w:val="000C2654"/>
    <w:rsid w:val="000C2BAA"/>
    <w:rsid w:val="000C376A"/>
    <w:rsid w:val="000C38FB"/>
    <w:rsid w:val="000C3DC8"/>
    <w:rsid w:val="000C55F2"/>
    <w:rsid w:val="000C576A"/>
    <w:rsid w:val="000C59C9"/>
    <w:rsid w:val="000C59E0"/>
    <w:rsid w:val="000C645A"/>
    <w:rsid w:val="000C689E"/>
    <w:rsid w:val="000C6B52"/>
    <w:rsid w:val="000C7138"/>
    <w:rsid w:val="000D0A20"/>
    <w:rsid w:val="000D0B55"/>
    <w:rsid w:val="000D10CA"/>
    <w:rsid w:val="000D1670"/>
    <w:rsid w:val="000D189E"/>
    <w:rsid w:val="000D1A89"/>
    <w:rsid w:val="000D2CB6"/>
    <w:rsid w:val="000D2E36"/>
    <w:rsid w:val="000D5417"/>
    <w:rsid w:val="000D7F66"/>
    <w:rsid w:val="000E17C5"/>
    <w:rsid w:val="000E1998"/>
    <w:rsid w:val="000E1CA0"/>
    <w:rsid w:val="000E2A12"/>
    <w:rsid w:val="000E31B9"/>
    <w:rsid w:val="000E32E8"/>
    <w:rsid w:val="000E4002"/>
    <w:rsid w:val="000E459C"/>
    <w:rsid w:val="000E4806"/>
    <w:rsid w:val="000E5E94"/>
    <w:rsid w:val="000E5F87"/>
    <w:rsid w:val="000E6C85"/>
    <w:rsid w:val="000E6E15"/>
    <w:rsid w:val="000E749D"/>
    <w:rsid w:val="000F1EB1"/>
    <w:rsid w:val="000F2455"/>
    <w:rsid w:val="000F25FC"/>
    <w:rsid w:val="000F2A27"/>
    <w:rsid w:val="000F30A0"/>
    <w:rsid w:val="000F3446"/>
    <w:rsid w:val="000F38BF"/>
    <w:rsid w:val="000F392D"/>
    <w:rsid w:val="000F3E8B"/>
    <w:rsid w:val="000F47F8"/>
    <w:rsid w:val="000F4C8F"/>
    <w:rsid w:val="000F4E7F"/>
    <w:rsid w:val="000F54FB"/>
    <w:rsid w:val="000F5854"/>
    <w:rsid w:val="000F69AE"/>
    <w:rsid w:val="000F72DC"/>
    <w:rsid w:val="001005CB"/>
    <w:rsid w:val="00101107"/>
    <w:rsid w:val="0010145E"/>
    <w:rsid w:val="00101BBB"/>
    <w:rsid w:val="00101E3C"/>
    <w:rsid w:val="00102037"/>
    <w:rsid w:val="00102DCF"/>
    <w:rsid w:val="00102EBB"/>
    <w:rsid w:val="00103147"/>
    <w:rsid w:val="001039C4"/>
    <w:rsid w:val="00103FA9"/>
    <w:rsid w:val="00104BDF"/>
    <w:rsid w:val="00104C66"/>
    <w:rsid w:val="001051D3"/>
    <w:rsid w:val="00105561"/>
    <w:rsid w:val="00105E5D"/>
    <w:rsid w:val="001064C0"/>
    <w:rsid w:val="00106B15"/>
    <w:rsid w:val="00107260"/>
    <w:rsid w:val="00110549"/>
    <w:rsid w:val="00111756"/>
    <w:rsid w:val="00112B8C"/>
    <w:rsid w:val="00113029"/>
    <w:rsid w:val="0011387A"/>
    <w:rsid w:val="00113BE0"/>
    <w:rsid w:val="00115518"/>
    <w:rsid w:val="00115CCE"/>
    <w:rsid w:val="00117D23"/>
    <w:rsid w:val="00117EDE"/>
    <w:rsid w:val="00120107"/>
    <w:rsid w:val="00120D12"/>
    <w:rsid w:val="0012187A"/>
    <w:rsid w:val="00123780"/>
    <w:rsid w:val="0012397C"/>
    <w:rsid w:val="00123B11"/>
    <w:rsid w:val="001242EE"/>
    <w:rsid w:val="001248E9"/>
    <w:rsid w:val="0012499C"/>
    <w:rsid w:val="001261D2"/>
    <w:rsid w:val="001261F0"/>
    <w:rsid w:val="00127366"/>
    <w:rsid w:val="00127FC9"/>
    <w:rsid w:val="00131138"/>
    <w:rsid w:val="001313DF"/>
    <w:rsid w:val="00131E29"/>
    <w:rsid w:val="00133B94"/>
    <w:rsid w:val="00133D25"/>
    <w:rsid w:val="00134161"/>
    <w:rsid w:val="0013441E"/>
    <w:rsid w:val="0013513A"/>
    <w:rsid w:val="00135B23"/>
    <w:rsid w:val="0013629F"/>
    <w:rsid w:val="00136346"/>
    <w:rsid w:val="00136B1B"/>
    <w:rsid w:val="00136F10"/>
    <w:rsid w:val="00140594"/>
    <w:rsid w:val="001408ED"/>
    <w:rsid w:val="001413D4"/>
    <w:rsid w:val="00141E44"/>
    <w:rsid w:val="0014235D"/>
    <w:rsid w:val="00142BF9"/>
    <w:rsid w:val="00143593"/>
    <w:rsid w:val="0014423F"/>
    <w:rsid w:val="00144350"/>
    <w:rsid w:val="00144521"/>
    <w:rsid w:val="00145E9A"/>
    <w:rsid w:val="001472B1"/>
    <w:rsid w:val="0014738A"/>
    <w:rsid w:val="0014743D"/>
    <w:rsid w:val="0014799D"/>
    <w:rsid w:val="00147ECE"/>
    <w:rsid w:val="001502D6"/>
    <w:rsid w:val="00150F5F"/>
    <w:rsid w:val="0015111D"/>
    <w:rsid w:val="00151D73"/>
    <w:rsid w:val="00151EC7"/>
    <w:rsid w:val="001523EC"/>
    <w:rsid w:val="001526DB"/>
    <w:rsid w:val="00152DA6"/>
    <w:rsid w:val="00153381"/>
    <w:rsid w:val="0015352A"/>
    <w:rsid w:val="00154486"/>
    <w:rsid w:val="00154E01"/>
    <w:rsid w:val="001553DA"/>
    <w:rsid w:val="00156444"/>
    <w:rsid w:val="00156946"/>
    <w:rsid w:val="001569C7"/>
    <w:rsid w:val="00156ED9"/>
    <w:rsid w:val="00160308"/>
    <w:rsid w:val="0016041C"/>
    <w:rsid w:val="0016077C"/>
    <w:rsid w:val="00160A4C"/>
    <w:rsid w:val="00160C81"/>
    <w:rsid w:val="00161092"/>
    <w:rsid w:val="001612FC"/>
    <w:rsid w:val="001622DF"/>
    <w:rsid w:val="00162818"/>
    <w:rsid w:val="00162E02"/>
    <w:rsid w:val="00162FC1"/>
    <w:rsid w:val="00163D18"/>
    <w:rsid w:val="00164675"/>
    <w:rsid w:val="00164D75"/>
    <w:rsid w:val="001651C0"/>
    <w:rsid w:val="0016533A"/>
    <w:rsid w:val="00165426"/>
    <w:rsid w:val="00165C34"/>
    <w:rsid w:val="00166377"/>
    <w:rsid w:val="00167343"/>
    <w:rsid w:val="001674E6"/>
    <w:rsid w:val="00167BFE"/>
    <w:rsid w:val="00170115"/>
    <w:rsid w:val="00170269"/>
    <w:rsid w:val="001704F2"/>
    <w:rsid w:val="0017174F"/>
    <w:rsid w:val="0017207A"/>
    <w:rsid w:val="001724FA"/>
    <w:rsid w:val="0017273F"/>
    <w:rsid w:val="00172ADA"/>
    <w:rsid w:val="00172BBA"/>
    <w:rsid w:val="00172E08"/>
    <w:rsid w:val="00173093"/>
    <w:rsid w:val="00174D52"/>
    <w:rsid w:val="00174E13"/>
    <w:rsid w:val="0017513F"/>
    <w:rsid w:val="00175FCB"/>
    <w:rsid w:val="00176B4B"/>
    <w:rsid w:val="0017787D"/>
    <w:rsid w:val="00180E9A"/>
    <w:rsid w:val="001813C9"/>
    <w:rsid w:val="001817B0"/>
    <w:rsid w:val="00181B96"/>
    <w:rsid w:val="00183A0C"/>
    <w:rsid w:val="00183C7B"/>
    <w:rsid w:val="00184362"/>
    <w:rsid w:val="0018496F"/>
    <w:rsid w:val="00184F55"/>
    <w:rsid w:val="0018531D"/>
    <w:rsid w:val="00185E74"/>
    <w:rsid w:val="00186647"/>
    <w:rsid w:val="00186821"/>
    <w:rsid w:val="00190131"/>
    <w:rsid w:val="0019096D"/>
    <w:rsid w:val="001911B9"/>
    <w:rsid w:val="00191561"/>
    <w:rsid w:val="00191CC7"/>
    <w:rsid w:val="00192233"/>
    <w:rsid w:val="00192A1B"/>
    <w:rsid w:val="00192A59"/>
    <w:rsid w:val="00192B01"/>
    <w:rsid w:val="00192BDF"/>
    <w:rsid w:val="0019340F"/>
    <w:rsid w:val="00193C25"/>
    <w:rsid w:val="001946A9"/>
    <w:rsid w:val="00194EFB"/>
    <w:rsid w:val="001958D1"/>
    <w:rsid w:val="00195D98"/>
    <w:rsid w:val="00195E6F"/>
    <w:rsid w:val="00196103"/>
    <w:rsid w:val="00197AED"/>
    <w:rsid w:val="001A01E0"/>
    <w:rsid w:val="001A05EF"/>
    <w:rsid w:val="001A10F2"/>
    <w:rsid w:val="001A1A1A"/>
    <w:rsid w:val="001A1D20"/>
    <w:rsid w:val="001A262D"/>
    <w:rsid w:val="001A30C4"/>
    <w:rsid w:val="001A3676"/>
    <w:rsid w:val="001A4309"/>
    <w:rsid w:val="001A4ADC"/>
    <w:rsid w:val="001A5330"/>
    <w:rsid w:val="001A54CA"/>
    <w:rsid w:val="001A6555"/>
    <w:rsid w:val="001A6854"/>
    <w:rsid w:val="001B0661"/>
    <w:rsid w:val="001B0970"/>
    <w:rsid w:val="001B1186"/>
    <w:rsid w:val="001B1987"/>
    <w:rsid w:val="001B2096"/>
    <w:rsid w:val="001B2F97"/>
    <w:rsid w:val="001B340D"/>
    <w:rsid w:val="001B3E43"/>
    <w:rsid w:val="001B47E3"/>
    <w:rsid w:val="001B4E39"/>
    <w:rsid w:val="001B5B8A"/>
    <w:rsid w:val="001B6103"/>
    <w:rsid w:val="001B6F61"/>
    <w:rsid w:val="001B79FE"/>
    <w:rsid w:val="001B7E85"/>
    <w:rsid w:val="001C0B00"/>
    <w:rsid w:val="001C0F64"/>
    <w:rsid w:val="001C1AA8"/>
    <w:rsid w:val="001C1FD2"/>
    <w:rsid w:val="001C2902"/>
    <w:rsid w:val="001C2A1E"/>
    <w:rsid w:val="001C3042"/>
    <w:rsid w:val="001C3595"/>
    <w:rsid w:val="001C3983"/>
    <w:rsid w:val="001C3D9B"/>
    <w:rsid w:val="001C5799"/>
    <w:rsid w:val="001C5B20"/>
    <w:rsid w:val="001C68E4"/>
    <w:rsid w:val="001C6ABC"/>
    <w:rsid w:val="001C6E12"/>
    <w:rsid w:val="001C7B34"/>
    <w:rsid w:val="001C7E14"/>
    <w:rsid w:val="001C7F23"/>
    <w:rsid w:val="001D081A"/>
    <w:rsid w:val="001D0D73"/>
    <w:rsid w:val="001D0EF9"/>
    <w:rsid w:val="001D1049"/>
    <w:rsid w:val="001D162F"/>
    <w:rsid w:val="001D2688"/>
    <w:rsid w:val="001D2899"/>
    <w:rsid w:val="001D43A1"/>
    <w:rsid w:val="001D4869"/>
    <w:rsid w:val="001D4937"/>
    <w:rsid w:val="001D538A"/>
    <w:rsid w:val="001D6EF5"/>
    <w:rsid w:val="001D7858"/>
    <w:rsid w:val="001E01C4"/>
    <w:rsid w:val="001E0BF3"/>
    <w:rsid w:val="001E201E"/>
    <w:rsid w:val="001E304B"/>
    <w:rsid w:val="001E309C"/>
    <w:rsid w:val="001E3563"/>
    <w:rsid w:val="001E3780"/>
    <w:rsid w:val="001E3D4E"/>
    <w:rsid w:val="001E4067"/>
    <w:rsid w:val="001E4165"/>
    <w:rsid w:val="001E41A5"/>
    <w:rsid w:val="001E45F5"/>
    <w:rsid w:val="001E4B81"/>
    <w:rsid w:val="001E4D30"/>
    <w:rsid w:val="001E511F"/>
    <w:rsid w:val="001E53E3"/>
    <w:rsid w:val="001E5B8C"/>
    <w:rsid w:val="001E5FEE"/>
    <w:rsid w:val="001E6160"/>
    <w:rsid w:val="001E75B0"/>
    <w:rsid w:val="001E7A52"/>
    <w:rsid w:val="001E7D31"/>
    <w:rsid w:val="001E7F84"/>
    <w:rsid w:val="001F0246"/>
    <w:rsid w:val="001F08A8"/>
    <w:rsid w:val="001F12CF"/>
    <w:rsid w:val="001F18E8"/>
    <w:rsid w:val="001F2B69"/>
    <w:rsid w:val="001F3996"/>
    <w:rsid w:val="001F3D47"/>
    <w:rsid w:val="001F6539"/>
    <w:rsid w:val="001F68FD"/>
    <w:rsid w:val="001F6B06"/>
    <w:rsid w:val="001F7A77"/>
    <w:rsid w:val="001F7B5D"/>
    <w:rsid w:val="00200AC1"/>
    <w:rsid w:val="00200AF4"/>
    <w:rsid w:val="00200EC5"/>
    <w:rsid w:val="00202955"/>
    <w:rsid w:val="00202A3B"/>
    <w:rsid w:val="00203063"/>
    <w:rsid w:val="002038E0"/>
    <w:rsid w:val="00203B3F"/>
    <w:rsid w:val="00203FEE"/>
    <w:rsid w:val="002049A8"/>
    <w:rsid w:val="00205048"/>
    <w:rsid w:val="00205247"/>
    <w:rsid w:val="00205DA1"/>
    <w:rsid w:val="0020602F"/>
    <w:rsid w:val="00206F7F"/>
    <w:rsid w:val="00207473"/>
    <w:rsid w:val="00207B7C"/>
    <w:rsid w:val="0021008A"/>
    <w:rsid w:val="00210997"/>
    <w:rsid w:val="002109AC"/>
    <w:rsid w:val="00210A9C"/>
    <w:rsid w:val="00211402"/>
    <w:rsid w:val="0021173E"/>
    <w:rsid w:val="002119F8"/>
    <w:rsid w:val="00211A19"/>
    <w:rsid w:val="002122FA"/>
    <w:rsid w:val="002129C3"/>
    <w:rsid w:val="00212E1B"/>
    <w:rsid w:val="00213A38"/>
    <w:rsid w:val="00213AE9"/>
    <w:rsid w:val="00213E27"/>
    <w:rsid w:val="002146C6"/>
    <w:rsid w:val="002148ED"/>
    <w:rsid w:val="00214CF9"/>
    <w:rsid w:val="0021543D"/>
    <w:rsid w:val="002158C8"/>
    <w:rsid w:val="00215B0C"/>
    <w:rsid w:val="00216D66"/>
    <w:rsid w:val="00216E55"/>
    <w:rsid w:val="00217568"/>
    <w:rsid w:val="00217711"/>
    <w:rsid w:val="00221E2E"/>
    <w:rsid w:val="00223329"/>
    <w:rsid w:val="0022390F"/>
    <w:rsid w:val="002239A7"/>
    <w:rsid w:val="0022456E"/>
    <w:rsid w:val="0022486C"/>
    <w:rsid w:val="00224EC9"/>
    <w:rsid w:val="00225600"/>
    <w:rsid w:val="00225747"/>
    <w:rsid w:val="00225C55"/>
    <w:rsid w:val="00225F0F"/>
    <w:rsid w:val="00226944"/>
    <w:rsid w:val="00226AD5"/>
    <w:rsid w:val="00226B5E"/>
    <w:rsid w:val="00226CAB"/>
    <w:rsid w:val="00230587"/>
    <w:rsid w:val="00231141"/>
    <w:rsid w:val="0023128B"/>
    <w:rsid w:val="00231E4E"/>
    <w:rsid w:val="002324C1"/>
    <w:rsid w:val="00232C75"/>
    <w:rsid w:val="00232F41"/>
    <w:rsid w:val="00234243"/>
    <w:rsid w:val="00235238"/>
    <w:rsid w:val="00235798"/>
    <w:rsid w:val="00235CF3"/>
    <w:rsid w:val="002365B4"/>
    <w:rsid w:val="00237B42"/>
    <w:rsid w:val="00237CC3"/>
    <w:rsid w:val="00240B2D"/>
    <w:rsid w:val="00240F60"/>
    <w:rsid w:val="002439B8"/>
    <w:rsid w:val="0024443D"/>
    <w:rsid w:val="0024455D"/>
    <w:rsid w:val="00244963"/>
    <w:rsid w:val="002452C9"/>
    <w:rsid w:val="00245F2D"/>
    <w:rsid w:val="0024633B"/>
    <w:rsid w:val="002478E5"/>
    <w:rsid w:val="00250856"/>
    <w:rsid w:val="00250FD0"/>
    <w:rsid w:val="002513F9"/>
    <w:rsid w:val="00251A42"/>
    <w:rsid w:val="0025241C"/>
    <w:rsid w:val="00252918"/>
    <w:rsid w:val="00253520"/>
    <w:rsid w:val="00253723"/>
    <w:rsid w:val="00254420"/>
    <w:rsid w:val="002549CE"/>
    <w:rsid w:val="00254C29"/>
    <w:rsid w:val="002561DE"/>
    <w:rsid w:val="00257003"/>
    <w:rsid w:val="00257252"/>
    <w:rsid w:val="00257F8D"/>
    <w:rsid w:val="00260DF1"/>
    <w:rsid w:val="0026210C"/>
    <w:rsid w:val="00263151"/>
    <w:rsid w:val="00263645"/>
    <w:rsid w:val="00264419"/>
    <w:rsid w:val="002666B6"/>
    <w:rsid w:val="00267180"/>
    <w:rsid w:val="00267207"/>
    <w:rsid w:val="002675DF"/>
    <w:rsid w:val="00267B42"/>
    <w:rsid w:val="0027064E"/>
    <w:rsid w:val="00270B73"/>
    <w:rsid w:val="0027245C"/>
    <w:rsid w:val="0027469B"/>
    <w:rsid w:val="00275850"/>
    <w:rsid w:val="0027626E"/>
    <w:rsid w:val="00276ED9"/>
    <w:rsid w:val="00277007"/>
    <w:rsid w:val="0027791C"/>
    <w:rsid w:val="00280C1E"/>
    <w:rsid w:val="00280EEC"/>
    <w:rsid w:val="002817C1"/>
    <w:rsid w:val="00281B6F"/>
    <w:rsid w:val="00282973"/>
    <w:rsid w:val="00282EBB"/>
    <w:rsid w:val="00283377"/>
    <w:rsid w:val="002838F3"/>
    <w:rsid w:val="00286281"/>
    <w:rsid w:val="00290D31"/>
    <w:rsid w:val="00291A9B"/>
    <w:rsid w:val="00293238"/>
    <w:rsid w:val="00293624"/>
    <w:rsid w:val="00294274"/>
    <w:rsid w:val="002947B3"/>
    <w:rsid w:val="00294D20"/>
    <w:rsid w:val="00295689"/>
    <w:rsid w:val="002959F1"/>
    <w:rsid w:val="00295CCF"/>
    <w:rsid w:val="002966AE"/>
    <w:rsid w:val="00296E5C"/>
    <w:rsid w:val="00297334"/>
    <w:rsid w:val="00297630"/>
    <w:rsid w:val="002A0284"/>
    <w:rsid w:val="002A1631"/>
    <w:rsid w:val="002A1EA8"/>
    <w:rsid w:val="002A24EB"/>
    <w:rsid w:val="002A4CCD"/>
    <w:rsid w:val="002A4CE0"/>
    <w:rsid w:val="002A50CC"/>
    <w:rsid w:val="002A50F3"/>
    <w:rsid w:val="002A58AC"/>
    <w:rsid w:val="002A5D7C"/>
    <w:rsid w:val="002A65F9"/>
    <w:rsid w:val="002B0134"/>
    <w:rsid w:val="002B0589"/>
    <w:rsid w:val="002B0D88"/>
    <w:rsid w:val="002B155C"/>
    <w:rsid w:val="002B1EBF"/>
    <w:rsid w:val="002B25C5"/>
    <w:rsid w:val="002B2E0B"/>
    <w:rsid w:val="002B3934"/>
    <w:rsid w:val="002B3FC7"/>
    <w:rsid w:val="002B45A8"/>
    <w:rsid w:val="002B4820"/>
    <w:rsid w:val="002B535C"/>
    <w:rsid w:val="002B5E76"/>
    <w:rsid w:val="002B5EE7"/>
    <w:rsid w:val="002B6068"/>
    <w:rsid w:val="002B6351"/>
    <w:rsid w:val="002B6B54"/>
    <w:rsid w:val="002B6F5F"/>
    <w:rsid w:val="002C0621"/>
    <w:rsid w:val="002C0EFF"/>
    <w:rsid w:val="002C1A18"/>
    <w:rsid w:val="002C2149"/>
    <w:rsid w:val="002C2A19"/>
    <w:rsid w:val="002C309F"/>
    <w:rsid w:val="002C30FF"/>
    <w:rsid w:val="002C3264"/>
    <w:rsid w:val="002C33F7"/>
    <w:rsid w:val="002C3729"/>
    <w:rsid w:val="002C39C6"/>
    <w:rsid w:val="002C4A86"/>
    <w:rsid w:val="002C51D2"/>
    <w:rsid w:val="002C5570"/>
    <w:rsid w:val="002C6075"/>
    <w:rsid w:val="002C68D8"/>
    <w:rsid w:val="002D0174"/>
    <w:rsid w:val="002D1A7D"/>
    <w:rsid w:val="002D2779"/>
    <w:rsid w:val="002D32AF"/>
    <w:rsid w:val="002D4007"/>
    <w:rsid w:val="002D4942"/>
    <w:rsid w:val="002D56C6"/>
    <w:rsid w:val="002D5F46"/>
    <w:rsid w:val="002D68A6"/>
    <w:rsid w:val="002D701F"/>
    <w:rsid w:val="002D7362"/>
    <w:rsid w:val="002E069D"/>
    <w:rsid w:val="002E08E8"/>
    <w:rsid w:val="002E35B0"/>
    <w:rsid w:val="002E3F00"/>
    <w:rsid w:val="002E4EEB"/>
    <w:rsid w:val="002E50F3"/>
    <w:rsid w:val="002E5A04"/>
    <w:rsid w:val="002E6240"/>
    <w:rsid w:val="002E74A0"/>
    <w:rsid w:val="002E7B30"/>
    <w:rsid w:val="002F0F92"/>
    <w:rsid w:val="002F1110"/>
    <w:rsid w:val="002F25E8"/>
    <w:rsid w:val="002F27D6"/>
    <w:rsid w:val="002F2A09"/>
    <w:rsid w:val="002F49D5"/>
    <w:rsid w:val="002F59DF"/>
    <w:rsid w:val="002F5E56"/>
    <w:rsid w:val="002F6057"/>
    <w:rsid w:val="002F6565"/>
    <w:rsid w:val="002F6633"/>
    <w:rsid w:val="002F6A83"/>
    <w:rsid w:val="002F7A85"/>
    <w:rsid w:val="002F7DDF"/>
    <w:rsid w:val="00300896"/>
    <w:rsid w:val="00301B56"/>
    <w:rsid w:val="00301E2E"/>
    <w:rsid w:val="0030233C"/>
    <w:rsid w:val="003035E9"/>
    <w:rsid w:val="003041CD"/>
    <w:rsid w:val="00304397"/>
    <w:rsid w:val="00304470"/>
    <w:rsid w:val="00304981"/>
    <w:rsid w:val="00305392"/>
    <w:rsid w:val="00305AC0"/>
    <w:rsid w:val="00305E89"/>
    <w:rsid w:val="00306AD4"/>
    <w:rsid w:val="003070A4"/>
    <w:rsid w:val="00307291"/>
    <w:rsid w:val="00307DC6"/>
    <w:rsid w:val="00310029"/>
    <w:rsid w:val="00310156"/>
    <w:rsid w:val="003103F1"/>
    <w:rsid w:val="00311F54"/>
    <w:rsid w:val="00312920"/>
    <w:rsid w:val="00312B6B"/>
    <w:rsid w:val="00312CEF"/>
    <w:rsid w:val="00313AFE"/>
    <w:rsid w:val="00314952"/>
    <w:rsid w:val="00314D0F"/>
    <w:rsid w:val="00314E10"/>
    <w:rsid w:val="003155F2"/>
    <w:rsid w:val="00315B46"/>
    <w:rsid w:val="00315CC8"/>
    <w:rsid w:val="00317393"/>
    <w:rsid w:val="003178E9"/>
    <w:rsid w:val="00317BDA"/>
    <w:rsid w:val="00320FD2"/>
    <w:rsid w:val="0032130B"/>
    <w:rsid w:val="00322197"/>
    <w:rsid w:val="003223C6"/>
    <w:rsid w:val="00322576"/>
    <w:rsid w:val="0032311F"/>
    <w:rsid w:val="00323BB2"/>
    <w:rsid w:val="003241BF"/>
    <w:rsid w:val="00324441"/>
    <w:rsid w:val="003249EA"/>
    <w:rsid w:val="00324E17"/>
    <w:rsid w:val="00324F0C"/>
    <w:rsid w:val="0032569C"/>
    <w:rsid w:val="00325707"/>
    <w:rsid w:val="00325754"/>
    <w:rsid w:val="003260AB"/>
    <w:rsid w:val="00327537"/>
    <w:rsid w:val="00327AEF"/>
    <w:rsid w:val="00327BEC"/>
    <w:rsid w:val="0033092F"/>
    <w:rsid w:val="00331F1E"/>
    <w:rsid w:val="00334163"/>
    <w:rsid w:val="00334D81"/>
    <w:rsid w:val="003357CC"/>
    <w:rsid w:val="00341270"/>
    <w:rsid w:val="003418AF"/>
    <w:rsid w:val="003419C8"/>
    <w:rsid w:val="00342E2C"/>
    <w:rsid w:val="00342F87"/>
    <w:rsid w:val="00342FDB"/>
    <w:rsid w:val="003433A6"/>
    <w:rsid w:val="00345A57"/>
    <w:rsid w:val="0034617C"/>
    <w:rsid w:val="003467EE"/>
    <w:rsid w:val="003472FF"/>
    <w:rsid w:val="00347F7A"/>
    <w:rsid w:val="0035118D"/>
    <w:rsid w:val="00351369"/>
    <w:rsid w:val="00351BA0"/>
    <w:rsid w:val="00351DA8"/>
    <w:rsid w:val="00351FEC"/>
    <w:rsid w:val="00351FFD"/>
    <w:rsid w:val="0035244C"/>
    <w:rsid w:val="00352753"/>
    <w:rsid w:val="00352E2F"/>
    <w:rsid w:val="0035359B"/>
    <w:rsid w:val="003542EA"/>
    <w:rsid w:val="0035440B"/>
    <w:rsid w:val="0035541E"/>
    <w:rsid w:val="00355CBA"/>
    <w:rsid w:val="00355E33"/>
    <w:rsid w:val="00357141"/>
    <w:rsid w:val="00357FA4"/>
    <w:rsid w:val="0036017E"/>
    <w:rsid w:val="00362560"/>
    <w:rsid w:val="0036268D"/>
    <w:rsid w:val="00362975"/>
    <w:rsid w:val="00362BB8"/>
    <w:rsid w:val="00362FE5"/>
    <w:rsid w:val="003639B6"/>
    <w:rsid w:val="00363DE2"/>
    <w:rsid w:val="003646E3"/>
    <w:rsid w:val="00364847"/>
    <w:rsid w:val="00364D58"/>
    <w:rsid w:val="00366B3C"/>
    <w:rsid w:val="0036776D"/>
    <w:rsid w:val="0036799E"/>
    <w:rsid w:val="003679E5"/>
    <w:rsid w:val="00367BD1"/>
    <w:rsid w:val="003721CD"/>
    <w:rsid w:val="00372ACD"/>
    <w:rsid w:val="00372D20"/>
    <w:rsid w:val="003739D9"/>
    <w:rsid w:val="00373EB1"/>
    <w:rsid w:val="003743E3"/>
    <w:rsid w:val="003750E0"/>
    <w:rsid w:val="00375F7A"/>
    <w:rsid w:val="003760AC"/>
    <w:rsid w:val="00376C74"/>
    <w:rsid w:val="003771DE"/>
    <w:rsid w:val="00377DB9"/>
    <w:rsid w:val="003800A0"/>
    <w:rsid w:val="00380659"/>
    <w:rsid w:val="0038084A"/>
    <w:rsid w:val="00381B02"/>
    <w:rsid w:val="00381CC3"/>
    <w:rsid w:val="00381D91"/>
    <w:rsid w:val="003820ED"/>
    <w:rsid w:val="00382F51"/>
    <w:rsid w:val="003835BE"/>
    <w:rsid w:val="003847B3"/>
    <w:rsid w:val="00385BA1"/>
    <w:rsid w:val="00385C82"/>
    <w:rsid w:val="00385EF3"/>
    <w:rsid w:val="003873E7"/>
    <w:rsid w:val="00387777"/>
    <w:rsid w:val="003878C2"/>
    <w:rsid w:val="00387DF6"/>
    <w:rsid w:val="00390A86"/>
    <w:rsid w:val="003911D8"/>
    <w:rsid w:val="003925D5"/>
    <w:rsid w:val="0039275A"/>
    <w:rsid w:val="00392A3C"/>
    <w:rsid w:val="00392B4C"/>
    <w:rsid w:val="003936D1"/>
    <w:rsid w:val="003944CF"/>
    <w:rsid w:val="003946B3"/>
    <w:rsid w:val="0039494C"/>
    <w:rsid w:val="00394CC3"/>
    <w:rsid w:val="003955E1"/>
    <w:rsid w:val="0039563B"/>
    <w:rsid w:val="0039578C"/>
    <w:rsid w:val="00395CFD"/>
    <w:rsid w:val="00397975"/>
    <w:rsid w:val="00397DF6"/>
    <w:rsid w:val="00397E05"/>
    <w:rsid w:val="003A0D62"/>
    <w:rsid w:val="003A0FEF"/>
    <w:rsid w:val="003A1530"/>
    <w:rsid w:val="003A17F4"/>
    <w:rsid w:val="003A1E03"/>
    <w:rsid w:val="003A207A"/>
    <w:rsid w:val="003A239F"/>
    <w:rsid w:val="003A3022"/>
    <w:rsid w:val="003A4003"/>
    <w:rsid w:val="003A4D91"/>
    <w:rsid w:val="003A546F"/>
    <w:rsid w:val="003A573B"/>
    <w:rsid w:val="003A57BB"/>
    <w:rsid w:val="003A7968"/>
    <w:rsid w:val="003B00F7"/>
    <w:rsid w:val="003B02C8"/>
    <w:rsid w:val="003B03D9"/>
    <w:rsid w:val="003B0613"/>
    <w:rsid w:val="003B1DEF"/>
    <w:rsid w:val="003B2E84"/>
    <w:rsid w:val="003B3FB5"/>
    <w:rsid w:val="003B4033"/>
    <w:rsid w:val="003B5183"/>
    <w:rsid w:val="003B528C"/>
    <w:rsid w:val="003B5A2A"/>
    <w:rsid w:val="003B6289"/>
    <w:rsid w:val="003B6567"/>
    <w:rsid w:val="003B6D10"/>
    <w:rsid w:val="003B752C"/>
    <w:rsid w:val="003B77C0"/>
    <w:rsid w:val="003C0658"/>
    <w:rsid w:val="003C0AC6"/>
    <w:rsid w:val="003C10DB"/>
    <w:rsid w:val="003C129F"/>
    <w:rsid w:val="003C1918"/>
    <w:rsid w:val="003C2032"/>
    <w:rsid w:val="003C20C2"/>
    <w:rsid w:val="003C2A52"/>
    <w:rsid w:val="003C5717"/>
    <w:rsid w:val="003C57DC"/>
    <w:rsid w:val="003C5D1C"/>
    <w:rsid w:val="003C62CD"/>
    <w:rsid w:val="003C761D"/>
    <w:rsid w:val="003D058B"/>
    <w:rsid w:val="003D0670"/>
    <w:rsid w:val="003D0769"/>
    <w:rsid w:val="003D173E"/>
    <w:rsid w:val="003D1A4A"/>
    <w:rsid w:val="003D1ED0"/>
    <w:rsid w:val="003D2D3E"/>
    <w:rsid w:val="003D2F15"/>
    <w:rsid w:val="003D30B5"/>
    <w:rsid w:val="003D32AD"/>
    <w:rsid w:val="003D3561"/>
    <w:rsid w:val="003D3A39"/>
    <w:rsid w:val="003D4320"/>
    <w:rsid w:val="003D4760"/>
    <w:rsid w:val="003D4C66"/>
    <w:rsid w:val="003D4FE7"/>
    <w:rsid w:val="003D52CC"/>
    <w:rsid w:val="003D53B4"/>
    <w:rsid w:val="003D5E6A"/>
    <w:rsid w:val="003D5E8A"/>
    <w:rsid w:val="003D661B"/>
    <w:rsid w:val="003D6B4D"/>
    <w:rsid w:val="003D7B7F"/>
    <w:rsid w:val="003D7D62"/>
    <w:rsid w:val="003D7ECE"/>
    <w:rsid w:val="003E0193"/>
    <w:rsid w:val="003E08B8"/>
    <w:rsid w:val="003E1148"/>
    <w:rsid w:val="003E21BC"/>
    <w:rsid w:val="003E305A"/>
    <w:rsid w:val="003E3875"/>
    <w:rsid w:val="003E4C97"/>
    <w:rsid w:val="003E5EAE"/>
    <w:rsid w:val="003E7036"/>
    <w:rsid w:val="003E71A0"/>
    <w:rsid w:val="003E7D8B"/>
    <w:rsid w:val="003F0D10"/>
    <w:rsid w:val="003F1726"/>
    <w:rsid w:val="003F1852"/>
    <w:rsid w:val="003F2039"/>
    <w:rsid w:val="003F2174"/>
    <w:rsid w:val="003F2AD6"/>
    <w:rsid w:val="003F2E0F"/>
    <w:rsid w:val="003F327D"/>
    <w:rsid w:val="003F36CB"/>
    <w:rsid w:val="003F379B"/>
    <w:rsid w:val="003F405F"/>
    <w:rsid w:val="003F40FD"/>
    <w:rsid w:val="003F5049"/>
    <w:rsid w:val="003F57EC"/>
    <w:rsid w:val="003F6533"/>
    <w:rsid w:val="003F6CC0"/>
    <w:rsid w:val="003F7C21"/>
    <w:rsid w:val="003F7F9C"/>
    <w:rsid w:val="003F7FBF"/>
    <w:rsid w:val="00400273"/>
    <w:rsid w:val="00400491"/>
    <w:rsid w:val="004009D2"/>
    <w:rsid w:val="00400DD2"/>
    <w:rsid w:val="00400ED3"/>
    <w:rsid w:val="00400FA3"/>
    <w:rsid w:val="0040157A"/>
    <w:rsid w:val="0040171F"/>
    <w:rsid w:val="00401807"/>
    <w:rsid w:val="00401C37"/>
    <w:rsid w:val="004027D8"/>
    <w:rsid w:val="00402C6A"/>
    <w:rsid w:val="00402CD7"/>
    <w:rsid w:val="0040372B"/>
    <w:rsid w:val="00403EA5"/>
    <w:rsid w:val="0040400A"/>
    <w:rsid w:val="00404133"/>
    <w:rsid w:val="00404375"/>
    <w:rsid w:val="0040451E"/>
    <w:rsid w:val="00404731"/>
    <w:rsid w:val="0040498B"/>
    <w:rsid w:val="00404B0E"/>
    <w:rsid w:val="004052CB"/>
    <w:rsid w:val="00406FE0"/>
    <w:rsid w:val="004075AD"/>
    <w:rsid w:val="00407966"/>
    <w:rsid w:val="00407B66"/>
    <w:rsid w:val="00407E35"/>
    <w:rsid w:val="004114DA"/>
    <w:rsid w:val="00412091"/>
    <w:rsid w:val="00412AC1"/>
    <w:rsid w:val="00413C16"/>
    <w:rsid w:val="004145C8"/>
    <w:rsid w:val="00414A69"/>
    <w:rsid w:val="00415618"/>
    <w:rsid w:val="00415669"/>
    <w:rsid w:val="00415AA3"/>
    <w:rsid w:val="00416161"/>
    <w:rsid w:val="004164DF"/>
    <w:rsid w:val="00416B9A"/>
    <w:rsid w:val="00416F2D"/>
    <w:rsid w:val="0041707E"/>
    <w:rsid w:val="00417B38"/>
    <w:rsid w:val="00417B9C"/>
    <w:rsid w:val="004203B6"/>
    <w:rsid w:val="00420E91"/>
    <w:rsid w:val="00420FBB"/>
    <w:rsid w:val="00421418"/>
    <w:rsid w:val="004215DF"/>
    <w:rsid w:val="00422179"/>
    <w:rsid w:val="0042258D"/>
    <w:rsid w:val="00422D28"/>
    <w:rsid w:val="00422E46"/>
    <w:rsid w:val="00422EBE"/>
    <w:rsid w:val="00423AA8"/>
    <w:rsid w:val="00423B22"/>
    <w:rsid w:val="00424E69"/>
    <w:rsid w:val="004251BB"/>
    <w:rsid w:val="0042545D"/>
    <w:rsid w:val="004254F0"/>
    <w:rsid w:val="0042556C"/>
    <w:rsid w:val="00426AD4"/>
    <w:rsid w:val="004273A0"/>
    <w:rsid w:val="00427D69"/>
    <w:rsid w:val="0043025B"/>
    <w:rsid w:val="004310D7"/>
    <w:rsid w:val="00431AD2"/>
    <w:rsid w:val="00431E24"/>
    <w:rsid w:val="00432AD4"/>
    <w:rsid w:val="00432F48"/>
    <w:rsid w:val="0043383A"/>
    <w:rsid w:val="00433A6C"/>
    <w:rsid w:val="00435AAC"/>
    <w:rsid w:val="00435FEC"/>
    <w:rsid w:val="00436B7C"/>
    <w:rsid w:val="00437C05"/>
    <w:rsid w:val="00437D60"/>
    <w:rsid w:val="00437E63"/>
    <w:rsid w:val="00440451"/>
    <w:rsid w:val="00440676"/>
    <w:rsid w:val="00441226"/>
    <w:rsid w:val="00442D22"/>
    <w:rsid w:val="004430DB"/>
    <w:rsid w:val="00443DDE"/>
    <w:rsid w:val="0044433F"/>
    <w:rsid w:val="00444631"/>
    <w:rsid w:val="00444AA0"/>
    <w:rsid w:val="0044623B"/>
    <w:rsid w:val="004463E0"/>
    <w:rsid w:val="00447C42"/>
    <w:rsid w:val="00447DAB"/>
    <w:rsid w:val="0045090A"/>
    <w:rsid w:val="004511CA"/>
    <w:rsid w:val="00451A03"/>
    <w:rsid w:val="00451B1C"/>
    <w:rsid w:val="00451C99"/>
    <w:rsid w:val="004525DA"/>
    <w:rsid w:val="004531C3"/>
    <w:rsid w:val="0045378C"/>
    <w:rsid w:val="00453BF2"/>
    <w:rsid w:val="004540A9"/>
    <w:rsid w:val="00454746"/>
    <w:rsid w:val="00456898"/>
    <w:rsid w:val="0045709B"/>
    <w:rsid w:val="0045721E"/>
    <w:rsid w:val="004572A1"/>
    <w:rsid w:val="004573CB"/>
    <w:rsid w:val="00457808"/>
    <w:rsid w:val="00457972"/>
    <w:rsid w:val="00457CE0"/>
    <w:rsid w:val="00457E90"/>
    <w:rsid w:val="00457EE6"/>
    <w:rsid w:val="00460603"/>
    <w:rsid w:val="00461243"/>
    <w:rsid w:val="00461A92"/>
    <w:rsid w:val="004625E9"/>
    <w:rsid w:val="00463134"/>
    <w:rsid w:val="004646E3"/>
    <w:rsid w:val="00466293"/>
    <w:rsid w:val="00466A2E"/>
    <w:rsid w:val="00467525"/>
    <w:rsid w:val="00467E57"/>
    <w:rsid w:val="00467F8D"/>
    <w:rsid w:val="00470AFA"/>
    <w:rsid w:val="00471621"/>
    <w:rsid w:val="00472798"/>
    <w:rsid w:val="00473115"/>
    <w:rsid w:val="00473BBD"/>
    <w:rsid w:val="004741B7"/>
    <w:rsid w:val="0047437F"/>
    <w:rsid w:val="00474890"/>
    <w:rsid w:val="00474AAE"/>
    <w:rsid w:val="00474D6A"/>
    <w:rsid w:val="00474E22"/>
    <w:rsid w:val="00474E8D"/>
    <w:rsid w:val="00474F7A"/>
    <w:rsid w:val="004760CC"/>
    <w:rsid w:val="004762EE"/>
    <w:rsid w:val="0047643C"/>
    <w:rsid w:val="004765D0"/>
    <w:rsid w:val="00477292"/>
    <w:rsid w:val="0047768B"/>
    <w:rsid w:val="004777A6"/>
    <w:rsid w:val="00480976"/>
    <w:rsid w:val="00482083"/>
    <w:rsid w:val="004829A6"/>
    <w:rsid w:val="00482EE0"/>
    <w:rsid w:val="00483010"/>
    <w:rsid w:val="00483923"/>
    <w:rsid w:val="00484673"/>
    <w:rsid w:val="00484B04"/>
    <w:rsid w:val="00485DA1"/>
    <w:rsid w:val="0048789C"/>
    <w:rsid w:val="00487E79"/>
    <w:rsid w:val="00490AF5"/>
    <w:rsid w:val="00490C93"/>
    <w:rsid w:val="004910B8"/>
    <w:rsid w:val="004914BD"/>
    <w:rsid w:val="00492B6B"/>
    <w:rsid w:val="00492BB8"/>
    <w:rsid w:val="00493C18"/>
    <w:rsid w:val="00493E3B"/>
    <w:rsid w:val="004942AF"/>
    <w:rsid w:val="0049433E"/>
    <w:rsid w:val="004961F3"/>
    <w:rsid w:val="004963C7"/>
    <w:rsid w:val="0049645B"/>
    <w:rsid w:val="0049748E"/>
    <w:rsid w:val="00497E68"/>
    <w:rsid w:val="004A026F"/>
    <w:rsid w:val="004A0CE2"/>
    <w:rsid w:val="004A160B"/>
    <w:rsid w:val="004A17F1"/>
    <w:rsid w:val="004A1F6B"/>
    <w:rsid w:val="004A360C"/>
    <w:rsid w:val="004A433E"/>
    <w:rsid w:val="004A487F"/>
    <w:rsid w:val="004A7069"/>
    <w:rsid w:val="004A74F1"/>
    <w:rsid w:val="004B0248"/>
    <w:rsid w:val="004B06D0"/>
    <w:rsid w:val="004B0912"/>
    <w:rsid w:val="004B1975"/>
    <w:rsid w:val="004B4298"/>
    <w:rsid w:val="004B453F"/>
    <w:rsid w:val="004B4C1A"/>
    <w:rsid w:val="004B4FA2"/>
    <w:rsid w:val="004B5355"/>
    <w:rsid w:val="004B5540"/>
    <w:rsid w:val="004B7ECE"/>
    <w:rsid w:val="004C0C0B"/>
    <w:rsid w:val="004C102A"/>
    <w:rsid w:val="004C2557"/>
    <w:rsid w:val="004C2AD0"/>
    <w:rsid w:val="004C364B"/>
    <w:rsid w:val="004C37CF"/>
    <w:rsid w:val="004C4501"/>
    <w:rsid w:val="004C5C29"/>
    <w:rsid w:val="004C6736"/>
    <w:rsid w:val="004C736E"/>
    <w:rsid w:val="004C737D"/>
    <w:rsid w:val="004D095E"/>
    <w:rsid w:val="004D1FAE"/>
    <w:rsid w:val="004D270B"/>
    <w:rsid w:val="004D33F7"/>
    <w:rsid w:val="004D367A"/>
    <w:rsid w:val="004D4287"/>
    <w:rsid w:val="004D4D44"/>
    <w:rsid w:val="004D5B81"/>
    <w:rsid w:val="004D7273"/>
    <w:rsid w:val="004E03C3"/>
    <w:rsid w:val="004E0919"/>
    <w:rsid w:val="004E0DE0"/>
    <w:rsid w:val="004E1078"/>
    <w:rsid w:val="004E2064"/>
    <w:rsid w:val="004E2C8F"/>
    <w:rsid w:val="004E3757"/>
    <w:rsid w:val="004E482C"/>
    <w:rsid w:val="004E5BCD"/>
    <w:rsid w:val="004E67B3"/>
    <w:rsid w:val="004E6BDF"/>
    <w:rsid w:val="004E7D44"/>
    <w:rsid w:val="004F05E7"/>
    <w:rsid w:val="004F1318"/>
    <w:rsid w:val="004F1555"/>
    <w:rsid w:val="004F1647"/>
    <w:rsid w:val="004F175F"/>
    <w:rsid w:val="004F17E7"/>
    <w:rsid w:val="004F19CF"/>
    <w:rsid w:val="004F1B4B"/>
    <w:rsid w:val="004F1D25"/>
    <w:rsid w:val="004F3103"/>
    <w:rsid w:val="004F3319"/>
    <w:rsid w:val="004F333B"/>
    <w:rsid w:val="004F373F"/>
    <w:rsid w:val="004F45E3"/>
    <w:rsid w:val="004F4F5F"/>
    <w:rsid w:val="004F5AF7"/>
    <w:rsid w:val="004F650B"/>
    <w:rsid w:val="004F68B1"/>
    <w:rsid w:val="004F7019"/>
    <w:rsid w:val="004F74BC"/>
    <w:rsid w:val="004F7C8D"/>
    <w:rsid w:val="00500E53"/>
    <w:rsid w:val="005019F2"/>
    <w:rsid w:val="00501E61"/>
    <w:rsid w:val="00502B76"/>
    <w:rsid w:val="0050337A"/>
    <w:rsid w:val="00503A91"/>
    <w:rsid w:val="00503EF9"/>
    <w:rsid w:val="00504126"/>
    <w:rsid w:val="00505562"/>
    <w:rsid w:val="00506018"/>
    <w:rsid w:val="00506CC2"/>
    <w:rsid w:val="005077B1"/>
    <w:rsid w:val="0050786D"/>
    <w:rsid w:val="00507BD2"/>
    <w:rsid w:val="00507FB2"/>
    <w:rsid w:val="005109C8"/>
    <w:rsid w:val="00511216"/>
    <w:rsid w:val="00511D62"/>
    <w:rsid w:val="00512878"/>
    <w:rsid w:val="00512BCA"/>
    <w:rsid w:val="005134A7"/>
    <w:rsid w:val="00513904"/>
    <w:rsid w:val="00514ED8"/>
    <w:rsid w:val="0051527D"/>
    <w:rsid w:val="005164A4"/>
    <w:rsid w:val="00516781"/>
    <w:rsid w:val="00516EEF"/>
    <w:rsid w:val="0051755A"/>
    <w:rsid w:val="0052014C"/>
    <w:rsid w:val="005203BA"/>
    <w:rsid w:val="00520DB8"/>
    <w:rsid w:val="00521448"/>
    <w:rsid w:val="00521726"/>
    <w:rsid w:val="00521EA1"/>
    <w:rsid w:val="00521FAE"/>
    <w:rsid w:val="00522561"/>
    <w:rsid w:val="00523142"/>
    <w:rsid w:val="005253AC"/>
    <w:rsid w:val="00525982"/>
    <w:rsid w:val="00525A52"/>
    <w:rsid w:val="00525E85"/>
    <w:rsid w:val="00526671"/>
    <w:rsid w:val="005270F2"/>
    <w:rsid w:val="00530A9A"/>
    <w:rsid w:val="00532098"/>
    <w:rsid w:val="00532B49"/>
    <w:rsid w:val="005336E5"/>
    <w:rsid w:val="00533727"/>
    <w:rsid w:val="005341B1"/>
    <w:rsid w:val="00535C18"/>
    <w:rsid w:val="00536584"/>
    <w:rsid w:val="00536C80"/>
    <w:rsid w:val="00537177"/>
    <w:rsid w:val="00537392"/>
    <w:rsid w:val="005377D1"/>
    <w:rsid w:val="00537ACD"/>
    <w:rsid w:val="005409C0"/>
    <w:rsid w:val="00540B2A"/>
    <w:rsid w:val="00540B53"/>
    <w:rsid w:val="00540BCD"/>
    <w:rsid w:val="00540CAA"/>
    <w:rsid w:val="00541346"/>
    <w:rsid w:val="00541396"/>
    <w:rsid w:val="00541603"/>
    <w:rsid w:val="005417AF"/>
    <w:rsid w:val="00541999"/>
    <w:rsid w:val="00541D7B"/>
    <w:rsid w:val="00542175"/>
    <w:rsid w:val="005428A9"/>
    <w:rsid w:val="00543266"/>
    <w:rsid w:val="00543316"/>
    <w:rsid w:val="00543447"/>
    <w:rsid w:val="00544039"/>
    <w:rsid w:val="005447F9"/>
    <w:rsid w:val="00544D6B"/>
    <w:rsid w:val="00544F6A"/>
    <w:rsid w:val="005450A6"/>
    <w:rsid w:val="005450F3"/>
    <w:rsid w:val="00545372"/>
    <w:rsid w:val="00546B1A"/>
    <w:rsid w:val="00546D44"/>
    <w:rsid w:val="005475D6"/>
    <w:rsid w:val="00547921"/>
    <w:rsid w:val="0055078F"/>
    <w:rsid w:val="005507F2"/>
    <w:rsid w:val="00550D17"/>
    <w:rsid w:val="005518C4"/>
    <w:rsid w:val="00551A98"/>
    <w:rsid w:val="005521E5"/>
    <w:rsid w:val="00552854"/>
    <w:rsid w:val="0055288C"/>
    <w:rsid w:val="005530EF"/>
    <w:rsid w:val="00553329"/>
    <w:rsid w:val="005541A9"/>
    <w:rsid w:val="005547CF"/>
    <w:rsid w:val="005578A8"/>
    <w:rsid w:val="005605F4"/>
    <w:rsid w:val="00560A04"/>
    <w:rsid w:val="00560F80"/>
    <w:rsid w:val="00561CAB"/>
    <w:rsid w:val="00562935"/>
    <w:rsid w:val="00562B76"/>
    <w:rsid w:val="005630D9"/>
    <w:rsid w:val="0056324A"/>
    <w:rsid w:val="00564581"/>
    <w:rsid w:val="005645DA"/>
    <w:rsid w:val="00564A99"/>
    <w:rsid w:val="005654F6"/>
    <w:rsid w:val="00566B0C"/>
    <w:rsid w:val="005674F1"/>
    <w:rsid w:val="00567B07"/>
    <w:rsid w:val="0057031F"/>
    <w:rsid w:val="005710B7"/>
    <w:rsid w:val="005715E2"/>
    <w:rsid w:val="00571FF6"/>
    <w:rsid w:val="005726BD"/>
    <w:rsid w:val="005727A7"/>
    <w:rsid w:val="0057295D"/>
    <w:rsid w:val="00572D70"/>
    <w:rsid w:val="00573E61"/>
    <w:rsid w:val="0057417D"/>
    <w:rsid w:val="00574FF6"/>
    <w:rsid w:val="00575608"/>
    <w:rsid w:val="00575738"/>
    <w:rsid w:val="00575B7B"/>
    <w:rsid w:val="0057609B"/>
    <w:rsid w:val="005768C1"/>
    <w:rsid w:val="00576B3C"/>
    <w:rsid w:val="00576C5D"/>
    <w:rsid w:val="00576FFC"/>
    <w:rsid w:val="00577BDB"/>
    <w:rsid w:val="00577FCD"/>
    <w:rsid w:val="00580299"/>
    <w:rsid w:val="00580A6F"/>
    <w:rsid w:val="00581F47"/>
    <w:rsid w:val="005822CB"/>
    <w:rsid w:val="00582C50"/>
    <w:rsid w:val="00583099"/>
    <w:rsid w:val="00584C3F"/>
    <w:rsid w:val="005852B9"/>
    <w:rsid w:val="0058635F"/>
    <w:rsid w:val="00586D22"/>
    <w:rsid w:val="0058742A"/>
    <w:rsid w:val="005906EE"/>
    <w:rsid w:val="00590FC3"/>
    <w:rsid w:val="0059133C"/>
    <w:rsid w:val="00591360"/>
    <w:rsid w:val="0059166E"/>
    <w:rsid w:val="00591DDC"/>
    <w:rsid w:val="005926D4"/>
    <w:rsid w:val="00593A94"/>
    <w:rsid w:val="00593CDE"/>
    <w:rsid w:val="00594418"/>
    <w:rsid w:val="00595456"/>
    <w:rsid w:val="00595696"/>
    <w:rsid w:val="005960D3"/>
    <w:rsid w:val="00596ED7"/>
    <w:rsid w:val="005976AE"/>
    <w:rsid w:val="005A04BB"/>
    <w:rsid w:val="005A0880"/>
    <w:rsid w:val="005A0DF4"/>
    <w:rsid w:val="005A156F"/>
    <w:rsid w:val="005A1D52"/>
    <w:rsid w:val="005A20B8"/>
    <w:rsid w:val="005A2DB2"/>
    <w:rsid w:val="005A343D"/>
    <w:rsid w:val="005A45D9"/>
    <w:rsid w:val="005A4AC0"/>
    <w:rsid w:val="005A5F0E"/>
    <w:rsid w:val="005A5F2D"/>
    <w:rsid w:val="005A776B"/>
    <w:rsid w:val="005A7F0A"/>
    <w:rsid w:val="005B145B"/>
    <w:rsid w:val="005B1DCA"/>
    <w:rsid w:val="005B23E5"/>
    <w:rsid w:val="005B314D"/>
    <w:rsid w:val="005B385E"/>
    <w:rsid w:val="005B4521"/>
    <w:rsid w:val="005B48B3"/>
    <w:rsid w:val="005B5CE2"/>
    <w:rsid w:val="005B6D83"/>
    <w:rsid w:val="005B6E11"/>
    <w:rsid w:val="005B75DD"/>
    <w:rsid w:val="005B7A2C"/>
    <w:rsid w:val="005C0B45"/>
    <w:rsid w:val="005C0D30"/>
    <w:rsid w:val="005C127F"/>
    <w:rsid w:val="005C2342"/>
    <w:rsid w:val="005C2731"/>
    <w:rsid w:val="005C2C52"/>
    <w:rsid w:val="005C3881"/>
    <w:rsid w:val="005C416F"/>
    <w:rsid w:val="005C434A"/>
    <w:rsid w:val="005C4556"/>
    <w:rsid w:val="005C5023"/>
    <w:rsid w:val="005C6005"/>
    <w:rsid w:val="005C61F5"/>
    <w:rsid w:val="005C71C1"/>
    <w:rsid w:val="005C7DF4"/>
    <w:rsid w:val="005D14CA"/>
    <w:rsid w:val="005D1975"/>
    <w:rsid w:val="005D1AB7"/>
    <w:rsid w:val="005D1DFA"/>
    <w:rsid w:val="005D308F"/>
    <w:rsid w:val="005D3D35"/>
    <w:rsid w:val="005D4180"/>
    <w:rsid w:val="005D44CD"/>
    <w:rsid w:val="005D4880"/>
    <w:rsid w:val="005D4B72"/>
    <w:rsid w:val="005D4D38"/>
    <w:rsid w:val="005D6546"/>
    <w:rsid w:val="005D69AC"/>
    <w:rsid w:val="005E1179"/>
    <w:rsid w:val="005E20B4"/>
    <w:rsid w:val="005E245D"/>
    <w:rsid w:val="005E25CB"/>
    <w:rsid w:val="005E2D14"/>
    <w:rsid w:val="005E37DD"/>
    <w:rsid w:val="005E4BEB"/>
    <w:rsid w:val="005E53C6"/>
    <w:rsid w:val="005E67B7"/>
    <w:rsid w:val="005E720D"/>
    <w:rsid w:val="005E77EE"/>
    <w:rsid w:val="005E7E03"/>
    <w:rsid w:val="005E7F33"/>
    <w:rsid w:val="005F056F"/>
    <w:rsid w:val="005F05B4"/>
    <w:rsid w:val="005F10D5"/>
    <w:rsid w:val="005F20C6"/>
    <w:rsid w:val="005F22BE"/>
    <w:rsid w:val="005F2885"/>
    <w:rsid w:val="005F29C1"/>
    <w:rsid w:val="005F2D5C"/>
    <w:rsid w:val="005F34F0"/>
    <w:rsid w:val="005F35A6"/>
    <w:rsid w:val="005F3A7D"/>
    <w:rsid w:val="005F4066"/>
    <w:rsid w:val="005F56CE"/>
    <w:rsid w:val="005F5F18"/>
    <w:rsid w:val="005F7414"/>
    <w:rsid w:val="005F74B4"/>
    <w:rsid w:val="005F7872"/>
    <w:rsid w:val="005F79CA"/>
    <w:rsid w:val="005F7D52"/>
    <w:rsid w:val="006000F7"/>
    <w:rsid w:val="006005A8"/>
    <w:rsid w:val="006013C2"/>
    <w:rsid w:val="0060195C"/>
    <w:rsid w:val="00601F55"/>
    <w:rsid w:val="00602A6F"/>
    <w:rsid w:val="006030D7"/>
    <w:rsid w:val="00603CD8"/>
    <w:rsid w:val="00606007"/>
    <w:rsid w:val="00607CE1"/>
    <w:rsid w:val="00610674"/>
    <w:rsid w:val="00610DF5"/>
    <w:rsid w:val="00611D86"/>
    <w:rsid w:val="006122F9"/>
    <w:rsid w:val="00614269"/>
    <w:rsid w:val="00616154"/>
    <w:rsid w:val="00616195"/>
    <w:rsid w:val="006162F7"/>
    <w:rsid w:val="0061661E"/>
    <w:rsid w:val="00617C05"/>
    <w:rsid w:val="00617DCC"/>
    <w:rsid w:val="00620BD3"/>
    <w:rsid w:val="006213A4"/>
    <w:rsid w:val="006213C6"/>
    <w:rsid w:val="006217FA"/>
    <w:rsid w:val="00621DAB"/>
    <w:rsid w:val="00622631"/>
    <w:rsid w:val="00622E00"/>
    <w:rsid w:val="0062325A"/>
    <w:rsid w:val="006245FA"/>
    <w:rsid w:val="00624727"/>
    <w:rsid w:val="006248EE"/>
    <w:rsid w:val="00624A0C"/>
    <w:rsid w:val="00626002"/>
    <w:rsid w:val="006260E0"/>
    <w:rsid w:val="006266B5"/>
    <w:rsid w:val="006270D7"/>
    <w:rsid w:val="00627DF8"/>
    <w:rsid w:val="00630077"/>
    <w:rsid w:val="00630904"/>
    <w:rsid w:val="006309BC"/>
    <w:rsid w:val="00630D90"/>
    <w:rsid w:val="006311DF"/>
    <w:rsid w:val="00631401"/>
    <w:rsid w:val="00631816"/>
    <w:rsid w:val="00632460"/>
    <w:rsid w:val="00632FD4"/>
    <w:rsid w:val="00633746"/>
    <w:rsid w:val="00633CC7"/>
    <w:rsid w:val="00634D7C"/>
    <w:rsid w:val="006351B1"/>
    <w:rsid w:val="00635613"/>
    <w:rsid w:val="00635DE4"/>
    <w:rsid w:val="00635E11"/>
    <w:rsid w:val="006363AF"/>
    <w:rsid w:val="006364E8"/>
    <w:rsid w:val="006367F9"/>
    <w:rsid w:val="0063696F"/>
    <w:rsid w:val="00636BD3"/>
    <w:rsid w:val="00637D2F"/>
    <w:rsid w:val="00637D7E"/>
    <w:rsid w:val="00637F45"/>
    <w:rsid w:val="006407BE"/>
    <w:rsid w:val="00641D4A"/>
    <w:rsid w:val="00642089"/>
    <w:rsid w:val="00642122"/>
    <w:rsid w:val="0064212E"/>
    <w:rsid w:val="006425C0"/>
    <w:rsid w:val="00644848"/>
    <w:rsid w:val="0064678E"/>
    <w:rsid w:val="00646CC4"/>
    <w:rsid w:val="0064721C"/>
    <w:rsid w:val="00651A31"/>
    <w:rsid w:val="00651C7C"/>
    <w:rsid w:val="006526B4"/>
    <w:rsid w:val="00652FFE"/>
    <w:rsid w:val="00654416"/>
    <w:rsid w:val="006546F9"/>
    <w:rsid w:val="006552C8"/>
    <w:rsid w:val="0065614E"/>
    <w:rsid w:val="00656DAC"/>
    <w:rsid w:val="00657338"/>
    <w:rsid w:val="006573BD"/>
    <w:rsid w:val="00657D00"/>
    <w:rsid w:val="0066051F"/>
    <w:rsid w:val="006609FA"/>
    <w:rsid w:val="00660D99"/>
    <w:rsid w:val="0066101C"/>
    <w:rsid w:val="00662034"/>
    <w:rsid w:val="0066211A"/>
    <w:rsid w:val="00662958"/>
    <w:rsid w:val="00662D01"/>
    <w:rsid w:val="00663CE1"/>
    <w:rsid w:val="0066566C"/>
    <w:rsid w:val="00666237"/>
    <w:rsid w:val="006662BD"/>
    <w:rsid w:val="006668FF"/>
    <w:rsid w:val="00667549"/>
    <w:rsid w:val="006679D2"/>
    <w:rsid w:val="00671BB7"/>
    <w:rsid w:val="00672845"/>
    <w:rsid w:val="00673B1A"/>
    <w:rsid w:val="0067405C"/>
    <w:rsid w:val="00674C68"/>
    <w:rsid w:val="00675A6B"/>
    <w:rsid w:val="00675AB2"/>
    <w:rsid w:val="00676A62"/>
    <w:rsid w:val="00676CB0"/>
    <w:rsid w:val="006809CC"/>
    <w:rsid w:val="00680F01"/>
    <w:rsid w:val="0068148C"/>
    <w:rsid w:val="00682482"/>
    <w:rsid w:val="00682665"/>
    <w:rsid w:val="00682EAA"/>
    <w:rsid w:val="0068383E"/>
    <w:rsid w:val="00683ABD"/>
    <w:rsid w:val="00683FA5"/>
    <w:rsid w:val="00684869"/>
    <w:rsid w:val="006848FB"/>
    <w:rsid w:val="00684B50"/>
    <w:rsid w:val="0068719A"/>
    <w:rsid w:val="006912B5"/>
    <w:rsid w:val="006918A6"/>
    <w:rsid w:val="00691CE3"/>
    <w:rsid w:val="00691D8C"/>
    <w:rsid w:val="00691F4A"/>
    <w:rsid w:val="00691FB2"/>
    <w:rsid w:val="00692146"/>
    <w:rsid w:val="006933E2"/>
    <w:rsid w:val="006939F7"/>
    <w:rsid w:val="00693A76"/>
    <w:rsid w:val="006940F3"/>
    <w:rsid w:val="00695053"/>
    <w:rsid w:val="00695405"/>
    <w:rsid w:val="0069654B"/>
    <w:rsid w:val="00696E18"/>
    <w:rsid w:val="00697109"/>
    <w:rsid w:val="00697CB5"/>
    <w:rsid w:val="00697ED0"/>
    <w:rsid w:val="00697F17"/>
    <w:rsid w:val="006A0CB2"/>
    <w:rsid w:val="006A0E0A"/>
    <w:rsid w:val="006A1429"/>
    <w:rsid w:val="006A2622"/>
    <w:rsid w:val="006A2FBC"/>
    <w:rsid w:val="006A330E"/>
    <w:rsid w:val="006A46B2"/>
    <w:rsid w:val="006A5853"/>
    <w:rsid w:val="006A5CDA"/>
    <w:rsid w:val="006A5D31"/>
    <w:rsid w:val="006A65EC"/>
    <w:rsid w:val="006A66DA"/>
    <w:rsid w:val="006A68BC"/>
    <w:rsid w:val="006A74B5"/>
    <w:rsid w:val="006B2A48"/>
    <w:rsid w:val="006B30CE"/>
    <w:rsid w:val="006B34E1"/>
    <w:rsid w:val="006B4091"/>
    <w:rsid w:val="006B5A34"/>
    <w:rsid w:val="006B5EED"/>
    <w:rsid w:val="006B692D"/>
    <w:rsid w:val="006B6978"/>
    <w:rsid w:val="006B6B4E"/>
    <w:rsid w:val="006B7776"/>
    <w:rsid w:val="006B7997"/>
    <w:rsid w:val="006B7ADB"/>
    <w:rsid w:val="006B7E0E"/>
    <w:rsid w:val="006C0C99"/>
    <w:rsid w:val="006C14D5"/>
    <w:rsid w:val="006C2153"/>
    <w:rsid w:val="006C21F7"/>
    <w:rsid w:val="006C2C12"/>
    <w:rsid w:val="006C397D"/>
    <w:rsid w:val="006C3B05"/>
    <w:rsid w:val="006C3FFC"/>
    <w:rsid w:val="006C44A6"/>
    <w:rsid w:val="006C44EF"/>
    <w:rsid w:val="006C461B"/>
    <w:rsid w:val="006C68A3"/>
    <w:rsid w:val="006C6A72"/>
    <w:rsid w:val="006C6A7B"/>
    <w:rsid w:val="006C6BE0"/>
    <w:rsid w:val="006C6C2F"/>
    <w:rsid w:val="006C7451"/>
    <w:rsid w:val="006C7AB2"/>
    <w:rsid w:val="006D17F2"/>
    <w:rsid w:val="006D1951"/>
    <w:rsid w:val="006D196B"/>
    <w:rsid w:val="006D1A8F"/>
    <w:rsid w:val="006D1E06"/>
    <w:rsid w:val="006D25E6"/>
    <w:rsid w:val="006D2EA2"/>
    <w:rsid w:val="006D32F6"/>
    <w:rsid w:val="006D3628"/>
    <w:rsid w:val="006D37DF"/>
    <w:rsid w:val="006D3FD1"/>
    <w:rsid w:val="006D4A93"/>
    <w:rsid w:val="006D4E6E"/>
    <w:rsid w:val="006D5448"/>
    <w:rsid w:val="006D5D20"/>
    <w:rsid w:val="006D6362"/>
    <w:rsid w:val="006D63E0"/>
    <w:rsid w:val="006D653F"/>
    <w:rsid w:val="006D6D80"/>
    <w:rsid w:val="006D6FE6"/>
    <w:rsid w:val="006D72A1"/>
    <w:rsid w:val="006D7719"/>
    <w:rsid w:val="006D79DE"/>
    <w:rsid w:val="006E1AF7"/>
    <w:rsid w:val="006E1CFE"/>
    <w:rsid w:val="006E2A5E"/>
    <w:rsid w:val="006E2CC9"/>
    <w:rsid w:val="006E35C3"/>
    <w:rsid w:val="006E56E4"/>
    <w:rsid w:val="006E584F"/>
    <w:rsid w:val="006E5CB0"/>
    <w:rsid w:val="006E69CB"/>
    <w:rsid w:val="006E6CD5"/>
    <w:rsid w:val="006E7E72"/>
    <w:rsid w:val="006F0325"/>
    <w:rsid w:val="006F0480"/>
    <w:rsid w:val="006F11CF"/>
    <w:rsid w:val="006F1439"/>
    <w:rsid w:val="006F1570"/>
    <w:rsid w:val="006F269C"/>
    <w:rsid w:val="006F3004"/>
    <w:rsid w:val="006F33B5"/>
    <w:rsid w:val="006F3A09"/>
    <w:rsid w:val="006F3AC5"/>
    <w:rsid w:val="006F4010"/>
    <w:rsid w:val="006F4591"/>
    <w:rsid w:val="006F45EC"/>
    <w:rsid w:val="006F5401"/>
    <w:rsid w:val="006F573E"/>
    <w:rsid w:val="006F57AF"/>
    <w:rsid w:val="006F5933"/>
    <w:rsid w:val="006F6672"/>
    <w:rsid w:val="006F6DCF"/>
    <w:rsid w:val="006F72C0"/>
    <w:rsid w:val="006F750D"/>
    <w:rsid w:val="0070097D"/>
    <w:rsid w:val="00700DF2"/>
    <w:rsid w:val="007023B9"/>
    <w:rsid w:val="00702998"/>
    <w:rsid w:val="007033AE"/>
    <w:rsid w:val="00703C02"/>
    <w:rsid w:val="00704331"/>
    <w:rsid w:val="00704407"/>
    <w:rsid w:val="0070499D"/>
    <w:rsid w:val="00704C3B"/>
    <w:rsid w:val="007055DE"/>
    <w:rsid w:val="00706159"/>
    <w:rsid w:val="007063B7"/>
    <w:rsid w:val="00706D5F"/>
    <w:rsid w:val="00707122"/>
    <w:rsid w:val="00707A38"/>
    <w:rsid w:val="00707B45"/>
    <w:rsid w:val="0071120D"/>
    <w:rsid w:val="007113A9"/>
    <w:rsid w:val="00711608"/>
    <w:rsid w:val="00711B34"/>
    <w:rsid w:val="00711BC9"/>
    <w:rsid w:val="00712BB4"/>
    <w:rsid w:val="00713D82"/>
    <w:rsid w:val="00714ED5"/>
    <w:rsid w:val="007159E7"/>
    <w:rsid w:val="00715D2E"/>
    <w:rsid w:val="0071695C"/>
    <w:rsid w:val="00716E34"/>
    <w:rsid w:val="00717A52"/>
    <w:rsid w:val="00717C49"/>
    <w:rsid w:val="00717D35"/>
    <w:rsid w:val="00717F6A"/>
    <w:rsid w:val="00720DE7"/>
    <w:rsid w:val="0072238C"/>
    <w:rsid w:val="007233F4"/>
    <w:rsid w:val="00723652"/>
    <w:rsid w:val="00723E83"/>
    <w:rsid w:val="00724D7C"/>
    <w:rsid w:val="0072563C"/>
    <w:rsid w:val="007261BD"/>
    <w:rsid w:val="00726EAA"/>
    <w:rsid w:val="00727887"/>
    <w:rsid w:val="00727FBB"/>
    <w:rsid w:val="0073057F"/>
    <w:rsid w:val="0073090D"/>
    <w:rsid w:val="00730D61"/>
    <w:rsid w:val="007312D4"/>
    <w:rsid w:val="00731861"/>
    <w:rsid w:val="00731F8F"/>
    <w:rsid w:val="00732E94"/>
    <w:rsid w:val="007335D9"/>
    <w:rsid w:val="007337F5"/>
    <w:rsid w:val="00733D85"/>
    <w:rsid w:val="00733F4C"/>
    <w:rsid w:val="00734EEB"/>
    <w:rsid w:val="00735EF3"/>
    <w:rsid w:val="00736A5E"/>
    <w:rsid w:val="00737129"/>
    <w:rsid w:val="00740162"/>
    <w:rsid w:val="00740383"/>
    <w:rsid w:val="00740385"/>
    <w:rsid w:val="0074108C"/>
    <w:rsid w:val="00742BD0"/>
    <w:rsid w:val="00742CE4"/>
    <w:rsid w:val="007430D4"/>
    <w:rsid w:val="00743E8B"/>
    <w:rsid w:val="007448C7"/>
    <w:rsid w:val="00745A05"/>
    <w:rsid w:val="00745BDE"/>
    <w:rsid w:val="00746731"/>
    <w:rsid w:val="00746765"/>
    <w:rsid w:val="00746B2F"/>
    <w:rsid w:val="0074756A"/>
    <w:rsid w:val="00747681"/>
    <w:rsid w:val="00747B14"/>
    <w:rsid w:val="00747D83"/>
    <w:rsid w:val="0075063C"/>
    <w:rsid w:val="00750929"/>
    <w:rsid w:val="00751D1E"/>
    <w:rsid w:val="00752895"/>
    <w:rsid w:val="00752A06"/>
    <w:rsid w:val="007536B6"/>
    <w:rsid w:val="0075377E"/>
    <w:rsid w:val="00753B7D"/>
    <w:rsid w:val="00754E6C"/>
    <w:rsid w:val="007550A9"/>
    <w:rsid w:val="00756441"/>
    <w:rsid w:val="00756DE0"/>
    <w:rsid w:val="00756F65"/>
    <w:rsid w:val="007570AB"/>
    <w:rsid w:val="00757D08"/>
    <w:rsid w:val="007605A9"/>
    <w:rsid w:val="0076077B"/>
    <w:rsid w:val="00760A4F"/>
    <w:rsid w:val="007612C0"/>
    <w:rsid w:val="00763188"/>
    <w:rsid w:val="00764A70"/>
    <w:rsid w:val="007651E2"/>
    <w:rsid w:val="007659F5"/>
    <w:rsid w:val="00765F87"/>
    <w:rsid w:val="0077064A"/>
    <w:rsid w:val="007710ED"/>
    <w:rsid w:val="007720F8"/>
    <w:rsid w:val="0077211A"/>
    <w:rsid w:val="0077297B"/>
    <w:rsid w:val="00772C07"/>
    <w:rsid w:val="00774389"/>
    <w:rsid w:val="00774BF5"/>
    <w:rsid w:val="00775193"/>
    <w:rsid w:val="007753F1"/>
    <w:rsid w:val="007758E1"/>
    <w:rsid w:val="00775C21"/>
    <w:rsid w:val="00776049"/>
    <w:rsid w:val="00776C56"/>
    <w:rsid w:val="00776FB6"/>
    <w:rsid w:val="0077708D"/>
    <w:rsid w:val="007772E9"/>
    <w:rsid w:val="00777CEB"/>
    <w:rsid w:val="00780134"/>
    <w:rsid w:val="00780676"/>
    <w:rsid w:val="0078076A"/>
    <w:rsid w:val="00780842"/>
    <w:rsid w:val="00780BEA"/>
    <w:rsid w:val="007815D9"/>
    <w:rsid w:val="00781924"/>
    <w:rsid w:val="00781CC1"/>
    <w:rsid w:val="007820F3"/>
    <w:rsid w:val="00782787"/>
    <w:rsid w:val="007829D8"/>
    <w:rsid w:val="0078334C"/>
    <w:rsid w:val="0078366E"/>
    <w:rsid w:val="00783DDF"/>
    <w:rsid w:val="00784C47"/>
    <w:rsid w:val="007860D1"/>
    <w:rsid w:val="00786450"/>
    <w:rsid w:val="00786DA6"/>
    <w:rsid w:val="00787420"/>
    <w:rsid w:val="00787D32"/>
    <w:rsid w:val="00791591"/>
    <w:rsid w:val="0079215E"/>
    <w:rsid w:val="00792F14"/>
    <w:rsid w:val="00793166"/>
    <w:rsid w:val="007935BE"/>
    <w:rsid w:val="00793CEF"/>
    <w:rsid w:val="00793D3A"/>
    <w:rsid w:val="007953CB"/>
    <w:rsid w:val="00795743"/>
    <w:rsid w:val="00795763"/>
    <w:rsid w:val="00795F20"/>
    <w:rsid w:val="00796F43"/>
    <w:rsid w:val="00797193"/>
    <w:rsid w:val="00797440"/>
    <w:rsid w:val="007A0BB7"/>
    <w:rsid w:val="007A0D8E"/>
    <w:rsid w:val="007A1590"/>
    <w:rsid w:val="007A1FC2"/>
    <w:rsid w:val="007A32FE"/>
    <w:rsid w:val="007A3384"/>
    <w:rsid w:val="007A4112"/>
    <w:rsid w:val="007A41EA"/>
    <w:rsid w:val="007A4271"/>
    <w:rsid w:val="007A5AB6"/>
    <w:rsid w:val="007A6C04"/>
    <w:rsid w:val="007A712B"/>
    <w:rsid w:val="007A73EC"/>
    <w:rsid w:val="007B0307"/>
    <w:rsid w:val="007B0A54"/>
    <w:rsid w:val="007B1740"/>
    <w:rsid w:val="007B2C5E"/>
    <w:rsid w:val="007B2C6B"/>
    <w:rsid w:val="007B3844"/>
    <w:rsid w:val="007B47A1"/>
    <w:rsid w:val="007B4AA4"/>
    <w:rsid w:val="007B5885"/>
    <w:rsid w:val="007B5E07"/>
    <w:rsid w:val="007B75AB"/>
    <w:rsid w:val="007B7961"/>
    <w:rsid w:val="007B7FB4"/>
    <w:rsid w:val="007C087C"/>
    <w:rsid w:val="007C0C93"/>
    <w:rsid w:val="007C0F9E"/>
    <w:rsid w:val="007C1059"/>
    <w:rsid w:val="007C1555"/>
    <w:rsid w:val="007C2407"/>
    <w:rsid w:val="007C281C"/>
    <w:rsid w:val="007C3E64"/>
    <w:rsid w:val="007C496F"/>
    <w:rsid w:val="007C5AC1"/>
    <w:rsid w:val="007C6238"/>
    <w:rsid w:val="007C6826"/>
    <w:rsid w:val="007C70FA"/>
    <w:rsid w:val="007C7172"/>
    <w:rsid w:val="007C7233"/>
    <w:rsid w:val="007C7C37"/>
    <w:rsid w:val="007C7F58"/>
    <w:rsid w:val="007D1196"/>
    <w:rsid w:val="007D198B"/>
    <w:rsid w:val="007D1C04"/>
    <w:rsid w:val="007D2A0C"/>
    <w:rsid w:val="007D306B"/>
    <w:rsid w:val="007D3D63"/>
    <w:rsid w:val="007D42E0"/>
    <w:rsid w:val="007D4654"/>
    <w:rsid w:val="007D55BB"/>
    <w:rsid w:val="007D5A92"/>
    <w:rsid w:val="007D5D6F"/>
    <w:rsid w:val="007D68CA"/>
    <w:rsid w:val="007D75DC"/>
    <w:rsid w:val="007D7A94"/>
    <w:rsid w:val="007D7CA5"/>
    <w:rsid w:val="007D7EE5"/>
    <w:rsid w:val="007E033C"/>
    <w:rsid w:val="007E0E61"/>
    <w:rsid w:val="007E1128"/>
    <w:rsid w:val="007E19A8"/>
    <w:rsid w:val="007E2DB6"/>
    <w:rsid w:val="007E2ED1"/>
    <w:rsid w:val="007E315F"/>
    <w:rsid w:val="007E318A"/>
    <w:rsid w:val="007E39C8"/>
    <w:rsid w:val="007E48CE"/>
    <w:rsid w:val="007E4BDD"/>
    <w:rsid w:val="007E51A8"/>
    <w:rsid w:val="007E5D96"/>
    <w:rsid w:val="007E6404"/>
    <w:rsid w:val="007E68D6"/>
    <w:rsid w:val="007E6C8D"/>
    <w:rsid w:val="007E7249"/>
    <w:rsid w:val="007E7AE9"/>
    <w:rsid w:val="007E7E03"/>
    <w:rsid w:val="007F018F"/>
    <w:rsid w:val="007F056D"/>
    <w:rsid w:val="007F12CC"/>
    <w:rsid w:val="007F15C7"/>
    <w:rsid w:val="007F23DC"/>
    <w:rsid w:val="007F297D"/>
    <w:rsid w:val="007F36AD"/>
    <w:rsid w:val="007F4C68"/>
    <w:rsid w:val="007F5359"/>
    <w:rsid w:val="007F590A"/>
    <w:rsid w:val="007F6F09"/>
    <w:rsid w:val="007F714A"/>
    <w:rsid w:val="007F78D5"/>
    <w:rsid w:val="00800107"/>
    <w:rsid w:val="00800767"/>
    <w:rsid w:val="00800855"/>
    <w:rsid w:val="00800A35"/>
    <w:rsid w:val="00801298"/>
    <w:rsid w:val="00801C59"/>
    <w:rsid w:val="008051CD"/>
    <w:rsid w:val="00805D66"/>
    <w:rsid w:val="0080605E"/>
    <w:rsid w:val="0080631C"/>
    <w:rsid w:val="00810CAC"/>
    <w:rsid w:val="00810DBF"/>
    <w:rsid w:val="00811106"/>
    <w:rsid w:val="0081177C"/>
    <w:rsid w:val="008130A6"/>
    <w:rsid w:val="00813866"/>
    <w:rsid w:val="00813BE0"/>
    <w:rsid w:val="00813BF1"/>
    <w:rsid w:val="00813E4D"/>
    <w:rsid w:val="008140B0"/>
    <w:rsid w:val="00814E0B"/>
    <w:rsid w:val="008150E1"/>
    <w:rsid w:val="00815A4C"/>
    <w:rsid w:val="0081647C"/>
    <w:rsid w:val="008166EE"/>
    <w:rsid w:val="00816A41"/>
    <w:rsid w:val="00816B21"/>
    <w:rsid w:val="008175B8"/>
    <w:rsid w:val="00817A94"/>
    <w:rsid w:val="00817CBB"/>
    <w:rsid w:val="00820391"/>
    <w:rsid w:val="008204FD"/>
    <w:rsid w:val="00820648"/>
    <w:rsid w:val="00820994"/>
    <w:rsid w:val="0082208B"/>
    <w:rsid w:val="00822125"/>
    <w:rsid w:val="008234AB"/>
    <w:rsid w:val="008235BC"/>
    <w:rsid w:val="00823F38"/>
    <w:rsid w:val="0082401F"/>
    <w:rsid w:val="008245D7"/>
    <w:rsid w:val="008245F0"/>
    <w:rsid w:val="00824E64"/>
    <w:rsid w:val="008276DF"/>
    <w:rsid w:val="00827BCA"/>
    <w:rsid w:val="00827C35"/>
    <w:rsid w:val="00830801"/>
    <w:rsid w:val="00830CED"/>
    <w:rsid w:val="00830F98"/>
    <w:rsid w:val="00831AA1"/>
    <w:rsid w:val="00832BDB"/>
    <w:rsid w:val="008349F4"/>
    <w:rsid w:val="00834E90"/>
    <w:rsid w:val="00837CA3"/>
    <w:rsid w:val="00837CF7"/>
    <w:rsid w:val="00840019"/>
    <w:rsid w:val="008402BF"/>
    <w:rsid w:val="00840C02"/>
    <w:rsid w:val="008410E1"/>
    <w:rsid w:val="00841359"/>
    <w:rsid w:val="008414FC"/>
    <w:rsid w:val="00841875"/>
    <w:rsid w:val="00841B4B"/>
    <w:rsid w:val="00841D2E"/>
    <w:rsid w:val="00841D61"/>
    <w:rsid w:val="0084259A"/>
    <w:rsid w:val="008426BD"/>
    <w:rsid w:val="00842AE4"/>
    <w:rsid w:val="00843618"/>
    <w:rsid w:val="00843795"/>
    <w:rsid w:val="008438AB"/>
    <w:rsid w:val="00843D3F"/>
    <w:rsid w:val="008442D8"/>
    <w:rsid w:val="00844C8E"/>
    <w:rsid w:val="00844EDA"/>
    <w:rsid w:val="00845496"/>
    <w:rsid w:val="008457D6"/>
    <w:rsid w:val="008458A4"/>
    <w:rsid w:val="00845CA6"/>
    <w:rsid w:val="0084608A"/>
    <w:rsid w:val="008462A4"/>
    <w:rsid w:val="00846409"/>
    <w:rsid w:val="0084733D"/>
    <w:rsid w:val="008476F8"/>
    <w:rsid w:val="00847FCD"/>
    <w:rsid w:val="008510C6"/>
    <w:rsid w:val="00851391"/>
    <w:rsid w:val="00851D68"/>
    <w:rsid w:val="00852E1E"/>
    <w:rsid w:val="00852ECD"/>
    <w:rsid w:val="00853289"/>
    <w:rsid w:val="0085420E"/>
    <w:rsid w:val="008548BE"/>
    <w:rsid w:val="0085516A"/>
    <w:rsid w:val="00855750"/>
    <w:rsid w:val="00856B8C"/>
    <w:rsid w:val="00857B28"/>
    <w:rsid w:val="00857FC9"/>
    <w:rsid w:val="0086053E"/>
    <w:rsid w:val="00860F88"/>
    <w:rsid w:val="00861680"/>
    <w:rsid w:val="00861C62"/>
    <w:rsid w:val="00861DD0"/>
    <w:rsid w:val="00862E3A"/>
    <w:rsid w:val="0086387B"/>
    <w:rsid w:val="0086426A"/>
    <w:rsid w:val="008646BB"/>
    <w:rsid w:val="008649E8"/>
    <w:rsid w:val="008658FC"/>
    <w:rsid w:val="00865AB6"/>
    <w:rsid w:val="008660B9"/>
    <w:rsid w:val="00866C74"/>
    <w:rsid w:val="008670C8"/>
    <w:rsid w:val="00867604"/>
    <w:rsid w:val="00867641"/>
    <w:rsid w:val="00867FA4"/>
    <w:rsid w:val="008704F8"/>
    <w:rsid w:val="0087119F"/>
    <w:rsid w:val="0087121E"/>
    <w:rsid w:val="008717C6"/>
    <w:rsid w:val="0087183C"/>
    <w:rsid w:val="00872290"/>
    <w:rsid w:val="0087301B"/>
    <w:rsid w:val="0087322D"/>
    <w:rsid w:val="008736F0"/>
    <w:rsid w:val="00874019"/>
    <w:rsid w:val="0087446F"/>
    <w:rsid w:val="0087450D"/>
    <w:rsid w:val="00874B89"/>
    <w:rsid w:val="00875A1C"/>
    <w:rsid w:val="00875E09"/>
    <w:rsid w:val="008769BF"/>
    <w:rsid w:val="00877176"/>
    <w:rsid w:val="008774FE"/>
    <w:rsid w:val="008778F3"/>
    <w:rsid w:val="00877CB2"/>
    <w:rsid w:val="0088041C"/>
    <w:rsid w:val="00880783"/>
    <w:rsid w:val="008807DC"/>
    <w:rsid w:val="00881C38"/>
    <w:rsid w:val="00882192"/>
    <w:rsid w:val="008821FF"/>
    <w:rsid w:val="00882690"/>
    <w:rsid w:val="00882DF2"/>
    <w:rsid w:val="008830B3"/>
    <w:rsid w:val="008843F9"/>
    <w:rsid w:val="00885B23"/>
    <w:rsid w:val="00885C28"/>
    <w:rsid w:val="00886C2B"/>
    <w:rsid w:val="0088748C"/>
    <w:rsid w:val="008875B0"/>
    <w:rsid w:val="008905C7"/>
    <w:rsid w:val="008921C2"/>
    <w:rsid w:val="0089245A"/>
    <w:rsid w:val="00892BD4"/>
    <w:rsid w:val="0089308E"/>
    <w:rsid w:val="008931E4"/>
    <w:rsid w:val="00893AA6"/>
    <w:rsid w:val="008955C7"/>
    <w:rsid w:val="0089562E"/>
    <w:rsid w:val="00895C5D"/>
    <w:rsid w:val="00896493"/>
    <w:rsid w:val="00896A1B"/>
    <w:rsid w:val="00896F90"/>
    <w:rsid w:val="008A06E5"/>
    <w:rsid w:val="008A0BE1"/>
    <w:rsid w:val="008A0CD0"/>
    <w:rsid w:val="008A15A4"/>
    <w:rsid w:val="008A1BF6"/>
    <w:rsid w:val="008A1F0F"/>
    <w:rsid w:val="008A24C4"/>
    <w:rsid w:val="008A2D7A"/>
    <w:rsid w:val="008A2E82"/>
    <w:rsid w:val="008A3183"/>
    <w:rsid w:val="008A32D4"/>
    <w:rsid w:val="008A3FE5"/>
    <w:rsid w:val="008A415E"/>
    <w:rsid w:val="008A4437"/>
    <w:rsid w:val="008A4454"/>
    <w:rsid w:val="008A5103"/>
    <w:rsid w:val="008A52D9"/>
    <w:rsid w:val="008A5344"/>
    <w:rsid w:val="008A566E"/>
    <w:rsid w:val="008A5B57"/>
    <w:rsid w:val="008A6194"/>
    <w:rsid w:val="008A68E1"/>
    <w:rsid w:val="008A6B6A"/>
    <w:rsid w:val="008A6D63"/>
    <w:rsid w:val="008A6FDC"/>
    <w:rsid w:val="008A7037"/>
    <w:rsid w:val="008A72B8"/>
    <w:rsid w:val="008B34CB"/>
    <w:rsid w:val="008B3513"/>
    <w:rsid w:val="008B3A19"/>
    <w:rsid w:val="008B4D6E"/>
    <w:rsid w:val="008B527D"/>
    <w:rsid w:val="008B5711"/>
    <w:rsid w:val="008B5741"/>
    <w:rsid w:val="008B648F"/>
    <w:rsid w:val="008B75E5"/>
    <w:rsid w:val="008B79B0"/>
    <w:rsid w:val="008B7B56"/>
    <w:rsid w:val="008B7DB3"/>
    <w:rsid w:val="008C094C"/>
    <w:rsid w:val="008C176A"/>
    <w:rsid w:val="008C184C"/>
    <w:rsid w:val="008C1B17"/>
    <w:rsid w:val="008C1ECB"/>
    <w:rsid w:val="008C203F"/>
    <w:rsid w:val="008C2168"/>
    <w:rsid w:val="008C3391"/>
    <w:rsid w:val="008C344C"/>
    <w:rsid w:val="008C5036"/>
    <w:rsid w:val="008C528C"/>
    <w:rsid w:val="008C6060"/>
    <w:rsid w:val="008C63F8"/>
    <w:rsid w:val="008C667C"/>
    <w:rsid w:val="008C7972"/>
    <w:rsid w:val="008C79E2"/>
    <w:rsid w:val="008D02CF"/>
    <w:rsid w:val="008D09F9"/>
    <w:rsid w:val="008D1107"/>
    <w:rsid w:val="008D1E9F"/>
    <w:rsid w:val="008D27EC"/>
    <w:rsid w:val="008D3C06"/>
    <w:rsid w:val="008D3FC5"/>
    <w:rsid w:val="008D521A"/>
    <w:rsid w:val="008D61D4"/>
    <w:rsid w:val="008D6425"/>
    <w:rsid w:val="008D67E3"/>
    <w:rsid w:val="008D6D7A"/>
    <w:rsid w:val="008D7EDF"/>
    <w:rsid w:val="008E0164"/>
    <w:rsid w:val="008E17A9"/>
    <w:rsid w:val="008E18F3"/>
    <w:rsid w:val="008E2B75"/>
    <w:rsid w:val="008E2EB1"/>
    <w:rsid w:val="008E38C9"/>
    <w:rsid w:val="008E3AF7"/>
    <w:rsid w:val="008E3ECF"/>
    <w:rsid w:val="008E432A"/>
    <w:rsid w:val="008E561C"/>
    <w:rsid w:val="008E6A4A"/>
    <w:rsid w:val="008E7AF0"/>
    <w:rsid w:val="008E7BB4"/>
    <w:rsid w:val="008E7C5E"/>
    <w:rsid w:val="008F0079"/>
    <w:rsid w:val="008F026D"/>
    <w:rsid w:val="008F03F6"/>
    <w:rsid w:val="008F071D"/>
    <w:rsid w:val="008F1778"/>
    <w:rsid w:val="008F2653"/>
    <w:rsid w:val="008F386D"/>
    <w:rsid w:val="008F3AAF"/>
    <w:rsid w:val="008F3F55"/>
    <w:rsid w:val="008F41B5"/>
    <w:rsid w:val="008F463F"/>
    <w:rsid w:val="008F4BAF"/>
    <w:rsid w:val="008F4F2C"/>
    <w:rsid w:val="008F58D3"/>
    <w:rsid w:val="008F59D6"/>
    <w:rsid w:val="008F61D1"/>
    <w:rsid w:val="008F75C3"/>
    <w:rsid w:val="00900BE5"/>
    <w:rsid w:val="00900D14"/>
    <w:rsid w:val="00902F46"/>
    <w:rsid w:val="00903594"/>
    <w:rsid w:val="0090487B"/>
    <w:rsid w:val="009048CB"/>
    <w:rsid w:val="00906D9B"/>
    <w:rsid w:val="00906FA3"/>
    <w:rsid w:val="00907102"/>
    <w:rsid w:val="0090742F"/>
    <w:rsid w:val="009076D4"/>
    <w:rsid w:val="00910705"/>
    <w:rsid w:val="00910E97"/>
    <w:rsid w:val="009111AA"/>
    <w:rsid w:val="009119BB"/>
    <w:rsid w:val="009126D0"/>
    <w:rsid w:val="00913B9B"/>
    <w:rsid w:val="0091413A"/>
    <w:rsid w:val="009141DE"/>
    <w:rsid w:val="00916896"/>
    <w:rsid w:val="009178C8"/>
    <w:rsid w:val="00920199"/>
    <w:rsid w:val="0092027D"/>
    <w:rsid w:val="00920332"/>
    <w:rsid w:val="00920C53"/>
    <w:rsid w:val="00921197"/>
    <w:rsid w:val="00921844"/>
    <w:rsid w:val="0092201B"/>
    <w:rsid w:val="0092239A"/>
    <w:rsid w:val="00922994"/>
    <w:rsid w:val="00922E52"/>
    <w:rsid w:val="00922EF8"/>
    <w:rsid w:val="00923025"/>
    <w:rsid w:val="00923652"/>
    <w:rsid w:val="009238CF"/>
    <w:rsid w:val="00924407"/>
    <w:rsid w:val="00924CE7"/>
    <w:rsid w:val="00924CFD"/>
    <w:rsid w:val="00924F9F"/>
    <w:rsid w:val="00925CB6"/>
    <w:rsid w:val="009272DC"/>
    <w:rsid w:val="009273DC"/>
    <w:rsid w:val="00927487"/>
    <w:rsid w:val="00930074"/>
    <w:rsid w:val="00930271"/>
    <w:rsid w:val="00930656"/>
    <w:rsid w:val="00930872"/>
    <w:rsid w:val="00930F5F"/>
    <w:rsid w:val="0093141B"/>
    <w:rsid w:val="00931DC7"/>
    <w:rsid w:val="00932020"/>
    <w:rsid w:val="00935EAC"/>
    <w:rsid w:val="00936793"/>
    <w:rsid w:val="00936EEB"/>
    <w:rsid w:val="00937B59"/>
    <w:rsid w:val="00937BDA"/>
    <w:rsid w:val="00940412"/>
    <w:rsid w:val="00940997"/>
    <w:rsid w:val="009416F8"/>
    <w:rsid w:val="00941A32"/>
    <w:rsid w:val="00941C2F"/>
    <w:rsid w:val="00941C57"/>
    <w:rsid w:val="00941F74"/>
    <w:rsid w:val="00942A66"/>
    <w:rsid w:val="00943875"/>
    <w:rsid w:val="009441D2"/>
    <w:rsid w:val="0094551E"/>
    <w:rsid w:val="0094566F"/>
    <w:rsid w:val="00946174"/>
    <w:rsid w:val="00946D92"/>
    <w:rsid w:val="00947310"/>
    <w:rsid w:val="009475E8"/>
    <w:rsid w:val="00947F05"/>
    <w:rsid w:val="00950280"/>
    <w:rsid w:val="00950765"/>
    <w:rsid w:val="00950796"/>
    <w:rsid w:val="00950C97"/>
    <w:rsid w:val="00952432"/>
    <w:rsid w:val="0095357D"/>
    <w:rsid w:val="009537A6"/>
    <w:rsid w:val="00953E73"/>
    <w:rsid w:val="00953F19"/>
    <w:rsid w:val="009540C0"/>
    <w:rsid w:val="00955843"/>
    <w:rsid w:val="009569FE"/>
    <w:rsid w:val="0095717B"/>
    <w:rsid w:val="00957422"/>
    <w:rsid w:val="009577C5"/>
    <w:rsid w:val="00957A06"/>
    <w:rsid w:val="00957F1C"/>
    <w:rsid w:val="00960884"/>
    <w:rsid w:val="00960AED"/>
    <w:rsid w:val="00960D10"/>
    <w:rsid w:val="00961510"/>
    <w:rsid w:val="00962721"/>
    <w:rsid w:val="00963362"/>
    <w:rsid w:val="0096465C"/>
    <w:rsid w:val="0096532F"/>
    <w:rsid w:val="0096562F"/>
    <w:rsid w:val="00965BC8"/>
    <w:rsid w:val="00966D5F"/>
    <w:rsid w:val="00966E71"/>
    <w:rsid w:val="00970083"/>
    <w:rsid w:val="00970263"/>
    <w:rsid w:val="00970C69"/>
    <w:rsid w:val="00971A04"/>
    <w:rsid w:val="00971C32"/>
    <w:rsid w:val="009720D3"/>
    <w:rsid w:val="0097211D"/>
    <w:rsid w:val="0097269D"/>
    <w:rsid w:val="00972BEA"/>
    <w:rsid w:val="00973C38"/>
    <w:rsid w:val="009740DA"/>
    <w:rsid w:val="009755FB"/>
    <w:rsid w:val="00975950"/>
    <w:rsid w:val="00975E51"/>
    <w:rsid w:val="009767BB"/>
    <w:rsid w:val="00976A75"/>
    <w:rsid w:val="00976F1F"/>
    <w:rsid w:val="009775F7"/>
    <w:rsid w:val="0098004C"/>
    <w:rsid w:val="00980383"/>
    <w:rsid w:val="00980F2C"/>
    <w:rsid w:val="00981744"/>
    <w:rsid w:val="0098192E"/>
    <w:rsid w:val="00981F17"/>
    <w:rsid w:val="00983415"/>
    <w:rsid w:val="00985168"/>
    <w:rsid w:val="0098567A"/>
    <w:rsid w:val="00985A77"/>
    <w:rsid w:val="00985E7F"/>
    <w:rsid w:val="00987204"/>
    <w:rsid w:val="00987728"/>
    <w:rsid w:val="00990407"/>
    <w:rsid w:val="009906ED"/>
    <w:rsid w:val="009909A2"/>
    <w:rsid w:val="0099131B"/>
    <w:rsid w:val="0099172D"/>
    <w:rsid w:val="009918E1"/>
    <w:rsid w:val="0099233D"/>
    <w:rsid w:val="00992762"/>
    <w:rsid w:val="0099337C"/>
    <w:rsid w:val="00993670"/>
    <w:rsid w:val="00994911"/>
    <w:rsid w:val="00994BB8"/>
    <w:rsid w:val="00995641"/>
    <w:rsid w:val="00996038"/>
    <w:rsid w:val="009975F1"/>
    <w:rsid w:val="00997A23"/>
    <w:rsid w:val="00997DB2"/>
    <w:rsid w:val="009A03AF"/>
    <w:rsid w:val="009A0642"/>
    <w:rsid w:val="009A087F"/>
    <w:rsid w:val="009A0CC3"/>
    <w:rsid w:val="009A0EB7"/>
    <w:rsid w:val="009A165B"/>
    <w:rsid w:val="009A2069"/>
    <w:rsid w:val="009A2F85"/>
    <w:rsid w:val="009A348A"/>
    <w:rsid w:val="009A3914"/>
    <w:rsid w:val="009A425B"/>
    <w:rsid w:val="009A4701"/>
    <w:rsid w:val="009A52D7"/>
    <w:rsid w:val="009A6182"/>
    <w:rsid w:val="009A6480"/>
    <w:rsid w:val="009A6E2F"/>
    <w:rsid w:val="009A7299"/>
    <w:rsid w:val="009B01A5"/>
    <w:rsid w:val="009B081A"/>
    <w:rsid w:val="009B209F"/>
    <w:rsid w:val="009B21E3"/>
    <w:rsid w:val="009B26A5"/>
    <w:rsid w:val="009B292D"/>
    <w:rsid w:val="009B2DBB"/>
    <w:rsid w:val="009B3334"/>
    <w:rsid w:val="009B3A26"/>
    <w:rsid w:val="009B40C4"/>
    <w:rsid w:val="009B4105"/>
    <w:rsid w:val="009B6285"/>
    <w:rsid w:val="009B6518"/>
    <w:rsid w:val="009B651C"/>
    <w:rsid w:val="009B746C"/>
    <w:rsid w:val="009C00BE"/>
    <w:rsid w:val="009C058A"/>
    <w:rsid w:val="009C05E5"/>
    <w:rsid w:val="009C2231"/>
    <w:rsid w:val="009C229D"/>
    <w:rsid w:val="009C4946"/>
    <w:rsid w:val="009C53C5"/>
    <w:rsid w:val="009C6012"/>
    <w:rsid w:val="009C6E1D"/>
    <w:rsid w:val="009C6F0E"/>
    <w:rsid w:val="009C7C09"/>
    <w:rsid w:val="009D0107"/>
    <w:rsid w:val="009D0905"/>
    <w:rsid w:val="009D1D3B"/>
    <w:rsid w:val="009D1DDD"/>
    <w:rsid w:val="009D2238"/>
    <w:rsid w:val="009D2425"/>
    <w:rsid w:val="009D2CEE"/>
    <w:rsid w:val="009D3648"/>
    <w:rsid w:val="009D3CF9"/>
    <w:rsid w:val="009D4378"/>
    <w:rsid w:val="009D4786"/>
    <w:rsid w:val="009D50BC"/>
    <w:rsid w:val="009D52FB"/>
    <w:rsid w:val="009D590B"/>
    <w:rsid w:val="009D5B36"/>
    <w:rsid w:val="009D5FED"/>
    <w:rsid w:val="009D6431"/>
    <w:rsid w:val="009D7253"/>
    <w:rsid w:val="009D7B73"/>
    <w:rsid w:val="009E087A"/>
    <w:rsid w:val="009E0D56"/>
    <w:rsid w:val="009E0FDE"/>
    <w:rsid w:val="009E178E"/>
    <w:rsid w:val="009E1942"/>
    <w:rsid w:val="009E2123"/>
    <w:rsid w:val="009E2329"/>
    <w:rsid w:val="009E47D7"/>
    <w:rsid w:val="009E4C0F"/>
    <w:rsid w:val="009E4CF4"/>
    <w:rsid w:val="009E53F8"/>
    <w:rsid w:val="009E5565"/>
    <w:rsid w:val="009E675D"/>
    <w:rsid w:val="009E7304"/>
    <w:rsid w:val="009E7382"/>
    <w:rsid w:val="009E7522"/>
    <w:rsid w:val="009F17D6"/>
    <w:rsid w:val="009F260D"/>
    <w:rsid w:val="009F2DF8"/>
    <w:rsid w:val="009F3911"/>
    <w:rsid w:val="009F3C88"/>
    <w:rsid w:val="009F440E"/>
    <w:rsid w:val="009F50FD"/>
    <w:rsid w:val="009F5AD5"/>
    <w:rsid w:val="009F5E94"/>
    <w:rsid w:val="009F6BB2"/>
    <w:rsid w:val="009F73F7"/>
    <w:rsid w:val="009F7D82"/>
    <w:rsid w:val="009F7F6F"/>
    <w:rsid w:val="00A00D87"/>
    <w:rsid w:val="00A014C4"/>
    <w:rsid w:val="00A01966"/>
    <w:rsid w:val="00A02A94"/>
    <w:rsid w:val="00A02B13"/>
    <w:rsid w:val="00A03CE1"/>
    <w:rsid w:val="00A03E66"/>
    <w:rsid w:val="00A046A8"/>
    <w:rsid w:val="00A04F05"/>
    <w:rsid w:val="00A060CD"/>
    <w:rsid w:val="00A0721B"/>
    <w:rsid w:val="00A10A30"/>
    <w:rsid w:val="00A10A62"/>
    <w:rsid w:val="00A10AF8"/>
    <w:rsid w:val="00A10C4B"/>
    <w:rsid w:val="00A11696"/>
    <w:rsid w:val="00A11AF1"/>
    <w:rsid w:val="00A11C2F"/>
    <w:rsid w:val="00A11D76"/>
    <w:rsid w:val="00A12050"/>
    <w:rsid w:val="00A13354"/>
    <w:rsid w:val="00A15C27"/>
    <w:rsid w:val="00A17917"/>
    <w:rsid w:val="00A179E1"/>
    <w:rsid w:val="00A208DF"/>
    <w:rsid w:val="00A210E8"/>
    <w:rsid w:val="00A21226"/>
    <w:rsid w:val="00A229ED"/>
    <w:rsid w:val="00A22D56"/>
    <w:rsid w:val="00A26847"/>
    <w:rsid w:val="00A274A2"/>
    <w:rsid w:val="00A276C3"/>
    <w:rsid w:val="00A2785A"/>
    <w:rsid w:val="00A2796B"/>
    <w:rsid w:val="00A31620"/>
    <w:rsid w:val="00A316C2"/>
    <w:rsid w:val="00A31EB5"/>
    <w:rsid w:val="00A3262B"/>
    <w:rsid w:val="00A33281"/>
    <w:rsid w:val="00A336E5"/>
    <w:rsid w:val="00A33E19"/>
    <w:rsid w:val="00A3414A"/>
    <w:rsid w:val="00A35412"/>
    <w:rsid w:val="00A35786"/>
    <w:rsid w:val="00A359E9"/>
    <w:rsid w:val="00A35F0C"/>
    <w:rsid w:val="00A3681A"/>
    <w:rsid w:val="00A3696D"/>
    <w:rsid w:val="00A36D4C"/>
    <w:rsid w:val="00A36F01"/>
    <w:rsid w:val="00A379E1"/>
    <w:rsid w:val="00A37B02"/>
    <w:rsid w:val="00A37D77"/>
    <w:rsid w:val="00A37DC0"/>
    <w:rsid w:val="00A401F6"/>
    <w:rsid w:val="00A41C9B"/>
    <w:rsid w:val="00A42121"/>
    <w:rsid w:val="00A4407C"/>
    <w:rsid w:val="00A4444B"/>
    <w:rsid w:val="00A44509"/>
    <w:rsid w:val="00A45595"/>
    <w:rsid w:val="00A465BC"/>
    <w:rsid w:val="00A46FBD"/>
    <w:rsid w:val="00A473C7"/>
    <w:rsid w:val="00A475A1"/>
    <w:rsid w:val="00A5027A"/>
    <w:rsid w:val="00A50AD4"/>
    <w:rsid w:val="00A5101C"/>
    <w:rsid w:val="00A5112B"/>
    <w:rsid w:val="00A51C88"/>
    <w:rsid w:val="00A51D55"/>
    <w:rsid w:val="00A52287"/>
    <w:rsid w:val="00A52C55"/>
    <w:rsid w:val="00A53927"/>
    <w:rsid w:val="00A54369"/>
    <w:rsid w:val="00A54F6B"/>
    <w:rsid w:val="00A557C2"/>
    <w:rsid w:val="00A565F1"/>
    <w:rsid w:val="00A575FE"/>
    <w:rsid w:val="00A601EE"/>
    <w:rsid w:val="00A60F48"/>
    <w:rsid w:val="00A61ACB"/>
    <w:rsid w:val="00A6253F"/>
    <w:rsid w:val="00A63966"/>
    <w:rsid w:val="00A6572E"/>
    <w:rsid w:val="00A658A8"/>
    <w:rsid w:val="00A660FB"/>
    <w:rsid w:val="00A66663"/>
    <w:rsid w:val="00A74CCD"/>
    <w:rsid w:val="00A74CE8"/>
    <w:rsid w:val="00A75A4F"/>
    <w:rsid w:val="00A7676B"/>
    <w:rsid w:val="00A76D8F"/>
    <w:rsid w:val="00A77846"/>
    <w:rsid w:val="00A77C1E"/>
    <w:rsid w:val="00A809FD"/>
    <w:rsid w:val="00A81283"/>
    <w:rsid w:val="00A81454"/>
    <w:rsid w:val="00A81F37"/>
    <w:rsid w:val="00A82301"/>
    <w:rsid w:val="00A82305"/>
    <w:rsid w:val="00A84AF7"/>
    <w:rsid w:val="00A85D22"/>
    <w:rsid w:val="00A85D48"/>
    <w:rsid w:val="00A87FD4"/>
    <w:rsid w:val="00A90397"/>
    <w:rsid w:val="00A90A0E"/>
    <w:rsid w:val="00A91E63"/>
    <w:rsid w:val="00A94C3B"/>
    <w:rsid w:val="00A95645"/>
    <w:rsid w:val="00A9572F"/>
    <w:rsid w:val="00A95776"/>
    <w:rsid w:val="00A95CED"/>
    <w:rsid w:val="00A968B4"/>
    <w:rsid w:val="00A96A0C"/>
    <w:rsid w:val="00A97384"/>
    <w:rsid w:val="00A97F26"/>
    <w:rsid w:val="00AA0398"/>
    <w:rsid w:val="00AA1F25"/>
    <w:rsid w:val="00AA2941"/>
    <w:rsid w:val="00AA2AB7"/>
    <w:rsid w:val="00AA3101"/>
    <w:rsid w:val="00AA3194"/>
    <w:rsid w:val="00AA373E"/>
    <w:rsid w:val="00AA37D5"/>
    <w:rsid w:val="00AA46CA"/>
    <w:rsid w:val="00AA4A4D"/>
    <w:rsid w:val="00AA4AB4"/>
    <w:rsid w:val="00AA58A0"/>
    <w:rsid w:val="00AA5CCC"/>
    <w:rsid w:val="00AA6B06"/>
    <w:rsid w:val="00AA6C6F"/>
    <w:rsid w:val="00AA7483"/>
    <w:rsid w:val="00AA7986"/>
    <w:rsid w:val="00AB0384"/>
    <w:rsid w:val="00AB0D07"/>
    <w:rsid w:val="00AB1701"/>
    <w:rsid w:val="00AB197E"/>
    <w:rsid w:val="00AB2186"/>
    <w:rsid w:val="00AB2D71"/>
    <w:rsid w:val="00AB3336"/>
    <w:rsid w:val="00AB4770"/>
    <w:rsid w:val="00AB4B27"/>
    <w:rsid w:val="00AB5314"/>
    <w:rsid w:val="00AB53C1"/>
    <w:rsid w:val="00AB5B90"/>
    <w:rsid w:val="00AB5C69"/>
    <w:rsid w:val="00AB5DC7"/>
    <w:rsid w:val="00AB6081"/>
    <w:rsid w:val="00AB6184"/>
    <w:rsid w:val="00AB64AE"/>
    <w:rsid w:val="00AB684D"/>
    <w:rsid w:val="00AB6A30"/>
    <w:rsid w:val="00AC077C"/>
    <w:rsid w:val="00AC0D80"/>
    <w:rsid w:val="00AC10FB"/>
    <w:rsid w:val="00AC11FC"/>
    <w:rsid w:val="00AC16E5"/>
    <w:rsid w:val="00AC1886"/>
    <w:rsid w:val="00AC1DE8"/>
    <w:rsid w:val="00AC1E72"/>
    <w:rsid w:val="00AC22BE"/>
    <w:rsid w:val="00AC26C9"/>
    <w:rsid w:val="00AC2A2F"/>
    <w:rsid w:val="00AC2D35"/>
    <w:rsid w:val="00AC313D"/>
    <w:rsid w:val="00AC34B7"/>
    <w:rsid w:val="00AC354F"/>
    <w:rsid w:val="00AC3AC7"/>
    <w:rsid w:val="00AC3BC7"/>
    <w:rsid w:val="00AC440F"/>
    <w:rsid w:val="00AC4C85"/>
    <w:rsid w:val="00AC4D7D"/>
    <w:rsid w:val="00AC52F2"/>
    <w:rsid w:val="00AC5912"/>
    <w:rsid w:val="00AC5EBB"/>
    <w:rsid w:val="00AC6B26"/>
    <w:rsid w:val="00AC7B3F"/>
    <w:rsid w:val="00AD0D0D"/>
    <w:rsid w:val="00AD15BF"/>
    <w:rsid w:val="00AD2B46"/>
    <w:rsid w:val="00AD2B83"/>
    <w:rsid w:val="00AD3033"/>
    <w:rsid w:val="00AD4063"/>
    <w:rsid w:val="00AD458E"/>
    <w:rsid w:val="00AD528D"/>
    <w:rsid w:val="00AD56A0"/>
    <w:rsid w:val="00AD57F2"/>
    <w:rsid w:val="00AD5FD4"/>
    <w:rsid w:val="00AD637A"/>
    <w:rsid w:val="00AD6EEC"/>
    <w:rsid w:val="00AD77B5"/>
    <w:rsid w:val="00AD7A01"/>
    <w:rsid w:val="00AD7FA4"/>
    <w:rsid w:val="00AE0774"/>
    <w:rsid w:val="00AE08FA"/>
    <w:rsid w:val="00AE0ACF"/>
    <w:rsid w:val="00AE229D"/>
    <w:rsid w:val="00AE2847"/>
    <w:rsid w:val="00AE31C2"/>
    <w:rsid w:val="00AE33C7"/>
    <w:rsid w:val="00AE40CC"/>
    <w:rsid w:val="00AE42AA"/>
    <w:rsid w:val="00AE6966"/>
    <w:rsid w:val="00AE6A69"/>
    <w:rsid w:val="00AE6A8A"/>
    <w:rsid w:val="00AE6C30"/>
    <w:rsid w:val="00AF022D"/>
    <w:rsid w:val="00AF0A28"/>
    <w:rsid w:val="00AF0EF7"/>
    <w:rsid w:val="00AF2213"/>
    <w:rsid w:val="00AF2589"/>
    <w:rsid w:val="00AF2DAD"/>
    <w:rsid w:val="00AF2FB4"/>
    <w:rsid w:val="00AF414D"/>
    <w:rsid w:val="00AF44A9"/>
    <w:rsid w:val="00AF5C89"/>
    <w:rsid w:val="00AF62F0"/>
    <w:rsid w:val="00AF7816"/>
    <w:rsid w:val="00AF7A0E"/>
    <w:rsid w:val="00AF7CC2"/>
    <w:rsid w:val="00AF7F43"/>
    <w:rsid w:val="00AF7F58"/>
    <w:rsid w:val="00B0050F"/>
    <w:rsid w:val="00B00B36"/>
    <w:rsid w:val="00B018D7"/>
    <w:rsid w:val="00B01A8B"/>
    <w:rsid w:val="00B0249D"/>
    <w:rsid w:val="00B02AA9"/>
    <w:rsid w:val="00B02E08"/>
    <w:rsid w:val="00B03779"/>
    <w:rsid w:val="00B039F0"/>
    <w:rsid w:val="00B04719"/>
    <w:rsid w:val="00B0522C"/>
    <w:rsid w:val="00B05268"/>
    <w:rsid w:val="00B05E01"/>
    <w:rsid w:val="00B05F5F"/>
    <w:rsid w:val="00B06F8A"/>
    <w:rsid w:val="00B0781E"/>
    <w:rsid w:val="00B07C6E"/>
    <w:rsid w:val="00B07D4D"/>
    <w:rsid w:val="00B109BD"/>
    <w:rsid w:val="00B112D6"/>
    <w:rsid w:val="00B11D1E"/>
    <w:rsid w:val="00B11EC5"/>
    <w:rsid w:val="00B135A8"/>
    <w:rsid w:val="00B137E0"/>
    <w:rsid w:val="00B13AF6"/>
    <w:rsid w:val="00B13EEA"/>
    <w:rsid w:val="00B14404"/>
    <w:rsid w:val="00B14956"/>
    <w:rsid w:val="00B14FA8"/>
    <w:rsid w:val="00B161F3"/>
    <w:rsid w:val="00B16362"/>
    <w:rsid w:val="00B16CD1"/>
    <w:rsid w:val="00B16FD9"/>
    <w:rsid w:val="00B1792A"/>
    <w:rsid w:val="00B20829"/>
    <w:rsid w:val="00B226D4"/>
    <w:rsid w:val="00B22729"/>
    <w:rsid w:val="00B2346C"/>
    <w:rsid w:val="00B239BB"/>
    <w:rsid w:val="00B23C75"/>
    <w:rsid w:val="00B2471D"/>
    <w:rsid w:val="00B251AF"/>
    <w:rsid w:val="00B2538A"/>
    <w:rsid w:val="00B262A5"/>
    <w:rsid w:val="00B266A4"/>
    <w:rsid w:val="00B273E6"/>
    <w:rsid w:val="00B306BE"/>
    <w:rsid w:val="00B31199"/>
    <w:rsid w:val="00B32B5D"/>
    <w:rsid w:val="00B33141"/>
    <w:rsid w:val="00B33B9C"/>
    <w:rsid w:val="00B33CD1"/>
    <w:rsid w:val="00B3435C"/>
    <w:rsid w:val="00B35463"/>
    <w:rsid w:val="00B364AB"/>
    <w:rsid w:val="00B37211"/>
    <w:rsid w:val="00B3794A"/>
    <w:rsid w:val="00B37A60"/>
    <w:rsid w:val="00B37E5B"/>
    <w:rsid w:val="00B4094A"/>
    <w:rsid w:val="00B40A08"/>
    <w:rsid w:val="00B40A0F"/>
    <w:rsid w:val="00B41997"/>
    <w:rsid w:val="00B423E9"/>
    <w:rsid w:val="00B42989"/>
    <w:rsid w:val="00B4304E"/>
    <w:rsid w:val="00B44576"/>
    <w:rsid w:val="00B447BF"/>
    <w:rsid w:val="00B44A4D"/>
    <w:rsid w:val="00B44AB8"/>
    <w:rsid w:val="00B450B5"/>
    <w:rsid w:val="00B4534D"/>
    <w:rsid w:val="00B475CA"/>
    <w:rsid w:val="00B47760"/>
    <w:rsid w:val="00B47EA9"/>
    <w:rsid w:val="00B50A54"/>
    <w:rsid w:val="00B518E9"/>
    <w:rsid w:val="00B52005"/>
    <w:rsid w:val="00B522F3"/>
    <w:rsid w:val="00B542D6"/>
    <w:rsid w:val="00B5447B"/>
    <w:rsid w:val="00B545CF"/>
    <w:rsid w:val="00B5466D"/>
    <w:rsid w:val="00B54B26"/>
    <w:rsid w:val="00B55067"/>
    <w:rsid w:val="00B551E1"/>
    <w:rsid w:val="00B556D1"/>
    <w:rsid w:val="00B557FF"/>
    <w:rsid w:val="00B56394"/>
    <w:rsid w:val="00B56B6D"/>
    <w:rsid w:val="00B603BF"/>
    <w:rsid w:val="00B60A5C"/>
    <w:rsid w:val="00B61B96"/>
    <w:rsid w:val="00B64E58"/>
    <w:rsid w:val="00B652F0"/>
    <w:rsid w:val="00B65545"/>
    <w:rsid w:val="00B657FB"/>
    <w:rsid w:val="00B65B24"/>
    <w:rsid w:val="00B65E4D"/>
    <w:rsid w:val="00B660A5"/>
    <w:rsid w:val="00B66461"/>
    <w:rsid w:val="00B66526"/>
    <w:rsid w:val="00B666CF"/>
    <w:rsid w:val="00B6745C"/>
    <w:rsid w:val="00B6748C"/>
    <w:rsid w:val="00B67583"/>
    <w:rsid w:val="00B67E70"/>
    <w:rsid w:val="00B7213F"/>
    <w:rsid w:val="00B724DF"/>
    <w:rsid w:val="00B727EF"/>
    <w:rsid w:val="00B73180"/>
    <w:rsid w:val="00B73860"/>
    <w:rsid w:val="00B73C0E"/>
    <w:rsid w:val="00B7402B"/>
    <w:rsid w:val="00B74849"/>
    <w:rsid w:val="00B74CE0"/>
    <w:rsid w:val="00B74E60"/>
    <w:rsid w:val="00B75869"/>
    <w:rsid w:val="00B76A93"/>
    <w:rsid w:val="00B77973"/>
    <w:rsid w:val="00B77FA9"/>
    <w:rsid w:val="00B80A1F"/>
    <w:rsid w:val="00B80BA8"/>
    <w:rsid w:val="00B814AF"/>
    <w:rsid w:val="00B81811"/>
    <w:rsid w:val="00B823D6"/>
    <w:rsid w:val="00B8272F"/>
    <w:rsid w:val="00B83BC4"/>
    <w:rsid w:val="00B83C8A"/>
    <w:rsid w:val="00B8428D"/>
    <w:rsid w:val="00B847CE"/>
    <w:rsid w:val="00B84B90"/>
    <w:rsid w:val="00B85E47"/>
    <w:rsid w:val="00B86A00"/>
    <w:rsid w:val="00B86DF2"/>
    <w:rsid w:val="00B87395"/>
    <w:rsid w:val="00B874E3"/>
    <w:rsid w:val="00B879AA"/>
    <w:rsid w:val="00B9110E"/>
    <w:rsid w:val="00B91F2C"/>
    <w:rsid w:val="00B92125"/>
    <w:rsid w:val="00B92468"/>
    <w:rsid w:val="00B92691"/>
    <w:rsid w:val="00B92F71"/>
    <w:rsid w:val="00B930FE"/>
    <w:rsid w:val="00B93EA5"/>
    <w:rsid w:val="00B94369"/>
    <w:rsid w:val="00B94647"/>
    <w:rsid w:val="00B94E71"/>
    <w:rsid w:val="00B96352"/>
    <w:rsid w:val="00B968ED"/>
    <w:rsid w:val="00B96DAF"/>
    <w:rsid w:val="00B97067"/>
    <w:rsid w:val="00B97D2E"/>
    <w:rsid w:val="00B97EA9"/>
    <w:rsid w:val="00BA0397"/>
    <w:rsid w:val="00BA0785"/>
    <w:rsid w:val="00BA2DE0"/>
    <w:rsid w:val="00BA33CF"/>
    <w:rsid w:val="00BA3DBB"/>
    <w:rsid w:val="00BA46B6"/>
    <w:rsid w:val="00BA5054"/>
    <w:rsid w:val="00BA53A1"/>
    <w:rsid w:val="00BA5457"/>
    <w:rsid w:val="00BA5957"/>
    <w:rsid w:val="00BA5B31"/>
    <w:rsid w:val="00BA5EBD"/>
    <w:rsid w:val="00BA66E5"/>
    <w:rsid w:val="00BA68CB"/>
    <w:rsid w:val="00BA691B"/>
    <w:rsid w:val="00BB1DAB"/>
    <w:rsid w:val="00BB26DA"/>
    <w:rsid w:val="00BB2ABD"/>
    <w:rsid w:val="00BB2B52"/>
    <w:rsid w:val="00BB311C"/>
    <w:rsid w:val="00BB3920"/>
    <w:rsid w:val="00BB3AFE"/>
    <w:rsid w:val="00BB3B0E"/>
    <w:rsid w:val="00BB3FBE"/>
    <w:rsid w:val="00BB5F79"/>
    <w:rsid w:val="00BB6187"/>
    <w:rsid w:val="00BB6803"/>
    <w:rsid w:val="00BC01E7"/>
    <w:rsid w:val="00BC1915"/>
    <w:rsid w:val="00BC1ACD"/>
    <w:rsid w:val="00BC25C4"/>
    <w:rsid w:val="00BC3061"/>
    <w:rsid w:val="00BC30F6"/>
    <w:rsid w:val="00BC3B42"/>
    <w:rsid w:val="00BC4425"/>
    <w:rsid w:val="00BC4AF9"/>
    <w:rsid w:val="00BC56A8"/>
    <w:rsid w:val="00BC6AB9"/>
    <w:rsid w:val="00BC6DF2"/>
    <w:rsid w:val="00BC7BB7"/>
    <w:rsid w:val="00BD02D0"/>
    <w:rsid w:val="00BD0562"/>
    <w:rsid w:val="00BD057C"/>
    <w:rsid w:val="00BD0DF0"/>
    <w:rsid w:val="00BD123D"/>
    <w:rsid w:val="00BD1E0C"/>
    <w:rsid w:val="00BD1E9D"/>
    <w:rsid w:val="00BD22B3"/>
    <w:rsid w:val="00BD23F0"/>
    <w:rsid w:val="00BD24FE"/>
    <w:rsid w:val="00BD282F"/>
    <w:rsid w:val="00BD436A"/>
    <w:rsid w:val="00BD4A45"/>
    <w:rsid w:val="00BD4C7D"/>
    <w:rsid w:val="00BD4E67"/>
    <w:rsid w:val="00BD6731"/>
    <w:rsid w:val="00BD68B8"/>
    <w:rsid w:val="00BD68D8"/>
    <w:rsid w:val="00BD788B"/>
    <w:rsid w:val="00BE09E9"/>
    <w:rsid w:val="00BE0C26"/>
    <w:rsid w:val="00BE0E09"/>
    <w:rsid w:val="00BE13C5"/>
    <w:rsid w:val="00BE16FB"/>
    <w:rsid w:val="00BE25B2"/>
    <w:rsid w:val="00BE2C39"/>
    <w:rsid w:val="00BE2C48"/>
    <w:rsid w:val="00BE2D01"/>
    <w:rsid w:val="00BE2EA0"/>
    <w:rsid w:val="00BE35D8"/>
    <w:rsid w:val="00BE384C"/>
    <w:rsid w:val="00BE3B47"/>
    <w:rsid w:val="00BE4401"/>
    <w:rsid w:val="00BE505A"/>
    <w:rsid w:val="00BE54E2"/>
    <w:rsid w:val="00BE5752"/>
    <w:rsid w:val="00BE59E7"/>
    <w:rsid w:val="00BE6338"/>
    <w:rsid w:val="00BE67E7"/>
    <w:rsid w:val="00BE6E82"/>
    <w:rsid w:val="00BE7434"/>
    <w:rsid w:val="00BE7B17"/>
    <w:rsid w:val="00BE7F5F"/>
    <w:rsid w:val="00BF0015"/>
    <w:rsid w:val="00BF0315"/>
    <w:rsid w:val="00BF0AA0"/>
    <w:rsid w:val="00BF0D22"/>
    <w:rsid w:val="00BF0D63"/>
    <w:rsid w:val="00BF0D83"/>
    <w:rsid w:val="00BF15E2"/>
    <w:rsid w:val="00BF1D74"/>
    <w:rsid w:val="00BF20B7"/>
    <w:rsid w:val="00BF2559"/>
    <w:rsid w:val="00BF2862"/>
    <w:rsid w:val="00BF5863"/>
    <w:rsid w:val="00BF5A0E"/>
    <w:rsid w:val="00BF7CD0"/>
    <w:rsid w:val="00C0036A"/>
    <w:rsid w:val="00C028EB"/>
    <w:rsid w:val="00C02B23"/>
    <w:rsid w:val="00C02C90"/>
    <w:rsid w:val="00C031C1"/>
    <w:rsid w:val="00C031D9"/>
    <w:rsid w:val="00C032FD"/>
    <w:rsid w:val="00C03429"/>
    <w:rsid w:val="00C035F3"/>
    <w:rsid w:val="00C03929"/>
    <w:rsid w:val="00C03E61"/>
    <w:rsid w:val="00C04061"/>
    <w:rsid w:val="00C043B2"/>
    <w:rsid w:val="00C047E4"/>
    <w:rsid w:val="00C04E04"/>
    <w:rsid w:val="00C05F16"/>
    <w:rsid w:val="00C07656"/>
    <w:rsid w:val="00C0783C"/>
    <w:rsid w:val="00C07A8B"/>
    <w:rsid w:val="00C07CC1"/>
    <w:rsid w:val="00C110C8"/>
    <w:rsid w:val="00C110D4"/>
    <w:rsid w:val="00C1241D"/>
    <w:rsid w:val="00C12B1C"/>
    <w:rsid w:val="00C12CB9"/>
    <w:rsid w:val="00C12F96"/>
    <w:rsid w:val="00C13308"/>
    <w:rsid w:val="00C1347E"/>
    <w:rsid w:val="00C150A0"/>
    <w:rsid w:val="00C154DC"/>
    <w:rsid w:val="00C17077"/>
    <w:rsid w:val="00C172B5"/>
    <w:rsid w:val="00C175CE"/>
    <w:rsid w:val="00C17738"/>
    <w:rsid w:val="00C17A7B"/>
    <w:rsid w:val="00C17E14"/>
    <w:rsid w:val="00C207E7"/>
    <w:rsid w:val="00C20F4F"/>
    <w:rsid w:val="00C2181D"/>
    <w:rsid w:val="00C21CBB"/>
    <w:rsid w:val="00C22255"/>
    <w:rsid w:val="00C225C1"/>
    <w:rsid w:val="00C22729"/>
    <w:rsid w:val="00C22955"/>
    <w:rsid w:val="00C22DA5"/>
    <w:rsid w:val="00C22FFD"/>
    <w:rsid w:val="00C23132"/>
    <w:rsid w:val="00C236F3"/>
    <w:rsid w:val="00C2394F"/>
    <w:rsid w:val="00C23FEB"/>
    <w:rsid w:val="00C24091"/>
    <w:rsid w:val="00C24955"/>
    <w:rsid w:val="00C25867"/>
    <w:rsid w:val="00C2621A"/>
    <w:rsid w:val="00C26A19"/>
    <w:rsid w:val="00C26EAA"/>
    <w:rsid w:val="00C273DB"/>
    <w:rsid w:val="00C27DEA"/>
    <w:rsid w:val="00C3023C"/>
    <w:rsid w:val="00C30472"/>
    <w:rsid w:val="00C32AD0"/>
    <w:rsid w:val="00C34606"/>
    <w:rsid w:val="00C34741"/>
    <w:rsid w:val="00C34EEA"/>
    <w:rsid w:val="00C358B4"/>
    <w:rsid w:val="00C36013"/>
    <w:rsid w:val="00C36EB0"/>
    <w:rsid w:val="00C36FC1"/>
    <w:rsid w:val="00C376FC"/>
    <w:rsid w:val="00C4093F"/>
    <w:rsid w:val="00C41033"/>
    <w:rsid w:val="00C41812"/>
    <w:rsid w:val="00C42A75"/>
    <w:rsid w:val="00C4305E"/>
    <w:rsid w:val="00C4325C"/>
    <w:rsid w:val="00C43914"/>
    <w:rsid w:val="00C43B4E"/>
    <w:rsid w:val="00C43C86"/>
    <w:rsid w:val="00C43D5B"/>
    <w:rsid w:val="00C4418D"/>
    <w:rsid w:val="00C44D1D"/>
    <w:rsid w:val="00C450D5"/>
    <w:rsid w:val="00C45398"/>
    <w:rsid w:val="00C45457"/>
    <w:rsid w:val="00C454CD"/>
    <w:rsid w:val="00C4693B"/>
    <w:rsid w:val="00C46D37"/>
    <w:rsid w:val="00C477A1"/>
    <w:rsid w:val="00C5002B"/>
    <w:rsid w:val="00C50949"/>
    <w:rsid w:val="00C50BAB"/>
    <w:rsid w:val="00C51029"/>
    <w:rsid w:val="00C51975"/>
    <w:rsid w:val="00C521CC"/>
    <w:rsid w:val="00C52509"/>
    <w:rsid w:val="00C53415"/>
    <w:rsid w:val="00C535E2"/>
    <w:rsid w:val="00C54E06"/>
    <w:rsid w:val="00C55376"/>
    <w:rsid w:val="00C553A1"/>
    <w:rsid w:val="00C5547F"/>
    <w:rsid w:val="00C5553E"/>
    <w:rsid w:val="00C5604D"/>
    <w:rsid w:val="00C56601"/>
    <w:rsid w:val="00C57585"/>
    <w:rsid w:val="00C575EC"/>
    <w:rsid w:val="00C57844"/>
    <w:rsid w:val="00C57AAD"/>
    <w:rsid w:val="00C60049"/>
    <w:rsid w:val="00C60CA9"/>
    <w:rsid w:val="00C61B60"/>
    <w:rsid w:val="00C625EE"/>
    <w:rsid w:val="00C63208"/>
    <w:rsid w:val="00C6387F"/>
    <w:rsid w:val="00C63A05"/>
    <w:rsid w:val="00C6464C"/>
    <w:rsid w:val="00C651DA"/>
    <w:rsid w:val="00C65309"/>
    <w:rsid w:val="00C65703"/>
    <w:rsid w:val="00C66315"/>
    <w:rsid w:val="00C66BB9"/>
    <w:rsid w:val="00C66D84"/>
    <w:rsid w:val="00C70A3B"/>
    <w:rsid w:val="00C7181D"/>
    <w:rsid w:val="00C71857"/>
    <w:rsid w:val="00C71C07"/>
    <w:rsid w:val="00C72C65"/>
    <w:rsid w:val="00C746A4"/>
    <w:rsid w:val="00C74AD6"/>
    <w:rsid w:val="00C74CA7"/>
    <w:rsid w:val="00C76C96"/>
    <w:rsid w:val="00C76D72"/>
    <w:rsid w:val="00C7746E"/>
    <w:rsid w:val="00C77AFF"/>
    <w:rsid w:val="00C80B6F"/>
    <w:rsid w:val="00C823BE"/>
    <w:rsid w:val="00C8305E"/>
    <w:rsid w:val="00C83191"/>
    <w:rsid w:val="00C833E6"/>
    <w:rsid w:val="00C83407"/>
    <w:rsid w:val="00C84EFF"/>
    <w:rsid w:val="00C86108"/>
    <w:rsid w:val="00C865F2"/>
    <w:rsid w:val="00C86C21"/>
    <w:rsid w:val="00C86DFE"/>
    <w:rsid w:val="00C86F17"/>
    <w:rsid w:val="00C870F6"/>
    <w:rsid w:val="00C9016F"/>
    <w:rsid w:val="00C90996"/>
    <w:rsid w:val="00C909CD"/>
    <w:rsid w:val="00C918B2"/>
    <w:rsid w:val="00C92388"/>
    <w:rsid w:val="00C927D8"/>
    <w:rsid w:val="00C92B6B"/>
    <w:rsid w:val="00C9318B"/>
    <w:rsid w:val="00C93606"/>
    <w:rsid w:val="00C93ABE"/>
    <w:rsid w:val="00C9464F"/>
    <w:rsid w:val="00C95579"/>
    <w:rsid w:val="00C96004"/>
    <w:rsid w:val="00C960E4"/>
    <w:rsid w:val="00C97135"/>
    <w:rsid w:val="00C97FE1"/>
    <w:rsid w:val="00CA0493"/>
    <w:rsid w:val="00CA08F2"/>
    <w:rsid w:val="00CA0F34"/>
    <w:rsid w:val="00CA1639"/>
    <w:rsid w:val="00CA2B6A"/>
    <w:rsid w:val="00CA4053"/>
    <w:rsid w:val="00CA46EC"/>
    <w:rsid w:val="00CA4E7F"/>
    <w:rsid w:val="00CA5949"/>
    <w:rsid w:val="00CA6BCB"/>
    <w:rsid w:val="00CA6FAB"/>
    <w:rsid w:val="00CA7251"/>
    <w:rsid w:val="00CA7483"/>
    <w:rsid w:val="00CA7F2D"/>
    <w:rsid w:val="00CB06D1"/>
    <w:rsid w:val="00CB08FB"/>
    <w:rsid w:val="00CB151C"/>
    <w:rsid w:val="00CB3F8C"/>
    <w:rsid w:val="00CB4C4F"/>
    <w:rsid w:val="00CB584D"/>
    <w:rsid w:val="00CB6C17"/>
    <w:rsid w:val="00CB7316"/>
    <w:rsid w:val="00CC0A20"/>
    <w:rsid w:val="00CC1998"/>
    <w:rsid w:val="00CC2337"/>
    <w:rsid w:val="00CC3789"/>
    <w:rsid w:val="00CC38A1"/>
    <w:rsid w:val="00CC3B5E"/>
    <w:rsid w:val="00CC3D95"/>
    <w:rsid w:val="00CC4816"/>
    <w:rsid w:val="00CC4CCB"/>
    <w:rsid w:val="00CC57FE"/>
    <w:rsid w:val="00CC5C4A"/>
    <w:rsid w:val="00CC6B57"/>
    <w:rsid w:val="00CC780A"/>
    <w:rsid w:val="00CC7B09"/>
    <w:rsid w:val="00CD05D3"/>
    <w:rsid w:val="00CD0E30"/>
    <w:rsid w:val="00CD15A9"/>
    <w:rsid w:val="00CD162F"/>
    <w:rsid w:val="00CD1AA5"/>
    <w:rsid w:val="00CD1E56"/>
    <w:rsid w:val="00CD1E74"/>
    <w:rsid w:val="00CD1EE8"/>
    <w:rsid w:val="00CD3F00"/>
    <w:rsid w:val="00CD4308"/>
    <w:rsid w:val="00CD4328"/>
    <w:rsid w:val="00CD4D49"/>
    <w:rsid w:val="00CD6242"/>
    <w:rsid w:val="00CD6587"/>
    <w:rsid w:val="00CD667D"/>
    <w:rsid w:val="00CD67ED"/>
    <w:rsid w:val="00CD7DBB"/>
    <w:rsid w:val="00CD7F63"/>
    <w:rsid w:val="00CE0BA7"/>
    <w:rsid w:val="00CE0E9E"/>
    <w:rsid w:val="00CE0F09"/>
    <w:rsid w:val="00CE0FAA"/>
    <w:rsid w:val="00CE16A8"/>
    <w:rsid w:val="00CE170B"/>
    <w:rsid w:val="00CE262F"/>
    <w:rsid w:val="00CE3EC3"/>
    <w:rsid w:val="00CE45BF"/>
    <w:rsid w:val="00CE4AA5"/>
    <w:rsid w:val="00CE5531"/>
    <w:rsid w:val="00CE5592"/>
    <w:rsid w:val="00CE5757"/>
    <w:rsid w:val="00CE5BF4"/>
    <w:rsid w:val="00CE62C9"/>
    <w:rsid w:val="00CE652D"/>
    <w:rsid w:val="00CE68FE"/>
    <w:rsid w:val="00CE6A41"/>
    <w:rsid w:val="00CF0337"/>
    <w:rsid w:val="00CF07C0"/>
    <w:rsid w:val="00CF08B5"/>
    <w:rsid w:val="00CF133A"/>
    <w:rsid w:val="00CF17E9"/>
    <w:rsid w:val="00CF1A45"/>
    <w:rsid w:val="00CF2C91"/>
    <w:rsid w:val="00CF3189"/>
    <w:rsid w:val="00CF32C3"/>
    <w:rsid w:val="00CF44D7"/>
    <w:rsid w:val="00CF4999"/>
    <w:rsid w:val="00CF4AC3"/>
    <w:rsid w:val="00CF5A7B"/>
    <w:rsid w:val="00CF690A"/>
    <w:rsid w:val="00CF6918"/>
    <w:rsid w:val="00CF69E1"/>
    <w:rsid w:val="00CF6D12"/>
    <w:rsid w:val="00CF6F23"/>
    <w:rsid w:val="00D003F5"/>
    <w:rsid w:val="00D008D7"/>
    <w:rsid w:val="00D00CB4"/>
    <w:rsid w:val="00D013C1"/>
    <w:rsid w:val="00D02944"/>
    <w:rsid w:val="00D0361D"/>
    <w:rsid w:val="00D03E93"/>
    <w:rsid w:val="00D04B16"/>
    <w:rsid w:val="00D04D77"/>
    <w:rsid w:val="00D04F79"/>
    <w:rsid w:val="00D05C4C"/>
    <w:rsid w:val="00D06066"/>
    <w:rsid w:val="00D06236"/>
    <w:rsid w:val="00D063F0"/>
    <w:rsid w:val="00D06DBA"/>
    <w:rsid w:val="00D075B6"/>
    <w:rsid w:val="00D108F2"/>
    <w:rsid w:val="00D10C46"/>
    <w:rsid w:val="00D12C71"/>
    <w:rsid w:val="00D12D93"/>
    <w:rsid w:val="00D12F90"/>
    <w:rsid w:val="00D13B5D"/>
    <w:rsid w:val="00D1479A"/>
    <w:rsid w:val="00D14A6A"/>
    <w:rsid w:val="00D14CD7"/>
    <w:rsid w:val="00D15005"/>
    <w:rsid w:val="00D170AB"/>
    <w:rsid w:val="00D170F2"/>
    <w:rsid w:val="00D20D2C"/>
    <w:rsid w:val="00D21658"/>
    <w:rsid w:val="00D219B3"/>
    <w:rsid w:val="00D21E59"/>
    <w:rsid w:val="00D22355"/>
    <w:rsid w:val="00D2279A"/>
    <w:rsid w:val="00D22BD4"/>
    <w:rsid w:val="00D230E0"/>
    <w:rsid w:val="00D234E4"/>
    <w:rsid w:val="00D23901"/>
    <w:rsid w:val="00D23A9F"/>
    <w:rsid w:val="00D23F26"/>
    <w:rsid w:val="00D245F9"/>
    <w:rsid w:val="00D247F1"/>
    <w:rsid w:val="00D24D81"/>
    <w:rsid w:val="00D27A16"/>
    <w:rsid w:val="00D301EA"/>
    <w:rsid w:val="00D30218"/>
    <w:rsid w:val="00D30C48"/>
    <w:rsid w:val="00D31012"/>
    <w:rsid w:val="00D31492"/>
    <w:rsid w:val="00D31B30"/>
    <w:rsid w:val="00D32478"/>
    <w:rsid w:val="00D32523"/>
    <w:rsid w:val="00D331D7"/>
    <w:rsid w:val="00D336E1"/>
    <w:rsid w:val="00D33D17"/>
    <w:rsid w:val="00D34157"/>
    <w:rsid w:val="00D346A7"/>
    <w:rsid w:val="00D34CC8"/>
    <w:rsid w:val="00D35699"/>
    <w:rsid w:val="00D360F5"/>
    <w:rsid w:val="00D3661C"/>
    <w:rsid w:val="00D3699E"/>
    <w:rsid w:val="00D36FDD"/>
    <w:rsid w:val="00D378A4"/>
    <w:rsid w:val="00D37961"/>
    <w:rsid w:val="00D40076"/>
    <w:rsid w:val="00D403A3"/>
    <w:rsid w:val="00D404DC"/>
    <w:rsid w:val="00D41495"/>
    <w:rsid w:val="00D42132"/>
    <w:rsid w:val="00D42500"/>
    <w:rsid w:val="00D431B0"/>
    <w:rsid w:val="00D432DA"/>
    <w:rsid w:val="00D4633E"/>
    <w:rsid w:val="00D4749E"/>
    <w:rsid w:val="00D4790B"/>
    <w:rsid w:val="00D47C1A"/>
    <w:rsid w:val="00D508AD"/>
    <w:rsid w:val="00D50BAC"/>
    <w:rsid w:val="00D51A16"/>
    <w:rsid w:val="00D51B7D"/>
    <w:rsid w:val="00D51DEA"/>
    <w:rsid w:val="00D5260F"/>
    <w:rsid w:val="00D52D75"/>
    <w:rsid w:val="00D52EAA"/>
    <w:rsid w:val="00D55C61"/>
    <w:rsid w:val="00D55F72"/>
    <w:rsid w:val="00D55FFB"/>
    <w:rsid w:val="00D56FE5"/>
    <w:rsid w:val="00D6087D"/>
    <w:rsid w:val="00D60BAD"/>
    <w:rsid w:val="00D60E30"/>
    <w:rsid w:val="00D61271"/>
    <w:rsid w:val="00D61BF9"/>
    <w:rsid w:val="00D62532"/>
    <w:rsid w:val="00D62C7F"/>
    <w:rsid w:val="00D62F69"/>
    <w:rsid w:val="00D647D4"/>
    <w:rsid w:val="00D647E0"/>
    <w:rsid w:val="00D65D62"/>
    <w:rsid w:val="00D66EB3"/>
    <w:rsid w:val="00D70259"/>
    <w:rsid w:val="00D71DCD"/>
    <w:rsid w:val="00D72CC4"/>
    <w:rsid w:val="00D72E2A"/>
    <w:rsid w:val="00D735AF"/>
    <w:rsid w:val="00D738F9"/>
    <w:rsid w:val="00D73E26"/>
    <w:rsid w:val="00D745B4"/>
    <w:rsid w:val="00D745D0"/>
    <w:rsid w:val="00D75B8E"/>
    <w:rsid w:val="00D76518"/>
    <w:rsid w:val="00D76640"/>
    <w:rsid w:val="00D7684A"/>
    <w:rsid w:val="00D7692C"/>
    <w:rsid w:val="00D7699C"/>
    <w:rsid w:val="00D76A51"/>
    <w:rsid w:val="00D77515"/>
    <w:rsid w:val="00D777D3"/>
    <w:rsid w:val="00D807FB"/>
    <w:rsid w:val="00D80E4A"/>
    <w:rsid w:val="00D80FA3"/>
    <w:rsid w:val="00D82997"/>
    <w:rsid w:val="00D82BE5"/>
    <w:rsid w:val="00D830C3"/>
    <w:rsid w:val="00D83236"/>
    <w:rsid w:val="00D83F8A"/>
    <w:rsid w:val="00D848E4"/>
    <w:rsid w:val="00D8509D"/>
    <w:rsid w:val="00D85553"/>
    <w:rsid w:val="00D86839"/>
    <w:rsid w:val="00D87901"/>
    <w:rsid w:val="00D87F54"/>
    <w:rsid w:val="00D90937"/>
    <w:rsid w:val="00D9237F"/>
    <w:rsid w:val="00D93949"/>
    <w:rsid w:val="00D93CC9"/>
    <w:rsid w:val="00D94D2B"/>
    <w:rsid w:val="00D95E1D"/>
    <w:rsid w:val="00D96248"/>
    <w:rsid w:val="00D96741"/>
    <w:rsid w:val="00D9730B"/>
    <w:rsid w:val="00D9764E"/>
    <w:rsid w:val="00D97DB9"/>
    <w:rsid w:val="00DA0266"/>
    <w:rsid w:val="00DA0488"/>
    <w:rsid w:val="00DA054D"/>
    <w:rsid w:val="00DA0CDF"/>
    <w:rsid w:val="00DA0E5C"/>
    <w:rsid w:val="00DA14DC"/>
    <w:rsid w:val="00DA1C57"/>
    <w:rsid w:val="00DA1DAB"/>
    <w:rsid w:val="00DA1EDE"/>
    <w:rsid w:val="00DA3433"/>
    <w:rsid w:val="00DA36CB"/>
    <w:rsid w:val="00DA3F2F"/>
    <w:rsid w:val="00DA47D9"/>
    <w:rsid w:val="00DA5893"/>
    <w:rsid w:val="00DA5F59"/>
    <w:rsid w:val="00DB0027"/>
    <w:rsid w:val="00DB0049"/>
    <w:rsid w:val="00DB09C7"/>
    <w:rsid w:val="00DB16DE"/>
    <w:rsid w:val="00DB19C4"/>
    <w:rsid w:val="00DB22A4"/>
    <w:rsid w:val="00DB4AB1"/>
    <w:rsid w:val="00DB5DDE"/>
    <w:rsid w:val="00DB7288"/>
    <w:rsid w:val="00DB73E4"/>
    <w:rsid w:val="00DB78B5"/>
    <w:rsid w:val="00DC111A"/>
    <w:rsid w:val="00DC2A95"/>
    <w:rsid w:val="00DC2D26"/>
    <w:rsid w:val="00DC34E5"/>
    <w:rsid w:val="00DC3A83"/>
    <w:rsid w:val="00DC402E"/>
    <w:rsid w:val="00DC4E8F"/>
    <w:rsid w:val="00DC54A8"/>
    <w:rsid w:val="00DC567D"/>
    <w:rsid w:val="00DC5E3B"/>
    <w:rsid w:val="00DC7462"/>
    <w:rsid w:val="00DC76C1"/>
    <w:rsid w:val="00DC78ED"/>
    <w:rsid w:val="00DC7EDE"/>
    <w:rsid w:val="00DD0966"/>
    <w:rsid w:val="00DD14CD"/>
    <w:rsid w:val="00DD1E53"/>
    <w:rsid w:val="00DD23FF"/>
    <w:rsid w:val="00DD3D1C"/>
    <w:rsid w:val="00DD5F19"/>
    <w:rsid w:val="00DD62C3"/>
    <w:rsid w:val="00DD7985"/>
    <w:rsid w:val="00DD79C4"/>
    <w:rsid w:val="00DE0676"/>
    <w:rsid w:val="00DE08A8"/>
    <w:rsid w:val="00DE0C99"/>
    <w:rsid w:val="00DE11B7"/>
    <w:rsid w:val="00DE1798"/>
    <w:rsid w:val="00DE1FD2"/>
    <w:rsid w:val="00DE3579"/>
    <w:rsid w:val="00DE3B8A"/>
    <w:rsid w:val="00DE4C97"/>
    <w:rsid w:val="00DE5EEF"/>
    <w:rsid w:val="00DE6F70"/>
    <w:rsid w:val="00DE712C"/>
    <w:rsid w:val="00DE7C60"/>
    <w:rsid w:val="00DE7F04"/>
    <w:rsid w:val="00DF034B"/>
    <w:rsid w:val="00DF12EA"/>
    <w:rsid w:val="00DF18ED"/>
    <w:rsid w:val="00DF1991"/>
    <w:rsid w:val="00DF2379"/>
    <w:rsid w:val="00DF257F"/>
    <w:rsid w:val="00DF2A61"/>
    <w:rsid w:val="00DF2CFF"/>
    <w:rsid w:val="00DF33CE"/>
    <w:rsid w:val="00DF3B2E"/>
    <w:rsid w:val="00DF4799"/>
    <w:rsid w:val="00DF4E0F"/>
    <w:rsid w:val="00DF5517"/>
    <w:rsid w:val="00DF6139"/>
    <w:rsid w:val="00DF68A1"/>
    <w:rsid w:val="00DF776E"/>
    <w:rsid w:val="00E021E0"/>
    <w:rsid w:val="00E026C3"/>
    <w:rsid w:val="00E04714"/>
    <w:rsid w:val="00E0566B"/>
    <w:rsid w:val="00E06C4A"/>
    <w:rsid w:val="00E06EC1"/>
    <w:rsid w:val="00E0743E"/>
    <w:rsid w:val="00E07BF0"/>
    <w:rsid w:val="00E10047"/>
    <w:rsid w:val="00E1037B"/>
    <w:rsid w:val="00E10607"/>
    <w:rsid w:val="00E1313C"/>
    <w:rsid w:val="00E13D5D"/>
    <w:rsid w:val="00E14C6E"/>
    <w:rsid w:val="00E14CC9"/>
    <w:rsid w:val="00E14FB8"/>
    <w:rsid w:val="00E1520A"/>
    <w:rsid w:val="00E15C43"/>
    <w:rsid w:val="00E1650E"/>
    <w:rsid w:val="00E16FD4"/>
    <w:rsid w:val="00E17A32"/>
    <w:rsid w:val="00E17DF0"/>
    <w:rsid w:val="00E205E7"/>
    <w:rsid w:val="00E208E9"/>
    <w:rsid w:val="00E20E12"/>
    <w:rsid w:val="00E2112A"/>
    <w:rsid w:val="00E21A3C"/>
    <w:rsid w:val="00E22B3E"/>
    <w:rsid w:val="00E22C5E"/>
    <w:rsid w:val="00E232A5"/>
    <w:rsid w:val="00E23406"/>
    <w:rsid w:val="00E24601"/>
    <w:rsid w:val="00E24FA4"/>
    <w:rsid w:val="00E2526C"/>
    <w:rsid w:val="00E2558C"/>
    <w:rsid w:val="00E25A29"/>
    <w:rsid w:val="00E27422"/>
    <w:rsid w:val="00E2750A"/>
    <w:rsid w:val="00E27512"/>
    <w:rsid w:val="00E275E1"/>
    <w:rsid w:val="00E27621"/>
    <w:rsid w:val="00E30063"/>
    <w:rsid w:val="00E3052F"/>
    <w:rsid w:val="00E30ADC"/>
    <w:rsid w:val="00E3225A"/>
    <w:rsid w:val="00E32EF3"/>
    <w:rsid w:val="00E33CE9"/>
    <w:rsid w:val="00E34117"/>
    <w:rsid w:val="00E3454A"/>
    <w:rsid w:val="00E348FD"/>
    <w:rsid w:val="00E34A44"/>
    <w:rsid w:val="00E34B2F"/>
    <w:rsid w:val="00E35D41"/>
    <w:rsid w:val="00E361B6"/>
    <w:rsid w:val="00E36614"/>
    <w:rsid w:val="00E36937"/>
    <w:rsid w:val="00E37057"/>
    <w:rsid w:val="00E37F1F"/>
    <w:rsid w:val="00E37FD4"/>
    <w:rsid w:val="00E40135"/>
    <w:rsid w:val="00E404D3"/>
    <w:rsid w:val="00E414E0"/>
    <w:rsid w:val="00E41AB2"/>
    <w:rsid w:val="00E41B38"/>
    <w:rsid w:val="00E41D6A"/>
    <w:rsid w:val="00E420FE"/>
    <w:rsid w:val="00E4230D"/>
    <w:rsid w:val="00E42595"/>
    <w:rsid w:val="00E43950"/>
    <w:rsid w:val="00E441A9"/>
    <w:rsid w:val="00E44717"/>
    <w:rsid w:val="00E4552D"/>
    <w:rsid w:val="00E465B0"/>
    <w:rsid w:val="00E4691C"/>
    <w:rsid w:val="00E46B6C"/>
    <w:rsid w:val="00E47C09"/>
    <w:rsid w:val="00E50128"/>
    <w:rsid w:val="00E519BB"/>
    <w:rsid w:val="00E519C0"/>
    <w:rsid w:val="00E51A5F"/>
    <w:rsid w:val="00E51BED"/>
    <w:rsid w:val="00E52F24"/>
    <w:rsid w:val="00E539A7"/>
    <w:rsid w:val="00E53E08"/>
    <w:rsid w:val="00E5406E"/>
    <w:rsid w:val="00E54D86"/>
    <w:rsid w:val="00E55EBB"/>
    <w:rsid w:val="00E55FF4"/>
    <w:rsid w:val="00E5797A"/>
    <w:rsid w:val="00E57E3A"/>
    <w:rsid w:val="00E57FC0"/>
    <w:rsid w:val="00E6111B"/>
    <w:rsid w:val="00E62FB4"/>
    <w:rsid w:val="00E631DD"/>
    <w:rsid w:val="00E63240"/>
    <w:rsid w:val="00E635A0"/>
    <w:rsid w:val="00E641AA"/>
    <w:rsid w:val="00E646AF"/>
    <w:rsid w:val="00E64AC0"/>
    <w:rsid w:val="00E64EAB"/>
    <w:rsid w:val="00E64F47"/>
    <w:rsid w:val="00E65156"/>
    <w:rsid w:val="00E66DF6"/>
    <w:rsid w:val="00E66F6B"/>
    <w:rsid w:val="00E67541"/>
    <w:rsid w:val="00E67901"/>
    <w:rsid w:val="00E67E72"/>
    <w:rsid w:val="00E67EEA"/>
    <w:rsid w:val="00E70865"/>
    <w:rsid w:val="00E708C2"/>
    <w:rsid w:val="00E70A72"/>
    <w:rsid w:val="00E71701"/>
    <w:rsid w:val="00E71B04"/>
    <w:rsid w:val="00E720AB"/>
    <w:rsid w:val="00E72220"/>
    <w:rsid w:val="00E72253"/>
    <w:rsid w:val="00E73231"/>
    <w:rsid w:val="00E737D0"/>
    <w:rsid w:val="00E73964"/>
    <w:rsid w:val="00E73EE6"/>
    <w:rsid w:val="00E7404D"/>
    <w:rsid w:val="00E74056"/>
    <w:rsid w:val="00E74156"/>
    <w:rsid w:val="00E746C2"/>
    <w:rsid w:val="00E74808"/>
    <w:rsid w:val="00E75F4E"/>
    <w:rsid w:val="00E76749"/>
    <w:rsid w:val="00E77232"/>
    <w:rsid w:val="00E814AF"/>
    <w:rsid w:val="00E81EDB"/>
    <w:rsid w:val="00E829AB"/>
    <w:rsid w:val="00E82E77"/>
    <w:rsid w:val="00E8308E"/>
    <w:rsid w:val="00E8337C"/>
    <w:rsid w:val="00E843B1"/>
    <w:rsid w:val="00E85100"/>
    <w:rsid w:val="00E85D99"/>
    <w:rsid w:val="00E8689E"/>
    <w:rsid w:val="00E87F3B"/>
    <w:rsid w:val="00E9072E"/>
    <w:rsid w:val="00E90C71"/>
    <w:rsid w:val="00E90EE7"/>
    <w:rsid w:val="00E92379"/>
    <w:rsid w:val="00E926BA"/>
    <w:rsid w:val="00E94394"/>
    <w:rsid w:val="00E9445D"/>
    <w:rsid w:val="00E95373"/>
    <w:rsid w:val="00E96346"/>
    <w:rsid w:val="00E96D54"/>
    <w:rsid w:val="00E96F2A"/>
    <w:rsid w:val="00EA007F"/>
    <w:rsid w:val="00EA05ED"/>
    <w:rsid w:val="00EA08B5"/>
    <w:rsid w:val="00EA45D0"/>
    <w:rsid w:val="00EA4CCF"/>
    <w:rsid w:val="00EA5882"/>
    <w:rsid w:val="00EA5927"/>
    <w:rsid w:val="00EA5B77"/>
    <w:rsid w:val="00EA5E8E"/>
    <w:rsid w:val="00EA682B"/>
    <w:rsid w:val="00EA6955"/>
    <w:rsid w:val="00EA6DC8"/>
    <w:rsid w:val="00EA7ECA"/>
    <w:rsid w:val="00EB07E9"/>
    <w:rsid w:val="00EB07F9"/>
    <w:rsid w:val="00EB0B7F"/>
    <w:rsid w:val="00EB0D10"/>
    <w:rsid w:val="00EB155D"/>
    <w:rsid w:val="00EB2578"/>
    <w:rsid w:val="00EB3572"/>
    <w:rsid w:val="00EB3747"/>
    <w:rsid w:val="00EB41FC"/>
    <w:rsid w:val="00EB4C1D"/>
    <w:rsid w:val="00EB4E3C"/>
    <w:rsid w:val="00EB5576"/>
    <w:rsid w:val="00EB5EC2"/>
    <w:rsid w:val="00EB6995"/>
    <w:rsid w:val="00EB6FEA"/>
    <w:rsid w:val="00EB73AA"/>
    <w:rsid w:val="00EB7BD6"/>
    <w:rsid w:val="00EC0A2A"/>
    <w:rsid w:val="00EC0BC8"/>
    <w:rsid w:val="00EC10D0"/>
    <w:rsid w:val="00EC120B"/>
    <w:rsid w:val="00EC18BF"/>
    <w:rsid w:val="00EC25D0"/>
    <w:rsid w:val="00EC2A00"/>
    <w:rsid w:val="00EC37BC"/>
    <w:rsid w:val="00EC384B"/>
    <w:rsid w:val="00EC3A9D"/>
    <w:rsid w:val="00EC432C"/>
    <w:rsid w:val="00EC4BCD"/>
    <w:rsid w:val="00EC5226"/>
    <w:rsid w:val="00EC56E8"/>
    <w:rsid w:val="00EC56EB"/>
    <w:rsid w:val="00EC5FC0"/>
    <w:rsid w:val="00EC612D"/>
    <w:rsid w:val="00EC6159"/>
    <w:rsid w:val="00EC673B"/>
    <w:rsid w:val="00EC693D"/>
    <w:rsid w:val="00EC69E0"/>
    <w:rsid w:val="00ED0574"/>
    <w:rsid w:val="00ED108A"/>
    <w:rsid w:val="00ED151E"/>
    <w:rsid w:val="00ED2472"/>
    <w:rsid w:val="00ED37E3"/>
    <w:rsid w:val="00ED421F"/>
    <w:rsid w:val="00ED4965"/>
    <w:rsid w:val="00ED5821"/>
    <w:rsid w:val="00ED5933"/>
    <w:rsid w:val="00ED5D4E"/>
    <w:rsid w:val="00ED5FB1"/>
    <w:rsid w:val="00ED627F"/>
    <w:rsid w:val="00ED6AB0"/>
    <w:rsid w:val="00ED7324"/>
    <w:rsid w:val="00EE129C"/>
    <w:rsid w:val="00EE1DBF"/>
    <w:rsid w:val="00EE275C"/>
    <w:rsid w:val="00EE36BD"/>
    <w:rsid w:val="00EE3F6A"/>
    <w:rsid w:val="00EE4665"/>
    <w:rsid w:val="00EE4A2E"/>
    <w:rsid w:val="00EE4B68"/>
    <w:rsid w:val="00EE5181"/>
    <w:rsid w:val="00EE562B"/>
    <w:rsid w:val="00EE5C69"/>
    <w:rsid w:val="00EE5D12"/>
    <w:rsid w:val="00EE74C9"/>
    <w:rsid w:val="00EE76D2"/>
    <w:rsid w:val="00EE7AED"/>
    <w:rsid w:val="00EF0737"/>
    <w:rsid w:val="00EF0EE6"/>
    <w:rsid w:val="00EF1811"/>
    <w:rsid w:val="00EF22AB"/>
    <w:rsid w:val="00EF4C13"/>
    <w:rsid w:val="00EF525E"/>
    <w:rsid w:val="00EF682E"/>
    <w:rsid w:val="00F00F5E"/>
    <w:rsid w:val="00F01AB5"/>
    <w:rsid w:val="00F01EE9"/>
    <w:rsid w:val="00F02F5C"/>
    <w:rsid w:val="00F03F4C"/>
    <w:rsid w:val="00F04C0A"/>
    <w:rsid w:val="00F053FC"/>
    <w:rsid w:val="00F058C9"/>
    <w:rsid w:val="00F05DD5"/>
    <w:rsid w:val="00F063B4"/>
    <w:rsid w:val="00F1079F"/>
    <w:rsid w:val="00F11419"/>
    <w:rsid w:val="00F1160C"/>
    <w:rsid w:val="00F11B9E"/>
    <w:rsid w:val="00F120AB"/>
    <w:rsid w:val="00F127C3"/>
    <w:rsid w:val="00F12CF1"/>
    <w:rsid w:val="00F14357"/>
    <w:rsid w:val="00F167F5"/>
    <w:rsid w:val="00F16A29"/>
    <w:rsid w:val="00F16ACA"/>
    <w:rsid w:val="00F16F49"/>
    <w:rsid w:val="00F17303"/>
    <w:rsid w:val="00F175DB"/>
    <w:rsid w:val="00F20091"/>
    <w:rsid w:val="00F20A92"/>
    <w:rsid w:val="00F20C7B"/>
    <w:rsid w:val="00F21B04"/>
    <w:rsid w:val="00F22E0A"/>
    <w:rsid w:val="00F2431C"/>
    <w:rsid w:val="00F244E8"/>
    <w:rsid w:val="00F24F0E"/>
    <w:rsid w:val="00F30BFC"/>
    <w:rsid w:val="00F3181C"/>
    <w:rsid w:val="00F31862"/>
    <w:rsid w:val="00F31B1F"/>
    <w:rsid w:val="00F320C4"/>
    <w:rsid w:val="00F32A2E"/>
    <w:rsid w:val="00F32A56"/>
    <w:rsid w:val="00F32D7D"/>
    <w:rsid w:val="00F339AC"/>
    <w:rsid w:val="00F356FD"/>
    <w:rsid w:val="00F359CA"/>
    <w:rsid w:val="00F36399"/>
    <w:rsid w:val="00F3662F"/>
    <w:rsid w:val="00F36B71"/>
    <w:rsid w:val="00F36F95"/>
    <w:rsid w:val="00F37934"/>
    <w:rsid w:val="00F37D86"/>
    <w:rsid w:val="00F37FD1"/>
    <w:rsid w:val="00F411D2"/>
    <w:rsid w:val="00F41630"/>
    <w:rsid w:val="00F429DE"/>
    <w:rsid w:val="00F42D05"/>
    <w:rsid w:val="00F42D28"/>
    <w:rsid w:val="00F42F3D"/>
    <w:rsid w:val="00F4436A"/>
    <w:rsid w:val="00F44FCB"/>
    <w:rsid w:val="00F45AB3"/>
    <w:rsid w:val="00F45B2E"/>
    <w:rsid w:val="00F46935"/>
    <w:rsid w:val="00F46EA5"/>
    <w:rsid w:val="00F46ECD"/>
    <w:rsid w:val="00F47769"/>
    <w:rsid w:val="00F47792"/>
    <w:rsid w:val="00F477D1"/>
    <w:rsid w:val="00F47948"/>
    <w:rsid w:val="00F47BD0"/>
    <w:rsid w:val="00F47C58"/>
    <w:rsid w:val="00F50208"/>
    <w:rsid w:val="00F50299"/>
    <w:rsid w:val="00F50A5C"/>
    <w:rsid w:val="00F51935"/>
    <w:rsid w:val="00F51A02"/>
    <w:rsid w:val="00F5397E"/>
    <w:rsid w:val="00F53A77"/>
    <w:rsid w:val="00F54E79"/>
    <w:rsid w:val="00F5753E"/>
    <w:rsid w:val="00F57B01"/>
    <w:rsid w:val="00F6121E"/>
    <w:rsid w:val="00F6128B"/>
    <w:rsid w:val="00F61AF4"/>
    <w:rsid w:val="00F61D8B"/>
    <w:rsid w:val="00F61DED"/>
    <w:rsid w:val="00F63E86"/>
    <w:rsid w:val="00F6451A"/>
    <w:rsid w:val="00F65BEB"/>
    <w:rsid w:val="00F66B2A"/>
    <w:rsid w:val="00F679D5"/>
    <w:rsid w:val="00F67A49"/>
    <w:rsid w:val="00F67CEC"/>
    <w:rsid w:val="00F704AA"/>
    <w:rsid w:val="00F70793"/>
    <w:rsid w:val="00F70A50"/>
    <w:rsid w:val="00F70CBF"/>
    <w:rsid w:val="00F70D94"/>
    <w:rsid w:val="00F72754"/>
    <w:rsid w:val="00F7294A"/>
    <w:rsid w:val="00F72F17"/>
    <w:rsid w:val="00F73FDF"/>
    <w:rsid w:val="00F74164"/>
    <w:rsid w:val="00F74249"/>
    <w:rsid w:val="00F7441A"/>
    <w:rsid w:val="00F744EE"/>
    <w:rsid w:val="00F74669"/>
    <w:rsid w:val="00F74CB8"/>
    <w:rsid w:val="00F75212"/>
    <w:rsid w:val="00F768C5"/>
    <w:rsid w:val="00F76918"/>
    <w:rsid w:val="00F76A63"/>
    <w:rsid w:val="00F76C1B"/>
    <w:rsid w:val="00F76D45"/>
    <w:rsid w:val="00F77BFB"/>
    <w:rsid w:val="00F77E1F"/>
    <w:rsid w:val="00F80D8D"/>
    <w:rsid w:val="00F80E47"/>
    <w:rsid w:val="00F80F15"/>
    <w:rsid w:val="00F80F89"/>
    <w:rsid w:val="00F82368"/>
    <w:rsid w:val="00F83B7B"/>
    <w:rsid w:val="00F83B83"/>
    <w:rsid w:val="00F84262"/>
    <w:rsid w:val="00F84880"/>
    <w:rsid w:val="00F84B16"/>
    <w:rsid w:val="00F854BE"/>
    <w:rsid w:val="00F85956"/>
    <w:rsid w:val="00F85DC4"/>
    <w:rsid w:val="00F86D3B"/>
    <w:rsid w:val="00F87104"/>
    <w:rsid w:val="00F87669"/>
    <w:rsid w:val="00F90B54"/>
    <w:rsid w:val="00F90C03"/>
    <w:rsid w:val="00F925D6"/>
    <w:rsid w:val="00F93AB8"/>
    <w:rsid w:val="00F95093"/>
    <w:rsid w:val="00F95780"/>
    <w:rsid w:val="00F96861"/>
    <w:rsid w:val="00F96A17"/>
    <w:rsid w:val="00F96B04"/>
    <w:rsid w:val="00F96B90"/>
    <w:rsid w:val="00FA00EB"/>
    <w:rsid w:val="00FA35CA"/>
    <w:rsid w:val="00FA3B7A"/>
    <w:rsid w:val="00FA3E03"/>
    <w:rsid w:val="00FA46B3"/>
    <w:rsid w:val="00FA4CCB"/>
    <w:rsid w:val="00FA52BB"/>
    <w:rsid w:val="00FA5BB1"/>
    <w:rsid w:val="00FA5CC6"/>
    <w:rsid w:val="00FA5F40"/>
    <w:rsid w:val="00FA65D5"/>
    <w:rsid w:val="00FA687E"/>
    <w:rsid w:val="00FA793C"/>
    <w:rsid w:val="00FA7C18"/>
    <w:rsid w:val="00FB14FD"/>
    <w:rsid w:val="00FB181D"/>
    <w:rsid w:val="00FB1837"/>
    <w:rsid w:val="00FB22ED"/>
    <w:rsid w:val="00FB254D"/>
    <w:rsid w:val="00FB5203"/>
    <w:rsid w:val="00FB55B8"/>
    <w:rsid w:val="00FB5879"/>
    <w:rsid w:val="00FB5BED"/>
    <w:rsid w:val="00FB5CA5"/>
    <w:rsid w:val="00FB6079"/>
    <w:rsid w:val="00FB7138"/>
    <w:rsid w:val="00FB74F1"/>
    <w:rsid w:val="00FB796C"/>
    <w:rsid w:val="00FB7D33"/>
    <w:rsid w:val="00FC0114"/>
    <w:rsid w:val="00FC0368"/>
    <w:rsid w:val="00FC08EE"/>
    <w:rsid w:val="00FC0E29"/>
    <w:rsid w:val="00FC10A1"/>
    <w:rsid w:val="00FC10B5"/>
    <w:rsid w:val="00FC1DDF"/>
    <w:rsid w:val="00FC201B"/>
    <w:rsid w:val="00FC2093"/>
    <w:rsid w:val="00FC2471"/>
    <w:rsid w:val="00FC3718"/>
    <w:rsid w:val="00FC4900"/>
    <w:rsid w:val="00FC49FF"/>
    <w:rsid w:val="00FC5726"/>
    <w:rsid w:val="00FC58C9"/>
    <w:rsid w:val="00FC5C70"/>
    <w:rsid w:val="00FC672D"/>
    <w:rsid w:val="00FC680D"/>
    <w:rsid w:val="00FC78EB"/>
    <w:rsid w:val="00FC7B7B"/>
    <w:rsid w:val="00FC7BEA"/>
    <w:rsid w:val="00FD002B"/>
    <w:rsid w:val="00FD0126"/>
    <w:rsid w:val="00FD0259"/>
    <w:rsid w:val="00FD0D02"/>
    <w:rsid w:val="00FD1A0D"/>
    <w:rsid w:val="00FD2093"/>
    <w:rsid w:val="00FD31D5"/>
    <w:rsid w:val="00FD3B0F"/>
    <w:rsid w:val="00FD4F22"/>
    <w:rsid w:val="00FD5131"/>
    <w:rsid w:val="00FE0945"/>
    <w:rsid w:val="00FE0CE5"/>
    <w:rsid w:val="00FE18AC"/>
    <w:rsid w:val="00FE2975"/>
    <w:rsid w:val="00FE2D53"/>
    <w:rsid w:val="00FE3278"/>
    <w:rsid w:val="00FE375C"/>
    <w:rsid w:val="00FE3F24"/>
    <w:rsid w:val="00FE460B"/>
    <w:rsid w:val="00FE6A1F"/>
    <w:rsid w:val="00FE74B8"/>
    <w:rsid w:val="00FE7E34"/>
    <w:rsid w:val="00FF041C"/>
    <w:rsid w:val="00FF207E"/>
    <w:rsid w:val="00FF2673"/>
    <w:rsid w:val="00FF340C"/>
    <w:rsid w:val="00FF36D0"/>
    <w:rsid w:val="00FF4DC9"/>
    <w:rsid w:val="00FF52A9"/>
    <w:rsid w:val="00FF68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8CE9"/>
  <w15:docId w15:val="{16C5C922-8AE8-4237-997E-2886E170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B796C"/>
    <w:pPr>
      <w:spacing w:after="0" w:line="300" w:lineRule="atLeast"/>
    </w:pPr>
    <w:rPr>
      <w:rFonts w:ascii="Arial" w:eastAsia="Times New Roman" w:hAnsi="Arial" w:cs="Times New Roman"/>
      <w:szCs w:val="24"/>
      <w:lang w:val="en-US"/>
    </w:rPr>
  </w:style>
  <w:style w:type="paragraph" w:styleId="Naslov1">
    <w:name w:val="heading 1"/>
    <w:basedOn w:val="Navaden"/>
    <w:next w:val="Navaden"/>
    <w:link w:val="Naslov1Znak"/>
    <w:uiPriority w:val="9"/>
    <w:qFormat/>
    <w:rsid w:val="00740162"/>
    <w:pPr>
      <w:keepNext/>
      <w:keepLines/>
      <w:pageBreakBefore/>
      <w:numPr>
        <w:numId w:val="1"/>
      </w:numPr>
      <w:spacing w:after="360"/>
      <w:outlineLvl w:val="0"/>
    </w:pPr>
    <w:rPr>
      <w:rFonts w:eastAsiaTheme="majorEastAsia" w:cstheme="majorBidi"/>
      <w:b/>
      <w:bCs/>
      <w:color w:val="4F81BD" w:themeColor="accent1"/>
      <w:sz w:val="28"/>
      <w:szCs w:val="28"/>
    </w:rPr>
  </w:style>
  <w:style w:type="paragraph" w:styleId="Naslov2">
    <w:name w:val="heading 2"/>
    <w:basedOn w:val="Navaden"/>
    <w:next w:val="Navaden"/>
    <w:link w:val="Naslov2Znak"/>
    <w:uiPriority w:val="9"/>
    <w:unhideWhenUsed/>
    <w:qFormat/>
    <w:rsid w:val="00F36F95"/>
    <w:pPr>
      <w:keepNext/>
      <w:keepLines/>
      <w:numPr>
        <w:ilvl w:val="1"/>
        <w:numId w:val="1"/>
      </w:numPr>
      <w:spacing w:before="240" w:after="160"/>
      <w:ind w:left="578" w:hanging="578"/>
      <w:outlineLvl w:val="1"/>
    </w:pPr>
    <w:rPr>
      <w:rFonts w:eastAsiaTheme="majorEastAsia" w:cs="Arial"/>
      <w:b/>
      <w:bCs/>
      <w:color w:val="4F81BD" w:themeColor="accent1"/>
      <w:sz w:val="26"/>
      <w:szCs w:val="26"/>
    </w:rPr>
  </w:style>
  <w:style w:type="paragraph" w:styleId="Naslov3">
    <w:name w:val="heading 3"/>
    <w:basedOn w:val="Navaden"/>
    <w:next w:val="Navaden"/>
    <w:link w:val="Naslov3Znak"/>
    <w:uiPriority w:val="9"/>
    <w:unhideWhenUsed/>
    <w:qFormat/>
    <w:rsid w:val="00F6451A"/>
    <w:pPr>
      <w:keepNext/>
      <w:keepLines/>
      <w:numPr>
        <w:ilvl w:val="2"/>
        <w:numId w:val="1"/>
      </w:numPr>
      <w:spacing w:before="240" w:after="120"/>
      <w:ind w:left="907" w:hanging="907"/>
      <w:outlineLvl w:val="2"/>
    </w:pPr>
    <w:rPr>
      <w:rFonts w:eastAsiaTheme="majorEastAsia" w:cs="Arial"/>
      <w:b/>
      <w:bCs/>
      <w:color w:val="4F81BD" w:themeColor="accent1"/>
    </w:rPr>
  </w:style>
  <w:style w:type="paragraph" w:styleId="Naslov4">
    <w:name w:val="heading 4"/>
    <w:basedOn w:val="Naslov3"/>
    <w:next w:val="Navaden"/>
    <w:link w:val="Naslov4Znak"/>
    <w:uiPriority w:val="9"/>
    <w:unhideWhenUsed/>
    <w:qFormat/>
    <w:rsid w:val="00740162"/>
    <w:pPr>
      <w:numPr>
        <w:ilvl w:val="0"/>
        <w:numId w:val="0"/>
      </w:numPr>
      <w:outlineLvl w:val="3"/>
    </w:pPr>
    <w:rPr>
      <w:b w:val="0"/>
      <w:lang w:val="sl-SI"/>
    </w:rPr>
  </w:style>
  <w:style w:type="paragraph" w:styleId="Naslov5">
    <w:name w:val="heading 5"/>
    <w:basedOn w:val="Naslov4"/>
    <w:next w:val="Navaden"/>
    <w:link w:val="Naslov5Znak"/>
    <w:uiPriority w:val="9"/>
    <w:unhideWhenUsed/>
    <w:qFormat/>
    <w:rsid w:val="001A05EF"/>
    <w:pPr>
      <w:spacing w:before="40" w:after="40"/>
      <w:outlineLvl w:val="4"/>
    </w:pPr>
    <w:rPr>
      <w:rFonts w:eastAsia="Times New Roman"/>
      <w:b/>
      <w:color w:val="FFFFFF" w:themeColor="background1"/>
    </w:rPr>
  </w:style>
  <w:style w:type="paragraph" w:styleId="Naslov6">
    <w:name w:val="heading 6"/>
    <w:basedOn w:val="Navaden"/>
    <w:next w:val="Navaden"/>
    <w:link w:val="Naslov6Znak"/>
    <w:uiPriority w:val="9"/>
    <w:semiHidden/>
    <w:unhideWhenUsed/>
    <w:qFormat/>
    <w:rsid w:val="006367F9"/>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6367F9"/>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6367F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6367F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40162"/>
    <w:rPr>
      <w:rFonts w:ascii="Arial" w:eastAsiaTheme="majorEastAsia" w:hAnsi="Arial" w:cstheme="majorBidi"/>
      <w:b/>
      <w:bCs/>
      <w:color w:val="4F81BD" w:themeColor="accent1"/>
      <w:sz w:val="28"/>
      <w:szCs w:val="28"/>
      <w:lang w:val="en-US"/>
    </w:rPr>
  </w:style>
  <w:style w:type="character" w:customStyle="1" w:styleId="Naslov2Znak">
    <w:name w:val="Naslov 2 Znak"/>
    <w:basedOn w:val="Privzetapisavaodstavka"/>
    <w:link w:val="Naslov2"/>
    <w:uiPriority w:val="9"/>
    <w:rsid w:val="00F36F95"/>
    <w:rPr>
      <w:rFonts w:ascii="Arial" w:eastAsiaTheme="majorEastAsia" w:hAnsi="Arial" w:cs="Arial"/>
      <w:b/>
      <w:bCs/>
      <w:color w:val="4F81BD" w:themeColor="accent1"/>
      <w:sz w:val="26"/>
      <w:szCs w:val="26"/>
      <w:lang w:val="en-US"/>
    </w:rPr>
  </w:style>
  <w:style w:type="table" w:styleId="Tabelamrea">
    <w:name w:val="Table Grid"/>
    <w:basedOn w:val="Navadnatabela"/>
    <w:uiPriority w:val="39"/>
    <w:rsid w:val="00BC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Odstavec1"/>
    <w:basedOn w:val="Navaden"/>
    <w:link w:val="OdstavekseznamaZnak"/>
    <w:uiPriority w:val="34"/>
    <w:qFormat/>
    <w:rsid w:val="00BC01E7"/>
    <w:pPr>
      <w:ind w:left="720"/>
      <w:contextualSpacing/>
    </w:pPr>
  </w:style>
  <w:style w:type="paragraph" w:styleId="Besedilooblaka">
    <w:name w:val="Balloon Text"/>
    <w:basedOn w:val="Navaden"/>
    <w:link w:val="BesedilooblakaZnak"/>
    <w:uiPriority w:val="99"/>
    <w:semiHidden/>
    <w:unhideWhenUsed/>
    <w:rsid w:val="00BC01E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01E7"/>
    <w:rPr>
      <w:rFonts w:ascii="Tahoma" w:hAnsi="Tahoma" w:cs="Tahoma"/>
      <w:sz w:val="16"/>
      <w:szCs w:val="16"/>
    </w:rPr>
  </w:style>
  <w:style w:type="paragraph" w:styleId="Navadensplet">
    <w:name w:val="Normal (Web)"/>
    <w:basedOn w:val="Navaden"/>
    <w:uiPriority w:val="99"/>
    <w:unhideWhenUsed/>
    <w:qFormat/>
    <w:rsid w:val="00BC01E7"/>
    <w:pPr>
      <w:spacing w:before="100" w:beforeAutospacing="1" w:after="100" w:afterAutospacing="1"/>
    </w:pPr>
    <w:rPr>
      <w:rFonts w:eastAsiaTheme="minorEastAsia"/>
      <w:lang w:eastAsia="sl-SI"/>
    </w:rPr>
  </w:style>
  <w:style w:type="character" w:styleId="Hiperpovezava">
    <w:name w:val="Hyperlink"/>
    <w:basedOn w:val="Privzetapisavaodstavka"/>
    <w:uiPriority w:val="99"/>
    <w:unhideWhenUsed/>
    <w:rsid w:val="00BC01E7"/>
    <w:rPr>
      <w:color w:val="0000FF" w:themeColor="hyperlink"/>
      <w:u w:val="single"/>
    </w:rPr>
  </w:style>
  <w:style w:type="character" w:styleId="SledenaHiperpovezava">
    <w:name w:val="FollowedHyperlink"/>
    <w:basedOn w:val="Privzetapisavaodstavka"/>
    <w:uiPriority w:val="99"/>
    <w:semiHidden/>
    <w:unhideWhenUsed/>
    <w:rsid w:val="00BC01E7"/>
    <w:rPr>
      <w:color w:val="800080" w:themeColor="followedHyperlink"/>
      <w:u w:val="single"/>
    </w:rPr>
  </w:style>
  <w:style w:type="paragraph" w:styleId="Glava">
    <w:name w:val="header"/>
    <w:basedOn w:val="Navaden"/>
    <w:link w:val="GlavaZnak"/>
    <w:uiPriority w:val="99"/>
    <w:unhideWhenUsed/>
    <w:rsid w:val="00BC01E7"/>
    <w:pPr>
      <w:tabs>
        <w:tab w:val="center" w:pos="4536"/>
        <w:tab w:val="right" w:pos="9072"/>
      </w:tabs>
    </w:pPr>
  </w:style>
  <w:style w:type="character" w:customStyle="1" w:styleId="GlavaZnak">
    <w:name w:val="Glava Znak"/>
    <w:basedOn w:val="Privzetapisavaodstavka"/>
    <w:link w:val="Glava"/>
    <w:uiPriority w:val="99"/>
    <w:rsid w:val="00BC01E7"/>
  </w:style>
  <w:style w:type="paragraph" w:styleId="Noga">
    <w:name w:val="footer"/>
    <w:basedOn w:val="Navaden"/>
    <w:link w:val="NogaZnak"/>
    <w:uiPriority w:val="99"/>
    <w:unhideWhenUsed/>
    <w:rsid w:val="00BC01E7"/>
    <w:pPr>
      <w:tabs>
        <w:tab w:val="center" w:pos="4536"/>
        <w:tab w:val="right" w:pos="9072"/>
      </w:tabs>
    </w:pPr>
  </w:style>
  <w:style w:type="character" w:customStyle="1" w:styleId="NogaZnak">
    <w:name w:val="Noga Znak"/>
    <w:basedOn w:val="Privzetapisavaodstavka"/>
    <w:link w:val="Noga"/>
    <w:uiPriority w:val="99"/>
    <w:rsid w:val="00BC01E7"/>
  </w:style>
  <w:style w:type="paragraph" w:customStyle="1" w:styleId="Default">
    <w:name w:val="Default"/>
    <w:rsid w:val="00BC01E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mrea1">
    <w:name w:val="Tabela – mreža1"/>
    <w:basedOn w:val="Navadnatabela"/>
    <w:next w:val="Tabelamrea"/>
    <w:uiPriority w:val="59"/>
    <w:rsid w:val="00BC01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Footnote,Char Char,Sprotna opomba - besedilo Znak1,Sprotna opomba - besedilo Znak Znak2,Sprotna opomba - besedilo Znak1 Znak Znak1,Sprotna opomba - besedilo Znak1 Znak Znak Znak,Footnot,CAP TABELA Char,CapSlika Char,ft"/>
    <w:basedOn w:val="Navaden"/>
    <w:link w:val="Sprotnaopomba-besediloZnak"/>
    <w:unhideWhenUsed/>
    <w:qFormat/>
    <w:rsid w:val="00FB796C"/>
    <w:pPr>
      <w:spacing w:before="60" w:line="240" w:lineRule="auto"/>
      <w:ind w:left="284" w:hanging="284"/>
    </w:pPr>
    <w:rPr>
      <w:sz w:val="18"/>
      <w:szCs w:val="20"/>
      <w:lang w:val="sl-SI"/>
    </w:rPr>
  </w:style>
  <w:style w:type="character" w:customStyle="1" w:styleId="Sprotnaopomba-besediloZnak">
    <w:name w:val="Sprotna opomba - besedilo Znak"/>
    <w:aliases w:val="Footnote Znak,Char Char Znak,Sprotna opomba - besedilo Znak1 Znak,Sprotna opomba - besedilo Znak Znak2 Znak,Sprotna opomba - besedilo Znak1 Znak Znak1 Znak,Sprotna opomba - besedilo Znak1 Znak Znak Znak Znak,Footnot Znak"/>
    <w:basedOn w:val="Privzetapisavaodstavka"/>
    <w:link w:val="Sprotnaopomba-besedilo"/>
    <w:qFormat/>
    <w:rsid w:val="00FB796C"/>
    <w:rPr>
      <w:rFonts w:ascii="Arial" w:eastAsia="Times New Roman" w:hAnsi="Arial" w:cs="Times New Roman"/>
      <w:sz w:val="18"/>
      <w:szCs w:val="20"/>
    </w:rPr>
  </w:style>
  <w:style w:type="character" w:styleId="Sprotnaopomba-sklic">
    <w:name w:val="footnote reference"/>
    <w:aliases w:val="Footnote symbol,Fussnota,Footnote reference number,note TESI,SUPERS,EN Footnote Reference,-E Fußnotenzeichen,ESPON Footnote No,Footnote1,number,Times 10 Point,Exposant 3 Point,Footnote Reference_LVL6,Footnote Reference_LVL61,E..."/>
    <w:basedOn w:val="Privzetapisavaodstavka"/>
    <w:link w:val="FootnotesymbolCarZchn"/>
    <w:uiPriority w:val="99"/>
    <w:unhideWhenUsed/>
    <w:qFormat/>
    <w:rsid w:val="00BC01E7"/>
    <w:rPr>
      <w:vertAlign w:val="superscript"/>
    </w:rPr>
  </w:style>
  <w:style w:type="character" w:styleId="Pripombasklic">
    <w:name w:val="annotation reference"/>
    <w:basedOn w:val="Privzetapisavaodstavka"/>
    <w:uiPriority w:val="99"/>
    <w:semiHidden/>
    <w:unhideWhenUsed/>
    <w:rsid w:val="00BC01E7"/>
    <w:rPr>
      <w:sz w:val="16"/>
      <w:szCs w:val="16"/>
    </w:rPr>
  </w:style>
  <w:style w:type="paragraph" w:styleId="Pripombabesedilo">
    <w:name w:val="annotation text"/>
    <w:basedOn w:val="Navaden"/>
    <w:link w:val="PripombabesediloZnak"/>
    <w:uiPriority w:val="99"/>
    <w:unhideWhenUsed/>
    <w:rsid w:val="00BC01E7"/>
    <w:rPr>
      <w:sz w:val="20"/>
      <w:szCs w:val="20"/>
    </w:rPr>
  </w:style>
  <w:style w:type="character" w:customStyle="1" w:styleId="PripombabesediloZnak">
    <w:name w:val="Pripomba – besedilo Znak"/>
    <w:basedOn w:val="Privzetapisavaodstavka"/>
    <w:link w:val="Pripombabesedilo"/>
    <w:uiPriority w:val="99"/>
    <w:rsid w:val="00BC01E7"/>
    <w:rPr>
      <w:sz w:val="20"/>
      <w:szCs w:val="20"/>
    </w:rPr>
  </w:style>
  <w:style w:type="paragraph" w:styleId="Zadevapripombe">
    <w:name w:val="annotation subject"/>
    <w:basedOn w:val="Pripombabesedilo"/>
    <w:next w:val="Pripombabesedilo"/>
    <w:link w:val="ZadevapripombeZnak"/>
    <w:uiPriority w:val="99"/>
    <w:semiHidden/>
    <w:unhideWhenUsed/>
    <w:rsid w:val="00BC01E7"/>
    <w:rPr>
      <w:b/>
      <w:bCs/>
    </w:rPr>
  </w:style>
  <w:style w:type="character" w:customStyle="1" w:styleId="ZadevapripombeZnak">
    <w:name w:val="Zadeva pripombe Znak"/>
    <w:basedOn w:val="PripombabesediloZnak"/>
    <w:link w:val="Zadevapripombe"/>
    <w:uiPriority w:val="99"/>
    <w:semiHidden/>
    <w:rsid w:val="00BC01E7"/>
    <w:rPr>
      <w:b/>
      <w:bCs/>
      <w:sz w:val="20"/>
      <w:szCs w:val="20"/>
    </w:rPr>
  </w:style>
  <w:style w:type="character" w:customStyle="1" w:styleId="Naslov3Znak">
    <w:name w:val="Naslov 3 Znak"/>
    <w:basedOn w:val="Privzetapisavaodstavka"/>
    <w:link w:val="Naslov3"/>
    <w:uiPriority w:val="9"/>
    <w:rsid w:val="00F6451A"/>
    <w:rPr>
      <w:rFonts w:ascii="Arial" w:eastAsiaTheme="majorEastAsia" w:hAnsi="Arial" w:cs="Arial"/>
      <w:b/>
      <w:bCs/>
      <w:color w:val="4F81BD" w:themeColor="accent1"/>
      <w:szCs w:val="24"/>
      <w:lang w:val="en-US"/>
    </w:rPr>
  </w:style>
  <w:style w:type="table" w:customStyle="1" w:styleId="Tabelamrea2">
    <w:name w:val="Tabela – mreža2"/>
    <w:basedOn w:val="Navadnatabela"/>
    <w:next w:val="Tabelamrea"/>
    <w:uiPriority w:val="59"/>
    <w:rsid w:val="0078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avaden"/>
    <w:next w:val="Navaden"/>
    <w:autoRedefine/>
    <w:rsid w:val="008130A6"/>
    <w:pPr>
      <w:autoSpaceDE w:val="0"/>
      <w:autoSpaceDN w:val="0"/>
      <w:adjustRightInd w:val="0"/>
      <w:spacing w:after="120"/>
      <w:ind w:right="34"/>
      <w:jc w:val="both"/>
    </w:pPr>
    <w:rPr>
      <w:rFonts w:cs="Times"/>
      <w:bCs/>
    </w:rPr>
  </w:style>
  <w:style w:type="paragraph" w:customStyle="1" w:styleId="tekst">
    <w:name w:val="tekst"/>
    <w:rsid w:val="008130A6"/>
    <w:pPr>
      <w:spacing w:after="240" w:line="336" w:lineRule="exact"/>
      <w:jc w:val="both"/>
    </w:pPr>
    <w:rPr>
      <w:rFonts w:ascii="Times New Roman" w:eastAsia="Times New Roman" w:hAnsi="Times New Roman" w:cs="Times New Roman"/>
      <w:sz w:val="24"/>
      <w:szCs w:val="24"/>
      <w:lang w:val="en-GB"/>
    </w:rPr>
  </w:style>
  <w:style w:type="paragraph" w:styleId="NaslovTOC">
    <w:name w:val="TOC Heading"/>
    <w:basedOn w:val="Naslov1"/>
    <w:next w:val="Navaden"/>
    <w:uiPriority w:val="39"/>
    <w:unhideWhenUsed/>
    <w:qFormat/>
    <w:rsid w:val="008130A6"/>
    <w:pPr>
      <w:spacing w:before="240" w:line="259" w:lineRule="auto"/>
      <w:outlineLvl w:val="9"/>
    </w:pPr>
    <w:rPr>
      <w:b w:val="0"/>
      <w:bCs w:val="0"/>
      <w:sz w:val="32"/>
      <w:szCs w:val="32"/>
    </w:rPr>
  </w:style>
  <w:style w:type="paragraph" w:styleId="Kazalovsebine1">
    <w:name w:val="toc 1"/>
    <w:basedOn w:val="Navaden"/>
    <w:next w:val="Navaden"/>
    <w:autoRedefine/>
    <w:uiPriority w:val="39"/>
    <w:rsid w:val="00EF1811"/>
    <w:pPr>
      <w:tabs>
        <w:tab w:val="left" w:pos="440"/>
        <w:tab w:val="right" w:leader="dot" w:pos="9062"/>
      </w:tabs>
      <w:autoSpaceDE w:val="0"/>
      <w:autoSpaceDN w:val="0"/>
      <w:adjustRightInd w:val="0"/>
      <w:spacing w:after="100"/>
      <w:ind w:left="1718" w:hanging="1718"/>
      <w:jc w:val="both"/>
    </w:pPr>
    <w:rPr>
      <w:rFonts w:cs="Arial"/>
      <w:b/>
      <w:bCs/>
      <w:smallCaps/>
      <w:noProof/>
      <w:color w:val="4F81BD" w:themeColor="accent1"/>
    </w:rPr>
  </w:style>
  <w:style w:type="character" w:customStyle="1" w:styleId="jlqj4b">
    <w:name w:val="jlqj4b"/>
    <w:basedOn w:val="Privzetapisavaodstavka"/>
    <w:rsid w:val="00174E13"/>
  </w:style>
  <w:style w:type="paragraph" w:styleId="Napis">
    <w:name w:val="caption"/>
    <w:basedOn w:val="Navaden"/>
    <w:next w:val="Navaden"/>
    <w:link w:val="NapisZnak"/>
    <w:uiPriority w:val="35"/>
    <w:unhideWhenUsed/>
    <w:qFormat/>
    <w:rsid w:val="0068719A"/>
    <w:pPr>
      <w:ind w:left="1134" w:hanging="1134"/>
    </w:pPr>
    <w:rPr>
      <w:rFonts w:eastAsiaTheme="minorEastAsia" w:cs="Arial"/>
      <w:b/>
      <w:iCs/>
      <w:color w:val="000000" w:themeColor="text1"/>
      <w:sz w:val="20"/>
      <w:szCs w:val="20"/>
      <w:lang w:val="sl-SI"/>
    </w:rPr>
  </w:style>
  <w:style w:type="character" w:customStyle="1" w:styleId="Nerazreenaomemba1">
    <w:name w:val="Nerazrešena omemba1"/>
    <w:basedOn w:val="Privzetapisavaodstavka"/>
    <w:uiPriority w:val="99"/>
    <w:semiHidden/>
    <w:unhideWhenUsed/>
    <w:rsid w:val="00700DF2"/>
    <w:rPr>
      <w:color w:val="605E5C"/>
      <w:shd w:val="clear" w:color="auto" w:fill="E1DFDD"/>
    </w:rPr>
  </w:style>
  <w:style w:type="character" w:customStyle="1" w:styleId="Spletnapovezava">
    <w:name w:val="Spletna povezava"/>
    <w:basedOn w:val="Privzetapisavaodstavka"/>
    <w:uiPriority w:val="99"/>
    <w:unhideWhenUsed/>
    <w:rsid w:val="00BC4425"/>
    <w:rPr>
      <w:color w:val="0000FF"/>
      <w:u w:val="single"/>
    </w:rPr>
  </w:style>
  <w:style w:type="paragraph" w:styleId="Kazalovsebine2">
    <w:name w:val="toc 2"/>
    <w:basedOn w:val="Navaden"/>
    <w:next w:val="Navaden"/>
    <w:autoRedefine/>
    <w:uiPriority w:val="39"/>
    <w:unhideWhenUsed/>
    <w:rsid w:val="00170269"/>
    <w:pPr>
      <w:tabs>
        <w:tab w:val="left" w:pos="1009"/>
        <w:tab w:val="right" w:leader="dot" w:pos="9062"/>
      </w:tabs>
      <w:spacing w:after="100"/>
      <w:ind w:left="1009" w:hanging="567"/>
    </w:pPr>
    <w:rPr>
      <w:b/>
      <w:smallCaps/>
    </w:rPr>
  </w:style>
  <w:style w:type="paragraph" w:styleId="Kazalovsebine3">
    <w:name w:val="toc 3"/>
    <w:basedOn w:val="Navaden"/>
    <w:next w:val="Navaden"/>
    <w:autoRedefine/>
    <w:uiPriority w:val="39"/>
    <w:unhideWhenUsed/>
    <w:rsid w:val="00BD0DF0"/>
    <w:pPr>
      <w:spacing w:after="100"/>
      <w:ind w:left="1718" w:hanging="709"/>
    </w:pPr>
  </w:style>
  <w:style w:type="paragraph" w:styleId="Kazaloslik">
    <w:name w:val="table of figures"/>
    <w:basedOn w:val="Navaden"/>
    <w:next w:val="Navaden"/>
    <w:uiPriority w:val="99"/>
    <w:unhideWhenUsed/>
    <w:rsid w:val="0068383E"/>
  </w:style>
  <w:style w:type="character" w:customStyle="1" w:styleId="Naslov4Znak">
    <w:name w:val="Naslov 4 Znak"/>
    <w:basedOn w:val="Privzetapisavaodstavka"/>
    <w:link w:val="Naslov4"/>
    <w:uiPriority w:val="9"/>
    <w:rsid w:val="00740162"/>
    <w:rPr>
      <w:rFonts w:ascii="Arial" w:eastAsiaTheme="majorEastAsia" w:hAnsi="Arial" w:cs="Arial"/>
      <w:bCs/>
      <w:color w:val="4F81BD" w:themeColor="accent1"/>
      <w:szCs w:val="24"/>
    </w:rPr>
  </w:style>
  <w:style w:type="character" w:customStyle="1" w:styleId="Naslov5Znak">
    <w:name w:val="Naslov 5 Znak"/>
    <w:basedOn w:val="Privzetapisavaodstavka"/>
    <w:link w:val="Naslov5"/>
    <w:uiPriority w:val="9"/>
    <w:rsid w:val="001A05EF"/>
    <w:rPr>
      <w:rFonts w:ascii="Arial" w:eastAsia="Times New Roman" w:hAnsi="Arial" w:cs="Arial"/>
      <w:b/>
      <w:bCs/>
      <w:color w:val="FFFFFF" w:themeColor="background1"/>
      <w:szCs w:val="24"/>
    </w:rPr>
  </w:style>
  <w:style w:type="character" w:customStyle="1" w:styleId="Naslov6Znak">
    <w:name w:val="Naslov 6 Znak"/>
    <w:basedOn w:val="Privzetapisavaodstavka"/>
    <w:link w:val="Naslov6"/>
    <w:uiPriority w:val="9"/>
    <w:semiHidden/>
    <w:rsid w:val="006367F9"/>
    <w:rPr>
      <w:rFonts w:asciiTheme="majorHAnsi" w:eastAsiaTheme="majorEastAsia" w:hAnsiTheme="majorHAnsi" w:cstheme="majorBidi"/>
      <w:color w:val="243F60" w:themeColor="accent1" w:themeShade="7F"/>
      <w:szCs w:val="24"/>
      <w:lang w:val="en-US"/>
    </w:rPr>
  </w:style>
  <w:style w:type="character" w:customStyle="1" w:styleId="Naslov7Znak">
    <w:name w:val="Naslov 7 Znak"/>
    <w:basedOn w:val="Privzetapisavaodstavka"/>
    <w:link w:val="Naslov7"/>
    <w:uiPriority w:val="9"/>
    <w:semiHidden/>
    <w:rsid w:val="006367F9"/>
    <w:rPr>
      <w:rFonts w:asciiTheme="majorHAnsi" w:eastAsiaTheme="majorEastAsia" w:hAnsiTheme="majorHAnsi" w:cstheme="majorBidi"/>
      <w:i/>
      <w:iCs/>
      <w:color w:val="243F60" w:themeColor="accent1" w:themeShade="7F"/>
      <w:szCs w:val="24"/>
      <w:lang w:val="en-US"/>
    </w:rPr>
  </w:style>
  <w:style w:type="character" w:customStyle="1" w:styleId="Naslov8Znak">
    <w:name w:val="Naslov 8 Znak"/>
    <w:basedOn w:val="Privzetapisavaodstavka"/>
    <w:link w:val="Naslov8"/>
    <w:uiPriority w:val="9"/>
    <w:semiHidden/>
    <w:rsid w:val="006367F9"/>
    <w:rPr>
      <w:rFonts w:asciiTheme="majorHAnsi" w:eastAsiaTheme="majorEastAsia" w:hAnsiTheme="majorHAnsi" w:cstheme="majorBidi"/>
      <w:color w:val="272727" w:themeColor="text1" w:themeTint="D8"/>
      <w:sz w:val="21"/>
      <w:szCs w:val="21"/>
      <w:lang w:val="en-US"/>
    </w:rPr>
  </w:style>
  <w:style w:type="character" w:customStyle="1" w:styleId="Naslov9Znak">
    <w:name w:val="Naslov 9 Znak"/>
    <w:basedOn w:val="Privzetapisavaodstavka"/>
    <w:link w:val="Naslov9"/>
    <w:uiPriority w:val="9"/>
    <w:semiHidden/>
    <w:rsid w:val="006367F9"/>
    <w:rPr>
      <w:rFonts w:asciiTheme="majorHAnsi" w:eastAsiaTheme="majorEastAsia" w:hAnsiTheme="majorHAnsi" w:cstheme="majorBidi"/>
      <w:i/>
      <w:iCs/>
      <w:color w:val="272727" w:themeColor="text1" w:themeTint="D8"/>
      <w:sz w:val="21"/>
      <w:szCs w:val="21"/>
      <w:lang w:val="en-US"/>
    </w:rPr>
  </w:style>
  <w:style w:type="paragraph" w:styleId="Revizija">
    <w:name w:val="Revision"/>
    <w:hidden/>
    <w:uiPriority w:val="99"/>
    <w:semiHidden/>
    <w:rsid w:val="00F74249"/>
    <w:pPr>
      <w:spacing w:after="0" w:line="240" w:lineRule="auto"/>
    </w:pPr>
  </w:style>
  <w:style w:type="paragraph" w:customStyle="1" w:styleId="TableTitle">
    <w:name w:val="Table Title"/>
    <w:basedOn w:val="Navaden"/>
    <w:qFormat/>
    <w:rsid w:val="00032A34"/>
    <w:pPr>
      <w:widowControl w:val="0"/>
      <w:suppressAutoHyphens/>
      <w:autoSpaceDN w:val="0"/>
      <w:spacing w:line="300" w:lineRule="exact"/>
      <w:jc w:val="both"/>
      <w:textAlignment w:val="baseline"/>
    </w:pPr>
    <w:rPr>
      <w:rFonts w:ascii="Trebuchet MS" w:eastAsia="Arial Unicode MS" w:hAnsi="Trebuchet MS" w:cs="Prompt ExtraLight"/>
      <w:b/>
      <w:color w:val="873181"/>
      <w:kern w:val="3"/>
      <w:sz w:val="20"/>
      <w:szCs w:val="20"/>
      <w:lang w:eastAsia="zh-CN" w:bidi="hi-IN"/>
    </w:rPr>
  </w:style>
  <w:style w:type="character" w:customStyle="1" w:styleId="markedcontent">
    <w:name w:val="markedcontent"/>
    <w:basedOn w:val="Privzetapisavaodstavka"/>
    <w:rsid w:val="00A210E8"/>
  </w:style>
  <w:style w:type="character" w:customStyle="1" w:styleId="highlight">
    <w:name w:val="highlight"/>
    <w:basedOn w:val="Privzetapisavaodstavka"/>
    <w:rsid w:val="005630D9"/>
  </w:style>
  <w:style w:type="character" w:customStyle="1" w:styleId="UnresolvedMention1">
    <w:name w:val="Unresolved Mention1"/>
    <w:basedOn w:val="Privzetapisavaodstavka"/>
    <w:uiPriority w:val="99"/>
    <w:semiHidden/>
    <w:unhideWhenUsed/>
    <w:rsid w:val="00147ECE"/>
    <w:rPr>
      <w:color w:val="605E5C"/>
      <w:shd w:val="clear" w:color="auto" w:fill="E1DFDD"/>
    </w:rPr>
  </w:style>
  <w:style w:type="character" w:customStyle="1" w:styleId="Sidrosprotneopombe">
    <w:name w:val="Sidro sprotne opombe"/>
    <w:rsid w:val="00E62FB4"/>
    <w:rPr>
      <w:vertAlign w:val="superscript"/>
    </w:rPr>
  </w:style>
  <w:style w:type="character" w:customStyle="1" w:styleId="FootnoteCharacters">
    <w:name w:val="Footnote Characters"/>
    <w:qFormat/>
    <w:rsid w:val="007D2A0C"/>
  </w:style>
  <w:style w:type="character" w:customStyle="1" w:styleId="Znakisprotnihopomb">
    <w:name w:val="Znaki sprotnih opomb"/>
    <w:qFormat/>
    <w:rsid w:val="00E62FB4"/>
  </w:style>
  <w:style w:type="paragraph" w:customStyle="1" w:styleId="TEKST-PRVASTRAN">
    <w:name w:val="TEKST-PRVASTRAN"/>
    <w:basedOn w:val="Navaden"/>
    <w:rsid w:val="00355E33"/>
    <w:pPr>
      <w:spacing w:after="120"/>
      <w:ind w:left="720"/>
      <w:jc w:val="both"/>
    </w:pPr>
    <w:rPr>
      <w:rFonts w:ascii="Verdana" w:hAnsi="Verdana" w:cs="Tahoma"/>
      <w:color w:val="808080"/>
      <w:sz w:val="20"/>
      <w:lang w:val="sl-SI"/>
    </w:rPr>
  </w:style>
  <w:style w:type="paragraph" w:customStyle="1" w:styleId="Bullet0">
    <w:name w:val="Bullet 0"/>
    <w:basedOn w:val="Navaden"/>
    <w:uiPriority w:val="99"/>
    <w:rsid w:val="00355E33"/>
    <w:pPr>
      <w:numPr>
        <w:numId w:val="5"/>
      </w:numPr>
      <w:spacing w:before="120" w:after="120"/>
      <w:jc w:val="both"/>
    </w:pPr>
    <w:rPr>
      <w:rFonts w:ascii="Calibri" w:hAnsi="Calibri" w:cs="Calibri"/>
      <w:noProof/>
      <w:szCs w:val="22"/>
      <w:lang w:val="sl-SI"/>
    </w:rPr>
  </w:style>
  <w:style w:type="character" w:styleId="Intenzivensklic">
    <w:name w:val="Intense Reference"/>
    <w:basedOn w:val="Privzetapisavaodstavka"/>
    <w:uiPriority w:val="32"/>
    <w:qFormat/>
    <w:rsid w:val="00B018D7"/>
    <w:rPr>
      <w:b/>
      <w:bCs/>
      <w:smallCaps/>
      <w:color w:val="C0504D" w:themeColor="accent2"/>
      <w:spacing w:val="5"/>
      <w:u w:val="single"/>
    </w:rPr>
  </w:style>
  <w:style w:type="paragraph" w:customStyle="1" w:styleId="Odstavekseznama1">
    <w:name w:val="Odstavek seznama1"/>
    <w:basedOn w:val="Navaden"/>
    <w:rsid w:val="00D431B0"/>
    <w:pPr>
      <w:suppressAutoHyphens/>
      <w:autoSpaceDN w:val="0"/>
      <w:spacing w:after="160" w:line="247" w:lineRule="auto"/>
      <w:ind w:left="720"/>
      <w:textAlignment w:val="baseline"/>
    </w:pPr>
    <w:rPr>
      <w:rFonts w:ascii="Calibri" w:eastAsia="Calibri" w:hAnsi="Calibri"/>
      <w:szCs w:val="22"/>
      <w:lang w:val="sl-SI"/>
    </w:rPr>
  </w:style>
  <w:style w:type="character" w:styleId="Krepko">
    <w:name w:val="Strong"/>
    <w:basedOn w:val="Privzetapisavaodstavka"/>
    <w:uiPriority w:val="22"/>
    <w:qFormat/>
    <w:rsid w:val="00C12F96"/>
    <w:rPr>
      <w:b/>
      <w:bCs/>
    </w:rPr>
  </w:style>
  <w:style w:type="paragraph" w:customStyle="1" w:styleId="Table">
    <w:name w:val="Table"/>
    <w:basedOn w:val="Napis"/>
    <w:link w:val="TableChar"/>
    <w:qFormat/>
    <w:rsid w:val="00324441"/>
    <w:pPr>
      <w:keepNext/>
      <w:spacing w:after="120" w:line="240" w:lineRule="auto"/>
    </w:pPr>
  </w:style>
  <w:style w:type="paragraph" w:customStyle="1" w:styleId="Slika">
    <w:name w:val="Slika"/>
    <w:basedOn w:val="Napis"/>
    <w:link w:val="SlikaChar"/>
    <w:qFormat/>
    <w:rsid w:val="00BF2862"/>
    <w:pPr>
      <w:spacing w:before="120" w:after="240" w:line="240" w:lineRule="auto"/>
    </w:pPr>
  </w:style>
  <w:style w:type="character" w:customStyle="1" w:styleId="NapisZnak">
    <w:name w:val="Napis Znak"/>
    <w:basedOn w:val="Privzetapisavaodstavka"/>
    <w:link w:val="Napis"/>
    <w:uiPriority w:val="35"/>
    <w:rsid w:val="003C57DC"/>
    <w:rPr>
      <w:rFonts w:ascii="Arial" w:eastAsiaTheme="minorEastAsia" w:hAnsi="Arial" w:cs="Arial"/>
      <w:b/>
      <w:iCs/>
      <w:color w:val="000000" w:themeColor="text1"/>
      <w:sz w:val="20"/>
      <w:szCs w:val="20"/>
    </w:rPr>
  </w:style>
  <w:style w:type="character" w:customStyle="1" w:styleId="TableChar">
    <w:name w:val="Table Char"/>
    <w:basedOn w:val="NapisZnak"/>
    <w:link w:val="Table"/>
    <w:rsid w:val="00324441"/>
    <w:rPr>
      <w:rFonts w:ascii="Arial" w:eastAsiaTheme="minorEastAsia" w:hAnsi="Arial" w:cs="Arial"/>
      <w:b/>
      <w:iCs/>
      <w:color w:val="000000" w:themeColor="text1"/>
      <w:sz w:val="20"/>
      <w:szCs w:val="20"/>
    </w:rPr>
  </w:style>
  <w:style w:type="character" w:customStyle="1" w:styleId="SlikaChar">
    <w:name w:val="Slika Char"/>
    <w:basedOn w:val="NapisZnak"/>
    <w:link w:val="Slika"/>
    <w:rsid w:val="00BF2862"/>
    <w:rPr>
      <w:rFonts w:ascii="Arial" w:eastAsiaTheme="minorEastAsia" w:hAnsi="Arial" w:cs="Arial"/>
      <w:b/>
      <w:iCs/>
      <w:color w:val="000000" w:themeColor="text1"/>
      <w:sz w:val="20"/>
      <w:szCs w:val="20"/>
    </w:rPr>
  </w:style>
  <w:style w:type="character" w:customStyle="1" w:styleId="Nerazreenaomemba2">
    <w:name w:val="Nerazrešena omemba2"/>
    <w:basedOn w:val="Privzetapisavaodstavka"/>
    <w:uiPriority w:val="99"/>
    <w:semiHidden/>
    <w:unhideWhenUsed/>
    <w:rsid w:val="00E64F47"/>
    <w:rPr>
      <w:color w:val="605E5C"/>
      <w:shd w:val="clear" w:color="auto" w:fill="E1DFDD"/>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4A0CE2"/>
    <w:pPr>
      <w:spacing w:after="160" w:line="240" w:lineRule="exact"/>
      <w:jc w:val="both"/>
    </w:pPr>
    <w:rPr>
      <w:rFonts w:asciiTheme="minorHAnsi" w:eastAsiaTheme="minorHAnsi" w:hAnsiTheme="minorHAnsi" w:cstheme="minorBidi"/>
      <w:szCs w:val="22"/>
      <w:vertAlign w:val="superscript"/>
      <w:lang w:val="sl-SI"/>
    </w:rPr>
  </w:style>
  <w:style w:type="character" w:customStyle="1" w:styleId="OdstavekseznamaZnak">
    <w:name w:val="Odstavek seznama Znak"/>
    <w:aliases w:val="Odstavec1 Znak"/>
    <w:basedOn w:val="Privzetapisavaodstavka"/>
    <w:link w:val="Odstavekseznama"/>
    <w:uiPriority w:val="34"/>
    <w:qFormat/>
    <w:locked/>
    <w:rsid w:val="007C0C93"/>
    <w:rPr>
      <w:rFonts w:ascii="Arial" w:eastAsia="Times New Roman" w:hAnsi="Arial" w:cs="Times New Roman"/>
      <w:szCs w:val="24"/>
      <w:lang w:val="en-US"/>
    </w:rPr>
  </w:style>
  <w:style w:type="paragraph" w:customStyle="1" w:styleId="datumtevilka">
    <w:name w:val="datum številka"/>
    <w:basedOn w:val="Navaden"/>
    <w:qFormat/>
    <w:rsid w:val="000A3AC2"/>
    <w:pPr>
      <w:tabs>
        <w:tab w:val="left" w:pos="1701"/>
      </w:tabs>
      <w:spacing w:line="260" w:lineRule="atLeast"/>
    </w:pPr>
    <w:rPr>
      <w:sz w:val="20"/>
      <w:szCs w:val="20"/>
      <w:lang w:val="sl-SI" w:eastAsia="sl-SI"/>
    </w:rPr>
  </w:style>
  <w:style w:type="character" w:customStyle="1" w:styleId="Nerazreenaomemba3">
    <w:name w:val="Nerazrešena omemba3"/>
    <w:basedOn w:val="Privzetapisavaodstavka"/>
    <w:uiPriority w:val="99"/>
    <w:semiHidden/>
    <w:unhideWhenUsed/>
    <w:rsid w:val="00EC612D"/>
    <w:rPr>
      <w:color w:val="605E5C"/>
      <w:shd w:val="clear" w:color="auto" w:fill="E1DFDD"/>
    </w:rPr>
  </w:style>
  <w:style w:type="paragraph" w:styleId="Konnaopomba-besedilo">
    <w:name w:val="endnote text"/>
    <w:basedOn w:val="Navaden"/>
    <w:link w:val="Konnaopomba-besediloZnak"/>
    <w:uiPriority w:val="99"/>
    <w:semiHidden/>
    <w:unhideWhenUsed/>
    <w:rsid w:val="00170269"/>
    <w:pPr>
      <w:spacing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70269"/>
    <w:rPr>
      <w:rFonts w:ascii="Arial" w:eastAsia="Times New Roman" w:hAnsi="Arial" w:cs="Times New Roman"/>
      <w:sz w:val="20"/>
      <w:szCs w:val="20"/>
      <w:lang w:val="en-US"/>
    </w:rPr>
  </w:style>
  <w:style w:type="character" w:styleId="Konnaopomba-sklic">
    <w:name w:val="endnote reference"/>
    <w:basedOn w:val="Privzetapisavaodstavka"/>
    <w:uiPriority w:val="99"/>
    <w:semiHidden/>
    <w:unhideWhenUsed/>
    <w:rsid w:val="00170269"/>
    <w:rPr>
      <w:vertAlign w:val="superscript"/>
    </w:rPr>
  </w:style>
  <w:style w:type="character" w:customStyle="1" w:styleId="ui-provider">
    <w:name w:val="ui-provider"/>
    <w:basedOn w:val="Privzetapisavaodstavka"/>
    <w:rsid w:val="00DE7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054">
      <w:bodyDiv w:val="1"/>
      <w:marLeft w:val="0"/>
      <w:marRight w:val="0"/>
      <w:marTop w:val="0"/>
      <w:marBottom w:val="0"/>
      <w:divBdr>
        <w:top w:val="none" w:sz="0" w:space="0" w:color="auto"/>
        <w:left w:val="none" w:sz="0" w:space="0" w:color="auto"/>
        <w:bottom w:val="none" w:sz="0" w:space="0" w:color="auto"/>
        <w:right w:val="none" w:sz="0" w:space="0" w:color="auto"/>
      </w:divBdr>
    </w:div>
    <w:div w:id="97065793">
      <w:bodyDiv w:val="1"/>
      <w:marLeft w:val="0"/>
      <w:marRight w:val="0"/>
      <w:marTop w:val="0"/>
      <w:marBottom w:val="0"/>
      <w:divBdr>
        <w:top w:val="none" w:sz="0" w:space="0" w:color="auto"/>
        <w:left w:val="none" w:sz="0" w:space="0" w:color="auto"/>
        <w:bottom w:val="none" w:sz="0" w:space="0" w:color="auto"/>
        <w:right w:val="none" w:sz="0" w:space="0" w:color="auto"/>
      </w:divBdr>
    </w:div>
    <w:div w:id="112989664">
      <w:bodyDiv w:val="1"/>
      <w:marLeft w:val="0"/>
      <w:marRight w:val="0"/>
      <w:marTop w:val="0"/>
      <w:marBottom w:val="0"/>
      <w:divBdr>
        <w:top w:val="none" w:sz="0" w:space="0" w:color="auto"/>
        <w:left w:val="none" w:sz="0" w:space="0" w:color="auto"/>
        <w:bottom w:val="none" w:sz="0" w:space="0" w:color="auto"/>
        <w:right w:val="none" w:sz="0" w:space="0" w:color="auto"/>
      </w:divBdr>
    </w:div>
    <w:div w:id="129052499">
      <w:bodyDiv w:val="1"/>
      <w:marLeft w:val="0"/>
      <w:marRight w:val="0"/>
      <w:marTop w:val="0"/>
      <w:marBottom w:val="0"/>
      <w:divBdr>
        <w:top w:val="none" w:sz="0" w:space="0" w:color="auto"/>
        <w:left w:val="none" w:sz="0" w:space="0" w:color="auto"/>
        <w:bottom w:val="none" w:sz="0" w:space="0" w:color="auto"/>
        <w:right w:val="none" w:sz="0" w:space="0" w:color="auto"/>
      </w:divBdr>
    </w:div>
    <w:div w:id="149450435">
      <w:bodyDiv w:val="1"/>
      <w:marLeft w:val="0"/>
      <w:marRight w:val="0"/>
      <w:marTop w:val="0"/>
      <w:marBottom w:val="0"/>
      <w:divBdr>
        <w:top w:val="none" w:sz="0" w:space="0" w:color="auto"/>
        <w:left w:val="none" w:sz="0" w:space="0" w:color="auto"/>
        <w:bottom w:val="none" w:sz="0" w:space="0" w:color="auto"/>
        <w:right w:val="none" w:sz="0" w:space="0" w:color="auto"/>
      </w:divBdr>
    </w:div>
    <w:div w:id="155537151">
      <w:bodyDiv w:val="1"/>
      <w:marLeft w:val="0"/>
      <w:marRight w:val="0"/>
      <w:marTop w:val="0"/>
      <w:marBottom w:val="0"/>
      <w:divBdr>
        <w:top w:val="none" w:sz="0" w:space="0" w:color="auto"/>
        <w:left w:val="none" w:sz="0" w:space="0" w:color="auto"/>
        <w:bottom w:val="none" w:sz="0" w:space="0" w:color="auto"/>
        <w:right w:val="none" w:sz="0" w:space="0" w:color="auto"/>
      </w:divBdr>
    </w:div>
    <w:div w:id="176508312">
      <w:bodyDiv w:val="1"/>
      <w:marLeft w:val="0"/>
      <w:marRight w:val="0"/>
      <w:marTop w:val="0"/>
      <w:marBottom w:val="0"/>
      <w:divBdr>
        <w:top w:val="none" w:sz="0" w:space="0" w:color="auto"/>
        <w:left w:val="none" w:sz="0" w:space="0" w:color="auto"/>
        <w:bottom w:val="none" w:sz="0" w:space="0" w:color="auto"/>
        <w:right w:val="none" w:sz="0" w:space="0" w:color="auto"/>
      </w:divBdr>
    </w:div>
    <w:div w:id="179665364">
      <w:bodyDiv w:val="1"/>
      <w:marLeft w:val="0"/>
      <w:marRight w:val="0"/>
      <w:marTop w:val="0"/>
      <w:marBottom w:val="0"/>
      <w:divBdr>
        <w:top w:val="none" w:sz="0" w:space="0" w:color="auto"/>
        <w:left w:val="none" w:sz="0" w:space="0" w:color="auto"/>
        <w:bottom w:val="none" w:sz="0" w:space="0" w:color="auto"/>
        <w:right w:val="none" w:sz="0" w:space="0" w:color="auto"/>
      </w:divBdr>
    </w:div>
    <w:div w:id="188302508">
      <w:bodyDiv w:val="1"/>
      <w:marLeft w:val="0"/>
      <w:marRight w:val="0"/>
      <w:marTop w:val="0"/>
      <w:marBottom w:val="0"/>
      <w:divBdr>
        <w:top w:val="none" w:sz="0" w:space="0" w:color="auto"/>
        <w:left w:val="none" w:sz="0" w:space="0" w:color="auto"/>
        <w:bottom w:val="none" w:sz="0" w:space="0" w:color="auto"/>
        <w:right w:val="none" w:sz="0" w:space="0" w:color="auto"/>
      </w:divBdr>
    </w:div>
    <w:div w:id="192623033">
      <w:bodyDiv w:val="1"/>
      <w:marLeft w:val="0"/>
      <w:marRight w:val="0"/>
      <w:marTop w:val="0"/>
      <w:marBottom w:val="0"/>
      <w:divBdr>
        <w:top w:val="none" w:sz="0" w:space="0" w:color="auto"/>
        <w:left w:val="none" w:sz="0" w:space="0" w:color="auto"/>
        <w:bottom w:val="none" w:sz="0" w:space="0" w:color="auto"/>
        <w:right w:val="none" w:sz="0" w:space="0" w:color="auto"/>
      </w:divBdr>
    </w:div>
    <w:div w:id="195193515">
      <w:bodyDiv w:val="1"/>
      <w:marLeft w:val="0"/>
      <w:marRight w:val="0"/>
      <w:marTop w:val="0"/>
      <w:marBottom w:val="0"/>
      <w:divBdr>
        <w:top w:val="none" w:sz="0" w:space="0" w:color="auto"/>
        <w:left w:val="none" w:sz="0" w:space="0" w:color="auto"/>
        <w:bottom w:val="none" w:sz="0" w:space="0" w:color="auto"/>
        <w:right w:val="none" w:sz="0" w:space="0" w:color="auto"/>
      </w:divBdr>
      <w:divsChild>
        <w:div w:id="858472449">
          <w:marLeft w:val="1166"/>
          <w:marRight w:val="0"/>
          <w:marTop w:val="0"/>
          <w:marBottom w:val="0"/>
          <w:divBdr>
            <w:top w:val="none" w:sz="0" w:space="0" w:color="auto"/>
            <w:left w:val="none" w:sz="0" w:space="0" w:color="auto"/>
            <w:bottom w:val="none" w:sz="0" w:space="0" w:color="auto"/>
            <w:right w:val="none" w:sz="0" w:space="0" w:color="auto"/>
          </w:divBdr>
        </w:div>
        <w:div w:id="668874829">
          <w:marLeft w:val="1166"/>
          <w:marRight w:val="0"/>
          <w:marTop w:val="0"/>
          <w:marBottom w:val="0"/>
          <w:divBdr>
            <w:top w:val="none" w:sz="0" w:space="0" w:color="auto"/>
            <w:left w:val="none" w:sz="0" w:space="0" w:color="auto"/>
            <w:bottom w:val="none" w:sz="0" w:space="0" w:color="auto"/>
            <w:right w:val="none" w:sz="0" w:space="0" w:color="auto"/>
          </w:divBdr>
        </w:div>
        <w:div w:id="444689241">
          <w:marLeft w:val="1166"/>
          <w:marRight w:val="0"/>
          <w:marTop w:val="0"/>
          <w:marBottom w:val="0"/>
          <w:divBdr>
            <w:top w:val="none" w:sz="0" w:space="0" w:color="auto"/>
            <w:left w:val="none" w:sz="0" w:space="0" w:color="auto"/>
            <w:bottom w:val="none" w:sz="0" w:space="0" w:color="auto"/>
            <w:right w:val="none" w:sz="0" w:space="0" w:color="auto"/>
          </w:divBdr>
        </w:div>
        <w:div w:id="2088378195">
          <w:marLeft w:val="1166"/>
          <w:marRight w:val="0"/>
          <w:marTop w:val="0"/>
          <w:marBottom w:val="0"/>
          <w:divBdr>
            <w:top w:val="none" w:sz="0" w:space="0" w:color="auto"/>
            <w:left w:val="none" w:sz="0" w:space="0" w:color="auto"/>
            <w:bottom w:val="none" w:sz="0" w:space="0" w:color="auto"/>
            <w:right w:val="none" w:sz="0" w:space="0" w:color="auto"/>
          </w:divBdr>
        </w:div>
        <w:div w:id="1286306221">
          <w:marLeft w:val="1166"/>
          <w:marRight w:val="0"/>
          <w:marTop w:val="0"/>
          <w:marBottom w:val="0"/>
          <w:divBdr>
            <w:top w:val="none" w:sz="0" w:space="0" w:color="auto"/>
            <w:left w:val="none" w:sz="0" w:space="0" w:color="auto"/>
            <w:bottom w:val="none" w:sz="0" w:space="0" w:color="auto"/>
            <w:right w:val="none" w:sz="0" w:space="0" w:color="auto"/>
          </w:divBdr>
        </w:div>
        <w:div w:id="1748991035">
          <w:marLeft w:val="1166"/>
          <w:marRight w:val="0"/>
          <w:marTop w:val="0"/>
          <w:marBottom w:val="0"/>
          <w:divBdr>
            <w:top w:val="none" w:sz="0" w:space="0" w:color="auto"/>
            <w:left w:val="none" w:sz="0" w:space="0" w:color="auto"/>
            <w:bottom w:val="none" w:sz="0" w:space="0" w:color="auto"/>
            <w:right w:val="none" w:sz="0" w:space="0" w:color="auto"/>
          </w:divBdr>
        </w:div>
      </w:divsChild>
    </w:div>
    <w:div w:id="244612289">
      <w:bodyDiv w:val="1"/>
      <w:marLeft w:val="0"/>
      <w:marRight w:val="0"/>
      <w:marTop w:val="0"/>
      <w:marBottom w:val="0"/>
      <w:divBdr>
        <w:top w:val="none" w:sz="0" w:space="0" w:color="auto"/>
        <w:left w:val="none" w:sz="0" w:space="0" w:color="auto"/>
        <w:bottom w:val="none" w:sz="0" w:space="0" w:color="auto"/>
        <w:right w:val="none" w:sz="0" w:space="0" w:color="auto"/>
      </w:divBdr>
    </w:div>
    <w:div w:id="250748224">
      <w:bodyDiv w:val="1"/>
      <w:marLeft w:val="0"/>
      <w:marRight w:val="0"/>
      <w:marTop w:val="0"/>
      <w:marBottom w:val="0"/>
      <w:divBdr>
        <w:top w:val="none" w:sz="0" w:space="0" w:color="auto"/>
        <w:left w:val="none" w:sz="0" w:space="0" w:color="auto"/>
        <w:bottom w:val="none" w:sz="0" w:space="0" w:color="auto"/>
        <w:right w:val="none" w:sz="0" w:space="0" w:color="auto"/>
      </w:divBdr>
      <w:divsChild>
        <w:div w:id="717586118">
          <w:marLeft w:val="0"/>
          <w:marRight w:val="0"/>
          <w:marTop w:val="0"/>
          <w:marBottom w:val="0"/>
          <w:divBdr>
            <w:top w:val="none" w:sz="0" w:space="0" w:color="auto"/>
            <w:left w:val="none" w:sz="0" w:space="0" w:color="auto"/>
            <w:bottom w:val="none" w:sz="0" w:space="0" w:color="auto"/>
            <w:right w:val="none" w:sz="0" w:space="0" w:color="auto"/>
          </w:divBdr>
          <w:divsChild>
            <w:div w:id="1600022085">
              <w:marLeft w:val="0"/>
              <w:marRight w:val="0"/>
              <w:marTop w:val="0"/>
              <w:marBottom w:val="0"/>
              <w:divBdr>
                <w:top w:val="none" w:sz="0" w:space="0" w:color="auto"/>
                <w:left w:val="none" w:sz="0" w:space="0" w:color="auto"/>
                <w:bottom w:val="none" w:sz="0" w:space="0" w:color="auto"/>
                <w:right w:val="none" w:sz="0" w:space="0" w:color="auto"/>
              </w:divBdr>
            </w:div>
            <w:div w:id="1382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0577">
      <w:bodyDiv w:val="1"/>
      <w:marLeft w:val="0"/>
      <w:marRight w:val="0"/>
      <w:marTop w:val="0"/>
      <w:marBottom w:val="0"/>
      <w:divBdr>
        <w:top w:val="none" w:sz="0" w:space="0" w:color="auto"/>
        <w:left w:val="none" w:sz="0" w:space="0" w:color="auto"/>
        <w:bottom w:val="none" w:sz="0" w:space="0" w:color="auto"/>
        <w:right w:val="none" w:sz="0" w:space="0" w:color="auto"/>
      </w:divBdr>
    </w:div>
    <w:div w:id="309409141">
      <w:bodyDiv w:val="1"/>
      <w:marLeft w:val="0"/>
      <w:marRight w:val="0"/>
      <w:marTop w:val="0"/>
      <w:marBottom w:val="0"/>
      <w:divBdr>
        <w:top w:val="none" w:sz="0" w:space="0" w:color="auto"/>
        <w:left w:val="none" w:sz="0" w:space="0" w:color="auto"/>
        <w:bottom w:val="none" w:sz="0" w:space="0" w:color="auto"/>
        <w:right w:val="none" w:sz="0" w:space="0" w:color="auto"/>
      </w:divBdr>
    </w:div>
    <w:div w:id="324364651">
      <w:bodyDiv w:val="1"/>
      <w:marLeft w:val="0"/>
      <w:marRight w:val="0"/>
      <w:marTop w:val="0"/>
      <w:marBottom w:val="0"/>
      <w:divBdr>
        <w:top w:val="none" w:sz="0" w:space="0" w:color="auto"/>
        <w:left w:val="none" w:sz="0" w:space="0" w:color="auto"/>
        <w:bottom w:val="none" w:sz="0" w:space="0" w:color="auto"/>
        <w:right w:val="none" w:sz="0" w:space="0" w:color="auto"/>
      </w:divBdr>
    </w:div>
    <w:div w:id="383065960">
      <w:bodyDiv w:val="1"/>
      <w:marLeft w:val="0"/>
      <w:marRight w:val="0"/>
      <w:marTop w:val="0"/>
      <w:marBottom w:val="0"/>
      <w:divBdr>
        <w:top w:val="none" w:sz="0" w:space="0" w:color="auto"/>
        <w:left w:val="none" w:sz="0" w:space="0" w:color="auto"/>
        <w:bottom w:val="none" w:sz="0" w:space="0" w:color="auto"/>
        <w:right w:val="none" w:sz="0" w:space="0" w:color="auto"/>
      </w:divBdr>
    </w:div>
    <w:div w:id="397481778">
      <w:bodyDiv w:val="1"/>
      <w:marLeft w:val="0"/>
      <w:marRight w:val="0"/>
      <w:marTop w:val="0"/>
      <w:marBottom w:val="0"/>
      <w:divBdr>
        <w:top w:val="none" w:sz="0" w:space="0" w:color="auto"/>
        <w:left w:val="none" w:sz="0" w:space="0" w:color="auto"/>
        <w:bottom w:val="none" w:sz="0" w:space="0" w:color="auto"/>
        <w:right w:val="none" w:sz="0" w:space="0" w:color="auto"/>
      </w:divBdr>
    </w:div>
    <w:div w:id="436366166">
      <w:bodyDiv w:val="1"/>
      <w:marLeft w:val="0"/>
      <w:marRight w:val="0"/>
      <w:marTop w:val="0"/>
      <w:marBottom w:val="0"/>
      <w:divBdr>
        <w:top w:val="none" w:sz="0" w:space="0" w:color="auto"/>
        <w:left w:val="none" w:sz="0" w:space="0" w:color="auto"/>
        <w:bottom w:val="none" w:sz="0" w:space="0" w:color="auto"/>
        <w:right w:val="none" w:sz="0" w:space="0" w:color="auto"/>
      </w:divBdr>
    </w:div>
    <w:div w:id="487477028">
      <w:bodyDiv w:val="1"/>
      <w:marLeft w:val="0"/>
      <w:marRight w:val="0"/>
      <w:marTop w:val="0"/>
      <w:marBottom w:val="0"/>
      <w:divBdr>
        <w:top w:val="none" w:sz="0" w:space="0" w:color="auto"/>
        <w:left w:val="none" w:sz="0" w:space="0" w:color="auto"/>
        <w:bottom w:val="none" w:sz="0" w:space="0" w:color="auto"/>
        <w:right w:val="none" w:sz="0" w:space="0" w:color="auto"/>
      </w:divBdr>
    </w:div>
    <w:div w:id="493649108">
      <w:bodyDiv w:val="1"/>
      <w:marLeft w:val="0"/>
      <w:marRight w:val="0"/>
      <w:marTop w:val="0"/>
      <w:marBottom w:val="0"/>
      <w:divBdr>
        <w:top w:val="none" w:sz="0" w:space="0" w:color="auto"/>
        <w:left w:val="none" w:sz="0" w:space="0" w:color="auto"/>
        <w:bottom w:val="none" w:sz="0" w:space="0" w:color="auto"/>
        <w:right w:val="none" w:sz="0" w:space="0" w:color="auto"/>
      </w:divBdr>
    </w:div>
    <w:div w:id="500311377">
      <w:bodyDiv w:val="1"/>
      <w:marLeft w:val="0"/>
      <w:marRight w:val="0"/>
      <w:marTop w:val="0"/>
      <w:marBottom w:val="0"/>
      <w:divBdr>
        <w:top w:val="none" w:sz="0" w:space="0" w:color="auto"/>
        <w:left w:val="none" w:sz="0" w:space="0" w:color="auto"/>
        <w:bottom w:val="none" w:sz="0" w:space="0" w:color="auto"/>
        <w:right w:val="none" w:sz="0" w:space="0" w:color="auto"/>
      </w:divBdr>
    </w:div>
    <w:div w:id="523518667">
      <w:bodyDiv w:val="1"/>
      <w:marLeft w:val="0"/>
      <w:marRight w:val="0"/>
      <w:marTop w:val="0"/>
      <w:marBottom w:val="0"/>
      <w:divBdr>
        <w:top w:val="none" w:sz="0" w:space="0" w:color="auto"/>
        <w:left w:val="none" w:sz="0" w:space="0" w:color="auto"/>
        <w:bottom w:val="none" w:sz="0" w:space="0" w:color="auto"/>
        <w:right w:val="none" w:sz="0" w:space="0" w:color="auto"/>
      </w:divBdr>
    </w:div>
    <w:div w:id="565723309">
      <w:bodyDiv w:val="1"/>
      <w:marLeft w:val="0"/>
      <w:marRight w:val="0"/>
      <w:marTop w:val="0"/>
      <w:marBottom w:val="0"/>
      <w:divBdr>
        <w:top w:val="none" w:sz="0" w:space="0" w:color="auto"/>
        <w:left w:val="none" w:sz="0" w:space="0" w:color="auto"/>
        <w:bottom w:val="none" w:sz="0" w:space="0" w:color="auto"/>
        <w:right w:val="none" w:sz="0" w:space="0" w:color="auto"/>
      </w:divBdr>
    </w:div>
    <w:div w:id="571428303">
      <w:bodyDiv w:val="1"/>
      <w:marLeft w:val="0"/>
      <w:marRight w:val="0"/>
      <w:marTop w:val="0"/>
      <w:marBottom w:val="0"/>
      <w:divBdr>
        <w:top w:val="none" w:sz="0" w:space="0" w:color="auto"/>
        <w:left w:val="none" w:sz="0" w:space="0" w:color="auto"/>
        <w:bottom w:val="none" w:sz="0" w:space="0" w:color="auto"/>
        <w:right w:val="none" w:sz="0" w:space="0" w:color="auto"/>
      </w:divBdr>
    </w:div>
    <w:div w:id="656035274">
      <w:bodyDiv w:val="1"/>
      <w:marLeft w:val="0"/>
      <w:marRight w:val="0"/>
      <w:marTop w:val="0"/>
      <w:marBottom w:val="0"/>
      <w:divBdr>
        <w:top w:val="none" w:sz="0" w:space="0" w:color="auto"/>
        <w:left w:val="none" w:sz="0" w:space="0" w:color="auto"/>
        <w:bottom w:val="none" w:sz="0" w:space="0" w:color="auto"/>
        <w:right w:val="none" w:sz="0" w:space="0" w:color="auto"/>
      </w:divBdr>
    </w:div>
    <w:div w:id="671102844">
      <w:bodyDiv w:val="1"/>
      <w:marLeft w:val="0"/>
      <w:marRight w:val="0"/>
      <w:marTop w:val="0"/>
      <w:marBottom w:val="0"/>
      <w:divBdr>
        <w:top w:val="none" w:sz="0" w:space="0" w:color="auto"/>
        <w:left w:val="none" w:sz="0" w:space="0" w:color="auto"/>
        <w:bottom w:val="none" w:sz="0" w:space="0" w:color="auto"/>
        <w:right w:val="none" w:sz="0" w:space="0" w:color="auto"/>
      </w:divBdr>
    </w:div>
    <w:div w:id="691565054">
      <w:bodyDiv w:val="1"/>
      <w:marLeft w:val="0"/>
      <w:marRight w:val="0"/>
      <w:marTop w:val="0"/>
      <w:marBottom w:val="0"/>
      <w:divBdr>
        <w:top w:val="none" w:sz="0" w:space="0" w:color="auto"/>
        <w:left w:val="none" w:sz="0" w:space="0" w:color="auto"/>
        <w:bottom w:val="none" w:sz="0" w:space="0" w:color="auto"/>
        <w:right w:val="none" w:sz="0" w:space="0" w:color="auto"/>
      </w:divBdr>
    </w:div>
    <w:div w:id="743457605">
      <w:bodyDiv w:val="1"/>
      <w:marLeft w:val="0"/>
      <w:marRight w:val="0"/>
      <w:marTop w:val="0"/>
      <w:marBottom w:val="0"/>
      <w:divBdr>
        <w:top w:val="none" w:sz="0" w:space="0" w:color="auto"/>
        <w:left w:val="none" w:sz="0" w:space="0" w:color="auto"/>
        <w:bottom w:val="none" w:sz="0" w:space="0" w:color="auto"/>
        <w:right w:val="none" w:sz="0" w:space="0" w:color="auto"/>
      </w:divBdr>
    </w:div>
    <w:div w:id="857347837">
      <w:bodyDiv w:val="1"/>
      <w:marLeft w:val="0"/>
      <w:marRight w:val="0"/>
      <w:marTop w:val="0"/>
      <w:marBottom w:val="0"/>
      <w:divBdr>
        <w:top w:val="none" w:sz="0" w:space="0" w:color="auto"/>
        <w:left w:val="none" w:sz="0" w:space="0" w:color="auto"/>
        <w:bottom w:val="none" w:sz="0" w:space="0" w:color="auto"/>
        <w:right w:val="none" w:sz="0" w:space="0" w:color="auto"/>
      </w:divBdr>
    </w:div>
    <w:div w:id="906263943">
      <w:bodyDiv w:val="1"/>
      <w:marLeft w:val="0"/>
      <w:marRight w:val="0"/>
      <w:marTop w:val="0"/>
      <w:marBottom w:val="0"/>
      <w:divBdr>
        <w:top w:val="none" w:sz="0" w:space="0" w:color="auto"/>
        <w:left w:val="none" w:sz="0" w:space="0" w:color="auto"/>
        <w:bottom w:val="none" w:sz="0" w:space="0" w:color="auto"/>
        <w:right w:val="none" w:sz="0" w:space="0" w:color="auto"/>
      </w:divBdr>
    </w:div>
    <w:div w:id="918053518">
      <w:bodyDiv w:val="1"/>
      <w:marLeft w:val="0"/>
      <w:marRight w:val="0"/>
      <w:marTop w:val="0"/>
      <w:marBottom w:val="0"/>
      <w:divBdr>
        <w:top w:val="none" w:sz="0" w:space="0" w:color="auto"/>
        <w:left w:val="none" w:sz="0" w:space="0" w:color="auto"/>
        <w:bottom w:val="none" w:sz="0" w:space="0" w:color="auto"/>
        <w:right w:val="none" w:sz="0" w:space="0" w:color="auto"/>
      </w:divBdr>
      <w:divsChild>
        <w:div w:id="1147865524">
          <w:marLeft w:val="1166"/>
          <w:marRight w:val="0"/>
          <w:marTop w:val="0"/>
          <w:marBottom w:val="0"/>
          <w:divBdr>
            <w:top w:val="none" w:sz="0" w:space="0" w:color="auto"/>
            <w:left w:val="none" w:sz="0" w:space="0" w:color="auto"/>
            <w:bottom w:val="none" w:sz="0" w:space="0" w:color="auto"/>
            <w:right w:val="none" w:sz="0" w:space="0" w:color="auto"/>
          </w:divBdr>
        </w:div>
      </w:divsChild>
    </w:div>
    <w:div w:id="935483182">
      <w:bodyDiv w:val="1"/>
      <w:marLeft w:val="0"/>
      <w:marRight w:val="0"/>
      <w:marTop w:val="0"/>
      <w:marBottom w:val="0"/>
      <w:divBdr>
        <w:top w:val="none" w:sz="0" w:space="0" w:color="auto"/>
        <w:left w:val="none" w:sz="0" w:space="0" w:color="auto"/>
        <w:bottom w:val="none" w:sz="0" w:space="0" w:color="auto"/>
        <w:right w:val="none" w:sz="0" w:space="0" w:color="auto"/>
      </w:divBdr>
    </w:div>
    <w:div w:id="1080248426">
      <w:bodyDiv w:val="1"/>
      <w:marLeft w:val="0"/>
      <w:marRight w:val="0"/>
      <w:marTop w:val="0"/>
      <w:marBottom w:val="0"/>
      <w:divBdr>
        <w:top w:val="none" w:sz="0" w:space="0" w:color="auto"/>
        <w:left w:val="none" w:sz="0" w:space="0" w:color="auto"/>
        <w:bottom w:val="none" w:sz="0" w:space="0" w:color="auto"/>
        <w:right w:val="none" w:sz="0" w:space="0" w:color="auto"/>
      </w:divBdr>
    </w:div>
    <w:div w:id="1086807251">
      <w:bodyDiv w:val="1"/>
      <w:marLeft w:val="0"/>
      <w:marRight w:val="0"/>
      <w:marTop w:val="0"/>
      <w:marBottom w:val="0"/>
      <w:divBdr>
        <w:top w:val="none" w:sz="0" w:space="0" w:color="auto"/>
        <w:left w:val="none" w:sz="0" w:space="0" w:color="auto"/>
        <w:bottom w:val="none" w:sz="0" w:space="0" w:color="auto"/>
        <w:right w:val="none" w:sz="0" w:space="0" w:color="auto"/>
      </w:divBdr>
    </w:div>
    <w:div w:id="1247301240">
      <w:bodyDiv w:val="1"/>
      <w:marLeft w:val="0"/>
      <w:marRight w:val="0"/>
      <w:marTop w:val="0"/>
      <w:marBottom w:val="0"/>
      <w:divBdr>
        <w:top w:val="none" w:sz="0" w:space="0" w:color="auto"/>
        <w:left w:val="none" w:sz="0" w:space="0" w:color="auto"/>
        <w:bottom w:val="none" w:sz="0" w:space="0" w:color="auto"/>
        <w:right w:val="none" w:sz="0" w:space="0" w:color="auto"/>
      </w:divBdr>
    </w:div>
    <w:div w:id="1311711334">
      <w:bodyDiv w:val="1"/>
      <w:marLeft w:val="0"/>
      <w:marRight w:val="0"/>
      <w:marTop w:val="0"/>
      <w:marBottom w:val="0"/>
      <w:divBdr>
        <w:top w:val="none" w:sz="0" w:space="0" w:color="auto"/>
        <w:left w:val="none" w:sz="0" w:space="0" w:color="auto"/>
        <w:bottom w:val="none" w:sz="0" w:space="0" w:color="auto"/>
        <w:right w:val="none" w:sz="0" w:space="0" w:color="auto"/>
      </w:divBdr>
    </w:div>
    <w:div w:id="1314943786">
      <w:bodyDiv w:val="1"/>
      <w:marLeft w:val="0"/>
      <w:marRight w:val="0"/>
      <w:marTop w:val="0"/>
      <w:marBottom w:val="0"/>
      <w:divBdr>
        <w:top w:val="none" w:sz="0" w:space="0" w:color="auto"/>
        <w:left w:val="none" w:sz="0" w:space="0" w:color="auto"/>
        <w:bottom w:val="none" w:sz="0" w:space="0" w:color="auto"/>
        <w:right w:val="none" w:sz="0" w:space="0" w:color="auto"/>
      </w:divBdr>
    </w:div>
    <w:div w:id="1326712645">
      <w:bodyDiv w:val="1"/>
      <w:marLeft w:val="0"/>
      <w:marRight w:val="0"/>
      <w:marTop w:val="0"/>
      <w:marBottom w:val="0"/>
      <w:divBdr>
        <w:top w:val="none" w:sz="0" w:space="0" w:color="auto"/>
        <w:left w:val="none" w:sz="0" w:space="0" w:color="auto"/>
        <w:bottom w:val="none" w:sz="0" w:space="0" w:color="auto"/>
        <w:right w:val="none" w:sz="0" w:space="0" w:color="auto"/>
      </w:divBdr>
    </w:div>
    <w:div w:id="1357730495">
      <w:bodyDiv w:val="1"/>
      <w:marLeft w:val="0"/>
      <w:marRight w:val="0"/>
      <w:marTop w:val="0"/>
      <w:marBottom w:val="0"/>
      <w:divBdr>
        <w:top w:val="none" w:sz="0" w:space="0" w:color="auto"/>
        <w:left w:val="none" w:sz="0" w:space="0" w:color="auto"/>
        <w:bottom w:val="none" w:sz="0" w:space="0" w:color="auto"/>
        <w:right w:val="none" w:sz="0" w:space="0" w:color="auto"/>
      </w:divBdr>
    </w:div>
    <w:div w:id="1361784001">
      <w:bodyDiv w:val="1"/>
      <w:marLeft w:val="0"/>
      <w:marRight w:val="0"/>
      <w:marTop w:val="0"/>
      <w:marBottom w:val="0"/>
      <w:divBdr>
        <w:top w:val="none" w:sz="0" w:space="0" w:color="auto"/>
        <w:left w:val="none" w:sz="0" w:space="0" w:color="auto"/>
        <w:bottom w:val="none" w:sz="0" w:space="0" w:color="auto"/>
        <w:right w:val="none" w:sz="0" w:space="0" w:color="auto"/>
      </w:divBdr>
    </w:div>
    <w:div w:id="1390376433">
      <w:bodyDiv w:val="1"/>
      <w:marLeft w:val="0"/>
      <w:marRight w:val="0"/>
      <w:marTop w:val="0"/>
      <w:marBottom w:val="0"/>
      <w:divBdr>
        <w:top w:val="none" w:sz="0" w:space="0" w:color="auto"/>
        <w:left w:val="none" w:sz="0" w:space="0" w:color="auto"/>
        <w:bottom w:val="none" w:sz="0" w:space="0" w:color="auto"/>
        <w:right w:val="none" w:sz="0" w:space="0" w:color="auto"/>
      </w:divBdr>
    </w:div>
    <w:div w:id="1393231644">
      <w:bodyDiv w:val="1"/>
      <w:marLeft w:val="0"/>
      <w:marRight w:val="0"/>
      <w:marTop w:val="0"/>
      <w:marBottom w:val="0"/>
      <w:divBdr>
        <w:top w:val="none" w:sz="0" w:space="0" w:color="auto"/>
        <w:left w:val="none" w:sz="0" w:space="0" w:color="auto"/>
        <w:bottom w:val="none" w:sz="0" w:space="0" w:color="auto"/>
        <w:right w:val="none" w:sz="0" w:space="0" w:color="auto"/>
      </w:divBdr>
      <w:divsChild>
        <w:div w:id="7106450">
          <w:marLeft w:val="1166"/>
          <w:marRight w:val="0"/>
          <w:marTop w:val="0"/>
          <w:marBottom w:val="0"/>
          <w:divBdr>
            <w:top w:val="none" w:sz="0" w:space="0" w:color="auto"/>
            <w:left w:val="none" w:sz="0" w:space="0" w:color="auto"/>
            <w:bottom w:val="none" w:sz="0" w:space="0" w:color="auto"/>
            <w:right w:val="none" w:sz="0" w:space="0" w:color="auto"/>
          </w:divBdr>
        </w:div>
      </w:divsChild>
    </w:div>
    <w:div w:id="1422143366">
      <w:bodyDiv w:val="1"/>
      <w:marLeft w:val="0"/>
      <w:marRight w:val="0"/>
      <w:marTop w:val="0"/>
      <w:marBottom w:val="0"/>
      <w:divBdr>
        <w:top w:val="none" w:sz="0" w:space="0" w:color="auto"/>
        <w:left w:val="none" w:sz="0" w:space="0" w:color="auto"/>
        <w:bottom w:val="none" w:sz="0" w:space="0" w:color="auto"/>
        <w:right w:val="none" w:sz="0" w:space="0" w:color="auto"/>
      </w:divBdr>
    </w:div>
    <w:div w:id="1459453092">
      <w:bodyDiv w:val="1"/>
      <w:marLeft w:val="0"/>
      <w:marRight w:val="0"/>
      <w:marTop w:val="0"/>
      <w:marBottom w:val="0"/>
      <w:divBdr>
        <w:top w:val="none" w:sz="0" w:space="0" w:color="auto"/>
        <w:left w:val="none" w:sz="0" w:space="0" w:color="auto"/>
        <w:bottom w:val="none" w:sz="0" w:space="0" w:color="auto"/>
        <w:right w:val="none" w:sz="0" w:space="0" w:color="auto"/>
      </w:divBdr>
    </w:div>
    <w:div w:id="1472400771">
      <w:bodyDiv w:val="1"/>
      <w:marLeft w:val="0"/>
      <w:marRight w:val="0"/>
      <w:marTop w:val="0"/>
      <w:marBottom w:val="0"/>
      <w:divBdr>
        <w:top w:val="none" w:sz="0" w:space="0" w:color="auto"/>
        <w:left w:val="none" w:sz="0" w:space="0" w:color="auto"/>
        <w:bottom w:val="none" w:sz="0" w:space="0" w:color="auto"/>
        <w:right w:val="none" w:sz="0" w:space="0" w:color="auto"/>
      </w:divBdr>
    </w:div>
    <w:div w:id="1534921368">
      <w:bodyDiv w:val="1"/>
      <w:marLeft w:val="0"/>
      <w:marRight w:val="0"/>
      <w:marTop w:val="0"/>
      <w:marBottom w:val="0"/>
      <w:divBdr>
        <w:top w:val="none" w:sz="0" w:space="0" w:color="auto"/>
        <w:left w:val="none" w:sz="0" w:space="0" w:color="auto"/>
        <w:bottom w:val="none" w:sz="0" w:space="0" w:color="auto"/>
        <w:right w:val="none" w:sz="0" w:space="0" w:color="auto"/>
      </w:divBdr>
    </w:div>
    <w:div w:id="1545093084">
      <w:bodyDiv w:val="1"/>
      <w:marLeft w:val="0"/>
      <w:marRight w:val="0"/>
      <w:marTop w:val="0"/>
      <w:marBottom w:val="0"/>
      <w:divBdr>
        <w:top w:val="none" w:sz="0" w:space="0" w:color="auto"/>
        <w:left w:val="none" w:sz="0" w:space="0" w:color="auto"/>
        <w:bottom w:val="none" w:sz="0" w:space="0" w:color="auto"/>
        <w:right w:val="none" w:sz="0" w:space="0" w:color="auto"/>
      </w:divBdr>
    </w:div>
    <w:div w:id="1574244261">
      <w:bodyDiv w:val="1"/>
      <w:marLeft w:val="0"/>
      <w:marRight w:val="0"/>
      <w:marTop w:val="0"/>
      <w:marBottom w:val="0"/>
      <w:divBdr>
        <w:top w:val="none" w:sz="0" w:space="0" w:color="auto"/>
        <w:left w:val="none" w:sz="0" w:space="0" w:color="auto"/>
        <w:bottom w:val="none" w:sz="0" w:space="0" w:color="auto"/>
        <w:right w:val="none" w:sz="0" w:space="0" w:color="auto"/>
      </w:divBdr>
    </w:div>
    <w:div w:id="1642614038">
      <w:bodyDiv w:val="1"/>
      <w:marLeft w:val="0"/>
      <w:marRight w:val="0"/>
      <w:marTop w:val="0"/>
      <w:marBottom w:val="0"/>
      <w:divBdr>
        <w:top w:val="none" w:sz="0" w:space="0" w:color="auto"/>
        <w:left w:val="none" w:sz="0" w:space="0" w:color="auto"/>
        <w:bottom w:val="none" w:sz="0" w:space="0" w:color="auto"/>
        <w:right w:val="none" w:sz="0" w:space="0" w:color="auto"/>
      </w:divBdr>
    </w:div>
    <w:div w:id="1738740672">
      <w:bodyDiv w:val="1"/>
      <w:marLeft w:val="0"/>
      <w:marRight w:val="0"/>
      <w:marTop w:val="0"/>
      <w:marBottom w:val="0"/>
      <w:divBdr>
        <w:top w:val="none" w:sz="0" w:space="0" w:color="auto"/>
        <w:left w:val="none" w:sz="0" w:space="0" w:color="auto"/>
        <w:bottom w:val="none" w:sz="0" w:space="0" w:color="auto"/>
        <w:right w:val="none" w:sz="0" w:space="0" w:color="auto"/>
      </w:divBdr>
      <w:divsChild>
        <w:div w:id="888880722">
          <w:marLeft w:val="0"/>
          <w:marRight w:val="0"/>
          <w:marTop w:val="0"/>
          <w:marBottom w:val="0"/>
          <w:divBdr>
            <w:top w:val="none" w:sz="0" w:space="0" w:color="auto"/>
            <w:left w:val="none" w:sz="0" w:space="0" w:color="auto"/>
            <w:bottom w:val="none" w:sz="0" w:space="0" w:color="auto"/>
            <w:right w:val="none" w:sz="0" w:space="0" w:color="auto"/>
          </w:divBdr>
          <w:divsChild>
            <w:div w:id="1296988919">
              <w:marLeft w:val="0"/>
              <w:marRight w:val="0"/>
              <w:marTop w:val="0"/>
              <w:marBottom w:val="0"/>
              <w:divBdr>
                <w:top w:val="none" w:sz="0" w:space="0" w:color="auto"/>
                <w:left w:val="none" w:sz="0" w:space="0" w:color="auto"/>
                <w:bottom w:val="none" w:sz="0" w:space="0" w:color="auto"/>
                <w:right w:val="none" w:sz="0" w:space="0" w:color="auto"/>
              </w:divBdr>
            </w:div>
            <w:div w:id="21219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7911">
      <w:bodyDiv w:val="1"/>
      <w:marLeft w:val="0"/>
      <w:marRight w:val="0"/>
      <w:marTop w:val="0"/>
      <w:marBottom w:val="0"/>
      <w:divBdr>
        <w:top w:val="none" w:sz="0" w:space="0" w:color="auto"/>
        <w:left w:val="none" w:sz="0" w:space="0" w:color="auto"/>
        <w:bottom w:val="none" w:sz="0" w:space="0" w:color="auto"/>
        <w:right w:val="none" w:sz="0" w:space="0" w:color="auto"/>
      </w:divBdr>
    </w:div>
    <w:div w:id="1792556410">
      <w:bodyDiv w:val="1"/>
      <w:marLeft w:val="0"/>
      <w:marRight w:val="0"/>
      <w:marTop w:val="0"/>
      <w:marBottom w:val="0"/>
      <w:divBdr>
        <w:top w:val="none" w:sz="0" w:space="0" w:color="auto"/>
        <w:left w:val="none" w:sz="0" w:space="0" w:color="auto"/>
        <w:bottom w:val="none" w:sz="0" w:space="0" w:color="auto"/>
        <w:right w:val="none" w:sz="0" w:space="0" w:color="auto"/>
      </w:divBdr>
    </w:div>
    <w:div w:id="1800343175">
      <w:bodyDiv w:val="1"/>
      <w:marLeft w:val="0"/>
      <w:marRight w:val="0"/>
      <w:marTop w:val="0"/>
      <w:marBottom w:val="0"/>
      <w:divBdr>
        <w:top w:val="none" w:sz="0" w:space="0" w:color="auto"/>
        <w:left w:val="none" w:sz="0" w:space="0" w:color="auto"/>
        <w:bottom w:val="none" w:sz="0" w:space="0" w:color="auto"/>
        <w:right w:val="none" w:sz="0" w:space="0" w:color="auto"/>
      </w:divBdr>
      <w:divsChild>
        <w:div w:id="1580095020">
          <w:marLeft w:val="1166"/>
          <w:marRight w:val="0"/>
          <w:marTop w:val="0"/>
          <w:marBottom w:val="0"/>
          <w:divBdr>
            <w:top w:val="none" w:sz="0" w:space="0" w:color="auto"/>
            <w:left w:val="none" w:sz="0" w:space="0" w:color="auto"/>
            <w:bottom w:val="none" w:sz="0" w:space="0" w:color="auto"/>
            <w:right w:val="none" w:sz="0" w:space="0" w:color="auto"/>
          </w:divBdr>
        </w:div>
      </w:divsChild>
    </w:div>
    <w:div w:id="1849514441">
      <w:bodyDiv w:val="1"/>
      <w:marLeft w:val="0"/>
      <w:marRight w:val="0"/>
      <w:marTop w:val="0"/>
      <w:marBottom w:val="0"/>
      <w:divBdr>
        <w:top w:val="none" w:sz="0" w:space="0" w:color="auto"/>
        <w:left w:val="none" w:sz="0" w:space="0" w:color="auto"/>
        <w:bottom w:val="none" w:sz="0" w:space="0" w:color="auto"/>
        <w:right w:val="none" w:sz="0" w:space="0" w:color="auto"/>
      </w:divBdr>
    </w:div>
    <w:div w:id="1862820614">
      <w:bodyDiv w:val="1"/>
      <w:marLeft w:val="0"/>
      <w:marRight w:val="0"/>
      <w:marTop w:val="0"/>
      <w:marBottom w:val="0"/>
      <w:divBdr>
        <w:top w:val="none" w:sz="0" w:space="0" w:color="auto"/>
        <w:left w:val="none" w:sz="0" w:space="0" w:color="auto"/>
        <w:bottom w:val="none" w:sz="0" w:space="0" w:color="auto"/>
        <w:right w:val="none" w:sz="0" w:space="0" w:color="auto"/>
      </w:divBdr>
      <w:divsChild>
        <w:div w:id="1193155402">
          <w:marLeft w:val="1166"/>
          <w:marRight w:val="0"/>
          <w:marTop w:val="0"/>
          <w:marBottom w:val="0"/>
          <w:divBdr>
            <w:top w:val="none" w:sz="0" w:space="0" w:color="auto"/>
            <w:left w:val="none" w:sz="0" w:space="0" w:color="auto"/>
            <w:bottom w:val="none" w:sz="0" w:space="0" w:color="auto"/>
            <w:right w:val="none" w:sz="0" w:space="0" w:color="auto"/>
          </w:divBdr>
        </w:div>
      </w:divsChild>
    </w:div>
    <w:div w:id="1872763632">
      <w:bodyDiv w:val="1"/>
      <w:marLeft w:val="0"/>
      <w:marRight w:val="0"/>
      <w:marTop w:val="0"/>
      <w:marBottom w:val="0"/>
      <w:divBdr>
        <w:top w:val="none" w:sz="0" w:space="0" w:color="auto"/>
        <w:left w:val="none" w:sz="0" w:space="0" w:color="auto"/>
        <w:bottom w:val="none" w:sz="0" w:space="0" w:color="auto"/>
        <w:right w:val="none" w:sz="0" w:space="0" w:color="auto"/>
      </w:divBdr>
    </w:div>
    <w:div w:id="1886023008">
      <w:bodyDiv w:val="1"/>
      <w:marLeft w:val="0"/>
      <w:marRight w:val="0"/>
      <w:marTop w:val="0"/>
      <w:marBottom w:val="0"/>
      <w:divBdr>
        <w:top w:val="none" w:sz="0" w:space="0" w:color="auto"/>
        <w:left w:val="none" w:sz="0" w:space="0" w:color="auto"/>
        <w:bottom w:val="none" w:sz="0" w:space="0" w:color="auto"/>
        <w:right w:val="none" w:sz="0" w:space="0" w:color="auto"/>
      </w:divBdr>
    </w:div>
    <w:div w:id="1894465754">
      <w:bodyDiv w:val="1"/>
      <w:marLeft w:val="0"/>
      <w:marRight w:val="0"/>
      <w:marTop w:val="0"/>
      <w:marBottom w:val="0"/>
      <w:divBdr>
        <w:top w:val="none" w:sz="0" w:space="0" w:color="auto"/>
        <w:left w:val="none" w:sz="0" w:space="0" w:color="auto"/>
        <w:bottom w:val="none" w:sz="0" w:space="0" w:color="auto"/>
        <w:right w:val="none" w:sz="0" w:space="0" w:color="auto"/>
      </w:divBdr>
    </w:div>
    <w:div w:id="1916818918">
      <w:bodyDiv w:val="1"/>
      <w:marLeft w:val="0"/>
      <w:marRight w:val="0"/>
      <w:marTop w:val="0"/>
      <w:marBottom w:val="0"/>
      <w:divBdr>
        <w:top w:val="none" w:sz="0" w:space="0" w:color="auto"/>
        <w:left w:val="none" w:sz="0" w:space="0" w:color="auto"/>
        <w:bottom w:val="none" w:sz="0" w:space="0" w:color="auto"/>
        <w:right w:val="none" w:sz="0" w:space="0" w:color="auto"/>
      </w:divBdr>
    </w:div>
    <w:div w:id="1924871778">
      <w:bodyDiv w:val="1"/>
      <w:marLeft w:val="0"/>
      <w:marRight w:val="0"/>
      <w:marTop w:val="0"/>
      <w:marBottom w:val="0"/>
      <w:divBdr>
        <w:top w:val="none" w:sz="0" w:space="0" w:color="auto"/>
        <w:left w:val="none" w:sz="0" w:space="0" w:color="auto"/>
        <w:bottom w:val="none" w:sz="0" w:space="0" w:color="auto"/>
        <w:right w:val="none" w:sz="0" w:space="0" w:color="auto"/>
      </w:divBdr>
    </w:div>
    <w:div w:id="1939363390">
      <w:bodyDiv w:val="1"/>
      <w:marLeft w:val="0"/>
      <w:marRight w:val="0"/>
      <w:marTop w:val="0"/>
      <w:marBottom w:val="0"/>
      <w:divBdr>
        <w:top w:val="none" w:sz="0" w:space="0" w:color="auto"/>
        <w:left w:val="none" w:sz="0" w:space="0" w:color="auto"/>
        <w:bottom w:val="none" w:sz="0" w:space="0" w:color="auto"/>
        <w:right w:val="none" w:sz="0" w:space="0" w:color="auto"/>
      </w:divBdr>
    </w:div>
    <w:div w:id="1952127578">
      <w:bodyDiv w:val="1"/>
      <w:marLeft w:val="0"/>
      <w:marRight w:val="0"/>
      <w:marTop w:val="0"/>
      <w:marBottom w:val="0"/>
      <w:divBdr>
        <w:top w:val="none" w:sz="0" w:space="0" w:color="auto"/>
        <w:left w:val="none" w:sz="0" w:space="0" w:color="auto"/>
        <w:bottom w:val="none" w:sz="0" w:space="0" w:color="auto"/>
        <w:right w:val="none" w:sz="0" w:space="0" w:color="auto"/>
      </w:divBdr>
    </w:div>
    <w:div w:id="2014723334">
      <w:bodyDiv w:val="1"/>
      <w:marLeft w:val="0"/>
      <w:marRight w:val="0"/>
      <w:marTop w:val="0"/>
      <w:marBottom w:val="0"/>
      <w:divBdr>
        <w:top w:val="none" w:sz="0" w:space="0" w:color="auto"/>
        <w:left w:val="none" w:sz="0" w:space="0" w:color="auto"/>
        <w:bottom w:val="none" w:sz="0" w:space="0" w:color="auto"/>
        <w:right w:val="none" w:sz="0" w:space="0" w:color="auto"/>
      </w:divBdr>
    </w:div>
    <w:div w:id="2019962865">
      <w:bodyDiv w:val="1"/>
      <w:marLeft w:val="0"/>
      <w:marRight w:val="0"/>
      <w:marTop w:val="0"/>
      <w:marBottom w:val="0"/>
      <w:divBdr>
        <w:top w:val="none" w:sz="0" w:space="0" w:color="auto"/>
        <w:left w:val="none" w:sz="0" w:space="0" w:color="auto"/>
        <w:bottom w:val="none" w:sz="0" w:space="0" w:color="auto"/>
        <w:right w:val="none" w:sz="0" w:space="0" w:color="auto"/>
      </w:divBdr>
    </w:div>
    <w:div w:id="2064326046">
      <w:bodyDiv w:val="1"/>
      <w:marLeft w:val="0"/>
      <w:marRight w:val="0"/>
      <w:marTop w:val="0"/>
      <w:marBottom w:val="0"/>
      <w:divBdr>
        <w:top w:val="none" w:sz="0" w:space="0" w:color="auto"/>
        <w:left w:val="none" w:sz="0" w:space="0" w:color="auto"/>
        <w:bottom w:val="none" w:sz="0" w:space="0" w:color="auto"/>
        <w:right w:val="none" w:sz="0" w:space="0" w:color="auto"/>
      </w:divBdr>
    </w:div>
    <w:div w:id="21008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i/drzavni-organi/ministrstva/ministrstvo-za-delo-druzino-socialne-zadeve-in-enake-moznosti/o-ministrstvu/sluzba-za-analize-in-razvoj/" TargetMode="External"/><Relationship Id="rId18" Type="http://schemas.openxmlformats.org/officeDocument/2006/relationships/hyperlink" Target="https://pxweb.stat.si/SiStatData/pxweb/sl/Data/Data/0886704S.px/" TargetMode="External"/><Relationship Id="rId26" Type="http://schemas.openxmlformats.org/officeDocument/2006/relationships/hyperlink" Target="https://gis.stat.si/" TargetMode="External"/><Relationship Id="rId39" Type="http://schemas.openxmlformats.org/officeDocument/2006/relationships/hyperlink" Target="https://www.uradni-list.si/glasilo-uradni-list-rs/vsebina/2022-01-3199/uredba-o-merilih-za-opredelitev-in-ocenjevanje-stevila-energetsko-revnih-gospodinjstev" TargetMode="External"/><Relationship Id="rId21" Type="http://schemas.openxmlformats.org/officeDocument/2006/relationships/hyperlink" Target="https://pxweb.stat.si/SiStatData/pxweb/sl/Data/-/0867636S.PX/table/tableViewLayout2/" TargetMode="External"/><Relationship Id="rId34" Type="http://schemas.openxmlformats.org/officeDocument/2006/relationships/hyperlink" Target="https://www.gov.si/teme/prostovoljstvo/" TargetMode="External"/><Relationship Id="rId42" Type="http://schemas.openxmlformats.org/officeDocument/2006/relationships/hyperlink" Target="https://www.gov.si/assets/ministrstva/MKRR/DRR/RRP-2021_2027/RRP-Pomurske-razvojne-regije.pdf" TargetMode="External"/><Relationship Id="rId47" Type="http://schemas.openxmlformats.org/officeDocument/2006/relationships/hyperlink" Target="https://www.gov.si/assets/ministrstva/MKRR/DRR/RRP-2021_2027/RRP-Posavske-razvojne-regije.pdf" TargetMode="External"/><Relationship Id="rId50" Type="http://schemas.openxmlformats.org/officeDocument/2006/relationships/hyperlink" Target="https://www.gov.si/assets/ministrstva/MKRR/DRR/RRP-2021_2027/RRP-Osrednjeslovenske-razvojne-regije.pdf"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www.gov.si/assets/ministrstva/MF/Proracun-direktorat/DP-SSFLS/Izracuni/Koeficienti-razvitosti/Koeficienti_razvitosti_obcin_in_odstorek_sofinanciranja-22-23-tabela.pdf" TargetMode="External"/><Relationship Id="rId11" Type="http://schemas.openxmlformats.org/officeDocument/2006/relationships/hyperlink" Target="https://pxweb.stat.si/SiStatData/pxweb/sl/Data/Data/0886704S.px/" TargetMode="External"/><Relationship Id="rId24" Type="http://schemas.openxmlformats.org/officeDocument/2006/relationships/hyperlink" Target="http://kazalci.arso.gov.si/sl/content/stanovanja-2" TargetMode="External"/><Relationship Id="rId32" Type="http://schemas.openxmlformats.org/officeDocument/2006/relationships/hyperlink" Target="https://www.gov.si/teme/razvojne-regije/" TargetMode="External"/><Relationship Id="rId37" Type="http://schemas.openxmlformats.org/officeDocument/2006/relationships/hyperlink" Target="https://www.gov.si/teme/prostovoljstvo/" TargetMode="External"/><Relationship Id="rId40" Type="http://schemas.openxmlformats.org/officeDocument/2006/relationships/hyperlink" Target="https://www.uradni-list.si/glasilo-uradni-list-rs/vsebina/2021-01-4389/uredba-o-metodologiji-za-dolocitev-razvitosti-obcin-za-leti-2022-in-2023" TargetMode="External"/><Relationship Id="rId45" Type="http://schemas.openxmlformats.org/officeDocument/2006/relationships/hyperlink" Target="https://www.gov.si/assets/ministrstva/MKRR/DRR/RRP-2021_2027/RRP-Savinjske-razvojne-regije.pdf" TargetMode="External"/><Relationship Id="rId53" Type="http://schemas.openxmlformats.org/officeDocument/2006/relationships/hyperlink" Target="https://www.gov.si/assets/ministrstva/MKRR/DRR/RRP-2021_2027/RRP-Obalno-kraske-razvojne-regije.pdf" TargetMode="External"/><Relationship Id="rId5" Type="http://schemas.openxmlformats.org/officeDocument/2006/relationships/webSettings" Target="webSettings.xml"/><Relationship Id="rId19" Type="http://schemas.openxmlformats.org/officeDocument/2006/relationships/hyperlink" Target="https://pxweb.stat.si/SiStatData/pxweb/sl/Data/Data/0886704S.p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gov.si/teme/razvojne-regije/" TargetMode="External"/><Relationship Id="rId22" Type="http://schemas.openxmlformats.org/officeDocument/2006/relationships/hyperlink" Target="https://pxweb.stat.si/SiStatData/pxweb/sl/Data/-/0867636S.PX/table/tableViewLayout2/" TargetMode="External"/><Relationship Id="rId27" Type="http://schemas.openxmlformats.org/officeDocument/2006/relationships/hyperlink" Target="https://gis.stat.si/" TargetMode="External"/><Relationship Id="rId30" Type="http://schemas.openxmlformats.org/officeDocument/2006/relationships/hyperlink" Target="https://www.gov.si/drzavni-organi/ministrstva/ministrstvo-za-delo-druzino-socialne-zadeve-in-enake-moznosti/o-ministrstvu/sluzba-za-analize-in-razvoj/" TargetMode="External"/><Relationship Id="rId35" Type="http://schemas.openxmlformats.org/officeDocument/2006/relationships/hyperlink" Target="https://www.gov.si/teme/prostovoljstvo/" TargetMode="External"/><Relationship Id="rId43" Type="http://schemas.openxmlformats.org/officeDocument/2006/relationships/hyperlink" Target="https://www.gov.si/assets/ministrstva/MKRR/DRR/RRP-2021_2027/RRP-Podravske-razvojne-regije.pdf" TargetMode="External"/><Relationship Id="rId48" Type="http://schemas.openxmlformats.org/officeDocument/2006/relationships/hyperlink" Target="https://www.gov.si/assets/ministrstva/MKRR/DRR/RRP-2021_2027/RRP-razvojne-regije-JV-Slovenije.pdf"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gov.si/assets/ministrstva/MKRR/DRR/RRP-2021_2027/RRP-Gorenjske-razvojne-regije.pdf" TargetMode="External"/><Relationship Id="rId3" Type="http://schemas.openxmlformats.org/officeDocument/2006/relationships/styles" Target="styles.xml"/><Relationship Id="rId12" Type="http://schemas.openxmlformats.org/officeDocument/2006/relationships/hyperlink" Target="https://www.gov.si/assets/ministrstva/MF/Proracun-direktorat/DP-SSFLS/Izracuni/Koeficienti-razvitosti/Koeficienti_razvitosti_obcin_in_odstorek_sofinanciranja-22-23-tabela.pdf" TargetMode="External"/><Relationship Id="rId17" Type="http://schemas.openxmlformats.org/officeDocument/2006/relationships/image" Target="media/image3.emf"/><Relationship Id="rId25" Type="http://schemas.openxmlformats.org/officeDocument/2006/relationships/hyperlink" Target="https://pxweb.stat.si/SiStatData/pxweb/sl/Data/-/0762115S.px/" TargetMode="External"/><Relationship Id="rId33" Type="http://schemas.openxmlformats.org/officeDocument/2006/relationships/hyperlink" Target="https://www.ekosklad.si/prebivalstvo/ensvet/pisarna" TargetMode="External"/><Relationship Id="rId38" Type="http://schemas.openxmlformats.org/officeDocument/2006/relationships/hyperlink" Target="https://pxweb.stat.si/SiStatData/pxweb/sl/Data/-/0861202s.px/table/tableViewLayout2/" TargetMode="External"/><Relationship Id="rId46" Type="http://schemas.openxmlformats.org/officeDocument/2006/relationships/hyperlink" Target="https://www.gov.si/assets/ministrstva/MKRR/DRR/RRP-2021_2027/RRP-Zasavske-razvojne-regije.pdf" TargetMode="External"/><Relationship Id="rId20" Type="http://schemas.openxmlformats.org/officeDocument/2006/relationships/hyperlink" Target="https://pxweb.stat.si/SiStatData/pxweb/sl/Data/Data/0886704S.px/" TargetMode="External"/><Relationship Id="rId41" Type="http://schemas.openxmlformats.org/officeDocument/2006/relationships/hyperlink" Target="http://www.pisrs.si/Pis.web/pregledPredpisa?id=URED8435"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si/teme/prostovoljstvo/" TargetMode="External"/><Relationship Id="rId23" Type="http://schemas.openxmlformats.org/officeDocument/2006/relationships/hyperlink" Target="https://pxweb.stat.si/SiStatData/pxweb/sl/Data/-/0867631S.PX/table/tableViewLayout2/" TargetMode="External"/><Relationship Id="rId28" Type="http://schemas.openxmlformats.org/officeDocument/2006/relationships/hyperlink" Target="https://www.stat.si/StatWeb/News/Index/10644" TargetMode="External"/><Relationship Id="rId36" Type="http://schemas.openxmlformats.org/officeDocument/2006/relationships/hyperlink" Target="https://www.gov.si/teme/prostovoljstvo/" TargetMode="External"/><Relationship Id="rId49" Type="http://schemas.openxmlformats.org/officeDocument/2006/relationships/hyperlink" Target="https://www.gov.si/assets/ministrstva/MKRR/DRR/RRP-2021_2027/RRP-Primorsko-notranjske-razvojne-regije-Programski-del.pdf" TargetMode="External"/><Relationship Id="rId57" Type="http://schemas.openxmlformats.org/officeDocument/2006/relationships/theme" Target="theme/theme1.xml"/><Relationship Id="rId10" Type="http://schemas.openxmlformats.org/officeDocument/2006/relationships/hyperlink" Target="https://pxweb.stat.si/SiStatData/pxweb/sl/Data/Data/0886704S.px/" TargetMode="External"/><Relationship Id="rId31" Type="http://schemas.openxmlformats.org/officeDocument/2006/relationships/hyperlink" Target="https://www.energetika-portal.si/podrocja/energetika/lokalne-energetske-agencije/" TargetMode="External"/><Relationship Id="rId44" Type="http://schemas.openxmlformats.org/officeDocument/2006/relationships/hyperlink" Target="https://www.gov.si/assets/ministrstva/MKRR/DRR/RRP-2021_2027/RRP-Koroske-razvojne-regije.pdf" TargetMode="External"/><Relationship Id="rId52" Type="http://schemas.openxmlformats.org/officeDocument/2006/relationships/hyperlink" Target="https://www.gov.si/assets/ministrstva/MKRR/DRR/RRP-2021_2027/RRP-Goriske-razvojne-regij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kosklad.si/informacije/o-skladu/letna-porocila" TargetMode="External"/><Relationship Id="rId13" Type="http://schemas.openxmlformats.org/officeDocument/2006/relationships/hyperlink" Target="https://pxweb.stat.si/SiStat/sl" TargetMode="External"/><Relationship Id="rId3" Type="http://schemas.openxmlformats.org/officeDocument/2006/relationships/hyperlink" Target="https://www.energetika-portal.si/fileadmin/dokumenti/publikacije/nepn/dokumenti/nepn_5.0_final_feb-2020.pdf" TargetMode="External"/><Relationship Id="rId7" Type="http://schemas.openxmlformats.org/officeDocument/2006/relationships/hyperlink" Target="https://podnebnapot2050.si/rezultati-slovenije/letno-podnebno-ogledalo/" TargetMode="External"/><Relationship Id="rId12" Type="http://schemas.openxmlformats.org/officeDocument/2006/relationships/hyperlink" Target="https://www.energetika-portal.si/podrocja/energetika/energetska-revscina/preucitev-in-strokovne-podlage-za-razvoj-ukrepov-za-boj-proti-energetski-revscini/" TargetMode="External"/><Relationship Id="rId17" Type="http://schemas.openxmlformats.org/officeDocument/2006/relationships/hyperlink" Target="https://www.eu-skladi.si/sl/dokumenti/kljucni-dokumenti/program-ekp-2021-27_si_sfc-razlicica-1-2.pdf" TargetMode="External"/><Relationship Id="rId2" Type="http://schemas.openxmlformats.org/officeDocument/2006/relationships/hyperlink" Target="http://www.uradni-list.si/1/objava.jsp?sop=2018-01-1754" TargetMode="External"/><Relationship Id="rId16" Type="http://schemas.openxmlformats.org/officeDocument/2006/relationships/hyperlink" Target="https://www.energetika-portal.si/podrocja/energetika/energetska-revscina/preucitev-in-strokovne-podlage-za-razvoj-ukrepov-za-boj-proti-energetski-revscini/" TargetMode="External"/><Relationship Id="rId1" Type="http://schemas.openxmlformats.org/officeDocument/2006/relationships/hyperlink" Target="http://www.uradni-list.si/1/objava.jsp?sop=2010-01-3042" TargetMode="External"/><Relationship Id="rId6" Type="http://schemas.openxmlformats.org/officeDocument/2006/relationships/hyperlink" Target="https://eur-lex.europa.eu/legal-content/SL/TXT/HTML/?uri=CELEX:32023L1791" TargetMode="External"/><Relationship Id="rId11" Type="http://schemas.openxmlformats.org/officeDocument/2006/relationships/hyperlink" Target="https://www.energetika-portal.si/fileadmin/dokumenti/publikacije/dseps/dseps_2050_final.pdf" TargetMode="External"/><Relationship Id="rId5" Type="http://schemas.openxmlformats.org/officeDocument/2006/relationships/hyperlink" Target="http://www.uradni-list.si/1/objava.jsp?sop=2022-01-0873" TargetMode="External"/><Relationship Id="rId15" Type="http://schemas.openxmlformats.org/officeDocument/2006/relationships/hyperlink" Target="http://www.pisrs.si/Pis.web/pregledPredpisa?id=URED8435" TargetMode="External"/><Relationship Id="rId10" Type="http://schemas.openxmlformats.org/officeDocument/2006/relationships/hyperlink" Target="file:///C:\Users\RomeG62\AppData\Local\Microsoft\Windows\INetCache\Content.Outlook\9AFEXTU1\Dolgoro&#269;na%20strategija%20energetske%20prenove%20stavb%20do%20leta%202050%20(DSEPS2050),%20Vlada%20Republike%20Slovenije,%2024.%20februar%202021" TargetMode="External"/><Relationship Id="rId4" Type="http://schemas.openxmlformats.org/officeDocument/2006/relationships/hyperlink" Target="http://www.uradni-list.si/1/objava.jsp?sop=2021-01-2552" TargetMode="External"/><Relationship Id="rId9" Type="http://schemas.openxmlformats.org/officeDocument/2006/relationships/hyperlink" Target="http://vrs-3.vlada.si/MANDAT22/vladnagradiva.nsf/71d4985ffda5de89c12572c3003716c4/6765accbfa05c366c1258a540048c253?OpenDocument" TargetMode="External"/><Relationship Id="rId14" Type="http://schemas.openxmlformats.org/officeDocument/2006/relationships/hyperlink" Target="https://ec.europa.eu/eurostat/web/income-and-living-condition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D21D8-FC1A-4E1F-9F24-CDC76FA3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24900</Words>
  <Characters>141933</Characters>
  <Application>Microsoft Office Word</Application>
  <DocSecurity>0</DocSecurity>
  <Lines>1182</Lines>
  <Paragraphs>332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IER</Company>
  <LinksUpToDate>false</LinksUpToDate>
  <CharactersWithSpaces>166501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dc:creator>
  <cp:lastModifiedBy>Erik Potočar</cp:lastModifiedBy>
  <cp:revision>4</cp:revision>
  <cp:lastPrinted>2023-11-09T17:10:00Z</cp:lastPrinted>
  <dcterms:created xsi:type="dcterms:W3CDTF">2023-11-20T15:49:00Z</dcterms:created>
  <dcterms:modified xsi:type="dcterms:W3CDTF">2023-11-20T15:51:00Z</dcterms:modified>
</cp:coreProperties>
</file>