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13A6" w14:textId="77777777" w:rsidR="007F2BA0" w:rsidRPr="00620790" w:rsidRDefault="007F2BA0" w:rsidP="007F2BA0">
      <w:pPr>
        <w:spacing w:before="40"/>
        <w:ind w:right="-3"/>
        <w:rPr>
          <w:rFonts w:cs="Arial"/>
          <w:szCs w:val="20"/>
        </w:rPr>
      </w:pPr>
      <w:r w:rsidRPr="00620790">
        <w:rPr>
          <w:rFonts w:cs="Arial"/>
          <w:noProof/>
          <w:szCs w:val="20"/>
          <w:lang w:eastAsia="sl-SI"/>
        </w:rPr>
        <w:drawing>
          <wp:inline distT="0" distB="0" distL="0" distR="0" wp14:anchorId="62702978" wp14:editId="03F3C514">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r w:rsidRPr="00620790">
        <w:rPr>
          <w:rFonts w:cs="Arial"/>
          <w:szCs w:val="20"/>
        </w:rPr>
        <w:t xml:space="preserve"> </w:t>
      </w:r>
    </w:p>
    <w:p w14:paraId="1E4AA112" w14:textId="77777777" w:rsidR="007F2BA0" w:rsidRPr="00620790" w:rsidRDefault="007F2BA0" w:rsidP="007F2BA0">
      <w:pPr>
        <w:pStyle w:val="Glava"/>
        <w:tabs>
          <w:tab w:val="clear" w:pos="4320"/>
          <w:tab w:val="clear" w:pos="8640"/>
          <w:tab w:val="left" w:pos="5112"/>
        </w:tabs>
        <w:spacing w:line="240" w:lineRule="exact"/>
        <w:rPr>
          <w:rFonts w:cs="Arial"/>
          <w:sz w:val="18"/>
          <w:szCs w:val="18"/>
        </w:rPr>
      </w:pPr>
      <w:r w:rsidRPr="00620790">
        <w:rPr>
          <w:rFonts w:cs="Arial"/>
          <w:sz w:val="18"/>
          <w:szCs w:val="18"/>
        </w:rPr>
        <w:t>Langusova ulica 4, 1000 Ljubljana</w:t>
      </w:r>
      <w:r w:rsidRPr="00620790">
        <w:rPr>
          <w:rFonts w:cs="Arial"/>
          <w:sz w:val="18"/>
          <w:szCs w:val="18"/>
        </w:rPr>
        <w:tab/>
        <w:t>T: 01 478 82 00</w:t>
      </w:r>
    </w:p>
    <w:p w14:paraId="3011FA3E" w14:textId="77777777" w:rsidR="007F2BA0" w:rsidRPr="00620790" w:rsidRDefault="007F2BA0" w:rsidP="007F2BA0">
      <w:pPr>
        <w:pStyle w:val="Glava"/>
        <w:tabs>
          <w:tab w:val="clear" w:pos="4320"/>
          <w:tab w:val="clear" w:pos="8640"/>
          <w:tab w:val="left" w:pos="5112"/>
        </w:tabs>
        <w:spacing w:line="240" w:lineRule="exact"/>
        <w:rPr>
          <w:rFonts w:cs="Arial"/>
          <w:sz w:val="18"/>
          <w:szCs w:val="18"/>
        </w:rPr>
      </w:pPr>
      <w:r w:rsidRPr="00620790">
        <w:rPr>
          <w:rFonts w:cs="Arial"/>
          <w:sz w:val="18"/>
          <w:szCs w:val="18"/>
        </w:rPr>
        <w:tab/>
        <w:t>E: gp.mope@gov.si</w:t>
      </w:r>
    </w:p>
    <w:p w14:paraId="3CB9FA09" w14:textId="77777777" w:rsidR="007F2BA0" w:rsidRPr="00620790" w:rsidRDefault="007F2BA0" w:rsidP="007F2BA0">
      <w:pPr>
        <w:pStyle w:val="Glava"/>
        <w:tabs>
          <w:tab w:val="clear" w:pos="4320"/>
          <w:tab w:val="clear" w:pos="8640"/>
          <w:tab w:val="left" w:pos="5112"/>
        </w:tabs>
        <w:spacing w:line="240" w:lineRule="exact"/>
        <w:rPr>
          <w:rFonts w:cs="Arial"/>
          <w:sz w:val="18"/>
          <w:szCs w:val="18"/>
        </w:rPr>
      </w:pPr>
      <w:r w:rsidRPr="00620790">
        <w:rPr>
          <w:rFonts w:cs="Arial"/>
          <w:sz w:val="18"/>
          <w:szCs w:val="18"/>
        </w:rPr>
        <w:tab/>
        <w:t>www.mope.gov.si</w:t>
      </w:r>
    </w:p>
    <w:p w14:paraId="45B9F91F" w14:textId="77777777" w:rsidR="007F2BA0" w:rsidRPr="00620790" w:rsidRDefault="007F2BA0" w:rsidP="007F2BA0">
      <w:pPr>
        <w:spacing w:before="60"/>
        <w:ind w:right="-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F2BA0" w:rsidRPr="00620790" w14:paraId="5A8A0D5A" w14:textId="77777777" w:rsidTr="00F1346F">
        <w:trPr>
          <w:gridAfter w:val="2"/>
          <w:wAfter w:w="3067" w:type="dxa"/>
        </w:trPr>
        <w:tc>
          <w:tcPr>
            <w:tcW w:w="6096" w:type="dxa"/>
            <w:gridSpan w:val="2"/>
          </w:tcPr>
          <w:p w14:paraId="0A96E98A" w14:textId="13DD07B9" w:rsidR="007F2BA0" w:rsidRPr="00620790" w:rsidRDefault="007F2BA0" w:rsidP="00F1346F">
            <w:pPr>
              <w:pStyle w:val="Neotevilenodstavek"/>
              <w:spacing w:before="0" w:after="0" w:line="260" w:lineRule="exact"/>
              <w:jc w:val="left"/>
              <w:rPr>
                <w:szCs w:val="20"/>
              </w:rPr>
            </w:pPr>
            <w:r w:rsidRPr="00620790">
              <w:rPr>
                <w:noProof/>
                <w:szCs w:val="20"/>
              </w:rPr>
              <mc:AlternateContent>
                <mc:Choice Requires="wps">
                  <w:drawing>
                    <wp:anchor distT="0" distB="0" distL="114300" distR="114300" simplePos="0" relativeHeight="251659264" behindDoc="1" locked="0" layoutInCell="1" allowOverlap="1" wp14:anchorId="39DC33A2" wp14:editId="4FB59D80">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8F75D" w14:textId="77777777" w:rsidR="007F2BA0" w:rsidRPr="00D61ACE" w:rsidRDefault="007F2BA0" w:rsidP="007F2BA0">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C33A2"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6CB8F75D" w14:textId="77777777" w:rsidR="007F2BA0" w:rsidRPr="00D61ACE" w:rsidRDefault="007F2BA0" w:rsidP="007F2BA0">
                            <w:pPr>
                              <w:rPr>
                                <w:color w:val="000000"/>
                                <w:spacing w:val="-2"/>
                                <w:sz w:val="16"/>
                                <w:szCs w:val="16"/>
                                <w:lang w:eastAsia="sl-SI"/>
                              </w:rPr>
                            </w:pPr>
                          </w:p>
                        </w:txbxContent>
                      </v:textbox>
                    </v:shape>
                  </w:pict>
                </mc:Fallback>
              </mc:AlternateContent>
            </w:r>
            <w:r w:rsidRPr="00620790">
              <w:rPr>
                <w:szCs w:val="20"/>
              </w:rPr>
              <w:t xml:space="preserve">Številka: </w:t>
            </w:r>
            <w:r w:rsidR="001C42E1" w:rsidRPr="001C42E1">
              <w:rPr>
                <w:szCs w:val="20"/>
              </w:rPr>
              <w:t>360-195/2023-2570-4</w:t>
            </w:r>
          </w:p>
        </w:tc>
      </w:tr>
      <w:tr w:rsidR="007F2BA0" w:rsidRPr="00620790" w14:paraId="123A2385" w14:textId="77777777" w:rsidTr="00F1346F">
        <w:trPr>
          <w:gridAfter w:val="2"/>
          <w:wAfter w:w="3067" w:type="dxa"/>
        </w:trPr>
        <w:tc>
          <w:tcPr>
            <w:tcW w:w="6096" w:type="dxa"/>
            <w:gridSpan w:val="2"/>
          </w:tcPr>
          <w:p w14:paraId="7D2F14B3" w14:textId="60AD992A" w:rsidR="007F2BA0" w:rsidRPr="00620790" w:rsidRDefault="007F2BA0" w:rsidP="003D4054">
            <w:pPr>
              <w:pStyle w:val="Neotevilenodstavek"/>
              <w:spacing w:line="260" w:lineRule="exact"/>
              <w:jc w:val="left"/>
              <w:rPr>
                <w:szCs w:val="20"/>
              </w:rPr>
            </w:pPr>
            <w:r w:rsidRPr="00620790">
              <w:rPr>
                <w:szCs w:val="20"/>
              </w:rPr>
              <w:t xml:space="preserve">Ljubljana, </w:t>
            </w:r>
            <w:r w:rsidR="002B2F0E">
              <w:rPr>
                <w:szCs w:val="20"/>
              </w:rPr>
              <w:t>20</w:t>
            </w:r>
            <w:r w:rsidRPr="00620790">
              <w:rPr>
                <w:szCs w:val="20"/>
              </w:rPr>
              <w:t xml:space="preserve">. </w:t>
            </w:r>
            <w:r>
              <w:rPr>
                <w:szCs w:val="20"/>
              </w:rPr>
              <w:t>11</w:t>
            </w:r>
            <w:r w:rsidRPr="00620790">
              <w:rPr>
                <w:szCs w:val="20"/>
              </w:rPr>
              <w:t>. 2023</w:t>
            </w:r>
          </w:p>
        </w:tc>
      </w:tr>
      <w:tr w:rsidR="007F2BA0" w:rsidRPr="00620790" w14:paraId="29BB0F24" w14:textId="77777777" w:rsidTr="00F1346F">
        <w:trPr>
          <w:gridAfter w:val="2"/>
          <w:wAfter w:w="3067" w:type="dxa"/>
        </w:trPr>
        <w:tc>
          <w:tcPr>
            <w:tcW w:w="6096" w:type="dxa"/>
            <w:gridSpan w:val="2"/>
          </w:tcPr>
          <w:p w14:paraId="5B716EF8" w14:textId="59BF18C8" w:rsidR="007F2BA0" w:rsidRPr="00620790" w:rsidRDefault="007F2BA0" w:rsidP="00F1346F">
            <w:pPr>
              <w:pStyle w:val="Neotevilenodstavek"/>
              <w:spacing w:before="0" w:after="0" w:line="260" w:lineRule="exact"/>
              <w:jc w:val="left"/>
              <w:rPr>
                <w:szCs w:val="20"/>
              </w:rPr>
            </w:pPr>
          </w:p>
        </w:tc>
      </w:tr>
      <w:tr w:rsidR="007F2BA0" w:rsidRPr="00620790" w14:paraId="13707EA7" w14:textId="77777777" w:rsidTr="00F1346F">
        <w:trPr>
          <w:gridAfter w:val="2"/>
          <w:wAfter w:w="3067" w:type="dxa"/>
          <w:trHeight w:val="1151"/>
        </w:trPr>
        <w:tc>
          <w:tcPr>
            <w:tcW w:w="6096" w:type="dxa"/>
            <w:gridSpan w:val="2"/>
          </w:tcPr>
          <w:p w14:paraId="084092E7" w14:textId="77777777" w:rsidR="007F2BA0" w:rsidRPr="00620790" w:rsidRDefault="007F2BA0" w:rsidP="00F1346F">
            <w:pPr>
              <w:spacing w:line="260" w:lineRule="exact"/>
              <w:rPr>
                <w:rFonts w:cs="Arial"/>
                <w:szCs w:val="20"/>
              </w:rPr>
            </w:pPr>
            <w:r w:rsidRPr="00620790">
              <w:rPr>
                <w:rFonts w:cs="Arial"/>
                <w:szCs w:val="20"/>
              </w:rPr>
              <w:t>GENERALNI SEKRETARIAT VLADE REPUBLIKE SLOVENIJE</w:t>
            </w:r>
          </w:p>
          <w:p w14:paraId="30504B96" w14:textId="77777777" w:rsidR="007F2BA0" w:rsidRPr="00620790" w:rsidRDefault="00417231" w:rsidP="00F1346F">
            <w:pPr>
              <w:spacing w:line="260" w:lineRule="exact"/>
              <w:rPr>
                <w:rFonts w:cs="Arial"/>
                <w:szCs w:val="20"/>
              </w:rPr>
            </w:pPr>
            <w:hyperlink r:id="rId9" w:history="1">
              <w:r w:rsidR="007F2BA0" w:rsidRPr="00620790">
                <w:rPr>
                  <w:rStyle w:val="Hiperpovezava"/>
                  <w:rFonts w:cs="Arial"/>
                  <w:szCs w:val="20"/>
                </w:rPr>
                <w:t>gp.gs@gov.si</w:t>
              </w:r>
            </w:hyperlink>
          </w:p>
        </w:tc>
      </w:tr>
      <w:tr w:rsidR="007F2BA0" w:rsidRPr="00620790" w14:paraId="677ED1C9" w14:textId="77777777" w:rsidTr="00F1346F">
        <w:tc>
          <w:tcPr>
            <w:tcW w:w="9163" w:type="dxa"/>
            <w:gridSpan w:val="4"/>
          </w:tcPr>
          <w:p w14:paraId="5DB7993E" w14:textId="1354614D" w:rsidR="007F2BA0" w:rsidRPr="00BB6A0A" w:rsidRDefault="007F2BA0" w:rsidP="003D4054">
            <w:pPr>
              <w:pStyle w:val="Naslovpredpisa"/>
              <w:spacing w:before="0" w:after="0" w:line="260" w:lineRule="exact"/>
              <w:jc w:val="left"/>
              <w:rPr>
                <w:szCs w:val="20"/>
              </w:rPr>
            </w:pPr>
            <w:r w:rsidRPr="00BB6A0A">
              <w:rPr>
                <w:szCs w:val="20"/>
              </w:rPr>
              <w:t xml:space="preserve">ZADEVA: </w:t>
            </w:r>
            <w:r>
              <w:rPr>
                <w:szCs w:val="20"/>
              </w:rPr>
              <w:t>Akcijsk</w:t>
            </w:r>
            <w:r w:rsidR="00F81979">
              <w:rPr>
                <w:szCs w:val="20"/>
              </w:rPr>
              <w:t>i</w:t>
            </w:r>
            <w:r>
              <w:rPr>
                <w:szCs w:val="20"/>
              </w:rPr>
              <w:t xml:space="preserve"> načrt za zmanjševanje energetske revščine</w:t>
            </w:r>
            <w:r w:rsidRPr="00BB6A0A">
              <w:rPr>
                <w:szCs w:val="20"/>
              </w:rPr>
              <w:t xml:space="preserve"> – predlog za obravnavo </w:t>
            </w:r>
          </w:p>
        </w:tc>
      </w:tr>
      <w:tr w:rsidR="007F2BA0" w:rsidRPr="00620790" w14:paraId="323B9840" w14:textId="77777777" w:rsidTr="00F1346F">
        <w:tc>
          <w:tcPr>
            <w:tcW w:w="9163" w:type="dxa"/>
            <w:gridSpan w:val="4"/>
          </w:tcPr>
          <w:p w14:paraId="07430C4D" w14:textId="77777777" w:rsidR="007F2BA0" w:rsidRPr="00620790" w:rsidRDefault="007F2BA0" w:rsidP="00F1346F">
            <w:pPr>
              <w:pStyle w:val="Poglavje"/>
              <w:spacing w:before="0" w:after="0" w:line="260" w:lineRule="exact"/>
              <w:jc w:val="left"/>
              <w:rPr>
                <w:szCs w:val="20"/>
              </w:rPr>
            </w:pPr>
            <w:r w:rsidRPr="00620790">
              <w:rPr>
                <w:szCs w:val="20"/>
              </w:rPr>
              <w:t>1. Predlog sklepov vlade:</w:t>
            </w:r>
          </w:p>
        </w:tc>
      </w:tr>
      <w:tr w:rsidR="007F2BA0" w:rsidRPr="00620790" w14:paraId="013F21B4" w14:textId="77777777" w:rsidTr="00F1346F">
        <w:tc>
          <w:tcPr>
            <w:tcW w:w="9163" w:type="dxa"/>
            <w:gridSpan w:val="4"/>
          </w:tcPr>
          <w:p w14:paraId="334CA485" w14:textId="20B40DFD" w:rsidR="007F2BA0" w:rsidRPr="00620790" w:rsidRDefault="007F2BA0" w:rsidP="00F1346F">
            <w:pPr>
              <w:overflowPunct w:val="0"/>
              <w:autoSpaceDE w:val="0"/>
              <w:autoSpaceDN w:val="0"/>
              <w:adjustRightInd w:val="0"/>
              <w:textAlignment w:val="baseline"/>
              <w:rPr>
                <w:rFonts w:cs="Arial"/>
                <w:szCs w:val="20"/>
              </w:rPr>
            </w:pPr>
            <w:r w:rsidRPr="00620790">
              <w:rPr>
                <w:rFonts w:cs="Arial"/>
                <w:szCs w:val="20"/>
              </w:rPr>
              <w:t>Na podlagi</w:t>
            </w:r>
            <w:r w:rsidR="00EA747F">
              <w:rPr>
                <w:rFonts w:cs="Arial"/>
                <w:szCs w:val="20"/>
              </w:rPr>
              <w:t xml:space="preserve"> prvega</w:t>
            </w:r>
            <w:r w:rsidRPr="00620790">
              <w:rPr>
                <w:rFonts w:cs="Arial"/>
                <w:szCs w:val="20"/>
              </w:rPr>
              <w:t xml:space="preserve"> </w:t>
            </w:r>
            <w:r w:rsidR="008A416F">
              <w:rPr>
                <w:rFonts w:cs="Arial"/>
                <w:szCs w:val="20"/>
              </w:rPr>
              <w:t xml:space="preserve">odstavka </w:t>
            </w:r>
            <w:r w:rsidRPr="00620790">
              <w:rPr>
                <w:rFonts w:cs="Arial"/>
                <w:szCs w:val="20"/>
              </w:rPr>
              <w:t>2. člena Zakona o Vladi Republike Slovenije (Uradni list RS, št. 24/05 – uradno prečiščeno besedilo, 109/08, 38/10 – ZUKN, 8/12, 21/13, 47/13 – ZDU-1G, 65/14, 55/17</w:t>
            </w:r>
            <w:r w:rsidR="00255320">
              <w:rPr>
                <w:rFonts w:cs="Arial"/>
                <w:szCs w:val="20"/>
              </w:rPr>
              <w:t xml:space="preserve"> in 163/22</w:t>
            </w:r>
            <w:r w:rsidR="008A416F">
              <w:rPr>
                <w:rFonts w:cs="Arial"/>
                <w:szCs w:val="20"/>
              </w:rPr>
              <w:t>)</w:t>
            </w:r>
            <w:r>
              <w:rPr>
                <w:rFonts w:cs="Arial"/>
                <w:szCs w:val="20"/>
              </w:rPr>
              <w:t xml:space="preserve">, </w:t>
            </w:r>
            <w:r w:rsidR="00EA747F">
              <w:rPr>
                <w:rFonts w:cs="Arial"/>
                <w:szCs w:val="20"/>
              </w:rPr>
              <w:t>drug</w:t>
            </w:r>
            <w:r w:rsidR="003D4054">
              <w:rPr>
                <w:rFonts w:cs="Arial"/>
                <w:szCs w:val="20"/>
              </w:rPr>
              <w:t>ega</w:t>
            </w:r>
            <w:r w:rsidR="00EA747F">
              <w:rPr>
                <w:rFonts w:cs="Arial"/>
                <w:szCs w:val="20"/>
              </w:rPr>
              <w:t xml:space="preserve"> odstav</w:t>
            </w:r>
            <w:r w:rsidR="003D4054">
              <w:rPr>
                <w:rFonts w:cs="Arial"/>
                <w:szCs w:val="20"/>
              </w:rPr>
              <w:t>ka</w:t>
            </w:r>
            <w:r w:rsidR="00EA747F">
              <w:rPr>
                <w:rFonts w:cs="Arial"/>
                <w:szCs w:val="20"/>
              </w:rPr>
              <w:t xml:space="preserve"> </w:t>
            </w:r>
            <w:r>
              <w:rPr>
                <w:rFonts w:cs="Arial"/>
                <w:szCs w:val="20"/>
              </w:rPr>
              <w:t>34. člena Zakona o oskrbi z električno energijo (Uradni list RS, št. 172/21)</w:t>
            </w:r>
            <w:r w:rsidRPr="00620790">
              <w:rPr>
                <w:rFonts w:cs="Arial"/>
                <w:szCs w:val="20"/>
              </w:rPr>
              <w:t xml:space="preserve"> in </w:t>
            </w:r>
            <w:r w:rsidR="00EA747F">
              <w:rPr>
                <w:rFonts w:cs="Arial"/>
                <w:szCs w:val="20"/>
              </w:rPr>
              <w:t>drug</w:t>
            </w:r>
            <w:r w:rsidR="003D4054">
              <w:rPr>
                <w:rFonts w:cs="Arial"/>
                <w:szCs w:val="20"/>
              </w:rPr>
              <w:t>ega</w:t>
            </w:r>
            <w:r w:rsidR="00EA747F">
              <w:rPr>
                <w:rFonts w:cs="Arial"/>
                <w:szCs w:val="20"/>
              </w:rPr>
              <w:t xml:space="preserve"> odstav</w:t>
            </w:r>
            <w:r w:rsidR="003D4054">
              <w:rPr>
                <w:rFonts w:cs="Arial"/>
                <w:szCs w:val="20"/>
              </w:rPr>
              <w:t>ka</w:t>
            </w:r>
            <w:r w:rsidR="00EA747F">
              <w:rPr>
                <w:rFonts w:cs="Arial"/>
                <w:szCs w:val="20"/>
              </w:rPr>
              <w:t xml:space="preserve"> </w:t>
            </w:r>
            <w:r>
              <w:rPr>
                <w:rFonts w:cs="Arial"/>
                <w:szCs w:val="20"/>
              </w:rPr>
              <w:t>5. člen</w:t>
            </w:r>
            <w:r w:rsidR="003D4054">
              <w:rPr>
                <w:rFonts w:cs="Arial"/>
                <w:szCs w:val="20"/>
              </w:rPr>
              <w:t>a</w:t>
            </w:r>
            <w:r>
              <w:rPr>
                <w:rFonts w:cs="Arial"/>
                <w:szCs w:val="20"/>
              </w:rPr>
              <w:t xml:space="preserve"> Uredbe o merilih za opredelitev in ocenjevanje števila energetsko revnih gospodinjstev (Uradni list RS, št. 132/22)</w:t>
            </w:r>
            <w:r w:rsidRPr="00620790">
              <w:rPr>
                <w:rFonts w:cs="Arial"/>
                <w:szCs w:val="20"/>
              </w:rPr>
              <w:t xml:space="preserve"> je Vlada Republike Slovenije na …  seji dne …  pod točko ...  sprejela sklep:</w:t>
            </w:r>
          </w:p>
          <w:p w14:paraId="1E5050EB" w14:textId="77777777" w:rsidR="007F2BA0" w:rsidRPr="00620790" w:rsidRDefault="007F2BA0" w:rsidP="00F1346F">
            <w:pPr>
              <w:pStyle w:val="Neotevilenodstavek"/>
              <w:spacing w:before="0" w:after="0" w:line="260" w:lineRule="exact"/>
              <w:rPr>
                <w:iCs/>
                <w:szCs w:val="20"/>
              </w:rPr>
            </w:pPr>
          </w:p>
          <w:p w14:paraId="0A3D0F9B" w14:textId="62066C7B" w:rsidR="007F2BA0" w:rsidRDefault="007F2BA0" w:rsidP="00F1346F">
            <w:pPr>
              <w:pStyle w:val="Neotevilenodstavek"/>
              <w:spacing w:before="0" w:after="0" w:line="260" w:lineRule="exact"/>
              <w:rPr>
                <w:iCs/>
                <w:szCs w:val="20"/>
              </w:rPr>
            </w:pPr>
            <w:r w:rsidRPr="00620790">
              <w:rPr>
                <w:iCs/>
                <w:szCs w:val="20"/>
              </w:rPr>
              <w:t xml:space="preserve">Vlada Republike Slovenije je </w:t>
            </w:r>
            <w:r>
              <w:rPr>
                <w:iCs/>
                <w:szCs w:val="20"/>
              </w:rPr>
              <w:t>sprejela Akcijski načrt za zmanjševanje energetske revščine</w:t>
            </w:r>
            <w:r w:rsidR="00F17EE6">
              <w:rPr>
                <w:iCs/>
                <w:szCs w:val="20"/>
              </w:rPr>
              <w:t xml:space="preserve"> za obdobje treh let</w:t>
            </w:r>
            <w:r>
              <w:rPr>
                <w:iCs/>
                <w:szCs w:val="20"/>
              </w:rPr>
              <w:t xml:space="preserve">. </w:t>
            </w:r>
            <w:r w:rsidRPr="00620790">
              <w:rPr>
                <w:iCs/>
                <w:szCs w:val="20"/>
              </w:rPr>
              <w:t xml:space="preserve"> </w:t>
            </w:r>
          </w:p>
          <w:p w14:paraId="638C64AE" w14:textId="77777777" w:rsidR="007F2BA0" w:rsidRDefault="007F2BA0" w:rsidP="00F1346F">
            <w:pPr>
              <w:pStyle w:val="Neotevilenodstavek"/>
              <w:spacing w:before="0" w:after="0" w:line="260" w:lineRule="exact"/>
              <w:rPr>
                <w:szCs w:val="20"/>
              </w:rPr>
            </w:pPr>
          </w:p>
          <w:p w14:paraId="1BFF49F8" w14:textId="77777777" w:rsidR="007F2BA0" w:rsidRPr="00620790" w:rsidRDefault="007F2BA0" w:rsidP="00F1346F">
            <w:pPr>
              <w:pStyle w:val="Neotevilenodstavek"/>
              <w:spacing w:before="0" w:after="0" w:line="260" w:lineRule="exact"/>
              <w:rPr>
                <w:szCs w:val="20"/>
              </w:rPr>
            </w:pPr>
            <w:r w:rsidRPr="00620790">
              <w:rPr>
                <w:szCs w:val="20"/>
              </w:rPr>
              <w:t xml:space="preserve">                                               </w:t>
            </w:r>
          </w:p>
          <w:p w14:paraId="2BC57202" w14:textId="77777777" w:rsidR="007F2BA0" w:rsidRPr="00620790" w:rsidRDefault="007F2BA0" w:rsidP="00F1346F">
            <w:pPr>
              <w:pStyle w:val="Neotevilenodstavek"/>
              <w:spacing w:before="0" w:after="0" w:line="260" w:lineRule="exact"/>
              <w:ind w:left="720"/>
              <w:rPr>
                <w:iCs/>
                <w:szCs w:val="20"/>
              </w:rPr>
            </w:pPr>
            <w:r w:rsidRPr="00620790">
              <w:rPr>
                <w:iCs/>
                <w:szCs w:val="20"/>
              </w:rPr>
              <w:t xml:space="preserve">                                                                              </w:t>
            </w:r>
            <w:r w:rsidRPr="00620790">
              <w:rPr>
                <w:color w:val="000000"/>
                <w:szCs w:val="20"/>
              </w:rPr>
              <w:t>Barbara Kolenko Helbl</w:t>
            </w:r>
            <w:r w:rsidRPr="00620790">
              <w:rPr>
                <w:iCs/>
                <w:szCs w:val="20"/>
              </w:rPr>
              <w:t xml:space="preserve"> </w:t>
            </w:r>
          </w:p>
          <w:p w14:paraId="50B37212" w14:textId="77777777" w:rsidR="007F2BA0" w:rsidRPr="00620790" w:rsidRDefault="007F2BA0" w:rsidP="00F1346F">
            <w:pPr>
              <w:pStyle w:val="Neotevilenodstavek"/>
              <w:spacing w:before="0" w:after="0" w:line="260" w:lineRule="exact"/>
              <w:rPr>
                <w:szCs w:val="20"/>
              </w:rPr>
            </w:pPr>
            <w:r w:rsidRPr="00620790">
              <w:rPr>
                <w:szCs w:val="20"/>
              </w:rPr>
              <w:t xml:space="preserve">                                                                                      GENERALNA SEKRETARKA</w:t>
            </w:r>
          </w:p>
          <w:p w14:paraId="0F2BF0FD" w14:textId="77777777" w:rsidR="007F2BA0" w:rsidRPr="00620790" w:rsidRDefault="007F2BA0" w:rsidP="00F1346F">
            <w:pPr>
              <w:pStyle w:val="Neotevilenodstavek"/>
              <w:spacing w:before="0" w:after="0" w:line="260" w:lineRule="exact"/>
              <w:rPr>
                <w:iCs/>
                <w:szCs w:val="20"/>
              </w:rPr>
            </w:pPr>
          </w:p>
          <w:p w14:paraId="23C8C239" w14:textId="77777777" w:rsidR="007F2BA0" w:rsidRPr="00620790" w:rsidRDefault="007F2BA0" w:rsidP="00F1346F">
            <w:pPr>
              <w:pStyle w:val="Neotevilenodstavek"/>
              <w:spacing w:before="0" w:after="0" w:line="260" w:lineRule="exact"/>
              <w:rPr>
                <w:iCs/>
                <w:szCs w:val="20"/>
              </w:rPr>
            </w:pPr>
          </w:p>
          <w:p w14:paraId="67CFD3E7" w14:textId="77777777" w:rsidR="007F2BA0" w:rsidRPr="00620790" w:rsidRDefault="007F2BA0" w:rsidP="00F1346F">
            <w:pPr>
              <w:pStyle w:val="Neotevilenodstavek"/>
              <w:spacing w:before="0" w:after="0" w:line="260" w:lineRule="exact"/>
              <w:rPr>
                <w:iCs/>
                <w:szCs w:val="20"/>
              </w:rPr>
            </w:pPr>
            <w:r w:rsidRPr="00620790">
              <w:rPr>
                <w:iCs/>
                <w:szCs w:val="20"/>
              </w:rPr>
              <w:t>Priloga:</w:t>
            </w:r>
          </w:p>
          <w:p w14:paraId="2B0144E6" w14:textId="77777777" w:rsidR="007F2BA0" w:rsidRPr="00620790" w:rsidRDefault="007F2BA0" w:rsidP="007F2BA0">
            <w:pPr>
              <w:pStyle w:val="Neotevilenodstavek"/>
              <w:numPr>
                <w:ilvl w:val="0"/>
                <w:numId w:val="7"/>
              </w:numPr>
              <w:spacing w:before="0" w:after="0" w:line="260" w:lineRule="exact"/>
              <w:rPr>
                <w:iCs/>
                <w:szCs w:val="20"/>
              </w:rPr>
            </w:pPr>
            <w:r w:rsidRPr="00620790">
              <w:rPr>
                <w:iCs/>
                <w:szCs w:val="20"/>
              </w:rPr>
              <w:t xml:space="preserve">predlog </w:t>
            </w:r>
            <w:r>
              <w:rPr>
                <w:iCs/>
                <w:szCs w:val="20"/>
              </w:rPr>
              <w:t>Akcijskega načrta za zmanjševanje energetske revščine</w:t>
            </w:r>
            <w:r w:rsidRPr="00620790">
              <w:rPr>
                <w:iCs/>
                <w:szCs w:val="20"/>
              </w:rPr>
              <w:t xml:space="preserve"> </w:t>
            </w:r>
          </w:p>
          <w:p w14:paraId="6ABCE852" w14:textId="77777777" w:rsidR="007F2BA0" w:rsidRPr="00620790" w:rsidRDefault="007F2BA0" w:rsidP="00F1346F">
            <w:pPr>
              <w:pStyle w:val="Neotevilenodstavek"/>
              <w:spacing w:before="0" w:after="0" w:line="260" w:lineRule="exact"/>
              <w:rPr>
                <w:iCs/>
                <w:szCs w:val="20"/>
              </w:rPr>
            </w:pPr>
          </w:p>
          <w:p w14:paraId="6C29778A" w14:textId="77777777" w:rsidR="007F2BA0" w:rsidRPr="00620790" w:rsidRDefault="007F2BA0" w:rsidP="00F1346F">
            <w:pPr>
              <w:pStyle w:val="Neotevilenodstavek"/>
              <w:spacing w:before="0" w:after="0" w:line="260" w:lineRule="exact"/>
              <w:rPr>
                <w:iCs/>
                <w:szCs w:val="20"/>
              </w:rPr>
            </w:pPr>
            <w:r w:rsidRPr="00620790">
              <w:rPr>
                <w:iCs/>
                <w:szCs w:val="20"/>
              </w:rPr>
              <w:t>Prejemniki:</w:t>
            </w:r>
          </w:p>
          <w:p w14:paraId="0DDBDC9A" w14:textId="77777777" w:rsidR="007F2BA0" w:rsidRPr="00620790" w:rsidRDefault="007F2BA0" w:rsidP="007F2BA0">
            <w:pPr>
              <w:pStyle w:val="Odstavekseznama"/>
              <w:numPr>
                <w:ilvl w:val="0"/>
                <w:numId w:val="8"/>
              </w:numPr>
              <w:overflowPunct w:val="0"/>
              <w:autoSpaceDE w:val="0"/>
              <w:autoSpaceDN w:val="0"/>
              <w:adjustRightInd w:val="0"/>
              <w:spacing w:after="0" w:line="240" w:lineRule="auto"/>
              <w:textAlignment w:val="baseline"/>
              <w:rPr>
                <w:rFonts w:cs="Arial"/>
                <w:bCs/>
                <w:szCs w:val="20"/>
              </w:rPr>
            </w:pPr>
            <w:r w:rsidRPr="00620790">
              <w:rPr>
                <w:rFonts w:cs="Arial"/>
                <w:bCs/>
                <w:szCs w:val="20"/>
              </w:rPr>
              <w:t>vsa ministrstva</w:t>
            </w:r>
          </w:p>
          <w:p w14:paraId="46AAAFF9" w14:textId="77777777" w:rsidR="007F2BA0" w:rsidRPr="00620790" w:rsidRDefault="007F2BA0" w:rsidP="007F2BA0">
            <w:pPr>
              <w:pStyle w:val="Odstavekseznama"/>
              <w:numPr>
                <w:ilvl w:val="0"/>
                <w:numId w:val="8"/>
              </w:numPr>
              <w:overflowPunct w:val="0"/>
              <w:autoSpaceDE w:val="0"/>
              <w:autoSpaceDN w:val="0"/>
              <w:adjustRightInd w:val="0"/>
              <w:spacing w:after="0" w:line="240" w:lineRule="auto"/>
              <w:textAlignment w:val="baseline"/>
              <w:rPr>
                <w:rFonts w:cs="Arial"/>
                <w:szCs w:val="20"/>
              </w:rPr>
            </w:pPr>
            <w:r w:rsidRPr="00620790">
              <w:rPr>
                <w:rFonts w:cs="Arial"/>
                <w:bCs/>
                <w:szCs w:val="20"/>
              </w:rPr>
              <w:t>Služba Vlade RS za zakonodajo</w:t>
            </w:r>
          </w:p>
          <w:p w14:paraId="1D2DCDDC" w14:textId="77777777" w:rsidR="007F2BA0" w:rsidRPr="00620790" w:rsidRDefault="007F2BA0" w:rsidP="00F1346F">
            <w:pPr>
              <w:pStyle w:val="Neotevilenodstavek"/>
              <w:spacing w:before="0" w:after="0" w:line="260" w:lineRule="exact"/>
              <w:rPr>
                <w:iCs/>
                <w:szCs w:val="20"/>
              </w:rPr>
            </w:pPr>
          </w:p>
        </w:tc>
      </w:tr>
      <w:tr w:rsidR="007F2BA0" w:rsidRPr="00620790" w14:paraId="127A8AE6" w14:textId="77777777" w:rsidTr="00F1346F">
        <w:tc>
          <w:tcPr>
            <w:tcW w:w="9163" w:type="dxa"/>
            <w:gridSpan w:val="4"/>
          </w:tcPr>
          <w:p w14:paraId="6DFCB361" w14:textId="77777777" w:rsidR="007F2BA0" w:rsidRPr="00620790" w:rsidRDefault="007F2BA0" w:rsidP="00F1346F">
            <w:pPr>
              <w:pStyle w:val="Neotevilenodstavek"/>
              <w:spacing w:before="0" w:after="0" w:line="260" w:lineRule="exact"/>
              <w:rPr>
                <w:b/>
                <w:iCs/>
                <w:szCs w:val="20"/>
              </w:rPr>
            </w:pPr>
            <w:r w:rsidRPr="00620790">
              <w:rPr>
                <w:b/>
                <w:szCs w:val="20"/>
              </w:rPr>
              <w:t>2. Predlog za obravnavo predloga zakona po nujnem ali skrajšanem postopku v državnem zboru z obrazložitvijo razlogov:</w:t>
            </w:r>
          </w:p>
        </w:tc>
      </w:tr>
      <w:tr w:rsidR="007F2BA0" w:rsidRPr="00620790" w14:paraId="6F6552A4" w14:textId="77777777" w:rsidTr="00F1346F">
        <w:tc>
          <w:tcPr>
            <w:tcW w:w="9163" w:type="dxa"/>
            <w:gridSpan w:val="4"/>
          </w:tcPr>
          <w:p w14:paraId="022F65E9" w14:textId="77777777" w:rsidR="007F2BA0" w:rsidRPr="00620790" w:rsidRDefault="007F2BA0" w:rsidP="00F1346F">
            <w:pPr>
              <w:rPr>
                <w:rFonts w:cs="Arial"/>
                <w:szCs w:val="20"/>
              </w:rPr>
            </w:pPr>
            <w:r w:rsidRPr="00620790">
              <w:rPr>
                <w:rFonts w:cs="Arial"/>
                <w:szCs w:val="20"/>
              </w:rPr>
              <w:t>/</w:t>
            </w:r>
          </w:p>
        </w:tc>
      </w:tr>
      <w:tr w:rsidR="007F2BA0" w:rsidRPr="00620790" w14:paraId="79D81713" w14:textId="77777777" w:rsidTr="00F1346F">
        <w:tc>
          <w:tcPr>
            <w:tcW w:w="9163" w:type="dxa"/>
            <w:gridSpan w:val="4"/>
          </w:tcPr>
          <w:p w14:paraId="1D2043DC" w14:textId="77777777" w:rsidR="007F2BA0" w:rsidRPr="00620790" w:rsidRDefault="007F2BA0" w:rsidP="00F1346F">
            <w:pPr>
              <w:pStyle w:val="Neotevilenodstavek"/>
              <w:spacing w:before="0" w:after="0" w:line="260" w:lineRule="exact"/>
              <w:rPr>
                <w:b/>
                <w:iCs/>
                <w:szCs w:val="20"/>
              </w:rPr>
            </w:pPr>
            <w:r w:rsidRPr="00620790">
              <w:rPr>
                <w:b/>
                <w:szCs w:val="20"/>
              </w:rPr>
              <w:t>3.a Osebe, odgovorne za strokovno pripravo in usklajenost gradiva:</w:t>
            </w:r>
          </w:p>
        </w:tc>
      </w:tr>
      <w:tr w:rsidR="007F2BA0" w:rsidRPr="00620790" w14:paraId="568C41E8" w14:textId="77777777" w:rsidTr="00F1346F">
        <w:tc>
          <w:tcPr>
            <w:tcW w:w="9163" w:type="dxa"/>
            <w:gridSpan w:val="4"/>
          </w:tcPr>
          <w:p w14:paraId="71FA3108" w14:textId="77777777" w:rsidR="007F2BA0" w:rsidRPr="00620790" w:rsidRDefault="007F2BA0" w:rsidP="007F2BA0">
            <w:pPr>
              <w:pStyle w:val="Neotevilenodstavek"/>
              <w:numPr>
                <w:ilvl w:val="0"/>
                <w:numId w:val="6"/>
              </w:numPr>
              <w:spacing w:before="0" w:after="0" w:line="260" w:lineRule="exact"/>
              <w:rPr>
                <w:iCs/>
                <w:szCs w:val="20"/>
              </w:rPr>
            </w:pPr>
            <w:r w:rsidRPr="00620790">
              <w:rPr>
                <w:iCs/>
                <w:szCs w:val="20"/>
              </w:rPr>
              <w:t>mag. Bojan Kumer, minister</w:t>
            </w:r>
            <w:r>
              <w:rPr>
                <w:iCs/>
                <w:szCs w:val="20"/>
              </w:rPr>
              <w:t>,</w:t>
            </w:r>
          </w:p>
          <w:p w14:paraId="2637E6EF" w14:textId="77777777" w:rsidR="007F2BA0" w:rsidRPr="00620790" w:rsidRDefault="007F2BA0" w:rsidP="007F2BA0">
            <w:pPr>
              <w:pStyle w:val="Neotevilenodstavek"/>
              <w:numPr>
                <w:ilvl w:val="0"/>
                <w:numId w:val="6"/>
              </w:numPr>
              <w:spacing w:before="0" w:after="0" w:line="240" w:lineRule="auto"/>
              <w:ind w:left="714" w:hanging="357"/>
              <w:rPr>
                <w:iCs/>
                <w:szCs w:val="20"/>
              </w:rPr>
            </w:pPr>
            <w:r w:rsidRPr="00620790">
              <w:rPr>
                <w:iCs/>
                <w:szCs w:val="20"/>
              </w:rPr>
              <w:t>mag. Tina Seršen, državna sekretarka</w:t>
            </w:r>
            <w:r>
              <w:rPr>
                <w:iCs/>
                <w:szCs w:val="20"/>
              </w:rPr>
              <w:t>,</w:t>
            </w:r>
          </w:p>
          <w:p w14:paraId="49A32F5F" w14:textId="77777777" w:rsidR="007F2BA0" w:rsidRPr="00C37C71" w:rsidRDefault="007F2BA0" w:rsidP="007F2BA0">
            <w:pPr>
              <w:pStyle w:val="Neotevilenodstavek"/>
              <w:numPr>
                <w:ilvl w:val="0"/>
                <w:numId w:val="6"/>
              </w:numPr>
              <w:spacing w:before="0" w:after="0" w:line="260" w:lineRule="exact"/>
              <w:rPr>
                <w:szCs w:val="20"/>
              </w:rPr>
            </w:pPr>
            <w:r w:rsidRPr="00620790">
              <w:rPr>
                <w:iCs/>
                <w:szCs w:val="20"/>
              </w:rPr>
              <w:t>mag. Hinko Šolinc, generalni direktor Direktorata za energijo</w:t>
            </w:r>
            <w:r>
              <w:rPr>
                <w:iCs/>
                <w:szCs w:val="20"/>
              </w:rPr>
              <w:t>,</w:t>
            </w:r>
          </w:p>
          <w:p w14:paraId="145D3378" w14:textId="77777777" w:rsidR="007F2BA0" w:rsidRPr="00784DDE" w:rsidRDefault="007F2BA0" w:rsidP="007F2BA0">
            <w:pPr>
              <w:pStyle w:val="Neotevilenodstavek"/>
              <w:numPr>
                <w:ilvl w:val="0"/>
                <w:numId w:val="6"/>
              </w:numPr>
              <w:spacing w:before="0" w:after="0" w:line="260" w:lineRule="exact"/>
              <w:rPr>
                <w:szCs w:val="20"/>
              </w:rPr>
            </w:pPr>
            <w:r>
              <w:rPr>
                <w:szCs w:val="20"/>
              </w:rPr>
              <w:t>mag. Erik Potočar, vodja Sektorja za rabo energije.</w:t>
            </w:r>
          </w:p>
        </w:tc>
      </w:tr>
      <w:tr w:rsidR="007F2BA0" w:rsidRPr="00620790" w14:paraId="0EB9A5BC" w14:textId="77777777" w:rsidTr="00F1346F">
        <w:tc>
          <w:tcPr>
            <w:tcW w:w="9163" w:type="dxa"/>
            <w:gridSpan w:val="4"/>
          </w:tcPr>
          <w:p w14:paraId="5DC94DC7" w14:textId="77777777" w:rsidR="007F2BA0" w:rsidRPr="00620790" w:rsidRDefault="007F2BA0" w:rsidP="00F1346F">
            <w:pPr>
              <w:pStyle w:val="Neotevilenodstavek"/>
              <w:spacing w:before="0" w:after="0" w:line="260" w:lineRule="exact"/>
              <w:rPr>
                <w:b/>
                <w:iCs/>
                <w:szCs w:val="20"/>
              </w:rPr>
            </w:pPr>
            <w:r w:rsidRPr="00620790">
              <w:rPr>
                <w:b/>
                <w:iCs/>
                <w:szCs w:val="20"/>
              </w:rPr>
              <w:t xml:space="preserve">3.b Zunanji strokovnjaki, ki so </w:t>
            </w:r>
            <w:r w:rsidRPr="00620790">
              <w:rPr>
                <w:b/>
                <w:szCs w:val="20"/>
              </w:rPr>
              <w:t>sodelovali pri pripravi dela ali celotnega gradiva:</w:t>
            </w:r>
          </w:p>
        </w:tc>
      </w:tr>
      <w:tr w:rsidR="007F2BA0" w:rsidRPr="00620790" w14:paraId="45129DB2" w14:textId="77777777" w:rsidTr="00F1346F">
        <w:tc>
          <w:tcPr>
            <w:tcW w:w="9163" w:type="dxa"/>
            <w:gridSpan w:val="4"/>
          </w:tcPr>
          <w:p w14:paraId="0317D9FE" w14:textId="77777777" w:rsidR="007F2BA0" w:rsidRPr="00620790" w:rsidRDefault="007F2BA0" w:rsidP="00F1346F">
            <w:pPr>
              <w:pStyle w:val="Neotevilenodstavek"/>
              <w:spacing w:before="0" w:after="0" w:line="260" w:lineRule="exact"/>
              <w:rPr>
                <w:iCs/>
                <w:szCs w:val="20"/>
              </w:rPr>
            </w:pPr>
            <w:r>
              <w:rPr>
                <w:iCs/>
                <w:szCs w:val="20"/>
              </w:rPr>
              <w:t>Pri pripravi strokovnih podlag in gradiva so sodelovali Inštitut »Jožef Stefan« Center za energetsko učinkovitost (IJS-CEU), Inštitut za ekonomska raziskovanja (IER) in Focus, društvo za sonaraven razvoj.</w:t>
            </w:r>
          </w:p>
        </w:tc>
      </w:tr>
      <w:tr w:rsidR="007F2BA0" w:rsidRPr="00620790" w14:paraId="719B9F68" w14:textId="77777777" w:rsidTr="00F1346F">
        <w:tc>
          <w:tcPr>
            <w:tcW w:w="9163" w:type="dxa"/>
            <w:gridSpan w:val="4"/>
          </w:tcPr>
          <w:p w14:paraId="763886E3" w14:textId="77777777" w:rsidR="007F2BA0" w:rsidRPr="00620790" w:rsidRDefault="007F2BA0" w:rsidP="00F1346F">
            <w:pPr>
              <w:pStyle w:val="Neotevilenodstavek"/>
              <w:spacing w:before="0" w:after="0" w:line="260" w:lineRule="exact"/>
              <w:rPr>
                <w:b/>
                <w:iCs/>
                <w:szCs w:val="20"/>
              </w:rPr>
            </w:pPr>
            <w:r w:rsidRPr="00620790">
              <w:rPr>
                <w:b/>
                <w:szCs w:val="20"/>
              </w:rPr>
              <w:t>4. Predstavniki vlade, ki bodo sodelovali pri delu državnega zbora:</w:t>
            </w:r>
          </w:p>
        </w:tc>
      </w:tr>
      <w:tr w:rsidR="007F2BA0" w:rsidRPr="00620790" w14:paraId="6BE6860D" w14:textId="77777777" w:rsidTr="00F1346F">
        <w:tc>
          <w:tcPr>
            <w:tcW w:w="9163" w:type="dxa"/>
            <w:gridSpan w:val="4"/>
          </w:tcPr>
          <w:p w14:paraId="7A3F5D2D" w14:textId="77777777" w:rsidR="007F2BA0" w:rsidRPr="00F521FD" w:rsidRDefault="007F2BA0" w:rsidP="00F1346F">
            <w:pPr>
              <w:pStyle w:val="Neotevilenodstavek"/>
              <w:spacing w:before="0" w:after="0" w:line="260" w:lineRule="exact"/>
              <w:rPr>
                <w:szCs w:val="20"/>
              </w:rPr>
            </w:pPr>
            <w:r>
              <w:rPr>
                <w:iCs/>
                <w:szCs w:val="20"/>
              </w:rPr>
              <w:t>/</w:t>
            </w:r>
          </w:p>
        </w:tc>
      </w:tr>
      <w:tr w:rsidR="007F2BA0" w:rsidRPr="00620790" w14:paraId="059DADB8" w14:textId="77777777" w:rsidTr="00F1346F">
        <w:tc>
          <w:tcPr>
            <w:tcW w:w="9163" w:type="dxa"/>
            <w:gridSpan w:val="4"/>
          </w:tcPr>
          <w:p w14:paraId="05B1808F" w14:textId="77777777" w:rsidR="007F2BA0" w:rsidRPr="00620790" w:rsidRDefault="007F2BA0" w:rsidP="00F1346F">
            <w:pPr>
              <w:pStyle w:val="Oddelek"/>
              <w:numPr>
                <w:ilvl w:val="0"/>
                <w:numId w:val="0"/>
              </w:numPr>
              <w:spacing w:before="0" w:after="0" w:line="260" w:lineRule="exact"/>
              <w:jc w:val="left"/>
              <w:rPr>
                <w:szCs w:val="20"/>
              </w:rPr>
            </w:pPr>
            <w:r w:rsidRPr="00620790">
              <w:rPr>
                <w:szCs w:val="20"/>
              </w:rPr>
              <w:lastRenderedPageBreak/>
              <w:t>5. Kratek povzetek gradiva:</w:t>
            </w:r>
          </w:p>
        </w:tc>
      </w:tr>
      <w:tr w:rsidR="007F2BA0" w:rsidRPr="00620790" w14:paraId="12EF407F" w14:textId="77777777" w:rsidTr="00F1346F">
        <w:tc>
          <w:tcPr>
            <w:tcW w:w="9163" w:type="dxa"/>
            <w:gridSpan w:val="4"/>
          </w:tcPr>
          <w:p w14:paraId="5E18EBFB" w14:textId="706C9FE5" w:rsidR="007F2BA0" w:rsidRPr="0084181C" w:rsidRDefault="007F2BA0" w:rsidP="00F1346F">
            <w:pPr>
              <w:spacing w:after="240"/>
              <w:rPr>
                <w:iCs/>
                <w:color w:val="000000" w:themeColor="text1"/>
              </w:rPr>
            </w:pPr>
            <w:r w:rsidRPr="0084181C">
              <w:rPr>
                <w:b/>
                <w:bCs/>
                <w:color w:val="000000" w:themeColor="text1"/>
              </w:rPr>
              <w:t>Pravna podlaga</w:t>
            </w:r>
            <w:r w:rsidRPr="0084181C">
              <w:rPr>
                <w:color w:val="000000" w:themeColor="text1"/>
              </w:rPr>
              <w:t xml:space="preserve"> za pripravo akcijskega načrta za zmanjševanje energetske revščine je </w:t>
            </w:r>
            <w:r w:rsidRPr="0084181C">
              <w:rPr>
                <w:i/>
                <w:iCs/>
                <w:color w:val="000000" w:themeColor="text1"/>
              </w:rPr>
              <w:t>Uredba o merilih za opredelitev in ocenjevanje števila energetsko revnih gospodinjstev</w:t>
            </w:r>
            <w:r w:rsidRPr="0084181C">
              <w:rPr>
                <w:iCs/>
                <w:color w:val="000000" w:themeColor="text1"/>
              </w:rPr>
              <w:t>, ki je bila sprejeta oktobra 2022. Predlog za pripravo akcijskega načrta vključuje bistvene ukrepe za zmanjšanje in blaženje energetske revščine, vključno z oceno potrebnih sredstev za njihovo izvedbo.</w:t>
            </w:r>
          </w:p>
          <w:p w14:paraId="1FAEE0B5" w14:textId="58810923" w:rsidR="00B73166" w:rsidRPr="0034591A" w:rsidRDefault="007F2BA0" w:rsidP="0034591A">
            <w:pPr>
              <w:spacing w:after="240"/>
              <w:rPr>
                <w:color w:val="000000" w:themeColor="text1"/>
              </w:rPr>
            </w:pPr>
            <w:r w:rsidRPr="0084181C">
              <w:rPr>
                <w:b/>
                <w:bCs/>
                <w:color w:val="000000" w:themeColor="text1"/>
              </w:rPr>
              <w:t>Cilji na področju zmanjševanja energetske revščine do leta 2030.</w:t>
            </w:r>
            <w:r w:rsidRPr="0084181C">
              <w:rPr>
                <w:color w:val="000000" w:themeColor="text1"/>
              </w:rPr>
              <w:t xml:space="preserve"> Za leto 2030 sta na področju zmanjševanja energetske revščine zastavljen</w:t>
            </w:r>
            <w:r w:rsidR="00F93151">
              <w:rPr>
                <w:color w:val="000000" w:themeColor="text1"/>
              </w:rPr>
              <w:t>i</w:t>
            </w:r>
            <w:r w:rsidRPr="0084181C">
              <w:rPr>
                <w:color w:val="000000" w:themeColor="text1"/>
              </w:rPr>
              <w:t xml:space="preserve"> </w:t>
            </w:r>
            <w:r w:rsidR="00F93151">
              <w:rPr>
                <w:b/>
                <w:color w:val="000000" w:themeColor="text1"/>
              </w:rPr>
              <w:t>trije</w:t>
            </w:r>
            <w:r w:rsidRPr="0084181C">
              <w:rPr>
                <w:b/>
                <w:color w:val="000000" w:themeColor="text1"/>
              </w:rPr>
              <w:t xml:space="preserve"> cilj</w:t>
            </w:r>
            <w:r w:rsidR="00F93151">
              <w:rPr>
                <w:b/>
                <w:color w:val="000000" w:themeColor="text1"/>
              </w:rPr>
              <w:t>i</w:t>
            </w:r>
            <w:r w:rsidRPr="0084181C">
              <w:rPr>
                <w:color w:val="000000" w:themeColor="text1"/>
              </w:rPr>
              <w:t xml:space="preserve">, ki </w:t>
            </w:r>
            <w:r w:rsidR="00F93151">
              <w:rPr>
                <w:color w:val="000000" w:themeColor="text1"/>
              </w:rPr>
              <w:t>so</w:t>
            </w:r>
            <w:r w:rsidRPr="0084181C">
              <w:rPr>
                <w:color w:val="000000" w:themeColor="text1"/>
              </w:rPr>
              <w:t xml:space="preserve"> usklajen</w:t>
            </w:r>
            <w:r w:rsidR="00F93151">
              <w:rPr>
                <w:color w:val="000000" w:themeColor="text1"/>
              </w:rPr>
              <w:t>i</w:t>
            </w:r>
            <w:r w:rsidRPr="0084181C">
              <w:rPr>
                <w:color w:val="000000" w:themeColor="text1"/>
              </w:rPr>
              <w:t xml:space="preserve"> s predlogom posodobitve </w:t>
            </w:r>
            <w:r w:rsidRPr="0084181C">
              <w:rPr>
                <w:rFonts w:cs="Arial"/>
                <w:i/>
                <w:iCs/>
                <w:color w:val="000000" w:themeColor="text1"/>
              </w:rPr>
              <w:t>Celovitega nacionalnega energetskega in podnebnega načrta</w:t>
            </w:r>
            <w:r w:rsidRPr="0084181C">
              <w:rPr>
                <w:color w:val="000000" w:themeColor="text1"/>
              </w:rPr>
              <w:t xml:space="preserve">. </w:t>
            </w:r>
            <w:r w:rsidRPr="0084181C">
              <w:rPr>
                <w:bCs/>
                <w:color w:val="000000" w:themeColor="text1"/>
              </w:rPr>
              <w:t>Dosežen</w:t>
            </w:r>
            <w:r w:rsidR="00F93151">
              <w:rPr>
                <w:bCs/>
                <w:color w:val="000000" w:themeColor="text1"/>
              </w:rPr>
              <w:t>i</w:t>
            </w:r>
            <w:r w:rsidRPr="0084181C">
              <w:rPr>
                <w:bCs/>
                <w:color w:val="000000" w:themeColor="text1"/>
              </w:rPr>
              <w:t xml:space="preserve"> bo</w:t>
            </w:r>
            <w:r w:rsidR="00F93151">
              <w:rPr>
                <w:bCs/>
                <w:color w:val="000000" w:themeColor="text1"/>
              </w:rPr>
              <w:t>do</w:t>
            </w:r>
            <w:r w:rsidRPr="0084181C">
              <w:rPr>
                <w:bCs/>
                <w:color w:val="000000" w:themeColor="text1"/>
              </w:rPr>
              <w:t xml:space="preserve"> lahko ob vzpostavljenih ustreznih pogojih za izvajanje ukrepov iz akcijskega načrta</w:t>
            </w:r>
            <w:r w:rsidRPr="0084181C">
              <w:rPr>
                <w:color w:val="000000" w:themeColor="text1"/>
              </w:rPr>
              <w:t xml:space="preserve"> (zagotovljena sredstva, kadri za vzpostavitev in delovanje načrtovane sheme za zmanjševanje energetske revščine itd.). </w:t>
            </w:r>
          </w:p>
        </w:tc>
      </w:tr>
      <w:tr w:rsidR="007F2BA0" w:rsidRPr="00620790" w14:paraId="6B2A8BD8" w14:textId="77777777" w:rsidTr="00F1346F">
        <w:tc>
          <w:tcPr>
            <w:tcW w:w="9163" w:type="dxa"/>
            <w:gridSpan w:val="4"/>
          </w:tcPr>
          <w:p w14:paraId="7F89F936" w14:textId="77777777" w:rsidR="007F2BA0" w:rsidRPr="00620790" w:rsidRDefault="007F2BA0" w:rsidP="00F1346F">
            <w:pPr>
              <w:pStyle w:val="Oddelek"/>
              <w:numPr>
                <w:ilvl w:val="0"/>
                <w:numId w:val="0"/>
              </w:numPr>
              <w:spacing w:before="0" w:after="0" w:line="260" w:lineRule="exact"/>
              <w:jc w:val="left"/>
              <w:rPr>
                <w:szCs w:val="20"/>
              </w:rPr>
            </w:pPr>
            <w:r w:rsidRPr="00620790">
              <w:rPr>
                <w:szCs w:val="20"/>
              </w:rPr>
              <w:t>6. Presoja posledic za:</w:t>
            </w:r>
          </w:p>
        </w:tc>
      </w:tr>
      <w:tr w:rsidR="007F2BA0" w:rsidRPr="00620790" w14:paraId="0EADDECC" w14:textId="77777777" w:rsidTr="00F1346F">
        <w:tc>
          <w:tcPr>
            <w:tcW w:w="1448" w:type="dxa"/>
          </w:tcPr>
          <w:p w14:paraId="5A43C7CA" w14:textId="77777777" w:rsidR="007F2BA0" w:rsidRPr="00620790" w:rsidRDefault="007F2BA0" w:rsidP="00F1346F">
            <w:pPr>
              <w:pStyle w:val="Neotevilenodstavek"/>
              <w:spacing w:before="0" w:after="0" w:line="260" w:lineRule="exact"/>
              <w:ind w:left="360"/>
              <w:rPr>
                <w:iCs/>
                <w:szCs w:val="20"/>
              </w:rPr>
            </w:pPr>
            <w:r w:rsidRPr="00620790">
              <w:rPr>
                <w:iCs/>
                <w:szCs w:val="20"/>
              </w:rPr>
              <w:t>a)</w:t>
            </w:r>
          </w:p>
        </w:tc>
        <w:tc>
          <w:tcPr>
            <w:tcW w:w="5444" w:type="dxa"/>
            <w:gridSpan w:val="2"/>
          </w:tcPr>
          <w:p w14:paraId="755486FE" w14:textId="77777777" w:rsidR="007F2BA0" w:rsidRPr="00620790" w:rsidRDefault="007F2BA0" w:rsidP="00F1346F">
            <w:pPr>
              <w:pStyle w:val="Neotevilenodstavek"/>
              <w:spacing w:before="0" w:after="0" w:line="260" w:lineRule="exact"/>
              <w:rPr>
                <w:szCs w:val="20"/>
              </w:rPr>
            </w:pPr>
            <w:r w:rsidRPr="00620790">
              <w:rPr>
                <w:szCs w:val="20"/>
              </w:rPr>
              <w:t>javnofinančna sredstva nad 40.000 EUR v tekočem in naslednjih treh letih</w:t>
            </w:r>
          </w:p>
        </w:tc>
        <w:tc>
          <w:tcPr>
            <w:tcW w:w="2271" w:type="dxa"/>
            <w:vAlign w:val="center"/>
          </w:tcPr>
          <w:p w14:paraId="46CBACB8" w14:textId="77777777" w:rsidR="007F2BA0" w:rsidRPr="00F521FD" w:rsidRDefault="007F2BA0" w:rsidP="00F1346F">
            <w:pPr>
              <w:pStyle w:val="Neotevilenodstavek"/>
              <w:spacing w:before="0" w:after="0" w:line="260" w:lineRule="exact"/>
              <w:jc w:val="center"/>
              <w:rPr>
                <w:iCs/>
                <w:szCs w:val="20"/>
                <w:highlight w:val="yellow"/>
              </w:rPr>
            </w:pPr>
            <w:r w:rsidRPr="00ED51E8">
              <w:rPr>
                <w:iCs/>
                <w:szCs w:val="20"/>
              </w:rPr>
              <w:t>DA</w:t>
            </w:r>
          </w:p>
        </w:tc>
      </w:tr>
      <w:tr w:rsidR="007F2BA0" w:rsidRPr="00620790" w14:paraId="7F5EA1DC" w14:textId="77777777" w:rsidTr="00F1346F">
        <w:tc>
          <w:tcPr>
            <w:tcW w:w="1448" w:type="dxa"/>
          </w:tcPr>
          <w:p w14:paraId="3F48E451" w14:textId="77777777" w:rsidR="007F2BA0" w:rsidRPr="00620790" w:rsidRDefault="007F2BA0" w:rsidP="00F1346F">
            <w:pPr>
              <w:pStyle w:val="Neotevilenodstavek"/>
              <w:spacing w:before="0" w:after="0" w:line="260" w:lineRule="exact"/>
              <w:ind w:left="360"/>
              <w:rPr>
                <w:iCs/>
                <w:szCs w:val="20"/>
              </w:rPr>
            </w:pPr>
            <w:r w:rsidRPr="00620790">
              <w:rPr>
                <w:iCs/>
                <w:szCs w:val="20"/>
              </w:rPr>
              <w:t>b)</w:t>
            </w:r>
          </w:p>
        </w:tc>
        <w:tc>
          <w:tcPr>
            <w:tcW w:w="5444" w:type="dxa"/>
            <w:gridSpan w:val="2"/>
          </w:tcPr>
          <w:p w14:paraId="6A6BD7B5" w14:textId="77777777" w:rsidR="007F2BA0" w:rsidRPr="00620790" w:rsidRDefault="007F2BA0" w:rsidP="00F1346F">
            <w:pPr>
              <w:pStyle w:val="Neotevilenodstavek"/>
              <w:spacing w:before="0" w:after="0" w:line="260" w:lineRule="exact"/>
              <w:rPr>
                <w:iCs/>
                <w:szCs w:val="20"/>
              </w:rPr>
            </w:pPr>
            <w:r w:rsidRPr="00620790">
              <w:rPr>
                <w:bCs/>
                <w:szCs w:val="20"/>
              </w:rPr>
              <w:t>usklajenost slovenskega pravnega reda s pravnim redom Evropske unije</w:t>
            </w:r>
          </w:p>
        </w:tc>
        <w:tc>
          <w:tcPr>
            <w:tcW w:w="2271" w:type="dxa"/>
            <w:vAlign w:val="center"/>
          </w:tcPr>
          <w:p w14:paraId="463F2441" w14:textId="77777777" w:rsidR="007F2BA0" w:rsidRPr="00F521FD" w:rsidRDefault="007F2BA0" w:rsidP="00F1346F">
            <w:pPr>
              <w:pStyle w:val="Neotevilenodstavek"/>
              <w:spacing w:before="0" w:after="0" w:line="260" w:lineRule="exact"/>
              <w:jc w:val="center"/>
              <w:rPr>
                <w:iCs/>
                <w:szCs w:val="20"/>
                <w:highlight w:val="yellow"/>
              </w:rPr>
            </w:pPr>
            <w:r w:rsidRPr="00DC6D2F">
              <w:rPr>
                <w:iCs/>
                <w:szCs w:val="20"/>
              </w:rPr>
              <w:t>DA</w:t>
            </w:r>
          </w:p>
        </w:tc>
      </w:tr>
      <w:tr w:rsidR="007F2BA0" w:rsidRPr="00620790" w14:paraId="483DF8D2" w14:textId="77777777" w:rsidTr="00F1346F">
        <w:tc>
          <w:tcPr>
            <w:tcW w:w="1448" w:type="dxa"/>
          </w:tcPr>
          <w:p w14:paraId="6C74635D" w14:textId="77777777" w:rsidR="007F2BA0" w:rsidRPr="00620790" w:rsidRDefault="007F2BA0" w:rsidP="00F1346F">
            <w:pPr>
              <w:pStyle w:val="Neotevilenodstavek"/>
              <w:spacing w:before="0" w:after="0" w:line="260" w:lineRule="exact"/>
              <w:ind w:left="360"/>
              <w:rPr>
                <w:iCs/>
                <w:szCs w:val="20"/>
              </w:rPr>
            </w:pPr>
            <w:r w:rsidRPr="00620790">
              <w:rPr>
                <w:iCs/>
                <w:szCs w:val="20"/>
              </w:rPr>
              <w:t>c)</w:t>
            </w:r>
          </w:p>
        </w:tc>
        <w:tc>
          <w:tcPr>
            <w:tcW w:w="5444" w:type="dxa"/>
            <w:gridSpan w:val="2"/>
          </w:tcPr>
          <w:p w14:paraId="4814DD19" w14:textId="77777777" w:rsidR="007F2BA0" w:rsidRPr="00620790" w:rsidRDefault="007F2BA0" w:rsidP="00F1346F">
            <w:pPr>
              <w:pStyle w:val="Neotevilenodstavek"/>
              <w:spacing w:before="0" w:after="0" w:line="260" w:lineRule="exact"/>
              <w:rPr>
                <w:iCs/>
                <w:szCs w:val="20"/>
              </w:rPr>
            </w:pPr>
            <w:r w:rsidRPr="00620790">
              <w:rPr>
                <w:szCs w:val="20"/>
              </w:rPr>
              <w:t>administrativne posledice</w:t>
            </w:r>
          </w:p>
        </w:tc>
        <w:tc>
          <w:tcPr>
            <w:tcW w:w="2271" w:type="dxa"/>
            <w:vAlign w:val="center"/>
          </w:tcPr>
          <w:p w14:paraId="6372DABA" w14:textId="77777777" w:rsidR="007F2BA0" w:rsidRPr="00F521FD" w:rsidRDefault="007F2BA0" w:rsidP="00F1346F">
            <w:pPr>
              <w:pStyle w:val="Neotevilenodstavek"/>
              <w:spacing w:before="0" w:after="0" w:line="260" w:lineRule="exact"/>
              <w:jc w:val="center"/>
              <w:rPr>
                <w:szCs w:val="20"/>
                <w:highlight w:val="yellow"/>
              </w:rPr>
            </w:pPr>
            <w:r w:rsidRPr="00402B99">
              <w:rPr>
                <w:szCs w:val="20"/>
              </w:rPr>
              <w:t>DA</w:t>
            </w:r>
          </w:p>
        </w:tc>
      </w:tr>
      <w:tr w:rsidR="007F2BA0" w:rsidRPr="00620790" w14:paraId="20AF5579" w14:textId="77777777" w:rsidTr="00F1346F">
        <w:tc>
          <w:tcPr>
            <w:tcW w:w="1448" w:type="dxa"/>
          </w:tcPr>
          <w:p w14:paraId="0C7F75AC" w14:textId="77777777" w:rsidR="007F2BA0" w:rsidRPr="00620790" w:rsidRDefault="007F2BA0" w:rsidP="00F1346F">
            <w:pPr>
              <w:pStyle w:val="Neotevilenodstavek"/>
              <w:spacing w:before="0" w:after="0" w:line="260" w:lineRule="exact"/>
              <w:ind w:left="360"/>
              <w:rPr>
                <w:iCs/>
                <w:szCs w:val="20"/>
              </w:rPr>
            </w:pPr>
            <w:r w:rsidRPr="00620790">
              <w:rPr>
                <w:iCs/>
                <w:szCs w:val="20"/>
              </w:rPr>
              <w:t>č)</w:t>
            </w:r>
          </w:p>
        </w:tc>
        <w:tc>
          <w:tcPr>
            <w:tcW w:w="5444" w:type="dxa"/>
            <w:gridSpan w:val="2"/>
          </w:tcPr>
          <w:p w14:paraId="10D1F1BF" w14:textId="77777777" w:rsidR="007F2BA0" w:rsidRPr="00620790" w:rsidRDefault="007F2BA0" w:rsidP="00F1346F">
            <w:pPr>
              <w:pStyle w:val="Neotevilenodstavek"/>
              <w:spacing w:before="0" w:after="0" w:line="260" w:lineRule="exact"/>
              <w:rPr>
                <w:bCs/>
                <w:szCs w:val="20"/>
              </w:rPr>
            </w:pPr>
            <w:r w:rsidRPr="00620790">
              <w:rPr>
                <w:szCs w:val="20"/>
              </w:rPr>
              <w:t>gospodarstvo, zlasti</w:t>
            </w:r>
            <w:r w:rsidRPr="00620790">
              <w:rPr>
                <w:bCs/>
                <w:szCs w:val="20"/>
              </w:rPr>
              <w:t xml:space="preserve"> mala in srednja podjetja ter konkurenčnost podjetij</w:t>
            </w:r>
          </w:p>
        </w:tc>
        <w:tc>
          <w:tcPr>
            <w:tcW w:w="2271" w:type="dxa"/>
            <w:vAlign w:val="center"/>
          </w:tcPr>
          <w:p w14:paraId="6133F0F2" w14:textId="77777777" w:rsidR="007F2BA0" w:rsidRPr="00F521FD" w:rsidRDefault="007F2BA0" w:rsidP="00F1346F">
            <w:pPr>
              <w:pStyle w:val="Neotevilenodstavek"/>
              <w:spacing w:before="0" w:after="0" w:line="260" w:lineRule="exact"/>
              <w:jc w:val="center"/>
              <w:rPr>
                <w:iCs/>
                <w:szCs w:val="20"/>
                <w:highlight w:val="yellow"/>
              </w:rPr>
            </w:pPr>
            <w:r w:rsidRPr="00402B99">
              <w:rPr>
                <w:iCs/>
                <w:szCs w:val="20"/>
              </w:rPr>
              <w:t>NE</w:t>
            </w:r>
          </w:p>
        </w:tc>
      </w:tr>
      <w:tr w:rsidR="007F2BA0" w:rsidRPr="00620790" w14:paraId="331222C6" w14:textId="77777777" w:rsidTr="00F1346F">
        <w:tc>
          <w:tcPr>
            <w:tcW w:w="1448" w:type="dxa"/>
          </w:tcPr>
          <w:p w14:paraId="016EC978" w14:textId="77777777" w:rsidR="007F2BA0" w:rsidRPr="00620790" w:rsidRDefault="007F2BA0" w:rsidP="00F1346F">
            <w:pPr>
              <w:pStyle w:val="Neotevilenodstavek"/>
              <w:spacing w:before="0" w:after="0" w:line="260" w:lineRule="exact"/>
              <w:ind w:left="360"/>
              <w:rPr>
                <w:iCs/>
                <w:szCs w:val="20"/>
              </w:rPr>
            </w:pPr>
            <w:r w:rsidRPr="00620790">
              <w:rPr>
                <w:iCs/>
                <w:szCs w:val="20"/>
              </w:rPr>
              <w:t>d)</w:t>
            </w:r>
          </w:p>
        </w:tc>
        <w:tc>
          <w:tcPr>
            <w:tcW w:w="5444" w:type="dxa"/>
            <w:gridSpan w:val="2"/>
          </w:tcPr>
          <w:p w14:paraId="1233B127" w14:textId="77777777" w:rsidR="007F2BA0" w:rsidRPr="00620790" w:rsidRDefault="007F2BA0" w:rsidP="00F1346F">
            <w:pPr>
              <w:pStyle w:val="Neotevilenodstavek"/>
              <w:spacing w:before="0" w:after="0" w:line="260" w:lineRule="exact"/>
              <w:rPr>
                <w:bCs/>
                <w:szCs w:val="20"/>
              </w:rPr>
            </w:pPr>
            <w:r w:rsidRPr="00620790">
              <w:rPr>
                <w:bCs/>
                <w:szCs w:val="20"/>
              </w:rPr>
              <w:t>okolje, vključno s prostorskimi in varstvenimi vidiki</w:t>
            </w:r>
          </w:p>
        </w:tc>
        <w:tc>
          <w:tcPr>
            <w:tcW w:w="2271" w:type="dxa"/>
            <w:vAlign w:val="center"/>
          </w:tcPr>
          <w:p w14:paraId="641FCD41" w14:textId="77777777" w:rsidR="007F2BA0" w:rsidRPr="00F521FD" w:rsidRDefault="007F2BA0" w:rsidP="00F1346F">
            <w:pPr>
              <w:pStyle w:val="Neotevilenodstavek"/>
              <w:spacing w:before="0" w:after="0" w:line="260" w:lineRule="exact"/>
              <w:jc w:val="center"/>
              <w:rPr>
                <w:iCs/>
                <w:szCs w:val="20"/>
                <w:highlight w:val="yellow"/>
              </w:rPr>
            </w:pPr>
            <w:r w:rsidRPr="00402B99">
              <w:rPr>
                <w:iCs/>
                <w:szCs w:val="20"/>
              </w:rPr>
              <w:t>NE</w:t>
            </w:r>
          </w:p>
        </w:tc>
      </w:tr>
      <w:tr w:rsidR="007F2BA0" w:rsidRPr="00620790" w14:paraId="5229F305" w14:textId="77777777" w:rsidTr="00F1346F">
        <w:tc>
          <w:tcPr>
            <w:tcW w:w="1448" w:type="dxa"/>
          </w:tcPr>
          <w:p w14:paraId="59CCD427" w14:textId="77777777" w:rsidR="007F2BA0" w:rsidRPr="00620790" w:rsidRDefault="007F2BA0" w:rsidP="00F1346F">
            <w:pPr>
              <w:pStyle w:val="Neotevilenodstavek"/>
              <w:spacing w:before="0" w:after="0" w:line="260" w:lineRule="exact"/>
              <w:ind w:left="360"/>
              <w:rPr>
                <w:iCs/>
                <w:szCs w:val="20"/>
              </w:rPr>
            </w:pPr>
            <w:r w:rsidRPr="00620790">
              <w:rPr>
                <w:iCs/>
                <w:szCs w:val="20"/>
              </w:rPr>
              <w:t>e)</w:t>
            </w:r>
          </w:p>
        </w:tc>
        <w:tc>
          <w:tcPr>
            <w:tcW w:w="5444" w:type="dxa"/>
            <w:gridSpan w:val="2"/>
          </w:tcPr>
          <w:p w14:paraId="21F3CE49" w14:textId="77777777" w:rsidR="007F2BA0" w:rsidRPr="00620790" w:rsidRDefault="007F2BA0" w:rsidP="00F1346F">
            <w:pPr>
              <w:pStyle w:val="Neotevilenodstavek"/>
              <w:spacing w:before="0" w:after="0" w:line="260" w:lineRule="exact"/>
              <w:rPr>
                <w:bCs/>
                <w:szCs w:val="20"/>
              </w:rPr>
            </w:pPr>
            <w:r w:rsidRPr="00620790">
              <w:rPr>
                <w:bCs/>
                <w:szCs w:val="20"/>
              </w:rPr>
              <w:t>socialno področje</w:t>
            </w:r>
          </w:p>
        </w:tc>
        <w:tc>
          <w:tcPr>
            <w:tcW w:w="2271" w:type="dxa"/>
            <w:vAlign w:val="center"/>
          </w:tcPr>
          <w:p w14:paraId="213D9280" w14:textId="3C4ED20A" w:rsidR="007F2BA0" w:rsidRPr="00F521FD" w:rsidRDefault="00740930" w:rsidP="00F1346F">
            <w:pPr>
              <w:pStyle w:val="Neotevilenodstavek"/>
              <w:spacing w:before="0" w:after="0" w:line="260" w:lineRule="exact"/>
              <w:jc w:val="center"/>
              <w:rPr>
                <w:iCs/>
                <w:szCs w:val="20"/>
                <w:highlight w:val="yellow"/>
              </w:rPr>
            </w:pPr>
            <w:r>
              <w:rPr>
                <w:szCs w:val="20"/>
              </w:rPr>
              <w:t>DA</w:t>
            </w:r>
          </w:p>
        </w:tc>
      </w:tr>
      <w:tr w:rsidR="007F2BA0" w:rsidRPr="00620790" w14:paraId="1DF42DB0" w14:textId="77777777" w:rsidTr="00F1346F">
        <w:tc>
          <w:tcPr>
            <w:tcW w:w="1448" w:type="dxa"/>
            <w:tcBorders>
              <w:bottom w:val="single" w:sz="4" w:space="0" w:color="auto"/>
            </w:tcBorders>
          </w:tcPr>
          <w:p w14:paraId="2E5CDB56" w14:textId="77777777" w:rsidR="007F2BA0" w:rsidRPr="00620790" w:rsidRDefault="007F2BA0" w:rsidP="00F1346F">
            <w:pPr>
              <w:pStyle w:val="Neotevilenodstavek"/>
              <w:spacing w:before="0" w:after="0" w:line="260" w:lineRule="exact"/>
              <w:ind w:left="360"/>
              <w:rPr>
                <w:iCs/>
                <w:szCs w:val="20"/>
              </w:rPr>
            </w:pPr>
            <w:r w:rsidRPr="00620790">
              <w:rPr>
                <w:iCs/>
                <w:szCs w:val="20"/>
              </w:rPr>
              <w:t>f)</w:t>
            </w:r>
          </w:p>
        </w:tc>
        <w:tc>
          <w:tcPr>
            <w:tcW w:w="5444" w:type="dxa"/>
            <w:gridSpan w:val="2"/>
            <w:tcBorders>
              <w:bottom w:val="single" w:sz="4" w:space="0" w:color="auto"/>
            </w:tcBorders>
          </w:tcPr>
          <w:p w14:paraId="3B5747E3" w14:textId="77777777" w:rsidR="007F2BA0" w:rsidRPr="00620790" w:rsidRDefault="007F2BA0" w:rsidP="00F1346F">
            <w:pPr>
              <w:pStyle w:val="Neotevilenodstavek"/>
              <w:spacing w:before="0" w:after="0" w:line="260" w:lineRule="exact"/>
              <w:rPr>
                <w:bCs/>
                <w:szCs w:val="20"/>
              </w:rPr>
            </w:pPr>
            <w:r w:rsidRPr="00620790">
              <w:rPr>
                <w:bCs/>
                <w:szCs w:val="20"/>
              </w:rPr>
              <w:t>dokumente razvojnega načrtovanja:</w:t>
            </w:r>
          </w:p>
          <w:p w14:paraId="1E6D9A8C" w14:textId="77777777" w:rsidR="007F2BA0" w:rsidRPr="00620790" w:rsidRDefault="007F2BA0" w:rsidP="00F1346F">
            <w:pPr>
              <w:pStyle w:val="Neotevilenodstavek"/>
              <w:numPr>
                <w:ilvl w:val="0"/>
                <w:numId w:val="3"/>
              </w:numPr>
              <w:spacing w:before="0" w:after="0" w:line="260" w:lineRule="exact"/>
              <w:rPr>
                <w:bCs/>
                <w:szCs w:val="20"/>
              </w:rPr>
            </w:pPr>
            <w:r w:rsidRPr="00620790">
              <w:rPr>
                <w:bCs/>
                <w:szCs w:val="20"/>
              </w:rPr>
              <w:t>nacionalne dokumente razvojnega načrtovanja</w:t>
            </w:r>
          </w:p>
          <w:p w14:paraId="6DCEA07C" w14:textId="77777777" w:rsidR="007F2BA0" w:rsidRPr="00620790" w:rsidRDefault="007F2BA0" w:rsidP="00F1346F">
            <w:pPr>
              <w:pStyle w:val="Neotevilenodstavek"/>
              <w:numPr>
                <w:ilvl w:val="0"/>
                <w:numId w:val="3"/>
              </w:numPr>
              <w:spacing w:before="0" w:after="0" w:line="260" w:lineRule="exact"/>
              <w:rPr>
                <w:bCs/>
                <w:szCs w:val="20"/>
              </w:rPr>
            </w:pPr>
            <w:r w:rsidRPr="00620790">
              <w:rPr>
                <w:bCs/>
                <w:szCs w:val="20"/>
              </w:rPr>
              <w:t>razvojne politike na ravni programov po strukturi razvojne klasifikacije programskega proračuna</w:t>
            </w:r>
          </w:p>
          <w:p w14:paraId="2AEF94A8" w14:textId="77777777" w:rsidR="007F2BA0" w:rsidRPr="00620790" w:rsidRDefault="007F2BA0" w:rsidP="00F1346F">
            <w:pPr>
              <w:pStyle w:val="Neotevilenodstavek"/>
              <w:numPr>
                <w:ilvl w:val="0"/>
                <w:numId w:val="3"/>
              </w:numPr>
              <w:spacing w:before="0" w:after="0" w:line="260" w:lineRule="exact"/>
              <w:rPr>
                <w:bCs/>
                <w:szCs w:val="20"/>
              </w:rPr>
            </w:pPr>
            <w:r w:rsidRPr="00620790">
              <w:rPr>
                <w:bCs/>
                <w:szCs w:val="20"/>
              </w:rPr>
              <w:t>razvojne dokumente Evropske unije in mednarodnih organizacij</w:t>
            </w:r>
          </w:p>
        </w:tc>
        <w:tc>
          <w:tcPr>
            <w:tcW w:w="2271" w:type="dxa"/>
            <w:tcBorders>
              <w:bottom w:val="single" w:sz="4" w:space="0" w:color="auto"/>
            </w:tcBorders>
            <w:vAlign w:val="center"/>
          </w:tcPr>
          <w:p w14:paraId="4426C22E" w14:textId="77777777" w:rsidR="007F2BA0" w:rsidRPr="00F521FD" w:rsidRDefault="007F2BA0" w:rsidP="00F1346F">
            <w:pPr>
              <w:pStyle w:val="Neotevilenodstavek"/>
              <w:spacing w:before="0" w:after="0" w:line="260" w:lineRule="exact"/>
              <w:jc w:val="center"/>
              <w:rPr>
                <w:iCs/>
                <w:szCs w:val="20"/>
                <w:highlight w:val="yellow"/>
              </w:rPr>
            </w:pPr>
            <w:r w:rsidRPr="00DC6D2F">
              <w:rPr>
                <w:szCs w:val="20"/>
              </w:rPr>
              <w:t>NE</w:t>
            </w:r>
          </w:p>
        </w:tc>
      </w:tr>
      <w:tr w:rsidR="007F2BA0" w:rsidRPr="00620790" w14:paraId="0D1F479F" w14:textId="77777777" w:rsidTr="00F1346F">
        <w:tc>
          <w:tcPr>
            <w:tcW w:w="9163" w:type="dxa"/>
            <w:gridSpan w:val="4"/>
            <w:tcBorders>
              <w:top w:val="single" w:sz="4" w:space="0" w:color="auto"/>
              <w:left w:val="single" w:sz="4" w:space="0" w:color="auto"/>
              <w:bottom w:val="single" w:sz="4" w:space="0" w:color="auto"/>
              <w:right w:val="single" w:sz="4" w:space="0" w:color="auto"/>
            </w:tcBorders>
          </w:tcPr>
          <w:p w14:paraId="3B897DA6" w14:textId="6F4CD2FF" w:rsidR="007F2BA0" w:rsidRPr="00620790" w:rsidRDefault="007F2BA0" w:rsidP="00F1346F">
            <w:pPr>
              <w:pStyle w:val="Oddelek"/>
              <w:widowControl w:val="0"/>
              <w:numPr>
                <w:ilvl w:val="0"/>
                <w:numId w:val="0"/>
              </w:numPr>
              <w:spacing w:before="0" w:after="0" w:line="260" w:lineRule="exact"/>
              <w:jc w:val="left"/>
              <w:rPr>
                <w:szCs w:val="20"/>
              </w:rPr>
            </w:pPr>
            <w:r w:rsidRPr="00620790">
              <w:rPr>
                <w:szCs w:val="20"/>
              </w:rPr>
              <w:t>7.</w:t>
            </w:r>
            <w:r w:rsidRPr="00D73E82">
              <w:rPr>
                <w:szCs w:val="20"/>
              </w:rPr>
              <w:t xml:space="preserve">a </w:t>
            </w:r>
            <w:r w:rsidRPr="00D73E82">
              <w:rPr>
                <w:color w:val="000000" w:themeColor="text1"/>
                <w:szCs w:val="20"/>
              </w:rPr>
              <w:t xml:space="preserve">Predstavitev ocene finančnih posledic nad 40.000 EUR: </w:t>
            </w:r>
          </w:p>
          <w:p w14:paraId="24A61270" w14:textId="77777777" w:rsidR="007F2BA0" w:rsidRDefault="007F2BA0" w:rsidP="00F1346F">
            <w:pPr>
              <w:pStyle w:val="Oddelek"/>
              <w:widowControl w:val="0"/>
              <w:numPr>
                <w:ilvl w:val="0"/>
                <w:numId w:val="0"/>
              </w:numPr>
              <w:spacing w:before="0" w:after="0" w:line="260" w:lineRule="exact"/>
              <w:jc w:val="left"/>
              <w:rPr>
                <w:b w:val="0"/>
                <w:szCs w:val="20"/>
              </w:rPr>
            </w:pPr>
            <w:r w:rsidRPr="00620790">
              <w:rPr>
                <w:b w:val="0"/>
                <w:szCs w:val="20"/>
              </w:rPr>
              <w:t>(Samo če izberete DA pod točko 6.a.)</w:t>
            </w:r>
          </w:p>
          <w:p w14:paraId="121E10F5" w14:textId="56798132" w:rsidR="007F2BA0" w:rsidRDefault="0095769D" w:rsidP="00F1346F">
            <w:pPr>
              <w:pStyle w:val="Oddelek"/>
              <w:widowControl w:val="0"/>
              <w:numPr>
                <w:ilvl w:val="0"/>
                <w:numId w:val="0"/>
              </w:numPr>
              <w:spacing w:before="0" w:after="0" w:line="260" w:lineRule="exact"/>
              <w:jc w:val="both"/>
              <w:rPr>
                <w:b w:val="0"/>
                <w:szCs w:val="20"/>
              </w:rPr>
            </w:pPr>
            <w:r>
              <w:rPr>
                <w:b w:val="0"/>
                <w:szCs w:val="20"/>
              </w:rPr>
              <w:t>Predvideno je</w:t>
            </w:r>
            <w:r w:rsidR="007F2BA0" w:rsidRPr="00ED51E8">
              <w:rPr>
                <w:b w:val="0"/>
                <w:szCs w:val="20"/>
              </w:rPr>
              <w:t xml:space="preserve"> povečanje prihodkov državnega proračuna zaradi priliva namenskih sredstev EU iz </w:t>
            </w:r>
            <w:r w:rsidR="00740930">
              <w:rPr>
                <w:b w:val="0"/>
                <w:szCs w:val="20"/>
              </w:rPr>
              <w:t xml:space="preserve">naslova </w:t>
            </w:r>
            <w:r w:rsidR="00CD3D45">
              <w:rPr>
                <w:b w:val="0"/>
                <w:szCs w:val="20"/>
              </w:rPr>
              <w:t>sredstev Evropske kohezijske politike</w:t>
            </w:r>
            <w:r w:rsidR="00740930">
              <w:rPr>
                <w:b w:val="0"/>
                <w:szCs w:val="20"/>
              </w:rPr>
              <w:t xml:space="preserve"> in sredstev </w:t>
            </w:r>
            <w:r w:rsidR="00740930" w:rsidRPr="00740930">
              <w:rPr>
                <w:b w:val="0"/>
                <w:szCs w:val="20"/>
              </w:rPr>
              <w:t xml:space="preserve">Sklada za podnebne spremembe </w:t>
            </w:r>
            <w:r w:rsidR="00740930">
              <w:rPr>
                <w:b w:val="0"/>
                <w:szCs w:val="20"/>
              </w:rPr>
              <w:t>v obdobju</w:t>
            </w:r>
            <w:r w:rsidR="007F2BA0" w:rsidRPr="00ED51E8">
              <w:rPr>
                <w:b w:val="0"/>
                <w:szCs w:val="20"/>
              </w:rPr>
              <w:t xml:space="preserve"> od leta 2024 do 2030, k</w:t>
            </w:r>
            <w:r w:rsidR="00CD3D45">
              <w:rPr>
                <w:b w:val="0"/>
                <w:szCs w:val="20"/>
              </w:rPr>
              <w:t>jer</w:t>
            </w:r>
            <w:r w:rsidR="007F2BA0" w:rsidRPr="00ED51E8">
              <w:rPr>
                <w:b w:val="0"/>
                <w:szCs w:val="20"/>
              </w:rPr>
              <w:t xml:space="preserve"> je RS upravičena do koriščenja teh sredstev. </w:t>
            </w:r>
          </w:p>
          <w:p w14:paraId="60B93C9B" w14:textId="77777777" w:rsidR="00740930" w:rsidRDefault="00740930" w:rsidP="00F1346F">
            <w:pPr>
              <w:pStyle w:val="Oddelek"/>
              <w:widowControl w:val="0"/>
              <w:numPr>
                <w:ilvl w:val="0"/>
                <w:numId w:val="0"/>
              </w:numPr>
              <w:spacing w:before="0" w:after="0" w:line="260" w:lineRule="exact"/>
              <w:jc w:val="both"/>
              <w:rPr>
                <w:b w:val="0"/>
                <w:szCs w:val="20"/>
              </w:rPr>
            </w:pPr>
          </w:p>
          <w:p w14:paraId="5669C6D2" w14:textId="0B057060" w:rsidR="00740930" w:rsidRDefault="0095769D" w:rsidP="00B73166">
            <w:pPr>
              <w:pStyle w:val="Oddelek"/>
              <w:widowControl w:val="0"/>
              <w:numPr>
                <w:ilvl w:val="0"/>
                <w:numId w:val="0"/>
              </w:numPr>
              <w:spacing w:before="0" w:after="0" w:line="260" w:lineRule="exact"/>
              <w:jc w:val="both"/>
              <w:rPr>
                <w:b w:val="0"/>
                <w:szCs w:val="20"/>
              </w:rPr>
            </w:pPr>
            <w:r>
              <w:rPr>
                <w:b w:val="0"/>
                <w:szCs w:val="20"/>
              </w:rPr>
              <w:t>Sredstva</w:t>
            </w:r>
            <w:r w:rsidR="00CD3D45" w:rsidRPr="00CD3D45">
              <w:rPr>
                <w:b w:val="0"/>
                <w:szCs w:val="20"/>
              </w:rPr>
              <w:t xml:space="preserve"> Evropske kohezijske politike</w:t>
            </w:r>
            <w:r w:rsidR="00CD3D45">
              <w:rPr>
                <w:b w:val="0"/>
                <w:szCs w:val="20"/>
              </w:rPr>
              <w:t xml:space="preserve"> </w:t>
            </w:r>
            <w:r w:rsidR="00CD3D45" w:rsidRPr="00CD3D45">
              <w:rPr>
                <w:b w:val="0"/>
                <w:szCs w:val="20"/>
              </w:rPr>
              <w:t>so zagotovljen</w:t>
            </w:r>
            <w:r w:rsidR="00CD3D45">
              <w:rPr>
                <w:b w:val="0"/>
                <w:szCs w:val="20"/>
              </w:rPr>
              <w:t>a sredstva</w:t>
            </w:r>
            <w:r w:rsidR="00CD3D45" w:rsidRPr="00CD3D45">
              <w:rPr>
                <w:b w:val="0"/>
                <w:szCs w:val="20"/>
              </w:rPr>
              <w:t xml:space="preserve"> v okviru Program</w:t>
            </w:r>
            <w:r w:rsidR="00CD3D45">
              <w:rPr>
                <w:b w:val="0"/>
                <w:szCs w:val="20"/>
              </w:rPr>
              <w:t>a</w:t>
            </w:r>
            <w:r w:rsidR="00CD3D45" w:rsidRPr="00CD3D45">
              <w:rPr>
                <w:b w:val="0"/>
                <w:szCs w:val="20"/>
              </w:rPr>
              <w:t xml:space="preserve"> evropske kohezijske politike </w:t>
            </w:r>
            <w:r>
              <w:rPr>
                <w:b w:val="0"/>
                <w:szCs w:val="20"/>
              </w:rPr>
              <w:t>v obdobju</w:t>
            </w:r>
            <w:r w:rsidR="00CD3D45" w:rsidRPr="00CD3D45">
              <w:rPr>
                <w:b w:val="0"/>
                <w:szCs w:val="20"/>
              </w:rPr>
              <w:t xml:space="preserve"> 2021-2027 v Sloveniji, s katerim je namenjenih </w:t>
            </w:r>
            <w:r w:rsidR="00CD3D45">
              <w:rPr>
                <w:b w:val="0"/>
                <w:szCs w:val="20"/>
              </w:rPr>
              <w:t>15</w:t>
            </w:r>
            <w:r w:rsidR="00CD3D45" w:rsidRPr="00CD3D45">
              <w:rPr>
                <w:b w:val="0"/>
                <w:szCs w:val="20"/>
              </w:rPr>
              <w:t xml:space="preserve"> milijonov evrov za naložbe za energetsko revna gospodinjstva. </w:t>
            </w:r>
          </w:p>
          <w:p w14:paraId="4391EB63" w14:textId="12EDC945" w:rsidR="007F2BA0" w:rsidRDefault="007F2BA0" w:rsidP="00B73166">
            <w:pPr>
              <w:pStyle w:val="Oddelek"/>
              <w:widowControl w:val="0"/>
              <w:numPr>
                <w:ilvl w:val="0"/>
                <w:numId w:val="0"/>
              </w:numPr>
              <w:spacing w:before="0" w:after="0" w:line="260" w:lineRule="exact"/>
              <w:jc w:val="both"/>
              <w:rPr>
                <w:b w:val="0"/>
                <w:szCs w:val="20"/>
              </w:rPr>
            </w:pPr>
            <w:r w:rsidRPr="00ED51E8">
              <w:rPr>
                <w:b w:val="0"/>
                <w:szCs w:val="20"/>
              </w:rPr>
              <w:t xml:space="preserve">V primeru koriščenja sredstev Sklada za podnebne spremembe </w:t>
            </w:r>
            <w:r w:rsidR="000D19AF">
              <w:rPr>
                <w:b w:val="0"/>
                <w:szCs w:val="20"/>
              </w:rPr>
              <w:t xml:space="preserve">so </w:t>
            </w:r>
            <w:r w:rsidRPr="00ED51E8">
              <w:rPr>
                <w:b w:val="0"/>
                <w:szCs w:val="20"/>
              </w:rPr>
              <w:t xml:space="preserve">pravice porabe </w:t>
            </w:r>
            <w:r w:rsidR="000D19AF">
              <w:rPr>
                <w:b w:val="0"/>
                <w:szCs w:val="20"/>
              </w:rPr>
              <w:t>zagotovljene</w:t>
            </w:r>
            <w:r w:rsidR="00740930">
              <w:rPr>
                <w:b w:val="0"/>
                <w:szCs w:val="20"/>
              </w:rPr>
              <w:t xml:space="preserve"> v okviru</w:t>
            </w:r>
            <w:r w:rsidRPr="00ED51E8">
              <w:rPr>
                <w:b w:val="0"/>
                <w:szCs w:val="20"/>
              </w:rPr>
              <w:t xml:space="preserve"> </w:t>
            </w:r>
            <w:r w:rsidR="00740930" w:rsidRPr="00740930">
              <w:rPr>
                <w:b w:val="0"/>
                <w:szCs w:val="20"/>
              </w:rPr>
              <w:t>Odlok</w:t>
            </w:r>
            <w:r w:rsidR="00740930">
              <w:rPr>
                <w:b w:val="0"/>
                <w:szCs w:val="20"/>
              </w:rPr>
              <w:t>a</w:t>
            </w:r>
            <w:r w:rsidR="00740930" w:rsidRPr="00740930">
              <w:rPr>
                <w:b w:val="0"/>
                <w:szCs w:val="20"/>
              </w:rPr>
              <w:t xml:space="preserve"> o Programu porabe sredstev Sklada za podnebne spremembe do leta 2026</w:t>
            </w:r>
            <w:r w:rsidR="00CD3D45">
              <w:rPr>
                <w:b w:val="0"/>
                <w:szCs w:val="20"/>
              </w:rPr>
              <w:t xml:space="preserve">, s katerim je </w:t>
            </w:r>
            <w:r w:rsidR="00CD3D45" w:rsidRPr="000D19AF">
              <w:rPr>
                <w:b w:val="0"/>
                <w:szCs w:val="20"/>
              </w:rPr>
              <w:t>namenjenih 2</w:t>
            </w:r>
            <w:r w:rsidR="000D19AF" w:rsidRPr="000D19AF">
              <w:rPr>
                <w:b w:val="0"/>
                <w:szCs w:val="20"/>
              </w:rPr>
              <w:t>4</w:t>
            </w:r>
            <w:r w:rsidR="00CD3D45" w:rsidRPr="000D19AF">
              <w:rPr>
                <w:b w:val="0"/>
                <w:szCs w:val="20"/>
              </w:rPr>
              <w:t xml:space="preserve"> milijonov</w:t>
            </w:r>
            <w:r w:rsidR="00CD3D45" w:rsidRPr="00CD3D45">
              <w:rPr>
                <w:b w:val="0"/>
                <w:szCs w:val="20"/>
              </w:rPr>
              <w:t xml:space="preserve"> evrov za naložbe za energetsko revna gospodinjstva</w:t>
            </w:r>
            <w:r w:rsidR="0048391B">
              <w:rPr>
                <w:b w:val="0"/>
                <w:szCs w:val="20"/>
              </w:rPr>
              <w:t>, od tega 0,</w:t>
            </w:r>
            <w:r w:rsidR="00EC4CA3">
              <w:rPr>
                <w:b w:val="0"/>
                <w:szCs w:val="20"/>
              </w:rPr>
              <w:t>4</w:t>
            </w:r>
            <w:r w:rsidR="0048391B">
              <w:rPr>
                <w:b w:val="0"/>
                <w:szCs w:val="20"/>
              </w:rPr>
              <w:t xml:space="preserve"> mio evrov v letu 2023, </w:t>
            </w:r>
            <w:r w:rsidR="00EC4CA3">
              <w:rPr>
                <w:b w:val="0"/>
                <w:szCs w:val="20"/>
              </w:rPr>
              <w:t>4,1</w:t>
            </w:r>
            <w:r w:rsidR="0048391B">
              <w:rPr>
                <w:b w:val="0"/>
                <w:szCs w:val="20"/>
              </w:rPr>
              <w:t xml:space="preserve"> mio evrov v letu 2024, </w:t>
            </w:r>
            <w:r w:rsidR="00EC4CA3">
              <w:rPr>
                <w:b w:val="0"/>
                <w:szCs w:val="20"/>
              </w:rPr>
              <w:t xml:space="preserve">11 </w:t>
            </w:r>
            <w:r w:rsidR="0048391B">
              <w:rPr>
                <w:b w:val="0"/>
                <w:szCs w:val="20"/>
              </w:rPr>
              <w:t xml:space="preserve">mio v letu 2025 in </w:t>
            </w:r>
            <w:r w:rsidR="00EC4CA3">
              <w:rPr>
                <w:b w:val="0"/>
                <w:szCs w:val="20"/>
              </w:rPr>
              <w:t>8,5</w:t>
            </w:r>
            <w:r w:rsidR="0048391B">
              <w:rPr>
                <w:b w:val="0"/>
                <w:szCs w:val="20"/>
              </w:rPr>
              <w:t xml:space="preserve"> mio v letu 2026.</w:t>
            </w:r>
            <w:r w:rsidR="00740930">
              <w:rPr>
                <w:b w:val="0"/>
                <w:szCs w:val="20"/>
              </w:rPr>
              <w:t xml:space="preserve"> </w:t>
            </w:r>
            <w:r w:rsidR="00EC4CA3">
              <w:rPr>
                <w:b w:val="0"/>
                <w:szCs w:val="20"/>
              </w:rPr>
              <w:t>Poleg tega je v letu 2024 predvidenih iz kohezijskih sredstev 2,4 mio EUR, v letu 2025 3,7 mio EUR in v letu 2026 3,7 mio EUR ter v obdobju 2027-2029 13,2 mio EUR.</w:t>
            </w:r>
          </w:p>
          <w:p w14:paraId="2CE5F61B" w14:textId="5DB42162" w:rsidR="00CD3D45" w:rsidRPr="00620790" w:rsidRDefault="00CD3D45" w:rsidP="00B73166">
            <w:pPr>
              <w:pStyle w:val="Oddelek"/>
              <w:widowControl w:val="0"/>
              <w:numPr>
                <w:ilvl w:val="0"/>
                <w:numId w:val="0"/>
              </w:numPr>
              <w:spacing w:before="0" w:after="0" w:line="260" w:lineRule="exact"/>
              <w:jc w:val="both"/>
              <w:rPr>
                <w:b w:val="0"/>
                <w:szCs w:val="20"/>
              </w:rPr>
            </w:pPr>
            <w:r>
              <w:rPr>
                <w:b w:val="0"/>
                <w:szCs w:val="20"/>
              </w:rPr>
              <w:t xml:space="preserve">Za obdobje po letu 2027 so predvidena tudi sredstva </w:t>
            </w:r>
            <w:r w:rsidRPr="00CD3D45">
              <w:rPr>
                <w:b w:val="0"/>
                <w:szCs w:val="20"/>
              </w:rPr>
              <w:t>Socialnega sklada za podnebje</w:t>
            </w:r>
            <w:r>
              <w:rPr>
                <w:b w:val="0"/>
                <w:szCs w:val="20"/>
              </w:rPr>
              <w:t xml:space="preserve">, ki pa se šele vzpostavlja in predvideva kot eno od ključnih vsebin za spodbujanje ravno energetsko revščino. V okviru </w:t>
            </w:r>
            <w:r w:rsidRPr="00CD3D45">
              <w:rPr>
                <w:b w:val="0"/>
                <w:szCs w:val="20"/>
              </w:rPr>
              <w:t xml:space="preserve">Socialnega sklada za podnebje </w:t>
            </w:r>
            <w:r>
              <w:rPr>
                <w:b w:val="0"/>
                <w:szCs w:val="20"/>
              </w:rPr>
              <w:t xml:space="preserve">je predvidenih več </w:t>
            </w:r>
            <w:r w:rsidRPr="004460B7">
              <w:rPr>
                <w:b w:val="0"/>
                <w:szCs w:val="20"/>
              </w:rPr>
              <w:t>100 mio</w:t>
            </w:r>
            <w:r>
              <w:rPr>
                <w:b w:val="0"/>
                <w:szCs w:val="20"/>
              </w:rPr>
              <w:t xml:space="preserve"> za Slovenijo. </w:t>
            </w:r>
            <w:r w:rsidRPr="00CD3D45">
              <w:rPr>
                <w:b w:val="0"/>
                <w:szCs w:val="20"/>
              </w:rPr>
              <w:t>Sklad bo pomagal ranljivim gospodinjstvom, malim podjetjem in uporabnikom prevozov, ki jih energetska in prometna revščina lahko še posebej prizadene.</w:t>
            </w:r>
            <w:r>
              <w:rPr>
                <w:b w:val="0"/>
                <w:szCs w:val="20"/>
              </w:rPr>
              <w:t xml:space="preserve"> </w:t>
            </w:r>
            <w:r w:rsidRPr="00CD3D45">
              <w:rPr>
                <w:b w:val="0"/>
                <w:szCs w:val="20"/>
              </w:rPr>
              <w:t xml:space="preserve">Sklad je del zakonodajnega svežnja </w:t>
            </w:r>
            <w:r w:rsidR="000D19AF">
              <w:rPr>
                <w:b w:val="0"/>
                <w:szCs w:val="20"/>
              </w:rPr>
              <w:t>»</w:t>
            </w:r>
            <w:r w:rsidRPr="00CD3D45">
              <w:rPr>
                <w:b w:val="0"/>
                <w:szCs w:val="20"/>
              </w:rPr>
              <w:t>Pripravljeni na 55</w:t>
            </w:r>
            <w:r w:rsidR="000D19AF">
              <w:rPr>
                <w:b w:val="0"/>
                <w:szCs w:val="20"/>
              </w:rPr>
              <w:t>«</w:t>
            </w:r>
            <w:r w:rsidRPr="00CD3D45">
              <w:rPr>
                <w:b w:val="0"/>
                <w:szCs w:val="20"/>
              </w:rPr>
              <w:t>, s katerim naj bi dosegli cilje evropskega zelenega dogovora in do leta 2030 zmanjšali emisije toplogrednih plinov za 55 odstotkov.</w:t>
            </w:r>
            <w:r>
              <w:t xml:space="preserve"> </w:t>
            </w:r>
            <w:r w:rsidRPr="00D73E82">
              <w:rPr>
                <w:b w:val="0"/>
                <w:bCs/>
              </w:rPr>
              <w:t>S</w:t>
            </w:r>
            <w:r w:rsidRPr="00CD3D45">
              <w:rPr>
                <w:b w:val="0"/>
                <w:szCs w:val="20"/>
              </w:rPr>
              <w:t xml:space="preserve">ocialni sklad za podnebje </w:t>
            </w:r>
            <w:r w:rsidR="00D73E82">
              <w:rPr>
                <w:b w:val="0"/>
                <w:szCs w:val="20"/>
              </w:rPr>
              <w:t xml:space="preserve">se bo </w:t>
            </w:r>
            <w:r w:rsidRPr="00CD3D45">
              <w:rPr>
                <w:b w:val="0"/>
                <w:szCs w:val="20"/>
              </w:rPr>
              <w:t>začel izvajati leta 2026, eno leto preden bo sistem trgovanja z emisijami (ETS) razširjen na zgradbe in cestni promet (t. i. "ETS II")</w:t>
            </w:r>
            <w:r w:rsidR="00D73E82">
              <w:rPr>
                <w:b w:val="0"/>
                <w:szCs w:val="20"/>
              </w:rPr>
              <w:t>.</w:t>
            </w:r>
          </w:p>
        </w:tc>
      </w:tr>
    </w:tbl>
    <w:p w14:paraId="040B6220" w14:textId="77777777" w:rsidR="007F2BA0" w:rsidRPr="00620790" w:rsidRDefault="007F2BA0" w:rsidP="007F2BA0">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747"/>
        <w:gridCol w:w="1569"/>
        <w:gridCol w:w="375"/>
        <w:gridCol w:w="1665"/>
        <w:gridCol w:w="206"/>
        <w:gridCol w:w="420"/>
        <w:gridCol w:w="738"/>
        <w:gridCol w:w="1543"/>
      </w:tblGrid>
      <w:tr w:rsidR="007F2BA0" w:rsidRPr="00620790" w14:paraId="3D41D897" w14:textId="77777777" w:rsidTr="00F1346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3C0246A" w14:textId="77777777" w:rsidR="007F2BA0" w:rsidRPr="00620790" w:rsidRDefault="007F2BA0" w:rsidP="00F1346F">
            <w:pPr>
              <w:pStyle w:val="Naslov1"/>
              <w:keepNext w:val="0"/>
              <w:pageBreakBefore/>
              <w:widowControl w:val="0"/>
              <w:tabs>
                <w:tab w:val="left" w:pos="2340"/>
              </w:tabs>
              <w:spacing w:before="0"/>
              <w:ind w:left="142" w:hanging="142"/>
              <w:rPr>
                <w:rFonts w:cs="Arial"/>
                <w:szCs w:val="20"/>
              </w:rPr>
            </w:pPr>
            <w:bookmarkStart w:id="0" w:name="_Ref120275319"/>
            <w:r w:rsidRPr="00620790">
              <w:rPr>
                <w:rFonts w:cs="Arial"/>
                <w:szCs w:val="20"/>
              </w:rPr>
              <w:lastRenderedPageBreak/>
              <w:t>I. Ocena finančnih posledic, ki niso načrtovane v sprejetem proračunu</w:t>
            </w:r>
            <w:bookmarkEnd w:id="0"/>
          </w:p>
        </w:tc>
      </w:tr>
      <w:tr w:rsidR="007F2BA0" w:rsidRPr="00620790" w14:paraId="2DB041EE" w14:textId="77777777" w:rsidTr="001D3963">
        <w:trPr>
          <w:cantSplit/>
          <w:trHeight w:val="276"/>
        </w:trPr>
        <w:tc>
          <w:tcPr>
            <w:tcW w:w="2684" w:type="dxa"/>
            <w:gridSpan w:val="2"/>
            <w:tcBorders>
              <w:top w:val="single" w:sz="4" w:space="0" w:color="auto"/>
              <w:left w:val="single" w:sz="4" w:space="0" w:color="auto"/>
              <w:bottom w:val="single" w:sz="4" w:space="0" w:color="auto"/>
              <w:right w:val="single" w:sz="4" w:space="0" w:color="auto"/>
            </w:tcBorders>
            <w:vAlign w:val="center"/>
          </w:tcPr>
          <w:p w14:paraId="221EE9C8" w14:textId="77777777" w:rsidR="007F2BA0" w:rsidRPr="00620790" w:rsidRDefault="007F2BA0" w:rsidP="00F1346F">
            <w:pPr>
              <w:widowControl w:val="0"/>
              <w:spacing w:line="260" w:lineRule="exact"/>
              <w:ind w:left="-122" w:right="-112"/>
              <w:jc w:val="center"/>
              <w:rPr>
                <w:rFonts w:cs="Arial"/>
                <w:szCs w:val="2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16FB57BA" w14:textId="77777777" w:rsidR="007F2BA0" w:rsidRPr="00620790" w:rsidRDefault="007F2BA0" w:rsidP="00F1346F">
            <w:pPr>
              <w:widowControl w:val="0"/>
              <w:spacing w:line="260" w:lineRule="exact"/>
              <w:jc w:val="center"/>
              <w:rPr>
                <w:rFonts w:cs="Arial"/>
                <w:szCs w:val="20"/>
              </w:rPr>
            </w:pPr>
            <w:r w:rsidRPr="00620790">
              <w:rPr>
                <w:rFonts w:cs="Arial"/>
                <w:szCs w:val="20"/>
              </w:rPr>
              <w:t>Tekoče leto (t)</w:t>
            </w:r>
          </w:p>
        </w:tc>
        <w:tc>
          <w:tcPr>
            <w:tcW w:w="1665" w:type="dxa"/>
            <w:tcBorders>
              <w:top w:val="single" w:sz="4" w:space="0" w:color="auto"/>
              <w:left w:val="single" w:sz="4" w:space="0" w:color="auto"/>
              <w:bottom w:val="single" w:sz="4" w:space="0" w:color="auto"/>
              <w:right w:val="single" w:sz="4" w:space="0" w:color="auto"/>
            </w:tcBorders>
            <w:vAlign w:val="center"/>
          </w:tcPr>
          <w:p w14:paraId="43614BA5" w14:textId="77777777" w:rsidR="007F2BA0" w:rsidRPr="00620790" w:rsidRDefault="007F2BA0" w:rsidP="00F1346F">
            <w:pPr>
              <w:widowControl w:val="0"/>
              <w:spacing w:line="260" w:lineRule="exact"/>
              <w:jc w:val="center"/>
              <w:rPr>
                <w:rFonts w:cs="Arial"/>
                <w:szCs w:val="20"/>
              </w:rPr>
            </w:pPr>
            <w:r w:rsidRPr="00620790">
              <w:rPr>
                <w:rFonts w:cs="Arial"/>
                <w:szCs w:val="20"/>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69FC0F4" w14:textId="77777777" w:rsidR="007F2BA0" w:rsidRPr="00620790" w:rsidRDefault="007F2BA0" w:rsidP="00F1346F">
            <w:pPr>
              <w:widowControl w:val="0"/>
              <w:spacing w:line="260" w:lineRule="exact"/>
              <w:jc w:val="center"/>
              <w:rPr>
                <w:rFonts w:cs="Arial"/>
                <w:szCs w:val="20"/>
              </w:rPr>
            </w:pPr>
            <w:r w:rsidRPr="00620790">
              <w:rPr>
                <w:rFonts w:cs="Arial"/>
                <w:szCs w:val="20"/>
              </w:rPr>
              <w:t>t + 2</w:t>
            </w:r>
          </w:p>
        </w:tc>
        <w:tc>
          <w:tcPr>
            <w:tcW w:w="1543" w:type="dxa"/>
            <w:tcBorders>
              <w:top w:val="single" w:sz="4" w:space="0" w:color="auto"/>
              <w:left w:val="single" w:sz="4" w:space="0" w:color="auto"/>
              <w:bottom w:val="single" w:sz="4" w:space="0" w:color="auto"/>
              <w:right w:val="single" w:sz="4" w:space="0" w:color="auto"/>
            </w:tcBorders>
            <w:vAlign w:val="center"/>
          </w:tcPr>
          <w:p w14:paraId="39B9F31C" w14:textId="77777777" w:rsidR="007F2BA0" w:rsidRPr="00620790" w:rsidRDefault="007F2BA0" w:rsidP="00F1346F">
            <w:pPr>
              <w:widowControl w:val="0"/>
              <w:spacing w:line="260" w:lineRule="exact"/>
              <w:jc w:val="center"/>
              <w:rPr>
                <w:rFonts w:cs="Arial"/>
                <w:szCs w:val="20"/>
              </w:rPr>
            </w:pPr>
            <w:r w:rsidRPr="00620790">
              <w:rPr>
                <w:rFonts w:cs="Arial"/>
                <w:szCs w:val="20"/>
              </w:rPr>
              <w:t>t + 3</w:t>
            </w:r>
          </w:p>
        </w:tc>
      </w:tr>
      <w:tr w:rsidR="007F2BA0" w:rsidRPr="00620790" w14:paraId="4B917052" w14:textId="77777777" w:rsidTr="001D3963">
        <w:trPr>
          <w:cantSplit/>
          <w:trHeight w:val="423"/>
        </w:trPr>
        <w:tc>
          <w:tcPr>
            <w:tcW w:w="2684" w:type="dxa"/>
            <w:gridSpan w:val="2"/>
            <w:tcBorders>
              <w:top w:val="single" w:sz="4" w:space="0" w:color="auto"/>
              <w:left w:val="single" w:sz="4" w:space="0" w:color="auto"/>
              <w:bottom w:val="single" w:sz="4" w:space="0" w:color="auto"/>
              <w:right w:val="single" w:sz="4" w:space="0" w:color="auto"/>
            </w:tcBorders>
            <w:vAlign w:val="center"/>
          </w:tcPr>
          <w:p w14:paraId="5DDE093F" w14:textId="77777777" w:rsidR="007F2BA0" w:rsidRPr="00620790" w:rsidRDefault="007F2BA0" w:rsidP="00F1346F">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xml:space="preserve">) prihodkov državnega proračuna </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2A15A229"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14:paraId="1AFAC46E"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214E7905" w14:textId="77777777" w:rsidR="007F2BA0" w:rsidRPr="00620790" w:rsidRDefault="007F2BA0" w:rsidP="00F1346F">
            <w:pPr>
              <w:pStyle w:val="Naslov1"/>
              <w:keepNext w:val="0"/>
              <w:widowControl w:val="0"/>
              <w:tabs>
                <w:tab w:val="left" w:pos="360"/>
              </w:tabs>
              <w:spacing w:before="0"/>
              <w:rPr>
                <w:rFonts w:cs="Arial"/>
                <w:b w:val="0"/>
                <w:szCs w:val="20"/>
              </w:rPr>
            </w:pPr>
          </w:p>
        </w:tc>
        <w:tc>
          <w:tcPr>
            <w:tcW w:w="1543" w:type="dxa"/>
            <w:tcBorders>
              <w:top w:val="single" w:sz="4" w:space="0" w:color="auto"/>
              <w:left w:val="single" w:sz="4" w:space="0" w:color="auto"/>
              <w:bottom w:val="single" w:sz="4" w:space="0" w:color="auto"/>
              <w:right w:val="single" w:sz="4" w:space="0" w:color="auto"/>
            </w:tcBorders>
            <w:vAlign w:val="center"/>
          </w:tcPr>
          <w:p w14:paraId="5A856C1D" w14:textId="77777777" w:rsidR="007F2BA0" w:rsidRPr="00620790" w:rsidRDefault="007F2BA0" w:rsidP="00F1346F">
            <w:pPr>
              <w:pStyle w:val="Naslov1"/>
              <w:keepNext w:val="0"/>
              <w:widowControl w:val="0"/>
              <w:tabs>
                <w:tab w:val="left" w:pos="360"/>
              </w:tabs>
              <w:spacing w:before="0"/>
              <w:rPr>
                <w:rFonts w:cs="Arial"/>
                <w:b w:val="0"/>
                <w:szCs w:val="20"/>
              </w:rPr>
            </w:pPr>
          </w:p>
        </w:tc>
      </w:tr>
      <w:tr w:rsidR="007F2BA0" w:rsidRPr="00620790" w14:paraId="6B3D2791" w14:textId="77777777" w:rsidTr="001D3963">
        <w:trPr>
          <w:cantSplit/>
          <w:trHeight w:val="423"/>
        </w:trPr>
        <w:tc>
          <w:tcPr>
            <w:tcW w:w="2684" w:type="dxa"/>
            <w:gridSpan w:val="2"/>
            <w:tcBorders>
              <w:top w:val="single" w:sz="4" w:space="0" w:color="auto"/>
              <w:left w:val="single" w:sz="4" w:space="0" w:color="auto"/>
              <w:bottom w:val="single" w:sz="4" w:space="0" w:color="auto"/>
              <w:right w:val="single" w:sz="4" w:space="0" w:color="auto"/>
            </w:tcBorders>
            <w:vAlign w:val="center"/>
          </w:tcPr>
          <w:p w14:paraId="258EE730" w14:textId="77777777" w:rsidR="007F2BA0" w:rsidRPr="00620790" w:rsidRDefault="007F2BA0" w:rsidP="00F1346F">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xml:space="preserve">) prihodkov občinskih proračunov </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7647D767"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14:paraId="3D1F88BF"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7DCDEAD0" w14:textId="77777777" w:rsidR="007F2BA0" w:rsidRPr="00620790" w:rsidRDefault="007F2BA0" w:rsidP="00F1346F">
            <w:pPr>
              <w:pStyle w:val="Naslov1"/>
              <w:keepNext w:val="0"/>
              <w:widowControl w:val="0"/>
              <w:tabs>
                <w:tab w:val="left" w:pos="360"/>
              </w:tabs>
              <w:spacing w:before="0"/>
              <w:rPr>
                <w:rFonts w:cs="Arial"/>
                <w:b w:val="0"/>
                <w:szCs w:val="20"/>
              </w:rPr>
            </w:pPr>
          </w:p>
        </w:tc>
        <w:tc>
          <w:tcPr>
            <w:tcW w:w="1543" w:type="dxa"/>
            <w:tcBorders>
              <w:top w:val="single" w:sz="4" w:space="0" w:color="auto"/>
              <w:left w:val="single" w:sz="4" w:space="0" w:color="auto"/>
              <w:bottom w:val="single" w:sz="4" w:space="0" w:color="auto"/>
              <w:right w:val="single" w:sz="4" w:space="0" w:color="auto"/>
            </w:tcBorders>
            <w:vAlign w:val="center"/>
          </w:tcPr>
          <w:p w14:paraId="5FB62F30" w14:textId="77777777" w:rsidR="007F2BA0" w:rsidRPr="00620790" w:rsidRDefault="007F2BA0" w:rsidP="00F1346F">
            <w:pPr>
              <w:pStyle w:val="Naslov1"/>
              <w:keepNext w:val="0"/>
              <w:widowControl w:val="0"/>
              <w:tabs>
                <w:tab w:val="left" w:pos="360"/>
              </w:tabs>
              <w:spacing w:before="0"/>
              <w:rPr>
                <w:rFonts w:cs="Arial"/>
                <w:b w:val="0"/>
                <w:szCs w:val="20"/>
              </w:rPr>
            </w:pPr>
          </w:p>
        </w:tc>
      </w:tr>
      <w:tr w:rsidR="007F2BA0" w:rsidRPr="00620790" w14:paraId="47966F12" w14:textId="77777777" w:rsidTr="001D3963">
        <w:trPr>
          <w:cantSplit/>
          <w:trHeight w:val="423"/>
        </w:trPr>
        <w:tc>
          <w:tcPr>
            <w:tcW w:w="2684" w:type="dxa"/>
            <w:gridSpan w:val="2"/>
            <w:tcBorders>
              <w:top w:val="single" w:sz="4" w:space="0" w:color="auto"/>
              <w:left w:val="single" w:sz="4" w:space="0" w:color="auto"/>
              <w:bottom w:val="single" w:sz="4" w:space="0" w:color="auto"/>
              <w:right w:val="single" w:sz="4" w:space="0" w:color="auto"/>
            </w:tcBorders>
            <w:vAlign w:val="center"/>
          </w:tcPr>
          <w:p w14:paraId="2423CB6E" w14:textId="77777777" w:rsidR="007F2BA0" w:rsidRPr="00620790" w:rsidRDefault="007F2BA0" w:rsidP="00F1346F">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xml:space="preserve">) odhodkov državnega proračuna </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0C400837" w14:textId="77777777" w:rsidR="007F2BA0" w:rsidRPr="00620790" w:rsidRDefault="007F2BA0" w:rsidP="00F1346F">
            <w:pPr>
              <w:widowControl w:val="0"/>
              <w:spacing w:line="260" w:lineRule="exact"/>
              <w:jc w:val="center"/>
              <w:rPr>
                <w:rFonts w:cs="Arial"/>
                <w:szCs w:val="20"/>
              </w:rPr>
            </w:pPr>
          </w:p>
        </w:tc>
        <w:tc>
          <w:tcPr>
            <w:tcW w:w="1665" w:type="dxa"/>
            <w:tcBorders>
              <w:top w:val="single" w:sz="4" w:space="0" w:color="auto"/>
              <w:left w:val="single" w:sz="4" w:space="0" w:color="auto"/>
              <w:bottom w:val="single" w:sz="4" w:space="0" w:color="auto"/>
              <w:right w:val="single" w:sz="4" w:space="0" w:color="auto"/>
            </w:tcBorders>
          </w:tcPr>
          <w:p w14:paraId="0F87E3E0" w14:textId="77777777" w:rsidR="007F2BA0" w:rsidRPr="00620790" w:rsidRDefault="007F2BA0" w:rsidP="00F1346F">
            <w:pPr>
              <w:widowControl w:val="0"/>
              <w:spacing w:line="260" w:lineRule="exact"/>
              <w:jc w:val="center"/>
              <w:rPr>
                <w:rFonts w:cs="Arial"/>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6B3DBD32" w14:textId="77777777" w:rsidR="007F2BA0" w:rsidRPr="00620790" w:rsidRDefault="007F2BA0" w:rsidP="00F1346F">
            <w:pPr>
              <w:widowControl w:val="0"/>
              <w:spacing w:line="260" w:lineRule="exact"/>
              <w:jc w:val="center"/>
              <w:rPr>
                <w:rFonts w:cs="Arial"/>
                <w:szCs w:val="20"/>
              </w:rPr>
            </w:pPr>
          </w:p>
        </w:tc>
        <w:tc>
          <w:tcPr>
            <w:tcW w:w="1543" w:type="dxa"/>
            <w:tcBorders>
              <w:top w:val="single" w:sz="4" w:space="0" w:color="auto"/>
              <w:left w:val="single" w:sz="4" w:space="0" w:color="auto"/>
              <w:bottom w:val="single" w:sz="4" w:space="0" w:color="auto"/>
              <w:right w:val="single" w:sz="4" w:space="0" w:color="auto"/>
            </w:tcBorders>
          </w:tcPr>
          <w:p w14:paraId="3A90298A" w14:textId="77777777" w:rsidR="007F2BA0" w:rsidRPr="00620790" w:rsidRDefault="007F2BA0" w:rsidP="00F1346F">
            <w:pPr>
              <w:widowControl w:val="0"/>
              <w:spacing w:line="260" w:lineRule="exact"/>
              <w:jc w:val="center"/>
              <w:rPr>
                <w:rFonts w:cs="Arial"/>
                <w:szCs w:val="20"/>
              </w:rPr>
            </w:pPr>
          </w:p>
        </w:tc>
      </w:tr>
      <w:tr w:rsidR="007F2BA0" w:rsidRPr="00620790" w14:paraId="64FC5116" w14:textId="77777777" w:rsidTr="001D3963">
        <w:trPr>
          <w:cantSplit/>
          <w:trHeight w:val="623"/>
        </w:trPr>
        <w:tc>
          <w:tcPr>
            <w:tcW w:w="2684" w:type="dxa"/>
            <w:gridSpan w:val="2"/>
            <w:tcBorders>
              <w:top w:val="single" w:sz="4" w:space="0" w:color="auto"/>
              <w:left w:val="single" w:sz="4" w:space="0" w:color="auto"/>
              <w:bottom w:val="single" w:sz="4" w:space="0" w:color="auto"/>
              <w:right w:val="single" w:sz="4" w:space="0" w:color="auto"/>
            </w:tcBorders>
            <w:vAlign w:val="center"/>
          </w:tcPr>
          <w:p w14:paraId="712FDA81" w14:textId="77777777" w:rsidR="007F2BA0" w:rsidRPr="00620790" w:rsidRDefault="007F2BA0" w:rsidP="00F1346F">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odhodkov občinskih proračunov</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53DE8651" w14:textId="77777777" w:rsidR="007F2BA0" w:rsidRPr="00620790" w:rsidRDefault="007F2BA0" w:rsidP="00F1346F">
            <w:pPr>
              <w:widowControl w:val="0"/>
              <w:spacing w:line="260" w:lineRule="exact"/>
              <w:jc w:val="center"/>
              <w:rPr>
                <w:rFonts w:cs="Arial"/>
                <w:szCs w:val="20"/>
              </w:rPr>
            </w:pPr>
          </w:p>
        </w:tc>
        <w:tc>
          <w:tcPr>
            <w:tcW w:w="1665" w:type="dxa"/>
            <w:tcBorders>
              <w:top w:val="single" w:sz="4" w:space="0" w:color="auto"/>
              <w:left w:val="single" w:sz="4" w:space="0" w:color="auto"/>
              <w:bottom w:val="single" w:sz="4" w:space="0" w:color="auto"/>
              <w:right w:val="single" w:sz="4" w:space="0" w:color="auto"/>
            </w:tcBorders>
            <w:vAlign w:val="center"/>
          </w:tcPr>
          <w:p w14:paraId="1AD3AA38" w14:textId="77777777" w:rsidR="007F2BA0" w:rsidRPr="00620790" w:rsidRDefault="007F2BA0" w:rsidP="00F1346F">
            <w:pPr>
              <w:widowControl w:val="0"/>
              <w:spacing w:line="260" w:lineRule="exact"/>
              <w:jc w:val="center"/>
              <w:rPr>
                <w:rFonts w:cs="Arial"/>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535E32F" w14:textId="77777777" w:rsidR="007F2BA0" w:rsidRPr="00620790" w:rsidRDefault="007F2BA0" w:rsidP="00F1346F">
            <w:pPr>
              <w:widowControl w:val="0"/>
              <w:spacing w:line="260" w:lineRule="exact"/>
              <w:jc w:val="center"/>
              <w:rPr>
                <w:rFonts w:cs="Arial"/>
                <w:szCs w:val="20"/>
              </w:rPr>
            </w:pPr>
          </w:p>
        </w:tc>
        <w:tc>
          <w:tcPr>
            <w:tcW w:w="1543" w:type="dxa"/>
            <w:tcBorders>
              <w:top w:val="single" w:sz="4" w:space="0" w:color="auto"/>
              <w:left w:val="single" w:sz="4" w:space="0" w:color="auto"/>
              <w:bottom w:val="single" w:sz="4" w:space="0" w:color="auto"/>
              <w:right w:val="single" w:sz="4" w:space="0" w:color="auto"/>
            </w:tcBorders>
            <w:vAlign w:val="center"/>
          </w:tcPr>
          <w:p w14:paraId="3F596ECC" w14:textId="77777777" w:rsidR="007F2BA0" w:rsidRPr="00620790" w:rsidRDefault="007F2BA0" w:rsidP="00F1346F">
            <w:pPr>
              <w:widowControl w:val="0"/>
              <w:spacing w:line="260" w:lineRule="exact"/>
              <w:jc w:val="center"/>
              <w:rPr>
                <w:rFonts w:cs="Arial"/>
                <w:szCs w:val="20"/>
              </w:rPr>
            </w:pPr>
          </w:p>
        </w:tc>
      </w:tr>
      <w:tr w:rsidR="007F2BA0" w:rsidRPr="00620790" w14:paraId="72102638" w14:textId="77777777" w:rsidTr="001D3963">
        <w:trPr>
          <w:cantSplit/>
          <w:trHeight w:val="423"/>
        </w:trPr>
        <w:tc>
          <w:tcPr>
            <w:tcW w:w="2684" w:type="dxa"/>
            <w:gridSpan w:val="2"/>
            <w:tcBorders>
              <w:top w:val="single" w:sz="4" w:space="0" w:color="auto"/>
              <w:left w:val="single" w:sz="4" w:space="0" w:color="auto"/>
              <w:bottom w:val="single" w:sz="4" w:space="0" w:color="auto"/>
              <w:right w:val="single" w:sz="4" w:space="0" w:color="auto"/>
            </w:tcBorders>
            <w:vAlign w:val="center"/>
          </w:tcPr>
          <w:p w14:paraId="3EBFB60C" w14:textId="77777777" w:rsidR="007F2BA0" w:rsidRPr="00620790" w:rsidRDefault="007F2BA0" w:rsidP="00F1346F">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obveznosti za druga javnofinančna sredstva</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5BB7CA44"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14:paraId="34D77FBA" w14:textId="77777777" w:rsidR="007F2BA0" w:rsidRPr="00620790" w:rsidRDefault="007F2BA0" w:rsidP="00F1346F">
            <w:pPr>
              <w:pStyle w:val="Naslov1"/>
              <w:keepNext w:val="0"/>
              <w:widowControl w:val="0"/>
              <w:tabs>
                <w:tab w:val="left" w:pos="360"/>
              </w:tabs>
              <w:spacing w:before="0"/>
              <w:rPr>
                <w:rFonts w:cs="Arial"/>
                <w:b w:val="0"/>
                <w:bCs w:val="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A4BC10F" w14:textId="77777777" w:rsidR="007F2BA0" w:rsidRPr="00620790" w:rsidRDefault="007F2BA0" w:rsidP="00F1346F">
            <w:pPr>
              <w:pStyle w:val="Naslov1"/>
              <w:keepNext w:val="0"/>
              <w:widowControl w:val="0"/>
              <w:tabs>
                <w:tab w:val="left" w:pos="360"/>
              </w:tabs>
              <w:spacing w:before="0"/>
              <w:rPr>
                <w:rFonts w:cs="Arial"/>
                <w:b w:val="0"/>
                <w:szCs w:val="20"/>
              </w:rPr>
            </w:pPr>
          </w:p>
        </w:tc>
        <w:tc>
          <w:tcPr>
            <w:tcW w:w="1543" w:type="dxa"/>
            <w:tcBorders>
              <w:top w:val="single" w:sz="4" w:space="0" w:color="auto"/>
              <w:left w:val="single" w:sz="4" w:space="0" w:color="auto"/>
              <w:bottom w:val="single" w:sz="4" w:space="0" w:color="auto"/>
              <w:right w:val="single" w:sz="4" w:space="0" w:color="auto"/>
            </w:tcBorders>
            <w:vAlign w:val="center"/>
          </w:tcPr>
          <w:p w14:paraId="573A4905" w14:textId="77777777" w:rsidR="007F2BA0" w:rsidRPr="00620790" w:rsidRDefault="007F2BA0" w:rsidP="00F1346F">
            <w:pPr>
              <w:pStyle w:val="Naslov1"/>
              <w:keepNext w:val="0"/>
              <w:widowControl w:val="0"/>
              <w:tabs>
                <w:tab w:val="left" w:pos="360"/>
              </w:tabs>
              <w:spacing w:before="0"/>
              <w:rPr>
                <w:rFonts w:cs="Arial"/>
                <w:b w:val="0"/>
                <w:szCs w:val="20"/>
              </w:rPr>
            </w:pPr>
          </w:p>
        </w:tc>
      </w:tr>
      <w:tr w:rsidR="007F2BA0" w:rsidRPr="00620790" w14:paraId="743E6DCF" w14:textId="77777777" w:rsidTr="00F1346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9737A3" w14:textId="77777777" w:rsidR="007F2BA0" w:rsidRPr="00620790" w:rsidRDefault="007F2BA0" w:rsidP="00F1346F">
            <w:pPr>
              <w:pStyle w:val="Naslov1"/>
              <w:keepNext w:val="0"/>
              <w:widowControl w:val="0"/>
              <w:tabs>
                <w:tab w:val="left" w:pos="2340"/>
              </w:tabs>
              <w:spacing w:before="0"/>
              <w:ind w:left="142" w:hanging="142"/>
              <w:rPr>
                <w:rFonts w:cs="Arial"/>
                <w:szCs w:val="20"/>
              </w:rPr>
            </w:pPr>
            <w:r w:rsidRPr="001D3963">
              <w:rPr>
                <w:rFonts w:cs="Arial"/>
                <w:szCs w:val="20"/>
              </w:rPr>
              <w:t>II. Finančne posledice za državni proračun</w:t>
            </w:r>
          </w:p>
        </w:tc>
      </w:tr>
      <w:tr w:rsidR="007F2BA0" w:rsidRPr="00620790" w14:paraId="30912FF6" w14:textId="77777777" w:rsidTr="00F1346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07994F" w14:textId="77777777" w:rsidR="007F2BA0" w:rsidRPr="00620790" w:rsidRDefault="007F2BA0" w:rsidP="00F1346F">
            <w:pPr>
              <w:pStyle w:val="Naslov1"/>
              <w:keepNext w:val="0"/>
              <w:widowControl w:val="0"/>
              <w:tabs>
                <w:tab w:val="left" w:pos="2340"/>
              </w:tabs>
              <w:spacing w:before="0"/>
              <w:ind w:left="142" w:hanging="142"/>
              <w:rPr>
                <w:rFonts w:cs="Arial"/>
                <w:szCs w:val="20"/>
              </w:rPr>
            </w:pPr>
            <w:r w:rsidRPr="00620790">
              <w:rPr>
                <w:rFonts w:cs="Arial"/>
                <w:szCs w:val="20"/>
              </w:rPr>
              <w:t>II.a Pravice porabe za izvedbo predlaganih rešitev so zagotovljene:</w:t>
            </w:r>
          </w:p>
        </w:tc>
      </w:tr>
      <w:tr w:rsidR="007F2BA0" w:rsidRPr="00620790" w14:paraId="13DCC63E" w14:textId="77777777" w:rsidTr="001D3963">
        <w:trPr>
          <w:cantSplit/>
          <w:trHeight w:val="100"/>
        </w:trPr>
        <w:tc>
          <w:tcPr>
            <w:tcW w:w="1937" w:type="dxa"/>
            <w:tcBorders>
              <w:top w:val="single" w:sz="4" w:space="0" w:color="auto"/>
              <w:left w:val="single" w:sz="4" w:space="0" w:color="auto"/>
              <w:bottom w:val="single" w:sz="4" w:space="0" w:color="auto"/>
              <w:right w:val="single" w:sz="4" w:space="0" w:color="auto"/>
            </w:tcBorders>
            <w:vAlign w:val="center"/>
          </w:tcPr>
          <w:p w14:paraId="4CE9B60D" w14:textId="77777777" w:rsidR="007F2BA0" w:rsidRPr="00620790" w:rsidRDefault="007F2BA0" w:rsidP="00F1346F">
            <w:pPr>
              <w:widowControl w:val="0"/>
              <w:spacing w:line="260" w:lineRule="exact"/>
              <w:jc w:val="center"/>
              <w:rPr>
                <w:rFonts w:cs="Arial"/>
                <w:szCs w:val="20"/>
              </w:rPr>
            </w:pPr>
            <w:r w:rsidRPr="00620790">
              <w:rPr>
                <w:rFonts w:cs="Arial"/>
                <w:szCs w:val="20"/>
              </w:rPr>
              <w:t xml:space="preserve">Ime proračunskega uporabnika </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CF9E7B7" w14:textId="77777777" w:rsidR="007F2BA0" w:rsidRPr="00620790" w:rsidRDefault="007F2BA0" w:rsidP="00F1346F">
            <w:pPr>
              <w:widowControl w:val="0"/>
              <w:spacing w:line="260" w:lineRule="exact"/>
              <w:jc w:val="center"/>
              <w:rPr>
                <w:rFonts w:cs="Arial"/>
                <w:szCs w:val="20"/>
              </w:rPr>
            </w:pPr>
            <w:r w:rsidRPr="00620790">
              <w:rPr>
                <w:rFonts w:cs="Arial"/>
                <w:szCs w:val="20"/>
              </w:rPr>
              <w:t>Šifra in naziv ukrepa, projekta</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5A3B2CE6" w14:textId="77777777" w:rsidR="007F2BA0" w:rsidRPr="00620790" w:rsidRDefault="007F2BA0" w:rsidP="00F1346F">
            <w:pPr>
              <w:widowControl w:val="0"/>
              <w:spacing w:line="260" w:lineRule="exact"/>
              <w:jc w:val="center"/>
              <w:rPr>
                <w:rFonts w:cs="Arial"/>
                <w:szCs w:val="20"/>
              </w:rPr>
            </w:pPr>
            <w:r w:rsidRPr="00620790">
              <w:rPr>
                <w:rFonts w:cs="Arial"/>
                <w:szCs w:val="20"/>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2B365018" w14:textId="77777777" w:rsidR="007F2BA0" w:rsidRPr="00620790" w:rsidRDefault="007F2BA0" w:rsidP="00F1346F">
            <w:pPr>
              <w:widowControl w:val="0"/>
              <w:spacing w:line="260" w:lineRule="exact"/>
              <w:jc w:val="center"/>
              <w:rPr>
                <w:rFonts w:cs="Arial"/>
                <w:szCs w:val="20"/>
              </w:rPr>
            </w:pPr>
            <w:r w:rsidRPr="00620790">
              <w:rPr>
                <w:rFonts w:cs="Arial"/>
                <w:szCs w:val="20"/>
              </w:rPr>
              <w:t>Znesek za tekoče leto (t)</w:t>
            </w:r>
          </w:p>
        </w:tc>
        <w:tc>
          <w:tcPr>
            <w:tcW w:w="1543" w:type="dxa"/>
            <w:tcBorders>
              <w:top w:val="single" w:sz="4" w:space="0" w:color="auto"/>
              <w:left w:val="single" w:sz="4" w:space="0" w:color="auto"/>
              <w:bottom w:val="single" w:sz="4" w:space="0" w:color="auto"/>
              <w:right w:val="single" w:sz="4" w:space="0" w:color="auto"/>
            </w:tcBorders>
            <w:vAlign w:val="center"/>
          </w:tcPr>
          <w:p w14:paraId="5DAB68B5" w14:textId="77777777" w:rsidR="007F2BA0" w:rsidRPr="00620790" w:rsidRDefault="007F2BA0" w:rsidP="00F1346F">
            <w:pPr>
              <w:widowControl w:val="0"/>
              <w:spacing w:line="260" w:lineRule="exact"/>
              <w:jc w:val="center"/>
              <w:rPr>
                <w:rFonts w:cs="Arial"/>
                <w:szCs w:val="20"/>
              </w:rPr>
            </w:pPr>
            <w:r w:rsidRPr="00620790">
              <w:rPr>
                <w:rFonts w:cs="Arial"/>
                <w:szCs w:val="20"/>
              </w:rPr>
              <w:t>Znesek za t + 1</w:t>
            </w:r>
          </w:p>
        </w:tc>
      </w:tr>
      <w:tr w:rsidR="00DA1F70" w:rsidRPr="00620790" w14:paraId="6C95D81B" w14:textId="77777777" w:rsidTr="001D3963">
        <w:trPr>
          <w:cantSplit/>
          <w:trHeight w:val="328"/>
        </w:trPr>
        <w:tc>
          <w:tcPr>
            <w:tcW w:w="1937" w:type="dxa"/>
            <w:tcBorders>
              <w:top w:val="single" w:sz="4" w:space="0" w:color="auto"/>
              <w:left w:val="single" w:sz="4" w:space="0" w:color="auto"/>
              <w:bottom w:val="single" w:sz="4" w:space="0" w:color="auto"/>
              <w:right w:val="single" w:sz="4" w:space="0" w:color="auto"/>
            </w:tcBorders>
            <w:vAlign w:val="center"/>
          </w:tcPr>
          <w:p w14:paraId="17ADEDE0" w14:textId="2A6B9B96" w:rsidR="00DA1F70" w:rsidRPr="007C2EFE" w:rsidRDefault="0048391B" w:rsidP="00DA1F70">
            <w:pPr>
              <w:pStyle w:val="Naslov1"/>
              <w:keepNext w:val="0"/>
              <w:widowControl w:val="0"/>
              <w:tabs>
                <w:tab w:val="left" w:pos="360"/>
              </w:tabs>
              <w:spacing w:before="0"/>
              <w:rPr>
                <w:rFonts w:cs="Arial"/>
                <w:b w:val="0"/>
                <w:bCs w:val="0"/>
                <w:szCs w:val="20"/>
              </w:rPr>
            </w:pPr>
            <w:r w:rsidRPr="001D3963">
              <w:rPr>
                <w:rFonts w:cs="Arial"/>
                <w:b w:val="0"/>
                <w:bCs w:val="0"/>
                <w:szCs w:val="20"/>
              </w:rPr>
              <w:t xml:space="preserve">2570 </w:t>
            </w:r>
            <w:r w:rsidR="007C2EFE">
              <w:rPr>
                <w:rFonts w:cs="Arial"/>
                <w:b w:val="0"/>
                <w:bCs w:val="0"/>
                <w:szCs w:val="20"/>
              </w:rPr>
              <w:t>M</w:t>
            </w:r>
            <w:r w:rsidR="007C2EFE" w:rsidRPr="007C2EFE">
              <w:rPr>
                <w:rFonts w:cs="Arial"/>
                <w:b w:val="0"/>
                <w:bCs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D7F3024" w14:textId="179E04B9" w:rsidR="00DA1F70" w:rsidRPr="007C2EFE" w:rsidRDefault="007C2EFE" w:rsidP="007C2EFE">
            <w:pPr>
              <w:pStyle w:val="Naslov1"/>
              <w:widowControl w:val="0"/>
              <w:tabs>
                <w:tab w:val="left" w:pos="360"/>
              </w:tabs>
              <w:spacing w:before="0" w:after="0" w:line="240" w:lineRule="auto"/>
              <w:rPr>
                <w:rFonts w:cs="Arial"/>
                <w:b w:val="0"/>
                <w:bCs w:val="0"/>
                <w:szCs w:val="20"/>
              </w:rPr>
            </w:pPr>
            <w:r w:rsidRPr="007C2EFE">
              <w:rPr>
                <w:rFonts w:cs="Arial"/>
                <w:b w:val="0"/>
                <w:bCs w:val="0"/>
                <w:caps w:val="0"/>
                <w:szCs w:val="20"/>
              </w:rPr>
              <w:t>energetska revščina</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0366ACAC" w14:textId="4492FE08" w:rsidR="00DA1F70" w:rsidRPr="007C2EFE" w:rsidRDefault="000D19AF" w:rsidP="00DA1F70">
            <w:pPr>
              <w:pStyle w:val="Naslov1"/>
              <w:keepNext w:val="0"/>
              <w:widowControl w:val="0"/>
              <w:tabs>
                <w:tab w:val="left" w:pos="360"/>
              </w:tabs>
              <w:spacing w:before="0"/>
              <w:rPr>
                <w:rFonts w:cs="Arial"/>
                <w:b w:val="0"/>
                <w:bCs w:val="0"/>
                <w:szCs w:val="20"/>
              </w:rPr>
            </w:pPr>
            <w:r>
              <w:rPr>
                <w:rFonts w:cs="Arial"/>
                <w:b w:val="0"/>
                <w:bCs w:val="0"/>
                <w:caps w:val="0"/>
                <w:szCs w:val="20"/>
              </w:rPr>
              <w:t>231758 S</w:t>
            </w:r>
            <w:r w:rsidR="007C2EFE" w:rsidRPr="007C2EFE">
              <w:rPr>
                <w:rFonts w:cs="Arial"/>
                <w:b w:val="0"/>
                <w:bCs w:val="0"/>
                <w:caps w:val="0"/>
                <w:szCs w:val="20"/>
              </w:rPr>
              <w:t>klad za podnebne spremembe</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4FB02ED" w14:textId="29431F2F" w:rsidR="00DA1F70" w:rsidRPr="007C2EFE" w:rsidRDefault="007C2EFE" w:rsidP="00DA1F70">
            <w:pPr>
              <w:pStyle w:val="Naslov1"/>
              <w:keepNext w:val="0"/>
              <w:widowControl w:val="0"/>
              <w:tabs>
                <w:tab w:val="left" w:pos="360"/>
              </w:tabs>
              <w:spacing w:before="0"/>
              <w:rPr>
                <w:rFonts w:cs="Arial"/>
                <w:b w:val="0"/>
                <w:bCs w:val="0"/>
                <w:szCs w:val="20"/>
              </w:rPr>
            </w:pPr>
            <w:r w:rsidRPr="007C2EFE">
              <w:rPr>
                <w:rFonts w:cs="Arial"/>
                <w:b w:val="0"/>
                <w:bCs w:val="0"/>
                <w:szCs w:val="20"/>
              </w:rPr>
              <w:t>0,00</w:t>
            </w:r>
            <w:r>
              <w:rPr>
                <w:rFonts w:cs="Arial"/>
                <w:b w:val="0"/>
                <w:bCs w:val="0"/>
                <w:szCs w:val="20"/>
              </w:rPr>
              <w:t xml:space="preserve"> EUR</w:t>
            </w:r>
          </w:p>
        </w:tc>
        <w:tc>
          <w:tcPr>
            <w:tcW w:w="1543" w:type="dxa"/>
            <w:tcBorders>
              <w:top w:val="single" w:sz="4" w:space="0" w:color="auto"/>
              <w:left w:val="single" w:sz="4" w:space="0" w:color="auto"/>
              <w:bottom w:val="single" w:sz="4" w:space="0" w:color="auto"/>
              <w:right w:val="single" w:sz="4" w:space="0" w:color="auto"/>
            </w:tcBorders>
            <w:vAlign w:val="center"/>
          </w:tcPr>
          <w:p w14:paraId="7CABF9AA" w14:textId="52DAD72B" w:rsidR="00DA1F70" w:rsidRPr="007C2EFE" w:rsidRDefault="007C2EFE" w:rsidP="00DA1F70">
            <w:pPr>
              <w:pStyle w:val="Naslov1"/>
              <w:keepNext w:val="0"/>
              <w:widowControl w:val="0"/>
              <w:tabs>
                <w:tab w:val="left" w:pos="360"/>
              </w:tabs>
              <w:spacing w:before="0"/>
              <w:rPr>
                <w:rFonts w:cs="Arial"/>
                <w:b w:val="0"/>
                <w:bCs w:val="0"/>
                <w:szCs w:val="20"/>
              </w:rPr>
            </w:pPr>
            <w:r w:rsidRPr="007C2EFE">
              <w:rPr>
                <w:rFonts w:cs="Arial"/>
                <w:b w:val="0"/>
                <w:bCs w:val="0"/>
                <w:szCs w:val="20"/>
              </w:rPr>
              <w:t>0,00</w:t>
            </w:r>
            <w:r>
              <w:rPr>
                <w:rFonts w:cs="Arial"/>
                <w:b w:val="0"/>
                <w:bCs w:val="0"/>
                <w:szCs w:val="20"/>
              </w:rPr>
              <w:t xml:space="preserve"> EUR</w:t>
            </w:r>
          </w:p>
        </w:tc>
      </w:tr>
      <w:tr w:rsidR="007C2EFE" w:rsidRPr="00620790" w14:paraId="42E887F5" w14:textId="77777777" w:rsidTr="007C2EFE">
        <w:trPr>
          <w:cantSplit/>
          <w:trHeight w:val="328"/>
        </w:trPr>
        <w:tc>
          <w:tcPr>
            <w:tcW w:w="1937" w:type="dxa"/>
            <w:tcBorders>
              <w:top w:val="single" w:sz="4" w:space="0" w:color="auto"/>
              <w:left w:val="single" w:sz="4" w:space="0" w:color="auto"/>
              <w:bottom w:val="single" w:sz="4" w:space="0" w:color="auto"/>
              <w:right w:val="single" w:sz="4" w:space="0" w:color="auto"/>
            </w:tcBorders>
            <w:vAlign w:val="center"/>
          </w:tcPr>
          <w:p w14:paraId="4B906CA2" w14:textId="6AB4FDB1" w:rsidR="007C2EFE" w:rsidRPr="00DA1F70" w:rsidRDefault="007C2EFE" w:rsidP="007C2EFE">
            <w:pPr>
              <w:pStyle w:val="Naslov1"/>
              <w:keepNext w:val="0"/>
              <w:widowControl w:val="0"/>
              <w:tabs>
                <w:tab w:val="left" w:pos="360"/>
              </w:tabs>
              <w:spacing w:before="0"/>
              <w:rPr>
                <w:rFonts w:cs="Arial"/>
                <w:bCs w:val="0"/>
                <w:szCs w:val="20"/>
                <w:highlight w:val="yellow"/>
              </w:rPr>
            </w:pPr>
            <w:r w:rsidRPr="001D3963">
              <w:rPr>
                <w:rFonts w:cs="Arial"/>
                <w:b w:val="0"/>
                <w:bCs w:val="0"/>
                <w:szCs w:val="20"/>
              </w:rPr>
              <w:t xml:space="preserve">2570 </w:t>
            </w:r>
            <w:r>
              <w:rPr>
                <w:rFonts w:cs="Arial"/>
                <w:b w:val="0"/>
                <w:bCs w:val="0"/>
                <w:szCs w:val="20"/>
              </w:rPr>
              <w:t>M</w:t>
            </w:r>
            <w:r w:rsidRPr="007C2EFE">
              <w:rPr>
                <w:rFonts w:cs="Arial"/>
                <w:b w:val="0"/>
                <w:bCs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03313C38" w14:textId="384C9F87" w:rsidR="007C2EFE" w:rsidRPr="00DA1F70" w:rsidRDefault="007C2EFE" w:rsidP="007C2EFE">
            <w:pPr>
              <w:pStyle w:val="Naslov1"/>
              <w:keepNext w:val="0"/>
              <w:widowControl w:val="0"/>
              <w:tabs>
                <w:tab w:val="left" w:pos="360"/>
              </w:tabs>
              <w:spacing w:before="0"/>
              <w:rPr>
                <w:rFonts w:cs="Arial"/>
                <w:b w:val="0"/>
                <w:szCs w:val="20"/>
                <w:highlight w:val="yellow"/>
              </w:rPr>
            </w:pPr>
            <w:r w:rsidRPr="007C2EFE">
              <w:rPr>
                <w:rFonts w:cs="Arial"/>
                <w:b w:val="0"/>
                <w:caps w:val="0"/>
                <w:szCs w:val="20"/>
              </w:rPr>
              <w:t>energetska revščina</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12DFD270" w14:textId="2310EEA9" w:rsidR="007C2EFE" w:rsidRPr="00DA1F70" w:rsidRDefault="007C2EFE" w:rsidP="007C2EFE">
            <w:pPr>
              <w:pStyle w:val="Naslov1"/>
              <w:keepNext w:val="0"/>
              <w:widowControl w:val="0"/>
              <w:tabs>
                <w:tab w:val="left" w:pos="360"/>
              </w:tabs>
              <w:spacing w:before="0"/>
              <w:rPr>
                <w:rFonts w:cs="Arial"/>
                <w:b w:val="0"/>
                <w:szCs w:val="20"/>
                <w:highlight w:val="yellow"/>
              </w:rPr>
            </w:pPr>
            <w:r w:rsidRPr="007C2EFE">
              <w:rPr>
                <w:rFonts w:cs="Arial"/>
                <w:b w:val="0"/>
                <w:szCs w:val="20"/>
              </w:rPr>
              <w:t>RSO2.1.-</w:t>
            </w:r>
            <w:r>
              <w:rPr>
                <w:rFonts w:cs="Arial"/>
                <w:b w:val="0"/>
                <w:szCs w:val="20"/>
              </w:rPr>
              <w:t>S</w:t>
            </w:r>
            <w:r w:rsidRPr="007C2EFE">
              <w:rPr>
                <w:rFonts w:cs="Arial"/>
                <w:b w:val="0"/>
                <w:caps w:val="0"/>
                <w:szCs w:val="20"/>
              </w:rPr>
              <w:t>podbujanje energetske učinkovitosti</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2F98DEF8" w14:textId="01CEFD47" w:rsidR="007C2EFE" w:rsidRPr="007C2EFE" w:rsidRDefault="007C2EFE" w:rsidP="007C2EFE">
            <w:pPr>
              <w:pStyle w:val="Naslov1"/>
              <w:keepNext w:val="0"/>
              <w:widowControl w:val="0"/>
              <w:tabs>
                <w:tab w:val="left" w:pos="360"/>
              </w:tabs>
              <w:spacing w:before="0"/>
              <w:rPr>
                <w:rFonts w:cs="Arial"/>
                <w:b w:val="0"/>
                <w:bCs w:val="0"/>
                <w:szCs w:val="20"/>
              </w:rPr>
            </w:pPr>
            <w:r w:rsidRPr="007C2EFE">
              <w:rPr>
                <w:rFonts w:cs="Arial"/>
                <w:b w:val="0"/>
                <w:bCs w:val="0"/>
                <w:szCs w:val="20"/>
              </w:rPr>
              <w:t>0,00 EUR</w:t>
            </w:r>
          </w:p>
        </w:tc>
        <w:tc>
          <w:tcPr>
            <w:tcW w:w="1543" w:type="dxa"/>
            <w:tcBorders>
              <w:top w:val="single" w:sz="4" w:space="0" w:color="auto"/>
              <w:left w:val="single" w:sz="4" w:space="0" w:color="auto"/>
              <w:bottom w:val="single" w:sz="4" w:space="0" w:color="auto"/>
              <w:right w:val="single" w:sz="4" w:space="0" w:color="auto"/>
            </w:tcBorders>
            <w:vAlign w:val="center"/>
          </w:tcPr>
          <w:p w14:paraId="16AE9721" w14:textId="7CD73ACC" w:rsidR="007C2EFE" w:rsidRPr="007C2EFE" w:rsidRDefault="007C2EFE" w:rsidP="007C2EFE">
            <w:pPr>
              <w:pStyle w:val="Naslov1"/>
              <w:keepNext w:val="0"/>
              <w:widowControl w:val="0"/>
              <w:tabs>
                <w:tab w:val="left" w:pos="360"/>
              </w:tabs>
              <w:spacing w:before="0"/>
              <w:rPr>
                <w:rFonts w:cs="Arial"/>
                <w:b w:val="0"/>
                <w:bCs w:val="0"/>
                <w:szCs w:val="20"/>
              </w:rPr>
            </w:pPr>
            <w:r w:rsidRPr="007C2EFE">
              <w:rPr>
                <w:rFonts w:cs="Arial"/>
                <w:b w:val="0"/>
                <w:bCs w:val="0"/>
                <w:szCs w:val="20"/>
              </w:rPr>
              <w:t>0,00 EUR</w:t>
            </w:r>
          </w:p>
        </w:tc>
      </w:tr>
      <w:tr w:rsidR="00DA1F70" w:rsidRPr="00620790" w14:paraId="4623A7F4" w14:textId="77777777" w:rsidTr="001D3963">
        <w:trPr>
          <w:cantSplit/>
          <w:trHeight w:val="95"/>
        </w:trPr>
        <w:tc>
          <w:tcPr>
            <w:tcW w:w="6293" w:type="dxa"/>
            <w:gridSpan w:val="5"/>
            <w:tcBorders>
              <w:top w:val="single" w:sz="4" w:space="0" w:color="auto"/>
              <w:left w:val="single" w:sz="4" w:space="0" w:color="auto"/>
              <w:bottom w:val="single" w:sz="4" w:space="0" w:color="auto"/>
              <w:right w:val="single" w:sz="4" w:space="0" w:color="auto"/>
            </w:tcBorders>
            <w:vAlign w:val="center"/>
          </w:tcPr>
          <w:p w14:paraId="279A058E" w14:textId="77777777" w:rsidR="00DA1F70" w:rsidRPr="00620790" w:rsidRDefault="00DA1F70" w:rsidP="00DA1F70">
            <w:pPr>
              <w:pStyle w:val="Naslov1"/>
              <w:keepNext w:val="0"/>
              <w:widowControl w:val="0"/>
              <w:tabs>
                <w:tab w:val="left" w:pos="360"/>
              </w:tabs>
              <w:spacing w:before="0"/>
              <w:rPr>
                <w:rFonts w:cs="Arial"/>
                <w:szCs w:val="20"/>
              </w:rPr>
            </w:pPr>
            <w:r w:rsidRPr="00620790">
              <w:rPr>
                <w:rFonts w:cs="Arial"/>
                <w:szCs w:val="20"/>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AD3EB3B" w14:textId="77777777" w:rsidR="00DA1F70" w:rsidRPr="00620790" w:rsidRDefault="00DA1F70" w:rsidP="00DA1F70">
            <w:pPr>
              <w:widowControl w:val="0"/>
              <w:spacing w:line="260" w:lineRule="exact"/>
              <w:jc w:val="center"/>
              <w:rPr>
                <w:rFonts w:cs="Arial"/>
                <w:b/>
                <w:szCs w:val="20"/>
              </w:rPr>
            </w:pPr>
            <w:r w:rsidRPr="001A177D">
              <w:rPr>
                <w:rFonts w:cs="Arial"/>
                <w:b/>
                <w:szCs w:val="20"/>
              </w:rPr>
              <w:t>0,00</w:t>
            </w:r>
          </w:p>
        </w:tc>
        <w:tc>
          <w:tcPr>
            <w:tcW w:w="1543" w:type="dxa"/>
            <w:tcBorders>
              <w:top w:val="single" w:sz="4" w:space="0" w:color="auto"/>
              <w:left w:val="single" w:sz="4" w:space="0" w:color="auto"/>
              <w:bottom w:val="single" w:sz="4" w:space="0" w:color="auto"/>
              <w:right w:val="single" w:sz="4" w:space="0" w:color="auto"/>
            </w:tcBorders>
            <w:vAlign w:val="center"/>
          </w:tcPr>
          <w:p w14:paraId="0EF41DB0" w14:textId="1FE742B6" w:rsidR="00DA1F70" w:rsidRPr="00620790" w:rsidRDefault="00DA1F70" w:rsidP="00DA1F70">
            <w:pPr>
              <w:pStyle w:val="Naslov1"/>
              <w:keepNext w:val="0"/>
              <w:widowControl w:val="0"/>
              <w:tabs>
                <w:tab w:val="left" w:pos="360"/>
              </w:tabs>
              <w:spacing w:before="0"/>
              <w:rPr>
                <w:rFonts w:cs="Arial"/>
                <w:szCs w:val="20"/>
              </w:rPr>
            </w:pPr>
          </w:p>
        </w:tc>
      </w:tr>
      <w:tr w:rsidR="00DA1F70" w:rsidRPr="00620790" w14:paraId="4DB65143" w14:textId="77777777" w:rsidTr="00F1346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EF0C43" w14:textId="77777777" w:rsidR="00DA1F70" w:rsidRPr="00620790" w:rsidRDefault="00DA1F70" w:rsidP="00DA1F70">
            <w:pPr>
              <w:pStyle w:val="Naslov1"/>
              <w:keepNext w:val="0"/>
              <w:widowControl w:val="0"/>
              <w:tabs>
                <w:tab w:val="left" w:pos="2340"/>
              </w:tabs>
              <w:spacing w:before="0"/>
              <w:rPr>
                <w:rFonts w:cs="Arial"/>
                <w:szCs w:val="20"/>
              </w:rPr>
            </w:pPr>
            <w:r w:rsidRPr="00620790">
              <w:rPr>
                <w:rFonts w:cs="Arial"/>
                <w:szCs w:val="20"/>
              </w:rPr>
              <w:t>II.b Manjkajoče pravice porabe bodo zagotovljene s prerazporeditvijo:</w:t>
            </w:r>
          </w:p>
        </w:tc>
      </w:tr>
      <w:tr w:rsidR="00DA1F70" w:rsidRPr="00620790" w14:paraId="7525CFF3" w14:textId="77777777" w:rsidTr="001D3963">
        <w:trPr>
          <w:cantSplit/>
          <w:trHeight w:val="100"/>
        </w:trPr>
        <w:tc>
          <w:tcPr>
            <w:tcW w:w="1937" w:type="dxa"/>
            <w:tcBorders>
              <w:top w:val="single" w:sz="4" w:space="0" w:color="auto"/>
              <w:left w:val="single" w:sz="4" w:space="0" w:color="auto"/>
              <w:bottom w:val="single" w:sz="4" w:space="0" w:color="auto"/>
              <w:right w:val="single" w:sz="4" w:space="0" w:color="auto"/>
            </w:tcBorders>
            <w:vAlign w:val="center"/>
          </w:tcPr>
          <w:p w14:paraId="665858E5" w14:textId="77777777" w:rsidR="00DA1F70" w:rsidRPr="00620790" w:rsidRDefault="00DA1F70" w:rsidP="00DA1F70">
            <w:pPr>
              <w:widowControl w:val="0"/>
              <w:spacing w:line="260" w:lineRule="exact"/>
              <w:jc w:val="center"/>
              <w:rPr>
                <w:rFonts w:cs="Arial"/>
                <w:szCs w:val="20"/>
              </w:rPr>
            </w:pPr>
            <w:r w:rsidRPr="00620790">
              <w:rPr>
                <w:rFonts w:cs="Arial"/>
                <w:szCs w:val="20"/>
              </w:rPr>
              <w:t xml:space="preserve">Ime proračunskega uporabnika </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6657360F" w14:textId="77777777" w:rsidR="00DA1F70" w:rsidRPr="00620790" w:rsidRDefault="00DA1F70" w:rsidP="00DA1F70">
            <w:pPr>
              <w:widowControl w:val="0"/>
              <w:spacing w:line="260" w:lineRule="exact"/>
              <w:jc w:val="center"/>
              <w:rPr>
                <w:rFonts w:cs="Arial"/>
                <w:szCs w:val="20"/>
              </w:rPr>
            </w:pPr>
            <w:r w:rsidRPr="00620790">
              <w:rPr>
                <w:rFonts w:cs="Arial"/>
                <w:szCs w:val="20"/>
              </w:rPr>
              <w:t>Šifra in naziv ukrepa, projekta</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3AC1DABB" w14:textId="77777777" w:rsidR="00DA1F70" w:rsidRPr="00620790" w:rsidRDefault="00DA1F70" w:rsidP="00DA1F70">
            <w:pPr>
              <w:widowControl w:val="0"/>
              <w:spacing w:line="260" w:lineRule="exact"/>
              <w:jc w:val="center"/>
              <w:rPr>
                <w:rFonts w:cs="Arial"/>
                <w:szCs w:val="20"/>
              </w:rPr>
            </w:pPr>
            <w:r w:rsidRPr="00620790">
              <w:rPr>
                <w:rFonts w:cs="Arial"/>
                <w:szCs w:val="20"/>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9F10662" w14:textId="77777777" w:rsidR="00DA1F70" w:rsidRPr="00620790" w:rsidRDefault="00DA1F70" w:rsidP="00DA1F70">
            <w:pPr>
              <w:widowControl w:val="0"/>
              <w:spacing w:line="260" w:lineRule="exact"/>
              <w:jc w:val="center"/>
              <w:rPr>
                <w:rFonts w:cs="Arial"/>
                <w:szCs w:val="20"/>
              </w:rPr>
            </w:pPr>
            <w:r w:rsidRPr="00620790">
              <w:rPr>
                <w:rFonts w:cs="Arial"/>
                <w:szCs w:val="20"/>
              </w:rPr>
              <w:t>Znesek za tekoče leto (t)</w:t>
            </w:r>
          </w:p>
        </w:tc>
        <w:tc>
          <w:tcPr>
            <w:tcW w:w="1543" w:type="dxa"/>
            <w:tcBorders>
              <w:top w:val="single" w:sz="4" w:space="0" w:color="auto"/>
              <w:left w:val="single" w:sz="4" w:space="0" w:color="auto"/>
              <w:bottom w:val="single" w:sz="4" w:space="0" w:color="auto"/>
              <w:right w:val="single" w:sz="4" w:space="0" w:color="auto"/>
            </w:tcBorders>
            <w:vAlign w:val="center"/>
          </w:tcPr>
          <w:p w14:paraId="6E8EBE42" w14:textId="77777777" w:rsidR="00DA1F70" w:rsidRPr="00620790" w:rsidRDefault="00DA1F70" w:rsidP="00DA1F70">
            <w:pPr>
              <w:widowControl w:val="0"/>
              <w:spacing w:line="260" w:lineRule="exact"/>
              <w:jc w:val="center"/>
              <w:rPr>
                <w:rFonts w:cs="Arial"/>
                <w:szCs w:val="20"/>
              </w:rPr>
            </w:pPr>
            <w:r w:rsidRPr="00620790">
              <w:rPr>
                <w:rFonts w:cs="Arial"/>
                <w:szCs w:val="20"/>
              </w:rPr>
              <w:t xml:space="preserve">Znesek za t + 1 </w:t>
            </w:r>
          </w:p>
        </w:tc>
      </w:tr>
      <w:tr w:rsidR="00DA1F70" w:rsidRPr="00620790" w14:paraId="455AAAF4" w14:textId="77777777" w:rsidTr="001D3963">
        <w:trPr>
          <w:cantSplit/>
          <w:trHeight w:val="95"/>
        </w:trPr>
        <w:tc>
          <w:tcPr>
            <w:tcW w:w="1937" w:type="dxa"/>
            <w:tcBorders>
              <w:top w:val="single" w:sz="4" w:space="0" w:color="auto"/>
              <w:left w:val="single" w:sz="4" w:space="0" w:color="auto"/>
              <w:bottom w:val="single" w:sz="4" w:space="0" w:color="auto"/>
              <w:right w:val="single" w:sz="4" w:space="0" w:color="auto"/>
            </w:tcBorders>
            <w:vAlign w:val="center"/>
          </w:tcPr>
          <w:p w14:paraId="46A7A5B9" w14:textId="1D05BD1E" w:rsidR="00DA1F70" w:rsidRPr="001D3963" w:rsidRDefault="00DA1F70" w:rsidP="00DA1F70">
            <w:pPr>
              <w:pStyle w:val="Naslov1"/>
              <w:keepNext w:val="0"/>
              <w:widowControl w:val="0"/>
              <w:tabs>
                <w:tab w:val="left" w:pos="360"/>
              </w:tabs>
              <w:spacing w:before="0"/>
              <w:rPr>
                <w:rFonts w:cs="Arial"/>
                <w:b w:val="0"/>
                <w:bCs w:val="0"/>
                <w:szCs w:val="20"/>
              </w:rPr>
            </w:pPr>
            <w:r w:rsidRPr="001D3963">
              <w:rPr>
                <w:rFonts w:cs="Arial"/>
                <w:b w:val="0"/>
                <w:bCs w:val="0"/>
                <w:szCs w:val="20"/>
              </w:rPr>
              <w:t>2570 M</w:t>
            </w:r>
            <w:r w:rsidRPr="001D3963">
              <w:rPr>
                <w:rFonts w:cs="Arial"/>
                <w:b w:val="0"/>
                <w:bCs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066DD87" w14:textId="3B3A442C" w:rsidR="00DA1F70" w:rsidRPr="001D3963" w:rsidRDefault="00DA1F70" w:rsidP="001D3963">
            <w:pPr>
              <w:pStyle w:val="Naslov1"/>
              <w:widowControl w:val="0"/>
              <w:tabs>
                <w:tab w:val="left" w:pos="360"/>
              </w:tabs>
              <w:spacing w:before="0" w:after="0" w:line="240" w:lineRule="auto"/>
              <w:rPr>
                <w:rFonts w:cs="Arial"/>
                <w:b w:val="0"/>
                <w:bCs w:val="0"/>
                <w:szCs w:val="20"/>
              </w:rPr>
            </w:pPr>
            <w:r w:rsidRPr="001D3963">
              <w:rPr>
                <w:rFonts w:cs="Arial"/>
                <w:b w:val="0"/>
                <w:bCs w:val="0"/>
                <w:caps w:val="0"/>
                <w:szCs w:val="20"/>
              </w:rPr>
              <w:t>Evidenčni projekt</w:t>
            </w:r>
            <w:r w:rsidRPr="001D3963">
              <w:rPr>
                <w:rFonts w:cs="Arial"/>
                <w:b w:val="0"/>
                <w:bCs w:val="0"/>
                <w:szCs w:val="20"/>
              </w:rPr>
              <w:t>:</w:t>
            </w:r>
          </w:p>
          <w:p w14:paraId="288D7B35" w14:textId="68A86994" w:rsidR="00DA1F70" w:rsidRPr="001D3963" w:rsidRDefault="00DA1F70" w:rsidP="001D3963">
            <w:pPr>
              <w:pStyle w:val="Naslov1"/>
              <w:keepNext w:val="0"/>
              <w:widowControl w:val="0"/>
              <w:tabs>
                <w:tab w:val="left" w:pos="360"/>
              </w:tabs>
              <w:spacing w:before="0" w:after="0" w:line="240" w:lineRule="auto"/>
              <w:rPr>
                <w:rFonts w:cs="Arial"/>
                <w:b w:val="0"/>
                <w:bCs w:val="0"/>
                <w:szCs w:val="20"/>
              </w:rPr>
            </w:pPr>
            <w:r w:rsidRPr="001D3963">
              <w:rPr>
                <w:rFonts w:cs="Arial"/>
                <w:b w:val="0"/>
                <w:bCs w:val="0"/>
                <w:szCs w:val="20"/>
              </w:rPr>
              <w:t>2550-17-0003  S</w:t>
            </w:r>
            <w:r w:rsidRPr="001D3963">
              <w:rPr>
                <w:rFonts w:cs="Arial"/>
                <w:b w:val="0"/>
                <w:bCs w:val="0"/>
                <w:caps w:val="0"/>
                <w:szCs w:val="20"/>
              </w:rPr>
              <w:t>klad za podnebne spremembe</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56BC614A" w14:textId="70B82AFA" w:rsidR="00DA1F70" w:rsidRPr="001D3963" w:rsidRDefault="00DA1F70" w:rsidP="00DA1F70">
            <w:pPr>
              <w:pStyle w:val="Naslov1"/>
              <w:keepNext w:val="0"/>
              <w:widowControl w:val="0"/>
              <w:tabs>
                <w:tab w:val="left" w:pos="360"/>
              </w:tabs>
              <w:spacing w:before="0"/>
              <w:rPr>
                <w:rFonts w:cs="Arial"/>
                <w:b w:val="0"/>
                <w:bCs w:val="0"/>
                <w:szCs w:val="20"/>
              </w:rPr>
            </w:pPr>
            <w:r w:rsidRPr="001D3963">
              <w:rPr>
                <w:rFonts w:cs="Arial"/>
                <w:b w:val="0"/>
                <w:bCs w:val="0"/>
                <w:szCs w:val="20"/>
              </w:rPr>
              <w:t>231758 S</w:t>
            </w:r>
            <w:r w:rsidRPr="001D3963">
              <w:rPr>
                <w:rFonts w:cs="Arial"/>
                <w:b w:val="0"/>
                <w:bCs w:val="0"/>
                <w:caps w:val="0"/>
                <w:szCs w:val="20"/>
              </w:rPr>
              <w:t>klad za podnebne spremembe</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3ED4733" w14:textId="5E8A675D" w:rsidR="00DA1F70" w:rsidRPr="001D3963" w:rsidRDefault="001D3963" w:rsidP="00DA1F70">
            <w:pPr>
              <w:pStyle w:val="Naslov1"/>
              <w:keepNext w:val="0"/>
              <w:widowControl w:val="0"/>
              <w:tabs>
                <w:tab w:val="left" w:pos="360"/>
              </w:tabs>
              <w:spacing w:before="0"/>
              <w:rPr>
                <w:rFonts w:cs="Arial"/>
                <w:b w:val="0"/>
                <w:bCs w:val="0"/>
                <w:szCs w:val="20"/>
              </w:rPr>
            </w:pPr>
            <w:r w:rsidRPr="001D3963">
              <w:rPr>
                <w:rFonts w:cs="Arial"/>
                <w:b w:val="0"/>
                <w:bCs w:val="0"/>
                <w:szCs w:val="20"/>
              </w:rPr>
              <w:t>300.000</w:t>
            </w:r>
            <w:r w:rsidR="00F81979">
              <w:rPr>
                <w:rFonts w:cs="Arial"/>
                <w:b w:val="0"/>
                <w:bCs w:val="0"/>
                <w:szCs w:val="20"/>
              </w:rPr>
              <w:t xml:space="preserve"> EUR</w:t>
            </w:r>
          </w:p>
        </w:tc>
        <w:tc>
          <w:tcPr>
            <w:tcW w:w="1543" w:type="dxa"/>
            <w:tcBorders>
              <w:top w:val="single" w:sz="4" w:space="0" w:color="auto"/>
              <w:left w:val="single" w:sz="4" w:space="0" w:color="auto"/>
              <w:bottom w:val="single" w:sz="4" w:space="0" w:color="auto"/>
              <w:right w:val="single" w:sz="4" w:space="0" w:color="auto"/>
            </w:tcBorders>
            <w:vAlign w:val="center"/>
          </w:tcPr>
          <w:p w14:paraId="10D137E9" w14:textId="0712D397" w:rsidR="00DA1F70" w:rsidRPr="001D3963" w:rsidRDefault="001D3963" w:rsidP="00DA1F70">
            <w:pPr>
              <w:pStyle w:val="Naslov1"/>
              <w:keepNext w:val="0"/>
              <w:widowControl w:val="0"/>
              <w:tabs>
                <w:tab w:val="left" w:pos="360"/>
              </w:tabs>
              <w:spacing w:before="0"/>
              <w:rPr>
                <w:rFonts w:cs="Arial"/>
                <w:b w:val="0"/>
                <w:bCs w:val="0"/>
                <w:szCs w:val="20"/>
              </w:rPr>
            </w:pPr>
            <w:r w:rsidRPr="001D3963">
              <w:rPr>
                <w:rFonts w:cs="Arial"/>
                <w:b w:val="0"/>
                <w:bCs w:val="0"/>
                <w:szCs w:val="20"/>
              </w:rPr>
              <w:t>3.700.000,00</w:t>
            </w:r>
            <w:r>
              <w:rPr>
                <w:rFonts w:cs="Arial"/>
                <w:b w:val="0"/>
                <w:bCs w:val="0"/>
                <w:szCs w:val="20"/>
              </w:rPr>
              <w:t xml:space="preserve"> EUR</w:t>
            </w:r>
          </w:p>
        </w:tc>
      </w:tr>
      <w:tr w:rsidR="001D3963" w:rsidRPr="00620790" w14:paraId="348A7DE7" w14:textId="77777777" w:rsidTr="001D3963">
        <w:trPr>
          <w:cantSplit/>
          <w:trHeight w:val="95"/>
        </w:trPr>
        <w:tc>
          <w:tcPr>
            <w:tcW w:w="1937" w:type="dxa"/>
            <w:tcBorders>
              <w:top w:val="single" w:sz="4" w:space="0" w:color="auto"/>
              <w:left w:val="single" w:sz="4" w:space="0" w:color="auto"/>
              <w:bottom w:val="single" w:sz="4" w:space="0" w:color="auto"/>
              <w:right w:val="single" w:sz="4" w:space="0" w:color="auto"/>
            </w:tcBorders>
            <w:vAlign w:val="center"/>
          </w:tcPr>
          <w:p w14:paraId="7398CCB9" w14:textId="59959E26"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szCs w:val="20"/>
              </w:rPr>
              <w:lastRenderedPageBreak/>
              <w:t>2570</w:t>
            </w:r>
            <w:r w:rsidRPr="001D3963">
              <w:rPr>
                <w:rFonts w:cs="Arial"/>
                <w:bCs w:val="0"/>
                <w:szCs w:val="20"/>
              </w:rPr>
              <w:t xml:space="preserve"> </w:t>
            </w:r>
            <w:r w:rsidRPr="001D3963">
              <w:rPr>
                <w:rFonts w:cs="Arial"/>
                <w:b w:val="0"/>
                <w:szCs w:val="20"/>
              </w:rPr>
              <w:t>M</w:t>
            </w:r>
            <w:r w:rsidRPr="001D3963">
              <w:rPr>
                <w:rFonts w:cs="Arial"/>
                <w:b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737FFB97"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caps w:val="0"/>
                <w:szCs w:val="20"/>
              </w:rPr>
              <w:t>Evidenčni projekt</w:t>
            </w:r>
            <w:r w:rsidRPr="001D3963">
              <w:rPr>
                <w:rFonts w:cs="Arial"/>
                <w:b w:val="0"/>
                <w:szCs w:val="20"/>
              </w:rPr>
              <w:t>:</w:t>
            </w:r>
          </w:p>
          <w:p w14:paraId="5BE110D0" w14:textId="2E8D0831"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szCs w:val="20"/>
              </w:rPr>
              <w:t>1630-24-0004</w:t>
            </w:r>
          </w:p>
          <w:p w14:paraId="47F2BB1C" w14:textId="0EBAC9A6" w:rsidR="001D3963" w:rsidRPr="001D3963" w:rsidRDefault="001D3963" w:rsidP="001D3963">
            <w:pPr>
              <w:pStyle w:val="Naslov1"/>
              <w:widowControl w:val="0"/>
              <w:tabs>
                <w:tab w:val="left" w:pos="360"/>
              </w:tabs>
              <w:spacing w:before="0" w:after="0" w:line="240" w:lineRule="auto"/>
              <w:rPr>
                <w:rFonts w:cs="Arial"/>
                <w:b w:val="0"/>
                <w:bCs w:val="0"/>
                <w:caps w:val="0"/>
                <w:szCs w:val="20"/>
              </w:rPr>
            </w:pPr>
            <w:r w:rsidRPr="001D3963">
              <w:rPr>
                <w:rFonts w:cs="Arial"/>
                <w:b w:val="0"/>
                <w:szCs w:val="20"/>
              </w:rPr>
              <w:t>RSO2.1 S</w:t>
            </w:r>
            <w:r w:rsidRPr="001D3963">
              <w:rPr>
                <w:rFonts w:cs="Arial"/>
                <w:b w:val="0"/>
                <w:caps w:val="0"/>
                <w:szCs w:val="20"/>
              </w:rPr>
              <w:t>podbujanje energetske učinkovitosti in zmanjšanjem emisij toplogrednih plinov</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600FC36" w14:textId="65D2A5D9" w:rsidR="001D3963" w:rsidRPr="001D3963" w:rsidRDefault="001D3963" w:rsidP="000D19AF">
            <w:pPr>
              <w:pStyle w:val="Naslov1"/>
              <w:keepNext w:val="0"/>
              <w:widowControl w:val="0"/>
              <w:tabs>
                <w:tab w:val="left" w:pos="360"/>
              </w:tabs>
              <w:spacing w:before="0"/>
              <w:rPr>
                <w:rFonts w:cs="Arial"/>
                <w:b w:val="0"/>
                <w:bCs w:val="0"/>
                <w:szCs w:val="20"/>
              </w:rPr>
            </w:pPr>
            <w:r w:rsidRPr="001D3963">
              <w:rPr>
                <w:rFonts w:cs="Arial"/>
                <w:b w:val="0"/>
                <w:szCs w:val="20"/>
              </w:rPr>
              <w:t>RSO2.1.-S</w:t>
            </w:r>
            <w:r w:rsidRPr="001D3963">
              <w:rPr>
                <w:rFonts w:cs="Arial"/>
                <w:b w:val="0"/>
                <w:caps w:val="0"/>
                <w:szCs w:val="20"/>
              </w:rPr>
              <w:t>podbujanje energetske učinkovitosti ESRR 21-27-</w:t>
            </w:r>
            <w:r w:rsidR="000D19AF">
              <w:rPr>
                <w:rFonts w:cs="Arial"/>
                <w:b w:val="0"/>
                <w:caps w:val="0"/>
                <w:szCs w:val="20"/>
              </w:rPr>
              <w:t>V</w:t>
            </w:r>
            <w:r w:rsidRPr="001D3963">
              <w:rPr>
                <w:rFonts w:cs="Arial"/>
                <w:b w:val="0"/>
                <w:caps w:val="0"/>
                <w:szCs w:val="20"/>
              </w:rPr>
              <w:t>-EU</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2ED871B2" w14:textId="5DE5D830"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szCs w:val="20"/>
              </w:rPr>
              <w:t>0</w:t>
            </w:r>
          </w:p>
        </w:tc>
        <w:tc>
          <w:tcPr>
            <w:tcW w:w="1543" w:type="dxa"/>
            <w:tcBorders>
              <w:top w:val="single" w:sz="4" w:space="0" w:color="auto"/>
              <w:left w:val="single" w:sz="4" w:space="0" w:color="auto"/>
              <w:bottom w:val="single" w:sz="4" w:space="0" w:color="auto"/>
              <w:right w:val="single" w:sz="4" w:space="0" w:color="auto"/>
            </w:tcBorders>
            <w:vAlign w:val="center"/>
          </w:tcPr>
          <w:p w14:paraId="408E777B" w14:textId="24244C6E"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bCs w:val="0"/>
                <w:szCs w:val="20"/>
              </w:rPr>
              <w:t>1.283.333,33 EUR</w:t>
            </w:r>
          </w:p>
        </w:tc>
      </w:tr>
      <w:tr w:rsidR="001D3963" w:rsidRPr="00620790" w14:paraId="5A0D37A5" w14:textId="77777777" w:rsidTr="001D3963">
        <w:trPr>
          <w:cantSplit/>
          <w:trHeight w:val="95"/>
        </w:trPr>
        <w:tc>
          <w:tcPr>
            <w:tcW w:w="1937" w:type="dxa"/>
            <w:tcBorders>
              <w:top w:val="single" w:sz="4" w:space="0" w:color="auto"/>
              <w:left w:val="single" w:sz="4" w:space="0" w:color="auto"/>
              <w:bottom w:val="single" w:sz="4" w:space="0" w:color="auto"/>
              <w:right w:val="single" w:sz="4" w:space="0" w:color="auto"/>
            </w:tcBorders>
            <w:vAlign w:val="center"/>
          </w:tcPr>
          <w:p w14:paraId="5879FC97" w14:textId="43528048"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2570</w:t>
            </w:r>
            <w:r w:rsidRPr="001D3963">
              <w:rPr>
                <w:rFonts w:cs="Arial"/>
                <w:bCs w:val="0"/>
                <w:szCs w:val="20"/>
              </w:rPr>
              <w:t xml:space="preserve"> </w:t>
            </w:r>
            <w:r w:rsidRPr="001D3963">
              <w:rPr>
                <w:rFonts w:cs="Arial"/>
                <w:b w:val="0"/>
                <w:szCs w:val="20"/>
              </w:rPr>
              <w:t>M</w:t>
            </w:r>
            <w:r w:rsidRPr="001D3963">
              <w:rPr>
                <w:rFonts w:cs="Arial"/>
                <w:b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16C4044"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caps w:val="0"/>
                <w:szCs w:val="20"/>
              </w:rPr>
              <w:t>Evidenčni projekt</w:t>
            </w:r>
            <w:r w:rsidRPr="001D3963">
              <w:rPr>
                <w:rFonts w:cs="Arial"/>
                <w:b w:val="0"/>
                <w:szCs w:val="20"/>
              </w:rPr>
              <w:t>:</w:t>
            </w:r>
          </w:p>
          <w:p w14:paraId="20EA3A96"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szCs w:val="20"/>
              </w:rPr>
              <w:t>1630-24-0004</w:t>
            </w:r>
          </w:p>
          <w:p w14:paraId="5ADC0CEA" w14:textId="54D643B7" w:rsidR="001D3963" w:rsidRPr="001D3963" w:rsidRDefault="001D3963" w:rsidP="001D3963">
            <w:pPr>
              <w:pStyle w:val="Naslov1"/>
              <w:keepNext w:val="0"/>
              <w:widowControl w:val="0"/>
              <w:tabs>
                <w:tab w:val="left" w:pos="360"/>
              </w:tabs>
              <w:spacing w:before="0" w:after="0" w:line="240" w:lineRule="auto"/>
              <w:rPr>
                <w:rFonts w:cs="Arial"/>
                <w:b w:val="0"/>
                <w:caps w:val="0"/>
                <w:szCs w:val="20"/>
              </w:rPr>
            </w:pPr>
            <w:r w:rsidRPr="001D3963">
              <w:rPr>
                <w:rFonts w:cs="Arial"/>
                <w:b w:val="0"/>
                <w:szCs w:val="20"/>
              </w:rPr>
              <w:t>RSO2.1 S</w:t>
            </w:r>
            <w:r w:rsidRPr="001D3963">
              <w:rPr>
                <w:rFonts w:cs="Arial"/>
                <w:b w:val="0"/>
                <w:caps w:val="0"/>
                <w:szCs w:val="20"/>
              </w:rPr>
              <w:t>podbujanje energetske učinkovitosti in zmanjšanjem emisij toplogrednih plinov</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6E8419A" w14:textId="0044D6E7"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RSO2.1.-</w:t>
            </w:r>
            <w:r w:rsidR="00376E27">
              <w:rPr>
                <w:rFonts w:cs="Arial"/>
                <w:b w:val="0"/>
                <w:szCs w:val="20"/>
              </w:rPr>
              <w:t>S</w:t>
            </w:r>
            <w:r w:rsidR="00376E27" w:rsidRPr="001D3963">
              <w:rPr>
                <w:rFonts w:cs="Arial"/>
                <w:b w:val="0"/>
                <w:caps w:val="0"/>
                <w:szCs w:val="20"/>
              </w:rPr>
              <w:t xml:space="preserve">podbujanje energetske učinkovitosti </w:t>
            </w:r>
            <w:r w:rsidRPr="001D3963">
              <w:rPr>
                <w:rFonts w:cs="Arial"/>
                <w:b w:val="0"/>
                <w:szCs w:val="20"/>
              </w:rPr>
              <w:t>ESRR 21-27-V-SLO</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7298D8E" w14:textId="55A37FFB"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0</w:t>
            </w:r>
          </w:p>
        </w:tc>
        <w:tc>
          <w:tcPr>
            <w:tcW w:w="1543" w:type="dxa"/>
            <w:tcBorders>
              <w:top w:val="single" w:sz="4" w:space="0" w:color="auto"/>
              <w:left w:val="single" w:sz="4" w:space="0" w:color="auto"/>
              <w:bottom w:val="single" w:sz="4" w:space="0" w:color="auto"/>
              <w:right w:val="single" w:sz="4" w:space="0" w:color="auto"/>
            </w:tcBorders>
            <w:vAlign w:val="center"/>
          </w:tcPr>
          <w:p w14:paraId="70286DE7" w14:textId="043D6D2C"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bCs w:val="0"/>
                <w:szCs w:val="20"/>
              </w:rPr>
              <w:t>226.470,59 EUR</w:t>
            </w:r>
          </w:p>
        </w:tc>
      </w:tr>
      <w:tr w:rsidR="001D3963" w:rsidRPr="00620790" w14:paraId="58EE8040" w14:textId="77777777" w:rsidTr="001D3963">
        <w:trPr>
          <w:cantSplit/>
          <w:trHeight w:val="95"/>
        </w:trPr>
        <w:tc>
          <w:tcPr>
            <w:tcW w:w="1937" w:type="dxa"/>
            <w:tcBorders>
              <w:top w:val="single" w:sz="4" w:space="0" w:color="auto"/>
              <w:left w:val="single" w:sz="4" w:space="0" w:color="auto"/>
              <w:bottom w:val="single" w:sz="4" w:space="0" w:color="auto"/>
              <w:right w:val="single" w:sz="4" w:space="0" w:color="auto"/>
            </w:tcBorders>
            <w:vAlign w:val="center"/>
          </w:tcPr>
          <w:p w14:paraId="083214CD" w14:textId="4F1025A5"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2570</w:t>
            </w:r>
            <w:r w:rsidRPr="001D3963">
              <w:rPr>
                <w:rFonts w:cs="Arial"/>
                <w:bCs w:val="0"/>
                <w:szCs w:val="20"/>
              </w:rPr>
              <w:t xml:space="preserve"> </w:t>
            </w:r>
            <w:r w:rsidRPr="001D3963">
              <w:rPr>
                <w:rFonts w:cs="Arial"/>
                <w:b w:val="0"/>
                <w:szCs w:val="20"/>
              </w:rPr>
              <w:t>M</w:t>
            </w:r>
            <w:r w:rsidRPr="001D3963">
              <w:rPr>
                <w:rFonts w:cs="Arial"/>
                <w:b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AF0984D"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caps w:val="0"/>
                <w:szCs w:val="20"/>
              </w:rPr>
              <w:t>Evidenčni projekt</w:t>
            </w:r>
            <w:r w:rsidRPr="001D3963">
              <w:rPr>
                <w:rFonts w:cs="Arial"/>
                <w:b w:val="0"/>
                <w:szCs w:val="20"/>
              </w:rPr>
              <w:t>:</w:t>
            </w:r>
          </w:p>
          <w:p w14:paraId="3B0F8D20"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szCs w:val="20"/>
              </w:rPr>
              <w:t>1630-24-0004</w:t>
            </w:r>
          </w:p>
          <w:p w14:paraId="0454B100" w14:textId="5EA5E595" w:rsidR="001D3963" w:rsidRPr="001D3963" w:rsidRDefault="001D3963" w:rsidP="001D3963">
            <w:pPr>
              <w:pStyle w:val="Naslov1"/>
              <w:keepNext w:val="0"/>
              <w:widowControl w:val="0"/>
              <w:tabs>
                <w:tab w:val="left" w:pos="360"/>
              </w:tabs>
              <w:spacing w:before="0" w:after="0" w:line="240" w:lineRule="auto"/>
              <w:rPr>
                <w:rFonts w:cs="Arial"/>
                <w:b w:val="0"/>
                <w:caps w:val="0"/>
                <w:szCs w:val="20"/>
              </w:rPr>
            </w:pPr>
            <w:r w:rsidRPr="001D3963">
              <w:rPr>
                <w:rFonts w:cs="Arial"/>
                <w:b w:val="0"/>
                <w:szCs w:val="20"/>
              </w:rPr>
              <w:t>RSO2.1 S</w:t>
            </w:r>
            <w:r w:rsidRPr="001D3963">
              <w:rPr>
                <w:rFonts w:cs="Arial"/>
                <w:b w:val="0"/>
                <w:caps w:val="0"/>
                <w:szCs w:val="20"/>
              </w:rPr>
              <w:t>podbujanje energetske učinkovitosti in zmanjšanjem emisij toplogrednih plinov</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0170D24" w14:textId="4C600EDB"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RSO2.1.-</w:t>
            </w:r>
            <w:r w:rsidR="00376E27">
              <w:rPr>
                <w:rFonts w:cs="Arial"/>
                <w:b w:val="0"/>
                <w:szCs w:val="20"/>
              </w:rPr>
              <w:t>S</w:t>
            </w:r>
            <w:r w:rsidR="00376E27" w:rsidRPr="001D3963">
              <w:rPr>
                <w:rFonts w:cs="Arial"/>
                <w:b w:val="0"/>
                <w:caps w:val="0"/>
                <w:szCs w:val="20"/>
              </w:rPr>
              <w:t xml:space="preserve">podbujanje energetske učinkovitosti </w:t>
            </w:r>
            <w:r w:rsidRPr="001D3963">
              <w:rPr>
                <w:rFonts w:cs="Arial"/>
                <w:b w:val="0"/>
                <w:szCs w:val="20"/>
              </w:rPr>
              <w:t>ESRR 21-27-Z-EU</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F5FE423" w14:textId="7C719227"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0</w:t>
            </w:r>
          </w:p>
        </w:tc>
        <w:tc>
          <w:tcPr>
            <w:tcW w:w="1543" w:type="dxa"/>
            <w:tcBorders>
              <w:top w:val="single" w:sz="4" w:space="0" w:color="auto"/>
              <w:left w:val="single" w:sz="4" w:space="0" w:color="auto"/>
              <w:bottom w:val="single" w:sz="4" w:space="0" w:color="auto"/>
              <w:right w:val="single" w:sz="4" w:space="0" w:color="auto"/>
            </w:tcBorders>
            <w:vAlign w:val="center"/>
          </w:tcPr>
          <w:p w14:paraId="2CBFE630" w14:textId="1024702A"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bCs w:val="0"/>
                <w:szCs w:val="20"/>
              </w:rPr>
              <w:t>466.666,67 EUR</w:t>
            </w:r>
          </w:p>
        </w:tc>
      </w:tr>
      <w:tr w:rsidR="001D3963" w:rsidRPr="00620790" w14:paraId="5C5CC263" w14:textId="77777777" w:rsidTr="001D3963">
        <w:trPr>
          <w:cantSplit/>
          <w:trHeight w:val="95"/>
        </w:trPr>
        <w:tc>
          <w:tcPr>
            <w:tcW w:w="1937" w:type="dxa"/>
            <w:tcBorders>
              <w:top w:val="single" w:sz="4" w:space="0" w:color="auto"/>
              <w:left w:val="single" w:sz="4" w:space="0" w:color="auto"/>
              <w:bottom w:val="single" w:sz="4" w:space="0" w:color="auto"/>
              <w:right w:val="single" w:sz="4" w:space="0" w:color="auto"/>
            </w:tcBorders>
            <w:vAlign w:val="center"/>
          </w:tcPr>
          <w:p w14:paraId="6DA00CB9" w14:textId="3980FC77"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2570</w:t>
            </w:r>
            <w:r w:rsidRPr="001D3963">
              <w:rPr>
                <w:rFonts w:cs="Arial"/>
                <w:bCs w:val="0"/>
                <w:szCs w:val="20"/>
              </w:rPr>
              <w:t xml:space="preserve"> </w:t>
            </w:r>
            <w:r w:rsidRPr="001D3963">
              <w:rPr>
                <w:rFonts w:cs="Arial"/>
                <w:b w:val="0"/>
                <w:szCs w:val="20"/>
              </w:rPr>
              <w:t>M</w:t>
            </w:r>
            <w:r w:rsidRPr="001D3963">
              <w:rPr>
                <w:rFonts w:cs="Arial"/>
                <w:b w:val="0"/>
                <w:caps w:val="0"/>
                <w:szCs w:val="20"/>
              </w:rPr>
              <w:t>inistrstvo za okolje, podnebje in energijo</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1D65609E"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caps w:val="0"/>
                <w:szCs w:val="20"/>
              </w:rPr>
              <w:t>Evidenčni projekt</w:t>
            </w:r>
            <w:r w:rsidRPr="001D3963">
              <w:rPr>
                <w:rFonts w:cs="Arial"/>
                <w:b w:val="0"/>
                <w:szCs w:val="20"/>
              </w:rPr>
              <w:t>:</w:t>
            </w:r>
          </w:p>
          <w:p w14:paraId="55385EEB" w14:textId="77777777" w:rsidR="001D3963" w:rsidRPr="001D3963" w:rsidRDefault="001D3963" w:rsidP="001D3963">
            <w:pPr>
              <w:pStyle w:val="Naslov1"/>
              <w:keepNext w:val="0"/>
              <w:widowControl w:val="0"/>
              <w:tabs>
                <w:tab w:val="left" w:pos="360"/>
              </w:tabs>
              <w:spacing w:before="0" w:after="0" w:line="240" w:lineRule="auto"/>
              <w:rPr>
                <w:rFonts w:cs="Arial"/>
                <w:b w:val="0"/>
                <w:szCs w:val="20"/>
              </w:rPr>
            </w:pPr>
            <w:r w:rsidRPr="001D3963">
              <w:rPr>
                <w:rFonts w:cs="Arial"/>
                <w:b w:val="0"/>
                <w:szCs w:val="20"/>
              </w:rPr>
              <w:t>1630-24-0004</w:t>
            </w:r>
          </w:p>
          <w:p w14:paraId="30151629" w14:textId="6E9E4F2F" w:rsidR="001D3963" w:rsidRPr="001D3963" w:rsidRDefault="001D3963" w:rsidP="001D3963">
            <w:pPr>
              <w:pStyle w:val="Naslov1"/>
              <w:keepNext w:val="0"/>
              <w:widowControl w:val="0"/>
              <w:tabs>
                <w:tab w:val="left" w:pos="360"/>
              </w:tabs>
              <w:spacing w:before="0" w:after="0" w:line="240" w:lineRule="auto"/>
              <w:rPr>
                <w:rFonts w:cs="Arial"/>
                <w:b w:val="0"/>
                <w:caps w:val="0"/>
                <w:szCs w:val="20"/>
              </w:rPr>
            </w:pPr>
            <w:r w:rsidRPr="001D3963">
              <w:rPr>
                <w:rFonts w:cs="Arial"/>
                <w:b w:val="0"/>
                <w:szCs w:val="20"/>
              </w:rPr>
              <w:t>RSO2.1 S</w:t>
            </w:r>
            <w:r w:rsidRPr="001D3963">
              <w:rPr>
                <w:rFonts w:cs="Arial"/>
                <w:b w:val="0"/>
                <w:caps w:val="0"/>
                <w:szCs w:val="20"/>
              </w:rPr>
              <w:t>podbujanje energetske učinkovitosti in zmanjšanjem emisij toplogrednih plinov</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33FFED99" w14:textId="6DF7CAF5"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RSO2.1.-</w:t>
            </w:r>
            <w:r w:rsidR="00376E27">
              <w:rPr>
                <w:rFonts w:cs="Arial"/>
                <w:b w:val="0"/>
                <w:szCs w:val="20"/>
              </w:rPr>
              <w:t>S</w:t>
            </w:r>
            <w:r w:rsidR="00376E27" w:rsidRPr="001D3963">
              <w:rPr>
                <w:rFonts w:cs="Arial"/>
                <w:b w:val="0"/>
                <w:caps w:val="0"/>
                <w:szCs w:val="20"/>
              </w:rPr>
              <w:t xml:space="preserve">podbujanje energetske učinkovitosti </w:t>
            </w:r>
            <w:r w:rsidRPr="001D3963">
              <w:rPr>
                <w:rFonts w:cs="Arial"/>
                <w:b w:val="0"/>
                <w:szCs w:val="20"/>
              </w:rPr>
              <w:t>ESRR 21-27-Z-SLO</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7C4AE417" w14:textId="2C00D76F" w:rsidR="001D3963" w:rsidRPr="001D3963" w:rsidRDefault="001D3963" w:rsidP="001D3963">
            <w:pPr>
              <w:pStyle w:val="Naslov1"/>
              <w:keepNext w:val="0"/>
              <w:widowControl w:val="0"/>
              <w:tabs>
                <w:tab w:val="left" w:pos="360"/>
              </w:tabs>
              <w:spacing w:before="0"/>
              <w:rPr>
                <w:rFonts w:cs="Arial"/>
                <w:b w:val="0"/>
                <w:szCs w:val="20"/>
              </w:rPr>
            </w:pPr>
            <w:r w:rsidRPr="001D3963">
              <w:rPr>
                <w:rFonts w:cs="Arial"/>
                <w:b w:val="0"/>
                <w:szCs w:val="20"/>
              </w:rPr>
              <w:t>0</w:t>
            </w:r>
          </w:p>
        </w:tc>
        <w:tc>
          <w:tcPr>
            <w:tcW w:w="1543" w:type="dxa"/>
            <w:tcBorders>
              <w:top w:val="single" w:sz="4" w:space="0" w:color="auto"/>
              <w:left w:val="single" w:sz="4" w:space="0" w:color="auto"/>
              <w:bottom w:val="single" w:sz="4" w:space="0" w:color="auto"/>
              <w:right w:val="single" w:sz="4" w:space="0" w:color="auto"/>
            </w:tcBorders>
            <w:vAlign w:val="center"/>
          </w:tcPr>
          <w:p w14:paraId="601D3A91" w14:textId="6F5730AE" w:rsidR="001D3963" w:rsidRPr="001D3963" w:rsidRDefault="001D3963" w:rsidP="001D3963">
            <w:pPr>
              <w:pStyle w:val="Naslov1"/>
              <w:keepNext w:val="0"/>
              <w:widowControl w:val="0"/>
              <w:tabs>
                <w:tab w:val="left" w:pos="360"/>
              </w:tabs>
              <w:spacing w:before="0"/>
              <w:rPr>
                <w:rFonts w:cs="Arial"/>
                <w:b w:val="0"/>
                <w:bCs w:val="0"/>
                <w:szCs w:val="20"/>
              </w:rPr>
            </w:pPr>
            <w:r w:rsidRPr="001D3963">
              <w:rPr>
                <w:rFonts w:cs="Arial"/>
                <w:b w:val="0"/>
                <w:bCs w:val="0"/>
                <w:szCs w:val="20"/>
              </w:rPr>
              <w:t>466.666,67 EUR</w:t>
            </w:r>
          </w:p>
        </w:tc>
      </w:tr>
      <w:tr w:rsidR="001D3963" w:rsidRPr="00620790" w14:paraId="53494503" w14:textId="77777777" w:rsidTr="001D3963">
        <w:trPr>
          <w:cantSplit/>
          <w:trHeight w:val="95"/>
        </w:trPr>
        <w:tc>
          <w:tcPr>
            <w:tcW w:w="6293" w:type="dxa"/>
            <w:gridSpan w:val="5"/>
            <w:tcBorders>
              <w:top w:val="single" w:sz="4" w:space="0" w:color="auto"/>
              <w:left w:val="single" w:sz="4" w:space="0" w:color="auto"/>
              <w:bottom w:val="single" w:sz="4" w:space="0" w:color="auto"/>
              <w:right w:val="single" w:sz="4" w:space="0" w:color="auto"/>
            </w:tcBorders>
            <w:vAlign w:val="center"/>
          </w:tcPr>
          <w:p w14:paraId="4EB211A6" w14:textId="77777777" w:rsidR="001D3963" w:rsidRPr="00620790" w:rsidRDefault="001D3963" w:rsidP="001D3963">
            <w:pPr>
              <w:pStyle w:val="Naslov1"/>
              <w:keepNext w:val="0"/>
              <w:widowControl w:val="0"/>
              <w:tabs>
                <w:tab w:val="left" w:pos="360"/>
              </w:tabs>
              <w:spacing w:before="0"/>
              <w:rPr>
                <w:rFonts w:cs="Arial"/>
                <w:szCs w:val="20"/>
              </w:rPr>
            </w:pPr>
            <w:r w:rsidRPr="00620790">
              <w:rPr>
                <w:rFonts w:cs="Arial"/>
                <w:szCs w:val="20"/>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205BDCCE" w14:textId="414D3F90" w:rsidR="001D3963" w:rsidRPr="00620790" w:rsidRDefault="00EC4CA3" w:rsidP="001D3963">
            <w:pPr>
              <w:pStyle w:val="Naslov1"/>
              <w:keepNext w:val="0"/>
              <w:widowControl w:val="0"/>
              <w:tabs>
                <w:tab w:val="left" w:pos="360"/>
              </w:tabs>
              <w:spacing w:before="0"/>
              <w:rPr>
                <w:rFonts w:cs="Arial"/>
                <w:szCs w:val="20"/>
              </w:rPr>
            </w:pPr>
            <w:r>
              <w:rPr>
                <w:rFonts w:cs="Arial"/>
                <w:szCs w:val="20"/>
              </w:rPr>
              <w:t>4</w:t>
            </w:r>
            <w:r w:rsidR="00F81979" w:rsidRPr="00F81979">
              <w:rPr>
                <w:rFonts w:cs="Arial"/>
                <w:szCs w:val="20"/>
              </w:rPr>
              <w:t>00.000 EUR</w:t>
            </w:r>
          </w:p>
        </w:tc>
        <w:tc>
          <w:tcPr>
            <w:tcW w:w="1543" w:type="dxa"/>
            <w:tcBorders>
              <w:top w:val="single" w:sz="4" w:space="0" w:color="auto"/>
              <w:left w:val="single" w:sz="4" w:space="0" w:color="auto"/>
              <w:bottom w:val="single" w:sz="4" w:space="0" w:color="auto"/>
              <w:right w:val="single" w:sz="4" w:space="0" w:color="auto"/>
            </w:tcBorders>
            <w:vAlign w:val="center"/>
          </w:tcPr>
          <w:p w14:paraId="7F3299F5" w14:textId="5F742976" w:rsidR="001D3963" w:rsidRPr="00BB1C98" w:rsidRDefault="00BB1C98" w:rsidP="001D3963">
            <w:pPr>
              <w:pStyle w:val="Naslov1"/>
              <w:keepNext w:val="0"/>
              <w:widowControl w:val="0"/>
              <w:tabs>
                <w:tab w:val="left" w:pos="360"/>
              </w:tabs>
              <w:spacing w:before="0"/>
              <w:rPr>
                <w:rFonts w:cs="Arial"/>
                <w:b w:val="0"/>
                <w:bCs w:val="0"/>
                <w:szCs w:val="20"/>
              </w:rPr>
            </w:pPr>
            <w:r w:rsidRPr="00BB1C98">
              <w:rPr>
                <w:rFonts w:cs="Arial"/>
                <w:b w:val="0"/>
                <w:bCs w:val="0"/>
                <w:szCs w:val="20"/>
              </w:rPr>
              <w:t>6.</w:t>
            </w:r>
            <w:r w:rsidR="00EC4CA3">
              <w:rPr>
                <w:rFonts w:cs="Arial"/>
                <w:b w:val="0"/>
                <w:bCs w:val="0"/>
                <w:szCs w:val="20"/>
              </w:rPr>
              <w:t>5</w:t>
            </w:r>
            <w:r w:rsidRPr="00BB1C98">
              <w:rPr>
                <w:rFonts w:cs="Arial"/>
                <w:b w:val="0"/>
                <w:bCs w:val="0"/>
                <w:szCs w:val="20"/>
              </w:rPr>
              <w:t>43.137,26 EUR</w:t>
            </w:r>
          </w:p>
        </w:tc>
      </w:tr>
      <w:tr w:rsidR="001D3963" w:rsidRPr="00620790" w14:paraId="61CAADDA" w14:textId="77777777" w:rsidTr="00F1346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E96B6B" w14:textId="77777777" w:rsidR="001D3963" w:rsidRPr="00620790" w:rsidRDefault="001D3963" w:rsidP="001D3963">
            <w:pPr>
              <w:pStyle w:val="Naslov1"/>
              <w:keepNext w:val="0"/>
              <w:widowControl w:val="0"/>
              <w:tabs>
                <w:tab w:val="left" w:pos="2340"/>
              </w:tabs>
              <w:spacing w:before="0"/>
              <w:rPr>
                <w:rFonts w:cs="Arial"/>
                <w:szCs w:val="20"/>
              </w:rPr>
            </w:pPr>
            <w:r w:rsidRPr="00620790">
              <w:rPr>
                <w:rFonts w:cs="Arial"/>
                <w:szCs w:val="20"/>
              </w:rPr>
              <w:t>II.c Načrtovana nadomestitev zmanjšanih prihodkov in povečanih odhodkov proračuna:</w:t>
            </w:r>
          </w:p>
        </w:tc>
      </w:tr>
      <w:tr w:rsidR="001D3963" w:rsidRPr="00620790" w14:paraId="500DBD80" w14:textId="77777777" w:rsidTr="001D3963">
        <w:trPr>
          <w:cantSplit/>
          <w:trHeight w:val="10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377C7710" w14:textId="77777777" w:rsidR="001D3963" w:rsidRPr="00620790" w:rsidRDefault="001D3963" w:rsidP="001D3963">
            <w:pPr>
              <w:widowControl w:val="0"/>
              <w:spacing w:line="260" w:lineRule="exact"/>
              <w:ind w:left="-122" w:right="-112"/>
              <w:jc w:val="center"/>
              <w:rPr>
                <w:rFonts w:cs="Arial"/>
                <w:szCs w:val="20"/>
              </w:rPr>
            </w:pPr>
            <w:r w:rsidRPr="00620790">
              <w:rPr>
                <w:rFonts w:cs="Arial"/>
                <w:szCs w:val="20"/>
              </w:rPr>
              <w:t>Novi prihodki</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CF065BF" w14:textId="77777777" w:rsidR="001D3963" w:rsidRPr="00620790" w:rsidRDefault="001D3963" w:rsidP="001D3963">
            <w:pPr>
              <w:widowControl w:val="0"/>
              <w:spacing w:line="260" w:lineRule="exact"/>
              <w:ind w:left="-122" w:right="-112"/>
              <w:jc w:val="center"/>
              <w:rPr>
                <w:rFonts w:cs="Arial"/>
                <w:szCs w:val="20"/>
              </w:rPr>
            </w:pPr>
            <w:r w:rsidRPr="00620790">
              <w:rPr>
                <w:rFonts w:cs="Arial"/>
                <w:szCs w:val="20"/>
              </w:rPr>
              <w:t>Znesek za tekoče leto (t)</w:t>
            </w: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6D7C2E6B" w14:textId="77777777" w:rsidR="001D3963" w:rsidRPr="00620790" w:rsidRDefault="001D3963" w:rsidP="001D3963">
            <w:pPr>
              <w:widowControl w:val="0"/>
              <w:spacing w:line="260" w:lineRule="exact"/>
              <w:ind w:left="-122" w:right="-112"/>
              <w:jc w:val="center"/>
              <w:rPr>
                <w:rFonts w:cs="Arial"/>
                <w:szCs w:val="20"/>
              </w:rPr>
            </w:pPr>
            <w:r w:rsidRPr="00620790">
              <w:rPr>
                <w:rFonts w:cs="Arial"/>
                <w:szCs w:val="20"/>
              </w:rPr>
              <w:t>Znesek za t + 1</w:t>
            </w:r>
          </w:p>
        </w:tc>
      </w:tr>
      <w:tr w:rsidR="001D3963" w:rsidRPr="00620790" w14:paraId="32B4E7DE" w14:textId="77777777" w:rsidTr="001D3963">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3A2BB071"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91CA9D4"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1BAC0E7F" w14:textId="77777777" w:rsidR="001D3963" w:rsidRPr="00620790" w:rsidRDefault="001D3963" w:rsidP="001D3963">
            <w:pPr>
              <w:pStyle w:val="Naslov1"/>
              <w:keepNext w:val="0"/>
              <w:widowControl w:val="0"/>
              <w:tabs>
                <w:tab w:val="left" w:pos="360"/>
              </w:tabs>
              <w:spacing w:before="0"/>
              <w:rPr>
                <w:rFonts w:cs="Arial"/>
                <w:b w:val="0"/>
                <w:bCs w:val="0"/>
                <w:szCs w:val="20"/>
              </w:rPr>
            </w:pPr>
          </w:p>
        </w:tc>
      </w:tr>
      <w:tr w:rsidR="001D3963" w:rsidRPr="00620790" w14:paraId="31037777" w14:textId="77777777" w:rsidTr="001D3963">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612FFF4C"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0961E3AD"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0B6807E4" w14:textId="77777777" w:rsidR="001D3963" w:rsidRPr="00620790" w:rsidRDefault="001D3963" w:rsidP="001D3963">
            <w:pPr>
              <w:pStyle w:val="Naslov1"/>
              <w:keepNext w:val="0"/>
              <w:widowControl w:val="0"/>
              <w:tabs>
                <w:tab w:val="left" w:pos="360"/>
              </w:tabs>
              <w:spacing w:before="0"/>
              <w:rPr>
                <w:rFonts w:cs="Arial"/>
                <w:b w:val="0"/>
                <w:bCs w:val="0"/>
                <w:szCs w:val="20"/>
              </w:rPr>
            </w:pPr>
          </w:p>
        </w:tc>
      </w:tr>
      <w:tr w:rsidR="001D3963" w:rsidRPr="00620790" w14:paraId="090069DD" w14:textId="77777777" w:rsidTr="001D3963">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6D0AEE90"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576EFE73" w14:textId="77777777" w:rsidR="001D3963" w:rsidRPr="00620790" w:rsidRDefault="001D3963" w:rsidP="001D3963">
            <w:pPr>
              <w:pStyle w:val="Naslov1"/>
              <w:keepNext w:val="0"/>
              <w:widowControl w:val="0"/>
              <w:tabs>
                <w:tab w:val="left" w:pos="360"/>
              </w:tabs>
              <w:spacing w:before="0"/>
              <w:rPr>
                <w:rFonts w:cs="Arial"/>
                <w:b w:val="0"/>
                <w:bCs w:val="0"/>
                <w:szCs w:val="20"/>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58247098" w14:textId="77777777" w:rsidR="001D3963" w:rsidRPr="00620790" w:rsidRDefault="001D3963" w:rsidP="001D3963">
            <w:pPr>
              <w:pStyle w:val="Naslov1"/>
              <w:keepNext w:val="0"/>
              <w:widowControl w:val="0"/>
              <w:tabs>
                <w:tab w:val="left" w:pos="360"/>
              </w:tabs>
              <w:spacing w:before="0"/>
              <w:rPr>
                <w:rFonts w:cs="Arial"/>
                <w:b w:val="0"/>
                <w:bCs w:val="0"/>
                <w:szCs w:val="20"/>
              </w:rPr>
            </w:pPr>
          </w:p>
        </w:tc>
      </w:tr>
      <w:tr w:rsidR="001D3963" w:rsidRPr="00620790" w14:paraId="3D89FC28" w14:textId="77777777" w:rsidTr="001D3963">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6FE9F350" w14:textId="77777777" w:rsidR="001D3963" w:rsidRPr="00620790" w:rsidRDefault="001D3963" w:rsidP="001D3963">
            <w:pPr>
              <w:pStyle w:val="Naslov1"/>
              <w:keepNext w:val="0"/>
              <w:widowControl w:val="0"/>
              <w:tabs>
                <w:tab w:val="left" w:pos="360"/>
              </w:tabs>
              <w:spacing w:before="0"/>
              <w:rPr>
                <w:rFonts w:cs="Arial"/>
                <w:szCs w:val="20"/>
              </w:rPr>
            </w:pPr>
            <w:r w:rsidRPr="00620790">
              <w:rPr>
                <w:rFonts w:cs="Arial"/>
                <w:szCs w:val="20"/>
              </w:rPr>
              <w:t>SKUPAJ</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7D282E75" w14:textId="77777777" w:rsidR="001D3963" w:rsidRPr="00620790" w:rsidRDefault="001D3963" w:rsidP="001D3963">
            <w:pPr>
              <w:pStyle w:val="Naslov1"/>
              <w:keepNext w:val="0"/>
              <w:widowControl w:val="0"/>
              <w:tabs>
                <w:tab w:val="left" w:pos="360"/>
              </w:tabs>
              <w:spacing w:before="0"/>
              <w:rPr>
                <w:rFonts w:cs="Arial"/>
                <w:szCs w:val="20"/>
              </w:rPr>
            </w:pPr>
          </w:p>
        </w:tc>
        <w:tc>
          <w:tcPr>
            <w:tcW w:w="2701" w:type="dxa"/>
            <w:gridSpan w:val="3"/>
            <w:tcBorders>
              <w:top w:val="single" w:sz="4" w:space="0" w:color="auto"/>
              <w:left w:val="single" w:sz="4" w:space="0" w:color="auto"/>
              <w:bottom w:val="single" w:sz="4" w:space="0" w:color="auto"/>
              <w:right w:val="single" w:sz="4" w:space="0" w:color="auto"/>
            </w:tcBorders>
            <w:vAlign w:val="center"/>
          </w:tcPr>
          <w:p w14:paraId="098B3C03" w14:textId="77777777" w:rsidR="001D3963" w:rsidRPr="00620790" w:rsidRDefault="001D3963" w:rsidP="001D3963">
            <w:pPr>
              <w:pStyle w:val="Naslov1"/>
              <w:keepNext w:val="0"/>
              <w:widowControl w:val="0"/>
              <w:tabs>
                <w:tab w:val="left" w:pos="360"/>
              </w:tabs>
              <w:spacing w:before="0"/>
              <w:rPr>
                <w:rFonts w:cs="Arial"/>
                <w:szCs w:val="20"/>
              </w:rPr>
            </w:pPr>
          </w:p>
        </w:tc>
      </w:tr>
      <w:tr w:rsidR="001D3963" w:rsidRPr="00620790" w14:paraId="119484C3"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19B65CB" w14:textId="77777777" w:rsidR="001D3963" w:rsidRPr="00620790" w:rsidRDefault="001D3963" w:rsidP="001D3963">
            <w:pPr>
              <w:widowControl w:val="0"/>
              <w:spacing w:line="260" w:lineRule="exact"/>
              <w:rPr>
                <w:rFonts w:cs="Arial"/>
                <w:b/>
                <w:szCs w:val="20"/>
              </w:rPr>
            </w:pPr>
          </w:p>
          <w:p w14:paraId="719CFFB9" w14:textId="77777777" w:rsidR="001D3963" w:rsidRPr="00620790" w:rsidRDefault="001D3963" w:rsidP="001D3963">
            <w:pPr>
              <w:widowControl w:val="0"/>
              <w:spacing w:line="260" w:lineRule="exact"/>
              <w:rPr>
                <w:rFonts w:cs="Arial"/>
                <w:b/>
                <w:szCs w:val="20"/>
              </w:rPr>
            </w:pPr>
            <w:r w:rsidRPr="00620790">
              <w:rPr>
                <w:rFonts w:cs="Arial"/>
                <w:b/>
                <w:szCs w:val="20"/>
              </w:rPr>
              <w:t>OBRAZLOŽITEV:</w:t>
            </w:r>
          </w:p>
          <w:p w14:paraId="2F0B5A76" w14:textId="77777777" w:rsidR="001D3963" w:rsidRPr="00620790" w:rsidRDefault="001D3963" w:rsidP="001D3963">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t>Ocena finančnih posledic, ki niso načrtovane v sprejetem proračunu</w:t>
            </w:r>
          </w:p>
          <w:p w14:paraId="619A3D41" w14:textId="77777777" w:rsidR="001D3963" w:rsidRPr="00620790" w:rsidRDefault="001D3963" w:rsidP="001D3963">
            <w:pPr>
              <w:widowControl w:val="0"/>
              <w:spacing w:line="260" w:lineRule="exact"/>
              <w:ind w:left="360" w:hanging="76"/>
              <w:rPr>
                <w:rFonts w:cs="Arial"/>
                <w:szCs w:val="20"/>
                <w:lang w:eastAsia="sl-SI"/>
              </w:rPr>
            </w:pPr>
            <w:r w:rsidRPr="00620790">
              <w:rPr>
                <w:rFonts w:cs="Arial"/>
                <w:szCs w:val="20"/>
                <w:lang w:eastAsia="sl-SI"/>
              </w:rPr>
              <w:t>V zvezi s predlaganim vladnim gradivom se navedejo predvidene spremembe (povečanje, zmanjšanje):</w:t>
            </w:r>
          </w:p>
          <w:p w14:paraId="752CBF07" w14:textId="77777777" w:rsidR="001D3963" w:rsidRPr="00620790" w:rsidRDefault="001D3963" w:rsidP="001D3963">
            <w:pPr>
              <w:widowControl w:val="0"/>
              <w:numPr>
                <w:ilvl w:val="0"/>
                <w:numId w:val="4"/>
              </w:numPr>
              <w:suppressAutoHyphens/>
              <w:spacing w:after="0" w:line="260" w:lineRule="exact"/>
              <w:rPr>
                <w:rFonts w:cs="Arial"/>
                <w:szCs w:val="20"/>
              </w:rPr>
            </w:pPr>
            <w:r w:rsidRPr="00620790">
              <w:rPr>
                <w:rFonts w:cs="Arial"/>
                <w:szCs w:val="20"/>
                <w:lang w:eastAsia="sl-SI"/>
              </w:rPr>
              <w:t>prihodkov državnega proračuna in občinskih proračunov,</w:t>
            </w:r>
          </w:p>
          <w:p w14:paraId="50A95645" w14:textId="77777777" w:rsidR="001D3963" w:rsidRPr="00620790" w:rsidRDefault="001D3963" w:rsidP="001D3963">
            <w:pPr>
              <w:widowControl w:val="0"/>
              <w:numPr>
                <w:ilvl w:val="0"/>
                <w:numId w:val="4"/>
              </w:numPr>
              <w:suppressAutoHyphens/>
              <w:spacing w:after="0" w:line="260" w:lineRule="exact"/>
              <w:rPr>
                <w:rFonts w:cs="Arial"/>
                <w:szCs w:val="20"/>
              </w:rPr>
            </w:pPr>
            <w:r w:rsidRPr="00620790">
              <w:rPr>
                <w:rFonts w:cs="Arial"/>
                <w:szCs w:val="20"/>
                <w:lang w:eastAsia="sl-SI"/>
              </w:rPr>
              <w:t>odhodkov državnega proračuna, ki niso načrtovani na ukrepih oziroma projektih sprejetih proračunov,</w:t>
            </w:r>
          </w:p>
          <w:p w14:paraId="0B5F701C" w14:textId="77777777" w:rsidR="001D3963" w:rsidRPr="00620790" w:rsidRDefault="001D3963" w:rsidP="001D3963">
            <w:pPr>
              <w:widowControl w:val="0"/>
              <w:numPr>
                <w:ilvl w:val="0"/>
                <w:numId w:val="4"/>
              </w:numPr>
              <w:suppressAutoHyphens/>
              <w:spacing w:after="0" w:line="260" w:lineRule="exact"/>
              <w:rPr>
                <w:rFonts w:cs="Arial"/>
                <w:szCs w:val="20"/>
              </w:rPr>
            </w:pPr>
            <w:r w:rsidRPr="00620790">
              <w:rPr>
                <w:rFonts w:cs="Arial"/>
                <w:szCs w:val="20"/>
                <w:lang w:eastAsia="sl-SI"/>
              </w:rPr>
              <w:t>obveznosti za druga javnofinančna sredstva (drugi viri), ki niso načrtovana na ukrepih oziroma projektih sprejetih proračunov.</w:t>
            </w:r>
          </w:p>
          <w:p w14:paraId="675C89E2" w14:textId="77777777" w:rsidR="001D3963" w:rsidRPr="00620790" w:rsidRDefault="001D3963" w:rsidP="001D3963">
            <w:pPr>
              <w:widowControl w:val="0"/>
              <w:spacing w:line="260" w:lineRule="exact"/>
              <w:rPr>
                <w:rFonts w:cs="Arial"/>
                <w:szCs w:val="20"/>
                <w:lang w:eastAsia="sl-SI"/>
              </w:rPr>
            </w:pPr>
          </w:p>
          <w:p w14:paraId="64228747" w14:textId="77777777" w:rsidR="001D3963" w:rsidRPr="00620790" w:rsidRDefault="001D3963" w:rsidP="001D3963">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lastRenderedPageBreak/>
              <w:t>Finančne posledice za državni proračun</w:t>
            </w:r>
          </w:p>
          <w:p w14:paraId="1BACA961" w14:textId="77777777" w:rsidR="001D3963" w:rsidRPr="00620790" w:rsidRDefault="001D3963" w:rsidP="001D3963">
            <w:pPr>
              <w:widowControl w:val="0"/>
              <w:spacing w:line="260" w:lineRule="exact"/>
              <w:rPr>
                <w:rFonts w:cs="Arial"/>
                <w:szCs w:val="20"/>
                <w:lang w:eastAsia="sl-SI"/>
              </w:rPr>
            </w:pPr>
            <w:r w:rsidRPr="00620790">
              <w:rPr>
                <w:rFonts w:cs="Arial"/>
                <w:szCs w:val="20"/>
                <w:lang w:eastAsia="sl-SI"/>
              </w:rPr>
              <w:t>Prikazane morajo biti finančne posledice za državni proračun, ki so na proračunskih postavkah načrtovane v dinamiki projektov oziroma ukrepov:</w:t>
            </w:r>
          </w:p>
          <w:p w14:paraId="49EAA802" w14:textId="77777777" w:rsidR="001D3963" w:rsidRPr="00620790" w:rsidRDefault="001D3963" w:rsidP="001D3963">
            <w:pPr>
              <w:widowControl w:val="0"/>
              <w:spacing w:line="260" w:lineRule="exact"/>
              <w:ind w:left="720"/>
              <w:rPr>
                <w:rFonts w:cs="Arial"/>
                <w:b/>
                <w:szCs w:val="20"/>
                <w:lang w:eastAsia="sl-SI"/>
              </w:rPr>
            </w:pPr>
            <w:r w:rsidRPr="00620790">
              <w:rPr>
                <w:rFonts w:cs="Arial"/>
                <w:b/>
                <w:szCs w:val="20"/>
                <w:lang w:eastAsia="sl-SI"/>
              </w:rPr>
              <w:t>II.a Pravice porabe za izvedbo predlaganih rešitev so zagotovljene:</w:t>
            </w:r>
          </w:p>
          <w:p w14:paraId="4A3C304A" w14:textId="77777777" w:rsidR="001D3963" w:rsidRPr="00620790" w:rsidRDefault="001D3963" w:rsidP="001D3963">
            <w:pPr>
              <w:widowControl w:val="0"/>
              <w:spacing w:line="260" w:lineRule="exact"/>
              <w:rPr>
                <w:rFonts w:cs="Arial"/>
                <w:szCs w:val="20"/>
                <w:lang w:eastAsia="sl-SI"/>
              </w:rPr>
            </w:pPr>
            <w:r w:rsidRPr="0062079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2155F61" w14:textId="77777777" w:rsidR="001D3963" w:rsidRPr="00620790" w:rsidRDefault="001D3963" w:rsidP="001D3963">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proračunski uporabnik, ki bo financiral novi projekt oziroma ukrep,</w:t>
            </w:r>
          </w:p>
          <w:p w14:paraId="08F8AD36" w14:textId="77777777" w:rsidR="001D3963" w:rsidRPr="00620790" w:rsidRDefault="001D3963" w:rsidP="001D3963">
            <w:pPr>
              <w:widowControl w:val="0"/>
              <w:numPr>
                <w:ilvl w:val="0"/>
                <w:numId w:val="5"/>
              </w:numPr>
              <w:suppressAutoHyphens/>
              <w:spacing w:after="0" w:line="260" w:lineRule="exact"/>
              <w:rPr>
                <w:rFonts w:cs="Arial"/>
                <w:szCs w:val="20"/>
                <w:lang w:eastAsia="sl-SI"/>
              </w:rPr>
            </w:pPr>
            <w:r w:rsidRPr="00620790">
              <w:rPr>
                <w:rFonts w:cs="Arial"/>
                <w:szCs w:val="20"/>
                <w:lang w:eastAsia="sl-SI"/>
              </w:rPr>
              <w:t xml:space="preserve">projekt oziroma ukrep, s katerim se bodo dosegli cilji vladnega gradiva, in </w:t>
            </w:r>
          </w:p>
          <w:p w14:paraId="4719A119" w14:textId="77777777" w:rsidR="001D3963" w:rsidRPr="00620790" w:rsidRDefault="001D3963" w:rsidP="001D3963">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proračunske postavke.</w:t>
            </w:r>
          </w:p>
          <w:p w14:paraId="3D461A8F" w14:textId="77777777" w:rsidR="001D3963" w:rsidRPr="00620790" w:rsidRDefault="001D3963" w:rsidP="001D3963">
            <w:pPr>
              <w:widowControl w:val="0"/>
              <w:spacing w:line="260" w:lineRule="exact"/>
              <w:rPr>
                <w:rFonts w:cs="Arial"/>
                <w:szCs w:val="20"/>
                <w:lang w:eastAsia="sl-SI"/>
              </w:rPr>
            </w:pPr>
            <w:r w:rsidRPr="0062079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575AC60" w14:textId="77777777" w:rsidR="001D3963" w:rsidRPr="00620790" w:rsidRDefault="001D3963" w:rsidP="001D3963">
            <w:pPr>
              <w:widowControl w:val="0"/>
              <w:spacing w:line="260" w:lineRule="exact"/>
              <w:ind w:left="714"/>
              <w:rPr>
                <w:rFonts w:cs="Arial"/>
                <w:b/>
                <w:szCs w:val="20"/>
                <w:lang w:eastAsia="sl-SI"/>
              </w:rPr>
            </w:pPr>
            <w:r w:rsidRPr="00620790">
              <w:rPr>
                <w:rFonts w:cs="Arial"/>
                <w:b/>
                <w:szCs w:val="20"/>
                <w:lang w:eastAsia="sl-SI"/>
              </w:rPr>
              <w:t>II.b Manjkajoče pravice porabe bodo zagotovljene s prerazporeditvijo:</w:t>
            </w:r>
          </w:p>
          <w:p w14:paraId="4E62C334" w14:textId="77777777" w:rsidR="001D3963" w:rsidRPr="00620790" w:rsidRDefault="001D3963" w:rsidP="001D3963">
            <w:pPr>
              <w:widowControl w:val="0"/>
              <w:spacing w:line="260" w:lineRule="exact"/>
              <w:rPr>
                <w:rFonts w:cs="Arial"/>
                <w:szCs w:val="20"/>
                <w:lang w:eastAsia="sl-SI"/>
              </w:rPr>
            </w:pPr>
            <w:r w:rsidRPr="0062079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DE7840C" w14:textId="77777777" w:rsidR="001D3963" w:rsidRPr="00620790" w:rsidRDefault="001D3963" w:rsidP="001D3963">
            <w:pPr>
              <w:widowControl w:val="0"/>
              <w:spacing w:line="260" w:lineRule="exact"/>
              <w:ind w:left="714"/>
              <w:rPr>
                <w:rFonts w:cs="Arial"/>
                <w:b/>
                <w:szCs w:val="20"/>
                <w:lang w:eastAsia="sl-SI"/>
              </w:rPr>
            </w:pPr>
            <w:r w:rsidRPr="00620790">
              <w:rPr>
                <w:rFonts w:cs="Arial"/>
                <w:b/>
                <w:szCs w:val="20"/>
                <w:lang w:eastAsia="sl-SI"/>
              </w:rPr>
              <w:t>II.c Načrtovana nadomestitev zmanjšanih prihodkov in povečanih odhodkov proračuna:</w:t>
            </w:r>
          </w:p>
          <w:p w14:paraId="75C1983F" w14:textId="77777777" w:rsidR="001D3963" w:rsidRPr="00620790" w:rsidRDefault="001D3963" w:rsidP="001D3963">
            <w:pPr>
              <w:widowControl w:val="0"/>
              <w:spacing w:line="260" w:lineRule="exact"/>
              <w:rPr>
                <w:rFonts w:cs="Arial"/>
                <w:szCs w:val="20"/>
                <w:lang w:eastAsia="sl-SI"/>
              </w:rPr>
            </w:pPr>
            <w:r w:rsidRPr="0062079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EFAAB90" w14:textId="77777777" w:rsidR="001D3963" w:rsidRPr="00620790" w:rsidRDefault="001D3963" w:rsidP="001D3963">
            <w:pPr>
              <w:pStyle w:val="Vrstapredpisa"/>
              <w:widowControl w:val="0"/>
              <w:spacing w:before="0" w:line="260" w:lineRule="exact"/>
              <w:jc w:val="both"/>
              <w:rPr>
                <w:color w:val="auto"/>
                <w:szCs w:val="20"/>
              </w:rPr>
            </w:pPr>
          </w:p>
        </w:tc>
      </w:tr>
      <w:tr w:rsidR="001D3963" w:rsidRPr="00620790" w14:paraId="39680336"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9B5F154" w14:textId="77777777" w:rsidR="001D3963" w:rsidRPr="00522D08" w:rsidRDefault="001D3963" w:rsidP="001D3963">
            <w:pPr>
              <w:pStyle w:val="Oddelek"/>
              <w:widowControl w:val="0"/>
              <w:numPr>
                <w:ilvl w:val="0"/>
                <w:numId w:val="0"/>
              </w:numPr>
              <w:spacing w:before="0" w:after="0" w:line="260" w:lineRule="exact"/>
              <w:jc w:val="left"/>
              <w:rPr>
                <w:szCs w:val="20"/>
              </w:rPr>
            </w:pPr>
            <w:r w:rsidRPr="00522D08">
              <w:rPr>
                <w:szCs w:val="20"/>
              </w:rPr>
              <w:lastRenderedPageBreak/>
              <w:t>7.b Predstavitev ocene finančnih posledic pod 40.000 EUR:</w:t>
            </w:r>
          </w:p>
          <w:p w14:paraId="23F7D7BE" w14:textId="77777777" w:rsidR="001D3963" w:rsidRPr="00522D08" w:rsidRDefault="001D3963" w:rsidP="001D3963">
            <w:pPr>
              <w:pStyle w:val="Oddelek"/>
              <w:widowControl w:val="0"/>
              <w:numPr>
                <w:ilvl w:val="0"/>
                <w:numId w:val="0"/>
              </w:numPr>
              <w:spacing w:before="0" w:after="0" w:line="260" w:lineRule="exact"/>
              <w:jc w:val="left"/>
              <w:rPr>
                <w:b w:val="0"/>
                <w:szCs w:val="20"/>
              </w:rPr>
            </w:pPr>
            <w:r w:rsidRPr="00522D08">
              <w:rPr>
                <w:b w:val="0"/>
                <w:szCs w:val="20"/>
              </w:rPr>
              <w:t>(Samo če izberete NE pod točko 6.a.)</w:t>
            </w:r>
          </w:p>
          <w:p w14:paraId="761C5EA6" w14:textId="77777777" w:rsidR="001D3963" w:rsidRPr="00522D08" w:rsidRDefault="001D3963" w:rsidP="001D3963">
            <w:pPr>
              <w:pStyle w:val="Oddelek"/>
              <w:widowControl w:val="0"/>
              <w:numPr>
                <w:ilvl w:val="0"/>
                <w:numId w:val="0"/>
              </w:numPr>
              <w:spacing w:before="0" w:after="0" w:line="260" w:lineRule="exact"/>
              <w:jc w:val="left"/>
              <w:rPr>
                <w:b w:val="0"/>
                <w:szCs w:val="20"/>
              </w:rPr>
            </w:pPr>
            <w:r w:rsidRPr="00522D08">
              <w:rPr>
                <w:b w:val="0"/>
                <w:szCs w:val="20"/>
              </w:rPr>
              <w:t>Kratka obrazložitev</w:t>
            </w:r>
          </w:p>
        </w:tc>
      </w:tr>
      <w:tr w:rsidR="001D3963" w:rsidRPr="00620790" w14:paraId="26364FA1"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65000A9" w14:textId="77777777" w:rsidR="001D3963" w:rsidRPr="00522D08" w:rsidRDefault="001D3963" w:rsidP="001D3963">
            <w:pPr>
              <w:pStyle w:val="Neotevilenodstavek"/>
              <w:widowControl w:val="0"/>
              <w:spacing w:before="0" w:after="0" w:line="260" w:lineRule="exact"/>
              <w:jc w:val="left"/>
              <w:rPr>
                <w:b/>
                <w:szCs w:val="20"/>
              </w:rPr>
            </w:pPr>
            <w:r w:rsidRPr="00522D08">
              <w:rPr>
                <w:b/>
                <w:szCs w:val="20"/>
              </w:rPr>
              <w:t>8. Predstavitev sodelovanja z združenji občin:</w:t>
            </w:r>
          </w:p>
        </w:tc>
      </w:tr>
      <w:tr w:rsidR="001D3963" w:rsidRPr="00620790" w14:paraId="75052D1F" w14:textId="77777777" w:rsidTr="001D3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9" w:type="dxa"/>
            <w:gridSpan w:val="7"/>
          </w:tcPr>
          <w:p w14:paraId="0C998D1D" w14:textId="77777777" w:rsidR="001D3963" w:rsidRPr="00620790" w:rsidRDefault="001D3963" w:rsidP="001D3963">
            <w:pPr>
              <w:pStyle w:val="Neotevilenodstavek"/>
              <w:widowControl w:val="0"/>
              <w:spacing w:before="0" w:after="0" w:line="260" w:lineRule="exact"/>
              <w:rPr>
                <w:iCs/>
                <w:szCs w:val="20"/>
              </w:rPr>
            </w:pPr>
            <w:r w:rsidRPr="00620790">
              <w:rPr>
                <w:iCs/>
                <w:szCs w:val="20"/>
              </w:rPr>
              <w:t>Vsebina predloženega gradiva (predpisa) vpliva na:</w:t>
            </w:r>
          </w:p>
          <w:p w14:paraId="79C738CB" w14:textId="77777777" w:rsidR="001D3963" w:rsidRPr="00620790" w:rsidRDefault="001D3963" w:rsidP="001D3963">
            <w:pPr>
              <w:pStyle w:val="Neotevilenodstavek"/>
              <w:widowControl w:val="0"/>
              <w:numPr>
                <w:ilvl w:val="1"/>
                <w:numId w:val="4"/>
              </w:numPr>
              <w:spacing w:before="0" w:after="0" w:line="260" w:lineRule="exact"/>
              <w:rPr>
                <w:iCs/>
                <w:szCs w:val="20"/>
              </w:rPr>
            </w:pPr>
            <w:r w:rsidRPr="00620790">
              <w:rPr>
                <w:iCs/>
                <w:szCs w:val="20"/>
              </w:rPr>
              <w:t>pristojnosti občin,</w:t>
            </w:r>
          </w:p>
          <w:p w14:paraId="6ADACAD7" w14:textId="77777777" w:rsidR="001D3963" w:rsidRPr="00620790" w:rsidRDefault="001D3963" w:rsidP="001D3963">
            <w:pPr>
              <w:pStyle w:val="Neotevilenodstavek"/>
              <w:widowControl w:val="0"/>
              <w:numPr>
                <w:ilvl w:val="1"/>
                <w:numId w:val="4"/>
              </w:numPr>
              <w:spacing w:before="0" w:after="0" w:line="260" w:lineRule="exact"/>
              <w:rPr>
                <w:iCs/>
                <w:szCs w:val="20"/>
              </w:rPr>
            </w:pPr>
            <w:r w:rsidRPr="00620790">
              <w:rPr>
                <w:iCs/>
                <w:szCs w:val="20"/>
              </w:rPr>
              <w:t>delovanje občin,</w:t>
            </w:r>
          </w:p>
          <w:p w14:paraId="66A48720" w14:textId="77777777" w:rsidR="001D3963" w:rsidRPr="00620790" w:rsidRDefault="001D3963" w:rsidP="001D3963">
            <w:pPr>
              <w:pStyle w:val="Neotevilenodstavek"/>
              <w:widowControl w:val="0"/>
              <w:numPr>
                <w:ilvl w:val="1"/>
                <w:numId w:val="4"/>
              </w:numPr>
              <w:spacing w:before="0" w:after="0" w:line="260" w:lineRule="exact"/>
              <w:rPr>
                <w:iCs/>
                <w:szCs w:val="20"/>
              </w:rPr>
            </w:pPr>
            <w:r w:rsidRPr="00620790">
              <w:rPr>
                <w:iCs/>
                <w:szCs w:val="20"/>
              </w:rPr>
              <w:t>financiranje občin.</w:t>
            </w:r>
          </w:p>
          <w:p w14:paraId="50E0BB8D" w14:textId="77777777" w:rsidR="001D3963" w:rsidRPr="00620790" w:rsidRDefault="001D3963" w:rsidP="001D3963">
            <w:pPr>
              <w:pStyle w:val="Neotevilenodstavek"/>
              <w:widowControl w:val="0"/>
              <w:spacing w:before="0" w:after="0" w:line="260" w:lineRule="exact"/>
              <w:ind w:left="1440"/>
              <w:rPr>
                <w:iCs/>
                <w:szCs w:val="20"/>
              </w:rPr>
            </w:pPr>
          </w:p>
        </w:tc>
        <w:tc>
          <w:tcPr>
            <w:tcW w:w="2281" w:type="dxa"/>
            <w:gridSpan w:val="2"/>
          </w:tcPr>
          <w:p w14:paraId="588803C3" w14:textId="05CB9CD9" w:rsidR="001D3963" w:rsidRPr="00620790" w:rsidRDefault="001D3963" w:rsidP="001D3963">
            <w:pPr>
              <w:pStyle w:val="Neotevilenodstavek"/>
              <w:widowControl w:val="0"/>
              <w:spacing w:before="0" w:after="0" w:line="260" w:lineRule="exact"/>
              <w:jc w:val="center"/>
              <w:rPr>
                <w:szCs w:val="20"/>
              </w:rPr>
            </w:pPr>
            <w:r w:rsidRPr="00620790">
              <w:rPr>
                <w:szCs w:val="20"/>
              </w:rPr>
              <w:t>DA</w:t>
            </w:r>
            <w:r>
              <w:rPr>
                <w:szCs w:val="20"/>
              </w:rPr>
              <w:t xml:space="preserve"> </w:t>
            </w:r>
          </w:p>
        </w:tc>
      </w:tr>
      <w:tr w:rsidR="001D3963" w:rsidRPr="00620790" w14:paraId="5620C376"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A103EF" w14:textId="63A73A00" w:rsidR="001D3963" w:rsidRPr="00620790" w:rsidRDefault="001D3963" w:rsidP="00503E9C">
            <w:pPr>
              <w:widowControl w:val="0"/>
              <w:overflowPunct w:val="0"/>
              <w:autoSpaceDE w:val="0"/>
              <w:autoSpaceDN w:val="0"/>
              <w:adjustRightInd w:val="0"/>
              <w:spacing w:after="0" w:line="260" w:lineRule="exact"/>
              <w:textAlignment w:val="baseline"/>
              <w:rPr>
                <w:rFonts w:cs="Arial"/>
                <w:iCs/>
                <w:szCs w:val="20"/>
              </w:rPr>
            </w:pPr>
            <w:r>
              <w:rPr>
                <w:rFonts w:cs="Arial"/>
                <w:iCs/>
                <w:szCs w:val="20"/>
              </w:rPr>
              <w:t xml:space="preserve">Akcijski program pozitivno vpliva na delovanje občin, ker jim z ukrepi iz akcijskega načrta in </w:t>
            </w:r>
            <w:r w:rsidR="00503E9C">
              <w:rPr>
                <w:rFonts w:cs="Arial"/>
                <w:iCs/>
                <w:szCs w:val="20"/>
              </w:rPr>
              <w:t>spodbudami</w:t>
            </w:r>
            <w:r>
              <w:rPr>
                <w:rFonts w:cs="Arial"/>
                <w:iCs/>
                <w:szCs w:val="20"/>
              </w:rPr>
              <w:t xml:space="preserve"> država pomaga </w:t>
            </w:r>
            <w:r w:rsidR="00503E9C">
              <w:rPr>
                <w:rFonts w:cs="Arial"/>
                <w:iCs/>
                <w:szCs w:val="20"/>
              </w:rPr>
              <w:t>zmanjševati</w:t>
            </w:r>
            <w:r>
              <w:rPr>
                <w:rFonts w:cs="Arial"/>
                <w:iCs/>
                <w:szCs w:val="20"/>
              </w:rPr>
              <w:t xml:space="preserve"> probleme energetsko revnih gospodinjstev na njihovih območjih.  </w:t>
            </w:r>
          </w:p>
        </w:tc>
      </w:tr>
      <w:tr w:rsidR="001D3963" w:rsidRPr="00620790" w14:paraId="4AF70ABA"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F76553" w14:textId="77777777" w:rsidR="001D3963" w:rsidRPr="00620790" w:rsidRDefault="001D3963" w:rsidP="001D3963">
            <w:pPr>
              <w:pStyle w:val="Neotevilenodstavek"/>
              <w:widowControl w:val="0"/>
              <w:spacing w:before="0" w:after="0" w:line="260" w:lineRule="exact"/>
              <w:jc w:val="left"/>
              <w:rPr>
                <w:b/>
                <w:szCs w:val="20"/>
              </w:rPr>
            </w:pPr>
            <w:r w:rsidRPr="00620790">
              <w:rPr>
                <w:b/>
                <w:szCs w:val="20"/>
              </w:rPr>
              <w:t>9. Predstavitev sodelovanja javnosti:</w:t>
            </w:r>
          </w:p>
        </w:tc>
      </w:tr>
      <w:tr w:rsidR="001D3963" w:rsidRPr="00620790" w14:paraId="3D0A5D25" w14:textId="77777777" w:rsidTr="001D3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9" w:type="dxa"/>
            <w:gridSpan w:val="7"/>
          </w:tcPr>
          <w:p w14:paraId="026358CA" w14:textId="77777777" w:rsidR="001D3963" w:rsidRPr="00620790" w:rsidRDefault="001D3963" w:rsidP="001D3963">
            <w:pPr>
              <w:pStyle w:val="Neotevilenodstavek"/>
              <w:widowControl w:val="0"/>
              <w:spacing w:before="0" w:after="0" w:line="260" w:lineRule="exact"/>
              <w:rPr>
                <w:szCs w:val="20"/>
              </w:rPr>
            </w:pPr>
            <w:r w:rsidRPr="00620790">
              <w:rPr>
                <w:iCs/>
                <w:szCs w:val="20"/>
              </w:rPr>
              <w:t>Gradivo je bilo predhodno objavljeno na spletni strani predlagatelja:</w:t>
            </w:r>
          </w:p>
        </w:tc>
        <w:tc>
          <w:tcPr>
            <w:tcW w:w="2281" w:type="dxa"/>
            <w:gridSpan w:val="2"/>
          </w:tcPr>
          <w:p w14:paraId="38520158" w14:textId="77777777" w:rsidR="001D3963" w:rsidRPr="00620790" w:rsidRDefault="001D3963" w:rsidP="001D3963">
            <w:pPr>
              <w:pStyle w:val="Neotevilenodstavek"/>
              <w:widowControl w:val="0"/>
              <w:spacing w:before="0" w:after="0" w:line="260" w:lineRule="exact"/>
              <w:jc w:val="center"/>
              <w:rPr>
                <w:szCs w:val="20"/>
              </w:rPr>
            </w:pPr>
            <w:r w:rsidRPr="00620790">
              <w:rPr>
                <w:b/>
                <w:szCs w:val="20"/>
              </w:rPr>
              <w:t>DA</w:t>
            </w:r>
          </w:p>
        </w:tc>
      </w:tr>
      <w:tr w:rsidR="001D3963" w:rsidRPr="00620790" w14:paraId="224E34CE"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A42C8E" w14:textId="77777777" w:rsidR="001D3963" w:rsidRPr="00620790" w:rsidRDefault="001D3963" w:rsidP="001D3963">
            <w:pPr>
              <w:pStyle w:val="Neotevilenodstavek"/>
              <w:widowControl w:val="0"/>
              <w:spacing w:before="0" w:after="0" w:line="260" w:lineRule="exact"/>
              <w:rPr>
                <w:iCs/>
                <w:szCs w:val="20"/>
              </w:rPr>
            </w:pPr>
            <w:r w:rsidRPr="00620790">
              <w:rPr>
                <w:iCs/>
                <w:szCs w:val="20"/>
              </w:rPr>
              <w:t>(Če je odgovor NE, navedite, zakaj ni bilo objavljeno.)</w:t>
            </w:r>
          </w:p>
        </w:tc>
      </w:tr>
      <w:tr w:rsidR="001D3963" w:rsidRPr="00620790" w14:paraId="2447A815"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D4C87EC" w14:textId="77777777" w:rsidR="001D3963" w:rsidRDefault="001D3963" w:rsidP="001D3963">
            <w:pPr>
              <w:pStyle w:val="Neotevilenodstavek"/>
              <w:widowControl w:val="0"/>
              <w:spacing w:before="0" w:after="0" w:line="260" w:lineRule="exact"/>
              <w:rPr>
                <w:iCs/>
                <w:szCs w:val="20"/>
              </w:rPr>
            </w:pPr>
            <w:r w:rsidRPr="00620790">
              <w:rPr>
                <w:iCs/>
                <w:szCs w:val="20"/>
              </w:rPr>
              <w:t xml:space="preserve">Gradivo je bilo </w:t>
            </w:r>
            <w:r>
              <w:rPr>
                <w:iCs/>
                <w:szCs w:val="20"/>
              </w:rPr>
              <w:t>12</w:t>
            </w:r>
            <w:r w:rsidRPr="00620790">
              <w:rPr>
                <w:iCs/>
                <w:szCs w:val="20"/>
              </w:rPr>
              <w:t xml:space="preserve">. </w:t>
            </w:r>
            <w:r>
              <w:rPr>
                <w:iCs/>
                <w:szCs w:val="20"/>
              </w:rPr>
              <w:t>7</w:t>
            </w:r>
            <w:r w:rsidRPr="00620790">
              <w:rPr>
                <w:iCs/>
                <w:szCs w:val="20"/>
              </w:rPr>
              <w:t>. 20</w:t>
            </w:r>
            <w:r>
              <w:rPr>
                <w:iCs/>
                <w:szCs w:val="20"/>
              </w:rPr>
              <w:t>23</w:t>
            </w:r>
            <w:r w:rsidRPr="00620790">
              <w:rPr>
                <w:iCs/>
                <w:szCs w:val="20"/>
              </w:rPr>
              <w:t xml:space="preserve"> objavljeno na</w:t>
            </w:r>
            <w:r>
              <w:rPr>
                <w:iCs/>
                <w:szCs w:val="20"/>
              </w:rPr>
              <w:t xml:space="preserve"> e-portalu</w:t>
            </w:r>
            <w:r w:rsidRPr="00620790">
              <w:rPr>
                <w:iCs/>
                <w:szCs w:val="20"/>
              </w:rPr>
              <w:t xml:space="preserve"> </w:t>
            </w:r>
            <w:r>
              <w:rPr>
                <w:iCs/>
                <w:szCs w:val="20"/>
              </w:rPr>
              <w:t>Ministrstva za okolje podnebje in energijo, Energetika (novice). Vabilo k oddaji pripomb je veljalo do 31</w:t>
            </w:r>
            <w:r w:rsidRPr="00620790">
              <w:rPr>
                <w:iCs/>
                <w:szCs w:val="20"/>
              </w:rPr>
              <w:t xml:space="preserve">. </w:t>
            </w:r>
            <w:r>
              <w:rPr>
                <w:iCs/>
                <w:szCs w:val="20"/>
              </w:rPr>
              <w:t>8</w:t>
            </w:r>
            <w:r w:rsidRPr="00620790">
              <w:rPr>
                <w:iCs/>
                <w:szCs w:val="20"/>
              </w:rPr>
              <w:t>. 202</w:t>
            </w:r>
            <w:r>
              <w:rPr>
                <w:iCs/>
                <w:szCs w:val="20"/>
              </w:rPr>
              <w:t xml:space="preserve">3. Prejeli smo pripombe Foruma za enakopraven razvoj, društvo Slovenija v katerih opozarjajo na vključevanje spola s poudarkom na večjemu tveganju žensk za energetsko revščino. Pripombe smo upoštevali. </w:t>
            </w:r>
          </w:p>
          <w:p w14:paraId="6C072E57" w14:textId="77777777" w:rsidR="001D3963" w:rsidRDefault="001D3963" w:rsidP="001D3963">
            <w:pPr>
              <w:pStyle w:val="Neotevilenodstavek"/>
              <w:widowControl w:val="0"/>
              <w:spacing w:before="0" w:after="0" w:line="260" w:lineRule="exact"/>
              <w:rPr>
                <w:iCs/>
                <w:szCs w:val="20"/>
              </w:rPr>
            </w:pPr>
          </w:p>
          <w:p w14:paraId="6A89B5FD" w14:textId="77777777" w:rsidR="001D3963" w:rsidRPr="001C77A3" w:rsidRDefault="001D3963" w:rsidP="001D3963">
            <w:pPr>
              <w:spacing w:after="240"/>
              <w:rPr>
                <w:rFonts w:cs="Arial"/>
              </w:rPr>
            </w:pPr>
            <w:r w:rsidRPr="00B50A54">
              <w:rPr>
                <w:rFonts w:cs="Arial"/>
              </w:rPr>
              <w:lastRenderedPageBreak/>
              <w:t xml:space="preserve">V </w:t>
            </w:r>
            <w:r w:rsidRPr="001C77A3">
              <w:rPr>
                <w:rFonts w:cs="Arial"/>
              </w:rPr>
              <w:t xml:space="preserve">skladu z </w:t>
            </w:r>
            <w:r w:rsidRPr="001C77A3">
              <w:rPr>
                <w:rFonts w:cs="Arial"/>
                <w:iCs/>
              </w:rPr>
              <w:t xml:space="preserve">Dolgoročno strategijo energetske prenove stavb do leta 2050 (DSEPS 2050) </w:t>
            </w:r>
            <w:r w:rsidRPr="001C77A3">
              <w:rPr>
                <w:rFonts w:cs="Arial"/>
              </w:rPr>
              <w:t xml:space="preserve">so bile pripravljene strokovne podlage za ta akcijski načrt v okviru projekta </w:t>
            </w:r>
            <w:r w:rsidRPr="001C77A3">
              <w:rPr>
                <w:rFonts w:cs="Arial"/>
                <w:iCs/>
              </w:rPr>
              <w:t xml:space="preserve">Preučitev in strokovne podlage za razvoj ukrepov za boj proti energetski revščini, </w:t>
            </w:r>
            <w:r w:rsidRPr="001C77A3">
              <w:rPr>
                <w:rFonts w:cs="Arial"/>
              </w:rPr>
              <w:t>ki so jih po naročilu ministrstva, pristojnega za energijo, izdelali Institut »Jožef Stefan« – Center za energetsko učinkovitost, Inštitut za ekonomska raziskovanja in Focus, društvo za sonaraven razvoj.</w:t>
            </w:r>
          </w:p>
          <w:p w14:paraId="4017AAD0" w14:textId="77777777" w:rsidR="001D3963" w:rsidRPr="00B50A54" w:rsidRDefault="001D3963" w:rsidP="001D3963">
            <w:pPr>
              <w:spacing w:after="240"/>
              <w:rPr>
                <w:rFonts w:cs="Arial"/>
              </w:rPr>
            </w:pPr>
            <w:r w:rsidRPr="001C77A3">
              <w:rPr>
                <w:rFonts w:cs="Arial"/>
              </w:rPr>
              <w:t>Strokovne podlage vključujejo: analizo stanja na področju zmanjševanja energetske revščine v Sloveniji, državah EU in širše, predlog opredelitve energetske revščine na nacionalni ravni, razširjen nabor 24 kriterijev s kazalniki za</w:t>
            </w:r>
            <w:r w:rsidRPr="00B50A54">
              <w:rPr>
                <w:rFonts w:cs="Arial"/>
              </w:rPr>
              <w:t xml:space="preserve"> usmerjanje ukrepov in izbiro prednostnih skupin, predlog za oblikovanje nacionalnih ciljev na področju zmanjševanja energetske revščine ter tehnike za ocenjevanje učinkov ukrepov. Na tej podlagi, na podlagi izvedenih delavnic in sestankov s ključnimi deležniki, pregleda dobrih praks iz tujine ter na osnovi obstoječih ukrepov v Sloveniji je bil pripravljen predlog ukrepov za zmanjševanje energetske revščine, ki so bili osnova za pripravo tega akcijskega načrta.</w:t>
            </w:r>
          </w:p>
          <w:p w14:paraId="6700C9B9" w14:textId="21940AA3" w:rsidR="001D3963" w:rsidRPr="00464FC8" w:rsidRDefault="001D3963" w:rsidP="001C77A3">
            <w:pPr>
              <w:spacing w:after="60" w:line="276" w:lineRule="auto"/>
              <w:rPr>
                <w:rFonts w:cs="Arial"/>
              </w:rPr>
            </w:pPr>
            <w:r w:rsidRPr="007F2BA0">
              <w:rPr>
                <w:rFonts w:cs="Arial"/>
                <w:b/>
                <w:color w:val="000000" w:themeColor="text1"/>
              </w:rPr>
              <w:t>Sodelovanje z deležniki.</w:t>
            </w:r>
            <w:r w:rsidRPr="007F2BA0">
              <w:rPr>
                <w:rFonts w:cs="Arial"/>
                <w:color w:val="000000" w:themeColor="text1"/>
              </w:rPr>
              <w:t xml:space="preserve"> </w:t>
            </w:r>
            <w:r w:rsidRPr="00B50A54">
              <w:rPr>
                <w:rFonts w:cs="Arial"/>
              </w:rPr>
              <w:t xml:space="preserve">V </w:t>
            </w:r>
            <w:r w:rsidRPr="001C77A3">
              <w:rPr>
                <w:rFonts w:cs="Arial"/>
              </w:rPr>
              <w:t xml:space="preserve">projekt </w:t>
            </w:r>
            <w:r w:rsidR="001C77A3" w:rsidRPr="001C77A3">
              <w:rPr>
                <w:rFonts w:cs="Arial"/>
              </w:rPr>
              <w:t>»</w:t>
            </w:r>
            <w:r w:rsidRPr="001C77A3">
              <w:rPr>
                <w:rFonts w:cs="Arial"/>
                <w:iCs/>
              </w:rPr>
              <w:t>Preučitev in strokovne podlage za razvoj ukrepov za boj proti energetski revščini</w:t>
            </w:r>
            <w:r w:rsidR="001C77A3" w:rsidRPr="001C77A3">
              <w:rPr>
                <w:rFonts w:cs="Arial"/>
                <w:iCs/>
              </w:rPr>
              <w:t>«</w:t>
            </w:r>
            <w:r w:rsidRPr="001C77A3">
              <w:rPr>
                <w:rFonts w:cs="Arial"/>
                <w:iCs/>
              </w:rPr>
              <w:t xml:space="preserve"> </w:t>
            </w:r>
            <w:r w:rsidRPr="001C77A3">
              <w:rPr>
                <w:rFonts w:cs="Arial"/>
              </w:rPr>
              <w:t>so se že o</w:t>
            </w:r>
            <w:r w:rsidRPr="00B50A54">
              <w:rPr>
                <w:rFonts w:cs="Arial"/>
              </w:rPr>
              <w:t xml:space="preserve">d samega začetka lahko preko delavnic in sestankov vključevali tudi različni pomembni akterji/deležniki, ki delujejo </w:t>
            </w:r>
            <w:r w:rsidR="001C77A3">
              <w:rPr>
                <w:rFonts w:cs="Arial"/>
              </w:rPr>
              <w:t>na področju energetske revščine in to</w:t>
            </w:r>
            <w:r w:rsidRPr="00B50A54">
              <w:rPr>
                <w:rFonts w:cs="Arial"/>
              </w:rPr>
              <w:t xml:space="preserve"> na nacionalni ravni, kot tudi na lokalnih/regionalnih ravneh. Organiziranih je bilo več sestankov oz. srečanj (npr. z Eko skladom, lokalnimi energetskimi agencijami (LEA), humanitarnimi organizacijami, centri za socialno delo (CSD)) in delavnica</w:t>
            </w:r>
            <w:r w:rsidR="001C77A3">
              <w:rPr>
                <w:rFonts w:cs="Arial"/>
              </w:rPr>
              <w:t>mi</w:t>
            </w:r>
            <w:r w:rsidRPr="00B50A54">
              <w:rPr>
                <w:rFonts w:cs="Arial"/>
              </w:rPr>
              <w:t xml:space="preserve"> za oblikovanje ukrepov za zmanjševanje energetske revščine. Dodatno sta bili dve delavnici organizirani še v času priprave osnutka akcijskega načrta, in sicer je bila prva delavnica namenjena vprašanju povezovanja politik za skladno naslavljanje izziva energetske revščine, druga pa neformalni mreži za informiranje in ozaveščanje energetsko revnih. Informacije in predlogi deležnikov s teh sestankov, srečanj in delavnic so bili upoštevani pri pripravi politik in ukrepov.</w:t>
            </w:r>
          </w:p>
        </w:tc>
      </w:tr>
      <w:tr w:rsidR="001D3963" w:rsidRPr="00620790" w14:paraId="1E0B9F4E" w14:textId="77777777" w:rsidTr="001D3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9" w:type="dxa"/>
            <w:gridSpan w:val="7"/>
            <w:vAlign w:val="center"/>
          </w:tcPr>
          <w:p w14:paraId="6C07FA5A" w14:textId="77777777" w:rsidR="001D3963" w:rsidRPr="00620790" w:rsidRDefault="001D3963" w:rsidP="001D3963">
            <w:pPr>
              <w:pStyle w:val="Neotevilenodstavek"/>
              <w:widowControl w:val="0"/>
              <w:spacing w:before="0" w:after="0" w:line="260" w:lineRule="exact"/>
              <w:jc w:val="left"/>
              <w:rPr>
                <w:szCs w:val="20"/>
              </w:rPr>
            </w:pPr>
            <w:r w:rsidRPr="00620790">
              <w:rPr>
                <w:b/>
                <w:szCs w:val="20"/>
              </w:rPr>
              <w:lastRenderedPageBreak/>
              <w:t>10. Pri pripravi gradiva so bile upoštevane zahteve iz Resolucije o normativni dejavnosti:</w:t>
            </w:r>
          </w:p>
        </w:tc>
        <w:tc>
          <w:tcPr>
            <w:tcW w:w="2281" w:type="dxa"/>
            <w:gridSpan w:val="2"/>
            <w:vAlign w:val="center"/>
          </w:tcPr>
          <w:p w14:paraId="091C4EE7" w14:textId="77777777" w:rsidR="001D3963" w:rsidRPr="00620790" w:rsidRDefault="001D3963" w:rsidP="001D3963">
            <w:pPr>
              <w:pStyle w:val="Neotevilenodstavek"/>
              <w:widowControl w:val="0"/>
              <w:spacing w:before="0" w:after="0" w:line="260" w:lineRule="exact"/>
              <w:jc w:val="center"/>
              <w:rPr>
                <w:iCs/>
                <w:szCs w:val="20"/>
              </w:rPr>
            </w:pPr>
            <w:r w:rsidRPr="00620790">
              <w:rPr>
                <w:b/>
                <w:szCs w:val="20"/>
              </w:rPr>
              <w:t>DA</w:t>
            </w:r>
          </w:p>
        </w:tc>
      </w:tr>
      <w:tr w:rsidR="001D3963" w:rsidRPr="00620790" w14:paraId="573B92AC" w14:textId="77777777" w:rsidTr="001D3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9" w:type="dxa"/>
            <w:gridSpan w:val="7"/>
            <w:vAlign w:val="center"/>
          </w:tcPr>
          <w:p w14:paraId="3EEB2D55" w14:textId="77777777" w:rsidR="001D3963" w:rsidRPr="00620790" w:rsidRDefault="001D3963" w:rsidP="001D3963">
            <w:pPr>
              <w:pStyle w:val="Neotevilenodstavek"/>
              <w:widowControl w:val="0"/>
              <w:spacing w:before="0" w:after="0" w:line="260" w:lineRule="exact"/>
              <w:jc w:val="left"/>
              <w:rPr>
                <w:b/>
                <w:szCs w:val="20"/>
              </w:rPr>
            </w:pPr>
            <w:r w:rsidRPr="00620790">
              <w:rPr>
                <w:b/>
                <w:szCs w:val="20"/>
              </w:rPr>
              <w:t>11. Gradivo je uvrščeno v delovni program vlade:</w:t>
            </w:r>
          </w:p>
        </w:tc>
        <w:tc>
          <w:tcPr>
            <w:tcW w:w="2281" w:type="dxa"/>
            <w:gridSpan w:val="2"/>
            <w:vAlign w:val="center"/>
          </w:tcPr>
          <w:p w14:paraId="5F36DFFB" w14:textId="32AA358A" w:rsidR="001D3963" w:rsidRPr="00620790" w:rsidRDefault="00BB1C98" w:rsidP="001D3963">
            <w:pPr>
              <w:pStyle w:val="Neotevilenodstavek"/>
              <w:widowControl w:val="0"/>
              <w:spacing w:before="0" w:after="0" w:line="260" w:lineRule="exact"/>
              <w:jc w:val="center"/>
              <w:rPr>
                <w:b/>
                <w:szCs w:val="20"/>
              </w:rPr>
            </w:pPr>
            <w:r>
              <w:rPr>
                <w:b/>
                <w:szCs w:val="20"/>
              </w:rPr>
              <w:t>DA</w:t>
            </w:r>
            <w:r w:rsidR="001D3963">
              <w:rPr>
                <w:b/>
                <w:szCs w:val="20"/>
              </w:rPr>
              <w:t xml:space="preserve"> </w:t>
            </w:r>
          </w:p>
        </w:tc>
      </w:tr>
      <w:tr w:rsidR="001D3963" w:rsidRPr="00620790" w14:paraId="44D84204" w14:textId="77777777" w:rsidTr="00F13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376BF4E" w14:textId="77777777" w:rsidR="001D3963" w:rsidRPr="00620790" w:rsidRDefault="001D3963" w:rsidP="001D3963">
            <w:pPr>
              <w:pStyle w:val="Poglavje"/>
              <w:widowControl w:val="0"/>
              <w:spacing w:before="0" w:after="0" w:line="260" w:lineRule="exact"/>
              <w:ind w:left="3400"/>
              <w:jc w:val="left"/>
              <w:rPr>
                <w:szCs w:val="20"/>
              </w:rPr>
            </w:pPr>
          </w:p>
          <w:p w14:paraId="1D95DF9E" w14:textId="77777777" w:rsidR="001D3963" w:rsidRPr="00620790" w:rsidRDefault="001D3963" w:rsidP="001D3963">
            <w:pPr>
              <w:pStyle w:val="Poglavje"/>
              <w:widowControl w:val="0"/>
              <w:spacing w:before="0" w:after="0" w:line="260" w:lineRule="exact"/>
              <w:ind w:left="5662" w:firstLine="284"/>
              <w:jc w:val="left"/>
              <w:rPr>
                <w:b w:val="0"/>
                <w:szCs w:val="20"/>
              </w:rPr>
            </w:pPr>
            <w:r w:rsidRPr="00620790">
              <w:rPr>
                <w:b w:val="0"/>
                <w:szCs w:val="20"/>
              </w:rPr>
              <w:t>mag. Bojan Kumer</w:t>
            </w:r>
          </w:p>
          <w:p w14:paraId="19B0606E" w14:textId="77777777" w:rsidR="001D3963" w:rsidRPr="00620790" w:rsidRDefault="001D3963" w:rsidP="001D3963">
            <w:pPr>
              <w:pStyle w:val="Poglavje"/>
              <w:widowControl w:val="0"/>
              <w:spacing w:before="0" w:after="0" w:line="260" w:lineRule="exact"/>
              <w:ind w:left="5662" w:firstLine="284"/>
              <w:jc w:val="left"/>
              <w:rPr>
                <w:b w:val="0"/>
                <w:szCs w:val="20"/>
              </w:rPr>
            </w:pPr>
            <w:r w:rsidRPr="00620790">
              <w:rPr>
                <w:b w:val="0"/>
                <w:szCs w:val="20"/>
              </w:rPr>
              <w:t xml:space="preserve">     MINISTER</w:t>
            </w:r>
          </w:p>
          <w:p w14:paraId="1E702000" w14:textId="77777777" w:rsidR="001D3963" w:rsidRPr="00620790" w:rsidRDefault="001D3963" w:rsidP="001D3963">
            <w:pPr>
              <w:pStyle w:val="Poglavje"/>
              <w:widowControl w:val="0"/>
              <w:spacing w:before="0" w:after="0" w:line="260" w:lineRule="exact"/>
              <w:ind w:left="5662" w:firstLine="284"/>
              <w:jc w:val="left"/>
              <w:rPr>
                <w:b w:val="0"/>
                <w:szCs w:val="20"/>
              </w:rPr>
            </w:pPr>
          </w:p>
          <w:p w14:paraId="4E8850C7" w14:textId="77777777" w:rsidR="001D3963" w:rsidRPr="00620790" w:rsidRDefault="001D3963" w:rsidP="001D3963">
            <w:pPr>
              <w:pStyle w:val="Poglavje"/>
              <w:widowControl w:val="0"/>
              <w:spacing w:before="0" w:after="0" w:line="260" w:lineRule="exact"/>
              <w:ind w:left="5662" w:firstLine="284"/>
              <w:jc w:val="left"/>
              <w:rPr>
                <w:b w:val="0"/>
                <w:szCs w:val="20"/>
              </w:rPr>
            </w:pPr>
          </w:p>
          <w:p w14:paraId="5E8FC5A5" w14:textId="77777777" w:rsidR="001D3963" w:rsidRPr="00620790" w:rsidRDefault="001D3963" w:rsidP="001D3963">
            <w:pPr>
              <w:pStyle w:val="Poglavje"/>
              <w:widowControl w:val="0"/>
              <w:spacing w:before="0" w:after="0" w:line="260" w:lineRule="exact"/>
              <w:ind w:left="5662" w:firstLine="284"/>
              <w:jc w:val="left"/>
              <w:rPr>
                <w:b w:val="0"/>
                <w:szCs w:val="20"/>
              </w:rPr>
            </w:pPr>
          </w:p>
          <w:p w14:paraId="4C9E4599" w14:textId="77777777" w:rsidR="001D3963" w:rsidRPr="00620790" w:rsidRDefault="001D3963" w:rsidP="001D3963">
            <w:pPr>
              <w:pStyle w:val="Poglavje"/>
              <w:widowControl w:val="0"/>
              <w:spacing w:before="0" w:after="0" w:line="260" w:lineRule="exact"/>
              <w:ind w:left="5662" w:firstLine="284"/>
              <w:jc w:val="left"/>
              <w:rPr>
                <w:b w:val="0"/>
                <w:szCs w:val="20"/>
              </w:rPr>
            </w:pPr>
          </w:p>
          <w:p w14:paraId="6EE0E5AE" w14:textId="77777777" w:rsidR="001D3963" w:rsidRPr="00620790" w:rsidRDefault="001D3963" w:rsidP="001D3963">
            <w:pPr>
              <w:pStyle w:val="Poglavje"/>
              <w:widowControl w:val="0"/>
              <w:spacing w:before="0" w:after="0" w:line="260" w:lineRule="exact"/>
              <w:ind w:left="5662" w:firstLine="284"/>
              <w:jc w:val="left"/>
              <w:rPr>
                <w:b w:val="0"/>
                <w:szCs w:val="20"/>
              </w:rPr>
            </w:pPr>
          </w:p>
        </w:tc>
      </w:tr>
    </w:tbl>
    <w:p w14:paraId="37696C65" w14:textId="34B31245" w:rsidR="007F2BA0" w:rsidRDefault="007F2BA0" w:rsidP="007F2BA0">
      <w:pPr>
        <w:rPr>
          <w:rFonts w:cs="Arial"/>
          <w:szCs w:val="20"/>
        </w:rPr>
      </w:pPr>
    </w:p>
    <w:p w14:paraId="54D0BAFB" w14:textId="4768CA8F" w:rsidR="00F81979" w:rsidRDefault="00F81979" w:rsidP="007F2BA0">
      <w:pPr>
        <w:rPr>
          <w:rFonts w:cs="Arial"/>
          <w:szCs w:val="20"/>
        </w:rPr>
      </w:pPr>
    </w:p>
    <w:p w14:paraId="1A2FA465" w14:textId="30C2855E" w:rsidR="001C77A3" w:rsidRDefault="001C77A3" w:rsidP="007F2BA0">
      <w:pPr>
        <w:rPr>
          <w:rFonts w:cs="Arial"/>
          <w:szCs w:val="20"/>
        </w:rPr>
      </w:pPr>
    </w:p>
    <w:p w14:paraId="31833659" w14:textId="11C8CDF3" w:rsidR="001C77A3" w:rsidRDefault="001C77A3" w:rsidP="007F2BA0">
      <w:pPr>
        <w:rPr>
          <w:rFonts w:cs="Arial"/>
          <w:szCs w:val="20"/>
        </w:rPr>
      </w:pPr>
    </w:p>
    <w:p w14:paraId="5F91A00B" w14:textId="70B5ABBF" w:rsidR="001C77A3" w:rsidRDefault="001C77A3" w:rsidP="007F2BA0">
      <w:pPr>
        <w:rPr>
          <w:rFonts w:cs="Arial"/>
          <w:szCs w:val="20"/>
        </w:rPr>
      </w:pPr>
    </w:p>
    <w:p w14:paraId="048AB1DB" w14:textId="57D5CE96" w:rsidR="001C77A3" w:rsidRDefault="001C77A3" w:rsidP="007F2BA0">
      <w:pPr>
        <w:rPr>
          <w:rFonts w:cs="Arial"/>
          <w:szCs w:val="20"/>
        </w:rPr>
      </w:pPr>
    </w:p>
    <w:p w14:paraId="40633AE4" w14:textId="39D713F8" w:rsidR="001C77A3" w:rsidRDefault="001C77A3" w:rsidP="007F2BA0">
      <w:pPr>
        <w:rPr>
          <w:rFonts w:cs="Arial"/>
          <w:szCs w:val="20"/>
        </w:rPr>
      </w:pPr>
    </w:p>
    <w:p w14:paraId="0B25F474" w14:textId="4A1FB412" w:rsidR="001C77A3" w:rsidRDefault="001C77A3" w:rsidP="007F2BA0">
      <w:pPr>
        <w:rPr>
          <w:rFonts w:cs="Arial"/>
          <w:szCs w:val="20"/>
        </w:rPr>
      </w:pPr>
    </w:p>
    <w:p w14:paraId="3D4BFDA4" w14:textId="274E5405" w:rsidR="001C77A3" w:rsidRDefault="001C77A3" w:rsidP="007F2BA0">
      <w:pPr>
        <w:rPr>
          <w:rFonts w:cs="Arial"/>
          <w:szCs w:val="20"/>
        </w:rPr>
      </w:pPr>
    </w:p>
    <w:p w14:paraId="02FA1CAF" w14:textId="502B2962" w:rsidR="001C77A3" w:rsidRDefault="001C77A3" w:rsidP="007F2BA0">
      <w:pPr>
        <w:rPr>
          <w:rFonts w:cs="Arial"/>
          <w:szCs w:val="20"/>
        </w:rPr>
      </w:pPr>
    </w:p>
    <w:p w14:paraId="22DF7D35" w14:textId="72D3143F" w:rsidR="001C77A3" w:rsidRDefault="001C77A3" w:rsidP="007F2BA0">
      <w:pPr>
        <w:rPr>
          <w:rFonts w:cs="Arial"/>
          <w:szCs w:val="20"/>
        </w:rPr>
      </w:pPr>
    </w:p>
    <w:p w14:paraId="26BCA55B" w14:textId="2E206043" w:rsidR="001C77A3" w:rsidRDefault="001C77A3" w:rsidP="007F2BA0">
      <w:pPr>
        <w:rPr>
          <w:rFonts w:cs="Arial"/>
          <w:szCs w:val="20"/>
        </w:rPr>
      </w:pPr>
    </w:p>
    <w:p w14:paraId="2B19B9C4" w14:textId="77777777" w:rsidR="001C77A3" w:rsidRDefault="001C77A3" w:rsidP="007F2BA0">
      <w:pPr>
        <w:rPr>
          <w:rFonts w:cs="Arial"/>
          <w:szCs w:val="20"/>
        </w:rPr>
      </w:pPr>
    </w:p>
    <w:p w14:paraId="24D3C3A6" w14:textId="396EFB11" w:rsidR="00F81979" w:rsidRDefault="00F81979" w:rsidP="00A038F0">
      <w:pPr>
        <w:spacing w:after="0" w:line="240" w:lineRule="auto"/>
        <w:rPr>
          <w:rFonts w:cs="Arial"/>
          <w:szCs w:val="20"/>
        </w:rPr>
      </w:pPr>
      <w:r>
        <w:rPr>
          <w:rFonts w:cs="Arial"/>
          <w:szCs w:val="20"/>
        </w:rPr>
        <w:lastRenderedPageBreak/>
        <w:t>Obrazložitev</w:t>
      </w:r>
    </w:p>
    <w:p w14:paraId="71A29636" w14:textId="779AF319" w:rsidR="00F81979" w:rsidRDefault="00F81979" w:rsidP="00A038F0">
      <w:pPr>
        <w:spacing w:after="0" w:line="240" w:lineRule="auto"/>
        <w:rPr>
          <w:rFonts w:cs="Arial"/>
          <w:szCs w:val="20"/>
        </w:rPr>
      </w:pPr>
    </w:p>
    <w:p w14:paraId="50FBE3E9" w14:textId="14976FA9" w:rsidR="00F81979" w:rsidRDefault="00F81979" w:rsidP="00A038F0">
      <w:pPr>
        <w:spacing w:after="0" w:line="240" w:lineRule="auto"/>
        <w:rPr>
          <w:rFonts w:cs="Arial"/>
          <w:szCs w:val="20"/>
        </w:rPr>
      </w:pPr>
      <w:r w:rsidRPr="00F81979">
        <w:rPr>
          <w:rFonts w:cs="Arial"/>
          <w:szCs w:val="20"/>
        </w:rPr>
        <w:t xml:space="preserve">Pravna podlaga za pripravo </w:t>
      </w:r>
      <w:r w:rsidR="004A3A4E">
        <w:rPr>
          <w:rFonts w:cs="Arial"/>
          <w:szCs w:val="20"/>
        </w:rPr>
        <w:t>A</w:t>
      </w:r>
      <w:r w:rsidRPr="00F81979">
        <w:rPr>
          <w:rFonts w:cs="Arial"/>
          <w:szCs w:val="20"/>
        </w:rPr>
        <w:t xml:space="preserve">kcijskega načrta za zmanjševanje energetske revščine je Uredba o merilih za opredelitev in ocenjevanje števila energetsko revnih gospodinjstev, ki je bila sprejeta oktobra 2022. Predlog </w:t>
      </w:r>
      <w:r w:rsidR="004A3A4E">
        <w:rPr>
          <w:rFonts w:cs="Arial"/>
          <w:szCs w:val="20"/>
        </w:rPr>
        <w:t>A</w:t>
      </w:r>
      <w:r w:rsidRPr="00F81979">
        <w:rPr>
          <w:rFonts w:cs="Arial"/>
          <w:szCs w:val="20"/>
        </w:rPr>
        <w:t>kcijskega načrta vključuje bistvene ukrepe za zmanjšanje in blaženje energetske revščine, vključno z oceno potrebnih sredstev za njihovo izvedbo.</w:t>
      </w:r>
    </w:p>
    <w:p w14:paraId="10A36C15" w14:textId="07080953" w:rsidR="00A038F0" w:rsidRDefault="00A038F0" w:rsidP="00F81979">
      <w:pPr>
        <w:rPr>
          <w:rFonts w:cs="Arial"/>
          <w:szCs w:val="20"/>
        </w:rPr>
      </w:pPr>
      <w:r w:rsidRPr="00F81979">
        <w:rPr>
          <w:rFonts w:cs="Arial"/>
          <w:szCs w:val="20"/>
        </w:rPr>
        <w:t xml:space="preserve">Z Akcijskim načrtom za zmanjševanje energetske revščine Republika Slovenija se sledi tudi </w:t>
      </w:r>
      <w:r>
        <w:rPr>
          <w:rFonts w:cs="Arial"/>
          <w:szCs w:val="20"/>
        </w:rPr>
        <w:t xml:space="preserve">pred kratkim sprejetim </w:t>
      </w:r>
      <w:r w:rsidRPr="00F81979">
        <w:rPr>
          <w:rFonts w:cs="Arial"/>
          <w:szCs w:val="20"/>
        </w:rPr>
        <w:t>Priporočilom Evropske komisije z dne 20. 10. 2023 o energijski revščini (C(2023)4080 final).</w:t>
      </w:r>
    </w:p>
    <w:p w14:paraId="29BA273A" w14:textId="0C2BB943" w:rsidR="00A038F0" w:rsidRDefault="00A038F0" w:rsidP="00A038F0">
      <w:pPr>
        <w:spacing w:after="240"/>
        <w:rPr>
          <w:rFonts w:cs="Arial"/>
        </w:rPr>
      </w:pPr>
      <w:r>
        <w:rPr>
          <w:rFonts w:cs="Arial"/>
        </w:rPr>
        <w:t>Akcijski načrt je pripravljen z upoštevanjem zahtev 8. člena prenovljene Direktive o energetski učinkovitosti, kar je predstavljeno v poglavju 2.1.</w:t>
      </w:r>
    </w:p>
    <w:p w14:paraId="6A634140" w14:textId="472B1355" w:rsidR="00F81979" w:rsidRPr="00F81979" w:rsidRDefault="00F81979" w:rsidP="00F81979">
      <w:pPr>
        <w:rPr>
          <w:rFonts w:cs="Arial"/>
          <w:szCs w:val="20"/>
        </w:rPr>
      </w:pPr>
      <w:r w:rsidRPr="00F81979">
        <w:rPr>
          <w:rFonts w:cs="Arial"/>
          <w:szCs w:val="20"/>
        </w:rPr>
        <w:t xml:space="preserve">Za leto 2030 sta na področju zmanjševanja energetske revščine zastavljeni </w:t>
      </w:r>
      <w:r w:rsidRPr="004A3A4E">
        <w:rPr>
          <w:rFonts w:cs="Arial"/>
          <w:b/>
          <w:szCs w:val="20"/>
        </w:rPr>
        <w:t>trije cilji</w:t>
      </w:r>
      <w:r w:rsidRPr="00F81979">
        <w:rPr>
          <w:rFonts w:cs="Arial"/>
          <w:szCs w:val="20"/>
        </w:rPr>
        <w:t xml:space="preserve">, ki so usklajeni s predlogom posodobitve Celovitega nacionalnega energetskega in podnebnega načrta. Doseženi bodo lahko ob vzpostavljenih ustreznih pogojih za izvajanje ukrepov iz akcijskega načrta (zagotovljena sredstva, kadri za vzpostavitev in delovanje načrtovane sheme za zmanjševanje energetske revščine itd.). </w:t>
      </w:r>
    </w:p>
    <w:tbl>
      <w:tblPr>
        <w:tblStyle w:val="Tabelamrea"/>
        <w:tblW w:w="0" w:type="auto"/>
        <w:tblLook w:val="04A0" w:firstRow="1" w:lastRow="0" w:firstColumn="1" w:lastColumn="0" w:noHBand="0" w:noVBand="1"/>
      </w:tblPr>
      <w:tblGrid>
        <w:gridCol w:w="9062"/>
      </w:tblGrid>
      <w:tr w:rsidR="00DE2FD3" w14:paraId="0B7105C5" w14:textId="77777777" w:rsidTr="00DE2FD3">
        <w:tc>
          <w:tcPr>
            <w:tcW w:w="9062" w:type="dxa"/>
          </w:tcPr>
          <w:p w14:paraId="3ADE5D33" w14:textId="77777777" w:rsidR="00DE2FD3" w:rsidRPr="004A3A4E" w:rsidRDefault="00DE2FD3" w:rsidP="00DE2FD3">
            <w:pPr>
              <w:jc w:val="left"/>
              <w:rPr>
                <w:rFonts w:cs="Arial"/>
                <w:szCs w:val="20"/>
              </w:rPr>
            </w:pPr>
            <w:r>
              <w:rPr>
                <w:rFonts w:cs="Arial"/>
                <w:szCs w:val="20"/>
              </w:rPr>
              <w:t>1.</w:t>
            </w:r>
            <w:r w:rsidRPr="004A3A4E">
              <w:rPr>
                <w:rFonts w:cs="Arial"/>
                <w:szCs w:val="20"/>
              </w:rPr>
              <w:t>KROVNI CILJ ZA ZMANJŠEVANJE ENERGETSKE REVŠČINE</w:t>
            </w:r>
          </w:p>
          <w:p w14:paraId="3F571943" w14:textId="46382578" w:rsidR="00DE2FD3" w:rsidRDefault="00DE2FD3" w:rsidP="000B3874">
            <w:pPr>
              <w:rPr>
                <w:rFonts w:cs="Arial"/>
                <w:szCs w:val="20"/>
              </w:rPr>
            </w:pPr>
            <w:r w:rsidRPr="004A3A4E">
              <w:rPr>
                <w:rFonts w:cs="Arial"/>
                <w:szCs w:val="20"/>
              </w:rPr>
              <w:t xml:space="preserve">Krovni cilj na področju energetske revščine do leta 2030 je zmanjšanje deleža energetsko revnih gospodinjstev do vrednosti največ med </w:t>
            </w:r>
            <w:r w:rsidRPr="004A3A4E">
              <w:rPr>
                <w:rFonts w:cs="Arial"/>
                <w:b/>
                <w:szCs w:val="20"/>
              </w:rPr>
              <w:t>3,8 in 4,6 odstotka</w:t>
            </w:r>
            <w:r w:rsidR="000B3874">
              <w:rPr>
                <w:rFonts w:cs="Arial"/>
                <w:szCs w:val="20"/>
              </w:rPr>
              <w:t>.</w:t>
            </w:r>
          </w:p>
        </w:tc>
      </w:tr>
      <w:tr w:rsidR="00DE2FD3" w14:paraId="6706A59F" w14:textId="77777777" w:rsidTr="00DE2FD3">
        <w:tc>
          <w:tcPr>
            <w:tcW w:w="9062" w:type="dxa"/>
          </w:tcPr>
          <w:p w14:paraId="064E4C53" w14:textId="77777777" w:rsidR="00DE2FD3" w:rsidRPr="004A3A4E" w:rsidRDefault="00DE2FD3" w:rsidP="00DE2FD3">
            <w:pPr>
              <w:rPr>
                <w:rFonts w:cs="Arial"/>
                <w:szCs w:val="20"/>
              </w:rPr>
            </w:pPr>
            <w:r>
              <w:rPr>
                <w:rFonts w:cs="Arial"/>
                <w:szCs w:val="20"/>
              </w:rPr>
              <w:t>2.</w:t>
            </w:r>
            <w:r w:rsidRPr="004A3A4E">
              <w:rPr>
                <w:rFonts w:cs="Arial"/>
                <w:szCs w:val="20"/>
              </w:rPr>
              <w:t>ŠTEVILO ENERGETSKO REVNIH GOSPODINJSTEV Z IZVEDENIMI NALOŽBAMI ZA ZMANJŠEVANJE ENERGETSKE REVŠČINE</w:t>
            </w:r>
          </w:p>
          <w:p w14:paraId="09F715A9" w14:textId="3B8E0864" w:rsidR="00DE2FD3" w:rsidRDefault="00DE2FD3" w:rsidP="000B3874">
            <w:pPr>
              <w:rPr>
                <w:rFonts w:cs="Arial"/>
                <w:szCs w:val="20"/>
              </w:rPr>
            </w:pPr>
            <w:r w:rsidRPr="004A3A4E">
              <w:rPr>
                <w:rFonts w:cs="Arial"/>
                <w:szCs w:val="20"/>
              </w:rPr>
              <w:t xml:space="preserve">Drugi cilj na področju energetske revščine do leta 2030 je izvedba naložb na področju učinkovite rabe energije (URE) in rabe obnovljivih virov energije (OVE) </w:t>
            </w:r>
            <w:r w:rsidRPr="004A3A4E">
              <w:rPr>
                <w:rFonts w:cs="Arial"/>
                <w:b/>
                <w:szCs w:val="20"/>
              </w:rPr>
              <w:t>v najmanj 8000 energetsko revnih gospodinjstvih</w:t>
            </w:r>
            <w:r w:rsidR="000B3874">
              <w:rPr>
                <w:rFonts w:cs="Arial"/>
                <w:szCs w:val="20"/>
              </w:rPr>
              <w:t xml:space="preserve">. </w:t>
            </w:r>
          </w:p>
        </w:tc>
      </w:tr>
      <w:tr w:rsidR="00DE2FD3" w14:paraId="521E953E" w14:textId="77777777" w:rsidTr="00DE2FD3">
        <w:tc>
          <w:tcPr>
            <w:tcW w:w="9062" w:type="dxa"/>
          </w:tcPr>
          <w:p w14:paraId="4739E781" w14:textId="77777777" w:rsidR="00DE2FD3" w:rsidRPr="004A3A4E" w:rsidRDefault="00DE2FD3" w:rsidP="00DE2FD3">
            <w:pPr>
              <w:rPr>
                <w:rFonts w:cs="Arial"/>
                <w:szCs w:val="20"/>
              </w:rPr>
            </w:pPr>
            <w:r>
              <w:rPr>
                <w:rFonts w:cs="Arial"/>
                <w:szCs w:val="20"/>
              </w:rPr>
              <w:t>3.</w:t>
            </w:r>
            <w:r w:rsidRPr="004A3A4E">
              <w:rPr>
                <w:rFonts w:cs="Arial"/>
                <w:szCs w:val="20"/>
              </w:rPr>
              <w:t>KUMULATIVNI PRIHRANEK ENERGIJE Z IZVEDBO UKREPOV V ENERGETSKO REVNIH GOSPODINJSTVIH</w:t>
            </w:r>
          </w:p>
          <w:p w14:paraId="050CAB91" w14:textId="074DF421" w:rsidR="00DE2FD3" w:rsidRDefault="00DE2FD3" w:rsidP="00DE2FD3">
            <w:pPr>
              <w:rPr>
                <w:rFonts w:cs="Arial"/>
                <w:szCs w:val="20"/>
              </w:rPr>
            </w:pPr>
            <w:r w:rsidRPr="004A3A4E">
              <w:rPr>
                <w:rFonts w:cs="Arial"/>
                <w:szCs w:val="20"/>
              </w:rPr>
              <w:t xml:space="preserve">Tretji cilj je določen na podlagi 8. člena EED. Po preliminarnih izračunih znaša ciljni kumulativni prihranek energije v energetsko revnih gospodinjstvih v obdobju 2021–2030 </w:t>
            </w:r>
            <w:r w:rsidRPr="004A3A4E">
              <w:rPr>
                <w:rFonts w:cs="Arial"/>
                <w:b/>
                <w:szCs w:val="20"/>
              </w:rPr>
              <w:t>573 GWh</w:t>
            </w:r>
            <w:r w:rsidRPr="004A3A4E">
              <w:rPr>
                <w:rFonts w:cs="Arial"/>
                <w:szCs w:val="20"/>
              </w:rPr>
              <w:t>. Navedeni cilj bo dokončno oblikovan in vključen v končno verzijo posodobitve NEPN.</w:t>
            </w:r>
          </w:p>
        </w:tc>
      </w:tr>
    </w:tbl>
    <w:p w14:paraId="6E728F11" w14:textId="77777777" w:rsidR="00DE2FD3" w:rsidRDefault="00DE2FD3" w:rsidP="004A3A4E">
      <w:pPr>
        <w:jc w:val="left"/>
        <w:rPr>
          <w:rFonts w:cs="Arial"/>
          <w:szCs w:val="20"/>
        </w:rPr>
      </w:pPr>
    </w:p>
    <w:p w14:paraId="277D71BB" w14:textId="0D0CAE8D" w:rsidR="00F81979" w:rsidRPr="00F81979" w:rsidRDefault="00DE2FD3" w:rsidP="00F81979">
      <w:pPr>
        <w:rPr>
          <w:rFonts w:cs="Arial"/>
          <w:szCs w:val="20"/>
        </w:rPr>
      </w:pPr>
      <w:r w:rsidRPr="00DE2FD3">
        <w:rPr>
          <w:rFonts w:cs="Arial"/>
          <w:b/>
          <w:szCs w:val="20"/>
        </w:rPr>
        <w:t>Cilji na področju zmanjševanja energetske revščine do leta 2026.</w:t>
      </w:r>
      <w:r>
        <w:rPr>
          <w:rFonts w:cs="Arial"/>
          <w:szCs w:val="20"/>
        </w:rPr>
        <w:t xml:space="preserve"> </w:t>
      </w:r>
      <w:r w:rsidR="00F81979" w:rsidRPr="00F81979">
        <w:rPr>
          <w:rFonts w:cs="Arial"/>
          <w:szCs w:val="20"/>
        </w:rPr>
        <w:t>Glavni cilj v obdobju 2024–2026 je nadgradnja obstoječe skupine, ki deluje na področju izvajanja ukrepov za zmanjševanje energetske revščine pri Eko skladu, z vzpostavitvijo in delovanjem sheme za zmanjševanje energetske revščine v pilotnem obsegu. S tem bodo zagotovljeni pogoji za dodeljevanje spodbud energetsko revnim v povečanem obsegu in podprto doseganje ciljev do leta 2030. Skupno, v pilotnih in ostalih regijah, je do konca leta 2026 načrtovana izvedba naložb na področju URE in izrabe OVE pri energetsko revnih gospodinjstvih (nadgradnja programa ZERO500), naložb za vgradnjo novih kurilnih naprav na lesno biomaso, naložb v skupne ukrepe pri energetski prenovi večstanovanjskih stavb in naložb za vključevanje energetsko revnih v energetske skupnosti. Tudi za doseganje teh ciljev morajo biti vzpostavljeni ustrezni pogoji za izvajanje ukrepov iz tega akcijskega načrta.</w:t>
      </w:r>
    </w:p>
    <w:p w14:paraId="1280E116" w14:textId="505F6092" w:rsidR="00F81979" w:rsidRPr="00F81979" w:rsidRDefault="00DE2FD3" w:rsidP="00F81979">
      <w:pPr>
        <w:rPr>
          <w:rFonts w:cs="Arial"/>
          <w:szCs w:val="20"/>
        </w:rPr>
      </w:pPr>
      <w:r w:rsidRPr="00DE2FD3">
        <w:rPr>
          <w:rFonts w:cs="Arial"/>
          <w:b/>
          <w:szCs w:val="20"/>
        </w:rPr>
        <w:t>Uspešnost izvajanja ukrepov iz akcijskega načrta.</w:t>
      </w:r>
      <w:r>
        <w:rPr>
          <w:rFonts w:cs="Arial"/>
          <w:szCs w:val="20"/>
        </w:rPr>
        <w:t xml:space="preserve"> </w:t>
      </w:r>
      <w:r w:rsidR="00F81979" w:rsidRPr="00F81979">
        <w:rPr>
          <w:rFonts w:cs="Arial"/>
          <w:szCs w:val="20"/>
        </w:rPr>
        <w:t xml:space="preserve">Izvajanje ukrepov iz akcijskega načrta ni pomembno samo zaradi doseganja zastavljenih ciljev, ampak je ključno tako zaradi zagotavljanja pravičnega prehoda v nizkoogljično družbo za vse, kot tudi za uspešno upravljanje sredstev, ki so za zmanjševanje energetske revščine že na voljo iz Sklada za podnebne spremembe in Kohezijskega sklada. V prihodnosti bodo sredstva v večjem obsegu na voljo tudi iz Socialnega sklada za podnebje na ravni EU, kjer se zmanjševanju energetske revščine namenja vedno večjo pozornost. </w:t>
      </w:r>
      <w:r w:rsidR="00247631">
        <w:rPr>
          <w:rFonts w:cs="Arial"/>
          <w:szCs w:val="20"/>
        </w:rPr>
        <w:t>Zato je v prenovljeni</w:t>
      </w:r>
      <w:r w:rsidR="00F81979" w:rsidRPr="00F81979">
        <w:rPr>
          <w:rFonts w:cs="Arial"/>
          <w:szCs w:val="20"/>
        </w:rPr>
        <w:t xml:space="preserve"> Direktiv</w:t>
      </w:r>
      <w:r w:rsidR="00247631">
        <w:rPr>
          <w:rFonts w:cs="Arial"/>
          <w:szCs w:val="20"/>
        </w:rPr>
        <w:t>i</w:t>
      </w:r>
      <w:r w:rsidR="00F81979" w:rsidRPr="00F81979">
        <w:rPr>
          <w:rFonts w:cs="Arial"/>
          <w:szCs w:val="20"/>
        </w:rPr>
        <w:t xml:space="preserve"> o energetski učinkovitosti opolnomočenje in zaščita ranljivih odjemalcev ter zmanjše</w:t>
      </w:r>
      <w:r w:rsidR="00247631">
        <w:rPr>
          <w:rFonts w:cs="Arial"/>
          <w:szCs w:val="20"/>
        </w:rPr>
        <w:t>vanje energetske revščine zajeto</w:t>
      </w:r>
      <w:r w:rsidR="00F81979" w:rsidRPr="00F81979">
        <w:rPr>
          <w:rFonts w:cs="Arial"/>
          <w:szCs w:val="20"/>
        </w:rPr>
        <w:t xml:space="preserve"> v posebnem členu. Ta spodbuja tako izvajanje ukrepov učinkovite rabe energije, kot tudi sodelovanje strokovnjakov z različnih področij za podporo oblikovanju strategij za zmanjševanje energetske revščine na nacionalni in lokalni ravni, vzpostavitev svetovanja in podpore ranljivim skupinam po principu »vse na enem mestu« ter njihovo vključevanje v energetske skupnosti.</w:t>
      </w:r>
    </w:p>
    <w:p w14:paraId="7547CDC6" w14:textId="3CAB36F6" w:rsidR="00F81979" w:rsidRPr="00F81979" w:rsidRDefault="00DE2FD3" w:rsidP="00F81979">
      <w:pPr>
        <w:rPr>
          <w:rFonts w:cs="Arial"/>
          <w:szCs w:val="20"/>
        </w:rPr>
      </w:pPr>
      <w:r w:rsidRPr="00DE2FD3">
        <w:rPr>
          <w:rFonts w:cs="Arial"/>
          <w:b/>
          <w:szCs w:val="20"/>
        </w:rPr>
        <w:lastRenderedPageBreak/>
        <w:t>Ukrepi akcijskega načrta in glavni deležniki.</w:t>
      </w:r>
      <w:r>
        <w:rPr>
          <w:rFonts w:cs="Arial"/>
          <w:szCs w:val="20"/>
        </w:rPr>
        <w:t xml:space="preserve"> </w:t>
      </w:r>
      <w:r w:rsidR="00F81979" w:rsidRPr="00F81979">
        <w:rPr>
          <w:rFonts w:cs="Arial"/>
          <w:szCs w:val="20"/>
        </w:rPr>
        <w:t xml:space="preserve">V predlog ukrepov akcijskega načrta so vključeni ukrepi za zmanjševanje energetske revščine – to so prednostno ukrepi energetske učinkovitosti, s katerimi se zmanjšujeta raba energije in emisije toplogrednih plinov ter izboljšujejo bivalni pogoji (nosilec: Ministrstvo za okolje, podnebje in energijo), in ukrepi za blaženje energetske revščine – to so ukrepi, ki so usmerjeni v trenutno razbremenitev energetsko revnih, običajno s finančno pomočjo pri plačilu stroškov energije (nosilec: Ministrstvo za delo, družino, socialne zadeve in enake možnosti). Poleg omenjenih ministrstev je glavni deležnik še Eko sklad, kot glavni izvajalec ukrepov za zmanjševanje energetske revščine. Aktivno medsebojno sodelovanje glavnih deležnikov in njihovo vključevanje v aktivnosti za zmanjševanje energetske revščine sta ključna za učinkovito in uspešno naslavljanje problematike energetske revščine. </w:t>
      </w:r>
    </w:p>
    <w:p w14:paraId="5EAE1B64" w14:textId="2590B7BC" w:rsidR="00F81979" w:rsidRPr="00F81979" w:rsidRDefault="00F81979" w:rsidP="00F81979">
      <w:pPr>
        <w:rPr>
          <w:rFonts w:cs="Arial"/>
          <w:szCs w:val="20"/>
        </w:rPr>
      </w:pPr>
      <w:r w:rsidRPr="00F81979">
        <w:rPr>
          <w:rFonts w:cs="Arial"/>
          <w:szCs w:val="20"/>
        </w:rPr>
        <w:t>Ukrepi v predlogu akcijskega načrta so zastavljeni dolgoročno, s poudarkom na njihovi kratkoročni izvedbi v obdobju 2024–2026. Z njihovo uveljavitvijo se daje večji pomen regionalnim deležnikom, še zlasti na področjih energetskega svetovanja energetsko revnim ter njihovega informiranja in ozaveščanja. Regionalne svetovalne točke so s svojimi aktivnostmi glavna podpora projektni pisarni na nacionalni ravni pri dodeljevanju investicijskih spodbud za zmanjševanje energetske revščine.</w:t>
      </w:r>
    </w:p>
    <w:p w14:paraId="585DABE9" w14:textId="77777777" w:rsidR="00F81979" w:rsidRPr="00DE2FD3" w:rsidRDefault="00F81979" w:rsidP="00F81979">
      <w:pPr>
        <w:rPr>
          <w:rFonts w:cs="Arial"/>
          <w:szCs w:val="20"/>
        </w:rPr>
      </w:pPr>
      <w:r w:rsidRPr="00DE2FD3">
        <w:rPr>
          <w:rFonts w:cs="Arial"/>
          <w:szCs w:val="20"/>
        </w:rPr>
        <w:t>SHEMA ZA ZMANJŠEVANJE ENERGETSKE REVŠČINE</w:t>
      </w:r>
    </w:p>
    <w:p w14:paraId="49FE96A9" w14:textId="77777777" w:rsidR="00247631" w:rsidRDefault="00F81979" w:rsidP="00F81979">
      <w:pPr>
        <w:rPr>
          <w:rFonts w:cs="Arial"/>
          <w:szCs w:val="20"/>
        </w:rPr>
      </w:pPr>
      <w:r w:rsidRPr="00F81979">
        <w:rPr>
          <w:rFonts w:cs="Arial"/>
          <w:szCs w:val="20"/>
        </w:rPr>
        <w:t>Shema za zmanjševanje energetske revščine predstavlja ključni sklop ukrepov za zmanjševanje energetske revščine, ki se izvajajo sočasno in se medsebojno podpirajo, saj lahko na sistemski ravni le tako dolgoročno zagotovijo celosten pristop k zmanjševanju energetske revščine. Gradi na že obstoječih ukrepih (npr. program ZERO500, projekt ZERO itd.) in dosedanjih izkušnjah.</w:t>
      </w:r>
    </w:p>
    <w:p w14:paraId="1C98E8A8" w14:textId="46E6A1B8" w:rsidR="00F81979" w:rsidRPr="00F81979" w:rsidRDefault="00F81979" w:rsidP="00F81979">
      <w:pPr>
        <w:rPr>
          <w:rFonts w:cs="Arial"/>
          <w:szCs w:val="20"/>
        </w:rPr>
      </w:pPr>
      <w:r w:rsidRPr="00F81979">
        <w:rPr>
          <w:rFonts w:cs="Arial"/>
          <w:szCs w:val="20"/>
        </w:rPr>
        <w:t>Vanjo so vključeni ukrepi:</w:t>
      </w:r>
    </w:p>
    <w:p w14:paraId="312234CC" w14:textId="350FA021" w:rsidR="00F81979" w:rsidRPr="00247631" w:rsidRDefault="00F81979" w:rsidP="00247631">
      <w:pPr>
        <w:pStyle w:val="Odstavekseznama"/>
        <w:numPr>
          <w:ilvl w:val="0"/>
          <w:numId w:val="7"/>
        </w:numPr>
        <w:spacing w:after="0" w:line="240" w:lineRule="auto"/>
        <w:ind w:left="714" w:hanging="357"/>
        <w:rPr>
          <w:rFonts w:cs="Arial"/>
          <w:szCs w:val="20"/>
        </w:rPr>
      </w:pPr>
      <w:r w:rsidRPr="00247631">
        <w:rPr>
          <w:rFonts w:cs="Arial"/>
          <w:szCs w:val="20"/>
        </w:rPr>
        <w:t>investicijske spodbude za ukrepe URE in OVE za energetsko revne, ki je osrednji finančni ukrep za zmanjševanje energetske revščine;</w:t>
      </w:r>
    </w:p>
    <w:p w14:paraId="08503FB1" w14:textId="392B7D3B" w:rsidR="00F81979" w:rsidRPr="00247631" w:rsidRDefault="00F81979" w:rsidP="00247631">
      <w:pPr>
        <w:pStyle w:val="Odstavekseznama"/>
        <w:numPr>
          <w:ilvl w:val="0"/>
          <w:numId w:val="7"/>
        </w:numPr>
        <w:spacing w:after="0" w:line="240" w:lineRule="auto"/>
        <w:ind w:left="714" w:hanging="357"/>
        <w:rPr>
          <w:rFonts w:cs="Arial"/>
          <w:szCs w:val="20"/>
        </w:rPr>
      </w:pPr>
      <w:r w:rsidRPr="00247631">
        <w:rPr>
          <w:rFonts w:cs="Arial"/>
          <w:szCs w:val="20"/>
        </w:rPr>
        <w:t>energetsko svetovanje za energetsko revne, kjer gre za celostno podporo tej ciljni skupini pri izvedbi ukrepov URE in OVE, in sicer tudi za reševanje težav, ki niso nujno tehnične narave;</w:t>
      </w:r>
    </w:p>
    <w:p w14:paraId="09A82B04" w14:textId="2A9054E5" w:rsidR="00F81979" w:rsidRPr="00247631" w:rsidRDefault="00F81979" w:rsidP="00247631">
      <w:pPr>
        <w:pStyle w:val="Odstavekseznama"/>
        <w:numPr>
          <w:ilvl w:val="0"/>
          <w:numId w:val="7"/>
        </w:numPr>
        <w:spacing w:after="0" w:line="240" w:lineRule="auto"/>
        <w:ind w:left="714" w:hanging="357"/>
        <w:rPr>
          <w:rFonts w:cs="Arial"/>
          <w:szCs w:val="20"/>
        </w:rPr>
      </w:pPr>
      <w:r w:rsidRPr="00247631">
        <w:rPr>
          <w:rFonts w:cs="Arial"/>
          <w:szCs w:val="20"/>
        </w:rPr>
        <w:t>informiranje energetsko revnih preko akterjev v neformalni mreži za informiranje in ozaveščanje na regionalni ravni;</w:t>
      </w:r>
    </w:p>
    <w:p w14:paraId="1386F765" w14:textId="5FB2EA7A" w:rsidR="00F81979" w:rsidRPr="00247631" w:rsidRDefault="00F81979" w:rsidP="00247631">
      <w:pPr>
        <w:pStyle w:val="Odstavekseznama"/>
        <w:numPr>
          <w:ilvl w:val="0"/>
          <w:numId w:val="7"/>
        </w:numPr>
        <w:spacing w:after="0" w:line="240" w:lineRule="auto"/>
        <w:ind w:left="714" w:hanging="357"/>
        <w:rPr>
          <w:rFonts w:cs="Arial"/>
          <w:szCs w:val="20"/>
        </w:rPr>
      </w:pPr>
      <w:r w:rsidRPr="00247631">
        <w:rPr>
          <w:rFonts w:cs="Arial"/>
          <w:szCs w:val="20"/>
        </w:rPr>
        <w:t>projektna pisarna z regionalnimi svetovalnimi točkami za energetsko revščino, ki zagotavlja celostno multidisciplinarno pomoč (tehnična, socialna in osebna pomoč) za energetsko revne na enem mestu.</w:t>
      </w:r>
    </w:p>
    <w:p w14:paraId="3BCDA759" w14:textId="77777777" w:rsidR="00F81979" w:rsidRPr="00F81979" w:rsidRDefault="00F81979" w:rsidP="00F81979">
      <w:pPr>
        <w:rPr>
          <w:rFonts w:cs="Arial"/>
          <w:szCs w:val="20"/>
        </w:rPr>
      </w:pPr>
    </w:p>
    <w:p w14:paraId="15486576" w14:textId="6E3D809C" w:rsidR="00F81979" w:rsidRPr="00F81979" w:rsidRDefault="00F81979" w:rsidP="00F81979">
      <w:pPr>
        <w:rPr>
          <w:rFonts w:cs="Arial"/>
          <w:szCs w:val="20"/>
        </w:rPr>
      </w:pPr>
      <w:r w:rsidRPr="00247631">
        <w:rPr>
          <w:rFonts w:cs="Arial"/>
          <w:b/>
          <w:szCs w:val="20"/>
        </w:rPr>
        <w:t>Časovni načrt izvajanja ukrepov iz akcijskega načrta.</w:t>
      </w:r>
      <w:r w:rsidRPr="00F81979">
        <w:rPr>
          <w:rFonts w:cs="Arial"/>
          <w:szCs w:val="20"/>
        </w:rPr>
        <w:t xml:space="preserve"> Izvajanje obstoječih ukrepov se nadaljuje (npr. spodbude Eko sklada za vgradnjo novih kurilnih naprav na lesno biomaso in skupne ukrepe pri energetski prenovi večstanovanjskih stavb, svetovanje mreže ENSVET energetsko revnim, izredna denarna pomoč za plačilo stroškov energije, ki jo lahko dodelijo Centri za socialno delo, itd.), brez večjih sprememb organiziranosti za izvajanje. Eko sklad nadaljuje s pozivom za nepovratne finančne spodbude socialno šibkim občanom za investicije v ukrepe večje energetske učinkovitosti.</w:t>
      </w:r>
    </w:p>
    <w:p w14:paraId="7DBE4A1E" w14:textId="77777777" w:rsidR="00F81979" w:rsidRPr="00F81979" w:rsidRDefault="00F81979" w:rsidP="00F81979">
      <w:pPr>
        <w:rPr>
          <w:rFonts w:cs="Arial"/>
          <w:szCs w:val="20"/>
        </w:rPr>
      </w:pPr>
      <w:r w:rsidRPr="00F81979">
        <w:rPr>
          <w:rFonts w:cs="Arial"/>
          <w:szCs w:val="20"/>
        </w:rPr>
        <w:t>Leta 2024 se vzpostavi shema za zmanjševanje energetske revščine v pilotnem obsegu. Shema vključuje oblikovanje projektne pisarne za energetsko revščino pri Eko skladu ter regionalnih svetovalnih točk ter neformalnih mrež za informiranje in ozaveščanje v dveh pilotnih regijah. V okviru pilotnega projekta se najprej testirata tako nov pristop za izvedbo ukrepov večje energetske učinkovitosti z izbiro izvajalcev kot tudi prenos svetovanja in komunikacije z energetsko revnimi, izvajalci ukrepov in deležniki, ki lahko podprejo informativno-ozaveščevalne aktivnosti, na regionalno raven. Za vse ostale regije, ki niso del pilotnega projekta, se izvajanje ukrepov nadaljuje na že uveljavljen način.</w:t>
      </w:r>
    </w:p>
    <w:p w14:paraId="74394C3E" w14:textId="3D7D0B23" w:rsidR="00F81979" w:rsidRPr="00F81979" w:rsidRDefault="00F81979" w:rsidP="00F81979">
      <w:pPr>
        <w:rPr>
          <w:rFonts w:cs="Arial"/>
          <w:szCs w:val="20"/>
        </w:rPr>
      </w:pPr>
      <w:r w:rsidRPr="00F81979">
        <w:rPr>
          <w:rFonts w:cs="Arial"/>
          <w:szCs w:val="20"/>
        </w:rPr>
        <w:t>Od vključno leta 2027 dalje je načrtovano, da bo v primeru pozitivnih rezultatov v dveh pilotnih regijah shema za zmanjševanje energetske revščine delovala v polnem obsegu tudi v drugih regijah, kar pomeni dodatno kadrovsko okrepitev projektne pisarne in vzpostavitev regionalnih svetovalnih točk ter neformalnih mrež za informiranje in ozaveščanje v vseh regijah, z možnostjo povezovanja manjših oz. podobnih regij.</w:t>
      </w:r>
    </w:p>
    <w:p w14:paraId="0433954A" w14:textId="4C8D47F6" w:rsidR="00F81979" w:rsidRPr="00F81979" w:rsidRDefault="00F81979" w:rsidP="00F81979">
      <w:pPr>
        <w:rPr>
          <w:rFonts w:cs="Arial"/>
          <w:szCs w:val="20"/>
        </w:rPr>
      </w:pPr>
      <w:r w:rsidRPr="00A038F0">
        <w:rPr>
          <w:rFonts w:cs="Arial"/>
          <w:b/>
          <w:szCs w:val="20"/>
        </w:rPr>
        <w:t>Financiranje ukrepov iz akcijskega načrta.</w:t>
      </w:r>
      <w:r w:rsidRPr="00F81979">
        <w:rPr>
          <w:rFonts w:cs="Arial"/>
          <w:szCs w:val="20"/>
        </w:rPr>
        <w:t xml:space="preserve"> </w:t>
      </w:r>
      <w:r w:rsidR="000D0B88" w:rsidRPr="000D0B88">
        <w:rPr>
          <w:rFonts w:cs="Arial"/>
          <w:szCs w:val="20"/>
        </w:rPr>
        <w:t xml:space="preserve">Za izvajanje ukrepov iz akcijskega načrta v obdobju 2024–2026 je treba zagotoviti 33,8 milijona evrov, od tega 27,0 milijona evrov za investicijske ukrepe URE in rabe OVE, 5 milijonov evrov za vključevanje energetsko revnih v energetske skupnosti in 1,8 milijona evrov za delovanje projektne pisarne z regionalnimi svetovalnimi točkami ter neformalno mrežo za </w:t>
      </w:r>
      <w:r w:rsidR="000D0B88" w:rsidRPr="000D0B88">
        <w:rPr>
          <w:rFonts w:cs="Arial"/>
          <w:szCs w:val="20"/>
        </w:rPr>
        <w:lastRenderedPageBreak/>
        <w:t>informiranje in ozaveščanje. Do konca leta 2026 sta glavna vira sredstev Sklad za podnebne spremembe in Evropski sklad za regionalni razvoj. Stroški izvajanja programa so usklajeni z zagotovljenimi sredstvi.</w:t>
      </w:r>
    </w:p>
    <w:p w14:paraId="059B2CDA" w14:textId="77EF9C7B" w:rsidR="00F81979" w:rsidRPr="00F81979" w:rsidRDefault="00F81979" w:rsidP="00F81979">
      <w:pPr>
        <w:rPr>
          <w:rFonts w:cs="Arial"/>
          <w:szCs w:val="20"/>
        </w:rPr>
      </w:pPr>
      <w:r w:rsidRPr="00A038F0">
        <w:rPr>
          <w:rFonts w:cs="Arial"/>
          <w:b/>
          <w:szCs w:val="20"/>
        </w:rPr>
        <w:t>Spremljanje izvajanja akcijskega načrta.</w:t>
      </w:r>
      <w:r w:rsidRPr="00F81979">
        <w:rPr>
          <w:rFonts w:cs="Arial"/>
          <w:szCs w:val="20"/>
        </w:rPr>
        <w:t xml:space="preserve"> Za uspešno izvajanje akcijskega načrta je treba zagotoviti redno vodenje, spremljanje in vrednotenje izvajanja akcijskega načrta ter po potrebi kratkoročno prilagajanje, spreminjanje in nadgrajevanje izvajanja načrtovanih ukrepov. Vlado RS je treba skladno z Uredbo seznaniti z izvajanjem ukrepov vsako leto najpozneje do 30. maja</w:t>
      </w:r>
      <w:r w:rsidR="00A038F0">
        <w:rPr>
          <w:rFonts w:cs="Arial"/>
          <w:szCs w:val="20"/>
        </w:rPr>
        <w:t xml:space="preserve"> tekočega leta</w:t>
      </w:r>
      <w:r w:rsidRPr="00F81979">
        <w:rPr>
          <w:rFonts w:cs="Arial"/>
          <w:szCs w:val="20"/>
        </w:rPr>
        <w:t>. Obenem je treba zagotoviti tudi, da se bo akcijski načrt, ki naj bi se pripravljal za triletna obdobja, redno in pravočasno posodabljal in nadgrajeval.</w:t>
      </w:r>
    </w:p>
    <w:p w14:paraId="15039916" w14:textId="24D9BF3F" w:rsidR="00F81979" w:rsidRDefault="009B4823" w:rsidP="009B4823">
      <w:pPr>
        <w:rPr>
          <w:rFonts w:cs="Arial"/>
          <w:szCs w:val="20"/>
        </w:rPr>
      </w:pPr>
      <w:r>
        <w:rPr>
          <w:rFonts w:cs="Arial"/>
          <w:szCs w:val="20"/>
        </w:rPr>
        <w:t xml:space="preserve">Stroški za MDDSZ. </w:t>
      </w:r>
      <w:r w:rsidRPr="009B4823">
        <w:rPr>
          <w:rFonts w:cs="Arial"/>
          <w:szCs w:val="20"/>
        </w:rPr>
        <w:t xml:space="preserve">Ukrepi MDDSZ </w:t>
      </w:r>
      <w:r>
        <w:rPr>
          <w:rFonts w:cs="Arial"/>
          <w:szCs w:val="20"/>
        </w:rPr>
        <w:t xml:space="preserve">opredeljeni v akcijskem načrtu </w:t>
      </w:r>
      <w:r w:rsidRPr="009B4823">
        <w:rPr>
          <w:rFonts w:cs="Arial"/>
          <w:szCs w:val="20"/>
        </w:rPr>
        <w:t>potekajo v okviru obstoječih programov denarne pomoči ipd.</w:t>
      </w:r>
      <w:r>
        <w:rPr>
          <w:rFonts w:cs="Arial"/>
          <w:szCs w:val="20"/>
        </w:rPr>
        <w:t xml:space="preserve"> </w:t>
      </w:r>
      <w:r w:rsidRPr="009B4823">
        <w:rPr>
          <w:rFonts w:cs="Arial"/>
          <w:szCs w:val="20"/>
        </w:rPr>
        <w:t xml:space="preserve">Draginjski dodatki </w:t>
      </w:r>
      <w:r>
        <w:rPr>
          <w:rFonts w:cs="Arial"/>
          <w:szCs w:val="20"/>
        </w:rPr>
        <w:t xml:space="preserve">zaradi mogoče ponovne energetske krize </w:t>
      </w:r>
      <w:r w:rsidRPr="009B4823">
        <w:rPr>
          <w:rFonts w:cs="Arial"/>
          <w:szCs w:val="20"/>
        </w:rPr>
        <w:t>v prihodnje</w:t>
      </w:r>
      <w:r>
        <w:rPr>
          <w:rFonts w:cs="Arial"/>
          <w:szCs w:val="20"/>
        </w:rPr>
        <w:t xml:space="preserve"> </w:t>
      </w:r>
      <w:r w:rsidRPr="009B4823">
        <w:rPr>
          <w:rFonts w:cs="Arial"/>
          <w:szCs w:val="20"/>
        </w:rPr>
        <w:t>niso ovrednoteni.</w:t>
      </w:r>
    </w:p>
    <w:p w14:paraId="3F3CCF7E" w14:textId="1AF0DBF5" w:rsidR="001715EF" w:rsidRDefault="001715EF" w:rsidP="00F75141">
      <w:pPr>
        <w:pStyle w:val="Navadensplet"/>
        <w:shd w:val="clear" w:color="auto" w:fill="FFFFFF"/>
        <w:rPr>
          <w:rFonts w:ascii="Arial" w:hAnsi="Arial" w:cs="Arial"/>
          <w:color w:val="000000"/>
          <w:sz w:val="20"/>
          <w:szCs w:val="20"/>
        </w:rPr>
      </w:pPr>
    </w:p>
    <w:p w14:paraId="25330EE9" w14:textId="77777777" w:rsidR="001715EF" w:rsidRDefault="001715EF" w:rsidP="00F75141">
      <w:pPr>
        <w:pStyle w:val="Navadensplet"/>
        <w:shd w:val="clear" w:color="auto" w:fill="FFFFFF"/>
        <w:rPr>
          <w:rFonts w:ascii="Arial" w:hAnsi="Arial" w:cs="Arial"/>
          <w:color w:val="222222"/>
        </w:rPr>
      </w:pPr>
    </w:p>
    <w:p w14:paraId="2C983273" w14:textId="77777777" w:rsidR="00F75141" w:rsidRDefault="00F75141" w:rsidP="007F2BA0">
      <w:pPr>
        <w:rPr>
          <w:rFonts w:cs="Arial"/>
          <w:szCs w:val="20"/>
        </w:rPr>
      </w:pPr>
    </w:p>
    <w:sectPr w:rsidR="00F75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573" w14:textId="77777777" w:rsidR="00794F21" w:rsidRDefault="00794F21" w:rsidP="001715EF">
      <w:pPr>
        <w:spacing w:after="0" w:line="240" w:lineRule="auto"/>
      </w:pPr>
      <w:r>
        <w:separator/>
      </w:r>
    </w:p>
  </w:endnote>
  <w:endnote w:type="continuationSeparator" w:id="0">
    <w:p w14:paraId="5E61B653" w14:textId="77777777" w:rsidR="00794F21" w:rsidRDefault="00794F21" w:rsidP="0017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9AA1" w14:textId="77777777" w:rsidR="00794F21" w:rsidRDefault="00794F21" w:rsidP="001715EF">
      <w:pPr>
        <w:spacing w:after="0" w:line="240" w:lineRule="auto"/>
      </w:pPr>
      <w:r>
        <w:separator/>
      </w:r>
    </w:p>
  </w:footnote>
  <w:footnote w:type="continuationSeparator" w:id="0">
    <w:p w14:paraId="63DA81BC" w14:textId="77777777" w:rsidR="00794F21" w:rsidRDefault="00794F21" w:rsidP="0017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C5E"/>
    <w:multiLevelType w:val="hybridMultilevel"/>
    <w:tmpl w:val="03D0812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840F0"/>
    <w:multiLevelType w:val="hybridMultilevel"/>
    <w:tmpl w:val="DBB2D1EC"/>
    <w:lvl w:ilvl="0" w:tplc="3E6E67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multilevel"/>
    <w:tmpl w:val="F3E2ACA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2A78D6"/>
    <w:multiLevelType w:val="hybridMultilevel"/>
    <w:tmpl w:val="E280E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BF4741"/>
    <w:multiLevelType w:val="hybridMultilevel"/>
    <w:tmpl w:val="B3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0970536">
    <w:abstractNumId w:val="3"/>
  </w:num>
  <w:num w:numId="2" w16cid:durableId="5836160">
    <w:abstractNumId w:val="2"/>
  </w:num>
  <w:num w:numId="3" w16cid:durableId="765881784">
    <w:abstractNumId w:val="6"/>
  </w:num>
  <w:num w:numId="4" w16cid:durableId="763918251">
    <w:abstractNumId w:val="8"/>
  </w:num>
  <w:num w:numId="5" w16cid:durableId="249900213">
    <w:abstractNumId w:val="9"/>
  </w:num>
  <w:num w:numId="6" w16cid:durableId="1554342872">
    <w:abstractNumId w:val="4"/>
  </w:num>
  <w:num w:numId="7" w16cid:durableId="1473210156">
    <w:abstractNumId w:val="1"/>
  </w:num>
  <w:num w:numId="8" w16cid:durableId="1795907893">
    <w:abstractNumId w:val="0"/>
  </w:num>
  <w:num w:numId="9" w16cid:durableId="13846058">
    <w:abstractNumId w:val="5"/>
  </w:num>
  <w:num w:numId="10" w16cid:durableId="1792700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A0"/>
    <w:rsid w:val="0000043D"/>
    <w:rsid w:val="000141DF"/>
    <w:rsid w:val="000B3874"/>
    <w:rsid w:val="000D0B88"/>
    <w:rsid w:val="000D19AF"/>
    <w:rsid w:val="0012341F"/>
    <w:rsid w:val="0012445C"/>
    <w:rsid w:val="00167656"/>
    <w:rsid w:val="001715EF"/>
    <w:rsid w:val="001A7AF2"/>
    <w:rsid w:val="001B4B49"/>
    <w:rsid w:val="001C42E1"/>
    <w:rsid w:val="001C77A3"/>
    <w:rsid w:val="001D3963"/>
    <w:rsid w:val="00247631"/>
    <w:rsid w:val="00255320"/>
    <w:rsid w:val="002812FF"/>
    <w:rsid w:val="002B2F0E"/>
    <w:rsid w:val="0034591A"/>
    <w:rsid w:val="00364ABF"/>
    <w:rsid w:val="00376E27"/>
    <w:rsid w:val="003B7809"/>
    <w:rsid w:val="003D4054"/>
    <w:rsid w:val="00417231"/>
    <w:rsid w:val="00422851"/>
    <w:rsid w:val="004460B7"/>
    <w:rsid w:val="0048391B"/>
    <w:rsid w:val="004A3A4E"/>
    <w:rsid w:val="00503E9C"/>
    <w:rsid w:val="00522D08"/>
    <w:rsid w:val="005B34C4"/>
    <w:rsid w:val="006041F5"/>
    <w:rsid w:val="0064041C"/>
    <w:rsid w:val="00730DDF"/>
    <w:rsid w:val="00740930"/>
    <w:rsid w:val="00785583"/>
    <w:rsid w:val="00794F21"/>
    <w:rsid w:val="007C2EFE"/>
    <w:rsid w:val="007F2BA0"/>
    <w:rsid w:val="008A416F"/>
    <w:rsid w:val="00914EFF"/>
    <w:rsid w:val="00951264"/>
    <w:rsid w:val="0095769D"/>
    <w:rsid w:val="00997357"/>
    <w:rsid w:val="009B4823"/>
    <w:rsid w:val="00A034B2"/>
    <w:rsid w:val="00A038F0"/>
    <w:rsid w:val="00B064BB"/>
    <w:rsid w:val="00B41BF8"/>
    <w:rsid w:val="00B42507"/>
    <w:rsid w:val="00B73166"/>
    <w:rsid w:val="00B7319A"/>
    <w:rsid w:val="00BB1C98"/>
    <w:rsid w:val="00BE5269"/>
    <w:rsid w:val="00C617C1"/>
    <w:rsid w:val="00CD3D45"/>
    <w:rsid w:val="00D22D1D"/>
    <w:rsid w:val="00D73E82"/>
    <w:rsid w:val="00DA1F70"/>
    <w:rsid w:val="00DC2722"/>
    <w:rsid w:val="00DE2FD3"/>
    <w:rsid w:val="00E13477"/>
    <w:rsid w:val="00E44D61"/>
    <w:rsid w:val="00E73419"/>
    <w:rsid w:val="00E76B61"/>
    <w:rsid w:val="00EA747F"/>
    <w:rsid w:val="00EC4CA3"/>
    <w:rsid w:val="00EE1423"/>
    <w:rsid w:val="00EF6F57"/>
    <w:rsid w:val="00EF7B56"/>
    <w:rsid w:val="00F17EE6"/>
    <w:rsid w:val="00F53730"/>
    <w:rsid w:val="00F75141"/>
    <w:rsid w:val="00F81979"/>
    <w:rsid w:val="00F93151"/>
    <w:rsid w:val="00FE0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C6EF"/>
  <w15:chartTrackingRefBased/>
  <w15:docId w15:val="{367A4D1C-E203-49BA-8776-99E56AF4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2BA0"/>
    <w:pPr>
      <w:spacing w:after="120" w:line="252" w:lineRule="auto"/>
      <w:jc w:val="both"/>
    </w:pPr>
    <w:rPr>
      <w:rFonts w:ascii="Arial" w:eastAsiaTheme="minorEastAsia" w:hAnsi="Arial"/>
      <w:sz w:val="20"/>
    </w:rPr>
  </w:style>
  <w:style w:type="paragraph" w:styleId="Naslov1">
    <w:name w:val="heading 1"/>
    <w:basedOn w:val="Navaden"/>
    <w:next w:val="Navaden"/>
    <w:link w:val="Naslov1Znak"/>
    <w:uiPriority w:val="9"/>
    <w:qFormat/>
    <w:rsid w:val="007F2BA0"/>
    <w:pPr>
      <w:keepNext/>
      <w:keepLines/>
      <w:spacing w:before="320" w:after="240"/>
      <w:jc w:val="center"/>
      <w:outlineLvl w:val="0"/>
    </w:pPr>
    <w:rPr>
      <w:rFonts w:eastAsiaTheme="majorEastAsia" w:cstheme="majorBidi"/>
      <w:b/>
      <w:bCs/>
      <w:caps/>
      <w:spacing w:val="4"/>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F2BA0"/>
    <w:rPr>
      <w:rFonts w:ascii="Arial" w:eastAsiaTheme="majorEastAsia" w:hAnsi="Arial" w:cstheme="majorBidi"/>
      <w:b/>
      <w:bCs/>
      <w:caps/>
      <w:spacing w:val="4"/>
      <w:sz w:val="20"/>
      <w:szCs w:val="28"/>
    </w:rPr>
  </w:style>
  <w:style w:type="paragraph" w:styleId="Glava">
    <w:name w:val="header"/>
    <w:basedOn w:val="Navaden"/>
    <w:link w:val="GlavaZnak"/>
    <w:uiPriority w:val="99"/>
    <w:rsid w:val="007F2BA0"/>
    <w:pPr>
      <w:tabs>
        <w:tab w:val="center" w:pos="4320"/>
        <w:tab w:val="right" w:pos="8640"/>
      </w:tabs>
      <w:spacing w:after="0" w:line="260" w:lineRule="exact"/>
    </w:pPr>
    <w:rPr>
      <w:rFonts w:eastAsia="Times New Roman" w:cs="Times New Roman"/>
      <w:szCs w:val="24"/>
    </w:rPr>
  </w:style>
  <w:style w:type="character" w:customStyle="1" w:styleId="GlavaZnak">
    <w:name w:val="Glava Znak"/>
    <w:basedOn w:val="Privzetapisavaodstavka"/>
    <w:link w:val="Glava"/>
    <w:uiPriority w:val="99"/>
    <w:rsid w:val="007F2BA0"/>
    <w:rPr>
      <w:rFonts w:ascii="Arial" w:eastAsia="Times New Roman" w:hAnsi="Arial" w:cs="Times New Roman"/>
      <w:sz w:val="20"/>
      <w:szCs w:val="24"/>
    </w:rPr>
  </w:style>
  <w:style w:type="paragraph" w:customStyle="1" w:styleId="Naslovpredpisa">
    <w:name w:val="Naslov_predpisa"/>
    <w:basedOn w:val="Navaden"/>
    <w:link w:val="NaslovpredpisaZnak"/>
    <w:rsid w:val="007F2BA0"/>
    <w:pPr>
      <w:suppressAutoHyphens/>
      <w:overflowPunct w:val="0"/>
      <w:autoSpaceDE w:val="0"/>
      <w:autoSpaceDN w:val="0"/>
      <w:adjustRightInd w:val="0"/>
      <w:spacing w:before="12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7F2BA0"/>
    <w:rPr>
      <w:rFonts w:ascii="Arial" w:eastAsia="Times New Roman" w:hAnsi="Arial" w:cs="Arial"/>
      <w:b/>
      <w:sz w:val="20"/>
      <w:lang w:eastAsia="sl-SI"/>
    </w:rPr>
  </w:style>
  <w:style w:type="paragraph" w:customStyle="1" w:styleId="Poglavje">
    <w:name w:val="Poglavje"/>
    <w:basedOn w:val="Navaden"/>
    <w:qFormat/>
    <w:rsid w:val="007F2BA0"/>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rsid w:val="007F2BA0"/>
    <w:pPr>
      <w:overflowPunct w:val="0"/>
      <w:autoSpaceDE w:val="0"/>
      <w:autoSpaceDN w:val="0"/>
      <w:adjustRightInd w:val="0"/>
      <w:spacing w:before="60" w:after="60" w:line="200" w:lineRule="exact"/>
      <w:textAlignment w:val="baseline"/>
    </w:pPr>
    <w:rPr>
      <w:rFonts w:eastAsia="Times New Roman" w:cs="Arial"/>
      <w:lang w:eastAsia="sl-SI"/>
    </w:rPr>
  </w:style>
  <w:style w:type="character" w:customStyle="1" w:styleId="NeotevilenodstavekZnak">
    <w:name w:val="Neoštevilčen odstavek Znak"/>
    <w:link w:val="Neotevilenodstavek"/>
    <w:rsid w:val="007F2BA0"/>
    <w:rPr>
      <w:rFonts w:ascii="Arial" w:eastAsia="Times New Roman" w:hAnsi="Arial" w:cs="Arial"/>
      <w:sz w:val="20"/>
      <w:lang w:eastAsia="sl-SI"/>
    </w:rPr>
  </w:style>
  <w:style w:type="paragraph" w:customStyle="1" w:styleId="Oddelek">
    <w:name w:val="Oddelek"/>
    <w:basedOn w:val="Navaden"/>
    <w:link w:val="OddelekZnak1"/>
    <w:qFormat/>
    <w:rsid w:val="007F2BA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7F2BA0"/>
    <w:rPr>
      <w:rFonts w:ascii="Arial" w:eastAsia="Times New Roman" w:hAnsi="Arial" w:cs="Arial"/>
      <w:b/>
      <w:sz w:val="20"/>
      <w:lang w:eastAsia="sl-SI"/>
    </w:rPr>
  </w:style>
  <w:style w:type="paragraph" w:styleId="Odstavekseznama">
    <w:name w:val="List Paragraph"/>
    <w:aliases w:val="Odstavec1"/>
    <w:basedOn w:val="Navaden"/>
    <w:link w:val="OdstavekseznamaZnak"/>
    <w:uiPriority w:val="34"/>
    <w:qFormat/>
    <w:rsid w:val="007F2BA0"/>
  </w:style>
  <w:style w:type="character" w:customStyle="1" w:styleId="OdstavekseznamaZnak">
    <w:name w:val="Odstavek seznama Znak"/>
    <w:aliases w:val="Odstavec1 Znak"/>
    <w:link w:val="Odstavekseznama"/>
    <w:uiPriority w:val="34"/>
    <w:qFormat/>
    <w:rsid w:val="007F2BA0"/>
    <w:rPr>
      <w:rFonts w:ascii="Arial" w:eastAsiaTheme="minorEastAsia" w:hAnsi="Arial"/>
      <w:sz w:val="20"/>
    </w:rPr>
  </w:style>
  <w:style w:type="character" w:styleId="Hiperpovezava">
    <w:name w:val="Hyperlink"/>
    <w:uiPriority w:val="99"/>
    <w:rsid w:val="007F2BA0"/>
    <w:rPr>
      <w:color w:val="000080"/>
      <w:u w:val="single"/>
    </w:rPr>
  </w:style>
  <w:style w:type="paragraph" w:customStyle="1" w:styleId="Vrstapredpisa">
    <w:name w:val="Vrsta predpisa"/>
    <w:basedOn w:val="Navaden"/>
    <w:link w:val="VrstapredpisaZnak"/>
    <w:qFormat/>
    <w:rsid w:val="007F2BA0"/>
    <w:pPr>
      <w:suppressAutoHyphens/>
      <w:overflowPunct w:val="0"/>
      <w:autoSpaceDE w:val="0"/>
      <w:autoSpaceDN w:val="0"/>
      <w:adjustRightInd w:val="0"/>
      <w:spacing w:before="360" w:after="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7F2BA0"/>
    <w:rPr>
      <w:rFonts w:ascii="Arial" w:eastAsia="Times New Roman" w:hAnsi="Arial" w:cs="Arial"/>
      <w:b/>
      <w:bCs/>
      <w:color w:val="000000"/>
      <w:spacing w:val="40"/>
      <w:sz w:val="20"/>
      <w:lang w:eastAsia="sl-SI"/>
    </w:rPr>
  </w:style>
  <w:style w:type="table" w:styleId="Tabelamrea">
    <w:name w:val="Table Grid"/>
    <w:basedOn w:val="Navadnatabela"/>
    <w:uiPriority w:val="39"/>
    <w:rsid w:val="00F9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A747F"/>
    <w:pPr>
      <w:spacing w:after="0" w:line="240" w:lineRule="auto"/>
    </w:pPr>
    <w:rPr>
      <w:rFonts w:ascii="Arial" w:eastAsiaTheme="minorEastAsia" w:hAnsi="Arial"/>
      <w:sz w:val="20"/>
    </w:rPr>
  </w:style>
  <w:style w:type="paragraph" w:styleId="Navadensplet">
    <w:name w:val="Normal (Web)"/>
    <w:basedOn w:val="Navaden"/>
    <w:uiPriority w:val="99"/>
    <w:semiHidden/>
    <w:unhideWhenUsed/>
    <w:rsid w:val="00F75141"/>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Sprotnaopomba-besedilo">
    <w:name w:val="footnote text"/>
    <w:aliases w:val="Footnote,Char Char,Sprotna opomba - besedilo Znak1,Sprotna opomba - besedilo Znak Znak2,Sprotna opomba - besedilo Znak1 Znak Znak1,Sprotna opomba - besedilo Znak1 Znak Znak Znak,Footnot,CAP TABELA Char,CapSlika Char,ft"/>
    <w:basedOn w:val="Navaden"/>
    <w:link w:val="Sprotnaopomba-besediloZnak"/>
    <w:unhideWhenUsed/>
    <w:qFormat/>
    <w:rsid w:val="001715EF"/>
    <w:pPr>
      <w:spacing w:before="60" w:after="0" w:line="240" w:lineRule="auto"/>
      <w:ind w:left="284" w:hanging="284"/>
      <w:jc w:val="left"/>
    </w:pPr>
    <w:rPr>
      <w:rFonts w:eastAsia="Times New Roman" w:cs="Times New Roman"/>
      <w:sz w:val="18"/>
      <w:szCs w:val="20"/>
    </w:rPr>
  </w:style>
  <w:style w:type="character" w:customStyle="1" w:styleId="Sprotnaopomba-besediloZnak">
    <w:name w:val="Sprotna opomba - besedilo Znak"/>
    <w:aliases w:val="Footnote Znak,Char Char Znak,Sprotna opomba - besedilo Znak1 Znak,Sprotna opomba - besedilo Znak Znak2 Znak,Sprotna opomba - besedilo Znak1 Znak Znak1 Znak,Sprotna opomba - besedilo Znak1 Znak Znak Znak Znak,Footnot Znak"/>
    <w:basedOn w:val="Privzetapisavaodstavka"/>
    <w:link w:val="Sprotnaopomba-besedilo"/>
    <w:qFormat/>
    <w:rsid w:val="001715EF"/>
    <w:rPr>
      <w:rFonts w:ascii="Arial" w:eastAsia="Times New Roman" w:hAnsi="Arial" w:cs="Times New Roman"/>
      <w:sz w:val="18"/>
      <w:szCs w:val="20"/>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link w:val="FootnotesymbolCarZchn"/>
    <w:uiPriority w:val="99"/>
    <w:unhideWhenUsed/>
    <w:qFormat/>
    <w:rsid w:val="001715E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1715EF"/>
    <w:pPr>
      <w:spacing w:after="160" w:line="240" w:lineRule="exact"/>
    </w:pPr>
    <w:rPr>
      <w:rFonts w:asciiTheme="minorHAnsi" w:eastAsia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3452">
      <w:bodyDiv w:val="1"/>
      <w:marLeft w:val="0"/>
      <w:marRight w:val="0"/>
      <w:marTop w:val="0"/>
      <w:marBottom w:val="0"/>
      <w:divBdr>
        <w:top w:val="none" w:sz="0" w:space="0" w:color="auto"/>
        <w:left w:val="none" w:sz="0" w:space="0" w:color="auto"/>
        <w:bottom w:val="none" w:sz="0" w:space="0" w:color="auto"/>
        <w:right w:val="none" w:sz="0" w:space="0" w:color="auto"/>
      </w:divBdr>
    </w:div>
    <w:div w:id="1529877154">
      <w:bodyDiv w:val="1"/>
      <w:marLeft w:val="0"/>
      <w:marRight w:val="0"/>
      <w:marTop w:val="0"/>
      <w:marBottom w:val="0"/>
      <w:divBdr>
        <w:top w:val="none" w:sz="0" w:space="0" w:color="auto"/>
        <w:left w:val="none" w:sz="0" w:space="0" w:color="auto"/>
        <w:bottom w:val="none" w:sz="0" w:space="0" w:color="auto"/>
        <w:right w:val="none" w:sz="0" w:space="0" w:color="auto"/>
      </w:divBdr>
    </w:div>
    <w:div w:id="168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B790B2-6929-4072-BC9B-52F6BAB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3536</Words>
  <Characters>20158</Characters>
  <Application>Microsoft Office Word</Application>
  <DocSecurity>4</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Komac</dc:creator>
  <cp:keywords/>
  <dc:description/>
  <cp:lastModifiedBy>Dijana Jukić</cp:lastModifiedBy>
  <cp:revision>2</cp:revision>
  <cp:lastPrinted>2023-11-09T14:17:00Z</cp:lastPrinted>
  <dcterms:created xsi:type="dcterms:W3CDTF">2023-11-20T16:33:00Z</dcterms:created>
  <dcterms:modified xsi:type="dcterms:W3CDTF">2023-11-20T16:33:00Z</dcterms:modified>
</cp:coreProperties>
</file>