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SredinskoOdebeljeno"/>
        <w:spacing w:after="0" w:line="260" w:lineRule="auto"/>
      </w:pPr>
      <w:r>
        <w:t>UREDBA O IZVAJANJU UREDBE (EU) O HORIZONTALNIH ZAHTEVAH GLEDE KIBERNETSKE VARNOSTI ZA IZDELKE Z DIGITALNIMI ELEMENTI</w:t>
      </w:r>
    </w:p>
    <w:p>
      <w:pPr>
        <w:spacing w:after="0" w:line="260" w:lineRule="auto"/>
        <w:rPr>
          <w:rFonts w:ascii="Arial" w:hAnsi="Arial" w:cs="Arial"/>
        </w:rPr>
      </w:pPr>
    </w:p>
    <w:p>
      <w:pPr>
        <w:pStyle w:val="Sredinsko"/>
        <w:spacing w:after="0" w:line="260" w:lineRule="auto"/>
      </w:pPr>
      <w:r>
        <w:t>PREDLOG</w:t>
      </w:r>
    </w:p>
    <w:p>
      <w:pPr>
        <w:spacing w:after="0" w:line="260" w:lineRule="auto"/>
        <w:rPr>
          <w:rFonts w:ascii="Arial" w:hAnsi="Arial" w:cs="Arial"/>
        </w:rPr>
      </w:pPr>
    </w:p>
    <w:p>
      <w:pPr>
        <w:spacing w:after="0" w:line="260" w:lineRule="auto"/>
        <w:rPr>
          <w:rFonts w:ascii="Arial" w:hAnsi="Arial" w:cs="Arial"/>
        </w:rPr>
      </w:pPr>
    </w:p>
    <w:p>
      <w:pPr>
        <w:pStyle w:val="Sredinsko"/>
        <w:spacing w:after="0" w:line="260" w:lineRule="auto"/>
      </w:pPr>
      <w:r>
        <w:t>EVA: 2026-1544-0001</w:t>
      </w:r>
    </w:p>
    <w:p>
      <w:r>
        <w:br w:type="page"/>
      </w:r>
    </w:p>
    <w:p>
      <w:pPr>
        <w:pStyle w:val="Odebeljeno"/>
        <w:spacing w:after="0" w:line="260" w:lineRule="auto"/>
      </w:pPr>
      <w:r>
        <w:t>I.</w:t>
      </w:r>
      <w:r>
        <w:tab/>
      </w:r>
      <w:r>
        <w:t>UVOD</w:t>
      </w:r>
    </w:p>
    <w:p>
      <w:pPr>
        <w:pStyle w:val="Odebeljeno"/>
        <w:spacing w:after="0" w:line="260" w:lineRule="auto"/>
      </w:pPr>
      <w:r>
        <w:t>1.</w:t>
      </w:r>
      <w:r>
        <w:tab/>
      </w:r>
      <w:r>
        <w:t>Razlogi in podlage za izdajo</w:t>
      </w:r>
    </w:p>
    <w:p>
      <w:pPr>
        <w:spacing w:after="0" w:line="260" w:lineRule="auto"/>
        <w:rPr>
          <w:rFonts w:ascii="Arial" w:hAnsi="Arial" w:cs="Arial"/>
        </w:rPr>
      </w:pPr>
    </w:p>
    <w:p>
      <w:pPr>
        <w:spacing w:after="0" w:line="260" w:lineRule="auto"/>
      </w:pPr>
      <w:r>
        <w:t>Pravna podlaga:</w:t>
      </w:r>
    </w:p>
    <w:p>
      <w:pPr>
        <w:spacing w:after="0" w:line="240" w:lineRule="auto"/>
        <w:jc w:val="both"/>
      </w:pPr>
      <w:r>
        <w:t xml:space="preserve"> </w:t>
      </w:r>
    </w:p>
    <w:p>
      <w:pPr>
        <w:spacing w:after="0" w:line="240" w:lineRule="auto"/>
        <w:jc w:val="both"/>
      </w:pPr>
      <w:r>
        <w:t>Pravna podlaga za izdajo uredbe je sedmi odstavek 21. člena Zakona o Vladi Republike Slovenije</w:t>
      </w:r>
      <w:r>
        <w:t>[1</w:t>
      </w:r>
      <w:r>
        <w:t>]</w:t>
      </w:r>
      <w:r>
        <w:t>, ki določa, da Vlada RS za izvajanje predpisov Evropske unije izdaja uredbe in druge akte iz svoje pristojnosti.</w:t>
      </w:r>
    </w:p>
    <w:p>
      <w:pPr>
        <w:spacing w:after="0" w:line="240" w:lineRule="auto"/>
        <w:jc w:val="left"/>
      </w:pPr>
      <w:r>
        <w:br/>
      </w:r>
      <w:r>
        <w:t xml:space="preserve"> </w:t>
      </w:r>
    </w:p>
    <w:p>
      <w:pPr>
        <w:spacing w:after="0" w:line="240" w:lineRule="auto"/>
        <w:jc w:val="left"/>
      </w:pPr>
      <w:r>
        <w:t>[1</w:t>
      </w:r>
      <w:r>
        <w:t>]</w:t>
      </w:r>
      <w:r>
        <w:t xml:space="preserve"> Uradni list RS, št. 24/05 – uradno prečiščeno besedilo, 109/08, 38/10 – ZUKN, 8/12, 21/13, 47/13 – ZDU-1G, 65/14, 55/17, 163/22 in 57/25 – ZF.</w:t>
      </w:r>
    </w:p>
    <w:p>
      <w:pPr>
        <w:spacing w:after="0" w:line="260" w:lineRule="auto"/>
        <w:rPr>
          <w:rFonts w:ascii="Arial" w:hAnsi="Arial" w:cs="Arial"/>
        </w:rPr>
      </w:pPr>
    </w:p>
    <w:p>
      <w:pPr>
        <w:spacing w:after="0" w:line="260" w:lineRule="auto"/>
      </w:pPr>
      <w:r>
        <w:t>Rok za izdajo:</w:t>
      </w:r>
    </w:p>
    <w:p>
      <w:pPr>
        <w:spacing w:after="0" w:line="240" w:lineRule="auto"/>
        <w:jc w:val="both"/>
      </w:pPr>
      <w:r>
        <w:t>Uredba (EU) 2024/2847 Evropskega parlamenta in Sveta z dne 23. oktobra 2024 o horizontalnih zahtevah glede kibernetske varnosti za izdelke z digitalnimi elementi in spremembi uredb (EU) št. 168/2013 in (EU) 2019/1020 ter Direktive (EU) 2020/1828 (Akt o kibernetski odpornosti) (v nadaljnjem besedilu : Uredba 2024/2847/EU), ki v nacionalnem pravnem redu učinkuje in se uporablja neposredno, je začela veljati 10. 12. 2024, uporablja pa se (z nekaterimi izjemami kot sledijo v nadaljevanju) od 11. 12. 2027. Določbe Uredbe 2024/2847/EU, ki se nanašajo na priglasitev organov za ugotavljanje skladnosti (35. do 51. člen) se uporabljajo od 11. 6. 2026, 14. člen, ki se nanaša na obveznosti poročanja proizvajalcev o aktivnem izkoriščanju ranljivosti in resnih incidentih, pa se uporablja od 11. 9. 2026.</w:t>
      </w:r>
    </w:p>
    <w:p>
      <w:pPr>
        <w:spacing w:after="0" w:line="260" w:lineRule="auto"/>
        <w:rPr>
          <w:rFonts w:ascii="Arial" w:hAnsi="Arial" w:cs="Arial"/>
        </w:rPr>
      </w:pPr>
    </w:p>
    <w:p>
      <w:pPr>
        <w:spacing w:after="0" w:line="260" w:lineRule="auto"/>
      </w:pPr>
      <w:r>
        <w:t>Glavni razlogi za izdajo:</w:t>
      </w:r>
    </w:p>
    <w:p>
      <w:pPr>
        <w:spacing w:after="0" w:line="240" w:lineRule="auto"/>
      </w:pPr>
      <w:r>
        <w:t>Glavni razlog za sprejetje predpisa je zagotovitev učinkovitega izvajanja neposredno uporabljive Uredbe (EU) 2024/2847 v nacionalnem pravnem redu.</w:t>
      </w:r>
    </w:p>
    <w:p>
      <w:pPr>
        <w:spacing w:after="0" w:line="240" w:lineRule="auto"/>
      </w:pPr>
      <w:r>
        <w:t>Predpis je potreben, ker uredba EU zahteva, da države članice določijo pristojne organe za priglasitev organov za ugotavljanje skladnosti in za nadzor trga, uredijo posamezna postopkovna vprašanja izvajanja ter določijo sankcije za kršitve. Brez nacionalnega izvedbenega predpisa izvajanje nadzornih, priglasitvenih in sankcijskih nalog v Republiki Sloveniji ne bi bilo pravno in organizacijsko mogoče.</w:t>
      </w:r>
    </w:p>
    <w:p>
      <w:pPr>
        <w:spacing w:after="0" w:line="260" w:lineRule="auto"/>
        <w:rPr>
          <w:rFonts w:ascii="Arial" w:hAnsi="Arial" w:cs="Arial"/>
        </w:rPr>
      </w:pPr>
    </w:p>
    <w:p>
      <w:pPr>
        <w:pStyle w:val="Odebeljeno"/>
        <w:spacing w:after="0" w:line="260" w:lineRule="auto"/>
      </w:pPr>
      <w:r>
        <w:t>2.</w:t>
      </w:r>
      <w:r>
        <w:tab/>
      </w:r>
      <w:r>
        <w:t>Ocena finančnih posledic predloga akta za državni proračun in druga javna finančna sredstva</w:t>
      </w:r>
    </w:p>
    <w:p>
      <w:pPr>
        <w:spacing w:after="0" w:line="260" w:lineRule="auto"/>
        <w:rPr>
          <w:rFonts w:ascii="Arial" w:hAnsi="Arial" w:cs="Arial"/>
        </w:rPr>
      </w:pPr>
    </w:p>
    <w:p>
      <w:pPr>
        <w:pStyle w:val="Odebeljeno"/>
        <w:spacing w:after="0" w:line="260" w:lineRule="auto"/>
        <w:ind w:left="360" w:hanging="360"/>
      </w:pPr>
      <w:r>
        <w:tab/>
      </w:r>
      <w:r>
        <w:t>Predpis ima posledice za državni proračun in druga javnofinančna sredstva.</w:t>
      </w:r>
    </w:p>
    <w:p>
      <w:pPr>
        <w:spacing w:after="0" w:line="260" w:lineRule="auto"/>
        <w:rPr>
          <w:rFonts w:ascii="Arial" w:hAnsi="Arial" w:cs="Arial"/>
        </w:rPr>
      </w:pPr>
    </w:p>
    <w:p>
      <w:pPr>
        <w:pStyle w:val="Odebeljeno"/>
        <w:spacing w:after="0" w:line="260" w:lineRule="auto"/>
        <w:ind w:left="720" w:hanging="360"/>
      </w:pPr>
      <w:r>
        <w:t>–</w:t>
      </w:r>
      <w:r>
        <w:tab/>
      </w:r>
      <w:r>
        <w:t>Predpis ima posledice za blagajne javnega financiranja (državni proračun, občinski proračuni ter pokojninska in zdravstvena blagajna).</w:t>
      </w:r>
    </w:p>
    <w:p>
      <w:pPr>
        <w:spacing w:after="0" w:line="260" w:lineRule="auto"/>
        <w:rPr>
          <w:rFonts w:ascii="Arial" w:hAnsi="Arial" w:cs="Arial"/>
        </w:rPr>
      </w:pPr>
    </w:p>
    <w:p>
      <w:pPr>
        <w:spacing w:after="0" w:line="260" w:lineRule="auto"/>
        <w:ind w:left="1080" w:hanging="360"/>
      </w:pPr>
      <w:r>
        <w:t>–</w:t>
      </w:r>
      <w:r>
        <w:tab/>
      </w:r>
      <w:r>
        <w:t>Predpis ima na blagajne javnega financiranja učinek v vrednosti nad 40.000 eur.</w:t>
      </w:r>
    </w:p>
    <w:p>
      <w:pPr>
        <w:spacing w:after="0" w:line="260" w:lineRule="auto"/>
        <w:rPr>
          <w:rFonts w:ascii="Arial" w:hAnsi="Arial" w:cs="Arial"/>
        </w:rPr>
      </w:pPr>
    </w:p>
    <w:p>
      <w:pPr>
        <w:spacing w:after="0" w:line="240" w:lineRule="auto"/>
        <w:jc w:val="both"/>
      </w:pPr>
      <w:r>
        <w:t>Izvajanje Uredbe 2024/2847/EU zahteva vzpostavitev novih in razširjenih nalog URSIV kot priglasitvenega organa in organa za nadzor trga. Naloge obsegajo postopke priglasitve organov za ugotavljanje skladnosti, izvajanje nadzora nad izpolnjevanjem obveznosti gospodarskih subjektov, obravnavo poročil o aktivno izkoriščenih ranljivostih in resnih incidentih, sodelovanje v evropskih koordinacijskih strukturah ter podporo izvajanju postopkov ugotavljanja skladnosti in sankcioniranja.</w:t>
      </w:r>
    </w:p>
    <w:p>
      <w:pPr>
        <w:spacing w:after="0" w:line="240" w:lineRule="auto"/>
        <w:jc w:val="both"/>
      </w:pPr>
      <w:r>
        <w:t xml:space="preserve"> </w:t>
      </w:r>
    </w:p>
    <w:p>
      <w:pPr>
        <w:spacing w:after="0" w:line="240" w:lineRule="auto"/>
        <w:jc w:val="both"/>
      </w:pPr>
      <w:r>
        <w:t>Finančne posledice izhajajo predvsem iz potrebe po postopni kadrovski krepitvi URSIV. Predvideno je zaporedno zaposlovanje strokovnih kadrov različnih ravni zahtevnosti, in sicer sekretarja kot vodje sektorja, podsekretarjev ter višjih svetovalcev, kar bo omogočilo stabilno in trajnostno izvajanje nalog ter prenos znanja znotraj organa. V letu 2026 so predvideni stroški za tri nove zaposlitve, in sicer sekretarja kot vodjo sektorja, podsekretarja in višjega svetovalca, v višini 174.000,00 EUR. V letu 2027 se predvideva zaposlitev dodatnega podsekretarja, tako da bodo stroški za štiri zaposlene v letu 2027 znašali 236.000,00 EUR. V letu 2028 se predvideva zaposlitev dodatnega višjega svetovalca, s čimer se skupno število zaposlenih poveča na pet, skupni stroški bodo tako znašali 300.000,00 EUR. V letu 2029 se ohranja pet zaposlenih, skupni kadrovski stroški bodo znašali 305.000,00 EUR. Kadrovski stroški vključujejo vse elemente plače in pripadajoče obveznosti ter bodo v celoti financirani iz proračuna URSIV na proračunski postavki PP 221003 – Plače.</w:t>
      </w:r>
    </w:p>
    <w:p>
      <w:pPr>
        <w:spacing w:after="0" w:line="240" w:lineRule="auto"/>
        <w:jc w:val="both"/>
      </w:pPr>
      <w:r>
        <w:t xml:space="preserve"> </w:t>
      </w:r>
    </w:p>
    <w:p>
      <w:pPr>
        <w:spacing w:after="0" w:line="240" w:lineRule="auto"/>
        <w:jc w:val="both"/>
      </w:pPr>
      <w:r>
        <w:t>Iz naslova izvajanje nadzora nad izpolnjevanjem obveznosti gospodarskih subjektov se predvideva tudi kadrovska krepitev TIRS, in sicer pet novih zaposlitev (inšpektorjev), kar na letni ravni predstavlja strošek v višini 250.000,00 EUR (50.000,00 EUR na novo zaposlenega). Ker se bodo določbe Uredbe 2024/2847/EU in predlagane uredbe, ki se nanašajo na izvajanje nadzorstvenih pristojnosti, pričele uporabljati 11. decembra 2027, so stroški iz naslova novih zaposlitev predvideni v letih 2028 in 2029. Finančna sredstva za kadrovske stroške TIRS bodo načrtovana pri pripravi proračuna za leti 2028 in 2029.</w:t>
      </w:r>
    </w:p>
    <w:p>
      <w:pPr>
        <w:spacing w:after="0" w:line="240" w:lineRule="auto"/>
        <w:jc w:val="both"/>
      </w:pPr>
      <w:r>
        <w:t xml:space="preserve"> </w:t>
      </w:r>
    </w:p>
    <w:p>
      <w:pPr>
        <w:spacing w:after="0" w:line="240" w:lineRule="auto"/>
        <w:jc w:val="both"/>
      </w:pPr>
      <w:r>
        <w:t>Na področju materialnih in storitvenih stroškov se za potrebe Uredbe 2024/2847/EU ne predvideva vzpostavitev ločene informacijske platforme kot samostojne rešitve. Namesto tega se bo v okviru obstoječe nacionalne platforme za priglasitev kibernetskih incidentov, vzpostavljene na podlagi Zakona o informacijski varnosti in financirane iz sredstev Mehanizma za okrevanje in odpornost, izdelal dodaten funkcionalni modul, ki bo omogočal poročanje v skladu z obveznostmi iz Uredbe 2024/2847/EU. Stroški izdelave dodatnega modula so ocenjeni kot bistveno nižji od stroškov, ki bi nastali z izdelavo in vzdrževanjem popolnoma ločene platforme. Ta pristop je skladen s strateško vizijo Evropske komisije, ki je v okviru paketa Digital Omnibus predlagala uvedbo centralizirane enotne vstopne točke (ang. Single Entry Point (SEP)) za poročanje o kibernetskih incidentih in ranljivostih. Koncept SEP naj bi po omogočil enotno poročanje na podlagi večih EU predpisov (npr. Direktive 2022/2555/EU, Uredbe 2022/2554/EU, Direktive 2022/2557/EU in pozneje tudi Uredbe 2024/2847/EU) preko ene same varne vmesne točke, s čimer se bo poenostavila administrativna obveznost in zmanjšala razpršenost informacijskih poti. ENISA naj bi v prihodnosti razvijala in upravljala enotno portalno rešitev, ki bo v celoti interoperabilna z rešitvami posameznih držav članic in bo omogočala izmenjavo poročil med pristojnimi organi EU ter pristojnimi nacionalnimi organi. Predviden evropski okvir podpira racionalizacijo poročanja in usklajeno upravljanje incidentov ter ranljivosti na ravni EU, kar je v skladu z nacionalno rešitvijo, ki temelji na integriranem modulu obstoječe platforme.</w:t>
      </w:r>
    </w:p>
    <w:p>
      <w:pPr>
        <w:spacing w:after="0" w:line="240" w:lineRule="auto"/>
        <w:jc w:val="both"/>
      </w:pPr>
      <w:r>
        <w:t xml:space="preserve"> </w:t>
      </w:r>
    </w:p>
    <w:p>
      <w:pPr>
        <w:spacing w:after="0" w:line="240" w:lineRule="auto"/>
        <w:jc w:val="both"/>
      </w:pPr>
      <w:r>
        <w:t>Dodatni stroški se tako nanašajo predvsem na nujno integracijo nacionalnih informacijskih rešitev z informacijskimi sistemi ENISA oziroma Evropske komisije ter na zagotavljanje zunanje strokovne podpore. Zunanja ekspertiza je potrebna zlasti v začetnih letih izvajanja Uredbe 2024/2847/EU za usposabljanje zaposlenih, pridobivanje specializiranih znanj, pripravo strokovnih analiz, pravnih mnenj in podpornih študij, ki omogočajo samostojno in učinkovito izvajanje nalog URSIV v nadaljnjem obdobju. Predvideni so tudi stroški službenih potovanj, povezani s sodelovanjem URSIV v evropskih delovnih skupinah, odborih in usklajevalnih mehanizmih, ki so nujni za enotno izvajanje Uredbe 2024/2847/EU na ravni EU.</w:t>
      </w:r>
    </w:p>
    <w:p>
      <w:pPr>
        <w:spacing w:after="0" w:line="240" w:lineRule="auto"/>
        <w:jc w:val="both"/>
      </w:pPr>
      <w:r>
        <w:t xml:space="preserve"> </w:t>
      </w:r>
    </w:p>
    <w:p>
      <w:pPr>
        <w:spacing w:after="0" w:line="240" w:lineRule="auto"/>
        <w:ind w:left="1080"/>
      </w:pPr>
      <w:r>
        <w:t>Materialni in storitveni stroški URSIV vključujejo finančna sredstva za zagotavljanje strokovne in tehnične podpore izvajanju Uredbe 2024/2847/EU. V letu 2026 so predvidene finančne posledice v višini 70.000,00 EUR (30.000,00 EUR za raziskave, analize in študije, ki so potrebne za razlago in spremljanje tehničnih ter pravnih zahtev uredbe, 20.000,00 EUR za izobraževanja, usposabljanja, tečaje in certifikate zaposlenih, 10.000,00 EUR za stroške službenih potovanj iz naslova sodelovanja v evropskih delovnih skupinah in koordinacijskih mehanizmih, enkratni strošek v višini 10.000,00 EUR za integracijo nacionalnih informacijskih sistemov z informacijskimi sistemi EU). V letih 2027, 2028 in 2029 se predvidevajo materialni in storitveni stroški v višini 60.000,00 EUR letno, ki se nanašajo na nadaljnje raziskave, analize in študije, izobraževanja in usposabljanja zaposlenih ter stroške sodelovanja URSIV v evropskih delovnih skupinah in koordinacijskih mehanizmih. Materialni in storitveni stroški bodo v celoti financirani iz proračuna URSIV na proračunski postavki PP 221006 – Dvig ravni kibernetske varnosti.</w:t>
      </w:r>
    </w:p>
    <w:p>
      <w:pPr>
        <w:spacing w:after="0" w:line="240" w:lineRule="auto"/>
        <w:ind w:left="1080" w:firstLine="0"/>
      </w:pPr>
    </w:p>
    <w:p>
      <w:pPr>
        <w:pStyle w:val="Odebeljeno"/>
        <w:spacing w:after="0" w:line="260" w:lineRule="auto"/>
        <w:ind w:left="720" w:hanging="360"/>
      </w:pPr>
      <w:r>
        <w:t>–</w:t>
      </w:r>
      <w:r>
        <w:tab/>
      </w:r>
      <w:r>
        <w:t>Predpis ima negativen učinek na potrebna dodatna sredstva ali zmanjšanje teh sredstev, na stroške dela (dodatne zaposlitve ali zmanjšanje), druge operativne stroške (nakup pisarniške opreme, stroški prevoza, (najem/nakup) stroške nepremičnin, na uvajanje novih digitalnih storitev (stroški nakupa/najema strojne opreme, stroški vzpostavitve/nadgradnje informacijskih sistemov in vzpostavitve povezljivosti evidenc vključevanja zunanjih izvajalcev oziroma storitev, itd..</w:t>
      </w:r>
    </w:p>
    <w:p>
      <w:pPr>
        <w:spacing w:after="0" w:line="260" w:lineRule="auto"/>
        <w:rPr>
          <w:rFonts w:ascii="Arial" w:hAnsi="Arial" w:cs="Arial"/>
        </w:rPr>
      </w:pPr>
    </w:p>
    <w:p>
      <w:pPr>
        <w:spacing w:after="0" w:line="240" w:lineRule="auto"/>
        <w:ind w:left="720"/>
      </w:pPr>
      <w:r>
        <w:t>Posebni ukrepi racionalizacije niso predvideni. Racionalizacija se zagotavlja z uporabo obstoječe nacionalne platforme z dodatnim funkcionalnim modulom namesto vzpostavitve ločene rešitve ter z izvajanjem nalog v okviru obstoječih organov.</w:t>
      </w:r>
    </w:p>
    <w:p>
      <w:pPr>
        <w:spacing w:after="0" w:line="240" w:lineRule="auto"/>
        <w:ind w:left="720" w:firstLine="0"/>
      </w:pPr>
    </w:p>
    <w:p>
      <w:pPr>
        <w:pStyle w:val="Odebeljeno"/>
        <w:spacing w:after="0" w:line="260" w:lineRule="auto"/>
        <w:ind w:left="720" w:hanging="360"/>
      </w:pPr>
      <w:r>
        <w:t>–</w:t>
      </w:r>
      <w:r>
        <w:tab/>
      </w:r>
      <w:r>
        <w:t>Predpis ima negativen učinek na zvišanje posrednih stroškov glede javnih financ pri njegovem izvajanju (zaposlovanje in stroški, povezani s tem, stroški zunanjih izvajalcev itd.).</w:t>
      </w:r>
    </w:p>
    <w:p>
      <w:pPr>
        <w:spacing w:after="0" w:line="260" w:lineRule="auto"/>
        <w:rPr>
          <w:rFonts w:ascii="Arial" w:hAnsi="Arial" w:cs="Arial"/>
        </w:rPr>
      </w:pPr>
    </w:p>
    <w:p>
      <w:pPr>
        <w:spacing w:after="0" w:line="240" w:lineRule="auto"/>
        <w:ind w:left="720"/>
      </w:pPr>
      <w:r>
        <w:t>Za izvajanje predpisa bo treba zagotoviti dodatne zaposlitve, dodatne materialne in storitvene stroške ter zunanjo strokovno podporo.</w:t>
      </w:r>
    </w:p>
    <w:p>
      <w:pPr>
        <w:spacing w:after="0" w:line="240" w:lineRule="auto"/>
        <w:ind w:left="720" w:firstLine="0"/>
      </w:pPr>
    </w:p>
    <w:p>
      <w:pPr>
        <w:pStyle w:val="Odebeljeno"/>
        <w:spacing w:after="0" w:line="260" w:lineRule="auto"/>
        <w:ind w:left="720" w:hanging="360"/>
      </w:pPr>
      <w:r>
        <w:t>–</w:t>
      </w:r>
      <w:r>
        <w:tab/>
      </w:r>
      <w:r>
        <w:t>Predpis ima negativen učinek na odhodke podjetij/ustanov, ki ne vplivajo neposredno na javne finančne blagajne (odstopljena dajatev, prenos stroškov ukrepa).</w:t>
      </w:r>
    </w:p>
    <w:p>
      <w:pPr>
        <w:spacing w:after="0" w:line="260" w:lineRule="auto"/>
        <w:rPr>
          <w:rFonts w:ascii="Arial" w:hAnsi="Arial" w:cs="Arial"/>
        </w:rPr>
      </w:pPr>
    </w:p>
    <w:p>
      <w:pPr>
        <w:spacing w:after="0" w:line="240" w:lineRule="auto"/>
        <w:ind w:left="720"/>
      </w:pPr>
      <w:r>
        <w:t>Uvedba obveznosti iz Uredbe (EU) 2024/2847 bo za proizvajalce, uvoznike in distributerje izdelkov z digitalnimi elementi povzročila dodatne stroške zaradi izpolnjevanja zahtev glede kibernetske varnosti, priprave tehnične dokumentacije, izvajanja ocene tveganja, zagotavljanja varnostnih posodobitev ter poročanja o ranljivostih in incidentih. Stroški bodo nastali tudi zaradi prilagoditve razvojnih in proizvodnih procesov ter morebitnega vključevanja zunanjih strokovnjakov ali postopkov ugotavljanja skladnosti.</w:t>
      </w:r>
    </w:p>
    <w:p>
      <w:pPr>
        <w:spacing w:after="0" w:line="240" w:lineRule="auto"/>
        <w:ind w:left="720"/>
      </w:pPr>
      <w:r>
        <w:t>Kvantitativna ocena teh stroškov ni na voljo, vendar se ocenjuje, da bodo za posamezne gospodarske subjekte zmerni do pomembni, odvisno od kompleksnosti izdelkov in stopnje obstoječe skladnosti z zahtevami kibernetske varnosti.</w:t>
      </w:r>
    </w:p>
    <w:p>
      <w:pPr>
        <w:spacing w:after="0" w:line="240" w:lineRule="auto"/>
        <w:ind w:left="720" w:firstLine="0"/>
      </w:pPr>
    </w:p>
    <w:p>
      <w:pPr>
        <w:spacing w:after="0" w:line="260" w:lineRule="auto"/>
        <w:rPr>
          <w:rFonts w:ascii="Arial" w:hAnsi="Arial" w:cs="Arial"/>
        </w:rPr>
      </w:pPr>
    </w:p>
    <w:p>
      <w:pPr>
        <w:pStyle w:val="Odebeljeno"/>
        <w:spacing w:after="0" w:line="260" w:lineRule="auto"/>
      </w:pPr>
      <w:r>
        <w:t>3.</w:t>
      </w:r>
      <w:r>
        <w:tab/>
      </w:r>
      <w:r>
        <w:t>Prikaz ureditve v drugih pravnih sistemih in prilagojenosti predlagane ureditve pravu Evropske unije</w:t>
      </w:r>
    </w:p>
    <w:p>
      <w:pPr>
        <w:spacing w:after="0" w:line="260" w:lineRule="auto"/>
        <w:rPr>
          <w:rFonts w:ascii="Arial" w:hAnsi="Arial" w:cs="Arial"/>
        </w:rPr>
      </w:pPr>
    </w:p>
    <w:p>
      <w:pPr>
        <w:pStyle w:val="Odebeljeno"/>
        <w:spacing w:after="0" w:line="260" w:lineRule="auto"/>
      </w:pPr>
      <w:r>
        <w:t>3.1</w:t>
      </w:r>
      <w:r>
        <w:tab/>
      </w:r>
      <w:r>
        <w:t>Prikaz ureditve v drugih pravnih sistemih</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3.2</w:t>
      </w:r>
      <w:r>
        <w:tab/>
      </w:r>
      <w:r>
        <w:t>Prikaz ureditve v pravnem redu Evropske unije</w:t>
      </w:r>
    </w:p>
    <w:p>
      <w:pPr>
        <w:spacing w:after="0" w:line="260" w:lineRule="auto"/>
        <w:rPr>
          <w:rFonts w:ascii="Arial" w:hAnsi="Arial" w:cs="Arial"/>
        </w:rPr>
      </w:pPr>
    </w:p>
    <w:tbl>
      <w:tblPr>
        <w:tblStyle w:val="TableGrid"/>
        <w:tblW w:w="0" w:type="auto"/>
        <w:tblLook w:val="04A0"/>
      </w:tblPr>
      <w:tblGrid>
        <w:gridCol w:w="9062"/>
      </w:tblGrid>
      <w:tr w:rsidTr="00E91806">
        <w:tblPrEx>
          <w:tblW w:w="0" w:type="auto"/>
          <w:tblLook w:val="04A0"/>
        </w:tblPrEx>
        <w:trPr>
          <w:trHeight w:val="416"/>
        </w:trPr>
        <w:tc>
          <w:tcPr>
            <w:tcW w:w="9062" w:type="dxa"/>
            <w:tcBorders>
              <w:bottom w:val="triple" w:sz="4" w:space="0" w:color="auto"/>
            </w:tcBorders>
            <w:vAlign w:val="center"/>
          </w:tcPr>
          <w:p>
            <w:pPr>
              <w:jc w:val="center"/>
              <w:rPr>
                <w:b/>
              </w:rPr>
            </w:pPr>
            <w:r>
              <w:rPr>
                <w:b/>
              </w:rPr>
              <w:t>IZJAVA O SKLADNOSTI S PRAVNIM REDOM EU</w:t>
            </w:r>
          </w:p>
        </w:tc>
      </w:tr>
    </w:tbl>
    <w:p>
      <w:pPr>
        <w:spacing w:after="0"/>
        <w:rPr>
          <w:b/>
          <w:u w:val="single"/>
        </w:rPr>
      </w:pPr>
      <w:r>
        <w:rPr>
          <w:b/>
          <w:u w:val="single"/>
        </w:rPr>
        <w:t>NASLOV PREDPISA RS</w:t>
      </w:r>
    </w:p>
    <w:p>
      <w:pPr>
        <w:spacing w:after="0"/>
      </w:pPr>
    </w:p>
    <w:p>
      <w:pPr>
        <w:spacing w:after="0" w:line="360" w:lineRule="auto"/>
        <w:rPr>
          <w:sz w:val="20"/>
          <w:szCs w:val="20"/>
        </w:rPr>
      </w:pPr>
      <w:r>
        <w:rPr>
          <w:sz w:val="20"/>
          <w:szCs w:val="20"/>
        </w:rPr>
        <w:t>Uredba o izvajanju uredbe (EU) o horizontalnih zahtevah glede kibernetske varnosti za izdelke z digitalnimi elementi</w:t>
      </w:r>
    </w:p>
    <w:p>
      <w:pPr>
        <w:spacing w:after="0"/>
      </w:pPr>
    </w:p>
    <w:p>
      <w:pPr>
        <w:spacing w:after="0"/>
        <w:rPr>
          <w:b/>
        </w:rPr>
      </w:pPr>
      <w:r>
        <w:rPr>
          <w:b/>
          <w:u w:val="single"/>
        </w:rPr>
        <w:t>EVA</w:t>
      </w:r>
    </w:p>
    <w:p>
      <w:pPr>
        <w:spacing w:after="0"/>
      </w:pPr>
      <w:r>
        <w:t>2026-1544-0001</w:t>
      </w:r>
    </w:p>
    <w:p>
      <w:pPr>
        <w:spacing w:after="0"/>
      </w:pPr>
    </w:p>
    <w:p>
      <w:pPr>
        <w:spacing w:after="0"/>
        <w:rPr>
          <w:b/>
          <w:u w:val="single"/>
        </w:rPr>
      </w:pPr>
      <w:r>
        <w:rPr>
          <w:b/>
          <w:u w:val="single"/>
        </w:rPr>
        <w:t>AKTI EU, KATERIH PRENOS ALI IZVAJANJE SE ZAGOTAVLJA S PREDPISOM RS</w:t>
      </w:r>
    </w:p>
    <w:p>
      <w:pPr>
        <w:spacing w:after="0"/>
      </w:pPr>
    </w:p>
    <w:tbl>
      <w:tblPr>
        <w:tblStyle w:val="Navadnatabela11"/>
        <w:tblW w:w="8628" w:type="dxa"/>
        <w:tblInd w:w="127" w:type="dxa"/>
        <w:tblLook w:val="04A0"/>
      </w:tblPr>
      <w:tblGrid>
        <w:gridCol w:w="694"/>
        <w:gridCol w:w="1559"/>
        <w:gridCol w:w="4816"/>
        <w:gridCol w:w="1559"/>
      </w:tblGrid>
      <w:tr>
        <w:tblPrEx>
          <w:tblW w:w="8628" w:type="dxa"/>
          <w:tblInd w:w="127" w:type="dxa"/>
          <w:tblLook w:val="04A0"/>
        </w:tblPrEx>
        <w:trPr>
          <w:tblHeader/>
        </w:trPr>
        <w:tc>
          <w:tcPr>
            <w:tcW w:w="694" w:type="dxa"/>
            <w:shd w:val="clear" w:color="auto" w:fill="808080"/>
          </w:tcPr>
          <w:p>
            <w:pPr>
              <w:jc w:val="center"/>
              <w:rPr>
                <w:b w:val="0"/>
                <w:sz w:val="20"/>
                <w:szCs w:val="20"/>
              </w:rPr>
            </w:pPr>
            <w:r>
              <w:rPr>
                <w:sz w:val="20"/>
                <w:szCs w:val="20"/>
              </w:rPr>
              <w:t>Št.</w:t>
            </w:r>
          </w:p>
        </w:tc>
        <w:tc>
          <w:tcPr>
            <w:tcW w:w="1559" w:type="dxa"/>
            <w:shd w:val="clear" w:color="auto" w:fill="808080"/>
          </w:tcPr>
          <w:p>
            <w:pPr>
              <w:jc w:val="center"/>
              <w:rPr>
                <w:b w:val="0"/>
                <w:sz w:val="20"/>
                <w:szCs w:val="20"/>
              </w:rPr>
            </w:pPr>
            <w:r>
              <w:rPr>
                <w:sz w:val="20"/>
                <w:szCs w:val="20"/>
              </w:rPr>
              <w:t>CELEX</w:t>
            </w:r>
          </w:p>
        </w:tc>
        <w:tc>
          <w:tcPr>
            <w:tcW w:w="4816" w:type="dxa"/>
            <w:shd w:val="clear" w:color="auto" w:fill="808080"/>
          </w:tcPr>
          <w:p>
            <w:pPr>
              <w:jc w:val="center"/>
              <w:rPr>
                <w:b w:val="0"/>
                <w:sz w:val="20"/>
                <w:szCs w:val="20"/>
              </w:rPr>
            </w:pPr>
            <w:r>
              <w:rPr>
                <w:sz w:val="20"/>
                <w:szCs w:val="20"/>
              </w:rPr>
              <w:t>Naslov</w:t>
            </w:r>
          </w:p>
        </w:tc>
        <w:tc>
          <w:tcPr>
            <w:tcW w:w="1559" w:type="dxa"/>
            <w:shd w:val="clear" w:color="auto" w:fill="808080"/>
          </w:tcPr>
          <w:p>
            <w:pPr>
              <w:jc w:val="center"/>
              <w:rPr>
                <w:sz w:val="20"/>
                <w:szCs w:val="20"/>
              </w:rPr>
            </w:pPr>
            <w:r>
              <w:rPr>
                <w:sz w:val="20"/>
                <w:szCs w:val="20"/>
              </w:rPr>
              <w:t>Zadnjič spremenjen z (CELEX)</w:t>
            </w:r>
          </w:p>
        </w:tc>
      </w:tr>
      <w:tr>
        <w:tblPrEx>
          <w:tblW w:w="8628" w:type="dxa"/>
          <w:tblInd w:w="127" w:type="dxa"/>
          <w:tblLook w:val="04A0"/>
        </w:tblPrEx>
        <w:tc>
          <w:tcPr>
            <w:tcW w:w="694" w:type="dxa"/>
          </w:tcPr>
          <w:p>
            <w:pPr>
              <w:rPr>
                <w:sz w:val="20"/>
                <w:szCs w:val="20"/>
              </w:rPr>
            </w:pPr>
            <w:r>
              <w:rPr>
                <w:sz w:val="20"/>
                <w:szCs w:val="20"/>
              </w:rPr>
              <w:t>1</w:t>
            </w:r>
          </w:p>
        </w:tc>
        <w:tc>
          <w:tcPr>
            <w:tcW w:w="1559" w:type="dxa"/>
          </w:tcPr>
          <w:p>
            <w:pPr>
              <w:rPr>
                <w:sz w:val="20"/>
                <w:szCs w:val="20"/>
              </w:rPr>
            </w:pPr>
            <w:r>
              <w:rPr>
                <w:sz w:val="20"/>
                <w:szCs w:val="20"/>
              </w:rPr>
              <w:t>32024R2847</w:t>
            </w:r>
          </w:p>
        </w:tc>
        <w:tc>
          <w:tcPr>
            <w:tcW w:w="5099" w:type="dxa"/>
          </w:tcPr>
          <w:p>
            <w:pPr>
              <w:rPr>
                <w:sz w:val="20"/>
                <w:szCs w:val="20"/>
              </w:rPr>
            </w:pPr>
            <w:r>
              <w:rPr>
                <w:sz w:val="20"/>
                <w:szCs w:val="20"/>
              </w:rPr>
              <w:t>Uredba (EU) 2024/2847 Evropskega parlamenta in Sveta z dne 23. oktobra 2024 o horizontalnih zahtevah glede kibernetske varnosti za izdelke z digitalnimi elementi in spremembi uredb (EU) št. 168/2013 in (EU) 2019/1020 ter Direktive (EU) 2020/1828 (Akt o kibernetski odpornosti) (Besedilo velja za EGP)</w:t>
            </w:r>
          </w:p>
        </w:tc>
        <w:tc>
          <w:tcPr>
            <w:tcW w:w="1701" w:type="dxa"/>
          </w:tcPr>
          <w:p>
            <w:pPr>
              <w:rPr>
                <w:sz w:val="20"/>
                <w:szCs w:val="20"/>
              </w:rPr>
            </w:pPr>
          </w:p>
        </w:tc>
      </w:tr>
    </w:tbl>
    <w:tbl>
      <w:tblPr>
        <w:tblStyle w:val="TableNormal"/>
        <w:tblW w:w="8647" w:type="dxa"/>
        <w:tblInd w:w="108" w:type="dxa"/>
        <w:tblLayout w:type="fixed"/>
        <w:tblLook w:val="04A0"/>
      </w:tblPr>
      <w:tblGrid>
        <w:gridCol w:w="709"/>
        <w:gridCol w:w="1134"/>
        <w:gridCol w:w="851"/>
        <w:gridCol w:w="850"/>
        <w:gridCol w:w="1559"/>
        <w:gridCol w:w="709"/>
        <w:gridCol w:w="1134"/>
        <w:gridCol w:w="851"/>
        <w:gridCol w:w="850"/>
      </w:tblGrid>
      <w:tr>
        <w:tblPrEx>
          <w:tblW w:w="8647" w:type="dxa"/>
          <w:tblInd w:w="108" w:type="dxa"/>
          <w:tblLayout w:type="fixed"/>
          <w:tblLook w:val="04A0"/>
        </w:tblPrEx>
        <w:trPr>
          <w:trHeight w:val="452"/>
          <w:tblHeader/>
        </w:trPr>
        <w:tc>
          <w:tcPr>
            <w:tcW w:w="3529" w:type="dxa"/>
            <w:gridSpan w:val="4"/>
            <w:shd w:val="clear" w:color="auto" w:fill="808080" w:themeFillShade="80"/>
          </w:tcPr>
          <w:p>
            <w:pPr>
              <w:jc w:val="center"/>
              <w:rPr>
                <w:b/>
                <w:sz w:val="20"/>
                <w:szCs w:val="20"/>
              </w:rPr>
            </w:pPr>
            <w:r>
              <w:rPr>
                <w:b/>
                <w:sz w:val="20"/>
                <w:szCs w:val="20"/>
              </w:rPr>
              <w:t>Predpis RS</w:t>
            </w:r>
          </w:p>
        </w:tc>
        <w:tc>
          <w:tcPr>
            <w:tcW w:w="1559" w:type="dxa"/>
            <w:vMerge w:val="restart"/>
            <w:shd w:val="clear" w:color="auto" w:fill="808080" w:themeFillShade="80"/>
          </w:tcPr>
          <w:p>
            <w:pPr>
              <w:jc w:val="center"/>
              <w:rPr>
                <w:b/>
                <w:sz w:val="20"/>
                <w:szCs w:val="20"/>
              </w:rPr>
            </w:pPr>
            <w:r>
              <w:rPr>
                <w:b/>
                <w:sz w:val="20"/>
                <w:szCs w:val="20"/>
              </w:rPr>
              <w:t>Opomba ali CELEX akta EU predpisa</w:t>
            </w:r>
          </w:p>
        </w:tc>
        <w:tc>
          <w:tcPr>
            <w:tcW w:w="3528" w:type="dxa"/>
            <w:gridSpan w:val="4"/>
            <w:shd w:val="clear" w:color="auto" w:fill="808080" w:themeFillShade="80"/>
          </w:tcPr>
          <w:p>
            <w:pPr>
              <w:jc w:val="center"/>
              <w:rPr>
                <w:b/>
                <w:sz w:val="20"/>
                <w:szCs w:val="20"/>
              </w:rPr>
            </w:pPr>
            <w:r>
              <w:rPr>
                <w:b/>
                <w:sz w:val="20"/>
                <w:szCs w:val="20"/>
              </w:rPr>
              <w:t>Akt EU</w:t>
            </w:r>
          </w:p>
        </w:tc>
      </w:tr>
      <w:tr>
        <w:tblPrEx>
          <w:tblW w:w="8647" w:type="dxa"/>
          <w:tblInd w:w="108" w:type="dxa"/>
          <w:tblLayout w:type="fixed"/>
          <w:tblLook w:val="04A0"/>
        </w:tblPrEx>
        <w:trPr>
          <w:trHeight w:val="250"/>
          <w:tblHeader/>
        </w:trPr>
        <w:tc>
          <w:tcPr>
            <w:tcW w:w="709" w:type="dxa"/>
            <w:tcBorders>
              <w:bottom w:val="double" w:sz="4" w:space="0" w:color="auto"/>
            </w:tcBorders>
            <w:shd w:val="clear" w:color="auto" w:fill="808080" w:themeFillShade="80"/>
          </w:tcPr>
          <w:p>
            <w:pPr>
              <w:rPr>
                <w:sz w:val="20"/>
                <w:szCs w:val="20"/>
              </w:rPr>
            </w:pPr>
            <w:r>
              <w:rPr>
                <w:sz w:val="20"/>
                <w:szCs w:val="20"/>
              </w:rPr>
              <w:t>Člen</w:t>
            </w:r>
          </w:p>
        </w:tc>
        <w:tc>
          <w:tcPr>
            <w:tcW w:w="1134" w:type="dxa"/>
            <w:tcBorders>
              <w:bottom w:val="double" w:sz="4" w:space="0" w:color="auto"/>
            </w:tcBorders>
            <w:shd w:val="clear" w:color="auto" w:fill="808080" w:themeFillShade="80"/>
          </w:tcPr>
          <w:p>
            <w:pPr>
              <w:rPr>
                <w:sz w:val="20"/>
                <w:szCs w:val="20"/>
              </w:rPr>
            </w:pPr>
            <w:r>
              <w:rPr>
                <w:sz w:val="20"/>
                <w:szCs w:val="20"/>
              </w:rPr>
              <w:t>Odstavek</w:t>
            </w:r>
          </w:p>
        </w:tc>
        <w:tc>
          <w:tcPr>
            <w:tcW w:w="851" w:type="dxa"/>
            <w:tcBorders>
              <w:bottom w:val="double" w:sz="4" w:space="0" w:color="auto"/>
            </w:tcBorders>
            <w:shd w:val="clear" w:color="auto" w:fill="808080" w:themeFillShade="80"/>
          </w:tcPr>
          <w:p>
            <w:pPr>
              <w:rPr>
                <w:sz w:val="20"/>
                <w:szCs w:val="20"/>
              </w:rPr>
            </w:pPr>
            <w:r>
              <w:rPr>
                <w:sz w:val="20"/>
                <w:szCs w:val="20"/>
              </w:rPr>
              <w:t>Točka</w:t>
            </w:r>
          </w:p>
        </w:tc>
        <w:tc>
          <w:tcPr>
            <w:tcW w:w="850" w:type="dxa"/>
            <w:tcBorders>
              <w:bottom w:val="double" w:sz="4" w:space="0" w:color="auto"/>
            </w:tcBorders>
            <w:shd w:val="clear" w:color="auto" w:fill="808080" w:themeFillShade="80"/>
          </w:tcPr>
          <w:p>
            <w:pPr>
              <w:rPr>
                <w:sz w:val="20"/>
                <w:szCs w:val="20"/>
              </w:rPr>
            </w:pPr>
            <w:r>
              <w:rPr>
                <w:sz w:val="20"/>
                <w:szCs w:val="20"/>
              </w:rPr>
              <w:t>Alinea</w:t>
            </w:r>
          </w:p>
        </w:tc>
        <w:tc>
          <w:tcPr>
            <w:tcW w:w="1985" w:type="dxa"/>
            <w:vMerge/>
            <w:tcBorders>
              <w:bottom w:val="double" w:sz="4" w:space="0" w:color="auto"/>
            </w:tcBorders>
            <w:shd w:val="clear" w:color="auto" w:fill="808080" w:themeFillShade="80"/>
          </w:tcPr>
          <w:p>
            <w:pPr>
              <w:rPr>
                <w:b/>
                <w:sz w:val="20"/>
                <w:szCs w:val="20"/>
              </w:rPr>
            </w:pPr>
          </w:p>
        </w:tc>
        <w:tc>
          <w:tcPr>
            <w:tcW w:w="709" w:type="dxa"/>
            <w:tcBorders>
              <w:bottom w:val="double" w:sz="4" w:space="0" w:color="auto"/>
            </w:tcBorders>
            <w:shd w:val="clear" w:color="auto" w:fill="808080" w:themeFillShade="80"/>
          </w:tcPr>
          <w:p>
            <w:pPr>
              <w:rPr>
                <w:sz w:val="20"/>
                <w:szCs w:val="20"/>
              </w:rPr>
            </w:pPr>
            <w:r>
              <w:rPr>
                <w:sz w:val="20"/>
                <w:szCs w:val="20"/>
              </w:rPr>
              <w:t>Člen</w:t>
            </w:r>
          </w:p>
        </w:tc>
        <w:tc>
          <w:tcPr>
            <w:tcW w:w="1134" w:type="dxa"/>
            <w:tcBorders>
              <w:bottom w:val="double" w:sz="4" w:space="0" w:color="auto"/>
            </w:tcBorders>
            <w:shd w:val="clear" w:color="auto" w:fill="808080" w:themeFillShade="80"/>
          </w:tcPr>
          <w:p>
            <w:pPr>
              <w:rPr>
                <w:sz w:val="20"/>
                <w:szCs w:val="20"/>
              </w:rPr>
            </w:pPr>
            <w:r>
              <w:rPr>
                <w:sz w:val="20"/>
                <w:szCs w:val="20"/>
              </w:rPr>
              <w:t>Odstavek</w:t>
            </w:r>
          </w:p>
        </w:tc>
        <w:tc>
          <w:tcPr>
            <w:tcW w:w="851" w:type="dxa"/>
            <w:tcBorders>
              <w:bottom w:val="double" w:sz="4" w:space="0" w:color="auto"/>
            </w:tcBorders>
            <w:shd w:val="clear" w:color="auto" w:fill="808080" w:themeFillShade="80"/>
          </w:tcPr>
          <w:p>
            <w:pPr>
              <w:rPr>
                <w:sz w:val="20"/>
                <w:szCs w:val="20"/>
              </w:rPr>
            </w:pPr>
            <w:r>
              <w:rPr>
                <w:sz w:val="20"/>
                <w:szCs w:val="20"/>
              </w:rPr>
              <w:t>Točka</w:t>
            </w:r>
          </w:p>
        </w:tc>
        <w:tc>
          <w:tcPr>
            <w:tcW w:w="850" w:type="dxa"/>
            <w:tcBorders>
              <w:bottom w:val="double" w:sz="4" w:space="0" w:color="auto"/>
            </w:tcBorders>
            <w:shd w:val="clear" w:color="auto" w:fill="808080" w:themeFillShade="80"/>
          </w:tcPr>
          <w:p>
            <w:pPr>
              <w:rPr>
                <w:sz w:val="20"/>
                <w:szCs w:val="20"/>
              </w:rPr>
            </w:pPr>
            <w:r>
              <w:rPr>
                <w:sz w:val="20"/>
                <w:szCs w:val="20"/>
              </w:rPr>
              <w:t>Alinea</w:t>
            </w: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32024R2847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32024R2847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32024R2847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52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32024R2847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48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32024R2847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64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32024R2847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64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32024R2847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64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10</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t>a</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9</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32024R2847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64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32024R2847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64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11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32024R2847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64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12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32024R2847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64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13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32024R2847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64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10</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t>b</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14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32024R2847</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64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15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16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bl>
    <w:p>
      <w:pPr>
        <w:spacing w:after="0"/>
        <w:rPr>
          <w:b/>
        </w:rPr>
      </w:pPr>
    </w:p>
    <w:p>
      <w:pPr>
        <w:spacing w:after="0" w:line="260" w:lineRule="auto"/>
        <w:rPr>
          <w:rFonts w:ascii="Arial" w:hAnsi="Arial" w:cs="Arial"/>
        </w:rPr>
      </w:pPr>
    </w:p>
    <w:p>
      <w:pPr>
        <w:pStyle w:val="SrajckaNaslovZamik"/>
        <w:spacing w:after="0" w:line="260" w:lineRule="auto"/>
      </w:pPr>
      <w:r>
        <w:t>3.3</w:t>
      </w:r>
      <w:r>
        <w:tab/>
      </w:r>
      <w:r>
        <w:t>Prikaz ureditve v posameznih državah članicah Evropske unije</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4.</w:t>
      </w:r>
      <w:r>
        <w:tab/>
      </w:r>
      <w:r>
        <w:t>Presoja posledic</w:t>
      </w:r>
    </w:p>
    <w:p>
      <w:pPr>
        <w:pStyle w:val="Odebeljeno"/>
        <w:spacing w:after="0" w:line="260" w:lineRule="auto"/>
      </w:pPr>
      <w:r>
        <w:t>4.1</w:t>
      </w:r>
      <w:r>
        <w:tab/>
      </w:r>
      <w:r>
        <w:t>Presoja administrativnih posledic</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4.2</w:t>
      </w:r>
      <w:r>
        <w:tab/>
      </w:r>
      <w:r>
        <w:t>Presoja posledic za okolje, vključno s prostorskimi in varstvenimi vidiki</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4.3</w:t>
      </w:r>
      <w:r>
        <w:tab/>
      </w:r>
      <w:r>
        <w:t>Presoja posledic za gospodarstvo</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4.4</w:t>
      </w:r>
      <w:r>
        <w:tab/>
      </w:r>
      <w:r>
        <w:t>Presoja posledic za socialno področje</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4.5</w:t>
      </w:r>
      <w:r>
        <w:tab/>
      </w:r>
      <w:r>
        <w:t>Presoja posledic za dokumente razvojnega načrtovanja</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4.6</w:t>
      </w:r>
      <w:r>
        <w:tab/>
      </w:r>
      <w:r>
        <w:t>Presoja posledic za druga področja</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4.7</w:t>
      </w:r>
      <w:r>
        <w:tab/>
      </w:r>
      <w:r>
        <w:t>Izvajanje sprejetega predpisa</w:t>
      </w:r>
    </w:p>
    <w:p>
      <w:pPr>
        <w:spacing w:after="0" w:line="260" w:lineRule="auto"/>
        <w:rPr>
          <w:rFonts w:ascii="Arial" w:hAnsi="Arial" w:cs="Arial"/>
        </w:rPr>
      </w:pPr>
    </w:p>
    <w:p>
      <w:pPr>
        <w:spacing w:after="0" w:line="240" w:lineRule="auto"/>
      </w:pPr>
      <w:r>
        <w:t>Izvajanje uredbe se bo predstavilo ciljnim skupinam prek strokovnih seminarjev, delavnic in objav na spletnih straneh URSIV, širši javnosti pa prek spletnih objav in drugih ustreznih oblik javnega obveščanja.</w:t>
      </w:r>
    </w:p>
    <w:p>
      <w:pPr>
        <w:spacing w:after="0" w:line="240" w:lineRule="auto"/>
      </w:pPr>
      <w:r>
        <w:t>Spremljanje izvajanja uredbe bosta zagotavljala URSIV in Tržni inšpektorat Republike Slovenije v okviru svojih pristojnosti. Spremljanje se bo izvajalo na podlagi ugotovitev pristojnih organov pri izvajanju nalog po tej uredbi in Uredbi (EU) 2024/2847.</w:t>
      </w:r>
    </w:p>
    <w:p>
      <w:pPr>
        <w:spacing w:after="0" w:line="240" w:lineRule="auto"/>
      </w:pPr>
      <w:r>
        <w:t>Doseganje ciljev se bo ugotavljalo na podlagi ugotovitev o izvajanju uredbe in zaznanih neskladnostih pri subjektih, za katere velja uredba.</w:t>
      </w:r>
    </w:p>
    <w:p>
      <w:pPr>
        <w:spacing w:after="0" w:line="240" w:lineRule="auto"/>
      </w:pPr>
      <w:r>
        <w:t>Poročila o izvajanju uredbe, doseženih ciljih in nadaljnjih ukrepih se bodo pripravljala periodično.</w:t>
      </w:r>
    </w:p>
    <w:p>
      <w:pPr>
        <w:spacing w:after="0" w:line="260" w:lineRule="auto"/>
        <w:rPr>
          <w:rFonts w:ascii="Arial" w:hAnsi="Arial" w:cs="Arial"/>
        </w:rPr>
      </w:pPr>
    </w:p>
    <w:p>
      <w:pPr>
        <w:pStyle w:val="Odebeljeno"/>
        <w:spacing w:after="0" w:line="260" w:lineRule="auto"/>
      </w:pPr>
      <w:r>
        <w:t>5.</w:t>
      </w:r>
      <w:r>
        <w:tab/>
      </w:r>
      <w:r>
        <w:t>Prikaz sodelovanja javnosti</w:t>
      </w:r>
    </w:p>
    <w:p>
      <w:pPr>
        <w:spacing w:after="0" w:line="260" w:lineRule="auto"/>
        <w:rPr>
          <w:rFonts w:ascii="Arial" w:hAnsi="Arial" w:cs="Arial"/>
        </w:rPr>
      </w:pPr>
    </w:p>
    <w:p>
      <w:pPr>
        <w:spacing w:after="0" w:line="260" w:lineRule="auto"/>
      </w:pPr>
      <w:r>
        <w:t>Gradivo je bilo predmet sodelovanja z javnostjo.</w:t>
      </w:r>
    </w:p>
    <w:p>
      <w:pPr>
        <w:spacing w:after="0" w:line="260" w:lineRule="auto"/>
        <w:rPr>
          <w:rFonts w:ascii="Arial" w:hAnsi="Arial" w:cs="Arial"/>
        </w:rPr>
      </w:pPr>
    </w:p>
    <w:p>
      <w:pPr>
        <w:spacing w:after="0" w:line="260" w:lineRule="auto"/>
      </w:pPr>
      <w:r>
        <w:t>Datum objave na portalu eDemokracija:</w:t>
      </w:r>
    </w:p>
    <w:p>
      <w:pPr>
        <w:spacing w:after="0" w:line="260" w:lineRule="auto"/>
      </w:pPr>
      <w:r>
        <w:t>3. 2. 2026</w:t>
      </w:r>
    </w:p>
    <w:p>
      <w:pPr>
        <w:spacing w:after="0" w:line="260" w:lineRule="auto"/>
        <w:rPr>
          <w:rFonts w:ascii="Arial" w:hAnsi="Arial" w:cs="Arial"/>
        </w:rPr>
      </w:pPr>
    </w:p>
    <w:p>
      <w:pPr>
        <w:spacing w:after="0" w:line="260" w:lineRule="auto"/>
      </w:pPr>
      <w:r>
        <w:t>Na gradivo so bila podana mnenja, predlogi in pripombe.</w:t>
      </w:r>
    </w:p>
    <w:p>
      <w:pPr>
        <w:spacing w:after="0" w:line="260" w:lineRule="auto"/>
        <w:rPr>
          <w:rFonts w:ascii="Arial" w:hAnsi="Arial" w:cs="Arial"/>
        </w:rPr>
      </w:pPr>
    </w:p>
    <w:p>
      <w:pPr>
        <w:spacing w:after="0" w:line="260" w:lineRule="auto"/>
      </w:pPr>
      <w:r>
        <w:t>V razpravo vključeni subjekti:</w:t>
      </w:r>
    </w:p>
    <w:p>
      <w:pPr>
        <w:spacing w:after="0" w:line="240" w:lineRule="auto"/>
      </w:pPr>
      <w:r>
        <w:t>Trgovinska zbornica Slovenije, Zbornica elektronske in elektroindustrije</w:t>
      </w:r>
    </w:p>
    <w:p>
      <w:pPr>
        <w:spacing w:after="0" w:line="260" w:lineRule="auto"/>
        <w:rPr>
          <w:rFonts w:ascii="Arial" w:hAnsi="Arial" w:cs="Arial"/>
        </w:rPr>
      </w:pPr>
    </w:p>
    <w:p>
      <w:pPr>
        <w:spacing w:after="0" w:line="260" w:lineRule="auto"/>
      </w:pPr>
      <w:r>
        <w:t>Obrazložitev upoštevanja mnenj, predlogov in pripomb v razpravo vključenih subjektov:</w:t>
      </w:r>
    </w:p>
    <w:p>
      <w:pPr>
        <w:spacing w:after="0" w:line="240" w:lineRule="auto"/>
        <w:jc w:val="both"/>
      </w:pPr>
      <w:r>
        <w:rPr>
          <w:i/>
        </w:rPr>
        <w:t>Trgovinska zbornica je v zvezi s predlaganim 6. členom izrazila nestrinjanje z dodatnimi zahtevami za poročanje gospodarskih subjektov in z vzpostavitvijo dodatne evidence, poleg zahtev določenih na ravni Uredbe 2024/2847/EU, saj bi to povzročilo dodatne administrativne, organizacijske in stroškovne obremenitve podjetij ter negativni vpliv na njihov konkurenčni položaj.</w:t>
      </w:r>
    </w:p>
    <w:p>
      <w:pPr>
        <w:spacing w:after="0" w:line="240" w:lineRule="auto"/>
        <w:jc w:val="both"/>
      </w:pPr>
      <w:r>
        <w:t>Ker je bil namen prvotno predlaganega 6. člena uredbe določiti obdelavo (neosebnih) podatkov s katerimi bo URSIV razpolagal na podlagi izpolnjevanja obveznosti zavezancev po Uredbi 2024/2847/EU in izvajanja pristojnosti URSIV po navedeni uredbi, se glede na to, da gre za obdelavo neosebnih podatkov, torej za klasično delovno orodje, ki za razliko od obdelave osebnih podatkov, ne narekuje normativnega urejanja, prvotno predlagana določba črta.</w:t>
      </w:r>
    </w:p>
    <w:p>
      <w:pPr>
        <w:spacing w:after="0" w:line="240" w:lineRule="auto"/>
        <w:jc w:val="both"/>
      </w:pPr>
      <w:r>
        <w:t xml:space="preserve"> </w:t>
      </w:r>
    </w:p>
    <w:p>
      <w:pPr>
        <w:spacing w:after="0" w:line="240" w:lineRule="auto"/>
        <w:jc w:val="both"/>
      </w:pPr>
      <w:r>
        <w:rPr>
          <w:i/>
        </w:rPr>
        <w:t>Zbornica elektroindustrije je v zvezi s kazenskimi določbami pozvala k razmisleku splošne narave glede višine kazni v primerih izdelkov, za katere je z oceno tveganja ugotovljeno, da bi bile posledice v primeru kibernetskega napada zanemarljive.</w:t>
      </w:r>
    </w:p>
    <w:p>
      <w:pPr>
        <w:spacing w:after="0" w:line="240" w:lineRule="auto"/>
      </w:pPr>
      <w:r>
        <w:t>Pripomba ni bila upoštevana. S predlaganimi kazenskimi določbami se sledi ureditvi iz 64. člena Uredbe 2024/2847/EU, ki določa kršitve uredbe in višino kazni za kršitve, ki so v uredbi sicer določene bistveno višje kot v predlogu uredbe (glej splošno obrazložitev h kazenskim določbam predloga uredbe). Pri odmeri sankcije v konkretnih primerih se upoštevajo olajševalne okoliščine (med njimi stopnja ogrožanja ali kršitve zavarovane dobrine) in obteževalne okoliščine iz 26. člena Zakona o prekrških ter dodatne okoliščine iz petega odstavka 64. člena Uredbe 2024/2847/EU (med njimi vrsta, resnost in trajanje kršitve ter njenih posledic).</w:t>
      </w:r>
    </w:p>
    <w:p>
      <w:pPr>
        <w:spacing w:after="0" w:line="260" w:lineRule="auto"/>
        <w:rPr>
          <w:rFonts w:ascii="Arial" w:hAnsi="Arial" w:cs="Arial"/>
        </w:rPr>
      </w:pPr>
    </w:p>
    <w:p>
      <w:pPr>
        <w:spacing w:after="0" w:line="260" w:lineRule="auto"/>
      </w:pPr>
      <w:r>
        <w:t>Poročilo o sodelovanju z javnostjo:</w:t>
      </w:r>
    </w:p>
    <w:p>
      <w:pPr>
        <w:spacing w:after="0" w:line="240" w:lineRule="auto"/>
        <w:jc w:val="both"/>
      </w:pPr>
      <w:r>
        <w:t>Predlog uredbe je bil objavljen na portalu E-demokracija 3. 2. 2026 (z rokom za oddajo komentarja do 5. 3. 2026) in istega dne posredovan v strokovno usklajevanje (z rokom za podajo pripomb do 17. 2. 2026) Gospodarski zbornici Slovenije, Obrtno-podjetniški zbornici Slovenije, Trgovinski zbornici Slovenije, Združenju za informatiko in telekomunikacije in Slovenski akreditaciji. Mnenja, predloge in pripombe sta podali Gospodarska zbornica Slovenije (Zbornica elektroindustrije) in Trgovinska zbornica Slovenije.</w:t>
      </w:r>
    </w:p>
    <w:p>
      <w:pPr>
        <w:spacing w:after="0" w:line="260" w:lineRule="auto"/>
        <w:rPr>
          <w:rFonts w:ascii="Arial" w:hAnsi="Arial" w:cs="Arial"/>
        </w:rPr>
      </w:pPr>
    </w:p>
    <w:p>
      <w:r>
        <w:br w:type="page"/>
      </w:r>
    </w:p>
    <w:p>
      <w:pPr>
        <w:pStyle w:val="Odebeljeno"/>
        <w:spacing w:after="0" w:line="260" w:lineRule="auto"/>
      </w:pPr>
      <w:r>
        <w:t>II.</w:t>
      </w:r>
      <w:r>
        <w:tab/>
      </w:r>
      <w:r>
        <w:t>BESEDILO ČLENOV</w:t>
      </w:r>
    </w:p>
    <w:p>
      <w:pPr>
        <w:pStyle w:val="Odstavek"/>
        <w:spacing w:after="0" w:line="260" w:lineRule="auto"/>
      </w:pPr>
      <w:r>
        <w:t>Na podlagi sedmega odstavka 21. člena Zakona o Vladi Republike Slovenije (Uradni list RS, št. 24/05 – uradno prečiščeno besedilo, 109/08, 38/10 – ZUKN, 8/12, 21/13, 47/13 – ZDU-1G, 65/14, 55/17, 163/22 in 57/25 – ZF) Vlada Republike Slovenije izdaja</w:t>
      </w:r>
    </w:p>
    <w:p>
      <w:pPr>
        <w:spacing w:after="0" w:line="260" w:lineRule="auto"/>
        <w:rPr>
          <w:rFonts w:ascii="Arial" w:hAnsi="Arial" w:cs="Arial"/>
        </w:rPr>
      </w:pPr>
    </w:p>
    <w:p>
      <w:pPr>
        <w:pStyle w:val="Naslov1"/>
        <w:spacing w:after="0" w:line="260" w:lineRule="auto"/>
      </w:pPr>
      <w:r>
        <w:t>Uredbo o izvajanju uredbe (EU) o horizontalnih zahtevah glede kibernetske varnosti za izdelke z digitalnimi elementi</w:t>
      </w:r>
    </w:p>
    <w:p>
      <w:pPr>
        <w:pStyle w:val="Poglavje"/>
        <w:spacing w:after="0" w:line="260" w:lineRule="auto"/>
      </w:pPr>
      <w:r>
        <w:t>I. POGLAVJE</w:t>
      </w:r>
    </w:p>
    <w:p>
      <w:pPr>
        <w:pStyle w:val="Poglavjenaslov"/>
        <w:spacing w:after="0" w:line="260" w:lineRule="auto"/>
      </w:pPr>
      <w:r>
        <w:t>SPLOŠNI DOLOČBI</w:t>
      </w:r>
    </w:p>
    <w:p>
      <w:pPr>
        <w:pStyle w:val="len"/>
        <w:spacing w:after="0" w:line="260" w:lineRule="auto"/>
      </w:pPr>
      <w:r>
        <w:t>1. člen</w:t>
      </w:r>
    </w:p>
    <w:p>
      <w:pPr>
        <w:pStyle w:val="lennaslov"/>
        <w:spacing w:after="0" w:line="260" w:lineRule="auto"/>
      </w:pPr>
      <w:r>
        <w:t>(vsebina)</w:t>
      </w:r>
    </w:p>
    <w:p>
      <w:pPr>
        <w:spacing w:after="0" w:line="260" w:lineRule="auto"/>
        <w:rPr>
          <w:rFonts w:ascii="Arial" w:hAnsi="Arial" w:cs="Arial"/>
        </w:rPr>
      </w:pPr>
    </w:p>
    <w:p>
      <w:pPr>
        <w:spacing w:after="0" w:line="260" w:lineRule="auto"/>
      </w:pPr>
      <w:r>
        <w:tab/>
      </w:r>
      <w:r>
        <w:t xml:space="preserve">Ta uredba določa pristojne organe za izvajanje in nadzor nad izvajanjem Uredbe (EU) 2024/2847 Evropskega parlamenta in Sveta z dne 23. oktobra 2024 o horizontalnih zahtevah glede kibernetske varnosti za izdelke z digitalnimi elementi in spremembi uredb (EU) št. 168/2013 in (EU) 2019/1020 ter Direktive (EU) 2020/1828 (Akt o kibernetski odpornosti) (UL L št. 2024/2847 z dne 20. 11. 2024), zadnjič dopolnjene z Delegirano uredbo Komisije (EU) št. 2025/1535 z dne 29. julija 2025 o dopolnitvi Uredbe (EU) 2024/2847 Evropskega parlamenta in Sveta v zvezi z izključitvijo s področja uporabe navedene uredbe določenih izdelkov z digitalnimi elementi, ki spadajo na področje uporabe Uredbe (EU) št. 168/2013 Evropskega parlamenta in Sveta (UL L št. 2025/1535 z dne 29. 10. 2025), (v nadaljnjem besedilu: Uredba 2024/2847/EU) ter kazenske določbe v zvezi z izvajanjem Uredbe 2024/2847/EU. </w:t>
      </w:r>
    </w:p>
    <w:p>
      <w:pPr>
        <w:pStyle w:val="len"/>
        <w:spacing w:after="0" w:line="260" w:lineRule="auto"/>
      </w:pPr>
      <w:r>
        <w:t>2. člen</w:t>
      </w:r>
    </w:p>
    <w:p>
      <w:pPr>
        <w:pStyle w:val="lennaslov"/>
        <w:spacing w:after="0" w:line="260" w:lineRule="auto"/>
      </w:pPr>
      <w:r>
        <w:t>(pomen izrazov)</w:t>
      </w:r>
    </w:p>
    <w:p>
      <w:pPr>
        <w:spacing w:after="0" w:line="260" w:lineRule="auto"/>
        <w:rPr>
          <w:rFonts w:ascii="Arial" w:hAnsi="Arial" w:cs="Arial"/>
        </w:rPr>
      </w:pPr>
    </w:p>
    <w:p>
      <w:pPr>
        <w:spacing w:after="0" w:line="260" w:lineRule="auto"/>
      </w:pPr>
      <w:r>
        <w:tab/>
      </w:r>
      <w:r>
        <w:t>Izrazi, uporabljeni v tej uredbi, pomenijo enako kot izrazi, opredeljeni v Uredbi 2024/2847/EU.</w:t>
      </w:r>
    </w:p>
    <w:p>
      <w:pPr>
        <w:pStyle w:val="Poglavje"/>
        <w:spacing w:after="0" w:line="260" w:lineRule="auto"/>
      </w:pPr>
      <w:r>
        <w:t>II. POGLAVJE</w:t>
      </w:r>
    </w:p>
    <w:p>
      <w:pPr>
        <w:pStyle w:val="Poglavjenaslov"/>
        <w:spacing w:after="0" w:line="260" w:lineRule="auto"/>
      </w:pPr>
      <w:r>
        <w:t>PRISTOJNI ORGANI</w:t>
      </w:r>
    </w:p>
    <w:p>
      <w:pPr>
        <w:pStyle w:val="len"/>
        <w:spacing w:after="0" w:line="260" w:lineRule="auto"/>
      </w:pPr>
      <w:r>
        <w:t>3. člen</w:t>
      </w:r>
    </w:p>
    <w:p>
      <w:pPr>
        <w:pStyle w:val="lennaslov"/>
        <w:spacing w:after="0" w:line="260" w:lineRule="auto"/>
      </w:pPr>
      <w:r>
        <w:t>(priglasitveni organi)</w:t>
      </w:r>
    </w:p>
    <w:p>
      <w:pPr>
        <w:spacing w:after="0" w:line="260" w:lineRule="auto"/>
        <w:rPr>
          <w:rFonts w:ascii="Arial" w:hAnsi="Arial" w:cs="Arial"/>
        </w:rPr>
      </w:pPr>
    </w:p>
    <w:p>
      <w:pPr>
        <w:spacing w:after="0" w:line="260" w:lineRule="auto"/>
      </w:pPr>
      <w:r>
        <w:tab/>
      </w:r>
      <w:r>
        <w:t xml:space="preserve">(1) Priglasitveni organ v skladu z Uredbo 2024/2847/EU je Urad Vlade Republike Slovenije za informacijsko varnost (v nadaljnjem besedilu: URSIV). </w:t>
      </w:r>
      <w:r>
        <w:br/>
      </w:r>
      <w:r>
        <w:br/>
      </w:r>
      <w:r>
        <w:t xml:space="preserve"> (2) Ocenjevanje organov za ugotavljanje skladnosti in njihovo spremljanje izvaja organ, ki opravlja naloge nacionalne akreditacijske službe iz zakona, ki ureja akreditacijo. </w:t>
      </w:r>
    </w:p>
    <w:p>
      <w:pPr>
        <w:pStyle w:val="len"/>
        <w:spacing w:after="0" w:line="260" w:lineRule="auto"/>
      </w:pPr>
      <w:r>
        <w:t>4. člen</w:t>
      </w:r>
    </w:p>
    <w:p>
      <w:pPr>
        <w:pStyle w:val="lennaslov"/>
        <w:spacing w:after="0" w:line="260" w:lineRule="auto"/>
      </w:pPr>
      <w:r>
        <w:t>(organi za nadzor trga)</w:t>
      </w:r>
    </w:p>
    <w:p>
      <w:pPr>
        <w:spacing w:after="0" w:line="260" w:lineRule="auto"/>
        <w:rPr>
          <w:rFonts w:ascii="Arial" w:hAnsi="Arial" w:cs="Arial"/>
        </w:rPr>
      </w:pPr>
    </w:p>
    <w:p>
      <w:pPr>
        <w:spacing w:after="0" w:line="260" w:lineRule="auto"/>
      </w:pPr>
      <w:r>
        <w:tab/>
      </w:r>
      <w:r>
        <w:t xml:space="preserve">(1) Naloge organov za nadzor trga po Uredbi 2024/2847/EU izvajata URSIV in Tržni inšpektorat Republike Slovenije. </w:t>
      </w:r>
      <w:r>
        <w:br/>
      </w:r>
      <w:r>
        <w:br/>
      </w:r>
      <w:r>
        <w:t xml:space="preserve">(2) Nadzor nad izvajanjem prvega odstavka 58. člena Uredbe 2024/2847/EU izvaja Tržni inšpektorat Republike Slovenije, v preostalem delu nadzor nad izvajanjem Uredbe 2024/2847/EU izvaja URSIV.  </w:t>
      </w:r>
    </w:p>
    <w:p>
      <w:pPr>
        <w:pStyle w:val="len"/>
        <w:spacing w:after="0" w:line="260" w:lineRule="auto"/>
      </w:pPr>
      <w:r>
        <w:t>5. člen</w:t>
      </w:r>
    </w:p>
    <w:p>
      <w:pPr>
        <w:pStyle w:val="lennaslov"/>
        <w:spacing w:after="0" w:line="260" w:lineRule="auto"/>
      </w:pPr>
      <w:r>
        <w:t>(pritožba zoper odločitev priglašenega organa)</w:t>
      </w:r>
    </w:p>
    <w:p>
      <w:pPr>
        <w:spacing w:after="0" w:line="260" w:lineRule="auto"/>
        <w:rPr>
          <w:rFonts w:ascii="Arial" w:hAnsi="Arial" w:cs="Arial"/>
        </w:rPr>
      </w:pPr>
    </w:p>
    <w:p>
      <w:pPr>
        <w:spacing w:after="0" w:line="260" w:lineRule="auto"/>
      </w:pPr>
      <w:r>
        <w:tab/>
      </w:r>
      <w:r>
        <w:t xml:space="preserve">(1) O pritožbi zoper odločitev priglašenega organa iz Uredbe 2024/2847/EU odloča URSIV.  </w:t>
      </w:r>
      <w:r>
        <w:br/>
      </w:r>
      <w:r>
        <w:br/>
      </w:r>
      <w:r>
        <w:t xml:space="preserve">  (2) Glede obravnave pritožbe se smiselno uporabljajo določbe zakona, ki ureja informacijsko varnost, o certificiranju.   </w:t>
      </w:r>
    </w:p>
    <w:p>
      <w:pPr>
        <w:pStyle w:val="Poglavje"/>
        <w:spacing w:after="0" w:line="260" w:lineRule="auto"/>
      </w:pPr>
      <w:r>
        <w:t>III. POGLAVJE</w:t>
      </w:r>
    </w:p>
    <w:p>
      <w:pPr>
        <w:pStyle w:val="Poglavjenaslov"/>
        <w:spacing w:after="0" w:line="260" w:lineRule="auto"/>
      </w:pPr>
      <w:r>
        <w:t>KAZENSKE DOLOČBE</w:t>
      </w:r>
    </w:p>
    <w:p>
      <w:pPr>
        <w:pStyle w:val="len"/>
        <w:spacing w:after="0" w:line="260" w:lineRule="auto"/>
      </w:pPr>
      <w:r>
        <w:t>6. člen</w:t>
      </w:r>
    </w:p>
    <w:p>
      <w:pPr>
        <w:pStyle w:val="lennaslov"/>
        <w:spacing w:after="0" w:line="260" w:lineRule="auto"/>
      </w:pPr>
      <w:r>
        <w:t>(kršitve določb iz drugega odstavka 64. člena Uredbe 2024/2847/EU proizvajalca)</w:t>
      </w:r>
    </w:p>
    <w:p>
      <w:pPr>
        <w:spacing w:after="0" w:line="260" w:lineRule="auto"/>
        <w:rPr>
          <w:rFonts w:ascii="Arial" w:hAnsi="Arial" w:cs="Arial"/>
        </w:rPr>
      </w:pPr>
    </w:p>
    <w:p>
      <w:pPr>
        <w:spacing w:after="0" w:line="260" w:lineRule="auto"/>
      </w:pPr>
      <w:r>
        <w:tab/>
      </w:r>
      <w:r>
        <w:t xml:space="preserve">(1) Z globo od 150.000 do 250.000 eurov se kaznuje pravna oseba, če se pravna oseba po zakonu, ki ureja gospodarske družbe, šteje za srednjo ali veliko gospodarsko družbo, pa z globo od 300.000 do 500.000 eurov, če kot proizvajalec: </w:t>
      </w:r>
      <w:r>
        <w:br/>
      </w:r>
      <w:r>
        <w:t xml:space="preserve">1.ne izpolnjuje zahtev glede kibernetske varnosti, ki se nanašajo na lastnosti izdelkov z digitalnimi elementi, ali zahtev glede obravnavanja ranljivosti iz priloge I Uredbe 2024/2847/EU; </w:t>
      </w:r>
      <w:r>
        <w:br/>
      </w:r>
      <w:r>
        <w:t xml:space="preserve">2.v nasprotju z drugim odstavkom 13. člena Uredbe 2024/2847/EU ne opravi ocene tveganja za kibernetsko varnost; </w:t>
      </w:r>
      <w:r>
        <w:br/>
      </w:r>
      <w:r>
        <w:t xml:space="preserve">3.ne zagotovi, da ocena tveganja za kibernetsko varnost v obdobju podpore vsebuje elemente, ki jih določa tretji odstavek 13. člena Uredbe 2024/2847/EU; </w:t>
      </w:r>
      <w:r>
        <w:br/>
      </w:r>
      <w:r>
        <w:t xml:space="preserve">4.ne zagotovi, da je ocena tveganja za kibernetsko varnost v skladu s četrtim odstavkom 13. člena Uredbe 2024/2847/EU; </w:t>
      </w:r>
      <w:r>
        <w:br/>
      </w:r>
      <w:r>
        <w:t xml:space="preserve">5.pri vgradnji sestavnih delov, pridobljenih od tretjih oseb, v izdelke z digitalnimi elementi ni primerno skrben v skladu s petim odstavkom 13. člena Uredbe 2024/2847/EU; </w:t>
      </w:r>
      <w:r>
        <w:br/>
      </w:r>
      <w:r>
        <w:t xml:space="preserve">6.ne sporoči ali ne obravnava in ne odpravi ranljivosti oziroma kode ali dokumentacije ne deli v strojno berljivi obliki v skladu s šestim odstavkom 13. člena Uredbe 2024/2847/EU; </w:t>
      </w:r>
      <w:r>
        <w:br/>
      </w:r>
      <w:r>
        <w:t xml:space="preserve">7.ustrezno ne dokumentira vidikov kibernetske varnosti (sedmi odstavek 13. člena Uredbe 2024/2847/EU); </w:t>
      </w:r>
      <w:r>
        <w:br/>
      </w:r>
      <w:r>
        <w:t xml:space="preserve">8.v obdobju podpore ne zagotavlja učinkovite obravnave ranljivosti izdelka ali ne zagotavlja podpore najmanj pet let oziroma v pričakovanem času uporabe (osmi odstavek 13. člena Uredbe 2024/2847/EU); </w:t>
      </w:r>
      <w:r>
        <w:br/>
      </w:r>
      <w:r>
        <w:t xml:space="preserve">9.ne zagotovi, da varnostne posodobitve iz 8. točke II. dela priloge I Uredbe 2024/2847/EU, ki so bile dane na voljo uporabnikom v obdobju podpore, ostanejo na voljo po izdaji najmanj deset let ali za preostanek obdobja podpore (deveti odstavek 13. člena Uredbe 2024/2847/EU); </w:t>
      </w:r>
      <w:r>
        <w:br/>
      </w:r>
      <w:r>
        <w:t xml:space="preserve">10.ravna v nasprotju z desetim odstavkom 13. člena Uredbe 2024/2847/EU; </w:t>
      </w:r>
      <w:r>
        <w:br/>
      </w:r>
      <w:r>
        <w:t>11.ne zagotovi, da so v primeru javnega arhiva programske opreme uporabniki na lahko dostopen način jasno obveščeni o tveganjih, povezanih z up</w:t>
      </w:r>
      <w:r>
        <w:t xml:space="preserve">orabo nepodprte programske opreme (enajsti odstavek 13. člena Uredbe 2024/2847/EU); </w:t>
      </w:r>
      <w:r>
        <w:br/>
      </w:r>
      <w:r>
        <w:t xml:space="preserve">12.pred dajanjem izdelka z digitalnimi elementi na trg ne pripravi tehnične dokumentacije iz 31. člena Uredbe 2024/2847/EU ali ne zagotovi, da se taki postopki izvedejo, ali v primeru skladnosti ne namesti oznake CE v skladu s 30. členom Uredbe 2024/2847/EU (dvanajsti odstavek 13. člena Uredbe 2024/2847/EU); </w:t>
      </w:r>
      <w:r>
        <w:br/>
      </w:r>
      <w:r>
        <w:t xml:space="preserve">13.ne hrani tehnične dokumentacije ali izjave EU o skladnosti ali pristojnemu organu za nadzor trga ne omogoči dostopa do navedenih dokumentov še najmanj deset let po tem, ko je izdelek z digitalnimi elementi dal na trg, ali v obdobju podpore (trinajsti odstavek 13. člena Uredbe 2024/2847/EU); </w:t>
      </w:r>
      <w:r>
        <w:br/>
      </w:r>
      <w:r>
        <w:t xml:space="preserve">14.ne zagotovi, da so za izdelke z digitalnimi elementi v serijski proizvodnji vzpostavljeni postopki za ohranjanje njihove skladnosti z Uredbo 2024/2847/EU, ali ustrezno ne upošteva sprememb postopka razvoja in proizvodnje ali sprememb zasnove ali lastnosti izdelka z digitalnimi elementi ter sprememb harmoniziranih standardov, evropskih certifikacijskih shem kibernetske varnosti ali skupnih specifikacij iz 27. člena Uredbe 2024/2847/EU, na podlagi katerih se potrdi ali preverja skladnost izdelka z digitalnimi elementi (štirinajsti odstavek 13. člena Uredbe 2024/2847/EU); </w:t>
      </w:r>
      <w:r>
        <w:br/>
      </w:r>
      <w:r>
        <w:t xml:space="preserve">15.ne zagotovi, da so na njegovih izdelkih z digitalnimi elementi v skladu s petnajstim odstavkom 13. člena Uredbe 2024/2847/EU označeni številka tipa, številka serije, serijska številka ali drug identifikacijski element ali, kadar to ni mogoče, ne zagotovi, da so te informacije navedene na embalaži ali v dokumentu, priloženem izdelku z digitalnimi elementi; </w:t>
      </w:r>
      <w:r>
        <w:br/>
      </w:r>
      <w:r>
        <w:t xml:space="preserve">16.ne zagotovi informacij iz šestnajstega odstavka 13. člena Uredbe 2024/2847/EU ali ne zagotovi, da so te informacije v jeziku, ki ga uporabniki ali pristojni organ za nadzor trga zlahka razume (šestnajsti odstavek 13. člena Uredbe 2024/2847/EU); </w:t>
      </w:r>
      <w:r>
        <w:br/>
      </w:r>
      <w:r>
        <w:t>17.ne imenuje enotne kontaktne točke ali ne zagotovi, da je ta vključena v informacije ali navodila, da je z</w:t>
      </w:r>
      <w:r>
        <w:t xml:space="preserve">lahka prepoznavna ali da kontaktna točka uporabnikom ne omogoča izbire želenih komunikacijskih sredstev oziroma da so ta sredstva omejena na avtomatizirana orodja (sedemnajsti odstavek 13. člena Uredbe 2024/2847/EU); </w:t>
      </w:r>
      <w:r>
        <w:br/>
      </w:r>
      <w:r>
        <w:t xml:space="preserve">18.ne zagotovi, da so izdelkom z digitalnimi elementi priložene informacije ali navodila za uporabnika iz priloge II Uredbe 2024/2847/EU v papirni ali elektronski obliki, ali ne zagotovi, da so navedene informacije ali navodila v jeziku, ki ga uporabniki in pristojni organ za nadzor trga zlahka razume, ali da ta niso jasna, razumljiva ali berljiva, ali ne hrani informacij ali navodil za uporabnika iz priloge II Uredbe 2024/2847/EU ter pristojnemu organu za nadzor trga ne omogoči dostopa do njih najmanj deset let po tem, ko je izdelek z digitalnimi elementi dal na trg, ali v obdobju podpore, ali ne zagotovi, da so take informacije ali navodila na spletu dostopna uporabniku najmanj deset let po tem, ko je izdelek z digitalnimi elementi dal na trg, ali v obdobju podpore (osemnajsti odstavek 13. člena Uredbe 2024/2847/EU); </w:t>
      </w:r>
      <w:r>
        <w:br/>
      </w:r>
      <w:r>
        <w:t xml:space="preserve">19.ne zagotovi, da je končni datum obdobja podpore naveden ali prikazan v skladu z devetnajstim odstavkom 13. člena Uredbe 2024/2847/EU); </w:t>
      </w:r>
      <w:r>
        <w:br/>
      </w:r>
      <w:r>
        <w:t>20.ne zagotovi, da je izjava o skladnosti ali poenostavljena izjava EU o skladnosti priložena izdelku z digitalnimi elementi, ali ne zagotovi, da priložena poenostavljena izjava EU o skladnosti vsebuje točnega spletnega naslova, na katerem je dostopna celotna izjava EU o skladnosti (dvajseti odstavek 13. člena Uredbe 2024/2847/EU);</w:t>
      </w:r>
      <w:r>
        <w:br/>
      </w:r>
      <w:r>
        <w:t xml:space="preserve">21.v primerih iz enaindvajsetega odstavka 13. člena Uredbe 2024/2847/EU nemudoma ne sprejme popravnih ukrepov, ne umakne izdelka ali ga ne odpokliče (enaindvajseti odstavek 13. člena Uredbe 2024/2847/EU); </w:t>
      </w:r>
      <w:r>
        <w:br/>
      </w:r>
      <w:r>
        <w:t>22.pristojnemu organu za nadzor trga na njegovo utemeljeno zahtevo ne predloži vseh informacij ali dokumentacije v papirni ali elektronski obliki in v jeziku, ki ga navedeni organ zlahka razume, ali na zahtevo tega organa z njim ne sodeluje pri vseh ukrepih, sprejetih za odpra</w:t>
      </w:r>
      <w:r>
        <w:t xml:space="preserve">vo tveganj za kibernetsko varnost, prisotnih pri izdelku z digitalnimi elementi (dvaindvajseti odstavek 13. člena Uredbe 2024/2847/EU); </w:t>
      </w:r>
      <w:r>
        <w:br/>
      </w:r>
      <w:r>
        <w:t xml:space="preserve">23.v primeru skorajšnjega prenehanja opravljanja dejavnosti ne obvesti pristojnega organa za nadzor trga ali uporabnikov v skladu s triindvajsetim odstavkom 13. člena Uredbe 2024/2847/EU; </w:t>
      </w:r>
      <w:r>
        <w:br/>
      </w:r>
      <w:r>
        <w:t xml:space="preserve">24.o vsaki aktivno izrabljeni ranljivosti v izdelku z digitalnimi elementi ne obvesti skupine CSIRT, ki je imenovana za koordinatorja v skladu z določbami zakona, ki ureja informacijsko varnost (v nadaljnjem besedilu: skupina CSIRT), ali agencije ENISA ali o aktivno izrabljeni ranljivosti ne obvešča po enotni platformi za poročanje (prvi odstavek 14. člena Uredbe 2024/2847/EU); </w:t>
      </w:r>
      <w:r>
        <w:br/>
      </w:r>
      <w:r>
        <w:t xml:space="preserve">25.o vsaki aktivno izrabljeni ranljivosti ne predloži obvestila v skladu in v rokih iz drugega odstavka 14. člena Uredbe 2024/2847/EU; </w:t>
      </w:r>
      <w:r>
        <w:br/>
      </w:r>
      <w:r>
        <w:t xml:space="preserve">26.o vsakem resnem incidentu, ki vpliva na varnost izdelka z digitalnimi elementi, ne obvesti skupine CSIRT ali agencije ENISA ali o aktivno izrabljeni ranljivosti ne obvešča po enotni platformi za poročanje (tretji odstavek 14. člena Uredbe 2024/2847/EU); </w:t>
      </w:r>
      <w:r>
        <w:br/>
      </w:r>
      <w:r>
        <w:t xml:space="preserve">27.o vsakem resnem incidentu ne predloži obvestila v skladu in v rokih iz četrtega odstavka 14. člena Uredbe 2024/2847/EU; </w:t>
      </w:r>
      <w:r>
        <w:br/>
      </w:r>
      <w:r>
        <w:t xml:space="preserve">28.v skladu s šestim odstavkom 14. člena Uredbe 2024/2847/EU ne predloži vmesnega poročila o ustreznih posodobitvah stanja o aktivno izrabljeni ranljivosti ali resnem incidentu, ki vpliva na varnost izdelka z digitalnimi elementi; </w:t>
      </w:r>
      <w:r>
        <w:br/>
      </w:r>
      <w:r>
        <w:t xml:space="preserve">29.ne obvesti prizadetih uporabnikov izdelka o ranljivosti ali incidentu, ki vpliva na varnost izdelka, ali ne obvesti o možnostih zmanjšanja tveganja in vseh popravnih ukrepih, ki jih lahko uporabnik sprejme za zmanjšanje vpliva te ranljivosti ali incidenta (osmi odstavek 14. člena Uredbe 2024/2847/EU). </w:t>
      </w:r>
      <w:r>
        <w:br/>
      </w:r>
      <w:r>
        <w:br/>
      </w:r>
      <w:r>
        <w:t xml:space="preserve"> (2) Z globo od 100.000 do 150.000 eurov se za prekršek iz prejšnjega odstavka kaznuje samostojni podjetnik posameznik ali posameznik, ki samostojno opravlja dejavnost. </w:t>
      </w:r>
      <w:r>
        <w:br/>
      </w:r>
      <w:r>
        <w:br/>
      </w:r>
      <w:r>
        <w:t xml:space="preserve"> (3) Z globo od 7.000 do 10.0</w:t>
      </w:r>
      <w:r>
        <w:t xml:space="preserve">00 eurov se za prekršek iz prvega odstavka tega člena kaznuje tudi odgovorna oseba pravne osebe, odgovorna oseba samostojnega podjetnika posameznika ali odgovorna oseba posameznika, ki samostojno opravlja dejavnost. </w:t>
      </w:r>
      <w:r>
        <w:br/>
      </w:r>
      <w:r>
        <w:br/>
      </w:r>
      <w:r>
        <w:t xml:space="preserve"> (4) Z globo od 3.000 do 5.000 eurov se za prekršek iz prvega odstavka tega člena kaznuje posameznik. </w:t>
      </w:r>
    </w:p>
    <w:p>
      <w:pPr>
        <w:pStyle w:val="len"/>
        <w:spacing w:after="0" w:line="260" w:lineRule="auto"/>
      </w:pPr>
      <w:r>
        <w:t>7. člen</w:t>
      </w:r>
    </w:p>
    <w:p>
      <w:pPr>
        <w:pStyle w:val="lennaslov"/>
        <w:spacing w:after="0" w:line="260" w:lineRule="auto"/>
      </w:pPr>
      <w:r>
        <w:t>(kršitve določb iz drugega odstavka 64. člena Uredbe 2024/2847/EU uvoznika in distributerja)</w:t>
      </w:r>
    </w:p>
    <w:p>
      <w:pPr>
        <w:spacing w:after="0" w:line="260" w:lineRule="auto"/>
        <w:rPr>
          <w:rFonts w:ascii="Arial" w:hAnsi="Arial" w:cs="Arial"/>
        </w:rPr>
      </w:pPr>
    </w:p>
    <w:p>
      <w:pPr>
        <w:spacing w:after="0" w:line="260" w:lineRule="auto"/>
      </w:pPr>
      <w:r>
        <w:tab/>
      </w:r>
      <w:r>
        <w:t>(1) Z globo od 150.000 do 250.000 eurov se kaznuje pravna oseba, če se pravna oseba po zakonu, ki ureja gospodarske družbe, šteje za srednjo ali veliko gospodarsko družbo, pa z globo od 300.000 do 500.000 eurov, če stori prekršek iz prejšnjega člena kot uvoznik ali distributer in pod svojim imenom ali znamko da na trg izdelek z digitalnimi elementi, ali bistveno spremeni izdelek z digitalnimi elementi, ki je že bil dan na trg.</w:t>
      </w:r>
      <w:r>
        <w:br/>
      </w:r>
      <w:r>
        <w:br/>
      </w:r>
      <w:r>
        <w:t xml:space="preserve"> (2) Z globo od 100.000 do 150.000 eurov se za prekršek iz prejšnjega odstavka kaznuje samostojni podjetnik posameznik ali posameznik, ki samostojno opravlja dejavnost. </w:t>
      </w:r>
      <w:r>
        <w:br/>
      </w:r>
      <w:r>
        <w:br/>
      </w:r>
      <w:r>
        <w:t xml:space="preserve"> (3) Z globo od 7.000 do 10.000 eurov se za prekršek iz prvega odstavka tega člena kaznuje tudi odgovorna oseba pravne osebe, odgovorna oseba samostojnega podjetnika posameznika ali odgovorna oseba posameznika, ki samostojno opravlja dejavnost. </w:t>
      </w:r>
      <w:r>
        <w:br/>
      </w:r>
      <w:r>
        <w:br/>
      </w:r>
      <w:r>
        <w:t xml:space="preserve"> (4) Z globo od 3.000 do 5.000 eurov se za prekršek iz prvega odstavka tega člena kaznuje posameznik. </w:t>
      </w:r>
    </w:p>
    <w:p>
      <w:pPr>
        <w:pStyle w:val="len"/>
        <w:spacing w:after="0" w:line="260" w:lineRule="auto"/>
      </w:pPr>
      <w:r>
        <w:t>8. člen</w:t>
      </w:r>
    </w:p>
    <w:p>
      <w:pPr>
        <w:pStyle w:val="lennaslov"/>
        <w:spacing w:after="0" w:line="260" w:lineRule="auto"/>
      </w:pPr>
      <w:r>
        <w:t>(kršitve določb iz drugega odstavka 64. člena Uredbe 2024/2847/EU mikro in majhnega podjetja)</w:t>
      </w:r>
    </w:p>
    <w:p>
      <w:pPr>
        <w:spacing w:after="0" w:line="260" w:lineRule="auto"/>
        <w:rPr>
          <w:rFonts w:ascii="Arial" w:hAnsi="Arial" w:cs="Arial"/>
        </w:rPr>
      </w:pPr>
    </w:p>
    <w:p>
      <w:pPr>
        <w:spacing w:after="0" w:line="260" w:lineRule="auto"/>
      </w:pPr>
      <w:r>
        <w:tab/>
      </w:r>
      <w:r>
        <w:t xml:space="preserve">(1) Ne glede na 6. člen te uredbe se pravna oseba, ki se po zakonu, ki ureja gospodarske družbe, šteje za mikro ali majhno podjetje, samostojni podjetnik posameznik ali posameznik, ki samostojno opravlja dejavnost, za prekršek iz 25. ali 27. točke prvega odstavka 6. člena te uredbe kaznuje z globo od 50.000 do 80.000 eurov. </w:t>
      </w:r>
      <w:r>
        <w:br/>
      </w:r>
      <w:r>
        <w:br/>
      </w:r>
      <w:r>
        <w:t xml:space="preserve"> (2) Z globo od 3.000 do 6.000 eurov se za prekršek iz prejšnjega odstavka kaznuje tudi odgovorna oseba pravne osebe, odgovorna oseba samostojnega podjetnika posameznika ali odgovorna oseba posameznika, ki samostojno opravlja dejavnost. </w:t>
      </w:r>
    </w:p>
    <w:p>
      <w:pPr>
        <w:pStyle w:val="len"/>
        <w:spacing w:after="0" w:line="260" w:lineRule="auto"/>
      </w:pPr>
      <w:r>
        <w:t>9. člen</w:t>
      </w:r>
    </w:p>
    <w:p>
      <w:pPr>
        <w:pStyle w:val="lennaslov"/>
        <w:spacing w:after="0" w:line="260" w:lineRule="auto"/>
      </w:pPr>
      <w:r>
        <w:t>(kršitve določb iz drugega odstavka 64. člena Uredbe 2024/2847/EU)</w:t>
      </w:r>
    </w:p>
    <w:p>
      <w:pPr>
        <w:spacing w:after="0" w:line="260" w:lineRule="auto"/>
        <w:rPr>
          <w:rFonts w:ascii="Arial" w:hAnsi="Arial" w:cs="Arial"/>
        </w:rPr>
      </w:pPr>
    </w:p>
    <w:p>
      <w:pPr>
        <w:spacing w:after="0" w:line="260" w:lineRule="auto"/>
      </w:pPr>
      <w:r>
        <w:tab/>
      </w:r>
      <w:r>
        <w:t xml:space="preserve">(1) Z globo od 150.000 do 250.000 eurov se kaznuje pravna oseba, če se pravna oseba po zakonu, ki ureja gospodarske družbe, šteje za srednjo ali veliko gospodarsko družbo, pa z globo od 300.000 do 500.000 eurov, če stori prekršek iz 6. člena te uredbe kot pravna oseba, ki ni proizvajalec, uvoznik ali distributer in ki bistveno spremeni izdelek z digitalnimi elementi ter omogoči dostopnost tega izdelka na trgu. </w:t>
      </w:r>
      <w:r>
        <w:br/>
      </w:r>
      <w:r>
        <w:br/>
      </w:r>
      <w:r>
        <w:t xml:space="preserve"> (2) Z globo od 100.000 do 150.000 eurov se za prekršek iz prejšnjega odstavka kaznuje samostojni podjetnik posameznik ali posameznik, ki samostojno opravlja dejavnost. </w:t>
      </w:r>
      <w:r>
        <w:br/>
      </w:r>
      <w:r>
        <w:br/>
      </w:r>
      <w:r>
        <w:t xml:space="preserve"> (3) Z globo od 7.000 do 10.000 eurov se za prekršek iz prvega odstavka tega člena kaznuje tudi odgovorna oseba pravne osebe, odgovorna oseba samostojnega podjetnika posameznika ali odgovorna oseba posameznika, ki samostojno opravlja dejavnost. </w:t>
      </w:r>
      <w:r>
        <w:br/>
      </w:r>
      <w:r>
        <w:br/>
      </w:r>
      <w:r>
        <w:t xml:space="preserve"> (4) Z globo od 3.000 do 5.000 eurov se za prekršek iz prvega odstavka tega člena kaznuje posameznik. </w:t>
      </w:r>
    </w:p>
    <w:p>
      <w:pPr>
        <w:pStyle w:val="len"/>
        <w:spacing w:after="0" w:line="260" w:lineRule="auto"/>
      </w:pPr>
      <w:r>
        <w:t>10. člen</w:t>
      </w:r>
    </w:p>
    <w:p>
      <w:pPr>
        <w:pStyle w:val="lennaslov"/>
        <w:spacing w:after="0" w:line="260" w:lineRule="auto"/>
      </w:pPr>
      <w:r>
        <w:t>(kršitve določb iz tretjega odstavka 64. člena Uredbe 2024/2847/EU)</w:t>
      </w:r>
    </w:p>
    <w:p>
      <w:pPr>
        <w:spacing w:after="0" w:line="260" w:lineRule="auto"/>
        <w:rPr>
          <w:rFonts w:ascii="Arial" w:hAnsi="Arial" w:cs="Arial"/>
        </w:rPr>
      </w:pPr>
    </w:p>
    <w:p>
      <w:pPr>
        <w:spacing w:after="0" w:line="260" w:lineRule="auto"/>
      </w:pPr>
      <w:r>
        <w:tab/>
      </w:r>
      <w:r>
        <w:t xml:space="preserve">(1) Z globo od 100.000 do 150.000 eurov se kaznuje pravna oseba, če se pravna oseba po zakonu, ki ureja gospodarske družbe, šteje za srednjo ali veliko gospodarsko družbo, pa z globo od 200.000 do 350.000 eurov, če: </w:t>
      </w:r>
      <w:r>
        <w:br/>
      </w:r>
      <w:r>
        <w:t xml:space="preserve">1.kot proizvajalec ne imenuje pooblaščenega zastopnika s pisnim pooblastilom (prvi odstavek 18. člena Uredbe 2024/2847/EU) ali pooblaščenemu zastopniku ne podeli vsaj pooblastil iz tretjega odstavka 18. člena Uredbe 2024/2847/EU; </w:t>
      </w:r>
      <w:r>
        <w:br/>
      </w:r>
      <w:r>
        <w:t xml:space="preserve">2.kot uvoznik ne ravna v skladu s prvim odstavkom 19. člena Uredbe 2024/2847/EU; </w:t>
      </w:r>
      <w:r>
        <w:br/>
      </w:r>
      <w:r>
        <w:t xml:space="preserve">3.kot uvoznik ne zagotovi izpolnjevanja zahtev iz drugega odstavka 19. člena Uredbe 2024/2847/EU; </w:t>
      </w:r>
      <w:r>
        <w:br/>
      </w:r>
      <w:r>
        <w:t xml:space="preserve">4.kot uvoznik v nasprotju s tretjim odstavkom 19. člena Uredbe 2024/2847/EU da na trg izdelek z digitalnimi elementi ali postopki ali ne obvesti proizvajalca opreme ali pristojnega organa za nadzor trga, če izdelek pomeni povečano ali znatno tveganje za kibernetsko varnost; </w:t>
      </w:r>
      <w:r>
        <w:br/>
      </w:r>
      <w:r>
        <w:t xml:space="preserve">5.kot uvoznik na izdelku ne navede elementov iz četrtega odstavka 19. člena Uredbe 2024/2847/EU ali ti podatki niso v jeziku, ki ga uporabniki ali pristojni organ za nadzor trga zlahka razume (četrti odstavek 19. člena Uredbe 2024/2847/EU); </w:t>
      </w:r>
      <w:r>
        <w:br/>
      </w:r>
      <w:r>
        <w:t xml:space="preserve">6.kot uvoznik izdelka, ki ni v skladu z Uredbo 2024/2847/EU, ne umakne s trga, ga ne odpokliče ali ne sprejme popravnih ukrepov ali brez nepotrebnega odlašanja ne obvesti proizvajalca ali pristojnega organa za nadzor trga o ranljivosti izdelka (peti odstavek 19. člena Uredbe 2024/2847/EU); </w:t>
      </w:r>
      <w:r>
        <w:br/>
      </w:r>
      <w:r>
        <w:t xml:space="preserve">7.kot uvoznik najmanj deset let po tem, ko je bil izdelek z digitalnimi elementi dan na trg, ali v obdobju podpore ne hrani kopije izjave EU o skladnosti ali pristojnemu organu za nadzor trga ne omogoči dostopa do nje ali ne zagotovi, da je tehnična dokumentacija na zahtevo na voljo temu organu (šesti odstavek 19. člena Uredbe 2024/2847/EU); </w:t>
      </w:r>
      <w:r>
        <w:br/>
      </w:r>
      <w:r>
        <w:t>8.kot uvoznik pristojnemu organu za nadzor trga na njegovo utemeljeno zahtevo ne predloži vseh informacij ali dokumentacije v papirni ali elektronski obliki in v jeziku, ki ga navedeni organ z</w:t>
      </w:r>
      <w:r>
        <w:t xml:space="preserve">lahka razume, ali na zahtevo tega organa z njim ne sodeluje pri vseh ukrepih, sprejetih za odpravo tveganj za kibernetsko varnost, prisotnih pri izdelku z digitalnimi elementi (sedmi odstavek 19. člena Uredbe 2024/2847/EU); </w:t>
      </w:r>
      <w:r>
        <w:br/>
      </w:r>
      <w:r>
        <w:t xml:space="preserve">9.se kot uvoznik izdelka z digitalnimi elementi seznani s tem, da je proizvajalec navedenega izdelka prenehal opravljati dejavnost, in zato ne more izpolniti obveznosti iz te uredbe ter o tem ne obvesti pristojnega organa za nadzor trga ali uporabnikov izdelkov z digitalnimi elementi (osmi odstavek 19. člena Uredbe 2024/2847/EU); 10.kot distributer ne izpolni obveznosti iz drugega odstavka 20. člena Uredbe 2024/2847/EU; </w:t>
      </w:r>
      <w:r>
        <w:br/>
      </w:r>
      <w:r>
        <w:t xml:space="preserve">11.kot distributer omogoči dostopnost izdelka z digitalnimi elementi na trgu v nasprotju s tretjim odstavkom 20. člena Uredbe 2024/2847/EU ali, kadar izdelek z digitalnimi elementi pomeni povečano tveganje za kibernetsko varnost, o tem brez nepotrebnega odlašanja ne obvesti proizvajalca ali pristojnega organa za nadzor trga (tretji odstavek 20. člena Uredbe 2024/2847/EU); </w:t>
      </w:r>
      <w:r>
        <w:br/>
      </w:r>
      <w:r>
        <w:t xml:space="preserve">12.kot distributer ne zagotovi sprejetja popravnih ukrepov, ne umakne izdelka s trga ali ga ne odpokliče, če domneva, da izdelek ni v skladu z Uredbo 2024/2847/EU, ali o ranljivosti brez nepotrebnega odlašanja ne obvesti proizvajalca, ali v primeru povečanega tveganja za kibernetsko varnost nemudoma ne obvesti pristojnega organa za nadzor trga (četrti odstavek 20. člena Uredbe 2024/2847/EU); </w:t>
      </w:r>
      <w:r>
        <w:br/>
      </w:r>
      <w:r>
        <w:t xml:space="preserve">13.kot distributer pristojnemu organu za nadzor trga na njegovo utemeljeno zahtevo ne predloži vseh informacij ali dokumentacije v papirni ali elektronski obliki in v jeziku, ki ga navedeni organ zlahka razume, ali na zahtevo tega organa z njim ne sodeluje pri vseh ukrepih, sprejetih za odpravo tveganj za kibernetsko varnost, prisotnih pri izdelku z digitalnimi elementi (peti odstavek 20. člena Uredbe 2024/2847/EU); </w:t>
      </w:r>
      <w:r>
        <w:br/>
      </w:r>
      <w:r>
        <w:t>14.se kot distributer izdelka z digitalnimi elementi seznani s tem, da je proizvajalec navedenega izdelka prenehal opravljati dejavnost, in zato ne more izpolniti o</w:t>
      </w:r>
      <w:r>
        <w:t xml:space="preserve">bveznosti iz te uredbe ter o tem ne obvesti pristojnega organa za nadzor trga ali uporabnikov izdelkov z digitalnimi elementi (šesti odstavek 20. člena Uredbe 2024/2847/EU); </w:t>
      </w:r>
      <w:r>
        <w:br/>
      </w:r>
      <w:r>
        <w:t xml:space="preserve">15.pristojnemu organu za nadzor trga ne predloži informacij iz prvega odstavka 23. člena Uredbe 2024/2847/EU; </w:t>
      </w:r>
      <w:r>
        <w:br/>
      </w:r>
      <w:r>
        <w:t xml:space="preserve">16.ne predloži informacij iz prvega odstavka 23. člena Uredbe 2024/2847/EU deset let po tem, ko mu je bil dobavljen izdelek z digitalnimi elementi, oziroma deset let po tem, ko je dobavil izdelek z digitalnimi elementi (drugi odstavek 23. člena Uredbe 2024/2847/EU); </w:t>
      </w:r>
      <w:r>
        <w:br/>
      </w:r>
      <w:r>
        <w:t xml:space="preserve">17.ne pripravi izjave EU o skladnosti v skladu z dvanajstim odstavkom 13. člena Uredbe 2024/2847/EU ali ne navede, da je bilo dokazano izpolnjevanje veljavnih bistvenih zahtev glede kibernetske varnosti iz priloge I Uredbe 2024/2847/EU (prvi odstavek 28. člena Uredbe 2024/2847/EU); </w:t>
      </w:r>
      <w:r>
        <w:br/>
      </w:r>
      <w:r>
        <w:t xml:space="preserve">18.izjava EU o skladnosti ni sestavljena po vzorcu iz priloge V Uredbe 2024/2847/EU ali ne vsebuje elementov, opredeljenih v ustreznih postopkih ugotavljanja skladnosti iz priloge VIII Uredbe 2024/2847/EU, ali se ne posodablja ali ni na voljo v uradnem jeziku države članice Evropske unije, v kateri se izdelek z digitalnimi elementi da na trg ali na voljo na trgu (drugi odstavek 28. člena Uredbe 2024/2847/EU); </w:t>
      </w:r>
      <w:r>
        <w:br/>
      </w:r>
      <w:r>
        <w:t xml:space="preserve">19.poenostavljena izjava EU o skladnosti ni sestavljena po vzorcu iz priloge VI Uredbe 2024/2847/EU ali ni na voljo v uradnem jeziku države članice Evropske unije, v kateri se izdelek z digitalnimi elementi da na trg ali na voljo na trgu (drugi odstavek 28. člena Uredbe 2024/2847/EU); </w:t>
      </w:r>
      <w:r>
        <w:br/>
      </w:r>
      <w:r>
        <w:t xml:space="preserve">20.v skladu s tretjim odstavkom 28. člena Uredbe 2024/2847/EU ne pripravi enotne izjave EU o skladnosti ali v njej ne opredeli vseh potrebnih pravnih aktov Evropske unije, vključno z navedbo objave; </w:t>
      </w:r>
      <w:r>
        <w:br/>
      </w:r>
      <w:r>
        <w:t xml:space="preserve">21.oznaka CE ni nameščena v skladu s prvim, drugim ali tretjim odstavkom 30. člena Uredbe 2024/2847/EU; </w:t>
      </w:r>
      <w:r>
        <w:br/>
      </w:r>
      <w:r>
        <w:t>22.oznaki CE ne sledi identifikacijska številka priglašenega organa, kadar je ta vključen v postopek ugotavljanja skladnosti na podlagi popol</w:t>
      </w:r>
      <w:r>
        <w:t xml:space="preserve">nega zagotavljanja kakovosti (četrti odstavek 30. člena Uredbe 2024/2847/EU) ali če ta ni nameščena v skladu četrtim odstavkom 30. člena Uredbe 2024/2847/EU; </w:t>
      </w:r>
      <w:r>
        <w:br/>
      </w:r>
      <w:r>
        <w:t xml:space="preserve">23.tehnična dokumentacija ni pripravljena v skladu s prvim odstavkom 31. člena Uredbe 2024/2847/EU; </w:t>
      </w:r>
      <w:r>
        <w:br/>
      </w:r>
      <w:r>
        <w:t xml:space="preserve">24.tehnična dokumentacija ni pripravljena, preden se izdelek z digitalnimi elementi da na trg, ali se stalno ne posodablja v obdobju podpore (drugi odstavek 31. člena Uredbe 2024/2847/EU); </w:t>
      </w:r>
      <w:r>
        <w:br/>
      </w:r>
      <w:r>
        <w:t xml:space="preserve">25.ne pripravi enotnega sklopa tehnične dokumentacije v skladu s tretjim odstavkom 31. člena Uredbe 2024/2847/EU; </w:t>
      </w:r>
      <w:r>
        <w:br/>
      </w:r>
      <w:r>
        <w:t xml:space="preserve">26.tehnična dokumentacija ali korespondenca, ki se nanaša na kateri koli postopek ugotavljanja skladnosti, ni pripravljena v uradnem jeziku države članice, v kateri je sedež priglašenega organa, ali v jeziku, sprejemljivem za navedeni organ (četrti odstavek 31. člena Uredbe 2024/2847/EU); </w:t>
      </w:r>
      <w:r>
        <w:br/>
      </w:r>
      <w:r>
        <w:t xml:space="preserve">27.kot proizvajalec ne opravi ugotavljanja skladnosti izdelka z digitalnimi elementi ali vzpostavljenimi postopki ali ne preveri izpolnjevanja bistvenih zahtev glede kibernetske varnosti v skladu s prvim, drugim ali tretjim odstavkom 32. člena Uredbe 2024/2847/EU; </w:t>
      </w:r>
      <w:r>
        <w:br/>
      </w:r>
      <w:r>
        <w:t xml:space="preserve">28.kot mikro ali malo podjetje v skladu z Uredbo 2024/2847/EU ne predloži tehnične dokumentacije v poenostavljeni obliki (peti odstavek 33. člena Uredbe 2024/2847/EU); </w:t>
      </w:r>
      <w:r>
        <w:br/>
      </w:r>
      <w:r>
        <w:t xml:space="preserve">29.pristojnemu organu za nadzor trga na njegovo obrazloženo zahtevo ne omogoči dostopa do podatkov, potrebnih za ocenjevanje zasnove, razvoja, proizvodnje ali obravnavanja ranljivosti izdelkov z digitalnimi elementi, v jeziku, ki ga ta zlahka razume (53. člen Uredbe 2024/2847/EU). </w:t>
      </w:r>
      <w:r>
        <w:br/>
      </w:r>
      <w:r>
        <w:br/>
      </w:r>
      <w:r>
        <w:t xml:space="preserve"> (2) Z globo od 80.000 do 100.000 eurov se za prekršek iz prejšnjega odstavka kaznuje samostojni podjetnik posameznik ali posameznik, ki samostojno opravlja dejavnost. </w:t>
      </w:r>
      <w:r>
        <w:br/>
      </w:r>
      <w:r>
        <w:br/>
      </w:r>
      <w:r>
        <w:t xml:space="preserve"> (3) Z globo od 5.000 do 8.000 eurov se za prekršek iz prvega odstavka tega člena kaznuje tudi odgovorna oseba pravne osebe, odgovorna oseba samostojnega podjetnika posameznika ali odgovorna oseba posameznika, ki sam</w:t>
      </w:r>
      <w:r>
        <w:t xml:space="preserve">ostojno opravlja dejavnost. </w:t>
      </w:r>
      <w:r>
        <w:br/>
      </w:r>
      <w:r>
        <w:br/>
      </w:r>
      <w:r>
        <w:t xml:space="preserve"> (4) Z globo od 2.000 do 3.500 eurov se za prekršek iz prvega odstavka tega člena kaznuje posameznik. </w:t>
      </w:r>
    </w:p>
    <w:p>
      <w:pPr>
        <w:pStyle w:val="len"/>
        <w:spacing w:after="0" w:line="260" w:lineRule="auto"/>
      </w:pPr>
      <w:r>
        <w:t>11. člen</w:t>
      </w:r>
    </w:p>
    <w:p>
      <w:pPr>
        <w:pStyle w:val="lennaslov"/>
        <w:spacing w:after="0" w:line="260" w:lineRule="auto"/>
      </w:pPr>
      <w:r>
        <w:t>(prekrški priglašenega organa)</w:t>
      </w:r>
    </w:p>
    <w:p>
      <w:pPr>
        <w:spacing w:after="0" w:line="260" w:lineRule="auto"/>
        <w:rPr>
          <w:rFonts w:ascii="Arial" w:hAnsi="Arial" w:cs="Arial"/>
        </w:rPr>
      </w:pPr>
    </w:p>
    <w:p>
      <w:pPr>
        <w:spacing w:after="0" w:line="260" w:lineRule="auto"/>
      </w:pPr>
      <w:r>
        <w:tab/>
      </w:r>
      <w:r>
        <w:t xml:space="preserve">(1) Z globo od 100.000 do 150.000 eurov se kaznuje pravna oseba kot priglašeni organ, če se pravna oseba po zakonu, ki ureja gospodarske družbe, šteje za srednjo ali veliko gospodarsko družbo, pa z globo od 200.000 do 350.000 eurov, če: </w:t>
      </w:r>
      <w:r>
        <w:br/>
      </w:r>
      <w:r>
        <w:t xml:space="preserve">1.ne deluje kot neodvisni organ (tretji odstavek 39. člena Uredbe 2024/2847/EU); </w:t>
      </w:r>
      <w:r>
        <w:br/>
      </w:r>
      <w:r>
        <w:t xml:space="preserve">2.najvišje vodstvo ali osebje, odgovorno za izvajanje nalog ugotavljanja skladnosti, sestavljajo oblikovalci, razvijalci, proizvajalci, dobavitelji, uvozniki, distributerji, monterji, kupci, lastniki, uporabniki ali vzdrževalci izdelkov z digitalnimi elementi ali pooblaščeni zastopniki (četrti odstavek 39. člena Uredbe 2024/2847/EU); </w:t>
      </w:r>
      <w:r>
        <w:br/>
      </w:r>
      <w:r>
        <w:t xml:space="preserve">3.najvišje vodstvo ali osebje, odgovorno za izvajanje nalog ugotavljanja skladnosti, neposredno sodeluje pri zasnovi, razvoju, proizvodnji, uvozu, distribuciji, trženju, vgradnji, uporabi ali vzdrževanju izdelkov z digitalnimi elementi, ki jih ocenjuje, ali zastopa stranko, ki se ukvarja s temi dejavnostmi, ali sodeluje pri dejavnostih, ki bi lahko bile v nasprotju z njihovo neodvisno presojo ali integriteto v zvezi z dejavnostmi ugotavljanja skladnosti (četrti odstavek 39. člena Uredbe 2024/2847/EU); </w:t>
      </w:r>
      <w:r>
        <w:br/>
      </w:r>
      <w:r>
        <w:t xml:space="preserve">4.izvaja naloge pod pritiskom ali s spodbudo, ki bi lahko vplivala na ugotavljanje skladnosti (peti odstavek 39. člena Uredbe 2024/2847/EU); </w:t>
      </w:r>
      <w:r>
        <w:br/>
      </w:r>
      <w:r>
        <w:t xml:space="preserve">5.ne izpolnjuje pogojev iz šestega odstavka 39. člena Uredbe 2024/2847/EU; </w:t>
      </w:r>
      <w:r>
        <w:br/>
      </w:r>
      <w:r>
        <w:t xml:space="preserve">6.osebje priglašenega organa ne izpolnjuje pogojev iz sedmega odstavka 39. člena Uredbe 2024/2847/EU; </w:t>
      </w:r>
      <w:r>
        <w:br/>
      </w:r>
      <w:r>
        <w:t xml:space="preserve">7.je plačilo najvišjega vodstva ali osebja, ki izvaja ugotavljanje skladnosti, odvisno od števila izvedb ugotavljanja skladnosti ali od rezultatov teh ugotovitev (osmi odstavek 39. člena Uredbe 2024/2847/EU); </w:t>
      </w:r>
      <w:r>
        <w:br/>
      </w:r>
      <w:r>
        <w:t xml:space="preserve">8.ne sklene zavarovanja v skladu z devetim odstavkom 39. člena Uredbe 2024/2847/EU; </w:t>
      </w:r>
      <w:r>
        <w:br/>
      </w:r>
      <w:r>
        <w:t xml:space="preserve">9.ravna v nasprotju z desetim, enajstim ali dvanajstim odstavkom 39. člena Uredbe 2024/2847/EU; </w:t>
      </w:r>
      <w:r>
        <w:br/>
      </w:r>
      <w:r>
        <w:t>10.priglasitvenega organa ne obvesti o sklenitvi pogodbe s podizvajalcem ali prenosom n</w:t>
      </w:r>
      <w:r>
        <w:t xml:space="preserve">alog na odvisno podjetje ali podizvajalec ali odvisno podjetje ne izpolnjuje zahtev iz 39. člena Uredbe 2024/2847/EU (prvi odstavek 41. člena Uredbe 2024/2847/EU); </w:t>
      </w:r>
      <w:r>
        <w:br/>
      </w:r>
      <w:r>
        <w:t xml:space="preserve">11.svojo dejavnost prenese na podizvajalca ali odvisno podjetje brez njihovega soglasja (tretji odstavek 41. člena Uredbe 2024/2847/EU); </w:t>
      </w:r>
      <w:r>
        <w:br/>
      </w:r>
      <w:r>
        <w:t xml:space="preserve">12.ne hrani dokumentov v zvezi z ocenjevanjem usposobljenosti podizvajalca ali odvisnega podjetja ter nalogami, ki jih izvajajo na podlagi Uredbe 2024/2847/EU, ali priglasitvenemu organu ne omogoči dostopa do teh dokumentov (četrti odstavek 41. člena Uredbe 2024/2847/EU); </w:t>
      </w:r>
      <w:r>
        <w:br/>
      </w:r>
      <w:r>
        <w:t xml:space="preserve">13.ravna v nasprotju z drugim ali tretjim odstavkom 47. člena Uredbe 2024/2847/EU; </w:t>
      </w:r>
      <w:r>
        <w:br/>
      </w:r>
      <w:r>
        <w:t xml:space="preserve">14.od proizvajalca ne zahteva popravnih ukrepov ali izda certifikat o skladnosti, če proizvajalec ni izpolnil zahtev, določenih v prilogi I Uredbe 2024/2847/EU ali v ustreznih harmoniziranih standardih ali skupnih specifikacijah iz 27. člena Uredbe 2024/2847/EU (četrti odstavek 47. člena Uredbe 2024/2847/EU); </w:t>
      </w:r>
      <w:r>
        <w:br/>
      </w:r>
      <w:r>
        <w:t xml:space="preserve">15.od proizvajalca ne zahteva sprejetja popravnih ukrepov ali začasno ne prekliče potrdila, če med postopkom spremljanja skladnosti po izdaji certifikata o skladnosti ugotovi, da izdelek z digitalnimi elementi ni več v skladu z zahtevami iz Uredbe 2024/284/EU (peti odstavek 47. člena Uredbe 2024/2847/EU); </w:t>
      </w:r>
      <w:r>
        <w:br/>
      </w:r>
      <w:r>
        <w:t xml:space="preserve">16.ne omeji ali začasno ne prekliče potrdil, kadar popravni ukrepi niso sprejeti ali nimajo zahtevanega učinka (šesti odstavek 47. člena Uredbe 2024/2847/EU); </w:t>
      </w:r>
      <w:r>
        <w:br/>
      </w:r>
      <w:r>
        <w:t xml:space="preserve">17.priglasitvenemu organu ne poroča v skladu s prvim odstavkom 49. člena Uredbe 2024/2847/EU; </w:t>
      </w:r>
      <w:r>
        <w:br/>
      </w:r>
      <w:r>
        <w:t xml:space="preserve">18.ne zagotavlja informacij v zvezi z negativnimi ali pozitivnimi rezultati ugotavljanja skladnosti (drugi odstavek 49. člena Uredbe 2024/2847/EU). </w:t>
      </w:r>
      <w:r>
        <w:br/>
      </w:r>
      <w:r>
        <w:br/>
      </w:r>
      <w:r>
        <w:t xml:space="preserve"> (2) Z globo od 80.000 do 100.000 eurov se za prekršek iz prejšnjega odstavka kaznuje samostojni podjetnik posameznik ali posameznik, ki samostojno opravlja dejavnost. </w:t>
      </w:r>
      <w:r>
        <w:br/>
      </w:r>
      <w:r>
        <w:br/>
      </w:r>
      <w:r>
        <w:t xml:space="preserve"> (3) Z globo od 5.000 do 8.000 eurov se za prekršek iz prvega odstavka tega člena kaznuje tudi odgovorn</w:t>
      </w:r>
      <w:r>
        <w:t>a oseba pravne osebe, odgovorna oseba samostojnega podjetnika posameznika ali odgovorna oseba posameznika, ki samostojno opravlja dejavnost. </w:t>
      </w:r>
    </w:p>
    <w:p>
      <w:pPr>
        <w:pStyle w:val="len"/>
        <w:spacing w:after="0" w:line="260" w:lineRule="auto"/>
      </w:pPr>
      <w:r>
        <w:t>12. člen</w:t>
      </w:r>
    </w:p>
    <w:p>
      <w:pPr>
        <w:pStyle w:val="lennaslov"/>
        <w:spacing w:after="0" w:line="260" w:lineRule="auto"/>
      </w:pPr>
      <w:r>
        <w:t>(kršitev četrtega odstavka 64. člena Uredbe 2024/2847/EU)</w:t>
      </w:r>
    </w:p>
    <w:p>
      <w:pPr>
        <w:spacing w:after="0" w:line="260" w:lineRule="auto"/>
        <w:rPr>
          <w:rFonts w:ascii="Arial" w:hAnsi="Arial" w:cs="Arial"/>
        </w:rPr>
      </w:pPr>
    </w:p>
    <w:p>
      <w:pPr>
        <w:spacing w:after="0" w:line="260" w:lineRule="auto"/>
      </w:pPr>
      <w:r>
        <w:tab/>
      </w:r>
      <w:r>
        <w:t xml:space="preserve">(1) Z globo od 80.000 do 100.000 eurov se kaznuje pravna oseba, če se pravna oseba po zakonu, ki ureja gospodarske družbe, šteje za srednjo ali veliko gospodarsko družbo, pa z globo od 100.000 do 150.000 eurov, če v zvezi s postopki po Uredbi 2024/2847/EU na zahtevo priglašenega organa ali pristojnega organa za nadzor trga predloži nepravilne, nepopolne ali zavajajoče informacije v zvezi z izdelki z digitalnimi elementi. </w:t>
      </w:r>
      <w:r>
        <w:br/>
      </w:r>
      <w:r>
        <w:br/>
      </w:r>
      <w:r>
        <w:t xml:space="preserve"> (2) Z globo od 50.000 do 80.000 eurov se za prekršek iz prejšnjega odstavka kaznuje samostojni podjetnik posameznik ali posameznik, ki samostojno opravlja dejavnost. </w:t>
      </w:r>
      <w:r>
        <w:br/>
      </w:r>
      <w:r>
        <w:br/>
      </w:r>
      <w:r>
        <w:t xml:space="preserve"> (3) Z globo od 3.000 do 6.000 eurov se za prekršek iz prvega odstavka tega člena kaznuje tudi odgovorna oseba pravne osebe, odgovorna oseba samostojnega podjetnika posameznika ali odgovorna oseba posameznika, ki samostojno opravlja dejavnost. </w:t>
      </w:r>
      <w:r>
        <w:br/>
      </w:r>
      <w:r>
        <w:br/>
      </w:r>
      <w:r>
        <w:t xml:space="preserve"> (4) Z globo od 1.500 do 2.500 eurov se za prekršek iz prvega odstavka tega člena kaznuje posameznik. </w:t>
      </w:r>
    </w:p>
    <w:p>
      <w:pPr>
        <w:pStyle w:val="len"/>
        <w:spacing w:after="0" w:line="260" w:lineRule="auto"/>
      </w:pPr>
      <w:r>
        <w:t>13. člen</w:t>
      </w:r>
    </w:p>
    <w:p>
      <w:pPr>
        <w:pStyle w:val="lennaslov"/>
        <w:spacing w:after="0" w:line="260" w:lineRule="auto"/>
      </w:pPr>
      <w:r>
        <w:t>(prekrški upravljavcev odprtokodne programske opreme)</w:t>
      </w:r>
    </w:p>
    <w:p>
      <w:pPr>
        <w:spacing w:after="0" w:line="260" w:lineRule="auto"/>
        <w:rPr>
          <w:rFonts w:ascii="Arial" w:hAnsi="Arial" w:cs="Arial"/>
        </w:rPr>
      </w:pPr>
    </w:p>
    <w:p>
      <w:pPr>
        <w:spacing w:after="0" w:line="260" w:lineRule="auto"/>
      </w:pPr>
      <w:r>
        <w:tab/>
      </w:r>
      <w:r>
        <w:t xml:space="preserve">(1) Z globo od 80.000 do 100.000 eurov se kaznuje pravna oseba, če se pravna oseba po zakonu, ki ureja gospodarske družbe, šteje za srednjo ali veliko gospodarsko družbo, pa z globo od 100.000 do 150.000 eurov, če kot upravljavec odprtokodne programske opreme: </w:t>
      </w:r>
      <w:r>
        <w:br/>
      </w:r>
      <w:r>
        <w:t xml:space="preserve">1.ne vzpostavi ali na preverljivi način ne dokumentira politike kibernetske varnosti (prvi odstavek 24. člena Uredbe 2024/2847/EU); </w:t>
      </w:r>
      <w:r>
        <w:br/>
      </w:r>
      <w:r>
        <w:t xml:space="preserve">2.ne sodeluje s pristojnim organom za nadzor trga ali v primeru utemeljene zahteve ne zagotovi potrebne dokumentacije v papirni ali elektronski obliki in v jeziku, ki ga ta organ zlahka razume (drugi odstavek 24. člena Uredbe 2024/2847/EU); </w:t>
      </w:r>
      <w:r>
        <w:br/>
      </w:r>
      <w:r>
        <w:t xml:space="preserve">3.stori prekršek iz 26. ali 29. točke prvega odstavka 6. člena te uredbe in gre za resni incident, ki vpliva na omrežja in informacijske sisteme; </w:t>
      </w:r>
      <w:r>
        <w:br/>
      </w:r>
      <w:r>
        <w:t xml:space="preserve">4.sodeluje pri razvoju izdelkov z digitalnimi elementi in stori prekršek iz 24. do 29. točke prvega odstavka 6. člena te uredbe. </w:t>
      </w:r>
      <w:r>
        <w:br/>
      </w:r>
      <w:r>
        <w:br/>
      </w:r>
      <w:r>
        <w:t xml:space="preserve"> (2) Z globo od 50.000 do 80.000 eurov se za prekršek iz prejšnjega odstavka kaznuje samostojni podjetnik posameznik ali posameznik, ki samostojno opravlja dejavnost. </w:t>
      </w:r>
      <w:r>
        <w:br/>
      </w:r>
      <w:r>
        <w:br/>
      </w:r>
      <w:r>
        <w:t xml:space="preserve"> (3) Z globo od 3.000 do 6.000 eurov se za prekršek iz prvega odstavka tega člena kaznuje tudi odgovorna oseba pravne osebe, odgovorna oseba samostojnega podjetnika posameznika ali odgovorna oseba posameznika, ki samostojno opravlja dejavnost. </w:t>
      </w:r>
      <w:r>
        <w:br/>
      </w:r>
      <w:r>
        <w:br/>
      </w:r>
      <w:r>
        <w:t xml:space="preserve"> (4) Z globo od 1.500 do 2.500 eurov se za prekršek iz prvega odstavka tega člena kaznuje posameznik. </w:t>
      </w:r>
    </w:p>
    <w:p>
      <w:pPr>
        <w:pStyle w:val="len"/>
        <w:spacing w:after="0" w:line="260" w:lineRule="auto"/>
      </w:pPr>
      <w:r>
        <w:t>14. člen</w:t>
      </w:r>
    </w:p>
    <w:p>
      <w:pPr>
        <w:pStyle w:val="lennaslov"/>
        <w:spacing w:after="0" w:line="260" w:lineRule="auto"/>
      </w:pPr>
      <w:r>
        <w:t>(odmerjanje sankcij za prekrške)</w:t>
      </w:r>
    </w:p>
    <w:p>
      <w:pPr>
        <w:spacing w:after="0" w:line="260" w:lineRule="auto"/>
        <w:rPr>
          <w:rFonts w:ascii="Arial" w:hAnsi="Arial" w:cs="Arial"/>
        </w:rPr>
      </w:pPr>
    </w:p>
    <w:p>
      <w:pPr>
        <w:spacing w:after="0" w:line="260" w:lineRule="auto"/>
      </w:pPr>
      <w:r>
        <w:tab/>
      </w:r>
      <w:r>
        <w:t>Poleg splošnih pravil za odmero sankcije iz zakona, ki ureja prekrške, se pri odločanju pristojnega organa za nadzor trga o višini izrečene globe za kršitve Uredbe 2024/2847/EU, ki so predpisane kot prekrški, ob obravnavanju okoliščin posameznega primera upoštevajo tudi merila iz petega odstavka 64. člena Uredbe 2024/2847/EU.</w:t>
      </w:r>
    </w:p>
    <w:p>
      <w:pPr>
        <w:pStyle w:val="Poglavje"/>
        <w:spacing w:after="0" w:line="260" w:lineRule="auto"/>
      </w:pPr>
      <w:r>
        <w:t>IV. POGLAVJE</w:t>
      </w:r>
    </w:p>
    <w:p>
      <w:pPr>
        <w:pStyle w:val="Poglavjenaslov"/>
        <w:spacing w:after="0" w:line="260" w:lineRule="auto"/>
      </w:pPr>
      <w:r>
        <w:t>KONČNI DOLOČBI</w:t>
      </w:r>
    </w:p>
    <w:p>
      <w:pPr>
        <w:pStyle w:val="len"/>
        <w:spacing w:after="0" w:line="260" w:lineRule="auto"/>
      </w:pPr>
      <w:r>
        <w:t>15. člen</w:t>
      </w:r>
    </w:p>
    <w:p>
      <w:pPr>
        <w:pStyle w:val="lennaslov"/>
        <w:spacing w:after="0" w:line="260" w:lineRule="auto"/>
      </w:pPr>
      <w:r>
        <w:t>(začetek uporabe)</w:t>
      </w:r>
    </w:p>
    <w:p>
      <w:pPr>
        <w:spacing w:after="0" w:line="260" w:lineRule="auto"/>
        <w:rPr>
          <w:rFonts w:ascii="Arial" w:hAnsi="Arial" w:cs="Arial"/>
        </w:rPr>
      </w:pPr>
    </w:p>
    <w:p>
      <w:pPr>
        <w:spacing w:after="0" w:line="260" w:lineRule="auto"/>
      </w:pPr>
      <w:r>
        <w:tab/>
      </w:r>
      <w:r>
        <w:t xml:space="preserve"> Ta uredba se začne uporabljati 11. decembra 2027, razen 3. člena te uredbe, ki se začne uporabljati 11. junija 2026.  </w:t>
      </w:r>
    </w:p>
    <w:p>
      <w:pPr>
        <w:pStyle w:val="len"/>
        <w:spacing w:after="0" w:line="260" w:lineRule="auto"/>
      </w:pPr>
      <w:r>
        <w:t>16. člen</w:t>
      </w:r>
    </w:p>
    <w:p>
      <w:pPr>
        <w:pStyle w:val="lennaslov"/>
        <w:spacing w:after="0" w:line="260" w:lineRule="auto"/>
      </w:pPr>
      <w:r>
        <w:t>(začetek veljavnosti)</w:t>
      </w:r>
    </w:p>
    <w:p>
      <w:pPr>
        <w:spacing w:after="0" w:line="260" w:lineRule="auto"/>
        <w:rPr>
          <w:rFonts w:ascii="Arial" w:hAnsi="Arial" w:cs="Arial"/>
        </w:rPr>
      </w:pPr>
    </w:p>
    <w:p>
      <w:pPr>
        <w:spacing w:after="0" w:line="260" w:lineRule="auto"/>
      </w:pPr>
      <w:r>
        <w:tab/>
      </w:r>
      <w:r>
        <w:t xml:space="preserve">Ta uredba začne veljati petnajsti dan po objavi v Uradnem listu Republike Slovenije. </w:t>
      </w:r>
    </w:p>
    <w:p>
      <w:r>
        <w:br w:type="page"/>
      </w:r>
    </w:p>
    <w:p>
      <w:pPr>
        <w:pStyle w:val="Odebeljeno"/>
        <w:spacing w:after="0" w:line="260" w:lineRule="auto"/>
      </w:pPr>
      <w:r>
        <w:t>III.</w:t>
      </w:r>
      <w:r>
        <w:tab/>
      </w:r>
      <w:r>
        <w:t>OBRAZLOŽITEV</w:t>
      </w:r>
    </w:p>
    <w:p>
      <w:pPr>
        <w:spacing w:after="0" w:line="260" w:lineRule="auto"/>
        <w:rPr>
          <w:rFonts w:ascii="Arial" w:hAnsi="Arial" w:cs="Arial"/>
        </w:rPr>
      </w:pPr>
    </w:p>
    <w:p>
      <w:pPr>
        <w:pStyle w:val="Odebeljeno"/>
        <w:spacing w:after="0" w:line="260" w:lineRule="auto"/>
      </w:pPr>
      <w:r>
        <w:t>K 1. členu:</w:t>
      </w:r>
    </w:p>
    <w:p>
      <w:pPr>
        <w:spacing w:after="0" w:line="240" w:lineRule="auto"/>
        <w:jc w:val="both"/>
      </w:pPr>
      <w:r>
        <w:t>S predlaganim 1. členom se določa vsebina predloga Uredbe o izvajanju uredbe (EU) o horizontalnih zahtevah glede kibernetske varnosti za izdelke z digitalnimi elementi. Ker se Uredba 2024/2847/EU uporablja neposredno, se s predlogom te uredbe določajo pristojni organi za izvajanje in nadzor nad izvajanjem Uredbe 2024/2847/EU, in sicer priglasitveni organ (3. člen predloga uredbe), organi za nadzor trga (4. člen predloga uredbe) in organ, pristojen za obravnavo pritožbe zoper odločitev priglašenega organa (5. člen predloga uredbe), ter kazenske sankcije za kršitve določb Uredbe 2024/2847/EU (od 6. do 13. člena predloga uredbe).</w:t>
      </w:r>
    </w:p>
    <w:p>
      <w:pPr>
        <w:spacing w:after="0" w:line="260" w:lineRule="auto"/>
        <w:rPr>
          <w:rFonts w:ascii="Arial" w:hAnsi="Arial" w:cs="Arial"/>
        </w:rPr>
      </w:pPr>
    </w:p>
    <w:p>
      <w:pPr>
        <w:pStyle w:val="Odebeljeno"/>
        <w:spacing w:after="0" w:line="260" w:lineRule="auto"/>
      </w:pPr>
      <w:r>
        <w:t>K 2. členu:</w:t>
      </w:r>
    </w:p>
    <w:p>
      <w:pPr>
        <w:spacing w:after="0" w:line="240" w:lineRule="auto"/>
        <w:jc w:val="both"/>
      </w:pPr>
      <w:r>
        <w:t>S predlaganim 2. členom se določa, da so izrazi v predlogu te uredbe usklajeni z izrazi, opredeljenimi v 3. členu Uredbe 2024/2847/EU.</w:t>
      </w:r>
    </w:p>
    <w:p>
      <w:pPr>
        <w:spacing w:after="0" w:line="260" w:lineRule="auto"/>
        <w:rPr>
          <w:rFonts w:ascii="Arial" w:hAnsi="Arial" w:cs="Arial"/>
        </w:rPr>
      </w:pPr>
    </w:p>
    <w:p>
      <w:pPr>
        <w:pStyle w:val="Odebeljeno"/>
        <w:spacing w:after="0" w:line="260" w:lineRule="auto"/>
      </w:pPr>
      <w:r>
        <w:t>K 3. členu:</w:t>
      </w:r>
    </w:p>
    <w:p>
      <w:pPr>
        <w:spacing w:after="0" w:line="240" w:lineRule="auto"/>
        <w:jc w:val="both"/>
      </w:pPr>
      <w:r>
        <w:t>Vsaka država članica EU mora v skladu s prvim odstavkom 36. člena Uredbe 2024/2847/EU določiti priglasitveni organ, ki je odgovoren za vzpostavitev in izvajanje potrebnih postopkov za ocenjevanje, imenovanje in priglasitev organov za ugotavljanje skladnosti ter za njihovo spremljanje. Ker je Urad Republike Slovenije za informacijsko varnost (v nadaljnjem besedilu: URSIV) pristojni nacionalni organ za informacijsko in kibernetsko varnost, katerega temeljno poslanstvo je povečanje odpornosti proti kibernetskim grožnjam, ki lahko ogrozijo posameznike, podjetja, državne organe in družbo v celoti, se s predlaganim prvim odstavkom 3. člena za izvajanje nalog priglasitvenega organa iz Uredbe 2024/2847/EU določa URSIV.</w:t>
      </w:r>
    </w:p>
    <w:p>
      <w:pPr>
        <w:spacing w:after="0" w:line="240" w:lineRule="auto"/>
        <w:jc w:val="both"/>
      </w:pPr>
      <w:r>
        <w:t xml:space="preserve"> </w:t>
      </w:r>
    </w:p>
    <w:p>
      <w:pPr>
        <w:spacing w:after="0" w:line="240" w:lineRule="auto"/>
        <w:jc w:val="both"/>
      </w:pPr>
      <w:r>
        <w:t>Na podlagi drugega odstavka 36. člena Uredbe 2024/2847/EU lahko države članice EU odločijo, da ocenjevanje in spremljanje iz prvega odstavka navedenega člena izvaja nacionalni akreditacijski organ po Uredbi (ES) št. 765/2008 Evropskega parlamenta in Sveta z dne 9. julija 2008 o določitvi zahtev za akreditacijo in nadzor trga v zvezi s trženjem proizvodov ter razveljavitvi Uredbe (EGS) št. 339/93 (UL L št. 218 z dne 13. 8. 2008, str. 30) in v skladu z njo. Ker naloge akreditacijskega organa po Zakonu o akreditaciji (Uradni list RS, št. 59/99) opravlja javni zavod Slovenska akreditacija, ki je na podlagi četrtega odstavka 27. člena Zakona o informacijski varnosti (Uradni list RS, št. 40/25; ZInfV-1) že pristojen za akreditacijo organov za ugotavljanje skladnosti, ki izpolnjujejo pogoje iz Uredbe (EU) 2019/881 Evropskega parlamenta in Sveta z dne 17. aprila 2019 o Agenciji Evropske unije za kibernetsko varnost (ENISA) in o certificiranju informacijske in komunikacijske tehnologije na področju kibernetske varnosti ter razveljavitvi Uredbe (EU) št. 526/2013 (Akt o kibernetski varnosti) (UL L št. 151 z dne 7. 6. 2019, str. 15; Uredba 2019/881/EU), se s predlaganim drugim odstavkom 3. člena določa, da bo za ocenjevanje organov za ugotavljanje skladnosti (po postopku in na način iz IV. poglavja Zakona o tehničnih zahtevah za proizvode in o ugotavljanju skladnosti (Uradni list RS, št. 17/11 in 29/23) ob upoštevanju dodatnih zahtev iz 39. člena Uredbe 2024/2847/EU) in za njihovo spremljanje pristojna Slovenska akreditacija.</w:t>
      </w:r>
    </w:p>
    <w:p>
      <w:pPr>
        <w:spacing w:after="0" w:line="260" w:lineRule="auto"/>
        <w:rPr>
          <w:rFonts w:ascii="Arial" w:hAnsi="Arial" w:cs="Arial"/>
        </w:rPr>
      </w:pPr>
    </w:p>
    <w:p>
      <w:pPr>
        <w:pStyle w:val="Odebeljeno"/>
        <w:spacing w:after="0" w:line="260" w:lineRule="auto"/>
      </w:pPr>
      <w:r>
        <w:t>K 4. členu:</w:t>
      </w:r>
    </w:p>
    <w:p>
      <w:pPr>
        <w:spacing w:after="0" w:line="240" w:lineRule="auto"/>
        <w:jc w:val="both"/>
      </w:pPr>
      <w:r>
        <w:t>V skladu z drugim odstavkom 52. člena Uredbe 2024/2847/EU mora vsaka država članica EU za zagotovitev učinkovitega izvajanja te uredbe imenovati en organ ali več organov za nadzor trga, pri čemer države članice lahko imenujejo obstoječi ali nov organ. Ob upoštevanju siceršnje nadzorstvene pristojnosti URSIV po določbah ZInfV-1 in pristojnosti Tržnega inšpektorata Republike Slovenije (v nadaljnjem besedilu: TIRS) glede skladnosti proizvodov na trgu se za čim večjo centralizacijo pristojnosti v okviru obstoječih organov za nadzor trga s predlaganim 4. členom določa, da naloge organov za nadzor trga po Uredbi 2024/2847/EU izvajata URSIV in TIRS (zadnji navedeni v delu, ki se nanaša na točke od a) do f) prvega odstavka 58. člena Uredbe 2024/2847/EU – formalna neskladnost).</w:t>
      </w:r>
    </w:p>
    <w:p>
      <w:pPr>
        <w:spacing w:after="0" w:line="260" w:lineRule="auto"/>
        <w:rPr>
          <w:rFonts w:ascii="Arial" w:hAnsi="Arial" w:cs="Arial"/>
        </w:rPr>
      </w:pPr>
    </w:p>
    <w:p>
      <w:pPr>
        <w:pStyle w:val="Odebeljeno"/>
        <w:spacing w:after="0" w:line="260" w:lineRule="auto"/>
      </w:pPr>
      <w:r>
        <w:t>K 5. členu:</w:t>
      </w:r>
    </w:p>
    <w:p>
      <w:pPr>
        <w:spacing w:after="0" w:line="240" w:lineRule="auto"/>
        <w:jc w:val="both"/>
      </w:pPr>
      <w:r>
        <w:t>V skladu z 48. členom Uredbe 2024/2847/EU morajo države članice zagotoviti, da je na voljo pritožbeni postopek zoper odločitve priglašenih organov. Priglašeni organi, to so organi za ugotavljanje skladnosti, imenovani v skladu s 43. členom Uredbe 2024/2847/EU in drugo ustrezno harmonizacijsko zakonodajo Unije (40. člen Uredbe 2024/2847/EU), lahko ob predpostavkah iz 47. člena Uredbe 2024/2847/EU zavrnejo izdajo certifikata o skladnosti oziroma ga prekličejo ali začasno prekličejo, o čemer morajo obveščati priglasitveni organ (po predlogu te uredbe URSIV).</w:t>
      </w:r>
    </w:p>
    <w:p>
      <w:pPr>
        <w:spacing w:after="0" w:line="240" w:lineRule="auto"/>
        <w:jc w:val="both"/>
      </w:pPr>
      <w:r>
        <w:t xml:space="preserve"> </w:t>
      </w:r>
    </w:p>
    <w:p>
      <w:pPr>
        <w:spacing w:after="0" w:line="240" w:lineRule="auto"/>
        <w:jc w:val="both"/>
      </w:pPr>
      <w:r>
        <w:t>Ker Uredba 2024/2847/EU glede organov za ugotavljanje skladnosti, akreditiranih in priglašenih na podlagi prava EU, določa zahteve, podobne tistim za organe za ugotavljanje skladnosti, priglašene za evropsko certifikacijsko shemo za kibernetsko varnost, sprejeto na podlagi Uredbe 2019/881/EU, katere izvajanje se ureja z določbami ZInfV-1, se s predlaganim 5. členom v prvem odstavku posebej poudarja, da o pritožbah zoper odločitve priglašenih organov odloča URSIV, medtem ko se s predlaganim drugim odstavkom glede obravnave pritožbe odkazuje na smiselno uporabo 27. člena ZInfV-1. Ta med drugim ureja postopek obravnave pritožb fizičnih in pravnih oseb, ki so stranke ali stranski udeleženci v postopkih, v katerih na prvi stopnji odloča organ za ugotavljanje skladnosti, ali v primeru molka tega organa.</w:t>
      </w:r>
    </w:p>
    <w:p>
      <w:pPr>
        <w:spacing w:after="0" w:line="240" w:lineRule="auto"/>
        <w:jc w:val="both"/>
      </w:pPr>
      <w:r>
        <w:t xml:space="preserve"> </w:t>
      </w:r>
    </w:p>
    <w:p>
      <w:pPr>
        <w:spacing w:after="0" w:line="240" w:lineRule="auto"/>
        <w:jc w:val="both"/>
      </w:pPr>
      <w:r>
        <w:rPr>
          <w:b/>
        </w:rPr>
        <w:t>Splošno h kazenskim določbam:</w:t>
      </w:r>
    </w:p>
    <w:p>
      <w:pPr>
        <w:spacing w:after="0" w:line="240" w:lineRule="auto"/>
        <w:jc w:val="both"/>
      </w:pPr>
      <w:r>
        <w:t>Predlagane kazenske določbe upoštevajo ureditev iz 64. člena Uredbe 2024/2847/EU in s to določbo povezane materialne določbe navedene uredbe EU.</w:t>
      </w:r>
    </w:p>
    <w:p>
      <w:pPr>
        <w:spacing w:after="0" w:line="240" w:lineRule="auto"/>
        <w:jc w:val="both"/>
      </w:pPr>
      <w:r>
        <w:t xml:space="preserve"> </w:t>
      </w:r>
    </w:p>
    <w:p>
      <w:pPr>
        <w:spacing w:after="0" w:line="240" w:lineRule="auto"/>
        <w:jc w:val="both"/>
      </w:pPr>
      <w:r>
        <w:t xml:space="preserve">Zaradi urejanja prekrškov na ravni uredbe kot podzakonskega predpisa predlagana uredba ne določa sankcij za prekrške v višini, ki jo za kršitve uredbe določajo drugi do četrti odstavek 64. člena Uredbe 2024/2847/EU, saj bi bil v tem primeru presežen okvir za predpisovanje glob iz 17. člena Zakona o prekrških (Uradni list RS, št. </w:t>
      </w:r>
      <w:r>
        <w:t>29/11</w:t>
      </w:r>
      <w:r>
        <w:t xml:space="preserve"> – uradno prečiščeno besedilo, </w:t>
      </w:r>
      <w:r>
        <w:t>21/13</w:t>
      </w:r>
      <w:r>
        <w:t xml:space="preserve">, </w:t>
      </w:r>
      <w:r>
        <w:t>111/13</w:t>
      </w:r>
      <w:r>
        <w:t xml:space="preserve">, </w:t>
      </w:r>
      <w:r>
        <w:t>74/14</w:t>
      </w:r>
      <w:r>
        <w:t xml:space="preserve"> – odl. US, </w:t>
      </w:r>
      <w:r>
        <w:t>92/14</w:t>
      </w:r>
      <w:r>
        <w:t xml:space="preserve"> – odl. US, </w:t>
      </w:r>
      <w:r>
        <w:t>32/16</w:t>
      </w:r>
      <w:r>
        <w:t xml:space="preserve">, </w:t>
      </w:r>
      <w:r>
        <w:t>15/17</w:t>
      </w:r>
      <w:r>
        <w:t xml:space="preserve"> – odl. US, </w:t>
      </w:r>
      <w:r>
        <w:t>73/19</w:t>
      </w:r>
      <w:r>
        <w:t xml:space="preserve"> – odl. US, </w:t>
      </w:r>
      <w:r>
        <w:t>175/20</w:t>
      </w:r>
      <w:r>
        <w:t xml:space="preserve"> – ZIUOPDVE, </w:t>
      </w:r>
      <w:r>
        <w:t>5/21</w:t>
      </w:r>
      <w:r>
        <w:t xml:space="preserve"> – odl. US, </w:t>
      </w:r>
      <w:r>
        <w:t>38/24</w:t>
      </w:r>
      <w:r>
        <w:t xml:space="preserve">, </w:t>
      </w:r>
      <w:r>
        <w:t>100/25</w:t>
      </w:r>
      <w:r>
        <w:t xml:space="preserve"> – ZS-1 in 10/26; ZP-1). Glede na navedeno so globe za prekrške kot kršitve iz drugega do četrtega odstavka 64. člena Uredbe 2024/2847/EU določene v okvirih iz drugega odstavka 17. člena ZP-1, z vidika sorazmernosti pa njihova višina upošteva težo kršitev </w:t>
      </w:r>
      <w:r>
        <w:t>iz navedenega člena Uredbe 2024/2847/EU.</w:t>
      </w:r>
    </w:p>
    <w:p>
      <w:pPr>
        <w:spacing w:after="0" w:line="260" w:lineRule="auto"/>
        <w:rPr>
          <w:rFonts w:ascii="Arial" w:hAnsi="Arial" w:cs="Arial"/>
        </w:rPr>
      </w:pPr>
    </w:p>
    <w:p>
      <w:pPr>
        <w:pStyle w:val="Odebeljeno"/>
        <w:spacing w:after="0" w:line="260" w:lineRule="auto"/>
      </w:pPr>
      <w:r>
        <w:t>K 6. členu:</w:t>
      </w:r>
    </w:p>
    <w:p>
      <w:pPr>
        <w:spacing w:after="0" w:line="240" w:lineRule="auto"/>
        <w:jc w:val="both"/>
      </w:pPr>
      <w:r>
        <w:t>S predlaganim 6. členom se določajo prekrški proizvajalca kot kršitve določb iz drugega odstavka 64. člena Uredbe 2024/2847/EU. Znaki prekrškov so kar najbolj jasno določeni kot kršitve 13. in 14. člena Uredbe 2024/2847/EU, pri čemer so predlagani ti razponi glob:</w:t>
      </w:r>
    </w:p>
    <w:p>
      <w:pPr>
        <w:spacing w:after="0" w:line="240" w:lineRule="auto"/>
        <w:jc w:val="both"/>
      </w:pPr>
      <w:r>
        <w:t>-         od 150.000 do 250.000 evrov za pravno osebo, če se pravna oseba po zakonu, ki ureja gospodarske družbe, šteje za srednjo ali veliko gospodarsko družbo, pa z globo od 300.000 do 500.000 evrov;</w:t>
      </w:r>
    </w:p>
    <w:p>
      <w:pPr>
        <w:spacing w:after="0" w:line="240" w:lineRule="auto"/>
        <w:jc w:val="both"/>
      </w:pPr>
      <w:r>
        <w:t>-         od 100.000 do 150.000 evrov za samostojnega podjetnika posameznika ali posameznika, ki samostojno opravlja dejavnost;</w:t>
      </w:r>
    </w:p>
    <w:p>
      <w:pPr>
        <w:spacing w:after="0" w:line="240" w:lineRule="auto"/>
        <w:jc w:val="both"/>
      </w:pPr>
      <w:r>
        <w:t>-         od 7.000 do 10.000 evrov za odgovorno osebo pravne osebe, odgovorno osebo samostojnega podjetnika posameznika ali odgovorno osebo posameznika, ki samostojno opravlja dejavnost.</w:t>
      </w:r>
    </w:p>
    <w:p>
      <w:pPr>
        <w:spacing w:after="0" w:line="240" w:lineRule="auto"/>
        <w:jc w:val="both"/>
      </w:pPr>
      <w:r>
        <w:t xml:space="preserve"> </w:t>
      </w:r>
    </w:p>
    <w:p>
      <w:pPr>
        <w:spacing w:after="0" w:line="240" w:lineRule="auto"/>
        <w:jc w:val="both"/>
      </w:pPr>
      <w:r>
        <w:t xml:space="preserve">Ker je z vidika prava EU </w:t>
      </w:r>
      <w:r>
        <w:rPr>
          <w:i/>
        </w:rPr>
        <w:t>»undertaking«</w:t>
      </w:r>
      <w:r>
        <w:t xml:space="preserve"> (torej podjetje) lahko tudi »navadna« fizična oseba (»</w:t>
      </w:r>
      <w:r>
        <w:rPr>
          <w:i/>
        </w:rPr>
        <w:t>natural person</w:t>
      </w:r>
      <w:r>
        <w:t>«), je predlagani razpon globe od 3.000 do 5.000 evrov za posameznika v primeru prekrška iz predlaganega prvega odstavka 6. člena uredbe.</w:t>
      </w:r>
    </w:p>
    <w:p>
      <w:pPr>
        <w:spacing w:after="0" w:line="260" w:lineRule="auto"/>
        <w:rPr>
          <w:rFonts w:ascii="Arial" w:hAnsi="Arial" w:cs="Arial"/>
        </w:rPr>
      </w:pPr>
    </w:p>
    <w:p>
      <w:pPr>
        <w:pStyle w:val="Odebeljeno"/>
        <w:spacing w:after="0" w:line="260" w:lineRule="auto"/>
      </w:pPr>
      <w:r>
        <w:t>K 7. členu:</w:t>
      </w:r>
    </w:p>
    <w:p>
      <w:pPr>
        <w:spacing w:after="0" w:line="240" w:lineRule="auto"/>
        <w:jc w:val="both"/>
      </w:pPr>
      <w:r>
        <w:t>S predlaganim 7. členom se v okviru kršitve določb iz drugega odstavka 64. člena Uredbe 2024/2847/EU določajo prekrški uvoznika ali distributerja, če pod svojim imenom ali znamko da na trg izdelek z digitalnimi elementi, ali bistveno spremeni izdelek z digitalnimi elementi, ki je že bil dan na trg, pri čemer določba upošteva ureditev iz 21. člena Uredbe 2024/2847/EU. Globe za prekrške uvoznika ali distributerja so enake globam za proizvajalca.</w:t>
      </w:r>
    </w:p>
    <w:p>
      <w:pPr>
        <w:spacing w:after="0" w:line="260" w:lineRule="auto"/>
        <w:rPr>
          <w:rFonts w:ascii="Arial" w:hAnsi="Arial" w:cs="Arial"/>
        </w:rPr>
      </w:pPr>
    </w:p>
    <w:p>
      <w:pPr>
        <w:pStyle w:val="Odebeljeno"/>
        <w:spacing w:after="0" w:line="260" w:lineRule="auto"/>
      </w:pPr>
      <w:r>
        <w:t>K 8. členu:</w:t>
      </w:r>
    </w:p>
    <w:p>
      <w:pPr>
        <w:spacing w:after="0" w:line="240" w:lineRule="auto"/>
        <w:jc w:val="both"/>
      </w:pPr>
      <w:r>
        <w:t>S predlaganim 8. členom se določajo posebni prekrški, če je storilec prekrškov iz 25. ali 27. točke predlaganega prvega odstavka 6. člena uredbe mikro ali majhno podjetje, pri čemer se upošteva posebnost iz a) točke desetega odstavka 64. člena Uredbe 2024/2847/EU. Za storilca prekrška so določeni pravna oseba, samostojni podjetnik posameznik, posameznik, ki samostojno opravlja dejavnost, ter odgovorna oseba pravne osebe, odgovorna oseba samostojnega podjetnika posameznika in odgovorna oseba posameznika, ki samostojno opravlja dejavnost.</w:t>
      </w:r>
    </w:p>
    <w:p>
      <w:pPr>
        <w:spacing w:after="0" w:line="240" w:lineRule="auto"/>
        <w:jc w:val="both"/>
      </w:pPr>
      <w:r>
        <w:t xml:space="preserve"> </w:t>
      </w:r>
    </w:p>
    <w:p>
      <w:pPr>
        <w:spacing w:after="0" w:line="240" w:lineRule="auto"/>
        <w:jc w:val="both"/>
      </w:pPr>
      <w:r>
        <w:t>Predlagana določba ne določa različnih razponov za pravno osebo in samostojnega podjetnika posameznika oziroma posameznika, ki samostojno opravlja dejavnost, temveč opredeljuje enotni razpon globe od 50.000 do 80.000 evrov, za odgovorno osebo pa od 3.000 do 6.000 evrov. Bistvena je namreč velikost pravnega subjekta, in ne pravnoorganizacijska oblika.</w:t>
      </w:r>
    </w:p>
    <w:p>
      <w:pPr>
        <w:spacing w:after="0" w:line="240" w:lineRule="auto"/>
        <w:jc w:val="both"/>
      </w:pPr>
      <w:r>
        <w:t xml:space="preserve"> </w:t>
      </w:r>
    </w:p>
    <w:p>
      <w:pPr>
        <w:spacing w:after="0" w:line="240" w:lineRule="auto"/>
        <w:jc w:val="both"/>
      </w:pPr>
      <w:r>
        <w:t>Predlagana določba za storilca prekrška ne določa »posameznika« kot navadne fizične osebe, saj se ta za prekršek iz 25. ali 27. točke prvega odstavka 6. člena uredbe kaznuje v skladu s četrtim odstavkom 6. člena uredbe.</w:t>
      </w:r>
    </w:p>
    <w:p>
      <w:pPr>
        <w:spacing w:after="0" w:line="260" w:lineRule="auto"/>
        <w:rPr>
          <w:rFonts w:ascii="Arial" w:hAnsi="Arial" w:cs="Arial"/>
        </w:rPr>
      </w:pPr>
    </w:p>
    <w:p>
      <w:pPr>
        <w:pStyle w:val="Odebeljeno"/>
        <w:spacing w:after="0" w:line="260" w:lineRule="auto"/>
      </w:pPr>
      <w:r>
        <w:t>K 9. členu:</w:t>
      </w:r>
    </w:p>
    <w:p>
      <w:pPr>
        <w:spacing w:after="0" w:line="240" w:lineRule="auto"/>
        <w:jc w:val="both"/>
      </w:pPr>
      <w:r>
        <w:t>S predlaganim 9. členom se v okviru kršitve določb iz drugega odstavka 64. člena Uredbe 2024/2847/EU določajo prekrški drugih gospodarskih subjektov (ki niso proizvajalci, uvozniki ali distributerji), ki bistveno spremenijo izdelek z digitalnimi elementi ter omogočijo dostopnost tega izdelka na trgu, pri čemer določba upošteva ureditev iz 22. člena Uredbe 2024/2847/EU. Globe za prekrške so enake globam za proizvajalca, uvoznika in distributerja.</w:t>
      </w:r>
    </w:p>
    <w:p>
      <w:pPr>
        <w:spacing w:after="0" w:line="260" w:lineRule="auto"/>
        <w:rPr>
          <w:rFonts w:ascii="Arial" w:hAnsi="Arial" w:cs="Arial"/>
        </w:rPr>
      </w:pPr>
    </w:p>
    <w:p>
      <w:pPr>
        <w:pStyle w:val="Odebeljeno"/>
        <w:spacing w:after="0" w:line="260" w:lineRule="auto"/>
      </w:pPr>
      <w:r>
        <w:t>K 10. členu:</w:t>
      </w:r>
    </w:p>
    <w:p>
      <w:pPr>
        <w:spacing w:after="0" w:line="240" w:lineRule="auto"/>
        <w:jc w:val="both"/>
      </w:pPr>
      <w:r>
        <w:t>S predlaganim 10. členom se določajo prekrški kot kršitve določb iz tretjega odstavka 64. člena Uredbe 2024/2847/EU. Znaki prekrškov so kar najbolj jasno določeni kot kršitve 18. do 23. člena, 28. člena, prvega do četrtega odstavka 30. člena, prvega do četrtega odstavka 31. člena, prvega do tretjega odstavka 32. člena, petega odstavka 33. člena in 53. člena Uredbe 2024/2847/EU, s predlaganimi razponi glob:</w:t>
      </w:r>
    </w:p>
    <w:p>
      <w:pPr>
        <w:spacing w:after="0" w:line="240" w:lineRule="auto"/>
        <w:jc w:val="both"/>
      </w:pPr>
      <w:r>
        <w:t>-         od 100.000 do 150.000 evrov za pravno osebo, če se pravna oseba po zakonu, ki ureja gospodarske družbe, šteje za srednjo ali veliko gospodarsko družbo, pa z globo od 200.000 do 350.000 evrov;</w:t>
      </w:r>
    </w:p>
    <w:p>
      <w:pPr>
        <w:spacing w:after="0" w:line="240" w:lineRule="auto"/>
        <w:jc w:val="both"/>
      </w:pPr>
      <w:r>
        <w:t>-         od 80.000 do 100.000 evrov za samostojnega podjetnika posameznika ali posameznika, ki samostojno opravlja dejavnost;</w:t>
      </w:r>
    </w:p>
    <w:p>
      <w:pPr>
        <w:spacing w:after="0" w:line="240" w:lineRule="auto"/>
        <w:jc w:val="both"/>
      </w:pPr>
      <w:r>
        <w:t>-         od 5.000 do 8.000 evrov za odgovorno osebo pravne osebe, odgovorno osebo samostojnega podjetnika posameznika ali odgovorno osebo posameznika, ki samostojno opravlja dejavnost;</w:t>
      </w:r>
    </w:p>
    <w:p>
      <w:pPr>
        <w:spacing w:after="0" w:line="240" w:lineRule="auto"/>
        <w:jc w:val="both"/>
      </w:pPr>
      <w:r>
        <w:t>-         od 2.000 do 3.500 evrov za posameznika.</w:t>
      </w:r>
    </w:p>
    <w:p>
      <w:pPr>
        <w:spacing w:after="0" w:line="260" w:lineRule="auto"/>
        <w:rPr>
          <w:rFonts w:ascii="Arial" w:hAnsi="Arial" w:cs="Arial"/>
        </w:rPr>
      </w:pPr>
    </w:p>
    <w:p>
      <w:pPr>
        <w:pStyle w:val="Odebeljeno"/>
        <w:spacing w:after="0" w:line="260" w:lineRule="auto"/>
      </w:pPr>
      <w:r>
        <w:t>K 11. členu:</w:t>
      </w:r>
    </w:p>
    <w:p>
      <w:pPr>
        <w:spacing w:after="0" w:line="240" w:lineRule="auto"/>
        <w:jc w:val="both"/>
      </w:pPr>
      <w:r>
        <w:t>S predlaganim 11. členom se določajo prekrški priglašenega organa kot kršitve določb iz tretjega odstavka 64. člena Uredbe 2024/2847/EU. Znaki prekrškov so kar najbolj jasno določeni kot kršitve 39., 41., 47. in 49. člena Uredbe 2024/2847/EU, s predlaganimi razponi glob:</w:t>
      </w:r>
    </w:p>
    <w:p>
      <w:pPr>
        <w:spacing w:after="0" w:line="240" w:lineRule="auto"/>
        <w:jc w:val="both"/>
      </w:pPr>
      <w:r>
        <w:t>-         od 100.000 do 150.000 evrov za pravno osebo, če se pravna oseba po zakonu, ki ureja gospodarske družbe, šteje za srednjo ali veliko gospodarsko družbo, pa z globo od 200.000 do 350.000 evrov;</w:t>
      </w:r>
    </w:p>
    <w:p>
      <w:pPr>
        <w:spacing w:after="0" w:line="240" w:lineRule="auto"/>
        <w:jc w:val="both"/>
      </w:pPr>
      <w:r>
        <w:t>-         od 80.000 do 100.000 evrov za samostojnega podjetnika posameznika ali posameznika, ki samostojno opravlja dejavnost;</w:t>
      </w:r>
    </w:p>
    <w:p>
      <w:pPr>
        <w:spacing w:after="0" w:line="240" w:lineRule="auto"/>
        <w:jc w:val="both"/>
      </w:pPr>
      <w:r>
        <w:t>-         od 5.000 do 8.000 evrov za odgovorno osebo pravne osebe, odgovorno osebo samostojnega podjetnika posameznika ali odgovorno osebo posameznika, ki samostojno opravlja dejavnost.</w:t>
      </w:r>
    </w:p>
    <w:p>
      <w:pPr>
        <w:spacing w:after="0" w:line="240" w:lineRule="auto"/>
        <w:jc w:val="both"/>
      </w:pPr>
      <w:r>
        <w:t xml:space="preserve"> </w:t>
      </w:r>
    </w:p>
    <w:p>
      <w:pPr>
        <w:spacing w:after="0" w:line="240" w:lineRule="auto"/>
        <w:jc w:val="both"/>
      </w:pPr>
      <w:r>
        <w:t>Predlagana določba kot storilca prekrška ne določa »posameznika«, saj predlagatelj meni, da je dejavnost priglašenega organa mogoče opravljati le kot pravna oseba – kot gospodarska družba, ali fizična oseba, ki na trgu samostojno opravlja pridobitno dejavnost v okviru organiziranega podjetja – kot samostojni podjetnik posameznik (oziroma posameznik, ki samostojno opravlja dejavnost).</w:t>
      </w:r>
    </w:p>
    <w:p>
      <w:pPr>
        <w:spacing w:after="0" w:line="260" w:lineRule="auto"/>
        <w:rPr>
          <w:rFonts w:ascii="Arial" w:hAnsi="Arial" w:cs="Arial"/>
        </w:rPr>
      </w:pPr>
    </w:p>
    <w:p>
      <w:pPr>
        <w:pStyle w:val="Odebeljeno"/>
        <w:spacing w:after="0" w:line="260" w:lineRule="auto"/>
      </w:pPr>
      <w:r>
        <w:t>K 12. členu:</w:t>
      </w:r>
    </w:p>
    <w:p>
      <w:pPr>
        <w:spacing w:after="0" w:line="240" w:lineRule="auto"/>
        <w:jc w:val="both"/>
      </w:pPr>
      <w:r>
        <w:t>S predlaganim 12. členom se določa prekršek za kršitev četrtega odstavka 64. člena Uredbe 2024/2847/EU, pri čemer so predlagani razponi glob:</w:t>
      </w:r>
    </w:p>
    <w:p>
      <w:pPr>
        <w:spacing w:after="0" w:line="240" w:lineRule="auto"/>
        <w:jc w:val="both"/>
      </w:pPr>
      <w:r>
        <w:t>-         od 80.000 do 100.000 evrov za pravno osebo, če se pravna oseba po zakonu, ki ureja gospodarske družbe, šteje za srednjo ali veliko gospodarsko družbo, pa z globo od 100.000 do 150.000 evrov;</w:t>
      </w:r>
    </w:p>
    <w:p>
      <w:pPr>
        <w:spacing w:after="0" w:line="240" w:lineRule="auto"/>
        <w:jc w:val="both"/>
      </w:pPr>
      <w:r>
        <w:t>-         od 50.000 do 80.000 evrov za samostojnega podjetnika posameznika ali posameznika, ki samostojno opravlja dejavnost;</w:t>
      </w:r>
    </w:p>
    <w:p>
      <w:pPr>
        <w:spacing w:after="0" w:line="240" w:lineRule="auto"/>
        <w:jc w:val="both"/>
      </w:pPr>
      <w:r>
        <w:t>-         od 3.000 do 6.000 evrov za odgovorno osebo pravne osebe, odgovorno osebo samostojnega podjetnika posameznika ali odgovorno osebo posameznika, ki samostojno opravlja dejavnost;</w:t>
      </w:r>
    </w:p>
    <w:p>
      <w:pPr>
        <w:spacing w:after="0" w:line="240" w:lineRule="auto"/>
        <w:jc w:val="both"/>
      </w:pPr>
      <w:r>
        <w:t>-         od 1.500 do 2.500 evrov za posameznika.</w:t>
      </w:r>
    </w:p>
    <w:p>
      <w:pPr>
        <w:spacing w:after="0" w:line="260" w:lineRule="auto"/>
        <w:rPr>
          <w:rFonts w:ascii="Arial" w:hAnsi="Arial" w:cs="Arial"/>
        </w:rPr>
      </w:pPr>
    </w:p>
    <w:p>
      <w:pPr>
        <w:pStyle w:val="Odebeljeno"/>
        <w:spacing w:after="0" w:line="260" w:lineRule="auto"/>
      </w:pPr>
      <w:r>
        <w:t>K 13. členu:</w:t>
      </w:r>
    </w:p>
    <w:p>
      <w:pPr>
        <w:spacing w:after="0" w:line="240" w:lineRule="auto"/>
        <w:jc w:val="both"/>
      </w:pPr>
      <w:r>
        <w:t>S predlaganim 13. členom se prekrški upravljavcev odprtokodne programske opreme določajo kot kršitve 24. člena Uredbe 2024/2847/EU, pri čemer so predlagani razponi glob:</w:t>
      </w:r>
    </w:p>
    <w:p>
      <w:pPr>
        <w:spacing w:after="0" w:line="240" w:lineRule="auto"/>
        <w:jc w:val="both"/>
      </w:pPr>
      <w:r>
        <w:t>-         od 80.000 do 100.000 evrov za pravno osebo, če se pravna oseba po zakonu, ki ureja gospodarske družbe, šteje za srednjo ali veliko gospodarsko družbo, pa z globo od 100.000 do 150.000 evrov;</w:t>
      </w:r>
    </w:p>
    <w:p>
      <w:pPr>
        <w:spacing w:after="0" w:line="240" w:lineRule="auto"/>
        <w:jc w:val="both"/>
      </w:pPr>
      <w:r>
        <w:t>-         od 50.000 do 80.000 evrov za samostojnega podjetnika posameznika ali posameznika, ki samostojno opravlja dejavnost;</w:t>
      </w:r>
    </w:p>
    <w:p>
      <w:pPr>
        <w:spacing w:after="0" w:line="240" w:lineRule="auto"/>
        <w:jc w:val="both"/>
      </w:pPr>
      <w:r>
        <w:t>-         od 3.000 do 6.000 evrov za odgovorno osebo pravne osebe, odgovorno osebo samostojnega podjetnika posameznika ali odgovorno osebo posameznika, ki samostojno opravlja dejavnost;</w:t>
      </w:r>
    </w:p>
    <w:p>
      <w:pPr>
        <w:spacing w:after="0" w:line="240" w:lineRule="auto"/>
        <w:jc w:val="both"/>
      </w:pPr>
      <w:r>
        <w:t>-         od 1.500 do 2.500 evrov za posameznika.</w:t>
      </w:r>
    </w:p>
    <w:p>
      <w:pPr>
        <w:spacing w:after="0" w:line="260" w:lineRule="auto"/>
        <w:rPr>
          <w:rFonts w:ascii="Arial" w:hAnsi="Arial" w:cs="Arial"/>
        </w:rPr>
      </w:pPr>
    </w:p>
    <w:p>
      <w:pPr>
        <w:pStyle w:val="Odebeljeno"/>
        <w:spacing w:after="0" w:line="260" w:lineRule="auto"/>
      </w:pPr>
      <w:r>
        <w:t>K 14. členu:</w:t>
      </w:r>
    </w:p>
    <w:p>
      <w:pPr>
        <w:spacing w:after="0" w:line="240" w:lineRule="auto"/>
        <w:jc w:val="both"/>
      </w:pPr>
      <w:r>
        <w:t>S predlaganim 14. členom se poleg splošnih pravil za odmero sankcije, ki jih sicer določa 26. člen ZP-1, določajo dodatna pravila za odmero sankcije, pri čemer se upošteva ureditev pravil za odmero sankcij iz petega odstavka 64. člena Uredbe 2024/2847/EU.</w:t>
      </w:r>
    </w:p>
    <w:p>
      <w:pPr>
        <w:spacing w:after="0" w:line="260" w:lineRule="auto"/>
        <w:rPr>
          <w:rFonts w:ascii="Arial" w:hAnsi="Arial" w:cs="Arial"/>
        </w:rPr>
      </w:pPr>
    </w:p>
    <w:p>
      <w:pPr>
        <w:pStyle w:val="Odebeljeno"/>
        <w:spacing w:after="0" w:line="260" w:lineRule="auto"/>
      </w:pPr>
      <w:r>
        <w:t>K 15. členu:</w:t>
      </w:r>
    </w:p>
    <w:p>
      <w:pPr>
        <w:spacing w:after="0" w:line="240" w:lineRule="auto"/>
        <w:jc w:val="both"/>
      </w:pPr>
      <w:r>
        <w:t>Glede na drugi odstavek 71. člena Uredbe 2024/2847/EU se bo navedena uredba začela uporabljati 11. decembra 2027, z izjemo določb, ki se nanašajo na priglasitev organov za ugotavljanje skladnosti (35. do 51. člen Uredbe 2024/2847/EU) – začetek uporabe 11. junija 2026, in določbe 14. člena Uredbe 2024/2847/EU, ki se nanaša na obveznosti poročanja proizvajalcev o aktivnem izkoriščanju ranljivosti in resnih incidentih – začetek uporabe 11. septembra 2026.</w:t>
      </w:r>
    </w:p>
    <w:p>
      <w:pPr>
        <w:spacing w:after="0" w:line="240" w:lineRule="auto"/>
        <w:jc w:val="both"/>
      </w:pPr>
      <w:r>
        <w:t xml:space="preserve"> </w:t>
      </w:r>
    </w:p>
    <w:p>
      <w:pPr>
        <w:spacing w:after="0" w:line="240" w:lineRule="auto"/>
        <w:jc w:val="both"/>
      </w:pPr>
      <w:r>
        <w:t>Ob upoštevanju navedenega predlagani 15. člen glede na predlagano vsebino uredbe določa začetek uporabe te uredbe z 11. decembrom 2027, v delu, ki se nanaša na priglasitveni organ (3. člen predloga uredbe), pa z 11. junijem 2026. Predlagani 3. člen je namreč tudi podlaga za izvajanje nalog priglasitvenega organa in organov za ugotavljanje skladnosti po določbah od 35. do 51. člena Uredbe 2024/2847/EU. Začetek uporabe 14. člena Uredbe 2024/2847/EU se v predlogu uredbe posebej ne navaja, saj se navedena določba uporablja neposredno in ni vsebina predlagane uredbe.</w:t>
      </w:r>
    </w:p>
    <w:p>
      <w:pPr>
        <w:spacing w:after="0" w:line="260" w:lineRule="auto"/>
        <w:rPr>
          <w:rFonts w:ascii="Arial" w:hAnsi="Arial" w:cs="Arial"/>
        </w:rPr>
      </w:pPr>
    </w:p>
    <w:p>
      <w:pPr>
        <w:pStyle w:val="Odebeljeno"/>
        <w:spacing w:after="0" w:line="260" w:lineRule="auto"/>
      </w:pPr>
      <w:r>
        <w:t>K 16. členu:</w:t>
      </w:r>
    </w:p>
    <w:p>
      <w:pPr>
        <w:spacing w:after="0" w:line="240" w:lineRule="auto"/>
        <w:jc w:val="both"/>
      </w:pPr>
      <w:r>
        <w:t>Predlagani člen vsebuje uveljavitveno določbo, po kateri ta uredba začne veljati petnajsti dan po objavi v Uradnem listu Republike Slovenije.</w:t>
      </w:r>
    </w:p>
    <w:p>
      <w:pPr>
        <w:spacing w:after="0" w:line="260" w:lineRule="auto"/>
        <w:rPr>
          <w:rFonts w:ascii="Arial" w:hAnsi="Arial" w:cs="Arial"/>
        </w:rPr>
      </w:pPr>
    </w:p>
    <w:p>
      <w:r>
        <w:br w:type="page"/>
      </w:r>
    </w:p>
    <w:p>
      <w:pPr>
        <w:pStyle w:val="Odebeljeno"/>
        <w:spacing w:after="0" w:line="260" w:lineRule="auto"/>
      </w:pPr>
      <w:r>
        <w:t>IV.</w:t>
      </w:r>
      <w:r>
        <w:tab/>
      </w:r>
      <w:r>
        <w:t>PRILOGE</w:t>
      </w:r>
    </w:p>
    <w:p>
      <w:pPr>
        <w:spacing w:after="0" w:line="260" w:lineRule="auto"/>
        <w:rPr>
          <w:rFonts w:ascii="Arial" w:hAnsi="Arial" w:cs="Arial"/>
        </w:rPr>
      </w:pPr>
    </w:p>
    <w:p>
      <w:pPr>
        <w:spacing w:after="0" w:line="260" w:lineRule="auto"/>
      </w:pPr>
      <w:r>
        <w:tab/>
      </w:r>
      <w:r>
        <w:t>- Izjava o skladnosti s pravnim rednom EU  (skladnostEU_izjava2.docx)</w:t>
      </w:r>
    </w:p>
    <w:sectPr>
      <w:footerReference w:type="default" r:id="rId4"/>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i/>
        <w:sz w:val="16"/>
      </w:rPr>
      <w:t>Ustvarjeno v MOPED-DOCS, 07. 04. 2026 12:02:16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