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GENERALNI SEKRETARIAT VLADE</w:t>
      </w:r>
    </w:p>
    <w:p>
      <w:pPr>
        <w:pStyle w:val="Odebeljeno"/>
        <w:spacing w:after="0" w:line="260" w:lineRule="auto"/>
      </w:pPr>
      <w:r>
        <w:t>REPUBLIKE SLOVENIJE</w:t>
      </w:r>
    </w:p>
    <w:p>
      <w:pPr>
        <w:pStyle w:val="Odebeljeno"/>
        <w:spacing w:after="0" w:line="260" w:lineRule="auto"/>
      </w:pPr>
      <w:r>
        <w:t>gp.gs@gov.si</w:t>
      </w: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tbl>
      <w:tblP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500"/>
        <w:gridCol w:w="7005"/>
      </w:tblGrid>
      <w:tr>
        <w:tblPrEx>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0" w:type="dxa"/>
          </w:tcPr>
          <w:p>
            <w:pPr>
              <w:spacing w:after="0" w:line="260" w:lineRule="auto"/>
            </w:pPr>
            <w:r>
              <w:t>Številka:</w:t>
            </w:r>
          </w:p>
        </w:tc>
        <w:tc>
          <w:tcPr>
            <w:tcW w:w="7005" w:type="dxa"/>
          </w:tcPr>
          <w:p>
            <w:pPr>
              <w:spacing w:after="0" w:line="260" w:lineRule="auto"/>
            </w:pPr>
          </w:p>
        </w:tc>
      </w:tr>
      <w:tr>
        <w:tblPrEx>
          <w:tblW w:w="8505" w:type="dxa"/>
        </w:tblPrEx>
        <w:tc>
          <w:tcPr>
            <w:tcW w:w="1500" w:type="dxa"/>
          </w:tcPr>
          <w:p>
            <w:pPr>
              <w:spacing w:after="0" w:line="260" w:lineRule="auto"/>
            </w:pPr>
            <w:r>
              <w:t>Ljubljana,</w:t>
            </w:r>
          </w:p>
        </w:tc>
        <w:tc>
          <w:tcPr>
            <w:tcW w:w="7005" w:type="dxa"/>
          </w:tcPr>
          <w:p>
            <w:pPr>
              <w:spacing w:after="0" w:line="260" w:lineRule="auto"/>
            </w:pPr>
            <w:r>
              <w:t>07. 04. 2026</w:t>
            </w:r>
          </w:p>
        </w:tc>
      </w:tr>
      <w:tr>
        <w:tblPrEx>
          <w:tblW w:w="8505" w:type="dxa"/>
        </w:tblPrEx>
        <w:tc>
          <w:tcPr>
            <w:tcW w:w="1500" w:type="dxa"/>
          </w:tcPr>
          <w:p>
            <w:pPr>
              <w:spacing w:after="0" w:line="260" w:lineRule="auto"/>
            </w:pPr>
            <w:r>
              <w:t>EVA:</w:t>
            </w:r>
          </w:p>
        </w:tc>
        <w:tc>
          <w:tcPr>
            <w:tcW w:w="7005" w:type="dxa"/>
          </w:tcPr>
          <w:p>
            <w:pPr>
              <w:spacing w:after="0" w:line="260" w:lineRule="auto"/>
            </w:pPr>
            <w:r>
              <w:t>2026-1544-0001</w:t>
            </w:r>
          </w:p>
        </w:tc>
      </w:tr>
    </w:tbl>
    <w:p>
      <w:pPr>
        <w:spacing w:after="0" w:line="260" w:lineRule="auto"/>
        <w:rPr>
          <w:rFonts w:ascii="Arial" w:hAnsi="Arial" w:cs="Arial"/>
        </w:rPr>
      </w:pPr>
    </w:p>
    <w:tbl>
      <w:tblP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1500"/>
        <w:gridCol w:w="7005"/>
      </w:tblGrid>
      <w:tr>
        <w:tblPrEx>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0" w:type="dxa"/>
          </w:tcPr>
          <w:p>
            <w:pPr>
              <w:pStyle w:val="Odebeljeno"/>
              <w:spacing w:after="0" w:line="260" w:lineRule="auto"/>
            </w:pPr>
            <w:r>
              <w:t>ZADEVA:</w:t>
            </w:r>
          </w:p>
        </w:tc>
        <w:tc>
          <w:tcPr>
            <w:tcW w:w="7005" w:type="dxa"/>
          </w:tcPr>
          <w:p>
            <w:pPr>
              <w:pStyle w:val="Odebeljeno"/>
              <w:spacing w:after="0" w:line="260" w:lineRule="auto"/>
            </w:pPr>
            <w:r>
              <w:t>Uredba o izvajanju uredbe (EU) o horizontalnih zahtevah glede kibernetske varnosti za izdelke z digitalnimi elementi – predlog za obravnavo</w:t>
            </w:r>
          </w:p>
        </w:tc>
      </w:tr>
    </w:tbl>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1.</w:t>
      </w:r>
      <w:r>
        <w:tab/>
      </w:r>
      <w:r>
        <w:t>Predlog sklepa vlade</w:t>
      </w:r>
    </w:p>
    <w:p>
      <w:pPr>
        <w:spacing w:after="0" w:line="260" w:lineRule="auto"/>
        <w:rPr>
          <w:rFonts w:ascii="Arial" w:hAnsi="Arial" w:cs="Arial"/>
        </w:rPr>
      </w:pPr>
    </w:p>
    <w:p>
      <w:pPr>
        <w:spacing w:after="0" w:line="240" w:lineRule="auto"/>
        <w:jc w:val="both"/>
      </w:pPr>
      <w:r>
        <w:t>Na podlagi sedmega odstavka 21. člena Zakona o Vladi Republike Slovenije (Uradni list RS, št. 24/05 – uradno prečiščeno besedilo, 109/08, 38/10 – ZUKN, 8/12, 21/13, 47/13 – ZDU-1G, 65/14, 55/17, 163/22 in 57/25 – ZF) je Vlada Republike Slovenije na … seji … sprejela</w:t>
      </w:r>
    </w:p>
    <w:p>
      <w:pPr>
        <w:spacing w:after="0" w:line="240" w:lineRule="auto"/>
        <w:jc w:val="both"/>
      </w:pPr>
      <w:r>
        <w:t xml:space="preserve"> </w:t>
      </w:r>
    </w:p>
    <w:p>
      <w:pPr>
        <w:spacing w:after="0" w:line="240" w:lineRule="auto"/>
        <w:jc w:val="center"/>
      </w:pPr>
      <w:r>
        <w:t>SKLEP:</w:t>
      </w:r>
    </w:p>
    <w:p>
      <w:pPr>
        <w:spacing w:after="0" w:line="240" w:lineRule="auto"/>
        <w:jc w:val="center"/>
      </w:pPr>
      <w:r>
        <w:t xml:space="preserve"> </w:t>
      </w:r>
    </w:p>
    <w:p>
      <w:pPr>
        <w:spacing w:after="0" w:line="240" w:lineRule="auto"/>
        <w:jc w:val="center"/>
      </w:pPr>
      <w:r>
        <w:t xml:space="preserve"> </w:t>
      </w:r>
    </w:p>
    <w:p>
      <w:pPr>
        <w:spacing w:after="0" w:line="240" w:lineRule="auto"/>
        <w:jc w:val="both"/>
      </w:pPr>
      <w:r>
        <w:t>Vlada Republike Slovenije je izdala Uredbo o izvajanju uredbe (EU) o horizontalnih zahtevah glede kibernetske varnosti za izdelke z digitalnimi elementi in jo objavi v Uradnem listu Republike Slovenije.</w:t>
      </w:r>
    </w:p>
    <w:p>
      <w:pPr>
        <w:spacing w:after="0" w:line="240" w:lineRule="auto"/>
        <w:jc w:val="both"/>
      </w:pPr>
      <w:r>
        <w:t xml:space="preserve"> </w:t>
      </w:r>
    </w:p>
    <w:p>
      <w:pPr>
        <w:spacing w:after="0" w:line="240" w:lineRule="auto"/>
        <w:jc w:val="both"/>
      </w:pPr>
      <w:r>
        <w:t xml:space="preserve"> </w:t>
      </w:r>
    </w:p>
    <w:p>
      <w:pPr>
        <w:spacing w:after="0" w:line="240" w:lineRule="auto"/>
        <w:jc w:val="center"/>
      </w:pPr>
      <w:r>
        <w:t>Barbara Kolenko Helbl</w:t>
      </w:r>
    </w:p>
    <w:p>
      <w:pPr>
        <w:spacing w:after="0" w:line="240" w:lineRule="auto"/>
        <w:jc w:val="center"/>
      </w:pPr>
      <w:r>
        <w:t>generalna sekretarka</w:t>
      </w:r>
    </w:p>
    <w:p>
      <w:pPr>
        <w:spacing w:after="0" w:line="240" w:lineRule="auto"/>
        <w:jc w:val="left"/>
      </w:pPr>
      <w:r>
        <w:t xml:space="preserve"> </w:t>
      </w:r>
    </w:p>
    <w:p>
      <w:pPr>
        <w:spacing w:after="0" w:line="240" w:lineRule="auto"/>
        <w:jc w:val="left"/>
      </w:pPr>
      <w:r>
        <w:t>Prejmejo:</w:t>
      </w:r>
    </w:p>
    <w:p>
      <w:pPr>
        <w:spacing w:after="0" w:line="240" w:lineRule="auto"/>
        <w:jc w:val="left"/>
      </w:pPr>
      <w:r>
        <w:t>-         Urad Vlade Republike Slovenije za informacijsko varnost,</w:t>
      </w:r>
    </w:p>
    <w:p>
      <w:pPr>
        <w:spacing w:after="0" w:line="240" w:lineRule="auto"/>
        <w:jc w:val="left"/>
      </w:pPr>
      <w:r>
        <w:t>-         Ministrstvo za gospodarstvo, turizem in šport Republike Slovenije,</w:t>
      </w:r>
    </w:p>
    <w:p>
      <w:pPr>
        <w:spacing w:after="0" w:line="240" w:lineRule="auto"/>
      </w:pPr>
      <w:r>
        <w:t xml:space="preserve">         -        Služba Vlade Republike Slovenije za zakonodajo.</w:t>
      </w:r>
    </w:p>
    <w:p>
      <w:pPr>
        <w:spacing w:after="0" w:line="260" w:lineRule="auto"/>
        <w:rPr>
          <w:rFonts w:ascii="Arial" w:hAnsi="Arial" w:cs="Arial"/>
        </w:rPr>
      </w:pPr>
    </w:p>
    <w:p>
      <w:pPr>
        <w:pStyle w:val="Odebeljeno"/>
        <w:spacing w:after="0" w:line="260" w:lineRule="auto"/>
      </w:pPr>
      <w:r>
        <w:t>2.</w:t>
      </w:r>
      <w:r>
        <w:tab/>
      </w:r>
      <w:r>
        <w:t>Predlog za obravnavo predloga zakona po nujnem ali skrajšanem postopku v državnem zboru z obrazložitvijo razlogov</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w:t>
      </w:r>
      <w:r>
        <w:tab/>
      </w:r>
      <w:r>
        <w:t>Osebe, odgovorne za strokovno pripravo in usklajenost gradiva</w:t>
      </w:r>
    </w:p>
    <w:p>
      <w:pPr>
        <w:spacing w:after="0" w:line="260" w:lineRule="auto"/>
        <w:rPr>
          <w:rFonts w:ascii="Arial" w:hAnsi="Arial" w:cs="Arial"/>
        </w:rPr>
      </w:pPr>
    </w:p>
    <w:p>
      <w:pPr>
        <w:spacing w:after="0" w:line="240" w:lineRule="auto"/>
        <w:jc w:val="left"/>
      </w:pPr>
      <w:r>
        <w:t>-         dr. Uroš Svete, direktor urada, Urad Vlade Republike Slovenije za informacijsko varnost,</w:t>
      </w:r>
    </w:p>
    <w:p>
      <w:pPr>
        <w:spacing w:after="0" w:line="240" w:lineRule="auto"/>
        <w:jc w:val="left"/>
      </w:pPr>
      <w:r>
        <w:t>-         Kory Golob, pomočnik direktorja urada, Urad Vlade Republike Slovenije za informacijsko varnost,</w:t>
      </w:r>
    </w:p>
    <w:p>
      <w:pPr>
        <w:spacing w:after="0" w:line="240" w:lineRule="auto"/>
      </w:pPr>
      <w:r>
        <w:t xml:space="preserve">         -        dr. Tilen Gorenšek, vodja Sektorja za certificiranje in skladnost, Urad Vlade Republike Slovenije za informacijsko varnost. </w:t>
      </w:r>
    </w:p>
    <w:p>
      <w:pPr>
        <w:spacing w:after="0" w:line="260" w:lineRule="auto"/>
        <w:rPr>
          <w:rFonts w:ascii="Arial" w:hAnsi="Arial" w:cs="Arial"/>
        </w:rPr>
      </w:pPr>
    </w:p>
    <w:p>
      <w:pPr>
        <w:pStyle w:val="Odebeljeno"/>
        <w:spacing w:after="0" w:line="260" w:lineRule="auto"/>
      </w:pPr>
      <w:r>
        <w:t>4.</w:t>
      </w:r>
      <w:r>
        <w:tab/>
      </w:r>
      <w:r>
        <w:t>Zunanji strokovnjaki, ki so sodelovali pri pripravi dela ali celotnega gradiva, in s tem povezani stroški</w:t>
      </w:r>
    </w:p>
    <w:p>
      <w:pPr>
        <w:spacing w:after="0" w:line="260" w:lineRule="auto"/>
        <w:rPr>
          <w:rFonts w:ascii="Arial" w:hAnsi="Arial" w:cs="Arial"/>
        </w:rPr>
      </w:pPr>
    </w:p>
    <w:p>
      <w:pPr>
        <w:spacing w:after="0" w:line="240" w:lineRule="auto"/>
      </w:pPr>
      <w:r>
        <w:t>Pri pripravi predpisa ni sodeloval zunanji strokovnjak oziroma pravna oseba.</w:t>
      </w:r>
    </w:p>
    <w:p>
      <w:pPr>
        <w:spacing w:after="0" w:line="260" w:lineRule="auto"/>
        <w:rPr>
          <w:rFonts w:ascii="Arial" w:hAnsi="Arial" w:cs="Arial"/>
        </w:rPr>
      </w:pPr>
    </w:p>
    <w:p>
      <w:pPr>
        <w:pStyle w:val="Odebeljeno"/>
        <w:spacing w:after="0" w:line="260" w:lineRule="auto"/>
      </w:pPr>
      <w:r>
        <w:t>5.</w:t>
      </w:r>
      <w:r>
        <w:tab/>
      </w:r>
      <w:r>
        <w:t>Predstavniki vlade, ki bodo sodelovali pri delu državnega zbora</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6.</w:t>
      </w:r>
      <w:r>
        <w:tab/>
      </w:r>
      <w:r>
        <w:t>Kratek povzetek gradiva</w:t>
      </w:r>
    </w:p>
    <w:p>
      <w:pPr>
        <w:spacing w:after="0" w:line="260" w:lineRule="auto"/>
        <w:rPr>
          <w:rFonts w:ascii="Arial" w:hAnsi="Arial" w:cs="Arial"/>
        </w:rPr>
      </w:pPr>
    </w:p>
    <w:p>
      <w:pPr>
        <w:spacing w:after="0" w:line="240" w:lineRule="auto"/>
        <w:jc w:val="both"/>
      </w:pPr>
      <w:r>
        <w:t>Uredba (EU) 2024/2847 Evropskega parlamenta in Sveta z dne 23. oktobra 2024 o horizontalnih zahtevah glede kibernetske varnosti za izdelke z digitalnimi elementi in spremembi uredb (EU) št. 168/2013 in (EU) 2019/1020 ter Direktive (EU) 2020/1828 (Akt o kibernetski odpornosti) (Uredba 2024/2847/EU) naslavlja vse večje kibernetske grožnje in ranljivosti izdelkov z digitalnimi elementi, in uvaja enotne zahteve za kibernetsko varnost pri dajanju digitalnih izdelkov na trg EU, s ciljem zmanjšati razširjene ranljivosti, zagotoviti varnostne posodobitve in izboljšati obveščenost uporabnikov. Osnovni namen Uredbe 2024/2847/EU je zagotoviti, da bodo izdelki strojne in programske opreme na trgu varnejši, da bodo uporabniki bolje obveščeni in da bodo lahko pri izbiri ter uporabi teh izdelkov upoštevali tudi vidik kibernetske varnosti.</w:t>
      </w:r>
    </w:p>
    <w:p>
      <w:pPr>
        <w:spacing w:after="0" w:line="240" w:lineRule="auto"/>
        <w:jc w:val="both"/>
      </w:pPr>
      <w:r>
        <w:t xml:space="preserve"> </w:t>
      </w:r>
    </w:p>
    <w:p>
      <w:pPr>
        <w:spacing w:after="0" w:line="240" w:lineRule="auto"/>
        <w:jc w:val="both"/>
      </w:pPr>
      <w:r>
        <w:t>Uredba 2024/2847/EU, ki je pomembna za trg, ker enotno ureja obveznosti proizvajalcev, uvoznikov in distributerjev ter zvišuje raven kibernetske varnosti digitalnih izdelkov v celotni EU, je začela veljati 10. 12. 2024. Določbe Uredbe 2024/2847/EU, ki se nanašajo na priglasitev organov za ugotavljanje skladnosti (35. do 51. člen) se uporabljajo od 11. 6. 2026, 14. člen Uredbe 2024/2847/EU, ki se nanaša na obveznosti poročanja proizvajalcev o aktivnem izkoriščanju ranljivosti in resnih incidentih, se uporablja od 11. 9. 2026, v preostalem delu se Uredba 2024/2847/EU uporablja od 11. 12. 2027.</w:t>
      </w:r>
    </w:p>
    <w:p>
      <w:pPr>
        <w:spacing w:after="0" w:line="240" w:lineRule="auto"/>
        <w:jc w:val="both"/>
      </w:pPr>
      <w:r>
        <w:t xml:space="preserve"> </w:t>
      </w:r>
    </w:p>
    <w:p>
      <w:pPr>
        <w:spacing w:after="0" w:line="240" w:lineRule="auto"/>
      </w:pPr>
      <w:r>
        <w:t xml:space="preserve">Glede na to, da se Uredba 2024/2847/EU uporablja neposredno, se s predlogom te uredbe določa pristojne organe za izvajanje in nadzor nad izvajanjem Uredbe 2024/2847/EU, in sicer priglasitveni organ (Urad RS za informacijsko varnost (URSIV) in javni zavod Slovenska akreditacija), organa za nadzor trga (URSIV in Tržni inšpektorat RS) in organ pristojen za obravnavo pritožbe zoper odločitev priglašenega organa (URSIV) ter sankcije za kršitve določb Uredbe 2024/2847/EU. </w:t>
      </w:r>
    </w:p>
    <w:p>
      <w:pPr>
        <w:spacing w:after="0" w:line="260" w:lineRule="auto"/>
        <w:rPr>
          <w:rFonts w:ascii="Arial" w:hAnsi="Arial" w:cs="Arial"/>
        </w:rPr>
      </w:pPr>
    </w:p>
    <w:p>
      <w:pPr>
        <w:pStyle w:val="Odebeljeno"/>
        <w:spacing w:after="0" w:line="260" w:lineRule="auto"/>
      </w:pPr>
      <w:r>
        <w:t>7.</w:t>
      </w:r>
      <w:r>
        <w:tab/>
      </w:r>
      <w:r>
        <w:t>Presoja posledic za</w:t>
      </w:r>
    </w:p>
    <w:p>
      <w:pPr>
        <w:spacing w:after="0" w:line="260" w:lineRule="auto"/>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4961"/>
        <w:gridCol w:w="2268"/>
      </w:tblGrid>
      <w:tr>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76" w:type="dxa"/>
          </w:tcPr>
          <w:p>
            <w:pPr>
              <w:spacing w:before="0" w:after="0" w:line="260" w:lineRule="exact"/>
              <w:ind w:left="360"/>
            </w:pPr>
            <w:r>
              <w:rPr>
                <w:iCs/>
              </w:rPr>
              <w:t>a)</w:t>
            </w:r>
          </w:p>
        </w:tc>
        <w:tc>
          <w:tcPr>
            <w:tcW w:w="4961" w:type="dxa"/>
          </w:tcPr>
          <w:p>
            <w:pPr>
              <w:spacing w:before="0" w:after="0" w:line="260" w:lineRule="exact"/>
              <w:jc w:val="both"/>
            </w:pPr>
            <w:r>
              <w:t>javnofinančna sredstva nad 40.000 EUR v tekočem in naslednjih treh letih,</w:t>
            </w:r>
          </w:p>
        </w:tc>
        <w:tc>
          <w:tcPr>
            <w:tcW w:w="2268" w:type="dxa"/>
          </w:tcPr>
          <w:p>
            <w:pPr>
              <w:spacing w:before="0" w:after="0" w:line="260" w:lineRule="exact"/>
              <w:jc w:val="center"/>
              <w:rPr>
                <w:iCs/>
              </w:rPr>
            </w:pPr>
            <w:r>
              <w:t>da</w:t>
            </w:r>
          </w:p>
        </w:tc>
      </w:tr>
      <w:tr>
        <w:tblPrEx>
          <w:tblW w:w="8505" w:type="dxa"/>
          <w:tblInd w:w="108" w:type="dxa"/>
          <w:tblLook w:val="04A0"/>
        </w:tblPrEx>
        <w:tc>
          <w:tcPr>
            <w:tcW w:w="1276" w:type="dxa"/>
          </w:tcPr>
          <w:p>
            <w:pPr>
              <w:spacing w:before="0" w:after="0" w:line="260" w:lineRule="exact"/>
              <w:ind w:left="360"/>
              <w:rPr>
                <w:iCs/>
              </w:rPr>
            </w:pPr>
            <w:r>
              <w:rPr>
                <w:iCs/>
              </w:rPr>
              <w:t>b)</w:t>
            </w:r>
          </w:p>
        </w:tc>
        <w:tc>
          <w:tcPr>
            <w:tcW w:w="4961" w:type="dxa"/>
          </w:tcPr>
          <w:p>
            <w:pPr>
              <w:spacing w:before="0" w:after="0" w:line="260" w:lineRule="exact"/>
              <w:jc w:val="both"/>
              <w:rPr>
                <w:iCs/>
              </w:rPr>
            </w:pPr>
            <w:r>
              <w:rPr>
                <w:bCs/>
              </w:rPr>
              <w:t>usklajenost pravnega reda Republike Slovenije s pravnim redom Evropske unije,</w:t>
            </w:r>
          </w:p>
        </w:tc>
        <w:tc>
          <w:tcPr>
            <w:tcW w:w="2268" w:type="dxa"/>
          </w:tcPr>
          <w:p>
            <w:pPr>
              <w:spacing w:before="0" w:after="0" w:line="260" w:lineRule="exact"/>
              <w:jc w:val="center"/>
              <w:rPr>
                <w:iCs/>
              </w:rPr>
            </w:pPr>
            <w:r>
              <w:t>da</w:t>
            </w:r>
          </w:p>
        </w:tc>
      </w:tr>
      <w:tr>
        <w:tblPrEx>
          <w:tblW w:w="8505" w:type="dxa"/>
          <w:tblInd w:w="108" w:type="dxa"/>
          <w:tblLook w:val="04A0"/>
        </w:tblPrEx>
        <w:tc>
          <w:tcPr>
            <w:tcW w:w="1276" w:type="dxa"/>
          </w:tcPr>
          <w:p>
            <w:pPr>
              <w:spacing w:before="0" w:after="0" w:line="260" w:lineRule="exact"/>
              <w:ind w:left="360"/>
              <w:rPr>
                <w:iCs/>
              </w:rPr>
            </w:pPr>
            <w:r>
              <w:rPr>
                <w:iCs/>
              </w:rPr>
              <w:t>c)</w:t>
            </w:r>
          </w:p>
        </w:tc>
        <w:tc>
          <w:tcPr>
            <w:tcW w:w="4961" w:type="dxa"/>
          </w:tcPr>
          <w:p>
            <w:pPr>
              <w:spacing w:before="0" w:after="0" w:line="260" w:lineRule="exact"/>
              <w:jc w:val="both"/>
              <w:rPr>
                <w:iCs/>
                <w:sz w:val="20"/>
              </w:rPr>
            </w:pPr>
            <w:r>
              <w:t>administrativne posledice,</w:t>
            </w:r>
          </w:p>
        </w:tc>
        <w:tc>
          <w:tcPr>
            <w:tcW w:w="2268" w:type="dxa"/>
          </w:tcPr>
          <w:p>
            <w:pPr>
              <w:spacing w:before="0" w:after="0" w:line="260" w:lineRule="exact"/>
              <w:jc w:val="center"/>
            </w:pPr>
            <w:r>
              <w:t>ne</w:t>
            </w:r>
          </w:p>
        </w:tc>
      </w:tr>
      <w:tr>
        <w:tblPrEx>
          <w:tblW w:w="8505" w:type="dxa"/>
          <w:tblInd w:w="108" w:type="dxa"/>
          <w:tblLook w:val="04A0"/>
        </w:tblPrEx>
        <w:tc>
          <w:tcPr>
            <w:tcW w:w="1276" w:type="dxa"/>
          </w:tcPr>
          <w:p>
            <w:pPr>
              <w:spacing w:before="0" w:after="0" w:line="260" w:lineRule="exact"/>
              <w:ind w:left="360"/>
              <w:rPr>
                <w:iCs/>
              </w:rPr>
            </w:pPr>
            <w:r>
              <w:rPr>
                <w:iCs/>
              </w:rPr>
              <w:t>č)</w:t>
            </w:r>
          </w:p>
        </w:tc>
        <w:tc>
          <w:tcPr>
            <w:tcW w:w="4961" w:type="dxa"/>
          </w:tcPr>
          <w:p>
            <w:pPr>
              <w:spacing w:before="0" w:after="0" w:line="260" w:lineRule="exact"/>
              <w:jc w:val="both"/>
              <w:rPr>
                <w:bCs/>
              </w:rPr>
            </w:pPr>
            <w:r>
              <w:t>gospodarstvo, zlasti</w:t>
            </w:r>
            <w:r>
              <w:rPr>
                <w:bCs/>
              </w:rPr>
              <w:t xml:space="preserve"> mala in srednja podjetja ter konkurenčnost podjetij,</w:t>
            </w:r>
            <w:bookmarkStart w:id="0" w:name="_GoBack"/>
            <w:bookmarkEnd w:id="0"/>
          </w:p>
        </w:tc>
        <w:tc>
          <w:tcPr>
            <w:tcW w:w="2268" w:type="dxa"/>
          </w:tcPr>
          <w:p>
            <w:pPr>
              <w:spacing w:before="0" w:after="0" w:line="260" w:lineRule="exact"/>
              <w:jc w:val="center"/>
              <w:rPr>
                <w:iCs/>
              </w:rPr>
            </w:pPr>
            <w:r>
              <w:t>ne</w:t>
            </w:r>
          </w:p>
        </w:tc>
      </w:tr>
      <w:tr>
        <w:tblPrEx>
          <w:tblW w:w="8505" w:type="dxa"/>
          <w:tblInd w:w="108" w:type="dxa"/>
          <w:tblLook w:val="04A0"/>
        </w:tblPrEx>
        <w:tc>
          <w:tcPr>
            <w:tcW w:w="1276" w:type="dxa"/>
          </w:tcPr>
          <w:p>
            <w:pPr>
              <w:spacing w:before="0" w:after="0" w:line="260" w:lineRule="exact"/>
              <w:ind w:left="360"/>
              <w:rPr>
                <w:iCs/>
              </w:rPr>
            </w:pPr>
            <w:r>
              <w:rPr>
                <w:iCs/>
              </w:rPr>
              <w:t>d)</w:t>
            </w:r>
          </w:p>
        </w:tc>
        <w:tc>
          <w:tcPr>
            <w:tcW w:w="4961" w:type="dxa"/>
          </w:tcPr>
          <w:p>
            <w:pPr>
              <w:spacing w:before="0" w:after="0" w:line="260" w:lineRule="exact"/>
              <w:jc w:val="both"/>
              <w:rPr>
                <w:bCs/>
              </w:rPr>
            </w:pPr>
            <w:r>
              <w:rPr>
                <w:bCs/>
              </w:rPr>
              <w:t>okolje, vključno s prostorskimi in varstvenimi vidiki,</w:t>
            </w:r>
          </w:p>
        </w:tc>
        <w:tc>
          <w:tcPr>
            <w:tcW w:w="2268" w:type="dxa"/>
          </w:tcPr>
          <w:p>
            <w:pPr>
              <w:spacing w:before="0" w:after="0" w:line="260" w:lineRule="exact"/>
              <w:jc w:val="center"/>
              <w:rPr>
                <w:iCs/>
              </w:rPr>
            </w:pPr>
            <w:r>
              <w:t>ne</w:t>
            </w:r>
          </w:p>
        </w:tc>
      </w:tr>
      <w:tr>
        <w:tblPrEx>
          <w:tblW w:w="8505" w:type="dxa"/>
          <w:tblInd w:w="108" w:type="dxa"/>
          <w:tblLook w:val="04A0"/>
        </w:tblPrEx>
        <w:tc>
          <w:tcPr>
            <w:tcW w:w="1276" w:type="dxa"/>
          </w:tcPr>
          <w:p>
            <w:pPr>
              <w:spacing w:before="0" w:after="0" w:line="260" w:lineRule="exact"/>
              <w:ind w:left="360"/>
              <w:rPr>
                <w:iCs/>
              </w:rPr>
            </w:pPr>
            <w:r>
              <w:rPr>
                <w:iCs/>
              </w:rPr>
              <w:t>e)</w:t>
            </w:r>
          </w:p>
        </w:tc>
        <w:tc>
          <w:tcPr>
            <w:tcW w:w="4961" w:type="dxa"/>
          </w:tcPr>
          <w:p>
            <w:pPr>
              <w:spacing w:before="0" w:after="0" w:line="260" w:lineRule="exact"/>
              <w:jc w:val="both"/>
              <w:rPr>
                <w:bCs/>
              </w:rPr>
            </w:pPr>
            <w:r>
              <w:rPr>
                <w:bCs/>
              </w:rPr>
              <w:t>socialno področje,</w:t>
            </w:r>
          </w:p>
        </w:tc>
        <w:tc>
          <w:tcPr>
            <w:tcW w:w="2268" w:type="dxa"/>
          </w:tcPr>
          <w:p>
            <w:pPr>
              <w:spacing w:before="0" w:after="0" w:line="260" w:lineRule="exact"/>
              <w:jc w:val="center"/>
              <w:rPr>
                <w:iCs/>
              </w:rPr>
            </w:pPr>
            <w:r w:rsidRPr="0096422C">
              <w:t>ne</w:t>
            </w:r>
          </w:p>
        </w:tc>
      </w:tr>
      <w:tr>
        <w:tblPrEx>
          <w:tblW w:w="8505" w:type="dxa"/>
          <w:tblInd w:w="108" w:type="dxa"/>
          <w:tblLook w:val="04A0"/>
        </w:tblPrEx>
        <w:tc>
          <w:tcPr>
            <w:tcW w:w="1276" w:type="dxa"/>
          </w:tcPr>
          <w:p>
            <w:pPr>
              <w:spacing w:before="0" w:after="0" w:line="260" w:lineRule="exact"/>
              <w:ind w:left="360"/>
              <w:rPr>
                <w:iCs/>
              </w:rPr>
            </w:pPr>
            <w:r>
              <w:rPr>
                <w:iCs/>
              </w:rPr>
              <w:t>f)</w:t>
            </w:r>
          </w:p>
        </w:tc>
        <w:tc>
          <w:tcPr>
            <w:tcW w:w="4961" w:type="dxa"/>
          </w:tcPr>
          <w:p>
            <w:pPr>
              <w:spacing w:before="0" w:after="0" w:line="260" w:lineRule="exact"/>
              <w:jc w:val="both"/>
              <w:rPr>
                <w:bCs/>
              </w:rPr>
            </w:pPr>
            <w:r>
              <w:rPr>
                <w:bCs/>
              </w:rPr>
              <w:t>dokumente razvojnega načrtovanja.</w:t>
            </w:r>
          </w:p>
        </w:tc>
        <w:tc>
          <w:tcPr>
            <w:tcW w:w="2268" w:type="dxa"/>
          </w:tcPr>
          <w:p>
            <w:pPr>
              <w:spacing w:before="0" w:after="0" w:line="260" w:lineRule="exact"/>
              <w:jc w:val="center"/>
              <w:rPr>
                <w:iCs/>
              </w:rPr>
            </w:pPr>
            <w:r w:rsidRPr="0096422C">
              <w:t>da</w:t>
            </w:r>
          </w:p>
        </w:tc>
      </w:tr>
    </w:tbl>
    <w:p>
      <w:pPr>
        <w:spacing w:after="0" w:line="260" w:lineRule="auto"/>
        <w:rPr>
          <w:rFonts w:ascii="Arial" w:hAnsi="Arial" w:cs="Arial"/>
        </w:rPr>
      </w:pPr>
    </w:p>
    <w:p>
      <w:pPr>
        <w:pStyle w:val="Odebeljeno"/>
        <w:spacing w:after="0" w:line="260" w:lineRule="auto"/>
      </w:pPr>
      <w:r>
        <w:t>8.</w:t>
      </w:r>
      <w:r>
        <w:tab/>
      </w:r>
      <w:r>
        <w:t>Predstavitev ocene finančnih posledic</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I.</w:t>
      </w:r>
      <w:r>
        <w:tab/>
      </w:r>
      <w:r>
        <w:t>Ocena finančnih posledic, ki niso načrtovane v sprejetem proračunu</w:t>
      </w:r>
    </w:p>
    <w:p>
      <w:pPr>
        <w:spacing w:after="0" w:line="260" w:lineRule="auto"/>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0"/>
        <w:gridCol w:w="1247"/>
        <w:gridCol w:w="1247"/>
        <w:gridCol w:w="1247"/>
        <w:gridCol w:w="1247"/>
        <w:gridCol w:w="1247"/>
      </w:tblGrid>
      <w:tr>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70" w:type="dxa"/>
            <w:vAlign w:val="center"/>
          </w:tcPr>
          <w:p>
            <w:pPr>
              <w:pStyle w:val="Odebeljeno"/>
              <w:spacing w:before="0" w:after="0" w:line="260" w:lineRule="exact"/>
              <w:ind w:left="360"/>
            </w:pPr>
            <w:r>
              <w:rPr>
                <w:iCs/>
              </w:rPr>
              <w:t>Predvideno povečanje (+) ali zmanjšanje (-)</w:t>
            </w:r>
          </w:p>
        </w:tc>
        <w:tc>
          <w:tcPr>
            <w:tcW w:w="1247" w:type="dxa"/>
            <w:vAlign w:val="center"/>
          </w:tcPr>
          <w:p>
            <w:pPr>
              <w:pStyle w:val="Odebeljeno"/>
              <w:spacing w:before="0" w:after="0" w:line="260" w:lineRule="exact"/>
              <w:jc w:val="center"/>
            </w:pPr>
            <w:r>
              <w:t>Tekoče leto (t)</w:t>
            </w:r>
          </w:p>
        </w:tc>
        <w:tc>
          <w:tcPr>
            <w:tcW w:w="1247" w:type="dxa"/>
            <w:vAlign w:val="center"/>
          </w:tcPr>
          <w:p>
            <w:pPr>
              <w:pStyle w:val="Odebeljeno"/>
              <w:spacing w:before="0" w:after="0" w:line="260" w:lineRule="exact"/>
              <w:jc w:val="center"/>
            </w:pPr>
            <w:r>
              <w:t>t + 1</w:t>
            </w:r>
          </w:p>
        </w:tc>
        <w:tc>
          <w:tcPr>
            <w:tcW w:w="1247" w:type="dxa"/>
            <w:vAlign w:val="center"/>
          </w:tcPr>
          <w:p>
            <w:pPr>
              <w:pStyle w:val="Odebeljeno"/>
              <w:spacing w:before="0" w:after="0" w:line="260" w:lineRule="exact"/>
              <w:jc w:val="center"/>
            </w:pPr>
            <w:r>
              <w:t>t + 2</w:t>
            </w:r>
          </w:p>
        </w:tc>
        <w:tc>
          <w:tcPr>
            <w:tcW w:w="1247" w:type="dxa"/>
            <w:vAlign w:val="center"/>
          </w:tcPr>
          <w:p>
            <w:pPr>
              <w:pStyle w:val="Odebeljeno"/>
              <w:spacing w:before="0" w:after="0" w:line="260" w:lineRule="exact"/>
              <w:jc w:val="center"/>
            </w:pPr>
            <w:r>
              <w:t>t + 3</w:t>
            </w:r>
          </w:p>
        </w:tc>
        <w:tc>
          <w:tcPr>
            <w:tcW w:w="1247" w:type="dxa"/>
            <w:vAlign w:val="center"/>
          </w:tcPr>
          <w:p>
            <w:pPr>
              <w:pStyle w:val="Odebeljeno"/>
              <w:spacing w:before="0" w:after="0" w:line="260" w:lineRule="exact"/>
              <w:jc w:val="center"/>
            </w:pPr>
            <w:r>
              <w:t>Skupaj (v EUR)</w:t>
            </w:r>
          </w:p>
        </w:tc>
      </w:tr>
      <w:tr>
        <w:tblPrEx>
          <w:tblW w:w="8505" w:type="dxa"/>
          <w:tblInd w:w="108" w:type="dxa"/>
          <w:tblLook w:val="04A0"/>
        </w:tblPrEx>
        <w:tc>
          <w:tcPr>
            <w:tcW w:w="0" w:type="dxa"/>
            <w:vAlign w:val="center"/>
          </w:tcPr>
          <w:p>
            <w:pPr>
              <w:spacing w:before="0" w:after="0" w:line="260" w:lineRule="exact"/>
              <w:jc w:val="center"/>
            </w:pPr>
            <w:r>
              <w:t>prihodkov državnega proračuna</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r>
      <w:tr>
        <w:tblPrEx>
          <w:tblW w:w="8505" w:type="dxa"/>
          <w:tblInd w:w="108" w:type="dxa"/>
          <w:tblLook w:val="04A0"/>
        </w:tblPrEx>
        <w:tc>
          <w:tcPr>
            <w:tcW w:w="0" w:type="dxa"/>
            <w:vAlign w:val="center"/>
          </w:tcPr>
          <w:p>
            <w:pPr>
              <w:spacing w:before="0" w:after="0" w:line="260" w:lineRule="exact"/>
              <w:jc w:val="center"/>
            </w:pPr>
            <w:r>
              <w:t>prihodkov občinskih proračunov</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r>
      <w:tr>
        <w:tblPrEx>
          <w:tblW w:w="8505" w:type="dxa"/>
          <w:tblInd w:w="108" w:type="dxa"/>
          <w:tblLook w:val="04A0"/>
        </w:tblPrEx>
        <w:tc>
          <w:tcPr>
            <w:tcW w:w="0" w:type="dxa"/>
            <w:vAlign w:val="center"/>
          </w:tcPr>
          <w:p>
            <w:pPr>
              <w:spacing w:before="0" w:after="0" w:line="260" w:lineRule="exact"/>
              <w:jc w:val="center"/>
            </w:pPr>
            <w:r>
              <w:t>odhodkov državnega proračuna</w:t>
            </w:r>
          </w:p>
        </w:tc>
        <w:tc>
          <w:tcPr>
            <w:tcW w:w="0" w:type="dxa"/>
            <w:vAlign w:val="center"/>
          </w:tcPr>
          <w:p>
            <w:pPr>
              <w:spacing w:before="0" w:after="0" w:line="260" w:lineRule="exact"/>
              <w:jc w:val="center"/>
            </w:pPr>
            <w:r>
              <w:t>244.000,00</w:t>
            </w:r>
          </w:p>
        </w:tc>
        <w:tc>
          <w:tcPr>
            <w:tcW w:w="0" w:type="dxa"/>
            <w:vAlign w:val="center"/>
          </w:tcPr>
          <w:p>
            <w:pPr>
              <w:spacing w:before="0" w:after="0" w:line="260" w:lineRule="exact"/>
              <w:jc w:val="center"/>
            </w:pPr>
            <w:r>
              <w:t>296.000,00</w:t>
            </w:r>
          </w:p>
        </w:tc>
        <w:tc>
          <w:tcPr>
            <w:tcW w:w="0" w:type="dxa"/>
            <w:vAlign w:val="center"/>
          </w:tcPr>
          <w:p>
            <w:pPr>
              <w:spacing w:before="0" w:after="0" w:line="260" w:lineRule="exact"/>
              <w:jc w:val="center"/>
            </w:pPr>
            <w:r>
              <w:t>610.000,00</w:t>
            </w:r>
          </w:p>
        </w:tc>
        <w:tc>
          <w:tcPr>
            <w:tcW w:w="0" w:type="dxa"/>
            <w:vAlign w:val="center"/>
          </w:tcPr>
          <w:p>
            <w:pPr>
              <w:spacing w:before="0" w:after="0" w:line="260" w:lineRule="exact"/>
              <w:jc w:val="center"/>
            </w:pPr>
            <w:r>
              <w:t>615.000,00</w:t>
            </w:r>
          </w:p>
        </w:tc>
        <w:tc>
          <w:tcPr>
            <w:tcW w:w="0" w:type="dxa"/>
            <w:vAlign w:val="center"/>
          </w:tcPr>
          <w:p>
            <w:pPr>
              <w:spacing w:before="0" w:after="0" w:line="260" w:lineRule="exact"/>
              <w:jc w:val="center"/>
            </w:pPr>
            <w:r>
              <w:t>1.765.000,00</w:t>
            </w:r>
          </w:p>
        </w:tc>
      </w:tr>
      <w:tr>
        <w:tblPrEx>
          <w:tblW w:w="8505" w:type="dxa"/>
          <w:tblInd w:w="108" w:type="dxa"/>
          <w:tblLook w:val="04A0"/>
        </w:tblPrEx>
        <w:tc>
          <w:tcPr>
            <w:tcW w:w="0" w:type="dxa"/>
            <w:vAlign w:val="center"/>
          </w:tcPr>
          <w:p>
            <w:pPr>
              <w:spacing w:before="0" w:after="0" w:line="260" w:lineRule="exact"/>
              <w:jc w:val="center"/>
            </w:pPr>
            <w:r>
              <w:t>odhodkov občinskih proračunov</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r>
      <w:tr>
        <w:tblPrEx>
          <w:tblW w:w="8505" w:type="dxa"/>
          <w:tblInd w:w="108" w:type="dxa"/>
          <w:tblLook w:val="04A0"/>
        </w:tblPrEx>
        <w:tc>
          <w:tcPr>
            <w:tcW w:w="0" w:type="dxa"/>
            <w:vAlign w:val="center"/>
          </w:tcPr>
          <w:p>
            <w:pPr>
              <w:spacing w:before="0" w:after="0" w:line="260" w:lineRule="exact"/>
              <w:jc w:val="center"/>
            </w:pPr>
            <w:r>
              <w:t>obveznosti za druga javnofinančna sredstva</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r>
    </w:tbl>
    <w:p>
      <w:pPr>
        <w:spacing w:after="0" w:line="260" w:lineRule="auto"/>
        <w:rPr>
          <w:rFonts w:ascii="Arial" w:hAnsi="Arial" w:cs="Arial"/>
        </w:rPr>
      </w:pPr>
    </w:p>
    <w:p>
      <w:pPr>
        <w:pStyle w:val="Odebeljeno"/>
        <w:spacing w:after="0" w:line="260" w:lineRule="auto"/>
      </w:pPr>
      <w:r>
        <w:t>II.</w:t>
      </w:r>
      <w:r>
        <w:tab/>
      </w:r>
      <w:r>
        <w:t>Finančne posledice za državni proračun</w:t>
      </w:r>
    </w:p>
    <w:p>
      <w:pPr>
        <w:spacing w:after="0" w:line="260" w:lineRule="auto"/>
        <w:rPr>
          <w:rFonts w:ascii="Arial" w:hAnsi="Arial" w:cs="Arial"/>
        </w:rPr>
      </w:pPr>
    </w:p>
    <w:p>
      <w:pPr>
        <w:pStyle w:val="Odebeljeno"/>
        <w:spacing w:after="0" w:line="260" w:lineRule="auto"/>
      </w:pPr>
      <w:r>
        <w:t>a)</w:t>
      </w:r>
      <w:r>
        <w:tab/>
      </w:r>
      <w:r>
        <w:t>Pravice porabe za izvedbo predlaganih rešitev so zagotovljene:</w:t>
      </w:r>
    </w:p>
    <w:p>
      <w:pPr>
        <w:spacing w:after="0" w:line="260" w:lineRule="auto"/>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701"/>
        <w:gridCol w:w="1701"/>
        <w:gridCol w:w="1701"/>
        <w:gridCol w:w="1701"/>
      </w:tblGrid>
      <w:tr>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01" w:type="dxa"/>
            <w:vAlign w:val="center"/>
          </w:tcPr>
          <w:p>
            <w:pPr>
              <w:pStyle w:val="Odebeljeno"/>
              <w:spacing w:before="0" w:after="0" w:line="260" w:lineRule="exact"/>
              <w:ind w:left="360"/>
            </w:pPr>
            <w:r>
              <w:rPr>
                <w:iCs/>
              </w:rPr>
              <w:t>Ime proračunskega uporabnika</w:t>
            </w:r>
          </w:p>
        </w:tc>
        <w:tc>
          <w:tcPr>
            <w:tcW w:w="1701" w:type="dxa"/>
            <w:vAlign w:val="center"/>
          </w:tcPr>
          <w:p>
            <w:pPr>
              <w:pStyle w:val="Odebeljeno"/>
              <w:spacing w:before="0" w:after="0" w:line="260" w:lineRule="exact"/>
              <w:jc w:val="center"/>
            </w:pPr>
            <w:r>
              <w:t>Tekoče leto (t)</w:t>
            </w:r>
          </w:p>
        </w:tc>
        <w:tc>
          <w:tcPr>
            <w:tcW w:w="1701" w:type="dxa"/>
            <w:vAlign w:val="center"/>
          </w:tcPr>
          <w:p>
            <w:pPr>
              <w:pStyle w:val="Odebeljeno"/>
              <w:spacing w:before="0" w:after="0" w:line="260" w:lineRule="exact"/>
              <w:jc w:val="center"/>
            </w:pPr>
            <w:r>
              <w:t>t + 1</w:t>
            </w:r>
          </w:p>
        </w:tc>
        <w:tc>
          <w:tcPr>
            <w:tcW w:w="1701" w:type="dxa"/>
            <w:vAlign w:val="center"/>
          </w:tcPr>
          <w:p>
            <w:pPr>
              <w:pStyle w:val="Odebeljeno"/>
              <w:spacing w:before="0" w:after="0" w:line="260" w:lineRule="exact"/>
              <w:jc w:val="center"/>
            </w:pPr>
            <w:r>
              <w:t>Šifra in naziv ukrepa oz. projekta</w:t>
            </w:r>
          </w:p>
        </w:tc>
        <w:tc>
          <w:tcPr>
            <w:tcW w:w="1701" w:type="dxa"/>
            <w:vAlign w:val="center"/>
          </w:tcPr>
          <w:p>
            <w:pPr>
              <w:pStyle w:val="Odebeljeno"/>
              <w:spacing w:before="0" w:after="0" w:line="260" w:lineRule="exact"/>
              <w:jc w:val="center"/>
            </w:pPr>
            <w:r>
              <w:t>Šifra in naziv proračunske postavke</w:t>
            </w:r>
          </w:p>
        </w:tc>
      </w:tr>
      <w:tr>
        <w:tblPrEx>
          <w:tblW w:w="8505" w:type="dxa"/>
          <w:tblInd w:w="108" w:type="dxa"/>
          <w:tblLook w:val="04A0"/>
        </w:tblPrEx>
        <w:tc>
          <w:tcPr>
            <w:tcW w:w="0" w:type="dxa"/>
            <w:vAlign w:val="center"/>
          </w:tcPr>
          <w:p>
            <w:pPr>
              <w:spacing w:before="0" w:after="0" w:line="260" w:lineRule="exact"/>
              <w:jc w:val="center"/>
            </w:pPr>
            <w:r>
              <w:t>URSIV</w:t>
            </w:r>
          </w:p>
        </w:tc>
        <w:tc>
          <w:tcPr>
            <w:tcW w:w="0" w:type="dxa"/>
            <w:vAlign w:val="center"/>
          </w:tcPr>
          <w:p>
            <w:pPr>
              <w:spacing w:before="0" w:after="0" w:line="260" w:lineRule="exact"/>
              <w:jc w:val="center"/>
            </w:pPr>
            <w:r>
              <w:t>174.000,00</w:t>
            </w:r>
          </w:p>
        </w:tc>
        <w:tc>
          <w:tcPr>
            <w:tcW w:w="0" w:type="dxa"/>
            <w:vAlign w:val="center"/>
          </w:tcPr>
          <w:p>
            <w:pPr>
              <w:spacing w:before="0" w:after="0" w:line="260" w:lineRule="exact"/>
              <w:jc w:val="center"/>
            </w:pPr>
            <w:r>
              <w:t>236.000,00</w:t>
            </w:r>
          </w:p>
        </w:tc>
        <w:tc>
          <w:tcPr>
            <w:tcW w:w="0" w:type="dxa"/>
            <w:vAlign w:val="center"/>
          </w:tcPr>
          <w:p>
            <w:pPr>
              <w:spacing w:before="0" w:after="0" w:line="260" w:lineRule="exact"/>
              <w:jc w:val="center"/>
            </w:pPr>
            <w:r>
              <w:t>Izvajanje nalog po Uredbi 2024/2847/EU</w:t>
            </w:r>
          </w:p>
        </w:tc>
        <w:tc>
          <w:tcPr>
            <w:tcW w:w="0" w:type="dxa"/>
            <w:vAlign w:val="center"/>
          </w:tcPr>
          <w:p>
            <w:pPr>
              <w:spacing w:before="0" w:after="0" w:line="260" w:lineRule="exact"/>
              <w:jc w:val="center"/>
            </w:pPr>
            <w:r>
              <w:t>PP 221003 – Plače</w:t>
            </w:r>
          </w:p>
        </w:tc>
      </w:tr>
      <w:tr>
        <w:tblPrEx>
          <w:tblW w:w="8505" w:type="dxa"/>
          <w:tblInd w:w="108" w:type="dxa"/>
          <w:tblLook w:val="04A0"/>
        </w:tblPrEx>
        <w:tc>
          <w:tcPr>
            <w:tcW w:w="0" w:type="dxa"/>
            <w:vAlign w:val="center"/>
          </w:tcPr>
          <w:p>
            <w:pPr>
              <w:spacing w:before="0" w:after="0" w:line="260" w:lineRule="exact"/>
              <w:jc w:val="center"/>
            </w:pPr>
            <w:r>
              <w:t>URSIV</w:t>
            </w:r>
          </w:p>
        </w:tc>
        <w:tc>
          <w:tcPr>
            <w:tcW w:w="0" w:type="dxa"/>
            <w:vAlign w:val="center"/>
          </w:tcPr>
          <w:p>
            <w:pPr>
              <w:spacing w:before="0" w:after="0" w:line="260" w:lineRule="exact"/>
              <w:jc w:val="center"/>
            </w:pPr>
            <w:r>
              <w:t>70.000,00</w:t>
            </w:r>
          </w:p>
        </w:tc>
        <w:tc>
          <w:tcPr>
            <w:tcW w:w="0" w:type="dxa"/>
            <w:vAlign w:val="center"/>
          </w:tcPr>
          <w:p>
            <w:pPr>
              <w:spacing w:before="0" w:after="0" w:line="260" w:lineRule="exact"/>
              <w:jc w:val="center"/>
            </w:pPr>
            <w:r>
              <w:t>60.000,00</w:t>
            </w:r>
          </w:p>
        </w:tc>
        <w:tc>
          <w:tcPr>
            <w:tcW w:w="0" w:type="dxa"/>
            <w:vAlign w:val="center"/>
          </w:tcPr>
          <w:p>
            <w:pPr>
              <w:spacing w:before="0" w:after="0" w:line="260" w:lineRule="exact"/>
              <w:jc w:val="center"/>
            </w:pPr>
            <w:r>
              <w:t>Dvig ravni kibernetske varnosti</w:t>
            </w:r>
          </w:p>
        </w:tc>
        <w:tc>
          <w:tcPr>
            <w:tcW w:w="0" w:type="dxa"/>
            <w:vAlign w:val="center"/>
          </w:tcPr>
          <w:p>
            <w:pPr>
              <w:spacing w:before="0" w:after="0" w:line="260" w:lineRule="exact"/>
              <w:jc w:val="center"/>
            </w:pPr>
            <w:r>
              <w:t>PP 221006 – Dvig ravni kibernetske varnosti</w:t>
            </w:r>
          </w:p>
        </w:tc>
      </w:tr>
      <w:tr>
        <w:tblPrEx>
          <w:tblW w:w="8505" w:type="dxa"/>
          <w:tblInd w:w="108" w:type="dxa"/>
          <w:tblLook w:val="04A0"/>
        </w:tblPrEx>
        <w:tc>
          <w:tcPr>
            <w:tcW w:w="0" w:type="dxa"/>
            <w:vAlign w:val="center"/>
          </w:tcPr>
          <w:p>
            <w:pPr>
              <w:spacing w:before="0" w:after="0" w:line="260" w:lineRule="exact"/>
              <w:jc w:val="center"/>
            </w:pPr>
            <w:r>
              <w:t>Skupaj (v EUR)</w:t>
            </w:r>
          </w:p>
        </w:tc>
        <w:tc>
          <w:tcPr>
            <w:tcW w:w="0" w:type="dxa"/>
            <w:vAlign w:val="center"/>
          </w:tcPr>
          <w:p>
            <w:pPr>
              <w:spacing w:before="0" w:after="0" w:line="260" w:lineRule="exact"/>
              <w:jc w:val="center"/>
            </w:pPr>
            <w:r>
              <w:t>244.000,00</w:t>
            </w:r>
          </w:p>
        </w:tc>
        <w:tc>
          <w:tcPr>
            <w:tcW w:w="0" w:type="dxa"/>
            <w:vAlign w:val="center"/>
          </w:tcPr>
          <w:p>
            <w:pPr>
              <w:spacing w:before="0" w:after="0" w:line="260" w:lineRule="exact"/>
              <w:jc w:val="center"/>
            </w:pPr>
            <w:r>
              <w:t>296.000,00</w:t>
            </w:r>
          </w:p>
        </w:tc>
        <w:tc>
          <w:tcPr>
            <w:tcW w:w="0" w:type="dxa"/>
            <w:vAlign w:val="center"/>
          </w:tcPr>
          <w:p>
            <w:pPr>
              <w:spacing w:before="0" w:after="0" w:line="260" w:lineRule="exact"/>
              <w:jc w:val="center"/>
            </w:pPr>
          </w:p>
        </w:tc>
        <w:tc>
          <w:tcPr>
            <w:tcW w:w="0" w:type="dxa"/>
            <w:vAlign w:val="center"/>
          </w:tcPr>
          <w:p>
            <w:pPr>
              <w:spacing w:before="0" w:after="0" w:line="260" w:lineRule="exact"/>
              <w:jc w:val="center"/>
            </w:pPr>
          </w:p>
        </w:tc>
      </w:tr>
    </w:tbl>
    <w:p>
      <w:pPr>
        <w:spacing w:after="0" w:line="260" w:lineRule="auto"/>
        <w:rPr>
          <w:rFonts w:ascii="Arial" w:hAnsi="Arial" w:cs="Arial"/>
        </w:rPr>
      </w:pPr>
    </w:p>
    <w:p>
      <w:pPr>
        <w:pStyle w:val="Odebeljeno"/>
        <w:spacing w:after="0" w:line="260" w:lineRule="auto"/>
      </w:pPr>
      <w:r>
        <w:t>b)</w:t>
      </w:r>
      <w:r>
        <w:tab/>
      </w:r>
      <w:r>
        <w:t>Manjkajoče pravice porabe bodo zagotovljene s prerazporeditvijo:</w:t>
      </w:r>
    </w:p>
    <w:p>
      <w:pPr>
        <w:spacing w:after="0" w:line="260" w:lineRule="auto"/>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701"/>
        <w:gridCol w:w="1701"/>
        <w:gridCol w:w="1701"/>
        <w:gridCol w:w="1701"/>
      </w:tblGrid>
      <w:tr>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01" w:type="dxa"/>
            <w:vAlign w:val="center"/>
          </w:tcPr>
          <w:p>
            <w:pPr>
              <w:pStyle w:val="Odebeljeno"/>
              <w:spacing w:before="0" w:after="0" w:line="260" w:lineRule="exact"/>
              <w:ind w:left="360"/>
            </w:pPr>
            <w:r>
              <w:rPr>
                <w:iCs/>
              </w:rPr>
              <w:t>Ime proračunskega uporabnika</w:t>
            </w:r>
          </w:p>
        </w:tc>
        <w:tc>
          <w:tcPr>
            <w:tcW w:w="1701" w:type="dxa"/>
            <w:vAlign w:val="center"/>
          </w:tcPr>
          <w:p>
            <w:pPr>
              <w:pStyle w:val="Odebeljeno"/>
              <w:spacing w:before="0" w:after="0" w:line="260" w:lineRule="exact"/>
              <w:jc w:val="center"/>
            </w:pPr>
            <w:r>
              <w:t>Tekoče leto (t)</w:t>
            </w:r>
          </w:p>
        </w:tc>
        <w:tc>
          <w:tcPr>
            <w:tcW w:w="1701" w:type="dxa"/>
            <w:vAlign w:val="center"/>
          </w:tcPr>
          <w:p>
            <w:pPr>
              <w:pStyle w:val="Odebeljeno"/>
              <w:spacing w:before="0" w:after="0" w:line="260" w:lineRule="exact"/>
              <w:jc w:val="center"/>
            </w:pPr>
            <w:r>
              <w:t>t + 1</w:t>
            </w:r>
          </w:p>
        </w:tc>
        <w:tc>
          <w:tcPr>
            <w:tcW w:w="1701" w:type="dxa"/>
            <w:vAlign w:val="center"/>
          </w:tcPr>
          <w:p>
            <w:pPr>
              <w:pStyle w:val="Odebeljeno"/>
              <w:spacing w:before="0" w:after="0" w:line="260" w:lineRule="exact"/>
              <w:jc w:val="center"/>
            </w:pPr>
            <w:r>
              <w:t>Šifra in naziv ukrepa oz. projekta</w:t>
            </w:r>
          </w:p>
        </w:tc>
        <w:tc>
          <w:tcPr>
            <w:tcW w:w="1701" w:type="dxa"/>
            <w:vAlign w:val="center"/>
          </w:tcPr>
          <w:p>
            <w:pPr>
              <w:pStyle w:val="Odebeljeno"/>
              <w:spacing w:before="0" w:after="0" w:line="260" w:lineRule="exact"/>
              <w:jc w:val="center"/>
            </w:pPr>
            <w:r>
              <w:t>Šifra in naziv proračunske postavke</w:t>
            </w:r>
          </w:p>
        </w:tc>
      </w:tr>
      <w:tr>
        <w:tblPrEx>
          <w:tblW w:w="8505" w:type="dxa"/>
          <w:tblInd w:w="108" w:type="dxa"/>
          <w:tblLook w:val="04A0"/>
        </w:tblPrEx>
        <w:tc>
          <w:tcPr>
            <w:tcW w:w="0" w:type="dxa"/>
            <w:vAlign w:val="center"/>
          </w:tcPr>
          <w:p>
            <w:pPr>
              <w:spacing w:before="0" w:after="0" w:line="260" w:lineRule="exact"/>
              <w:jc w:val="center"/>
            </w:pPr>
            <w:r>
              <w:t>Skupaj (v EUR)</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p>
        </w:tc>
        <w:tc>
          <w:tcPr>
            <w:tcW w:w="0" w:type="dxa"/>
            <w:vAlign w:val="center"/>
          </w:tcPr>
          <w:p>
            <w:pPr>
              <w:spacing w:before="0" w:after="0" w:line="260" w:lineRule="exact"/>
              <w:jc w:val="center"/>
            </w:pPr>
          </w:p>
        </w:tc>
      </w:tr>
    </w:tbl>
    <w:p>
      <w:pPr>
        <w:spacing w:after="0" w:line="260" w:lineRule="auto"/>
        <w:rPr>
          <w:rFonts w:ascii="Arial" w:hAnsi="Arial" w:cs="Arial"/>
        </w:rPr>
      </w:pPr>
    </w:p>
    <w:p>
      <w:pPr>
        <w:pStyle w:val="Odebeljeno"/>
        <w:spacing w:after="0" w:line="260" w:lineRule="auto"/>
      </w:pPr>
      <w:r>
        <w:t>III.</w:t>
      </w:r>
      <w:r>
        <w:tab/>
      </w:r>
      <w:r>
        <w:t>Načrtovana nadomestitev zmanjšanih prihodkov oziroma povečanih odhodkov proračuna</w:t>
      </w:r>
    </w:p>
    <w:p>
      <w:pPr>
        <w:spacing w:after="0" w:line="260" w:lineRule="auto"/>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gridCol w:w="2835"/>
      </w:tblGrid>
      <w:tr>
        <w:tblPrEx>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5" w:type="dxa"/>
            <w:vAlign w:val="center"/>
          </w:tcPr>
          <w:p>
            <w:pPr>
              <w:pStyle w:val="Odebeljeno"/>
              <w:spacing w:before="0" w:after="0" w:line="260" w:lineRule="exact"/>
              <w:ind w:left="360"/>
            </w:pPr>
            <w:r>
              <w:rPr>
                <w:iCs/>
              </w:rPr>
              <w:t>Novi prihodki</w:t>
            </w:r>
          </w:p>
        </w:tc>
        <w:tc>
          <w:tcPr>
            <w:tcW w:w="2835" w:type="dxa"/>
            <w:vAlign w:val="center"/>
          </w:tcPr>
          <w:p>
            <w:pPr>
              <w:pStyle w:val="Odebeljeno"/>
              <w:spacing w:before="0" w:after="0" w:line="260" w:lineRule="exact"/>
              <w:jc w:val="center"/>
            </w:pPr>
            <w:r>
              <w:t>Tekoče leto (t)</w:t>
            </w:r>
          </w:p>
        </w:tc>
        <w:tc>
          <w:tcPr>
            <w:tcW w:w="2835" w:type="dxa"/>
            <w:vAlign w:val="center"/>
          </w:tcPr>
          <w:p>
            <w:pPr>
              <w:pStyle w:val="Odebeljeno"/>
              <w:spacing w:before="0" w:after="0" w:line="260" w:lineRule="exact"/>
              <w:jc w:val="center"/>
            </w:pPr>
            <w:r>
              <w:t>t + 1</w:t>
            </w:r>
          </w:p>
        </w:tc>
      </w:tr>
      <w:tr>
        <w:tblPrEx>
          <w:tblW w:w="8505" w:type="dxa"/>
          <w:tblInd w:w="108" w:type="dxa"/>
          <w:tblLook w:val="04A0"/>
        </w:tblPrEx>
        <w:tc>
          <w:tcPr>
            <w:tcW w:w="0" w:type="dxa"/>
            <w:vAlign w:val="center"/>
          </w:tcPr>
          <w:p>
            <w:pPr>
              <w:spacing w:before="0" w:after="0" w:line="260" w:lineRule="exact"/>
              <w:jc w:val="center"/>
            </w:pPr>
            <w:r>
              <w:t>SKUPAJ</w:t>
            </w:r>
          </w:p>
        </w:tc>
        <w:tc>
          <w:tcPr>
            <w:tcW w:w="0" w:type="dxa"/>
            <w:vAlign w:val="center"/>
          </w:tcPr>
          <w:p>
            <w:pPr>
              <w:spacing w:before="0" w:after="0" w:line="260" w:lineRule="exact"/>
              <w:jc w:val="center"/>
            </w:pPr>
            <w:r>
              <w:t>0,00</w:t>
            </w:r>
          </w:p>
        </w:tc>
        <w:tc>
          <w:tcPr>
            <w:tcW w:w="0" w:type="dxa"/>
            <w:vAlign w:val="center"/>
          </w:tcPr>
          <w:p>
            <w:pPr>
              <w:spacing w:before="0" w:after="0" w:line="260" w:lineRule="exact"/>
              <w:jc w:val="center"/>
            </w:pPr>
            <w:r>
              <w:t>0,00</w:t>
            </w:r>
          </w:p>
        </w:tc>
      </w:tr>
    </w:tbl>
    <w:p>
      <w:pPr>
        <w:spacing w:after="0" w:line="260" w:lineRule="auto"/>
        <w:rPr>
          <w:rFonts w:ascii="Arial" w:hAnsi="Arial" w:cs="Arial"/>
        </w:rPr>
      </w:pPr>
    </w:p>
    <w:p>
      <w:pPr>
        <w:pStyle w:val="Odebeljeno"/>
        <w:spacing w:after="0" w:line="260" w:lineRule="auto"/>
      </w:pPr>
      <w:r>
        <w:t>Obrazložitev finančnih posledic</w:t>
      </w:r>
    </w:p>
    <w:p>
      <w:pPr>
        <w:spacing w:after="0" w:line="260" w:lineRule="auto"/>
        <w:rPr>
          <w:rFonts w:ascii="Arial" w:hAnsi="Arial" w:cs="Arial"/>
        </w:rPr>
      </w:pPr>
    </w:p>
    <w:p>
      <w:pPr>
        <w:spacing w:after="0" w:line="240" w:lineRule="auto"/>
        <w:jc w:val="both"/>
      </w:pPr>
      <w:r>
        <w:t>Izvajanje Uredbe 2024/2847/EU zahteva vzpostavitev novih in razširjenih nalog URSIV kot priglasitvenega organa in organa za nadzor trga. Naloge obsegajo postopke priglasitve organov za ugotavljanje skladnosti, izvajanje nadzora nad izpolnjevanjem obveznosti gospodarskih subjektov, obravnavo poročil o aktivno izkoriščenih ranljivostih in resnih incidentih, sodelovanje v evropskih koordinacijskih strukturah ter podporo izvajanju postopkov ugotavljanja skladnosti in sankcioniranja.</w:t>
      </w:r>
    </w:p>
    <w:p>
      <w:pPr>
        <w:spacing w:after="0" w:line="240" w:lineRule="auto"/>
        <w:jc w:val="both"/>
      </w:pPr>
      <w:r>
        <w:t xml:space="preserve"> </w:t>
      </w:r>
    </w:p>
    <w:p>
      <w:pPr>
        <w:spacing w:after="0" w:line="240" w:lineRule="auto"/>
        <w:jc w:val="both"/>
      </w:pPr>
      <w:r>
        <w:t>Finančne posledice izhajajo predvsem iz potrebe po postopni kadrovski krepitvi URSIV. Predvideno je zaporedno zaposlovanje strokovnih kadrov različnih ravni zahtevnosti, in sicer sekretarja kot vodje sektorja, podsekretarjev ter višjih svetovalcev, kar bo omogočilo stabilno in trajnostno izvajanje nalog ter prenos znanja znotraj organa. V letu 2026 so predvideni stroški za tri nove zaposlitve, in sicer sekretarja kot vodjo sektorja, podsekretarja in višjega svetovalca, v višini 174.000,00 EUR. V letu 2027 se predvideva zaposlitev dodatnega podsekretarja, tako da bodo stroški za štiri zaposlene v letu 2027 znašali 236.000,00 EUR. V letu 2028 se predvideva zaposlitev dodatnega višjega svetovalca, s čimer se skupno število zaposlenih poveča na pet, skupni stroški bodo tako znašali 300.000,00 EUR. V letu 2029 se ohranja pet zaposlenih, skupni kadrovski stroški bodo znašali 305.000,00 EUR. Kadrovski stroški vključujejo vse elemente plače in pripadajoče obveznosti ter bodo v celoti financirani iz proračuna URSIV na proračunski postavki PP 221003 – Plače.</w:t>
      </w:r>
    </w:p>
    <w:p>
      <w:pPr>
        <w:spacing w:after="0" w:line="240" w:lineRule="auto"/>
        <w:jc w:val="both"/>
      </w:pPr>
      <w:r>
        <w:t xml:space="preserve"> </w:t>
      </w:r>
    </w:p>
    <w:p>
      <w:pPr>
        <w:spacing w:after="0" w:line="240" w:lineRule="auto"/>
        <w:jc w:val="both"/>
      </w:pPr>
      <w:r>
        <w:t>Iz naslova izvajanje nadzora nad izpolnjevanjem obveznosti gospodarskih subjektov se predvideva tudi kadrovska krepitev TIRS, in sicer pet novih zaposlitev (inšpektorjev), kar na letni ravni predstavlja strošek v višini 250.000,00 EUR (50.000,00 EUR na novo zaposlenega). Ker se bodo določbe Uredbe 2024/2847/EU in predlagane uredbe, ki se nanašajo na izvajanje nadzorstvenih pristojnosti, pričele uporabljati 11. decembra 2027, so stroški iz naslova novih zaposlitev predvideni v letih 2028 in 2029. Finančna sredstva za kadrovske stroške TIRS bodo načrtovana pri pripravi proračuna za leti 2028 in 2029.</w:t>
      </w:r>
    </w:p>
    <w:p>
      <w:pPr>
        <w:spacing w:after="0" w:line="240" w:lineRule="auto"/>
        <w:jc w:val="both"/>
      </w:pPr>
      <w:r>
        <w:t xml:space="preserve"> </w:t>
      </w:r>
    </w:p>
    <w:p>
      <w:pPr>
        <w:spacing w:after="0" w:line="240" w:lineRule="auto"/>
        <w:jc w:val="both"/>
      </w:pPr>
      <w:r>
        <w:t>Na področju materialnih in storitvenih stroškov se za potrebe Uredbe 2024/2847/EU ne predvideva vzpostavitev ločene informacijske platforme kot samostojne rešitve. Namesto tega se bo v okviru obstoječe nacionalne platforme za priglasitev kibernetskih incidentov, vzpostavljene na podlagi Zakona o informacijski varnosti in financirane iz sredstev Mehanizma za okrevanje in odpornost, izdelal dodaten funkcionalni modul, ki bo omogočal poročanje v skladu z obveznostmi iz Uredbe 2024/2847/EU. Stroški izdelave dodatnega modula so ocenjeni kot bistveno nižji od stroškov, ki bi nastali z izdelavo in vzdrževanjem popolnoma ločene platforme. Ta pristop je skladen s strateško vizijo Evropske komisije, ki je v okviru paketa Digital Omnibus predlagala uvedbo centralizirane enotne vstopne točke (ang. Single Entry Point (SEP)) za poročanje o kibernetskih incidentih in ranljivostih. Koncept SEP naj bi po omogočil enotno poročanje na podlagi večih EU predpisov (npr. Direktive 2022/2555/EU, Uredbe 2022/2554/EU, Direktive 2022/2557/EU in pozneje tudi Uredbe 2024/2847/EU) preko ene same varne vmesne točke, s čimer se bo poenostavila administrativna obveznost in zmanjšala razpršenost informacijskih poti. ENISA naj bi v prihodnosti razvijala in upravljala enotno portalno rešitev, ki bo v celoti interoperabilna z rešitvami posameznih držav članic in bo omogočala izmenjavo poročil med pristojnimi organi EU ter pristojnimi nacionalnimi organi. Predviden evropski okvir podpira racionalizacijo poročanja in usklajeno upravljanje incidentov ter ranljivosti na ravni EU, kar je v skladu z nacionalno rešitvijo, ki temelji na integriranem modulu obstoječe platforme.</w:t>
      </w:r>
    </w:p>
    <w:p>
      <w:pPr>
        <w:spacing w:after="0" w:line="240" w:lineRule="auto"/>
        <w:jc w:val="both"/>
      </w:pPr>
      <w:r>
        <w:t xml:space="preserve"> </w:t>
      </w:r>
    </w:p>
    <w:p>
      <w:pPr>
        <w:spacing w:after="0" w:line="240" w:lineRule="auto"/>
        <w:jc w:val="both"/>
      </w:pPr>
      <w:r>
        <w:t>Dodatni stroški se tako nanašajo predvsem na nujno integracijo nacionalnih informacijskih rešitev z informacijskimi sistemi ENISA oziroma Evropske komisije ter na zagotavljanje zunanje strokovne podpore. Zunanja ekspertiza je potrebna zlasti v začetnih letih izvajanja Uredbe 2024/2847/EU za usposabljanje zaposlenih, pridobivanje specializiranih znanj, pripravo strokovnih analiz, pravnih mnenj in podpornih študij, ki omogočajo samostojno in učinkovito izvajanje nalog URSIV v nadaljnjem obdobju. Predvideni so tudi stroški službenih potovanj, povezani s sodelovanjem URSIV v evropskih delovnih skupinah, odborih in usklajevalnih mehanizmih, ki so nujni za enotno izvajanje Uredbe 2024/2847/EU na ravni EU.</w:t>
      </w:r>
    </w:p>
    <w:p>
      <w:pPr>
        <w:spacing w:after="0" w:line="240" w:lineRule="auto"/>
        <w:jc w:val="both"/>
      </w:pPr>
      <w:r>
        <w:t xml:space="preserve"> </w:t>
      </w:r>
    </w:p>
    <w:p>
      <w:pPr>
        <w:spacing w:after="0" w:line="240" w:lineRule="auto"/>
      </w:pPr>
      <w:r>
        <w:t>Materialni in storitveni stroški URSIV vključujejo finančna sredstva za zagotavljanje strokovne in tehnične podpore izvajanju Uredbe 2024/2847/EU. V letu 2026 so predvidene finančne posledice v višini 70.000,00 EUR (30.000,00 EUR za raziskave, analize in študije, ki so potrebne za razlago in spremljanje tehničnih ter pravnih zahtev uredbe, 20.000,00 EUR za izobraževanja, usposabljanja, tečaje in certifikate zaposlenih, 10.000,00 EUR za stroške službenih potovanj iz naslova sodelovanja v evropskih delovnih skupinah in koordinacijskih mehanizmih, enkratni strošek v višini 10.000,00 EUR za integracijo nacionalnih informacijskih sistemov z informacijskimi sistemi EU). V letih 2027, 2028 in 2029 se predvidevajo materialni in storitveni stroški v višini 60.000,00 EUR letno, ki se nanašajo na nadaljnje raziskave, analize in študije, izobraževanja in usposabljanja zaposlenih ter stroške sodelovanja URSIV v evropskih delovnih skupinah in koordinacijskih mehanizmih. Materialni in storitveni stroški bodo v celoti financirani iz proračuna URSIV na proračunski postavki PP 221006 – Dvig ravni kibernetske varnosti.</w:t>
      </w:r>
    </w:p>
    <w:p>
      <w:pPr>
        <w:spacing w:after="0" w:line="260" w:lineRule="auto"/>
      </w:pPr>
    </w:p>
    <w:p>
      <w:pPr>
        <w:pStyle w:val="Odebeljeno"/>
        <w:spacing w:after="0" w:line="260" w:lineRule="auto"/>
      </w:pPr>
      <w:r>
        <w:t>Navedba o zagotovitvi sredstev</w:t>
      </w:r>
    </w:p>
    <w:p>
      <w:pPr>
        <w:spacing w:after="0" w:line="260" w:lineRule="auto"/>
        <w:rPr>
          <w:rFonts w:ascii="Arial" w:hAnsi="Arial" w:cs="Arial"/>
        </w:rPr>
      </w:pPr>
    </w:p>
    <w:p>
      <w:pPr>
        <w:spacing w:after="0" w:line="240" w:lineRule="auto"/>
      </w:pPr>
      <w:r>
        <w:t>Sredstva za izvajanje uredbe so zagotovljena v državnem proračunu Republike Slovenije. Za izvajanje nalog URSIV so sredstva zagotovljena na proračunskih postavkah PP 221003 – Plače in PP 221006 – Dvig ravni kibernetske varnosti, ki pokrivajo kadrovske ter materialne in storitvene stroške v obdobju veljavnega proračuna.</w:t>
      </w:r>
    </w:p>
    <w:p>
      <w:pPr>
        <w:spacing w:after="0" w:line="240" w:lineRule="auto"/>
      </w:pPr>
      <w:r>
        <w:br/>
      </w:r>
    </w:p>
    <w:p>
      <w:pPr>
        <w:spacing w:after="0" w:line="240" w:lineRule="auto"/>
      </w:pPr>
      <w:r>
        <w:t>Dodatna sredstva za izvajanje nalog Tržnega inšpektorata Republike Slovenije (TIRS), ki izhajajo iz kadrovske krepitve, v sprejetem proračunu še niso zagotovljena in bodo načrtovana v okviru priprave državnega proračuna za leti 2028 in 2029.</w:t>
      </w:r>
    </w:p>
    <w:p>
      <w:pPr>
        <w:spacing w:after="0" w:line="240" w:lineRule="auto"/>
      </w:pPr>
      <w:r>
        <w:br/>
      </w:r>
    </w:p>
    <w:p>
      <w:pPr>
        <w:spacing w:after="0" w:line="240" w:lineRule="auto"/>
      </w:pPr>
      <w:r>
        <w:t>Sredstva se ne zagotavljajo s prerazporeditvijo znotraj obstoječega proračuna, temveč deloma iz že zagotovljenih proračunskih postavk, deloma pa bodo zagotovljena z načrtovanjem v prihodnjih proračunih.</w:t>
      </w:r>
    </w:p>
    <w:p>
      <w:pPr>
        <w:spacing w:after="0" w:line="260" w:lineRule="auto"/>
      </w:pP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9.</w:t>
      </w:r>
      <w:r>
        <w:tab/>
      </w:r>
      <w:r>
        <w:t>Predstavitev sodelovanja z združenji občin</w:t>
      </w:r>
    </w:p>
    <w:p>
      <w:pPr>
        <w:spacing w:after="0" w:line="260" w:lineRule="auto"/>
        <w:rPr>
          <w:rFonts w:ascii="Arial" w:hAnsi="Arial" w:cs="Arial"/>
        </w:rPr>
      </w:pPr>
    </w:p>
    <w:p>
      <w:pPr>
        <w:spacing w:after="0" w:line="260" w:lineRule="auto"/>
      </w:pPr>
      <w:r>
        <w:t>Vsebina gradiva ne vpliva pristojnosti, delovanje oziroma financiranje občin.</w:t>
      </w:r>
    </w:p>
    <w:p>
      <w:pPr>
        <w:spacing w:after="0" w:line="260" w:lineRule="auto"/>
        <w:rPr>
          <w:rFonts w:ascii="Arial" w:hAnsi="Arial" w:cs="Arial"/>
        </w:rPr>
      </w:pPr>
    </w:p>
    <w:p>
      <w:pPr>
        <w:spacing w:after="0" w:line="260" w:lineRule="auto"/>
      </w:pPr>
      <w:r>
        <w:t>Gradivo ni bilo poslano v mnenje Skupnosti občin Slovenije (SOS).</w:t>
      </w:r>
    </w:p>
    <w:p>
      <w:pPr>
        <w:spacing w:after="0" w:line="260" w:lineRule="auto"/>
        <w:rPr>
          <w:rFonts w:ascii="Arial" w:hAnsi="Arial" w:cs="Arial"/>
        </w:rPr>
      </w:pPr>
    </w:p>
    <w:p>
      <w:pPr>
        <w:spacing w:after="0" w:line="260" w:lineRule="auto"/>
      </w:pPr>
      <w:r>
        <w:t>Gradivo ni bilo poslano v mnenje Združenju občin Slovenije (ZOS).</w:t>
      </w:r>
    </w:p>
    <w:p>
      <w:pPr>
        <w:spacing w:after="0" w:line="260" w:lineRule="auto"/>
        <w:rPr>
          <w:rFonts w:ascii="Arial" w:hAnsi="Arial" w:cs="Arial"/>
        </w:rPr>
      </w:pPr>
    </w:p>
    <w:p>
      <w:pPr>
        <w:spacing w:after="0" w:line="260" w:lineRule="auto"/>
      </w:pPr>
      <w:r>
        <w:t>Gradivo ni bilo poslano v mnenje Združenju mestnih občin Slovenije (ZMOS).</w:t>
      </w:r>
    </w:p>
    <w:p>
      <w:pPr>
        <w:spacing w:after="0" w:line="260" w:lineRule="auto"/>
        <w:rPr>
          <w:rFonts w:ascii="Arial" w:hAnsi="Arial" w:cs="Arial"/>
        </w:rPr>
      </w:pPr>
    </w:p>
    <w:p>
      <w:pPr>
        <w:pStyle w:val="Odebeljeno"/>
        <w:spacing w:after="0" w:line="260" w:lineRule="auto"/>
      </w:pPr>
      <w:r>
        <w:t>10.</w:t>
      </w:r>
      <w:r>
        <w:tab/>
      </w:r>
      <w:r>
        <w:t>Predstavitev sodelovanja javnosti</w:t>
      </w:r>
    </w:p>
    <w:p>
      <w:pPr>
        <w:spacing w:after="0" w:line="260" w:lineRule="auto"/>
        <w:rPr>
          <w:rFonts w:ascii="Arial" w:hAnsi="Arial" w:cs="Arial"/>
        </w:rPr>
      </w:pPr>
    </w:p>
    <w:p>
      <w:pPr>
        <w:spacing w:after="0" w:line="260" w:lineRule="auto"/>
      </w:pPr>
      <w:r>
        <w:t>Gradivo je bilo predmet sodelovanja z javnostjo.</w:t>
      </w:r>
    </w:p>
    <w:p>
      <w:pPr>
        <w:spacing w:after="0" w:line="260" w:lineRule="auto"/>
        <w:rPr>
          <w:rFonts w:ascii="Arial" w:hAnsi="Arial" w:cs="Arial"/>
        </w:rPr>
      </w:pPr>
    </w:p>
    <w:p>
      <w:pPr>
        <w:spacing w:after="0" w:line="260" w:lineRule="auto"/>
      </w:pPr>
      <w:r>
        <w:t>Datum objave na spletni strani:</w:t>
      </w:r>
    </w:p>
    <w:p>
      <w:pPr>
        <w:spacing w:after="0" w:line="260" w:lineRule="auto"/>
      </w:pPr>
      <w:r>
        <w:t>3. 2. 2026</w:t>
      </w:r>
    </w:p>
    <w:p>
      <w:pPr>
        <w:spacing w:after="0" w:line="260" w:lineRule="auto"/>
        <w:rPr>
          <w:rFonts w:ascii="Arial" w:hAnsi="Arial" w:cs="Arial"/>
        </w:rPr>
      </w:pPr>
    </w:p>
    <w:p>
      <w:pPr>
        <w:spacing w:after="0" w:line="260" w:lineRule="auto"/>
      </w:pPr>
      <w:r>
        <w:t>Na gradivo so bila podana mnenja, predlogi in pripombe.</w:t>
      </w:r>
    </w:p>
    <w:p>
      <w:pPr>
        <w:spacing w:after="0" w:line="260" w:lineRule="auto"/>
        <w:rPr>
          <w:rFonts w:ascii="Arial" w:hAnsi="Arial" w:cs="Arial"/>
        </w:rPr>
      </w:pPr>
    </w:p>
    <w:p>
      <w:pPr>
        <w:spacing w:after="0" w:line="260" w:lineRule="auto"/>
      </w:pPr>
      <w:r>
        <w:t>V razpravo vključeni subjekti:</w:t>
      </w:r>
    </w:p>
    <w:p>
      <w:pPr>
        <w:spacing w:after="0" w:line="240" w:lineRule="auto"/>
      </w:pPr>
      <w:r>
        <w:t>Trgovinska zbornica Slovenije, Zbornica elektronske in elektroindustrije</w:t>
      </w:r>
    </w:p>
    <w:p>
      <w:pPr>
        <w:spacing w:after="0" w:line="260" w:lineRule="auto"/>
        <w:rPr>
          <w:rFonts w:ascii="Arial" w:hAnsi="Arial" w:cs="Arial"/>
        </w:rPr>
      </w:pPr>
    </w:p>
    <w:p>
      <w:pPr>
        <w:spacing w:after="0" w:line="260" w:lineRule="auto"/>
      </w:pPr>
      <w:r>
        <w:t>Obrazložitev upoštevanja mnenj, predlogov in pripomb v razpravo vključenih subjektov:</w:t>
      </w:r>
    </w:p>
    <w:p>
      <w:pPr>
        <w:spacing w:after="0" w:line="240" w:lineRule="auto"/>
        <w:jc w:val="both"/>
      </w:pPr>
      <w:r>
        <w:rPr>
          <w:i/>
        </w:rPr>
        <w:t>Trgovinska zbornica je v zvezi s predlaganim 6. členom izrazila nestrinjanje z dodatnimi zahtevami za poročanje gospodarskih subjektov in z vzpostavitvijo dodatne evidence, poleg zahtev določenih na ravni Uredbe 2024/2847/EU, saj bi to povzročilo dodatne administrativne, organizacijske in stroškovne obremenitve podjetij ter negativni vpliv na njihov konkurenčni položaj.</w:t>
      </w:r>
    </w:p>
    <w:p>
      <w:pPr>
        <w:spacing w:after="0" w:line="240" w:lineRule="auto"/>
        <w:jc w:val="both"/>
      </w:pPr>
      <w:r>
        <w:t>Ker je bil namen prvotno predlaganega 6. člena uredbe določiti obdelavo (neosebnih) podatkov s katerimi bo URSIV razpolagal na podlagi izpolnjevanja obveznosti zavezancev po Uredbi 2024/2847/EU in izvajanja pristojnosti URSIV po navedeni uredbi, se glede na to, da gre za obdelavo neosebnih podatkov, torej za klasično delovno orodje, ki za razliko od obdelave osebnih podatkov, ne narekuje normativnega urejanja, prvotno predlagana določba črta.</w:t>
      </w:r>
    </w:p>
    <w:p>
      <w:pPr>
        <w:spacing w:after="0" w:line="240" w:lineRule="auto"/>
        <w:jc w:val="both"/>
      </w:pPr>
      <w:r>
        <w:t xml:space="preserve"> </w:t>
      </w:r>
    </w:p>
    <w:p>
      <w:pPr>
        <w:spacing w:after="0" w:line="240" w:lineRule="auto"/>
        <w:jc w:val="both"/>
      </w:pPr>
      <w:r>
        <w:rPr>
          <w:i/>
        </w:rPr>
        <w:t>Zbornica elektroindustrije je v zvezi s kazenskimi določbami pozvala k razmisleku splošne narave glede višine kazni v primerih izdelkov, za katere je z oceno tveganja ugotovljeno, da bi bile posledice v primeru kibernetskega napada zanemarljive.</w:t>
      </w:r>
    </w:p>
    <w:p>
      <w:pPr>
        <w:spacing w:after="0" w:line="240" w:lineRule="auto"/>
      </w:pPr>
      <w:r>
        <w:t>Pripomba ni bila upoštevana. S predlaganimi kazenskimi določbami se sledi ureditvi iz 64. člena Uredbe 2024/2847/EU, ki določa kršitve uredbe in višino kazni za kršitve, ki so v uredbi sicer določene bistveno višje kot v predlogu uredbe (glej splošno obrazložitev h kazenskim določbam predloga uredbe). Pri odmeri sankcije v konkretnih primerih se upoštevajo olajševalne okoliščine (med njimi stopnja ogrožanja ali kršitve zavarovane dobrine) in obteževalne okoliščine iz 26. člena Zakona o prekrških ter dodatne okoliščine iz petega odstavka 64. člena Uredbe 2024/2847/EU (med njimi vrsta, resnost in trajanje kršitve ter njenih posledic).</w:t>
      </w:r>
    </w:p>
    <w:p>
      <w:pPr>
        <w:spacing w:after="0" w:line="260" w:lineRule="auto"/>
        <w:rPr>
          <w:rFonts w:ascii="Arial" w:hAnsi="Arial" w:cs="Arial"/>
        </w:rPr>
      </w:pPr>
    </w:p>
    <w:p>
      <w:pPr>
        <w:pStyle w:val="Odebeljeno"/>
        <w:spacing w:after="0" w:line="260" w:lineRule="auto"/>
      </w:pPr>
      <w:r>
        <w:t>11.</w:t>
      </w:r>
      <w:r>
        <w:tab/>
      </w:r>
      <w:r>
        <w:t>Spoštovanje Resolucije o normativni dejavnosti</w:t>
      </w:r>
    </w:p>
    <w:p>
      <w:pPr>
        <w:spacing w:after="0" w:line="260" w:lineRule="auto"/>
        <w:rPr>
          <w:rFonts w:ascii="Arial" w:hAnsi="Arial" w:cs="Arial"/>
        </w:rPr>
      </w:pPr>
    </w:p>
    <w:p>
      <w:pPr>
        <w:spacing w:after="0" w:line="260" w:lineRule="auto"/>
      </w:pPr>
      <w:r>
        <w:t>Pri pripravi gradiva so bile upoštevane zahteve iz Resolucije o normativni dejavnosti.</w:t>
      </w:r>
    </w:p>
    <w:p>
      <w:pPr>
        <w:spacing w:after="0" w:line="260" w:lineRule="auto"/>
        <w:rPr>
          <w:rFonts w:ascii="Arial" w:hAnsi="Arial" w:cs="Arial"/>
        </w:rPr>
      </w:pPr>
    </w:p>
    <w:p>
      <w:pPr>
        <w:pStyle w:val="Odebeljeno"/>
        <w:spacing w:after="0" w:line="260" w:lineRule="auto"/>
      </w:pPr>
      <w:r>
        <w:t>12.</w:t>
      </w:r>
      <w:r>
        <w:tab/>
      </w:r>
      <w:r>
        <w:t>Vključitev v okvirni načrt normativne dejavnosti</w:t>
      </w:r>
    </w:p>
    <w:p>
      <w:pPr>
        <w:spacing w:after="0" w:line="260" w:lineRule="auto"/>
        <w:rPr>
          <w:rFonts w:ascii="Arial" w:hAnsi="Arial" w:cs="Arial"/>
        </w:rPr>
      </w:pPr>
    </w:p>
    <w:p>
      <w:pPr>
        <w:spacing w:after="0" w:line="260" w:lineRule="auto"/>
      </w:pPr>
      <w:r>
        <w:t>Predlog predpisa, ki je predmet gradiva, ni vključen v okvirni načrt normativne dejavnosti.</w:t>
      </w:r>
    </w:p>
    <w:p>
      <w:pPr>
        <w:spacing w:after="0" w:line="260" w:lineRule="auto"/>
        <w:rPr>
          <w:rFonts w:ascii="Arial" w:hAnsi="Arial" w:cs="Arial"/>
        </w:rPr>
      </w:pPr>
    </w:p>
    <w:p>
      <w:pPr>
        <w:widowControl w:val="0"/>
        <w:spacing w:before="0" w:after="0" w:line="260" w:lineRule="exact"/>
        <w:ind w:left="3969"/>
        <w:jc w:val="center"/>
        <w:rPr>
          <w:b w:val="0"/>
        </w:rPr>
      </w:pPr>
      <w:r>
        <w:rPr>
          <w:b w:val="0"/>
        </w:rPr>
        <w:t>PREDLAGATELJ</w:t>
      </w:r>
    </w:p>
    <w:p>
      <w:pPr>
        <w:spacing w:before="0" w:after="0" w:line="260" w:lineRule="exact"/>
        <w:ind w:left="3969"/>
        <w:jc w:val="center"/>
      </w:pPr>
      <w:r>
        <w:t>[...]</w:t>
      </w:r>
    </w:p>
    <w:p>
      <w:pPr>
        <w:spacing w:before="0" w:after="0" w:line="260" w:lineRule="exact"/>
        <w:ind w:left="3969"/>
        <w:jc w:val="center"/>
      </w:pPr>
    </w:p>
    <w:sectPr w:rsidSect="00945425">
      <w:footerReference w:type="default" r:id="rId4"/>
      <w:headerReference w:type="first" r:id="rId5"/>
      <w:pgSz w:w="11906" w:h="16838"/>
      <w:pgMar w:top="1700" w:right="1700" w:bottom="1134" w:left="17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i/>
        <w:sz w:val="16"/>
      </w:rPr>
      <w:t>Ustvarjeno v MOPED-DOCS, 07. 04. 2026 12:02:16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425" w:rsidRPr="000E33E4">
    <w:pPr>
      <w:pStyle w:val="Header"/>
      <w:rPr>
        <w:rFonts w:ascii="Arial" w:hAnsi="Arial"/>
        <w:sz w:val="24"/>
        <w:szCs w:val="24"/>
      </w:rPr>
    </w:pPr>
    <w:r w:rsidRPr="000E33E4">
      <w:rPr>
        <w:noProof/>
        <w:sz w:val="24"/>
        <w:szCs w:val="24"/>
        <w:lang w:val="sl-SI"/>
      </w:rPr>
      <w:drawing>
        <wp:anchor distT="0" distB="0" distL="114300" distR="114300" simplePos="0" relativeHeight="251658240" behindDoc="1" locked="0" layoutInCell="1" allowOverlap="1">
          <wp:simplePos x="0" y="0"/>
          <wp:positionH relativeFrom="column">
            <wp:posOffset>-553720</wp:posOffset>
          </wp:positionH>
          <wp:positionV relativeFrom="paragraph">
            <wp:posOffset>-31750</wp:posOffset>
          </wp:positionV>
          <wp:extent cx="382270" cy="396240"/>
          <wp:effectExtent l="0" t="0" r="0" b="3810"/>
          <wp:wrapTight wrapText="bothSides">
            <wp:wrapPolygon>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rPr>
        <w:rFonts w:ascii="Arial" w:hAnsi="Arial"/>
        <w:sz w:val="20"/>
        <w:szCs w:val="20"/>
      </w:rPr>
      <w:t>REPUBLIKA SLOVENIJA</w:t>
    </w:r>
  </w:p>
  <w:p w:rsidR="000E33E4" w:rsidRPr="000E33E4">
    <w:pPr>
      <w:pStyle w:val="Header"/>
      <w:jc w:val="left"/>
      <w:rPr>
        <w:rFonts w:ascii="Arial" w:hAnsi="Arial"/>
        <w:b/>
        <w:sz w:val="20"/>
        <w:szCs w:val="20"/>
      </w:rPr>
    </w:pPr>
    <w:r w:rsidRPr="000E33E4">
      <w:rPr>
        <w:rFonts w:ascii="Arial" w:hAnsi="Arial"/>
        <w:b/>
        <w:sz w:val="20"/>
        <w:szCs w:val="20"/>
      </w:rPr>
      <w:t>URAD VLADE REPUBLIKE SLOVENIJE ZA</w:t>
      <w:br/>
      <w:t>INFORMACIJSKO VARNOST</w:t>
    </w:r>
  </w:p>
  <w:p w:rsidR="000E33E4" w:rsidRPr="000E33E4">
    <w:pPr>
      <w:pStyle w:val="Header"/>
      <w:rPr>
        <w:rFonts w:ascii="Arial" w:hAnsi="Arial"/>
        <w:b/>
        <w:sz w:val="20"/>
        <w:szCs w:val="20"/>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2"/>
      <w:gridCol w:w="3826"/>
    </w:tblGrid>
    <w:tr w:rsidTr="000E33E4">
      <w:tblPrEx>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02" w:type="dxa"/>
        </w:tcPr>
        <w:p w:rsidR="000E33E4">
          <w:pPr>
            <w:pStyle w:val="Header"/>
            <w:rPr>
              <w:rFonts w:ascii="Arial" w:hAnsi="Arial"/>
              <w:sz w:val="16"/>
              <w:szCs w:val="16"/>
            </w:rPr>
          </w:pPr>
          <w:r>
            <w:rPr>
              <w:rFonts w:ascii="Arial" w:hAnsi="Arial"/>
              <w:sz w:val="16"/>
              <w:szCs w:val="16"/>
            </w:rPr>
            <w:t>Ulica gledališča BTC 2, 1000 Ljubljana</w:t>
          </w:r>
        </w:p>
      </w:tc>
      <w:tc>
        <w:tcPr>
          <w:tcW w:w="3826" w:type="dxa"/>
        </w:tcPr>
        <w:p w:rsidR="000E33E4">
          <w:pPr>
            <w:pStyle w:val="Header"/>
            <w:rPr>
              <w:rFonts w:ascii="Arial" w:hAnsi="Arial"/>
              <w:sz w:val="16"/>
              <w:szCs w:val="16"/>
            </w:rPr>
          </w:pPr>
          <w:r>
            <w:rPr>
              <w:rFonts w:ascii="Arial" w:hAnsi="Arial"/>
              <w:sz w:val="16"/>
              <w:szCs w:val="16"/>
            </w:rPr>
            <w:t>T: 01 478 47 78</w:t>
          </w:r>
        </w:p>
        <w:p w:rsidR="000E33E4">
          <w:pPr>
            <w:pStyle w:val="Header"/>
            <w:rPr>
              <w:rFonts w:ascii="Arial" w:hAnsi="Arial"/>
              <w:sz w:val="16"/>
              <w:szCs w:val="16"/>
            </w:rPr>
          </w:pPr>
          <w:r>
            <w:rPr>
              <w:rFonts w:ascii="Arial" w:hAnsi="Arial"/>
              <w:sz w:val="16"/>
              <w:szCs w:val="16"/>
            </w:rPr>
            <w:t xml:space="preserve">E: </w:t>
          </w:r>
          <w:hyperlink r:id="rId2" w:history="1">
            <w:r w:rsidRPr="001C566E">
              <w:rPr>
                <w:rStyle w:val="DefaultParagraphFont"/>
                <w:rFonts w:ascii="Arial" w:hAnsi="Arial"/>
                <w:sz w:val="16"/>
                <w:szCs w:val="16"/>
              </w:rPr>
              <w:t>gp.uiv@gov.si</w:t>
            </w:r>
          </w:hyperlink>
        </w:p>
        <w:p w:rsidR="000E33E4">
          <w:pPr>
            <w:pStyle w:val="Header"/>
            <w:rPr>
              <w:rFonts w:ascii="Arial" w:hAnsi="Arial"/>
              <w:sz w:val="16"/>
              <w:szCs w:val="16"/>
            </w:rPr>
          </w:pPr>
          <w:r>
            <w:rPr>
              <w:rFonts w:ascii="Arial" w:hAnsi="Arial"/>
              <w:sz w:val="16"/>
              <w:szCs w:val="16"/>
            </w:rPr>
            <w:t>https://www.gov.si/drzavni-organi/vladne-sluzbe/urad-vlade-za-informacijsko-varnost/</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E33E4"/>
    <w:rsid w:val="001C566E"/>
    <w:rsid w:val="00945425"/>
    <w:rsid w:val="0096422C"/>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mailto:gp.mp@gov.s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