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62693" w14:textId="771C61E8" w:rsidR="006E4A43" w:rsidRPr="006E4A43" w:rsidRDefault="006E4A43" w:rsidP="006E4A43">
      <w:pPr>
        <w:pStyle w:val="TechnicalBlock"/>
        <w:ind w:left="-1134" w:right="-1134"/>
      </w:pPr>
      <w:bookmarkStart w:id="0" w:name="DW_BM_COVERPAGE"/>
      <w:r>
        <w:pict w14:anchorId="006D2B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Document Cover Page.&#10;Document Number: 16338/23.&#10;Subject Codes: CONSOM 460 MI 1082 COMPET 1224 TOUR 44 TRANS 570 IA 344 CODEC 2379.&#10;Heading: SPREMNI DOPIS.&#10;Originator: za generalno sekretarko Evropske komisije: direktorica Martine DEPREZ.&#10;Recipient: Thérèse BLANCHET, generalna sekretarka Sveta Evropske unije.&#10;Subject: Predlog - DIREKTIVA EVROPSKEGA PARLAMENTA IN SVETA o spremembi Direktive (EU) 2015/2302 zaradi povečanja učinkovitosti zaščite potnikov ter poenostavitve in pojasnitve nekaterih vidikov Direktive.&#10;Commission Document Number: COM(2023) 905 final.&#10;Preceeding Document Number: Not Set.&#10;Location: Bruselj.&#10;Date: 5. december 2023.&#10;Interinstitutional Files: 2023/0435(COD).&#10;Institutional Framework: Svet Evropske unije.&#10;Language: SL.&#10;Distribution Code: PUBLIC.&#10;GUID: 4771101217530768315_0" style="width:568.3pt;height:438pt">
            <v:imagedata r:id="rId7" o:title=""/>
          </v:shape>
        </w:pict>
      </w:r>
      <w:bookmarkEnd w:id="0"/>
    </w:p>
    <w:p w14:paraId="6DE614E7" w14:textId="3F402E64" w:rsidR="005F1957" w:rsidRDefault="00144AE5" w:rsidP="006E4A43">
      <w:pPr>
        <w:pStyle w:val="EntText"/>
        <w:spacing w:before="480"/>
      </w:pPr>
      <w:r>
        <w:t>D</w:t>
      </w:r>
      <w:r>
        <w:t xml:space="preserve">elegacije prejmejo priloženi dokument </w:t>
      </w:r>
      <w:r>
        <w:fldChar w:fldCharType="begin"/>
      </w:r>
      <w:r>
        <w:instrText xml:space="preserve"> QUOTE "</w:instrText>
      </w:r>
      <w:r>
        <w:fldChar w:fldCharType="begin">
          <w:fldData xml:space="preserve">QwBvAG0AbQBEAG8AYwBzAHwAUwBMAA==
</w:fldData>
        </w:fldChar>
      </w:r>
      <w:r>
        <w:instrText xml:space="preserve"> ADDIN "Doc</w:instrText>
      </w:r>
      <w:r>
        <w:instrText xml:space="preserve">uWrite metadata link" </w:instrText>
      </w:r>
      <w:r>
        <w:fldChar w:fldCharType="end"/>
      </w:r>
      <w:r w:rsidR="006E4A43" w:rsidRPr="006E4A43">
        <w:instrText>COM(2023) 905 final</w:instrText>
      </w:r>
      <w:r>
        <w:instrText xml:space="preserve">" </w:instrText>
      </w:r>
      <w:r>
        <w:fldChar w:fldCharType="separate"/>
      </w:r>
      <w:r w:rsidR="006E4A43" w:rsidRPr="006E4A43">
        <w:t>COM(2023) 905 final</w:t>
      </w:r>
      <w:r>
        <w:fldChar w:fldCharType="end"/>
      </w:r>
      <w:r>
        <w:t>.</w:t>
      </w:r>
    </w:p>
    <w:p w14:paraId="2EBCE139" w14:textId="77777777" w:rsidR="005F1957" w:rsidRDefault="005F1957">
      <w:pPr>
        <w:pStyle w:val="Lignefinal"/>
      </w:pPr>
    </w:p>
    <w:p w14:paraId="1F191290" w14:textId="239507A4" w:rsidR="005F1957" w:rsidRDefault="00144AE5" w:rsidP="006E4A43">
      <w:pPr>
        <w:pStyle w:val="pj"/>
        <w:spacing w:before="120"/>
      </w:pPr>
      <w:r>
        <w:t xml:space="preserve">Priloga: </w:t>
      </w:r>
      <w:r>
        <w:fldChar w:fldCharType="begin"/>
      </w:r>
      <w:r>
        <w:instrText xml:space="preserve"> QUOTE "</w:instrText>
      </w:r>
      <w:r>
        <w:fldChar w:fldCharType="begin">
          <w:fldData xml:space="preserve">QwBvAG0AbQBEAG8AYwBzAHwAUwBMAA==
</w:fldData>
        </w:fldChar>
      </w:r>
      <w:r>
        <w:instrText xml:space="preserve"> ADDIN "DocuWrite metadata link" </w:instrText>
      </w:r>
      <w:r>
        <w:fldChar w:fldCharType="end"/>
      </w:r>
      <w:r w:rsidR="006E4A43" w:rsidRPr="006E4A43">
        <w:instrText>COM(2023) 905 final</w:instrText>
      </w:r>
      <w:r>
        <w:instrText xml:space="preserve">" </w:instrText>
      </w:r>
      <w:r>
        <w:fldChar w:fldCharType="separate"/>
      </w:r>
      <w:r w:rsidR="006E4A43" w:rsidRPr="006E4A43">
        <w:t>COM(2023) 905 final</w:t>
      </w:r>
      <w:r>
        <w:fldChar w:fldCharType="end"/>
      </w:r>
    </w:p>
    <w:p w14:paraId="1FE9E366" w14:textId="77777777" w:rsidR="005F1957" w:rsidRDefault="005F1957">
      <w:pPr>
        <w:sectPr w:rsidR="005F1957" w:rsidSect="006E4A43">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7" w:h="16840" w:code="9"/>
          <w:pgMar w:top="624" w:right="1134" w:bottom="1134" w:left="1134" w:header="567" w:footer="567" w:gutter="0"/>
          <w:pgNumType w:start="0"/>
          <w:cols w:space="720"/>
          <w:titlePg/>
          <w:docGrid w:linePitch="326"/>
        </w:sectPr>
      </w:pPr>
    </w:p>
    <w:p w14:paraId="6AC585A9" w14:textId="77777777" w:rsidR="00144AE5" w:rsidRPr="00F27C25" w:rsidRDefault="006E4A43" w:rsidP="00BD50E3">
      <w:pPr>
        <w:pStyle w:val="Pagedecouverture"/>
        <w:rPr>
          <w:noProof/>
        </w:rPr>
      </w:pPr>
      <w:r>
        <w:rPr>
          <w:noProof/>
        </w:rPr>
        <w:lastRenderedPageBreak/>
        <w:pict w14:anchorId="245015C7">
          <v:shape id="_x0000_i1025" type="#_x0000_t75" alt="8F0026B1-44C5-48E7-9B7D-8A9209A6F300" style="width:455.15pt;height:454.3pt">
            <v:imagedata r:id="rId14" o:title=""/>
          </v:shape>
        </w:pict>
      </w:r>
    </w:p>
    <w:p w14:paraId="36A59AC8" w14:textId="77777777" w:rsidR="00144AE5" w:rsidRPr="00F27C25" w:rsidRDefault="00144AE5" w:rsidP="004517AC">
      <w:pPr>
        <w:rPr>
          <w:noProof/>
        </w:rPr>
        <w:sectPr w:rsidR="004517AC" w:rsidRPr="00F27C25" w:rsidSect="00BD50E3">
          <w:headerReference w:type="even" r:id="rId15"/>
          <w:headerReference w:type="default" r:id="rId16"/>
          <w:footerReference w:type="even" r:id="rId17"/>
          <w:footerReference w:type="default" r:id="rId18"/>
          <w:headerReference w:type="first" r:id="rId19"/>
          <w:footerReference w:type="first" r:id="rId20"/>
          <w:pgSz w:w="11907" w:h="16839"/>
          <w:pgMar w:top="1134" w:right="1417" w:bottom="1134" w:left="1417" w:header="709" w:footer="709" w:gutter="0"/>
          <w:pgNumType w:start="0"/>
          <w:cols w:space="720"/>
          <w:docGrid w:linePitch="360"/>
        </w:sectPr>
      </w:pPr>
    </w:p>
    <w:p w14:paraId="0A2FC433" w14:textId="77777777" w:rsidR="00144AE5" w:rsidRPr="00F27C25" w:rsidRDefault="00144AE5" w:rsidP="00040787">
      <w:pPr>
        <w:pStyle w:val="Exposdesmotifstitre"/>
        <w:rPr>
          <w:noProof/>
        </w:rPr>
      </w:pPr>
      <w:r w:rsidRPr="00F27C25">
        <w:rPr>
          <w:noProof/>
        </w:rPr>
        <w:lastRenderedPageBreak/>
        <w:t xml:space="preserve">OBRAZLOŽITVENI MEMORANDUM </w:t>
      </w:r>
    </w:p>
    <w:p w14:paraId="65868E53" w14:textId="77777777" w:rsidR="00144AE5" w:rsidRPr="00F27C25" w:rsidRDefault="00144AE5" w:rsidP="00040787">
      <w:pPr>
        <w:pStyle w:val="ManualHeading1"/>
        <w:rPr>
          <w:noProof/>
        </w:rPr>
      </w:pPr>
      <w:r w:rsidRPr="00F27C25">
        <w:rPr>
          <w:noProof/>
        </w:rPr>
        <w:t>1.</w:t>
      </w:r>
      <w:r w:rsidRPr="00F27C25">
        <w:rPr>
          <w:noProof/>
        </w:rPr>
        <w:tab/>
        <w:t>OZADJE PREDLOGA</w:t>
      </w:r>
    </w:p>
    <w:p w14:paraId="760EF006" w14:textId="77777777" w:rsidR="00144AE5" w:rsidRPr="00F27C25" w:rsidRDefault="00144AE5" w:rsidP="00040787">
      <w:pPr>
        <w:pStyle w:val="ManualHeading2"/>
        <w:rPr>
          <w:rFonts w:eastAsia="Arial Unicode MS"/>
          <w:noProof/>
        </w:rPr>
      </w:pPr>
      <w:r w:rsidRPr="00F27C25">
        <w:rPr>
          <w:noProof/>
          <w:color w:val="000000"/>
          <w:u w:color="000000"/>
          <w:bdr w:val="nil"/>
        </w:rPr>
        <w:t>•</w:t>
      </w:r>
      <w:r w:rsidRPr="00F27C25">
        <w:rPr>
          <w:noProof/>
          <w:color w:val="000000"/>
          <w:u w:color="000000"/>
          <w:bdr w:val="nil"/>
        </w:rPr>
        <w:tab/>
      </w:r>
      <w:r w:rsidRPr="00F27C25">
        <w:rPr>
          <w:noProof/>
        </w:rPr>
        <w:t xml:space="preserve">Razlogi za </w:t>
      </w:r>
      <w:r w:rsidRPr="00F27C25">
        <w:rPr>
          <w:noProof/>
        </w:rPr>
        <w:t>predlog in njegovi cilji</w:t>
      </w:r>
    </w:p>
    <w:p w14:paraId="361B0945" w14:textId="77777777" w:rsidR="00144AE5" w:rsidRPr="00F27C25" w:rsidRDefault="00144AE5" w:rsidP="00040787">
      <w:pPr>
        <w:pBdr>
          <w:top w:val="nil"/>
          <w:left w:val="nil"/>
          <w:bottom w:val="nil"/>
          <w:right w:val="nil"/>
          <w:between w:val="nil"/>
          <w:bar w:val="nil"/>
        </w:pBdr>
        <w:spacing w:before="0" w:after="240"/>
        <w:rPr>
          <w:rFonts w:eastAsia="Arial Unicode MS"/>
          <w:noProof/>
        </w:rPr>
      </w:pPr>
      <w:r w:rsidRPr="00F27C25">
        <w:rPr>
          <w:noProof/>
        </w:rPr>
        <w:t>Turizem ima pomembno vlogo v svetovnem gospodarstvu, saj neposredno in posredno predstavlja več kot 10 % svetovnega bruto domačega proizvoda. Zaradi naraščajočih prihodkov, padajočih stroškov v zvezi s potovanji in vse večjega obse</w:t>
      </w:r>
      <w:r w:rsidRPr="00F27C25">
        <w:rPr>
          <w:noProof/>
        </w:rPr>
        <w:t>ga razpoložljivih turističnih dejavnosti se je svetovno število turistov povečalo s 680 milijonov leta 2000 na več kot 1,5 milijarde leta 2019. Evropska unija je najpomembnejša turistična destinacija na svetu in je leta 2022 sprejela približno dve tretjini</w:t>
      </w:r>
      <w:r w:rsidRPr="00F27C25">
        <w:rPr>
          <w:noProof/>
        </w:rPr>
        <w:t xml:space="preserve"> vseh mednarodnih turistov. Turistična industrija ima ključno vlogo v gospodarstvu EU, saj je leta 2020 v tej panogi delalo približno 2,3 milijona turističnih podjetij in 10,9 milijona ljudi</w:t>
      </w:r>
      <w:r w:rsidRPr="00F27C25">
        <w:rPr>
          <w:rStyle w:val="FootnoteReference"/>
          <w:rFonts w:eastAsia="Arial Unicode MS"/>
          <w:noProof/>
        </w:rPr>
        <w:footnoteReference w:id="2"/>
      </w:r>
      <w:r w:rsidRPr="00F27C25">
        <w:rPr>
          <w:noProof/>
        </w:rPr>
        <w:t xml:space="preserve">. </w:t>
      </w:r>
    </w:p>
    <w:p w14:paraId="463F75E8" w14:textId="77777777" w:rsidR="00144AE5" w:rsidRPr="00F27C25" w:rsidRDefault="00144AE5" w:rsidP="00040787">
      <w:pPr>
        <w:pBdr>
          <w:top w:val="nil"/>
          <w:left w:val="nil"/>
          <w:bottom w:val="nil"/>
          <w:right w:val="nil"/>
          <w:between w:val="nil"/>
          <w:bar w:val="nil"/>
        </w:pBdr>
        <w:spacing w:before="0" w:after="240"/>
        <w:rPr>
          <w:rFonts w:eastAsia="Arial Unicode MS"/>
          <w:noProof/>
        </w:rPr>
      </w:pPr>
      <w:r w:rsidRPr="00F27C25">
        <w:rPr>
          <w:noProof/>
        </w:rPr>
        <w:t>Evropski potrošniki za isto potovanje ali počitnice uporablja</w:t>
      </w:r>
      <w:r w:rsidRPr="00F27C25">
        <w:rPr>
          <w:noProof/>
        </w:rPr>
        <w:t>jo različne načine rezervacij potovalnih storitev. Ločeno lahko na primer rezervirajo prevoz in/ali nastanitev, bodisi neposredno pri različnih ponudnikih storitev bodisi prek posrednikov. Kupijo lahko spletne, nespletne in vnaprej dogovorjene turistične p</w:t>
      </w:r>
      <w:r w:rsidRPr="00F27C25">
        <w:rPr>
          <w:noProof/>
        </w:rPr>
        <w:t xml:space="preserve">akete ali turistične pakete po meri posameznika, ki združujejo različne vrste potovalnih storitev. Turistične pakete lahko ponujajo organizatorji potovanj, potovalne agencije, prevozniki in drugi akterji. </w:t>
      </w:r>
    </w:p>
    <w:p w14:paraId="0B9B16F5" w14:textId="77777777" w:rsidR="00144AE5" w:rsidRPr="00F27C25" w:rsidRDefault="00144AE5" w:rsidP="00040787">
      <w:pPr>
        <w:pBdr>
          <w:top w:val="nil"/>
          <w:left w:val="nil"/>
          <w:bottom w:val="nil"/>
          <w:right w:val="nil"/>
          <w:between w:val="nil"/>
          <w:bar w:val="nil"/>
        </w:pBdr>
        <w:spacing w:before="0" w:after="240"/>
        <w:rPr>
          <w:rFonts w:eastAsia="Arial Unicode MS"/>
          <w:noProof/>
        </w:rPr>
      </w:pPr>
      <w:r w:rsidRPr="00F27C25">
        <w:rPr>
          <w:noProof/>
        </w:rPr>
        <w:t xml:space="preserve">Direktiva (EU) 2015/2302 o paketnih potovanjih in </w:t>
      </w:r>
      <w:r w:rsidRPr="00F27C25">
        <w:rPr>
          <w:noProof/>
        </w:rPr>
        <w:t>povezanih potovalnih aranžmajih (v nadaljnjem besedilu: Direktiva ali direktiva o paketnih potovanjih)</w:t>
      </w:r>
      <w:r w:rsidRPr="00F27C25">
        <w:rPr>
          <w:rStyle w:val="FootnoteReference"/>
          <w:rFonts w:eastAsia="Arial Unicode MS"/>
          <w:noProof/>
        </w:rPr>
        <w:footnoteReference w:id="3"/>
      </w:r>
      <w:r w:rsidRPr="00F27C25">
        <w:rPr>
          <w:noProof/>
        </w:rPr>
        <w:t xml:space="preserve"> je posodobila pravni okvir za paketna potovanja v skladu s tržnim in tehnološkim razvojem. Njen namen je bil zajeti nove načine rezervacije potovalnih </w:t>
      </w:r>
      <w:r w:rsidRPr="00F27C25">
        <w:rPr>
          <w:noProof/>
        </w:rPr>
        <w:t>storitev, ki so se pojavile, vključno s kombinacijami potovalnih storitev po meri posameznika, ki niso bile zajete v Direktivi 90/314/EGS</w:t>
      </w:r>
      <w:r w:rsidRPr="00F27C25">
        <w:rPr>
          <w:rStyle w:val="FootnoteReference"/>
          <w:rFonts w:eastAsia="Arial Unicode MS"/>
          <w:noProof/>
        </w:rPr>
        <w:footnoteReference w:id="4"/>
      </w:r>
      <w:r w:rsidRPr="00F27C25">
        <w:rPr>
          <w:noProof/>
        </w:rPr>
        <w:t xml:space="preserve"> ali so bile v pravnem sivem območju, ter v različnih pogledih okrepiti pravice potnikov v okviru paketnih potovanj. </w:t>
      </w:r>
      <w:r w:rsidRPr="00F27C25">
        <w:rPr>
          <w:noProof/>
        </w:rPr>
        <w:t>Njen cilj je bil tudi zagotoviti pravičnejšo konkurenco med različnimi vrstami potovalnih podjetij, ki so dejavna na trgu paketnih potovanj.</w:t>
      </w:r>
    </w:p>
    <w:p w14:paraId="57CC6807" w14:textId="77777777" w:rsidR="00144AE5" w:rsidRPr="00F27C25" w:rsidRDefault="00144AE5" w:rsidP="00040787">
      <w:pPr>
        <w:pBdr>
          <w:top w:val="nil"/>
          <w:left w:val="nil"/>
          <w:bottom w:val="nil"/>
          <w:right w:val="nil"/>
          <w:between w:val="nil"/>
          <w:bar w:val="nil"/>
        </w:pBdr>
        <w:spacing w:before="0" w:after="240"/>
        <w:rPr>
          <w:rFonts w:eastAsia="Arial Unicode MS"/>
          <w:noProof/>
        </w:rPr>
      </w:pPr>
      <w:r w:rsidRPr="00F27C25">
        <w:rPr>
          <w:noProof/>
        </w:rPr>
        <w:t>Izbruh pandemije COVID-19 je povzročil množične odpovedi organiziranih počitnic, hkrati pa v določenem obdobju ni b</w:t>
      </w:r>
      <w:r w:rsidRPr="00F27C25">
        <w:rPr>
          <w:noProof/>
        </w:rPr>
        <w:t>ilo novih rezervacij. Zaradi posledičnih likvidnostnih težav organizatorjev turističnih paketov številni potniki niso prejeli povračil ali pa so jih prejeli precej pozneje kot v 14 dneh, kot je določeno v Direktivi. Komisija je v svojem priporočilu 2020/64</w:t>
      </w:r>
      <w:r w:rsidRPr="00F27C25">
        <w:rPr>
          <w:noProof/>
        </w:rPr>
        <w:t>8 iz maja 2020 (v nadaljnjem besedilu: priporočilo iz leta 2020)</w:t>
      </w:r>
      <w:r w:rsidRPr="00F27C25">
        <w:rPr>
          <w:rStyle w:val="FootnoteReference"/>
          <w:rFonts w:eastAsia="Arial Unicode MS"/>
          <w:noProof/>
        </w:rPr>
        <w:footnoteReference w:id="5"/>
      </w:r>
      <w:r w:rsidRPr="00F27C25">
        <w:rPr>
          <w:noProof/>
        </w:rPr>
        <w:t xml:space="preserve"> določila načela o prostovoljni uporabi dobropisov in načine, kako jih narediti privlačnejše za potnike, vključno z njihovo zaščito pred insolventnostjo organizatorja. Države članice so razl</w:t>
      </w:r>
      <w:r w:rsidRPr="00F27C25">
        <w:rPr>
          <w:noProof/>
        </w:rPr>
        <w:t>ično uporabljale priporočilo. Več držav članic je sprejelo zakonodajo, ki odstopa od Direktive in s katero so podaljšale roke za povračilo ali uvedle obvezne dobropise za potnike, zaradi česar je Komisija začela postopek za ugotavljanje kršitev proti 11 dr</w:t>
      </w:r>
      <w:r w:rsidRPr="00F27C25">
        <w:rPr>
          <w:noProof/>
        </w:rPr>
        <w:t>žavam članicam.</w:t>
      </w:r>
    </w:p>
    <w:p w14:paraId="57BFC921" w14:textId="77777777" w:rsidR="00144AE5" w:rsidRPr="00F27C25" w:rsidRDefault="00144AE5" w:rsidP="00040787">
      <w:pPr>
        <w:pBdr>
          <w:top w:val="nil"/>
          <w:left w:val="nil"/>
          <w:bottom w:val="nil"/>
          <w:right w:val="nil"/>
          <w:between w:val="nil"/>
          <w:bar w:val="nil"/>
        </w:pBdr>
        <w:spacing w:before="0" w:after="240"/>
        <w:rPr>
          <w:rFonts w:eastAsia="Arial Unicode MS"/>
          <w:noProof/>
        </w:rPr>
      </w:pPr>
      <w:r w:rsidRPr="00F27C25">
        <w:rPr>
          <w:noProof/>
        </w:rPr>
        <w:t>Poročilo Komisije, objavljeno 26. februarja 2021 (v nadaljnjem besedilu: poročilo o uporabi direktive o paketnih potovanjih)</w:t>
      </w:r>
      <w:r w:rsidRPr="00F27C25">
        <w:rPr>
          <w:rStyle w:val="FootnoteReference"/>
          <w:rFonts w:eastAsia="Arial Unicode MS"/>
          <w:noProof/>
        </w:rPr>
        <w:footnoteReference w:id="6"/>
      </w:r>
      <w:r w:rsidRPr="00F27C25">
        <w:rPr>
          <w:noProof/>
        </w:rPr>
        <w:t>, vsebuje pregled tega, kako so države članice Direktivo prenesle v nacionalno zakonodajo in kako se uporablja od julija 2018. V njem je izpostavljenih več izzivov, vključno s tistimi, ki so se pojavili zaradi stečaja skupine Thomas Cook leta 2019 in pande</w:t>
      </w:r>
      <w:r w:rsidRPr="00F27C25">
        <w:rPr>
          <w:noProof/>
        </w:rPr>
        <w:t>mije COVID-19. Med težavami pri uporabi Direktive, izpostavljenimi v poročilu, so zapletenost in negotovost, ki jo povzročajo določbe o povezanih potovalnih aranžmajih, ter težave pri izdajanju povračil in učinkovitem varstvu v primeru insolventnosti v obd</w:t>
      </w:r>
      <w:r w:rsidRPr="00F27C25">
        <w:rPr>
          <w:noProof/>
        </w:rPr>
        <w:t xml:space="preserve">obju večje krize, vključno s pomanjkanjem pravil o dobropisih in negotovostjo glede obsega kritja varstva v primeru insolventnosti. </w:t>
      </w:r>
    </w:p>
    <w:p w14:paraId="7393E91A" w14:textId="77777777" w:rsidR="00144AE5" w:rsidRPr="00F27C25" w:rsidRDefault="00144AE5" w:rsidP="00040787">
      <w:pPr>
        <w:pBdr>
          <w:top w:val="nil"/>
          <w:left w:val="nil"/>
          <w:bottom w:val="nil"/>
          <w:right w:val="nil"/>
          <w:between w:val="nil"/>
          <w:bar w:val="nil"/>
        </w:pBdr>
        <w:spacing w:before="0" w:after="240"/>
        <w:rPr>
          <w:rFonts w:eastAsia="Arial Unicode MS"/>
          <w:noProof/>
        </w:rPr>
      </w:pPr>
      <w:r w:rsidRPr="00F27C25">
        <w:rPr>
          <w:noProof/>
        </w:rPr>
        <w:t>Evropsko računsko sodišče (v nadaljnjem besedilu: Računsko sodišče) je izdalo posebno poročilo o pravicah letalskih potniko</w:t>
      </w:r>
      <w:r w:rsidRPr="00F27C25">
        <w:rPr>
          <w:noProof/>
        </w:rPr>
        <w:t>v med pandemijo COVID-19</w:t>
      </w:r>
      <w:r w:rsidRPr="00F27C25">
        <w:rPr>
          <w:rStyle w:val="FootnoteReference"/>
          <w:rFonts w:eastAsia="Arial Unicode MS"/>
          <w:noProof/>
        </w:rPr>
        <w:footnoteReference w:id="7"/>
      </w:r>
      <w:r w:rsidRPr="00F27C25">
        <w:rPr>
          <w:noProof/>
        </w:rPr>
        <w:t>. Računsko sodišče je v svojih priporočilih Komisijo pozvalo, naj preuči, kako bi bilo mogoče z zakonodajnimi spremembami okrepiti pravice letalskih in drugih potnikov, tudi v primeru krize, da bi obravnavali vprašanje povračil za odpovedana potovanja in i</w:t>
      </w:r>
      <w:r w:rsidRPr="00F27C25">
        <w:rPr>
          <w:noProof/>
        </w:rPr>
        <w:t xml:space="preserve">nsolventnosti prevoznikov. </w:t>
      </w:r>
    </w:p>
    <w:p w14:paraId="0C627CCA" w14:textId="77777777" w:rsidR="00144AE5" w:rsidRPr="00F27C25" w:rsidRDefault="00144AE5" w:rsidP="00040787">
      <w:pPr>
        <w:pBdr>
          <w:top w:val="nil"/>
          <w:left w:val="nil"/>
          <w:bottom w:val="nil"/>
          <w:right w:val="nil"/>
          <w:between w:val="nil"/>
          <w:bar w:val="nil"/>
        </w:pBdr>
        <w:spacing w:before="0"/>
        <w:rPr>
          <w:noProof/>
        </w:rPr>
      </w:pPr>
      <w:r w:rsidRPr="00F27C25">
        <w:rPr>
          <w:noProof/>
        </w:rPr>
        <w:t>Platforma Pripravljeni na prihodnost je v mnenju z dne 22. marca 2022 opredelila pet težav v Direktivi in podala predloge v zvezi s tem</w:t>
      </w:r>
      <w:r w:rsidRPr="00F27C25">
        <w:rPr>
          <w:rStyle w:val="FootnoteReference"/>
          <w:noProof/>
        </w:rPr>
        <w:footnoteReference w:id="8"/>
      </w:r>
      <w:r w:rsidRPr="00F27C25">
        <w:rPr>
          <w:noProof/>
        </w:rPr>
        <w:t>.</w:t>
      </w:r>
    </w:p>
    <w:p w14:paraId="395A0C0D" w14:textId="77777777" w:rsidR="00144AE5" w:rsidRPr="00F27C25" w:rsidRDefault="00144AE5" w:rsidP="00040787">
      <w:pPr>
        <w:pBdr>
          <w:top w:val="nil"/>
          <w:left w:val="nil"/>
          <w:bottom w:val="nil"/>
          <w:right w:val="nil"/>
          <w:between w:val="nil"/>
          <w:bar w:val="nil"/>
        </w:pBdr>
        <w:spacing w:before="0" w:after="240"/>
        <w:rPr>
          <w:rFonts w:eastAsia="Arial Unicode MS"/>
          <w:noProof/>
        </w:rPr>
      </w:pPr>
      <w:r w:rsidRPr="00F27C25">
        <w:rPr>
          <w:noProof/>
          <w:color w:val="000000" w:themeColor="text1"/>
        </w:rPr>
        <w:t>Ocena in pregled Direktive sta omenjena v Novi agendi za potrošnike z dne 13. novembra 20</w:t>
      </w:r>
      <w:r w:rsidRPr="00F27C25">
        <w:rPr>
          <w:noProof/>
          <w:color w:val="000000" w:themeColor="text1"/>
        </w:rPr>
        <w:t>20</w:t>
      </w:r>
      <w:r w:rsidRPr="00F27C25">
        <w:rPr>
          <w:rStyle w:val="FootnoteReference"/>
          <w:noProof/>
          <w:color w:val="000000" w:themeColor="text1"/>
        </w:rPr>
        <w:footnoteReference w:id="9"/>
      </w:r>
      <w:r w:rsidRPr="00F27C25">
        <w:rPr>
          <w:noProof/>
          <w:color w:val="000000" w:themeColor="text1"/>
        </w:rPr>
        <w:t xml:space="preserve">. Komisija je napovedala, da bo do leta 2022 „podrobnej[e] prouči[la], ali sedanji regulativni okvir za paketna potovanja, vključno v zvezi z varstvom v primeru insolventnosti, še vedno izpolnjuje nalogo zagotavljanja stalnega stabilnega in celovitega </w:t>
      </w:r>
      <w:r w:rsidRPr="00F27C25">
        <w:rPr>
          <w:noProof/>
          <w:color w:val="000000" w:themeColor="text1"/>
        </w:rPr>
        <w:t>varstva potrošnikov, ki upošteva tudi razvoj dogodkov na področju pravic potrošnikov.“</w:t>
      </w:r>
    </w:p>
    <w:p w14:paraId="4E8D312E" w14:textId="77777777" w:rsidR="00144AE5" w:rsidRPr="00F27C25" w:rsidRDefault="00144AE5" w:rsidP="00040787">
      <w:pPr>
        <w:pBdr>
          <w:top w:val="nil"/>
          <w:left w:val="nil"/>
          <w:bottom w:val="nil"/>
          <w:right w:val="nil"/>
          <w:between w:val="nil"/>
          <w:bar w:val="nil"/>
        </w:pBdr>
        <w:spacing w:before="0" w:after="240"/>
        <w:rPr>
          <w:rFonts w:eastAsia="Arial Unicode MS"/>
          <w:noProof/>
        </w:rPr>
      </w:pPr>
      <w:r w:rsidRPr="00F27C25">
        <w:rPr>
          <w:noProof/>
        </w:rPr>
        <w:t xml:space="preserve">Cilj revizije Direktive je v vseh okoliščinah, tudi v primeru večje krize, okrepiti raven varstva potrošnikov, hkrati pa izboljšati delovanje notranjega trga v sektorju </w:t>
      </w:r>
      <w:r w:rsidRPr="00F27C25">
        <w:rPr>
          <w:noProof/>
        </w:rPr>
        <w:t>paketnih potovanj. To je v skladu s prvotnimi cilji Direktive. Direktiva na splošno vsebuje zanesljiva pravila, ki urejajo paketna potovanja, in je prinesla znatne koristi z vidika varstva potrošnikov in delovanja notranjega trga. Kljub temu je ocena pokaz</w:t>
      </w:r>
      <w:r w:rsidRPr="00F27C25">
        <w:rPr>
          <w:noProof/>
        </w:rPr>
        <w:t>ala le delen uspeh pri doseganju njenih ciljev in izpolnjevanju potreb potrošnikov in trgovcev ter nakazala možnosti za izboljšave in poenostavitev. Ugotovljene so bile šibke točke v smislu vrzeli, pravne negotovosti in pretirane zapletenosti, v zvezi s ka</w:t>
      </w:r>
      <w:r w:rsidRPr="00F27C25">
        <w:rPr>
          <w:noProof/>
        </w:rPr>
        <w:t>terimi je potrebno ciljno ukrepanje. Odprava teh pomanjkljivosti, na primer s spremembami nekaterih opredelitev pojmov ter dodanimi določbami o predplačilih in dobropisih, ob hkratni podrobni določitvi nekaterih elementov v zvezi z odpovedjo turističnih pa</w:t>
      </w:r>
      <w:r w:rsidRPr="00F27C25">
        <w:rPr>
          <w:noProof/>
        </w:rPr>
        <w:t>ketov zaradi neizogibnih in izrednih okoliščin ter varstvom v primeru insolventnosti, bo tako koristna za pripravo na prihodnje krize, pa tudi za uporabo Direktive v običajnih razmerah.</w:t>
      </w:r>
    </w:p>
    <w:p w14:paraId="19A47F1D" w14:textId="77777777" w:rsidR="00144AE5" w:rsidRPr="00F27C25" w:rsidRDefault="00144AE5" w:rsidP="00040787">
      <w:pPr>
        <w:pBdr>
          <w:top w:val="nil"/>
          <w:left w:val="nil"/>
          <w:bottom w:val="nil"/>
          <w:right w:val="nil"/>
          <w:between w:val="nil"/>
          <w:bar w:val="nil"/>
        </w:pBdr>
        <w:spacing w:before="0" w:after="240"/>
        <w:rPr>
          <w:rFonts w:eastAsia="Arial Unicode MS"/>
          <w:noProof/>
        </w:rPr>
      </w:pPr>
    </w:p>
    <w:p w14:paraId="56AD475D" w14:textId="77777777" w:rsidR="00144AE5" w:rsidRPr="00F27C25" w:rsidRDefault="00144AE5" w:rsidP="00040787">
      <w:pPr>
        <w:pStyle w:val="ManualHeading2"/>
        <w:rPr>
          <w:rFonts w:eastAsia="Arial Unicode MS"/>
          <w:noProof/>
          <w:color w:val="000000"/>
          <w:u w:color="000000"/>
          <w:bdr w:val="nil"/>
        </w:rPr>
      </w:pPr>
      <w:r w:rsidRPr="00F27C25">
        <w:rPr>
          <w:noProof/>
          <w:color w:val="000000"/>
          <w:u w:color="000000"/>
          <w:bdr w:val="nil"/>
        </w:rPr>
        <w:t>•</w:t>
      </w:r>
      <w:r w:rsidRPr="00F27C25">
        <w:rPr>
          <w:noProof/>
          <w:color w:val="000000"/>
          <w:u w:color="000000"/>
          <w:bdr w:val="nil"/>
        </w:rPr>
        <w:tab/>
      </w:r>
      <w:r w:rsidRPr="00F27C25">
        <w:rPr>
          <w:noProof/>
        </w:rPr>
        <w:t>Skladnost s predpisi s področja zadevne politike</w:t>
      </w:r>
    </w:p>
    <w:p w14:paraId="50978DBB" w14:textId="77777777" w:rsidR="00144AE5" w:rsidRPr="00F27C25" w:rsidRDefault="00144AE5" w:rsidP="00040787">
      <w:pPr>
        <w:pBdr>
          <w:top w:val="nil"/>
          <w:left w:val="nil"/>
          <w:bottom w:val="nil"/>
          <w:right w:val="nil"/>
          <w:between w:val="nil"/>
          <w:bar w:val="nil"/>
        </w:pBdr>
        <w:spacing w:before="0" w:after="240"/>
        <w:rPr>
          <w:noProof/>
          <w:color w:val="000000" w:themeColor="text1"/>
        </w:rPr>
      </w:pPr>
      <w:r w:rsidRPr="00F27C25">
        <w:rPr>
          <w:noProof/>
          <w:color w:val="000000" w:themeColor="text1"/>
        </w:rPr>
        <w:t>Direktiva spada na</w:t>
      </w:r>
      <w:r w:rsidRPr="00F27C25">
        <w:rPr>
          <w:noProof/>
          <w:color w:val="000000" w:themeColor="text1"/>
        </w:rPr>
        <w:t xml:space="preserve"> področje uporabe uredbe o sodelovanju na področju varstva potrošnikov in direktive o zastopniških tožbah, ki prispevata k njenemu učinkovitemu izvrševanju. Uredba o sodelovanju na področju varstva potrošnikov določa skupne izvršilne ukrepe proti trgovcem,</w:t>
      </w:r>
      <w:r w:rsidRPr="00F27C25">
        <w:rPr>
          <w:noProof/>
          <w:color w:val="000000" w:themeColor="text1"/>
        </w:rPr>
        <w:t xml:space="preserve"> ki ne izpolnjujejo zahtev. Direktiva o zastopniških tožbah se uporablja od junija 2023 in zvišuje raven varstva kolektivnih interesov potnikov in potrošnikov na nacionalni in čezmejni ravni, na primer z uporabo opustitvenih ukrepov in ukrepov za povrnitev</w:t>
      </w:r>
      <w:r w:rsidRPr="00F27C25">
        <w:rPr>
          <w:noProof/>
          <w:color w:val="000000" w:themeColor="text1"/>
        </w:rPr>
        <w:t xml:space="preserve"> škode. </w:t>
      </w:r>
    </w:p>
    <w:p w14:paraId="61251BB1" w14:textId="77777777" w:rsidR="00144AE5" w:rsidRPr="00F27C25" w:rsidRDefault="00144AE5" w:rsidP="00944C4D">
      <w:pPr>
        <w:pBdr>
          <w:top w:val="nil"/>
          <w:left w:val="nil"/>
          <w:bottom w:val="nil"/>
          <w:right w:val="nil"/>
          <w:between w:val="nil"/>
          <w:bar w:val="nil"/>
        </w:pBdr>
        <w:spacing w:before="0" w:after="0"/>
        <w:rPr>
          <w:noProof/>
          <w:color w:val="000000" w:themeColor="text1"/>
        </w:rPr>
      </w:pPr>
    </w:p>
    <w:p w14:paraId="67A4508E" w14:textId="77777777" w:rsidR="00144AE5" w:rsidRPr="00F27C25" w:rsidRDefault="00144AE5" w:rsidP="00040787">
      <w:pPr>
        <w:pStyle w:val="ManualHeading2"/>
        <w:rPr>
          <w:rFonts w:eastAsia="Arial Unicode MS"/>
          <w:noProof/>
        </w:rPr>
      </w:pPr>
      <w:r w:rsidRPr="00F27C25">
        <w:rPr>
          <w:noProof/>
          <w:color w:val="000000"/>
          <w:u w:color="000000"/>
          <w:bdr w:val="nil"/>
        </w:rPr>
        <w:t>•</w:t>
      </w:r>
      <w:r w:rsidRPr="00F27C25">
        <w:rPr>
          <w:noProof/>
          <w:color w:val="000000"/>
          <w:u w:color="000000"/>
          <w:bdr w:val="nil"/>
        </w:rPr>
        <w:tab/>
      </w:r>
      <w:r w:rsidRPr="00F27C25">
        <w:rPr>
          <w:noProof/>
        </w:rPr>
        <w:t>Skladnost z drugimi politikami EU</w:t>
      </w:r>
    </w:p>
    <w:p w14:paraId="25B35013" w14:textId="77777777" w:rsidR="00144AE5" w:rsidRPr="00F27C25" w:rsidRDefault="00144AE5" w:rsidP="00040787">
      <w:pPr>
        <w:pBdr>
          <w:top w:val="nil"/>
          <w:left w:val="nil"/>
          <w:bottom w:val="nil"/>
          <w:right w:val="nil"/>
          <w:between w:val="nil"/>
          <w:bar w:val="nil"/>
        </w:pBdr>
        <w:spacing w:before="0" w:after="240"/>
        <w:rPr>
          <w:rFonts w:eastAsia="Arial Unicode MS"/>
          <w:noProof/>
        </w:rPr>
      </w:pPr>
      <w:r w:rsidRPr="00F27C25">
        <w:rPr>
          <w:noProof/>
        </w:rPr>
        <w:t>Po sprejetju prve direktive o paketnih potovanjih leta 1990 je bilo na ravni EU sprejetih pet uredb o pravicah potnikov pri različnih načinih prevoza. Uredba (ES) št. 261/2004 (v nadaljnjem besedilu: uredba o pravicah letalskih potnikov) na primer določa p</w:t>
      </w:r>
      <w:r w:rsidRPr="00F27C25">
        <w:rPr>
          <w:noProof/>
        </w:rPr>
        <w:t>ravice letalskih potnikov v zvezi z odpovedmi letov, zavrnitvijo vkrcanja ali zamudami. Navedena uredba dopolnjuje direktivo o paketnih potovanjih. Razmerje med obema pravnima aktoma je obravnavano v različnih določbah direktive o paketnih potovanjih in ur</w:t>
      </w:r>
      <w:r w:rsidRPr="00F27C25">
        <w:rPr>
          <w:noProof/>
        </w:rPr>
        <w:t xml:space="preserve">edbe o pravicah letalskih potnikov, da bi se dosegla skladnost med obema instrumentoma. </w:t>
      </w:r>
    </w:p>
    <w:p w14:paraId="6B139F5F" w14:textId="77777777" w:rsidR="00144AE5" w:rsidRPr="00F27C25" w:rsidRDefault="00144AE5" w:rsidP="00040787">
      <w:pPr>
        <w:pBdr>
          <w:top w:val="nil"/>
          <w:left w:val="nil"/>
          <w:bottom w:val="nil"/>
          <w:right w:val="nil"/>
          <w:between w:val="nil"/>
          <w:bar w:val="nil"/>
        </w:pBdr>
        <w:spacing w:before="0" w:after="240"/>
        <w:rPr>
          <w:rFonts w:eastAsia="Arial Unicode MS"/>
          <w:noProof/>
        </w:rPr>
      </w:pPr>
      <w:r w:rsidRPr="00F27C25">
        <w:rPr>
          <w:noProof/>
        </w:rPr>
        <w:t>Komisija pregleduje tudi regulativni okvir za pravice potnikov v okviru pobude „Potovanja – boljša zaščita potnikov in njihovih pravic“. Pregled uredbe o pravicah leta</w:t>
      </w:r>
      <w:r w:rsidRPr="00F27C25">
        <w:rPr>
          <w:noProof/>
        </w:rPr>
        <w:t>lskih potnikov zajema povrnitev stroškov za odpovedane lete, rezervirane prek posrednikov</w:t>
      </w:r>
      <w:r w:rsidRPr="00F27C25">
        <w:rPr>
          <w:rStyle w:val="FootnoteReference"/>
          <w:rFonts w:eastAsia="Arial Unicode MS"/>
          <w:noProof/>
        </w:rPr>
        <w:footnoteReference w:id="10"/>
      </w:r>
      <w:r w:rsidRPr="00F27C25">
        <w:rPr>
          <w:noProof/>
        </w:rPr>
        <w:t xml:space="preserve">. Poleg tega se načrtuje preučitev </w:t>
      </w:r>
      <w:r w:rsidRPr="00F27C25">
        <w:rPr>
          <w:noProof/>
          <w:color w:val="000000" w:themeColor="text1"/>
        </w:rPr>
        <w:t>varstva potnikov v primeru insolventnosti letalskih prevoznikov in večje krize v okviru Uredbe (ES) št. 1008/2008 (uredba o zračni</w:t>
      </w:r>
      <w:r w:rsidRPr="00F27C25">
        <w:rPr>
          <w:noProof/>
          <w:color w:val="000000" w:themeColor="text1"/>
        </w:rPr>
        <w:t>h prevozih)</w:t>
      </w:r>
      <w:r w:rsidRPr="00F27C25">
        <w:rPr>
          <w:rStyle w:val="FootnoteReference"/>
          <w:rFonts w:eastAsia="Times New Roman"/>
          <w:noProof/>
          <w:color w:val="000000" w:themeColor="text1"/>
          <w:szCs w:val="24"/>
        </w:rPr>
        <w:footnoteReference w:id="11"/>
      </w:r>
      <w:r w:rsidRPr="00F27C25">
        <w:rPr>
          <w:noProof/>
          <w:color w:val="000000" w:themeColor="text1"/>
        </w:rPr>
        <w:t>.</w:t>
      </w:r>
      <w:r w:rsidRPr="00F27C25">
        <w:rPr>
          <w:noProof/>
        </w:rPr>
        <w:t xml:space="preserve">   </w:t>
      </w:r>
    </w:p>
    <w:p w14:paraId="6AD601BC" w14:textId="77777777" w:rsidR="00144AE5" w:rsidRPr="00F27C25" w:rsidRDefault="00144AE5" w:rsidP="00040787">
      <w:pPr>
        <w:pBdr>
          <w:top w:val="nil"/>
          <w:left w:val="nil"/>
          <w:bottom w:val="nil"/>
          <w:right w:val="nil"/>
          <w:between w:val="nil"/>
          <w:bar w:val="nil"/>
        </w:pBdr>
        <w:spacing w:before="0" w:after="240"/>
        <w:rPr>
          <w:rFonts w:eastAsia="Arial Unicode MS"/>
          <w:noProof/>
        </w:rPr>
      </w:pPr>
      <w:r w:rsidRPr="00F27C25">
        <w:rPr>
          <w:noProof/>
        </w:rPr>
        <w:t xml:space="preserve">Namen revizije je dodatno izboljšati skladnost med direktivo o paketnih potovanjih in uredbo o pravicah letalskih potnikov, na primer z uvedbo pravil o dobropisih in pravil o povračilih med podjetji. Pri pravilih o </w:t>
      </w:r>
      <w:r w:rsidRPr="00F27C25">
        <w:rPr>
          <w:noProof/>
        </w:rPr>
        <w:t>predplačilih</w:t>
      </w:r>
      <w:r w:rsidRPr="00F27C25">
        <w:rPr>
          <w:rStyle w:val="FootnoteReference"/>
          <w:rFonts w:eastAsia="Arial Unicode MS"/>
          <w:noProof/>
        </w:rPr>
        <w:footnoteReference w:id="12"/>
      </w:r>
      <w:r w:rsidRPr="00F27C25">
        <w:rPr>
          <w:noProof/>
        </w:rPr>
        <w:t xml:space="preserve"> in varstvu v primeru insolventnosti, ki so del predlagane revizije, se upošteva trenutno stanje na področju pravic potnikov. </w:t>
      </w:r>
    </w:p>
    <w:p w14:paraId="2F0D7DD0" w14:textId="77777777" w:rsidR="00144AE5" w:rsidRPr="00F27C25" w:rsidRDefault="00144AE5" w:rsidP="00040787">
      <w:pPr>
        <w:pBdr>
          <w:top w:val="nil"/>
          <w:left w:val="nil"/>
          <w:bottom w:val="nil"/>
          <w:right w:val="nil"/>
          <w:between w:val="nil"/>
          <w:bar w:val="nil"/>
        </w:pBdr>
        <w:spacing w:before="0" w:after="240"/>
        <w:rPr>
          <w:rFonts w:eastAsia="Arial Unicode MS"/>
          <w:noProof/>
        </w:rPr>
      </w:pPr>
    </w:p>
    <w:p w14:paraId="33A0596C" w14:textId="77777777" w:rsidR="00144AE5" w:rsidRPr="00F27C25" w:rsidRDefault="00144AE5" w:rsidP="00040787">
      <w:pPr>
        <w:pStyle w:val="ManualHeading1"/>
        <w:rPr>
          <w:noProof/>
        </w:rPr>
      </w:pPr>
      <w:r w:rsidRPr="00F27C25">
        <w:rPr>
          <w:noProof/>
        </w:rPr>
        <w:t>2.</w:t>
      </w:r>
      <w:r w:rsidRPr="00F27C25">
        <w:rPr>
          <w:noProof/>
        </w:rPr>
        <w:tab/>
        <w:t>PRAVNA PODLAGA, SUBSIDIARNOST IN SORAZMERNOST</w:t>
      </w:r>
    </w:p>
    <w:p w14:paraId="29935B4E" w14:textId="77777777" w:rsidR="00144AE5" w:rsidRPr="00F27C25" w:rsidRDefault="00144AE5" w:rsidP="00040787">
      <w:pPr>
        <w:pStyle w:val="ManualHeading2"/>
        <w:rPr>
          <w:rFonts w:eastAsia="Arial Unicode MS"/>
          <w:noProof/>
          <w:u w:color="000000"/>
          <w:bdr w:val="nil"/>
        </w:rPr>
      </w:pPr>
      <w:r w:rsidRPr="00F27C25">
        <w:rPr>
          <w:noProof/>
          <w:u w:color="000000"/>
          <w:bdr w:val="nil"/>
        </w:rPr>
        <w:t>•</w:t>
      </w:r>
      <w:r w:rsidRPr="00F27C25">
        <w:rPr>
          <w:noProof/>
          <w:u w:color="000000"/>
          <w:bdr w:val="nil"/>
        </w:rPr>
        <w:tab/>
        <w:t>Pravna podlaga</w:t>
      </w:r>
    </w:p>
    <w:p w14:paraId="1522755D" w14:textId="77777777" w:rsidR="00144AE5" w:rsidRPr="00F27C25" w:rsidRDefault="00144AE5" w:rsidP="00040787">
      <w:pPr>
        <w:pBdr>
          <w:top w:val="nil"/>
          <w:left w:val="nil"/>
          <w:bottom w:val="nil"/>
          <w:right w:val="nil"/>
          <w:between w:val="nil"/>
          <w:bar w:val="nil"/>
        </w:pBdr>
        <w:spacing w:before="0" w:after="240"/>
        <w:rPr>
          <w:rFonts w:eastAsia="Arial Unicode MS"/>
          <w:noProof/>
        </w:rPr>
      </w:pPr>
      <w:r w:rsidRPr="00F27C25">
        <w:rPr>
          <w:noProof/>
        </w:rPr>
        <w:t>Pravna podlaga za ukrepanje EU je člen 114 Pogod</w:t>
      </w:r>
      <w:r w:rsidRPr="00F27C25">
        <w:rPr>
          <w:noProof/>
        </w:rPr>
        <w:t>be o delovanju EU (PDEU), ki določa, da „Evropski parlament in Svet […] sprejmeta ukrepe za približevanje določb […], katerih predmet je vzpostavitev in delovanje notranjega trga.“ Člen 114(3) podrobno določa, da ima „Komisija […] v svojih predlogih […], k</w:t>
      </w:r>
      <w:r w:rsidRPr="00F27C25">
        <w:rPr>
          <w:noProof/>
        </w:rPr>
        <w:t>i zadevajo […] varstvo potrošnikov, za izhodišče visoko raven varstva, pri čemer zlasti upošteva nova dognanja na podlagi znanstvenih dejstev.“ Poleg tega člen 169(1) in člen 169(2)(a) določata, da Unija prispeva k doseganju visoke ravni varstva potrošniko</w:t>
      </w:r>
      <w:r w:rsidRPr="00F27C25">
        <w:rPr>
          <w:noProof/>
        </w:rPr>
        <w:t xml:space="preserve">v s sprejetjem ukrepov na podlagi člena 114 PDEU. </w:t>
      </w:r>
    </w:p>
    <w:p w14:paraId="65FD22D6" w14:textId="77777777" w:rsidR="00144AE5" w:rsidRPr="00F27C25" w:rsidRDefault="00144AE5" w:rsidP="00040787">
      <w:pPr>
        <w:pBdr>
          <w:top w:val="nil"/>
          <w:left w:val="nil"/>
          <w:bottom w:val="nil"/>
          <w:right w:val="nil"/>
          <w:between w:val="nil"/>
          <w:bar w:val="nil"/>
        </w:pBdr>
        <w:spacing w:before="0" w:after="240"/>
        <w:rPr>
          <w:rFonts w:eastAsia="Arial Unicode MS"/>
          <w:noProof/>
        </w:rPr>
      </w:pPr>
      <w:r w:rsidRPr="00F27C25">
        <w:rPr>
          <w:noProof/>
        </w:rPr>
        <w:t>V skladu s členom 26(2) PDEU notranji trg zajema območje brez notranjih meja, na katerem velja prosti pretok blaga in storitev, podjetja pa imajo svobodo ustanavljanja. Uskladitev pravic in obveznosti v zv</w:t>
      </w:r>
      <w:r w:rsidRPr="00F27C25">
        <w:rPr>
          <w:noProof/>
        </w:rPr>
        <w:t>ezi s paketnimi potovanji je potrebna za razvoj pravega notranjega trga turizma ter bo pripomogla k ohranjanju in povečanju visoke ravni varstva potrošnikov.</w:t>
      </w:r>
    </w:p>
    <w:p w14:paraId="3B2E5278" w14:textId="77777777" w:rsidR="00144AE5" w:rsidRPr="00F27C25" w:rsidRDefault="00144AE5" w:rsidP="00040787">
      <w:pPr>
        <w:pStyle w:val="ManualHeading2"/>
        <w:rPr>
          <w:rFonts w:eastAsia="Arial Unicode MS"/>
          <w:noProof/>
          <w:u w:color="000000"/>
          <w:bdr w:val="nil"/>
        </w:rPr>
      </w:pPr>
      <w:r w:rsidRPr="00F27C25">
        <w:rPr>
          <w:noProof/>
          <w:u w:color="000000"/>
          <w:bdr w:val="nil"/>
        </w:rPr>
        <w:t>•</w:t>
      </w:r>
      <w:r w:rsidRPr="00F27C25">
        <w:rPr>
          <w:noProof/>
          <w:u w:color="000000"/>
          <w:bdr w:val="nil"/>
        </w:rPr>
        <w:tab/>
        <w:t xml:space="preserve">Subsidiarnost </w:t>
      </w:r>
    </w:p>
    <w:p w14:paraId="7B1EA08E" w14:textId="77777777" w:rsidR="00144AE5" w:rsidRPr="00F27C25" w:rsidRDefault="00144AE5" w:rsidP="00040787">
      <w:pPr>
        <w:pBdr>
          <w:top w:val="nil"/>
          <w:left w:val="nil"/>
          <w:bottom w:val="nil"/>
          <w:right w:val="nil"/>
          <w:between w:val="nil"/>
          <w:bar w:val="nil"/>
        </w:pBdr>
        <w:spacing w:before="0" w:after="240"/>
        <w:rPr>
          <w:rFonts w:eastAsia="Arial Unicode MS"/>
          <w:noProof/>
        </w:rPr>
      </w:pPr>
      <w:r w:rsidRPr="00F27C25">
        <w:rPr>
          <w:noProof/>
        </w:rPr>
        <w:t xml:space="preserve">Ta predlog je tako kot Direktiva (EU) 2015/2302 instrument popolne </w:t>
      </w:r>
      <w:r w:rsidRPr="00F27C25">
        <w:rPr>
          <w:noProof/>
        </w:rPr>
        <w:t>harmonizacije, saj je zadeve, ki jih ureja, mogoče ustrezno rešiti le na ravni EU.  Države članice ne morejo same zagotoviti, da vsi državljani EU uživajo pravice, ki jih zagotavlja Direktiva, tudi v primeru krize.</w:t>
      </w:r>
    </w:p>
    <w:p w14:paraId="6102550E" w14:textId="77777777" w:rsidR="00144AE5" w:rsidRPr="00F27C25" w:rsidRDefault="00144AE5" w:rsidP="00040787">
      <w:pPr>
        <w:pBdr>
          <w:top w:val="nil"/>
          <w:left w:val="nil"/>
          <w:bottom w:val="nil"/>
          <w:right w:val="nil"/>
          <w:between w:val="nil"/>
          <w:bar w:val="nil"/>
        </w:pBdr>
        <w:spacing w:before="0" w:after="240"/>
        <w:rPr>
          <w:rFonts w:eastAsia="Arial Unicode MS"/>
          <w:noProof/>
        </w:rPr>
      </w:pPr>
      <w:r w:rsidRPr="00F27C25">
        <w:rPr>
          <w:noProof/>
        </w:rPr>
        <w:t xml:space="preserve">Paketna potovanja so čezmejni sektor, ne </w:t>
      </w:r>
      <w:r w:rsidRPr="00F27C25">
        <w:rPr>
          <w:noProof/>
        </w:rPr>
        <w:t>le v smislu potnikov, ki potujejo v tujino, temveč tudi v smislu paketnih potovanj, ki jih potnikom prodajajo organizatorji s sedežem v drugih državah. Cilj revizije direktive o paketnih potovanjih je posodobiti sedanja pravila in obravnavati težave, ki so</w:t>
      </w:r>
      <w:r w:rsidRPr="00F27C25">
        <w:rPr>
          <w:noProof/>
        </w:rPr>
        <w:t xml:space="preserve"> bile izpostavljene v oceni. Glavna cilja direktive o paketnih potovanjih, in sicer zagotoviti, da za vse potnike v EU velja visoka in enotna raven zaščite, ter prispevati k pravilnemu delovanju notranjega trga, sta še vedno relevantna.</w:t>
      </w:r>
    </w:p>
    <w:p w14:paraId="3185E276" w14:textId="77777777" w:rsidR="00144AE5" w:rsidRPr="00F27C25" w:rsidRDefault="00144AE5" w:rsidP="00040787">
      <w:pPr>
        <w:pBdr>
          <w:top w:val="nil"/>
          <w:left w:val="nil"/>
          <w:bottom w:val="nil"/>
          <w:right w:val="nil"/>
          <w:between w:val="nil"/>
          <w:bar w:val="nil"/>
        </w:pBdr>
        <w:spacing w:before="0" w:after="240"/>
        <w:rPr>
          <w:rFonts w:eastAsia="Arial Unicode MS"/>
          <w:noProof/>
        </w:rPr>
      </w:pPr>
      <w:r w:rsidRPr="00F27C25">
        <w:rPr>
          <w:noProof/>
        </w:rPr>
        <w:t xml:space="preserve">Ukrepi na ravni EU </w:t>
      </w:r>
      <w:r w:rsidRPr="00F27C25">
        <w:rPr>
          <w:noProof/>
        </w:rPr>
        <w:t>za odpravo ugotovljenih težav in vrzeli ter pojasnitev in poenostavitev pravil Direktive bodo potnikom in trgovcem zagotovili večje zaupanje v nakup in prodajo turističnih paketov, tudi čezmejno, ter izboljšali delovanje notranjega trga. Z določitvijo prav</w:t>
      </w:r>
      <w:r w:rsidRPr="00F27C25">
        <w:rPr>
          <w:noProof/>
        </w:rPr>
        <w:t>il o dobropisih, skupnih pravil o pologih in dodatnih podrobnosti o varstvu v primeru insolventnosti bo na primer zagotovljena večja enotnost pri uporabi Direktive. Če bi države članice ta vprašanja reševale neusklajeno, bi to povečalo razdrobljenost notra</w:t>
      </w:r>
      <w:r w:rsidRPr="00F27C25">
        <w:rPr>
          <w:noProof/>
        </w:rPr>
        <w:t>njega trga.</w:t>
      </w:r>
    </w:p>
    <w:p w14:paraId="784DA3AD" w14:textId="77777777" w:rsidR="00144AE5" w:rsidRPr="00F27C25" w:rsidRDefault="00144AE5" w:rsidP="00040787">
      <w:pPr>
        <w:pStyle w:val="ManualHeading2"/>
        <w:rPr>
          <w:rFonts w:eastAsia="Arial Unicode MS"/>
          <w:noProof/>
          <w:u w:color="000000"/>
          <w:bdr w:val="nil"/>
        </w:rPr>
      </w:pPr>
      <w:r w:rsidRPr="00F27C25">
        <w:rPr>
          <w:noProof/>
          <w:u w:color="000000"/>
          <w:bdr w:val="nil"/>
        </w:rPr>
        <w:t>•</w:t>
      </w:r>
      <w:r w:rsidRPr="00F27C25">
        <w:rPr>
          <w:noProof/>
          <w:u w:color="000000"/>
          <w:bdr w:val="nil"/>
        </w:rPr>
        <w:tab/>
        <w:t>Sorazmernost</w:t>
      </w:r>
    </w:p>
    <w:p w14:paraId="558D29BE" w14:textId="77777777" w:rsidR="00144AE5" w:rsidRPr="00F27C25" w:rsidRDefault="00144AE5" w:rsidP="00040787">
      <w:pPr>
        <w:pBdr>
          <w:top w:val="nil"/>
          <w:left w:val="nil"/>
          <w:bottom w:val="nil"/>
          <w:right w:val="nil"/>
          <w:between w:val="nil"/>
          <w:bar w:val="nil"/>
        </w:pBdr>
        <w:spacing w:before="0" w:after="240"/>
        <w:rPr>
          <w:rFonts w:eastAsia="Arial Unicode MS"/>
          <w:noProof/>
        </w:rPr>
      </w:pPr>
      <w:r w:rsidRPr="00F27C25">
        <w:rPr>
          <w:noProof/>
        </w:rPr>
        <w:t xml:space="preserve">Predlagana revizija direktive o paketnih potovanjih je uravnotežena in skladna z načelom sorazmernosti iz člena 5(3) PDEU. Kot je pojasnjeno v oddelku 3.3 poročila o oceni učinka, ne presega tistega, kar je potrebno za doseganje </w:t>
      </w:r>
      <w:r w:rsidRPr="00F27C25">
        <w:rPr>
          <w:noProof/>
        </w:rPr>
        <w:t xml:space="preserve">ciljev, saj je revizija omejena na vidike prava s področja potovanja, za katere je potrebno ukrepanje EU. </w:t>
      </w:r>
    </w:p>
    <w:p w14:paraId="23874EA5" w14:textId="77777777" w:rsidR="00144AE5" w:rsidRPr="00F27C25" w:rsidRDefault="00144AE5" w:rsidP="00040787">
      <w:pPr>
        <w:pBdr>
          <w:top w:val="nil"/>
          <w:left w:val="nil"/>
          <w:bottom w:val="nil"/>
          <w:right w:val="nil"/>
          <w:between w:val="nil"/>
          <w:bar w:val="nil"/>
        </w:pBdr>
        <w:spacing w:before="0" w:after="240"/>
        <w:rPr>
          <w:rFonts w:eastAsia="Arial Unicode MS"/>
          <w:noProof/>
        </w:rPr>
      </w:pPr>
      <w:r w:rsidRPr="00F27C25">
        <w:rPr>
          <w:noProof/>
        </w:rPr>
        <w:t>Kot je opisano v oddelku 5.3 poročila o oceni učinka, so bile tri možnosti politike ocenjene tudi v smislu pričakovane sorazmernosti ukrepov pri reše</w:t>
      </w:r>
      <w:r w:rsidRPr="00F27C25">
        <w:rPr>
          <w:noProof/>
        </w:rPr>
        <w:t xml:space="preserve">vanju ugotovljenih težav.  </w:t>
      </w:r>
    </w:p>
    <w:p w14:paraId="18E0C3A5" w14:textId="77777777" w:rsidR="00144AE5" w:rsidRPr="00F27C25" w:rsidRDefault="00144AE5" w:rsidP="00040787">
      <w:pPr>
        <w:pBdr>
          <w:top w:val="nil"/>
          <w:left w:val="nil"/>
          <w:bottom w:val="nil"/>
          <w:right w:val="nil"/>
          <w:between w:val="nil"/>
          <w:bar w:val="nil"/>
        </w:pBdr>
        <w:spacing w:before="0" w:after="240"/>
        <w:rPr>
          <w:rFonts w:eastAsia="Arial Unicode MS"/>
          <w:noProof/>
        </w:rPr>
      </w:pPr>
      <w:r w:rsidRPr="00F27C25">
        <w:rPr>
          <w:noProof/>
        </w:rPr>
        <w:t xml:space="preserve">Predlagana revizija direktive o paketnih potovanjih temelji na možnosti iz ocene učinka, ki vsebuje </w:t>
      </w:r>
      <w:r w:rsidRPr="00F27C25">
        <w:rPr>
          <w:noProof/>
          <w:color w:val="000000" w:themeColor="text1"/>
        </w:rPr>
        <w:t>manj</w:t>
      </w:r>
      <w:r w:rsidRPr="00F27C25">
        <w:rPr>
          <w:noProof/>
        </w:rPr>
        <w:t xml:space="preserve"> intervencionistične ukrepe od tistih iz drugih možnosti in ki so </w:t>
      </w:r>
      <w:r w:rsidRPr="00F27C25">
        <w:rPr>
          <w:noProof/>
          <w:color w:val="000000" w:themeColor="text1"/>
        </w:rPr>
        <w:t>sorazmerni z vidika pripravljenosti na krize in izven kriz</w:t>
      </w:r>
      <w:r w:rsidRPr="00F27C25">
        <w:rPr>
          <w:noProof/>
          <w:color w:val="000000" w:themeColor="text1"/>
        </w:rPr>
        <w:t>nih razmer (oddelek 6.1</w:t>
      </w:r>
      <w:r w:rsidRPr="00F27C25">
        <w:rPr>
          <w:noProof/>
        </w:rPr>
        <w:t xml:space="preserve"> poročila o oceni učinka</w:t>
      </w:r>
      <w:r w:rsidRPr="00F27C25">
        <w:rPr>
          <w:noProof/>
          <w:color w:val="000000" w:themeColor="text1"/>
        </w:rPr>
        <w:t>).</w:t>
      </w:r>
      <w:r w:rsidRPr="00F27C25">
        <w:rPr>
          <w:noProof/>
        </w:rPr>
        <w:t xml:space="preserve"> Ta pobuda zato ohranja ravnovesje med ciljem, sredstvi in posledicami ukrepa ter je zato sorazmerna (oddelek 7.4 poročila o oceni učinka). Nove določbe so prilagojene potrebam, ki jih obravnavajo, in so cil</w:t>
      </w:r>
      <w:r w:rsidRPr="00F27C25">
        <w:rPr>
          <w:noProof/>
        </w:rPr>
        <w:t>jno usmerjene ter skrbno prilagojene glede na obseg in intenzivnost.</w:t>
      </w:r>
    </w:p>
    <w:p w14:paraId="01BE5129" w14:textId="77777777" w:rsidR="00144AE5" w:rsidRPr="00F27C25" w:rsidRDefault="00144AE5" w:rsidP="00040787">
      <w:pPr>
        <w:pStyle w:val="ManualHeading2"/>
        <w:rPr>
          <w:rFonts w:eastAsia="Arial Unicode MS"/>
          <w:noProof/>
          <w:u w:color="000000"/>
          <w:bdr w:val="nil"/>
        </w:rPr>
      </w:pPr>
      <w:r w:rsidRPr="00F27C25">
        <w:rPr>
          <w:noProof/>
          <w:u w:color="000000"/>
          <w:bdr w:val="nil"/>
        </w:rPr>
        <w:t>•</w:t>
      </w:r>
      <w:r w:rsidRPr="00F27C25">
        <w:rPr>
          <w:noProof/>
          <w:u w:color="000000"/>
          <w:bdr w:val="nil"/>
        </w:rPr>
        <w:tab/>
        <w:t>Izbira instrumenta</w:t>
      </w:r>
    </w:p>
    <w:p w14:paraId="7D3C388E" w14:textId="77777777" w:rsidR="00144AE5" w:rsidRPr="00F27C25" w:rsidRDefault="00144AE5" w:rsidP="00040787">
      <w:pPr>
        <w:pBdr>
          <w:top w:val="nil"/>
          <w:left w:val="nil"/>
          <w:bottom w:val="nil"/>
          <w:right w:val="nil"/>
          <w:between w:val="nil"/>
          <w:bar w:val="nil"/>
        </w:pBdr>
        <w:spacing w:before="0" w:after="240"/>
        <w:rPr>
          <w:rFonts w:eastAsia="Arial Unicode MS"/>
          <w:noProof/>
        </w:rPr>
      </w:pPr>
      <w:r w:rsidRPr="00F27C25">
        <w:rPr>
          <w:noProof/>
        </w:rPr>
        <w:t>V poročilu o oceni učinka je ugotovljeno, da nezakonodajni ukrepi, kot so priporočila ali smernice, ne morejo doseči ciljev pobude (oddelek 5.2.1 poročila o oceni uči</w:t>
      </w:r>
      <w:r w:rsidRPr="00F27C25">
        <w:rPr>
          <w:noProof/>
        </w:rPr>
        <w:t>nka).</w:t>
      </w:r>
    </w:p>
    <w:p w14:paraId="0A52954E" w14:textId="77777777" w:rsidR="00144AE5" w:rsidRPr="00F27C25" w:rsidRDefault="00144AE5" w:rsidP="00040787">
      <w:pPr>
        <w:pBdr>
          <w:top w:val="nil"/>
          <w:left w:val="nil"/>
          <w:bottom w:val="nil"/>
          <w:right w:val="nil"/>
          <w:between w:val="nil"/>
          <w:bar w:val="nil"/>
        </w:pBdr>
        <w:spacing w:before="0" w:after="240"/>
        <w:rPr>
          <w:rFonts w:eastAsia="Arial Unicode MS"/>
          <w:noProof/>
        </w:rPr>
      </w:pPr>
      <w:r w:rsidRPr="00F27C25">
        <w:rPr>
          <w:noProof/>
        </w:rPr>
        <w:t xml:space="preserve">Direktiva bi določila skladen sklop pravic in obveznosti, državam članicam pa omogočila, da ta pravila vključijo v svoje nacionalno pogodbeno pravo. Prav tako bi državam članicam omogočila, da se odločijo o najboljšem načinu izvrševanja Direktive in </w:t>
      </w:r>
      <w:r w:rsidRPr="00F27C25">
        <w:rPr>
          <w:noProof/>
        </w:rPr>
        <w:t>sankcijah za kršitev njenih pravil. Ta predlog bo le spremenil obstoječi pravni instrument.</w:t>
      </w:r>
    </w:p>
    <w:p w14:paraId="1D36832A" w14:textId="77777777" w:rsidR="00144AE5" w:rsidRPr="00F27C25" w:rsidRDefault="00144AE5" w:rsidP="00040787">
      <w:pPr>
        <w:pBdr>
          <w:top w:val="nil"/>
          <w:left w:val="nil"/>
          <w:bottom w:val="nil"/>
          <w:right w:val="nil"/>
          <w:between w:val="nil"/>
          <w:bar w:val="nil"/>
        </w:pBdr>
        <w:spacing w:before="0" w:after="240"/>
        <w:rPr>
          <w:rFonts w:eastAsia="Arial Unicode MS"/>
          <w:noProof/>
        </w:rPr>
      </w:pPr>
    </w:p>
    <w:p w14:paraId="4F52B414" w14:textId="77777777" w:rsidR="00144AE5" w:rsidRPr="00F27C25" w:rsidRDefault="00144AE5" w:rsidP="00040787">
      <w:pPr>
        <w:pStyle w:val="ManualHeading1"/>
        <w:rPr>
          <w:noProof/>
        </w:rPr>
      </w:pPr>
      <w:r w:rsidRPr="00F27C25">
        <w:rPr>
          <w:noProof/>
        </w:rPr>
        <w:t>3.</w:t>
      </w:r>
      <w:r w:rsidRPr="00F27C25">
        <w:rPr>
          <w:noProof/>
        </w:rPr>
        <w:tab/>
        <w:t>REZULTATI NAKNADNIH OCEN, POSVETOVANJ Z DELEŽNIKI IN OCEN UČINKA</w:t>
      </w:r>
    </w:p>
    <w:p w14:paraId="32D34A98" w14:textId="77777777" w:rsidR="00144AE5" w:rsidRPr="00F27C25" w:rsidRDefault="00144AE5" w:rsidP="00040787">
      <w:pPr>
        <w:pStyle w:val="ManualHeading2"/>
        <w:rPr>
          <w:rFonts w:eastAsia="Arial Unicode MS"/>
          <w:noProof/>
          <w:u w:color="000000"/>
          <w:bdr w:val="nil"/>
        </w:rPr>
      </w:pPr>
      <w:r w:rsidRPr="00F27C25">
        <w:rPr>
          <w:noProof/>
          <w:u w:color="000000"/>
          <w:bdr w:val="nil"/>
        </w:rPr>
        <w:t>•</w:t>
      </w:r>
      <w:r w:rsidRPr="00F27C25">
        <w:rPr>
          <w:noProof/>
          <w:u w:color="000000"/>
          <w:bdr w:val="nil"/>
        </w:rPr>
        <w:tab/>
        <w:t>Naknadne ocene/preverjanja primernosti obstoječe zakonodaje</w:t>
      </w:r>
    </w:p>
    <w:p w14:paraId="6EE16F33" w14:textId="77777777" w:rsidR="00144AE5" w:rsidRPr="00F27C25" w:rsidRDefault="00144AE5" w:rsidP="00040787">
      <w:pPr>
        <w:rPr>
          <w:noProof/>
          <w:color w:val="333333"/>
          <w:sz w:val="27"/>
          <w:szCs w:val="27"/>
        </w:rPr>
      </w:pPr>
      <w:r w:rsidRPr="00F27C25">
        <w:rPr>
          <w:noProof/>
        </w:rPr>
        <w:t xml:space="preserve">Komisija je leta 2019 </w:t>
      </w:r>
      <w:r w:rsidRPr="00F27C25">
        <w:rPr>
          <w:noProof/>
        </w:rPr>
        <w:t>izdala prvo poročilo o določbah direktive o paketnih potovanjih, ki se uporabljajo za spletne rezervacije na različnih prodajnih točkah</w:t>
      </w:r>
      <w:r w:rsidRPr="00F27C25">
        <w:rPr>
          <w:rStyle w:val="FootnoteReference"/>
          <w:noProof/>
          <w:szCs w:val="24"/>
        </w:rPr>
        <w:footnoteReference w:id="13"/>
      </w:r>
      <w:r w:rsidRPr="00F27C25">
        <w:rPr>
          <w:noProof/>
        </w:rPr>
        <w:t>. Poročilo je opozorilo na izzive, zlasti v zvezi s povezanimi potovalnimi aranžmaji</w:t>
      </w:r>
      <w:r w:rsidRPr="00F27C25">
        <w:rPr>
          <w:noProof/>
          <w:color w:val="333333"/>
        </w:rPr>
        <w:t>, kot sta</w:t>
      </w:r>
      <w:r w:rsidRPr="00F27C25">
        <w:rPr>
          <w:noProof/>
        </w:rPr>
        <w:t xml:space="preserve"> nejasnost pojma in težave</w:t>
      </w:r>
      <w:r w:rsidRPr="00F27C25">
        <w:rPr>
          <w:noProof/>
        </w:rPr>
        <w:t xml:space="preserve"> pri razlikovanju med turističnimi paketi in povezanimi potovalnimi aranžmaji.</w:t>
      </w:r>
      <w:r w:rsidRPr="00F27C25">
        <w:rPr>
          <w:noProof/>
          <w:color w:val="333333"/>
          <w:sz w:val="27"/>
        </w:rPr>
        <w:t xml:space="preserve"> </w:t>
      </w:r>
    </w:p>
    <w:p w14:paraId="5973EA64" w14:textId="77777777" w:rsidR="00144AE5" w:rsidRPr="00F27C25" w:rsidRDefault="00144AE5" w:rsidP="00040787">
      <w:pPr>
        <w:rPr>
          <w:noProof/>
        </w:rPr>
      </w:pPr>
      <w:r w:rsidRPr="00F27C25">
        <w:rPr>
          <w:noProof/>
        </w:rPr>
        <w:t>Leta 2021 je Komisija izdala izčrpno poročilo o uporabi direktive o paketnih potovanjih, kot je določeno v členu 26 Direktive</w:t>
      </w:r>
      <w:r w:rsidRPr="00F27C25">
        <w:rPr>
          <w:rStyle w:val="FootnoteReference"/>
          <w:noProof/>
        </w:rPr>
        <w:footnoteReference w:id="14"/>
      </w:r>
      <w:r w:rsidRPr="00F27C25">
        <w:rPr>
          <w:noProof/>
        </w:rPr>
        <w:t>. Poročilo je razkrilo nekatere izzive pri uporab</w:t>
      </w:r>
      <w:r w:rsidRPr="00F27C25">
        <w:rPr>
          <w:noProof/>
        </w:rPr>
        <w:t>i Direktive v običajnih razmerah in v obdobju krize, zlasti pri povračilih v obdobju večje krize, kakršna je bila pandemija COVID-19.</w:t>
      </w:r>
    </w:p>
    <w:p w14:paraId="4EF3E9B3" w14:textId="77777777" w:rsidR="00144AE5" w:rsidRPr="00F27C25" w:rsidRDefault="00144AE5" w:rsidP="00040787">
      <w:pPr>
        <w:rPr>
          <w:rFonts w:eastAsia="Calibri"/>
          <w:noProof/>
          <w:szCs w:val="24"/>
        </w:rPr>
      </w:pPr>
      <w:r w:rsidRPr="00F27C25">
        <w:rPr>
          <w:noProof/>
        </w:rPr>
        <w:t>Kot je bilo napovedano v Novi agendi za potrošnike iz novembra 2020, je Komisija oceno izvedla vzporedno z oceno učinka di</w:t>
      </w:r>
      <w:r w:rsidRPr="00F27C25">
        <w:rPr>
          <w:noProof/>
        </w:rPr>
        <w:t>rektive o paketnih potovanjih</w:t>
      </w:r>
      <w:r w:rsidRPr="00F27C25">
        <w:rPr>
          <w:rStyle w:val="FootnoteReference"/>
          <w:rFonts w:eastAsia="Calibri"/>
          <w:noProof/>
          <w:szCs w:val="24"/>
        </w:rPr>
        <w:footnoteReference w:id="15"/>
      </w:r>
      <w:r w:rsidRPr="00F27C25">
        <w:rPr>
          <w:noProof/>
        </w:rPr>
        <w:t>.</w:t>
      </w:r>
    </w:p>
    <w:p w14:paraId="7E595D07" w14:textId="77777777" w:rsidR="00144AE5" w:rsidRPr="00F27C25" w:rsidRDefault="00144AE5" w:rsidP="00040787">
      <w:pPr>
        <w:rPr>
          <w:noProof/>
          <w:szCs w:val="24"/>
        </w:rPr>
      </w:pPr>
      <w:r w:rsidRPr="00F27C25">
        <w:rPr>
          <w:noProof/>
        </w:rPr>
        <w:t>V oceni je bilo ugotovljeno, da ima Direktiva še vedno dodano vrednost EU. Ugotovljeno je bilo tudi, da so njeni cilji skladni s pričakovanimi potrebami potnikov in organizatorjev paketnih potovanj oziroma turističnih agent</w:t>
      </w:r>
      <w:r w:rsidRPr="00F27C25">
        <w:rPr>
          <w:noProof/>
        </w:rPr>
        <w:t xml:space="preserve">ov ob sprejetju Direktive in da so še vedno relevantni. Vendar so razvoj na trgu (večinoma zaradi vse večje digitalizacije in sprememb poslovnih praks), praktične izkušnje pri uporabi Direktive in težave, ki jih je povzročila pandemija COVID-19, razkrili, </w:t>
      </w:r>
      <w:r w:rsidRPr="00F27C25">
        <w:rPr>
          <w:noProof/>
        </w:rPr>
        <w:t>da Direktiva ne izpolnjuje v celoti nekaterih potreb potrošnikov (varstvo in povračila predplačil, zapletenost nekaterih pravil, predstavitev informacij). Ugotovljeno je bilo, da so potrebni nadaljnji ukrepi. Zato je bilo v oceni ugotovljeno, da je direkti</w:t>
      </w:r>
      <w:r w:rsidRPr="00F27C25">
        <w:rPr>
          <w:noProof/>
        </w:rPr>
        <w:t>va o paketnih potovanjih le delno učinkovito prispevala k pravilnemu delovanju notranjega trga ter doseganju visoke in čim bolj enotne ravni varstva potrošnikov.</w:t>
      </w:r>
    </w:p>
    <w:p w14:paraId="4552D00D" w14:textId="77777777" w:rsidR="00144AE5" w:rsidRPr="00F27C25" w:rsidRDefault="00144AE5" w:rsidP="00040787">
      <w:pPr>
        <w:rPr>
          <w:noProof/>
          <w:color w:val="000000" w:themeColor="text1"/>
          <w:szCs w:val="24"/>
        </w:rPr>
      </w:pPr>
      <w:r w:rsidRPr="00F27C25">
        <w:rPr>
          <w:noProof/>
          <w:color w:val="000000" w:themeColor="text1"/>
        </w:rPr>
        <w:t xml:space="preserve">Izzivi, opredeljeni v oceni, se nanašajo na tri glavne težave. </w:t>
      </w:r>
    </w:p>
    <w:p w14:paraId="15045BF7" w14:textId="77777777" w:rsidR="00144AE5" w:rsidRPr="00F27C25" w:rsidRDefault="00144AE5" w:rsidP="00040787">
      <w:pPr>
        <w:rPr>
          <w:noProof/>
          <w:szCs w:val="24"/>
        </w:rPr>
      </w:pPr>
      <w:r w:rsidRPr="00F27C25">
        <w:rPr>
          <w:noProof/>
          <w:color w:val="000000" w:themeColor="text1"/>
        </w:rPr>
        <w:t xml:space="preserve">Prva težava so izzivi pri </w:t>
      </w:r>
      <w:r w:rsidRPr="00F27C25">
        <w:rPr>
          <w:i/>
          <w:noProof/>
          <w:color w:val="000000" w:themeColor="text1"/>
        </w:rPr>
        <w:t>povračilih za odpovedane potovalne pakete</w:t>
      </w:r>
      <w:r w:rsidRPr="00F27C25">
        <w:rPr>
          <w:noProof/>
          <w:color w:val="000000" w:themeColor="text1"/>
        </w:rPr>
        <w:t xml:space="preserve">, zlasti v obdobju večje krize. </w:t>
      </w:r>
      <w:r w:rsidRPr="00F27C25">
        <w:rPr>
          <w:noProof/>
        </w:rPr>
        <w:t>Glavni dejavniki so praksa predplačil, pomanjkanje likvidnosti organizatorjev v primeru števi</w:t>
      </w:r>
      <w:r w:rsidRPr="00F27C25">
        <w:rPr>
          <w:noProof/>
        </w:rPr>
        <w:t>lnih sočasnih zahtevkov za povračilo in pravna negotovost v zvezi z uporabo dobropisov. Ker organizatorji pologe, ki jih prejmejo od potnikov, uporabijo za vnaprejšnje plačilo nekaterih storitev, vključenih v turistični paket, so odvisni od povračil ponudn</w:t>
      </w:r>
      <w:r w:rsidRPr="00F27C25">
        <w:rPr>
          <w:noProof/>
        </w:rPr>
        <w:t xml:space="preserve">ikov storitev, da lahko potnikom povrnejo stroške v primeru odpovedi turističnega paketa. </w:t>
      </w:r>
    </w:p>
    <w:p w14:paraId="6348D304" w14:textId="77777777" w:rsidR="00144AE5" w:rsidRPr="00F27C25" w:rsidRDefault="00144AE5" w:rsidP="00040787">
      <w:pPr>
        <w:rPr>
          <w:noProof/>
          <w:szCs w:val="24"/>
        </w:rPr>
      </w:pPr>
      <w:r w:rsidRPr="00F27C25">
        <w:rPr>
          <w:noProof/>
        </w:rPr>
        <w:t>Med pandemijo številni organizatorji niso prejeli (hitrega) povračila od ponudnikov storitev (npr. letalskih prevoznikov in hotelov), zato potnikom niso mogli povrniti stroškov v obveznem 14-dnevnem obdobju. Direktiva o paketnih potovanjih ne vsebuje pravi</w:t>
      </w:r>
      <w:r w:rsidRPr="00F27C25">
        <w:rPr>
          <w:noProof/>
        </w:rPr>
        <w:t xml:space="preserve">l o povračilih med podjetji v primeru odpovedi. Prav tako ne vsebuje pravil, ki bi urejala uporabo dobropisov. Dejansko so organizatorji med pandemijo potnikom namesto povračila za odpovedane turistične pakete pogosto vsilili dobropise, pravice potnikov v </w:t>
      </w:r>
      <w:r w:rsidRPr="00F27C25">
        <w:rPr>
          <w:noProof/>
        </w:rPr>
        <w:t xml:space="preserve">zvezi z dobropisi pa so bile nejasne. Več držav članic je celo sprejelo začasna pravila, ki so organizatorjem omogočala, da izdajo dobropise brez soglasja potnikov, ali pa so začasno ukinile pravico do povračila na podlagi direktive o paketnih potovanjih, </w:t>
      </w:r>
      <w:r w:rsidRPr="00F27C25">
        <w:rPr>
          <w:noProof/>
        </w:rPr>
        <w:t>kar je bil razlog za začetek postopkov za ugotavljanje kršitev. Komisija je maja 2020 sprejela priporočilo o prostovoljnih dobropisih, izdanih med pandemijo</w:t>
      </w:r>
      <w:r w:rsidRPr="00F27C25">
        <w:rPr>
          <w:rStyle w:val="FootnoteReference"/>
          <w:noProof/>
          <w:szCs w:val="24"/>
        </w:rPr>
        <w:footnoteReference w:id="16"/>
      </w:r>
      <w:r w:rsidRPr="00F27C25">
        <w:rPr>
          <w:noProof/>
        </w:rPr>
        <w:t xml:space="preserve">. Države članice so priporočilo uporabljale v različnem obsegu.  </w:t>
      </w:r>
    </w:p>
    <w:p w14:paraId="7BD43ACF" w14:textId="77777777" w:rsidR="00144AE5" w:rsidRPr="00F27C25" w:rsidRDefault="00144AE5" w:rsidP="00040787">
      <w:pPr>
        <w:rPr>
          <w:noProof/>
          <w:color w:val="000000" w:themeColor="text1"/>
          <w:szCs w:val="24"/>
        </w:rPr>
      </w:pPr>
      <w:r w:rsidRPr="00F27C25">
        <w:rPr>
          <w:noProof/>
          <w:color w:val="000000" w:themeColor="text1"/>
        </w:rPr>
        <w:t>Druga težava je, da predplačila,</w:t>
      </w:r>
      <w:r w:rsidRPr="00F27C25">
        <w:rPr>
          <w:noProof/>
          <w:color w:val="000000" w:themeColor="text1"/>
        </w:rPr>
        <w:t xml:space="preserve"> ki jih plačajo potniki, niso dovolj zaščitena pred </w:t>
      </w:r>
      <w:r w:rsidRPr="00F27C25">
        <w:rPr>
          <w:i/>
          <w:noProof/>
          <w:color w:val="000000" w:themeColor="text1"/>
        </w:rPr>
        <w:t>insolventnostjo</w:t>
      </w:r>
      <w:r w:rsidRPr="00F27C25">
        <w:rPr>
          <w:noProof/>
          <w:color w:val="000000" w:themeColor="text1"/>
        </w:rPr>
        <w:t xml:space="preserve"> organizatorja. Varstvo v primeru insolventnosti za dobropise in pravice do povračila, ki izhajajo iz odpovedi, se med državami članicami razlikujejo</w:t>
      </w:r>
      <w:r w:rsidRPr="00F27C25">
        <w:rPr>
          <w:rStyle w:val="FootnoteReference"/>
          <w:noProof/>
          <w:color w:val="000000" w:themeColor="text1"/>
          <w:szCs w:val="24"/>
        </w:rPr>
        <w:footnoteReference w:id="17"/>
      </w:r>
      <w:r w:rsidRPr="00F27C25">
        <w:rPr>
          <w:noProof/>
          <w:color w:val="000000" w:themeColor="text1"/>
        </w:rPr>
        <w:t>. Obstajajo tudi velike razlike med na</w:t>
      </w:r>
      <w:r w:rsidRPr="00F27C25">
        <w:rPr>
          <w:noProof/>
          <w:color w:val="000000" w:themeColor="text1"/>
        </w:rPr>
        <w:t>cionalnimi sistemi varstva v primeru insolventnosti</w:t>
      </w:r>
      <w:r w:rsidRPr="00F27C25">
        <w:rPr>
          <w:rStyle w:val="FootnoteReference"/>
          <w:noProof/>
          <w:color w:val="000000" w:themeColor="text1"/>
          <w:szCs w:val="24"/>
        </w:rPr>
        <w:footnoteReference w:id="18"/>
      </w:r>
      <w:r w:rsidRPr="00F27C25">
        <w:rPr>
          <w:noProof/>
          <w:color w:val="000000" w:themeColor="text1"/>
        </w:rPr>
        <w:t>. V nekaterih državah članicah organizatorji turističnih paketov težko pridobijo varstvo v primeru insolventnosti ali pa so lahko zavarovalne rešitve drage, zlasti v obdobju krize</w:t>
      </w:r>
      <w:r w:rsidRPr="00F27C25">
        <w:rPr>
          <w:rStyle w:val="FootnoteReference"/>
          <w:noProof/>
          <w:color w:val="000000" w:themeColor="text1"/>
          <w:szCs w:val="24"/>
        </w:rPr>
        <w:footnoteReference w:id="19"/>
      </w:r>
      <w:r w:rsidRPr="00F27C25">
        <w:rPr>
          <w:noProof/>
          <w:color w:val="000000" w:themeColor="text1"/>
          <w:vertAlign w:val="superscript"/>
        </w:rPr>
        <w:t>,</w:t>
      </w:r>
      <w:r w:rsidRPr="00F27C25">
        <w:rPr>
          <w:rStyle w:val="FootnoteReference"/>
          <w:noProof/>
          <w:color w:val="000000" w:themeColor="text1"/>
          <w:szCs w:val="24"/>
        </w:rPr>
        <w:footnoteReference w:id="20"/>
      </w:r>
      <w:r w:rsidRPr="00F27C25">
        <w:rPr>
          <w:noProof/>
          <w:color w:val="000000" w:themeColor="text1"/>
        </w:rPr>
        <w:t xml:space="preserve">. </w:t>
      </w:r>
    </w:p>
    <w:p w14:paraId="17E108CB" w14:textId="77777777" w:rsidR="00144AE5" w:rsidRPr="00F27C25" w:rsidRDefault="00144AE5" w:rsidP="00040787">
      <w:pPr>
        <w:rPr>
          <w:noProof/>
          <w:color w:val="000000" w:themeColor="text1"/>
          <w:szCs w:val="24"/>
        </w:rPr>
      </w:pPr>
      <w:r w:rsidRPr="00F27C25">
        <w:rPr>
          <w:noProof/>
          <w:color w:val="000000" w:themeColor="text1"/>
        </w:rPr>
        <w:t>Tretja težava se</w:t>
      </w:r>
      <w:r w:rsidRPr="00F27C25">
        <w:rPr>
          <w:noProof/>
          <w:color w:val="000000" w:themeColor="text1"/>
        </w:rPr>
        <w:t xml:space="preserve"> nanaša na </w:t>
      </w:r>
      <w:r w:rsidRPr="00F27C25">
        <w:rPr>
          <w:i/>
          <w:noProof/>
          <w:color w:val="000000" w:themeColor="text1"/>
        </w:rPr>
        <w:t>težave pri izvajanju direktive o paketnih potovanjih</w:t>
      </w:r>
      <w:r w:rsidRPr="00F27C25">
        <w:rPr>
          <w:noProof/>
          <w:color w:val="000000" w:themeColor="text1"/>
        </w:rPr>
        <w:t xml:space="preserve">. </w:t>
      </w:r>
      <w:r w:rsidRPr="00F27C25">
        <w:rPr>
          <w:noProof/>
        </w:rPr>
        <w:t xml:space="preserve">Nekatere določbe niso dovolj jasne, vsebujejo vrzeli ali so prezapletene, </w:t>
      </w:r>
      <w:r w:rsidRPr="00F27C25">
        <w:rPr>
          <w:noProof/>
          <w:color w:val="000000" w:themeColor="text1"/>
        </w:rPr>
        <w:t>s čimer prispevajo k različnim ravnem varstva potrošnikov v praksi in izkrivljanju konkurence.</w:t>
      </w:r>
      <w:r w:rsidRPr="00F27C25">
        <w:rPr>
          <w:noProof/>
        </w:rPr>
        <w:t xml:space="preserve"> To na primer velja za </w:t>
      </w:r>
      <w:r w:rsidRPr="00F27C25">
        <w:rPr>
          <w:noProof/>
        </w:rPr>
        <w:t>pojem „turistični paketi s povezanimi postopki spletne rezervacije“</w:t>
      </w:r>
      <w:r w:rsidRPr="00F27C25">
        <w:rPr>
          <w:rStyle w:val="FootnoteReference"/>
          <w:rFonts w:eastAsia="Calibri"/>
          <w:noProof/>
          <w:szCs w:val="24"/>
        </w:rPr>
        <w:footnoteReference w:id="21"/>
      </w:r>
      <w:r w:rsidRPr="00F27C25">
        <w:rPr>
          <w:noProof/>
        </w:rPr>
        <w:t xml:space="preserve"> in določbe o povezanih potovalnih aranžmajih, kritje zahtevkov za povračilo in dobropisov z varstvom v primeru </w:t>
      </w:r>
      <w:r w:rsidRPr="00F27C25">
        <w:rPr>
          <w:noProof/>
          <w:color w:val="000000" w:themeColor="text1"/>
        </w:rPr>
        <w:t>insolventnosti ter pravila o odpovedi v primeru neizogibnih in izrednih oko</w:t>
      </w:r>
      <w:r w:rsidRPr="00F27C25">
        <w:rPr>
          <w:noProof/>
          <w:color w:val="000000" w:themeColor="text1"/>
        </w:rPr>
        <w:t>liščin.</w:t>
      </w:r>
      <w:r w:rsidRPr="00F27C25">
        <w:rPr>
          <w:noProof/>
        </w:rPr>
        <w:t xml:space="preserve"> </w:t>
      </w:r>
      <w:r w:rsidRPr="00F27C25">
        <w:rPr>
          <w:noProof/>
          <w:color w:val="000000" w:themeColor="text1"/>
        </w:rPr>
        <w:t xml:space="preserve">Poleg tega potnikom ni vedno jasna vloga različnih strani (organizatorjev, turističnih agentov in ponudnikov storitev), tudi v zvezi s povračili. Tudi uporaba obrazcev standardnih informacij je zapletena in bi lahko bila uporabnikom prijaznejša. </w:t>
      </w:r>
    </w:p>
    <w:p w14:paraId="2F1B154F" w14:textId="77777777" w:rsidR="00144AE5" w:rsidRPr="00F27C25" w:rsidRDefault="00144AE5" w:rsidP="00040787">
      <w:pPr>
        <w:rPr>
          <w:noProof/>
          <w:color w:val="000000" w:themeColor="text1"/>
          <w:szCs w:val="24"/>
        </w:rPr>
      </w:pPr>
    </w:p>
    <w:p w14:paraId="3D0D4F11" w14:textId="77777777" w:rsidR="00144AE5" w:rsidRPr="00F27C25" w:rsidRDefault="00144AE5" w:rsidP="00040787">
      <w:pPr>
        <w:pStyle w:val="ManualHeading2"/>
        <w:rPr>
          <w:rFonts w:eastAsia="Arial Unicode MS"/>
          <w:noProof/>
          <w:u w:color="000000"/>
          <w:bdr w:val="nil"/>
        </w:rPr>
      </w:pPr>
      <w:r w:rsidRPr="00F27C25">
        <w:rPr>
          <w:noProof/>
          <w:u w:color="000000"/>
          <w:bdr w:val="nil"/>
        </w:rPr>
        <w:t>•</w:t>
      </w:r>
      <w:r w:rsidRPr="00F27C25">
        <w:rPr>
          <w:noProof/>
          <w:u w:color="000000"/>
          <w:bdr w:val="nil"/>
        </w:rPr>
        <w:tab/>
        <w:t>Posvetovanja z deležniki</w:t>
      </w:r>
    </w:p>
    <w:p w14:paraId="429F1113" w14:textId="77777777" w:rsidR="00144AE5" w:rsidRPr="00F27C25" w:rsidRDefault="00144AE5" w:rsidP="00040787">
      <w:pPr>
        <w:pBdr>
          <w:top w:val="nil"/>
          <w:left w:val="nil"/>
          <w:bottom w:val="nil"/>
          <w:right w:val="nil"/>
          <w:between w:val="nil"/>
          <w:bar w:val="nil"/>
        </w:pBdr>
        <w:spacing w:before="0" w:after="240"/>
        <w:rPr>
          <w:noProof/>
        </w:rPr>
      </w:pPr>
      <w:r w:rsidRPr="00F27C25">
        <w:rPr>
          <w:noProof/>
        </w:rPr>
        <w:t xml:space="preserve">Komisija je izvedla številne dejavnosti posvetovanja, vključno z javnimi in ciljno usmerjenimi posvetovanji z deležniki. Prizadevala si je za čim širša posvetovanja, da bi se zbrali prispevki, dokazi in pojasnila o </w:t>
      </w:r>
      <w:r w:rsidRPr="00F27C25">
        <w:rPr>
          <w:noProof/>
        </w:rPr>
        <w:t>potrebah različnih kategorij deležnikov (npr. potnikov/potrošnikov, organizatorjev potovanj, fizičnih in spletnih potovalnih agencij, prevoznikov, nacionalnih organov, skladov za varstvo v primeru insolventnosti, potrošniških in poslovnih združenj, akadems</w:t>
      </w:r>
      <w:r w:rsidRPr="00F27C25">
        <w:rPr>
          <w:noProof/>
        </w:rPr>
        <w:t>kih ustanov in nevladnih organizacij). Razprave z deležniki so bile osredotočene na naslednje tri specifične cilje:</w:t>
      </w:r>
    </w:p>
    <w:p w14:paraId="6B5ECDD5" w14:textId="77777777" w:rsidR="00144AE5" w:rsidRPr="00F27C25" w:rsidRDefault="00144AE5" w:rsidP="00040787">
      <w:pPr>
        <w:pStyle w:val="li"/>
        <w:shd w:val="clear" w:color="auto" w:fill="FFFFFF"/>
        <w:spacing w:before="0" w:beforeAutospacing="0" w:after="0" w:afterAutospacing="0"/>
        <w:jc w:val="both"/>
        <w:rPr>
          <w:noProof/>
          <w:color w:val="000000" w:themeColor="text1"/>
        </w:rPr>
      </w:pPr>
      <w:r w:rsidRPr="00F27C25">
        <w:rPr>
          <w:b/>
          <w:noProof/>
          <w:color w:val="000000" w:themeColor="text1"/>
        </w:rPr>
        <w:t xml:space="preserve">– </w:t>
      </w:r>
      <w:r w:rsidRPr="00F27C25">
        <w:rPr>
          <w:noProof/>
          <w:color w:val="000000" w:themeColor="text1"/>
        </w:rPr>
        <w:t>izboljšati zaščito predplačil potnikov in njihovo pravico do hitrega povračila že opravljenih plačil v primeru odpovedi, tudi v obdobju ve</w:t>
      </w:r>
      <w:r w:rsidRPr="00F27C25">
        <w:rPr>
          <w:noProof/>
          <w:color w:val="000000" w:themeColor="text1"/>
        </w:rPr>
        <w:t>čje krize, hkrati pa ohraniti likvidnost organizatorjev turističnih paketov (obravnava prve težave);</w:t>
      </w:r>
    </w:p>
    <w:p w14:paraId="2F0B4C9B" w14:textId="77777777" w:rsidR="00144AE5" w:rsidRPr="00F27C25" w:rsidRDefault="00144AE5" w:rsidP="00040787">
      <w:pPr>
        <w:pStyle w:val="li"/>
        <w:shd w:val="clear" w:color="auto" w:fill="FFFFFF"/>
        <w:spacing w:before="0" w:beforeAutospacing="0" w:after="0" w:afterAutospacing="0"/>
        <w:jc w:val="both"/>
        <w:rPr>
          <w:noProof/>
          <w:color w:val="000000" w:themeColor="text1"/>
        </w:rPr>
      </w:pPr>
      <w:r w:rsidRPr="00F27C25">
        <w:rPr>
          <w:b/>
          <w:noProof/>
          <w:color w:val="000000" w:themeColor="text1"/>
        </w:rPr>
        <w:t xml:space="preserve">– </w:t>
      </w:r>
      <w:r w:rsidRPr="00F27C25">
        <w:rPr>
          <w:noProof/>
          <w:color w:val="000000" w:themeColor="text1"/>
        </w:rPr>
        <w:t>okrepiti zaščito potnikov pred insolventnostjo organizatorja potovanja, tudi v primeru večje krize, hkrati pa zagotoviti enake konkurenčne pogoje na notr</w:t>
      </w:r>
      <w:r w:rsidRPr="00F27C25">
        <w:rPr>
          <w:noProof/>
          <w:color w:val="000000" w:themeColor="text1"/>
        </w:rPr>
        <w:t>anjem trgu (obravnava druge težave);</w:t>
      </w:r>
      <w:bookmarkStart w:id="2" w:name="_Hlk142491188"/>
      <w:bookmarkEnd w:id="2"/>
    </w:p>
    <w:p w14:paraId="5F86A342" w14:textId="77777777" w:rsidR="00144AE5" w:rsidRPr="00F27C25" w:rsidRDefault="00144AE5" w:rsidP="00040787">
      <w:pPr>
        <w:pStyle w:val="li"/>
        <w:shd w:val="clear" w:color="auto" w:fill="FFFFFF"/>
        <w:spacing w:before="0" w:beforeAutospacing="0" w:after="240" w:afterAutospacing="0"/>
        <w:jc w:val="both"/>
        <w:rPr>
          <w:noProof/>
          <w:color w:val="000000" w:themeColor="text1"/>
        </w:rPr>
      </w:pPr>
      <w:r w:rsidRPr="00F27C25">
        <w:rPr>
          <w:b/>
          <w:noProof/>
          <w:color w:val="000000" w:themeColor="text1"/>
        </w:rPr>
        <w:t xml:space="preserve">– </w:t>
      </w:r>
      <w:r w:rsidRPr="00F27C25">
        <w:rPr>
          <w:noProof/>
          <w:color w:val="000000" w:themeColor="text1"/>
        </w:rPr>
        <w:t xml:space="preserve">povečati pravno varnost in izvršljivost direktive o paketnih potovanjih s pojasnitvijo in/ali poenostavitvijo nekaterih določb Direktive, ki bi se lahko razlagale različno ali ki jih deležniki v praksi težko uporabljajo (obravnava tretje težave). </w:t>
      </w:r>
    </w:p>
    <w:p w14:paraId="4B3209B8" w14:textId="77777777" w:rsidR="00144AE5" w:rsidRPr="00F27C25" w:rsidRDefault="00144AE5" w:rsidP="00040787">
      <w:pPr>
        <w:pBdr>
          <w:top w:val="nil"/>
          <w:left w:val="nil"/>
          <w:bottom w:val="nil"/>
          <w:right w:val="nil"/>
          <w:between w:val="nil"/>
          <w:bar w:val="nil"/>
        </w:pBdr>
        <w:spacing w:before="0"/>
        <w:rPr>
          <w:noProof/>
        </w:rPr>
      </w:pPr>
      <w:r w:rsidRPr="00F27C25">
        <w:rPr>
          <w:noProof/>
        </w:rPr>
        <w:t>Med post</w:t>
      </w:r>
      <w:r w:rsidRPr="00F27C25">
        <w:rPr>
          <w:noProof/>
        </w:rPr>
        <w:t>opkom posvetovanja, ki se je začel z objavo poziva k predložitvi dokazov avgusta 2021 in se je nadaljeval do maja 2023, je Komisija uporabila vrsto metod in oblik posvetovanja. Med njimi so bili:</w:t>
      </w:r>
    </w:p>
    <w:p w14:paraId="59ABC384" w14:textId="77777777" w:rsidR="00144AE5" w:rsidRPr="00F27C25" w:rsidRDefault="00144AE5" w:rsidP="00040787">
      <w:pPr>
        <w:pStyle w:val="li"/>
        <w:shd w:val="clear" w:color="auto" w:fill="FFFFFF"/>
        <w:spacing w:before="0" w:beforeAutospacing="0" w:after="0" w:afterAutospacing="0"/>
        <w:jc w:val="both"/>
        <w:rPr>
          <w:rFonts w:eastAsiaTheme="minorHAnsi"/>
          <w:noProof/>
          <w:szCs w:val="22"/>
        </w:rPr>
      </w:pPr>
      <w:r w:rsidRPr="00F27C25">
        <w:rPr>
          <w:rStyle w:val="num"/>
          <w:rFonts w:ascii="Symbol" w:hAnsi="Symbol"/>
          <w:noProof/>
          <w:color w:val="333333"/>
          <w:sz w:val="27"/>
        </w:rPr>
        <w:t></w:t>
      </w:r>
      <w:r w:rsidRPr="00F27C25">
        <w:rPr>
          <w:rStyle w:val="num"/>
          <w:rFonts w:ascii="Symbol" w:hAnsi="Symbol"/>
          <w:noProof/>
          <w:color w:val="333333"/>
          <w:sz w:val="27"/>
        </w:rPr>
        <w:t></w:t>
      </w:r>
      <w:r w:rsidRPr="00F27C25">
        <w:rPr>
          <w:rStyle w:val="num"/>
          <w:rFonts w:ascii="Symbol" w:hAnsi="Symbol"/>
          <w:noProof/>
          <w:color w:val="333333"/>
          <w:sz w:val="27"/>
        </w:rPr>
        <w:t></w:t>
      </w:r>
      <w:r w:rsidRPr="00F27C25">
        <w:rPr>
          <w:noProof/>
        </w:rPr>
        <w:t>posvetovanje o začetni oceni učinka in 13-tedensko odprto</w:t>
      </w:r>
      <w:r w:rsidRPr="00F27C25">
        <w:rPr>
          <w:noProof/>
        </w:rPr>
        <w:t xml:space="preserve"> javno posvetovanje, katerih namen je bil zbrati stališča vseh deležnikov;</w:t>
      </w:r>
      <w:r w:rsidRPr="00F27C25">
        <w:rPr>
          <w:rStyle w:val="FootnoteReference"/>
          <w:rFonts w:eastAsiaTheme="minorHAnsi"/>
          <w:noProof/>
          <w:szCs w:val="22"/>
          <w:lang w:eastAsia="en-US"/>
        </w:rPr>
        <w:footnoteReference w:id="22"/>
      </w:r>
    </w:p>
    <w:p w14:paraId="2D787978" w14:textId="77777777" w:rsidR="00144AE5" w:rsidRPr="00F27C25" w:rsidRDefault="00144AE5" w:rsidP="00040787">
      <w:pPr>
        <w:pStyle w:val="li"/>
        <w:shd w:val="clear" w:color="auto" w:fill="FFFFFF"/>
        <w:spacing w:before="0" w:beforeAutospacing="0" w:after="0" w:afterAutospacing="0"/>
        <w:jc w:val="both"/>
        <w:rPr>
          <w:noProof/>
        </w:rPr>
      </w:pPr>
      <w:r w:rsidRPr="00F27C25">
        <w:rPr>
          <w:rStyle w:val="num"/>
          <w:rFonts w:ascii="Symbol" w:hAnsi="Symbol"/>
          <w:noProof/>
          <w:color w:val="333333"/>
          <w:sz w:val="27"/>
        </w:rPr>
        <w:t></w:t>
      </w:r>
      <w:r w:rsidRPr="00F27C25">
        <w:rPr>
          <w:rStyle w:val="num"/>
          <w:rFonts w:ascii="Symbol" w:hAnsi="Symbol"/>
          <w:noProof/>
          <w:color w:val="333333"/>
          <w:sz w:val="27"/>
        </w:rPr>
        <w:t></w:t>
      </w:r>
      <w:r w:rsidRPr="00F27C25">
        <w:rPr>
          <w:noProof/>
        </w:rPr>
        <w:t>ciljno usmerjena posvetovanja z različnimi deležniki (javnimi organi, potrošniškimi organizacijami, poslovnimi združenji), večinoma kot nadaljevanje več delavnic in srečanj;</w:t>
      </w:r>
    </w:p>
    <w:p w14:paraId="01D8B442" w14:textId="77777777" w:rsidR="00144AE5" w:rsidRPr="00F27C25" w:rsidRDefault="00144AE5" w:rsidP="00040787">
      <w:pPr>
        <w:pStyle w:val="li"/>
        <w:shd w:val="clear" w:color="auto" w:fill="FFFFFF"/>
        <w:spacing w:before="0" w:beforeAutospacing="0" w:after="0" w:afterAutospacing="0"/>
        <w:jc w:val="both"/>
        <w:rPr>
          <w:rFonts w:eastAsiaTheme="minorHAnsi"/>
          <w:noProof/>
          <w:szCs w:val="22"/>
        </w:rPr>
      </w:pPr>
      <w:r w:rsidRPr="00F27C25">
        <w:rPr>
          <w:rStyle w:val="num"/>
          <w:rFonts w:ascii="Symbol" w:hAnsi="Symbol"/>
          <w:noProof/>
          <w:color w:val="333333"/>
          <w:sz w:val="27"/>
        </w:rPr>
        <w:t></w:t>
      </w:r>
      <w:r w:rsidRPr="00F27C25">
        <w:rPr>
          <w:rStyle w:val="num"/>
          <w:rFonts w:ascii="Symbol" w:hAnsi="Symbol"/>
          <w:noProof/>
          <w:color w:val="333333"/>
          <w:sz w:val="27"/>
        </w:rPr>
        <w:t></w:t>
      </w:r>
      <w:r w:rsidRPr="00F27C25">
        <w:rPr>
          <w:noProof/>
        </w:rPr>
        <w:t>s</w:t>
      </w:r>
      <w:r w:rsidRPr="00F27C25">
        <w:rPr>
          <w:noProof/>
        </w:rPr>
        <w:t>pletne ciljno usmerjene tematske delavnice, vključno s sestanki strokovne skupine deležnikov v podporo uporabi direktive o paketnih potovanjih</w:t>
      </w:r>
      <w:r w:rsidRPr="00F27C25">
        <w:rPr>
          <w:rStyle w:val="FootnoteReference"/>
          <w:rFonts w:eastAsiaTheme="minorHAnsi"/>
          <w:noProof/>
          <w:szCs w:val="22"/>
          <w:lang w:eastAsia="en-US"/>
        </w:rPr>
        <w:footnoteReference w:id="23"/>
      </w:r>
      <w:r w:rsidRPr="00F27C25">
        <w:rPr>
          <w:noProof/>
        </w:rPr>
        <w:t>. Za pripravo na srečanja, ki jih je gostila Komisija, so bili vnaprej poslani vprašalniki in dokumenti za razpr</w:t>
      </w:r>
      <w:r w:rsidRPr="00F27C25">
        <w:rPr>
          <w:noProof/>
        </w:rPr>
        <w:t>avo;</w:t>
      </w:r>
    </w:p>
    <w:p w14:paraId="7187FC46" w14:textId="77777777" w:rsidR="00144AE5" w:rsidRPr="00F27C25" w:rsidRDefault="00144AE5" w:rsidP="00040787">
      <w:pPr>
        <w:pStyle w:val="li"/>
        <w:shd w:val="clear" w:color="auto" w:fill="FFFFFF"/>
        <w:spacing w:before="0" w:beforeAutospacing="0" w:after="0" w:afterAutospacing="0"/>
        <w:jc w:val="both"/>
        <w:rPr>
          <w:noProof/>
        </w:rPr>
      </w:pPr>
      <w:r w:rsidRPr="00F27C25">
        <w:rPr>
          <w:rStyle w:val="num"/>
          <w:rFonts w:ascii="Symbol" w:hAnsi="Symbol"/>
          <w:noProof/>
          <w:color w:val="333333"/>
          <w:sz w:val="27"/>
        </w:rPr>
        <w:t></w:t>
      </w:r>
      <w:r w:rsidRPr="00F27C25">
        <w:rPr>
          <w:rStyle w:val="num"/>
          <w:rFonts w:ascii="Symbol" w:hAnsi="Symbol"/>
          <w:noProof/>
          <w:color w:val="333333"/>
          <w:sz w:val="27"/>
        </w:rPr>
        <w:t></w:t>
      </w:r>
      <w:r w:rsidRPr="00F27C25">
        <w:rPr>
          <w:rStyle w:val="num"/>
          <w:noProof/>
        </w:rPr>
        <w:t>spletne</w:t>
      </w:r>
      <w:r w:rsidRPr="00F27C25">
        <w:rPr>
          <w:noProof/>
        </w:rPr>
        <w:t xml:space="preserve"> delavnice, ki jih je organiziral zunanji svetovalec, da bi udeležence (poslovna združenja in posamezna podjetja, vključno s potovalnimi podjetji, potrošniškimi organizacijami in evropskimi potrošniškimi centri) seznanili z napredovanjem štud</w:t>
      </w:r>
      <w:r w:rsidRPr="00F27C25">
        <w:rPr>
          <w:noProof/>
        </w:rPr>
        <w:t>ije in zbrali informacije o ključnih ugotovitvah v interaktivni obliki;</w:t>
      </w:r>
    </w:p>
    <w:p w14:paraId="08E60165" w14:textId="77777777" w:rsidR="00144AE5" w:rsidRPr="00F27C25" w:rsidRDefault="00144AE5" w:rsidP="00040787">
      <w:pPr>
        <w:pStyle w:val="li"/>
        <w:shd w:val="clear" w:color="auto" w:fill="FFFFFF"/>
        <w:spacing w:before="0" w:beforeAutospacing="0" w:after="0" w:afterAutospacing="0"/>
        <w:jc w:val="both"/>
        <w:rPr>
          <w:noProof/>
        </w:rPr>
      </w:pPr>
      <w:r w:rsidRPr="00F27C25">
        <w:rPr>
          <w:rStyle w:val="num"/>
          <w:rFonts w:ascii="Symbol" w:hAnsi="Symbol"/>
          <w:noProof/>
          <w:color w:val="333333"/>
          <w:sz w:val="27"/>
        </w:rPr>
        <w:t></w:t>
      </w:r>
      <w:r w:rsidRPr="00F27C25">
        <w:rPr>
          <w:rStyle w:val="num"/>
          <w:rFonts w:ascii="Symbol" w:hAnsi="Symbol"/>
          <w:noProof/>
          <w:color w:val="333333"/>
          <w:sz w:val="27"/>
        </w:rPr>
        <w:t></w:t>
      </w:r>
      <w:r w:rsidRPr="00F27C25">
        <w:rPr>
          <w:noProof/>
        </w:rPr>
        <w:t>delavnice, ki so jih organizirali deležniki (npr. Združenje evropskih jamstvenih skladov za potovanja in turizem, Evropsko združenje potovalnih agentov in organizatorjev potovanj), s</w:t>
      </w:r>
      <w:r w:rsidRPr="00F27C25">
        <w:rPr>
          <w:noProof/>
        </w:rPr>
        <w:t xml:space="preserve">o bile priložnost za zbiranje podatkov od deležnikov o varstvu v primeru insolventnosti v potovalnem sektorju in predplačilih;  </w:t>
      </w:r>
    </w:p>
    <w:p w14:paraId="7AD042C0" w14:textId="77777777" w:rsidR="00144AE5" w:rsidRPr="00F27C25" w:rsidRDefault="00144AE5" w:rsidP="00040787">
      <w:pPr>
        <w:pBdr>
          <w:top w:val="nil"/>
          <w:left w:val="nil"/>
          <w:bottom w:val="nil"/>
          <w:right w:val="nil"/>
          <w:between w:val="nil"/>
          <w:bar w:val="nil"/>
        </w:pBdr>
        <w:spacing w:before="0" w:after="0"/>
        <w:rPr>
          <w:noProof/>
        </w:rPr>
      </w:pPr>
      <w:r w:rsidRPr="00F27C25">
        <w:rPr>
          <w:rStyle w:val="num"/>
          <w:rFonts w:ascii="Symbol" w:hAnsi="Symbol"/>
          <w:noProof/>
          <w:color w:val="333333"/>
          <w:sz w:val="27"/>
        </w:rPr>
        <w:t></w:t>
      </w:r>
      <w:r w:rsidRPr="00F27C25">
        <w:rPr>
          <w:rStyle w:val="num"/>
          <w:rFonts w:ascii="Symbol" w:hAnsi="Symbol"/>
          <w:noProof/>
          <w:color w:val="333333"/>
          <w:sz w:val="27"/>
        </w:rPr>
        <w:t></w:t>
      </w:r>
      <w:r w:rsidRPr="00F27C25">
        <w:rPr>
          <w:noProof/>
        </w:rPr>
        <w:t>ciljno usmerjene raziskave, ki jih je izvedel zunanji svetovalec, da bi zbral informacije o stališčih in izkušnjah deležnikov</w:t>
      </w:r>
      <w:r w:rsidRPr="00F27C25">
        <w:rPr>
          <w:noProof/>
        </w:rPr>
        <w:t xml:space="preserve"> v zvezi s trenutnimi tržnimi trendi na področju paketnih potovanj, vključno s pravicami do odpovedi, uporabo dobropisov in povračili. Cilj je bil tudi opredeliti glavne izzive veljavne zakonodaje, glavne stroške in koristi;</w:t>
      </w:r>
    </w:p>
    <w:p w14:paraId="229DAF65" w14:textId="77777777" w:rsidR="00144AE5" w:rsidRPr="00F27C25" w:rsidRDefault="00144AE5" w:rsidP="00040787">
      <w:pPr>
        <w:pBdr>
          <w:top w:val="nil"/>
          <w:left w:val="nil"/>
          <w:bottom w:val="nil"/>
          <w:right w:val="nil"/>
          <w:between w:val="nil"/>
          <w:bar w:val="nil"/>
        </w:pBdr>
        <w:spacing w:before="0" w:after="0"/>
        <w:rPr>
          <w:noProof/>
        </w:rPr>
      </w:pPr>
      <w:r w:rsidRPr="00F27C25">
        <w:rPr>
          <w:rStyle w:val="num"/>
          <w:rFonts w:ascii="Symbol" w:hAnsi="Symbol"/>
          <w:noProof/>
          <w:color w:val="333333"/>
          <w:sz w:val="27"/>
        </w:rPr>
        <w:t></w:t>
      </w:r>
      <w:r w:rsidRPr="00F27C25">
        <w:rPr>
          <w:rStyle w:val="num"/>
          <w:rFonts w:ascii="Symbol" w:hAnsi="Symbol"/>
          <w:noProof/>
          <w:color w:val="333333"/>
          <w:sz w:val="27"/>
        </w:rPr>
        <w:t></w:t>
      </w:r>
      <w:r w:rsidRPr="00F27C25">
        <w:rPr>
          <w:noProof/>
        </w:rPr>
        <w:t xml:space="preserve">razgovori, ki jih je opravil zunanji svetovalec v dveh fazah in vključujejo sklop razgovorov za opredelitev ključnih vprašanj ter poglobljene razgovore z deležniki; </w:t>
      </w:r>
    </w:p>
    <w:p w14:paraId="165E820C" w14:textId="77777777" w:rsidR="00144AE5" w:rsidRPr="00F27C25" w:rsidRDefault="00144AE5" w:rsidP="00040787">
      <w:pPr>
        <w:pBdr>
          <w:top w:val="nil"/>
          <w:left w:val="nil"/>
          <w:bottom w:val="nil"/>
          <w:right w:val="nil"/>
          <w:between w:val="nil"/>
          <w:bar w:val="nil"/>
        </w:pBdr>
        <w:spacing w:before="0" w:after="0"/>
        <w:rPr>
          <w:noProof/>
        </w:rPr>
      </w:pPr>
      <w:r w:rsidRPr="00F27C25">
        <w:rPr>
          <w:rStyle w:val="num"/>
          <w:rFonts w:ascii="Symbol" w:hAnsi="Symbol"/>
          <w:noProof/>
          <w:color w:val="333333"/>
          <w:sz w:val="27"/>
        </w:rPr>
        <w:t></w:t>
      </w:r>
      <w:r w:rsidRPr="00F27C25">
        <w:rPr>
          <w:rStyle w:val="num"/>
          <w:rFonts w:ascii="Symbol" w:hAnsi="Symbol"/>
          <w:noProof/>
          <w:color w:val="333333"/>
          <w:sz w:val="27"/>
        </w:rPr>
        <w:t></w:t>
      </w:r>
      <w:r w:rsidRPr="00F27C25">
        <w:rPr>
          <w:noProof/>
        </w:rPr>
        <w:t>sestanki na tehnični ali politični ravni. Pregled direktive o paketnih potovanjih je bil</w:t>
      </w:r>
      <w:r w:rsidRPr="00F27C25">
        <w:rPr>
          <w:noProof/>
        </w:rPr>
        <w:t xml:space="preserve"> obravnavan tudi na politični ravni, zlasti na neformalnih ministrskih srečanjih med različnimi predsedstvi Sveta; </w:t>
      </w:r>
    </w:p>
    <w:p w14:paraId="42AFBD5B" w14:textId="77777777" w:rsidR="00144AE5" w:rsidRPr="00F27C25" w:rsidRDefault="00144AE5" w:rsidP="00040787">
      <w:pPr>
        <w:pBdr>
          <w:top w:val="nil"/>
          <w:left w:val="nil"/>
          <w:bottom w:val="nil"/>
          <w:right w:val="nil"/>
          <w:between w:val="nil"/>
          <w:bar w:val="nil"/>
        </w:pBdr>
        <w:spacing w:before="0" w:after="0"/>
        <w:rPr>
          <w:noProof/>
          <w:szCs w:val="24"/>
        </w:rPr>
      </w:pPr>
      <w:r w:rsidRPr="00F27C25">
        <w:rPr>
          <w:rStyle w:val="num"/>
          <w:rFonts w:ascii="Symbol" w:hAnsi="Symbol"/>
          <w:noProof/>
          <w:color w:val="333333"/>
          <w:sz w:val="27"/>
        </w:rPr>
        <w:t></w:t>
      </w:r>
      <w:r w:rsidRPr="00F27C25">
        <w:rPr>
          <w:rStyle w:val="num"/>
          <w:rFonts w:ascii="Symbol" w:hAnsi="Symbol"/>
          <w:noProof/>
          <w:color w:val="333333"/>
          <w:sz w:val="27"/>
        </w:rPr>
        <w:t></w:t>
      </w:r>
      <w:r w:rsidRPr="00F27C25">
        <w:rPr>
          <w:noProof/>
        </w:rPr>
        <w:t>dvostranska spletna srečanja s številnimi deležniki; </w:t>
      </w:r>
    </w:p>
    <w:p w14:paraId="6B003255" w14:textId="77777777" w:rsidR="00144AE5" w:rsidRPr="00F27C25" w:rsidRDefault="00144AE5" w:rsidP="00040787">
      <w:pPr>
        <w:pBdr>
          <w:top w:val="nil"/>
          <w:left w:val="nil"/>
          <w:bottom w:val="nil"/>
          <w:right w:val="nil"/>
          <w:between w:val="nil"/>
          <w:bar w:val="nil"/>
        </w:pBdr>
        <w:spacing w:before="0" w:after="0"/>
        <w:rPr>
          <w:noProof/>
          <w:szCs w:val="24"/>
        </w:rPr>
      </w:pPr>
      <w:r w:rsidRPr="00F27C25">
        <w:rPr>
          <w:rStyle w:val="num"/>
          <w:rFonts w:ascii="Symbol" w:hAnsi="Symbol"/>
          <w:noProof/>
          <w:color w:val="333333"/>
          <w:sz w:val="27"/>
        </w:rPr>
        <w:t></w:t>
      </w:r>
      <w:r w:rsidRPr="00F27C25">
        <w:rPr>
          <w:rStyle w:val="num"/>
          <w:rFonts w:ascii="Symbol" w:hAnsi="Symbol"/>
          <w:noProof/>
          <w:color w:val="333333"/>
          <w:sz w:val="27"/>
        </w:rPr>
        <w:t></w:t>
      </w:r>
      <w:r w:rsidRPr="00F27C25">
        <w:rPr>
          <w:rStyle w:val="num"/>
          <w:noProof/>
        </w:rPr>
        <w:t xml:space="preserve">dokumenti o stališčih potrošniških združenj, poslovnih združenj in </w:t>
      </w:r>
      <w:r w:rsidRPr="00F27C25">
        <w:rPr>
          <w:rStyle w:val="num"/>
          <w:noProof/>
        </w:rPr>
        <w:t>nacionalnih organov;</w:t>
      </w:r>
    </w:p>
    <w:p w14:paraId="0197E4C3" w14:textId="77777777" w:rsidR="00144AE5" w:rsidRPr="00F27C25" w:rsidRDefault="00144AE5" w:rsidP="00040787">
      <w:pPr>
        <w:pBdr>
          <w:top w:val="nil"/>
          <w:left w:val="nil"/>
          <w:bottom w:val="nil"/>
          <w:right w:val="nil"/>
          <w:between w:val="nil"/>
          <w:bar w:val="nil"/>
        </w:pBdr>
        <w:spacing w:before="0"/>
        <w:rPr>
          <w:noProof/>
        </w:rPr>
      </w:pPr>
      <w:r w:rsidRPr="00F27C25">
        <w:rPr>
          <w:rStyle w:val="num"/>
          <w:rFonts w:ascii="Symbol" w:hAnsi="Symbol"/>
          <w:noProof/>
          <w:color w:val="333333"/>
          <w:sz w:val="27"/>
        </w:rPr>
        <w:t></w:t>
      </w:r>
      <w:r w:rsidRPr="00F27C25">
        <w:rPr>
          <w:rStyle w:val="num"/>
          <w:rFonts w:ascii="Symbol" w:hAnsi="Symbol"/>
          <w:noProof/>
          <w:color w:val="333333"/>
          <w:sz w:val="27"/>
        </w:rPr>
        <w:t></w:t>
      </w:r>
      <w:r w:rsidRPr="00F27C25">
        <w:rPr>
          <w:noProof/>
        </w:rPr>
        <w:t>mnenje platforme Pripravljeni na prihodnost z dne 22. marca 2022</w:t>
      </w:r>
      <w:r w:rsidRPr="00F27C25">
        <w:rPr>
          <w:rStyle w:val="FootnoteReference"/>
          <w:noProof/>
        </w:rPr>
        <w:footnoteReference w:id="24"/>
      </w:r>
      <w:r w:rsidRPr="00F27C25">
        <w:rPr>
          <w:noProof/>
        </w:rPr>
        <w:t>. Platforma Pripravljeni na prihodnost je v mnenju o direktivi o paketnih potovanjih opredelila pet težav in podala pet zadevnih predlogov.</w:t>
      </w:r>
    </w:p>
    <w:p w14:paraId="3B2FC64F" w14:textId="77777777" w:rsidR="00144AE5" w:rsidRPr="00F27C25" w:rsidRDefault="00144AE5" w:rsidP="00040787">
      <w:pPr>
        <w:pBdr>
          <w:top w:val="nil"/>
          <w:left w:val="nil"/>
          <w:bottom w:val="nil"/>
          <w:right w:val="nil"/>
          <w:between w:val="nil"/>
          <w:bar w:val="nil"/>
        </w:pBdr>
        <w:spacing w:before="0" w:after="240"/>
        <w:rPr>
          <w:noProof/>
          <w:szCs w:val="24"/>
          <w:shd w:val="clear" w:color="auto" w:fill="FFFFFF"/>
        </w:rPr>
      </w:pPr>
      <w:r w:rsidRPr="00F27C25">
        <w:rPr>
          <w:noProof/>
          <w:shd w:val="clear" w:color="auto" w:fill="FFFFFF"/>
        </w:rPr>
        <w:t>Povratne informacije na pod</w:t>
      </w:r>
      <w:r w:rsidRPr="00F27C25">
        <w:rPr>
          <w:noProof/>
          <w:shd w:val="clear" w:color="auto" w:fill="FFFFFF"/>
        </w:rPr>
        <w:t>lagi dejavnosti posvetovanja so pokazale naslednje.</w:t>
      </w:r>
    </w:p>
    <w:p w14:paraId="32D7AAC1" w14:textId="77777777" w:rsidR="00144AE5" w:rsidRPr="00F27C25" w:rsidRDefault="00144AE5" w:rsidP="00040787">
      <w:pPr>
        <w:pBdr>
          <w:top w:val="nil"/>
          <w:left w:val="nil"/>
          <w:bottom w:val="nil"/>
          <w:right w:val="nil"/>
          <w:between w:val="nil"/>
          <w:bar w:val="nil"/>
        </w:pBdr>
        <w:spacing w:before="0" w:after="0"/>
        <w:rPr>
          <w:noProof/>
          <w:color w:val="000000" w:themeColor="text1"/>
          <w:szCs w:val="24"/>
        </w:rPr>
      </w:pPr>
      <w:r w:rsidRPr="00F27C25">
        <w:rPr>
          <w:rStyle w:val="num"/>
          <w:rFonts w:ascii="Symbol" w:hAnsi="Symbol"/>
          <w:noProof/>
          <w:color w:val="333333"/>
          <w:sz w:val="27"/>
        </w:rPr>
        <w:t></w:t>
      </w:r>
      <w:r w:rsidRPr="00F27C25">
        <w:rPr>
          <w:rStyle w:val="num"/>
          <w:rFonts w:ascii="Symbol" w:hAnsi="Symbol"/>
          <w:noProof/>
          <w:color w:val="333333"/>
          <w:sz w:val="27"/>
        </w:rPr>
        <w:t></w:t>
      </w:r>
      <w:r w:rsidRPr="00F27C25">
        <w:rPr>
          <w:noProof/>
          <w:color w:val="000000" w:themeColor="text1"/>
        </w:rPr>
        <w:t>Velika večina deležnikov je potrdila, da so imeli med pandemijo COVID-19 potniki iz vseh držav članic velike težave pri izterjavi predplačil za odpovedane turistične pakete v 14 dneh. Potrošniške organi</w:t>
      </w:r>
      <w:r w:rsidRPr="00F27C25">
        <w:rPr>
          <w:noProof/>
          <w:color w:val="000000" w:themeColor="text1"/>
        </w:rPr>
        <w:t>zacije in številni nacionalni organi so menili, da bi bilo treba zaščito predplačil, ki jih plačajo potniki, okrepiti.</w:t>
      </w:r>
    </w:p>
    <w:p w14:paraId="16BE7C31" w14:textId="77777777" w:rsidR="00144AE5" w:rsidRPr="00F27C25" w:rsidRDefault="00144AE5" w:rsidP="00040787">
      <w:pPr>
        <w:pBdr>
          <w:top w:val="nil"/>
          <w:left w:val="nil"/>
          <w:bottom w:val="nil"/>
          <w:right w:val="nil"/>
          <w:between w:val="nil"/>
          <w:bar w:val="nil"/>
        </w:pBdr>
        <w:spacing w:before="0" w:after="0"/>
        <w:rPr>
          <w:rFonts w:eastAsia="Calibri"/>
          <w:noProof/>
          <w:sz w:val="20"/>
          <w:szCs w:val="20"/>
        </w:rPr>
      </w:pPr>
      <w:r w:rsidRPr="00F27C25">
        <w:rPr>
          <w:rStyle w:val="num"/>
          <w:rFonts w:ascii="Symbol" w:hAnsi="Symbol"/>
          <w:noProof/>
          <w:color w:val="000000" w:themeColor="text1"/>
          <w:sz w:val="27"/>
        </w:rPr>
        <w:t></w:t>
      </w:r>
      <w:r w:rsidRPr="00F27C25">
        <w:rPr>
          <w:rStyle w:val="num"/>
          <w:rFonts w:ascii="Symbol" w:hAnsi="Symbol"/>
          <w:noProof/>
          <w:color w:val="000000" w:themeColor="text1"/>
          <w:sz w:val="27"/>
        </w:rPr>
        <w:t></w:t>
      </w:r>
      <w:r w:rsidRPr="00F27C25">
        <w:rPr>
          <w:noProof/>
          <w:color w:val="000000" w:themeColor="text1"/>
        </w:rPr>
        <w:t xml:space="preserve">Hkrati so organizatorji opisali težave pri pridobivanju povračil plačil, opravljenih ponudnikom storitev. Nekateri ponudniki, </w:t>
      </w:r>
      <w:r w:rsidRPr="00F27C25">
        <w:rPr>
          <w:noProof/>
          <w:color w:val="000000" w:themeColor="text1"/>
        </w:rPr>
        <w:t>zlasti letalski prevozniki, zahtevajo polno predplačilo. Večina podjetij je poudarila, da bi pozdravila novo pravilo EU, v skladu s katerim bi morali ponudniki storitev organizatorjem</w:t>
      </w:r>
      <w:r w:rsidRPr="00F27C25">
        <w:rPr>
          <w:noProof/>
        </w:rPr>
        <w:t xml:space="preserve"> povrniti stroške v določenem roku, krajšem od 14 dni.</w:t>
      </w:r>
      <w:r w:rsidRPr="00F27C25">
        <w:rPr>
          <w:noProof/>
          <w:sz w:val="20"/>
        </w:rPr>
        <w:t xml:space="preserve"> </w:t>
      </w:r>
    </w:p>
    <w:p w14:paraId="24AF219E" w14:textId="77777777" w:rsidR="00144AE5" w:rsidRPr="00F27C25" w:rsidRDefault="00144AE5" w:rsidP="00040787">
      <w:pPr>
        <w:pBdr>
          <w:top w:val="nil"/>
          <w:left w:val="nil"/>
          <w:bottom w:val="nil"/>
          <w:right w:val="nil"/>
          <w:between w:val="nil"/>
          <w:bar w:val="nil"/>
        </w:pBdr>
        <w:spacing w:before="0" w:after="0"/>
        <w:rPr>
          <w:noProof/>
        </w:rPr>
      </w:pPr>
      <w:r w:rsidRPr="00F27C25">
        <w:rPr>
          <w:rStyle w:val="num"/>
          <w:rFonts w:ascii="Symbol" w:hAnsi="Symbol"/>
          <w:noProof/>
          <w:color w:val="333333"/>
          <w:sz w:val="27"/>
        </w:rPr>
        <w:t></w:t>
      </w:r>
      <w:r w:rsidRPr="00F27C25">
        <w:rPr>
          <w:rStyle w:val="num"/>
          <w:rFonts w:ascii="Symbol" w:hAnsi="Symbol"/>
          <w:noProof/>
          <w:color w:val="333333"/>
          <w:sz w:val="27"/>
        </w:rPr>
        <w:t></w:t>
      </w:r>
      <w:r w:rsidRPr="00F27C25">
        <w:rPr>
          <w:noProof/>
          <w:color w:val="000000" w:themeColor="text1"/>
        </w:rPr>
        <w:t>Večina</w:t>
      </w:r>
      <w:r w:rsidRPr="00F27C25">
        <w:rPr>
          <w:noProof/>
        </w:rPr>
        <w:t xml:space="preserve"> potrošniških organizacij in javnih organov je menila, da so različni sistemi varstva v primeru insolventnosti v EU privedli do višje ravni varstva pred insolventnostjo organizatorjev v nekaterih državah članicah in nezadostne zaščite potnikov v drugih drž</w:t>
      </w:r>
      <w:r w:rsidRPr="00F27C25">
        <w:rPr>
          <w:noProof/>
        </w:rPr>
        <w:t>avah članicah. Vendar v podporo temu stališču niso bili predloženi konkretni primeri.</w:t>
      </w:r>
    </w:p>
    <w:p w14:paraId="6DA97E9E" w14:textId="77777777" w:rsidR="00144AE5" w:rsidRPr="00F27C25" w:rsidRDefault="00144AE5" w:rsidP="00040787">
      <w:pPr>
        <w:pBdr>
          <w:top w:val="nil"/>
          <w:left w:val="nil"/>
          <w:bottom w:val="nil"/>
          <w:right w:val="nil"/>
          <w:between w:val="nil"/>
          <w:bar w:val="nil"/>
        </w:pBdr>
        <w:spacing w:before="0" w:after="0"/>
        <w:rPr>
          <w:noProof/>
          <w:color w:val="000000" w:themeColor="text1"/>
        </w:rPr>
      </w:pPr>
      <w:r w:rsidRPr="00F27C25">
        <w:rPr>
          <w:rStyle w:val="num"/>
          <w:rFonts w:ascii="Symbol" w:hAnsi="Symbol"/>
          <w:noProof/>
          <w:color w:val="333333"/>
          <w:sz w:val="27"/>
        </w:rPr>
        <w:t></w:t>
      </w:r>
      <w:r w:rsidRPr="00F27C25">
        <w:rPr>
          <w:rStyle w:val="num"/>
          <w:rFonts w:ascii="Symbol" w:hAnsi="Symbol"/>
          <w:noProof/>
          <w:color w:val="333333"/>
          <w:sz w:val="27"/>
        </w:rPr>
        <w:t></w:t>
      </w:r>
      <w:r w:rsidRPr="00F27C25">
        <w:rPr>
          <w:rStyle w:val="num"/>
          <w:rFonts w:ascii="Symbol" w:hAnsi="Symbol"/>
          <w:noProof/>
          <w:color w:val="333333"/>
          <w:sz w:val="27"/>
        </w:rPr>
        <w:t></w:t>
      </w:r>
      <w:r w:rsidRPr="00F27C25">
        <w:rPr>
          <w:noProof/>
          <w:color w:val="000000" w:themeColor="text1"/>
        </w:rPr>
        <w:t>V nekaterih državah članicah naj bi organizatorji težko pridobili varstvo v primeru insolventnosti za kritje predplačil in povratka potnikov.</w:t>
      </w:r>
      <w:r w:rsidRPr="00F27C25">
        <w:rPr>
          <w:noProof/>
        </w:rPr>
        <w:t xml:space="preserve"> </w:t>
      </w:r>
      <w:r w:rsidRPr="00F27C25">
        <w:rPr>
          <w:noProof/>
          <w:color w:val="000000" w:themeColor="text1"/>
        </w:rPr>
        <w:t>To je posledica nezadostn</w:t>
      </w:r>
      <w:r w:rsidRPr="00F27C25">
        <w:rPr>
          <w:noProof/>
          <w:color w:val="000000" w:themeColor="text1"/>
        </w:rPr>
        <w:t>ih zavarovalnih rešitev na trgu ali zavarovalnih rešitev, ki se ponujajo le po pretirano visokih cenah, zlasti v obdobju krize. Obstajajo tudi različne prakse v zvezi s kritjem zahtevkov za povračilo in dobropisov, kadar je turistični paket odpovedan, pred</w:t>
      </w:r>
      <w:r w:rsidRPr="00F27C25">
        <w:rPr>
          <w:noProof/>
          <w:color w:val="000000" w:themeColor="text1"/>
        </w:rPr>
        <w:t>en organizator potovanja postane insolventen.</w:t>
      </w:r>
    </w:p>
    <w:p w14:paraId="1A6B5389" w14:textId="77777777" w:rsidR="00144AE5" w:rsidRPr="00F27C25" w:rsidRDefault="00144AE5" w:rsidP="00040787">
      <w:pPr>
        <w:pBdr>
          <w:top w:val="nil"/>
          <w:left w:val="nil"/>
          <w:bottom w:val="nil"/>
          <w:right w:val="nil"/>
          <w:between w:val="nil"/>
          <w:bar w:val="nil"/>
        </w:pBdr>
        <w:spacing w:before="0" w:after="0"/>
        <w:rPr>
          <w:rFonts w:eastAsia="Calibri"/>
          <w:iCs/>
          <w:noProof/>
        </w:rPr>
      </w:pPr>
      <w:r w:rsidRPr="00F27C25">
        <w:rPr>
          <w:rStyle w:val="num"/>
          <w:rFonts w:ascii="Symbol" w:hAnsi="Symbol"/>
          <w:noProof/>
          <w:color w:val="333333"/>
          <w:sz w:val="27"/>
        </w:rPr>
        <w:t></w:t>
      </w:r>
      <w:r w:rsidRPr="00F27C25">
        <w:rPr>
          <w:rStyle w:val="num"/>
          <w:rFonts w:ascii="Symbol" w:hAnsi="Symbol"/>
          <w:noProof/>
          <w:color w:val="333333"/>
          <w:sz w:val="27"/>
        </w:rPr>
        <w:t></w:t>
      </w:r>
      <w:r w:rsidRPr="00F27C25">
        <w:rPr>
          <w:noProof/>
        </w:rPr>
        <w:t>Večina deležnikov je imela težave pri izvajanju direktive o paketnih potovanjih v zvezi z razlago in izvrševanjem pojmov „turistični paket s povezanimi postopki spletne rezervacije“ in „povezan potovalni aran</w:t>
      </w:r>
      <w:r w:rsidRPr="00F27C25">
        <w:rPr>
          <w:noProof/>
        </w:rPr>
        <w:t xml:space="preserve">žma“, pri izvajanju nekaterih obveznosti obveščanja in pri ugotavljanju, ali je bila odpoved pogodbe o paketnem potovanju utemeljena z neizogibnimi in izrednimi okoliščinami. Te težave so se pokazale med </w:t>
      </w:r>
      <w:r w:rsidRPr="00F27C25">
        <w:rPr>
          <w:noProof/>
          <w:color w:val="000000" w:themeColor="text1"/>
        </w:rPr>
        <w:t>pandemijo</w:t>
      </w:r>
      <w:r w:rsidRPr="00F27C25">
        <w:rPr>
          <w:noProof/>
        </w:rPr>
        <w:t xml:space="preserve"> COVID-19.  </w:t>
      </w:r>
    </w:p>
    <w:p w14:paraId="2270640C" w14:textId="77777777" w:rsidR="00144AE5" w:rsidRPr="00F27C25" w:rsidRDefault="00144AE5" w:rsidP="00040787">
      <w:pPr>
        <w:pBdr>
          <w:top w:val="nil"/>
          <w:left w:val="nil"/>
          <w:bottom w:val="nil"/>
          <w:right w:val="nil"/>
          <w:between w:val="nil"/>
          <w:bar w:val="nil"/>
        </w:pBdr>
        <w:spacing w:before="0" w:after="0"/>
        <w:rPr>
          <w:noProof/>
          <w:color w:val="000000" w:themeColor="text1"/>
        </w:rPr>
      </w:pPr>
      <w:r w:rsidRPr="00F27C25">
        <w:rPr>
          <w:rStyle w:val="num"/>
          <w:rFonts w:ascii="Symbol" w:hAnsi="Symbol"/>
          <w:noProof/>
          <w:color w:val="333333"/>
          <w:sz w:val="27"/>
        </w:rPr>
        <w:t></w:t>
      </w:r>
      <w:r w:rsidRPr="00F27C25">
        <w:rPr>
          <w:rStyle w:val="num"/>
          <w:rFonts w:ascii="Symbol" w:hAnsi="Symbol"/>
          <w:noProof/>
          <w:color w:val="333333"/>
          <w:sz w:val="27"/>
        </w:rPr>
        <w:t></w:t>
      </w:r>
      <w:r w:rsidRPr="00F27C25">
        <w:rPr>
          <w:noProof/>
        </w:rPr>
        <w:t xml:space="preserve">Potrošniške organizacije so </w:t>
      </w:r>
      <w:r w:rsidRPr="00F27C25">
        <w:rPr>
          <w:noProof/>
        </w:rPr>
        <w:t>pozvale k večji jasnosti glede ustreznega trenutka za odpoved pogodbe zaradi „neizogibnih in izrednih okoliščin“ ter ustreznosti, dokazov in pravnega učinka uradnih opozoril glede potovanj. Večina pristojnih nacionalnih organov je pozvala k pojasnitvi prav</w:t>
      </w:r>
      <w:r w:rsidRPr="00F27C25">
        <w:rPr>
          <w:noProof/>
        </w:rPr>
        <w:t>il, ki urejajo odpovedi potovanj.</w:t>
      </w:r>
      <w:r w:rsidRPr="00F27C25">
        <w:rPr>
          <w:rStyle w:val="num"/>
          <w:rFonts w:ascii="Symbol" w:hAnsi="Symbol"/>
          <w:noProof/>
          <w:color w:val="333333"/>
          <w:sz w:val="27"/>
        </w:rPr>
        <w:t></w:t>
      </w:r>
      <w:r w:rsidRPr="00F27C25">
        <w:rPr>
          <w:noProof/>
          <w:color w:val="000000" w:themeColor="text1"/>
        </w:rPr>
        <w:t>Potniki in podjetja so menili, da neobstoj pravil o „opozorilih glede potovanj“ ogroža učinkovitost opredelitve „neizogibnih in izrednih okoliščin“.</w:t>
      </w:r>
    </w:p>
    <w:p w14:paraId="4CBAD974" w14:textId="77777777" w:rsidR="00144AE5" w:rsidRPr="00F27C25" w:rsidRDefault="00144AE5" w:rsidP="00040787">
      <w:pPr>
        <w:pBdr>
          <w:top w:val="nil"/>
          <w:left w:val="nil"/>
          <w:bottom w:val="nil"/>
          <w:right w:val="nil"/>
          <w:between w:val="nil"/>
          <w:bar w:val="nil"/>
        </w:pBdr>
        <w:spacing w:before="0" w:after="0"/>
        <w:rPr>
          <w:noProof/>
          <w:szCs w:val="24"/>
        </w:rPr>
      </w:pPr>
    </w:p>
    <w:p w14:paraId="373520B7" w14:textId="77777777" w:rsidR="00144AE5" w:rsidRPr="00F27C25" w:rsidRDefault="00144AE5" w:rsidP="00040787">
      <w:pPr>
        <w:pBdr>
          <w:top w:val="nil"/>
          <w:left w:val="nil"/>
          <w:bottom w:val="nil"/>
          <w:right w:val="nil"/>
          <w:between w:val="nil"/>
          <w:bar w:val="nil"/>
        </w:pBdr>
        <w:spacing w:before="0" w:after="240"/>
        <w:rPr>
          <w:noProof/>
          <w:szCs w:val="24"/>
          <w:shd w:val="clear" w:color="auto" w:fill="FFFFFF"/>
        </w:rPr>
      </w:pPr>
      <w:r w:rsidRPr="00F27C25">
        <w:rPr>
          <w:noProof/>
          <w:shd w:val="clear" w:color="auto" w:fill="FFFFFF"/>
        </w:rPr>
        <w:t>Komisija je vse povratne informacije upoštevala pri odločanju o tem, kat</w:t>
      </w:r>
      <w:r w:rsidRPr="00F27C25">
        <w:rPr>
          <w:noProof/>
          <w:shd w:val="clear" w:color="auto" w:fill="FFFFFF"/>
        </w:rPr>
        <w:t>ere možnosti bo podprla. Več informacij o posvetovanjih je na voljo v Prilogi 3 k oceni učinka.</w:t>
      </w:r>
    </w:p>
    <w:p w14:paraId="0C34E3B3" w14:textId="77777777" w:rsidR="00144AE5" w:rsidRPr="00F27C25" w:rsidRDefault="00144AE5" w:rsidP="00040787">
      <w:pPr>
        <w:pBdr>
          <w:top w:val="nil"/>
          <w:left w:val="nil"/>
          <w:bottom w:val="nil"/>
          <w:right w:val="nil"/>
          <w:between w:val="nil"/>
          <w:bar w:val="nil"/>
        </w:pBdr>
        <w:spacing w:before="0" w:after="240"/>
        <w:rPr>
          <w:noProof/>
        </w:rPr>
      </w:pPr>
    </w:p>
    <w:p w14:paraId="64100DFC" w14:textId="77777777" w:rsidR="00144AE5" w:rsidRPr="00F27C25" w:rsidRDefault="00144AE5" w:rsidP="00040787">
      <w:pPr>
        <w:pStyle w:val="ManualHeading2"/>
        <w:rPr>
          <w:rFonts w:eastAsia="Arial Unicode MS"/>
          <w:noProof/>
          <w:u w:color="000000"/>
          <w:bdr w:val="nil"/>
        </w:rPr>
      </w:pPr>
      <w:r w:rsidRPr="00F27C25">
        <w:rPr>
          <w:noProof/>
          <w:u w:color="000000"/>
          <w:bdr w:val="nil"/>
        </w:rPr>
        <w:t>•</w:t>
      </w:r>
      <w:r w:rsidRPr="00F27C25">
        <w:rPr>
          <w:noProof/>
          <w:u w:color="000000"/>
          <w:bdr w:val="nil"/>
        </w:rPr>
        <w:tab/>
        <w:t>Zbiranje in uporaba strokovnih mnenj</w:t>
      </w:r>
    </w:p>
    <w:p w14:paraId="56F57315" w14:textId="77777777" w:rsidR="00144AE5" w:rsidRPr="00F27C25" w:rsidRDefault="00144AE5" w:rsidP="00040787">
      <w:pPr>
        <w:pBdr>
          <w:top w:val="nil"/>
          <w:left w:val="nil"/>
          <w:bottom w:val="nil"/>
          <w:right w:val="nil"/>
          <w:between w:val="nil"/>
          <w:bar w:val="nil"/>
        </w:pBdr>
        <w:spacing w:before="0" w:after="240"/>
        <w:rPr>
          <w:rFonts w:eastAsia="Arial Unicode MS"/>
          <w:noProof/>
        </w:rPr>
      </w:pPr>
      <w:r w:rsidRPr="00F27C25">
        <w:rPr>
          <w:noProof/>
        </w:rPr>
        <w:t xml:space="preserve">Komisija je najela zunanje strokovnjake za pripravo študije, v kateri so bili zbrani dokazi, ki so bili </w:t>
      </w:r>
      <w:r w:rsidRPr="00F27C25">
        <w:rPr>
          <w:noProof/>
        </w:rPr>
        <w:t>uporabljeni v podporo oceni učinka in pri pripravi tega predloga. Rezultat je bila „Študija v podporo pripravi ocene direktive o paketnih potovanjih vzporedno z oceno učinka njene morebitne revizije“</w:t>
      </w:r>
      <w:r w:rsidRPr="00F27C25">
        <w:rPr>
          <w:rStyle w:val="FootnoteReference"/>
          <w:rFonts w:eastAsia="Arial Unicode MS"/>
          <w:noProof/>
        </w:rPr>
        <w:footnoteReference w:id="25"/>
      </w:r>
      <w:r w:rsidRPr="00F27C25">
        <w:rPr>
          <w:noProof/>
        </w:rPr>
        <w:t>.</w:t>
      </w:r>
    </w:p>
    <w:p w14:paraId="214CD41B" w14:textId="77777777" w:rsidR="00144AE5" w:rsidRPr="00F27C25" w:rsidRDefault="00144AE5" w:rsidP="00040787">
      <w:pPr>
        <w:pBdr>
          <w:top w:val="nil"/>
          <w:left w:val="nil"/>
          <w:bottom w:val="nil"/>
          <w:right w:val="nil"/>
          <w:between w:val="nil"/>
          <w:bar w:val="nil"/>
        </w:pBdr>
        <w:spacing w:before="0" w:after="240"/>
        <w:rPr>
          <w:rFonts w:eastAsia="Arial Unicode MS"/>
          <w:noProof/>
        </w:rPr>
      </w:pPr>
      <w:r w:rsidRPr="00F27C25">
        <w:rPr>
          <w:noProof/>
        </w:rPr>
        <w:t>Ocena Komisije je temeljila tudi na ustrezni strokovn</w:t>
      </w:r>
      <w:r w:rsidRPr="00F27C25">
        <w:rPr>
          <w:noProof/>
        </w:rPr>
        <w:t xml:space="preserve">i literaturi in sodni praksi Sodišča. </w:t>
      </w:r>
    </w:p>
    <w:p w14:paraId="1B71E3BB" w14:textId="77777777" w:rsidR="00144AE5" w:rsidRPr="00F27C25" w:rsidRDefault="00144AE5" w:rsidP="00040787">
      <w:pPr>
        <w:pStyle w:val="ManualHeading2"/>
        <w:rPr>
          <w:rFonts w:eastAsia="Arial Unicode MS"/>
          <w:noProof/>
          <w:u w:color="000000"/>
          <w:bdr w:val="nil"/>
        </w:rPr>
      </w:pPr>
      <w:r w:rsidRPr="00F27C25">
        <w:rPr>
          <w:noProof/>
          <w:u w:color="000000"/>
          <w:bdr w:val="nil"/>
        </w:rPr>
        <w:t>•</w:t>
      </w:r>
      <w:r w:rsidRPr="00F27C25">
        <w:rPr>
          <w:noProof/>
          <w:u w:color="000000"/>
          <w:bdr w:val="nil"/>
        </w:rPr>
        <w:tab/>
        <w:t>Ocena učinka</w:t>
      </w:r>
    </w:p>
    <w:p w14:paraId="7B3A4131" w14:textId="77777777" w:rsidR="00144AE5" w:rsidRPr="00F27C25" w:rsidRDefault="00144AE5" w:rsidP="00040787">
      <w:pPr>
        <w:pBdr>
          <w:top w:val="nil"/>
          <w:left w:val="nil"/>
          <w:bottom w:val="nil"/>
          <w:right w:val="nil"/>
          <w:between w:val="nil"/>
          <w:bar w:val="nil"/>
        </w:pBdr>
        <w:spacing w:before="0" w:after="240"/>
        <w:rPr>
          <w:rFonts w:eastAsia="Arial Unicode MS"/>
          <w:noProof/>
        </w:rPr>
      </w:pPr>
      <w:r w:rsidRPr="00F27C25">
        <w:rPr>
          <w:noProof/>
        </w:rPr>
        <w:t>O oceni učinka</w:t>
      </w:r>
      <w:r w:rsidRPr="00F27C25">
        <w:rPr>
          <w:rStyle w:val="FootnoteReference"/>
          <w:rFonts w:eastAsia="Arial Unicode MS"/>
          <w:noProof/>
        </w:rPr>
        <w:footnoteReference w:id="26"/>
      </w:r>
      <w:r w:rsidRPr="00F27C25">
        <w:rPr>
          <w:noProof/>
        </w:rPr>
        <w:t xml:space="preserve"> se je 5. julija 2023 razpravljalo z Odborom za regulativni nadzor. Odbor je 7. julija 2023 izdal negativno mnenje, v katerem je navedel, da poročilo ni bilo dovolj jasno glede obsega te</w:t>
      </w:r>
      <w:r w:rsidRPr="00F27C25">
        <w:rPr>
          <w:noProof/>
        </w:rPr>
        <w:t>žav, osnovnega nedelovanja trga in specifičnih ciljev pobude ter da analiza učinka ni bila sorazmerna z obsežnostjo težav. Poleg tega je bilo ugotovljeno, da v poročilu niso vnaprej opredeljene vse ustrezne kombinacije možnosti in da ni zagotovljena dosled</w:t>
      </w:r>
      <w:r w:rsidRPr="00F27C25">
        <w:rPr>
          <w:noProof/>
        </w:rPr>
        <w:t>na primerjava možnosti. Zato je bilo poročilo o oceni učinka bistveno preoblikovano.  Obseg težav, osnovne tržne ali regulativne pomanjkljivosti ter specifični cilji te pobude so bili bolje opisani in količinsko opredeljeni, kolikor je bilo to mogoče. Revi</w:t>
      </w:r>
      <w:r w:rsidRPr="00F27C25">
        <w:rPr>
          <w:noProof/>
        </w:rPr>
        <w:t>dirano poročilo je vsebovalo tudi jasnejši opis vseh možnosti politike in jih primerjalo z vidika uspešnosti, učinkovitosti, skladnosti in sorazmernosti. Analiza učinka je bila okrepljena na več načinov, vključno z razširitvijo količinske opredelitve moreb</w:t>
      </w:r>
      <w:r w:rsidRPr="00F27C25">
        <w:rPr>
          <w:noProof/>
        </w:rPr>
        <w:t>itnih učinkov in z zagotovitvijo podrobnejših analiz občutljivosti. V poročilu so podrobneje pojasnjeni tudi učinki na MSP in možnosti za zmanjšanje stroškov.</w:t>
      </w:r>
    </w:p>
    <w:p w14:paraId="04E3E0DA" w14:textId="77777777" w:rsidR="00144AE5" w:rsidRPr="00F27C25" w:rsidRDefault="00144AE5" w:rsidP="00040787">
      <w:pPr>
        <w:pBdr>
          <w:top w:val="nil"/>
          <w:left w:val="nil"/>
          <w:bottom w:val="nil"/>
          <w:right w:val="nil"/>
          <w:between w:val="nil"/>
          <w:bar w:val="nil"/>
        </w:pBdr>
        <w:spacing w:before="0" w:after="240"/>
        <w:rPr>
          <w:rFonts w:eastAsia="Arial Unicode MS"/>
          <w:noProof/>
        </w:rPr>
      </w:pPr>
      <w:r w:rsidRPr="00F27C25">
        <w:rPr>
          <w:noProof/>
        </w:rPr>
        <w:t xml:space="preserve">Odbor za regulativni nadzor je revidirano poročilo o oceni učinka pregledal </w:t>
      </w:r>
      <w:r w:rsidRPr="00F27C25">
        <w:rPr>
          <w:noProof/>
        </w:rPr>
        <w:t>6. septembra 2023. Odbor je 28. septembra 2023 izdal pozitivno mnenje s pridržki</w:t>
      </w:r>
      <w:r w:rsidRPr="00F27C25">
        <w:rPr>
          <w:rStyle w:val="FootnoteReference"/>
          <w:rFonts w:eastAsia="Arial Unicode MS"/>
          <w:noProof/>
        </w:rPr>
        <w:footnoteReference w:id="27"/>
      </w:r>
      <w:r w:rsidRPr="00F27C25">
        <w:rPr>
          <w:noProof/>
        </w:rPr>
        <w:t>, v katerem je ugotovil, da poročilo ni dovolj jasno navajalo splošnega učinka na potrošnike in da bi bilo treba okrepiti kvalitativno analizo za boljšo utemeljitev ukrepanja</w:t>
      </w:r>
      <w:r w:rsidRPr="00F27C25">
        <w:rPr>
          <w:noProof/>
        </w:rPr>
        <w:t>. Pridržki odbora so bili obravnavani. To je vključevalo vidnejše in jasnejše opise izhodiščnih ocen in splošnega učinka na potrošnike. Poleg tega je bila kvalitativna analiza dodatno izboljšana za boljšo utemeljitev ukrepanja. Podrobneje je bil opisan tud</w:t>
      </w:r>
      <w:r w:rsidRPr="00F27C25">
        <w:rPr>
          <w:noProof/>
        </w:rPr>
        <w:t>i morebiten vpliv na mednarodno konkurenčnost.</w:t>
      </w:r>
    </w:p>
    <w:p w14:paraId="3535BBFA" w14:textId="77777777" w:rsidR="00144AE5" w:rsidRPr="00F27C25" w:rsidRDefault="00144AE5" w:rsidP="00040787">
      <w:pPr>
        <w:pBdr>
          <w:top w:val="nil"/>
          <w:left w:val="nil"/>
          <w:bottom w:val="nil"/>
          <w:right w:val="nil"/>
          <w:between w:val="nil"/>
          <w:bar w:val="nil"/>
        </w:pBdr>
        <w:spacing w:before="0" w:after="240"/>
        <w:rPr>
          <w:rFonts w:eastAsia="Arial Unicode MS"/>
          <w:noProof/>
        </w:rPr>
      </w:pPr>
      <w:r w:rsidRPr="00F27C25">
        <w:rPr>
          <w:noProof/>
        </w:rPr>
        <w:t>V oceni učinka so bili preučeni različni zakonodajni ukrepi, ki bi lahko s spremembo direktive o paketnih potovanjih odpravili ugotovljene težave, da bi se dosegli cilji pregleda. Ukrepi so bili razvrščeni v t</w:t>
      </w:r>
      <w:r w:rsidRPr="00F27C25">
        <w:rPr>
          <w:noProof/>
        </w:rPr>
        <w:t xml:space="preserve">ri možnosti politike z različnimi pristopi: prožnejše rešitve in minimalni stroški (možnost A), bolj togi ukrepi (možnost B) ali največja učinkovitost v kriznih razmerah z višjimi stroški (možnost C). </w:t>
      </w:r>
    </w:p>
    <w:p w14:paraId="697922CF" w14:textId="77777777" w:rsidR="00144AE5" w:rsidRPr="00F27C25" w:rsidRDefault="00144AE5" w:rsidP="00040787">
      <w:pPr>
        <w:pBdr>
          <w:top w:val="nil"/>
          <w:left w:val="nil"/>
          <w:bottom w:val="nil"/>
          <w:right w:val="nil"/>
          <w:between w:val="nil"/>
          <w:bar w:val="nil"/>
        </w:pBdr>
        <w:spacing w:before="0" w:after="240"/>
        <w:rPr>
          <w:rFonts w:eastAsia="Arial Unicode MS"/>
          <w:noProof/>
        </w:rPr>
      </w:pPr>
      <w:r w:rsidRPr="00F27C25">
        <w:rPr>
          <w:noProof/>
        </w:rPr>
        <w:t>Možnost A zajema uvedbo ciljnih sprememb direktive o p</w:t>
      </w:r>
      <w:r w:rsidRPr="00F27C25">
        <w:rPr>
          <w:noProof/>
        </w:rPr>
        <w:t>aketnih potovanjih, da se ta pojasni in poenostavi ter se poveča njena učinkovitost, tudi v kriznih razmerah. Vključuje pravila o prostovoljnih dobropisih, pravico do povračila med podjetji v primeru odpovedi storitev in prožno omejitev pologov na 25 %, ki</w:t>
      </w:r>
      <w:r w:rsidRPr="00F27C25">
        <w:rPr>
          <w:noProof/>
        </w:rPr>
        <w:t xml:space="preserve"> se lahko poveča, kadar je to potrebno za zagotovitev organizacije in izvedbe paketa. Njen cilj je tudi okrepiti varstvo v primeru insolventnosti, hkrati pa pojasniti, da so dobropisi in zahtevki za povračila kriti z varstvom v primeru insolventnosti. Vend</w:t>
      </w:r>
      <w:r w:rsidRPr="00F27C25">
        <w:rPr>
          <w:noProof/>
        </w:rPr>
        <w:t xml:space="preserve">ar pa ne zavezuje držav članic, da ustanovijo rezervni sklad za varstvo v primeru insolventnosti ali krizni sklad, ki bi potnikom zagotavljal hitra povračila v primeru večje krize. </w:t>
      </w:r>
    </w:p>
    <w:p w14:paraId="673959DB" w14:textId="77777777" w:rsidR="00144AE5" w:rsidRPr="00F27C25" w:rsidRDefault="00144AE5" w:rsidP="00040787">
      <w:pPr>
        <w:pBdr>
          <w:top w:val="nil"/>
          <w:left w:val="nil"/>
          <w:bottom w:val="nil"/>
          <w:right w:val="nil"/>
          <w:between w:val="nil"/>
          <w:bar w:val="nil"/>
        </w:pBdr>
        <w:spacing w:before="0" w:after="240"/>
        <w:rPr>
          <w:rFonts w:eastAsia="Arial Unicode MS"/>
          <w:noProof/>
        </w:rPr>
      </w:pPr>
      <w:r w:rsidRPr="00F27C25">
        <w:rPr>
          <w:noProof/>
        </w:rPr>
        <w:t>Možnost B vključuje bolj toge ukrepe, ki povečujejo stroške za različne ka</w:t>
      </w:r>
      <w:r w:rsidRPr="00F27C25">
        <w:rPr>
          <w:noProof/>
        </w:rPr>
        <w:t xml:space="preserve">tegorije deležnikov (podjetja in potnike). Določa na primer strogo omejitev pologov na 20 % za organizatorje turističnih paketov in obvezne dobropise v primeru večje krize. </w:t>
      </w:r>
    </w:p>
    <w:p w14:paraId="1E390DAA" w14:textId="77777777" w:rsidR="00144AE5" w:rsidRPr="00F27C25" w:rsidRDefault="00144AE5" w:rsidP="00040787">
      <w:pPr>
        <w:pBdr>
          <w:top w:val="nil"/>
          <w:left w:val="nil"/>
          <w:bottom w:val="nil"/>
          <w:right w:val="nil"/>
          <w:between w:val="nil"/>
          <w:bar w:val="nil"/>
        </w:pBdr>
        <w:spacing w:before="0" w:after="240"/>
        <w:rPr>
          <w:rFonts w:eastAsia="Arial Unicode MS"/>
          <w:noProof/>
        </w:rPr>
      </w:pPr>
      <w:r w:rsidRPr="00F27C25">
        <w:rPr>
          <w:noProof/>
        </w:rPr>
        <w:t>Možnost C vključuje ukrepe za doseganje najvišje ravni varstva potrošnikov v zvezi</w:t>
      </w:r>
      <w:r w:rsidRPr="00F27C25">
        <w:rPr>
          <w:noProof/>
        </w:rPr>
        <w:t xml:space="preserve"> s povračili za odpovedane turistične pakete in varstvom v primeru insolventnosti, zlasti v primeru krize, vendar pa so njeni stroški visoki. Vključuje strogo omejitev pologov na 20 % za organizatorje in ponudnike storitev ter obvezno ustanovitev kriznega </w:t>
      </w:r>
      <w:r w:rsidRPr="00F27C25">
        <w:rPr>
          <w:noProof/>
        </w:rPr>
        <w:t>sklada.</w:t>
      </w:r>
    </w:p>
    <w:p w14:paraId="0DCDE3D7" w14:textId="77777777" w:rsidR="00144AE5" w:rsidRPr="00F27C25" w:rsidRDefault="00144AE5" w:rsidP="00040787">
      <w:pPr>
        <w:pBdr>
          <w:top w:val="nil"/>
          <w:left w:val="nil"/>
          <w:bottom w:val="nil"/>
          <w:right w:val="nil"/>
          <w:between w:val="nil"/>
          <w:bar w:val="nil"/>
        </w:pBdr>
        <w:spacing w:before="0" w:after="240"/>
        <w:rPr>
          <w:rFonts w:eastAsia="Arial Unicode MS"/>
          <w:noProof/>
        </w:rPr>
      </w:pPr>
      <w:r w:rsidRPr="00F27C25">
        <w:rPr>
          <w:noProof/>
        </w:rPr>
        <w:t>Na splošno je možnost A najboljša. Čeprav ne vsebuje najučinkovitejših ukrepov za reševanje ugotovljenih težav v vseh pogledih in ne nudi najvišjega možnega varstva potrošnikov, prinaša znatne koristi za potnike in podjetja, tudi v smislu pripravlj</w:t>
      </w:r>
      <w:r w:rsidRPr="00F27C25">
        <w:rPr>
          <w:noProof/>
        </w:rPr>
        <w:t>enosti na prihodnjo krizo, poleg tega pa so njeni stroški najnižji. Možnost A je najučinkovitejša in najbolj skladna od treh ocenjenih možnosti.</w:t>
      </w:r>
    </w:p>
    <w:p w14:paraId="2EAA619C" w14:textId="77777777" w:rsidR="00144AE5" w:rsidRPr="00F27C25" w:rsidRDefault="00144AE5" w:rsidP="00040787">
      <w:pPr>
        <w:rPr>
          <w:noProof/>
          <w:color w:val="000000" w:themeColor="text1"/>
        </w:rPr>
      </w:pPr>
      <w:r w:rsidRPr="00F27C25">
        <w:rPr>
          <w:noProof/>
        </w:rPr>
        <w:t>Zato bi se v okviru prednostne možnosti pologi omejili na 25 % skupne cene turističnega paketa, pri tem pa bi s</w:t>
      </w:r>
      <w:r w:rsidRPr="00F27C25">
        <w:rPr>
          <w:noProof/>
        </w:rPr>
        <w:t xml:space="preserve">e organizatorju omogočilo, da zahteva preostalo plačilo štiri tedne pred začetkom organiziranih počitnic. Vendar bi organizatorji ohranili prožnost, da zahtevajo višje pologe, če je to utemeljeno s potrebo po višjih predplačilih ponudnikom storitev ali za </w:t>
      </w:r>
      <w:r w:rsidRPr="00F27C25">
        <w:rPr>
          <w:noProof/>
        </w:rPr>
        <w:t>kritje drugih stroškov, ki so posebej povezani z organizacijo in izvedbo turističnega paketa, če je to potrebno za kritje teh stroškov ob rezervaciji</w:t>
      </w:r>
      <w:r w:rsidRPr="00F27C25">
        <w:rPr>
          <w:rStyle w:val="FootnoteReference"/>
          <w:rFonts w:eastAsia="Arial Unicode MS"/>
          <w:noProof/>
        </w:rPr>
        <w:footnoteReference w:id="28"/>
      </w:r>
      <w:r w:rsidRPr="00F27C25">
        <w:rPr>
          <w:noProof/>
        </w:rPr>
        <w:t xml:space="preserve">. </w:t>
      </w:r>
      <w:r w:rsidRPr="00F27C25">
        <w:rPr>
          <w:noProof/>
          <w:color w:val="000000" w:themeColor="text1"/>
        </w:rPr>
        <w:t>Na splošno bi breme za podjetja ostalo omejeno in pričakovati je mogoče le rahlo zvišanje cen za potnik</w:t>
      </w:r>
      <w:r w:rsidRPr="00F27C25">
        <w:rPr>
          <w:noProof/>
          <w:color w:val="000000" w:themeColor="text1"/>
        </w:rPr>
        <w:t xml:space="preserve">e. </w:t>
      </w:r>
    </w:p>
    <w:p w14:paraId="596F617B" w14:textId="77777777" w:rsidR="00144AE5" w:rsidRPr="00F27C25" w:rsidRDefault="00144AE5" w:rsidP="00040787">
      <w:pPr>
        <w:rPr>
          <w:noProof/>
        </w:rPr>
      </w:pPr>
      <w:r w:rsidRPr="00F27C25">
        <w:rPr>
          <w:noProof/>
        </w:rPr>
        <w:t>Ta možnost bi poleg tega uvedla pravico do povračila med podjetji, kadar zadevna storitev ni izvedena. V takem primeru bi bil organizator potovanja upravičen do povračila plačil ponudniku (ali ponudnikom) storitev, npr. letalskim prevoznikom in hotelom</w:t>
      </w:r>
      <w:r w:rsidRPr="00F27C25">
        <w:rPr>
          <w:noProof/>
        </w:rPr>
        <w:t xml:space="preserve">, v sedmih dneh po tem, ko je bila storitev odpovedana ali ni bila izvedena. To bi organizatorjem omogočilo, da potnikom povrnejo stroške v 14-dnevnem roku za povračilo, določenem v Direktivi, hkrati pa ohranijo likvidnost. Če ponudnik potovalnih storitev </w:t>
      </w:r>
      <w:r w:rsidRPr="00F27C25">
        <w:rPr>
          <w:noProof/>
        </w:rPr>
        <w:t>odpove ali kako drugače ne izvede storitve iz turističnega paketa, vendar pogodba o paketnem potovanju še vedno obstaja, bi morala pravica do povračila v sedmih dneh organizatorjem omogočiti, da potnikom zagotovijo nadomestne aranžmaje. Poleg tega bi lahko</w:t>
      </w:r>
      <w:r w:rsidRPr="00F27C25">
        <w:rPr>
          <w:noProof/>
        </w:rPr>
        <w:t xml:space="preserve"> organizatorji namesto povračila ponudili dobropise, če bi upoštevali posebna jamstva, ki so v veliki meri v skladu s priporočilom Komisije iz leta 2020. </w:t>
      </w:r>
    </w:p>
    <w:p w14:paraId="20FB9449" w14:textId="77777777" w:rsidR="00144AE5" w:rsidRPr="00F27C25" w:rsidRDefault="00144AE5" w:rsidP="00040787">
      <w:pPr>
        <w:rPr>
          <w:rFonts w:eastAsia="Arial Unicode MS"/>
          <w:noProof/>
        </w:rPr>
      </w:pPr>
      <w:r w:rsidRPr="00F27C25">
        <w:rPr>
          <w:noProof/>
        </w:rPr>
        <w:t>Poleg tega bi lahko države članice uvedle mehanizme, ki bi potnikom zagotavljali povračilo v skladu s</w:t>
      </w:r>
      <w:r w:rsidRPr="00F27C25">
        <w:rPr>
          <w:noProof/>
        </w:rPr>
        <w:t xml:space="preserve"> pravnimi zahtevami, na primer v primerih odpovedi turističnih paketov zaradi neizogibnih in izrednih okoliščin ter kadar organizatorji ne bi mogli izpolniti svojih obveznosti glede povračila. Kadar države članice uvedejo ali ohranijo take mehanizme, bodo </w:t>
      </w:r>
      <w:r w:rsidRPr="00F27C25">
        <w:rPr>
          <w:noProof/>
        </w:rPr>
        <w:t>morale Komisijo in osrednje kontaktne točke drugih držav članic o njih obvestiti. Taki mehanizmi se običajno financirajo izključno s prispevki organizatorjev. Le v izjemnih okoliščinah lahko take mehanizme sofinancirajo države članice, njihova uvedba pa ne</w:t>
      </w:r>
      <w:r w:rsidRPr="00F27C25">
        <w:rPr>
          <w:noProof/>
        </w:rPr>
        <w:t xml:space="preserve"> sme posegati v določbe Unije o državni pomoči. </w:t>
      </w:r>
      <w:r w:rsidRPr="00F27C25">
        <w:rPr>
          <w:noProof/>
          <w:color w:val="000000" w:themeColor="text1"/>
        </w:rPr>
        <w:t>Ta določba bi bila dolgoročno stroškovno nevtralna. Na splošno</w:t>
      </w:r>
      <w:r w:rsidRPr="00F27C25">
        <w:rPr>
          <w:noProof/>
        </w:rPr>
        <w:t xml:space="preserve"> bodo ti ukrepi izboljšali varstvo potrošnikov z zelo omejenimi stroški za podjetja (organizatorje paketnih potovanj in ponudnike storitev).</w:t>
      </w:r>
    </w:p>
    <w:p w14:paraId="6E747DDF" w14:textId="77777777" w:rsidR="00144AE5" w:rsidRPr="00F27C25" w:rsidRDefault="00144AE5" w:rsidP="00040787">
      <w:pPr>
        <w:pBdr>
          <w:top w:val="nil"/>
          <w:left w:val="nil"/>
          <w:bottom w:val="nil"/>
          <w:right w:val="nil"/>
          <w:between w:val="nil"/>
          <w:bar w:val="nil"/>
        </w:pBdr>
        <w:spacing w:before="0" w:after="240"/>
        <w:rPr>
          <w:noProof/>
          <w:color w:val="000000" w:themeColor="text1"/>
        </w:rPr>
      </w:pPr>
      <w:r w:rsidRPr="00F27C25">
        <w:rPr>
          <w:noProof/>
        </w:rPr>
        <w:t>Da bi</w:t>
      </w:r>
      <w:r w:rsidRPr="00F27C25">
        <w:rPr>
          <w:noProof/>
        </w:rPr>
        <w:t xml:space="preserve"> bolje zaščitili potnike pred insolventnostjo organizatorjev, je namen predloga okrepiti pravila o insolventnosti direktive o paketnih potovanjih. Države članice se bodo še naprej same odločale o tem, kako najbolje izvajati učinkovit sistem varstva v prime</w:t>
      </w:r>
      <w:r w:rsidRPr="00F27C25">
        <w:rPr>
          <w:noProof/>
        </w:rPr>
        <w:t xml:space="preserve">ru insolventnosti, vendar predlog vsebuje dodatne podrobne opredelitve. Države članice bodo morale nadzorovati ureditev varstva v primeru insolventnosti organizatorjev in spremljati trg za zagotavljanje varstva v primeru insolventnosti, po potrebi pa bodo </w:t>
      </w:r>
      <w:r w:rsidRPr="00F27C25">
        <w:rPr>
          <w:noProof/>
        </w:rPr>
        <w:t>lahko zahtevale drugo raven zaščite, na primer rezervni sklad. Ker direktiva o paketnih potovanjih že zahteva določeno raven varstva v primeru insolventnosti in ker bi prednostna možnost določala le, kako doseči ta cilj, ta podrobna opredelitev verjetno ne</w:t>
      </w:r>
      <w:r w:rsidRPr="00F27C25">
        <w:rPr>
          <w:noProof/>
        </w:rPr>
        <w:t xml:space="preserve"> bo povečala stroškov.  Predlog nadalje pojasnjuje, da so dobropisi, ki se ponudijo namesto povračila, in neporavnane terjatve za povračilo kriti z varstvom v primeru insolventnosti.</w:t>
      </w:r>
      <w:r w:rsidRPr="00F27C25">
        <w:rPr>
          <w:noProof/>
          <w:color w:val="000000" w:themeColor="text1"/>
        </w:rPr>
        <w:t xml:space="preserve"> Zato bi lahko v praksi povzročil nekoliko višje stroške varstva v primeru</w:t>
      </w:r>
      <w:r w:rsidRPr="00F27C25">
        <w:rPr>
          <w:noProof/>
          <w:color w:val="000000" w:themeColor="text1"/>
        </w:rPr>
        <w:t xml:space="preserve"> insolventnosti za podjetja v tistih državah članicah, v katerih dobropisi in zahtevki za povračila trenutno niso kriti z varstvom v primeru insolventnosti. Ta povečanja stroškov se bodo morda prenesla na potnike. Hkrati bo ta ukrep koristil organizatorjem</w:t>
      </w:r>
      <w:r w:rsidRPr="00F27C25">
        <w:rPr>
          <w:noProof/>
          <w:color w:val="000000" w:themeColor="text1"/>
        </w:rPr>
        <w:t xml:space="preserve">, saj bodo dobropisi za potnike postali privlačnejši. Na splošno bo posledično povečanje stroškov verjetno omejeno. </w:t>
      </w:r>
    </w:p>
    <w:p w14:paraId="060DCD8D" w14:textId="77777777" w:rsidR="00144AE5" w:rsidRPr="00F27C25" w:rsidRDefault="00144AE5" w:rsidP="00040787">
      <w:pPr>
        <w:pBdr>
          <w:top w:val="nil"/>
          <w:left w:val="nil"/>
          <w:bottom w:val="nil"/>
          <w:right w:val="nil"/>
          <w:between w:val="nil"/>
          <w:bar w:val="nil"/>
        </w:pBdr>
        <w:spacing w:before="0" w:after="240"/>
        <w:rPr>
          <w:rFonts w:eastAsia="Arial Unicode MS"/>
          <w:noProof/>
        </w:rPr>
      </w:pPr>
      <w:r w:rsidRPr="00F27C25">
        <w:rPr>
          <w:noProof/>
        </w:rPr>
        <w:t>Poleg tega predlog iz direktive o paketnih potovanjih črta eno vrsto povezanih potovalnih aranžmajev (vrsta (a) povezanih potovalnih aranžm</w:t>
      </w:r>
      <w:r w:rsidRPr="00F27C25">
        <w:rPr>
          <w:noProof/>
        </w:rPr>
        <w:t>ajev) in tri obrazce z informacijami. Spremenila bi se opredelitev pojmov „turistični paket s povezanimi postopki spletne rezervacije“ in „turistični paket, kupljen na eni prodajni točki“. S tem bi se uvedla enostavnejša, jasnejša in bolj izvršljiva pravil</w:t>
      </w:r>
      <w:r w:rsidRPr="00F27C25">
        <w:rPr>
          <w:noProof/>
        </w:rPr>
        <w:t>a ter jasnejše informacije za potnike, kot predlagajo številni deležniki, hkrati pa bi se ohranila ali povečala sedanja raven varstva potrošnikov. Navedeno bi bilo, da so uradna opozorila glede potovanj pomemben element pri ugotavljanju, ali turističnega p</w:t>
      </w:r>
      <w:r w:rsidRPr="00F27C25">
        <w:rPr>
          <w:noProof/>
        </w:rPr>
        <w:t xml:space="preserve">aketa ni mogoče izvesti zaradi neizogibnih in izrednih okoliščin, hkrati pa bi bilo treba ohraniti načelo ocene vsakega primera posebej. Predlaga se tudi, da se določi, da se lahko okoliščine v državi odhoda, prebivališča in kraja potovanja upoštevajo pri </w:t>
      </w:r>
      <w:r w:rsidRPr="00F27C25">
        <w:rPr>
          <w:noProof/>
        </w:rPr>
        <w:t>oceni pravice potnikov do odpovedi turističnega paketa zaradi neizogibnih in izrednih okoliščin. V predlogu bodo pojasnjene vloge različnih akterjev, vendar bo zakonska obveznost povračila predplačil ostala na strani organizatorja. Te spremembe bodo zagoto</w:t>
      </w:r>
      <w:r w:rsidRPr="00F27C25">
        <w:rPr>
          <w:noProof/>
        </w:rPr>
        <w:t>vile večjo jasnost za potnike in organizatorje turističnih paketov, s tem pa bi morale zmanjšati upravne stroške za podjetja in škodo za potrošnike.</w:t>
      </w:r>
    </w:p>
    <w:p w14:paraId="5A933F50" w14:textId="77777777" w:rsidR="00144AE5" w:rsidRPr="00F27C25" w:rsidRDefault="00144AE5" w:rsidP="00040787">
      <w:pPr>
        <w:pBdr>
          <w:top w:val="nil"/>
          <w:left w:val="nil"/>
          <w:bottom w:val="nil"/>
          <w:right w:val="nil"/>
          <w:between w:val="nil"/>
          <w:bar w:val="nil"/>
        </w:pBdr>
        <w:spacing w:before="0" w:after="240"/>
        <w:rPr>
          <w:noProof/>
        </w:rPr>
      </w:pPr>
      <w:bookmarkStart w:id="3" w:name="_Hlk147848765"/>
      <w:r w:rsidRPr="00F27C25">
        <w:rPr>
          <w:noProof/>
        </w:rPr>
        <w:t>Pri</w:t>
      </w:r>
      <w:bookmarkEnd w:id="3"/>
      <w:r w:rsidRPr="00F27C25">
        <w:rPr>
          <w:noProof/>
        </w:rPr>
        <w:t xml:space="preserve"> prednostni možnosti bo potrošnikom koristno dejstvo, da bodo poenostavljena in pojasnjena pravila zmanj</w:t>
      </w:r>
      <w:r w:rsidRPr="00F27C25">
        <w:rPr>
          <w:noProof/>
        </w:rPr>
        <w:t xml:space="preserve">šala možnosti za izogibanje ter pojasnila informacije, ki so na voljo potnikom, kar bo privedlo do manjšega števila pravnih sporov, s čimer bodo vsi deležniki prihranili čas, stroške in trud. V zameno za te koristi za potnike se pričakuje, da se bodo cene </w:t>
      </w:r>
      <w:r w:rsidRPr="00F27C25">
        <w:rPr>
          <w:noProof/>
        </w:rPr>
        <w:t>turističnih paketov nekoliko zvišale (tj. za 0,3 %), saj se pričakuje, da bodo organizatorji (in ponudniki storitev) morebitno povečanje stroškov prenesli na potrošnike. Vendar je to majhno zvišanje cen zanemarljivo v primerjavi z drugimi dejavniki, tudi z</w:t>
      </w:r>
      <w:r w:rsidRPr="00F27C25">
        <w:rPr>
          <w:noProof/>
        </w:rPr>
        <w:t xml:space="preserve"> zelo visoko inflacijo, ki je v zadnjih dveh letih prizadela večino gospodarstev, vključno z državami članicami EU. Poleg tega nedavni dokazi iz raziskave o prenovi predpisov ATOL</w:t>
      </w:r>
      <w:r w:rsidRPr="00F27C25">
        <w:rPr>
          <w:rStyle w:val="FootnoteReference"/>
          <w:noProof/>
        </w:rPr>
        <w:footnoteReference w:id="29"/>
      </w:r>
      <w:r w:rsidRPr="00F27C25">
        <w:rPr>
          <w:noProof/>
        </w:rPr>
        <w:t xml:space="preserve"> v Združenem kraljestvu in povratne informacije potrošniških organizacij EU</w:t>
      </w:r>
      <w:r w:rsidRPr="00F27C25">
        <w:rPr>
          <w:rStyle w:val="FootnoteReference"/>
          <w:noProof/>
        </w:rPr>
        <w:footnoteReference w:id="30"/>
      </w:r>
      <w:r w:rsidRPr="00F27C25">
        <w:rPr>
          <w:noProof/>
          <w:color w:val="000000" w:themeColor="text1"/>
          <w:vertAlign w:val="superscript"/>
        </w:rPr>
        <w:t>,</w:t>
      </w:r>
      <w:r w:rsidRPr="00F27C25">
        <w:rPr>
          <w:rStyle w:val="FootnoteReference"/>
          <w:noProof/>
          <w:color w:val="000000" w:themeColor="text1"/>
        </w:rPr>
        <w:footnoteReference w:id="31"/>
      </w:r>
      <w:r w:rsidRPr="00F27C25">
        <w:rPr>
          <w:noProof/>
        </w:rPr>
        <w:t xml:space="preserve"> kažejo, da potniki včasih raje plačajo bistveno več, da bi bili deležni večje zaščite.</w:t>
      </w:r>
      <w:r w:rsidRPr="00F27C25">
        <w:rPr>
          <w:noProof/>
          <w:color w:val="000000" w:themeColor="text1"/>
        </w:rPr>
        <w:t xml:space="preserve"> Zato se ne pričakuje, da bi ukrepi iz prednostne možnosti povzročili zmanjšanje nabave t</w:t>
      </w:r>
      <w:r w:rsidRPr="00F27C25">
        <w:rPr>
          <w:noProof/>
          <w:color w:val="000000" w:themeColor="text1"/>
        </w:rPr>
        <w:t>urističnih paketov pri potnikih.</w:t>
      </w:r>
      <w:r w:rsidRPr="00F27C25">
        <w:rPr>
          <w:rStyle w:val="FootnoteReference"/>
          <w:noProof/>
          <w:color w:val="000000" w:themeColor="text1"/>
        </w:rPr>
        <w:t xml:space="preserve"> </w:t>
      </w:r>
      <w:r w:rsidRPr="00F27C25">
        <w:rPr>
          <w:rStyle w:val="FootnoteReference"/>
          <w:noProof/>
          <w:color w:val="000000" w:themeColor="text1"/>
        </w:rPr>
        <w:footnoteReference w:id="32"/>
      </w:r>
      <w:r w:rsidRPr="00F27C25">
        <w:rPr>
          <w:noProof/>
          <w:color w:val="000000" w:themeColor="text1"/>
        </w:rPr>
        <w:t xml:space="preserve"> </w:t>
      </w:r>
      <w:r w:rsidRPr="00F27C25">
        <w:rPr>
          <w:noProof/>
        </w:rPr>
        <w:t>Na splošno bodo potrošniki zaradi prednostne možnosti v boljšem položaju kot ob ohranitvi sedanjega stanja.</w:t>
      </w:r>
    </w:p>
    <w:p w14:paraId="5DF0B687" w14:textId="77777777" w:rsidR="00144AE5" w:rsidRPr="00F27C25" w:rsidRDefault="00144AE5" w:rsidP="00040787">
      <w:pPr>
        <w:pBdr>
          <w:top w:val="nil"/>
          <w:left w:val="nil"/>
          <w:bottom w:val="nil"/>
          <w:right w:val="nil"/>
          <w:between w:val="nil"/>
          <w:bar w:val="nil"/>
        </w:pBdr>
        <w:spacing w:before="0" w:after="240"/>
        <w:rPr>
          <w:rFonts w:eastAsia="Arial Unicode MS"/>
          <w:noProof/>
        </w:rPr>
      </w:pPr>
      <w:r w:rsidRPr="00F27C25">
        <w:rPr>
          <w:noProof/>
        </w:rPr>
        <w:t>Kar zadeva vplive na okolje, bi lahko nekateri ukrepi politike povzročili rahlo zvišanje cen turističnih paketov</w:t>
      </w:r>
      <w:r w:rsidRPr="00F27C25">
        <w:rPr>
          <w:noProof/>
        </w:rPr>
        <w:t>. Zvišanje cen bi lahko privedlo do manjše prodaje turističnih paketov. Vendar ni verjetno, da bi kakršno koli zvišanje cen, ki bi bilo neposredno povezano s spremembami Direktive, povzročilo zmanjšanje skupnega števila potovanj in s tem manjši ogljični od</w:t>
      </w:r>
      <w:r w:rsidRPr="00F27C25">
        <w:rPr>
          <w:noProof/>
        </w:rPr>
        <w:t xml:space="preserve">tis potovalnega sektorja, saj se lahko potrošniki preprosto preusmerijo k samostojnim storitvam. Prav tako se ne pričakuje, da bodo predlagani ukrepi politike povečali ogljični odtis potovanj, zato se ne pričakuje, da bodo imeli znaten vpliv na okolje. </w:t>
      </w:r>
      <w:r w:rsidRPr="00F27C25">
        <w:rPr>
          <w:noProof/>
          <w:color w:val="000000" w:themeColor="text1"/>
        </w:rPr>
        <w:t>Zat</w:t>
      </w:r>
      <w:r w:rsidRPr="00F27C25">
        <w:rPr>
          <w:noProof/>
          <w:color w:val="000000" w:themeColor="text1"/>
        </w:rPr>
        <w:t>o</w:t>
      </w:r>
      <w:r w:rsidRPr="00F27C25">
        <w:rPr>
          <w:noProof/>
        </w:rPr>
        <w:t xml:space="preserve"> je predlog skladen z okoljskimi cilji evropskega zelenega dogovora in evropskimi podnebnimi pravili</w:t>
      </w:r>
      <w:r w:rsidRPr="00F27C25">
        <w:rPr>
          <w:rStyle w:val="FootnoteReference"/>
          <w:noProof/>
        </w:rPr>
        <w:footnoteReference w:id="33"/>
      </w:r>
      <w:r w:rsidRPr="00F27C25">
        <w:rPr>
          <w:noProof/>
        </w:rPr>
        <w:t xml:space="preserve"> ter načelom, da se ne škoduje bistveno</w:t>
      </w:r>
      <w:r w:rsidRPr="00F27C25">
        <w:rPr>
          <w:rStyle w:val="FootnoteReference"/>
          <w:noProof/>
        </w:rPr>
        <w:footnoteReference w:id="34"/>
      </w:r>
      <w:r w:rsidRPr="00F27C25">
        <w:rPr>
          <w:noProof/>
        </w:rPr>
        <w:t>.</w:t>
      </w:r>
    </w:p>
    <w:p w14:paraId="76974A68" w14:textId="77777777" w:rsidR="00144AE5" w:rsidRPr="00F27C25" w:rsidRDefault="00144AE5" w:rsidP="00040787">
      <w:pPr>
        <w:pBdr>
          <w:top w:val="nil"/>
          <w:left w:val="nil"/>
          <w:bottom w:val="nil"/>
          <w:right w:val="nil"/>
          <w:between w:val="nil"/>
          <w:bar w:val="nil"/>
        </w:pBdr>
        <w:spacing w:before="0" w:after="240"/>
        <w:rPr>
          <w:rFonts w:eastAsia="Arial Unicode MS"/>
          <w:noProof/>
        </w:rPr>
      </w:pPr>
      <w:r w:rsidRPr="00F27C25">
        <w:rPr>
          <w:noProof/>
        </w:rPr>
        <w:t>Pričakuje se, da bodo predlagane spremembe politike imele nevtralen učinek na načelo „privzeto digitalno“. Kar</w:t>
      </w:r>
      <w:r w:rsidRPr="00F27C25">
        <w:rPr>
          <w:noProof/>
        </w:rPr>
        <w:t xml:space="preserve"> zadeva socialne učinke, so vsi učinki na varstvo potrošnikov, zaupanje potrošnikov in porazdelitev dohodka vključeni v gospodarske učinke na potnike in podjetja.</w:t>
      </w:r>
    </w:p>
    <w:p w14:paraId="250E712B" w14:textId="77777777" w:rsidR="00144AE5" w:rsidRPr="00F27C25" w:rsidRDefault="00144AE5" w:rsidP="00040787">
      <w:pPr>
        <w:pBdr>
          <w:top w:val="nil"/>
          <w:left w:val="nil"/>
          <w:bottom w:val="nil"/>
          <w:right w:val="nil"/>
          <w:between w:val="nil"/>
          <w:bar w:val="nil"/>
        </w:pBdr>
        <w:spacing w:before="0" w:after="240"/>
        <w:rPr>
          <w:rFonts w:eastAsia="Arial Unicode MS"/>
          <w:noProof/>
        </w:rPr>
      </w:pPr>
    </w:p>
    <w:p w14:paraId="36183BFD" w14:textId="77777777" w:rsidR="00144AE5" w:rsidRPr="00F27C25" w:rsidRDefault="00144AE5" w:rsidP="00040787">
      <w:pPr>
        <w:pStyle w:val="ManualHeading2"/>
        <w:rPr>
          <w:rFonts w:eastAsia="Arial Unicode MS"/>
          <w:noProof/>
          <w:u w:color="000000"/>
          <w:bdr w:val="nil"/>
        </w:rPr>
      </w:pPr>
      <w:r w:rsidRPr="00F27C25">
        <w:rPr>
          <w:noProof/>
          <w:u w:color="000000"/>
          <w:bdr w:val="nil"/>
        </w:rPr>
        <w:t>•</w:t>
      </w:r>
      <w:r w:rsidRPr="00F27C25">
        <w:rPr>
          <w:noProof/>
          <w:u w:color="000000"/>
          <w:bdr w:val="nil"/>
        </w:rPr>
        <w:tab/>
        <w:t>Primernost in poenostavitev ureditve</w:t>
      </w:r>
    </w:p>
    <w:p w14:paraId="5AC229AE" w14:textId="77777777" w:rsidR="00144AE5" w:rsidRPr="00F27C25" w:rsidRDefault="00144AE5" w:rsidP="00040787">
      <w:pPr>
        <w:pBdr>
          <w:top w:val="nil"/>
          <w:left w:val="nil"/>
          <w:bottom w:val="nil"/>
          <w:right w:val="nil"/>
          <w:between w:val="nil"/>
          <w:bar w:val="nil"/>
        </w:pBdr>
        <w:spacing w:before="0" w:after="240"/>
        <w:rPr>
          <w:rFonts w:eastAsia="Arial Unicode MS"/>
          <w:noProof/>
        </w:rPr>
      </w:pPr>
      <w:r w:rsidRPr="00F27C25">
        <w:rPr>
          <w:noProof/>
        </w:rPr>
        <w:t>Revizija Direktive bi prinesla koristi tako potnikom kot tudi potovalnim podjetjem. Povzročila bi tudi nekaj stroškov za podjetja, ki bi se lahko prenesli na potnike. Pričakuje pa se tudi, da se bo zmanjšalo breme za podjetja, zlasti zaradi večje pravne ja</w:t>
      </w:r>
      <w:r w:rsidRPr="00F27C25">
        <w:rPr>
          <w:noProof/>
        </w:rPr>
        <w:t xml:space="preserve">snosti in poenostavitve. Poleg tega so nekatere države članice že sprejele več ukrepov, ki bi lahko privedli do rahlega povišanja stroškov. Zato v teh državah članicah podjetja ne bi imela dodatnih stroškov. </w:t>
      </w:r>
    </w:p>
    <w:p w14:paraId="65C5F111" w14:textId="77777777" w:rsidR="00144AE5" w:rsidRPr="00F27C25" w:rsidRDefault="00144AE5" w:rsidP="00040787">
      <w:pPr>
        <w:pBdr>
          <w:top w:val="nil"/>
          <w:left w:val="nil"/>
          <w:bottom w:val="nil"/>
          <w:right w:val="nil"/>
          <w:between w:val="nil"/>
          <w:bar w:val="nil"/>
        </w:pBdr>
        <w:spacing w:before="0" w:after="240"/>
        <w:rPr>
          <w:rFonts w:eastAsia="Arial Unicode MS"/>
          <w:noProof/>
        </w:rPr>
      </w:pPr>
      <w:r w:rsidRPr="00F27C25">
        <w:rPr>
          <w:noProof/>
        </w:rPr>
        <w:t xml:space="preserve">Kar zadeva zmanjšanje bremena za javne uprave, </w:t>
      </w:r>
      <w:r w:rsidRPr="00F27C25">
        <w:rPr>
          <w:noProof/>
        </w:rPr>
        <w:t>se pričakuje, da bosta višja stopnja pravne jasnosti in poenostavljen regulativni okvir povečala raven skladnosti in izboljšala učinkovitost izvrševanja. Poleg tega lahko države članice opredelijo najboljše prakse tako, da se zgledujejo po drugih državah č</w:t>
      </w:r>
      <w:r w:rsidRPr="00F27C25">
        <w:rPr>
          <w:noProof/>
        </w:rPr>
        <w:t xml:space="preserve">lanicah, ki so že izvedle ukrepe, predstavljene kot prostovoljne v okviru prednostne možnosti. </w:t>
      </w:r>
    </w:p>
    <w:p w14:paraId="75BE18DA" w14:textId="77777777" w:rsidR="00144AE5" w:rsidRPr="00F27C25" w:rsidRDefault="00144AE5" w:rsidP="00040787">
      <w:pPr>
        <w:pBdr>
          <w:top w:val="nil"/>
          <w:left w:val="nil"/>
          <w:bottom w:val="nil"/>
          <w:right w:val="nil"/>
          <w:between w:val="nil"/>
          <w:bar w:val="nil"/>
        </w:pBdr>
        <w:spacing w:before="0" w:after="240"/>
        <w:rPr>
          <w:noProof/>
        </w:rPr>
      </w:pPr>
      <w:r w:rsidRPr="00F27C25">
        <w:rPr>
          <w:noProof/>
        </w:rPr>
        <w:t>Glede na oceno je bilo leta 2019 približno 99 % organizatorjev v EU MSP. Od podjetij, ki so se udeležila javnega posvetovanja, jih je 96 % MSP, večinoma mikropo</w:t>
      </w:r>
      <w:r w:rsidRPr="00F27C25">
        <w:rPr>
          <w:noProof/>
        </w:rPr>
        <w:t>djetij. Glede na močno zastopanost MSP in mikropodjetij v sektorju omejeni učinki na stroške za vsa podjetja odražajo tudi položaj MSP in mikropodjetij. MSP in mikropodjetja bodo deležna koristi nekaterih ukrepov, na primer nove pravice do povračila med po</w:t>
      </w:r>
      <w:r w:rsidRPr="00F27C25">
        <w:rPr>
          <w:noProof/>
        </w:rPr>
        <w:t>djetji in možnosti, da potnikom namesto povračil ponudijo dobropise, na enak način kot večja podjetja. Zato ne bi bilo upravičeno, da se mikropodjetja izvzamejo ali da se predlagajo prehodna obdobja. Komisija je pri oblikovanju ukrepov, vključenih v revizi</w:t>
      </w:r>
      <w:r w:rsidRPr="00F27C25">
        <w:rPr>
          <w:noProof/>
        </w:rPr>
        <w:t>jo Direktive, upoštevala stališča in posebnosti mikropodjetij.</w:t>
      </w:r>
    </w:p>
    <w:p w14:paraId="18CC50D1" w14:textId="77777777" w:rsidR="00144AE5" w:rsidRPr="00F27C25" w:rsidRDefault="00144AE5" w:rsidP="00040787">
      <w:pPr>
        <w:pBdr>
          <w:top w:val="nil"/>
          <w:left w:val="nil"/>
          <w:bottom w:val="nil"/>
          <w:right w:val="nil"/>
          <w:between w:val="nil"/>
          <w:bar w:val="nil"/>
        </w:pBdr>
        <w:spacing w:before="0" w:after="240"/>
        <w:rPr>
          <w:noProof/>
        </w:rPr>
      </w:pPr>
      <w:r w:rsidRPr="00F27C25">
        <w:rPr>
          <w:noProof/>
        </w:rPr>
        <w:t>Uporaba spletnih kanalov za sklepanje pogodb o paketnem potovanju se v zadnjih letih povečuje. Pri reviziji prejšnje direktive o paketnih potovanjih leta 2015 je bil ta trend že upoštevan. Čepr</w:t>
      </w:r>
      <w:r w:rsidRPr="00F27C25">
        <w:rPr>
          <w:noProof/>
        </w:rPr>
        <w:t>av nekatere določbe, npr. o povezanih potovalnih aranžmajih in njihovih morebitnih spremembah, morda zadevajo spletno prodajo, se pričakuje, da ocenjeni ukrepi politike ne bodo bistveno vplivali na digitalizacijo.  Posledično se pričakuje, da bo predlagana</w:t>
      </w:r>
      <w:r w:rsidRPr="00F27C25">
        <w:rPr>
          <w:noProof/>
        </w:rPr>
        <w:t xml:space="preserve"> revizija Direktive imela nevtralen učinek na uporabo načela „privzeto digitalno“.</w:t>
      </w:r>
    </w:p>
    <w:p w14:paraId="714531DF" w14:textId="77777777" w:rsidR="00144AE5" w:rsidRPr="00F27C25" w:rsidRDefault="00144AE5" w:rsidP="00040787">
      <w:pPr>
        <w:pBdr>
          <w:top w:val="nil"/>
          <w:left w:val="nil"/>
          <w:bottom w:val="nil"/>
          <w:right w:val="nil"/>
          <w:between w:val="nil"/>
          <w:bar w:val="nil"/>
        </w:pBdr>
        <w:spacing w:before="0" w:after="240"/>
        <w:rPr>
          <w:noProof/>
        </w:rPr>
      </w:pPr>
    </w:p>
    <w:p w14:paraId="069730F3" w14:textId="77777777" w:rsidR="00144AE5" w:rsidRPr="00F27C25" w:rsidRDefault="00144AE5" w:rsidP="00040787">
      <w:pPr>
        <w:pStyle w:val="ManualHeading2"/>
        <w:rPr>
          <w:rFonts w:eastAsia="Arial Unicode MS"/>
          <w:noProof/>
          <w:u w:color="000000"/>
          <w:bdr w:val="nil"/>
        </w:rPr>
      </w:pPr>
      <w:r w:rsidRPr="00F27C25">
        <w:rPr>
          <w:noProof/>
          <w:u w:color="000000"/>
          <w:bdr w:val="nil"/>
        </w:rPr>
        <w:t>•</w:t>
      </w:r>
      <w:r w:rsidRPr="00F27C25">
        <w:rPr>
          <w:noProof/>
          <w:u w:color="000000"/>
          <w:bdr w:val="nil"/>
        </w:rPr>
        <w:tab/>
        <w:t>Temeljne pravice</w:t>
      </w:r>
    </w:p>
    <w:p w14:paraId="713D9458" w14:textId="77777777" w:rsidR="00144AE5" w:rsidRPr="00F27C25" w:rsidRDefault="00144AE5" w:rsidP="00040787">
      <w:pPr>
        <w:pBdr>
          <w:top w:val="nil"/>
          <w:left w:val="nil"/>
          <w:bottom w:val="nil"/>
          <w:right w:val="nil"/>
          <w:between w:val="nil"/>
          <w:bar w:val="nil"/>
        </w:pBdr>
        <w:spacing w:before="0" w:after="240"/>
        <w:rPr>
          <w:rFonts w:eastAsia="Arial Unicode MS"/>
          <w:noProof/>
        </w:rPr>
      </w:pPr>
      <w:r w:rsidRPr="00F27C25">
        <w:rPr>
          <w:noProof/>
        </w:rPr>
        <w:t xml:space="preserve">Listina Evropske unije o temeljnih pravicah varuje širok nabor pravic na področju potrošniškega prava in notranjega trga. </w:t>
      </w:r>
    </w:p>
    <w:p w14:paraId="6270EB67" w14:textId="77777777" w:rsidR="00144AE5" w:rsidRPr="00F27C25" w:rsidRDefault="00144AE5" w:rsidP="00040787">
      <w:pPr>
        <w:pBdr>
          <w:top w:val="nil"/>
          <w:left w:val="nil"/>
          <w:bottom w:val="nil"/>
          <w:right w:val="nil"/>
          <w:between w:val="nil"/>
          <w:bar w:val="nil"/>
        </w:pBdr>
        <w:spacing w:before="0" w:after="240"/>
        <w:rPr>
          <w:rFonts w:eastAsia="Arial Unicode MS"/>
          <w:noProof/>
        </w:rPr>
      </w:pPr>
      <w:r w:rsidRPr="00F27C25">
        <w:rPr>
          <w:noProof/>
        </w:rPr>
        <w:t xml:space="preserve">Predlagana direktiva nima negativnega učinka na temeljne pravice in jih ne omejuje. Pozitivni učinki izboljšanja delovanja notranjega trga v sektorju paketnih potovanj bodo verjetno več državljanom EU omogočili uveljavljanje njihovih pravic pod jasnejšimi </w:t>
      </w:r>
      <w:r w:rsidRPr="00F27C25">
        <w:rPr>
          <w:noProof/>
        </w:rPr>
        <w:t>pogoji. Poleg tega se pričakuje, da bo revidirana direktiva o paketnih potovanjih olajšala prosto gibanje državljanov v EU, po njej in zunaj nje, in sicer s preprostejšo in jasnejšo zakonodajo v zvezi s storitvami paketnih potovanj ter večjimi pravicami po</w:t>
      </w:r>
      <w:r w:rsidRPr="00F27C25">
        <w:rPr>
          <w:noProof/>
        </w:rPr>
        <w:t xml:space="preserve">tnikov v zvezi s povračili v primeru insolventnosti organizatorja ali v nekaterih izrednih kriznih obdobjih. Predlagane poenostavitve in boljše informacije za potnike naj bi imele pozitiven učinek tudi na invalide. </w:t>
      </w:r>
    </w:p>
    <w:p w14:paraId="2103BCF0" w14:textId="77777777" w:rsidR="00144AE5" w:rsidRPr="00F27C25" w:rsidRDefault="00144AE5" w:rsidP="00040787">
      <w:pPr>
        <w:pBdr>
          <w:top w:val="nil"/>
          <w:left w:val="nil"/>
          <w:bottom w:val="nil"/>
          <w:right w:val="nil"/>
          <w:between w:val="nil"/>
          <w:bar w:val="nil"/>
        </w:pBdr>
        <w:spacing w:before="0" w:after="240"/>
        <w:rPr>
          <w:rFonts w:eastAsia="Arial Unicode MS"/>
          <w:noProof/>
        </w:rPr>
      </w:pPr>
      <w:r w:rsidRPr="00F27C25">
        <w:rPr>
          <w:noProof/>
        </w:rPr>
        <w:t xml:space="preserve">Čeprav lahko predlagana revizija poveča </w:t>
      </w:r>
      <w:r w:rsidRPr="00F27C25">
        <w:rPr>
          <w:noProof/>
        </w:rPr>
        <w:t>stroške transakcij za nekatera podjetja, se bodo zaradi poenostavitve in večje pravne varnosti kot posledice revizije nekateri stroški tudi znižali. Nadaljnja harmonizacija naj bi poenotila konkurenčne pogoje in tako olajšala razvoj čezmejne trgovine in/al</w:t>
      </w:r>
      <w:r w:rsidRPr="00F27C25">
        <w:rPr>
          <w:noProof/>
        </w:rPr>
        <w:t>i storitev v EU za paketna potovanja.</w:t>
      </w:r>
    </w:p>
    <w:p w14:paraId="277419F5" w14:textId="77777777" w:rsidR="00144AE5" w:rsidRPr="00F27C25" w:rsidRDefault="00144AE5" w:rsidP="00040787">
      <w:pPr>
        <w:rPr>
          <w:rFonts w:eastAsia="Arial Unicode MS"/>
          <w:noProof/>
        </w:rPr>
      </w:pPr>
      <w:r w:rsidRPr="00F27C25">
        <w:rPr>
          <w:noProof/>
        </w:rPr>
        <w:t xml:space="preserve">Na splošno je namen kombinacije ukrepov politike iz predlagane direktive doseči ravnovesje med pravicami potrošnikov in pravico do poslovanja v sektorju paketnih potovanj. </w:t>
      </w:r>
    </w:p>
    <w:p w14:paraId="2C148C85" w14:textId="77777777" w:rsidR="00144AE5" w:rsidRPr="00F27C25" w:rsidRDefault="00144AE5" w:rsidP="00040787">
      <w:pPr>
        <w:pStyle w:val="ManualHeading1"/>
        <w:rPr>
          <w:noProof/>
        </w:rPr>
      </w:pPr>
      <w:r w:rsidRPr="00F27C25">
        <w:rPr>
          <w:noProof/>
        </w:rPr>
        <w:t>4.</w:t>
      </w:r>
      <w:r w:rsidRPr="00F27C25">
        <w:rPr>
          <w:noProof/>
        </w:rPr>
        <w:tab/>
        <w:t>PRORAČUNSKE POSLEDICE</w:t>
      </w:r>
    </w:p>
    <w:p w14:paraId="2B5F8CDB" w14:textId="77777777" w:rsidR="00144AE5" w:rsidRPr="00F27C25" w:rsidRDefault="00144AE5" w:rsidP="00040787">
      <w:pPr>
        <w:pBdr>
          <w:top w:val="nil"/>
          <w:left w:val="nil"/>
          <w:bottom w:val="nil"/>
          <w:right w:val="nil"/>
          <w:between w:val="nil"/>
          <w:bar w:val="nil"/>
        </w:pBdr>
        <w:spacing w:before="0" w:after="240"/>
        <w:rPr>
          <w:rFonts w:eastAsia="Arial Unicode MS"/>
          <w:noProof/>
        </w:rPr>
      </w:pPr>
      <w:r w:rsidRPr="00F27C25">
        <w:rPr>
          <w:noProof/>
        </w:rPr>
        <w:t>Za ta predlog niso p</w:t>
      </w:r>
      <w:r w:rsidRPr="00F27C25">
        <w:rPr>
          <w:noProof/>
        </w:rPr>
        <w:t>otrebni dodatni viri iz proračuna Evropske unije.</w:t>
      </w:r>
    </w:p>
    <w:p w14:paraId="0BAB6C6D" w14:textId="77777777" w:rsidR="00144AE5" w:rsidRPr="00F27C25" w:rsidRDefault="00144AE5" w:rsidP="00040787">
      <w:pPr>
        <w:pStyle w:val="ManualHeading1"/>
        <w:rPr>
          <w:noProof/>
        </w:rPr>
      </w:pPr>
      <w:r w:rsidRPr="00F27C25">
        <w:rPr>
          <w:noProof/>
        </w:rPr>
        <w:t>5.</w:t>
      </w:r>
      <w:r w:rsidRPr="00F27C25">
        <w:rPr>
          <w:noProof/>
        </w:rPr>
        <w:tab/>
        <w:t>DRUGI ELEMENTI</w:t>
      </w:r>
    </w:p>
    <w:p w14:paraId="4A6B5449" w14:textId="77777777" w:rsidR="00144AE5" w:rsidRPr="00F27C25" w:rsidRDefault="00144AE5" w:rsidP="00040787">
      <w:pPr>
        <w:pStyle w:val="ManualHeading2"/>
        <w:rPr>
          <w:rFonts w:eastAsia="Arial Unicode MS"/>
          <w:noProof/>
          <w:u w:color="000000"/>
          <w:bdr w:val="nil"/>
        </w:rPr>
      </w:pPr>
      <w:r w:rsidRPr="00F27C25">
        <w:rPr>
          <w:noProof/>
          <w:u w:color="000000"/>
          <w:bdr w:val="nil"/>
        </w:rPr>
        <w:t>•</w:t>
      </w:r>
      <w:r w:rsidRPr="00F27C25">
        <w:rPr>
          <w:noProof/>
          <w:u w:color="000000"/>
          <w:bdr w:val="nil"/>
        </w:rPr>
        <w:tab/>
        <w:t>Načrti za izvedbo ter ureditev spremljanja, ocenjevanja in poročanja</w:t>
      </w:r>
    </w:p>
    <w:p w14:paraId="128D4153" w14:textId="77777777" w:rsidR="00144AE5" w:rsidRPr="00F27C25" w:rsidRDefault="00144AE5" w:rsidP="00040787">
      <w:pPr>
        <w:pBdr>
          <w:top w:val="nil"/>
          <w:left w:val="nil"/>
          <w:bottom w:val="nil"/>
          <w:right w:val="nil"/>
          <w:between w:val="nil"/>
          <w:bar w:val="nil"/>
        </w:pBdr>
        <w:spacing w:before="0" w:after="240"/>
        <w:rPr>
          <w:rFonts w:eastAsia="Arial Unicode MS"/>
          <w:noProof/>
        </w:rPr>
      </w:pPr>
      <w:r w:rsidRPr="00F27C25">
        <w:rPr>
          <w:noProof/>
        </w:rPr>
        <w:t>Države članice morajo Direktivo prenesti v 18 mesecih po začetku njene veljavnosti in nacionalne ukrepe za prenos spo</w:t>
      </w:r>
      <w:r w:rsidRPr="00F27C25">
        <w:rPr>
          <w:noProof/>
        </w:rPr>
        <w:t>ročiti Komisiji prek sistema THEMIS. Komisija je pripravljena državam članicam zagotoviti tehnično podporo pri izvajanju Direktive.</w:t>
      </w:r>
    </w:p>
    <w:p w14:paraId="500FC799" w14:textId="77777777" w:rsidR="00144AE5" w:rsidRPr="00F27C25" w:rsidRDefault="00144AE5" w:rsidP="00040787">
      <w:pPr>
        <w:pBdr>
          <w:top w:val="nil"/>
          <w:left w:val="nil"/>
          <w:bottom w:val="nil"/>
          <w:right w:val="nil"/>
          <w:between w:val="nil"/>
          <w:bar w:val="nil"/>
        </w:pBdr>
        <w:spacing w:before="0" w:after="240"/>
        <w:rPr>
          <w:rFonts w:eastAsia="Arial Unicode MS"/>
          <w:noProof/>
        </w:rPr>
      </w:pPr>
      <w:r w:rsidRPr="00F27C25">
        <w:rPr>
          <w:noProof/>
        </w:rPr>
        <w:t>Komisija bo pregledala izvajanje Direktive pet let po začetku njene veljavnosti in po potrebi predlagala zakonodajne spremem</w:t>
      </w:r>
      <w:r w:rsidRPr="00F27C25">
        <w:rPr>
          <w:noProof/>
        </w:rPr>
        <w:t>be. Spremljala bo napredek pri doseganju ciljev pobude s spremljanjem vrste glavnih kazalnikov (navedenih v poročilu o oceni učinka). Okvir za spremljanje bo prilagojen končnim pravnim in izvedbenim zahtevam.</w:t>
      </w:r>
    </w:p>
    <w:p w14:paraId="08690623" w14:textId="77777777" w:rsidR="00144AE5" w:rsidRPr="00F27C25" w:rsidRDefault="00144AE5" w:rsidP="00040787">
      <w:pPr>
        <w:pBdr>
          <w:top w:val="nil"/>
          <w:left w:val="nil"/>
          <w:bottom w:val="nil"/>
          <w:right w:val="nil"/>
          <w:between w:val="nil"/>
          <w:bar w:val="nil"/>
        </w:pBdr>
        <w:spacing w:before="0" w:after="240"/>
        <w:rPr>
          <w:rFonts w:eastAsia="Arial Unicode MS"/>
          <w:noProof/>
        </w:rPr>
      </w:pPr>
    </w:p>
    <w:p w14:paraId="401D201E" w14:textId="77777777" w:rsidR="00144AE5" w:rsidRPr="00F27C25" w:rsidRDefault="00144AE5" w:rsidP="00040787">
      <w:pPr>
        <w:pStyle w:val="ManualHeading2"/>
        <w:rPr>
          <w:rFonts w:eastAsia="Arial Unicode MS"/>
          <w:noProof/>
          <w:u w:color="000000"/>
          <w:bdr w:val="nil"/>
        </w:rPr>
      </w:pPr>
      <w:r w:rsidRPr="00F27C25">
        <w:rPr>
          <w:noProof/>
          <w:u w:color="000000"/>
          <w:bdr w:val="nil"/>
        </w:rPr>
        <w:t>•</w:t>
      </w:r>
      <w:r w:rsidRPr="00F27C25">
        <w:rPr>
          <w:noProof/>
          <w:u w:color="000000"/>
          <w:bdr w:val="nil"/>
        </w:rPr>
        <w:tab/>
        <w:t>Natančnejša pojasnitev posameznih določb pre</w:t>
      </w:r>
      <w:r w:rsidRPr="00F27C25">
        <w:rPr>
          <w:noProof/>
          <w:u w:color="000000"/>
          <w:bdr w:val="nil"/>
        </w:rPr>
        <w:t>dloga</w:t>
      </w:r>
    </w:p>
    <w:p w14:paraId="3865E99A" w14:textId="77777777" w:rsidR="00144AE5" w:rsidRPr="00F27C25" w:rsidRDefault="00144AE5" w:rsidP="00040787">
      <w:pPr>
        <w:pBdr>
          <w:top w:val="nil"/>
          <w:left w:val="nil"/>
          <w:bottom w:val="nil"/>
          <w:right w:val="nil"/>
          <w:between w:val="nil"/>
          <w:bar w:val="nil"/>
        </w:pBdr>
        <w:spacing w:before="0" w:after="240"/>
        <w:rPr>
          <w:noProof/>
        </w:rPr>
      </w:pPr>
      <w:r w:rsidRPr="00F27C25">
        <w:rPr>
          <w:noProof/>
        </w:rPr>
        <w:t>Člen 1 tega predloga spreminja Direktivo (EU) 2015/2302, kot sledi.</w:t>
      </w:r>
    </w:p>
    <w:p w14:paraId="38BF9675" w14:textId="77777777" w:rsidR="00144AE5" w:rsidRPr="00F27C25" w:rsidRDefault="00144AE5" w:rsidP="00040787">
      <w:pPr>
        <w:pBdr>
          <w:top w:val="nil"/>
          <w:left w:val="nil"/>
          <w:bottom w:val="nil"/>
          <w:right w:val="nil"/>
          <w:between w:val="nil"/>
          <w:bar w:val="nil"/>
        </w:pBdr>
        <w:spacing w:before="0" w:after="240"/>
        <w:rPr>
          <w:noProof/>
        </w:rPr>
      </w:pPr>
      <w:r w:rsidRPr="00F27C25">
        <w:rPr>
          <w:i/>
          <w:noProof/>
        </w:rPr>
        <w:t>Člen 3(2) (Turistični paket)</w:t>
      </w:r>
      <w:r w:rsidRPr="00F27C25">
        <w:rPr>
          <w:noProof/>
        </w:rPr>
        <w:t>: Opredelitev pojma turistični paket je prilagojena tako, da odraža, da se storitve, ki se kupijo pri različnih trgovcih prek povezanih postopkov spletne rezervacije, štejejo za turistični paket, kadar en trgovec posreduje osebne podatke potnika drugemu tr</w:t>
      </w:r>
      <w:r w:rsidRPr="00F27C25">
        <w:rPr>
          <w:noProof/>
        </w:rPr>
        <w:t xml:space="preserve">govcu. </w:t>
      </w:r>
      <w:bookmarkStart w:id="4" w:name="_Hlk147229732"/>
      <w:r w:rsidRPr="00F27C25">
        <w:rPr>
          <w:noProof/>
        </w:rPr>
        <w:t>Rezervacije različnih vrst potovalnih storitev za isto potovanje ali počitnice na eni prodajni točki v kratkem času</w:t>
      </w:r>
      <w:bookmarkEnd w:id="4"/>
      <w:r w:rsidRPr="00F27C25">
        <w:rPr>
          <w:noProof/>
        </w:rPr>
        <w:t xml:space="preserve"> se štejejo za turistične pakete na enak način kot rezervacije različnih vrst potovalnih storitev za isto potovanje ali počitnice na e</w:t>
      </w:r>
      <w:r w:rsidRPr="00F27C25">
        <w:rPr>
          <w:noProof/>
        </w:rPr>
        <w:t>ni prodajni točki, kadar so storitve izbrane, preden potnik sklene prvo pogodbo. S tem se prepreči sedanje prekrivanje opredelitev pojmov „turistični paket“ in „povezan potovalni aranžma“, kot je opredeljen v členu 3(5)(a). Zato se člen 3(5)(a) črta. Revid</w:t>
      </w:r>
      <w:r w:rsidRPr="00F27C25">
        <w:rPr>
          <w:noProof/>
        </w:rPr>
        <w:t>irana direktiva tudi pojasnjuje, da kombinacija ene ali več vrst storitev, povezanih s prevozom, nastanitvijo ali najemom avtomobila, z eno ali več drugimi turističnimi storitvami, ki ne predstavljajo več kot 25 % vrednosti kombinacije ter se ne oglašujejo</w:t>
      </w:r>
      <w:r w:rsidRPr="00F27C25">
        <w:rPr>
          <w:noProof/>
        </w:rPr>
        <w:t xml:space="preserve"> kot bistven element kombinacije in ne predstavljajo bistvenega elementa kombinacije, ne šteje za turistični paket. Sklicevanje na 25 % je vzeto iz uvodne izjave 18 sedanje direktive in nadomešča izraz „znaten del“. </w:t>
      </w:r>
    </w:p>
    <w:p w14:paraId="28FBD45B" w14:textId="77777777" w:rsidR="00144AE5" w:rsidRPr="00F27C25" w:rsidRDefault="00144AE5" w:rsidP="00040787">
      <w:pPr>
        <w:pBdr>
          <w:top w:val="nil"/>
          <w:left w:val="nil"/>
          <w:bottom w:val="nil"/>
          <w:right w:val="nil"/>
          <w:between w:val="nil"/>
          <w:bar w:val="nil"/>
        </w:pBdr>
        <w:spacing w:before="0" w:after="240"/>
        <w:rPr>
          <w:noProof/>
        </w:rPr>
      </w:pPr>
      <w:r w:rsidRPr="00F27C25">
        <w:rPr>
          <w:i/>
          <w:noProof/>
        </w:rPr>
        <w:t>Člen 3(5) (Povezan potovalni aranžma):</w:t>
      </w:r>
      <w:r w:rsidRPr="00F27C25">
        <w:rPr>
          <w:noProof/>
        </w:rPr>
        <w:t xml:space="preserve"> </w:t>
      </w:r>
      <w:r w:rsidRPr="00F27C25">
        <w:rPr>
          <w:noProof/>
        </w:rPr>
        <w:t>Ta opredelitev je poenostavljena in pojasnjena.</w:t>
      </w:r>
    </w:p>
    <w:p w14:paraId="600E7655" w14:textId="77777777" w:rsidR="00144AE5" w:rsidRPr="00F27C25" w:rsidRDefault="00144AE5" w:rsidP="00040787">
      <w:pPr>
        <w:pBdr>
          <w:top w:val="nil"/>
          <w:left w:val="nil"/>
          <w:bottom w:val="nil"/>
          <w:right w:val="nil"/>
          <w:between w:val="nil"/>
          <w:bar w:val="nil"/>
        </w:pBdr>
        <w:spacing w:before="0" w:after="240"/>
        <w:rPr>
          <w:noProof/>
        </w:rPr>
      </w:pPr>
      <w:r w:rsidRPr="00F27C25">
        <w:rPr>
          <w:i/>
          <w:noProof/>
        </w:rPr>
        <w:t>Člen 5(1)</w:t>
      </w:r>
      <w:r w:rsidRPr="00F27C25">
        <w:rPr>
          <w:noProof/>
        </w:rPr>
        <w:t xml:space="preserve"> je spremenjen, da se podrobno določi, da je poleg pravice do odstopa od pogodbe ob plačilu odstopnine obvezno navesti tudi informacije o pravici potnika do odpovedi pogodbe o paketnem potovanju zara</w:t>
      </w:r>
      <w:r w:rsidRPr="00F27C25">
        <w:rPr>
          <w:noProof/>
        </w:rPr>
        <w:t>di neizogibnih in izrednih okoliščin.</w:t>
      </w:r>
    </w:p>
    <w:p w14:paraId="25DE7B77" w14:textId="77777777" w:rsidR="00144AE5" w:rsidRPr="00F27C25" w:rsidRDefault="00144AE5" w:rsidP="00040787">
      <w:pPr>
        <w:pBdr>
          <w:top w:val="nil"/>
          <w:left w:val="nil"/>
          <w:bottom w:val="nil"/>
          <w:right w:val="nil"/>
          <w:between w:val="nil"/>
          <w:bar w:val="nil"/>
        </w:pBdr>
        <w:spacing w:before="0" w:after="240"/>
        <w:rPr>
          <w:noProof/>
        </w:rPr>
      </w:pPr>
      <w:r w:rsidRPr="00F27C25">
        <w:rPr>
          <w:i/>
          <w:noProof/>
        </w:rPr>
        <w:t>Novi člen 5a (Plačila):</w:t>
      </w:r>
      <w:r w:rsidRPr="00F27C25">
        <w:rPr>
          <w:noProof/>
        </w:rPr>
        <w:t xml:space="preserve"> Vstavi se nov člen o plačilih. Ta člen določa, da pologi načeloma ne smejo presegati 25 % cene turističnega paketa in da lahko preostala plačila zapadejo največ 28 dni pred začetkom turističnega</w:t>
      </w:r>
      <w:r w:rsidRPr="00F27C25">
        <w:rPr>
          <w:noProof/>
        </w:rPr>
        <w:t xml:space="preserve"> paketa. Vendar se lahko zahtevajo višji pologi, kadar je to potrebno za zagotovitev organizacije in izvedbe turističnega paketa. Člen 5a se ne uporablja za turistične pakete, rezervirane manj kot 28 dni pred začetkom turističnega paketa, in za darilne bon</w:t>
      </w:r>
      <w:r w:rsidRPr="00F27C25">
        <w:rPr>
          <w:noProof/>
        </w:rPr>
        <w:t>e za paketna potovanja.</w:t>
      </w:r>
    </w:p>
    <w:p w14:paraId="63333CE0" w14:textId="77777777" w:rsidR="00144AE5" w:rsidRPr="00F27C25" w:rsidRDefault="00144AE5" w:rsidP="00040787">
      <w:pPr>
        <w:pBdr>
          <w:top w:val="nil"/>
          <w:left w:val="nil"/>
          <w:bottom w:val="nil"/>
          <w:right w:val="nil"/>
          <w:between w:val="nil"/>
          <w:bar w:val="nil"/>
        </w:pBdr>
        <w:spacing w:before="0" w:after="240"/>
        <w:rPr>
          <w:noProof/>
        </w:rPr>
      </w:pPr>
      <w:r w:rsidRPr="00F27C25">
        <w:rPr>
          <w:i/>
          <w:noProof/>
        </w:rPr>
        <w:t>Člen 7(2) (Vsebina pogodbe o paketnem potovanju in dokumenti, ki jih je treba predložiti pred začetkom turističnega paketa)</w:t>
      </w:r>
      <w:r w:rsidRPr="00F27C25">
        <w:rPr>
          <w:noProof/>
        </w:rPr>
        <w:t>: V pogodbi mora biti zdaj navedeno, da je organizator odgovoren za povračilo stroškov in da lahko potniki st</w:t>
      </w:r>
      <w:r w:rsidRPr="00F27C25">
        <w:rPr>
          <w:noProof/>
        </w:rPr>
        <w:t>opijo v stik z organizatorji prek turističnega agenta, v skladu s pravnimi določbami. Poleg tega je dodano, da bi moral biti pogodbi o paketnem potovanju priložen obrazec z ustreznimi informacijami iz Priloge I k Direktivi, tako da bo potnikom po predpogod</w:t>
      </w:r>
      <w:r w:rsidRPr="00F27C25">
        <w:rPr>
          <w:noProof/>
        </w:rPr>
        <w:t>beni fazi ostal zlahka dostopen.</w:t>
      </w:r>
    </w:p>
    <w:p w14:paraId="3FB34381" w14:textId="77777777" w:rsidR="00144AE5" w:rsidRPr="00F27C25" w:rsidRDefault="00144AE5" w:rsidP="00040787">
      <w:pPr>
        <w:pBdr>
          <w:top w:val="nil"/>
          <w:left w:val="nil"/>
          <w:bottom w:val="nil"/>
          <w:right w:val="nil"/>
          <w:between w:val="nil"/>
          <w:bar w:val="nil"/>
        </w:pBdr>
        <w:spacing w:before="0" w:after="240"/>
        <w:rPr>
          <w:noProof/>
        </w:rPr>
      </w:pPr>
      <w:r w:rsidRPr="00F27C25">
        <w:rPr>
          <w:i/>
          <w:noProof/>
        </w:rPr>
        <w:t>Člen 12(2) (Odstop od pogodbe o paketnem potovanju in pravica do umika pred začetkom turističnega paketa)</w:t>
      </w:r>
      <w:r w:rsidRPr="00F27C25">
        <w:rPr>
          <w:noProof/>
        </w:rPr>
        <w:t xml:space="preserve"> Novo besedilo tega odstavka o odstopu od pogodbe zaradi neizogibnih in izrednih okoliščin vsebuje dodatne podrobnosti</w:t>
      </w:r>
      <w:r w:rsidRPr="00F27C25">
        <w:rPr>
          <w:noProof/>
        </w:rPr>
        <w:t xml:space="preserve"> za pojasnitev te pravice do odpovedi. Novo besedilo pojasnjuje, da se ta pravica uporablja v primeru neizogibnih in izrednih okoliščin v kraju potovanja ali njegovi neposredni bližini ali okoliščin, ki vplivajo na potovanje do kraja potovanja, pa tudi v k</w:t>
      </w:r>
      <w:r w:rsidRPr="00F27C25">
        <w:rPr>
          <w:noProof/>
        </w:rPr>
        <w:t>raju prebivališča ali odhoda, v vseh primerih pa znatno vplivajo na izvedbo paketnega potovanja. Novo besedilo prav tako pojasnjuje, da je možen odstop od pogodbe, če je mogoče razumno pričakovati, da bodo neizogibne in izredne okoliščine znatno vplivale n</w:t>
      </w:r>
      <w:r w:rsidRPr="00F27C25">
        <w:rPr>
          <w:noProof/>
        </w:rPr>
        <w:t>a izvedbo pogodbe o paketnem potovanju.</w:t>
      </w:r>
    </w:p>
    <w:p w14:paraId="5B317571" w14:textId="77777777" w:rsidR="00144AE5" w:rsidRPr="00F27C25" w:rsidRDefault="00144AE5" w:rsidP="00040787">
      <w:pPr>
        <w:pBdr>
          <w:top w:val="nil"/>
          <w:left w:val="nil"/>
          <w:bottom w:val="nil"/>
          <w:right w:val="nil"/>
          <w:between w:val="nil"/>
          <w:bar w:val="nil"/>
        </w:pBdr>
        <w:spacing w:before="0" w:after="240"/>
        <w:rPr>
          <w:noProof/>
        </w:rPr>
      </w:pPr>
      <w:r w:rsidRPr="00F27C25">
        <w:rPr>
          <w:i/>
          <w:noProof/>
        </w:rPr>
        <w:t>Novi člen 12(3a):</w:t>
      </w:r>
      <w:r w:rsidRPr="00F27C25">
        <w:rPr>
          <w:noProof/>
        </w:rPr>
        <w:t xml:space="preserve"> Doda se nov odstavek, ki pojasnjuje, da so uradna opozorila glede potovanj, ki jih izdajo organi, ali resne omejitve, ki se nanašajo na kraj potovanja ali po vrnitvi iz njega, pomembni elementi pri </w:t>
      </w:r>
      <w:r w:rsidRPr="00F27C25">
        <w:rPr>
          <w:noProof/>
        </w:rPr>
        <w:t>ocenjevanju, ali so se pojavile neizogibne in izredne okoliščine, ki znatno vplivajo na izvedbo turističnega paketa.</w:t>
      </w:r>
    </w:p>
    <w:p w14:paraId="13735821" w14:textId="77777777" w:rsidR="00144AE5" w:rsidRPr="00F27C25" w:rsidRDefault="00144AE5" w:rsidP="00040787">
      <w:pPr>
        <w:pBdr>
          <w:top w:val="nil"/>
          <w:left w:val="nil"/>
          <w:bottom w:val="nil"/>
          <w:right w:val="nil"/>
          <w:between w:val="nil"/>
          <w:bar w:val="nil"/>
        </w:pBdr>
        <w:spacing w:before="0" w:after="240"/>
        <w:rPr>
          <w:noProof/>
        </w:rPr>
      </w:pPr>
      <w:r w:rsidRPr="00F27C25">
        <w:rPr>
          <w:i/>
          <w:noProof/>
        </w:rPr>
        <w:t>Člen 12(4)</w:t>
      </w:r>
      <w:r w:rsidRPr="00F27C25">
        <w:rPr>
          <w:noProof/>
        </w:rPr>
        <w:t>: Ta odstavek se spremeni, da se pojasni, da mora organizator potniku povrniti stroške v primeru odstopa od pogodbe v skladu s čl</w:t>
      </w:r>
      <w:r w:rsidRPr="00F27C25">
        <w:rPr>
          <w:noProof/>
        </w:rPr>
        <w:t xml:space="preserve">enom 12(2) ali členom 12(3), ne glede na to, ali potnik izrecno zahteva povračilo. Poleg tega novi pododstavek določa, da morajo države članice, kadar uvedejo ali ohranijo mehanizme za zagotovitev, da se povračila potnikom plačajo v skladu s členom 12(4), </w:t>
      </w:r>
      <w:r w:rsidRPr="00F27C25">
        <w:rPr>
          <w:noProof/>
        </w:rPr>
        <w:t>o ustreznih določbah obvestiti Komisijo in osrednje kontaktne točke drugih držav članic. Kakršno koli sofinanciranje takih mehanizmov s strani držav članic je mogoče le v izjemnih in ustrezno utemeljenih okoliščinah ter je pogojeno z odobritvijo v skladu z</w:t>
      </w:r>
      <w:r w:rsidRPr="00F27C25">
        <w:rPr>
          <w:noProof/>
        </w:rPr>
        <w:t xml:space="preserve"> določbami Unije o državni pomoči.</w:t>
      </w:r>
    </w:p>
    <w:p w14:paraId="4B08A8ED" w14:textId="77777777" w:rsidR="00144AE5" w:rsidRPr="00F27C25" w:rsidRDefault="00144AE5" w:rsidP="00040787">
      <w:pPr>
        <w:pBdr>
          <w:top w:val="nil"/>
          <w:left w:val="nil"/>
          <w:bottom w:val="nil"/>
          <w:right w:val="nil"/>
          <w:between w:val="nil"/>
          <w:bar w:val="nil"/>
        </w:pBdr>
        <w:spacing w:before="0" w:after="240"/>
        <w:rPr>
          <w:noProof/>
        </w:rPr>
      </w:pPr>
      <w:r w:rsidRPr="00F27C25">
        <w:rPr>
          <w:i/>
          <w:noProof/>
        </w:rPr>
        <w:t>Novi člen 12a (Dobropisi):</w:t>
      </w:r>
      <w:r w:rsidRPr="00F27C25">
        <w:rPr>
          <w:noProof/>
        </w:rPr>
        <w:t xml:space="preserve"> Vstavi se nov člen o dobropisih. Ta določa, da lahko organizatorji v primeru odstopa od pogodbe namesto povračila v gotovini potnikom izdajo dobropise, vendar mora biti potnik, preden dobropis s</w:t>
      </w:r>
      <w:r w:rsidRPr="00F27C25">
        <w:rPr>
          <w:noProof/>
        </w:rPr>
        <w:t>prejme, obveščen, da mu ga ni treba sprejeti. Taki dobropisi bi morali veljati 12 mesecev, njihovo trajanje pa se lahko enkrat podaljša po dogovoru obeh strani. Njihova vrednost mora biti vsaj enaka znesku povračila. Biti morajo prenosljivi in kriti z vars</w:t>
      </w:r>
      <w:r w:rsidRPr="00F27C25">
        <w:rPr>
          <w:noProof/>
        </w:rPr>
        <w:t>tvom v primeru insolventnosti.</w:t>
      </w:r>
    </w:p>
    <w:p w14:paraId="26457C1E" w14:textId="77777777" w:rsidR="00144AE5" w:rsidRPr="00F27C25" w:rsidRDefault="00144AE5" w:rsidP="00040787">
      <w:pPr>
        <w:pBdr>
          <w:top w:val="nil"/>
          <w:left w:val="nil"/>
          <w:bottom w:val="nil"/>
          <w:right w:val="nil"/>
          <w:between w:val="nil"/>
          <w:bar w:val="nil"/>
        </w:pBdr>
        <w:spacing w:before="0" w:after="240"/>
        <w:rPr>
          <w:noProof/>
        </w:rPr>
      </w:pPr>
      <w:bookmarkStart w:id="5" w:name="_Hlk151313642"/>
      <w:r w:rsidRPr="00F27C25">
        <w:rPr>
          <w:noProof/>
        </w:rPr>
        <w:t>Namen predlaganega novega besedila člena 17 je povečati učinkovitost in enotnost varstva v primeru insolventnosti v EU z dodajanjem nekaterih pojasnil in specifikacij, od katerih nekatera izhajajo iz uvodnih izjav Direktive (</w:t>
      </w:r>
      <w:r w:rsidRPr="00F27C25">
        <w:rPr>
          <w:noProof/>
        </w:rPr>
        <w:t xml:space="preserve">EU) 2015/2302. </w:t>
      </w:r>
      <w:bookmarkEnd w:id="5"/>
      <w:r w:rsidRPr="00F27C25">
        <w:rPr>
          <w:noProof/>
        </w:rPr>
        <w:t xml:space="preserve">Nekateri odstavki člena 17 ostajajo nespremenjeni. </w:t>
      </w:r>
    </w:p>
    <w:p w14:paraId="52B75394" w14:textId="77777777" w:rsidR="00144AE5" w:rsidRPr="00F27C25" w:rsidRDefault="00144AE5" w:rsidP="00040787">
      <w:pPr>
        <w:pBdr>
          <w:top w:val="nil"/>
          <w:left w:val="nil"/>
          <w:bottom w:val="nil"/>
          <w:right w:val="nil"/>
          <w:between w:val="nil"/>
          <w:bar w:val="nil"/>
        </w:pBdr>
        <w:spacing w:before="0" w:after="240"/>
        <w:rPr>
          <w:noProof/>
        </w:rPr>
      </w:pPr>
      <w:r w:rsidRPr="00F27C25">
        <w:rPr>
          <w:i/>
          <w:noProof/>
        </w:rPr>
        <w:t>Člen 17(1) (Učinkovitost in obseg varstva v primeru insolventnosti)</w:t>
      </w:r>
      <w:r w:rsidRPr="00F27C25">
        <w:rPr>
          <w:noProof/>
        </w:rPr>
        <w:t xml:space="preserve"> V prvem pododstavku odstavka 17(1) je pojasnjeno, da varstvo v primeru insolventnosti krije tudi zahtevke za povračilo in</w:t>
      </w:r>
      <w:r w:rsidRPr="00F27C25">
        <w:rPr>
          <w:noProof/>
        </w:rPr>
        <w:t xml:space="preserve"> dobropise.</w:t>
      </w:r>
    </w:p>
    <w:p w14:paraId="5E0E35F2" w14:textId="77777777" w:rsidR="00144AE5" w:rsidRPr="00F27C25" w:rsidRDefault="00144AE5" w:rsidP="00040787">
      <w:pPr>
        <w:pBdr>
          <w:top w:val="nil"/>
          <w:left w:val="nil"/>
          <w:bottom w:val="nil"/>
          <w:right w:val="nil"/>
          <w:between w:val="nil"/>
          <w:bar w:val="nil"/>
        </w:pBdr>
        <w:spacing w:before="0" w:after="240"/>
        <w:rPr>
          <w:noProof/>
        </w:rPr>
      </w:pPr>
      <w:r w:rsidRPr="00F27C25">
        <w:rPr>
          <w:i/>
          <w:noProof/>
        </w:rPr>
        <w:t>Člen 17(2)</w:t>
      </w:r>
      <w:r w:rsidRPr="00F27C25">
        <w:rPr>
          <w:noProof/>
        </w:rPr>
        <w:t xml:space="preserve"> se spremeni tako, da odraža, da bi moralo jamstvo zadostovati za kritje stroškov povračil in povratkov potnikov v primerih, ko do insolventnosti pride v času, ko ima organizator najvišje zneske v poslovnem letu, ter da bi bilo treba </w:t>
      </w:r>
      <w:r w:rsidRPr="00F27C25">
        <w:rPr>
          <w:noProof/>
        </w:rPr>
        <w:t>pri jamstvu upoštevati spremembe obsega prodanih turističnih paketov in potrebnih povratkov, ki jih je treba kriti, v primerjavi s predvidenim obsegom.</w:t>
      </w:r>
    </w:p>
    <w:p w14:paraId="6238754E" w14:textId="77777777" w:rsidR="00144AE5" w:rsidRPr="00F27C25" w:rsidRDefault="00144AE5" w:rsidP="00040787">
      <w:pPr>
        <w:pBdr>
          <w:top w:val="nil"/>
          <w:left w:val="nil"/>
          <w:bottom w:val="nil"/>
          <w:right w:val="nil"/>
          <w:between w:val="nil"/>
          <w:bar w:val="nil"/>
        </w:pBdr>
        <w:spacing w:before="0" w:after="240"/>
        <w:rPr>
          <w:noProof/>
        </w:rPr>
      </w:pPr>
      <w:r w:rsidRPr="00F27C25">
        <w:rPr>
          <w:i/>
          <w:noProof/>
        </w:rPr>
        <w:t xml:space="preserve">Člen 17(3): </w:t>
      </w:r>
      <w:r w:rsidRPr="00F27C25">
        <w:rPr>
          <w:noProof/>
        </w:rPr>
        <w:t>Določa, da države članice nadzorujejo ureditev varstva v primeru insolventnosti organizatorj</w:t>
      </w:r>
      <w:r w:rsidRPr="00F27C25">
        <w:rPr>
          <w:noProof/>
        </w:rPr>
        <w:t>ev, spremljajo trg za zagotavljanje varstva v primeru insolventnosti in lahko zahtevajo drugo raven zaščite, na primer rezervni sklad. Kakršno koli sofinanciranje takih zahtev s strani držav članic je mogoče le v izjemnih in ustrezno utemeljenih okoliščina</w:t>
      </w:r>
      <w:r w:rsidRPr="00F27C25">
        <w:rPr>
          <w:noProof/>
        </w:rPr>
        <w:t xml:space="preserve">h ter je pogojeno z odobritvijo v skladu z določbami Unije o državni pomoči. </w:t>
      </w:r>
    </w:p>
    <w:p w14:paraId="2AF91CDC" w14:textId="77777777" w:rsidR="00144AE5" w:rsidRPr="00F27C25" w:rsidRDefault="00144AE5" w:rsidP="00040787">
      <w:pPr>
        <w:pBdr>
          <w:top w:val="nil"/>
          <w:left w:val="nil"/>
          <w:bottom w:val="nil"/>
          <w:right w:val="nil"/>
          <w:between w:val="nil"/>
          <w:bar w:val="nil"/>
        </w:pBdr>
        <w:spacing w:before="0" w:after="240"/>
        <w:rPr>
          <w:noProof/>
        </w:rPr>
      </w:pPr>
      <w:r w:rsidRPr="00F27C25">
        <w:rPr>
          <w:i/>
          <w:noProof/>
        </w:rPr>
        <w:t xml:space="preserve">Člen 17(6): </w:t>
      </w:r>
      <w:r w:rsidRPr="00F27C25">
        <w:rPr>
          <w:noProof/>
        </w:rPr>
        <w:t xml:space="preserve">Novo besedilo tega odstavka poleg splošnega merila „brez nepotrebnega odlašanja“ vključuje tudi natančnejši rok za vračilo v primeru odpovedi turističnega </w:t>
      </w:r>
      <w:r w:rsidRPr="00F27C25">
        <w:rPr>
          <w:noProof/>
        </w:rPr>
        <w:t>paketa zaradi insolventnosti. To obdobje je tri mesece po tem, ko je potnik predložil dokumente, potrebne za preučitev zahtevka.</w:t>
      </w:r>
    </w:p>
    <w:p w14:paraId="31D4F080" w14:textId="77777777" w:rsidR="00144AE5" w:rsidRPr="00F27C25" w:rsidRDefault="00144AE5" w:rsidP="00040787">
      <w:pPr>
        <w:pBdr>
          <w:top w:val="nil"/>
          <w:left w:val="nil"/>
          <w:bottom w:val="nil"/>
          <w:right w:val="nil"/>
          <w:between w:val="nil"/>
          <w:bar w:val="nil"/>
        </w:pBdr>
        <w:spacing w:before="0" w:after="240"/>
        <w:rPr>
          <w:noProof/>
        </w:rPr>
      </w:pPr>
      <w:r w:rsidRPr="00F27C25">
        <w:rPr>
          <w:i/>
          <w:noProof/>
        </w:rPr>
        <w:t>Novi člen 17(7):</w:t>
      </w:r>
      <w:r w:rsidRPr="00F27C25">
        <w:rPr>
          <w:noProof/>
        </w:rPr>
        <w:t xml:space="preserve"> Vstavi se nov odstavek 6, ki državam članicam omogoča, da od turističnih agentov zahtevajo, da sklenejo varstv</w:t>
      </w:r>
      <w:r w:rsidRPr="00F27C25">
        <w:rPr>
          <w:noProof/>
        </w:rPr>
        <w:t>o v primeru insolventnosti, kadar je to upravičeno glede na izpostavljenost potnikov tveganju, kar odraža besedilo uvodne izjave 41 Direktive (EU) 2015/2302.</w:t>
      </w:r>
    </w:p>
    <w:p w14:paraId="511B2A67" w14:textId="77777777" w:rsidR="00144AE5" w:rsidRPr="00F27C25" w:rsidRDefault="00144AE5" w:rsidP="00040787">
      <w:pPr>
        <w:pBdr>
          <w:top w:val="nil"/>
          <w:left w:val="nil"/>
          <w:bottom w:val="nil"/>
          <w:right w:val="nil"/>
          <w:between w:val="nil"/>
          <w:bar w:val="nil"/>
        </w:pBdr>
        <w:spacing w:before="0" w:after="240"/>
        <w:rPr>
          <w:noProof/>
        </w:rPr>
      </w:pPr>
      <w:r w:rsidRPr="00F27C25">
        <w:rPr>
          <w:i/>
          <w:noProof/>
        </w:rPr>
        <w:t xml:space="preserve">Člen 18(2) (Medsebojno priznavanje varstva v primeru insolventnosti in upravno sodelovanje) </w:t>
      </w:r>
      <w:r w:rsidRPr="00F27C25">
        <w:rPr>
          <w:noProof/>
        </w:rPr>
        <w:t>Ta ods</w:t>
      </w:r>
      <w:r w:rsidRPr="00F27C25">
        <w:rPr>
          <w:noProof/>
        </w:rPr>
        <w:t>tavek je spremenjen, da se pojasni, da bi si morale osrednje kontaktne točke v državah članicah izmenjevati tudi informacije o varstvu v primeru insolventnosti in povezanih vprašanjih, vključno s povračili v primeru odstopa od pogodb o paketnem potovanju.</w:t>
      </w:r>
    </w:p>
    <w:p w14:paraId="1A368B56" w14:textId="77777777" w:rsidR="00144AE5" w:rsidRPr="00F27C25" w:rsidRDefault="00144AE5" w:rsidP="00040787">
      <w:pPr>
        <w:pBdr>
          <w:top w:val="nil"/>
          <w:left w:val="nil"/>
          <w:bottom w:val="nil"/>
          <w:right w:val="nil"/>
          <w:between w:val="nil"/>
          <w:bar w:val="nil"/>
        </w:pBdr>
        <w:spacing w:before="0" w:after="240"/>
        <w:rPr>
          <w:noProof/>
        </w:rPr>
      </w:pPr>
      <w:r w:rsidRPr="00F27C25">
        <w:rPr>
          <w:i/>
          <w:noProof/>
        </w:rPr>
        <w:t xml:space="preserve">Člen 19 (Varstvo v primeru insolventnosti in zahteve v zvezi z informacijami za povezane potovalne aranžmaje) </w:t>
      </w:r>
      <w:r w:rsidRPr="00F27C25">
        <w:rPr>
          <w:noProof/>
        </w:rPr>
        <w:t>Ta člen je spremenjen tako, da odraža poenostavljen pojem povezanih potovalnih aranžmajev.</w:t>
      </w:r>
    </w:p>
    <w:p w14:paraId="398C1485" w14:textId="77777777" w:rsidR="00144AE5" w:rsidRPr="00F27C25" w:rsidRDefault="00144AE5" w:rsidP="00040787">
      <w:pPr>
        <w:pBdr>
          <w:top w:val="nil"/>
          <w:left w:val="nil"/>
          <w:bottom w:val="nil"/>
          <w:right w:val="nil"/>
          <w:between w:val="nil"/>
          <w:bar w:val="nil"/>
        </w:pBdr>
        <w:spacing w:before="0" w:after="240"/>
        <w:rPr>
          <w:noProof/>
        </w:rPr>
      </w:pPr>
      <w:r w:rsidRPr="00F27C25">
        <w:rPr>
          <w:i/>
          <w:noProof/>
        </w:rPr>
        <w:t xml:space="preserve">Člen 22 (Pravica organizatorjev do pravnih sredstev in </w:t>
      </w:r>
      <w:r w:rsidRPr="00F27C25">
        <w:rPr>
          <w:i/>
          <w:noProof/>
        </w:rPr>
        <w:t>povračil od ponudnikov storitev):</w:t>
      </w:r>
      <w:r w:rsidRPr="00F27C25">
        <w:rPr>
          <w:noProof/>
        </w:rPr>
        <w:t xml:space="preserve"> Doda se nov odstavek, ki določa, da morajo ponudniki storitev, kadar odpovejo ali ne izvedejo storitve, ki je del turističnega paketa, organizatorju povrniti plačila, prejeta za zadevno storitev, v sedmih dneh.</w:t>
      </w:r>
    </w:p>
    <w:p w14:paraId="4DFC0796" w14:textId="77777777" w:rsidR="00144AE5" w:rsidRPr="00F27C25" w:rsidRDefault="00144AE5" w:rsidP="00040787">
      <w:pPr>
        <w:pBdr>
          <w:top w:val="nil"/>
          <w:left w:val="nil"/>
          <w:bottom w:val="nil"/>
          <w:right w:val="nil"/>
          <w:between w:val="nil"/>
          <w:bar w:val="nil"/>
        </w:pBdr>
        <w:spacing w:before="0" w:after="240"/>
        <w:rPr>
          <w:noProof/>
        </w:rPr>
      </w:pPr>
      <w:r w:rsidRPr="00F27C25">
        <w:rPr>
          <w:i/>
          <w:noProof/>
        </w:rPr>
        <w:t>Priloga I</w:t>
      </w:r>
      <w:r w:rsidRPr="00F27C25">
        <w:rPr>
          <w:noProof/>
        </w:rPr>
        <w:t xml:space="preserve"> k</w:t>
      </w:r>
      <w:r w:rsidRPr="00F27C25">
        <w:rPr>
          <w:noProof/>
        </w:rPr>
        <w:t xml:space="preserve"> Direktivi (EU) 2015/2302 je nadomeščena, da se potnikom zagotovijo jasnejše informacije o njihovih pravicah.</w:t>
      </w:r>
    </w:p>
    <w:p w14:paraId="58BBD417" w14:textId="77777777" w:rsidR="00144AE5" w:rsidRPr="00F27C25" w:rsidRDefault="00144AE5" w:rsidP="00040787">
      <w:pPr>
        <w:pBdr>
          <w:top w:val="nil"/>
          <w:left w:val="nil"/>
          <w:bottom w:val="nil"/>
          <w:right w:val="nil"/>
          <w:between w:val="nil"/>
          <w:bar w:val="nil"/>
        </w:pBdr>
        <w:spacing w:before="0" w:after="240"/>
        <w:rPr>
          <w:noProof/>
        </w:rPr>
      </w:pPr>
      <w:r w:rsidRPr="00F27C25">
        <w:rPr>
          <w:i/>
          <w:noProof/>
        </w:rPr>
        <w:t>Priloga II</w:t>
      </w:r>
      <w:r w:rsidRPr="00F27C25">
        <w:rPr>
          <w:noProof/>
        </w:rPr>
        <w:t xml:space="preserve"> k Direktivi (EU) 2015/2302 je nadomeščena, da se upošteva poenostavitev pojma povezanega potovalnega aranžmaja in izboljša izvajanje te</w:t>
      </w:r>
      <w:r w:rsidRPr="00F27C25">
        <w:rPr>
          <w:noProof/>
        </w:rPr>
        <w:t>ga pojma.</w:t>
      </w:r>
    </w:p>
    <w:p w14:paraId="38C464F3" w14:textId="77777777" w:rsidR="00144AE5" w:rsidRPr="00F27C25" w:rsidRDefault="00144AE5" w:rsidP="00040787">
      <w:pPr>
        <w:pBdr>
          <w:top w:val="nil"/>
          <w:left w:val="nil"/>
          <w:bottom w:val="nil"/>
          <w:right w:val="nil"/>
          <w:between w:val="nil"/>
          <w:bar w:val="nil"/>
        </w:pBdr>
        <w:spacing w:before="0" w:after="240"/>
        <w:rPr>
          <w:noProof/>
        </w:rPr>
      </w:pPr>
      <w:r w:rsidRPr="00F27C25">
        <w:rPr>
          <w:noProof/>
        </w:rPr>
        <w:t>Člen 2 tega predloga določa, da mora Komisija pet let po začetku njegove veljavnosti Evropskemu parlamentu in Svetu predložiti poročilo o uporabi te direktive, pri čemer upošteva vpliv na MSP. Člen 3 tega predloga določa, da morajo države članice</w:t>
      </w:r>
      <w:r w:rsidRPr="00F27C25">
        <w:rPr>
          <w:noProof/>
        </w:rPr>
        <w:t xml:space="preserve"> prenesti direktivo o spremembi v 18 mesecih od začetka njene veljavnosti. Direktiva o spremembi bo začela veljati dvajseti dan po objavi v </w:t>
      </w:r>
      <w:r w:rsidRPr="00F27C25">
        <w:rPr>
          <w:i/>
          <w:iCs/>
          <w:noProof/>
        </w:rPr>
        <w:t>Uradnem listu</w:t>
      </w:r>
      <w:r w:rsidRPr="00F27C25">
        <w:rPr>
          <w:noProof/>
        </w:rPr>
        <w:t xml:space="preserve">. Države članice bi morale Direktivo začeti uporabljati šest mesecev od datuma njenega prenosa. </w:t>
      </w:r>
    </w:p>
    <w:p w14:paraId="61619C03" w14:textId="77777777" w:rsidR="00144AE5" w:rsidRPr="00F27C25" w:rsidRDefault="00144AE5" w:rsidP="00040787">
      <w:pPr>
        <w:pBdr>
          <w:top w:val="nil"/>
          <w:left w:val="nil"/>
          <w:bottom w:val="nil"/>
          <w:right w:val="nil"/>
          <w:between w:val="nil"/>
          <w:bar w:val="nil"/>
        </w:pBdr>
        <w:spacing w:before="0" w:after="240"/>
        <w:rPr>
          <w:noProof/>
        </w:rPr>
      </w:pPr>
    </w:p>
    <w:p w14:paraId="78AB01D8" w14:textId="77777777" w:rsidR="00144AE5" w:rsidRPr="00F27C25" w:rsidRDefault="00144AE5" w:rsidP="00040787">
      <w:pPr>
        <w:pBdr>
          <w:top w:val="nil"/>
          <w:left w:val="nil"/>
          <w:bottom w:val="nil"/>
          <w:right w:val="nil"/>
          <w:between w:val="nil"/>
          <w:bar w:val="nil"/>
        </w:pBdr>
        <w:spacing w:before="0" w:after="240"/>
        <w:rPr>
          <w:noProof/>
        </w:rPr>
      </w:pPr>
    </w:p>
    <w:p w14:paraId="5372A4BE" w14:textId="77777777" w:rsidR="00144AE5" w:rsidRPr="00F27C25" w:rsidRDefault="00144AE5" w:rsidP="00040787">
      <w:pPr>
        <w:rPr>
          <w:noProof/>
        </w:rPr>
      </w:pPr>
    </w:p>
    <w:p w14:paraId="7026EECD" w14:textId="77777777" w:rsidR="00144AE5" w:rsidRPr="00F27C25" w:rsidRDefault="00144AE5" w:rsidP="00040787">
      <w:pPr>
        <w:pStyle w:val="ManualHeading1"/>
        <w:rPr>
          <w:noProof/>
        </w:rPr>
        <w:sectPr w:rsidR="00040787" w:rsidRPr="00F27C25" w:rsidSect="00BD50E3">
          <w:headerReference w:type="even" r:id="rId21"/>
          <w:headerReference w:type="default" r:id="rId22"/>
          <w:footerReference w:type="even" r:id="rId23"/>
          <w:footerReference w:type="default" r:id="rId24"/>
          <w:headerReference w:type="first" r:id="rId25"/>
          <w:footerReference w:type="first" r:id="rId26"/>
          <w:pgSz w:w="11907" w:h="16839"/>
          <w:pgMar w:top="1134" w:right="1417" w:bottom="1134" w:left="1417" w:header="709" w:footer="709" w:gutter="0"/>
          <w:cols w:space="708"/>
          <w:docGrid w:linePitch="360"/>
        </w:sectPr>
      </w:pPr>
    </w:p>
    <w:p w14:paraId="20A43040" w14:textId="77777777" w:rsidR="00144AE5" w:rsidRPr="00F27C25" w:rsidRDefault="00144AE5" w:rsidP="00040787">
      <w:pPr>
        <w:pBdr>
          <w:top w:val="nil"/>
          <w:left w:val="nil"/>
          <w:bottom w:val="nil"/>
          <w:right w:val="nil"/>
          <w:between w:val="nil"/>
          <w:bar w:val="nil"/>
        </w:pBdr>
        <w:spacing w:before="0" w:after="240"/>
        <w:rPr>
          <w:noProof/>
        </w:rPr>
      </w:pPr>
    </w:p>
    <w:p w14:paraId="55DBD1CD" w14:textId="77777777" w:rsidR="00144AE5" w:rsidRPr="00F27C25" w:rsidRDefault="00144AE5" w:rsidP="006A0D8A">
      <w:pPr>
        <w:pStyle w:val="Rfrenceinterinstitutionnelle"/>
        <w:rPr>
          <w:noProof/>
        </w:rPr>
      </w:pPr>
      <w:r>
        <w:rPr>
          <w:noProof/>
        </w:rPr>
        <w:t>2023/0435 (COD)</w:t>
      </w:r>
    </w:p>
    <w:p w14:paraId="6D0C9B68" w14:textId="77777777" w:rsidR="00144AE5" w:rsidRPr="00F27C25" w:rsidRDefault="00144AE5" w:rsidP="006A0D8A">
      <w:pPr>
        <w:pStyle w:val="Statut"/>
        <w:rPr>
          <w:noProof/>
        </w:rPr>
      </w:pPr>
      <w:r w:rsidRPr="006A0D8A">
        <w:rPr>
          <w:noProof/>
        </w:rPr>
        <w:t>Predlog</w:t>
      </w:r>
    </w:p>
    <w:p w14:paraId="17B2E13D" w14:textId="77777777" w:rsidR="00144AE5" w:rsidRPr="00F27C25" w:rsidRDefault="00144AE5" w:rsidP="006A0D8A">
      <w:pPr>
        <w:pStyle w:val="Typedudocument"/>
        <w:rPr>
          <w:noProof/>
        </w:rPr>
      </w:pPr>
      <w:r w:rsidRPr="006A0D8A">
        <w:rPr>
          <w:noProof/>
        </w:rPr>
        <w:t>DIREKTIVA EVROPSKEGA PARLAMENTA IN SVETA</w:t>
      </w:r>
    </w:p>
    <w:p w14:paraId="4477AFC3" w14:textId="77777777" w:rsidR="00144AE5" w:rsidRPr="00F27C25" w:rsidRDefault="00144AE5" w:rsidP="006A0D8A">
      <w:pPr>
        <w:pStyle w:val="Titreobjet"/>
        <w:rPr>
          <w:noProof/>
        </w:rPr>
      </w:pPr>
      <w:r w:rsidRPr="006A0D8A">
        <w:rPr>
          <w:noProof/>
        </w:rPr>
        <w:t xml:space="preserve">o spremembi Direktive (EU) 2015/2302 zaradi povečanja učinkovitosti zaščite potnikov ter poenostavitve in </w:t>
      </w:r>
      <w:r w:rsidRPr="006A0D8A">
        <w:rPr>
          <w:noProof/>
        </w:rPr>
        <w:t>pojasnitve nekaterih vidikov Direktive</w:t>
      </w:r>
      <w:r w:rsidRPr="006A0D8A">
        <w:rPr>
          <w:noProof/>
        </w:rPr>
        <w:br/>
      </w:r>
      <w:r w:rsidRPr="006A0D8A">
        <w:rPr>
          <w:noProof/>
        </w:rPr>
        <w:br/>
      </w:r>
    </w:p>
    <w:p w14:paraId="3E9E9412" w14:textId="77777777" w:rsidR="00144AE5" w:rsidRPr="00F27C25" w:rsidRDefault="00144AE5" w:rsidP="006A0D8A">
      <w:pPr>
        <w:pStyle w:val="IntrtEEE"/>
        <w:rPr>
          <w:noProof/>
        </w:rPr>
      </w:pPr>
      <w:r w:rsidRPr="006A0D8A">
        <w:rPr>
          <w:noProof/>
        </w:rPr>
        <w:t>(Besedilo velja za EGP)</w:t>
      </w:r>
    </w:p>
    <w:p w14:paraId="64A35446" w14:textId="77777777" w:rsidR="00144AE5" w:rsidRPr="00F27C25" w:rsidRDefault="00144AE5" w:rsidP="004517AC">
      <w:pPr>
        <w:pStyle w:val="Institutionquiagit"/>
        <w:rPr>
          <w:noProof/>
        </w:rPr>
      </w:pPr>
      <w:r w:rsidRPr="00F27C25">
        <w:rPr>
          <w:noProof/>
        </w:rPr>
        <w:t>EVROPSKI PARLAMENT IN SVET EVROPSKE UNIJE STA –</w:t>
      </w:r>
    </w:p>
    <w:p w14:paraId="68E4E42F" w14:textId="77777777" w:rsidR="00144AE5" w:rsidRPr="00F27C25" w:rsidRDefault="00144AE5" w:rsidP="004517AC">
      <w:pPr>
        <w:rPr>
          <w:noProof/>
        </w:rPr>
      </w:pPr>
      <w:r w:rsidRPr="00F27C25">
        <w:rPr>
          <w:noProof/>
        </w:rPr>
        <w:t>ob upoštevanju Pogodbe o delovanju Evropske unije in zlasti člena 114 Pogodbe,</w:t>
      </w:r>
    </w:p>
    <w:p w14:paraId="3012C85A" w14:textId="77777777" w:rsidR="00144AE5" w:rsidRPr="00F27C25" w:rsidRDefault="00144AE5" w:rsidP="004517AC">
      <w:pPr>
        <w:rPr>
          <w:noProof/>
        </w:rPr>
      </w:pPr>
      <w:r w:rsidRPr="00F27C25">
        <w:rPr>
          <w:noProof/>
        </w:rPr>
        <w:t>ob upoštevanju predloga Evropske komisije,</w:t>
      </w:r>
    </w:p>
    <w:p w14:paraId="5B9CE00A" w14:textId="77777777" w:rsidR="00144AE5" w:rsidRPr="00F27C25" w:rsidRDefault="00144AE5" w:rsidP="004517AC">
      <w:pPr>
        <w:rPr>
          <w:noProof/>
        </w:rPr>
      </w:pPr>
      <w:r w:rsidRPr="00F27C25">
        <w:rPr>
          <w:noProof/>
        </w:rPr>
        <w:t>po posredovanju osnut</w:t>
      </w:r>
      <w:r w:rsidRPr="00F27C25">
        <w:rPr>
          <w:noProof/>
        </w:rPr>
        <w:t>ka zakonodajnega akta nacionalnim parlamentom,</w:t>
      </w:r>
    </w:p>
    <w:p w14:paraId="2C4BB414" w14:textId="77777777" w:rsidR="00144AE5" w:rsidRPr="00F27C25" w:rsidRDefault="00144AE5" w:rsidP="004517AC">
      <w:pPr>
        <w:rPr>
          <w:noProof/>
        </w:rPr>
      </w:pPr>
      <w:r w:rsidRPr="00F27C25">
        <w:rPr>
          <w:noProof/>
        </w:rPr>
        <w:t>ob upoštevanju mnenja Evropskega ekonomsko-socialnega odbora</w:t>
      </w:r>
      <w:r w:rsidRPr="00F27C25">
        <w:rPr>
          <w:rStyle w:val="FootnoteReference"/>
          <w:noProof/>
        </w:rPr>
        <w:footnoteReference w:id="35"/>
      </w:r>
      <w:r w:rsidRPr="00F27C25">
        <w:rPr>
          <w:noProof/>
        </w:rPr>
        <w:t>,</w:t>
      </w:r>
    </w:p>
    <w:p w14:paraId="6F4831F0" w14:textId="77777777" w:rsidR="00144AE5" w:rsidRPr="00F27C25" w:rsidRDefault="00144AE5" w:rsidP="004517AC">
      <w:pPr>
        <w:rPr>
          <w:noProof/>
        </w:rPr>
      </w:pPr>
      <w:r w:rsidRPr="00F27C25">
        <w:rPr>
          <w:noProof/>
        </w:rPr>
        <w:t>ob upoštevanju mnenja Odbora regij</w:t>
      </w:r>
      <w:r w:rsidRPr="00F27C25">
        <w:rPr>
          <w:rStyle w:val="FootnoteReference"/>
          <w:noProof/>
        </w:rPr>
        <w:footnoteReference w:id="36"/>
      </w:r>
      <w:r w:rsidRPr="00F27C25">
        <w:rPr>
          <w:noProof/>
        </w:rPr>
        <w:t>,</w:t>
      </w:r>
    </w:p>
    <w:p w14:paraId="3FB0B9C0" w14:textId="77777777" w:rsidR="00144AE5" w:rsidRPr="00F27C25" w:rsidRDefault="00144AE5" w:rsidP="004517AC">
      <w:pPr>
        <w:rPr>
          <w:noProof/>
        </w:rPr>
      </w:pPr>
      <w:r w:rsidRPr="00F27C25">
        <w:rPr>
          <w:noProof/>
        </w:rPr>
        <w:t>v skladu z rednim zakonodajnim postopkom,</w:t>
      </w:r>
    </w:p>
    <w:p w14:paraId="79D2D470" w14:textId="77777777" w:rsidR="00144AE5" w:rsidRPr="00F27C25" w:rsidRDefault="00144AE5" w:rsidP="004517AC">
      <w:pPr>
        <w:rPr>
          <w:noProof/>
        </w:rPr>
      </w:pPr>
      <w:r w:rsidRPr="00F27C25">
        <w:rPr>
          <w:noProof/>
        </w:rPr>
        <w:t>ob upoštevanju naslednjega:</w:t>
      </w:r>
    </w:p>
    <w:p w14:paraId="282CB6CA" w14:textId="77777777" w:rsidR="00144AE5" w:rsidRPr="00F27C25" w:rsidRDefault="00144AE5" w:rsidP="008A36D6">
      <w:pPr>
        <w:pStyle w:val="ManualConsidrant"/>
        <w:rPr>
          <w:noProof/>
        </w:rPr>
      </w:pPr>
      <w:bookmarkStart w:id="6" w:name="_Hlk147218898"/>
      <w:r w:rsidRPr="00F27C25">
        <w:rPr>
          <w:noProof/>
        </w:rPr>
        <w:t>(1)</w:t>
      </w:r>
      <w:r w:rsidRPr="00F27C25">
        <w:rPr>
          <w:noProof/>
        </w:rPr>
        <w:tab/>
        <w:t>Direktiva (EU) 2015/2302</w:t>
      </w:r>
      <w:bookmarkEnd w:id="6"/>
      <w:r w:rsidRPr="00F27C25">
        <w:rPr>
          <w:noProof/>
        </w:rPr>
        <w:t xml:space="preserve"> Evropske</w:t>
      </w:r>
      <w:r w:rsidRPr="00F27C25">
        <w:rPr>
          <w:noProof/>
        </w:rPr>
        <w:t>ga parlamenta in Sveta</w:t>
      </w:r>
      <w:r w:rsidRPr="00F27C25">
        <w:rPr>
          <w:rStyle w:val="FootnoteReference"/>
          <w:noProof/>
        </w:rPr>
        <w:footnoteReference w:id="37"/>
      </w:r>
      <w:r w:rsidRPr="00F27C25">
        <w:rPr>
          <w:noProof/>
        </w:rPr>
        <w:t xml:space="preserve"> je posodobila pravni okvir za paketna potovanja glede na razvoj trga in tehnologije. Namen navedene direktive je bil zajeti nove načine rezervacij potovalnih storitev, ki so se pojavile, vključno s kombinacijami potovalnih storitev</w:t>
      </w:r>
      <w:r w:rsidRPr="00F27C25">
        <w:rPr>
          <w:noProof/>
        </w:rPr>
        <w:t xml:space="preserve"> po meri posameznika, ki niso bile zajete v Direktivi Sveta 90/314/EGS</w:t>
      </w:r>
      <w:r w:rsidRPr="00F27C25">
        <w:rPr>
          <w:rStyle w:val="FootnoteReference"/>
          <w:noProof/>
        </w:rPr>
        <w:footnoteReference w:id="38"/>
      </w:r>
      <w:r w:rsidRPr="00F27C25">
        <w:rPr>
          <w:noProof/>
        </w:rPr>
        <w:t xml:space="preserve"> ali so bile v pravnem sivem območju, ter  v različnih pogledih okrepiti pravice potnikov. Hkrati je bil njen cilj zagotoviti pravičnejšo konkurenco med različnimi vrstami potovalnih p</w:t>
      </w:r>
      <w:r w:rsidRPr="00F27C25">
        <w:rPr>
          <w:noProof/>
        </w:rPr>
        <w:t xml:space="preserve">odjetij, ki so dejavna na trgu paketnih potovanj. </w:t>
      </w:r>
    </w:p>
    <w:p w14:paraId="566D1EA6" w14:textId="77777777" w:rsidR="00144AE5" w:rsidRPr="00F27C25" w:rsidRDefault="00144AE5" w:rsidP="008A36D6">
      <w:pPr>
        <w:pStyle w:val="ManualConsidrant"/>
        <w:rPr>
          <w:noProof/>
        </w:rPr>
      </w:pPr>
      <w:r w:rsidRPr="00F27C25">
        <w:rPr>
          <w:noProof/>
        </w:rPr>
        <w:t>(2)</w:t>
      </w:r>
      <w:r w:rsidRPr="00F27C25">
        <w:rPr>
          <w:noProof/>
        </w:rPr>
        <w:tab/>
        <w:t xml:space="preserve">Za dosego teh ciljev je bila z Direktivo (EU) 2015/2302 v primerjavi z Direktivo 90/314/EGS razširjena opredelitev pojma „turistični paket“. Direktiva (EU) 2015/2302 je podrobneje opredelila obstoječe </w:t>
      </w:r>
      <w:r w:rsidRPr="00F27C25">
        <w:rPr>
          <w:noProof/>
        </w:rPr>
        <w:t xml:space="preserve">pravice potnikov in uvedla nove pravice, kot je pravica potnikov, da pod določenimi pogoji odstopijo od pogodbe o paketnem potovanju brez odstopnine v primeru neizogibnih in izrednih okoliščin. Poleg tega je bil z </w:t>
      </w:r>
      <w:bookmarkStart w:id="7" w:name="_Hlk147220839"/>
      <w:r w:rsidRPr="00F27C25">
        <w:rPr>
          <w:noProof/>
        </w:rPr>
        <w:t>Direktivo (EU) 2015/2302</w:t>
      </w:r>
      <w:bookmarkEnd w:id="7"/>
      <w:r w:rsidRPr="00F27C25">
        <w:rPr>
          <w:noProof/>
        </w:rPr>
        <w:t xml:space="preserve"> uveden nov pojem </w:t>
      </w:r>
      <w:r w:rsidRPr="00F27C25">
        <w:rPr>
          <w:noProof/>
        </w:rPr>
        <w:t>„povezan potovalni aranžma“, ki zajema rezervacije, opravljene na eni prodajni točki, in rezervacije na različnih prodajnih točkah, ki jih trgovec „usmerjeno omogoča“. Povezani potovalni aranžmaji se v veliki meri obravnavajo kot samostojne storitve, venda</w:t>
      </w:r>
      <w:r w:rsidRPr="00F27C25">
        <w:rPr>
          <w:noProof/>
        </w:rPr>
        <w:t>r je treba plačila, ki jih prejme trgovec, ki omogoča povezane potovalne aranžmaje, zaščititi pred insolventnostjo takega trgovca. Namen Direktive (EU) 2015/2302 je bil zagotoviti preglednost z uvedbo obveznosti trgovcev, da potnike z obrazci standardnih i</w:t>
      </w:r>
      <w:r w:rsidRPr="00F27C25">
        <w:rPr>
          <w:noProof/>
        </w:rPr>
        <w:t>nformacij iz prilog I in II k navedeni direktivi obveščajo o naravi potovalnega proizvoda, ki jim je na ponujen, in o povezanih pravicah.</w:t>
      </w:r>
    </w:p>
    <w:p w14:paraId="333DBA25" w14:textId="77777777" w:rsidR="00144AE5" w:rsidRPr="00F27C25" w:rsidRDefault="00144AE5" w:rsidP="008A36D6">
      <w:pPr>
        <w:pStyle w:val="ManualConsidrant"/>
        <w:rPr>
          <w:noProof/>
        </w:rPr>
      </w:pPr>
      <w:r w:rsidRPr="00F27C25">
        <w:rPr>
          <w:noProof/>
        </w:rPr>
        <w:t>(3)</w:t>
      </w:r>
      <w:r w:rsidRPr="00F27C25">
        <w:rPr>
          <w:noProof/>
        </w:rPr>
        <w:tab/>
        <w:t xml:space="preserve">Čeprav je </w:t>
      </w:r>
      <w:bookmarkStart w:id="8" w:name="_Hlk147222572"/>
      <w:r w:rsidRPr="00F27C25">
        <w:rPr>
          <w:noProof/>
        </w:rPr>
        <w:t>Direktiva (EU) 2015/2302</w:t>
      </w:r>
      <w:bookmarkEnd w:id="8"/>
      <w:r w:rsidRPr="00F27C25">
        <w:rPr>
          <w:noProof/>
        </w:rPr>
        <w:t xml:space="preserve"> na splošno dobro delovala, se je od začetka njene uporabe 1. julija 2018 pojavi</w:t>
      </w:r>
      <w:r w:rsidRPr="00F27C25">
        <w:rPr>
          <w:noProof/>
        </w:rPr>
        <w:t>lo več izzivov. Pandemija COVID-19 in z njo povezani vladni ukrepi so znatno vplivali na potovalno industrijo in potnike ter razkrili nekatere slabosti v prevladujočih poslovnih modelih in pokazali, da bi bilo mogoče nekatere določbe Direktive pojasniti.</w:t>
      </w:r>
    </w:p>
    <w:p w14:paraId="621AF03C" w14:textId="77777777" w:rsidR="00144AE5" w:rsidRPr="00F27C25" w:rsidRDefault="00144AE5" w:rsidP="008A36D6">
      <w:pPr>
        <w:pStyle w:val="ManualConsidrant"/>
        <w:rPr>
          <w:noProof/>
        </w:rPr>
      </w:pPr>
      <w:r w:rsidRPr="00F27C25">
        <w:rPr>
          <w:noProof/>
        </w:rPr>
        <w:t>(</w:t>
      </w:r>
      <w:r w:rsidRPr="00F27C25">
        <w:rPr>
          <w:noProof/>
        </w:rPr>
        <w:t>4)</w:t>
      </w:r>
      <w:r w:rsidRPr="00F27C25">
        <w:rPr>
          <w:noProof/>
        </w:rPr>
        <w:tab/>
        <w:t>Zato je treba zapolniti vrzeli, ugotovljene v sedanjih pravilih, ter pojasniti in poenostaviti nekatere pojme in določbe ter tako izboljšati učinkovitost Direktive (EU) 2015/2302 v korist potnikov in potovalnih podjetij, med katerimi je veliko mikro, ma</w:t>
      </w:r>
      <w:r w:rsidRPr="00F27C25">
        <w:rPr>
          <w:noProof/>
        </w:rPr>
        <w:t xml:space="preserve">lih in srednjih podjetij. </w:t>
      </w:r>
    </w:p>
    <w:p w14:paraId="3E7F22FC" w14:textId="77777777" w:rsidR="00144AE5" w:rsidRPr="00F27C25" w:rsidRDefault="00144AE5" w:rsidP="008A36D6">
      <w:pPr>
        <w:pStyle w:val="ManualConsidrant"/>
        <w:rPr>
          <w:noProof/>
        </w:rPr>
      </w:pPr>
      <w:r w:rsidRPr="00F27C25">
        <w:rPr>
          <w:noProof/>
        </w:rPr>
        <w:t>(5)</w:t>
      </w:r>
      <w:r w:rsidRPr="00F27C25">
        <w:rPr>
          <w:noProof/>
        </w:rPr>
        <w:tab/>
        <w:t>Čeprav se na splošno šteje, da je opredelitev pojma „turistični paket“ učinkovita, bi bilo treba pojasniti in poenostaviti opredelitev povezanih potovalnih aranžmajev in pravila v zvezi z njimi ter njihovo razmejitev od turis</w:t>
      </w:r>
      <w:r w:rsidRPr="00F27C25">
        <w:rPr>
          <w:noProof/>
        </w:rPr>
        <w:t>tičnih paketov. Taka pojasnitev in poenostavitev opredelitev in pojmov „turistični paket“ in „povezan potovalni aranžma“ bi morala povečati pravno varnost za vse strani, hkrati pa povečati učinkovitost varstva potnikov in zagotoviti enake konkurenčne pogoj</w:t>
      </w:r>
      <w:r w:rsidRPr="00F27C25">
        <w:rPr>
          <w:noProof/>
        </w:rPr>
        <w:t>e za trgovce. Hkrati bi bilo treba zmanjšati število obrazcev z informacijami, ki jih morajo trgovci uporabljati pri obveščanju potnikov o njihovih pravicah.</w:t>
      </w:r>
    </w:p>
    <w:p w14:paraId="2E6DFAAF" w14:textId="77777777" w:rsidR="00144AE5" w:rsidRPr="00F27C25" w:rsidRDefault="00144AE5" w:rsidP="008A36D6">
      <w:pPr>
        <w:pStyle w:val="ManualConsidrant"/>
        <w:rPr>
          <w:noProof/>
        </w:rPr>
      </w:pPr>
      <w:r w:rsidRPr="00F27C25">
        <w:rPr>
          <w:noProof/>
        </w:rPr>
        <w:t>(6)</w:t>
      </w:r>
      <w:r w:rsidRPr="00F27C25">
        <w:rPr>
          <w:noProof/>
        </w:rPr>
        <w:tab/>
        <w:t>Načelo, na katerem temelji opredelitev pojma „turistični paket“, bi moralo še naprej ostati to</w:t>
      </w:r>
      <w:r w:rsidRPr="00F27C25">
        <w:rPr>
          <w:noProof/>
        </w:rPr>
        <w:t>, da obstaja tesna povezava med različnimi potovalnimi storitvami, rezerviranimi za isto potovanje ali počitnice. Da se prepreči prekrivanje med opredelitvijo pojmov „turistični paket“ in „povezan potovalni aranžma“ ter da se odpravijo težave pri razlikova</w:t>
      </w:r>
      <w:r w:rsidRPr="00F27C25">
        <w:rPr>
          <w:noProof/>
        </w:rPr>
        <w:t>nju med turističnimi paketi in povezanimi potovalnimi aranžmaji, bi bilo treba rezervacije različnih vrst potovalnih storitev za isto potovanje ali počitnice na eni prodajni točki, kadar so bile potovalne storitve izbrane, preden je potnik sklenil prvo pog</w:t>
      </w:r>
      <w:r w:rsidRPr="00F27C25">
        <w:rPr>
          <w:noProof/>
        </w:rPr>
        <w:t>odbo, šteti za turistične pakete na enak način kot potovalne storitve, rezervirane na eni prodajni točki v kratkem času. V obeh primerih obstaja tesna povezava med rezervacijami potovalnih storitev. Zato bi morala opredelitev pojma „turistični paket“ zajem</w:t>
      </w:r>
      <w:r w:rsidRPr="00F27C25">
        <w:rPr>
          <w:noProof/>
        </w:rPr>
        <w:t>ati oba primera, medtem ko bi bilo treba rezervacije, opravljene ob enkratnem obisku prodajne točke ali stiku z njo, črtati iz opredelitve pojma povezanega potovalnega aranžmaja.</w:t>
      </w:r>
    </w:p>
    <w:p w14:paraId="4C36DCF2" w14:textId="77777777" w:rsidR="00144AE5" w:rsidRPr="00F27C25" w:rsidRDefault="00144AE5" w:rsidP="008A36D6">
      <w:pPr>
        <w:pStyle w:val="ManualConsidrant"/>
        <w:rPr>
          <w:noProof/>
        </w:rPr>
      </w:pPr>
      <w:r w:rsidRPr="00F27C25">
        <w:rPr>
          <w:noProof/>
        </w:rPr>
        <w:t>(7)</w:t>
      </w:r>
      <w:r w:rsidRPr="00F27C25">
        <w:rPr>
          <w:noProof/>
        </w:rPr>
        <w:tab/>
      </w:r>
      <w:r w:rsidRPr="00F27C25">
        <w:rPr>
          <w:noProof/>
        </w:rPr>
        <w:t>V zvezi z rezervacijami, opravljenimi v kratkem času na eni prodajni točki, je primerno nadomestiti precej nejasno merilo „enkratnega obiska ali stika“. Zato bi bilo treba rezervacije različnih vrst potovalnih storitev za isto počitniško potovanje, opravlj</w:t>
      </w:r>
      <w:r w:rsidRPr="00F27C25">
        <w:rPr>
          <w:noProof/>
        </w:rPr>
        <w:t>eno v treh urah, vedno šteti za turistične pakete. Enako bi moralo veljati, kadar trgovec pred dokončanjem prve rezervacije potnika pozove, naj rezervira dodatne storitve za isto potovanje ali počitnice po zaključku prve rezervacije, in se nadaljnje rezerv</w:t>
      </w:r>
      <w:r w:rsidRPr="00F27C25">
        <w:rPr>
          <w:noProof/>
        </w:rPr>
        <w:t xml:space="preserve">acije opravijo v 24 urah po sklenitvi prve pogodbe. </w:t>
      </w:r>
    </w:p>
    <w:p w14:paraId="6FC713CA" w14:textId="77777777" w:rsidR="00144AE5" w:rsidRPr="00F27C25" w:rsidRDefault="00144AE5" w:rsidP="008A36D6">
      <w:pPr>
        <w:pStyle w:val="ManualConsidrant"/>
        <w:rPr>
          <w:noProof/>
        </w:rPr>
      </w:pPr>
      <w:r w:rsidRPr="00F27C25">
        <w:rPr>
          <w:noProof/>
        </w:rPr>
        <w:t>(8)</w:t>
      </w:r>
      <w:r w:rsidRPr="00F27C25">
        <w:rPr>
          <w:noProof/>
        </w:rPr>
        <w:tab/>
        <w:t>Opredelitev turističnega paketa, sestavljenega prek povezanih postopkov spletne rezervacije, iz člena 3(2)(b)(v) Direktive (EU) 2015/2302, v skladu s katero je moral en trgovec drugemu trgovcu posred</w:t>
      </w:r>
      <w:r w:rsidRPr="00F27C25">
        <w:rPr>
          <w:noProof/>
        </w:rPr>
        <w:t xml:space="preserve">ovati ime potnika, podatke o plačilu in elektronski naslov potnika, se je izkazala za preozko. Zato je primerno kot „turistične pakete“ šteti rezervacije različnih vrst potovalnih storitev za isto potovanje ali počitnice, kadar trgovec, ki je stranka prve </w:t>
      </w:r>
      <w:r w:rsidRPr="00F27C25">
        <w:rPr>
          <w:noProof/>
        </w:rPr>
        <w:t>pogodbe, trgovcu, ki je stranka druge ali nadaljnje pogodbe, posreduje bodisi ime potnika bodisi podatke o plačilu, elektronski naslov ali druge osebne podatke potnika. Tako posredovanje osebnih podatkov kaže na tesno povezavo med rezervacijami ali pogodba</w:t>
      </w:r>
      <w:r w:rsidRPr="00F27C25">
        <w:rPr>
          <w:noProof/>
        </w:rPr>
        <w:t>mi, zato merilo 24 ur za drugo rezervacijo ni nujno in bi ga bilo treba črtati.</w:t>
      </w:r>
    </w:p>
    <w:p w14:paraId="434F3175" w14:textId="77777777" w:rsidR="00144AE5" w:rsidRPr="00F27C25" w:rsidRDefault="00144AE5" w:rsidP="008A36D6">
      <w:pPr>
        <w:pStyle w:val="ManualConsidrant"/>
        <w:rPr>
          <w:noProof/>
        </w:rPr>
      </w:pPr>
      <w:r w:rsidRPr="00F27C25">
        <w:rPr>
          <w:noProof/>
        </w:rPr>
        <w:t>(9)</w:t>
      </w:r>
      <w:r w:rsidRPr="00F27C25">
        <w:rPr>
          <w:noProof/>
        </w:rPr>
        <w:tab/>
        <w:t xml:space="preserve">Opredelitev pojma „povezan potovalni aranžma“ bi morala zajemati primere, ko trgovec, ki je stranka prve pogodbe in prejme plačila od potnika ali v njegovem imenu, potnika </w:t>
      </w:r>
      <w:r w:rsidRPr="00F27C25">
        <w:rPr>
          <w:noProof/>
        </w:rPr>
        <w:t>pozove, naj rezervira dodatne vrste potovalnih storitev za isto potovanje ali počitnice. V zvezi s tem bi moral trgovec, ki je stranka prve pogodbe, pridobiti varstvo v primeru insolventnosti. Poleg tega je, da bi zagotovili, da bodo potniki v celoti delež</w:t>
      </w:r>
      <w:r w:rsidRPr="00F27C25">
        <w:rPr>
          <w:noProof/>
        </w:rPr>
        <w:t>ni koristi pravil o varstvu v primeru insolventnosti in da bodo trgovci vedeli, da zanje velja ta obveznost, primerno, da obrazci z informacijami o povezanih potovalnih aranžmajih potnikom priporočajo, naj zabeležijo poziv trgovca in dodatno rezervacijo, n</w:t>
      </w:r>
      <w:r w:rsidRPr="00F27C25">
        <w:rPr>
          <w:noProof/>
        </w:rPr>
        <w:t>a primer s posnetki zaslona, ter trgovca, s katerim je bila sklenjena prva pogodba, obvestijo, da je bila za isto potovanje ali počitnice v 24 urah po pozivu sklenjena pogodba o dodatni vrsti potovalne storitve. Trgovec bi moral potnikom dati na voljo možn</w:t>
      </w:r>
      <w:r w:rsidRPr="00F27C25">
        <w:rPr>
          <w:noProof/>
        </w:rPr>
        <w:t xml:space="preserve">ost, kot je elektronski naslov ali spletno mesto, prek katerega lahko potniki take informacije evidentirajo, in potrditi prejem takih informacij. </w:t>
      </w:r>
    </w:p>
    <w:p w14:paraId="50291FC2" w14:textId="77777777" w:rsidR="00144AE5" w:rsidRPr="00F27C25" w:rsidRDefault="00144AE5" w:rsidP="008A36D6">
      <w:pPr>
        <w:pStyle w:val="ManualConsidrant"/>
        <w:rPr>
          <w:noProof/>
        </w:rPr>
      </w:pPr>
      <w:r w:rsidRPr="00F27C25">
        <w:rPr>
          <w:noProof/>
        </w:rPr>
        <w:t>(10)</w:t>
      </w:r>
      <w:r w:rsidRPr="00F27C25">
        <w:rPr>
          <w:noProof/>
        </w:rPr>
        <w:tab/>
        <w:t>V zvezi s turističnimi paketi, pri katerih je na primer nastanitev kombinirana z drugimi turističnimi st</w:t>
      </w:r>
      <w:r w:rsidRPr="00F27C25">
        <w:rPr>
          <w:noProof/>
        </w:rPr>
        <w:t xml:space="preserve">oritvami, vendar ne vključujejo prevoza potnikov, bi bilo treba splošno merilo „znatnega dela“ vrednosti kombinacije, ki se uporablja za turistične storitve iz člena 3(1)(d), nadomestiti z bolj specifičnim merilom „vsaj 25 %“, da se poveča pravna varnost. </w:t>
      </w:r>
    </w:p>
    <w:p w14:paraId="54B42F8A" w14:textId="77777777" w:rsidR="00144AE5" w:rsidRPr="00F27C25" w:rsidRDefault="00144AE5" w:rsidP="008A36D6">
      <w:pPr>
        <w:pStyle w:val="ManualConsidrant"/>
        <w:rPr>
          <w:noProof/>
        </w:rPr>
      </w:pPr>
      <w:r w:rsidRPr="00F27C25">
        <w:rPr>
          <w:noProof/>
        </w:rPr>
        <w:t>(11)</w:t>
      </w:r>
      <w:r w:rsidRPr="00F27C25">
        <w:rPr>
          <w:noProof/>
        </w:rPr>
        <w:tab/>
        <w:t>Kot se je pokazalo zlasti med pandemijo COVID-19, lahko prevladujoča poslovna praksa predplačil, odsotnost pravil poslovanja med podjetji glede povračil organizatorju turističnih paketov za storitve, ki so jih ponudniki storitev odpovedali ali jih ni</w:t>
      </w:r>
      <w:r w:rsidRPr="00F27C25">
        <w:rPr>
          <w:noProof/>
        </w:rPr>
        <w:t>so izvedli, odsotnost pravil o dobropisih ter negotovost glede tega, ali so zahtevki za povračilo in dobropisi za odpovedane turistične pakete kriti z varstvom v primeru insolventnosti, povzročijo težave v zvezi s povračili potnikom, zlasti kadar neizogibn</w:t>
      </w:r>
      <w:r w:rsidRPr="00F27C25">
        <w:rPr>
          <w:noProof/>
        </w:rPr>
        <w:t>e in izredne okoliščine privedejo do številnih odpovedi in zadevajo številne kraje potovanja. Zato bi bilo treba zagotoviti, da so plačila potnikov vedno učinkovito zaščitena, tudi v primeru krize. Poleg tega bi bilo treba zagotoviti, da so nacionalni sist</w:t>
      </w:r>
      <w:r w:rsidRPr="00F27C25">
        <w:rPr>
          <w:noProof/>
        </w:rPr>
        <w:t>emi varstva v primeru insolventnosti odporni in da zagotavljajo enotnejšo zaščito.</w:t>
      </w:r>
    </w:p>
    <w:p w14:paraId="1F90A7B6" w14:textId="77777777" w:rsidR="00144AE5" w:rsidRPr="00F27C25" w:rsidRDefault="00144AE5" w:rsidP="001C5DA4">
      <w:pPr>
        <w:pStyle w:val="ManualConsidrant"/>
        <w:rPr>
          <w:noProof/>
        </w:rPr>
      </w:pPr>
      <w:r w:rsidRPr="00F27C25">
        <w:rPr>
          <w:noProof/>
        </w:rPr>
        <w:t>(12)</w:t>
      </w:r>
      <w:r w:rsidRPr="00F27C25">
        <w:rPr>
          <w:noProof/>
        </w:rPr>
        <w:tab/>
      </w:r>
      <w:r w:rsidRPr="00F27C25">
        <w:rPr>
          <w:noProof/>
        </w:rPr>
        <w:t>Obstajajo nekatera tveganja, ki so neločljivo povezana s poslovno prakso zahtevanja predplačil, zlasti v primerih, ko morajo organizatorji potnikom za odpovedana potovanja v kratkem času povrniti visoke zneske. Zato bi bilo treba določiti, da pologi, tj. p</w:t>
      </w:r>
      <w:r w:rsidRPr="00F27C25">
        <w:rPr>
          <w:noProof/>
        </w:rPr>
        <w:t>lačila, ki se zahtevajo od potnikov ob rezervaciji ali kmalu po njej, ne bi smeli presegati 25 % skupne cene turističnega paketa in da organizatorji, ali po potrebi turistični agenti, ne bi smeli zahtevati plačila preostalega zneska prej kot 28 dni pred za</w:t>
      </w:r>
      <w:r w:rsidRPr="00F27C25">
        <w:rPr>
          <w:noProof/>
        </w:rPr>
        <w:t xml:space="preserve">četkom turističnega paketa. Hkrati bi morali imeti organizatorji, ali po potrebi turistični agenti, možnost, da zahtevajo višje pologe, če je to potrebno za zagotovitev organizacije in ustrezne izvedbe turističnega paketa. Višina pologov, ki jih zahtevajo </w:t>
      </w:r>
      <w:r w:rsidRPr="00F27C25">
        <w:rPr>
          <w:noProof/>
        </w:rPr>
        <w:t xml:space="preserve">organizatorji, se lahko utemelji s predplačili ponudnikom storitev, tudi kadar pripadajo isti skupini podjetij kot organizator, </w:t>
      </w:r>
      <w:bookmarkStart w:id="9" w:name="_Hlk151707262"/>
      <w:r w:rsidRPr="00F27C25">
        <w:rPr>
          <w:noProof/>
        </w:rPr>
        <w:t>ali s potrebo po kritju stroškov organizatorja, ki so neposredno povezani z organizacijo</w:t>
      </w:r>
      <w:bookmarkEnd w:id="9"/>
      <w:r w:rsidRPr="00F27C25">
        <w:rPr>
          <w:noProof/>
        </w:rPr>
        <w:t xml:space="preserve"> in izvedbo turističnega paketa ob rezer</w:t>
      </w:r>
      <w:r w:rsidRPr="00F27C25">
        <w:rPr>
          <w:noProof/>
        </w:rPr>
        <w:t xml:space="preserve">vaciji ali kmalu po njej. To lahko po potrebi vključuje provizije, ki jih zahtevajo turistični agenti. </w:t>
      </w:r>
    </w:p>
    <w:p w14:paraId="0B7EBE26" w14:textId="77777777" w:rsidR="00144AE5" w:rsidRPr="00F27C25" w:rsidRDefault="00144AE5" w:rsidP="00C97718">
      <w:pPr>
        <w:spacing w:before="100" w:beforeAutospacing="1" w:line="252" w:lineRule="auto"/>
        <w:ind w:left="709" w:hanging="709"/>
        <w:rPr>
          <w:noProof/>
        </w:rPr>
      </w:pPr>
      <w:r w:rsidRPr="00F27C25">
        <w:rPr>
          <w:noProof/>
        </w:rPr>
        <w:t>(</w:t>
      </w:r>
      <w:bookmarkStart w:id="10" w:name="_Hlk151749236"/>
      <w:r w:rsidRPr="00F27C25">
        <w:rPr>
          <w:noProof/>
        </w:rPr>
        <w:t>13)</w:t>
      </w:r>
      <w:r w:rsidRPr="00F27C25">
        <w:rPr>
          <w:noProof/>
        </w:rPr>
        <w:tab/>
      </w:r>
      <w:bookmarkEnd w:id="10"/>
      <w:r w:rsidRPr="00F27C25">
        <w:rPr>
          <w:noProof/>
        </w:rPr>
        <w:t xml:space="preserve">Višine predplačila naj ne bi bilo treba izračunati ločeno za vsak turistični paket, temveč bi se lahko določila za skupine turističnih paketov, ki </w:t>
      </w:r>
      <w:r w:rsidRPr="00F27C25">
        <w:rPr>
          <w:noProof/>
        </w:rPr>
        <w:t>imajo podobne značilnosti v smislu potrebe po pologu.</w:t>
      </w:r>
      <w:r w:rsidRPr="00F27C25">
        <w:rPr>
          <w:i/>
          <w:noProof/>
        </w:rPr>
        <w:t xml:space="preserve"> </w:t>
      </w:r>
      <w:r w:rsidRPr="00F27C25">
        <w:rPr>
          <w:noProof/>
        </w:rPr>
        <w:t>Organizatorji in po potrebi turistični agenti bi morali tudi v prihodnje potnike pred sklenitvijo pogodbe obvestiti o zahtevanih pologih.</w:t>
      </w:r>
    </w:p>
    <w:p w14:paraId="185160CB" w14:textId="77777777" w:rsidR="00144AE5" w:rsidRPr="00F27C25" w:rsidRDefault="00144AE5" w:rsidP="00C97718">
      <w:pPr>
        <w:spacing w:before="100" w:beforeAutospacing="1" w:line="252" w:lineRule="auto"/>
        <w:ind w:left="709" w:hanging="709"/>
        <w:rPr>
          <w:i/>
          <w:iCs/>
          <w:noProof/>
        </w:rPr>
      </w:pPr>
      <w:r w:rsidRPr="00F27C25">
        <w:rPr>
          <w:noProof/>
        </w:rPr>
        <w:t>(14)</w:t>
      </w:r>
      <w:r w:rsidRPr="00F27C25">
        <w:rPr>
          <w:noProof/>
        </w:rPr>
        <w:tab/>
        <w:t>Ker omejitev predplačil ni združljiva s pojmoma darilnih bo</w:t>
      </w:r>
      <w:r w:rsidRPr="00F27C25">
        <w:rPr>
          <w:noProof/>
        </w:rPr>
        <w:t>nov za paketna potovanja iz člena 3(5)(b)(iv) Direktive (EU) 2015/2302 in turističnih paketov, rezerviranih manj kot 28 dni pred začetkom turističnega paketa, bi bilo treba ti dve vrsti turističnih paketov izvzeti iz omejitve predplačil, ki jo uvaja ta dir</w:t>
      </w:r>
      <w:r w:rsidRPr="00F27C25">
        <w:rPr>
          <w:noProof/>
        </w:rPr>
        <w:t>ektiva.</w:t>
      </w:r>
    </w:p>
    <w:p w14:paraId="04FB0CF0" w14:textId="77777777" w:rsidR="00144AE5" w:rsidRPr="00F27C25" w:rsidRDefault="00144AE5" w:rsidP="008A36D6">
      <w:pPr>
        <w:pStyle w:val="ManualConsidrant"/>
        <w:rPr>
          <w:noProof/>
        </w:rPr>
      </w:pPr>
      <w:r w:rsidRPr="00F27C25">
        <w:rPr>
          <w:noProof/>
        </w:rPr>
        <w:t>(15)</w:t>
      </w:r>
      <w:r w:rsidRPr="00F27C25">
        <w:rPr>
          <w:noProof/>
        </w:rPr>
        <w:tab/>
        <w:t>Kadar je potovalna storitev iz turističnega paketa odpovedana ali se ne izvede in so bila zadevnemu ponudniku storitev plačana predplačila, bi morali biti organizatorji upravičeni do povračila opravljenih plačil od ponudnikov storitev v sedmih</w:t>
      </w:r>
      <w:r w:rsidRPr="00F27C25">
        <w:rPr>
          <w:noProof/>
        </w:rPr>
        <w:t xml:space="preserve"> dneh. Ta pravica do povračila bi morala organizatorjem omogočiti, da izpolnijo svojo obveznost glede povračila potnikom v 14 dneh tudi v primeru odstopa od celotne pogodbe o paketnem potovanju. Če ponudnik potovalnih storitev odpove ali ne izvede storitve</w:t>
      </w:r>
      <w:r w:rsidRPr="00F27C25">
        <w:rPr>
          <w:noProof/>
        </w:rPr>
        <w:t xml:space="preserve"> iz turističnega paketa, vendar pogodba o paketnem potovanju še vedno obstaja, bi morala pravica do povračila v sedmih dneh organizatorjem omogočiti, da zagotovijo nadomestne aranžmaje. </w:t>
      </w:r>
    </w:p>
    <w:p w14:paraId="2E2C07B7" w14:textId="77777777" w:rsidR="00144AE5" w:rsidRPr="00F27C25" w:rsidRDefault="00144AE5" w:rsidP="008A36D6">
      <w:pPr>
        <w:pStyle w:val="ManualConsidrant"/>
        <w:rPr>
          <w:noProof/>
        </w:rPr>
      </w:pPr>
      <w:r w:rsidRPr="00F27C25">
        <w:rPr>
          <w:noProof/>
        </w:rPr>
        <w:t>(16)</w:t>
      </w:r>
      <w:r w:rsidRPr="00F27C25">
        <w:rPr>
          <w:noProof/>
        </w:rPr>
        <w:tab/>
        <w:t>V nekaterih primerih so lahko za potnike koristna alternativa po</w:t>
      </w:r>
      <w:r w:rsidRPr="00F27C25">
        <w:rPr>
          <w:noProof/>
        </w:rPr>
        <w:t>vračilom prostovoljni dobropisi. Dobropisi lahko organizatorjem omogočijo večjo prožnost, zlasti če so primorani izpolniti obveznost plačila številnih povračil v kratkem času. Hkrati so lahko dobropisi sprejemljivi za potnike, ki ne potrebujejo takojšnjega</w:t>
      </w:r>
      <w:r w:rsidRPr="00F27C25">
        <w:rPr>
          <w:noProof/>
        </w:rPr>
        <w:t xml:space="preserve"> povračila, če obstajajo posebna pravna jamstva. Zato bi bilo treba določiti jasna pravila o dobropisih, ki zagotavljajo takšna jamstva. Ta jamstva bi morala vključevati preglednost glede prostovoljne narave in ključnih značilnosti dobropisov, pa tudi prav</w:t>
      </w:r>
      <w:r w:rsidRPr="00F27C25">
        <w:rPr>
          <w:noProof/>
        </w:rPr>
        <w:t>ic potnikov v zvezi z dobropisi, na primer dejstvo, da so zaščiteni pred insolventnostjo organizatorja in da so potniki upravičeni do samodejnega povračila, če dobropis ni unovčen v obdobju njegove veljavnosti. Organizatorji lahko povečajo privlačnost dobr</w:t>
      </w:r>
      <w:r w:rsidRPr="00F27C25">
        <w:rPr>
          <w:noProof/>
        </w:rPr>
        <w:t>opisov, na primer s povečanjem zneska dobropisa v primerjavi s pravico potnika do povračila. V takih primerih bi moralo biti varstvo v primeru insolventnosti omejeno na znesek plačil, prejetih od potnika.</w:t>
      </w:r>
    </w:p>
    <w:p w14:paraId="6A30B79E" w14:textId="77777777" w:rsidR="00144AE5" w:rsidRPr="00F27C25" w:rsidRDefault="00144AE5" w:rsidP="008A36D6">
      <w:pPr>
        <w:pStyle w:val="ManualConsidrant"/>
        <w:rPr>
          <w:noProof/>
        </w:rPr>
      </w:pPr>
      <w:r w:rsidRPr="00F27C25">
        <w:rPr>
          <w:noProof/>
        </w:rPr>
        <w:t>(17)</w:t>
      </w:r>
      <w:r w:rsidRPr="00F27C25">
        <w:rPr>
          <w:noProof/>
        </w:rPr>
        <w:tab/>
        <w:t>Države članice bi lahko uvedle mehanizme, ki b</w:t>
      </w:r>
      <w:r w:rsidRPr="00F27C25">
        <w:rPr>
          <w:noProof/>
        </w:rPr>
        <w:t>i potnikom zagotavljali povračilo v skladu s pravnimi zahtevami v primerih odpovedi turističnih paketov zaradi neizogibnih in izrednih okoliščin ter kadar organizatorji ne bi mogli izpolniti svojih obveznosti glede povračila. Za povečanje preglednosti bi m</w:t>
      </w:r>
      <w:r w:rsidRPr="00F27C25">
        <w:rPr>
          <w:noProof/>
        </w:rPr>
        <w:t>orale države članice, ki uvedejo ali ohranijo take mehanizme, Komisijo in osrednje kontaktne točke drugih držav članic obvestiti o njih. Taki mehanizmi se običajno financirajo izključno s prispevki organizatorjev. Le v izjemnih okoliščinah lahko take mehan</w:t>
      </w:r>
      <w:r w:rsidRPr="00F27C25">
        <w:rPr>
          <w:noProof/>
        </w:rPr>
        <w:t>izme sofinancirajo države članice, njihova uvedba pa ne sme posegati v določbe Unije o državni pomoči.</w:t>
      </w:r>
    </w:p>
    <w:p w14:paraId="6A0114D1" w14:textId="77777777" w:rsidR="00144AE5" w:rsidRPr="00F27C25" w:rsidRDefault="00144AE5" w:rsidP="008A36D6">
      <w:pPr>
        <w:pStyle w:val="ManualConsidrant"/>
        <w:rPr>
          <w:noProof/>
        </w:rPr>
      </w:pPr>
      <w:r w:rsidRPr="00F27C25">
        <w:rPr>
          <w:noProof/>
        </w:rPr>
        <w:t>(18)</w:t>
      </w:r>
      <w:r w:rsidRPr="00F27C25">
        <w:rPr>
          <w:noProof/>
        </w:rPr>
        <w:tab/>
        <w:t>V številnih predstavljivih okoliščinah, ki lahko povzročijo odstop od pogodbe o paketnem potovanju zaradi neizogibnih in izrednih okoliščin, ki znat</w:t>
      </w:r>
      <w:r w:rsidRPr="00F27C25">
        <w:rPr>
          <w:noProof/>
        </w:rPr>
        <w:t>no vplivajo na izvedbo turističnega paketa, je potrebna ocena vsakega primera posebej, na primer glede na naravo in razsežnost takih okoliščin. Pojasniti bi bilo treba, da je odstop od pogodbe možen, če je mogoče razumno pričakovati, da bodo na njeno izved</w:t>
      </w:r>
      <w:r w:rsidRPr="00F27C25">
        <w:rPr>
          <w:noProof/>
        </w:rPr>
        <w:t xml:space="preserve">bo znatno vplivale neizogibne in izredne okoliščine. </w:t>
      </w:r>
    </w:p>
    <w:p w14:paraId="46888FC2" w14:textId="77777777" w:rsidR="00144AE5" w:rsidRPr="00F27C25" w:rsidRDefault="00144AE5" w:rsidP="008A36D6">
      <w:pPr>
        <w:pStyle w:val="ManualConsidrant"/>
        <w:rPr>
          <w:noProof/>
          <w:szCs w:val="24"/>
        </w:rPr>
      </w:pPr>
      <w:r w:rsidRPr="00F27C25">
        <w:rPr>
          <w:noProof/>
        </w:rPr>
        <w:t>(19)</w:t>
      </w:r>
      <w:r w:rsidRPr="00F27C25">
        <w:rPr>
          <w:noProof/>
        </w:rPr>
        <w:tab/>
        <w:t>Med pandemijo COVID-19 so se pojavile različne razlage pravic do odpovedi zaradi „neizogibnih in izrednih okoliščin“, tudi v zvezi z upoštevnostjo opozoril glede potovanj. Zato je primerno določiti</w:t>
      </w:r>
      <w:r w:rsidRPr="00F27C25">
        <w:rPr>
          <w:noProof/>
        </w:rPr>
        <w:t>, da so uradna opozorila glede potovanj za kraj potovanja, ki jih izdajo organi države članice potnikovega prebivališča ali odhoda ali države potovanja, pomembni elementi pri ocenjevanju upravičenosti odstopa od pogodbe. Pojasniti bi bilo treba tudi, da so</w:t>
      </w:r>
      <w:r w:rsidRPr="00F27C25">
        <w:rPr>
          <w:noProof/>
        </w:rPr>
        <w:t xml:space="preserve"> resne omejitve v kraju potovanja ali po vrnitvi s potovanja oziroma počitnic, kot so zahteve glede karantene za daljše obdobje, pomembne tudi pri ocenjevanju upravičenosti odstopa od pogodbe o paketnem potovanju.</w:t>
      </w:r>
    </w:p>
    <w:p w14:paraId="7FFFECA6" w14:textId="77777777" w:rsidR="00144AE5" w:rsidRPr="00F27C25" w:rsidRDefault="00144AE5" w:rsidP="008A36D6">
      <w:pPr>
        <w:pStyle w:val="ManualConsidrant"/>
        <w:rPr>
          <w:noProof/>
        </w:rPr>
      </w:pPr>
      <w:r w:rsidRPr="00F27C25">
        <w:rPr>
          <w:noProof/>
        </w:rPr>
        <w:t>(20)</w:t>
      </w:r>
      <w:r w:rsidRPr="00F27C25">
        <w:rPr>
          <w:noProof/>
        </w:rPr>
        <w:tab/>
        <w:t>Pojasniti bi bilo treba tudi, da se 1</w:t>
      </w:r>
      <w:r w:rsidRPr="00F27C25">
        <w:rPr>
          <w:noProof/>
        </w:rPr>
        <w:t>4-dnevni rok za povračilo, ki se sproži zaradi odstopa od pogodbe, uporablja ne glede na to, ali potnik izrecno zahteva povračilo.</w:t>
      </w:r>
    </w:p>
    <w:p w14:paraId="1826A115" w14:textId="77777777" w:rsidR="00144AE5" w:rsidRPr="00F27C25" w:rsidRDefault="00144AE5" w:rsidP="008A36D6">
      <w:pPr>
        <w:pStyle w:val="ManualConsidrant"/>
        <w:rPr>
          <w:noProof/>
        </w:rPr>
      </w:pPr>
      <w:r w:rsidRPr="00F27C25">
        <w:rPr>
          <w:noProof/>
        </w:rPr>
        <w:t>(21)</w:t>
      </w:r>
      <w:r w:rsidRPr="00F27C25">
        <w:rPr>
          <w:noProof/>
        </w:rPr>
        <w:tab/>
        <w:t>Da bi zagotovili učinkovito in enotno zaščito potnikov ter enake konkurenčne pogoje za organizatorje, bi bilo treba dolo</w:t>
      </w:r>
      <w:r w:rsidRPr="00F27C25">
        <w:rPr>
          <w:noProof/>
        </w:rPr>
        <w:t>čiti, da varstvo v primeru insolventnosti organizatorja krije vsa plačila s strani potnikov ali v njihovem imenu, vključno s primeri, ko turistični paket v celoti ali delno ni izveden zaradi insolventnosti organizatorja, in primeri, ko je bil potnik upravi</w:t>
      </w:r>
      <w:r w:rsidRPr="00F27C25">
        <w:rPr>
          <w:noProof/>
        </w:rPr>
        <w:t>čen do povračila ali je od organizatorja prejel dobropis pred insolventnostjo.</w:t>
      </w:r>
    </w:p>
    <w:p w14:paraId="1CFE5103" w14:textId="77777777" w:rsidR="00144AE5" w:rsidRPr="00F27C25" w:rsidRDefault="00144AE5" w:rsidP="008A36D6">
      <w:pPr>
        <w:pStyle w:val="ManualConsidrant"/>
        <w:rPr>
          <w:noProof/>
        </w:rPr>
      </w:pPr>
      <w:r w:rsidRPr="00F27C25">
        <w:rPr>
          <w:noProof/>
        </w:rPr>
        <w:t>(22)</w:t>
      </w:r>
      <w:r w:rsidRPr="00F27C25">
        <w:rPr>
          <w:noProof/>
        </w:rPr>
        <w:tab/>
        <w:t>Da bi potnikom zagotovili stalno učinkovitost varstva v primeru insolventnosti, bi bilo treba zagotoviti, da jamstvo zadostuje za kritje stroškov povračil in povratka v pri</w:t>
      </w:r>
      <w:r w:rsidRPr="00F27C25">
        <w:rPr>
          <w:noProof/>
        </w:rPr>
        <w:t>merih, ko do insolventnosti pride v času, ko ima organizator najvišje zneske plačil. Upoštevati je treba vsako povečanje teh zneskov zaradi večjega pričakovanega števila turističnih paketov, prodanih v danem obdobju. Pojasniti bi bilo treba, da bi morale d</w:t>
      </w:r>
      <w:r w:rsidRPr="00F27C25">
        <w:rPr>
          <w:noProof/>
        </w:rPr>
        <w:t>ržave članice nadzorovati varstvo organizatorjev v primeru insolventnosti in spremljati trg za zagotavljanje varstva v primeru insolventnosti. Države članice bi morale imeti možnost, da po potrebi zahtevajo drugo raven zaščite, na primer rezervni sklad. Ta</w:t>
      </w:r>
      <w:r w:rsidRPr="00F27C25">
        <w:rPr>
          <w:noProof/>
        </w:rPr>
        <w:t>ko bi lahko bilo na primer, kadar zavarovalne police ne zagotavljajo zahtevane ravni zaščite. Taki rezervni skladi bi se morali običajno financirati izključno s prispevki organizatorjev. Pojasniti bi bilo treba, da lahko države članice take ukrepe sofinanc</w:t>
      </w:r>
      <w:r w:rsidRPr="00F27C25">
        <w:rPr>
          <w:noProof/>
        </w:rPr>
        <w:t>irajo le v izjemnih okoliščinah, in ponovno poudariti, da navedene določbe ne smejo posegati v določbe Unije o državni pomoči, kolikor taki ukrepi vključujejo državno pomoč.</w:t>
      </w:r>
    </w:p>
    <w:p w14:paraId="6376A446" w14:textId="77777777" w:rsidR="00144AE5" w:rsidRPr="00F27C25" w:rsidRDefault="00144AE5" w:rsidP="008A36D6">
      <w:pPr>
        <w:pStyle w:val="ManualConsidrant"/>
        <w:rPr>
          <w:noProof/>
        </w:rPr>
      </w:pPr>
      <w:r w:rsidRPr="00F27C25">
        <w:rPr>
          <w:noProof/>
        </w:rPr>
        <w:t>(23)</w:t>
      </w:r>
      <w:r w:rsidRPr="00F27C25">
        <w:rPr>
          <w:noProof/>
        </w:rPr>
        <w:tab/>
        <w:t>V zvezi s povračilom plačil v primeru insolventnosti organizatorja bi bilo tr</w:t>
      </w:r>
      <w:r w:rsidRPr="00F27C25">
        <w:rPr>
          <w:noProof/>
        </w:rPr>
        <w:t>eba podrobno določiti rok za povračilo, in sicer tri mesece po tem, ko je potnik predložil dokumente, potrebne za preučitev zahtevka. Primerno je tudi uvesti določbo, da lahko države članice od turističnih agentov zahtevajo, da tudi oni poleg organizatorje</w:t>
      </w:r>
      <w:r w:rsidRPr="00F27C25">
        <w:rPr>
          <w:noProof/>
        </w:rPr>
        <w:t xml:space="preserve">v sklenejo varstvo v primeru insolventnosti. </w:t>
      </w:r>
    </w:p>
    <w:p w14:paraId="5988F682" w14:textId="77777777" w:rsidR="00144AE5" w:rsidRPr="00F27C25" w:rsidRDefault="00144AE5" w:rsidP="008A36D6">
      <w:pPr>
        <w:pStyle w:val="ManualConsidrant"/>
        <w:rPr>
          <w:noProof/>
        </w:rPr>
      </w:pPr>
      <w:r w:rsidRPr="00F27C25">
        <w:rPr>
          <w:noProof/>
        </w:rPr>
        <w:t>(24)</w:t>
      </w:r>
      <w:r w:rsidRPr="00F27C25">
        <w:rPr>
          <w:noProof/>
        </w:rPr>
        <w:tab/>
        <w:t>Pojasniti bi bilo treba, da so osrednje kontaktne točke odgovorne za izmenjavo informacij o varstvu v primeru insolventnosti in povezanih vprašanjih, vključno z vsemi mehanizmi za zagotavljanje pravočasnih</w:t>
      </w:r>
      <w:r w:rsidRPr="00F27C25">
        <w:rPr>
          <w:noProof/>
        </w:rPr>
        <w:t xml:space="preserve"> povračil v primeru odstopa od pogodb o paketnem potovanju. </w:t>
      </w:r>
    </w:p>
    <w:p w14:paraId="7665B456" w14:textId="77777777" w:rsidR="00144AE5" w:rsidRPr="00F27C25" w:rsidRDefault="00144AE5" w:rsidP="008A36D6">
      <w:pPr>
        <w:pStyle w:val="ManualConsidrant"/>
        <w:rPr>
          <w:noProof/>
        </w:rPr>
      </w:pPr>
      <w:r w:rsidRPr="00F27C25">
        <w:rPr>
          <w:noProof/>
        </w:rPr>
        <w:t>(25)</w:t>
      </w:r>
      <w:r w:rsidRPr="00F27C25">
        <w:rPr>
          <w:noProof/>
        </w:rPr>
        <w:tab/>
        <w:t>Pomembno je, da so potniki ustrezno obveščeni o svojih pravicah, da lahko razumejo informacije, ki so jim zagotovljene, in da imajo dostop do teh informacij, kadar jih potrebujejo. Zato bi b</w:t>
      </w:r>
      <w:r w:rsidRPr="00F27C25">
        <w:rPr>
          <w:noProof/>
        </w:rPr>
        <w:t>ilo treba uvesti nekatere spremembe v zvezi z zahtevami glede predpogodbenih informacij, vsebino pogodbe o paketnem potovanju in obrazci standardnih informacij iz prilog I in II k Direktivi (EU) 2015/2302. Na primer, v obrazcih standardnih informacij iz Pr</w:t>
      </w:r>
      <w:r w:rsidRPr="00F27C25">
        <w:rPr>
          <w:noProof/>
        </w:rPr>
        <w:t>iloge I bi moral biti določen trgovec, ki je odgovoren za povračila za odpovedane turistične pakete. Poleg možnosti odpovedi turističnega paketa ob plačilu odstopnine bi bilo treba navesti pravico do odstopa od pogodbe o paketnem potovanju brez plačila ods</w:t>
      </w:r>
      <w:r w:rsidRPr="00F27C25">
        <w:rPr>
          <w:noProof/>
        </w:rPr>
        <w:t>topnine zaradi neizogibnih in izrednih okoliščin. Poleg tega bi morali organizatorji  pogodbi priložiti obrazec standardnih informacij, tako da bi bil potnikom na voljo po sklenitvi pogodbe, skupaj s kontaktnimi podatki zadevnih trgovcev.</w:t>
      </w:r>
    </w:p>
    <w:p w14:paraId="36C442A6" w14:textId="77777777" w:rsidR="00144AE5" w:rsidRPr="00F27C25" w:rsidRDefault="00144AE5" w:rsidP="008A36D6">
      <w:pPr>
        <w:pStyle w:val="ManualConsidrant"/>
        <w:rPr>
          <w:noProof/>
        </w:rPr>
      </w:pPr>
      <w:r w:rsidRPr="00F27C25">
        <w:rPr>
          <w:noProof/>
        </w:rPr>
        <w:t>(26)</w:t>
      </w:r>
      <w:r w:rsidRPr="00F27C25">
        <w:rPr>
          <w:noProof/>
        </w:rPr>
        <w:tab/>
      </w:r>
      <w:r w:rsidRPr="00F27C25">
        <w:rPr>
          <w:noProof/>
        </w:rPr>
        <w:t xml:space="preserve">Direktivo (EU) 2015/2302 bi bilo zato treba ustrezno spremeniti. </w:t>
      </w:r>
    </w:p>
    <w:p w14:paraId="223DBA71" w14:textId="77777777" w:rsidR="00144AE5" w:rsidRPr="00F27C25" w:rsidRDefault="00144AE5" w:rsidP="008A36D6">
      <w:pPr>
        <w:pStyle w:val="ManualConsidrant"/>
        <w:rPr>
          <w:noProof/>
        </w:rPr>
      </w:pPr>
      <w:r w:rsidRPr="00F27C25">
        <w:rPr>
          <w:noProof/>
        </w:rPr>
        <w:t>(27)</w:t>
      </w:r>
      <w:r w:rsidRPr="00F27C25">
        <w:rPr>
          <w:noProof/>
        </w:rPr>
        <w:tab/>
        <w:t xml:space="preserve">Ker cilja te direktive, in sicer prispevati k pravilnemu delovanju notranjega trga v zvezi s paketnimi potovanji in doseganju visoke in čim bolj enotne ravni varstva potrošnikov na tem </w:t>
      </w:r>
      <w:r w:rsidRPr="00F27C25">
        <w:rPr>
          <w:noProof/>
        </w:rPr>
        <w:t>področju, države članice ne morejo zadovoljivo doseči, temveč se zaradi njegovega obsega in učinkov lažje doseže na ravni Unije, lahko Unija sprejme ukrepe v skladu z načelom subsidiarnosti iz člena 5 Pogodbe o Evropski uniji. V skladu z načelom sorazmerno</w:t>
      </w:r>
      <w:r w:rsidRPr="00F27C25">
        <w:rPr>
          <w:noProof/>
        </w:rPr>
        <w:t>sti iz navedenega člena ta direktiva ne presega tistega, kar je potrebno za dosego navedenega cilja.</w:t>
      </w:r>
    </w:p>
    <w:p w14:paraId="35263640" w14:textId="77777777" w:rsidR="00144AE5" w:rsidRPr="00F27C25" w:rsidRDefault="00144AE5" w:rsidP="0070320A">
      <w:pPr>
        <w:pStyle w:val="ManualConsidrant"/>
        <w:rPr>
          <w:noProof/>
        </w:rPr>
      </w:pPr>
      <w:r w:rsidRPr="00F27C25">
        <w:rPr>
          <w:noProof/>
        </w:rPr>
        <w:t>(28)</w:t>
      </w:r>
      <w:r w:rsidRPr="00F27C25">
        <w:rPr>
          <w:noProof/>
        </w:rPr>
        <w:tab/>
        <w:t>Ta direktiva spoštuje temeljne pravice in upošteva načela, priznana z Listino Evropske unije o temeljnih pravicah. Ta direktiva zlasti spoštuje svobod</w:t>
      </w:r>
      <w:r w:rsidRPr="00F27C25">
        <w:rPr>
          <w:noProof/>
        </w:rPr>
        <w:t>o gospodarske pobude iz člena 16 Listine in obenem zagotavlja visoko raven varstva potrošnikov znotraj Unije v skladu s členom 38 Listine.</w:t>
      </w:r>
    </w:p>
    <w:p w14:paraId="15FC0DBE" w14:textId="77777777" w:rsidR="00144AE5" w:rsidRPr="00F27C25" w:rsidRDefault="00144AE5" w:rsidP="004E0188">
      <w:pPr>
        <w:rPr>
          <w:noProof/>
        </w:rPr>
      </w:pPr>
      <w:r w:rsidRPr="00F27C25">
        <w:rPr>
          <w:noProof/>
        </w:rPr>
        <w:t>(29)</w:t>
      </w:r>
      <w:r w:rsidRPr="00F27C25">
        <w:rPr>
          <w:noProof/>
        </w:rPr>
        <w:tab/>
        <w:t>Komisija bi morala Evropskemu parlamentu in Svetu predložiti poročilo o uporabi te direktive v petih letih od za</w:t>
      </w:r>
      <w:r w:rsidRPr="00F27C25">
        <w:rPr>
          <w:noProof/>
        </w:rPr>
        <w:t xml:space="preserve">četka njene veljavnosti. Čeprav so bili učinki te direktive na potovalna podjetja, vključno z mikro, malimi in srednjimi organizatorji, skrbno ocenjeni, je v tem poročilu primerno upoštevati učinek njene uporabe na mikro, male in srednje organizatorje. Po </w:t>
      </w:r>
      <w:r w:rsidRPr="00F27C25">
        <w:rPr>
          <w:noProof/>
        </w:rPr>
        <w:t>potrebi bi bilo treba poročilu priložiti zakonodajne predloge –</w:t>
      </w:r>
    </w:p>
    <w:p w14:paraId="01A7F95C" w14:textId="77777777" w:rsidR="00144AE5" w:rsidRPr="00F27C25" w:rsidRDefault="00144AE5" w:rsidP="004517AC">
      <w:pPr>
        <w:pStyle w:val="Formuledadoption"/>
        <w:rPr>
          <w:noProof/>
        </w:rPr>
      </w:pPr>
      <w:r w:rsidRPr="00F27C25">
        <w:rPr>
          <w:noProof/>
        </w:rPr>
        <w:t>SPREJELA NASLEDNJO DIREKTIVO:</w:t>
      </w:r>
    </w:p>
    <w:p w14:paraId="2415EEE7" w14:textId="77777777" w:rsidR="00144AE5" w:rsidRPr="00F27C25" w:rsidRDefault="00144AE5" w:rsidP="004517AC">
      <w:pPr>
        <w:pStyle w:val="Titrearticle"/>
        <w:rPr>
          <w:noProof/>
        </w:rPr>
      </w:pPr>
      <w:r w:rsidRPr="00F27C25">
        <w:rPr>
          <w:noProof/>
        </w:rPr>
        <w:t>Člen 1</w:t>
      </w:r>
    </w:p>
    <w:p w14:paraId="787ADB66" w14:textId="77777777" w:rsidR="00144AE5" w:rsidRPr="00F27C25" w:rsidRDefault="00144AE5" w:rsidP="004517AC">
      <w:pPr>
        <w:pStyle w:val="Titrearticle"/>
        <w:keepLines/>
        <w:rPr>
          <w:b/>
          <w:bCs/>
          <w:i w:val="0"/>
          <w:noProof/>
        </w:rPr>
      </w:pPr>
      <w:r w:rsidRPr="00F27C25">
        <w:rPr>
          <w:b/>
          <w:i w:val="0"/>
          <w:noProof/>
        </w:rPr>
        <w:t xml:space="preserve">Spremembe Direktive (EU) 2015/2302 </w:t>
      </w:r>
    </w:p>
    <w:p w14:paraId="1C3FC856" w14:textId="77777777" w:rsidR="00144AE5" w:rsidRPr="00F27C25" w:rsidRDefault="00144AE5" w:rsidP="00247F3F">
      <w:pPr>
        <w:rPr>
          <w:noProof/>
        </w:rPr>
      </w:pPr>
      <w:r w:rsidRPr="00F27C25">
        <w:rPr>
          <w:noProof/>
        </w:rPr>
        <w:t>Direktiva (EU) 2015/2302 se spremeni:</w:t>
      </w:r>
    </w:p>
    <w:p w14:paraId="55F5593E" w14:textId="77777777" w:rsidR="00144AE5" w:rsidRPr="00F27C25" w:rsidRDefault="00144AE5" w:rsidP="00B33862">
      <w:pPr>
        <w:pStyle w:val="Point0"/>
        <w:rPr>
          <w:noProof/>
        </w:rPr>
      </w:pPr>
      <w:r>
        <w:rPr>
          <w:noProof/>
        </w:rPr>
        <w:t>(1)</w:t>
      </w:r>
      <w:r>
        <w:rPr>
          <w:noProof/>
        </w:rPr>
        <w:tab/>
      </w:r>
      <w:r w:rsidRPr="00F27C25">
        <w:rPr>
          <w:noProof/>
        </w:rPr>
        <w:t xml:space="preserve">člen 1 se nadomesti z naslednjim: </w:t>
      </w:r>
    </w:p>
    <w:p w14:paraId="406D7CBC" w14:textId="77777777" w:rsidR="00144AE5" w:rsidRPr="00F27C25" w:rsidRDefault="00144AE5" w:rsidP="002E7544">
      <w:pPr>
        <w:pStyle w:val="Text1"/>
        <w:jc w:val="center"/>
        <w:rPr>
          <w:i/>
          <w:iCs/>
          <w:noProof/>
        </w:rPr>
      </w:pPr>
      <w:r w:rsidRPr="00F27C25">
        <w:rPr>
          <w:i/>
          <w:noProof/>
        </w:rPr>
        <w:t>„Člen 1</w:t>
      </w:r>
    </w:p>
    <w:p w14:paraId="435710A3" w14:textId="77777777" w:rsidR="00144AE5" w:rsidRPr="00F27C25" w:rsidRDefault="00144AE5" w:rsidP="002E7544">
      <w:pPr>
        <w:pStyle w:val="Text1"/>
        <w:jc w:val="center"/>
        <w:rPr>
          <w:b/>
          <w:bCs/>
          <w:noProof/>
        </w:rPr>
      </w:pPr>
      <w:r w:rsidRPr="00F27C25">
        <w:rPr>
          <w:b/>
          <w:noProof/>
        </w:rPr>
        <w:t>Predmet urejanja</w:t>
      </w:r>
    </w:p>
    <w:p w14:paraId="7E261CF8" w14:textId="77777777" w:rsidR="00144AE5" w:rsidRPr="00F27C25" w:rsidRDefault="00144AE5" w:rsidP="004517AC">
      <w:pPr>
        <w:pStyle w:val="Text1"/>
        <w:rPr>
          <w:noProof/>
        </w:rPr>
      </w:pPr>
      <w:r w:rsidRPr="00F27C25">
        <w:rPr>
          <w:noProof/>
        </w:rPr>
        <w:t xml:space="preserve">Namen te </w:t>
      </w:r>
      <w:r w:rsidRPr="00F27C25">
        <w:rPr>
          <w:noProof/>
        </w:rPr>
        <w:t>direktive je prispevati k pravilnemu delovanju notranjega trga ter doseganju visoke in čim bolj enotne ravni varstva potrošnikov s približevanjem nekaterih vidikov zakonov in drugih predpisov držav članic glede pogodb med potniki in trgovci v zvezi s paket</w:t>
      </w:r>
      <w:r w:rsidRPr="00F27C25">
        <w:rPr>
          <w:noProof/>
        </w:rPr>
        <w:t>nimi potovanji in povezanimi potovalnimi aranžmaji ter nekaterimi vidiki pogodb med organizatorji turističnih paketov in ponudniki storitev.“;</w:t>
      </w:r>
    </w:p>
    <w:p w14:paraId="17325B8B" w14:textId="77777777" w:rsidR="00144AE5" w:rsidRPr="00F27C25" w:rsidRDefault="00144AE5" w:rsidP="00E25E76">
      <w:pPr>
        <w:pStyle w:val="Point0"/>
        <w:rPr>
          <w:noProof/>
        </w:rPr>
      </w:pPr>
      <w:r>
        <w:rPr>
          <w:noProof/>
        </w:rPr>
        <w:t>(2)</w:t>
      </w:r>
      <w:r>
        <w:rPr>
          <w:noProof/>
        </w:rPr>
        <w:tab/>
      </w:r>
      <w:r w:rsidRPr="00F27C25">
        <w:rPr>
          <w:noProof/>
        </w:rPr>
        <w:t xml:space="preserve">v členu 2 se odstavek 1 nadomesti z naslednjim: </w:t>
      </w:r>
    </w:p>
    <w:p w14:paraId="01EEAA4F" w14:textId="77777777" w:rsidR="00144AE5" w:rsidRPr="00F27C25" w:rsidRDefault="00144AE5" w:rsidP="00992487">
      <w:pPr>
        <w:pStyle w:val="Text1"/>
        <w:rPr>
          <w:noProof/>
        </w:rPr>
      </w:pPr>
      <w:r w:rsidRPr="00F27C25">
        <w:rPr>
          <w:noProof/>
        </w:rPr>
        <w:t xml:space="preserve">„1. Ta direktiva se uporablja za turistične pakete, </w:t>
      </w:r>
      <w:r w:rsidRPr="00F27C25">
        <w:rPr>
          <w:noProof/>
        </w:rPr>
        <w:t>kadar jih trgovci potnikom ponujajo v prodajo ali jih potnikom prodajajo, in za povezane potovalne aranžmaje, ki jih trgovci omogočajo za potnike.</w:t>
      </w:r>
    </w:p>
    <w:p w14:paraId="3C083EC3" w14:textId="77777777" w:rsidR="00144AE5" w:rsidRPr="00F27C25" w:rsidRDefault="00144AE5" w:rsidP="00F40A51">
      <w:pPr>
        <w:ind w:left="850"/>
        <w:rPr>
          <w:noProof/>
          <w:sz w:val="22"/>
        </w:rPr>
      </w:pPr>
      <w:r w:rsidRPr="00F27C25">
        <w:rPr>
          <w:noProof/>
        </w:rPr>
        <w:t>Uporablja se tudi za pravice organizatorjev, kot so opredeljeni v členu 3(8), do povračila v razmerju do ponu</w:t>
      </w:r>
      <w:r w:rsidRPr="00F27C25">
        <w:rPr>
          <w:noProof/>
        </w:rPr>
        <w:t xml:space="preserve">dnikov potovalnih storitev v primeru odpovedi ali neizvedbe storitve, ki je del potovalnega paketa.“; </w:t>
      </w:r>
    </w:p>
    <w:p w14:paraId="235CA32C" w14:textId="77777777" w:rsidR="00144AE5" w:rsidRPr="00F27C25" w:rsidRDefault="00144AE5" w:rsidP="00E25E76">
      <w:pPr>
        <w:pStyle w:val="Point0"/>
        <w:rPr>
          <w:noProof/>
        </w:rPr>
      </w:pPr>
      <w:r>
        <w:rPr>
          <w:noProof/>
        </w:rPr>
        <w:t>(3)</w:t>
      </w:r>
      <w:r>
        <w:rPr>
          <w:noProof/>
        </w:rPr>
        <w:tab/>
      </w:r>
      <w:r w:rsidRPr="00F27C25">
        <w:rPr>
          <w:noProof/>
        </w:rPr>
        <w:t>člen 3 se spremeni:</w:t>
      </w:r>
    </w:p>
    <w:p w14:paraId="33ECA1C8" w14:textId="77777777" w:rsidR="00144AE5" w:rsidRPr="00F27C25" w:rsidRDefault="00144AE5" w:rsidP="008A36D6">
      <w:pPr>
        <w:pStyle w:val="Point1"/>
        <w:rPr>
          <w:noProof/>
        </w:rPr>
      </w:pPr>
      <w:r w:rsidRPr="00F27C25">
        <w:rPr>
          <w:noProof/>
        </w:rPr>
        <w:t>(a)</w:t>
      </w:r>
      <w:r w:rsidRPr="00F27C25">
        <w:rPr>
          <w:noProof/>
        </w:rPr>
        <w:tab/>
        <w:t>točka 2 se nadomesti z naslednjim:</w:t>
      </w:r>
    </w:p>
    <w:p w14:paraId="1807447C" w14:textId="77777777" w:rsidR="00144AE5" w:rsidRPr="00F27C25" w:rsidRDefault="00144AE5" w:rsidP="00F40A51">
      <w:pPr>
        <w:pStyle w:val="Text1"/>
        <w:rPr>
          <w:noProof/>
        </w:rPr>
      </w:pPr>
      <w:r w:rsidRPr="00F27C25">
        <w:rPr>
          <w:noProof/>
        </w:rPr>
        <w:t>„(2) ,turistični paketʻ pomeni kombinacijo vsaj dveh različnih vrst potovalnih storitev, k</w:t>
      </w:r>
      <w:r w:rsidRPr="00F27C25">
        <w:rPr>
          <w:noProof/>
        </w:rPr>
        <w:t xml:space="preserve">ot so opredeljene v točki 1, za namen istega potovanja ali počitnic, če: </w:t>
      </w:r>
    </w:p>
    <w:p w14:paraId="69DAFFD1" w14:textId="77777777" w:rsidR="00144AE5" w:rsidRPr="00F27C25" w:rsidRDefault="00144AE5" w:rsidP="00E25E76">
      <w:pPr>
        <w:pStyle w:val="Point1"/>
        <w:rPr>
          <w:noProof/>
        </w:rPr>
      </w:pPr>
      <w:r>
        <w:rPr>
          <w:noProof/>
        </w:rPr>
        <w:t>(a)</w:t>
      </w:r>
      <w:r>
        <w:rPr>
          <w:noProof/>
        </w:rPr>
        <w:tab/>
      </w:r>
      <w:r w:rsidRPr="00F27C25">
        <w:rPr>
          <w:noProof/>
        </w:rPr>
        <w:t>te storitve, vključno na zahtevo ali v skladu z izbiro potnika, pred sklenitvijo ene same pogodbe o vseh storitvah združi en trgovec ali</w:t>
      </w:r>
    </w:p>
    <w:p w14:paraId="1194ECAA" w14:textId="77777777" w:rsidR="00144AE5" w:rsidRPr="00F27C25" w:rsidRDefault="00144AE5" w:rsidP="00E25E76">
      <w:pPr>
        <w:pStyle w:val="Point1"/>
        <w:rPr>
          <w:noProof/>
        </w:rPr>
      </w:pPr>
      <w:r>
        <w:rPr>
          <w:noProof/>
        </w:rPr>
        <w:t>(b)</w:t>
      </w:r>
      <w:r>
        <w:rPr>
          <w:noProof/>
        </w:rPr>
        <w:tab/>
      </w:r>
      <w:bookmarkStart w:id="11" w:name="_Hlk138783541"/>
      <w:r w:rsidRPr="00F27C25">
        <w:rPr>
          <w:noProof/>
        </w:rPr>
        <w:t xml:space="preserve">ne glede na to, ali so s posameznimi </w:t>
      </w:r>
      <w:r w:rsidRPr="00F27C25">
        <w:rPr>
          <w:noProof/>
        </w:rPr>
        <w:t>ponudniki potovalnih storitev sklenjene ločene pogodbe, in:</w:t>
      </w:r>
    </w:p>
    <w:p w14:paraId="1947F347" w14:textId="77777777" w:rsidR="00144AE5" w:rsidRPr="00F27C25" w:rsidRDefault="00144AE5" w:rsidP="00E25E76">
      <w:pPr>
        <w:pStyle w:val="Point3"/>
        <w:rPr>
          <w:noProof/>
        </w:rPr>
      </w:pPr>
      <w:r w:rsidRPr="00F27C25">
        <w:rPr>
          <w:noProof/>
        </w:rPr>
        <w:t xml:space="preserve">(i) se te storitve kupijo na eni prodajni točki in </w:t>
      </w:r>
    </w:p>
    <w:p w14:paraId="784CA323" w14:textId="77777777" w:rsidR="00144AE5" w:rsidRPr="00F27C25" w:rsidRDefault="00144AE5" w:rsidP="004517AC">
      <w:pPr>
        <w:pStyle w:val="Text3"/>
        <w:rPr>
          <w:noProof/>
        </w:rPr>
      </w:pPr>
      <w:r w:rsidRPr="00F27C25">
        <w:rPr>
          <w:noProof/>
        </w:rPr>
        <w:t>– so bile izbrane, preden se potnik strinja s plačilom,</w:t>
      </w:r>
      <w:bookmarkEnd w:id="11"/>
      <w:r w:rsidRPr="00F27C25">
        <w:rPr>
          <w:noProof/>
        </w:rPr>
        <w:t xml:space="preserve"> ali</w:t>
      </w:r>
    </w:p>
    <w:p w14:paraId="2F1B6655" w14:textId="77777777" w:rsidR="00144AE5" w:rsidRPr="00F27C25" w:rsidRDefault="00144AE5" w:rsidP="004517AC">
      <w:pPr>
        <w:pStyle w:val="Text3"/>
        <w:rPr>
          <w:noProof/>
        </w:rPr>
      </w:pPr>
      <w:r w:rsidRPr="00F27C25">
        <w:rPr>
          <w:noProof/>
        </w:rPr>
        <w:t>– se druge vrste potovalnih storitev rezervirajo v treh urah po tem, ko se je potnik</w:t>
      </w:r>
      <w:r w:rsidRPr="00F27C25">
        <w:rPr>
          <w:noProof/>
        </w:rPr>
        <w:t xml:space="preserve"> strinjal s plačilom za prvo potovalno storitev, ali</w:t>
      </w:r>
    </w:p>
    <w:p w14:paraId="4931A504" w14:textId="77777777" w:rsidR="00144AE5" w:rsidRPr="00F27C25" w:rsidRDefault="00144AE5" w:rsidP="004517AC">
      <w:pPr>
        <w:pStyle w:val="Text3"/>
        <w:rPr>
          <w:noProof/>
        </w:rPr>
      </w:pPr>
      <w:r w:rsidRPr="00F27C25">
        <w:rPr>
          <w:noProof/>
        </w:rPr>
        <w:t>– se druge vrste potovalnih storitev rezervirajo v 24 urah po tem, ko se je potnik strinjal s plačilom za prvo potovalno storitev, in je trgovec, preden se je potnik strinjal s plačilom za prvo potovalno</w:t>
      </w:r>
      <w:r w:rsidRPr="00F27C25">
        <w:rPr>
          <w:noProof/>
        </w:rPr>
        <w:t xml:space="preserve"> storitev, potnika pozval, naj nato rezervira eno ali več dodatnih vrst potovalnih storitev, ali</w:t>
      </w:r>
    </w:p>
    <w:p w14:paraId="10947800" w14:textId="77777777" w:rsidR="00144AE5" w:rsidRPr="00F27C25" w:rsidRDefault="00144AE5" w:rsidP="00FE494D">
      <w:pPr>
        <w:pStyle w:val="Point3"/>
        <w:rPr>
          <w:noProof/>
        </w:rPr>
      </w:pPr>
      <w:bookmarkStart w:id="12" w:name="_Hlk138783872"/>
      <w:r w:rsidRPr="00F27C25">
        <w:rPr>
          <w:noProof/>
        </w:rPr>
        <w:t>(ii) se ponujajo, prodajajo ali plačajo po skupni ali celotni ceni,</w:t>
      </w:r>
      <w:bookmarkEnd w:id="12"/>
      <w:r w:rsidRPr="00F27C25">
        <w:rPr>
          <w:noProof/>
        </w:rPr>
        <w:t xml:space="preserve"> ne glede na kakršno koli deljeno zaračunavanje, ali</w:t>
      </w:r>
    </w:p>
    <w:p w14:paraId="2ACC60E8" w14:textId="77777777" w:rsidR="00144AE5" w:rsidRPr="00F27C25" w:rsidRDefault="00144AE5" w:rsidP="00FE494D">
      <w:pPr>
        <w:pStyle w:val="Point3"/>
        <w:rPr>
          <w:noProof/>
        </w:rPr>
      </w:pPr>
      <w:r w:rsidRPr="00F27C25">
        <w:rPr>
          <w:noProof/>
        </w:rPr>
        <w:t>(iii) se oglašujejo ali prodajajo pod izrazom „turistični paket“ ali podobnim izrazom, ali</w:t>
      </w:r>
    </w:p>
    <w:p w14:paraId="7DAE7400" w14:textId="77777777" w:rsidR="00144AE5" w:rsidRPr="00F27C25" w:rsidRDefault="00144AE5" w:rsidP="00FE494D">
      <w:pPr>
        <w:pStyle w:val="Point3"/>
        <w:rPr>
          <w:noProof/>
        </w:rPr>
      </w:pPr>
      <w:r w:rsidRPr="00F27C25">
        <w:rPr>
          <w:noProof/>
        </w:rPr>
        <w:t>(iv) se kombinirajo po sklenitvi pogodbe, s katero trgovec potniku omogoči, da izbira med različnimi vrstami pot</w:t>
      </w:r>
      <w:r w:rsidRPr="00F27C25">
        <w:rPr>
          <w:noProof/>
        </w:rPr>
        <w:t>ovalnih storitev, ali</w:t>
      </w:r>
    </w:p>
    <w:p w14:paraId="28A52E65" w14:textId="77777777" w:rsidR="00144AE5" w:rsidRPr="00F27C25" w:rsidRDefault="00144AE5" w:rsidP="00FE494D">
      <w:pPr>
        <w:pStyle w:val="Point3"/>
        <w:rPr>
          <w:noProof/>
        </w:rPr>
      </w:pPr>
      <w:r w:rsidRPr="00F27C25">
        <w:rPr>
          <w:noProof/>
        </w:rPr>
        <w:t>(v) se kupijo pri različnih trgovcih prek povezanih postopkov spletne rezervacije, pri katerih trgovec,</w:t>
      </w:r>
      <w:r w:rsidRPr="00F27C25">
        <w:rPr>
          <w:b/>
          <w:noProof/>
        </w:rPr>
        <w:t xml:space="preserve"> </w:t>
      </w:r>
      <w:r w:rsidRPr="00F27C25">
        <w:rPr>
          <w:noProof/>
        </w:rPr>
        <w:t>s katerim je bila sklenjena prva pogodba, drugemu trgovcu ali drugim trgovcem posreduje ime potnika, podatke o plačilu, elektronsk</w:t>
      </w:r>
      <w:r w:rsidRPr="00F27C25">
        <w:rPr>
          <w:noProof/>
        </w:rPr>
        <w:t xml:space="preserve">i naslov </w:t>
      </w:r>
      <w:bookmarkStart w:id="13" w:name="_Hlk146638448"/>
      <w:r w:rsidRPr="00F27C25">
        <w:rPr>
          <w:noProof/>
        </w:rPr>
        <w:t>ali druge osebne podatke potnika</w:t>
      </w:r>
      <w:bookmarkEnd w:id="13"/>
      <w:r w:rsidRPr="00F27C25">
        <w:rPr>
          <w:noProof/>
        </w:rPr>
        <w:t>.</w:t>
      </w:r>
    </w:p>
    <w:p w14:paraId="63F19F0C" w14:textId="77777777" w:rsidR="00144AE5" w:rsidRPr="00F27C25" w:rsidRDefault="00144AE5" w:rsidP="002B28CC">
      <w:pPr>
        <w:pStyle w:val="Point1"/>
        <w:ind w:firstLine="0"/>
        <w:rPr>
          <w:noProof/>
        </w:rPr>
      </w:pPr>
      <w:r w:rsidRPr="00F27C25">
        <w:rPr>
          <w:noProof/>
        </w:rPr>
        <w:t xml:space="preserve">Kombinacija potovalnih storitev, pri katerih se največ ena vrsta potovalnih storitev iz točke (a), (b) ali (c) točke 1 kombinira z eno ali več turističnih storitev iz točke (d) točke 1, ni turistični paket, če slednje storitve: </w:t>
      </w:r>
    </w:p>
    <w:p w14:paraId="476F7EB4" w14:textId="77777777" w:rsidR="00144AE5" w:rsidRPr="00F27C25" w:rsidRDefault="00144AE5" w:rsidP="000228E1">
      <w:pPr>
        <w:pStyle w:val="Text2"/>
        <w:ind w:left="1777"/>
        <w:rPr>
          <w:noProof/>
        </w:rPr>
      </w:pPr>
      <w:r w:rsidRPr="00F27C25">
        <w:rPr>
          <w:noProof/>
        </w:rPr>
        <w:t>(a) ne predstavljajo vsaj 2</w:t>
      </w:r>
      <w:r w:rsidRPr="00F27C25">
        <w:rPr>
          <w:noProof/>
        </w:rPr>
        <w:t>5 % vrednosti kombinacije in se ne oglašujejo kot bistveni element kombinacije in kako drugače ne predstavljajo bistvenega elementa kombinacije, ali</w:t>
      </w:r>
    </w:p>
    <w:p w14:paraId="1B5C9616" w14:textId="77777777" w:rsidR="00144AE5" w:rsidRPr="00F27C25" w:rsidRDefault="00144AE5" w:rsidP="005511ED">
      <w:pPr>
        <w:pStyle w:val="Text2"/>
        <w:ind w:left="1777"/>
        <w:rPr>
          <w:noProof/>
        </w:rPr>
      </w:pPr>
      <w:r w:rsidRPr="00F27C25">
        <w:rPr>
          <w:noProof/>
        </w:rPr>
        <w:t>(b) so izbrane in kupljene šele po začetku izvajanja potovalne storitve iz točke (a), (b) ali (c) točke 1;“</w:t>
      </w:r>
      <w:r w:rsidRPr="00F27C25">
        <w:rPr>
          <w:noProof/>
        </w:rPr>
        <w:t xml:space="preserve">; </w:t>
      </w:r>
    </w:p>
    <w:p w14:paraId="49F68389" w14:textId="77777777" w:rsidR="00144AE5" w:rsidRPr="00F27C25" w:rsidRDefault="00144AE5" w:rsidP="008A36D6">
      <w:pPr>
        <w:pStyle w:val="Point1"/>
        <w:rPr>
          <w:noProof/>
        </w:rPr>
      </w:pPr>
      <w:r w:rsidRPr="00F27C25">
        <w:rPr>
          <w:noProof/>
        </w:rPr>
        <w:t>(b)</w:t>
      </w:r>
      <w:r w:rsidRPr="00F27C25">
        <w:rPr>
          <w:noProof/>
        </w:rPr>
        <w:tab/>
        <w:t>točka 5 se nadomesti z naslednjim:</w:t>
      </w:r>
    </w:p>
    <w:p w14:paraId="11210BCB" w14:textId="77777777" w:rsidR="00144AE5" w:rsidRPr="00F27C25" w:rsidRDefault="00144AE5" w:rsidP="00163C34">
      <w:pPr>
        <w:ind w:left="1843"/>
        <w:rPr>
          <w:noProof/>
        </w:rPr>
      </w:pPr>
      <w:r w:rsidRPr="00F27C25">
        <w:rPr>
          <w:noProof/>
        </w:rPr>
        <w:t>„(5) povezan potovalni aranžma“ pomeni kombinacijo različnih vrst potovalnih storitev, ki ne spadajo v opredelitev turističnega paketa iz točke 2, če trgovec, ki je stranka pogodbe o zagotavljanju potovalne storitv</w:t>
      </w:r>
      <w:r w:rsidRPr="00F27C25">
        <w:rPr>
          <w:noProof/>
        </w:rPr>
        <w:t xml:space="preserve">e in prejme plačila od potnika ali v njegovem imenu, potnika pozove, naj rezervira dodatno vrsto potovalne storitve pri drugem trgovcu za namen istega potovanja ali počitnic, in je pogodba o zagotavljanju dodatne potovalne storitve sklenjena najpozneje 24 </w:t>
      </w:r>
      <w:r w:rsidRPr="00F27C25">
        <w:rPr>
          <w:noProof/>
        </w:rPr>
        <w:t>ur po potrditvi rezervacije prve pogodbe.“;</w:t>
      </w:r>
    </w:p>
    <w:p w14:paraId="3BCE293D" w14:textId="77777777" w:rsidR="00144AE5" w:rsidRPr="00F27C25" w:rsidRDefault="00144AE5" w:rsidP="008B298C">
      <w:pPr>
        <w:rPr>
          <w:noProof/>
        </w:rPr>
      </w:pPr>
    </w:p>
    <w:p w14:paraId="6F10CF5E" w14:textId="77777777" w:rsidR="00144AE5" w:rsidRPr="00F27C25" w:rsidRDefault="00144AE5" w:rsidP="008A36D6">
      <w:pPr>
        <w:pStyle w:val="Point0"/>
        <w:rPr>
          <w:noProof/>
        </w:rPr>
      </w:pPr>
      <w:r w:rsidRPr="00F27C25">
        <w:rPr>
          <w:noProof/>
        </w:rPr>
        <w:t>(4)</w:t>
      </w:r>
      <w:r w:rsidRPr="00F27C25">
        <w:rPr>
          <w:noProof/>
        </w:rPr>
        <w:tab/>
        <w:t xml:space="preserve">v členu 5 se odstavek 1 spremeni: </w:t>
      </w:r>
    </w:p>
    <w:p w14:paraId="72F02A8D" w14:textId="77777777" w:rsidR="00144AE5" w:rsidRPr="00F27C25" w:rsidRDefault="00144AE5" w:rsidP="008A36D6">
      <w:pPr>
        <w:pStyle w:val="Point1"/>
        <w:rPr>
          <w:noProof/>
        </w:rPr>
      </w:pPr>
      <w:r w:rsidRPr="00F27C25">
        <w:rPr>
          <w:noProof/>
        </w:rPr>
        <w:t>(a)</w:t>
      </w:r>
      <w:r w:rsidRPr="00F27C25">
        <w:rPr>
          <w:noProof/>
        </w:rPr>
        <w:tab/>
        <w:t>točka (d) se nadomesti z naslednjim:</w:t>
      </w:r>
    </w:p>
    <w:p w14:paraId="029D6886" w14:textId="77777777" w:rsidR="00144AE5" w:rsidRPr="00F27C25" w:rsidRDefault="00144AE5" w:rsidP="004517AC">
      <w:pPr>
        <w:pStyle w:val="Text2"/>
        <w:rPr>
          <w:noProof/>
        </w:rPr>
      </w:pPr>
      <w:r w:rsidRPr="00F27C25">
        <w:rPr>
          <w:noProof/>
        </w:rPr>
        <w:t>„(d)</w:t>
      </w:r>
      <w:r w:rsidRPr="00F27C25">
        <w:rPr>
          <w:noProof/>
        </w:rPr>
        <w:tab/>
        <w:t>plačilne pogoje, tudi vse zneske ali odstotne deleže cene, ki se plačajo kot polog, in roke za plačilo razlike v skladu s člen</w:t>
      </w:r>
      <w:r w:rsidRPr="00F27C25">
        <w:rPr>
          <w:noProof/>
        </w:rPr>
        <w:t>om 5a, ali finančna jamstva, ki jih mora potnik plačati ali zagotoviti;“;</w:t>
      </w:r>
    </w:p>
    <w:p w14:paraId="6BBF958C" w14:textId="77777777" w:rsidR="00144AE5" w:rsidRPr="00F27C25" w:rsidRDefault="00144AE5" w:rsidP="008A36D6">
      <w:pPr>
        <w:pStyle w:val="Point1"/>
        <w:rPr>
          <w:noProof/>
        </w:rPr>
      </w:pPr>
      <w:r w:rsidRPr="00F27C25">
        <w:rPr>
          <w:noProof/>
        </w:rPr>
        <w:t>(b)</w:t>
      </w:r>
      <w:r w:rsidRPr="00F27C25">
        <w:rPr>
          <w:noProof/>
        </w:rPr>
        <w:tab/>
        <w:t>točka (g) se nadomesti z naslednjim:</w:t>
      </w:r>
    </w:p>
    <w:p w14:paraId="2FD916E5" w14:textId="77777777" w:rsidR="00144AE5" w:rsidRPr="00F27C25" w:rsidRDefault="00144AE5" w:rsidP="004517AC">
      <w:pPr>
        <w:pStyle w:val="Text2"/>
        <w:rPr>
          <w:noProof/>
        </w:rPr>
      </w:pPr>
      <w:r w:rsidRPr="00F27C25">
        <w:rPr>
          <w:noProof/>
        </w:rPr>
        <w:t xml:space="preserve">„informacije, da lahko potnik kadar koli pred začetkom turističnega paketa v skladu s členom 12(1) odstopi od pogodbe proti plačilu ustrezne </w:t>
      </w:r>
      <w:r w:rsidRPr="00F27C25">
        <w:rPr>
          <w:noProof/>
        </w:rPr>
        <w:t>in upravičene odstopnine ali, po potrebi, standardnih odstopnin, ki jih zahteva organizator, in da lahko potnik odstopi od pogodbe o paketnem potovanju brez plačila odstopnine zaradi neizogibnih in izrednih okoliščin, kot je določeno v členu 12(2);“;</w:t>
      </w:r>
    </w:p>
    <w:p w14:paraId="3650237D" w14:textId="77777777" w:rsidR="00144AE5" w:rsidRPr="00F27C25" w:rsidRDefault="00144AE5" w:rsidP="008A36D6">
      <w:pPr>
        <w:pStyle w:val="Point0"/>
        <w:rPr>
          <w:noProof/>
        </w:rPr>
      </w:pPr>
      <w:r w:rsidRPr="00F27C25">
        <w:rPr>
          <w:noProof/>
        </w:rPr>
        <w:t>(5)</w:t>
      </w:r>
      <w:r w:rsidRPr="00F27C25">
        <w:rPr>
          <w:noProof/>
        </w:rPr>
        <w:tab/>
        <w:t>v</w:t>
      </w:r>
      <w:r w:rsidRPr="00F27C25">
        <w:rPr>
          <w:noProof/>
        </w:rPr>
        <w:t>stavi se naslednji člen 5a:</w:t>
      </w:r>
    </w:p>
    <w:p w14:paraId="3B6E3326" w14:textId="77777777" w:rsidR="00144AE5" w:rsidRPr="00F27C25" w:rsidRDefault="00144AE5" w:rsidP="009C546A">
      <w:pPr>
        <w:pStyle w:val="Text1"/>
        <w:jc w:val="center"/>
        <w:rPr>
          <w:i/>
          <w:iCs/>
          <w:noProof/>
        </w:rPr>
      </w:pPr>
      <w:r w:rsidRPr="00F27C25">
        <w:rPr>
          <w:noProof/>
        </w:rPr>
        <w:t>„</w:t>
      </w:r>
      <w:r w:rsidRPr="00F27C25">
        <w:rPr>
          <w:i/>
          <w:noProof/>
        </w:rPr>
        <w:t>Člen 5a</w:t>
      </w:r>
    </w:p>
    <w:p w14:paraId="0DAD1040" w14:textId="77777777" w:rsidR="00144AE5" w:rsidRPr="00F27C25" w:rsidRDefault="00144AE5" w:rsidP="009C546A">
      <w:pPr>
        <w:pStyle w:val="Text1"/>
        <w:jc w:val="center"/>
        <w:rPr>
          <w:b/>
          <w:bCs/>
          <w:noProof/>
        </w:rPr>
      </w:pPr>
      <w:r w:rsidRPr="00F27C25">
        <w:rPr>
          <w:b/>
          <w:noProof/>
        </w:rPr>
        <w:t>Plačila</w:t>
      </w:r>
    </w:p>
    <w:p w14:paraId="435519C0" w14:textId="77777777" w:rsidR="00144AE5" w:rsidRPr="00F27C25" w:rsidRDefault="00144AE5" w:rsidP="009C546A">
      <w:pPr>
        <w:pStyle w:val="Text1"/>
        <w:rPr>
          <w:noProof/>
        </w:rPr>
      </w:pPr>
      <w:bookmarkStart w:id="14" w:name="_Hlk151041948"/>
      <w:r w:rsidRPr="00F27C25">
        <w:rPr>
          <w:noProof/>
        </w:rPr>
        <w:t xml:space="preserve">Države članice zagotovijo, da razen za turistične pakete, kot so opredeljeni v členu 3, točka (2)(b)(iv), in turistične pakete, rezervirane manj kot 28 dni pred začetkom turističnega paketa, </w:t>
      </w:r>
      <w:r w:rsidRPr="00F27C25">
        <w:rPr>
          <w:noProof/>
        </w:rPr>
        <w:t>organizator, ali po potrebi turistični agent, ne zahteva pologov, ki presegajo 25 %</w:t>
      </w:r>
      <w:bookmarkStart w:id="15" w:name="_Hlk151574959"/>
      <w:r w:rsidRPr="00F27C25">
        <w:rPr>
          <w:noProof/>
        </w:rPr>
        <w:t xml:space="preserve"> </w:t>
      </w:r>
      <w:bookmarkEnd w:id="15"/>
      <w:r w:rsidRPr="00F27C25">
        <w:rPr>
          <w:noProof/>
        </w:rPr>
        <w:t xml:space="preserve">skupne cene turističnega paketa, in preostalega plačila ne zahteva prej kot 28 dni pred začetkom turističnega paketa. </w:t>
      </w:r>
      <w:bookmarkStart w:id="16" w:name="_Hlk151041969"/>
      <w:bookmarkEnd w:id="14"/>
      <w:r w:rsidRPr="00F27C25">
        <w:rPr>
          <w:noProof/>
        </w:rPr>
        <w:t>Organizator, ali po potrebi turistični agent, lahko za</w:t>
      </w:r>
      <w:r w:rsidRPr="00F27C25">
        <w:rPr>
          <w:noProof/>
        </w:rPr>
        <w:t xml:space="preserve">hteva višje pologe, če je to potrebno za zagotovitev organizacije in izvedbe turističnega paketa. </w:t>
      </w:r>
      <w:r w:rsidRPr="00F27C25">
        <w:rPr>
          <w:noProof/>
          <w:color w:val="4F81BD" w:themeColor="accent1"/>
        </w:rPr>
        <w:t>Pologi lahko krijejo predplačila ponudnikom storitev, vključenih v turistični paket, in stroške organizatorja, ali po potrebi turističnega agenta,</w:t>
      </w:r>
      <w:r w:rsidRPr="00F27C25">
        <w:rPr>
          <w:noProof/>
        </w:rPr>
        <w:t xml:space="preserve"> zlasti v zv</w:t>
      </w:r>
      <w:r w:rsidRPr="00F27C25">
        <w:rPr>
          <w:noProof/>
        </w:rPr>
        <w:t xml:space="preserve">ezi z organizacijo </w:t>
      </w:r>
      <w:r w:rsidRPr="00F27C25">
        <w:rPr>
          <w:noProof/>
          <w:color w:val="4F81BD" w:themeColor="accent1"/>
        </w:rPr>
        <w:t>in izvedbo turističnega paketa, če je to potrebno za kritje teh stroškov ob rezervaciji.</w:t>
      </w:r>
      <w:r w:rsidRPr="00F27C25">
        <w:rPr>
          <w:noProof/>
        </w:rPr>
        <w:t xml:space="preserve">“; </w:t>
      </w:r>
      <w:bookmarkEnd w:id="16"/>
    </w:p>
    <w:p w14:paraId="32C9C4ED" w14:textId="77777777" w:rsidR="00144AE5" w:rsidRPr="00F27C25" w:rsidRDefault="00144AE5" w:rsidP="008A36D6">
      <w:pPr>
        <w:pStyle w:val="Point0"/>
        <w:rPr>
          <w:noProof/>
        </w:rPr>
      </w:pPr>
      <w:r w:rsidRPr="00F27C25">
        <w:rPr>
          <w:noProof/>
        </w:rPr>
        <w:t>(6)</w:t>
      </w:r>
      <w:r w:rsidRPr="00F27C25">
        <w:rPr>
          <w:noProof/>
        </w:rPr>
        <w:tab/>
        <w:t xml:space="preserve">člen 7 se spremeni: </w:t>
      </w:r>
    </w:p>
    <w:p w14:paraId="01947A57" w14:textId="77777777" w:rsidR="00144AE5" w:rsidRPr="00F27C25" w:rsidRDefault="00144AE5" w:rsidP="008A36D6">
      <w:pPr>
        <w:pStyle w:val="Point1"/>
        <w:rPr>
          <w:noProof/>
        </w:rPr>
      </w:pPr>
      <w:r w:rsidRPr="00F27C25">
        <w:rPr>
          <w:noProof/>
        </w:rPr>
        <w:t>(a)</w:t>
      </w:r>
      <w:r w:rsidRPr="00F27C25">
        <w:rPr>
          <w:noProof/>
        </w:rPr>
        <w:tab/>
        <w:t>v odstavku 2 se točka (b) nadomesti z naslednjim:</w:t>
      </w:r>
    </w:p>
    <w:p w14:paraId="3825FE99" w14:textId="77777777" w:rsidR="00144AE5" w:rsidRPr="00F27C25" w:rsidRDefault="00144AE5" w:rsidP="004517AC">
      <w:pPr>
        <w:pStyle w:val="Text2"/>
        <w:rPr>
          <w:noProof/>
        </w:rPr>
      </w:pPr>
      <w:r w:rsidRPr="00F27C25">
        <w:rPr>
          <w:noProof/>
        </w:rPr>
        <w:t xml:space="preserve">„(b) informacije: </w:t>
      </w:r>
    </w:p>
    <w:p w14:paraId="24A506C1" w14:textId="77777777" w:rsidR="00144AE5" w:rsidRPr="00F27C25" w:rsidRDefault="00144AE5" w:rsidP="00FE494D">
      <w:pPr>
        <w:pStyle w:val="Point2"/>
        <w:rPr>
          <w:noProof/>
        </w:rPr>
      </w:pPr>
      <w:r w:rsidRPr="00F27C25">
        <w:rPr>
          <w:noProof/>
        </w:rPr>
        <w:t>(i)</w:t>
      </w:r>
      <w:r w:rsidRPr="00F27C25">
        <w:rPr>
          <w:noProof/>
        </w:rPr>
        <w:tab/>
        <w:t>da organizator odgovarja za ustrezno izvedb</w:t>
      </w:r>
      <w:r w:rsidRPr="00F27C25">
        <w:rPr>
          <w:noProof/>
        </w:rPr>
        <w:t>o vseh potovalnih storitev, vključenih v pogodbo, v skladu s členom 13, za vsa povračila zaradi odstopa od pogodbe ali njenih sprememb ter za zagotovitev pomoči, če je potnik v težavah, v skladu s členom 16;</w:t>
      </w:r>
    </w:p>
    <w:p w14:paraId="6A00F0E1" w14:textId="77777777" w:rsidR="00144AE5" w:rsidRPr="00F27C25" w:rsidRDefault="00144AE5" w:rsidP="00FE494D">
      <w:pPr>
        <w:pStyle w:val="Point2"/>
        <w:rPr>
          <w:noProof/>
        </w:rPr>
      </w:pPr>
      <w:r w:rsidRPr="00F27C25">
        <w:rPr>
          <w:noProof/>
        </w:rPr>
        <w:t>(ii)</w:t>
      </w:r>
      <w:r w:rsidRPr="00F27C25">
        <w:rPr>
          <w:noProof/>
        </w:rPr>
        <w:tab/>
        <w:t>da lahko potnik po potrebi pride v stik z o</w:t>
      </w:r>
      <w:r w:rsidRPr="00F27C25">
        <w:rPr>
          <w:noProof/>
        </w:rPr>
        <w:t>rganizatorjem tudi prek turističnega agenta.“;</w:t>
      </w:r>
    </w:p>
    <w:p w14:paraId="4125CE9D" w14:textId="77777777" w:rsidR="00144AE5" w:rsidRPr="00F27C25" w:rsidRDefault="00144AE5" w:rsidP="008A36D6">
      <w:pPr>
        <w:pStyle w:val="Point1"/>
        <w:rPr>
          <w:noProof/>
        </w:rPr>
      </w:pPr>
      <w:r w:rsidRPr="00F27C25">
        <w:rPr>
          <w:noProof/>
        </w:rPr>
        <w:t>(b)</w:t>
      </w:r>
      <w:r w:rsidRPr="00F27C25">
        <w:rPr>
          <w:noProof/>
        </w:rPr>
        <w:tab/>
        <w:t xml:space="preserve">vstavi se naslednji odstavek 2a: </w:t>
      </w:r>
    </w:p>
    <w:p w14:paraId="627445EF" w14:textId="77777777" w:rsidR="00144AE5" w:rsidRPr="00F27C25" w:rsidRDefault="00144AE5" w:rsidP="004517AC">
      <w:pPr>
        <w:pStyle w:val="Text2"/>
        <w:rPr>
          <w:noProof/>
        </w:rPr>
      </w:pPr>
      <w:r w:rsidRPr="00F27C25">
        <w:rPr>
          <w:noProof/>
        </w:rPr>
        <w:t>„2a. Pogodbi se priloži obrazec z ustreznimi informacijami iz Priloge I. Pogodba vsebuje jasen sklic na ta obrazec z informacijami.“;</w:t>
      </w:r>
    </w:p>
    <w:p w14:paraId="21ABC70E" w14:textId="77777777" w:rsidR="00144AE5" w:rsidRPr="00F27C25" w:rsidRDefault="00144AE5" w:rsidP="008A36D6">
      <w:pPr>
        <w:pStyle w:val="Point0"/>
        <w:rPr>
          <w:noProof/>
        </w:rPr>
      </w:pPr>
      <w:r w:rsidRPr="00F27C25">
        <w:rPr>
          <w:noProof/>
        </w:rPr>
        <w:t>(7)</w:t>
      </w:r>
      <w:r w:rsidRPr="00F27C25">
        <w:rPr>
          <w:noProof/>
        </w:rPr>
        <w:tab/>
        <w:t>člen 12 se spremeni:</w:t>
      </w:r>
    </w:p>
    <w:p w14:paraId="560026C5" w14:textId="77777777" w:rsidR="00144AE5" w:rsidRPr="00F27C25" w:rsidRDefault="00144AE5" w:rsidP="00B33862">
      <w:pPr>
        <w:pStyle w:val="Point1"/>
        <w:rPr>
          <w:noProof/>
        </w:rPr>
      </w:pPr>
      <w:r>
        <w:rPr>
          <w:noProof/>
        </w:rPr>
        <w:t>(a)</w:t>
      </w:r>
      <w:r>
        <w:rPr>
          <w:noProof/>
        </w:rPr>
        <w:tab/>
      </w:r>
      <w:r w:rsidRPr="00F27C25">
        <w:rPr>
          <w:noProof/>
        </w:rPr>
        <w:t>odstavek 2 se nadomesti z naslednjim:</w:t>
      </w:r>
    </w:p>
    <w:p w14:paraId="5EDC46BB" w14:textId="77777777" w:rsidR="00144AE5" w:rsidRPr="00F27C25" w:rsidRDefault="00144AE5" w:rsidP="00C800E0">
      <w:pPr>
        <w:pStyle w:val="Text2"/>
        <w:rPr>
          <w:noProof/>
        </w:rPr>
      </w:pPr>
      <w:r w:rsidRPr="00F27C25">
        <w:rPr>
          <w:noProof/>
        </w:rPr>
        <w:t>„2. Ne glede na odstavek 1 ima potnik pravico, da pred začetkom turističnega paketa odstopi od pogodbe o paketnem potovanju brez plačila kakršne koli odstopnine v primeru neizogibnih in izrednih okoliščin v kraju potov</w:t>
      </w:r>
      <w:r w:rsidRPr="00F27C25">
        <w:rPr>
          <w:noProof/>
        </w:rPr>
        <w:t xml:space="preserve">anja ali njegovi neposredni bližini, v kraju prebivališča ali odhoda potnika ali okoliščin, ki vplivajo na potovanje do kraja potovanja, če take okoliščine znatno vplivajo na izvedbo turističnega paketa. </w:t>
      </w:r>
      <w:bookmarkStart w:id="17" w:name="_Hlk147490290"/>
      <w:r w:rsidRPr="00F27C25">
        <w:rPr>
          <w:noProof/>
        </w:rPr>
        <w:t>Potnik lahko odstopi od pogodbe, če je mogoče razumn</w:t>
      </w:r>
      <w:r w:rsidRPr="00F27C25">
        <w:rPr>
          <w:noProof/>
        </w:rPr>
        <w:t>o pričakovati, da bodo neizogibne in izredne okoliščine znatno vplivale na izvedbo pogodbe o paketnem potovanju.</w:t>
      </w:r>
      <w:bookmarkEnd w:id="17"/>
      <w:r w:rsidRPr="00F27C25">
        <w:rPr>
          <w:noProof/>
        </w:rPr>
        <w:t xml:space="preserve"> </w:t>
      </w:r>
      <w:bookmarkStart w:id="18" w:name="_Hlk146711695"/>
      <w:r w:rsidRPr="00F27C25">
        <w:rPr>
          <w:noProof/>
        </w:rPr>
        <w:t>Če potnik odstopi od pogodbe o paketnem potovanju v skladu s tem odstavkom, je upravičen do celotnega povračila vseh plačil za turistični paket</w:t>
      </w:r>
      <w:r w:rsidRPr="00F27C25">
        <w:rPr>
          <w:noProof/>
        </w:rPr>
        <w:t>, ni pa upravičen do dodatnega nadomestila.“;</w:t>
      </w:r>
      <w:bookmarkEnd w:id="18"/>
    </w:p>
    <w:p w14:paraId="439254BE" w14:textId="77777777" w:rsidR="00144AE5" w:rsidRPr="00F27C25" w:rsidRDefault="00144AE5" w:rsidP="00B33862">
      <w:pPr>
        <w:pStyle w:val="Point1"/>
        <w:rPr>
          <w:noProof/>
        </w:rPr>
      </w:pPr>
      <w:r>
        <w:rPr>
          <w:noProof/>
        </w:rPr>
        <w:t>(b)</w:t>
      </w:r>
      <w:r>
        <w:rPr>
          <w:noProof/>
        </w:rPr>
        <w:tab/>
      </w:r>
      <w:r w:rsidRPr="00F27C25">
        <w:rPr>
          <w:noProof/>
        </w:rPr>
        <w:t>vstavi se naslednji odstavek 3a:</w:t>
      </w:r>
    </w:p>
    <w:p w14:paraId="5FC9CA93" w14:textId="77777777" w:rsidR="00144AE5" w:rsidRPr="00F27C25" w:rsidRDefault="00144AE5" w:rsidP="00C800E0">
      <w:pPr>
        <w:pStyle w:val="Text2"/>
        <w:rPr>
          <w:noProof/>
        </w:rPr>
      </w:pPr>
      <w:r w:rsidRPr="00F27C25">
        <w:rPr>
          <w:noProof/>
        </w:rPr>
        <w:t xml:space="preserve">„3a. Uradna opozorila proti potovanju v določen kraj, ki jih izdajo organi države članice odhoda ali potnikovega prebivališča ali države potovanja, </w:t>
      </w:r>
      <w:bookmarkStart w:id="19" w:name="_Hlk147490453"/>
      <w:r w:rsidRPr="00F27C25">
        <w:rPr>
          <w:noProof/>
        </w:rPr>
        <w:t>ali dejstvo, da bodo za p</w:t>
      </w:r>
      <w:r w:rsidRPr="00F27C25">
        <w:rPr>
          <w:noProof/>
        </w:rPr>
        <w:t>otnike veljale resne omejitve v kraju potovanja ali v državi članici prebivališča ali odhoda po vrnitvi s potovanja ali počitnic</w:t>
      </w:r>
      <w:bookmarkEnd w:id="19"/>
      <w:r w:rsidRPr="00F27C25">
        <w:rPr>
          <w:noProof/>
        </w:rPr>
        <w:t>, so pomembni elementi, ki jih je treba upoštevati pri oceni, ali je odstop od pogodbe na podlagi odstavka 2 in odstavka 3, točk</w:t>
      </w:r>
      <w:r w:rsidRPr="00F27C25">
        <w:rPr>
          <w:noProof/>
        </w:rPr>
        <w:t>a (b), upravičen.“;</w:t>
      </w:r>
    </w:p>
    <w:p w14:paraId="5B6D432A" w14:textId="77777777" w:rsidR="00144AE5" w:rsidRPr="00F27C25" w:rsidRDefault="00144AE5" w:rsidP="00B33862">
      <w:pPr>
        <w:pStyle w:val="Point1"/>
        <w:rPr>
          <w:noProof/>
        </w:rPr>
      </w:pPr>
      <w:r>
        <w:rPr>
          <w:noProof/>
        </w:rPr>
        <w:t>(c)</w:t>
      </w:r>
      <w:r>
        <w:rPr>
          <w:noProof/>
        </w:rPr>
        <w:tab/>
      </w:r>
      <w:r w:rsidRPr="00F27C25">
        <w:rPr>
          <w:noProof/>
        </w:rPr>
        <w:t>odstavek 4 se nadomesti z naslednjim:</w:t>
      </w:r>
    </w:p>
    <w:p w14:paraId="09B69354" w14:textId="77777777" w:rsidR="00144AE5" w:rsidRPr="00F27C25" w:rsidRDefault="00144AE5" w:rsidP="00C800E0">
      <w:pPr>
        <w:pStyle w:val="Text2"/>
        <w:rPr>
          <w:noProof/>
        </w:rPr>
      </w:pPr>
      <w:r w:rsidRPr="00F27C25">
        <w:rPr>
          <w:noProof/>
        </w:rPr>
        <w:t>„4. Organizator zagotovi vsa povračila, zahtevana v skladu z odstavkoma 2 in 3, ali v zvezi z odstavkom 1 vrne vsa plačila, opravljena s strani ali v imenu potnika za turistični paket, razen ust</w:t>
      </w:r>
      <w:r w:rsidRPr="00F27C25">
        <w:rPr>
          <w:noProof/>
        </w:rPr>
        <w:t>rezne in upravičene odstopnine. Organizator potniku ta povračila ali povrnitve stroškov plača brez nepotrebnega odlašanja, najpozneje pa v 14 dneh po odstopu od pogodbe o paketnem potovanju,</w:t>
      </w:r>
      <w:bookmarkStart w:id="20" w:name="_Hlk148017815"/>
      <w:r w:rsidRPr="00F27C25">
        <w:rPr>
          <w:noProof/>
        </w:rPr>
        <w:t xml:space="preserve"> ne glede na to, ali potnik izrecno zahteva povračilo.</w:t>
      </w:r>
      <w:bookmarkEnd w:id="20"/>
    </w:p>
    <w:p w14:paraId="3C3EB4AA" w14:textId="77777777" w:rsidR="00144AE5" w:rsidRPr="00F27C25" w:rsidRDefault="00144AE5" w:rsidP="004517AC">
      <w:pPr>
        <w:pStyle w:val="Text2"/>
        <w:rPr>
          <w:noProof/>
        </w:rPr>
      </w:pPr>
      <w:r w:rsidRPr="00F27C25">
        <w:rPr>
          <w:noProof/>
        </w:rPr>
        <w:t xml:space="preserve">Če </w:t>
      </w:r>
      <w:r w:rsidRPr="00F27C25">
        <w:rPr>
          <w:noProof/>
        </w:rPr>
        <w:t>države članice uvedejo ali ohranijo mehanizme za zagotovitev, da se povračila potnikom plačajo v roku iz prvega pododstavka po odstopu od pogodbe o paketnem potovanju v skladu z odstavkoma 2 in 3, o teh mehanizmih obvestijo Komisijo in osrednje kontaktne t</w:t>
      </w:r>
      <w:r w:rsidRPr="00F27C25">
        <w:rPr>
          <w:noProof/>
        </w:rPr>
        <w:t>očke drugih držav članic iz člena 18(2). Kakršno koli sofinanciranje takih mehanizmov s strani držav članic je mogoče le v izjemnih in ustrezno utemeljenih okoliščinah ter je pogojeno z odobritvijo v skladu z določbami Unije o državni pomoči.“;</w:t>
      </w:r>
    </w:p>
    <w:p w14:paraId="4CA5AB9C" w14:textId="77777777" w:rsidR="00144AE5" w:rsidRPr="00F27C25" w:rsidRDefault="00144AE5" w:rsidP="008A36D6">
      <w:pPr>
        <w:pStyle w:val="Point0"/>
        <w:rPr>
          <w:noProof/>
        </w:rPr>
      </w:pPr>
      <w:r w:rsidRPr="00F27C25">
        <w:rPr>
          <w:noProof/>
        </w:rPr>
        <w:t>(8)</w:t>
      </w:r>
      <w:r w:rsidRPr="00F27C25">
        <w:rPr>
          <w:noProof/>
        </w:rPr>
        <w:tab/>
        <w:t xml:space="preserve">vstavi </w:t>
      </w:r>
      <w:r w:rsidRPr="00F27C25">
        <w:rPr>
          <w:noProof/>
        </w:rPr>
        <w:t>se naslednji člen 12a:</w:t>
      </w:r>
    </w:p>
    <w:p w14:paraId="0AB54EF3" w14:textId="77777777" w:rsidR="00144AE5" w:rsidRPr="00F27C25" w:rsidRDefault="00144AE5" w:rsidP="004517AC">
      <w:pPr>
        <w:pStyle w:val="Text1"/>
        <w:jc w:val="center"/>
        <w:rPr>
          <w:i/>
          <w:noProof/>
        </w:rPr>
      </w:pPr>
      <w:r w:rsidRPr="00F27C25">
        <w:rPr>
          <w:i/>
          <w:noProof/>
        </w:rPr>
        <w:t>„Člen 12a</w:t>
      </w:r>
    </w:p>
    <w:p w14:paraId="68A27A7F" w14:textId="77777777" w:rsidR="00144AE5" w:rsidRPr="00F27C25" w:rsidRDefault="00144AE5" w:rsidP="004517AC">
      <w:pPr>
        <w:pStyle w:val="Text1"/>
        <w:jc w:val="center"/>
        <w:rPr>
          <w:b/>
          <w:noProof/>
        </w:rPr>
      </w:pPr>
      <w:r w:rsidRPr="00F27C25">
        <w:rPr>
          <w:b/>
          <w:noProof/>
        </w:rPr>
        <w:t>Dobropisi</w:t>
      </w:r>
    </w:p>
    <w:p w14:paraId="3C423925" w14:textId="77777777" w:rsidR="00144AE5" w:rsidRPr="00F27C25" w:rsidRDefault="00144AE5" w:rsidP="004517AC">
      <w:pPr>
        <w:pStyle w:val="Text1"/>
        <w:rPr>
          <w:noProof/>
        </w:rPr>
      </w:pPr>
      <w:r w:rsidRPr="00F27C25">
        <w:rPr>
          <w:noProof/>
        </w:rPr>
        <w:t>1.</w:t>
      </w:r>
      <w:r w:rsidRPr="00F27C25">
        <w:rPr>
          <w:noProof/>
        </w:rPr>
        <w:tab/>
        <w:t>Države članice zagotovijo, da lahko organizator v primeru odstopa od pogodbe v skladu s členi 10, 11 ali 12 potniku omogoči izbiro, da namesto povračila sprejme dobropis, ki se lahko uporabi za prihodnji turist</w:t>
      </w:r>
      <w:r w:rsidRPr="00F27C25">
        <w:rPr>
          <w:noProof/>
        </w:rPr>
        <w:t>ični paket.</w:t>
      </w:r>
    </w:p>
    <w:p w14:paraId="53972691" w14:textId="77777777" w:rsidR="00144AE5" w:rsidRPr="00F27C25" w:rsidRDefault="00144AE5" w:rsidP="004517AC">
      <w:pPr>
        <w:pStyle w:val="Text1"/>
        <w:rPr>
          <w:noProof/>
        </w:rPr>
      </w:pPr>
      <w:r w:rsidRPr="00F27C25">
        <w:rPr>
          <w:noProof/>
        </w:rPr>
        <w:t>2.</w:t>
      </w:r>
      <w:r w:rsidRPr="00F27C25">
        <w:rPr>
          <w:noProof/>
        </w:rPr>
        <w:tab/>
        <w:t xml:space="preserve">Preden potnik sprejme dobropis, ga organizator na jasen in viden način pisno obvesti o: </w:t>
      </w:r>
    </w:p>
    <w:p w14:paraId="68AF789E" w14:textId="77777777" w:rsidR="00144AE5" w:rsidRPr="00F27C25" w:rsidRDefault="00144AE5" w:rsidP="003C330A">
      <w:pPr>
        <w:pStyle w:val="Text1"/>
        <w:rPr>
          <w:noProof/>
        </w:rPr>
      </w:pPr>
      <w:r w:rsidRPr="00F27C25">
        <w:rPr>
          <w:noProof/>
        </w:rPr>
        <w:t xml:space="preserve">(a) dejstvu, da je potnik upravičen do povračila v 14 dneh in mu ni treba sprejeti dobropisa, </w:t>
      </w:r>
    </w:p>
    <w:p w14:paraId="2EB32D7A" w14:textId="77777777" w:rsidR="00144AE5" w:rsidRPr="00F27C25" w:rsidRDefault="00144AE5" w:rsidP="00C33888">
      <w:pPr>
        <w:pStyle w:val="Text1"/>
        <w:rPr>
          <w:noProof/>
        </w:rPr>
      </w:pPr>
      <w:r w:rsidRPr="00F27C25">
        <w:rPr>
          <w:noProof/>
        </w:rPr>
        <w:t xml:space="preserve">(b) obdobju veljavnosti dobropisa in pravicah potnikov v </w:t>
      </w:r>
      <w:r w:rsidRPr="00F27C25">
        <w:rPr>
          <w:noProof/>
        </w:rPr>
        <w:t>zvezi z dobropisi iz tega člena.</w:t>
      </w:r>
    </w:p>
    <w:p w14:paraId="2AE46043" w14:textId="77777777" w:rsidR="00144AE5" w:rsidRPr="00F27C25" w:rsidRDefault="00144AE5" w:rsidP="004517AC">
      <w:pPr>
        <w:pStyle w:val="Text1"/>
        <w:rPr>
          <w:noProof/>
        </w:rPr>
      </w:pPr>
      <w:r w:rsidRPr="00F27C25">
        <w:rPr>
          <w:noProof/>
        </w:rPr>
        <w:t>3.</w:t>
      </w:r>
      <w:r w:rsidRPr="00F27C25">
        <w:rPr>
          <w:noProof/>
        </w:rPr>
        <w:tab/>
        <w:t>Vrednost ponujenega dobropisa ustreza vsaj znesku potnikove pravice do povračila.  Organizator lahko ponudi dobropis v višjem znesku.</w:t>
      </w:r>
    </w:p>
    <w:p w14:paraId="164DB3FF" w14:textId="77777777" w:rsidR="00144AE5" w:rsidRPr="00F27C25" w:rsidRDefault="00144AE5" w:rsidP="004517AC">
      <w:pPr>
        <w:pStyle w:val="Text1"/>
        <w:rPr>
          <w:noProof/>
        </w:rPr>
      </w:pPr>
      <w:r w:rsidRPr="00F27C25">
        <w:rPr>
          <w:noProof/>
        </w:rPr>
        <w:t>4.</w:t>
      </w:r>
      <w:r w:rsidRPr="00F27C25">
        <w:rPr>
          <w:noProof/>
        </w:rPr>
        <w:tab/>
        <w:t>Potniki izgubijo pravico do povračila v obdobju veljavnosti dobropisa le, če izrecn</w:t>
      </w:r>
      <w:r w:rsidRPr="00F27C25">
        <w:rPr>
          <w:noProof/>
        </w:rPr>
        <w:t>o in pisno sprejmejo dobropis namesto povračila. Stranki se lahko kadar koli dogovorita o celotnem povračilu, preden se dobropis unovči ali poteče.</w:t>
      </w:r>
    </w:p>
    <w:p w14:paraId="3DFF0651" w14:textId="77777777" w:rsidR="00144AE5" w:rsidRPr="00F27C25" w:rsidRDefault="00144AE5" w:rsidP="004517AC">
      <w:pPr>
        <w:pStyle w:val="Text1"/>
        <w:rPr>
          <w:noProof/>
        </w:rPr>
      </w:pPr>
      <w:r w:rsidRPr="00F27C25">
        <w:rPr>
          <w:noProof/>
        </w:rPr>
        <w:t>5.</w:t>
      </w:r>
      <w:r w:rsidRPr="00F27C25">
        <w:rPr>
          <w:noProof/>
        </w:rPr>
        <w:tab/>
        <w:t>Obdobje veljavnosti dobropisov je največ 12 mesecev od dneva, ko potnik sprejme dobropis v skladu z odsta</w:t>
      </w:r>
      <w:r w:rsidRPr="00F27C25">
        <w:rPr>
          <w:noProof/>
        </w:rPr>
        <w:t>vkom 4. To obdobje se lahko z izrecnim in pisnim dogovorom obeh strank enkrat podaljša za največ 12 mesecev.</w:t>
      </w:r>
    </w:p>
    <w:p w14:paraId="7BA2329B" w14:textId="77777777" w:rsidR="00144AE5" w:rsidRPr="00F27C25" w:rsidRDefault="00144AE5" w:rsidP="004517AC">
      <w:pPr>
        <w:pStyle w:val="Text1"/>
        <w:rPr>
          <w:noProof/>
        </w:rPr>
      </w:pPr>
      <w:r w:rsidRPr="00F27C25">
        <w:rPr>
          <w:noProof/>
        </w:rPr>
        <w:t>7.</w:t>
      </w:r>
      <w:r w:rsidRPr="00F27C25">
        <w:rPr>
          <w:noProof/>
        </w:rPr>
        <w:tab/>
        <w:t>Če se dobropis ne unovči v obdobju veljavnosti, organizator znesek, naveden v dobropisu, povrne čim prej, najpozneje pa v 14 dneh po koncu obdob</w:t>
      </w:r>
      <w:r w:rsidRPr="00F27C25">
        <w:rPr>
          <w:noProof/>
        </w:rPr>
        <w:t xml:space="preserve">ja veljavnosti, ne da bi bila za to potrebna predhodna zahteva potnika. </w:t>
      </w:r>
    </w:p>
    <w:p w14:paraId="187C54B4" w14:textId="77777777" w:rsidR="00144AE5" w:rsidRPr="00F27C25" w:rsidRDefault="00144AE5" w:rsidP="004517AC">
      <w:pPr>
        <w:pStyle w:val="Text1"/>
        <w:rPr>
          <w:noProof/>
        </w:rPr>
      </w:pPr>
      <w:r w:rsidRPr="00F27C25">
        <w:rPr>
          <w:noProof/>
        </w:rPr>
        <w:t>8.</w:t>
      </w:r>
      <w:r w:rsidRPr="00F27C25">
        <w:rPr>
          <w:noProof/>
        </w:rPr>
        <w:tab/>
        <w:t>Dobropisi se lahko brez dodatnih stroškov prenesejo na drugega potnika.</w:t>
      </w:r>
    </w:p>
    <w:p w14:paraId="74CA428C" w14:textId="77777777" w:rsidR="00144AE5" w:rsidRPr="00F27C25" w:rsidRDefault="00144AE5" w:rsidP="004517AC">
      <w:pPr>
        <w:pStyle w:val="Text1"/>
        <w:rPr>
          <w:noProof/>
        </w:rPr>
      </w:pPr>
      <w:r w:rsidRPr="00F27C25">
        <w:rPr>
          <w:noProof/>
        </w:rPr>
        <w:t>9.</w:t>
      </w:r>
      <w:r w:rsidRPr="00F27C25">
        <w:rPr>
          <w:noProof/>
        </w:rPr>
        <w:tab/>
        <w:t xml:space="preserve">Dobropisi so kriti z varstvom v primeru insolventnosti, ki ga organizator zagotovi v skladu s členom 17, </w:t>
      </w:r>
      <w:r w:rsidRPr="00F27C25">
        <w:rPr>
          <w:noProof/>
        </w:rPr>
        <w:t>za znesek plačil, prejetih od potnika.“;</w:t>
      </w:r>
    </w:p>
    <w:p w14:paraId="0E67E7CE" w14:textId="77777777" w:rsidR="00144AE5" w:rsidRPr="00F27C25" w:rsidRDefault="00144AE5" w:rsidP="008A36D6">
      <w:pPr>
        <w:pStyle w:val="Point0"/>
        <w:rPr>
          <w:noProof/>
        </w:rPr>
      </w:pPr>
      <w:r w:rsidRPr="00F27C25">
        <w:rPr>
          <w:noProof/>
        </w:rPr>
        <w:t>(9)</w:t>
      </w:r>
      <w:r w:rsidRPr="00F27C25">
        <w:rPr>
          <w:noProof/>
        </w:rPr>
        <w:tab/>
        <w:t>člen 17 se nadomesti z naslednjim:</w:t>
      </w:r>
    </w:p>
    <w:p w14:paraId="43346F86" w14:textId="77777777" w:rsidR="00144AE5" w:rsidRPr="00F27C25" w:rsidRDefault="00144AE5" w:rsidP="006A034A">
      <w:pPr>
        <w:pStyle w:val="Text2"/>
        <w:jc w:val="center"/>
        <w:rPr>
          <w:noProof/>
        </w:rPr>
      </w:pPr>
      <w:r w:rsidRPr="00F27C25">
        <w:rPr>
          <w:noProof/>
        </w:rPr>
        <w:t>„</w:t>
      </w:r>
      <w:r w:rsidRPr="00F27C25">
        <w:rPr>
          <w:i/>
          <w:noProof/>
        </w:rPr>
        <w:t>Člen 17</w:t>
      </w:r>
    </w:p>
    <w:p w14:paraId="4DA74F88" w14:textId="77777777" w:rsidR="00144AE5" w:rsidRPr="00F27C25" w:rsidRDefault="00144AE5" w:rsidP="006A034A">
      <w:pPr>
        <w:pStyle w:val="Text2"/>
        <w:jc w:val="center"/>
        <w:rPr>
          <w:b/>
          <w:noProof/>
        </w:rPr>
      </w:pPr>
      <w:r w:rsidRPr="00F27C25">
        <w:rPr>
          <w:b/>
          <w:noProof/>
        </w:rPr>
        <w:t>Učinkovitost in obseg varstva v primeru insolventnosti</w:t>
      </w:r>
    </w:p>
    <w:p w14:paraId="26A2E4CE" w14:textId="77777777" w:rsidR="00144AE5" w:rsidRPr="00F27C25" w:rsidRDefault="00144AE5" w:rsidP="00F70EDD">
      <w:pPr>
        <w:pStyle w:val="Point1"/>
        <w:rPr>
          <w:noProof/>
        </w:rPr>
      </w:pPr>
      <w:r w:rsidRPr="00F27C25">
        <w:rPr>
          <w:noProof/>
        </w:rPr>
        <w:t>1.</w:t>
      </w:r>
      <w:r w:rsidRPr="00F27C25">
        <w:rPr>
          <w:noProof/>
        </w:rPr>
        <w:tab/>
      </w:r>
      <w:r w:rsidRPr="00F27C25">
        <w:rPr>
          <w:noProof/>
        </w:rPr>
        <w:tab/>
        <w:t xml:space="preserve">Države članice zagotovijo, da organizatorji s sedežem na njihovem ozemlju jamčijo za povračilo vseh </w:t>
      </w:r>
      <w:r w:rsidRPr="00F27C25">
        <w:rPr>
          <w:noProof/>
        </w:rPr>
        <w:t xml:space="preserve">plačil, opravljenih s strani ali v imenu potnikov, v primeru insolventnosti organizatorja. To vključuje zaščito opravljenih plačil , kadar turistični paket ni v celoti ali delno izveden zaradi insolventnosti organizatorja potovanja ali kadar je bil potnik </w:t>
      </w:r>
      <w:r w:rsidRPr="00F27C25">
        <w:rPr>
          <w:noProof/>
        </w:rPr>
        <w:t>upravičen do povračila ali je od organizatorja pred njegovo insolventnostjo prejel dobropis. V zvezi z dobropisi je jamstvo omejeno na znesek plačil, prejetih od potnika. Če pogodba o paketnem potovanju vključuje povratno potovanje, organizatorji jamčijo t</w:t>
      </w:r>
      <w:r w:rsidRPr="00F27C25">
        <w:rPr>
          <w:noProof/>
        </w:rPr>
        <w:t>udi za povratek potnika. Ponudijo lahko nadaljevanje turističnega paketa.</w:t>
      </w:r>
    </w:p>
    <w:p w14:paraId="523088DA" w14:textId="77777777" w:rsidR="00144AE5" w:rsidRPr="00F27C25" w:rsidRDefault="00144AE5" w:rsidP="00F70EDD">
      <w:pPr>
        <w:pStyle w:val="Point1"/>
        <w:rPr>
          <w:noProof/>
        </w:rPr>
      </w:pPr>
      <w:r w:rsidRPr="00F27C25">
        <w:rPr>
          <w:noProof/>
        </w:rPr>
        <w:tab/>
        <w:t xml:space="preserve">Organizatorji, ki nimajo sedeža v državi članici in prodajajo ali ponujajo v prodajo turistične pakete v državi članici ali kakor koli usmerjajo takšne dejavnosti v državo članico, </w:t>
      </w:r>
      <w:r w:rsidRPr="00F27C25">
        <w:rPr>
          <w:noProof/>
        </w:rPr>
        <w:t>morajo zagotoviti jamstvo v skladu z zakonodajo te države članice.</w:t>
      </w:r>
    </w:p>
    <w:p w14:paraId="2AFF011E" w14:textId="77777777" w:rsidR="00144AE5" w:rsidRPr="00F27C25" w:rsidRDefault="00144AE5" w:rsidP="00F70EDD">
      <w:pPr>
        <w:pStyle w:val="Point1"/>
        <w:rPr>
          <w:noProof/>
        </w:rPr>
      </w:pPr>
      <w:r w:rsidRPr="00F27C25">
        <w:rPr>
          <w:noProof/>
        </w:rPr>
        <w:t>2.</w:t>
      </w:r>
      <w:r w:rsidRPr="00F27C25">
        <w:rPr>
          <w:noProof/>
        </w:rPr>
        <w:tab/>
        <w:t xml:space="preserve"> Jamstvo iz odstavka 1 je učinkovito in krije razumno predvidljive stroške. Jamstvo krije zneske plačil, opravljenih s strani ali v imenu potnikov za turistične pakete, ob upoštevanju do</w:t>
      </w:r>
      <w:r w:rsidRPr="00F27C25">
        <w:rPr>
          <w:noProof/>
        </w:rPr>
        <w:t>lžine obdobja med prejemom kakršnih koli plačil ter zaključkom turističnih paketov, pa tudi ocenjene stroške povratka v primeru insolventnosti organizatorja. Jamstvo vedno zadostuje za kritje stroškov povračil ter po potrebi povratka in dobropisov. Pri kri</w:t>
      </w:r>
      <w:r w:rsidRPr="00F27C25">
        <w:rPr>
          <w:noProof/>
        </w:rPr>
        <w:t xml:space="preserve">tju se upoštevajo obdobja, v katerih imajo organizatorji najvišje zneske plačil, in vse spremembe obsega prodaje turističnih paketov. </w:t>
      </w:r>
    </w:p>
    <w:p w14:paraId="13DAA149" w14:textId="77777777" w:rsidR="00144AE5" w:rsidRPr="00F27C25" w:rsidRDefault="00144AE5" w:rsidP="00F70EDD">
      <w:pPr>
        <w:pStyle w:val="Point1"/>
        <w:rPr>
          <w:noProof/>
        </w:rPr>
      </w:pPr>
      <w:bookmarkStart w:id="21" w:name="_Hlk147312221"/>
      <w:r w:rsidRPr="00F27C25">
        <w:rPr>
          <w:noProof/>
        </w:rPr>
        <w:t>3.</w:t>
      </w:r>
      <w:r w:rsidRPr="00F27C25">
        <w:rPr>
          <w:noProof/>
        </w:rPr>
        <w:tab/>
        <w:t xml:space="preserve"> Za zagotovitev učinkovitosti varstva v primeru insolventnosti </w:t>
      </w:r>
      <w:bookmarkStart w:id="22" w:name="_Hlk151314426"/>
      <w:r w:rsidRPr="00F27C25">
        <w:rPr>
          <w:noProof/>
        </w:rPr>
        <w:t>države članice nadzorujejo ureditev varstva v primeru i</w:t>
      </w:r>
      <w:r w:rsidRPr="00F27C25">
        <w:rPr>
          <w:noProof/>
        </w:rPr>
        <w:t xml:space="preserve">nsolventnosti organizatorjev s sedežem na njihovem ozemlju, spremljajo trg za zagotavljanje varstva v primeru insolventnosti in lahko po potrebi zahtevajo dodatno raven zaščite. </w:t>
      </w:r>
      <w:bookmarkEnd w:id="22"/>
      <w:r w:rsidRPr="00F27C25">
        <w:rPr>
          <w:noProof/>
        </w:rPr>
        <w:t>Kakršno koli sofinanciranje s strani držav članic je mogoče le v izjemnih in u</w:t>
      </w:r>
      <w:r w:rsidRPr="00F27C25">
        <w:rPr>
          <w:noProof/>
        </w:rPr>
        <w:t>strezno utemeljenih okoliščinah ter je pogojeno z odobritvijo v skladu z določbami Unije o državni pomoči.</w:t>
      </w:r>
    </w:p>
    <w:p w14:paraId="456A28A3" w14:textId="77777777" w:rsidR="00144AE5" w:rsidRPr="00F27C25" w:rsidRDefault="00144AE5" w:rsidP="00F70EDD">
      <w:pPr>
        <w:pStyle w:val="Point1"/>
        <w:rPr>
          <w:noProof/>
        </w:rPr>
      </w:pPr>
      <w:r w:rsidRPr="00F27C25">
        <w:rPr>
          <w:noProof/>
        </w:rPr>
        <w:t>4.</w:t>
      </w:r>
      <w:r w:rsidRPr="00F27C25">
        <w:rPr>
          <w:noProof/>
        </w:rPr>
        <w:tab/>
        <w:t>Potniki so upravičeni do varstva v primeru insolventnosti organizatorja ne glede na njihov kraj prebivališča, kraj odhoda ali kraj prodaje turisti</w:t>
      </w:r>
      <w:r w:rsidRPr="00F27C25">
        <w:rPr>
          <w:noProof/>
        </w:rPr>
        <w:t xml:space="preserve">čnega paketa ter ne glede na državo članico, v kateri se nahaja subjekt, ki zagotavlja varstvo v primeru insolventnosti. </w:t>
      </w:r>
    </w:p>
    <w:p w14:paraId="14A5DB1F" w14:textId="77777777" w:rsidR="00144AE5" w:rsidRPr="00F27C25" w:rsidRDefault="00144AE5" w:rsidP="00F70EDD">
      <w:pPr>
        <w:pStyle w:val="Point1"/>
        <w:rPr>
          <w:noProof/>
        </w:rPr>
      </w:pPr>
      <w:r w:rsidRPr="00F27C25">
        <w:rPr>
          <w:noProof/>
        </w:rPr>
        <w:t>5.</w:t>
      </w:r>
      <w:r w:rsidRPr="00F27C25">
        <w:rPr>
          <w:noProof/>
        </w:rPr>
        <w:tab/>
        <w:t xml:space="preserve">Kadar insolventnost organizatorja vpliva na izvedbo turističnega paketa, je na voljo brezplačno jamstvo za zagotovitev povratka in </w:t>
      </w:r>
      <w:r w:rsidRPr="00F27C25">
        <w:rPr>
          <w:noProof/>
        </w:rPr>
        <w:t>po potrebi financiranja nastanitve pred povratkom.</w:t>
      </w:r>
    </w:p>
    <w:bookmarkEnd w:id="21"/>
    <w:p w14:paraId="39D3E8F0" w14:textId="77777777" w:rsidR="00144AE5" w:rsidRPr="00F27C25" w:rsidRDefault="00144AE5" w:rsidP="00F70EDD">
      <w:pPr>
        <w:pStyle w:val="Point1"/>
        <w:rPr>
          <w:noProof/>
        </w:rPr>
      </w:pPr>
      <w:r w:rsidRPr="00F27C25">
        <w:rPr>
          <w:noProof/>
        </w:rPr>
        <w:t>6.</w:t>
      </w:r>
      <w:r w:rsidRPr="00F27C25">
        <w:rPr>
          <w:noProof/>
        </w:rPr>
        <w:tab/>
        <w:t>Povračila plačil, na katera vpliva insolventnost organizatorja, se zagotovijo brez nepotrebnega odlašanja na zahtevo potnika in najpozneje v treh mesecih po tem, ko je potnik predložil dokumente, potreb</w:t>
      </w:r>
      <w:r w:rsidRPr="00F27C25">
        <w:rPr>
          <w:noProof/>
        </w:rPr>
        <w:t>ne za preučitev zahtevka.</w:t>
      </w:r>
    </w:p>
    <w:p w14:paraId="119C0D44" w14:textId="77777777" w:rsidR="00144AE5" w:rsidRPr="00F27C25" w:rsidRDefault="00144AE5" w:rsidP="00F70EDD">
      <w:pPr>
        <w:pStyle w:val="Point1"/>
        <w:rPr>
          <w:noProof/>
        </w:rPr>
      </w:pPr>
      <w:r w:rsidRPr="00F27C25">
        <w:rPr>
          <w:noProof/>
        </w:rPr>
        <w:t>7.</w:t>
      </w:r>
      <w:r w:rsidRPr="00F27C25">
        <w:rPr>
          <w:noProof/>
        </w:rPr>
        <w:tab/>
      </w:r>
      <w:bookmarkStart w:id="23" w:name="_Hlk147314482"/>
      <w:r w:rsidRPr="00F27C25">
        <w:rPr>
          <w:noProof/>
        </w:rPr>
        <w:t>Kadar je to upravičeno glede na plačila, ki jih prejmejo turistični agenti, lahko države članice od turističnih agentov zahtevajo, da tudi oni poleg organizatorjev sklenejo varstvo v primeru insolventnosti, ne glede na drugi po</w:t>
      </w:r>
      <w:r w:rsidRPr="00F27C25">
        <w:rPr>
          <w:noProof/>
        </w:rPr>
        <w:t>dodstavek člena 13(1).“</w:t>
      </w:r>
      <w:bookmarkEnd w:id="23"/>
      <w:r w:rsidRPr="00F27C25">
        <w:rPr>
          <w:noProof/>
        </w:rPr>
        <w:t>;</w:t>
      </w:r>
    </w:p>
    <w:p w14:paraId="2AB5A785" w14:textId="77777777" w:rsidR="00144AE5" w:rsidRPr="00F27C25" w:rsidRDefault="00144AE5" w:rsidP="008A36D6">
      <w:pPr>
        <w:pStyle w:val="Point0"/>
        <w:rPr>
          <w:noProof/>
        </w:rPr>
      </w:pPr>
      <w:bookmarkStart w:id="24" w:name="_Hlk147315014"/>
      <w:r w:rsidRPr="00F27C25">
        <w:rPr>
          <w:noProof/>
        </w:rPr>
        <w:t>(10)</w:t>
      </w:r>
      <w:r w:rsidRPr="00F27C25">
        <w:rPr>
          <w:noProof/>
        </w:rPr>
        <w:tab/>
        <w:t xml:space="preserve">v členu 18 se odstavek 2 nadomesti z naslednjim: </w:t>
      </w:r>
    </w:p>
    <w:p w14:paraId="15E86D8A" w14:textId="77777777" w:rsidR="00144AE5" w:rsidRPr="00F27C25" w:rsidRDefault="00144AE5" w:rsidP="00A7334A">
      <w:pPr>
        <w:pStyle w:val="Text1"/>
        <w:rPr>
          <w:noProof/>
        </w:rPr>
      </w:pPr>
      <w:bookmarkStart w:id="25" w:name="_Hlk147315400"/>
      <w:bookmarkEnd w:id="24"/>
      <w:r w:rsidRPr="00F27C25">
        <w:rPr>
          <w:noProof/>
        </w:rPr>
        <w:t>„2. Države članice imenujejo osrednje kontaktne točke za lažje upravno sodelovanje in nadzor organizatorjev, ki poslujejo v različnih državah članicah, ter za izmenjavo informa</w:t>
      </w:r>
      <w:r w:rsidRPr="00F27C25">
        <w:rPr>
          <w:noProof/>
        </w:rPr>
        <w:t>cij v zvezi z varstvom v primeru insolventnosti in vsemi mehanizmi, vzpostavljenimi za zagotavljanje učinkovitosti povračil v primeru odstopa od pogodbe o paketnem potovanju. Države članice kontaktne podatke teh kontaktnih točk uradno sporočijo vsem drugim</w:t>
      </w:r>
      <w:r w:rsidRPr="00F27C25">
        <w:rPr>
          <w:noProof/>
        </w:rPr>
        <w:t xml:space="preserve"> državam članicam in Komisiji.“; </w:t>
      </w:r>
    </w:p>
    <w:bookmarkEnd w:id="25"/>
    <w:p w14:paraId="10BF00E8" w14:textId="77777777" w:rsidR="00144AE5" w:rsidRPr="00F27C25" w:rsidRDefault="00144AE5" w:rsidP="008A36D6">
      <w:pPr>
        <w:pStyle w:val="Point0"/>
        <w:rPr>
          <w:noProof/>
        </w:rPr>
      </w:pPr>
      <w:r w:rsidRPr="00F27C25">
        <w:rPr>
          <w:noProof/>
        </w:rPr>
        <w:t>(11)</w:t>
      </w:r>
      <w:r w:rsidRPr="00F27C25">
        <w:rPr>
          <w:noProof/>
        </w:rPr>
        <w:tab/>
        <w:t>člen 19 se nadomesti z naslednjim:</w:t>
      </w:r>
    </w:p>
    <w:p w14:paraId="0A92797C" w14:textId="77777777" w:rsidR="00144AE5" w:rsidRPr="00F27C25" w:rsidRDefault="00144AE5" w:rsidP="007533C5">
      <w:pPr>
        <w:pStyle w:val="Text1"/>
        <w:jc w:val="center"/>
        <w:rPr>
          <w:i/>
          <w:iCs/>
          <w:noProof/>
        </w:rPr>
      </w:pPr>
      <w:r w:rsidRPr="00F27C25">
        <w:rPr>
          <w:i/>
          <w:noProof/>
        </w:rPr>
        <w:t>„Člen 19</w:t>
      </w:r>
    </w:p>
    <w:p w14:paraId="304B3C2D" w14:textId="77777777" w:rsidR="00144AE5" w:rsidRPr="00F27C25" w:rsidRDefault="00144AE5" w:rsidP="007533C5">
      <w:pPr>
        <w:pStyle w:val="Text1"/>
        <w:jc w:val="center"/>
        <w:rPr>
          <w:b/>
          <w:bCs/>
          <w:noProof/>
        </w:rPr>
      </w:pPr>
      <w:r w:rsidRPr="00F27C25">
        <w:rPr>
          <w:b/>
          <w:noProof/>
        </w:rPr>
        <w:t>Varstvo v primeru insolventnosti in zahteve v zvezi z informacijami za povezane potovalne aranžmaje</w:t>
      </w:r>
    </w:p>
    <w:p w14:paraId="515051AE" w14:textId="77777777" w:rsidR="00144AE5" w:rsidRPr="00F27C25" w:rsidRDefault="00144AE5" w:rsidP="004E721C">
      <w:pPr>
        <w:pStyle w:val="Text1"/>
        <w:rPr>
          <w:noProof/>
        </w:rPr>
      </w:pPr>
      <w:r w:rsidRPr="00F27C25">
        <w:rPr>
          <w:noProof/>
        </w:rPr>
        <w:t>1. Za povezane potovalne aranžmaje, kot so opredeljeni v členu 3(5), drža</w:t>
      </w:r>
      <w:r w:rsidRPr="00F27C25">
        <w:rPr>
          <w:noProof/>
        </w:rPr>
        <w:t>ve članice zagotovijo, da trgovci, ki potnike pozovejo k sklenitvi pogodbe o drugačni vrsti potovalne storitve, zagotovijo jamstvo za povračilo vseh plačil, ki jih prejmejo od potnikov. Če so taki trgovci odgovorni za povratno potovanje potnika, jamstvo kr</w:t>
      </w:r>
      <w:r w:rsidRPr="00F27C25">
        <w:rPr>
          <w:noProof/>
        </w:rPr>
        <w:t xml:space="preserve">ije tudi povratek potnika. Smiselno se uporabljajo drugi pododstavek člena 17(1), člen 17(2) do (6) in člen 18. </w:t>
      </w:r>
    </w:p>
    <w:p w14:paraId="115A570E" w14:textId="77777777" w:rsidR="00144AE5" w:rsidRPr="00F27C25" w:rsidRDefault="00144AE5" w:rsidP="004E721C">
      <w:pPr>
        <w:pStyle w:val="Text1"/>
        <w:rPr>
          <w:noProof/>
        </w:rPr>
      </w:pPr>
      <w:r w:rsidRPr="00F27C25">
        <w:rPr>
          <w:noProof/>
        </w:rPr>
        <w:t>2. Kadar trgovec potnika pozove k sklenitvi pogodbe o drugačni vrsti potovalne storitve, tudi če nima sedeža v državi članici, vendar na kakršen koli način usmerja take dejavnosti v državo članico, potniku zagotovi ustrezni obrazec standardnih informacij i</w:t>
      </w:r>
      <w:r w:rsidRPr="00F27C25">
        <w:rPr>
          <w:noProof/>
        </w:rPr>
        <w:t xml:space="preserve">z Priloge II, ki je ustrezno izpolnjen. Obrazec se zagotovi na jasen in viden način. </w:t>
      </w:r>
    </w:p>
    <w:p w14:paraId="51CA7B91" w14:textId="77777777" w:rsidR="00144AE5" w:rsidRPr="00F27C25" w:rsidRDefault="00144AE5" w:rsidP="00AC4D9E">
      <w:pPr>
        <w:pStyle w:val="Text1"/>
        <w:rPr>
          <w:noProof/>
        </w:rPr>
      </w:pPr>
      <w:r w:rsidRPr="00F27C25">
        <w:rPr>
          <w:noProof/>
        </w:rPr>
        <w:t>3. Kadar trgovci ne izpolnijo zahtev iz odstavkov 1 in 2 tega člena, v zvezi s potovalnimi storitvami, vključenimi v povezane potovalne aranžmaje, veljajo pravice in obve</w:t>
      </w:r>
      <w:r w:rsidRPr="00F27C25">
        <w:rPr>
          <w:noProof/>
        </w:rPr>
        <w:t>znosti iz členov 9 in 12 ter poglavja IV.</w:t>
      </w:r>
    </w:p>
    <w:p w14:paraId="5FF34E74" w14:textId="77777777" w:rsidR="00144AE5" w:rsidRPr="00F27C25" w:rsidRDefault="00144AE5" w:rsidP="00AC4D9E">
      <w:pPr>
        <w:pStyle w:val="Text1"/>
        <w:rPr>
          <w:noProof/>
        </w:rPr>
      </w:pPr>
      <w:r w:rsidRPr="00F27C25">
        <w:rPr>
          <w:noProof/>
        </w:rPr>
        <w:t xml:space="preserve">4. Če se oblikuje povezan potovalni aranžma, trgovec, ki sklene pogodbo o drugačni vrsti potovalne storitve, o tem obvesti trgovca, ki je potnika pozval k sklenitvi take pogodbe.“; </w:t>
      </w:r>
    </w:p>
    <w:p w14:paraId="14159DBF" w14:textId="77777777" w:rsidR="00144AE5" w:rsidRPr="00F27C25" w:rsidRDefault="00144AE5" w:rsidP="008A36D6">
      <w:pPr>
        <w:pStyle w:val="Point0"/>
        <w:rPr>
          <w:noProof/>
        </w:rPr>
      </w:pPr>
      <w:r w:rsidRPr="00F27C25">
        <w:rPr>
          <w:noProof/>
        </w:rPr>
        <w:t>(12)</w:t>
      </w:r>
      <w:r w:rsidRPr="00F27C25">
        <w:rPr>
          <w:noProof/>
        </w:rPr>
        <w:tab/>
        <w:t>člen 22 se nadomesti z nasl</w:t>
      </w:r>
      <w:r w:rsidRPr="00F27C25">
        <w:rPr>
          <w:noProof/>
        </w:rPr>
        <w:t>ednjim:</w:t>
      </w:r>
    </w:p>
    <w:p w14:paraId="1C51678E" w14:textId="77777777" w:rsidR="00144AE5" w:rsidRPr="00F27C25" w:rsidRDefault="00144AE5" w:rsidP="005E6CFB">
      <w:pPr>
        <w:pStyle w:val="Text1"/>
        <w:jc w:val="center"/>
        <w:rPr>
          <w:i/>
          <w:iCs/>
          <w:noProof/>
        </w:rPr>
      </w:pPr>
      <w:r w:rsidRPr="00F27C25">
        <w:rPr>
          <w:i/>
          <w:noProof/>
        </w:rPr>
        <w:t>„Člen 22</w:t>
      </w:r>
    </w:p>
    <w:p w14:paraId="79FE6AC7" w14:textId="77777777" w:rsidR="00144AE5" w:rsidRPr="00F27C25" w:rsidRDefault="00144AE5" w:rsidP="005E6CFB">
      <w:pPr>
        <w:pStyle w:val="Text1"/>
        <w:jc w:val="center"/>
        <w:rPr>
          <w:b/>
          <w:bCs/>
          <w:noProof/>
        </w:rPr>
      </w:pPr>
      <w:bookmarkStart w:id="26" w:name="_Hlk151057195"/>
      <w:r w:rsidRPr="00F27C25">
        <w:rPr>
          <w:b/>
          <w:noProof/>
        </w:rPr>
        <w:t>Pravica organizatorjev do pravnih sredstev in povračila stroškov</w:t>
      </w:r>
    </w:p>
    <w:bookmarkEnd w:id="26"/>
    <w:p w14:paraId="30535D57" w14:textId="77777777" w:rsidR="00144AE5" w:rsidRPr="00F27C25" w:rsidRDefault="00144AE5" w:rsidP="005E6CFB">
      <w:pPr>
        <w:pStyle w:val="Text1"/>
        <w:rPr>
          <w:noProof/>
        </w:rPr>
      </w:pPr>
      <w:r w:rsidRPr="00F27C25">
        <w:rPr>
          <w:noProof/>
        </w:rPr>
        <w:t xml:space="preserve">(1) Kadar organizator ali – v skladu z drugim pododstavkom člena 13(1) ali členom 20 – turistični agent plača nadomestilo, odobri znižanje cene ali izpolni druge obveznosti, </w:t>
      </w:r>
      <w:r w:rsidRPr="00F27C25">
        <w:rPr>
          <w:noProof/>
        </w:rPr>
        <w:t>ki jih ima po tej direktivi, države članice zagotovijo, da ima organizator ali turistični agent pravico do pravnih sredstev zoper vse tretje osebe, ki so prispevale k dogodku, zaradi katerega se zahteva nadomestilo, znižanje cene ali druge obveznosti.</w:t>
      </w:r>
    </w:p>
    <w:p w14:paraId="09308EA0" w14:textId="77777777" w:rsidR="00144AE5" w:rsidRPr="00F27C25" w:rsidRDefault="00144AE5" w:rsidP="004517AC">
      <w:pPr>
        <w:pStyle w:val="Text1"/>
        <w:rPr>
          <w:noProof/>
        </w:rPr>
      </w:pPr>
      <w:r w:rsidRPr="00F27C25">
        <w:rPr>
          <w:noProof/>
        </w:rPr>
        <w:t>(2) Države članice zagotovijo, da ponudnik storitev, kadar odpove storitev, ki je del turističnega paketa, ali je ne opravi, organizatorju v sedmih dneh povrne vsa plačila, ki jih je organizator plačal za storitve. Sedemdnevni rok začne teči na dan po odpo</w:t>
      </w:r>
      <w:r w:rsidRPr="00F27C25">
        <w:rPr>
          <w:noProof/>
        </w:rPr>
        <w:t xml:space="preserve">vedi storitve ali na dan, ko bi bilo treba storitev opraviti, pri čemer se upošteva zgodnejši datum.“; </w:t>
      </w:r>
    </w:p>
    <w:p w14:paraId="26DC568F" w14:textId="77777777" w:rsidR="00144AE5" w:rsidRPr="00F27C25" w:rsidRDefault="00144AE5" w:rsidP="008A36D6">
      <w:pPr>
        <w:pStyle w:val="Point0"/>
        <w:rPr>
          <w:noProof/>
        </w:rPr>
      </w:pPr>
      <w:r w:rsidRPr="00F27C25">
        <w:rPr>
          <w:noProof/>
        </w:rPr>
        <w:t>(13)</w:t>
      </w:r>
      <w:r w:rsidRPr="00F27C25">
        <w:rPr>
          <w:noProof/>
        </w:rPr>
        <w:tab/>
        <w:t>Priloga I se nadomesti z besedilom iz Priloge I k tej direktivi;</w:t>
      </w:r>
    </w:p>
    <w:p w14:paraId="6DF17BE5" w14:textId="77777777" w:rsidR="00144AE5" w:rsidRPr="00F27C25" w:rsidRDefault="00144AE5" w:rsidP="008A36D6">
      <w:pPr>
        <w:pStyle w:val="Point0"/>
        <w:rPr>
          <w:noProof/>
        </w:rPr>
      </w:pPr>
      <w:r w:rsidRPr="00F27C25">
        <w:rPr>
          <w:noProof/>
        </w:rPr>
        <w:t>(14)</w:t>
      </w:r>
      <w:r w:rsidRPr="00F27C25">
        <w:rPr>
          <w:noProof/>
        </w:rPr>
        <w:tab/>
        <w:t xml:space="preserve">Priloga II se nadomesti z besedilom iz Priloge II k tej direktivi. </w:t>
      </w:r>
    </w:p>
    <w:p w14:paraId="642AF920" w14:textId="77777777" w:rsidR="00144AE5" w:rsidRPr="00F27C25" w:rsidRDefault="00144AE5" w:rsidP="004517AC">
      <w:pPr>
        <w:pStyle w:val="Titrearticle"/>
        <w:keepLines/>
        <w:rPr>
          <w:noProof/>
        </w:rPr>
      </w:pPr>
      <w:r w:rsidRPr="00F27C25">
        <w:rPr>
          <w:noProof/>
        </w:rPr>
        <w:t>Člen 2</w:t>
      </w:r>
    </w:p>
    <w:p w14:paraId="5FA4210E" w14:textId="77777777" w:rsidR="00144AE5" w:rsidRPr="00F27C25" w:rsidRDefault="00144AE5" w:rsidP="004517AC">
      <w:pPr>
        <w:jc w:val="center"/>
        <w:rPr>
          <w:b/>
          <w:bCs/>
          <w:noProof/>
        </w:rPr>
      </w:pPr>
      <w:r w:rsidRPr="00F27C25">
        <w:rPr>
          <w:noProof/>
        </w:rPr>
        <w:t>Po</w:t>
      </w:r>
      <w:r w:rsidRPr="00F27C25">
        <w:rPr>
          <w:noProof/>
        </w:rPr>
        <w:t>ročanje Komisije in pregled</w:t>
      </w:r>
    </w:p>
    <w:p w14:paraId="36950D86" w14:textId="77777777" w:rsidR="00144AE5" w:rsidRPr="00F27C25" w:rsidRDefault="00144AE5" w:rsidP="00374FC0">
      <w:pPr>
        <w:rPr>
          <w:noProof/>
        </w:rPr>
      </w:pPr>
      <w:r w:rsidRPr="00F27C25">
        <w:rPr>
          <w:noProof/>
        </w:rPr>
        <w:t>Komisija do [pet let po začetku veljavnosti te direktive] Evropskemu parlamentu in Svetu predloži poročilo o uporabi te direktive. V poročilu bo upoštevan tudi vpliv na mikro-, male in srednje organizatorje.</w:t>
      </w:r>
    </w:p>
    <w:p w14:paraId="0F3495B0" w14:textId="77777777" w:rsidR="00144AE5" w:rsidRPr="00F27C25" w:rsidRDefault="00144AE5" w:rsidP="00374FC0">
      <w:pPr>
        <w:rPr>
          <w:noProof/>
        </w:rPr>
      </w:pPr>
      <w:r w:rsidRPr="00F27C25">
        <w:rPr>
          <w:noProof/>
        </w:rPr>
        <w:t>Po potrebi se poroči</w:t>
      </w:r>
      <w:r w:rsidRPr="00F27C25">
        <w:rPr>
          <w:noProof/>
        </w:rPr>
        <w:t>lu priložijo zakonodajni predlogi.</w:t>
      </w:r>
    </w:p>
    <w:p w14:paraId="6F5F49C4" w14:textId="77777777" w:rsidR="00144AE5" w:rsidRPr="00F27C25" w:rsidRDefault="00144AE5" w:rsidP="004517AC">
      <w:pPr>
        <w:pStyle w:val="Titrearticle"/>
        <w:keepLines/>
        <w:rPr>
          <w:noProof/>
        </w:rPr>
      </w:pPr>
      <w:r w:rsidRPr="00F27C25">
        <w:rPr>
          <w:noProof/>
        </w:rPr>
        <w:t>Člen 3</w:t>
      </w:r>
    </w:p>
    <w:p w14:paraId="359DD353" w14:textId="77777777" w:rsidR="00144AE5" w:rsidRPr="00F27C25" w:rsidRDefault="00144AE5" w:rsidP="004517AC">
      <w:pPr>
        <w:jc w:val="center"/>
        <w:rPr>
          <w:b/>
          <w:bCs/>
          <w:noProof/>
        </w:rPr>
      </w:pPr>
      <w:r w:rsidRPr="00F27C25">
        <w:rPr>
          <w:noProof/>
        </w:rPr>
        <w:t>Prenos</w:t>
      </w:r>
    </w:p>
    <w:p w14:paraId="02C0D905" w14:textId="77777777" w:rsidR="00144AE5" w:rsidRPr="00F27C25" w:rsidRDefault="00144AE5" w:rsidP="004517AC">
      <w:pPr>
        <w:pStyle w:val="ManualNumPar1"/>
        <w:rPr>
          <w:noProof/>
        </w:rPr>
      </w:pPr>
      <w:r w:rsidRPr="00F27C25">
        <w:rPr>
          <w:noProof/>
        </w:rPr>
        <w:t>1.</w:t>
      </w:r>
      <w:r w:rsidRPr="00F27C25">
        <w:rPr>
          <w:noProof/>
        </w:rPr>
        <w:tab/>
        <w:t>Države članice najpozneje 18 mesecev po začetku veljavnosti te direktive sprejmejo in objavijo zakone in druge predpise, potrebne za uskladitev s to direktivo. Komisiji takoj sporočijo besedilo teh predpi</w:t>
      </w:r>
      <w:r w:rsidRPr="00F27C25">
        <w:rPr>
          <w:noProof/>
        </w:rPr>
        <w:t>sov.</w:t>
      </w:r>
    </w:p>
    <w:p w14:paraId="3B523B55" w14:textId="77777777" w:rsidR="00144AE5" w:rsidRPr="00F27C25" w:rsidRDefault="00144AE5" w:rsidP="004517AC">
      <w:pPr>
        <w:pStyle w:val="Text1"/>
        <w:rPr>
          <w:noProof/>
        </w:rPr>
      </w:pPr>
      <w:r w:rsidRPr="00F27C25">
        <w:rPr>
          <w:noProof/>
        </w:rPr>
        <w:t>Navedene predpise uporabljajo od [6 mesecev po roku za prenos].</w:t>
      </w:r>
    </w:p>
    <w:p w14:paraId="5CBAED4B" w14:textId="77777777" w:rsidR="00144AE5" w:rsidRPr="00F27C25" w:rsidRDefault="00144AE5" w:rsidP="004517AC">
      <w:pPr>
        <w:pStyle w:val="Text1"/>
        <w:rPr>
          <w:noProof/>
        </w:rPr>
      </w:pPr>
      <w:r w:rsidRPr="00F27C25">
        <w:rPr>
          <w:noProof/>
        </w:rPr>
        <w:t>Države članice se v sprejetih predpisih sklicujejo na to direktivo ali pa sklic nanjo navedejo ob njihovi uradni objavi. Način sklicevanja določijo države članice.</w:t>
      </w:r>
    </w:p>
    <w:p w14:paraId="0A2E36AF" w14:textId="77777777" w:rsidR="00144AE5" w:rsidRPr="00F27C25" w:rsidRDefault="00144AE5" w:rsidP="004517AC">
      <w:pPr>
        <w:pStyle w:val="ManualNumPar1"/>
        <w:rPr>
          <w:noProof/>
        </w:rPr>
      </w:pPr>
      <w:r w:rsidRPr="00F27C25">
        <w:rPr>
          <w:noProof/>
        </w:rPr>
        <w:t>2.</w:t>
      </w:r>
      <w:r w:rsidRPr="00F27C25">
        <w:rPr>
          <w:noProof/>
        </w:rPr>
        <w:tab/>
        <w:t xml:space="preserve">Države </w:t>
      </w:r>
      <w:r w:rsidRPr="00F27C25">
        <w:rPr>
          <w:noProof/>
        </w:rPr>
        <w:t>članice Komisiji sporočijo besedilo temeljnih predpisov nacionalnega prava, sprejetih na področju, ki ga ureja ta direktiva.</w:t>
      </w:r>
    </w:p>
    <w:p w14:paraId="29F48249" w14:textId="77777777" w:rsidR="00144AE5" w:rsidRPr="00F27C25" w:rsidRDefault="00144AE5" w:rsidP="004517AC">
      <w:pPr>
        <w:pStyle w:val="Titrearticle"/>
        <w:rPr>
          <w:noProof/>
        </w:rPr>
      </w:pPr>
      <w:r w:rsidRPr="00F27C25">
        <w:rPr>
          <w:noProof/>
        </w:rPr>
        <w:t>Člen 4</w:t>
      </w:r>
    </w:p>
    <w:p w14:paraId="2436F287" w14:textId="77777777" w:rsidR="00144AE5" w:rsidRPr="00F27C25" w:rsidRDefault="00144AE5" w:rsidP="00374FC0">
      <w:pPr>
        <w:jc w:val="center"/>
        <w:rPr>
          <w:noProof/>
        </w:rPr>
      </w:pPr>
      <w:r w:rsidRPr="00F27C25">
        <w:rPr>
          <w:noProof/>
        </w:rPr>
        <w:t>Začetek veljavnosti</w:t>
      </w:r>
    </w:p>
    <w:p w14:paraId="6B02EDDF" w14:textId="77777777" w:rsidR="00144AE5" w:rsidRPr="00F27C25" w:rsidRDefault="00144AE5" w:rsidP="004517AC">
      <w:pPr>
        <w:rPr>
          <w:noProof/>
        </w:rPr>
      </w:pPr>
      <w:r w:rsidRPr="00F27C25">
        <w:rPr>
          <w:noProof/>
        </w:rPr>
        <w:t xml:space="preserve">Ta direktiva začne veljati dvajseti dan po objavi v </w:t>
      </w:r>
      <w:r w:rsidRPr="00F27C25">
        <w:rPr>
          <w:i/>
          <w:iCs/>
          <w:noProof/>
        </w:rPr>
        <w:t>Uradnem listu Evropske unije</w:t>
      </w:r>
      <w:r w:rsidRPr="00F27C25">
        <w:rPr>
          <w:noProof/>
        </w:rPr>
        <w:t>.</w:t>
      </w:r>
    </w:p>
    <w:p w14:paraId="6A6C7321" w14:textId="77777777" w:rsidR="00144AE5" w:rsidRPr="00F27C25" w:rsidRDefault="00144AE5" w:rsidP="004517AC">
      <w:pPr>
        <w:pStyle w:val="Titrearticle"/>
        <w:rPr>
          <w:noProof/>
        </w:rPr>
      </w:pPr>
      <w:r w:rsidRPr="00F27C25">
        <w:rPr>
          <w:noProof/>
        </w:rPr>
        <w:t>Člen 5</w:t>
      </w:r>
    </w:p>
    <w:p w14:paraId="5D89A136" w14:textId="77777777" w:rsidR="00144AE5" w:rsidRPr="00F27C25" w:rsidRDefault="00144AE5" w:rsidP="00374FC0">
      <w:pPr>
        <w:jc w:val="center"/>
        <w:rPr>
          <w:noProof/>
        </w:rPr>
      </w:pPr>
      <w:r w:rsidRPr="00F27C25">
        <w:rPr>
          <w:noProof/>
        </w:rPr>
        <w:t>Naslovniki</w:t>
      </w:r>
    </w:p>
    <w:p w14:paraId="03FA87DC" w14:textId="77777777" w:rsidR="00144AE5" w:rsidRPr="00F27C25" w:rsidRDefault="00144AE5" w:rsidP="004517AC">
      <w:pPr>
        <w:keepNext/>
        <w:keepLines/>
        <w:rPr>
          <w:noProof/>
        </w:rPr>
      </w:pPr>
      <w:r w:rsidRPr="00F27C25">
        <w:rPr>
          <w:noProof/>
        </w:rPr>
        <w:t>Ta d</w:t>
      </w:r>
      <w:r w:rsidRPr="00F27C25">
        <w:rPr>
          <w:noProof/>
        </w:rPr>
        <w:t>irektiva je naslovljena na države članice.</w:t>
      </w:r>
    </w:p>
    <w:p w14:paraId="3D3AC456" w14:textId="77777777" w:rsidR="00144AE5" w:rsidRPr="00F27C25" w:rsidRDefault="00144AE5" w:rsidP="00421EB6">
      <w:pPr>
        <w:pStyle w:val="Fait"/>
        <w:rPr>
          <w:noProof/>
        </w:rPr>
      </w:pPr>
      <w:r>
        <w:rPr>
          <w:noProof/>
        </w:rPr>
        <w:t>V Bruslju,</w:t>
      </w:r>
    </w:p>
    <w:p w14:paraId="128AE0AD" w14:textId="77777777" w:rsidR="00144AE5" w:rsidRPr="00F27C25" w:rsidRDefault="00144AE5" w:rsidP="00421EB6">
      <w:pPr>
        <w:pStyle w:val="Institutionquisigne"/>
        <w:rPr>
          <w:noProof/>
        </w:rPr>
      </w:pPr>
      <w:r w:rsidRPr="00F27C25">
        <w:rPr>
          <w:noProof/>
        </w:rPr>
        <w:t>Za Evropski parlament</w:t>
      </w:r>
      <w:r w:rsidRPr="00F27C25">
        <w:rPr>
          <w:noProof/>
        </w:rPr>
        <w:tab/>
        <w:t>Za Svet</w:t>
      </w:r>
    </w:p>
    <w:p w14:paraId="74DA009F" w14:textId="77777777" w:rsidR="00144AE5" w:rsidRPr="00F27C25" w:rsidRDefault="00144AE5" w:rsidP="00415B41">
      <w:pPr>
        <w:pStyle w:val="Personnequisigne"/>
        <w:rPr>
          <w:noProof/>
        </w:rPr>
      </w:pPr>
      <w:r w:rsidRPr="00F27C25">
        <w:rPr>
          <w:noProof/>
        </w:rPr>
        <w:t>predsednica</w:t>
      </w:r>
      <w:r w:rsidRPr="00F27C25">
        <w:rPr>
          <w:noProof/>
        </w:rPr>
        <w:tab/>
        <w:t>predsednik</w:t>
      </w:r>
    </w:p>
    <w:sectPr w:rsidR="007A7827" w:rsidRPr="00F27C25" w:rsidSect="00BD50E3">
      <w:headerReference w:type="even" r:id="rId27"/>
      <w:headerReference w:type="default" r:id="rId28"/>
      <w:footerReference w:type="even" r:id="rId29"/>
      <w:footerReference w:type="default" r:id="rId30"/>
      <w:headerReference w:type="first" r:id="rId31"/>
      <w:footerReference w:type="first" r:id="rId32"/>
      <w:footnotePr>
        <w:numRestart w:val="eachSect"/>
      </w:footnote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7A56F8" w14:textId="77777777" w:rsidR="007E55FF" w:rsidRDefault="007E55FF">
      <w:r>
        <w:separator/>
      </w:r>
    </w:p>
  </w:endnote>
  <w:endnote w:type="continuationSeparator" w:id="0">
    <w:p w14:paraId="376C851E" w14:textId="77777777" w:rsidR="007E55FF" w:rsidRDefault="007E55FF">
      <w:r>
        <w: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New Roman">
    <w:altName w:val="Arial"/>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4FB06" w14:textId="77777777" w:rsidR="006E4A43" w:rsidRDefault="006E4A43">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CB41F" w14:textId="77777777" w:rsidR="00144AE5" w:rsidRDefault="00144AE5">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1BF23" w14:textId="77777777" w:rsidR="00144AE5" w:rsidRPr="00BD50E3" w:rsidRDefault="00144AE5" w:rsidP="00BD50E3">
    <w:pPr>
      <w:pStyle w:val="Footer"/>
      <w:rPr>
        <w:rFonts w:ascii="Arial" w:hAnsi="Arial" w:cs="Arial"/>
        <w:b/>
        <w:sz w:val="48"/>
      </w:rPr>
    </w:pPr>
    <w:r w:rsidRPr="00BD50E3">
      <w:rPr>
        <w:rFonts w:ascii="Arial" w:hAnsi="Arial" w:cs="Arial"/>
        <w:b/>
        <w:sz w:val="48"/>
      </w:rPr>
      <w:t>SL</w:t>
    </w:r>
    <w:r w:rsidRPr="00BD50E3">
      <w:rPr>
        <w:rFonts w:ascii="Arial" w:hAnsi="Arial" w:cs="Arial"/>
        <w:b/>
        <w:sz w:val="48"/>
      </w:rPr>
      <w:tab/>
    </w:r>
    <w:r>
      <w:fldChar w:fldCharType="begin"/>
    </w:r>
    <w:r>
      <w:instrText xml:space="preserve"> PAGE  \* MERGEFORMAT </w:instrText>
    </w:r>
    <w:r>
      <w:fldChar w:fldCharType="separate"/>
    </w:r>
    <w:r>
      <w:rPr>
        <w:noProof/>
      </w:rPr>
      <w:t>29</w:t>
    </w:r>
    <w:r>
      <w:fldChar w:fldCharType="end"/>
    </w:r>
    <w:r>
      <w:tab/>
    </w:r>
    <w:r w:rsidRPr="00BD50E3">
      <w:tab/>
    </w:r>
    <w:r w:rsidRPr="00BD50E3">
      <w:rPr>
        <w:rFonts w:ascii="Arial" w:hAnsi="Arial" w:cs="Arial"/>
        <w:b/>
        <w:sz w:val="48"/>
      </w:rPr>
      <w:t>SL</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A3E89" w14:textId="77777777" w:rsidR="00144AE5" w:rsidRDefault="00144AE5" w:rsidP="00BD50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ayout w:type="fixed"/>
      <w:tblCellMar>
        <w:left w:w="0" w:type="dxa"/>
        <w:right w:w="0" w:type="dxa"/>
      </w:tblCellMar>
      <w:tblLook w:val="01E0" w:firstRow="1" w:lastRow="1" w:firstColumn="1" w:lastColumn="1" w:noHBand="0" w:noVBand="0"/>
    </w:tblPr>
    <w:tblGrid>
      <w:gridCol w:w="3421"/>
      <w:gridCol w:w="1400"/>
      <w:gridCol w:w="1205"/>
      <w:gridCol w:w="200"/>
      <w:gridCol w:w="1430"/>
      <w:gridCol w:w="848"/>
      <w:gridCol w:w="1135"/>
    </w:tblGrid>
    <w:tr w:rsidR="006E4A43" w:rsidRPr="00D94637" w14:paraId="6357698D" w14:textId="77777777" w:rsidTr="006E4A43">
      <w:trPr>
        <w:jc w:val="center"/>
      </w:trPr>
      <w:tc>
        <w:tcPr>
          <w:tcW w:w="5000" w:type="pct"/>
          <w:gridSpan w:val="7"/>
          <w:shd w:val="clear" w:color="auto" w:fill="auto"/>
          <w:tcMar>
            <w:top w:w="57" w:type="dxa"/>
          </w:tcMar>
        </w:tcPr>
        <w:p w14:paraId="6D61FDED" w14:textId="77777777" w:rsidR="006E4A43" w:rsidRPr="00D94637" w:rsidRDefault="006E4A43" w:rsidP="00D94637">
          <w:pPr>
            <w:pStyle w:val="FooterText"/>
            <w:pBdr>
              <w:top w:val="single" w:sz="4" w:space="1" w:color="auto"/>
            </w:pBdr>
            <w:spacing w:before="200"/>
            <w:rPr>
              <w:sz w:val="2"/>
              <w:szCs w:val="2"/>
            </w:rPr>
          </w:pPr>
          <w:bookmarkStart w:id="1" w:name="FOOTER_STANDARD"/>
        </w:p>
      </w:tc>
    </w:tr>
    <w:tr w:rsidR="006E4A43" w:rsidRPr="00B310DC" w14:paraId="438E7756" w14:textId="77777777" w:rsidTr="006E4A43">
      <w:trPr>
        <w:jc w:val="center"/>
      </w:trPr>
      <w:tc>
        <w:tcPr>
          <w:tcW w:w="2500" w:type="pct"/>
          <w:gridSpan w:val="2"/>
          <w:shd w:val="clear" w:color="auto" w:fill="auto"/>
          <w:tcMar>
            <w:top w:w="0" w:type="dxa"/>
          </w:tcMar>
        </w:tcPr>
        <w:p w14:paraId="2B793B30" w14:textId="6220F53E" w:rsidR="006E4A43" w:rsidRPr="00AD7BF2" w:rsidRDefault="006E4A43" w:rsidP="004F54B2">
          <w:pPr>
            <w:pStyle w:val="FooterText"/>
          </w:pPr>
          <w:r>
            <w:t>16338/23</w:t>
          </w:r>
          <w:r w:rsidRPr="002511D8">
            <w:t xml:space="preserve"> </w:t>
          </w:r>
        </w:p>
      </w:tc>
      <w:tc>
        <w:tcPr>
          <w:tcW w:w="625" w:type="pct"/>
          <w:shd w:val="clear" w:color="auto" w:fill="auto"/>
          <w:tcMar>
            <w:top w:w="0" w:type="dxa"/>
          </w:tcMar>
        </w:tcPr>
        <w:p w14:paraId="64E068AB" w14:textId="77777777" w:rsidR="006E4A43" w:rsidRPr="00AD7BF2" w:rsidRDefault="006E4A43" w:rsidP="00D94637">
          <w:pPr>
            <w:pStyle w:val="FooterText"/>
            <w:jc w:val="center"/>
          </w:pPr>
        </w:p>
      </w:tc>
      <w:tc>
        <w:tcPr>
          <w:tcW w:w="1286" w:type="pct"/>
          <w:gridSpan w:val="3"/>
          <w:shd w:val="clear" w:color="auto" w:fill="auto"/>
          <w:tcMar>
            <w:top w:w="0" w:type="dxa"/>
          </w:tcMar>
        </w:tcPr>
        <w:p w14:paraId="101C45DC" w14:textId="7379201A" w:rsidR="006E4A43" w:rsidRPr="002511D8" w:rsidRDefault="006E4A43" w:rsidP="00D94637">
          <w:pPr>
            <w:pStyle w:val="FooterText"/>
            <w:jc w:val="center"/>
          </w:pPr>
          <w:r>
            <w:t>med</w:t>
          </w:r>
        </w:p>
      </w:tc>
      <w:tc>
        <w:tcPr>
          <w:tcW w:w="589" w:type="pct"/>
          <w:shd w:val="clear" w:color="auto" w:fill="auto"/>
          <w:tcMar>
            <w:top w:w="0" w:type="dxa"/>
          </w:tcMar>
        </w:tcPr>
        <w:p w14:paraId="27B0C551" w14:textId="180369E2" w:rsidR="006E4A43" w:rsidRPr="00B310DC" w:rsidRDefault="006E4A43" w:rsidP="00D94637">
          <w:pPr>
            <w:pStyle w:val="FooterText"/>
            <w:jc w:val="right"/>
          </w:pPr>
          <w:r>
            <w:fldChar w:fldCharType="begin"/>
          </w:r>
          <w:r>
            <w:instrText xml:space="preserve"> PAGE  \* MERGEFORMAT </w:instrText>
          </w:r>
          <w:r>
            <w:fldChar w:fldCharType="separate"/>
          </w:r>
          <w:r>
            <w:rPr>
              <w:noProof/>
            </w:rPr>
            <w:t>0</w:t>
          </w:r>
          <w:r>
            <w:fldChar w:fldCharType="end"/>
          </w:r>
        </w:p>
      </w:tc>
    </w:tr>
    <w:tr w:rsidR="006E4A43" w:rsidRPr="00D94637" w14:paraId="04CBA097" w14:textId="77777777" w:rsidTr="006E4A43">
      <w:trPr>
        <w:jc w:val="center"/>
      </w:trPr>
      <w:tc>
        <w:tcPr>
          <w:tcW w:w="1774" w:type="pct"/>
          <w:shd w:val="clear" w:color="auto" w:fill="auto"/>
        </w:tcPr>
        <w:p w14:paraId="4B84FFF3" w14:textId="02C8CBF8" w:rsidR="006E4A43" w:rsidRPr="00AD7BF2" w:rsidRDefault="006E4A43" w:rsidP="00D94637">
          <w:pPr>
            <w:pStyle w:val="FooterText"/>
            <w:spacing w:before="40"/>
          </w:pPr>
        </w:p>
      </w:tc>
      <w:tc>
        <w:tcPr>
          <w:tcW w:w="1455" w:type="pct"/>
          <w:gridSpan w:val="3"/>
          <w:shd w:val="clear" w:color="auto" w:fill="auto"/>
        </w:tcPr>
        <w:p w14:paraId="485BE1B9" w14:textId="7A88BE29" w:rsidR="006E4A43" w:rsidRPr="00AD7BF2" w:rsidRDefault="006E4A43" w:rsidP="00D204D6">
          <w:pPr>
            <w:pStyle w:val="FooterText"/>
            <w:spacing w:before="40"/>
            <w:jc w:val="center"/>
          </w:pPr>
          <w:r>
            <w:t>COMPET.2</w:t>
          </w:r>
        </w:p>
      </w:tc>
      <w:tc>
        <w:tcPr>
          <w:tcW w:w="742" w:type="pct"/>
          <w:shd w:val="clear" w:color="auto" w:fill="auto"/>
        </w:tcPr>
        <w:p w14:paraId="07EF44E3" w14:textId="7BF2E83E" w:rsidR="006E4A43" w:rsidRPr="00D94637" w:rsidRDefault="006E4A43" w:rsidP="002F0099">
          <w:pPr>
            <w:pStyle w:val="FooterText"/>
            <w:jc w:val="center"/>
            <w:rPr>
              <w:b/>
              <w:position w:val="-4"/>
              <w:sz w:val="36"/>
            </w:rPr>
          </w:pPr>
        </w:p>
      </w:tc>
      <w:tc>
        <w:tcPr>
          <w:tcW w:w="1029" w:type="pct"/>
          <w:gridSpan w:val="2"/>
          <w:shd w:val="clear" w:color="auto" w:fill="auto"/>
        </w:tcPr>
        <w:p w14:paraId="0132614E" w14:textId="41FCA9DA" w:rsidR="006E4A43" w:rsidRPr="00695BAF" w:rsidRDefault="006E4A43" w:rsidP="00D94637">
          <w:pPr>
            <w:pStyle w:val="FooterText"/>
            <w:jc w:val="right"/>
            <w:rPr>
              <w:caps/>
              <w:spacing w:val="-20"/>
              <w:sz w:val="16"/>
            </w:rPr>
          </w:pPr>
          <w:r>
            <w:rPr>
              <w:b/>
              <w:caps/>
              <w:spacing w:val="-20"/>
              <w:position w:val="-4"/>
              <w:sz w:val="36"/>
            </w:rPr>
            <w:t>SL</w:t>
          </w:r>
        </w:p>
      </w:tc>
    </w:tr>
    <w:bookmarkEnd w:id="1"/>
  </w:tbl>
  <w:p w14:paraId="12C85361" w14:textId="77777777" w:rsidR="005F1957" w:rsidRPr="006E4A43" w:rsidRDefault="005F1957" w:rsidP="006E4A43">
    <w:pPr>
      <w:pStyle w:val="FooterCouncil"/>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ayout w:type="fixed"/>
      <w:tblCellMar>
        <w:left w:w="0" w:type="dxa"/>
        <w:right w:w="0" w:type="dxa"/>
      </w:tblCellMar>
      <w:tblLook w:val="01E0" w:firstRow="1" w:lastRow="1" w:firstColumn="1" w:lastColumn="1" w:noHBand="0" w:noVBand="0"/>
    </w:tblPr>
    <w:tblGrid>
      <w:gridCol w:w="3421"/>
      <w:gridCol w:w="1400"/>
      <w:gridCol w:w="1205"/>
      <w:gridCol w:w="200"/>
      <w:gridCol w:w="1430"/>
      <w:gridCol w:w="848"/>
      <w:gridCol w:w="1135"/>
    </w:tblGrid>
    <w:tr w:rsidR="006E4A43" w:rsidRPr="00D94637" w14:paraId="7D312079" w14:textId="77777777" w:rsidTr="006E4A43">
      <w:trPr>
        <w:jc w:val="center"/>
      </w:trPr>
      <w:tc>
        <w:tcPr>
          <w:tcW w:w="5000" w:type="pct"/>
          <w:gridSpan w:val="7"/>
          <w:shd w:val="clear" w:color="auto" w:fill="auto"/>
          <w:tcMar>
            <w:top w:w="57" w:type="dxa"/>
          </w:tcMar>
        </w:tcPr>
        <w:p w14:paraId="12A5C988" w14:textId="77777777" w:rsidR="006E4A43" w:rsidRPr="00D94637" w:rsidRDefault="006E4A43" w:rsidP="00D94637">
          <w:pPr>
            <w:pStyle w:val="FooterText"/>
            <w:pBdr>
              <w:top w:val="single" w:sz="4" w:space="1" w:color="auto"/>
            </w:pBdr>
            <w:spacing w:before="200"/>
            <w:rPr>
              <w:sz w:val="2"/>
              <w:szCs w:val="2"/>
            </w:rPr>
          </w:pPr>
        </w:p>
      </w:tc>
    </w:tr>
    <w:tr w:rsidR="006E4A43" w:rsidRPr="00B310DC" w14:paraId="362E9A68" w14:textId="77777777" w:rsidTr="006E4A43">
      <w:trPr>
        <w:jc w:val="center"/>
      </w:trPr>
      <w:tc>
        <w:tcPr>
          <w:tcW w:w="2500" w:type="pct"/>
          <w:gridSpan w:val="2"/>
          <w:shd w:val="clear" w:color="auto" w:fill="auto"/>
          <w:tcMar>
            <w:top w:w="0" w:type="dxa"/>
          </w:tcMar>
        </w:tcPr>
        <w:p w14:paraId="60B7B964" w14:textId="1D353AF5" w:rsidR="006E4A43" w:rsidRPr="00AD7BF2" w:rsidRDefault="006E4A43" w:rsidP="004F54B2">
          <w:pPr>
            <w:pStyle w:val="FooterText"/>
          </w:pPr>
          <w:r>
            <w:t>16338/23</w:t>
          </w:r>
          <w:r w:rsidRPr="002511D8">
            <w:t xml:space="preserve"> </w:t>
          </w:r>
        </w:p>
      </w:tc>
      <w:tc>
        <w:tcPr>
          <w:tcW w:w="625" w:type="pct"/>
          <w:shd w:val="clear" w:color="auto" w:fill="auto"/>
          <w:tcMar>
            <w:top w:w="0" w:type="dxa"/>
          </w:tcMar>
        </w:tcPr>
        <w:p w14:paraId="03501FDA" w14:textId="77777777" w:rsidR="006E4A43" w:rsidRPr="00AD7BF2" w:rsidRDefault="006E4A43" w:rsidP="00D94637">
          <w:pPr>
            <w:pStyle w:val="FooterText"/>
            <w:jc w:val="center"/>
          </w:pPr>
        </w:p>
      </w:tc>
      <w:tc>
        <w:tcPr>
          <w:tcW w:w="1286" w:type="pct"/>
          <w:gridSpan w:val="3"/>
          <w:shd w:val="clear" w:color="auto" w:fill="auto"/>
          <w:tcMar>
            <w:top w:w="0" w:type="dxa"/>
          </w:tcMar>
        </w:tcPr>
        <w:p w14:paraId="33E29E9A" w14:textId="2F8030F5" w:rsidR="006E4A43" w:rsidRPr="002511D8" w:rsidRDefault="006E4A43" w:rsidP="00D94637">
          <w:pPr>
            <w:pStyle w:val="FooterText"/>
            <w:jc w:val="center"/>
          </w:pPr>
          <w:r>
            <w:t>med</w:t>
          </w:r>
        </w:p>
      </w:tc>
      <w:tc>
        <w:tcPr>
          <w:tcW w:w="589" w:type="pct"/>
          <w:shd w:val="clear" w:color="auto" w:fill="auto"/>
          <w:tcMar>
            <w:top w:w="0" w:type="dxa"/>
          </w:tcMar>
        </w:tcPr>
        <w:p w14:paraId="17EB3A77" w14:textId="46EFE447" w:rsidR="006E4A43" w:rsidRPr="00B310DC" w:rsidRDefault="006E4A43" w:rsidP="00D94637">
          <w:pPr>
            <w:pStyle w:val="FooterText"/>
            <w:jc w:val="right"/>
          </w:pPr>
        </w:p>
      </w:tc>
    </w:tr>
    <w:tr w:rsidR="006E4A43" w:rsidRPr="00D94637" w14:paraId="3A8B0EF2" w14:textId="77777777" w:rsidTr="006E4A43">
      <w:trPr>
        <w:jc w:val="center"/>
      </w:trPr>
      <w:tc>
        <w:tcPr>
          <w:tcW w:w="1774" w:type="pct"/>
          <w:shd w:val="clear" w:color="auto" w:fill="auto"/>
        </w:tcPr>
        <w:p w14:paraId="34E663F2" w14:textId="6FDA8B61" w:rsidR="006E4A43" w:rsidRPr="00AD7BF2" w:rsidRDefault="006E4A43" w:rsidP="00D94637">
          <w:pPr>
            <w:pStyle w:val="FooterText"/>
            <w:spacing w:before="40"/>
          </w:pPr>
        </w:p>
      </w:tc>
      <w:tc>
        <w:tcPr>
          <w:tcW w:w="1455" w:type="pct"/>
          <w:gridSpan w:val="3"/>
          <w:shd w:val="clear" w:color="auto" w:fill="auto"/>
        </w:tcPr>
        <w:p w14:paraId="0594FE6E" w14:textId="62D24C1C" w:rsidR="006E4A43" w:rsidRPr="00AD7BF2" w:rsidRDefault="006E4A43" w:rsidP="00D204D6">
          <w:pPr>
            <w:pStyle w:val="FooterText"/>
            <w:spacing w:before="40"/>
            <w:jc w:val="center"/>
          </w:pPr>
          <w:r>
            <w:t>COMPET.2</w:t>
          </w:r>
        </w:p>
      </w:tc>
      <w:tc>
        <w:tcPr>
          <w:tcW w:w="742" w:type="pct"/>
          <w:shd w:val="clear" w:color="auto" w:fill="auto"/>
        </w:tcPr>
        <w:p w14:paraId="3FF16853" w14:textId="463B4BD8" w:rsidR="006E4A43" w:rsidRPr="00D94637" w:rsidRDefault="006E4A43" w:rsidP="002F0099">
          <w:pPr>
            <w:pStyle w:val="FooterText"/>
            <w:jc w:val="center"/>
            <w:rPr>
              <w:b/>
              <w:position w:val="-4"/>
              <w:sz w:val="36"/>
            </w:rPr>
          </w:pPr>
        </w:p>
      </w:tc>
      <w:tc>
        <w:tcPr>
          <w:tcW w:w="1029" w:type="pct"/>
          <w:gridSpan w:val="2"/>
          <w:shd w:val="clear" w:color="auto" w:fill="auto"/>
        </w:tcPr>
        <w:p w14:paraId="2B3C11FE" w14:textId="76C92F74" w:rsidR="006E4A43" w:rsidRPr="00695BAF" w:rsidRDefault="006E4A43" w:rsidP="00D94637">
          <w:pPr>
            <w:pStyle w:val="FooterText"/>
            <w:jc w:val="right"/>
            <w:rPr>
              <w:caps/>
              <w:spacing w:val="-20"/>
              <w:sz w:val="16"/>
            </w:rPr>
          </w:pPr>
          <w:r>
            <w:rPr>
              <w:b/>
              <w:caps/>
              <w:spacing w:val="-20"/>
              <w:position w:val="-4"/>
              <w:sz w:val="36"/>
            </w:rPr>
            <w:t>SL</w:t>
          </w:r>
        </w:p>
      </w:tc>
    </w:tr>
  </w:tbl>
  <w:p w14:paraId="285FABB7" w14:textId="77777777" w:rsidR="005F1957" w:rsidRPr="006E4A43" w:rsidRDefault="005F1957" w:rsidP="006E4A43">
    <w:pPr>
      <w:pStyle w:val="FooterCouncil"/>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FAEC8" w14:textId="77777777" w:rsidR="00144AE5" w:rsidRPr="00BD50E3" w:rsidRDefault="00144AE5" w:rsidP="00BD50E3">
    <w:pPr>
      <w:pStyle w:val="Footer"/>
      <w:rPr>
        <w:rFonts w:ascii="Arial" w:hAnsi="Arial" w:cs="Arial"/>
        <w:b/>
        <w:sz w:val="48"/>
      </w:rPr>
    </w:pPr>
    <w:r w:rsidRPr="00BD50E3">
      <w:rPr>
        <w:rFonts w:ascii="Arial" w:hAnsi="Arial" w:cs="Arial"/>
        <w:b/>
        <w:sz w:val="48"/>
      </w:rPr>
      <w:t>SL</w:t>
    </w:r>
    <w:r w:rsidRPr="00BD50E3">
      <w:rPr>
        <w:rFonts w:ascii="Arial" w:hAnsi="Arial" w:cs="Arial"/>
        <w:b/>
        <w:sz w:val="48"/>
      </w:rPr>
      <w:tab/>
    </w:r>
    <w:r w:rsidRPr="00BD50E3">
      <w:rPr>
        <w:rFonts w:ascii="Arial" w:hAnsi="Arial" w:cs="Arial"/>
        <w:b/>
        <w:sz w:val="48"/>
      </w:rPr>
      <w:tab/>
    </w:r>
    <w:r w:rsidRPr="00BD50E3">
      <w:tab/>
    </w:r>
    <w:r w:rsidRPr="00BD50E3">
      <w:rPr>
        <w:rFonts w:ascii="Arial" w:hAnsi="Arial" w:cs="Arial"/>
        <w:b/>
        <w:sz w:val="48"/>
      </w:rPr>
      <w:t>SL</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D7B2B" w14:textId="77777777" w:rsidR="00144AE5" w:rsidRPr="00BD50E3" w:rsidRDefault="00144AE5" w:rsidP="00BD50E3">
    <w:pPr>
      <w:pStyle w:val="Footer"/>
      <w:rPr>
        <w:rFonts w:ascii="Arial" w:hAnsi="Arial" w:cs="Arial"/>
        <w:b/>
        <w:sz w:val="48"/>
      </w:rPr>
    </w:pPr>
    <w:r w:rsidRPr="00BD50E3">
      <w:rPr>
        <w:rFonts w:ascii="Arial" w:hAnsi="Arial" w:cs="Arial"/>
        <w:b/>
        <w:sz w:val="48"/>
      </w:rPr>
      <w:t>SL</w:t>
    </w:r>
    <w:r w:rsidRPr="00BD50E3">
      <w:rPr>
        <w:rFonts w:ascii="Arial" w:hAnsi="Arial" w:cs="Arial"/>
        <w:b/>
        <w:sz w:val="48"/>
      </w:rPr>
      <w:tab/>
    </w:r>
    <w:r w:rsidRPr="00BD50E3">
      <w:rPr>
        <w:rFonts w:ascii="Arial" w:hAnsi="Arial" w:cs="Arial"/>
        <w:b/>
        <w:sz w:val="48"/>
      </w:rPr>
      <w:tab/>
    </w:r>
    <w:r w:rsidRPr="00BD50E3">
      <w:tab/>
    </w:r>
    <w:r w:rsidRPr="00BD50E3">
      <w:rPr>
        <w:rFonts w:ascii="Arial" w:hAnsi="Arial" w:cs="Arial"/>
        <w:b/>
        <w:sz w:val="48"/>
      </w:rPr>
      <w:t>SL</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931E2" w14:textId="77777777" w:rsidR="00144AE5" w:rsidRPr="00BD50E3" w:rsidRDefault="00144AE5" w:rsidP="00BD50E3">
    <w:pPr>
      <w:pStyle w:val="Footer"/>
      <w:rPr>
        <w:rFonts w:ascii="Arial" w:hAnsi="Arial" w:cs="Arial"/>
        <w:b/>
        <w:sz w:val="48"/>
      </w:rPr>
    </w:pPr>
    <w:r w:rsidRPr="00BD50E3">
      <w:rPr>
        <w:rFonts w:ascii="Arial" w:hAnsi="Arial" w:cs="Arial"/>
        <w:b/>
        <w:sz w:val="48"/>
      </w:rPr>
      <w:t>SL</w:t>
    </w:r>
    <w:r w:rsidRPr="00BD50E3">
      <w:rPr>
        <w:rFonts w:ascii="Arial" w:hAnsi="Arial" w:cs="Arial"/>
        <w:b/>
        <w:sz w:val="48"/>
      </w:rPr>
      <w:tab/>
    </w:r>
    <w:r w:rsidRPr="00BD50E3">
      <w:rPr>
        <w:rFonts w:ascii="Arial" w:hAnsi="Arial" w:cs="Arial"/>
        <w:b/>
        <w:sz w:val="48"/>
      </w:rPr>
      <w:tab/>
    </w:r>
    <w:r w:rsidRPr="00BD50E3">
      <w:tab/>
    </w:r>
    <w:r w:rsidRPr="00BD50E3">
      <w:rPr>
        <w:rFonts w:ascii="Arial" w:hAnsi="Arial" w:cs="Arial"/>
        <w:b/>
        <w:sz w:val="48"/>
      </w:rPr>
      <w:t>SL</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2C4FF" w14:textId="77777777" w:rsidR="00144AE5" w:rsidRDefault="00144AE5">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38B8D" w14:textId="77777777" w:rsidR="00144AE5" w:rsidRPr="00BD50E3" w:rsidRDefault="00144AE5" w:rsidP="00BD50E3">
    <w:pPr>
      <w:pStyle w:val="Footer"/>
      <w:rPr>
        <w:rFonts w:ascii="Arial" w:hAnsi="Arial" w:cs="Arial"/>
        <w:b/>
        <w:sz w:val="48"/>
      </w:rPr>
    </w:pPr>
    <w:r w:rsidRPr="00BD50E3">
      <w:rPr>
        <w:rFonts w:ascii="Arial" w:hAnsi="Arial" w:cs="Arial"/>
        <w:b/>
        <w:sz w:val="48"/>
      </w:rPr>
      <w:t>SL</w:t>
    </w:r>
    <w:r w:rsidRPr="00BD50E3">
      <w:rPr>
        <w:rFonts w:ascii="Arial" w:hAnsi="Arial" w:cs="Arial"/>
        <w:b/>
        <w:sz w:val="48"/>
      </w:rPr>
      <w:tab/>
    </w:r>
    <w:r>
      <w:fldChar w:fldCharType="begin"/>
    </w:r>
    <w:r>
      <w:instrText xml:space="preserve"> PAGE  \* MERGEFORMAT </w:instrText>
    </w:r>
    <w:r>
      <w:fldChar w:fldCharType="separate"/>
    </w:r>
    <w:r>
      <w:rPr>
        <w:noProof/>
      </w:rPr>
      <w:t>29</w:t>
    </w:r>
    <w:r>
      <w:fldChar w:fldCharType="end"/>
    </w:r>
    <w:r>
      <w:tab/>
    </w:r>
    <w:r w:rsidRPr="00BD50E3">
      <w:tab/>
    </w:r>
    <w:r w:rsidRPr="00BD50E3">
      <w:rPr>
        <w:rFonts w:ascii="Arial" w:hAnsi="Arial" w:cs="Arial"/>
        <w:b/>
        <w:sz w:val="48"/>
      </w:rPr>
      <w:t>SL</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88A8F" w14:textId="77777777" w:rsidR="00144AE5" w:rsidRDefault="00144AE5" w:rsidP="00BD50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06E1E1" w14:textId="77777777" w:rsidR="00144AE5" w:rsidRDefault="00144AE5" w:rsidP="003456E8">
      <w:pPr>
        <w:spacing w:before="0" w:after="0"/>
      </w:pPr>
      <w:r>
        <w:separator/>
      </w:r>
    </w:p>
  </w:footnote>
  <w:footnote w:type="continuationSeparator" w:id="0">
    <w:p w14:paraId="67770AB8" w14:textId="77777777" w:rsidR="00144AE5" w:rsidRDefault="00144AE5" w:rsidP="003456E8">
      <w:pPr>
        <w:spacing w:before="0" w:after="0"/>
      </w:pPr>
      <w:r>
        <w:continuationSeparator/>
      </w:r>
    </w:p>
  </w:footnote>
  <w:footnote w:type="continuationNotice" w:id="1">
    <w:p w14:paraId="0F2710B2" w14:textId="77777777" w:rsidR="00144AE5" w:rsidRDefault="00144AE5">
      <w:pPr>
        <w:spacing w:before="0" w:after="0"/>
      </w:pPr>
    </w:p>
  </w:footnote>
  <w:footnote w:id="2">
    <w:p w14:paraId="635F5266" w14:textId="77777777" w:rsidR="00144AE5" w:rsidRPr="00C44243" w:rsidRDefault="00144AE5" w:rsidP="00040787">
      <w:pPr>
        <w:pStyle w:val="FootnoteText"/>
        <w:ind w:left="142" w:hanging="142"/>
      </w:pPr>
      <w:r>
        <w:rPr>
          <w:rStyle w:val="FootnoteReference"/>
        </w:rPr>
        <w:footnoteRef/>
      </w:r>
      <w:r>
        <w:tab/>
      </w:r>
      <w:hyperlink r:id="rId1" w:history="1">
        <w:r>
          <w:rPr>
            <w:rStyle w:val="Hyperlink"/>
          </w:rPr>
          <w:t>https://ec.europa.eu/eurostat/statistics-explained/index.php?title=Tourism_industries_-_economic_analysis</w:t>
        </w:r>
      </w:hyperlink>
    </w:p>
  </w:footnote>
  <w:footnote w:id="3">
    <w:p w14:paraId="5AE8F030" w14:textId="77777777" w:rsidR="00144AE5" w:rsidRPr="006E4A43" w:rsidRDefault="00144AE5" w:rsidP="00040787">
      <w:pPr>
        <w:pStyle w:val="FootnoteText"/>
        <w:ind w:left="142" w:hanging="142"/>
      </w:pPr>
      <w:r>
        <w:rPr>
          <w:rStyle w:val="FootnoteReference"/>
        </w:rPr>
        <w:footnoteRef/>
      </w:r>
      <w:r>
        <w:tab/>
        <w:t>Direktiva (EU) 2015/2302 Evropskega parlamenta in Sveta z dne 25. novembra 2015 o paketnih potovanjih in povezanih potovalnih aranžmajih, spremembi Uredbe (ES) št. 2006/2004 in Direktive 2011/83/EU Evropskega parlamenta in Sveta ter razveljavitvi Dir</w:t>
      </w:r>
      <w:r>
        <w:t xml:space="preserve">ektive Sveta 90/314/EGS (UL L 326, 11.12.2015, str. 1). </w:t>
      </w:r>
      <w:r w:rsidRPr="006E4A43">
        <w:t>Vsi sklici na posamezne člene Direktive so sklici na direktivo iz leta 2015.</w:t>
      </w:r>
    </w:p>
  </w:footnote>
  <w:footnote w:id="4">
    <w:p w14:paraId="3553592D" w14:textId="77777777" w:rsidR="00144AE5" w:rsidRPr="006E4A43" w:rsidRDefault="00144AE5" w:rsidP="00040787">
      <w:pPr>
        <w:pStyle w:val="FootnoteText"/>
        <w:ind w:left="142" w:hanging="142"/>
      </w:pPr>
      <w:r>
        <w:rPr>
          <w:rStyle w:val="FootnoteReference"/>
        </w:rPr>
        <w:footnoteRef/>
      </w:r>
      <w:r w:rsidRPr="006E4A43">
        <w:tab/>
      </w:r>
      <w:r w:rsidRPr="006E4A43">
        <w:rPr>
          <w:color w:val="333333"/>
          <w:shd w:val="clear" w:color="auto" w:fill="FFFFFF"/>
        </w:rPr>
        <w:t>Direktiva Sveta 90/314/EGS z dne 13. junija 1990 o paketnem potovanju, organiziranih počitnicah in izletih (UL L 158, 23.</w:t>
      </w:r>
      <w:r w:rsidRPr="006E4A43">
        <w:rPr>
          <w:color w:val="333333"/>
          <w:shd w:val="clear" w:color="auto" w:fill="FFFFFF"/>
        </w:rPr>
        <w:t>6.1990, str. 59).</w:t>
      </w:r>
    </w:p>
  </w:footnote>
  <w:footnote w:id="5">
    <w:p w14:paraId="5990D0DD" w14:textId="77777777" w:rsidR="00144AE5" w:rsidRPr="00E96461" w:rsidRDefault="00144AE5" w:rsidP="00040787">
      <w:pPr>
        <w:pStyle w:val="NormalWeb"/>
        <w:shd w:val="clear" w:color="auto" w:fill="FFFFFF"/>
        <w:spacing w:before="0" w:beforeAutospacing="0" w:after="75" w:afterAutospacing="0"/>
        <w:ind w:left="142" w:hanging="142"/>
        <w:rPr>
          <w:color w:val="333333"/>
          <w:sz w:val="20"/>
          <w:szCs w:val="20"/>
        </w:rPr>
      </w:pPr>
      <w:r>
        <w:rPr>
          <w:rStyle w:val="FootnoteReference"/>
        </w:rPr>
        <w:footnoteRef/>
      </w:r>
      <w:r>
        <w:rPr>
          <w:sz w:val="20"/>
        </w:rPr>
        <w:tab/>
      </w:r>
      <w:r>
        <w:rPr>
          <w:color w:val="333333"/>
          <w:sz w:val="20"/>
        </w:rPr>
        <w:t>Priporočilo Komisije (EU) 2020/648 z dne 13. maja 2020 o dobropisih, ki se ponudijo potnikom kot druga možnost namesto povračila za odpovedana paketna potovanja in prevozne storitve v zvezi s pandemijo COVID-19 (</w:t>
      </w:r>
      <w:r>
        <w:rPr>
          <w:rStyle w:val="Emphasis"/>
          <w:i w:val="0"/>
          <w:color w:val="333333"/>
          <w:sz w:val="20"/>
        </w:rPr>
        <w:t xml:space="preserve">UL L 151, </w:t>
      </w:r>
      <w:r>
        <w:rPr>
          <w:rStyle w:val="Emphasis"/>
          <w:i w:val="0"/>
          <w:color w:val="333333"/>
          <w:sz w:val="20"/>
        </w:rPr>
        <w:t>14.5.2020, str. 10).</w:t>
      </w:r>
    </w:p>
    <w:p w14:paraId="23A98CFF" w14:textId="77777777" w:rsidR="00144AE5" w:rsidRPr="006E4A43" w:rsidRDefault="00144AE5" w:rsidP="00040787">
      <w:pPr>
        <w:pStyle w:val="FootnoteText"/>
      </w:pPr>
    </w:p>
  </w:footnote>
  <w:footnote w:id="6">
    <w:p w14:paraId="3A92DCE4" w14:textId="77777777" w:rsidR="00144AE5" w:rsidRPr="006E4A43" w:rsidRDefault="00144AE5" w:rsidP="00040787">
      <w:pPr>
        <w:pStyle w:val="FootnoteText"/>
        <w:ind w:left="142" w:hanging="142"/>
      </w:pPr>
      <w:r>
        <w:rPr>
          <w:rStyle w:val="FootnoteReference"/>
        </w:rPr>
        <w:footnoteRef/>
      </w:r>
      <w:r w:rsidRPr="006E4A43">
        <w:tab/>
        <w:t xml:space="preserve">Poročilo o uporabi Direktive (EU) 2015/2302 Evropskega parlamenta in Sveta o paketnih potovanjih in povezanih potovalnih aranžmajih (COM(2021) 90 final), </w:t>
      </w:r>
      <w:hyperlink r:id="rId2" w:history="1">
        <w:r w:rsidRPr="006E4A43">
          <w:rPr>
            <w:rStyle w:val="Hyperlink"/>
          </w:rPr>
          <w:t>https://eur-lex.europa.eu/legal-content/SL/TXT/?uri=COM%3A2021%3A90%3AFIN</w:t>
        </w:r>
      </w:hyperlink>
      <w:r w:rsidRPr="006E4A43">
        <w:t>.</w:t>
      </w:r>
    </w:p>
  </w:footnote>
  <w:footnote w:id="7">
    <w:p w14:paraId="2F30F0E5" w14:textId="77777777" w:rsidR="00144AE5" w:rsidRPr="006E4A43" w:rsidRDefault="00144AE5" w:rsidP="00040787">
      <w:pPr>
        <w:pStyle w:val="FootnoteText"/>
        <w:ind w:left="142" w:hanging="142"/>
      </w:pPr>
      <w:r>
        <w:rPr>
          <w:rStyle w:val="FootnoteReference"/>
        </w:rPr>
        <w:footnoteRef/>
      </w:r>
      <w:r w:rsidRPr="006E4A43">
        <w:tab/>
        <w:t>Posebno poročilo št. 15/2021: Pravice letalskih potnikov med pandemijo COVID-19: varstvo ključnih pravic kljub prizadevanjem Komisije</w:t>
      </w:r>
      <w:r w:rsidRPr="006E4A43">
        <w:t xml:space="preserve"> ni bilo zagotovljeno, </w:t>
      </w:r>
      <w:hyperlink r:id="rId3" w:history="1">
        <w:r w:rsidRPr="006E4A43">
          <w:rPr>
            <w:rStyle w:val="Hyperlink"/>
          </w:rPr>
          <w:t>https://www.eca.europa.eu/Lists/ECADocuments/SR21_15/SR_passenger-rights_covid_SL.pdf</w:t>
        </w:r>
      </w:hyperlink>
      <w:r w:rsidRPr="006E4A43">
        <w:t>.</w:t>
      </w:r>
    </w:p>
  </w:footnote>
  <w:footnote w:id="8">
    <w:p w14:paraId="03964169" w14:textId="77777777" w:rsidR="00144AE5" w:rsidRPr="006E4A43" w:rsidRDefault="00144AE5" w:rsidP="00040787">
      <w:pPr>
        <w:pStyle w:val="FootnoteText"/>
        <w:ind w:left="142" w:hanging="142"/>
      </w:pPr>
      <w:r>
        <w:rPr>
          <w:rStyle w:val="FootnoteReference"/>
        </w:rPr>
        <w:footnoteRef/>
      </w:r>
      <w:r w:rsidRPr="006E4A43">
        <w:tab/>
      </w:r>
      <w:hyperlink r:id="rId4" w:anchor="adoptedopinions2022" w:history="1">
        <w:r w:rsidRPr="006E4A43">
          <w:rPr>
            <w:rStyle w:val="Hyperlink"/>
          </w:rPr>
          <w:t>https://commission.europa.eu/law/l</w:t>
        </w:r>
        <w:r w:rsidRPr="006E4A43">
          <w:rPr>
            <w:rStyle w:val="Hyperlink"/>
          </w:rPr>
          <w:t>aw-making-process/evaluating-and-improving-existing-laws/refit-making-eu-law-simpler-less-costly-and-future-proof/fit-future-platform-f4f/adopted-opinions_en#adoptedopinions2022</w:t>
        </w:r>
      </w:hyperlink>
    </w:p>
  </w:footnote>
  <w:footnote w:id="9">
    <w:p w14:paraId="3657FFCF" w14:textId="77777777" w:rsidR="00144AE5" w:rsidRPr="00F27C25" w:rsidRDefault="00144AE5" w:rsidP="00040787">
      <w:pPr>
        <w:pStyle w:val="FootnoteText"/>
        <w:ind w:left="142" w:hanging="142"/>
        <w:rPr>
          <w:lang w:val="pt-PT"/>
        </w:rPr>
      </w:pPr>
      <w:r>
        <w:rPr>
          <w:rStyle w:val="FootnoteReference"/>
        </w:rPr>
        <w:footnoteRef/>
      </w:r>
      <w:r w:rsidRPr="00F27C25">
        <w:rPr>
          <w:lang w:val="pt-PT"/>
        </w:rPr>
        <w:tab/>
      </w:r>
      <w:r w:rsidRPr="00F27C25">
        <w:rPr>
          <w:color w:val="000000" w:themeColor="text1"/>
          <w:lang w:val="pt-PT"/>
        </w:rPr>
        <w:t>COM(2020) 696 final,</w:t>
      </w:r>
      <w:r w:rsidRPr="00F27C25">
        <w:rPr>
          <w:lang w:val="pt-PT"/>
        </w:rPr>
        <w:t xml:space="preserve"> </w:t>
      </w:r>
      <w:hyperlink r:id="rId5" w:history="1">
        <w:r w:rsidRPr="00F27C25">
          <w:rPr>
            <w:rStyle w:val="Hyperlink"/>
            <w:lang w:val="pt-PT"/>
          </w:rPr>
          <w:t>https://eur-lex.europa.eu/legal-content/SL/TXT/?uri=CELEX%3A52020DC0696</w:t>
        </w:r>
      </w:hyperlink>
      <w:r w:rsidRPr="00F27C25">
        <w:rPr>
          <w:lang w:val="pt-PT"/>
        </w:rPr>
        <w:t>.</w:t>
      </w:r>
    </w:p>
  </w:footnote>
  <w:footnote w:id="10">
    <w:p w14:paraId="68FD778C" w14:textId="77777777" w:rsidR="00144AE5" w:rsidRPr="00F27C25" w:rsidRDefault="00144AE5" w:rsidP="00040787">
      <w:pPr>
        <w:pStyle w:val="FootnoteText"/>
        <w:ind w:left="284" w:hanging="284"/>
        <w:rPr>
          <w:lang w:val="pt-PT"/>
        </w:rPr>
      </w:pPr>
      <w:r>
        <w:rPr>
          <w:rStyle w:val="FootnoteReference"/>
        </w:rPr>
        <w:footnoteRef/>
      </w:r>
      <w:r w:rsidRPr="00F27C25">
        <w:rPr>
          <w:lang w:val="pt-PT"/>
        </w:rPr>
        <w:tab/>
      </w:r>
      <w:hyperlink r:id="rId6" w:history="1">
        <w:r w:rsidRPr="00F27C25">
          <w:rPr>
            <w:rStyle w:val="Hyperlink"/>
            <w:lang w:val="pt-PT"/>
          </w:rPr>
          <w:t>https://ec.europa.eu/info/law/better-regulation/have-your-say/initiatives/13290-Potovanja-boljsa-zascita-potnikov-in-njihovih-pravic_sl</w:t>
        </w:r>
      </w:hyperlink>
      <w:r w:rsidRPr="00F27C25">
        <w:rPr>
          <w:lang w:val="pt-PT"/>
        </w:rPr>
        <w:t xml:space="preserve"> </w:t>
      </w:r>
    </w:p>
  </w:footnote>
  <w:footnote w:id="11">
    <w:p w14:paraId="5EE01D69" w14:textId="77777777" w:rsidR="00144AE5" w:rsidRPr="00F27C25" w:rsidRDefault="00144AE5" w:rsidP="00040787">
      <w:pPr>
        <w:pStyle w:val="FootnoteText"/>
        <w:ind w:left="284" w:hanging="284"/>
        <w:rPr>
          <w:lang w:val="pt-PT"/>
        </w:rPr>
      </w:pPr>
      <w:r>
        <w:rPr>
          <w:rStyle w:val="FootnoteReference"/>
        </w:rPr>
        <w:footnoteRef/>
      </w:r>
      <w:r w:rsidRPr="00F27C25">
        <w:rPr>
          <w:lang w:val="pt-PT"/>
        </w:rPr>
        <w:tab/>
        <w:t>https://ec.europa.eu/info/law/better-regulation/have-your-say/initiatives/13255-Revizija-uredbe-o-zracnih-prevozih_sl</w:t>
      </w:r>
    </w:p>
  </w:footnote>
  <w:footnote w:id="12">
    <w:p w14:paraId="56D52008" w14:textId="77777777" w:rsidR="00144AE5" w:rsidRPr="00F27C25" w:rsidRDefault="00144AE5" w:rsidP="00040787">
      <w:pPr>
        <w:pStyle w:val="FootnoteText"/>
        <w:ind w:left="284" w:hanging="284"/>
        <w:rPr>
          <w:lang w:val="pt-PT"/>
        </w:rPr>
      </w:pPr>
      <w:r>
        <w:rPr>
          <w:rStyle w:val="FootnoteReference"/>
        </w:rPr>
        <w:footnoteRef/>
      </w:r>
      <w:r w:rsidRPr="00F27C25">
        <w:rPr>
          <w:lang w:val="pt-PT"/>
        </w:rPr>
        <w:tab/>
        <w:t xml:space="preserve">Za predplačila za turistične pakete pred začetkom potovanja se med deležniki pogosto uporablja tudi izraz „vnaprejšnja plačila“. </w:t>
      </w:r>
      <w:r w:rsidRPr="00F27C25">
        <w:rPr>
          <w:lang w:val="pt-PT"/>
        </w:rPr>
        <w:t>Pologi so predplačila, ki jih potnik plača ob rezervaciji turističnega paketa ali kmalu zatem.</w:t>
      </w:r>
    </w:p>
  </w:footnote>
  <w:footnote w:id="13">
    <w:p w14:paraId="493AB968" w14:textId="77777777" w:rsidR="00144AE5" w:rsidRPr="00F27C25" w:rsidRDefault="00144AE5" w:rsidP="00040787">
      <w:pPr>
        <w:pStyle w:val="FootnoteText"/>
        <w:rPr>
          <w:lang w:val="pt-PT"/>
        </w:rPr>
      </w:pPr>
      <w:r>
        <w:rPr>
          <w:rStyle w:val="FootnoteReference"/>
        </w:rPr>
        <w:footnoteRef/>
      </w:r>
      <w:r w:rsidRPr="00F27C25">
        <w:rPr>
          <w:lang w:val="pt-PT"/>
        </w:rPr>
        <w:tab/>
      </w:r>
      <w:hyperlink r:id="rId7" w:history="1">
        <w:r w:rsidRPr="00F27C25">
          <w:rPr>
            <w:rStyle w:val="Hyperlink"/>
            <w:lang w:val="pt-PT"/>
          </w:rPr>
          <w:t>https://eur-lex.europa.eu/legal-content/SL/TXT/?uri=COM%3A2019%3A270%3</w:t>
        </w:r>
        <w:r w:rsidRPr="00F27C25">
          <w:rPr>
            <w:rStyle w:val="Hyperlink"/>
            <w:lang w:val="pt-PT"/>
          </w:rPr>
          <w:t>AFIN</w:t>
        </w:r>
      </w:hyperlink>
    </w:p>
  </w:footnote>
  <w:footnote w:id="14">
    <w:p w14:paraId="6CE7B733" w14:textId="77777777" w:rsidR="00144AE5" w:rsidRPr="00F27C25" w:rsidRDefault="00144AE5" w:rsidP="00040787">
      <w:pPr>
        <w:pStyle w:val="FootnoteText"/>
        <w:rPr>
          <w:lang w:val="pt-PT"/>
        </w:rPr>
      </w:pPr>
      <w:r>
        <w:rPr>
          <w:rStyle w:val="FootnoteReference"/>
        </w:rPr>
        <w:footnoteRef/>
      </w:r>
      <w:r w:rsidRPr="00F27C25">
        <w:rPr>
          <w:lang w:val="pt-PT"/>
        </w:rPr>
        <w:tab/>
      </w:r>
      <w:hyperlink r:id="rId8" w:history="1">
        <w:r w:rsidRPr="00F27C25">
          <w:rPr>
            <w:rStyle w:val="Hyperlink"/>
            <w:lang w:val="pt-PT"/>
          </w:rPr>
          <w:t>https://eur-lex.europa.eu/legal-content/SL/TXT/PDF/?uri=COM:2021:90:FIN</w:t>
        </w:r>
      </w:hyperlink>
    </w:p>
  </w:footnote>
  <w:footnote w:id="15">
    <w:p w14:paraId="106C195D" w14:textId="77777777" w:rsidR="00144AE5" w:rsidRPr="00F27C25" w:rsidRDefault="00144AE5" w:rsidP="00040787">
      <w:pPr>
        <w:pStyle w:val="FootnoteText"/>
        <w:rPr>
          <w:lang w:val="pt-PT"/>
        </w:rPr>
      </w:pPr>
      <w:r>
        <w:rPr>
          <w:rStyle w:val="FootnoteReference"/>
        </w:rPr>
        <w:footnoteRef/>
      </w:r>
      <w:r w:rsidRPr="00F27C25">
        <w:rPr>
          <w:lang w:val="pt-PT"/>
        </w:rPr>
        <w:tab/>
      </w:r>
      <w:hyperlink r:id="rId9" w:history="1">
        <w:r w:rsidRPr="00F27C25">
          <w:rPr>
            <w:rStyle w:val="Hyperlink"/>
            <w:lang w:val="pt-PT"/>
          </w:rPr>
          <w:t>https://eur-lex.europa.eu/legal-content/SL/TXT/?uri=CELEX%3A52020DC0696</w:t>
        </w:r>
      </w:hyperlink>
    </w:p>
  </w:footnote>
  <w:footnote w:id="16">
    <w:p w14:paraId="1E15C5C0" w14:textId="77777777" w:rsidR="00144AE5" w:rsidRPr="00F27C25" w:rsidRDefault="00144AE5" w:rsidP="00040787">
      <w:pPr>
        <w:pStyle w:val="FootnoteText"/>
        <w:jc w:val="left"/>
        <w:rPr>
          <w:lang w:val="pt-PT"/>
        </w:rPr>
      </w:pPr>
      <w:r>
        <w:rPr>
          <w:rStyle w:val="FootnoteReference"/>
        </w:rPr>
        <w:footnoteRef/>
      </w:r>
      <w:r w:rsidRPr="00F27C25">
        <w:rPr>
          <w:lang w:val="pt-PT"/>
        </w:rPr>
        <w:tab/>
      </w:r>
      <w:hyperlink r:id="rId10" w:history="1">
        <w:r w:rsidRPr="00F27C25">
          <w:rPr>
            <w:rStyle w:val="Hyperlink"/>
            <w:lang w:val="pt-PT"/>
          </w:rPr>
          <w:t>https://eur-lex.europa.eu/legal-content/SL/TXT/?uri=CELEX%3A32020H0648</w:t>
        </w:r>
      </w:hyperlink>
    </w:p>
  </w:footnote>
  <w:footnote w:id="17">
    <w:p w14:paraId="44501CBC" w14:textId="77777777" w:rsidR="00144AE5" w:rsidRPr="00F27C25" w:rsidRDefault="00144AE5" w:rsidP="00040787">
      <w:pPr>
        <w:pStyle w:val="FootnoteText"/>
        <w:ind w:left="142" w:hanging="142"/>
        <w:rPr>
          <w:lang w:val="pt-PT"/>
        </w:rPr>
      </w:pPr>
      <w:r>
        <w:rPr>
          <w:rStyle w:val="FootnoteReference"/>
        </w:rPr>
        <w:footnoteRef/>
      </w:r>
      <w:r w:rsidRPr="00F27C25">
        <w:rPr>
          <w:lang w:val="pt-PT"/>
        </w:rPr>
        <w:tab/>
      </w:r>
      <w:r w:rsidRPr="00F27C25">
        <w:rPr>
          <w:color w:val="000000" w:themeColor="text1"/>
          <w:lang w:val="pt-PT"/>
        </w:rPr>
        <w:t xml:space="preserve">Sedanja praksa v državah članicah je različna. Šest izmed držav članic, ki so odgovorile na vprašanja Komisije v postopku posvetovanja, do določene mere že krije dobropise in/ali zahtevke za povračilo z varstvom v primeru insolventnosti, šest pa jih ne. </w:t>
      </w:r>
    </w:p>
  </w:footnote>
  <w:footnote w:id="18">
    <w:p w14:paraId="506B24CC" w14:textId="77777777" w:rsidR="00144AE5" w:rsidRPr="00F27C25" w:rsidRDefault="00144AE5" w:rsidP="00040787">
      <w:pPr>
        <w:pStyle w:val="FootnoteText"/>
        <w:ind w:left="142" w:hanging="142"/>
        <w:rPr>
          <w:color w:val="000000" w:themeColor="text1"/>
          <w:lang w:val="pt-PT"/>
        </w:rPr>
      </w:pPr>
      <w:r>
        <w:rPr>
          <w:rStyle w:val="FootnoteReference"/>
        </w:rPr>
        <w:footnoteRef/>
      </w:r>
      <w:r w:rsidRPr="00F27C25">
        <w:rPr>
          <w:lang w:val="pt-PT"/>
        </w:rPr>
        <w:tab/>
      </w:r>
      <w:r w:rsidRPr="00F27C25">
        <w:rPr>
          <w:color w:val="000000" w:themeColor="text1"/>
          <w:lang w:val="pt-PT"/>
        </w:rPr>
        <w:t>Direktiva o paketnih potovanjih namenoma prepušča državam članicam, da določijo podrobnosti svojih nacionalnih sistemov varstva v primeru insolventnosti, pod pogojem, da sistem izpolnjuje merila iz člena 17 in uvodnih izjav 39–40. Sistemi varstva v primer</w:t>
      </w:r>
      <w:r w:rsidRPr="00F27C25">
        <w:rPr>
          <w:color w:val="000000" w:themeColor="text1"/>
          <w:lang w:val="pt-PT"/>
        </w:rPr>
        <w:t>u insolventnosti lahko torej temeljijo na (javnih ali zasebnih) skladih, zavarovanju ali bančnih jamstvih, kar vodi do različnih sistemov varstva v primeru insolventnosti po EU.</w:t>
      </w:r>
    </w:p>
  </w:footnote>
  <w:footnote w:id="19">
    <w:p w14:paraId="396F9168" w14:textId="77777777" w:rsidR="00144AE5" w:rsidRPr="00F27C25" w:rsidRDefault="00144AE5" w:rsidP="00040787">
      <w:pPr>
        <w:pStyle w:val="FootnoteText"/>
        <w:ind w:left="142" w:hanging="142"/>
        <w:jc w:val="left"/>
        <w:rPr>
          <w:lang w:val="pt-PT"/>
        </w:rPr>
      </w:pPr>
      <w:r>
        <w:rPr>
          <w:rStyle w:val="FootnoteReference"/>
        </w:rPr>
        <w:footnoteRef/>
      </w:r>
      <w:r w:rsidRPr="00F27C25">
        <w:rPr>
          <w:lang w:val="pt-PT"/>
        </w:rPr>
        <w:tab/>
        <w:t xml:space="preserve">Poročilo s sestanka osrednjih kontaktnih točk z dne 10. novembra 2022, </w:t>
      </w:r>
      <w:hyperlink r:id="rId11" w:history="1">
        <w:r w:rsidRPr="00F27C25">
          <w:rPr>
            <w:rStyle w:val="Hyperlink"/>
            <w:lang w:val="pt-PT"/>
          </w:rPr>
          <w:t>https://ec.europa.eu/transparency/expert-groups-register/screen/meetings/consult?lang=en&amp;meetingId=45937&amp;fromExpertGroup</w:t>
        </w:r>
        <w:r w:rsidRPr="00F27C25">
          <w:rPr>
            <w:rStyle w:val="Hyperlink"/>
            <w:lang w:val="pt-PT"/>
          </w:rPr>
          <w:t>s=true</w:t>
        </w:r>
      </w:hyperlink>
      <w:r w:rsidRPr="00F27C25">
        <w:rPr>
          <w:lang w:val="pt-PT"/>
        </w:rPr>
        <w:t>.</w:t>
      </w:r>
    </w:p>
  </w:footnote>
  <w:footnote w:id="20">
    <w:p w14:paraId="082A20D2" w14:textId="77777777" w:rsidR="00144AE5" w:rsidRPr="00F27C25" w:rsidRDefault="00144AE5" w:rsidP="00040787">
      <w:pPr>
        <w:pStyle w:val="FootnoteText"/>
        <w:tabs>
          <w:tab w:val="left" w:pos="142"/>
        </w:tabs>
        <w:ind w:left="142" w:right="57" w:hanging="142"/>
        <w:rPr>
          <w:lang w:val="pt-PT"/>
        </w:rPr>
      </w:pPr>
      <w:r>
        <w:rPr>
          <w:rStyle w:val="FootnoteReference"/>
        </w:rPr>
        <w:footnoteRef/>
      </w:r>
      <w:r w:rsidRPr="00F27C25">
        <w:rPr>
          <w:lang w:val="pt-PT"/>
        </w:rPr>
        <w:tab/>
        <w:t>Ciljno usmerjena raziskava za nacionalne pristojne organe (insolventnost), odgovori za šesto četrtletje, ki kažejo, da so se cene rešitev, ki temeljijo na zavarovanju, zvišale.</w:t>
      </w:r>
    </w:p>
  </w:footnote>
  <w:footnote w:id="21">
    <w:p w14:paraId="5339CA31" w14:textId="77777777" w:rsidR="00144AE5" w:rsidRPr="00F27C25" w:rsidRDefault="00144AE5" w:rsidP="00040787">
      <w:pPr>
        <w:pStyle w:val="FootnoteText"/>
        <w:ind w:left="142" w:hanging="142"/>
        <w:rPr>
          <w:lang w:val="pt-PT"/>
        </w:rPr>
      </w:pPr>
      <w:r>
        <w:rPr>
          <w:rStyle w:val="FootnoteReference"/>
        </w:rPr>
        <w:footnoteRef/>
      </w:r>
      <w:r w:rsidRPr="00F27C25">
        <w:rPr>
          <w:lang w:val="pt-PT"/>
        </w:rPr>
        <w:tab/>
        <w:t xml:space="preserve">Pojem je opredeljen v členu </w:t>
      </w:r>
      <w:r w:rsidRPr="00F27C25">
        <w:rPr>
          <w:lang w:val="pt-PT"/>
        </w:rPr>
        <w:t>3(2)(b)(v): „kombinacij[a] vsaj dveh različnih vrst potovalnih storitev za namen istega potovanja ali počitnic, če: [...] se te storitve [...] kupijo pri različnih trgovcih prek povezanih postopkov spletne rezervacije, pri katerih trgovec, s katerim je bil</w:t>
      </w:r>
      <w:r w:rsidRPr="00F27C25">
        <w:rPr>
          <w:lang w:val="pt-PT"/>
        </w:rPr>
        <w:t>a sklenjena prva pogodba, drugemu trgovcu ali trgovcem posreduje ime potnika, podatke o plačilu in elektronski naslov potnika, pogodba s slednjim trgovcem ali trgovci pa se sklene najpozneje 24 ur po potrditvi rezervacije prve potovalne storitve.“</w:t>
      </w:r>
    </w:p>
  </w:footnote>
  <w:footnote w:id="22">
    <w:p w14:paraId="6B0E9297" w14:textId="77777777" w:rsidR="00144AE5" w:rsidRPr="00F27C25" w:rsidRDefault="00144AE5" w:rsidP="00040787">
      <w:pPr>
        <w:pStyle w:val="FootnoteText"/>
        <w:ind w:left="142" w:hanging="142"/>
        <w:rPr>
          <w:lang w:val="pt-PT"/>
        </w:rPr>
      </w:pPr>
      <w:r>
        <w:rPr>
          <w:rStyle w:val="FootnoteReference"/>
        </w:rPr>
        <w:footnoteRef/>
      </w:r>
      <w:r w:rsidRPr="00F27C25">
        <w:rPr>
          <w:lang w:val="pt-PT"/>
        </w:rPr>
        <w:tab/>
      </w:r>
      <w:hyperlink r:id="rId12" w:history="1">
        <w:r w:rsidRPr="00F27C25">
          <w:rPr>
            <w:rStyle w:val="Hyperlink"/>
            <w:lang w:val="pt-PT"/>
          </w:rPr>
          <w:t>https://ec.europa.eu/info/law/better-regulation/have-your-say/initiatives/13117-Paketna-potovanja-pregled-pravil-EU_sl</w:t>
        </w:r>
      </w:hyperlink>
    </w:p>
  </w:footnote>
  <w:footnote w:id="23">
    <w:p w14:paraId="291A8E10" w14:textId="77777777" w:rsidR="00144AE5" w:rsidRPr="00F27C25" w:rsidRDefault="00144AE5" w:rsidP="00040787">
      <w:pPr>
        <w:pStyle w:val="FootnoteText"/>
        <w:ind w:left="142" w:hanging="142"/>
        <w:rPr>
          <w:lang w:val="pt-PT"/>
        </w:rPr>
      </w:pPr>
      <w:r>
        <w:rPr>
          <w:rStyle w:val="FootnoteReference"/>
        </w:rPr>
        <w:footnoteRef/>
      </w:r>
      <w:r w:rsidRPr="00F27C25">
        <w:rPr>
          <w:lang w:val="pt-PT"/>
        </w:rPr>
        <w:tab/>
      </w:r>
      <w:hyperlink r:id="rId13" w:history="1">
        <w:r w:rsidRPr="00F27C25">
          <w:rPr>
            <w:rStyle w:val="Hyperlink"/>
            <w:lang w:val="pt-PT"/>
          </w:rPr>
          <w:t>https://ec.europa.eu/transparency/expert-groups-register/screen/expert-gr</w:t>
        </w:r>
        <w:r w:rsidRPr="00F27C25">
          <w:rPr>
            <w:rStyle w:val="Hyperlink"/>
            <w:lang w:val="pt-PT"/>
          </w:rPr>
          <w:t>oups/consult?lang=sl&amp;groupId=3617&amp;fromMeetings=true&amp;meetingId=45600</w:t>
        </w:r>
      </w:hyperlink>
    </w:p>
  </w:footnote>
  <w:footnote w:id="24">
    <w:p w14:paraId="7AC8C22B" w14:textId="77777777" w:rsidR="00144AE5" w:rsidRPr="00F27C25" w:rsidRDefault="00144AE5" w:rsidP="00040787">
      <w:pPr>
        <w:pStyle w:val="FootnoteText"/>
        <w:ind w:left="142" w:hanging="142"/>
        <w:rPr>
          <w:lang w:val="pt-PT"/>
        </w:rPr>
      </w:pPr>
      <w:r>
        <w:rPr>
          <w:rStyle w:val="FootnoteReference"/>
        </w:rPr>
        <w:footnoteRef/>
      </w:r>
      <w:r w:rsidRPr="00F27C25">
        <w:rPr>
          <w:lang w:val="pt-PT"/>
        </w:rPr>
        <w:tab/>
      </w:r>
      <w:hyperlink r:id="rId14" w:anchor="adoptedopinions2022" w:history="1">
        <w:r w:rsidRPr="00F27C25">
          <w:rPr>
            <w:rStyle w:val="Hyperlink"/>
            <w:lang w:val="pt-PT"/>
          </w:rPr>
          <w:t>https://commission.europa.eu/law/law-making-process/evaluating-and-improving-existing-laws/refit-making-eu-law-simpler-less-costly-and-future-proof/fit-future-platform-f4f/ado</w:t>
        </w:r>
        <w:r w:rsidRPr="00F27C25">
          <w:rPr>
            <w:rStyle w:val="Hyperlink"/>
            <w:lang w:val="pt-PT"/>
          </w:rPr>
          <w:t>pted-opinions_en#adoptedopinions2022</w:t>
        </w:r>
      </w:hyperlink>
    </w:p>
  </w:footnote>
  <w:footnote w:id="25">
    <w:p w14:paraId="02CDDAF8" w14:textId="77777777" w:rsidR="00144AE5" w:rsidRPr="00F27C25" w:rsidRDefault="00144AE5" w:rsidP="00040787">
      <w:pPr>
        <w:pStyle w:val="FootnoteText"/>
        <w:rPr>
          <w:lang w:val="pt-PT"/>
        </w:rPr>
      </w:pPr>
      <w:r>
        <w:rPr>
          <w:rStyle w:val="FootnoteReference"/>
        </w:rPr>
        <w:footnoteRef/>
      </w:r>
      <w:r w:rsidRPr="00F27C25">
        <w:rPr>
          <w:lang w:val="pt-PT"/>
        </w:rPr>
        <w:tab/>
        <w:t>Objava je v pripravi.</w:t>
      </w:r>
    </w:p>
  </w:footnote>
  <w:footnote w:id="26">
    <w:p w14:paraId="2E560C93" w14:textId="77777777" w:rsidR="00144AE5" w:rsidRPr="00F27C25" w:rsidRDefault="00144AE5" w:rsidP="00040787">
      <w:pPr>
        <w:pStyle w:val="FootnoteText"/>
        <w:rPr>
          <w:lang w:val="pt-PT"/>
        </w:rPr>
      </w:pPr>
      <w:r>
        <w:rPr>
          <w:rStyle w:val="FootnoteReference"/>
        </w:rPr>
        <w:footnoteRef/>
      </w:r>
      <w:r w:rsidRPr="00F27C25">
        <w:rPr>
          <w:lang w:val="pt-PT"/>
        </w:rPr>
        <w:tab/>
      </w:r>
      <w:r w:rsidRPr="00F27C25">
        <w:rPr>
          <w:color w:val="000000" w:themeColor="text1"/>
          <w:lang w:val="pt-PT"/>
        </w:rPr>
        <w:t>SWD(2023) 906, objava v pripravi.</w:t>
      </w:r>
    </w:p>
  </w:footnote>
  <w:footnote w:id="27">
    <w:p w14:paraId="362D2AE3" w14:textId="77777777" w:rsidR="00144AE5" w:rsidRPr="00F27C25" w:rsidRDefault="00144AE5" w:rsidP="00040787">
      <w:pPr>
        <w:pStyle w:val="FootnoteText"/>
        <w:rPr>
          <w:lang w:val="pt-PT"/>
        </w:rPr>
      </w:pPr>
      <w:r>
        <w:rPr>
          <w:rStyle w:val="FootnoteReference"/>
        </w:rPr>
        <w:footnoteRef/>
      </w:r>
      <w:r w:rsidRPr="00F27C25">
        <w:rPr>
          <w:lang w:val="pt-PT"/>
        </w:rPr>
        <w:tab/>
      </w:r>
      <w:r w:rsidRPr="00F27C25">
        <w:rPr>
          <w:color w:val="000000" w:themeColor="text1"/>
          <w:lang w:val="pt-PT"/>
        </w:rPr>
        <w:t>SEC(2023) 540, objava v pripravi.</w:t>
      </w:r>
    </w:p>
  </w:footnote>
  <w:footnote w:id="28">
    <w:p w14:paraId="7DD31BE1" w14:textId="77777777" w:rsidR="00144AE5" w:rsidRPr="00F27C25" w:rsidRDefault="00144AE5" w:rsidP="00040787">
      <w:pPr>
        <w:pStyle w:val="FootnoteText"/>
        <w:ind w:left="142" w:hanging="142"/>
        <w:rPr>
          <w:lang w:val="pt-PT"/>
        </w:rPr>
      </w:pPr>
      <w:r>
        <w:rPr>
          <w:rStyle w:val="FootnoteReference"/>
        </w:rPr>
        <w:footnoteRef/>
      </w:r>
      <w:r w:rsidRPr="00F27C25">
        <w:rPr>
          <w:lang w:val="pt-PT"/>
        </w:rPr>
        <w:tab/>
        <w:t xml:space="preserve">Ta ukrep bi bil v skladu s sedanjo prakso v Nemčiji, kjer so na podlagi </w:t>
      </w:r>
      <w:r w:rsidRPr="00F27C25">
        <w:rPr>
          <w:lang w:val="pt-PT"/>
        </w:rPr>
        <w:t>nacionalne sodne prakse v zvezi z nepoštenimi pogodbenimi pogoji pologi omejeni na 20-odstoten polog ob rezervaciji, preostanek pa zapade največ 30 dni pred začetkom potovanja. Kot izjema od tega splošnega pravila je lahko polog višji od 20 %, če ga organi</w:t>
      </w:r>
      <w:r w:rsidRPr="00F27C25">
        <w:rPr>
          <w:lang w:val="pt-PT"/>
        </w:rPr>
        <w:t>zator ustrezno utemelji zaradi stroškov, ki nastanejo ob sklenitvi pogodbe.</w:t>
      </w:r>
    </w:p>
  </w:footnote>
  <w:footnote w:id="29">
    <w:p w14:paraId="26E189A4" w14:textId="77777777" w:rsidR="00144AE5" w:rsidRPr="00F27C25" w:rsidRDefault="00144AE5" w:rsidP="00040787">
      <w:pPr>
        <w:pStyle w:val="FootnoteText"/>
        <w:ind w:left="284" w:hanging="284"/>
        <w:rPr>
          <w:strike/>
          <w:lang w:val="pt-PT"/>
        </w:rPr>
      </w:pPr>
      <w:r>
        <w:rPr>
          <w:rStyle w:val="FootnoteReference"/>
        </w:rPr>
        <w:footnoteRef/>
      </w:r>
      <w:r w:rsidRPr="00F27C25">
        <w:rPr>
          <w:lang w:val="pt-PT"/>
        </w:rPr>
        <w:tab/>
      </w:r>
      <w:hyperlink r:id="rId15" w:history="1">
        <w:r w:rsidRPr="00F27C25">
          <w:rPr>
            <w:rStyle w:val="Hyperlink"/>
            <w:lang w:val="pt-PT"/>
          </w:rPr>
          <w:t>https://consultations.caa.co.uk/corporate-communications/atol-reform-request-for-further-information/user_uploads/atol-reform-request-for-further-information--cap2496-.pdf</w:t>
        </w:r>
      </w:hyperlink>
    </w:p>
  </w:footnote>
  <w:footnote w:id="30">
    <w:p w14:paraId="356A18A5" w14:textId="77777777" w:rsidR="00144AE5" w:rsidRPr="00F27C25" w:rsidRDefault="00144AE5" w:rsidP="00040787">
      <w:pPr>
        <w:pStyle w:val="FootnoteText"/>
        <w:ind w:left="284" w:hanging="284"/>
        <w:rPr>
          <w:lang w:val="pt-PT"/>
        </w:rPr>
      </w:pPr>
      <w:r>
        <w:rPr>
          <w:rStyle w:val="FootnoteReference"/>
        </w:rPr>
        <w:footnoteRef/>
      </w:r>
      <w:r w:rsidRPr="00F27C25">
        <w:rPr>
          <w:lang w:val="pt-PT"/>
        </w:rPr>
        <w:tab/>
        <w:t>Odgovori Evropske potrošniške organiza</w:t>
      </w:r>
      <w:r w:rsidRPr="00F27C25">
        <w:rPr>
          <w:lang w:val="pt-PT"/>
        </w:rPr>
        <w:t>cije (BEUC), VZV in Portugalskega združenja za varstvo potrošnikov (DECO) na prvo vprašanje odprtega javnega posvetovanja.</w:t>
      </w:r>
    </w:p>
  </w:footnote>
  <w:footnote w:id="31">
    <w:p w14:paraId="42403108" w14:textId="77777777" w:rsidR="00144AE5" w:rsidRPr="006E4A43" w:rsidRDefault="00144AE5" w:rsidP="00040787">
      <w:pPr>
        <w:pStyle w:val="FootnoteText"/>
        <w:ind w:left="284" w:hanging="284"/>
        <w:rPr>
          <w:lang w:val="pl-PL"/>
        </w:rPr>
      </w:pPr>
      <w:r>
        <w:rPr>
          <w:rStyle w:val="FootnoteReference"/>
        </w:rPr>
        <w:footnoteRef/>
      </w:r>
      <w:r w:rsidRPr="006E4A43">
        <w:rPr>
          <w:lang w:val="pl-PL"/>
        </w:rPr>
        <w:tab/>
        <w:t xml:space="preserve">Dokument o stališču BEUC, str. 11, </w:t>
      </w:r>
      <w:hyperlink r:id="rId16" w:history="1">
        <w:r w:rsidRPr="006E4A43">
          <w:rPr>
            <w:rStyle w:val="Hyperlink"/>
            <w:lang w:val="pl-PL"/>
          </w:rPr>
          <w:t>https://www.beuc.eu/sites/default/files/publications/beuc-x-2021-115_package_travel_directive_beuc_s_views_on_how_to_regain_consumer_trust_in_the_tourism_sector.pdf</w:t>
        </w:r>
      </w:hyperlink>
      <w:r w:rsidRPr="006E4A43">
        <w:rPr>
          <w:lang w:val="pl-PL"/>
        </w:rPr>
        <w:t>.</w:t>
      </w:r>
    </w:p>
  </w:footnote>
  <w:footnote w:id="32">
    <w:p w14:paraId="33A5D780" w14:textId="77777777" w:rsidR="00144AE5" w:rsidRPr="006E4A43" w:rsidRDefault="00144AE5" w:rsidP="00040787">
      <w:pPr>
        <w:pStyle w:val="FootnoteText"/>
        <w:ind w:left="142" w:hanging="142"/>
        <w:rPr>
          <w:lang w:val="pl-PL"/>
        </w:rPr>
      </w:pPr>
      <w:r>
        <w:rPr>
          <w:rStyle w:val="FootnoteReference"/>
        </w:rPr>
        <w:footnoteRef/>
      </w:r>
      <w:r w:rsidRPr="006E4A43">
        <w:rPr>
          <w:lang w:val="pl-PL"/>
        </w:rPr>
        <w:tab/>
        <w:t xml:space="preserve">Vendar je treba opozoriti, da zaradi visoke cenovne elastičnosti potovalnih storitev ni mogoče v celoti izključiti določenega vpliva na prodajo potnikom z manjšim proračunom. Glej tudi Prilogo 8. </w:t>
      </w:r>
    </w:p>
  </w:footnote>
  <w:footnote w:id="33">
    <w:p w14:paraId="7C4909EF" w14:textId="77777777" w:rsidR="00144AE5" w:rsidRPr="006E4A43" w:rsidRDefault="00144AE5" w:rsidP="00040787">
      <w:pPr>
        <w:pStyle w:val="FootnoteText"/>
        <w:rPr>
          <w:lang w:val="pl-PL"/>
        </w:rPr>
      </w:pPr>
      <w:r>
        <w:rPr>
          <w:rStyle w:val="FootnoteReference"/>
        </w:rPr>
        <w:footnoteRef/>
      </w:r>
      <w:r w:rsidRPr="006E4A43">
        <w:rPr>
          <w:lang w:val="pl-PL"/>
        </w:rPr>
        <w:tab/>
        <w:t>Uredba (EU) 2021/1119.</w:t>
      </w:r>
    </w:p>
  </w:footnote>
  <w:footnote w:id="34">
    <w:p w14:paraId="190F1E1F" w14:textId="77777777" w:rsidR="00144AE5" w:rsidRPr="006E4A43" w:rsidRDefault="00144AE5" w:rsidP="00040787">
      <w:pPr>
        <w:pStyle w:val="FootnoteText"/>
        <w:ind w:left="142" w:hanging="142"/>
        <w:rPr>
          <w:lang w:val="pl-PL"/>
        </w:rPr>
      </w:pPr>
      <w:r>
        <w:rPr>
          <w:rStyle w:val="FootnoteReference"/>
        </w:rPr>
        <w:footnoteRef/>
      </w:r>
      <w:r w:rsidRPr="006E4A43">
        <w:rPr>
          <w:lang w:val="pl-PL"/>
        </w:rPr>
        <w:tab/>
        <w:t>„</w:t>
      </w:r>
      <w:r w:rsidRPr="006E4A43">
        <w:rPr>
          <w:lang w:val="pl-PL"/>
        </w:rPr>
        <w:t xml:space="preserve">Načelo, da se ne škoduje bistveno“ pomeni, da se ne podpirajo ali izvajajo gospodarske dejavnosti, ki bistveno škodujejo kateremu koli od okoljskih ciljev, kjer je ustrezno, v smislu člena 17 Uredbe (EU) 2020/852.      </w:t>
      </w:r>
    </w:p>
  </w:footnote>
  <w:footnote w:id="35">
    <w:p w14:paraId="74034E52" w14:textId="77777777" w:rsidR="00144AE5" w:rsidRPr="00A7792D" w:rsidRDefault="00144AE5" w:rsidP="004517AC">
      <w:pPr>
        <w:pStyle w:val="FootnoteText"/>
      </w:pPr>
      <w:r>
        <w:rPr>
          <w:rStyle w:val="FootnoteReference"/>
        </w:rPr>
        <w:footnoteRef/>
      </w:r>
      <w:r>
        <w:tab/>
        <w:t>UL C , , str. .</w:t>
      </w:r>
    </w:p>
  </w:footnote>
  <w:footnote w:id="36">
    <w:p w14:paraId="3DE08F6F" w14:textId="77777777" w:rsidR="00144AE5" w:rsidRPr="008F3114" w:rsidRDefault="00144AE5" w:rsidP="008F3114">
      <w:pPr>
        <w:pStyle w:val="FootnoteText"/>
        <w:ind w:left="0" w:firstLine="0"/>
      </w:pPr>
      <w:r>
        <w:rPr>
          <w:rStyle w:val="FootnoteReference"/>
        </w:rPr>
        <w:footnoteRef/>
      </w:r>
      <w:r>
        <w:tab/>
        <w:t>UL C , , str. .</w:t>
      </w:r>
    </w:p>
  </w:footnote>
  <w:footnote w:id="37">
    <w:p w14:paraId="6AEB61AD" w14:textId="77777777" w:rsidR="00144AE5" w:rsidRPr="005B4FB6" w:rsidRDefault="00144AE5" w:rsidP="005B4FB6">
      <w:pPr>
        <w:pStyle w:val="FootnoteText"/>
      </w:pPr>
      <w:r>
        <w:rPr>
          <w:rStyle w:val="FootnoteReference"/>
        </w:rPr>
        <w:footnoteRef/>
      </w:r>
      <w:r>
        <w:tab/>
        <w:t>Direktiva (EU) 2015/2302 Evropskega parlamenta in Sveta z dne 25. novembra 2015 o paketnih potovanjih in povezanih potovalnih aranžmajih, spremembi Uredbe (ES) št. 2006/2004 in Direktive 2011/83/EU Evropskega parlamenta in Sveta ter razveljavitvi Direkti</w:t>
      </w:r>
      <w:r>
        <w:t xml:space="preserve">ve Sveta 90/314/EGS (UL L 326, 11.12.2015, str. 1). </w:t>
      </w:r>
    </w:p>
  </w:footnote>
  <w:footnote w:id="38">
    <w:p w14:paraId="630F0735" w14:textId="77777777" w:rsidR="00144AE5" w:rsidRPr="00E835FC" w:rsidRDefault="00144AE5" w:rsidP="004517AC">
      <w:pPr>
        <w:pStyle w:val="FootnoteText"/>
      </w:pPr>
      <w:r>
        <w:rPr>
          <w:rStyle w:val="FootnoteReference"/>
        </w:rPr>
        <w:footnoteRef/>
      </w:r>
      <w:r>
        <w:tab/>
      </w:r>
      <w:r>
        <w:rPr>
          <w:sz w:val="19"/>
          <w:shd w:val="clear" w:color="auto" w:fill="FFFFFF"/>
        </w:rPr>
        <w:t>Direktiva Sveta 90/314/EGS z dne 13. junija 1990 o paketnem potovanju, organiziranih počitnicah in izletih (</w:t>
      </w:r>
      <w:hyperlink r:id="rId17" w:history="1">
        <w:r>
          <w:rPr>
            <w:rStyle w:val="Hyperlink"/>
            <w:color w:val="auto"/>
            <w:sz w:val="19"/>
            <w:u w:val="none"/>
            <w:shd w:val="clear" w:color="auto" w:fill="FFFFFF"/>
          </w:rPr>
          <w:t>UL L 158</w:t>
        </w:r>
        <w:r>
          <w:rPr>
            <w:rStyle w:val="Hyperlink"/>
            <w:color w:val="auto"/>
            <w:sz w:val="19"/>
            <w:u w:val="none"/>
            <w:shd w:val="clear" w:color="auto" w:fill="FFFFFF"/>
          </w:rPr>
          <w:t>, 23.6.1990, str. 59</w:t>
        </w:r>
      </w:hyperlink>
      <w:r>
        <w:rPr>
          <w:sz w:val="19"/>
          <w:shd w:val="clear" w:color="auto" w:fill="FFFFFF"/>
        </w:rPr>
        <w:t>)</w:t>
      </w:r>
      <w:r>
        <w:rPr>
          <w:color w:val="333333"/>
          <w:sz w:val="19"/>
          <w:shd w:val="clear" w:color="auto" w:fill="FFFFFF"/>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1F54C" w14:textId="77777777" w:rsidR="006E4A43" w:rsidRDefault="006E4A43">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453E8" w14:textId="77777777" w:rsidR="00144AE5" w:rsidRDefault="00144AE5">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2D952" w14:textId="77777777" w:rsidR="005F1957" w:rsidRDefault="005F1957">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F3E42" w14:textId="77777777" w:rsidR="00144AE5" w:rsidRDefault="00144A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07C58" w14:textId="0C95E429" w:rsidR="005F1957" w:rsidRPr="006E4A43" w:rsidRDefault="006E4A43" w:rsidP="006E4A43">
    <w:pPr>
      <w:pStyle w:val="HeaderCouncilLarge"/>
    </w:pPr>
    <w:r>
      <w:t>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95440" w14:textId="13E5ECD9" w:rsidR="005F1957" w:rsidRPr="006E4A43" w:rsidRDefault="006E4A43" w:rsidP="006E4A43">
    <w:pPr>
      <w:pStyle w:val="HeaderCouncil"/>
    </w:pPr>
    <w:r>
      <w:t>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4A0E5" w14:textId="77777777" w:rsidR="005F1957" w:rsidRDefault="005F195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AC62A" w14:textId="77777777" w:rsidR="005F1957" w:rsidRDefault="005F195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6221F" w14:textId="77777777" w:rsidR="005F1957" w:rsidRDefault="005F195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34DE7" w14:textId="77777777" w:rsidR="00144AE5" w:rsidRDefault="00144AE5">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6B966" w14:textId="77777777" w:rsidR="005F1957" w:rsidRDefault="005F1957">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2C177" w14:textId="77777777" w:rsidR="00144AE5" w:rsidRDefault="00144A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482DC9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ED2C54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6294451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23456D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CDCBF1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404AC0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3EA7F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43ECCA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1CA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8AA54F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B7F4273"/>
    <w:multiLevelType w:val="singleLevel"/>
    <w:tmpl w:val="6276CDDE"/>
    <w:lvl w:ilvl="0">
      <w:start w:val="1"/>
      <w:numFmt w:val="upperRoman"/>
      <w:pStyle w:val="Par-numberI"/>
      <w:lvlText w:val="%1."/>
      <w:lvlJc w:val="left"/>
      <w:pPr>
        <w:tabs>
          <w:tab w:val="num" w:pos="567"/>
        </w:tabs>
        <w:ind w:left="567" w:hanging="567"/>
      </w:pPr>
    </w:lvl>
  </w:abstractNum>
  <w:abstractNum w:abstractNumId="11"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2" w15:restartNumberingAfterBreak="0">
    <w:nsid w:val="22CA659A"/>
    <w:multiLevelType w:val="singleLevel"/>
    <w:tmpl w:val="7B9C897A"/>
    <w:lvl w:ilvl="0">
      <w:start w:val="1"/>
      <w:numFmt w:val="bullet"/>
      <w:pStyle w:val="Par-dash"/>
      <w:lvlText w:val=""/>
      <w:lvlJc w:val="left"/>
      <w:pPr>
        <w:tabs>
          <w:tab w:val="num" w:pos="567"/>
        </w:tabs>
        <w:ind w:left="567" w:hanging="567"/>
      </w:pPr>
      <w:rPr>
        <w:rFonts w:ascii="Symbol" w:hAnsi="Symbol" w:hint="default"/>
      </w:rPr>
    </w:lvl>
  </w:abstractNum>
  <w:abstractNum w:abstractNumId="13"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decimal"/>
      <w:pStyle w:val="NumPar5"/>
      <w:lvlText w:val="%1.%2.%3.%4.%5."/>
      <w:lvlJc w:val="left"/>
      <w:pPr>
        <w:tabs>
          <w:tab w:val="num" w:pos="1417"/>
        </w:tabs>
        <w:ind w:left="1417" w:hanging="1417"/>
      </w:pPr>
    </w:lvl>
    <w:lvl w:ilvl="5">
      <w:start w:val="1"/>
      <w:numFmt w:val="decimal"/>
      <w:pStyle w:val="NumPar6"/>
      <w:lvlText w:val="%1.%2.%3.%4.%5.%6."/>
      <w:lvlJc w:val="left"/>
      <w:pPr>
        <w:tabs>
          <w:tab w:val="num" w:pos="1417"/>
        </w:tabs>
        <w:ind w:left="1417" w:hanging="1417"/>
      </w:pPr>
    </w:lvl>
    <w:lvl w:ilvl="6">
      <w:start w:val="1"/>
      <w:numFmt w:val="decimal"/>
      <w:pStyle w:val="NumPar7"/>
      <w:lvlText w:val="%1.%2.%3.%4.%5.%6.%7."/>
      <w:lvlJc w:val="left"/>
      <w:pPr>
        <w:tabs>
          <w:tab w:val="num" w:pos="1417"/>
        </w:tabs>
        <w:ind w:left="1417" w:hanging="1417"/>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A2E70CA"/>
    <w:multiLevelType w:val="multilevel"/>
    <w:tmpl w:val="0409001D"/>
    <w:styleLink w:val="1ai"/>
    <w:lvl w:ilvl="0">
      <w:start w:val="1"/>
      <w:numFmt w:val="decimal"/>
      <w:lvlText w:val="%1)"/>
      <w:lvlJc w:val="left"/>
      <w:pPr>
        <w:ind w:left="360" w:hanging="360"/>
      </w:pPr>
      <w:rPr>
        <w:rFonts w:ascii="Arial" w:hAnsi="Arial"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6" w15:restartNumberingAfterBreak="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7" w15:restartNumberingAfterBreak="0">
    <w:nsid w:val="2D293CE3"/>
    <w:multiLevelType w:val="multilevel"/>
    <w:tmpl w:val="8D7C4D2A"/>
    <w:lvl w:ilvl="0">
      <w:start w:val="1"/>
      <w:numFmt w:val="decimal"/>
      <w:pStyle w:val="LegalNumPar"/>
      <w:lvlText w:val="%1."/>
      <w:lvlJc w:val="left"/>
      <w:pPr>
        <w:ind w:left="476" w:hanging="476"/>
      </w:pPr>
      <w:rPr>
        <w:rFonts w:hint="default"/>
      </w:rPr>
    </w:lvl>
    <w:lvl w:ilvl="1">
      <w:start w:val="1"/>
      <w:numFmt w:val="lowerLetter"/>
      <w:pStyle w:val="LegalNumPar2"/>
      <w:lvlText w:val="%2."/>
      <w:lvlJc w:val="left"/>
      <w:pPr>
        <w:ind w:left="953" w:hanging="477"/>
      </w:pPr>
      <w:rPr>
        <w:rFonts w:hint="default"/>
      </w:rPr>
    </w:lvl>
    <w:lvl w:ilvl="2">
      <w:start w:val="1"/>
      <w:numFmt w:val="lowerRoman"/>
      <w:pStyle w:val="LegalNumPar3"/>
      <w:lvlText w:val="%3."/>
      <w:lvlJc w:val="left"/>
      <w:pPr>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2D2D468B"/>
    <w:multiLevelType w:val="singleLevel"/>
    <w:tmpl w:val="A18042A8"/>
    <w:lvl w:ilvl="0">
      <w:start w:val="1"/>
      <w:numFmt w:val="upperLetter"/>
      <w:pStyle w:val="Par-numberA"/>
      <w:lvlText w:val="%1."/>
      <w:lvlJc w:val="left"/>
      <w:pPr>
        <w:tabs>
          <w:tab w:val="num" w:pos="567"/>
        </w:tabs>
        <w:ind w:left="567" w:hanging="567"/>
      </w:pPr>
    </w:lvl>
  </w:abstractNum>
  <w:abstractNum w:abstractNumId="19" w15:restartNumberingAfterBreak="0">
    <w:nsid w:val="2DB37182"/>
    <w:multiLevelType w:val="singleLevel"/>
    <w:tmpl w:val="F612DBDC"/>
    <w:lvl w:ilvl="0">
      <w:start w:val="1"/>
      <w:numFmt w:val="lowerRoman"/>
      <w:pStyle w:val="Par-numberi0"/>
      <w:lvlText w:val="(%1)"/>
      <w:lvlJc w:val="left"/>
      <w:pPr>
        <w:tabs>
          <w:tab w:val="num" w:pos="720"/>
        </w:tabs>
        <w:ind w:left="567" w:hanging="567"/>
      </w:pPr>
    </w:lvl>
  </w:abstractNum>
  <w:abstractNum w:abstractNumId="20" w15:restartNumberingAfterBreak="0">
    <w:nsid w:val="394F5925"/>
    <w:multiLevelType w:val="singleLevel"/>
    <w:tmpl w:val="395C08BE"/>
    <w:lvl w:ilvl="0">
      <w:start w:val="1"/>
      <w:numFmt w:val="decimal"/>
      <w:pStyle w:val="Par-number1"/>
      <w:lvlText w:val="(%1)"/>
      <w:lvlJc w:val="left"/>
      <w:pPr>
        <w:tabs>
          <w:tab w:val="num" w:pos="567"/>
        </w:tabs>
        <w:ind w:left="567" w:hanging="567"/>
      </w:pPr>
    </w:lvl>
  </w:abstractNum>
  <w:abstractNum w:abstractNumId="21" w15:restartNumberingAfterBreak="0">
    <w:nsid w:val="3DD66C9D"/>
    <w:multiLevelType w:val="singleLevel"/>
    <w:tmpl w:val="E5905DC2"/>
    <w:lvl w:ilvl="0">
      <w:start w:val="1"/>
      <w:numFmt w:val="lowerLetter"/>
      <w:pStyle w:val="Par-numbera0"/>
      <w:lvlText w:val="(%1)"/>
      <w:lvlJc w:val="left"/>
      <w:pPr>
        <w:tabs>
          <w:tab w:val="num" w:pos="567"/>
        </w:tabs>
        <w:ind w:left="567" w:hanging="567"/>
      </w:pPr>
    </w:lvl>
  </w:abstractNum>
  <w:abstractNum w:abstractNumId="22" w15:restartNumberingAfterBreak="0">
    <w:nsid w:val="3E836F05"/>
    <w:multiLevelType w:val="multilevel"/>
    <w:tmpl w:val="04090023"/>
    <w:styleLink w:val="ArticleSection"/>
    <w:lvl w:ilvl="0">
      <w:start w:val="1"/>
      <w:numFmt w:val="upperRoman"/>
      <w:lvlText w:val="Article %1."/>
      <w:lvlJc w:val="left"/>
      <w:pPr>
        <w:ind w:left="0" w:firstLine="0"/>
      </w:pPr>
      <w:rPr>
        <w:rFonts w:ascii="Arial" w:hAnsi="Arial" w:cs="Arial"/>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3FC80B1B"/>
    <w:multiLevelType w:val="singleLevel"/>
    <w:tmpl w:val="C11CD6E2"/>
    <w:lvl w:ilvl="0">
      <w:start w:val="1"/>
      <w:numFmt w:val="decimal"/>
      <w:pStyle w:val="Par-number10"/>
      <w:lvlText w:val="%1)"/>
      <w:lvlJc w:val="left"/>
      <w:pPr>
        <w:tabs>
          <w:tab w:val="num" w:pos="567"/>
        </w:tabs>
        <w:ind w:left="567" w:hanging="567"/>
      </w:pPr>
    </w:lvl>
  </w:abstractNum>
  <w:abstractNum w:abstractNumId="24"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5" w15:restartNumberingAfterBreak="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26" w15:restartNumberingAfterBreak="0">
    <w:nsid w:val="42FC077D"/>
    <w:multiLevelType w:val="singleLevel"/>
    <w:tmpl w:val="4128FD03"/>
    <w:name w:val="Tiret 5"/>
    <w:lvl w:ilvl="0">
      <w:start w:val="1"/>
      <w:numFmt w:val="bullet"/>
      <w:lvlRestart w:val="0"/>
      <w:pStyle w:val="Tiret5"/>
      <w:lvlText w:val="–"/>
      <w:lvlJc w:val="left"/>
      <w:pPr>
        <w:tabs>
          <w:tab w:val="num" w:pos="3685"/>
        </w:tabs>
        <w:ind w:left="3685" w:hanging="567"/>
      </w:pPr>
    </w:lvl>
  </w:abstractNum>
  <w:abstractNum w:abstractNumId="27" w15:restartNumberingAfterBreak="0">
    <w:nsid w:val="436E0A5D"/>
    <w:multiLevelType w:val="singleLevel"/>
    <w:tmpl w:val="9C807126"/>
    <w:lvl w:ilvl="0">
      <w:start w:val="1"/>
      <w:numFmt w:val="bullet"/>
      <w:pStyle w:val="Par-equal"/>
      <w:lvlText w:val=""/>
      <w:lvlJc w:val="left"/>
      <w:pPr>
        <w:tabs>
          <w:tab w:val="num" w:pos="567"/>
        </w:tabs>
        <w:ind w:left="567" w:hanging="567"/>
      </w:pPr>
      <w:rPr>
        <w:rFonts w:ascii="Symbol" w:hAnsi="Symbol" w:hint="default"/>
      </w:rPr>
    </w:lvl>
  </w:abstractNum>
  <w:abstractNum w:abstractNumId="28"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29" w15:restartNumberingAfterBreak="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30" w15:restartNumberingAfterBreak="0">
    <w:nsid w:val="58270A06"/>
    <w:multiLevelType w:val="multilevel"/>
    <w:tmpl w:val="0409001F"/>
    <w:styleLink w:val="111111"/>
    <w:lvl w:ilvl="0">
      <w:start w:val="1"/>
      <w:numFmt w:val="decimal"/>
      <w:lvlText w:val="%1."/>
      <w:lvlJc w:val="left"/>
      <w:pPr>
        <w:ind w:left="360" w:hanging="360"/>
      </w:pPr>
      <w:rPr>
        <w:rFonts w:ascii="Arial" w:hAnsi="Arial" w:cs="Arial"/>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32" w15:restartNumberingAfterBreak="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33"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4" w15:restartNumberingAfterBreak="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decimal"/>
      <w:pStyle w:val="Heading5"/>
      <w:lvlText w:val="%1.%2.%3.%4.%5."/>
      <w:lvlJc w:val="left"/>
      <w:pPr>
        <w:tabs>
          <w:tab w:val="num" w:pos="1417"/>
        </w:tabs>
        <w:ind w:left="1417" w:hanging="1417"/>
      </w:pPr>
    </w:lvl>
    <w:lvl w:ilvl="5">
      <w:start w:val="1"/>
      <w:numFmt w:val="decimal"/>
      <w:pStyle w:val="Heading6"/>
      <w:lvlText w:val="%1.%2.%3.%4.%5.%6."/>
      <w:lvlJc w:val="left"/>
      <w:pPr>
        <w:tabs>
          <w:tab w:val="num" w:pos="1417"/>
        </w:tabs>
        <w:ind w:left="1417" w:hanging="1417"/>
      </w:pPr>
    </w:lvl>
    <w:lvl w:ilvl="6">
      <w:start w:val="1"/>
      <w:numFmt w:val="decimal"/>
      <w:pStyle w:val="Heading7"/>
      <w:lvlText w:val="%1.%2.%3.%4.%5.%6.%7."/>
      <w:lvlJc w:val="left"/>
      <w:pPr>
        <w:tabs>
          <w:tab w:val="num" w:pos="1417"/>
        </w:tabs>
        <w:ind w:left="1417" w:hanging="1417"/>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36" w15:restartNumberingAfterBreak="0">
    <w:nsid w:val="6E4E71E4"/>
    <w:multiLevelType w:val="singleLevel"/>
    <w:tmpl w:val="21145626"/>
    <w:lvl w:ilvl="0">
      <w:start w:val="1"/>
      <w:numFmt w:val="decimal"/>
      <w:pStyle w:val="Par-number11"/>
      <w:lvlText w:val="%1."/>
      <w:lvlJc w:val="left"/>
      <w:pPr>
        <w:tabs>
          <w:tab w:val="num" w:pos="567"/>
        </w:tabs>
        <w:ind w:left="567" w:hanging="567"/>
      </w:pPr>
    </w:lvl>
  </w:abstractNum>
  <w:abstractNum w:abstractNumId="37" w15:restartNumberingAfterBreak="0">
    <w:nsid w:val="79FA34D6"/>
    <w:multiLevelType w:val="singleLevel"/>
    <w:tmpl w:val="41326E50"/>
    <w:lvl w:ilvl="0">
      <w:start w:val="1"/>
      <w:numFmt w:val="bullet"/>
      <w:pStyle w:val="Par-bullet"/>
      <w:lvlText w:val=""/>
      <w:lvlJc w:val="left"/>
      <w:pPr>
        <w:tabs>
          <w:tab w:val="num" w:pos="567"/>
        </w:tabs>
        <w:ind w:left="567" w:hanging="567"/>
      </w:pPr>
      <w:rPr>
        <w:rFonts w:ascii="Symbol" w:hAnsi="Symbol" w:hint="default"/>
      </w:rPr>
    </w:lvl>
  </w:abstractNum>
  <w:abstractNum w:abstractNumId="38"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16cid:durableId="80107164">
    <w:abstractNumId w:val="23"/>
  </w:num>
  <w:num w:numId="2" w16cid:durableId="793408120">
    <w:abstractNumId w:val="37"/>
  </w:num>
  <w:num w:numId="3" w16cid:durableId="216208617">
    <w:abstractNumId w:val="27"/>
  </w:num>
  <w:num w:numId="4" w16cid:durableId="468399560">
    <w:abstractNumId w:val="20"/>
  </w:num>
  <w:num w:numId="5" w16cid:durableId="1949117230">
    <w:abstractNumId w:val="36"/>
  </w:num>
  <w:num w:numId="6" w16cid:durableId="2096398062">
    <w:abstractNumId w:val="10"/>
  </w:num>
  <w:num w:numId="7" w16cid:durableId="721177281">
    <w:abstractNumId w:val="12"/>
  </w:num>
  <w:num w:numId="8" w16cid:durableId="1723479751">
    <w:abstractNumId w:val="18"/>
  </w:num>
  <w:num w:numId="9" w16cid:durableId="1924755424">
    <w:abstractNumId w:val="19"/>
  </w:num>
  <w:num w:numId="10" w16cid:durableId="1945454228">
    <w:abstractNumId w:val="21"/>
  </w:num>
  <w:num w:numId="11" w16cid:durableId="365563091">
    <w:abstractNumId w:val="30"/>
  </w:num>
  <w:num w:numId="12" w16cid:durableId="1489059212">
    <w:abstractNumId w:val="14"/>
  </w:num>
  <w:num w:numId="13" w16cid:durableId="2066758428">
    <w:abstractNumId w:val="22"/>
  </w:num>
  <w:num w:numId="14" w16cid:durableId="2034186751">
    <w:abstractNumId w:val="4"/>
  </w:num>
  <w:num w:numId="15" w16cid:durableId="1974748376">
    <w:abstractNumId w:val="8"/>
  </w:num>
  <w:num w:numId="16" w16cid:durableId="2080442139">
    <w:abstractNumId w:val="3"/>
  </w:num>
  <w:num w:numId="17" w16cid:durableId="282081151">
    <w:abstractNumId w:val="2"/>
  </w:num>
  <w:num w:numId="18" w16cid:durableId="1641770239">
    <w:abstractNumId w:val="1"/>
  </w:num>
  <w:num w:numId="19" w16cid:durableId="1169980906">
    <w:abstractNumId w:val="0"/>
  </w:num>
  <w:num w:numId="20" w16cid:durableId="1340935307">
    <w:abstractNumId w:val="34"/>
  </w:num>
  <w:num w:numId="21" w16cid:durableId="1532570419">
    <w:abstractNumId w:val="9"/>
  </w:num>
  <w:num w:numId="22" w16cid:durableId="331107768">
    <w:abstractNumId w:val="7"/>
  </w:num>
  <w:num w:numId="23" w16cid:durableId="1708065038">
    <w:abstractNumId w:val="6"/>
  </w:num>
  <w:num w:numId="24" w16cid:durableId="247737839">
    <w:abstractNumId w:val="5"/>
  </w:num>
  <w:num w:numId="25" w16cid:durableId="1114598399">
    <w:abstractNumId w:val="17"/>
  </w:num>
  <w:num w:numId="26" w16cid:durableId="1075476702">
    <w:abstractNumId w:val="33"/>
  </w:num>
  <w:num w:numId="27" w16cid:durableId="1226449217">
    <w:abstractNumId w:val="24"/>
  </w:num>
  <w:num w:numId="28" w16cid:durableId="544024793">
    <w:abstractNumId w:val="35"/>
  </w:num>
  <w:num w:numId="29" w16cid:durableId="800341590">
    <w:abstractNumId w:val="16"/>
  </w:num>
  <w:num w:numId="30" w16cid:durableId="1508865311">
    <w:abstractNumId w:val="25"/>
  </w:num>
  <w:num w:numId="31" w16cid:durableId="1614434413">
    <w:abstractNumId w:val="26"/>
  </w:num>
  <w:num w:numId="32" w16cid:durableId="1176653877">
    <w:abstractNumId w:val="13"/>
  </w:num>
  <w:num w:numId="33" w16cid:durableId="379406771">
    <w:abstractNumId w:val="11"/>
  </w:num>
  <w:num w:numId="34" w16cid:durableId="1752779267">
    <w:abstractNumId w:val="28"/>
  </w:num>
  <w:num w:numId="35" w16cid:durableId="1925340747">
    <w:abstractNumId w:val="31"/>
  </w:num>
  <w:num w:numId="36" w16cid:durableId="50471271">
    <w:abstractNumId w:val="32"/>
  </w:num>
  <w:num w:numId="37" w16cid:durableId="257762757">
    <w:abstractNumId w:val="15"/>
  </w:num>
  <w:num w:numId="38" w16cid:durableId="2074426924">
    <w:abstractNumId w:val="29"/>
  </w:num>
  <w:num w:numId="39" w16cid:durableId="1083141593">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embedSystemFonts/>
  <w:hideSpellingErrors/>
  <w:hideGrammaticalErrors/>
  <w:activeWritingStyle w:appName="MSWord" w:lang="en-US" w:vendorID="8" w:dllVersion="513" w:checkStyle="1"/>
  <w:activeWritingStyle w:appName="MSWord" w:lang="en-GB" w:vendorID="8" w:dllVersion="513" w:checkStyle="1"/>
  <w:activeWritingStyle w:appName="MSWord" w:lang="fr-FR" w:vendorID="9" w:dllVersion="512"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numRestart w:val="eachPage"/>
    <w:footnote w:id="-1"/>
    <w:footnote w:id="0"/>
    <w:footnote w:id="1"/>
  </w:footnotePr>
  <w:endnotePr>
    <w:numFmt w:val="decimal"/>
    <w:endnote w:id="-1"/>
    <w:endnote w:id="0"/>
  </w:endnotePr>
  <w:compat>
    <w:compatSetting w:name="compatibilityMode" w:uri="http://schemas.microsoft.com/office/word" w:val="12"/>
    <w:compatSetting w:name="useWord2013TrackBottomHyphenation" w:uri="http://schemas.microsoft.com/office/word" w:val="1"/>
  </w:compat>
  <w:docVars>
    <w:docVar w:name="CopyNum" w:val="0"/>
    <w:docVar w:name="Council" w:val="true"/>
    <w:docVar w:name="CoverPageOnWordDoc" w:val="false"/>
    <w:docVar w:name="CR_RefLast" w:val="0"/>
    <w:docVar w:name="DocuWriteMetaData" w:val="&lt;metadataset docuwriteversion=&quot;4.8.5&quot; technicalblockguid=&quot;4771101217530768315&quot;&gt;_x000d__x000a_  &lt;metadata key=&quot;md_DocumentLanguages&quot;&gt;_x000d__x000a_    &lt;basicdatatypelist&gt;_x000d__x000a_      &lt;language key=&quot;SL&quot; text=&quot;SL&quot; /&gt;_x000d__x000a_    &lt;/basicdatatypelist&gt;_x000d__x000a_  &lt;/metadata&gt;_x000d__x000a_  &lt;metadata key=&quot;md_OriginalLanguages&quot;&gt;_x000d__x000a_    &lt;basicdatatypelist&gt;_x000d__x000a_      &lt;language key=&quot;EN&quot; text=&quot;EN&quot; /&gt;_x000d__x000a_    &lt;/basicdatatypelist&gt;_x000d__x000a_  &lt;/metadata&gt;_x000d__x000a_  &lt;metadata key=&quot;md_DocumentLanguagesAutomatic&quot;&gt;_x000d__x000a_    &lt;text&gt;&lt;/text&gt;_x000d__x000a_  &lt;/metadata&gt;_x000d__x000a_  &lt;metadata key=&quot;md_UniqueHeading&quot;&gt;_x000d__x000a_    &lt;basicdatatype&gt;_x000d__x000a_      &lt;heading key=&quot;uh_64&quot; text=&quot;SPREMNI DOPIS&quot; /&gt;_x000d__x000a_    &lt;/basicdatatype&gt;_x000d__x000a_  &lt;/metadata&gt;_x000d__x000a_  &lt;metadata key=&quot;md_HeadingText&quot;&gt;_x000d__x000a_    &lt;headingtext text=&quot;SPREMNI DOPIS&quot;&gt;_x000d__x000a_      &lt;formattedtext&gt;_x000d__x000a_        &lt;xaml text=&quot;SPREMNI DOPIS&quot;&gt;&amp;lt;FlowDocument xmlns=&quot;http://schemas.microsoft.com/winfx/2006/xaml/presentation&quot;&amp;gt;&amp;lt;Paragraph&amp;gt;SPREMNI DOPIS&amp;lt;/Paragraph&amp;gt;&amp;lt;/FlowDocument&amp;gt;&lt;/xaml&gt;_x000d__x000a_      &lt;/formattedtext&gt;_x000d__x000a_    &lt;/headingtext&gt;_x000d__x000a_  &lt;/metadata&gt;_x000d__x000a_  &lt;metadata key=&quot;md_CustomFootnote&quot; /&gt;_x000d__x000a_  &lt;metadata key=&quot;md_DocumentGroup&quot;&gt;_x000d__x000a_    &lt;basicdatatype&gt;_x000d__x000a_      &lt;document_group key=&quot;dg_12&quot; text=&quot;Cover Page&quot; /&gt;_x000d__x000a_    &lt;/basicdatatype&gt;_x000d__x000a_  &lt;/metadata&gt;_x000d__x000a_  &lt;metadata key=&quot;md_DocumentType&quot;&gt;_x000d__x000a_    &lt;basicdatatype&gt;_x000d__x000a_      &lt;doc_type key=&quot;dt_ST&quot; text=&quot;ST&quot; /&gt;_x000d__x000a_    &lt;/basicdatatype&gt;_x000d__x000a_  &lt;/metadata&gt;_x000d__x000a_  &lt;metadata key=&quot;md_InstitutionalFramework&quot;&gt;_x000d__x000a_    &lt;basicdatatype&gt;_x000d__x000a_      &lt;framework key=&quot;if_01&quot; text=&quot;Svet Evropske unije&quot; institution=&quot;instfr_institution&quot; acronym=&quot;instfr_acronym&quot; /&gt;_x000d__x000a_    &lt;/basicdatatype&gt;_x000d__x000a_  &lt;/metadata&gt;_x000d__x000a_  &lt;metadata key=&quot;md_DraftNote&quot; /&gt;_x000d__x000a_  &lt;metadata key=&quot;md_DGName&quot;&gt;_x000d__x000a_    &lt;basicdatatype&gt;_x000d__x000a_      &lt;dgname key=&quot;&quot; /&gt;_x000d__x000a_    &lt;/basicdatatype&gt;_x000d__x000a_  &lt;/metadata&gt;_x000d__x000a_  &lt;metadata key=&quot;md_ContributingService&quot;&gt;_x000d__x000a_    &lt;text&gt;&lt;/text&gt;_x000d__x000a_  &lt;/metadata&gt;_x000d__x000a_  &lt;metadata key=&quot;md_DocumentLocation&quot;&gt;_x000d__x000a_    &lt;basicdatatype&gt;_x000d__x000a_      &lt;location key=&quot;loc_01&quot; text=&quot;Bruselj&quot; /&gt;_x000d__x000a_    &lt;/basicdatatype&gt;_x000d__x000a_  &lt;/metadata&gt;_x000d__x000a_  &lt;metadata key=&quot;md_DocumentDate&quot;&gt;_x000d__x000a_    &lt;text&gt;2023-12-05&lt;/text&gt;_x000d__x000a_  &lt;/metadata&gt;_x000d__x000a_  &lt;metadata key=&quot;md_Prefix&quot;&gt;_x000d__x000a_    &lt;text&gt;&lt;/text&gt;_x000d__x000a_  &lt;/metadata&gt;_x000d__x000a_  &lt;metadata key=&quot;md_DocumentNumber&quot;&gt;_x000d__x000a_    &lt;text&gt;16338&lt;/text&gt;_x000d__x000a_  &lt;/metadata&gt;_x000d__x000a_  &lt;metadata key=&quot;md_YearDocumentNumber&quot;&gt;_x000d__x000a_    &lt;text&gt;2023&lt;/text&gt;_x000d__x000a_  &lt;/metadata&gt;_x000d__x000a_  &lt;metadata key=&quot;md_Suffixes&quot;&gt;_x000d__x000a_    &lt;text&gt;&lt;/text&gt;_x000d__x000a_  &lt;/metadata&gt;_x000d__x000a_  &lt;metadata key=&quot;md_SuffixLanguagesInvolved&quot;&gt;_x000d__x000a_    &lt;text&gt;&lt;/text&gt;_x000d__x000a_  &lt;/metadata&gt;_x000d__x000a_  &lt;metadata key=&quot;md_FirstRevNumber&quot;&gt;_x000d__x000a_    &lt;text&gt;&lt;/text&gt;_x000d__x000a_  &lt;/metadata&gt;_x000d__x000a_  &lt;metadata key=&quot;md_Distribution&quot;&gt;_x000d__x000a_    &lt;basicdatatype&gt;_x000d__x000a_      &lt;distribution key=&quot;dis_01&quot; text=&quot;PUBLIC&quot; /&gt;_x000d__x000a_    &lt;/basicdatatype&gt;_x000d__x000a_  &lt;/metadata&gt;_x000d__x000a_  &lt;metadata key=&quot;md_SubjectCodes&quot;&gt;_x000d__x000a_    &lt;textlist&gt;_x000d__x000a_      &lt;text&gt;CONSOM 460&lt;/text&gt;_x000d__x000a_      &lt;text&gt;MI 1082&lt;/text&gt;_x000d__x000a_      &lt;text&gt;COMPET 1224&lt;/text&gt;_x000d__x000a_      &lt;text&gt;TOUR 44&lt;/text&gt;_x000d__x000a_      &lt;text&gt;TRANS 570&lt;/text&gt;_x000d__x000a_      &lt;text&gt;IA 344&lt;/text&gt;_x000d__x000a_      &lt;text&gt;CODEC 2379&lt;/text&gt;_x000d__x000a_    &lt;/textlist&gt;_x000d__x000a_  &lt;/metadata&gt;_x000d__x000a_  &lt;metadata key=&quot;md_Contact&quot; /&gt;_x000d__x000a_  &lt;metadata key=&quot;md_ContactPhoneFax&quot; /&gt;_x000d__x000a_  &lt;metadata key=&quot;md_MeetingVenue&quot; /&gt;_x000d__x000a_  &lt;metadata key=&quot;md_ProvisionalVersion&quot;&gt;_x000d__x000a_    &lt;text&gt;&lt;/text&gt;_x000d__x000a_  &lt;/metadata&gt;_x000d__x000a_  &lt;metadata key=&quot;md_PresidentInformation&quot; /&gt;_x000d__x000a_  &lt;metadata key=&quot;md_MeetingNumber&quot; /&gt;_x000d__x000a_  &lt;metadata key=&quot;md_CouncilConfiguration&quot; /&gt;_x000d__x000a_  &lt;metadata key=&quot;md_CouncilIssue&quot; /&gt;_x000d__x000a_  &lt;metadata key=&quot;md_PhoneNumber&quot; /&gt;_x000d__x000a_  &lt;metadata key=&quot;md_TypeOfHeading&quot;&gt;_x000d__x000a_    &lt;basicdatatype&gt;_x000d__x000a_      &lt;typeofheading key=&quot;typeofhead_06&quot; text=&quot;Other&quot; /&gt;_x000d__x000a_    &lt;/basicdatatype&gt;_x000d__x000a_  &lt;/metadata&gt;_x000d__x000a_  &lt;metadata key=&quot;md_ReplyName&quot; /&gt;_x000d__x000a_  &lt;metadata key=&quot;md_EPQuestionsData&quot; /&gt;_x000d__x000a_  &lt;metadata key=&quot;md_Deadline&quot; /&gt;_x000d__x000a_  &lt;metadata key=&quot;md_InterinstitutionalFiles&quot;&gt;_x000d__x000a_    &lt;textlist&gt;_x000d__x000a_      &lt;text&gt;2023/0435(COD)&lt;/text&gt;_x000d__x000a_    &lt;/textlist&gt;_x000d__x000a_  &lt;/metadata&gt;_x000d__x000a_  &lt;metadata key=&quot;md_AdditionalReferences&quot;&gt;_x000d__x000a_    &lt;textlist /&gt;_x000d__x000a_  &lt;/metadata&gt;_x000d__x000a_  &lt;metadata key=&quot;md_LEXNumber&quot;&gt;_x000d__x000a_    &lt;text&gt;&lt;/text&gt;_x000d__x000a_  &lt;/metadata&gt;_x000d__x000a_  &lt;metadata key=&quot;md_SousEmbargo&quot;&gt;_x000d__x000a_    &lt;text&gt;&lt;/text&gt;_x000d__x000a_  &lt;/metadata&gt;_x000d__x000a_  &lt;metadata key=&quot;md_DraftVersion&quot;&gt;_x000d__x000a_    &lt;text&gt;&lt;/text&gt;_x000d__x000a_  &lt;/metadata&gt;_x000d__x000a_  &lt;metadata key=&quot;md_Originator&quot;&gt;_x000d__x000a_    &lt;basicdatatype&gt;_x000d__x000a_      &lt;originator key=&quot;or_33&quot; text=&quot;za generalno sekretarko Evropske komisije: direktorica Martine DEPREZ&quot; /&gt;_x000d__x000a_    &lt;/basicdatatype&gt;_x000d__x000a_  &lt;/metadata&gt;_x000d__x000a_  &lt;metadata key=&quot;md_Recipient&quot;&gt;_x000d__x000a_    &lt;basicdatatype&gt;_x000d__x000a_      &lt;recipient key=&quot;re_47&quot; text=&quot;Thérèse BLANCHET, generalna sekretarka Sveta Evropske unije&quot; /&gt;_x000d__x000a_    &lt;/basicdatatype&gt;_x000d__x000a_  &lt;/metadata&gt;_x000d__x000a_  &lt;metadata key=&quot;md_DateOfReceipt&quot;&gt;_x000d__x000a_    &lt;text&gt;2023-11-30&lt;/text&gt;_x000d__x000a_  &lt;/metadata&gt;_x000d__x000a_  &lt;metadata key=&quot;md_FreeDate&quot;&gt;_x000d__x000a_    &lt;textlist /&gt;_x000d__x000a_  &lt;/metadata&gt;_x000d__x000a_  &lt;metadata key=&quot;md_PrecedingDocuments&quot;&gt;_x000d__x000a_    &lt;textlist /&gt;_x000d__x000a_  &lt;/metadata&gt;_x000d__x000a_  &lt;metadata key=&quot;md_CommissionDocuments&quot;&gt;_x000d__x000a_    &lt;textlist&gt;_x000d__x000a_      &lt;text&gt;COM(2023) 905 final&lt;/text&gt;_x000d__x000a_    &lt;/textlist&gt;_x000d__x000a_  &lt;/metadata&gt;_x000d__x000a_  &lt;metadata key=&quot;md_DocForDWNDCL&quot; /&gt;_x000d__x000a_  &lt;metadata key=&quot;md_Distribution_NewClassification&quot; /&gt;_x000d__x000a_  &lt;metadata key=&quot;md_DWNDCLAuthorization&quot; /&gt;_x000d__x000a_  &lt;metadata key=&quot;md_DateOfAuthorization&quot; /&gt;_x000d__x000a_  &lt;metadata key=&quot;md_MeetingLocation&quot; /&gt;_x000d__x000a_  &lt;metadata key=&quot;md_MeetingDate&quot; /&gt;_x000d__x000a_  &lt;metadata key=&quot;md_DateFormatOr&quot;&gt;_x000d__x000a_    &lt;text&gt;&lt;/text&gt;_x000d__x000a_  &lt;/metadata&gt;_x000d__x000a_  &lt;metadata key=&quot;md_MeetingInformation&quot; /&gt;_x000d__x000a_  &lt;metadata key=&quot;md_Item&quot; /&gt;_x000d__x000a_  &lt;metadata key=&quot;md_SubjectPrefix&quot;&gt;_x000d__x000a_    &lt;text&gt;&lt;/text&gt;_x000d__x000a_  &lt;/metadata&gt;_x000d__x000a_  &lt;metadata key=&quot;md_Subject&quot;&gt;_x000d__x000a_    &lt;xaml text=&quot;Predlog - DIREKTIVA EVROPSKEGA PARLAMENTA IN SVETA o spremembi Direktive (EU) 2015/2302 zaradi pove&amp;#269;anja u&amp;#269;inkovitosti za&amp;#353;&amp;#269;ite potnikov ter poenostavitve in pojasnitve nekaterih vidikov Direktive&quot;&gt;&amp;lt;FlowDocument FontFamily=&quot;Segoe UI&quot; FontSize=&quot;12&quot; LineHeight=&quot;6&quot; PageWidth=&quot;329&quot; PagePadding=&quot;2,2,2,2&quot; AllowDrop=&quot;False&quot; xmlns=&quot;http://schemas.microsoft.com/winfx/2006/xaml/presentation&quot; xmlns:x=&quot;http://schemas.microsoft.com/winfx/2006/xaml&quot;&amp;gt;&amp;lt;Paragraph&amp;gt;Predlog&amp;lt;Run xml:lang=&quot;en-gb&quot; xml:space=&quot;preserve&quot;&amp;gt; - &amp;lt;/Run&amp;gt;DIREKTIVA EVROPSKEGA PARLAMENTA IN SVETA o spremembi Direktive (EU) 2015/2302 zaradi pove&amp;#269;anja u&amp;#269;inkovitosti za&amp;#353;&amp;#269;ite potnikov ter poenostavitve in pojasnitve nekaterih vidikov Direktive&amp;lt;/Paragraph&amp;gt;&amp;lt;/FlowDocument&amp;gt;&lt;/xaml&gt;_x000d__x000a_  &lt;/metadata&gt;_x000d__x000a_  &lt;metadata key=&quot;md_SubjectFootnote&quot; /&gt;_x000d__x000a_  &lt;metadata key=&quot;md_DG&quot;&gt;_x000d__x000a_    &lt;text&gt;COMPET.2&lt;/text&gt;_x000d__x000a_  &lt;/metadata&gt;_x000d__x000a_  &lt;metadata key=&quot;md_Initials&quot;&gt;_x000d__x000a_    &lt;text&gt;med&lt;/text&gt;_x000d__x000a_  &lt;/metadata&gt;_x000d__x000a_  &lt;metadata key=&quot;md_SensitivityLabel&quot;&gt;_x000d__x000a_    &lt;basicdatatype&gt;_x000d__x000a_      &lt;sensitivity_label key=&quot;senslabel_02&quot; text=&quot;NON-PUBLIC&quot; labelid=&quot;b1df41d6-74a9-4a97-809c-213cd32520cc&quot; siteid=&quot;03ad1c97-0a4d-4e82-8f93-27291a6a0767&quot; isdefault=&quot;true&quot; /&gt;_x000d__x000a_    &lt;/basicdatatype&gt;_x000d__x000a_  &lt;/metadata&gt;_x000d__x000a_  &lt;metadata key=&quot;md_RectifProcedureType&quot;&gt;_x000d__x000a_    &lt;basicdatatype&gt;_x000d__x000a_      &lt;rectifprocedure key=&quot;&quot; /&gt;_x000d__x000a_    &lt;/basicdatatype&gt;_x000d__x000a_  &lt;/metadata&gt;_x000d__x000a_  &lt;metadata key=&quot;md_RectifLanguagesBase&quot; /&gt;_x000d__x000a_  &lt;metadata key=&quot;md_RectifLanguagesConcerned&quot; /&gt;_x000d__x000a_  &lt;metadata key=&quot;md_RectifIsLangSpec&quot; /&gt;_x000d__x000a_  &lt;metadata key=&quot;md_RectifLangSpecValue&quot; /&gt;_x000d__x000a_  &lt;metadata key=&quot;md_RectifNumberOfMistakes&quot; /&gt;_x000d__x000a_  &lt;metadata key=&quot;md_RectifHasRemarks&quot; /&gt;_x000d__x000a_  &lt;metadata key=&quot;md_RectifUseDocRef&quot; /&gt;_x000d__x000a_  &lt;metadata key=&quot;md_RectifDocRefNumber&quot; /&gt;_x000d__x000a_  &lt;metadata key=&quot;md_RectifDocRefDate&quot; /&gt;_x000d__x000a_  &lt;metadata key=&quot;md_RectifUseOJRef&quot; /&gt;_x000d__x000a_  &lt;metadata key=&quot;md_RectifOJRefType&quot; /&gt;_x000d__x000a_  &lt;metadata key=&quot;md_RectifOJLRefNumber&quot; /&gt;_x000d__x000a_  &lt;metadata key=&quot;md_RectifOJCRefNumber&quot; /&gt;_x000d__x000a_  &lt;metadata key=&quot;md_RectifOJLRefDate&quot; /&gt;_x000d__x000a_  &lt;metadata key=&quot;md_RectifOJCRefDate&quot; /&gt;_x000d__x000a_  &lt;metadata key=&quot;md_RectifOJLRefPage&quot; /&gt;_x000d__x000a_  &lt;metadata key=&quot;md_RectifOJCRefPage&quot; /&gt;_x000d__x000a_  &lt;metadata key=&quot;md_RectifUseOJCorRef&quot; /&gt;_x000d__x000a_  &lt;metadata key=&quot;md_RectifOJCorRefNumber&quot; /&gt;_x000d__x000a_  &lt;metadata key=&quot;md_RectifOJCorRefDate&quot; /&gt;_x000d__x000a_  &lt;metadata key=&quot;md_RectifOJCorRefPage&quot; /&gt;_x000d__x000a_  &lt;metadata key=&quot;md_RectifTimeLimit&quot; /&gt;_x000d__x000a_  &lt;metadata key=&quot;md_RectifCodecision&quot; /&gt;_x000d__x000a_  &lt;metadata key=&quot;md_RectifCorrectionNewLang&quot; /&gt;_x000d__x000a_  &lt;metadata key=&quot;md_RectifAgreement&quot; /&gt;_x000d__x000a_  &lt;metadata key=&quot;md_RectifSignature&quot; /&gt;_x000d__x000a_  &lt;metadata key=&quot;md_RectifLastMergeDate&quot; /&gt;_x000d__x000a_  &lt;metadata key=&quot;md_Rectif_Source1_UniqueHeading&quot;&gt;_x000d__x000a_    &lt;basicdatatype&gt;_x000d__x000a_      &lt;text&gt;&lt;/text&gt;_x000d__x000a_    &lt;/basicdatatype&gt;_x000d__x000a_  &lt;/metadata&gt;_x000d__x000a_  &lt;metadata key=&quot;md_Rectif_Source1_DocumentType&quot;&gt;_x000d__x000a_    &lt;basicdatatype&gt;_x000d__x000a_      &lt;doc_type key=&quot;&quot; /&gt;_x000d__x000a_    &lt;/basicdatatype&gt;_x000d__x000a_  &lt;/metadata&gt;_x000d__x000a_  &lt;metadata key=&quot;md_Rectif_Source1_DocumentNumber&quot;&gt;_x000d__x000a_    &lt;text&gt;&lt;/text&gt;_x000d__x000a_  &lt;/metadata&gt;_x000d__x000a_  &lt;metadata key=&quot;md_Rectif_Source1_YearDocumentNumber&quot;&gt;_x000d__x000a_    &lt;text&gt;2023&lt;/text&gt;_x000d__x000a_  &lt;/metadata&gt;_x000d__x000a_  &lt;metadata key=&quot;md_Rectif_Source1_Suffixes&quot;&gt;_x000d__x000a_    &lt;text&gt;&lt;/text&gt;_x000d__x000a_  &lt;/metadata&gt;_x000d__x000a_  &lt;metadata key=&quot;md_Rectif_Source2_UniqueHeading&quot;&gt;_x000d__x000a_    &lt;basicdatatype&gt;_x000d__x000a_      &lt;text&gt;&lt;/text&gt;_x000d__x000a_    &lt;/basicdatatype&gt;_x000d__x000a_  &lt;/metadata&gt;_x000d__x000a_  &lt;metadata key=&quot;md_Rectif_Source2_DocumentType&quot;&gt;_x000d__x000a_    &lt;basicdatatype&gt;_x000d__x000a_      &lt;doc_type key=&quot;&quot; /&gt;_x000d__x000a_    &lt;/basicdatatype&gt;_x000d__x000a_  &lt;/metadata&gt;_x000d__x000a_  &lt;metadata key=&quot;md_Rectif_Source2_DocumentNumber&quot;&gt;_x000d__x000a_    &lt;text&gt;&lt;/text&gt;_x000d__x000a_  &lt;/metadata&gt;_x000d__x000a_  &lt;metadata key=&quot;md_Rectif_Source2_YearDocumentNumber&quot;&gt;_x000d__x000a_    &lt;text&gt;2023&lt;/text&gt;_x000d__x000a_  &lt;/metadata&gt;_x000d__x000a_  &lt;metadata key=&quot;md_Rectif_Source2_Suffixes&quot;&gt;_x000d__x000a_    &lt;text&gt;&lt;/text&gt;_x000d__x000a_  &lt;/metadata&gt;_x000d__x000a_  &lt;metadata key=&quot;md_CoverPageDocWithCouncilFooter&quot;&gt;_x000d__x000a_    &lt;text&gt;false&lt;/text&gt;_x000d__x000a_  &lt;/metadata&gt;_x000d__x000a_  &lt;metadata key=&quot;md_SourceDocLanguage&quot;&gt;_x000d__x000a_    &lt;text&gt;SL&lt;/text&gt;_x000d__x000a_  &lt;/metadata&gt;_x000d__x000a_  &lt;metadata key=&quot;md_SourceDocType&quot;&gt;_x000d__x000a_    &lt;text&gt;Predlog _x000d__x000a_DIREKTIVA EVROPSKEGA PARLAMENTA IN SVETA&lt;/text&gt;_x000d__x000a_  &lt;/metadata&gt;_x000d__x000a_  &lt;metadata key=&quot;md_SourceDocTitle&quot;&gt;_x000d__x000a_    &lt;text&gt;o spremembi Direktive (EU) 2015/2302 zaradi pove&amp;#269;anja u&amp;#269;inkovitosti za&amp;#353;&amp;#269;ite potnikov ter poenostavitve in pojasnitve nekaterih vidikov Direktive&lt;/text&gt;_x000d__x000a_  &lt;/metadata&gt;_x000d__x000a_  &lt;metadata key=&quot;md_SourceDocIsCECDoc&quot;&gt;_x000d__x000a_    &lt;text&gt;true&lt;/text&gt;_x000d__x000a_  &lt;/metadata&gt;_x000d__x000a_  &lt;metadata key=&quot;md_NB1&quot; /&gt;_x000d__x000a_  &lt;metadata key=&quot;md_NB2&quot; /&gt;_x000d__x000a_  &lt;metadata key=&quot;md_NB3&quot; /&gt;_x000d__x000a_  &lt;metadata key=&quot;md_NB4&quot; /&gt;_x000d__x000a_  &lt;metadata key=&quot;md_NB5&quot; /&gt;_x000d__x000a_  &lt;metadata key=&quot;md_CustomNB&quot; /&gt;_x000d__x000a_  &lt;metadata key=&quot;md_Meetings&quot;&gt;_x000d__x000a_    &lt;meetings /&gt;_x000d__x000a_  &lt;/metadata&gt;_x000d__x000a_  &lt;metadata key=&quot;md_VisualRepresentation&quot;&gt;_x000d__x000a_    &lt;basicdatatype&gt;_x000d__x000a_      &lt;visualrepresentation key=&quot;visrep_02&quot; text=&quot;New visual identity&quot; /&gt;_x000d__x000a_    &lt;/basicdatatype&gt;_x000d__x000a_  &lt;/metadata&gt;_x000d__x000a_  &lt;metadata key=&quot;md_LetterData&quot; /&gt;_x000d__x000a_  &lt;metadata key=&quot;md_InstFrSubWordmark&quot;&gt;_x000d__x000a_    &lt;xaml text=&quot;&quot;&gt;&amp;lt;FlowDocument FontFamily=&quot;Segoe UI&quot; FontSize=&quot;12&quot; PagePadding=&quot;2,2,2,2&quot; AllowDrop=&quot;False&quot; xmlns=&quot;http://schemas.microsoft.com/winfx/2006/xaml/presentation&quot; /&amp;gt;&lt;/xaml&gt;_x000d__x000a_  &lt;/metadata&gt;_x000d__x000a_  &lt;metadata key=&quot;md_WorkflowLinkStatus&quot;&gt;_x000d__x000a_    &lt;text&gt;Linked&lt;/text&gt;_x000d__x000a_  &lt;/metadata&gt;_x000d__x000a_  &lt;metadata key=&quot;md_eAgendaLinkStatus&quot; /&gt;_x000d__x000a_  &lt;metadata key=&quot;md_Caveat&quot;&gt;_x000d__x000a_    &lt;text&gt;&lt;/text&gt;_x000d__x000a_  &lt;/metadata&gt;_x000d__x000a_  &lt;metadata key=&quot;md_TechnicalKey&quot; /&gt;_x000d__x000a_&lt;/metadataset&gt;"/>
    <w:docVar w:name="DQCDateTime" w:val="2024-01-17 12:18:56"/>
    <w:docVar w:name="DQCResult_Distribution" w:val="0;0"/>
    <w:docVar w:name="DQCResult_DocumentContent" w:val="0;0"/>
    <w:docVar w:name="DQCResult_DocumentSize" w:val="0;0"/>
    <w:docVar w:name="DQCResult_InvalidFootnotes" w:val="0;0"/>
    <w:docVar w:name="DQCResult_ModifiedMarkers" w:val="0;0"/>
    <w:docVar w:name="DQCResult_ModifiedNumbering" w:val="0;0"/>
    <w:docVar w:name="DQCResult_Objects" w:val="0;0"/>
    <w:docVar w:name="DQCResult_StructureCheck" w:val="0;0"/>
    <w:docVar w:name="DQCStatus" w:val="Green"/>
    <w:docVar w:name="DQCVersion" w:val="3"/>
    <w:docVar w:name="DQCWithWarnings" w:val="0"/>
    <w:docVar w:name="LW_CORRIGENDUM" w:val="&lt;UNUSED&gt;"/>
    <w:docVar w:name="LW_COVERPAGE_EXISTS" w:val="True"/>
    <w:docVar w:name="LW_COVERPAGE_GUID" w:val="8F0026B1-44C5-48E7-9B7D-8A9209A6F300"/>
    <w:docVar w:name="LW_COVERPAGE_TYPE" w:val="1"/>
    <w:docVar w:name="LW_CROSSREFERENCE" w:val="{SEC(2023) 540 final} - {SWD(2023) 905 final} - {SWD(2023) 906 final} - {SWD(2023) 907 final} - {SWD(2023) 908 final}"/>
    <w:docVar w:name="LW_DocType" w:val="COM"/>
    <w:docVar w:name="LW_EMISSION" w:val="29.11.2023"/>
    <w:docVar w:name="LW_EMISSION_ISODATE" w:val="2023-11-29"/>
    <w:docVar w:name="LW_EMISSION_LOCATION" w:val="BRX"/>
    <w:docVar w:name="LW_EMISSION_PREFIX" w:val="Bruselj, "/>
    <w:docVar w:name="LW_EMISSION_SUFFIX" w:val=" "/>
    <w:docVar w:name="LW_ID_DOCMODEL" w:val="SJ-024"/>
    <w:docVar w:name="LW_ID_DOCSIGNATURE" w:val="SJ-024"/>
    <w:docVar w:name="LW_ID_DOCSTRUCTURE" w:val="COM/PL/ORG"/>
    <w:docVar w:name="LW_ID_DOCTYPE" w:val="SJ-024"/>
    <w:docVar w:name="LW_ID_STATUT" w:val="SJ-024"/>
    <w:docVar w:name="LW_INSERT_EXP.MOTIFS.NEW" w:val="1"/>
    <w:docVar w:name="LW_INTERETEEE.CP" w:val="(Besedilo velja za EGP)"/>
    <w:docVar w:name="LW_LANGUE" w:val="SL"/>
    <w:docVar w:name="LW_LEVEL_OF_SENSITIVITY" w:val="Standard treatment"/>
    <w:docVar w:name="LW_NOM.INST" w:val="EVROPSKA KOMISIJA"/>
    <w:docVar w:name="LW_NOM.INST_JOINTDOC" w:val="&lt;EMPTY&gt;"/>
    <w:docVar w:name="LW_PART_NBR" w:val="1"/>
    <w:docVar w:name="LW_PART_NBR_TOTAL" w:val="1"/>
    <w:docVar w:name="LW_REF.II.NEW.CP" w:val="COD"/>
    <w:docVar w:name="LW_REF.II.NEW.CP_NUMBER" w:val="0435"/>
    <w:docVar w:name="LW_REF.II.NEW.CP_YEAR" w:val="2023"/>
    <w:docVar w:name="LW_REF.INST.NEW" w:val="COM"/>
    <w:docVar w:name="LW_REF.INST.NEW_ADOPTED" w:val="final"/>
    <w:docVar w:name="LW_REF.INST.NEW_TEXT" w:val="(2023) 905"/>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Predlog"/>
    <w:docVar w:name="LW_SUPERTITRE" w:val="&lt;UNUSED&gt;"/>
    <w:docVar w:name="LW_TITRE.OBJ.CP" w:val="o spremembi Direktive (EU) 2015/2302 zaradi pove\u269?anja u\u269?inkovitosti za\u353?\u269?ite potnikov ter poenostavitve in pojasnitve nekaterih vidikov Direktive_x000b__x000b_"/>
    <w:docVar w:name="LW_TYPE.DOC.CP" w:val="DIREKTIVA EVROPSKEGA PARLAMENTA IN SVETA"/>
    <w:docVar w:name="LwApiVersions" w:val="LW4CoDe 1.24.4.0; LW 9.0, Build 20240109"/>
  </w:docVars>
  <w:rsids>
    <w:rsidRoot w:val="00934504"/>
    <w:rsid w:val="0000478D"/>
    <w:rsid w:val="000145F4"/>
    <w:rsid w:val="00020A27"/>
    <w:rsid w:val="00026241"/>
    <w:rsid w:val="000449B4"/>
    <w:rsid w:val="00044E3D"/>
    <w:rsid w:val="00050351"/>
    <w:rsid w:val="0005086A"/>
    <w:rsid w:val="00054C4B"/>
    <w:rsid w:val="00067F31"/>
    <w:rsid w:val="000704DE"/>
    <w:rsid w:val="00070815"/>
    <w:rsid w:val="00074AC7"/>
    <w:rsid w:val="00075910"/>
    <w:rsid w:val="00083FBC"/>
    <w:rsid w:val="00085B76"/>
    <w:rsid w:val="000867FF"/>
    <w:rsid w:val="000924BD"/>
    <w:rsid w:val="0009569C"/>
    <w:rsid w:val="000A3826"/>
    <w:rsid w:val="000A6A38"/>
    <w:rsid w:val="000B3BF7"/>
    <w:rsid w:val="000C391D"/>
    <w:rsid w:val="000D0EAF"/>
    <w:rsid w:val="000D2B33"/>
    <w:rsid w:val="000E1C75"/>
    <w:rsid w:val="000F51D1"/>
    <w:rsid w:val="00116E9A"/>
    <w:rsid w:val="00117682"/>
    <w:rsid w:val="0012121B"/>
    <w:rsid w:val="0012665C"/>
    <w:rsid w:val="0014406C"/>
    <w:rsid w:val="00144AE5"/>
    <w:rsid w:val="001466A9"/>
    <w:rsid w:val="001556A6"/>
    <w:rsid w:val="00164E11"/>
    <w:rsid w:val="00167E65"/>
    <w:rsid w:val="00171F08"/>
    <w:rsid w:val="0017477F"/>
    <w:rsid w:val="00174E40"/>
    <w:rsid w:val="00181BED"/>
    <w:rsid w:val="001B42A6"/>
    <w:rsid w:val="001C4398"/>
    <w:rsid w:val="001D60D8"/>
    <w:rsid w:val="001E132A"/>
    <w:rsid w:val="001E5C50"/>
    <w:rsid w:val="001F59C5"/>
    <w:rsid w:val="001F7964"/>
    <w:rsid w:val="002003C6"/>
    <w:rsid w:val="0020127F"/>
    <w:rsid w:val="00204F63"/>
    <w:rsid w:val="00220AE0"/>
    <w:rsid w:val="0022170F"/>
    <w:rsid w:val="00230BCF"/>
    <w:rsid w:val="0023209D"/>
    <w:rsid w:val="002342C6"/>
    <w:rsid w:val="00234D95"/>
    <w:rsid w:val="0024283F"/>
    <w:rsid w:val="0024757C"/>
    <w:rsid w:val="0025703C"/>
    <w:rsid w:val="0026555D"/>
    <w:rsid w:val="00273D62"/>
    <w:rsid w:val="002842B9"/>
    <w:rsid w:val="00293502"/>
    <w:rsid w:val="00296475"/>
    <w:rsid w:val="002A000E"/>
    <w:rsid w:val="002B28C5"/>
    <w:rsid w:val="002C2564"/>
    <w:rsid w:val="002C7249"/>
    <w:rsid w:val="002D0849"/>
    <w:rsid w:val="002D1EFE"/>
    <w:rsid w:val="002D5B64"/>
    <w:rsid w:val="002E211F"/>
    <w:rsid w:val="002E46F1"/>
    <w:rsid w:val="002F1116"/>
    <w:rsid w:val="002F4DA9"/>
    <w:rsid w:val="0030160B"/>
    <w:rsid w:val="00301D07"/>
    <w:rsid w:val="00304636"/>
    <w:rsid w:val="00304A8B"/>
    <w:rsid w:val="00304DEB"/>
    <w:rsid w:val="003141D3"/>
    <w:rsid w:val="00322938"/>
    <w:rsid w:val="00323DF1"/>
    <w:rsid w:val="003317EC"/>
    <w:rsid w:val="00335A55"/>
    <w:rsid w:val="00365A1E"/>
    <w:rsid w:val="00376FF1"/>
    <w:rsid w:val="003812B9"/>
    <w:rsid w:val="0039090B"/>
    <w:rsid w:val="00392704"/>
    <w:rsid w:val="003B4BBB"/>
    <w:rsid w:val="003C0D6C"/>
    <w:rsid w:val="003C2D77"/>
    <w:rsid w:val="003D12D6"/>
    <w:rsid w:val="003D5361"/>
    <w:rsid w:val="003D6CA8"/>
    <w:rsid w:val="003F010B"/>
    <w:rsid w:val="003F2D8F"/>
    <w:rsid w:val="003F7522"/>
    <w:rsid w:val="00410588"/>
    <w:rsid w:val="0042363C"/>
    <w:rsid w:val="00437A9B"/>
    <w:rsid w:val="00445F2C"/>
    <w:rsid w:val="00446EA1"/>
    <w:rsid w:val="004617F3"/>
    <w:rsid w:val="00462CBB"/>
    <w:rsid w:val="0046380F"/>
    <w:rsid w:val="004650CC"/>
    <w:rsid w:val="00465B83"/>
    <w:rsid w:val="00467FCE"/>
    <w:rsid w:val="00486A76"/>
    <w:rsid w:val="00490932"/>
    <w:rsid w:val="00491ACF"/>
    <w:rsid w:val="00495BDA"/>
    <w:rsid w:val="004963B8"/>
    <w:rsid w:val="004A3A17"/>
    <w:rsid w:val="004D202F"/>
    <w:rsid w:val="004D3F10"/>
    <w:rsid w:val="004E09B5"/>
    <w:rsid w:val="004E30A8"/>
    <w:rsid w:val="004E63CA"/>
    <w:rsid w:val="004F1F3A"/>
    <w:rsid w:val="005115B2"/>
    <w:rsid w:val="00512AC5"/>
    <w:rsid w:val="005176C6"/>
    <w:rsid w:val="00517AFA"/>
    <w:rsid w:val="00522EBC"/>
    <w:rsid w:val="0053148A"/>
    <w:rsid w:val="00532413"/>
    <w:rsid w:val="005356D3"/>
    <w:rsid w:val="00544591"/>
    <w:rsid w:val="00573235"/>
    <w:rsid w:val="00573D85"/>
    <w:rsid w:val="005855B9"/>
    <w:rsid w:val="0058695F"/>
    <w:rsid w:val="00591446"/>
    <w:rsid w:val="0059199B"/>
    <w:rsid w:val="0059278A"/>
    <w:rsid w:val="005A1E90"/>
    <w:rsid w:val="005B3F3E"/>
    <w:rsid w:val="005C1DE3"/>
    <w:rsid w:val="005C4E08"/>
    <w:rsid w:val="005D11D1"/>
    <w:rsid w:val="005D2548"/>
    <w:rsid w:val="005D3C88"/>
    <w:rsid w:val="005E4761"/>
    <w:rsid w:val="005E53B2"/>
    <w:rsid w:val="005E6C65"/>
    <w:rsid w:val="005F1957"/>
    <w:rsid w:val="005F45C3"/>
    <w:rsid w:val="005F793E"/>
    <w:rsid w:val="00604699"/>
    <w:rsid w:val="00615C14"/>
    <w:rsid w:val="006164E1"/>
    <w:rsid w:val="00624C6D"/>
    <w:rsid w:val="00633694"/>
    <w:rsid w:val="00647AE7"/>
    <w:rsid w:val="00650342"/>
    <w:rsid w:val="006532F7"/>
    <w:rsid w:val="006609FB"/>
    <w:rsid w:val="00663FD8"/>
    <w:rsid w:val="006720F9"/>
    <w:rsid w:val="00681EB1"/>
    <w:rsid w:val="0069311C"/>
    <w:rsid w:val="006937B9"/>
    <w:rsid w:val="006946A4"/>
    <w:rsid w:val="006A0D97"/>
    <w:rsid w:val="006A4648"/>
    <w:rsid w:val="006A6FC6"/>
    <w:rsid w:val="006B3FE1"/>
    <w:rsid w:val="006C4285"/>
    <w:rsid w:val="006C6C26"/>
    <w:rsid w:val="006D0C36"/>
    <w:rsid w:val="006D22B5"/>
    <w:rsid w:val="006D2C19"/>
    <w:rsid w:val="006E0380"/>
    <w:rsid w:val="006E4A43"/>
    <w:rsid w:val="006E5355"/>
    <w:rsid w:val="006F22F6"/>
    <w:rsid w:val="006F3E3F"/>
    <w:rsid w:val="00703731"/>
    <w:rsid w:val="007047C6"/>
    <w:rsid w:val="00723BD1"/>
    <w:rsid w:val="00723CB0"/>
    <w:rsid w:val="007244E3"/>
    <w:rsid w:val="00742F59"/>
    <w:rsid w:val="00752EBD"/>
    <w:rsid w:val="00754CB7"/>
    <w:rsid w:val="007651B0"/>
    <w:rsid w:val="007654CE"/>
    <w:rsid w:val="0076794C"/>
    <w:rsid w:val="007705AF"/>
    <w:rsid w:val="0077612A"/>
    <w:rsid w:val="007838EE"/>
    <w:rsid w:val="0078418B"/>
    <w:rsid w:val="007A4452"/>
    <w:rsid w:val="007B0321"/>
    <w:rsid w:val="007B0D74"/>
    <w:rsid w:val="007B22FE"/>
    <w:rsid w:val="007B2BD1"/>
    <w:rsid w:val="007B6E58"/>
    <w:rsid w:val="007D0248"/>
    <w:rsid w:val="007D65B2"/>
    <w:rsid w:val="007E55FF"/>
    <w:rsid w:val="007F1BA8"/>
    <w:rsid w:val="007F38E2"/>
    <w:rsid w:val="008052E6"/>
    <w:rsid w:val="008078A1"/>
    <w:rsid w:val="00810B11"/>
    <w:rsid w:val="0081789E"/>
    <w:rsid w:val="00820D9C"/>
    <w:rsid w:val="00822084"/>
    <w:rsid w:val="0083043C"/>
    <w:rsid w:val="00853B46"/>
    <w:rsid w:val="008576F7"/>
    <w:rsid w:val="00864F6B"/>
    <w:rsid w:val="008705DF"/>
    <w:rsid w:val="0088319A"/>
    <w:rsid w:val="008831B1"/>
    <w:rsid w:val="00893507"/>
    <w:rsid w:val="008973DA"/>
    <w:rsid w:val="008A31CB"/>
    <w:rsid w:val="008B3E59"/>
    <w:rsid w:val="008D04D2"/>
    <w:rsid w:val="008D2812"/>
    <w:rsid w:val="008D3B70"/>
    <w:rsid w:val="008D3F5F"/>
    <w:rsid w:val="008D5E92"/>
    <w:rsid w:val="008D6A00"/>
    <w:rsid w:val="008E130E"/>
    <w:rsid w:val="008E1A8B"/>
    <w:rsid w:val="008E6CE1"/>
    <w:rsid w:val="008E7E62"/>
    <w:rsid w:val="008F0F94"/>
    <w:rsid w:val="008F2E98"/>
    <w:rsid w:val="00900C47"/>
    <w:rsid w:val="00901AC8"/>
    <w:rsid w:val="00907A87"/>
    <w:rsid w:val="009135EF"/>
    <w:rsid w:val="0092136C"/>
    <w:rsid w:val="009229C3"/>
    <w:rsid w:val="00925540"/>
    <w:rsid w:val="00926B39"/>
    <w:rsid w:val="00931330"/>
    <w:rsid w:val="009333D0"/>
    <w:rsid w:val="00934504"/>
    <w:rsid w:val="00946D89"/>
    <w:rsid w:val="00950B14"/>
    <w:rsid w:val="009700CD"/>
    <w:rsid w:val="009846A3"/>
    <w:rsid w:val="009908D3"/>
    <w:rsid w:val="00995506"/>
    <w:rsid w:val="009968CD"/>
    <w:rsid w:val="009A1D2C"/>
    <w:rsid w:val="009D060A"/>
    <w:rsid w:val="009D12CD"/>
    <w:rsid w:val="009D15C2"/>
    <w:rsid w:val="009D6991"/>
    <w:rsid w:val="009E0E75"/>
    <w:rsid w:val="009E3053"/>
    <w:rsid w:val="009E7878"/>
    <w:rsid w:val="009F0FE5"/>
    <w:rsid w:val="00A02C28"/>
    <w:rsid w:val="00A05051"/>
    <w:rsid w:val="00A31B5C"/>
    <w:rsid w:val="00A3456F"/>
    <w:rsid w:val="00A410BC"/>
    <w:rsid w:val="00A50B26"/>
    <w:rsid w:val="00A55EB4"/>
    <w:rsid w:val="00A56CF2"/>
    <w:rsid w:val="00A6484E"/>
    <w:rsid w:val="00A76A45"/>
    <w:rsid w:val="00A81480"/>
    <w:rsid w:val="00A83A74"/>
    <w:rsid w:val="00A8452C"/>
    <w:rsid w:val="00A9225C"/>
    <w:rsid w:val="00A960BD"/>
    <w:rsid w:val="00A9613B"/>
    <w:rsid w:val="00AA2B3B"/>
    <w:rsid w:val="00AC09FB"/>
    <w:rsid w:val="00AD020C"/>
    <w:rsid w:val="00AE01B1"/>
    <w:rsid w:val="00AE6D64"/>
    <w:rsid w:val="00AF3AF4"/>
    <w:rsid w:val="00AF5DE6"/>
    <w:rsid w:val="00B104EA"/>
    <w:rsid w:val="00B16355"/>
    <w:rsid w:val="00B244EA"/>
    <w:rsid w:val="00B33572"/>
    <w:rsid w:val="00B37E59"/>
    <w:rsid w:val="00B40E1C"/>
    <w:rsid w:val="00B55A5E"/>
    <w:rsid w:val="00B6138D"/>
    <w:rsid w:val="00B845E7"/>
    <w:rsid w:val="00B867A1"/>
    <w:rsid w:val="00B9096D"/>
    <w:rsid w:val="00B97461"/>
    <w:rsid w:val="00BB1940"/>
    <w:rsid w:val="00BC1D6D"/>
    <w:rsid w:val="00BC3FE8"/>
    <w:rsid w:val="00BE0095"/>
    <w:rsid w:val="00BE0D86"/>
    <w:rsid w:val="00BE7C2A"/>
    <w:rsid w:val="00BF1051"/>
    <w:rsid w:val="00C164C0"/>
    <w:rsid w:val="00C205CF"/>
    <w:rsid w:val="00C20D4A"/>
    <w:rsid w:val="00C22400"/>
    <w:rsid w:val="00C2443D"/>
    <w:rsid w:val="00C322C0"/>
    <w:rsid w:val="00C36C12"/>
    <w:rsid w:val="00C420F8"/>
    <w:rsid w:val="00C42857"/>
    <w:rsid w:val="00C4415B"/>
    <w:rsid w:val="00C44DE7"/>
    <w:rsid w:val="00C502FD"/>
    <w:rsid w:val="00C509CC"/>
    <w:rsid w:val="00C548E9"/>
    <w:rsid w:val="00C55246"/>
    <w:rsid w:val="00C572D7"/>
    <w:rsid w:val="00C70820"/>
    <w:rsid w:val="00C80448"/>
    <w:rsid w:val="00C82663"/>
    <w:rsid w:val="00C83670"/>
    <w:rsid w:val="00C83C6B"/>
    <w:rsid w:val="00CB5429"/>
    <w:rsid w:val="00CC5001"/>
    <w:rsid w:val="00CD35C2"/>
    <w:rsid w:val="00CE1387"/>
    <w:rsid w:val="00CE51DE"/>
    <w:rsid w:val="00CF309C"/>
    <w:rsid w:val="00CF7DDB"/>
    <w:rsid w:val="00D005A5"/>
    <w:rsid w:val="00D04E3A"/>
    <w:rsid w:val="00D125DB"/>
    <w:rsid w:val="00D17D0F"/>
    <w:rsid w:val="00D25A20"/>
    <w:rsid w:val="00D25D34"/>
    <w:rsid w:val="00D31A71"/>
    <w:rsid w:val="00D34375"/>
    <w:rsid w:val="00D40257"/>
    <w:rsid w:val="00D43DD5"/>
    <w:rsid w:val="00D518FF"/>
    <w:rsid w:val="00D5388E"/>
    <w:rsid w:val="00D565A6"/>
    <w:rsid w:val="00D605D1"/>
    <w:rsid w:val="00D62167"/>
    <w:rsid w:val="00D62B93"/>
    <w:rsid w:val="00D647BE"/>
    <w:rsid w:val="00D852EB"/>
    <w:rsid w:val="00D92A7A"/>
    <w:rsid w:val="00D954D7"/>
    <w:rsid w:val="00D96E50"/>
    <w:rsid w:val="00D97143"/>
    <w:rsid w:val="00DA36BB"/>
    <w:rsid w:val="00DA4E75"/>
    <w:rsid w:val="00DB1333"/>
    <w:rsid w:val="00DB4C36"/>
    <w:rsid w:val="00DC015F"/>
    <w:rsid w:val="00DC0246"/>
    <w:rsid w:val="00DC2E59"/>
    <w:rsid w:val="00DD54E0"/>
    <w:rsid w:val="00DE1D55"/>
    <w:rsid w:val="00DE42A7"/>
    <w:rsid w:val="00DF1147"/>
    <w:rsid w:val="00DF26D6"/>
    <w:rsid w:val="00E05DC1"/>
    <w:rsid w:val="00E1010A"/>
    <w:rsid w:val="00E1165C"/>
    <w:rsid w:val="00E2272B"/>
    <w:rsid w:val="00E24AA5"/>
    <w:rsid w:val="00E45613"/>
    <w:rsid w:val="00E47DAB"/>
    <w:rsid w:val="00E53E29"/>
    <w:rsid w:val="00E5556D"/>
    <w:rsid w:val="00E55E75"/>
    <w:rsid w:val="00E56089"/>
    <w:rsid w:val="00E60683"/>
    <w:rsid w:val="00E6616C"/>
    <w:rsid w:val="00E91163"/>
    <w:rsid w:val="00E96830"/>
    <w:rsid w:val="00EC1C03"/>
    <w:rsid w:val="00ED52B4"/>
    <w:rsid w:val="00EE00BA"/>
    <w:rsid w:val="00EE65CE"/>
    <w:rsid w:val="00EE6E72"/>
    <w:rsid w:val="00F030A6"/>
    <w:rsid w:val="00F03C8D"/>
    <w:rsid w:val="00F065AC"/>
    <w:rsid w:val="00F07F71"/>
    <w:rsid w:val="00F26BF3"/>
    <w:rsid w:val="00F27B73"/>
    <w:rsid w:val="00F42ECF"/>
    <w:rsid w:val="00F5290C"/>
    <w:rsid w:val="00F531A2"/>
    <w:rsid w:val="00F5563E"/>
    <w:rsid w:val="00F64303"/>
    <w:rsid w:val="00F651A1"/>
    <w:rsid w:val="00F65A71"/>
    <w:rsid w:val="00F73843"/>
    <w:rsid w:val="00F75257"/>
    <w:rsid w:val="00F83FDE"/>
    <w:rsid w:val="00FA1340"/>
    <w:rsid w:val="00FA264E"/>
    <w:rsid w:val="00FB15E2"/>
    <w:rsid w:val="00FC64C6"/>
    <w:rsid w:val="00FD71FF"/>
    <w:rsid w:val="00FF5D2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1F95B59"/>
  <w15:chartTrackingRefBased/>
  <w15:docId w15:val="{38B3EA31-54E1-4EEC-B3FB-475002DA7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120" w:after="120" w:line="240" w:lineRule="auto"/>
      <w:jc w:val="both"/>
    </w:pPr>
    <w:rPr>
      <w:rFonts w:ascii="Times New Roman" w:hAnsi="Times New Roman" w:cs="Times New Roman"/>
      <w:sz w:val="24"/>
      <w:lang w:val="sl-SI"/>
    </w:rPr>
  </w:style>
  <w:style w:type="paragraph" w:styleId="Heading1">
    <w:name w:val="heading 1"/>
    <w:basedOn w:val="Normal"/>
    <w:next w:val="Text1"/>
    <w:link w:val="Heading1Char"/>
    <w:uiPriority w:val="9"/>
    <w:qFormat/>
    <w:pPr>
      <w:keepNext/>
      <w:numPr>
        <w:numId w:val="2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0"/>
      </w:numPr>
      <w:outlineLvl w:val="3"/>
    </w:pPr>
    <w:rPr>
      <w:rFonts w:eastAsiaTheme="majorEastAsia"/>
      <w:bCs/>
      <w:iCs/>
    </w:rPr>
  </w:style>
  <w:style w:type="paragraph" w:styleId="Heading5">
    <w:name w:val="heading 5"/>
    <w:basedOn w:val="Normal"/>
    <w:next w:val="Text2"/>
    <w:link w:val="Heading5Char"/>
    <w:uiPriority w:val="9"/>
    <w:semiHidden/>
    <w:unhideWhenUsed/>
    <w:qFormat/>
    <w:pPr>
      <w:keepNext/>
      <w:numPr>
        <w:ilvl w:val="4"/>
        <w:numId w:val="20"/>
      </w:numPr>
      <w:outlineLvl w:val="4"/>
    </w:pPr>
    <w:rPr>
      <w:rFonts w:eastAsiaTheme="majorEastAsia"/>
    </w:rPr>
  </w:style>
  <w:style w:type="paragraph" w:styleId="Heading6">
    <w:name w:val="heading 6"/>
    <w:basedOn w:val="Normal"/>
    <w:next w:val="Text2"/>
    <w:link w:val="Heading6Char"/>
    <w:uiPriority w:val="9"/>
    <w:semiHidden/>
    <w:unhideWhenUsed/>
    <w:qFormat/>
    <w:pPr>
      <w:keepNext/>
      <w:numPr>
        <w:ilvl w:val="5"/>
        <w:numId w:val="20"/>
      </w:numPr>
      <w:outlineLvl w:val="5"/>
    </w:pPr>
    <w:rPr>
      <w:rFonts w:eastAsiaTheme="majorEastAsia"/>
      <w:iCs/>
    </w:rPr>
  </w:style>
  <w:style w:type="paragraph" w:styleId="Heading7">
    <w:name w:val="heading 7"/>
    <w:basedOn w:val="Normal"/>
    <w:next w:val="Text2"/>
    <w:link w:val="Heading7Char"/>
    <w:uiPriority w:val="9"/>
    <w:semiHidden/>
    <w:unhideWhenUsed/>
    <w:qFormat/>
    <w:pPr>
      <w:keepNext/>
      <w:numPr>
        <w:ilvl w:val="6"/>
        <w:numId w:val="20"/>
      </w:numPr>
      <w:outlineLvl w:val="6"/>
    </w:pPr>
    <w:rPr>
      <w:rFonts w:eastAsiaTheme="majorEastAsia"/>
      <w:iCs/>
    </w:rPr>
  </w:style>
  <w:style w:type="paragraph" w:styleId="Heading8">
    <w:name w:val="heading 8"/>
    <w:basedOn w:val="Normal"/>
    <w:next w:val="Normal"/>
    <w:qFormat/>
    <w:pPr>
      <w:spacing w:before="240" w:after="60"/>
      <w:outlineLvl w:val="7"/>
    </w:pPr>
    <w:rPr>
      <w:i/>
      <w:sz w:val="20"/>
    </w:rPr>
  </w:style>
  <w:style w:type="paragraph" w:styleId="Heading9">
    <w:name w:val="heading 9"/>
    <w:basedOn w:val="Normal"/>
    <w:next w:val="Normal"/>
    <w:qFormat/>
    <w:pPr>
      <w:spacing w:before="240" w:after="60"/>
      <w:outlineLvl w:val="8"/>
    </w:pPr>
    <w:rPr>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BEntInstit">
    <w:name w:val="TBEntInstit"/>
    <w:basedOn w:val="TechnicalBlockBase"/>
    <w:link w:val="EntInstitChar"/>
    <w:rsid w:val="003D6CA8"/>
    <w:pPr>
      <w:spacing w:before="0" w:after="0" w:line="240" w:lineRule="auto"/>
      <w:ind w:left="0" w:right="0"/>
      <w:jc w:val="right"/>
    </w:pPr>
    <w:rPr>
      <w:rFonts w:ascii="Arial" w:hAnsi="Arial"/>
      <w:i w:val="0"/>
      <w:dstrike w:val="0"/>
      <w:color w:val="auto"/>
      <w:w w:val="100"/>
      <w:sz w:val="23"/>
      <w:u w:val="none"/>
    </w:rPr>
  </w:style>
  <w:style w:type="paragraph" w:customStyle="1" w:styleId="TBEntRefer">
    <w:name w:val="TBEntRefer"/>
    <w:basedOn w:val="TechnicalBlockBase"/>
    <w:rsid w:val="003D6CA8"/>
    <w:pPr>
      <w:spacing w:before="0" w:after="0" w:line="240" w:lineRule="auto"/>
      <w:ind w:left="0" w:right="0"/>
    </w:pPr>
    <w:rPr>
      <w:rFonts w:ascii="Arial" w:hAnsi="Arial"/>
      <w:i w:val="0"/>
      <w:dstrike w:val="0"/>
      <w:color w:val="auto"/>
      <w:w w:val="100"/>
      <w:sz w:val="23"/>
      <w:u w:val="none"/>
    </w:rPr>
  </w:style>
  <w:style w:type="paragraph" w:customStyle="1" w:styleId="Par-number10">
    <w:name w:val="Par-number 1)"/>
    <w:basedOn w:val="Normal"/>
    <w:next w:val="Normal"/>
    <w:pPr>
      <w:numPr>
        <w:numId w:val="1"/>
      </w:numPr>
    </w:pPr>
  </w:style>
  <w:style w:type="paragraph" w:customStyle="1" w:styleId="EntEmet">
    <w:name w:val="EntEmet"/>
    <w:basedOn w:val="Normal"/>
    <w:pPr>
      <w:tabs>
        <w:tab w:val="left" w:pos="284"/>
        <w:tab w:val="left" w:pos="567"/>
        <w:tab w:val="left" w:pos="851"/>
        <w:tab w:val="left" w:pos="1134"/>
        <w:tab w:val="left" w:pos="1418"/>
      </w:tabs>
      <w:spacing w:before="40"/>
    </w:pPr>
  </w:style>
  <w:style w:type="paragraph" w:customStyle="1" w:styleId="Par-bullet">
    <w:name w:val="Par-bullet"/>
    <w:basedOn w:val="Normal"/>
    <w:next w:val="Normal"/>
    <w:pPr>
      <w:numPr>
        <w:numId w:val="2"/>
      </w:numPr>
    </w:pPr>
  </w:style>
  <w:style w:type="paragraph" w:customStyle="1" w:styleId="Par-equal">
    <w:name w:val="Par-equal"/>
    <w:basedOn w:val="Normal"/>
    <w:next w:val="Normal"/>
    <w:pPr>
      <w:numPr>
        <w:numId w:val="3"/>
      </w:numPr>
    </w:pPr>
  </w:style>
  <w:style w:type="paragraph" w:customStyle="1" w:styleId="Par-number1">
    <w:name w:val="Par-number (1)"/>
    <w:basedOn w:val="Normal"/>
    <w:next w:val="Normal"/>
    <w:pPr>
      <w:numPr>
        <w:numId w:val="4"/>
      </w:numPr>
    </w:pPr>
  </w:style>
  <w:style w:type="paragraph" w:customStyle="1" w:styleId="Par-number11">
    <w:name w:val="Par-number 1."/>
    <w:basedOn w:val="Normal"/>
    <w:next w:val="Normal"/>
    <w:pPr>
      <w:numPr>
        <w:numId w:val="5"/>
      </w:numPr>
    </w:pPr>
  </w:style>
  <w:style w:type="paragraph" w:customStyle="1" w:styleId="Par-numberI">
    <w:name w:val="Par-number I."/>
    <w:basedOn w:val="Normal"/>
    <w:next w:val="Normal"/>
    <w:pPr>
      <w:numPr>
        <w:numId w:val="6"/>
      </w:numPr>
    </w:pPr>
  </w:style>
  <w:style w:type="paragraph" w:customStyle="1" w:styleId="Par-dash">
    <w:name w:val="Par-dash"/>
    <w:basedOn w:val="Normal"/>
    <w:next w:val="Normal"/>
    <w:pPr>
      <w:numPr>
        <w:numId w:val="7"/>
      </w:numPr>
    </w:pPr>
  </w:style>
  <w:style w:type="paragraph" w:customStyle="1" w:styleId="EntLogo">
    <w:name w:val="EntLogo"/>
    <w:basedOn w:val="Normal"/>
    <w:rPr>
      <w:b/>
    </w:rPr>
  </w:style>
  <w:style w:type="paragraph" w:customStyle="1" w:styleId="Par-numberA">
    <w:name w:val="Par-number A."/>
    <w:basedOn w:val="Normal"/>
    <w:next w:val="Normal"/>
    <w:pPr>
      <w:numPr>
        <w:numId w:val="8"/>
      </w:numPr>
    </w:pPr>
  </w:style>
  <w:style w:type="paragraph" w:styleId="EndnoteText">
    <w:name w:val="endnote text"/>
    <w:basedOn w:val="Normal"/>
    <w:pPr>
      <w:tabs>
        <w:tab w:val="left" w:pos="567"/>
      </w:tabs>
      <w:ind w:left="567" w:hanging="567"/>
    </w:pPr>
  </w:style>
  <w:style w:type="character" w:styleId="EndnoteReference">
    <w:name w:val="endnote reference"/>
    <w:rPr>
      <w:b/>
      <w:vertAlign w:val="superscript"/>
    </w:rPr>
  </w:style>
  <w:style w:type="paragraph" w:customStyle="1" w:styleId="AC">
    <w:name w:val="AC"/>
    <w:basedOn w:val="Normal"/>
    <w:next w:val="Normal"/>
    <w:rPr>
      <w:b/>
      <w:sz w:val="40"/>
    </w:rPr>
  </w:style>
  <w:style w:type="character" w:styleId="PageNumber">
    <w:name w:val="page number"/>
    <w:basedOn w:val="DefaultParagraphFont"/>
  </w:style>
  <w:style w:type="paragraph" w:customStyle="1" w:styleId="Par-numberi0">
    <w:name w:val="Par-number (i)"/>
    <w:basedOn w:val="Normal"/>
    <w:next w:val="Normal"/>
    <w:pPr>
      <w:numPr>
        <w:numId w:val="9"/>
      </w:numPr>
      <w:tabs>
        <w:tab w:val="clear" w:pos="720"/>
        <w:tab w:val="left" w:pos="567"/>
      </w:tabs>
    </w:pPr>
  </w:style>
  <w:style w:type="paragraph" w:customStyle="1" w:styleId="Par-numbera0">
    <w:name w:val="Par-number (a)"/>
    <w:basedOn w:val="Normal"/>
    <w:next w:val="Normal"/>
    <w:pPr>
      <w:numPr>
        <w:numId w:val="10"/>
      </w:numPr>
    </w:pPr>
  </w:style>
  <w:style w:type="character" w:customStyle="1" w:styleId="DontTranslate">
    <w:name w:val="DontTranslate"/>
    <w:rsid w:val="003D12D6"/>
    <w:rPr>
      <w:color w:val="auto"/>
    </w:rPr>
  </w:style>
  <w:style w:type="paragraph" w:customStyle="1" w:styleId="AddReference">
    <w:name w:val="Add Reference"/>
    <w:basedOn w:val="Normal"/>
    <w:rsid w:val="00A83A74"/>
    <w:pPr>
      <w:pBdr>
        <w:top w:val="single" w:sz="4" w:space="1" w:color="auto"/>
        <w:left w:val="single" w:sz="4" w:space="4" w:color="auto"/>
        <w:bottom w:val="single" w:sz="4" w:space="1" w:color="auto"/>
        <w:right w:val="single" w:sz="4" w:space="4" w:color="auto"/>
      </w:pBdr>
      <w:ind w:left="7655" w:right="-454"/>
    </w:pPr>
    <w:rPr>
      <w:i/>
      <w:sz w:val="20"/>
    </w:rPr>
  </w:style>
  <w:style w:type="paragraph" w:customStyle="1" w:styleId="TBEntReferNew">
    <w:name w:val="TBEntReferNew"/>
    <w:basedOn w:val="TechnicalBlockBase"/>
    <w:rsid w:val="003D6CA8"/>
    <w:pPr>
      <w:widowControl/>
      <w:spacing w:before="0" w:after="0" w:line="240" w:lineRule="auto"/>
      <w:ind w:left="0" w:right="0"/>
      <w:jc w:val="center"/>
    </w:pPr>
    <w:rPr>
      <w:rFonts w:ascii="Arial" w:hAnsi="Arial"/>
      <w:bCs/>
      <w:i w:val="0"/>
      <w:dstrike w:val="0"/>
      <w:color w:val="auto"/>
      <w:w w:val="100"/>
      <w:sz w:val="24"/>
      <w:szCs w:val="24"/>
      <w:u w:val="none"/>
      <w:lang w:eastAsia="en-US"/>
    </w:rPr>
  </w:style>
  <w:style w:type="paragraph" w:customStyle="1" w:styleId="TBInstitution">
    <w:name w:val="TBInstitution"/>
    <w:basedOn w:val="TechnicalBlockBase"/>
    <w:rsid w:val="003D6CA8"/>
    <w:pPr>
      <w:spacing w:before="0" w:after="40" w:line="216" w:lineRule="auto"/>
      <w:ind w:left="0" w:right="0"/>
    </w:pPr>
    <w:rPr>
      <w:rFonts w:ascii="Arial" w:hAnsi="Arial"/>
      <w:i w:val="0"/>
      <w:dstrike w:val="0"/>
      <w:color w:val="4D4D4D"/>
      <w:w w:val="100"/>
      <w:sz w:val="23"/>
      <w:szCs w:val="23"/>
      <w:u w:val="none"/>
    </w:rPr>
  </w:style>
  <w:style w:type="paragraph" w:styleId="BalloonText">
    <w:name w:val="Balloon Text"/>
    <w:basedOn w:val="Normal"/>
    <w:semiHidden/>
    <w:rsid w:val="007D0248"/>
    <w:rPr>
      <w:sz w:val="16"/>
      <w:szCs w:val="16"/>
    </w:rPr>
  </w:style>
  <w:style w:type="paragraph" w:customStyle="1" w:styleId="TBNormalTechnicalBlock">
    <w:name w:val="TBNormalTechnicalBlock"/>
    <w:basedOn w:val="TechnicalBlockBase"/>
    <w:rsid w:val="003D6CA8"/>
    <w:pPr>
      <w:spacing w:before="0" w:after="0" w:line="216" w:lineRule="auto"/>
      <w:ind w:left="0" w:right="0"/>
    </w:pPr>
    <w:rPr>
      <w:rFonts w:ascii="Arial" w:hAnsi="Arial"/>
      <w:i w:val="0"/>
      <w:dstrike w:val="0"/>
      <w:color w:val="auto"/>
      <w:w w:val="100"/>
      <w:sz w:val="23"/>
      <w:szCs w:val="23"/>
      <w:u w:val="none"/>
    </w:rPr>
  </w:style>
  <w:style w:type="paragraph" w:customStyle="1" w:styleId="InstitutionNarrow">
    <w:name w:val="Institution Narrow"/>
    <w:basedOn w:val="TBInstitution"/>
    <w:qFormat/>
    <w:rsid w:val="004963B8"/>
    <w:rPr>
      <w:spacing w:val="-2"/>
      <w:sz w:val="22"/>
      <w:u w:val="single"/>
    </w:rPr>
  </w:style>
  <w:style w:type="paragraph" w:customStyle="1" w:styleId="TBInstitutionSubwordmark">
    <w:name w:val="TBInstitutionSubwordmark"/>
    <w:basedOn w:val="TechnicalBlockBase"/>
    <w:rsid w:val="003D6CA8"/>
    <w:pPr>
      <w:spacing w:before="120" w:after="40" w:line="216" w:lineRule="auto"/>
      <w:ind w:left="0" w:right="0"/>
    </w:pPr>
    <w:rPr>
      <w:rFonts w:ascii="Arial" w:hAnsi="Arial"/>
      <w:b w:val="0"/>
      <w:i w:val="0"/>
      <w:dstrike w:val="0"/>
      <w:color w:val="4D4D4D"/>
      <w:w w:val="100"/>
      <w:sz w:val="23"/>
      <w:u w:val="none"/>
    </w:rPr>
  </w:style>
  <w:style w:type="numbering" w:styleId="111111">
    <w:name w:val="Outline List 2"/>
    <w:basedOn w:val="NoList"/>
    <w:uiPriority w:val="99"/>
    <w:semiHidden/>
    <w:unhideWhenUsed/>
    <w:rsid w:val="00742F59"/>
    <w:pPr>
      <w:numPr>
        <w:numId w:val="11"/>
      </w:numPr>
    </w:pPr>
  </w:style>
  <w:style w:type="numbering" w:styleId="1ai">
    <w:name w:val="Outline List 1"/>
    <w:basedOn w:val="NoList"/>
    <w:uiPriority w:val="99"/>
    <w:semiHidden/>
    <w:unhideWhenUsed/>
    <w:rsid w:val="00742F59"/>
    <w:pPr>
      <w:numPr>
        <w:numId w:val="12"/>
      </w:numPr>
    </w:pPr>
  </w:style>
  <w:style w:type="numbering" w:styleId="ArticleSection">
    <w:name w:val="Outline List 3"/>
    <w:basedOn w:val="NoList"/>
    <w:uiPriority w:val="99"/>
    <w:semiHidden/>
    <w:unhideWhenUsed/>
    <w:rsid w:val="00742F59"/>
    <w:pPr>
      <w:numPr>
        <w:numId w:val="13"/>
      </w:numPr>
    </w:pPr>
  </w:style>
  <w:style w:type="paragraph" w:styleId="Bibliography">
    <w:name w:val="Bibliography"/>
    <w:basedOn w:val="Normal"/>
    <w:next w:val="Normal"/>
    <w:uiPriority w:val="37"/>
    <w:semiHidden/>
    <w:unhideWhenUsed/>
    <w:rsid w:val="00742F59"/>
  </w:style>
  <w:style w:type="paragraph" w:styleId="BlockText">
    <w:name w:val="Block Text"/>
    <w:basedOn w:val="Normal"/>
    <w:uiPriority w:val="99"/>
    <w:semiHidden/>
    <w:unhideWhenUsed/>
    <w:rsid w:val="00742F59"/>
    <w:pPr>
      <w:ind w:left="1440" w:right="1440"/>
    </w:pPr>
  </w:style>
  <w:style w:type="paragraph" w:styleId="BodyText">
    <w:name w:val="Body Text"/>
    <w:basedOn w:val="Normal"/>
    <w:link w:val="BodyTextChar"/>
    <w:uiPriority w:val="99"/>
    <w:semiHidden/>
    <w:unhideWhenUsed/>
    <w:rsid w:val="00742F59"/>
  </w:style>
  <w:style w:type="character" w:customStyle="1" w:styleId="BodyTextChar">
    <w:name w:val="Body Text Char"/>
    <w:link w:val="BodyText"/>
    <w:uiPriority w:val="99"/>
    <w:semiHidden/>
    <w:rsid w:val="00742F59"/>
    <w:rPr>
      <w:rFonts w:ascii="Arial" w:hAnsi="Arial" w:cs="Arial"/>
      <w:sz w:val="23"/>
      <w:lang w:val="en-GB" w:eastAsia="fr-BE"/>
    </w:rPr>
  </w:style>
  <w:style w:type="paragraph" w:styleId="BodyText2">
    <w:name w:val="Body Text 2"/>
    <w:basedOn w:val="Normal"/>
    <w:link w:val="BodyText2Char"/>
    <w:uiPriority w:val="99"/>
    <w:semiHidden/>
    <w:unhideWhenUsed/>
    <w:rsid w:val="00742F59"/>
    <w:pPr>
      <w:spacing w:line="480" w:lineRule="auto"/>
    </w:pPr>
  </w:style>
  <w:style w:type="character" w:customStyle="1" w:styleId="BodyText2Char">
    <w:name w:val="Body Text 2 Char"/>
    <w:link w:val="BodyText2"/>
    <w:uiPriority w:val="99"/>
    <w:semiHidden/>
    <w:rsid w:val="00742F59"/>
    <w:rPr>
      <w:rFonts w:ascii="Arial" w:hAnsi="Arial" w:cs="Arial"/>
      <w:sz w:val="23"/>
      <w:lang w:val="en-GB" w:eastAsia="fr-BE"/>
    </w:rPr>
  </w:style>
  <w:style w:type="paragraph" w:styleId="BodyText3">
    <w:name w:val="Body Text 3"/>
    <w:basedOn w:val="Normal"/>
    <w:link w:val="BodyText3Char"/>
    <w:uiPriority w:val="99"/>
    <w:semiHidden/>
    <w:unhideWhenUsed/>
    <w:rsid w:val="00742F59"/>
    <w:rPr>
      <w:sz w:val="16"/>
      <w:szCs w:val="16"/>
    </w:rPr>
  </w:style>
  <w:style w:type="character" w:customStyle="1" w:styleId="BodyText3Char">
    <w:name w:val="Body Text 3 Char"/>
    <w:link w:val="BodyText3"/>
    <w:uiPriority w:val="99"/>
    <w:semiHidden/>
    <w:rsid w:val="00742F59"/>
    <w:rPr>
      <w:rFonts w:ascii="Arial" w:hAnsi="Arial" w:cs="Arial"/>
      <w:sz w:val="16"/>
      <w:szCs w:val="16"/>
      <w:lang w:val="en-GB" w:eastAsia="fr-BE"/>
    </w:rPr>
  </w:style>
  <w:style w:type="paragraph" w:styleId="BodyTextFirstIndent">
    <w:name w:val="Body Text First Indent"/>
    <w:basedOn w:val="BodyText"/>
    <w:link w:val="BodyTextFirstIndentChar"/>
    <w:uiPriority w:val="99"/>
    <w:semiHidden/>
    <w:unhideWhenUsed/>
    <w:rsid w:val="00742F59"/>
    <w:pPr>
      <w:ind w:firstLine="210"/>
    </w:pPr>
  </w:style>
  <w:style w:type="character" w:customStyle="1" w:styleId="BodyTextFirstIndentChar">
    <w:name w:val="Body Text First Indent Char"/>
    <w:basedOn w:val="BodyTextChar"/>
    <w:link w:val="BodyTextFirstIndent"/>
    <w:uiPriority w:val="99"/>
    <w:semiHidden/>
    <w:rsid w:val="00742F59"/>
    <w:rPr>
      <w:rFonts w:ascii="Arial" w:hAnsi="Arial" w:cs="Arial"/>
      <w:sz w:val="23"/>
      <w:lang w:val="en-GB" w:eastAsia="fr-BE"/>
    </w:rPr>
  </w:style>
  <w:style w:type="paragraph" w:styleId="BodyTextIndent">
    <w:name w:val="Body Text Indent"/>
    <w:basedOn w:val="Normal"/>
    <w:link w:val="BodyTextIndentChar"/>
    <w:uiPriority w:val="99"/>
    <w:semiHidden/>
    <w:unhideWhenUsed/>
    <w:rsid w:val="00742F59"/>
    <w:pPr>
      <w:ind w:left="360"/>
    </w:pPr>
  </w:style>
  <w:style w:type="character" w:customStyle="1" w:styleId="BodyTextIndentChar">
    <w:name w:val="Body Text Indent Char"/>
    <w:link w:val="BodyTextIndent"/>
    <w:uiPriority w:val="99"/>
    <w:semiHidden/>
    <w:rsid w:val="00742F59"/>
    <w:rPr>
      <w:rFonts w:ascii="Arial" w:hAnsi="Arial" w:cs="Arial"/>
      <w:sz w:val="23"/>
      <w:lang w:val="en-GB" w:eastAsia="fr-BE"/>
    </w:rPr>
  </w:style>
  <w:style w:type="paragraph" w:styleId="BodyTextFirstIndent2">
    <w:name w:val="Body Text First Indent 2"/>
    <w:basedOn w:val="BodyTextIndent"/>
    <w:link w:val="BodyTextFirstIndent2Char"/>
    <w:uiPriority w:val="99"/>
    <w:semiHidden/>
    <w:unhideWhenUsed/>
    <w:rsid w:val="00742F59"/>
    <w:pPr>
      <w:ind w:firstLine="210"/>
    </w:pPr>
  </w:style>
  <w:style w:type="character" w:customStyle="1" w:styleId="BodyTextFirstIndent2Char">
    <w:name w:val="Body Text First Indent 2 Char"/>
    <w:basedOn w:val="BodyTextIndentChar"/>
    <w:link w:val="BodyTextFirstIndent2"/>
    <w:uiPriority w:val="99"/>
    <w:semiHidden/>
    <w:rsid w:val="00742F59"/>
    <w:rPr>
      <w:rFonts w:ascii="Arial" w:hAnsi="Arial" w:cs="Arial"/>
      <w:sz w:val="23"/>
      <w:lang w:val="en-GB" w:eastAsia="fr-BE"/>
    </w:rPr>
  </w:style>
  <w:style w:type="paragraph" w:styleId="BodyTextIndent2">
    <w:name w:val="Body Text Indent 2"/>
    <w:basedOn w:val="Normal"/>
    <w:link w:val="BodyTextIndent2Char"/>
    <w:uiPriority w:val="99"/>
    <w:semiHidden/>
    <w:unhideWhenUsed/>
    <w:rsid w:val="00742F59"/>
    <w:pPr>
      <w:spacing w:line="480" w:lineRule="auto"/>
      <w:ind w:left="360"/>
    </w:pPr>
  </w:style>
  <w:style w:type="character" w:customStyle="1" w:styleId="BodyTextIndent2Char">
    <w:name w:val="Body Text Indent 2 Char"/>
    <w:link w:val="BodyTextIndent2"/>
    <w:uiPriority w:val="99"/>
    <w:semiHidden/>
    <w:rsid w:val="00742F59"/>
    <w:rPr>
      <w:rFonts w:ascii="Arial" w:hAnsi="Arial" w:cs="Arial"/>
      <w:sz w:val="23"/>
      <w:lang w:val="en-GB" w:eastAsia="fr-BE"/>
    </w:rPr>
  </w:style>
  <w:style w:type="paragraph" w:styleId="BodyTextIndent3">
    <w:name w:val="Body Text Indent 3"/>
    <w:basedOn w:val="Normal"/>
    <w:link w:val="BodyTextIndent3Char"/>
    <w:uiPriority w:val="99"/>
    <w:semiHidden/>
    <w:unhideWhenUsed/>
    <w:rsid w:val="00742F59"/>
    <w:pPr>
      <w:ind w:left="360"/>
    </w:pPr>
    <w:rPr>
      <w:sz w:val="16"/>
      <w:szCs w:val="16"/>
    </w:rPr>
  </w:style>
  <w:style w:type="character" w:customStyle="1" w:styleId="BodyTextIndent3Char">
    <w:name w:val="Body Text Indent 3 Char"/>
    <w:link w:val="BodyTextIndent3"/>
    <w:uiPriority w:val="99"/>
    <w:semiHidden/>
    <w:rsid w:val="00742F59"/>
    <w:rPr>
      <w:rFonts w:ascii="Arial" w:hAnsi="Arial" w:cs="Arial"/>
      <w:sz w:val="16"/>
      <w:szCs w:val="16"/>
      <w:lang w:val="en-GB" w:eastAsia="fr-BE"/>
    </w:rPr>
  </w:style>
  <w:style w:type="character" w:styleId="BookTitle">
    <w:name w:val="Book Title"/>
    <w:uiPriority w:val="33"/>
    <w:qFormat/>
    <w:rsid w:val="00742F59"/>
    <w:rPr>
      <w:b/>
      <w:bCs/>
      <w:smallCaps/>
      <w:spacing w:val="5"/>
    </w:rPr>
  </w:style>
  <w:style w:type="paragraph" w:styleId="Caption">
    <w:name w:val="caption"/>
    <w:basedOn w:val="Normal"/>
    <w:next w:val="Normal"/>
    <w:uiPriority w:val="35"/>
    <w:semiHidden/>
    <w:unhideWhenUsed/>
    <w:qFormat/>
    <w:rsid w:val="00742F59"/>
    <w:rPr>
      <w:b/>
      <w:bCs/>
      <w:sz w:val="20"/>
    </w:rPr>
  </w:style>
  <w:style w:type="paragraph" w:styleId="Closing">
    <w:name w:val="Closing"/>
    <w:basedOn w:val="Normal"/>
    <w:link w:val="ClosingChar"/>
    <w:uiPriority w:val="99"/>
    <w:semiHidden/>
    <w:unhideWhenUsed/>
    <w:rsid w:val="00742F59"/>
    <w:pPr>
      <w:ind w:left="4320"/>
    </w:pPr>
  </w:style>
  <w:style w:type="character" w:customStyle="1" w:styleId="ClosingChar">
    <w:name w:val="Closing Char"/>
    <w:link w:val="Closing"/>
    <w:uiPriority w:val="99"/>
    <w:semiHidden/>
    <w:rsid w:val="00742F59"/>
    <w:rPr>
      <w:rFonts w:ascii="Arial" w:hAnsi="Arial" w:cs="Arial"/>
      <w:sz w:val="23"/>
      <w:lang w:val="en-GB" w:eastAsia="fr-BE"/>
    </w:rPr>
  </w:style>
  <w:style w:type="table" w:styleId="ColorfulGrid">
    <w:name w:val="Colorful Grid"/>
    <w:basedOn w:val="TableNormal"/>
    <w:uiPriority w:val="73"/>
    <w:rsid w:val="00742F59"/>
    <w:rPr>
      <w:color w:val="000000"/>
      <w:sz w:val="20"/>
      <w:szCs w:val="20"/>
      <w:lang w:val="fr-BE" w:eastAsia="fr-BE"/>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742F59"/>
    <w:rPr>
      <w:color w:val="000000"/>
      <w:sz w:val="20"/>
      <w:szCs w:val="20"/>
      <w:lang w:val="fr-BE" w:eastAsia="fr-BE"/>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742F59"/>
    <w:rPr>
      <w:color w:val="000000"/>
      <w:sz w:val="20"/>
      <w:szCs w:val="20"/>
      <w:lang w:val="fr-BE" w:eastAsia="fr-BE"/>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742F59"/>
    <w:rPr>
      <w:color w:val="000000"/>
      <w:sz w:val="20"/>
      <w:szCs w:val="20"/>
      <w:lang w:val="fr-BE" w:eastAsia="fr-BE"/>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742F59"/>
    <w:rPr>
      <w:color w:val="000000"/>
      <w:sz w:val="20"/>
      <w:szCs w:val="20"/>
      <w:lang w:val="fr-BE" w:eastAsia="fr-BE"/>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742F59"/>
    <w:rPr>
      <w:color w:val="000000"/>
      <w:sz w:val="20"/>
      <w:szCs w:val="20"/>
      <w:lang w:val="fr-BE" w:eastAsia="fr-BE"/>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742F59"/>
    <w:rPr>
      <w:color w:val="000000"/>
      <w:sz w:val="20"/>
      <w:szCs w:val="20"/>
      <w:lang w:val="fr-BE" w:eastAsia="fr-BE"/>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742F59"/>
    <w:rPr>
      <w:color w:val="000000"/>
      <w:sz w:val="20"/>
      <w:szCs w:val="20"/>
      <w:lang w:val="fr-BE" w:eastAsia="fr-BE"/>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742F59"/>
    <w:rPr>
      <w:color w:val="000000"/>
      <w:sz w:val="20"/>
      <w:szCs w:val="20"/>
      <w:lang w:val="fr-BE" w:eastAsia="fr-BE"/>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742F59"/>
    <w:rPr>
      <w:color w:val="000000"/>
      <w:sz w:val="20"/>
      <w:szCs w:val="20"/>
      <w:lang w:val="fr-BE" w:eastAsia="fr-BE"/>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742F59"/>
    <w:rPr>
      <w:color w:val="000000"/>
      <w:sz w:val="20"/>
      <w:szCs w:val="20"/>
      <w:lang w:val="fr-BE" w:eastAsia="fr-BE"/>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742F59"/>
    <w:rPr>
      <w:color w:val="000000"/>
      <w:sz w:val="20"/>
      <w:szCs w:val="20"/>
      <w:lang w:val="fr-BE" w:eastAsia="fr-BE"/>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742F59"/>
    <w:rPr>
      <w:color w:val="000000"/>
      <w:sz w:val="20"/>
      <w:szCs w:val="20"/>
      <w:lang w:val="fr-BE" w:eastAsia="fr-BE"/>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742F59"/>
    <w:rPr>
      <w:color w:val="000000"/>
      <w:sz w:val="20"/>
      <w:szCs w:val="20"/>
      <w:lang w:val="fr-BE" w:eastAsia="fr-BE"/>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742F59"/>
    <w:rPr>
      <w:color w:val="000000"/>
      <w:sz w:val="20"/>
      <w:szCs w:val="20"/>
      <w:lang w:val="fr-BE" w:eastAsia="fr-BE"/>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742F59"/>
    <w:rPr>
      <w:color w:val="000000"/>
      <w:sz w:val="20"/>
      <w:szCs w:val="20"/>
      <w:lang w:val="fr-BE" w:eastAsia="fr-BE"/>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742F59"/>
    <w:rPr>
      <w:color w:val="000000"/>
      <w:sz w:val="20"/>
      <w:szCs w:val="20"/>
      <w:lang w:val="fr-BE" w:eastAsia="fr-BE"/>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742F59"/>
    <w:rPr>
      <w:color w:val="000000"/>
      <w:sz w:val="20"/>
      <w:szCs w:val="20"/>
      <w:lang w:val="fr-BE" w:eastAsia="fr-BE"/>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742F59"/>
    <w:rPr>
      <w:color w:val="000000"/>
      <w:sz w:val="20"/>
      <w:szCs w:val="20"/>
      <w:lang w:val="fr-BE" w:eastAsia="fr-BE"/>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742F59"/>
    <w:rPr>
      <w:color w:val="000000"/>
      <w:sz w:val="20"/>
      <w:szCs w:val="20"/>
      <w:lang w:val="fr-BE" w:eastAsia="fr-BE"/>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742F59"/>
    <w:rPr>
      <w:color w:val="000000"/>
      <w:sz w:val="20"/>
      <w:szCs w:val="20"/>
      <w:lang w:val="fr-BE" w:eastAsia="fr-BE"/>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742F59"/>
    <w:rPr>
      <w:color w:val="FFFFFF"/>
      <w:sz w:val="20"/>
      <w:szCs w:val="20"/>
      <w:lang w:val="fr-BE" w:eastAsia="fr-BE"/>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742F59"/>
    <w:rPr>
      <w:color w:val="FFFFFF"/>
      <w:sz w:val="20"/>
      <w:szCs w:val="20"/>
      <w:lang w:val="fr-BE" w:eastAsia="fr-BE"/>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742F59"/>
    <w:rPr>
      <w:color w:val="FFFFFF"/>
      <w:sz w:val="20"/>
      <w:szCs w:val="20"/>
      <w:lang w:val="fr-BE" w:eastAsia="fr-BE"/>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742F59"/>
    <w:rPr>
      <w:color w:val="FFFFFF"/>
      <w:sz w:val="20"/>
      <w:szCs w:val="20"/>
      <w:lang w:val="fr-BE" w:eastAsia="fr-BE"/>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742F59"/>
    <w:rPr>
      <w:color w:val="FFFFFF"/>
      <w:sz w:val="20"/>
      <w:szCs w:val="20"/>
      <w:lang w:val="fr-BE" w:eastAsia="fr-BE"/>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742F59"/>
    <w:rPr>
      <w:color w:val="FFFFFF"/>
      <w:sz w:val="20"/>
      <w:szCs w:val="20"/>
      <w:lang w:val="fr-BE" w:eastAsia="fr-BE"/>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742F59"/>
    <w:rPr>
      <w:color w:val="FFFFFF"/>
      <w:sz w:val="20"/>
      <w:szCs w:val="20"/>
      <w:lang w:val="fr-BE" w:eastAsia="fr-BE"/>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Date">
    <w:name w:val="Date"/>
    <w:basedOn w:val="Normal"/>
    <w:next w:val="Normal"/>
    <w:link w:val="DateChar"/>
    <w:uiPriority w:val="99"/>
    <w:semiHidden/>
    <w:unhideWhenUsed/>
    <w:rsid w:val="00742F59"/>
  </w:style>
  <w:style w:type="character" w:customStyle="1" w:styleId="DateChar">
    <w:name w:val="Date Char"/>
    <w:link w:val="Date"/>
    <w:uiPriority w:val="99"/>
    <w:semiHidden/>
    <w:rsid w:val="00742F59"/>
    <w:rPr>
      <w:rFonts w:ascii="Arial" w:hAnsi="Arial" w:cs="Arial"/>
      <w:sz w:val="23"/>
      <w:lang w:val="en-GB" w:eastAsia="fr-BE"/>
    </w:rPr>
  </w:style>
  <w:style w:type="paragraph" w:styleId="DocumentMap">
    <w:name w:val="Document Map"/>
    <w:basedOn w:val="Normal"/>
    <w:link w:val="DocumentMapChar"/>
    <w:uiPriority w:val="99"/>
    <w:semiHidden/>
    <w:unhideWhenUsed/>
    <w:rsid w:val="00742F59"/>
    <w:rPr>
      <w:sz w:val="16"/>
      <w:szCs w:val="16"/>
    </w:rPr>
  </w:style>
  <w:style w:type="character" w:customStyle="1" w:styleId="DocumentMapChar">
    <w:name w:val="Document Map Char"/>
    <w:link w:val="DocumentMap"/>
    <w:uiPriority w:val="99"/>
    <w:semiHidden/>
    <w:rsid w:val="00742F59"/>
    <w:rPr>
      <w:rFonts w:ascii="Arial" w:hAnsi="Arial" w:cs="Arial"/>
      <w:sz w:val="16"/>
      <w:szCs w:val="16"/>
      <w:lang w:val="en-GB" w:eastAsia="fr-BE"/>
    </w:rPr>
  </w:style>
  <w:style w:type="paragraph" w:styleId="E-mailSignature">
    <w:name w:val="E-mail Signature"/>
    <w:basedOn w:val="Normal"/>
    <w:link w:val="E-mailSignatureChar"/>
    <w:uiPriority w:val="99"/>
    <w:semiHidden/>
    <w:unhideWhenUsed/>
    <w:rsid w:val="00742F59"/>
  </w:style>
  <w:style w:type="character" w:customStyle="1" w:styleId="E-mailSignatureChar">
    <w:name w:val="E-mail Signature Char"/>
    <w:link w:val="E-mailSignature"/>
    <w:uiPriority w:val="99"/>
    <w:semiHidden/>
    <w:rsid w:val="00742F59"/>
    <w:rPr>
      <w:rFonts w:ascii="Arial" w:hAnsi="Arial" w:cs="Arial"/>
      <w:sz w:val="23"/>
      <w:lang w:val="en-GB" w:eastAsia="fr-BE"/>
    </w:rPr>
  </w:style>
  <w:style w:type="paragraph" w:styleId="EnvelopeAddress">
    <w:name w:val="envelope address"/>
    <w:basedOn w:val="Normal"/>
    <w:uiPriority w:val="99"/>
    <w:semiHidden/>
    <w:unhideWhenUsed/>
    <w:rsid w:val="00742F59"/>
    <w:pPr>
      <w:framePr w:w="7920" w:h="1980" w:hRule="exact" w:hSpace="180" w:wrap="auto" w:hAnchor="page" w:xAlign="center" w:yAlign="bottom"/>
      <w:ind w:left="2880"/>
    </w:pPr>
    <w:rPr>
      <w:szCs w:val="24"/>
    </w:rPr>
  </w:style>
  <w:style w:type="paragraph" w:styleId="EnvelopeReturn">
    <w:name w:val="envelope return"/>
    <w:basedOn w:val="Normal"/>
    <w:uiPriority w:val="99"/>
    <w:semiHidden/>
    <w:unhideWhenUsed/>
    <w:rsid w:val="00742F59"/>
    <w:rPr>
      <w:sz w:val="20"/>
    </w:rPr>
  </w:style>
  <w:style w:type="character" w:styleId="HTMLAcronym">
    <w:name w:val="HTML Acronym"/>
    <w:uiPriority w:val="99"/>
    <w:semiHidden/>
    <w:unhideWhenUsed/>
    <w:rsid w:val="00742F59"/>
  </w:style>
  <w:style w:type="paragraph" w:styleId="HTMLAddress">
    <w:name w:val="HTML Address"/>
    <w:basedOn w:val="Normal"/>
    <w:link w:val="HTMLAddressChar"/>
    <w:uiPriority w:val="99"/>
    <w:semiHidden/>
    <w:unhideWhenUsed/>
    <w:rsid w:val="00742F59"/>
    <w:rPr>
      <w:i/>
      <w:iCs/>
    </w:rPr>
  </w:style>
  <w:style w:type="character" w:customStyle="1" w:styleId="HTMLAddressChar">
    <w:name w:val="HTML Address Char"/>
    <w:link w:val="HTMLAddress"/>
    <w:uiPriority w:val="99"/>
    <w:semiHidden/>
    <w:rsid w:val="00742F59"/>
    <w:rPr>
      <w:rFonts w:ascii="Arial" w:hAnsi="Arial" w:cs="Arial"/>
      <w:i/>
      <w:iCs/>
      <w:sz w:val="23"/>
      <w:lang w:val="en-GB" w:eastAsia="fr-BE"/>
    </w:rPr>
  </w:style>
  <w:style w:type="character" w:styleId="HTMLCite">
    <w:name w:val="HTML Cite"/>
    <w:uiPriority w:val="99"/>
    <w:semiHidden/>
    <w:unhideWhenUsed/>
    <w:rsid w:val="00742F59"/>
    <w:rPr>
      <w:i/>
      <w:iCs/>
    </w:rPr>
  </w:style>
  <w:style w:type="character" w:styleId="HTMLCode">
    <w:name w:val="HTML Code"/>
    <w:uiPriority w:val="99"/>
    <w:semiHidden/>
    <w:unhideWhenUsed/>
    <w:rsid w:val="00742F59"/>
    <w:rPr>
      <w:rFonts w:ascii="Arial" w:hAnsi="Arial" w:cs="Arial"/>
      <w:sz w:val="20"/>
      <w:szCs w:val="20"/>
    </w:rPr>
  </w:style>
  <w:style w:type="character" w:styleId="HTMLDefinition">
    <w:name w:val="HTML Definition"/>
    <w:uiPriority w:val="99"/>
    <w:semiHidden/>
    <w:unhideWhenUsed/>
    <w:rsid w:val="00742F59"/>
    <w:rPr>
      <w:i/>
      <w:iCs/>
    </w:rPr>
  </w:style>
  <w:style w:type="character" w:styleId="HTMLKeyboard">
    <w:name w:val="HTML Keyboard"/>
    <w:uiPriority w:val="99"/>
    <w:semiHidden/>
    <w:unhideWhenUsed/>
    <w:rsid w:val="00742F59"/>
    <w:rPr>
      <w:rFonts w:ascii="Arial" w:hAnsi="Arial" w:cs="Arial"/>
      <w:sz w:val="20"/>
      <w:szCs w:val="20"/>
    </w:rPr>
  </w:style>
  <w:style w:type="paragraph" w:styleId="HTMLPreformatted">
    <w:name w:val="HTML Preformatted"/>
    <w:basedOn w:val="Normal"/>
    <w:link w:val="HTMLPreformattedChar"/>
    <w:uiPriority w:val="99"/>
    <w:semiHidden/>
    <w:unhideWhenUsed/>
    <w:rsid w:val="00742F59"/>
    <w:rPr>
      <w:sz w:val="20"/>
    </w:rPr>
  </w:style>
  <w:style w:type="character" w:customStyle="1" w:styleId="HTMLPreformattedChar">
    <w:name w:val="HTML Preformatted Char"/>
    <w:link w:val="HTMLPreformatted"/>
    <w:uiPriority w:val="99"/>
    <w:semiHidden/>
    <w:rsid w:val="00742F59"/>
    <w:rPr>
      <w:rFonts w:ascii="Arial" w:hAnsi="Arial" w:cs="Arial"/>
      <w:lang w:val="en-GB" w:eastAsia="fr-BE"/>
    </w:rPr>
  </w:style>
  <w:style w:type="character" w:styleId="HTMLSample">
    <w:name w:val="HTML Sample"/>
    <w:uiPriority w:val="99"/>
    <w:semiHidden/>
    <w:unhideWhenUsed/>
    <w:rsid w:val="00742F59"/>
    <w:rPr>
      <w:rFonts w:ascii="Arial" w:hAnsi="Arial" w:cs="Arial"/>
    </w:rPr>
  </w:style>
  <w:style w:type="character" w:styleId="HTMLTypewriter">
    <w:name w:val="HTML Typewriter"/>
    <w:uiPriority w:val="99"/>
    <w:semiHidden/>
    <w:unhideWhenUsed/>
    <w:rsid w:val="00742F59"/>
    <w:rPr>
      <w:rFonts w:ascii="Arial" w:hAnsi="Arial" w:cs="Arial"/>
      <w:sz w:val="20"/>
      <w:szCs w:val="20"/>
    </w:rPr>
  </w:style>
  <w:style w:type="character" w:styleId="HTMLVariable">
    <w:name w:val="HTML Variable"/>
    <w:uiPriority w:val="99"/>
    <w:semiHidden/>
    <w:unhideWhenUsed/>
    <w:rsid w:val="00742F59"/>
    <w:rPr>
      <w:i/>
      <w:iCs/>
    </w:rPr>
  </w:style>
  <w:style w:type="paragraph" w:styleId="Index1">
    <w:name w:val="index 1"/>
    <w:basedOn w:val="Normal"/>
    <w:next w:val="Normal"/>
    <w:autoRedefine/>
    <w:uiPriority w:val="99"/>
    <w:semiHidden/>
    <w:unhideWhenUsed/>
    <w:rsid w:val="00742F59"/>
    <w:pPr>
      <w:ind w:left="230" w:hanging="230"/>
    </w:pPr>
  </w:style>
  <w:style w:type="paragraph" w:styleId="Index2">
    <w:name w:val="index 2"/>
    <w:basedOn w:val="Normal"/>
    <w:next w:val="Normal"/>
    <w:autoRedefine/>
    <w:uiPriority w:val="99"/>
    <w:semiHidden/>
    <w:unhideWhenUsed/>
    <w:rsid w:val="00742F59"/>
    <w:pPr>
      <w:ind w:left="460" w:hanging="230"/>
    </w:pPr>
  </w:style>
  <w:style w:type="paragraph" w:styleId="Index3">
    <w:name w:val="index 3"/>
    <w:basedOn w:val="Normal"/>
    <w:next w:val="Normal"/>
    <w:autoRedefine/>
    <w:uiPriority w:val="99"/>
    <w:semiHidden/>
    <w:unhideWhenUsed/>
    <w:rsid w:val="00742F59"/>
    <w:pPr>
      <w:ind w:left="690" w:hanging="230"/>
    </w:pPr>
  </w:style>
  <w:style w:type="paragraph" w:styleId="Index4">
    <w:name w:val="index 4"/>
    <w:basedOn w:val="Normal"/>
    <w:next w:val="Normal"/>
    <w:autoRedefine/>
    <w:uiPriority w:val="99"/>
    <w:semiHidden/>
    <w:unhideWhenUsed/>
    <w:rsid w:val="00742F59"/>
    <w:pPr>
      <w:ind w:left="920" w:hanging="230"/>
    </w:pPr>
  </w:style>
  <w:style w:type="paragraph" w:styleId="Index5">
    <w:name w:val="index 5"/>
    <w:basedOn w:val="Normal"/>
    <w:next w:val="Normal"/>
    <w:autoRedefine/>
    <w:uiPriority w:val="99"/>
    <w:semiHidden/>
    <w:unhideWhenUsed/>
    <w:rsid w:val="00742F59"/>
    <w:pPr>
      <w:ind w:left="1150" w:hanging="230"/>
    </w:pPr>
  </w:style>
  <w:style w:type="paragraph" w:styleId="Index6">
    <w:name w:val="index 6"/>
    <w:basedOn w:val="Normal"/>
    <w:next w:val="Normal"/>
    <w:autoRedefine/>
    <w:uiPriority w:val="99"/>
    <w:semiHidden/>
    <w:unhideWhenUsed/>
    <w:rsid w:val="00742F59"/>
    <w:pPr>
      <w:ind w:left="1380" w:hanging="230"/>
    </w:pPr>
  </w:style>
  <w:style w:type="paragraph" w:styleId="Index7">
    <w:name w:val="index 7"/>
    <w:basedOn w:val="Normal"/>
    <w:next w:val="Normal"/>
    <w:autoRedefine/>
    <w:uiPriority w:val="99"/>
    <w:semiHidden/>
    <w:unhideWhenUsed/>
    <w:rsid w:val="00742F59"/>
    <w:pPr>
      <w:ind w:left="1610" w:hanging="230"/>
    </w:pPr>
  </w:style>
  <w:style w:type="paragraph" w:styleId="Index8">
    <w:name w:val="index 8"/>
    <w:basedOn w:val="Normal"/>
    <w:next w:val="Normal"/>
    <w:autoRedefine/>
    <w:uiPriority w:val="99"/>
    <w:semiHidden/>
    <w:unhideWhenUsed/>
    <w:rsid w:val="00742F59"/>
    <w:pPr>
      <w:ind w:left="1840" w:hanging="230"/>
    </w:pPr>
  </w:style>
  <w:style w:type="paragraph" w:styleId="Index9">
    <w:name w:val="index 9"/>
    <w:basedOn w:val="Normal"/>
    <w:next w:val="Normal"/>
    <w:autoRedefine/>
    <w:uiPriority w:val="99"/>
    <w:semiHidden/>
    <w:unhideWhenUsed/>
    <w:rsid w:val="00742F59"/>
    <w:pPr>
      <w:ind w:left="2070" w:hanging="230"/>
    </w:pPr>
  </w:style>
  <w:style w:type="paragraph" w:styleId="IndexHeading">
    <w:name w:val="index heading"/>
    <w:basedOn w:val="Normal"/>
    <w:next w:val="Index1"/>
    <w:uiPriority w:val="99"/>
    <w:semiHidden/>
    <w:unhideWhenUsed/>
    <w:rsid w:val="00742F59"/>
    <w:rPr>
      <w:b/>
      <w:bCs/>
    </w:rPr>
  </w:style>
  <w:style w:type="character" w:styleId="IntenseEmphasis">
    <w:name w:val="Intense Emphasis"/>
    <w:uiPriority w:val="21"/>
    <w:qFormat/>
    <w:rsid w:val="00742F59"/>
    <w:rPr>
      <w:b/>
      <w:bCs/>
      <w:i/>
      <w:iCs/>
      <w:color w:val="4F81BD"/>
    </w:rPr>
  </w:style>
  <w:style w:type="paragraph" w:styleId="IntenseQuote">
    <w:name w:val="Intense Quote"/>
    <w:basedOn w:val="Normal"/>
    <w:next w:val="Normal"/>
    <w:link w:val="IntenseQuoteChar"/>
    <w:uiPriority w:val="30"/>
    <w:qFormat/>
    <w:rsid w:val="00742F5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742F59"/>
    <w:rPr>
      <w:rFonts w:ascii="Arial" w:hAnsi="Arial" w:cs="Arial"/>
      <w:b/>
      <w:bCs/>
      <w:i/>
      <w:iCs/>
      <w:color w:val="4F81BD"/>
      <w:sz w:val="23"/>
      <w:lang w:val="en-GB" w:eastAsia="fr-BE"/>
    </w:rPr>
  </w:style>
  <w:style w:type="character" w:styleId="IntenseReference">
    <w:name w:val="Intense Reference"/>
    <w:uiPriority w:val="32"/>
    <w:qFormat/>
    <w:rsid w:val="00742F59"/>
    <w:rPr>
      <w:b/>
      <w:bCs/>
      <w:smallCaps/>
      <w:color w:val="C0504D"/>
      <w:spacing w:val="5"/>
      <w:u w:val="single"/>
    </w:rPr>
  </w:style>
  <w:style w:type="table" w:styleId="LightGrid">
    <w:name w:val="Light Grid"/>
    <w:basedOn w:val="TableNormal"/>
    <w:uiPriority w:val="62"/>
    <w:rsid w:val="00742F59"/>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742F59"/>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742F59"/>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DengXian" w:eastAsia="Times New Roman" w:hAnsi="DengXia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DengXian" w:eastAsia="Times New Roman" w:hAnsi="DengXia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742F59"/>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DengXian" w:eastAsia="Times New Roman" w:hAnsi="DengXian"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DengXian" w:eastAsia="Times New Roman" w:hAnsi="DengXian"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742F59"/>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DengXian" w:eastAsia="Times New Roman" w:hAnsi="DengXian"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DengXian" w:eastAsia="Times New Roman" w:hAnsi="DengXian"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742F59"/>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DengXian" w:eastAsia="Times New Roman"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DengXian" w:eastAsia="Times New Roman"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742F59"/>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DengXian" w:eastAsia="Times New Roman" w:hAnsi="DengXian"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DengXian" w:eastAsia="Times New Roman" w:hAnsi="DengXian"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742F59"/>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742F59"/>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742F59"/>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742F59"/>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742F59"/>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742F59"/>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742F59"/>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742F59"/>
    <w:rPr>
      <w:color w:val="000000"/>
      <w:sz w:val="20"/>
      <w:szCs w:val="20"/>
      <w:lang w:val="fr-BE" w:eastAsia="fr-B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742F59"/>
    <w:rPr>
      <w:color w:val="365F91"/>
      <w:sz w:val="20"/>
      <w:szCs w:val="20"/>
      <w:lang w:val="fr-BE" w:eastAsia="fr-B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742F59"/>
    <w:rPr>
      <w:color w:val="943634"/>
      <w:sz w:val="20"/>
      <w:szCs w:val="20"/>
      <w:lang w:val="fr-BE" w:eastAsia="fr-BE"/>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742F59"/>
    <w:rPr>
      <w:color w:val="76923C"/>
      <w:sz w:val="20"/>
      <w:szCs w:val="20"/>
      <w:lang w:val="fr-BE" w:eastAsia="fr-BE"/>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742F59"/>
    <w:rPr>
      <w:color w:val="5F497A"/>
      <w:sz w:val="20"/>
      <w:szCs w:val="20"/>
      <w:lang w:val="fr-BE" w:eastAsia="fr-BE"/>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742F59"/>
    <w:rPr>
      <w:color w:val="31849B"/>
      <w:sz w:val="20"/>
      <w:szCs w:val="20"/>
      <w:lang w:val="fr-BE" w:eastAsia="fr-BE"/>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742F59"/>
    <w:rPr>
      <w:color w:val="E36C0A"/>
      <w:sz w:val="20"/>
      <w:szCs w:val="20"/>
      <w:lang w:val="fr-BE" w:eastAsia="fr-BE"/>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character" w:styleId="LineNumber">
    <w:name w:val="line number"/>
    <w:uiPriority w:val="99"/>
    <w:semiHidden/>
    <w:unhideWhenUsed/>
    <w:rsid w:val="00742F59"/>
  </w:style>
  <w:style w:type="paragraph" w:styleId="List">
    <w:name w:val="List"/>
    <w:basedOn w:val="Normal"/>
    <w:uiPriority w:val="99"/>
    <w:semiHidden/>
    <w:unhideWhenUsed/>
    <w:rsid w:val="00742F59"/>
    <w:pPr>
      <w:ind w:left="360" w:hanging="360"/>
      <w:contextualSpacing/>
    </w:pPr>
  </w:style>
  <w:style w:type="paragraph" w:styleId="List2">
    <w:name w:val="List 2"/>
    <w:basedOn w:val="Normal"/>
    <w:uiPriority w:val="99"/>
    <w:semiHidden/>
    <w:unhideWhenUsed/>
    <w:rsid w:val="00742F59"/>
    <w:pPr>
      <w:ind w:left="720" w:hanging="360"/>
      <w:contextualSpacing/>
    </w:pPr>
  </w:style>
  <w:style w:type="paragraph" w:styleId="List3">
    <w:name w:val="List 3"/>
    <w:basedOn w:val="Normal"/>
    <w:uiPriority w:val="99"/>
    <w:semiHidden/>
    <w:unhideWhenUsed/>
    <w:rsid w:val="00742F59"/>
    <w:pPr>
      <w:ind w:left="1080" w:hanging="360"/>
      <w:contextualSpacing/>
    </w:pPr>
  </w:style>
  <w:style w:type="paragraph" w:styleId="List4">
    <w:name w:val="List 4"/>
    <w:basedOn w:val="Normal"/>
    <w:uiPriority w:val="99"/>
    <w:semiHidden/>
    <w:unhideWhenUsed/>
    <w:rsid w:val="00742F59"/>
    <w:pPr>
      <w:ind w:left="1440" w:hanging="360"/>
      <w:contextualSpacing/>
    </w:pPr>
  </w:style>
  <w:style w:type="paragraph" w:styleId="List5">
    <w:name w:val="List 5"/>
    <w:basedOn w:val="Normal"/>
    <w:uiPriority w:val="99"/>
    <w:semiHidden/>
    <w:unhideWhenUsed/>
    <w:rsid w:val="00742F59"/>
    <w:pPr>
      <w:ind w:left="1800" w:hanging="360"/>
      <w:contextualSpacing/>
    </w:pPr>
  </w:style>
  <w:style w:type="paragraph" w:styleId="ListBullet5">
    <w:name w:val="List Bullet 5"/>
    <w:basedOn w:val="Normal"/>
    <w:uiPriority w:val="99"/>
    <w:semiHidden/>
    <w:unhideWhenUsed/>
    <w:rsid w:val="00742F59"/>
    <w:pPr>
      <w:numPr>
        <w:numId w:val="14"/>
      </w:numPr>
      <w:contextualSpacing/>
    </w:pPr>
  </w:style>
  <w:style w:type="paragraph" w:styleId="ListContinue">
    <w:name w:val="List Continue"/>
    <w:basedOn w:val="Normal"/>
    <w:uiPriority w:val="99"/>
    <w:semiHidden/>
    <w:unhideWhenUsed/>
    <w:rsid w:val="00742F59"/>
    <w:pPr>
      <w:ind w:left="360"/>
      <w:contextualSpacing/>
    </w:pPr>
  </w:style>
  <w:style w:type="paragraph" w:styleId="ListContinue2">
    <w:name w:val="List Continue 2"/>
    <w:basedOn w:val="Normal"/>
    <w:uiPriority w:val="99"/>
    <w:semiHidden/>
    <w:unhideWhenUsed/>
    <w:rsid w:val="00742F59"/>
    <w:pPr>
      <w:ind w:left="720"/>
      <w:contextualSpacing/>
    </w:pPr>
  </w:style>
  <w:style w:type="paragraph" w:styleId="ListContinue3">
    <w:name w:val="List Continue 3"/>
    <w:basedOn w:val="Normal"/>
    <w:uiPriority w:val="99"/>
    <w:semiHidden/>
    <w:unhideWhenUsed/>
    <w:rsid w:val="00742F59"/>
    <w:pPr>
      <w:ind w:left="1080"/>
      <w:contextualSpacing/>
    </w:pPr>
  </w:style>
  <w:style w:type="paragraph" w:styleId="ListContinue4">
    <w:name w:val="List Continue 4"/>
    <w:basedOn w:val="Normal"/>
    <w:uiPriority w:val="99"/>
    <w:semiHidden/>
    <w:unhideWhenUsed/>
    <w:rsid w:val="00742F59"/>
    <w:pPr>
      <w:ind w:left="1440"/>
      <w:contextualSpacing/>
    </w:pPr>
  </w:style>
  <w:style w:type="paragraph" w:styleId="ListContinue5">
    <w:name w:val="List Continue 5"/>
    <w:basedOn w:val="Normal"/>
    <w:uiPriority w:val="99"/>
    <w:semiHidden/>
    <w:unhideWhenUsed/>
    <w:rsid w:val="00742F59"/>
    <w:pPr>
      <w:ind w:left="1800"/>
      <w:contextualSpacing/>
    </w:pPr>
  </w:style>
  <w:style w:type="paragraph" w:styleId="ListNumber">
    <w:name w:val="List Number"/>
    <w:basedOn w:val="Normal"/>
    <w:uiPriority w:val="99"/>
    <w:semiHidden/>
    <w:unhideWhenUsed/>
    <w:rsid w:val="00742F59"/>
    <w:pPr>
      <w:numPr>
        <w:numId w:val="15"/>
      </w:numPr>
      <w:contextualSpacing/>
    </w:pPr>
  </w:style>
  <w:style w:type="paragraph" w:styleId="ListNumber2">
    <w:name w:val="List Number 2"/>
    <w:basedOn w:val="Normal"/>
    <w:uiPriority w:val="99"/>
    <w:semiHidden/>
    <w:unhideWhenUsed/>
    <w:rsid w:val="00742F59"/>
    <w:pPr>
      <w:numPr>
        <w:numId w:val="16"/>
      </w:numPr>
      <w:contextualSpacing/>
    </w:pPr>
  </w:style>
  <w:style w:type="paragraph" w:styleId="ListNumber3">
    <w:name w:val="List Number 3"/>
    <w:basedOn w:val="Normal"/>
    <w:uiPriority w:val="99"/>
    <w:semiHidden/>
    <w:unhideWhenUsed/>
    <w:rsid w:val="00742F59"/>
    <w:pPr>
      <w:numPr>
        <w:numId w:val="17"/>
      </w:numPr>
      <w:contextualSpacing/>
    </w:pPr>
  </w:style>
  <w:style w:type="paragraph" w:styleId="ListNumber4">
    <w:name w:val="List Number 4"/>
    <w:basedOn w:val="Normal"/>
    <w:uiPriority w:val="99"/>
    <w:semiHidden/>
    <w:unhideWhenUsed/>
    <w:rsid w:val="00742F59"/>
    <w:pPr>
      <w:numPr>
        <w:numId w:val="18"/>
      </w:numPr>
      <w:contextualSpacing/>
    </w:pPr>
  </w:style>
  <w:style w:type="paragraph" w:styleId="ListNumber5">
    <w:name w:val="List Number 5"/>
    <w:basedOn w:val="Normal"/>
    <w:uiPriority w:val="99"/>
    <w:semiHidden/>
    <w:unhideWhenUsed/>
    <w:rsid w:val="00742F59"/>
    <w:pPr>
      <w:numPr>
        <w:numId w:val="19"/>
      </w:numPr>
      <w:contextualSpacing/>
    </w:pPr>
  </w:style>
  <w:style w:type="paragraph" w:styleId="MacroText">
    <w:name w:val="macro"/>
    <w:link w:val="MacroTextChar"/>
    <w:uiPriority w:val="99"/>
    <w:semiHidden/>
    <w:unhideWhenUsed/>
    <w:rsid w:val="00742F59"/>
    <w:pPr>
      <w:widowControl w:val="0"/>
      <w:tabs>
        <w:tab w:val="left" w:pos="480"/>
        <w:tab w:val="left" w:pos="960"/>
        <w:tab w:val="left" w:pos="1440"/>
        <w:tab w:val="left" w:pos="1920"/>
        <w:tab w:val="left" w:pos="2400"/>
        <w:tab w:val="left" w:pos="2880"/>
        <w:tab w:val="left" w:pos="3360"/>
        <w:tab w:val="left" w:pos="3840"/>
        <w:tab w:val="left" w:pos="4320"/>
      </w:tabs>
      <w:spacing w:line="216" w:lineRule="auto"/>
    </w:pPr>
    <w:rPr>
      <w:rFonts w:ascii="Arial" w:hAnsi="Arial" w:cs="Arial"/>
      <w:lang w:val="en-GB" w:eastAsia="fr-BE"/>
    </w:rPr>
  </w:style>
  <w:style w:type="character" w:customStyle="1" w:styleId="MacroTextChar">
    <w:name w:val="Macro Text Char"/>
    <w:link w:val="MacroText"/>
    <w:uiPriority w:val="99"/>
    <w:semiHidden/>
    <w:rsid w:val="00742F59"/>
    <w:rPr>
      <w:rFonts w:ascii="Arial" w:hAnsi="Arial" w:cs="Arial"/>
      <w:lang w:val="en-GB" w:eastAsia="fr-BE"/>
    </w:rPr>
  </w:style>
  <w:style w:type="table" w:styleId="MediumGrid1">
    <w:name w:val="Medium Grid 1"/>
    <w:basedOn w:val="TableNormal"/>
    <w:uiPriority w:val="67"/>
    <w:rsid w:val="00742F59"/>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742F59"/>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742F59"/>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742F59"/>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742F59"/>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742F59"/>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742F59"/>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742F59"/>
    <w:rPr>
      <w:color w:val="000000"/>
      <w:sz w:val="20"/>
      <w:szCs w:val="20"/>
      <w:lang w:val="fr-BE" w:eastAsia="fr-BE"/>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742F59"/>
    <w:rPr>
      <w:color w:val="000000"/>
      <w:sz w:val="20"/>
      <w:szCs w:val="20"/>
      <w:lang w:val="fr-BE" w:eastAsia="fr-BE"/>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742F59"/>
    <w:rPr>
      <w:color w:val="000000"/>
      <w:sz w:val="20"/>
      <w:szCs w:val="20"/>
      <w:lang w:val="fr-BE" w:eastAsia="fr-BE"/>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742F59"/>
    <w:rPr>
      <w:color w:val="000000"/>
      <w:sz w:val="20"/>
      <w:szCs w:val="20"/>
      <w:lang w:val="fr-BE" w:eastAsia="fr-BE"/>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742F59"/>
    <w:rPr>
      <w:color w:val="000000"/>
      <w:sz w:val="20"/>
      <w:szCs w:val="20"/>
      <w:lang w:val="fr-BE" w:eastAsia="fr-BE"/>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742F59"/>
    <w:rPr>
      <w:color w:val="000000"/>
      <w:sz w:val="20"/>
      <w:szCs w:val="20"/>
      <w:lang w:val="fr-BE" w:eastAsia="fr-BE"/>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742F59"/>
    <w:rPr>
      <w:color w:val="000000"/>
      <w:sz w:val="20"/>
      <w:szCs w:val="20"/>
      <w:lang w:val="fr-BE" w:eastAsia="fr-BE"/>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742F5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742F5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742F5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742F5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742F5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742F5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742F5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742F59"/>
    <w:rPr>
      <w:color w:val="000000"/>
      <w:sz w:val="20"/>
      <w:szCs w:val="20"/>
      <w:lang w:val="fr-BE" w:eastAsia="fr-BE"/>
    </w:rPr>
    <w:tblPr>
      <w:tblStyleRowBandSize w:val="1"/>
      <w:tblStyleColBandSize w:val="1"/>
      <w:tblBorders>
        <w:top w:val="single" w:sz="8" w:space="0" w:color="000000"/>
        <w:bottom w:val="single" w:sz="8" w:space="0" w:color="000000"/>
      </w:tblBorders>
    </w:tblPr>
    <w:tblStylePr w:type="firstRow">
      <w:rPr>
        <w:rFonts w:ascii="DengXian" w:eastAsia="Times New Roman" w:hAnsi="DengXia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742F59"/>
    <w:rPr>
      <w:color w:val="000000"/>
      <w:sz w:val="20"/>
      <w:szCs w:val="20"/>
      <w:lang w:val="fr-BE" w:eastAsia="fr-BE"/>
    </w:rPr>
    <w:tblPr>
      <w:tblStyleRowBandSize w:val="1"/>
      <w:tblStyleColBandSize w:val="1"/>
      <w:tblBorders>
        <w:top w:val="single" w:sz="8" w:space="0" w:color="4F81BD"/>
        <w:bottom w:val="single" w:sz="8" w:space="0" w:color="4F81BD"/>
      </w:tblBorders>
    </w:tblPr>
    <w:tblStylePr w:type="firstRow">
      <w:rPr>
        <w:rFonts w:ascii="DengXian" w:eastAsia="Times New Roman" w:hAnsi="DengXian"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742F59"/>
    <w:rPr>
      <w:color w:val="000000"/>
      <w:sz w:val="20"/>
      <w:szCs w:val="20"/>
      <w:lang w:val="fr-BE" w:eastAsia="fr-BE"/>
    </w:rPr>
    <w:tblPr>
      <w:tblStyleRowBandSize w:val="1"/>
      <w:tblStyleColBandSize w:val="1"/>
      <w:tblBorders>
        <w:top w:val="single" w:sz="8" w:space="0" w:color="C0504D"/>
        <w:bottom w:val="single" w:sz="8" w:space="0" w:color="C0504D"/>
      </w:tblBorders>
    </w:tblPr>
    <w:tblStylePr w:type="firstRow">
      <w:rPr>
        <w:rFonts w:ascii="DengXian" w:eastAsia="Times New Roman" w:hAnsi="DengXian"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742F59"/>
    <w:rPr>
      <w:color w:val="000000"/>
      <w:sz w:val="20"/>
      <w:szCs w:val="20"/>
      <w:lang w:val="fr-BE" w:eastAsia="fr-BE"/>
    </w:rPr>
    <w:tblPr>
      <w:tblStyleRowBandSize w:val="1"/>
      <w:tblStyleColBandSize w:val="1"/>
      <w:tblBorders>
        <w:top w:val="single" w:sz="8" w:space="0" w:color="9BBB59"/>
        <w:bottom w:val="single" w:sz="8" w:space="0" w:color="9BBB59"/>
      </w:tblBorders>
    </w:tblPr>
    <w:tblStylePr w:type="firstRow">
      <w:rPr>
        <w:rFonts w:ascii="DengXian" w:eastAsia="Times New Roman" w:hAnsi="DengXian"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742F59"/>
    <w:rPr>
      <w:color w:val="000000"/>
      <w:sz w:val="20"/>
      <w:szCs w:val="20"/>
      <w:lang w:val="fr-BE" w:eastAsia="fr-BE"/>
    </w:rPr>
    <w:tblPr>
      <w:tblStyleRowBandSize w:val="1"/>
      <w:tblStyleColBandSize w:val="1"/>
      <w:tblBorders>
        <w:top w:val="single" w:sz="8" w:space="0" w:color="8064A2"/>
        <w:bottom w:val="single" w:sz="8" w:space="0" w:color="8064A2"/>
      </w:tblBorders>
    </w:tblPr>
    <w:tblStylePr w:type="firstRow">
      <w:rPr>
        <w:rFonts w:ascii="DengXian" w:eastAsia="Times New Roman" w:hAnsi="DengXian"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742F59"/>
    <w:rPr>
      <w:color w:val="000000"/>
      <w:sz w:val="20"/>
      <w:szCs w:val="20"/>
      <w:lang w:val="fr-BE" w:eastAsia="fr-BE"/>
    </w:rPr>
    <w:tblPr>
      <w:tblStyleRowBandSize w:val="1"/>
      <w:tblStyleColBandSize w:val="1"/>
      <w:tblBorders>
        <w:top w:val="single" w:sz="8" w:space="0" w:color="4BACC6"/>
        <w:bottom w:val="single" w:sz="8" w:space="0" w:color="4BACC6"/>
      </w:tblBorders>
    </w:tblPr>
    <w:tblStylePr w:type="firstRow">
      <w:rPr>
        <w:rFonts w:ascii="DengXian" w:eastAsia="Times New Roman" w:hAnsi="DengXian"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742F59"/>
    <w:rPr>
      <w:color w:val="000000"/>
      <w:sz w:val="20"/>
      <w:szCs w:val="20"/>
      <w:lang w:val="fr-BE" w:eastAsia="fr-BE"/>
    </w:rPr>
    <w:tblPr>
      <w:tblStyleRowBandSize w:val="1"/>
      <w:tblStyleColBandSize w:val="1"/>
      <w:tblBorders>
        <w:top w:val="single" w:sz="8" w:space="0" w:color="F79646"/>
        <w:bottom w:val="single" w:sz="8" w:space="0" w:color="F79646"/>
      </w:tblBorders>
    </w:tblPr>
    <w:tblStylePr w:type="firstRow">
      <w:rPr>
        <w:rFonts w:ascii="DengXian" w:eastAsia="Times New Roman" w:hAnsi="DengXian"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742F59"/>
    <w:rPr>
      <w:color w:val="000000"/>
      <w:sz w:val="20"/>
      <w:szCs w:val="20"/>
      <w:lang w:val="fr-BE" w:eastAsia="fr-BE"/>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742F59"/>
    <w:rPr>
      <w:color w:val="000000"/>
      <w:sz w:val="20"/>
      <w:szCs w:val="20"/>
      <w:lang w:val="fr-BE" w:eastAsia="fr-B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742F59"/>
    <w:rPr>
      <w:color w:val="000000"/>
      <w:sz w:val="20"/>
      <w:szCs w:val="20"/>
      <w:lang w:val="fr-BE" w:eastAsia="fr-BE"/>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742F59"/>
    <w:rPr>
      <w:color w:val="000000"/>
      <w:sz w:val="20"/>
      <w:szCs w:val="20"/>
      <w:lang w:val="fr-BE" w:eastAsia="fr-BE"/>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742F59"/>
    <w:rPr>
      <w:color w:val="000000"/>
      <w:sz w:val="20"/>
      <w:szCs w:val="20"/>
      <w:lang w:val="fr-BE" w:eastAsia="fr-BE"/>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742F59"/>
    <w:rPr>
      <w:color w:val="000000"/>
      <w:sz w:val="20"/>
      <w:szCs w:val="20"/>
      <w:lang w:val="fr-BE" w:eastAsia="fr-BE"/>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742F59"/>
    <w:rPr>
      <w:color w:val="000000"/>
      <w:sz w:val="20"/>
      <w:szCs w:val="20"/>
      <w:lang w:val="fr-BE" w:eastAsia="fr-BE"/>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742F59"/>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742F59"/>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742F59"/>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742F59"/>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742F59"/>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742F59"/>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742F59"/>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742F5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742F5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742F5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742F5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742F5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742F5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742F5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rsid w:val="00742F59"/>
    <w:pPr>
      <w:pBdr>
        <w:top w:val="single" w:sz="6" w:space="1" w:color="auto"/>
        <w:left w:val="single" w:sz="6" w:space="1" w:color="auto"/>
        <w:bottom w:val="single" w:sz="6" w:space="1" w:color="auto"/>
        <w:right w:val="single" w:sz="6" w:space="1" w:color="auto"/>
      </w:pBdr>
      <w:shd w:val="pct20" w:color="auto" w:fill="auto"/>
      <w:ind w:left="1080" w:hanging="1080"/>
    </w:pPr>
    <w:rPr>
      <w:szCs w:val="24"/>
    </w:rPr>
  </w:style>
  <w:style w:type="character" w:customStyle="1" w:styleId="MessageHeaderChar">
    <w:name w:val="Message Header Char"/>
    <w:link w:val="MessageHeader"/>
    <w:uiPriority w:val="99"/>
    <w:semiHidden/>
    <w:rsid w:val="00742F59"/>
    <w:rPr>
      <w:rFonts w:ascii="Arial" w:eastAsia="Times New Roman" w:hAnsi="Arial" w:cs="Arial"/>
      <w:sz w:val="24"/>
      <w:szCs w:val="24"/>
      <w:shd w:val="pct20" w:color="auto" w:fill="auto"/>
      <w:lang w:val="en-GB" w:eastAsia="fr-BE"/>
    </w:rPr>
  </w:style>
  <w:style w:type="paragraph" w:styleId="NoSpacing">
    <w:name w:val="No Spacing"/>
    <w:uiPriority w:val="1"/>
    <w:qFormat/>
    <w:rsid w:val="00742F59"/>
    <w:pPr>
      <w:widowControl w:val="0"/>
    </w:pPr>
    <w:rPr>
      <w:rFonts w:ascii="Arial" w:hAnsi="Arial" w:cs="Arial"/>
      <w:sz w:val="23"/>
      <w:lang w:val="en-GB" w:eastAsia="fr-BE"/>
    </w:rPr>
  </w:style>
  <w:style w:type="paragraph" w:styleId="NormalIndent">
    <w:name w:val="Normal Indent"/>
    <w:basedOn w:val="Normal"/>
    <w:uiPriority w:val="99"/>
    <w:semiHidden/>
    <w:unhideWhenUsed/>
    <w:rsid w:val="00742F59"/>
    <w:pPr>
      <w:ind w:left="720"/>
    </w:pPr>
  </w:style>
  <w:style w:type="paragraph" w:styleId="NoteHeading">
    <w:name w:val="Note Heading"/>
    <w:basedOn w:val="Normal"/>
    <w:next w:val="Normal"/>
    <w:link w:val="NoteHeadingChar"/>
    <w:uiPriority w:val="99"/>
    <w:semiHidden/>
    <w:unhideWhenUsed/>
    <w:rsid w:val="00742F59"/>
  </w:style>
  <w:style w:type="character" w:customStyle="1" w:styleId="NoteHeadingChar">
    <w:name w:val="Note Heading Char"/>
    <w:link w:val="NoteHeading"/>
    <w:uiPriority w:val="99"/>
    <w:semiHidden/>
    <w:rsid w:val="00742F59"/>
    <w:rPr>
      <w:rFonts w:ascii="Arial" w:hAnsi="Arial" w:cs="Arial"/>
      <w:sz w:val="23"/>
      <w:lang w:val="en-GB" w:eastAsia="fr-BE"/>
    </w:rPr>
  </w:style>
  <w:style w:type="character" w:styleId="PlaceholderText">
    <w:name w:val="Placeholder Text"/>
    <w:uiPriority w:val="99"/>
    <w:semiHidden/>
    <w:rsid w:val="00742F59"/>
    <w:rPr>
      <w:color w:val="808080"/>
    </w:rPr>
  </w:style>
  <w:style w:type="paragraph" w:styleId="PlainText">
    <w:name w:val="Plain Text"/>
    <w:basedOn w:val="Normal"/>
    <w:link w:val="PlainTextChar"/>
    <w:uiPriority w:val="99"/>
    <w:semiHidden/>
    <w:unhideWhenUsed/>
    <w:rsid w:val="00742F59"/>
    <w:rPr>
      <w:sz w:val="20"/>
    </w:rPr>
  </w:style>
  <w:style w:type="character" w:customStyle="1" w:styleId="PlainTextChar">
    <w:name w:val="Plain Text Char"/>
    <w:link w:val="PlainText"/>
    <w:uiPriority w:val="99"/>
    <w:semiHidden/>
    <w:rsid w:val="00742F59"/>
    <w:rPr>
      <w:rFonts w:ascii="Arial" w:hAnsi="Arial" w:cs="Arial"/>
      <w:lang w:val="en-GB" w:eastAsia="fr-BE"/>
    </w:rPr>
  </w:style>
  <w:style w:type="paragraph" w:styleId="Quote">
    <w:name w:val="Quote"/>
    <w:basedOn w:val="Normal"/>
    <w:next w:val="Normal"/>
    <w:link w:val="QuoteChar"/>
    <w:uiPriority w:val="29"/>
    <w:qFormat/>
    <w:rsid w:val="00742F59"/>
    <w:rPr>
      <w:i/>
      <w:iCs/>
      <w:color w:val="000000"/>
    </w:rPr>
  </w:style>
  <w:style w:type="character" w:customStyle="1" w:styleId="QuoteChar">
    <w:name w:val="Quote Char"/>
    <w:link w:val="Quote"/>
    <w:uiPriority w:val="29"/>
    <w:rsid w:val="00742F59"/>
    <w:rPr>
      <w:rFonts w:ascii="Arial" w:hAnsi="Arial" w:cs="Arial"/>
      <w:i/>
      <w:iCs/>
      <w:color w:val="000000"/>
      <w:sz w:val="23"/>
      <w:lang w:val="en-GB" w:eastAsia="fr-BE"/>
    </w:rPr>
  </w:style>
  <w:style w:type="paragraph" w:styleId="Salutation">
    <w:name w:val="Salutation"/>
    <w:basedOn w:val="Normal"/>
    <w:next w:val="Normal"/>
    <w:link w:val="SalutationChar"/>
    <w:uiPriority w:val="99"/>
    <w:semiHidden/>
    <w:unhideWhenUsed/>
    <w:rsid w:val="00742F59"/>
  </w:style>
  <w:style w:type="character" w:customStyle="1" w:styleId="SalutationChar">
    <w:name w:val="Salutation Char"/>
    <w:link w:val="Salutation"/>
    <w:uiPriority w:val="99"/>
    <w:semiHidden/>
    <w:rsid w:val="00742F59"/>
    <w:rPr>
      <w:rFonts w:ascii="Arial" w:hAnsi="Arial" w:cs="Arial"/>
      <w:sz w:val="23"/>
      <w:lang w:val="en-GB" w:eastAsia="fr-BE"/>
    </w:rPr>
  </w:style>
  <w:style w:type="paragraph" w:styleId="Signature">
    <w:name w:val="Signature"/>
    <w:basedOn w:val="Normal"/>
    <w:link w:val="SignatureChar"/>
    <w:uiPriority w:val="99"/>
    <w:semiHidden/>
    <w:unhideWhenUsed/>
    <w:rsid w:val="00742F59"/>
    <w:pPr>
      <w:ind w:left="4320"/>
    </w:pPr>
  </w:style>
  <w:style w:type="character" w:customStyle="1" w:styleId="SignatureChar">
    <w:name w:val="Signature Char"/>
    <w:link w:val="Signature"/>
    <w:uiPriority w:val="99"/>
    <w:semiHidden/>
    <w:rsid w:val="00742F59"/>
    <w:rPr>
      <w:rFonts w:ascii="Arial" w:hAnsi="Arial" w:cs="Arial"/>
      <w:sz w:val="23"/>
      <w:lang w:val="en-GB" w:eastAsia="fr-BE"/>
    </w:rPr>
  </w:style>
  <w:style w:type="character" w:styleId="Strong">
    <w:name w:val="Strong"/>
    <w:uiPriority w:val="22"/>
    <w:qFormat/>
    <w:rsid w:val="00742F59"/>
    <w:rPr>
      <w:b/>
      <w:bCs/>
    </w:rPr>
  </w:style>
  <w:style w:type="paragraph" w:styleId="Subtitle">
    <w:name w:val="Subtitle"/>
    <w:basedOn w:val="Normal"/>
    <w:next w:val="Normal"/>
    <w:link w:val="SubtitleChar"/>
    <w:uiPriority w:val="11"/>
    <w:qFormat/>
    <w:rsid w:val="00742F59"/>
    <w:pPr>
      <w:spacing w:after="60"/>
      <w:jc w:val="center"/>
      <w:outlineLvl w:val="1"/>
    </w:pPr>
    <w:rPr>
      <w:szCs w:val="24"/>
    </w:rPr>
  </w:style>
  <w:style w:type="character" w:customStyle="1" w:styleId="SubtitleChar">
    <w:name w:val="Subtitle Char"/>
    <w:link w:val="Subtitle"/>
    <w:uiPriority w:val="11"/>
    <w:rsid w:val="00742F59"/>
    <w:rPr>
      <w:rFonts w:ascii="Arial" w:eastAsia="Times New Roman" w:hAnsi="Arial" w:cs="Arial"/>
      <w:sz w:val="24"/>
      <w:szCs w:val="24"/>
      <w:lang w:val="en-GB" w:eastAsia="fr-BE"/>
    </w:rPr>
  </w:style>
  <w:style w:type="character" w:styleId="SubtleEmphasis">
    <w:name w:val="Subtle Emphasis"/>
    <w:uiPriority w:val="19"/>
    <w:qFormat/>
    <w:rsid w:val="00742F59"/>
    <w:rPr>
      <w:i/>
      <w:iCs/>
      <w:color w:val="808080"/>
    </w:rPr>
  </w:style>
  <w:style w:type="character" w:styleId="SubtleReference">
    <w:name w:val="Subtle Reference"/>
    <w:uiPriority w:val="31"/>
    <w:qFormat/>
    <w:rsid w:val="00742F59"/>
    <w:rPr>
      <w:smallCaps/>
      <w:color w:val="C0504D"/>
      <w:u w:val="single"/>
    </w:rPr>
  </w:style>
  <w:style w:type="table" w:styleId="Table3Deffects1">
    <w:name w:val="Table 3D effects 1"/>
    <w:basedOn w:val="TableNormal"/>
    <w:uiPriority w:val="99"/>
    <w:semiHidden/>
    <w:unhideWhenUsed/>
    <w:rsid w:val="00742F59"/>
    <w:pPr>
      <w:widowControl w:val="0"/>
      <w:spacing w:line="216"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742F59"/>
    <w:pPr>
      <w:widowControl w:val="0"/>
      <w:spacing w:line="216"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742F59"/>
    <w:pPr>
      <w:widowControl w:val="0"/>
      <w:spacing w:line="216"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742F59"/>
    <w:pPr>
      <w:widowControl w:val="0"/>
      <w:spacing w:line="216"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742F59"/>
    <w:pPr>
      <w:widowControl w:val="0"/>
      <w:spacing w:line="216"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742F59"/>
    <w:pPr>
      <w:widowControl w:val="0"/>
      <w:spacing w:line="216" w:lineRule="auto"/>
    </w:pPr>
    <w:rPr>
      <w:color w:val="000080"/>
      <w:sz w:val="20"/>
      <w:szCs w:val="20"/>
      <w:lang w:val="fr-BE" w:eastAsia="fr-B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742F59"/>
    <w:pPr>
      <w:widowControl w:val="0"/>
      <w:spacing w:line="216"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742F59"/>
    <w:pPr>
      <w:widowControl w:val="0"/>
      <w:spacing w:line="216" w:lineRule="auto"/>
    </w:pPr>
    <w:rPr>
      <w:color w:val="FFFFFF"/>
      <w:sz w:val="20"/>
      <w:szCs w:val="20"/>
      <w:lang w:val="fr-BE" w:eastAsia="fr-B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742F59"/>
    <w:pPr>
      <w:widowControl w:val="0"/>
      <w:spacing w:line="216"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742F59"/>
    <w:pPr>
      <w:widowControl w:val="0"/>
      <w:spacing w:line="216"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742F59"/>
    <w:pPr>
      <w:widowControl w:val="0"/>
      <w:spacing w:line="216" w:lineRule="auto"/>
    </w:pPr>
    <w:rPr>
      <w:b/>
      <w:bCs/>
      <w:sz w:val="20"/>
      <w:szCs w:val="20"/>
      <w:lang w:val="fr-BE" w:eastAsia="fr-B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742F59"/>
    <w:pPr>
      <w:widowControl w:val="0"/>
      <w:spacing w:line="216" w:lineRule="auto"/>
    </w:pPr>
    <w:rPr>
      <w:b/>
      <w:bCs/>
      <w:sz w:val="20"/>
      <w:szCs w:val="20"/>
      <w:lang w:val="fr-BE" w:eastAsia="fr-B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742F59"/>
    <w:pPr>
      <w:widowControl w:val="0"/>
      <w:spacing w:line="216" w:lineRule="auto"/>
    </w:pPr>
    <w:rPr>
      <w:b/>
      <w:bCs/>
      <w:sz w:val="20"/>
      <w:szCs w:val="20"/>
      <w:lang w:val="fr-BE" w:eastAsia="fr-B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742F59"/>
    <w:pPr>
      <w:widowControl w:val="0"/>
      <w:spacing w:line="216"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742F59"/>
    <w:pPr>
      <w:widowControl w:val="0"/>
      <w:spacing w:line="216"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742F59"/>
    <w:pPr>
      <w:widowControl w:val="0"/>
      <w:spacing w:line="216"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742F59"/>
    <w:pPr>
      <w:widowControl w:val="0"/>
      <w:spacing w:line="216"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742F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742F59"/>
    <w:pPr>
      <w:widowControl w:val="0"/>
      <w:spacing w:line="216"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742F59"/>
    <w:pPr>
      <w:widowControl w:val="0"/>
      <w:spacing w:line="216"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742F59"/>
    <w:pPr>
      <w:widowControl w:val="0"/>
      <w:spacing w:line="216"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742F59"/>
    <w:pPr>
      <w:widowControl w:val="0"/>
      <w:spacing w:line="216"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742F59"/>
    <w:pPr>
      <w:widowControl w:val="0"/>
      <w:spacing w:line="216"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742F59"/>
    <w:pPr>
      <w:widowControl w:val="0"/>
      <w:spacing w:line="216"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742F59"/>
    <w:pPr>
      <w:widowControl w:val="0"/>
      <w:spacing w:line="216" w:lineRule="auto"/>
    </w:pPr>
    <w:rPr>
      <w:b/>
      <w:bCs/>
      <w:sz w:val="20"/>
      <w:szCs w:val="20"/>
      <w:lang w:val="fr-BE" w:eastAsia="fr-B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742F59"/>
    <w:pPr>
      <w:widowControl w:val="0"/>
      <w:spacing w:line="216"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742F59"/>
    <w:pPr>
      <w:widowControl w:val="0"/>
      <w:spacing w:line="216"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742F59"/>
    <w:pPr>
      <w:widowControl w:val="0"/>
      <w:spacing w:line="216"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742F59"/>
    <w:pPr>
      <w:widowControl w:val="0"/>
      <w:spacing w:line="216"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742F59"/>
    <w:pPr>
      <w:widowControl w:val="0"/>
      <w:spacing w:line="216"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742F59"/>
    <w:pPr>
      <w:widowControl w:val="0"/>
      <w:spacing w:line="216"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742F59"/>
    <w:pPr>
      <w:widowControl w:val="0"/>
      <w:spacing w:line="216"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742F59"/>
    <w:pPr>
      <w:widowControl w:val="0"/>
      <w:spacing w:line="216"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742F59"/>
    <w:pPr>
      <w:widowControl w:val="0"/>
      <w:spacing w:line="216"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742F59"/>
    <w:pPr>
      <w:ind w:left="230" w:hanging="230"/>
    </w:pPr>
  </w:style>
  <w:style w:type="paragraph" w:styleId="TableofFigures">
    <w:name w:val="table of figures"/>
    <w:basedOn w:val="Normal"/>
    <w:next w:val="Normal"/>
    <w:uiPriority w:val="99"/>
    <w:semiHidden/>
    <w:unhideWhenUsed/>
    <w:rsid w:val="00742F59"/>
  </w:style>
  <w:style w:type="table" w:styleId="TableProfessional">
    <w:name w:val="Table Professional"/>
    <w:basedOn w:val="TableNormal"/>
    <w:uiPriority w:val="99"/>
    <w:semiHidden/>
    <w:unhideWhenUsed/>
    <w:rsid w:val="00742F59"/>
    <w:pPr>
      <w:widowControl w:val="0"/>
      <w:spacing w:line="216"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742F59"/>
    <w:pPr>
      <w:widowControl w:val="0"/>
      <w:spacing w:line="216"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742F59"/>
    <w:pPr>
      <w:widowControl w:val="0"/>
      <w:spacing w:line="216"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742F59"/>
    <w:pPr>
      <w:widowControl w:val="0"/>
      <w:spacing w:line="216"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742F59"/>
    <w:pPr>
      <w:widowControl w:val="0"/>
      <w:spacing w:line="216"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742F59"/>
    <w:pPr>
      <w:widowControl w:val="0"/>
      <w:spacing w:line="216"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742F59"/>
    <w:pPr>
      <w:widowControl w:val="0"/>
      <w:spacing w:line="21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742F59"/>
    <w:pPr>
      <w:widowControl w:val="0"/>
      <w:spacing w:line="216"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742F59"/>
    <w:pPr>
      <w:widowControl w:val="0"/>
      <w:spacing w:line="216"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742F59"/>
    <w:pPr>
      <w:widowControl w:val="0"/>
      <w:spacing w:line="216"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qFormat/>
    <w:rsid w:val="00742F59"/>
    <w:pPr>
      <w:spacing w:before="240" w:after="60"/>
      <w:jc w:val="center"/>
      <w:outlineLvl w:val="0"/>
    </w:pPr>
    <w:rPr>
      <w:b/>
      <w:bCs/>
      <w:kern w:val="28"/>
      <w:sz w:val="32"/>
      <w:szCs w:val="32"/>
    </w:rPr>
  </w:style>
  <w:style w:type="character" w:customStyle="1" w:styleId="TitleChar">
    <w:name w:val="Title Char"/>
    <w:link w:val="Title"/>
    <w:uiPriority w:val="10"/>
    <w:rsid w:val="00742F59"/>
    <w:rPr>
      <w:rFonts w:ascii="Arial" w:eastAsia="Times New Roman" w:hAnsi="Arial" w:cs="Arial"/>
      <w:b/>
      <w:bCs/>
      <w:kern w:val="28"/>
      <w:sz w:val="32"/>
      <w:szCs w:val="32"/>
      <w:lang w:val="en-GB" w:eastAsia="fr-BE"/>
    </w:rPr>
  </w:style>
  <w:style w:type="paragraph" w:styleId="TOAHeading">
    <w:name w:val="toa heading"/>
    <w:basedOn w:val="Normal"/>
    <w:next w:val="Normal"/>
    <w:uiPriority w:val="99"/>
    <w:semiHidden/>
    <w:unhideWhenUsed/>
    <w:rsid w:val="00742F59"/>
    <w:rPr>
      <w:b/>
      <w:bCs/>
      <w:szCs w:val="24"/>
    </w:rPr>
  </w:style>
  <w:style w:type="paragraph" w:customStyle="1" w:styleId="TBSousEmbargo">
    <w:name w:val="TBSousEmbargo"/>
    <w:basedOn w:val="TechnicalBlockBase"/>
    <w:qFormat/>
    <w:rsid w:val="003D6CA8"/>
    <w:pPr>
      <w:spacing w:before="360" w:after="360" w:line="240" w:lineRule="auto"/>
      <w:ind w:left="0" w:right="0"/>
      <w:jc w:val="center"/>
    </w:pPr>
    <w:rPr>
      <w:rFonts w:ascii="Arial" w:hAnsi="Arial"/>
      <w:i w:val="0"/>
      <w:dstrike w:val="0"/>
      <w:color w:val="auto"/>
      <w:w w:val="100"/>
      <w:sz w:val="23"/>
      <w:szCs w:val="23"/>
      <w:u w:val="double"/>
    </w:rPr>
  </w:style>
  <w:style w:type="paragraph" w:customStyle="1" w:styleId="TechnicalBlockBase">
    <w:name w:val="TechnicalBlockBase"/>
    <w:link w:val="TechnicalBlockBaseChar"/>
    <w:rsid w:val="003D6CA8"/>
    <w:pPr>
      <w:widowControl w:val="0"/>
      <w:spacing w:before="140" w:after="140" w:line="185" w:lineRule="auto"/>
      <w:ind w:left="260" w:right="260"/>
    </w:pPr>
    <w:rPr>
      <w:rFonts w:ascii="Arial New Roman" w:hAnsi="Arial New Roman" w:cs="Arial"/>
      <w:b/>
      <w:i/>
      <w:dstrike/>
      <w:color w:val="606060"/>
      <w:w w:val="98"/>
      <w:sz w:val="10"/>
      <w:u w:val="words" w:color="606060"/>
      <w:lang w:val="en-GB" w:eastAsia="fr-BE"/>
    </w:rPr>
  </w:style>
  <w:style w:type="character" w:customStyle="1" w:styleId="EntInstitChar">
    <w:name w:val="EntInstit Char"/>
    <w:basedOn w:val="DefaultParagraphFont"/>
    <w:link w:val="TBEntInstit"/>
    <w:rsid w:val="00074AC7"/>
    <w:rPr>
      <w:rFonts w:ascii="Arial" w:hAnsi="Arial" w:cs="Arial"/>
      <w:b/>
      <w:sz w:val="23"/>
      <w:u w:color="606060"/>
      <w:lang w:val="en-GB" w:eastAsia="fr-BE"/>
    </w:rPr>
  </w:style>
  <w:style w:type="character" w:customStyle="1" w:styleId="TechnicalBlockBaseChar">
    <w:name w:val="TechnicalBlockBase Char"/>
    <w:basedOn w:val="EntInstitChar"/>
    <w:link w:val="TechnicalBlockBase"/>
    <w:rsid w:val="003D6CA8"/>
    <w:rPr>
      <w:rFonts w:ascii="Arial New Roman" w:hAnsi="Arial New Roman" w:cs="Arial"/>
      <w:b/>
      <w:i/>
      <w:dstrike/>
      <w:color w:val="606060"/>
      <w:w w:val="98"/>
      <w:sz w:val="10"/>
      <w:u w:val="words" w:color="606060"/>
      <w:lang w:val="en-GB" w:eastAsia="fr-BE"/>
    </w:rPr>
  </w:style>
  <w:style w:type="paragraph" w:customStyle="1" w:styleId="EntInstit">
    <w:name w:val="EntInstit"/>
    <w:basedOn w:val="Normal"/>
    <w:rsid w:val="00E17D98"/>
    <w:pPr>
      <w:jc w:val="right"/>
    </w:pPr>
    <w:rPr>
      <w:b/>
      <w:bCs/>
    </w:rPr>
  </w:style>
  <w:style w:type="paragraph" w:customStyle="1" w:styleId="EntRefer">
    <w:name w:val="EntRefer"/>
    <w:basedOn w:val="Normal"/>
    <w:rsid w:val="00E17D98"/>
    <w:pPr>
      <w:jc w:val="left"/>
    </w:pPr>
    <w:rPr>
      <w:b/>
      <w:bCs/>
    </w:rPr>
  </w:style>
  <w:style w:type="paragraph" w:customStyle="1" w:styleId="Genredudocument">
    <w:name w:val="Genre du document"/>
    <w:basedOn w:val="EntRefer"/>
    <w:next w:val="EntRefer"/>
    <w:rsid w:val="00E17D98"/>
    <w:pPr>
      <w:spacing w:before="240"/>
    </w:pPr>
  </w:style>
  <w:style w:type="paragraph" w:customStyle="1" w:styleId="Lignefinal">
    <w:name w:val="Ligne final"/>
    <w:basedOn w:val="Normal"/>
    <w:next w:val="Normal"/>
    <w:rsid w:val="00E17D98"/>
    <w:pPr>
      <w:pBdr>
        <w:bottom w:val="single" w:sz="4" w:space="0" w:color="000000"/>
      </w:pBdr>
      <w:spacing w:before="0" w:after="440" w:line="360" w:lineRule="auto"/>
      <w:ind w:left="3400" w:right="3400"/>
      <w:jc w:val="center"/>
    </w:pPr>
    <w:rPr>
      <w:b/>
      <w:bCs/>
    </w:rPr>
  </w:style>
  <w:style w:type="paragraph" w:customStyle="1" w:styleId="pj">
    <w:name w:val="p.j."/>
    <w:basedOn w:val="Normal"/>
    <w:next w:val="Normal"/>
    <w:rsid w:val="00E17D98"/>
    <w:pPr>
      <w:spacing w:before="1200"/>
      <w:ind w:left="1440" w:hanging="1440"/>
      <w:jc w:val="left"/>
    </w:pPr>
  </w:style>
  <w:style w:type="paragraph" w:customStyle="1" w:styleId="EntText">
    <w:name w:val="EntText"/>
    <w:basedOn w:val="Normal"/>
    <w:rsid w:val="00E17D98"/>
    <w:pPr>
      <w:spacing w:line="360" w:lineRule="auto"/>
      <w:jc w:val="left"/>
    </w:pPr>
  </w:style>
  <w:style w:type="paragraph" w:customStyle="1" w:styleId="EntACP">
    <w:name w:val="EntACP"/>
    <w:basedOn w:val="Normal"/>
    <w:rsid w:val="00E17D98"/>
    <w:pPr>
      <w:spacing w:line="360" w:lineRule="auto"/>
      <w:jc w:val="center"/>
    </w:pPr>
    <w:rPr>
      <w:b/>
      <w:bCs/>
      <w:spacing w:val="40"/>
      <w:sz w:val="28"/>
      <w:szCs w:val="28"/>
    </w:rPr>
  </w:style>
  <w:style w:type="paragraph" w:customStyle="1" w:styleId="EntASSOC">
    <w:name w:val="EntASSOC"/>
    <w:basedOn w:val="Normal"/>
    <w:rsid w:val="00E17D98"/>
    <w:pPr>
      <w:jc w:val="center"/>
    </w:pPr>
    <w:rPr>
      <w:b/>
      <w:bCs/>
    </w:rPr>
  </w:style>
  <w:style w:type="paragraph" w:customStyle="1" w:styleId="EntEU">
    <w:name w:val="EntEU"/>
    <w:basedOn w:val="Normal"/>
    <w:rsid w:val="00E17D98"/>
    <w:pPr>
      <w:spacing w:before="240" w:after="240"/>
      <w:jc w:val="center"/>
    </w:pPr>
    <w:rPr>
      <w:b/>
      <w:bCs/>
      <w:sz w:val="36"/>
      <w:szCs w:val="36"/>
    </w:rPr>
  </w:style>
  <w:style w:type="paragraph" w:customStyle="1" w:styleId="EntInstitACP">
    <w:name w:val="EntInstitACP"/>
    <w:basedOn w:val="Normal"/>
    <w:rsid w:val="00E17D98"/>
    <w:pPr>
      <w:jc w:val="center"/>
    </w:pPr>
    <w:rPr>
      <w:b/>
      <w:bCs/>
    </w:rPr>
  </w:style>
  <w:style w:type="paragraph" w:customStyle="1" w:styleId="EntReferNew">
    <w:name w:val="EntReferNew"/>
    <w:basedOn w:val="EntRefer"/>
    <w:rsid w:val="00E17D98"/>
    <w:pPr>
      <w:jc w:val="center"/>
    </w:pPr>
  </w:style>
  <w:style w:type="paragraph" w:customStyle="1" w:styleId="TBSubjectTable">
    <w:name w:val="TBSubjectTable"/>
    <w:basedOn w:val="TechnicalBlockBase"/>
    <w:rsid w:val="00636A36"/>
    <w:pPr>
      <w:widowControl/>
      <w:spacing w:before="40" w:after="40" w:line="240" w:lineRule="auto"/>
      <w:ind w:left="0" w:right="0"/>
    </w:pPr>
    <w:rPr>
      <w:rFonts w:ascii="Arial" w:hAnsi="Arial"/>
      <w:b w:val="0"/>
      <w:i w:val="0"/>
      <w:dstrike w:val="0"/>
      <w:color w:val="auto"/>
      <w:w w:val="100"/>
      <w:sz w:val="23"/>
      <w:u w:val="none"/>
    </w:rPr>
  </w:style>
  <w:style w:type="paragraph" w:customStyle="1" w:styleId="TBDocumentGroup">
    <w:name w:val="TBDocumentGroup"/>
    <w:basedOn w:val="TechnicalBlockBase"/>
    <w:rsid w:val="00636A36"/>
    <w:pPr>
      <w:widowControl/>
      <w:spacing w:before="560" w:after="480" w:line="240" w:lineRule="auto"/>
      <w:ind w:left="0" w:right="0"/>
      <w:jc w:val="center"/>
    </w:pPr>
    <w:rPr>
      <w:rFonts w:ascii="Arial" w:hAnsi="Arial"/>
      <w:i w:val="0"/>
      <w:caps/>
      <w:dstrike w:val="0"/>
      <w:color w:val="auto"/>
      <w:w w:val="100"/>
      <w:sz w:val="23"/>
      <w:u w:val="single"/>
    </w:rPr>
  </w:style>
  <w:style w:type="paragraph" w:customStyle="1" w:styleId="TBHeadingTable">
    <w:name w:val="TBHeadingTable"/>
    <w:basedOn w:val="TechnicalBlockBase"/>
    <w:rsid w:val="00636A36"/>
    <w:pPr>
      <w:widowControl/>
      <w:spacing w:before="240" w:after="40" w:line="240" w:lineRule="auto"/>
      <w:ind w:left="0" w:right="0"/>
    </w:pPr>
    <w:rPr>
      <w:rFonts w:ascii="Arial" w:hAnsi="Arial"/>
      <w:i w:val="0"/>
      <w:dstrike w:val="0"/>
      <w:color w:val="auto"/>
      <w:w w:val="100"/>
      <w:sz w:val="23"/>
      <w:u w:val="none"/>
    </w:rPr>
  </w:style>
  <w:style w:type="paragraph" w:customStyle="1" w:styleId="TBSubjectBold">
    <w:name w:val="TBSubjectBold"/>
    <w:basedOn w:val="TechnicalBlockBase"/>
    <w:rsid w:val="00636A36"/>
    <w:pPr>
      <w:widowControl/>
      <w:spacing w:before="0" w:after="0" w:line="360" w:lineRule="auto"/>
      <w:ind w:left="0" w:right="0"/>
      <w:jc w:val="center"/>
    </w:pPr>
    <w:rPr>
      <w:rFonts w:ascii="Arial" w:hAnsi="Arial"/>
      <w:i w:val="0"/>
      <w:dstrike w:val="0"/>
      <w:color w:val="auto"/>
      <w:w w:val="100"/>
      <w:sz w:val="23"/>
      <w:u w:val="none"/>
    </w:rPr>
  </w:style>
  <w:style w:type="paragraph" w:customStyle="1" w:styleId="HeaderCouncil">
    <w:name w:val="Header Council"/>
    <w:basedOn w:val="Normal"/>
    <w:rsid w:val="000C5EE4"/>
    <w:pPr>
      <w:spacing w:before="0" w:after="0"/>
      <w:jc w:val="left"/>
    </w:pPr>
    <w:rPr>
      <w:sz w:val="2"/>
    </w:rPr>
  </w:style>
  <w:style w:type="paragraph" w:customStyle="1" w:styleId="TBSubjectText">
    <w:name w:val="TBSubjectText"/>
    <w:basedOn w:val="TechnicalBlockBase"/>
    <w:qFormat/>
    <w:rsid w:val="00636A36"/>
    <w:pPr>
      <w:widowControl/>
      <w:spacing w:before="40" w:after="40" w:line="240" w:lineRule="auto"/>
      <w:ind w:left="0" w:right="0"/>
    </w:pPr>
    <w:rPr>
      <w:rFonts w:ascii="Arial" w:hAnsi="Arial"/>
      <w:b w:val="0"/>
      <w:i w:val="0"/>
      <w:dstrike w:val="0"/>
      <w:color w:val="auto"/>
      <w:w w:val="100"/>
      <w:sz w:val="23"/>
      <w:u w:val="none"/>
    </w:rPr>
  </w:style>
  <w:style w:type="paragraph" w:customStyle="1" w:styleId="HeaderCouncilLarge">
    <w:name w:val="Header Council Large"/>
    <w:basedOn w:val="Normal"/>
    <w:uiPriority w:val="99"/>
    <w:unhideWhenUsed/>
    <w:pPr>
      <w:spacing w:before="0" w:after="440"/>
    </w:pPr>
    <w:rPr>
      <w:sz w:val="2"/>
    </w:rPr>
  </w:style>
  <w:style w:type="paragraph" w:customStyle="1" w:styleId="FooterCouncil">
    <w:name w:val="Footer Council"/>
    <w:basedOn w:val="Normal"/>
    <w:uiPriority w:val="99"/>
    <w:unhideWhenUsed/>
    <w:pPr>
      <w:spacing w:before="0" w:after="0"/>
    </w:pPr>
    <w:rPr>
      <w:sz w:val="2"/>
    </w:rPr>
  </w:style>
  <w:style w:type="paragraph" w:customStyle="1" w:styleId="FooterText">
    <w:name w:val="Footer Text"/>
    <w:basedOn w:val="Normal"/>
    <w:unhideWhenUsed/>
    <w:pPr>
      <w:spacing w:before="0" w:after="0"/>
    </w:pPr>
  </w:style>
  <w:style w:type="paragraph" w:styleId="ListBullet">
    <w:name w:val="List Bullet"/>
    <w:basedOn w:val="Normal"/>
    <w:uiPriority w:val="99"/>
    <w:semiHidden/>
    <w:unhideWhenUsed/>
    <w:rsid w:val="00B672D2"/>
    <w:pPr>
      <w:numPr>
        <w:numId w:val="21"/>
      </w:numPr>
      <w:contextualSpacing/>
    </w:pPr>
  </w:style>
  <w:style w:type="paragraph" w:styleId="ListBullet2">
    <w:name w:val="List Bullet 2"/>
    <w:basedOn w:val="Normal"/>
    <w:uiPriority w:val="99"/>
    <w:semiHidden/>
    <w:unhideWhenUsed/>
    <w:rsid w:val="00B672D2"/>
    <w:pPr>
      <w:numPr>
        <w:numId w:val="22"/>
      </w:numPr>
      <w:contextualSpacing/>
    </w:pPr>
  </w:style>
  <w:style w:type="paragraph" w:styleId="ListBullet3">
    <w:name w:val="List Bullet 3"/>
    <w:basedOn w:val="Normal"/>
    <w:uiPriority w:val="99"/>
    <w:semiHidden/>
    <w:unhideWhenUsed/>
    <w:rsid w:val="00B672D2"/>
    <w:pPr>
      <w:numPr>
        <w:numId w:val="23"/>
      </w:numPr>
      <w:contextualSpacing/>
    </w:pPr>
  </w:style>
  <w:style w:type="paragraph" w:styleId="ListBullet4">
    <w:name w:val="List Bullet 4"/>
    <w:basedOn w:val="Normal"/>
    <w:uiPriority w:val="99"/>
    <w:semiHidden/>
    <w:unhideWhenUsed/>
    <w:rsid w:val="00B672D2"/>
    <w:pPr>
      <w:numPr>
        <w:numId w:val="24"/>
      </w:numPr>
      <w:contextualSpacing/>
    </w:pPr>
  </w:style>
  <w:style w:type="paragraph" w:customStyle="1" w:styleId="CharCharChar1">
    <w:name w:val="Char Char Char1"/>
    <w:basedOn w:val="Normal"/>
    <w:link w:val="FootnoteReference"/>
    <w:autoRedefine/>
    <w:uiPriority w:val="99"/>
    <w:qFormat/>
    <w:rsid w:val="00253C87"/>
    <w:pPr>
      <w:spacing w:before="0" w:after="240" w:line="240" w:lineRule="exact"/>
    </w:pPr>
    <w:rPr>
      <w:rFonts w:asciiTheme="minorHAnsi" w:hAnsiTheme="minorHAnsi" w:cstheme="minorBidi"/>
      <w:sz w:val="22"/>
      <w:vertAlign w:val="superscript"/>
    </w:rPr>
  </w:style>
  <w:style w:type="character" w:styleId="Hyperlink">
    <w:name w:val="Hyperlink"/>
    <w:aliases w:val=" Znak Znak Znak,Znak Znak Znak"/>
    <w:basedOn w:val="DefaultParagraphFont"/>
    <w:uiPriority w:val="99"/>
    <w:unhideWhenUsed/>
    <w:qFormat/>
    <w:rsid w:val="00253C87"/>
    <w:rPr>
      <w:color w:val="0000FF" w:themeColor="hyperlink"/>
      <w:u w:val="single"/>
    </w:rPr>
  </w:style>
  <w:style w:type="character" w:styleId="CommentReference">
    <w:name w:val="annotation reference"/>
    <w:basedOn w:val="DefaultParagraphFont"/>
    <w:uiPriority w:val="99"/>
    <w:unhideWhenUsed/>
    <w:rsid w:val="00B12CF6"/>
    <w:rPr>
      <w:sz w:val="16"/>
      <w:szCs w:val="16"/>
    </w:rPr>
  </w:style>
  <w:style w:type="paragraph" w:styleId="CommentText">
    <w:name w:val="annotation text"/>
    <w:basedOn w:val="Normal"/>
    <w:link w:val="CommentTextChar"/>
    <w:uiPriority w:val="99"/>
    <w:unhideWhenUsed/>
    <w:rsid w:val="00B12CF6"/>
    <w:rPr>
      <w:sz w:val="20"/>
      <w:szCs w:val="20"/>
    </w:rPr>
  </w:style>
  <w:style w:type="character" w:customStyle="1" w:styleId="CommentTextChar">
    <w:name w:val="Comment Text Char"/>
    <w:basedOn w:val="DefaultParagraphFont"/>
    <w:link w:val="CommentText"/>
    <w:uiPriority w:val="99"/>
    <w:rsid w:val="00B12CF6"/>
    <w:rPr>
      <w:rFonts w:ascii="Times New Roman" w:hAnsi="Times New Roman" w:cs="Times New Roman"/>
      <w:sz w:val="20"/>
      <w:szCs w:val="20"/>
      <w:lang w:val="sl-SI"/>
    </w:rPr>
  </w:style>
  <w:style w:type="paragraph" w:styleId="CommentSubject">
    <w:name w:val="annotation subject"/>
    <w:basedOn w:val="CommentText"/>
    <w:next w:val="CommentText"/>
    <w:link w:val="CommentSubjectChar"/>
    <w:uiPriority w:val="99"/>
    <w:semiHidden/>
    <w:unhideWhenUsed/>
    <w:rsid w:val="00B12CF6"/>
    <w:rPr>
      <w:b/>
      <w:bCs/>
    </w:rPr>
  </w:style>
  <w:style w:type="character" w:customStyle="1" w:styleId="CommentSubjectChar">
    <w:name w:val="Comment Subject Char"/>
    <w:basedOn w:val="CommentTextChar"/>
    <w:link w:val="CommentSubject"/>
    <w:uiPriority w:val="99"/>
    <w:semiHidden/>
    <w:rsid w:val="00B12CF6"/>
    <w:rPr>
      <w:rFonts w:ascii="Times New Roman" w:hAnsi="Times New Roman" w:cs="Times New Roman"/>
      <w:b/>
      <w:bCs/>
      <w:sz w:val="20"/>
      <w:szCs w:val="20"/>
      <w:lang w:val="sl-SI"/>
    </w:rPr>
  </w:style>
  <w:style w:type="character" w:customStyle="1" w:styleId="UnresolvedMention1">
    <w:name w:val="Unresolved Mention1"/>
    <w:basedOn w:val="DefaultParagraphFont"/>
    <w:uiPriority w:val="99"/>
    <w:semiHidden/>
    <w:unhideWhenUsed/>
    <w:rsid w:val="007912D6"/>
    <w:rPr>
      <w:color w:val="605E5C"/>
      <w:shd w:val="clear" w:color="auto" w:fill="E1DFDD"/>
    </w:rPr>
  </w:style>
  <w:style w:type="paragraph" w:customStyle="1" w:styleId="fr">
    <w:name w:val="fr"/>
    <w:basedOn w:val="Normal"/>
    <w:uiPriority w:val="99"/>
    <w:rsid w:val="007912D6"/>
    <w:pPr>
      <w:spacing w:before="0" w:after="160" w:line="240" w:lineRule="exact"/>
      <w:jc w:val="left"/>
    </w:pPr>
    <w:rPr>
      <w:rFonts w:asciiTheme="minorHAnsi" w:hAnsiTheme="minorHAnsi" w:cstheme="minorBidi"/>
      <w:sz w:val="20"/>
      <w:vertAlign w:val="superscript"/>
    </w:rPr>
  </w:style>
  <w:style w:type="paragraph" w:customStyle="1" w:styleId="FootnotesymbolCharCharChar">
    <w:name w:val="Footnote symbol Char Char Char"/>
    <w:aliases w:val="Voetnootverwijzing Char Char Char,Times 10 Point Char Char Char,Exposant 3 Point Char Char Char, Exposant 3 Point Char Char Char,Footnote Reference Superscript Char Char Char,Footnote symbol Char,FR Char"/>
    <w:basedOn w:val="Normal"/>
    <w:uiPriority w:val="99"/>
    <w:rsid w:val="007912D6"/>
    <w:pPr>
      <w:spacing w:before="0" w:after="160" w:line="240" w:lineRule="exact"/>
      <w:jc w:val="left"/>
    </w:pPr>
    <w:rPr>
      <w:rFonts w:asciiTheme="minorHAnsi" w:hAnsiTheme="minorHAnsi" w:cstheme="minorBidi"/>
      <w:sz w:val="22"/>
      <w:vertAlign w:val="superscript"/>
    </w:rPr>
  </w:style>
  <w:style w:type="paragraph" w:customStyle="1" w:styleId="pf0">
    <w:name w:val="pf0"/>
    <w:basedOn w:val="Normal"/>
    <w:rsid w:val="007912D6"/>
    <w:pPr>
      <w:spacing w:before="100" w:beforeAutospacing="1" w:after="100" w:afterAutospacing="1"/>
      <w:jc w:val="left"/>
    </w:pPr>
    <w:rPr>
      <w:rFonts w:eastAsia="Times New Roman"/>
      <w:szCs w:val="24"/>
      <w:lang w:eastAsia="en-GB"/>
    </w:rPr>
  </w:style>
  <w:style w:type="paragraph" w:customStyle="1" w:styleId="li">
    <w:name w:val="li"/>
    <w:basedOn w:val="Normal"/>
    <w:rsid w:val="0018305C"/>
    <w:pPr>
      <w:spacing w:before="100" w:beforeAutospacing="1" w:after="100" w:afterAutospacing="1"/>
      <w:jc w:val="left"/>
    </w:pPr>
    <w:rPr>
      <w:rFonts w:eastAsia="Times New Roman"/>
      <w:szCs w:val="24"/>
      <w:lang w:eastAsia="en-IE"/>
    </w:rPr>
  </w:style>
  <w:style w:type="character" w:customStyle="1" w:styleId="num">
    <w:name w:val="num"/>
    <w:basedOn w:val="DefaultParagraphFont"/>
    <w:rsid w:val="0018305C"/>
  </w:style>
  <w:style w:type="paragraph" w:styleId="Revision">
    <w:name w:val="Revision"/>
    <w:hidden/>
    <w:uiPriority w:val="99"/>
    <w:semiHidden/>
    <w:rsid w:val="006E6673"/>
    <w:pPr>
      <w:spacing w:after="0" w:line="240" w:lineRule="auto"/>
    </w:pPr>
    <w:rPr>
      <w:rFonts w:ascii="Times New Roman" w:hAnsi="Times New Roman" w:cs="Times New Roman"/>
      <w:sz w:val="24"/>
    </w:rPr>
  </w:style>
  <w:style w:type="paragraph" w:customStyle="1" w:styleId="Normal1">
    <w:name w:val="Normal1"/>
    <w:basedOn w:val="Normal"/>
    <w:rsid w:val="00CB41D9"/>
    <w:pPr>
      <w:spacing w:before="100" w:beforeAutospacing="1" w:after="100" w:afterAutospacing="1"/>
      <w:jc w:val="left"/>
    </w:pPr>
    <w:rPr>
      <w:rFonts w:eastAsia="Times New Roman"/>
      <w:szCs w:val="24"/>
      <w:lang w:eastAsia="en-IE"/>
    </w:rPr>
  </w:style>
  <w:style w:type="paragraph" w:styleId="ListParagraph">
    <w:name w:val="List Paragraph"/>
    <w:basedOn w:val="Normal"/>
    <w:uiPriority w:val="34"/>
    <w:qFormat/>
    <w:rsid w:val="005862FE"/>
    <w:pPr>
      <w:ind w:left="720"/>
      <w:contextualSpacing/>
    </w:pPr>
  </w:style>
  <w:style w:type="character" w:styleId="FollowedHyperlink">
    <w:name w:val="FollowedHyperlink"/>
    <w:basedOn w:val="DefaultParagraphFont"/>
    <w:uiPriority w:val="99"/>
    <w:semiHidden/>
    <w:unhideWhenUsed/>
    <w:rsid w:val="00456A12"/>
    <w:rPr>
      <w:color w:val="800080" w:themeColor="followedHyperlink"/>
      <w:u w:val="single"/>
    </w:rPr>
  </w:style>
  <w:style w:type="paragraph" w:customStyle="1" w:styleId="LegalNumPar">
    <w:name w:val="LegalNumPar"/>
    <w:basedOn w:val="Normal"/>
    <w:rsid w:val="00D84470"/>
    <w:pPr>
      <w:numPr>
        <w:numId w:val="25"/>
      </w:numPr>
      <w:spacing w:line="360" w:lineRule="auto"/>
    </w:pPr>
  </w:style>
  <w:style w:type="paragraph" w:customStyle="1" w:styleId="LegalNumPar2">
    <w:name w:val="LegalNumPar2"/>
    <w:basedOn w:val="Normal"/>
    <w:rsid w:val="00D84470"/>
    <w:pPr>
      <w:numPr>
        <w:ilvl w:val="1"/>
        <w:numId w:val="25"/>
      </w:numPr>
      <w:spacing w:line="360" w:lineRule="auto"/>
    </w:pPr>
  </w:style>
  <w:style w:type="paragraph" w:customStyle="1" w:styleId="LegalNumPar3">
    <w:name w:val="LegalNumPar3"/>
    <w:basedOn w:val="Normal"/>
    <w:rsid w:val="00D84470"/>
    <w:pPr>
      <w:numPr>
        <w:ilvl w:val="2"/>
        <w:numId w:val="25"/>
      </w:numPr>
      <w:spacing w:line="360" w:lineRule="auto"/>
    </w:pPr>
  </w:style>
  <w:style w:type="paragraph" w:customStyle="1" w:styleId="ti-grseq-1">
    <w:name w:val="ti-grseq-1"/>
    <w:basedOn w:val="Normal"/>
    <w:rsid w:val="00D84470"/>
    <w:pPr>
      <w:spacing w:before="100" w:beforeAutospacing="1" w:after="100" w:afterAutospacing="1"/>
      <w:jc w:val="left"/>
    </w:pPr>
    <w:rPr>
      <w:rFonts w:eastAsia="Times New Roman"/>
      <w:szCs w:val="24"/>
      <w:lang w:eastAsia="en-IE"/>
    </w:rPr>
  </w:style>
  <w:style w:type="character" w:customStyle="1" w:styleId="bold">
    <w:name w:val="bold"/>
    <w:basedOn w:val="DefaultParagraphFont"/>
    <w:rsid w:val="00D84470"/>
  </w:style>
  <w:style w:type="character" w:customStyle="1" w:styleId="Mention1">
    <w:name w:val="Mention1"/>
    <w:basedOn w:val="DefaultParagraphFont"/>
    <w:uiPriority w:val="99"/>
    <w:unhideWhenUsed/>
    <w:rsid w:val="00D84470"/>
    <w:rPr>
      <w:color w:val="2B579A"/>
      <w:shd w:val="clear" w:color="auto" w:fill="E1DFDD"/>
    </w:rPr>
  </w:style>
  <w:style w:type="character" w:customStyle="1" w:styleId="cf01">
    <w:name w:val="cf01"/>
    <w:basedOn w:val="DefaultParagraphFont"/>
    <w:rsid w:val="00067C70"/>
    <w:rPr>
      <w:rFonts w:ascii="Segoe UI" w:hAnsi="Segoe UI" w:cs="Segoe UI" w:hint="default"/>
      <w:color w:val="333333"/>
      <w:sz w:val="18"/>
      <w:szCs w:val="18"/>
      <w:shd w:val="clear" w:color="auto" w:fill="FFFFFF"/>
    </w:rPr>
  </w:style>
  <w:style w:type="character" w:styleId="Emphasis">
    <w:name w:val="Emphasis"/>
    <w:basedOn w:val="DefaultParagraphFont"/>
    <w:uiPriority w:val="20"/>
    <w:qFormat/>
    <w:rsid w:val="00040787"/>
    <w:rPr>
      <w:i/>
      <w:iCs/>
    </w:rPr>
  </w:style>
  <w:style w:type="paragraph" w:styleId="NormalWeb">
    <w:name w:val="Normal (Web)"/>
    <w:basedOn w:val="Normal"/>
    <w:uiPriority w:val="99"/>
    <w:semiHidden/>
    <w:unhideWhenUsed/>
    <w:rsid w:val="00040787"/>
    <w:pPr>
      <w:spacing w:before="100" w:beforeAutospacing="1" w:after="100" w:afterAutospacing="1"/>
      <w:jc w:val="left"/>
    </w:pPr>
    <w:rPr>
      <w:rFonts w:eastAsia="Times New Roman"/>
      <w:szCs w:val="24"/>
      <w:lang w:eastAsia="en-IE"/>
    </w:rPr>
  </w:style>
  <w:style w:type="character" w:customStyle="1" w:styleId="UnresolvedMention2">
    <w:name w:val="Unresolved Mention2"/>
    <w:basedOn w:val="DefaultParagraphFont"/>
    <w:uiPriority w:val="99"/>
    <w:semiHidden/>
    <w:unhideWhenUsed/>
    <w:rsid w:val="00C800E0"/>
    <w:rPr>
      <w:color w:val="605E5C"/>
      <w:shd w:val="clear" w:color="auto" w:fill="E1DFDD"/>
    </w:rPr>
  </w:style>
  <w:style w:type="character" w:customStyle="1" w:styleId="HeaderChar">
    <w:name w:val="Header Char"/>
    <w:basedOn w:val="DefaultParagraphFont"/>
    <w:link w:val="Header"/>
    <w:uiPriority w:val="99"/>
    <w:rsid w:val="00BD50E3"/>
    <w:rPr>
      <w:rFonts w:ascii="Times New Roman" w:hAnsi="Times New Roman" w:cs="Times New Roman"/>
      <w:sz w:val="24"/>
      <w:lang w:val="sl-SI"/>
    </w:rPr>
  </w:style>
  <w:style w:type="character" w:customStyle="1" w:styleId="FooterChar">
    <w:name w:val="Footer Char"/>
    <w:basedOn w:val="DefaultParagraphFont"/>
    <w:link w:val="Footer"/>
    <w:uiPriority w:val="99"/>
    <w:rsid w:val="00BD50E3"/>
    <w:rPr>
      <w:rFonts w:ascii="Times New Roman" w:hAnsi="Times New Roman" w:cs="Times New Roman"/>
      <w:sz w:val="24"/>
      <w:lang w:val="sl-SI"/>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sl-SI"/>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sl-SI"/>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sl-SI"/>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sl-SI"/>
    </w:rPr>
  </w:style>
  <w:style w:type="character" w:customStyle="1" w:styleId="Heading5Char">
    <w:name w:val="Heading 5 Char"/>
    <w:basedOn w:val="DefaultParagraphFont"/>
    <w:link w:val="Heading5"/>
    <w:uiPriority w:val="9"/>
    <w:semiHidden/>
    <w:rPr>
      <w:rFonts w:ascii="Times New Roman" w:eastAsiaTheme="majorEastAsia" w:hAnsi="Times New Roman" w:cs="Times New Roman"/>
      <w:sz w:val="24"/>
      <w:lang w:val="sl-SI"/>
    </w:rPr>
  </w:style>
  <w:style w:type="character" w:customStyle="1" w:styleId="Heading6Char">
    <w:name w:val="Heading 6 Char"/>
    <w:basedOn w:val="DefaultParagraphFont"/>
    <w:link w:val="Heading6"/>
    <w:uiPriority w:val="9"/>
    <w:semiHidden/>
    <w:rPr>
      <w:rFonts w:ascii="Times New Roman" w:eastAsiaTheme="majorEastAsia" w:hAnsi="Times New Roman" w:cs="Times New Roman"/>
      <w:iCs/>
      <w:sz w:val="24"/>
      <w:lang w:val="sl-SI"/>
    </w:rPr>
  </w:style>
  <w:style w:type="character" w:customStyle="1" w:styleId="Heading7Char">
    <w:name w:val="Heading 7 Char"/>
    <w:basedOn w:val="DefaultParagraphFont"/>
    <w:link w:val="Heading7"/>
    <w:uiPriority w:val="9"/>
    <w:semiHidden/>
    <w:rPr>
      <w:rFonts w:ascii="Times New Roman" w:eastAsiaTheme="majorEastAsia" w:hAnsi="Times New Roman" w:cs="Times New Roman"/>
      <w:iCs/>
      <w:sz w:val="24"/>
      <w:lang w:val="sl-SI"/>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ind w:left="1417" w:hanging="1417"/>
      <w:jc w:val="left"/>
    </w:pPr>
  </w:style>
  <w:style w:type="character" w:styleId="FootnoteReference">
    <w:name w:val="footnote reference"/>
    <w:basedOn w:val="DefaultParagraphFont"/>
    <w:link w:val="CharCharChar1"/>
    <w:uiPriority w:val="99"/>
    <w:semiHidden/>
    <w:unhideWhenUsed/>
    <w:rPr>
      <w:shd w:val="clear" w:color="auto" w:fill="auto"/>
      <w:vertAlign w:val="superscript"/>
    </w:rPr>
  </w:style>
  <w:style w:type="paragraph" w:customStyle="1" w:styleId="HeaderSensitivity">
    <w:name w:val="Header Sensitivity"/>
    <w:basedOn w:val="Normal"/>
    <w:rsid w:val="00BD50E3"/>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rsid w:val="00BD50E3"/>
    <w:pPr>
      <w:spacing w:before="0"/>
      <w:jc w:val="right"/>
    </w:pPr>
    <w:rPr>
      <w:sz w:val="28"/>
    </w:rPr>
  </w:style>
  <w:style w:type="paragraph" w:customStyle="1" w:styleId="FooterSensitivity">
    <w:name w:val="Footer Sensitivity"/>
    <w:basedOn w:val="Normal"/>
    <w:rsid w:val="00BD50E3"/>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Text5">
    <w:name w:val="Text 5"/>
    <w:basedOn w:val="Normal"/>
    <w:pPr>
      <w:ind w:left="3118"/>
    </w:pPr>
  </w:style>
  <w:style w:type="paragraph" w:customStyle="1" w:styleId="Text6">
    <w:name w:val="Text 6"/>
    <w:basedOn w:val="Normal"/>
    <w:pPr>
      <w:ind w:left="3685"/>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Point5">
    <w:name w:val="Point 5"/>
    <w:basedOn w:val="Normal"/>
    <w:pPr>
      <w:ind w:left="3685" w:hanging="567"/>
    </w:pPr>
  </w:style>
  <w:style w:type="paragraph" w:customStyle="1" w:styleId="Tiret0">
    <w:name w:val="Tiret 0"/>
    <w:basedOn w:val="Point0"/>
    <w:pPr>
      <w:numPr>
        <w:numId w:val="26"/>
      </w:numPr>
    </w:pPr>
  </w:style>
  <w:style w:type="paragraph" w:customStyle="1" w:styleId="Tiret1">
    <w:name w:val="Tiret 1"/>
    <w:basedOn w:val="Point1"/>
    <w:pPr>
      <w:numPr>
        <w:numId w:val="27"/>
      </w:numPr>
    </w:pPr>
  </w:style>
  <w:style w:type="paragraph" w:customStyle="1" w:styleId="Tiret2">
    <w:name w:val="Tiret 2"/>
    <w:basedOn w:val="Point2"/>
    <w:pPr>
      <w:numPr>
        <w:numId w:val="28"/>
      </w:numPr>
    </w:pPr>
  </w:style>
  <w:style w:type="paragraph" w:customStyle="1" w:styleId="Tiret3">
    <w:name w:val="Tiret 3"/>
    <w:basedOn w:val="Point3"/>
    <w:pPr>
      <w:numPr>
        <w:numId w:val="29"/>
      </w:numPr>
    </w:pPr>
  </w:style>
  <w:style w:type="paragraph" w:customStyle="1" w:styleId="Tiret4">
    <w:name w:val="Tiret 4"/>
    <w:basedOn w:val="Point4"/>
    <w:pPr>
      <w:numPr>
        <w:numId w:val="30"/>
      </w:numPr>
    </w:pPr>
  </w:style>
  <w:style w:type="paragraph" w:customStyle="1" w:styleId="Tiret5">
    <w:name w:val="Tiret 5"/>
    <w:basedOn w:val="Point5"/>
    <w:pPr>
      <w:numPr>
        <w:numId w:val="3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2"/>
      </w:numPr>
    </w:pPr>
  </w:style>
  <w:style w:type="paragraph" w:customStyle="1" w:styleId="NumPar2">
    <w:name w:val="NumPar 2"/>
    <w:basedOn w:val="Normal"/>
    <w:next w:val="Text1"/>
    <w:pPr>
      <w:numPr>
        <w:ilvl w:val="1"/>
        <w:numId w:val="32"/>
      </w:numPr>
    </w:pPr>
  </w:style>
  <w:style w:type="paragraph" w:customStyle="1" w:styleId="NumPar3">
    <w:name w:val="NumPar 3"/>
    <w:basedOn w:val="Normal"/>
    <w:next w:val="Text1"/>
    <w:pPr>
      <w:numPr>
        <w:ilvl w:val="2"/>
        <w:numId w:val="32"/>
      </w:numPr>
    </w:pPr>
  </w:style>
  <w:style w:type="paragraph" w:customStyle="1" w:styleId="NumPar4">
    <w:name w:val="NumPar 4"/>
    <w:basedOn w:val="Normal"/>
    <w:next w:val="Text1"/>
    <w:pPr>
      <w:numPr>
        <w:ilvl w:val="3"/>
        <w:numId w:val="32"/>
      </w:numPr>
    </w:pPr>
  </w:style>
  <w:style w:type="paragraph" w:customStyle="1" w:styleId="NumPar5">
    <w:name w:val="NumPar 5"/>
    <w:basedOn w:val="Normal"/>
    <w:next w:val="Text2"/>
    <w:pPr>
      <w:numPr>
        <w:ilvl w:val="4"/>
        <w:numId w:val="32"/>
      </w:numPr>
    </w:pPr>
  </w:style>
  <w:style w:type="paragraph" w:customStyle="1" w:styleId="NumPar6">
    <w:name w:val="NumPar 6"/>
    <w:basedOn w:val="Normal"/>
    <w:next w:val="Text2"/>
    <w:pPr>
      <w:numPr>
        <w:ilvl w:val="5"/>
        <w:numId w:val="32"/>
      </w:numPr>
    </w:pPr>
  </w:style>
  <w:style w:type="paragraph" w:customStyle="1" w:styleId="NumPar7">
    <w:name w:val="NumPar 7"/>
    <w:basedOn w:val="Normal"/>
    <w:next w:val="Text2"/>
    <w:pPr>
      <w:numPr>
        <w:ilvl w:val="6"/>
        <w:numId w:val="3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ManualNumPar5">
    <w:name w:val="Manual NumPar 5"/>
    <w:basedOn w:val="Normal"/>
    <w:next w:val="Text2"/>
    <w:pPr>
      <w:ind w:left="1417" w:hanging="1417"/>
    </w:pPr>
  </w:style>
  <w:style w:type="paragraph" w:customStyle="1" w:styleId="ManualNumPar6">
    <w:name w:val="Manual NumPar 6"/>
    <w:basedOn w:val="Normal"/>
    <w:next w:val="Text2"/>
    <w:pPr>
      <w:ind w:left="1417" w:hanging="1417"/>
    </w:pPr>
  </w:style>
  <w:style w:type="paragraph" w:customStyle="1" w:styleId="ManualNumPar7">
    <w:name w:val="Manual NumPar 7"/>
    <w:basedOn w:val="Normal"/>
    <w:next w:val="Text2"/>
    <w:pPr>
      <w:ind w:left="1417" w:hanging="1417"/>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ManualHeading5">
    <w:name w:val="Manual Heading 5"/>
    <w:basedOn w:val="Normal"/>
    <w:next w:val="Text2"/>
    <w:pPr>
      <w:keepNext/>
      <w:tabs>
        <w:tab w:val="left" w:pos="1417"/>
      </w:tabs>
      <w:ind w:left="1417" w:hanging="1417"/>
      <w:outlineLvl w:val="4"/>
    </w:pPr>
  </w:style>
  <w:style w:type="paragraph" w:customStyle="1" w:styleId="ManualHeading6">
    <w:name w:val="Manual Heading 6"/>
    <w:basedOn w:val="Normal"/>
    <w:next w:val="Text2"/>
    <w:pPr>
      <w:keepNext/>
      <w:tabs>
        <w:tab w:val="left" w:pos="1417"/>
      </w:tabs>
      <w:ind w:left="1417" w:hanging="1417"/>
      <w:outlineLvl w:val="5"/>
    </w:pPr>
  </w:style>
  <w:style w:type="paragraph" w:customStyle="1" w:styleId="ManualHeading7">
    <w:name w:val="Manual Heading 7"/>
    <w:basedOn w:val="Normal"/>
    <w:next w:val="Text2"/>
    <w:pPr>
      <w:keepNext/>
      <w:tabs>
        <w:tab w:val="left" w:pos="1417"/>
      </w:tabs>
      <w:ind w:left="1417" w:hanging="1417"/>
      <w:outlineLvl w:val="6"/>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3"/>
      </w:numPr>
    </w:pPr>
  </w:style>
  <w:style w:type="paragraph" w:customStyle="1" w:styleId="Point1number">
    <w:name w:val="Point 1 (number)"/>
    <w:basedOn w:val="Normal"/>
    <w:pPr>
      <w:numPr>
        <w:ilvl w:val="2"/>
        <w:numId w:val="33"/>
      </w:numPr>
    </w:pPr>
  </w:style>
  <w:style w:type="paragraph" w:customStyle="1" w:styleId="Point2number">
    <w:name w:val="Point 2 (number)"/>
    <w:basedOn w:val="Normal"/>
    <w:pPr>
      <w:numPr>
        <w:ilvl w:val="4"/>
        <w:numId w:val="33"/>
      </w:numPr>
    </w:pPr>
  </w:style>
  <w:style w:type="paragraph" w:customStyle="1" w:styleId="Point3number">
    <w:name w:val="Point 3 (number)"/>
    <w:basedOn w:val="Normal"/>
    <w:pPr>
      <w:numPr>
        <w:ilvl w:val="6"/>
        <w:numId w:val="33"/>
      </w:numPr>
    </w:pPr>
  </w:style>
  <w:style w:type="paragraph" w:customStyle="1" w:styleId="Point0letter">
    <w:name w:val="Point 0 (letter)"/>
    <w:basedOn w:val="Normal"/>
    <w:pPr>
      <w:numPr>
        <w:ilvl w:val="1"/>
        <w:numId w:val="33"/>
      </w:numPr>
    </w:pPr>
  </w:style>
  <w:style w:type="paragraph" w:customStyle="1" w:styleId="Point1letter">
    <w:name w:val="Point 1 (letter)"/>
    <w:basedOn w:val="Normal"/>
    <w:pPr>
      <w:numPr>
        <w:ilvl w:val="3"/>
        <w:numId w:val="33"/>
      </w:numPr>
    </w:pPr>
  </w:style>
  <w:style w:type="paragraph" w:customStyle="1" w:styleId="Point2letter">
    <w:name w:val="Point 2 (letter)"/>
    <w:basedOn w:val="Normal"/>
    <w:pPr>
      <w:numPr>
        <w:ilvl w:val="5"/>
        <w:numId w:val="33"/>
      </w:numPr>
    </w:pPr>
  </w:style>
  <w:style w:type="paragraph" w:customStyle="1" w:styleId="Point3letter">
    <w:name w:val="Point 3 (letter)"/>
    <w:basedOn w:val="Normal"/>
    <w:pPr>
      <w:numPr>
        <w:ilvl w:val="7"/>
        <w:numId w:val="33"/>
      </w:numPr>
    </w:pPr>
  </w:style>
  <w:style w:type="paragraph" w:customStyle="1" w:styleId="Point4letter">
    <w:name w:val="Point 4 (letter)"/>
    <w:basedOn w:val="Normal"/>
    <w:pPr>
      <w:numPr>
        <w:ilvl w:val="8"/>
        <w:numId w:val="33"/>
      </w:numPr>
    </w:pPr>
  </w:style>
  <w:style w:type="paragraph" w:customStyle="1" w:styleId="Bullet0">
    <w:name w:val="Bullet 0"/>
    <w:basedOn w:val="Normal"/>
    <w:pPr>
      <w:numPr>
        <w:numId w:val="34"/>
      </w:numPr>
    </w:pPr>
  </w:style>
  <w:style w:type="paragraph" w:customStyle="1" w:styleId="Bullet1">
    <w:name w:val="Bullet 1"/>
    <w:basedOn w:val="Normal"/>
    <w:pPr>
      <w:numPr>
        <w:numId w:val="35"/>
      </w:numPr>
    </w:pPr>
  </w:style>
  <w:style w:type="paragraph" w:customStyle="1" w:styleId="Bullet2">
    <w:name w:val="Bullet 2"/>
    <w:basedOn w:val="Normal"/>
    <w:pPr>
      <w:numPr>
        <w:numId w:val="36"/>
      </w:numPr>
    </w:pPr>
  </w:style>
  <w:style w:type="paragraph" w:customStyle="1" w:styleId="Bullet3">
    <w:name w:val="Bullet 3"/>
    <w:basedOn w:val="Normal"/>
    <w:pPr>
      <w:numPr>
        <w:numId w:val="37"/>
      </w:numPr>
    </w:pPr>
  </w:style>
  <w:style w:type="paragraph" w:customStyle="1" w:styleId="Bullet4">
    <w:name w:val="Bullet 4"/>
    <w:basedOn w:val="Normal"/>
    <w:pPr>
      <w:numPr>
        <w:numId w:val="38"/>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 w:type="paragraph" w:styleId="Header">
    <w:name w:val="header"/>
    <w:basedOn w:val="Normal"/>
    <w:link w:val="HeaderChar"/>
    <w:uiPriority w:val="99"/>
    <w:unhideWhenUsed/>
    <w:rsid w:val="00BD50E3"/>
    <w:pPr>
      <w:tabs>
        <w:tab w:val="center" w:pos="4535"/>
        <w:tab w:val="right" w:pos="9071"/>
      </w:tabs>
      <w:spacing w:before="0"/>
    </w:pPr>
  </w:style>
  <w:style w:type="paragraph" w:customStyle="1" w:styleId="HeaderLandscape">
    <w:name w:val="HeaderLandscape"/>
    <w:basedOn w:val="Normal"/>
    <w:rsid w:val="00BD50E3"/>
    <w:pPr>
      <w:tabs>
        <w:tab w:val="center" w:pos="7285"/>
        <w:tab w:val="right" w:pos="14003"/>
      </w:tabs>
      <w:spacing w:before="0"/>
    </w:pPr>
  </w:style>
  <w:style w:type="paragraph" w:styleId="Footer">
    <w:name w:val="footer"/>
    <w:basedOn w:val="Normal"/>
    <w:link w:val="FooterChar"/>
    <w:uiPriority w:val="99"/>
    <w:unhideWhenUsed/>
    <w:rsid w:val="00BD50E3"/>
    <w:pPr>
      <w:tabs>
        <w:tab w:val="center" w:pos="4535"/>
        <w:tab w:val="right" w:pos="9071"/>
        <w:tab w:val="right" w:pos="9921"/>
      </w:tabs>
      <w:spacing w:before="360" w:after="0"/>
      <w:ind w:left="-850" w:right="-850"/>
      <w:jc w:val="left"/>
    </w:pPr>
  </w:style>
  <w:style w:type="paragraph" w:customStyle="1" w:styleId="FooterLandscape">
    <w:name w:val="FooterLandscape"/>
    <w:basedOn w:val="Normal"/>
    <w:rsid w:val="00BD50E3"/>
    <w:pPr>
      <w:tabs>
        <w:tab w:val="center" w:pos="7285"/>
        <w:tab w:val="center" w:pos="10913"/>
        <w:tab w:val="right" w:pos="15137"/>
      </w:tabs>
      <w:spacing w:before="360" w:after="0"/>
      <w:ind w:left="-567" w:right="-567"/>
      <w:jc w:val="left"/>
    </w:pPr>
  </w:style>
  <w:style w:type="paragraph" w:customStyle="1" w:styleId="TechnicalBlock">
    <w:name w:val="Technical Block"/>
    <w:basedOn w:val="Normal"/>
    <w:link w:val="TechnicalBlockChar"/>
    <w:rsid w:val="006E4A43"/>
    <w:pPr>
      <w:spacing w:before="0" w:after="240"/>
      <w:jc w:val="center"/>
    </w:pPr>
  </w:style>
  <w:style w:type="character" w:customStyle="1" w:styleId="TechnicalBlockChar">
    <w:name w:val="Technical Block Char"/>
    <w:basedOn w:val="DefaultParagraphFont"/>
    <w:link w:val="TechnicalBlock"/>
    <w:rsid w:val="006E4A43"/>
    <w:rPr>
      <w:rFonts w:ascii="Times New Roman" w:hAnsi="Times New Roman" w:cs="Times New Roman"/>
      <w:sz w:val="24"/>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footer" Target="footer9.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image" Target="media/image1.emf"/><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1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oter" Target="footer8.xml"/><Relationship Id="rId32" Type="http://schemas.openxmlformats.org/officeDocument/2006/relationships/footer" Target="footer12.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emf"/><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footer" Target="footer11.xml"/></Relationships>
</file>

<file path=word/_rels/footnotes.xml.rels><?xml version="1.0" encoding="UTF-8" standalone="yes"?>
<Relationships xmlns="http://schemas.openxmlformats.org/package/2006/relationships"><Relationship Id="rId8" Type="http://schemas.openxmlformats.org/officeDocument/2006/relationships/hyperlink" Target="https://eur-lex.europa.eu/legal-content/SL/TXT/PDF/?uri=COM:2021:90:FIN" TargetMode="External"/><Relationship Id="rId13" Type="http://schemas.openxmlformats.org/officeDocument/2006/relationships/hyperlink" Target="https://ec.europa.eu/transparency/expert-groups-register/screen/expert-groups/consult?lang=sl&amp;groupId=3617&amp;fromMeetings=true&amp;meetingId=45600" TargetMode="External"/><Relationship Id="rId3" Type="http://schemas.openxmlformats.org/officeDocument/2006/relationships/hyperlink" Target="https://www.eca.europa.eu/Lists/ECADocuments/SR21_15/SR_passenger-rights_covid_SL.pdf" TargetMode="External"/><Relationship Id="rId7" Type="http://schemas.openxmlformats.org/officeDocument/2006/relationships/hyperlink" Target="https://eur-lex.europa.eu/legal-content/SL/TXT/?uri=COM%3A2019%3A270%3AFIN" TargetMode="External"/><Relationship Id="rId12" Type="http://schemas.openxmlformats.org/officeDocument/2006/relationships/hyperlink" Target="https://ec.europa.eu/info/law/better-regulation/have-your-say/initiatives/13117-Paketna-potovanja-pregled-pravil-EU_sl" TargetMode="External"/><Relationship Id="rId17" Type="http://schemas.openxmlformats.org/officeDocument/2006/relationships/hyperlink" Target="https://eur-lex.europa.eu/legal-content/SL/AUTO/?uri=OJ:L:1990:158:TOC" TargetMode="External"/><Relationship Id="rId2" Type="http://schemas.openxmlformats.org/officeDocument/2006/relationships/hyperlink" Target="https://eur-lex.europa.eu/legal-content/SL/TXT/?uri=COM%3A2021%3A90%3AFIN" TargetMode="External"/><Relationship Id="rId16" Type="http://schemas.openxmlformats.org/officeDocument/2006/relationships/hyperlink" Target="https://www.beuc.eu/sites/default/files/publications/beuc-x-2021-115_package_travel_directive_beuc_s_views_on_how_to_regain_consumer_trust_in_the_tourism_sector.pdf" TargetMode="External"/><Relationship Id="rId1" Type="http://schemas.openxmlformats.org/officeDocument/2006/relationships/hyperlink" Target="https://ec.europa.eu/eurostat/statistics-explained/index.php?title=Tourism_industries_-_economic_analysis" TargetMode="External"/><Relationship Id="rId6" Type="http://schemas.openxmlformats.org/officeDocument/2006/relationships/hyperlink" Target="https://ec.europa.eu/info/law/better-regulation/have-your-say/initiatives/13290-Potovanja-boljsa-zascita-potnikov-in-njihovih-pravic_sl" TargetMode="External"/><Relationship Id="rId11" Type="http://schemas.openxmlformats.org/officeDocument/2006/relationships/hyperlink" Target="https://ec.europa.eu/transparency/expert-groups-register/screen/meetings/consult?lang=en&amp;meetingId=45937&amp;fromExpertGroups=true" TargetMode="External"/><Relationship Id="rId5" Type="http://schemas.openxmlformats.org/officeDocument/2006/relationships/hyperlink" Target="https://eur-lex.europa.eu/legal-content/SL/TXT/?uri=CELEX%3A52020DC0696" TargetMode="External"/><Relationship Id="rId15" Type="http://schemas.openxmlformats.org/officeDocument/2006/relationships/hyperlink" Target="https://consultations.caa.co.uk/corporate-communications/atol-reform-request-for-further-information/user_uploads/atol-reform-request-for-further-information--cap2496-.pdf" TargetMode="External"/><Relationship Id="rId10" Type="http://schemas.openxmlformats.org/officeDocument/2006/relationships/hyperlink" Target="https://eur-lex.europa.eu/legal-content/SL/TXT/?uri=CELEX%3A32020H0648" TargetMode="External"/><Relationship Id="rId4" Type="http://schemas.openxmlformats.org/officeDocument/2006/relationships/hyperlink" Target="https://commission.europa.eu/law/law-making-process/evaluating-and-improving-existing-laws/refit-making-eu-law-simpler-less-costly-and-future-proof/fit-future-platform-f4f/adopted-opinions_en" TargetMode="External"/><Relationship Id="rId9" Type="http://schemas.openxmlformats.org/officeDocument/2006/relationships/hyperlink" Target="https://eur-lex.europa.eu/legal-content/SL/TXT/?uri=CELEX%3A52020DC0696" TargetMode="External"/><Relationship Id="rId14" Type="http://schemas.openxmlformats.org/officeDocument/2006/relationships/hyperlink" Target="https://commission.europa.eu/law/law-making-process/evaluating-and-improving-existing-laws/refit-making-eu-law-simpler-less-costly-and-future-proof/fit-future-platform-f4f/adopted-opinions_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DocuWrite\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com.dotm</Template>
  <TotalTime>32</TotalTime>
  <Pages>31</Pages>
  <Words>12804</Words>
  <Characters>70427</Characters>
  <Application>Microsoft Office Word</Application>
  <DocSecurity>0</DocSecurity>
  <Lines>586</Lines>
  <Paragraphs>166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MEDVED Mladen</cp:lastModifiedBy>
  <cp:revision>7</cp:revision>
  <cp:lastPrinted>2014-07-14T11:52:00Z</cp:lastPrinted>
  <dcterms:created xsi:type="dcterms:W3CDTF">2020-02-24T08:46:00Z</dcterms:created>
  <dcterms:modified xsi:type="dcterms:W3CDTF">2024-01-17T14:42:00Z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2023-11-23T17:40:11Z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fa4fc589-e718-457e-b257-8d48242c7853</vt:lpwstr>
  </property>
  <property fmtid="{D5CDD505-2E9C-101B-9397-08002B2CF9AE}" pid="8" name="MSIP_Label_6bd9ddd1-4d20-43f6-abfa-fc3c07406f94_ContentBits">
    <vt:lpwstr>0</vt:lpwstr>
  </property>
  <property fmtid="{D5CDD505-2E9C-101B-9397-08002B2CF9AE}" pid="9" name="Level of sensitivity">
    <vt:lpwstr>Standard treatment</vt:lpwstr>
  </property>
  <property fmtid="{D5CDD505-2E9C-101B-9397-08002B2CF9AE}" pid="10" name="Category">
    <vt:lpwstr>COM/PL/ORG</vt:lpwstr>
  </property>
  <property fmtid="{D5CDD505-2E9C-101B-9397-08002B2CF9AE}" pid="11" name="Last edited using">
    <vt:lpwstr>DocuWrite 4.8.5, Build 20230921</vt:lpwstr>
  </property>
  <property fmtid="{D5CDD505-2E9C-101B-9397-08002B2CF9AE}" pid="12" name="Part">
    <vt:lpwstr>1</vt:lpwstr>
  </property>
  <property fmtid="{D5CDD505-2E9C-101B-9397-08002B2CF9AE}" pid="13" name="Total parts">
    <vt:lpwstr>1</vt:lpwstr>
  </property>
  <property fmtid="{D5CDD505-2E9C-101B-9397-08002B2CF9AE}" pid="14" name="LWTemplateID">
    <vt:lpwstr>SJ-024</vt:lpwstr>
  </property>
  <property fmtid="{D5CDD505-2E9C-101B-9397-08002B2CF9AE}" pid="15" name="DQCStatus">
    <vt:lpwstr>Yellow (DQC version 03)</vt:lpwstr>
  </property>
  <property fmtid="{D5CDD505-2E9C-101B-9397-08002B2CF9AE}" pid="16" name="Created using">
    <vt:lpwstr>DocuWrite 4.8.5, Build 20230921</vt:lpwstr>
  </property>
  <property fmtid="{D5CDD505-2E9C-101B-9397-08002B2CF9AE}" pid="17" name="MSIP_Label_b1df41d6-74a9-4a97-809c-213cd32520cc_Enabled">
    <vt:lpwstr>true</vt:lpwstr>
  </property>
  <property fmtid="{D5CDD505-2E9C-101B-9397-08002B2CF9AE}" pid="18" name="MSIP_Label_b1df41d6-74a9-4a97-809c-213cd32520cc_SetDate">
    <vt:lpwstr>2023-12-04T09:58:26Z</vt:lpwstr>
  </property>
  <property fmtid="{D5CDD505-2E9C-101B-9397-08002B2CF9AE}" pid="19" name="MSIP_Label_b1df41d6-74a9-4a97-809c-213cd32520cc_Method">
    <vt:lpwstr>Privileged</vt:lpwstr>
  </property>
  <property fmtid="{D5CDD505-2E9C-101B-9397-08002B2CF9AE}" pid="20" name="MSIP_Label_b1df41d6-74a9-4a97-809c-213cd32520cc_Name">
    <vt:lpwstr>GSCEU - NON PUBLIC Label</vt:lpwstr>
  </property>
  <property fmtid="{D5CDD505-2E9C-101B-9397-08002B2CF9AE}" pid="21" name="MSIP_Label_b1df41d6-74a9-4a97-809c-213cd32520cc_SiteId">
    <vt:lpwstr>03ad1c97-0a4d-4e82-8f93-27291a6a0767</vt:lpwstr>
  </property>
  <property fmtid="{D5CDD505-2E9C-101B-9397-08002B2CF9AE}" pid="22" name="MSIP_Label_b1df41d6-74a9-4a97-809c-213cd32520cc_ActionId">
    <vt:lpwstr>590482f9-e68e-46a2-b19b-f902c649637c</vt:lpwstr>
  </property>
  <property fmtid="{D5CDD505-2E9C-101B-9397-08002B2CF9AE}" pid="23" name="MSIP_Label_b1df41d6-74a9-4a97-809c-213cd32520cc_ContentBits">
    <vt:lpwstr>0</vt:lpwstr>
  </property>
</Properties>
</file>