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5E43" w14:textId="77777777" w:rsidR="003702FA" w:rsidRPr="00201224" w:rsidRDefault="003702FA" w:rsidP="00F83304">
      <w:pPr>
        <w:pStyle w:val="datumtevilka"/>
      </w:pPr>
      <w:r w:rsidRPr="00201224">
        <w:rPr>
          <w:noProof/>
        </w:rPr>
        <mc:AlternateContent>
          <mc:Choice Requires="wps">
            <w:drawing>
              <wp:anchor distT="360045" distB="540385" distL="0" distR="0" simplePos="0" relativeHeight="251659264" behindDoc="0" locked="0" layoutInCell="1" allowOverlap="0" wp14:anchorId="78ABF97A" wp14:editId="788EBD12">
                <wp:simplePos x="0" y="0"/>
                <wp:positionH relativeFrom="page">
                  <wp:posOffset>5520632</wp:posOffset>
                </wp:positionH>
                <wp:positionV relativeFrom="page">
                  <wp:posOffset>913939</wp:posOffset>
                </wp:positionV>
                <wp:extent cx="145069" cy="45719"/>
                <wp:effectExtent l="0" t="0" r="7620" b="12065"/>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6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A8A0" w14:textId="77777777" w:rsidR="003B2A8B" w:rsidRPr="003E1C74" w:rsidRDefault="003B2A8B" w:rsidP="003702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F97A" id="_x0000_t202" coordsize="21600,21600" o:spt="202" path="m,l,21600r21600,l21600,xe">
                <v:stroke joinstyle="miter"/>
                <v:path gradientshapeok="t" o:connecttype="rect"/>
              </v:shapetype>
              <v:shape id="Text Box 2" o:spid="_x0000_s1026" type="#_x0000_t202" alt="&quot;&quot;" style="position:absolute;margin-left:434.7pt;margin-top:71.95pt;width:11.4pt;height:3.6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" o:allowoverlap="f" filled="f" stroked="f">
                <v:textbox inset="0,0,0,0">
                  <w:txbxContent>
                    <w:p w14:paraId="3B11A8A0" w14:textId="77777777" w:rsidR="003B2A8B" w:rsidRPr="003E1C74" w:rsidRDefault="003B2A8B" w:rsidP="003702FA"/>
                  </w:txbxContent>
                </v:textbox>
                <w10:wrap type="topAndBottom" anchorx="page" anchory="page"/>
              </v:shape>
            </w:pict>
          </mc:Fallback>
        </mc:AlternateContent>
      </w:r>
    </w:p>
    <w:tbl>
      <w:tblPr>
        <w:tblpPr w:leftFromText="141" w:rightFromText="141" w:vertAnchor="page" w:horzAnchor="margin" w:tblpY="319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118"/>
      </w:tblGrid>
      <w:tr w:rsidR="00C273C2" w:rsidRPr="00201224" w14:paraId="6C5E4C27" w14:textId="77777777"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14:paraId="25273663" w14:textId="4C3C989F" w:rsidR="00C273C2" w:rsidRPr="00201224" w:rsidRDefault="00C273C2" w:rsidP="00DE20FD">
            <w:pPr>
              <w:overflowPunct w:val="0"/>
              <w:autoSpaceDE w:val="0"/>
              <w:autoSpaceDN w:val="0"/>
              <w:adjustRightInd w:val="0"/>
              <w:spacing w:before="120" w:after="120" w:line="200" w:lineRule="exact"/>
              <w:textAlignment w:val="baseline"/>
              <w:rPr>
                <w:rFonts w:cs="Arial"/>
                <w:lang w:eastAsia="sl-SI"/>
              </w:rPr>
            </w:pPr>
            <w:r w:rsidRPr="00201224">
              <w:rPr>
                <w:rFonts w:cs="Arial"/>
                <w:lang w:eastAsia="sl-SI"/>
              </w:rPr>
              <w:t xml:space="preserve">Številka: </w:t>
            </w:r>
            <w:r w:rsidRPr="00844747">
              <w:rPr>
                <w:rFonts w:cs="Arial"/>
                <w:lang w:eastAsia="sl-SI"/>
              </w:rPr>
              <w:t>315</w:t>
            </w:r>
            <w:r w:rsidR="007A6D6E" w:rsidRPr="00844747">
              <w:rPr>
                <w:rFonts w:cs="Arial"/>
                <w:lang w:eastAsia="sl-SI"/>
              </w:rPr>
              <w:t>-</w:t>
            </w:r>
            <w:r w:rsidR="00A51620" w:rsidRPr="00844747">
              <w:rPr>
                <w:rFonts w:cs="Arial"/>
                <w:lang w:eastAsia="sl-SI"/>
              </w:rPr>
              <w:t>58/2024/</w:t>
            </w:r>
            <w:r w:rsidR="00387982">
              <w:rPr>
                <w:rFonts w:cs="Arial"/>
                <w:lang w:eastAsia="sl-SI"/>
              </w:rPr>
              <w:t>39</w:t>
            </w:r>
          </w:p>
        </w:tc>
      </w:tr>
      <w:tr w:rsidR="00C273C2" w:rsidRPr="00201224" w14:paraId="23F5A006" w14:textId="77777777"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14:paraId="789C6C5A" w14:textId="20C24D96" w:rsidR="00C273C2" w:rsidRPr="00201224" w:rsidRDefault="00C273C2" w:rsidP="00C273C2">
            <w:pPr>
              <w:overflowPunct w:val="0"/>
              <w:autoSpaceDE w:val="0"/>
              <w:autoSpaceDN w:val="0"/>
              <w:adjustRightInd w:val="0"/>
              <w:spacing w:before="120" w:after="120" w:line="200" w:lineRule="exact"/>
              <w:textAlignment w:val="baseline"/>
              <w:rPr>
                <w:rFonts w:cs="Arial"/>
                <w:lang w:eastAsia="sl-SI"/>
              </w:rPr>
            </w:pPr>
            <w:r w:rsidRPr="00201224">
              <w:rPr>
                <w:rFonts w:cs="Arial"/>
                <w:lang w:eastAsia="sl-SI"/>
              </w:rPr>
              <w:t xml:space="preserve">Ljubljana, </w:t>
            </w:r>
            <w:r w:rsidR="00CE0804">
              <w:rPr>
                <w:rFonts w:cs="Arial"/>
                <w:lang w:eastAsia="sl-SI"/>
              </w:rPr>
              <w:t>1. 4. 2025</w:t>
            </w:r>
          </w:p>
        </w:tc>
      </w:tr>
      <w:tr w:rsidR="00C273C2" w:rsidRPr="00201224" w14:paraId="574DEEAA" w14:textId="77777777" w:rsidTr="0021660E">
        <w:trPr>
          <w:gridAfter w:val="1"/>
          <w:wAfter w:w="3118" w:type="dxa"/>
          <w:trHeight w:val="1213"/>
        </w:trPr>
        <w:tc>
          <w:tcPr>
            <w:tcW w:w="6096" w:type="dxa"/>
            <w:tcBorders>
              <w:top w:val="single" w:sz="4" w:space="0" w:color="auto"/>
              <w:left w:val="single" w:sz="4" w:space="0" w:color="auto"/>
              <w:bottom w:val="single" w:sz="4" w:space="0" w:color="auto"/>
              <w:right w:val="single" w:sz="4" w:space="0" w:color="auto"/>
            </w:tcBorders>
          </w:tcPr>
          <w:p w14:paraId="2108CC3D" w14:textId="77777777" w:rsidR="00C273C2" w:rsidRPr="00201224" w:rsidRDefault="00C273C2" w:rsidP="00C273C2">
            <w:pPr>
              <w:spacing w:before="360" w:line="240" w:lineRule="auto"/>
              <w:rPr>
                <w:rFonts w:cs="Arial"/>
                <w:b/>
              </w:rPr>
            </w:pPr>
            <w:r w:rsidRPr="00201224">
              <w:rPr>
                <w:rFonts w:cs="Arial"/>
                <w:b/>
              </w:rPr>
              <w:t>GENERALNI SEKRETARIAT VLADE REPUBLIKE SLOVENIJE</w:t>
            </w:r>
          </w:p>
          <w:p w14:paraId="699013A1" w14:textId="77777777" w:rsidR="00C273C2" w:rsidRPr="00201224" w:rsidRDefault="00000000" w:rsidP="00C273C2">
            <w:pPr>
              <w:overflowPunct w:val="0"/>
              <w:autoSpaceDE w:val="0"/>
              <w:autoSpaceDN w:val="0"/>
              <w:adjustRightInd w:val="0"/>
              <w:spacing w:before="120" w:line="200" w:lineRule="exact"/>
              <w:textAlignment w:val="baseline"/>
              <w:rPr>
                <w:rFonts w:cs="Arial"/>
                <w:b/>
              </w:rPr>
            </w:pPr>
            <w:hyperlink r:id="rId8" w:history="1">
              <w:r w:rsidR="00C273C2" w:rsidRPr="00201224">
                <w:rPr>
                  <w:rStyle w:val="Hiperpovezava"/>
                  <w:rFonts w:cs="Arial"/>
                  <w:b/>
                </w:rPr>
                <w:t>gp.gs@gov.si</w:t>
              </w:r>
            </w:hyperlink>
          </w:p>
        </w:tc>
      </w:tr>
      <w:tr w:rsidR="00C273C2" w:rsidRPr="00201224" w14:paraId="0CE7CFF6" w14:textId="77777777" w:rsidTr="00C273C2">
        <w:trPr>
          <w:trHeight w:val="689"/>
        </w:trPr>
        <w:tc>
          <w:tcPr>
            <w:tcW w:w="9214" w:type="dxa"/>
            <w:gridSpan w:val="2"/>
          </w:tcPr>
          <w:p w14:paraId="63C9CE2A" w14:textId="77777777" w:rsidR="00C273C2" w:rsidRPr="00201224" w:rsidRDefault="00C273C2" w:rsidP="00844747">
            <w:pPr>
              <w:suppressAutoHyphens/>
              <w:overflowPunct w:val="0"/>
              <w:autoSpaceDE w:val="0"/>
              <w:autoSpaceDN w:val="0"/>
              <w:adjustRightInd w:val="0"/>
              <w:ind w:left="1026" w:hanging="1026"/>
              <w:jc w:val="both"/>
              <w:textAlignment w:val="baseline"/>
              <w:rPr>
                <w:rFonts w:cs="Arial"/>
                <w:b/>
                <w:lang w:eastAsia="sl-SI"/>
              </w:rPr>
            </w:pPr>
          </w:p>
          <w:p w14:paraId="56080655" w14:textId="4BDA90CE" w:rsidR="00C273C2" w:rsidRPr="00201224" w:rsidRDefault="00C273C2" w:rsidP="00844747">
            <w:pPr>
              <w:suppressAutoHyphens/>
              <w:overflowPunct w:val="0"/>
              <w:autoSpaceDE w:val="0"/>
              <w:autoSpaceDN w:val="0"/>
              <w:adjustRightInd w:val="0"/>
              <w:ind w:left="1026" w:hanging="1026"/>
              <w:jc w:val="both"/>
              <w:textAlignment w:val="baseline"/>
              <w:rPr>
                <w:rFonts w:cs="Arial"/>
                <w:b/>
                <w:lang w:eastAsia="sl-SI"/>
              </w:rPr>
            </w:pPr>
            <w:r w:rsidRPr="00201224">
              <w:rPr>
                <w:rFonts w:cs="Arial"/>
                <w:b/>
                <w:lang w:eastAsia="sl-SI"/>
              </w:rPr>
              <w:t>ZADEVA:</w:t>
            </w:r>
            <w:r w:rsidR="00844747">
              <w:rPr>
                <w:rFonts w:cs="Arial"/>
                <w:b/>
                <w:lang w:eastAsia="sl-SI"/>
              </w:rPr>
              <w:t xml:space="preserve">  S</w:t>
            </w:r>
            <w:r w:rsidR="007114BD" w:rsidRPr="00844747">
              <w:rPr>
                <w:rFonts w:cs="Arial"/>
                <w:b/>
                <w:lang w:eastAsia="sl-SI"/>
              </w:rPr>
              <w:t xml:space="preserve">klep o razpolaganju s presežkom prihodkov nad odhodki javnega zavoda </w:t>
            </w:r>
            <w:r w:rsidR="00844747">
              <w:rPr>
                <w:rFonts w:cs="Arial"/>
                <w:b/>
                <w:lang w:eastAsia="sl-SI"/>
              </w:rPr>
              <w:t>S</w:t>
            </w:r>
            <w:r w:rsidR="007114BD" w:rsidRPr="00844747">
              <w:rPr>
                <w:rFonts w:cs="Arial"/>
                <w:b/>
                <w:lang w:eastAsia="sl-SI"/>
              </w:rPr>
              <w:t>lovenska akreditacija iz leta 202</w:t>
            </w:r>
            <w:r w:rsidR="00B01953" w:rsidRPr="00844747">
              <w:rPr>
                <w:rFonts w:cs="Arial"/>
                <w:b/>
                <w:lang w:eastAsia="sl-SI"/>
              </w:rPr>
              <w:t>4</w:t>
            </w:r>
            <w:r w:rsidR="007114BD" w:rsidRPr="00844747">
              <w:rPr>
                <w:rFonts w:cs="Arial"/>
                <w:b/>
                <w:lang w:eastAsia="sl-SI"/>
              </w:rPr>
              <w:t xml:space="preserve"> – predlog za obravnavo </w:t>
            </w:r>
          </w:p>
        </w:tc>
      </w:tr>
      <w:tr w:rsidR="00C273C2" w:rsidRPr="00201224" w14:paraId="0E93E4F2" w14:textId="77777777" w:rsidTr="0021660E">
        <w:trPr>
          <w:trHeight w:val="618"/>
        </w:trPr>
        <w:tc>
          <w:tcPr>
            <w:tcW w:w="9214" w:type="dxa"/>
            <w:gridSpan w:val="2"/>
          </w:tcPr>
          <w:p w14:paraId="3421C51E" w14:textId="77777777" w:rsidR="00C273C2" w:rsidRPr="00201224" w:rsidRDefault="00C273C2" w:rsidP="00C273C2">
            <w:pPr>
              <w:suppressAutoHyphens/>
              <w:overflowPunct w:val="0"/>
              <w:autoSpaceDE w:val="0"/>
              <w:autoSpaceDN w:val="0"/>
              <w:adjustRightInd w:val="0"/>
              <w:spacing w:before="240"/>
              <w:textAlignment w:val="baseline"/>
              <w:outlineLvl w:val="3"/>
              <w:rPr>
                <w:rFonts w:cs="Arial"/>
                <w:b/>
                <w:lang w:eastAsia="sl-SI"/>
              </w:rPr>
            </w:pPr>
            <w:r w:rsidRPr="00201224">
              <w:rPr>
                <w:rFonts w:cs="Arial"/>
                <w:b/>
                <w:lang w:eastAsia="sl-SI"/>
              </w:rPr>
              <w:t>1. Predlog sklepa vlade:</w:t>
            </w:r>
          </w:p>
        </w:tc>
      </w:tr>
      <w:tr w:rsidR="00C273C2" w:rsidRPr="00201224" w14:paraId="04703B8C" w14:textId="77777777" w:rsidTr="00C273C2">
        <w:tc>
          <w:tcPr>
            <w:tcW w:w="9214" w:type="dxa"/>
            <w:gridSpan w:val="2"/>
          </w:tcPr>
          <w:p w14:paraId="5AC2D19C" w14:textId="77777777" w:rsidR="00C273C2" w:rsidRPr="007114BD" w:rsidRDefault="00C273C2" w:rsidP="00C273C2">
            <w:pPr>
              <w:spacing w:line="240" w:lineRule="auto"/>
              <w:jc w:val="both"/>
              <w:rPr>
                <w:rFonts w:cs="Arial"/>
                <w:iCs/>
                <w:lang w:eastAsia="sl-SI"/>
              </w:rPr>
            </w:pPr>
            <w:r w:rsidRPr="007114BD">
              <w:rPr>
                <w:rFonts w:cs="Arial"/>
                <w:iCs/>
                <w:lang w:eastAsia="sl-SI"/>
              </w:rPr>
              <w:t xml:space="preserve">                                                                                                                                                                         </w:t>
            </w:r>
          </w:p>
          <w:p w14:paraId="4ECE78B1" w14:textId="3148A86E" w:rsidR="007114BD" w:rsidRPr="00E54350" w:rsidRDefault="007114BD" w:rsidP="007114BD">
            <w:pPr>
              <w:jc w:val="both"/>
              <w:rPr>
                <w:rFonts w:cs="Arial"/>
                <w:iCs/>
                <w:lang w:eastAsia="sl-SI"/>
              </w:rPr>
            </w:pPr>
            <w:r w:rsidRPr="00E54350">
              <w:rPr>
                <w:rFonts w:cs="Arial"/>
                <w:iCs/>
                <w:lang w:eastAsia="sl-SI"/>
              </w:rPr>
              <w:t>Na podlagi 6. člena</w:t>
            </w:r>
            <w:r w:rsidR="00D122F9">
              <w:rPr>
                <w:rFonts w:cs="Arial"/>
                <w:iCs/>
                <w:lang w:eastAsia="sl-SI"/>
              </w:rPr>
              <w:t xml:space="preserve"> in šestega odstavka 21. člena</w:t>
            </w:r>
            <w:r w:rsidRPr="00E54350">
              <w:rPr>
                <w:rFonts w:cs="Arial"/>
                <w:iCs/>
                <w:lang w:eastAsia="sl-SI"/>
              </w:rPr>
              <w:t xml:space="preserve"> Zakona o Vladi Republike Slovenije</w:t>
            </w:r>
            <w:r w:rsidR="00A959A5" w:rsidRPr="00E54350">
              <w:rPr>
                <w:rFonts w:cs="Arial"/>
                <w:iCs/>
                <w:lang w:eastAsia="sl-SI"/>
              </w:rPr>
              <w:t xml:space="preserve"> </w:t>
            </w:r>
            <w:r w:rsidRPr="00E54350">
              <w:rPr>
                <w:rFonts w:cs="Arial"/>
                <w:iCs/>
                <w:lang w:eastAsia="sl-SI"/>
              </w:rPr>
              <w:t xml:space="preserve"> (</w:t>
            </w:r>
            <w:r w:rsidR="00A959A5" w:rsidRPr="00E54350">
              <w:rPr>
                <w:rFonts w:cs="Arial"/>
                <w:iCs/>
                <w:lang w:eastAsia="sl-SI"/>
              </w:rPr>
              <w:t>Uradni list RS, št. </w:t>
            </w:r>
            <w:hyperlink r:id="rId9" w:tgtFrame="_blank" w:tooltip="Zakon o Vladi Republike Slovenije (uradno prečiščeno besedilo) (ZVRS-UPB1)" w:history="1">
              <w:r w:rsidR="00A959A5" w:rsidRPr="00E54350">
                <w:rPr>
                  <w:lang w:eastAsia="sl-SI"/>
                </w:rPr>
                <w:t>24/05</w:t>
              </w:r>
            </w:hyperlink>
            <w:r w:rsidR="00A959A5" w:rsidRPr="00E54350">
              <w:rPr>
                <w:rFonts w:cs="Arial"/>
                <w:iCs/>
                <w:lang w:eastAsia="sl-SI"/>
              </w:rPr>
              <w:t> – uradno prečiščeno besedilo,</w:t>
            </w:r>
            <w:r w:rsidR="0098056C" w:rsidRPr="00E54350">
              <w:rPr>
                <w:rFonts w:cs="Arial"/>
                <w:iCs/>
                <w:lang w:eastAsia="sl-SI"/>
              </w:rPr>
              <w:t xml:space="preserve"> </w:t>
            </w:r>
            <w:hyperlink r:id="rId10" w:tgtFrame="_blank" w:tooltip="Zakon o dopolnitvi Zakona o Vladi Republike Slovenije (ZVRS-E)" w:history="1">
              <w:r w:rsidR="00A959A5" w:rsidRPr="00E54350">
                <w:rPr>
                  <w:lang w:eastAsia="sl-SI"/>
                </w:rPr>
                <w:t>109/08</w:t>
              </w:r>
            </w:hyperlink>
            <w:r w:rsidR="00A959A5" w:rsidRPr="00E54350">
              <w:rPr>
                <w:rFonts w:cs="Arial"/>
                <w:iCs/>
                <w:lang w:eastAsia="sl-SI"/>
              </w:rPr>
              <w:t>,</w:t>
            </w:r>
            <w:r w:rsidR="0098056C" w:rsidRPr="00E54350">
              <w:rPr>
                <w:rFonts w:cs="Arial"/>
                <w:iCs/>
                <w:lang w:eastAsia="sl-SI"/>
              </w:rPr>
              <w:t xml:space="preserve"> </w:t>
            </w:r>
            <w:hyperlink r:id="rId11" w:tgtFrame="_blank" w:tooltip="Zakon o upravljanju kapitalskih naložb Republike Slovenije (ZUKN)" w:history="1">
              <w:r w:rsidR="00A959A5" w:rsidRPr="00E54350">
                <w:rPr>
                  <w:lang w:eastAsia="sl-SI"/>
                </w:rPr>
                <w:t>38/10</w:t>
              </w:r>
            </w:hyperlink>
            <w:r w:rsidR="0098056C" w:rsidRPr="00E54350">
              <w:rPr>
                <w:lang w:eastAsia="sl-SI"/>
              </w:rPr>
              <w:t xml:space="preserve"> </w:t>
            </w:r>
            <w:r w:rsidR="00A959A5" w:rsidRPr="00E54350">
              <w:rPr>
                <w:rFonts w:cs="Arial"/>
                <w:iCs/>
                <w:lang w:eastAsia="sl-SI"/>
              </w:rPr>
              <w:t>–</w:t>
            </w:r>
            <w:r w:rsidR="0098056C" w:rsidRPr="00E54350">
              <w:rPr>
                <w:rFonts w:cs="Arial"/>
                <w:iCs/>
                <w:lang w:eastAsia="sl-SI"/>
              </w:rPr>
              <w:t xml:space="preserve"> </w:t>
            </w:r>
            <w:r w:rsidR="00A959A5" w:rsidRPr="00E54350">
              <w:rPr>
                <w:rFonts w:cs="Arial"/>
                <w:iCs/>
                <w:lang w:eastAsia="sl-SI"/>
              </w:rPr>
              <w:t>ZUKN,</w:t>
            </w:r>
            <w:r w:rsidR="0098056C" w:rsidRPr="00E54350">
              <w:rPr>
                <w:rFonts w:cs="Arial"/>
                <w:iCs/>
                <w:lang w:eastAsia="sl-SI"/>
              </w:rPr>
              <w:t xml:space="preserve"> </w:t>
            </w:r>
            <w:hyperlink r:id="rId12" w:tgtFrame="_blank" w:tooltip="Zakon o spremembah in dopolnitvah Zakona o Vladi Republike Slovenije (ZVRS-F)" w:history="1">
              <w:r w:rsidR="00A959A5" w:rsidRPr="00E54350">
                <w:rPr>
                  <w:lang w:eastAsia="sl-SI"/>
                </w:rPr>
                <w:t>8/12</w:t>
              </w:r>
            </w:hyperlink>
            <w:r w:rsidR="00A959A5" w:rsidRPr="00E54350">
              <w:rPr>
                <w:rFonts w:cs="Arial"/>
                <w:iCs/>
                <w:lang w:eastAsia="sl-SI"/>
              </w:rPr>
              <w:t>,</w:t>
            </w:r>
            <w:r w:rsidR="0098056C" w:rsidRPr="00E54350">
              <w:rPr>
                <w:rFonts w:cs="Arial"/>
                <w:iCs/>
                <w:lang w:eastAsia="sl-SI"/>
              </w:rPr>
              <w:t xml:space="preserve"> </w:t>
            </w:r>
            <w:hyperlink r:id="rId13" w:tgtFrame="_blank" w:tooltip="Zakon o spremembah in dopolnitvah Zakona o Vladi Republike Slovenije (ZVRS-G)" w:history="1">
              <w:r w:rsidR="00A959A5" w:rsidRPr="00E54350">
                <w:rPr>
                  <w:lang w:eastAsia="sl-SI"/>
                </w:rPr>
                <w:t>21/13</w:t>
              </w:r>
            </w:hyperlink>
            <w:r w:rsidR="00A959A5" w:rsidRPr="00E54350">
              <w:rPr>
                <w:rFonts w:cs="Arial"/>
                <w:iCs/>
                <w:lang w:eastAsia="sl-SI"/>
              </w:rPr>
              <w:t>,</w:t>
            </w:r>
            <w:r w:rsidR="0098056C" w:rsidRPr="00E54350">
              <w:rPr>
                <w:rFonts w:cs="Arial"/>
                <w:iCs/>
                <w:lang w:eastAsia="sl-SI"/>
              </w:rPr>
              <w:t xml:space="preserve"> </w:t>
            </w:r>
            <w:hyperlink r:id="rId14" w:tgtFrame="_blank" w:tooltip="Zakon o spremembah in dopolnitvah Zakona o državni upravi (ZDU-1G)" w:history="1">
              <w:r w:rsidR="00A959A5" w:rsidRPr="00E54350">
                <w:rPr>
                  <w:lang w:eastAsia="sl-SI"/>
                </w:rPr>
                <w:t>47/13</w:t>
              </w:r>
            </w:hyperlink>
            <w:r w:rsidR="0098056C" w:rsidRPr="00E54350">
              <w:rPr>
                <w:lang w:eastAsia="sl-SI"/>
              </w:rPr>
              <w:t xml:space="preserve"> </w:t>
            </w:r>
            <w:r w:rsidR="00A959A5" w:rsidRPr="00E54350">
              <w:rPr>
                <w:rFonts w:cs="Arial"/>
                <w:iCs/>
                <w:lang w:eastAsia="sl-SI"/>
              </w:rPr>
              <w:t>–</w:t>
            </w:r>
            <w:r w:rsidR="0098056C" w:rsidRPr="00E54350">
              <w:rPr>
                <w:rFonts w:cs="Arial"/>
                <w:iCs/>
                <w:lang w:eastAsia="sl-SI"/>
              </w:rPr>
              <w:t xml:space="preserve"> </w:t>
            </w:r>
            <w:r w:rsidR="00A959A5" w:rsidRPr="00E54350">
              <w:rPr>
                <w:rFonts w:cs="Arial"/>
                <w:iCs/>
                <w:lang w:eastAsia="sl-SI"/>
              </w:rPr>
              <w:t>ZDU-1G,</w:t>
            </w:r>
            <w:r w:rsidR="0098056C" w:rsidRPr="00E54350">
              <w:rPr>
                <w:rFonts w:cs="Arial"/>
                <w:iCs/>
                <w:lang w:eastAsia="sl-SI"/>
              </w:rPr>
              <w:t xml:space="preserve"> </w:t>
            </w:r>
            <w:hyperlink r:id="rId15" w:tgtFrame="_blank" w:tooltip="Zakon o spremembah in dopolnitvah Zakona o Vladi Republike Slovenije (ZVRS-H)" w:history="1">
              <w:r w:rsidR="00A959A5" w:rsidRPr="00E54350">
                <w:rPr>
                  <w:lang w:eastAsia="sl-SI"/>
                </w:rPr>
                <w:t>65/14</w:t>
              </w:r>
            </w:hyperlink>
            <w:r w:rsidR="00A959A5" w:rsidRPr="00E54350">
              <w:rPr>
                <w:rFonts w:cs="Arial"/>
                <w:iCs/>
                <w:lang w:eastAsia="sl-SI"/>
              </w:rPr>
              <w:t>,</w:t>
            </w:r>
            <w:r w:rsidR="0098056C" w:rsidRPr="00E54350">
              <w:rPr>
                <w:rFonts w:cs="Arial"/>
                <w:iCs/>
                <w:lang w:eastAsia="sl-SI"/>
              </w:rPr>
              <w:t xml:space="preserve"> </w:t>
            </w:r>
            <w:hyperlink r:id="rId16" w:tgtFrame="_blank" w:tooltip="Zakon o spremembi Zakona o Vladi Republike Slovenije (ZVRS-I)" w:history="1">
              <w:r w:rsidR="00A959A5" w:rsidRPr="00E54350">
                <w:rPr>
                  <w:lang w:eastAsia="sl-SI"/>
                </w:rPr>
                <w:t>55/17</w:t>
              </w:r>
            </w:hyperlink>
            <w:r w:rsidR="0098056C" w:rsidRPr="00E54350">
              <w:rPr>
                <w:lang w:eastAsia="sl-SI"/>
              </w:rPr>
              <w:t xml:space="preserve"> </w:t>
            </w:r>
            <w:r w:rsidR="00A959A5" w:rsidRPr="00E54350">
              <w:rPr>
                <w:rFonts w:cs="Arial"/>
                <w:iCs/>
                <w:lang w:eastAsia="sl-SI"/>
              </w:rPr>
              <w:t>in</w:t>
            </w:r>
            <w:r w:rsidR="0098056C" w:rsidRPr="00E54350">
              <w:rPr>
                <w:rFonts w:cs="Arial"/>
                <w:iCs/>
                <w:lang w:eastAsia="sl-SI"/>
              </w:rPr>
              <w:t xml:space="preserve"> </w:t>
            </w:r>
            <w:hyperlink r:id="rId17" w:tgtFrame="_blank" w:tooltip="Zakon o spremembah Zakona o Vladi Republike Slovenije (ZVRS-J)" w:history="1">
              <w:r w:rsidR="00A959A5" w:rsidRPr="00E54350">
                <w:rPr>
                  <w:lang w:eastAsia="sl-SI"/>
                </w:rPr>
                <w:t>163/22</w:t>
              </w:r>
            </w:hyperlink>
            <w:r w:rsidR="00A959A5" w:rsidRPr="00E54350">
              <w:rPr>
                <w:rFonts w:cs="Arial"/>
                <w:iCs/>
                <w:lang w:eastAsia="sl-SI"/>
              </w:rPr>
              <w:t>)</w:t>
            </w:r>
            <w:r w:rsidRPr="00E54350">
              <w:rPr>
                <w:rFonts w:cs="Arial"/>
                <w:iCs/>
                <w:lang w:eastAsia="sl-SI"/>
              </w:rPr>
              <w:t>, drugega odstavka 48. člena Zakona o zavodih (Uradni list RS, št.</w:t>
            </w:r>
            <w:r w:rsidR="0098056C" w:rsidRPr="00E54350">
              <w:rPr>
                <w:rFonts w:cs="Arial"/>
                <w:iCs/>
                <w:lang w:eastAsia="sl-SI"/>
              </w:rPr>
              <w:t xml:space="preserve"> </w:t>
            </w:r>
            <w:r w:rsidRPr="00E54350">
              <w:rPr>
                <w:rFonts w:cs="Arial"/>
                <w:iCs/>
                <w:lang w:eastAsia="sl-SI"/>
              </w:rPr>
              <w:t>12/91,</w:t>
            </w:r>
            <w:r w:rsidR="0098056C" w:rsidRPr="00E54350">
              <w:rPr>
                <w:rFonts w:cs="Arial"/>
                <w:iCs/>
                <w:lang w:eastAsia="sl-SI"/>
              </w:rPr>
              <w:t xml:space="preserve"> </w:t>
            </w:r>
            <w:r w:rsidRPr="00E54350">
              <w:rPr>
                <w:rFonts w:cs="Arial"/>
                <w:iCs/>
                <w:lang w:eastAsia="sl-SI"/>
              </w:rPr>
              <w:t>8/96,</w:t>
            </w:r>
            <w:r w:rsidR="0098056C" w:rsidRPr="00E54350">
              <w:rPr>
                <w:rFonts w:cs="Arial"/>
                <w:iCs/>
                <w:lang w:eastAsia="sl-SI"/>
              </w:rPr>
              <w:t xml:space="preserve"> </w:t>
            </w:r>
            <w:r w:rsidRPr="00E54350">
              <w:rPr>
                <w:rFonts w:cs="Arial"/>
                <w:iCs/>
                <w:lang w:eastAsia="sl-SI"/>
              </w:rPr>
              <w:t>36/00</w:t>
            </w:r>
            <w:r w:rsidR="0098056C" w:rsidRPr="00E54350">
              <w:rPr>
                <w:rFonts w:cs="Arial"/>
                <w:iCs/>
                <w:lang w:eastAsia="sl-SI"/>
              </w:rPr>
              <w:t xml:space="preserve"> </w:t>
            </w:r>
            <w:r w:rsidRPr="00E54350">
              <w:rPr>
                <w:rFonts w:cs="Arial"/>
                <w:iCs/>
                <w:lang w:eastAsia="sl-SI"/>
              </w:rPr>
              <w:t>–</w:t>
            </w:r>
            <w:r w:rsidR="0098056C" w:rsidRPr="00E54350">
              <w:rPr>
                <w:rFonts w:cs="Arial"/>
                <w:iCs/>
                <w:lang w:eastAsia="sl-SI"/>
              </w:rPr>
              <w:t xml:space="preserve"> </w:t>
            </w:r>
            <w:r w:rsidRPr="00E54350">
              <w:rPr>
                <w:rFonts w:cs="Arial"/>
                <w:iCs/>
                <w:lang w:eastAsia="sl-SI"/>
              </w:rPr>
              <w:t>ZPDZC</w:t>
            </w:r>
            <w:r w:rsidR="0098056C" w:rsidRPr="00E54350">
              <w:rPr>
                <w:rFonts w:cs="Arial"/>
                <w:iCs/>
                <w:lang w:eastAsia="sl-SI"/>
              </w:rPr>
              <w:t xml:space="preserve"> </w:t>
            </w:r>
            <w:r w:rsidRPr="00E54350">
              <w:rPr>
                <w:rFonts w:cs="Arial"/>
                <w:iCs/>
                <w:lang w:eastAsia="sl-SI"/>
              </w:rPr>
              <w:t>in</w:t>
            </w:r>
            <w:r w:rsidR="0098056C" w:rsidRPr="00E54350">
              <w:rPr>
                <w:rFonts w:cs="Arial"/>
                <w:iCs/>
                <w:lang w:eastAsia="sl-SI"/>
              </w:rPr>
              <w:t xml:space="preserve"> </w:t>
            </w:r>
            <w:r w:rsidRPr="00E54350">
              <w:rPr>
                <w:rFonts w:cs="Arial"/>
                <w:iCs/>
                <w:lang w:eastAsia="sl-SI"/>
              </w:rPr>
              <w:t>127/06</w:t>
            </w:r>
            <w:r w:rsidR="0098056C" w:rsidRPr="00E54350">
              <w:rPr>
                <w:rFonts w:cs="Arial"/>
                <w:iCs/>
                <w:lang w:eastAsia="sl-SI"/>
              </w:rPr>
              <w:t xml:space="preserve"> </w:t>
            </w:r>
            <w:r w:rsidRPr="00E54350">
              <w:rPr>
                <w:rFonts w:cs="Arial"/>
                <w:iCs/>
                <w:lang w:eastAsia="sl-SI"/>
              </w:rPr>
              <w:t>–</w:t>
            </w:r>
            <w:r w:rsidR="0098056C" w:rsidRPr="00E54350">
              <w:rPr>
                <w:rFonts w:cs="Arial"/>
                <w:iCs/>
                <w:lang w:eastAsia="sl-SI"/>
              </w:rPr>
              <w:t xml:space="preserve"> </w:t>
            </w:r>
            <w:r w:rsidRPr="00E54350">
              <w:rPr>
                <w:rFonts w:cs="Arial"/>
                <w:iCs/>
                <w:lang w:eastAsia="sl-SI"/>
              </w:rPr>
              <w:t>ZJZP) in 16. člena Sklepa o ustanovitvi javnega zavoda Slovenska akreditacija (Uradni list</w:t>
            </w:r>
            <w:r w:rsidR="0004252E" w:rsidRPr="00E54350">
              <w:rPr>
                <w:rFonts w:cs="Arial"/>
                <w:iCs/>
                <w:lang w:eastAsia="sl-SI"/>
              </w:rPr>
              <w:t xml:space="preserve"> </w:t>
            </w:r>
            <w:r w:rsidRPr="00E54350">
              <w:rPr>
                <w:rFonts w:cs="Arial"/>
                <w:iCs/>
                <w:lang w:eastAsia="sl-SI"/>
              </w:rPr>
              <w:t>RS,</w:t>
            </w:r>
            <w:r w:rsidR="0004252E" w:rsidRPr="00E54350">
              <w:rPr>
                <w:rFonts w:cs="Arial"/>
                <w:iCs/>
                <w:lang w:eastAsia="sl-SI"/>
              </w:rPr>
              <w:t xml:space="preserve"> </w:t>
            </w:r>
            <w:r w:rsidRPr="00E54350">
              <w:rPr>
                <w:rFonts w:cs="Arial"/>
                <w:iCs/>
                <w:lang w:eastAsia="sl-SI"/>
              </w:rPr>
              <w:t>št.</w:t>
            </w:r>
            <w:r w:rsidR="0004252E" w:rsidRPr="00E54350">
              <w:rPr>
                <w:rFonts w:cs="Arial"/>
                <w:iCs/>
                <w:lang w:eastAsia="sl-SI"/>
              </w:rPr>
              <w:t xml:space="preserve"> </w:t>
            </w:r>
            <w:hyperlink r:id="rId18" w:tgtFrame="_blank" w:tooltip="Sklep o ustanovitvi javnega zavoda Slovenska akreditacija" w:history="1">
              <w:r w:rsidRPr="00E54350">
                <w:rPr>
                  <w:rFonts w:cs="Arial"/>
                  <w:iCs/>
                  <w:lang w:eastAsia="sl-SI"/>
                </w:rPr>
                <w:t>36/00</w:t>
              </w:r>
            </w:hyperlink>
            <w:r w:rsidRPr="00E54350">
              <w:rPr>
                <w:rFonts w:cs="Arial"/>
                <w:iCs/>
                <w:lang w:eastAsia="sl-SI"/>
              </w:rPr>
              <w:t>,</w:t>
            </w:r>
            <w:r w:rsidR="0004252E" w:rsidRPr="00E54350">
              <w:rPr>
                <w:rFonts w:cs="Arial"/>
                <w:iCs/>
                <w:lang w:eastAsia="sl-SI"/>
              </w:rPr>
              <w:t xml:space="preserve"> </w:t>
            </w:r>
            <w:hyperlink r:id="rId19" w:tgtFrame="_blank" w:tooltip="Sklep o spremembi sklepa o ustanovitvi javnega zavoda Slovenska akreditacija" w:history="1">
              <w:r w:rsidRPr="00E54350">
                <w:rPr>
                  <w:rFonts w:cs="Arial"/>
                  <w:iCs/>
                  <w:lang w:eastAsia="sl-SI"/>
                </w:rPr>
                <w:t>23/01</w:t>
              </w:r>
            </w:hyperlink>
            <w:r w:rsidRPr="00E54350">
              <w:rPr>
                <w:rFonts w:cs="Arial"/>
                <w:iCs/>
                <w:lang w:eastAsia="sl-SI"/>
              </w:rPr>
              <w:t>,</w:t>
            </w:r>
            <w:r w:rsidR="0004252E" w:rsidRPr="00E54350">
              <w:rPr>
                <w:rFonts w:cs="Arial"/>
                <w:iCs/>
                <w:lang w:eastAsia="sl-SI"/>
              </w:rPr>
              <w:t xml:space="preserve"> </w:t>
            </w:r>
            <w:hyperlink r:id="rId20" w:tgtFrame="_blank" w:tooltip="Sklep o spremembah Sklepa o ustanovitvi javnega zavoda Slovenska akreditacija" w:history="1">
              <w:r w:rsidRPr="00E54350">
                <w:rPr>
                  <w:rFonts w:cs="Arial"/>
                  <w:iCs/>
                  <w:lang w:eastAsia="sl-SI"/>
                </w:rPr>
                <w:t>121/04</w:t>
              </w:r>
            </w:hyperlink>
            <w:r w:rsidRPr="00E54350">
              <w:rPr>
                <w:rFonts w:cs="Arial"/>
                <w:iCs/>
                <w:lang w:eastAsia="sl-SI"/>
              </w:rPr>
              <w:t>,</w:t>
            </w:r>
            <w:r w:rsidR="0004252E" w:rsidRPr="00E54350">
              <w:rPr>
                <w:rFonts w:cs="Arial"/>
                <w:iCs/>
                <w:lang w:eastAsia="sl-SI"/>
              </w:rPr>
              <w:t xml:space="preserve"> </w:t>
            </w:r>
            <w:hyperlink r:id="rId21" w:tgtFrame="_blank" w:tooltip="Sklep o spremembah in dopolnitvi Sklepa o ustanovitvi javnega zavoda Slovenska akreditacija" w:history="1">
              <w:r w:rsidRPr="00E54350">
                <w:rPr>
                  <w:rFonts w:cs="Arial"/>
                  <w:iCs/>
                  <w:lang w:eastAsia="sl-SI"/>
                </w:rPr>
                <w:t>22/08</w:t>
              </w:r>
            </w:hyperlink>
            <w:r w:rsidRPr="00E54350">
              <w:rPr>
                <w:rFonts w:cs="Arial"/>
                <w:iCs/>
                <w:lang w:eastAsia="sl-SI"/>
              </w:rPr>
              <w:t>, </w:t>
            </w:r>
            <w:hyperlink r:id="rId22" w:tgtFrame="_blank" w:tooltip="Sklep o spremembah in dopolnitvah Sklepa o ustanovitvi javnega zavoda Slovenska akreditacija" w:history="1">
              <w:r w:rsidRPr="00E54350">
                <w:rPr>
                  <w:rFonts w:cs="Arial"/>
                  <w:iCs/>
                  <w:lang w:eastAsia="sl-SI"/>
                </w:rPr>
                <w:t>19/16</w:t>
              </w:r>
            </w:hyperlink>
            <w:r w:rsidRPr="00E54350">
              <w:rPr>
                <w:rFonts w:cs="Arial"/>
                <w:iCs/>
                <w:lang w:eastAsia="sl-SI"/>
              </w:rPr>
              <w:t>,</w:t>
            </w:r>
            <w:r w:rsidR="0004252E" w:rsidRPr="00E54350">
              <w:rPr>
                <w:rFonts w:cs="Arial"/>
                <w:iCs/>
                <w:lang w:eastAsia="sl-SI"/>
              </w:rPr>
              <w:t xml:space="preserve"> </w:t>
            </w:r>
            <w:hyperlink r:id="rId23" w:tgtFrame="_blank" w:tooltip="Sklep o spremembi Sklepa o ustanovitvi javnega zavoda Slovenska akreditacija" w:history="1">
              <w:r w:rsidRPr="00E54350">
                <w:rPr>
                  <w:rFonts w:cs="Arial"/>
                  <w:iCs/>
                  <w:lang w:eastAsia="sl-SI"/>
                </w:rPr>
                <w:t>51/16</w:t>
              </w:r>
            </w:hyperlink>
            <w:r w:rsidR="0004252E" w:rsidRPr="00E54350">
              <w:rPr>
                <w:rFonts w:cs="Arial"/>
                <w:iCs/>
                <w:lang w:eastAsia="sl-SI"/>
              </w:rPr>
              <w:t xml:space="preserve"> </w:t>
            </w:r>
            <w:r w:rsidRPr="00E54350">
              <w:rPr>
                <w:rFonts w:cs="Arial"/>
                <w:iCs/>
                <w:lang w:eastAsia="sl-SI"/>
              </w:rPr>
              <w:t>in</w:t>
            </w:r>
            <w:r w:rsidR="0004252E" w:rsidRPr="00E54350">
              <w:rPr>
                <w:rFonts w:cs="Arial"/>
                <w:iCs/>
                <w:lang w:eastAsia="sl-SI"/>
              </w:rPr>
              <w:t xml:space="preserve"> </w:t>
            </w:r>
            <w:hyperlink r:id="rId24" w:tgtFrame="_blank" w:tooltip="Sklep o spremembah in dopolnitvi Sklepa o ustanovitvi javnega zavoda Slovenska akreditacija" w:history="1">
              <w:r w:rsidRPr="00E54350">
                <w:rPr>
                  <w:rFonts w:cs="Arial"/>
                  <w:iCs/>
                  <w:lang w:eastAsia="sl-SI"/>
                </w:rPr>
                <w:t>90/21</w:t>
              </w:r>
            </w:hyperlink>
            <w:r w:rsidRPr="00E54350">
              <w:rPr>
                <w:rFonts w:cs="Arial"/>
                <w:iCs/>
                <w:lang w:eastAsia="sl-SI"/>
              </w:rPr>
              <w:t>) je Vlada Republike Slovenije na</w:t>
            </w:r>
            <w:r w:rsidR="00A959A5" w:rsidRPr="00E54350">
              <w:rPr>
                <w:rFonts w:cs="Arial"/>
                <w:iCs/>
                <w:lang w:eastAsia="sl-SI"/>
              </w:rPr>
              <w:t>…</w:t>
            </w:r>
            <w:r w:rsidRPr="00E54350">
              <w:rPr>
                <w:rFonts w:cs="Arial"/>
                <w:iCs/>
                <w:lang w:eastAsia="sl-SI"/>
              </w:rPr>
              <w:t>seji dne</w:t>
            </w:r>
            <w:r w:rsidR="00A959A5" w:rsidRPr="00E54350">
              <w:rPr>
                <w:rFonts w:cs="Arial"/>
                <w:iCs/>
                <w:lang w:eastAsia="sl-SI"/>
              </w:rPr>
              <w:t>…sp</w:t>
            </w:r>
            <w:r w:rsidRPr="00E54350">
              <w:rPr>
                <w:rFonts w:cs="Arial"/>
                <w:iCs/>
                <w:lang w:eastAsia="sl-SI"/>
              </w:rPr>
              <w:t xml:space="preserve">rejela naslednji </w:t>
            </w:r>
          </w:p>
          <w:p w14:paraId="32E19BF2" w14:textId="77777777" w:rsidR="0067656C" w:rsidRPr="00E54350" w:rsidRDefault="0067656C" w:rsidP="007A68DA">
            <w:pPr>
              <w:jc w:val="both"/>
              <w:rPr>
                <w:rFonts w:cs="Arial"/>
                <w:iCs/>
                <w:lang w:eastAsia="sl-SI"/>
              </w:rPr>
            </w:pPr>
          </w:p>
          <w:p w14:paraId="3DD76AF7" w14:textId="352FACFB" w:rsidR="007A68DA" w:rsidRPr="00E54350" w:rsidRDefault="0058056A" w:rsidP="007A68DA">
            <w:pPr>
              <w:jc w:val="center"/>
              <w:rPr>
                <w:rFonts w:cs="Arial"/>
                <w:iCs/>
                <w:lang w:eastAsia="sl-SI"/>
              </w:rPr>
            </w:pPr>
            <w:r w:rsidRPr="00E54350">
              <w:rPr>
                <w:rFonts w:cs="Arial"/>
                <w:iCs/>
                <w:lang w:eastAsia="sl-SI"/>
              </w:rPr>
              <w:t>S</w:t>
            </w:r>
            <w:r w:rsidR="0006769A" w:rsidRPr="00E54350">
              <w:rPr>
                <w:rFonts w:cs="Arial"/>
                <w:iCs/>
                <w:lang w:eastAsia="sl-SI"/>
              </w:rPr>
              <w:t xml:space="preserve"> </w:t>
            </w:r>
            <w:r w:rsidRPr="00E54350">
              <w:rPr>
                <w:rFonts w:cs="Arial"/>
                <w:iCs/>
                <w:lang w:eastAsia="sl-SI"/>
              </w:rPr>
              <w:t>K</w:t>
            </w:r>
            <w:r w:rsidR="0006769A" w:rsidRPr="00E54350">
              <w:rPr>
                <w:rFonts w:cs="Arial"/>
                <w:iCs/>
                <w:lang w:eastAsia="sl-SI"/>
              </w:rPr>
              <w:t xml:space="preserve"> </w:t>
            </w:r>
            <w:r w:rsidRPr="00E54350">
              <w:rPr>
                <w:rFonts w:cs="Arial"/>
                <w:iCs/>
                <w:lang w:eastAsia="sl-SI"/>
              </w:rPr>
              <w:t>L</w:t>
            </w:r>
            <w:r w:rsidR="0006769A" w:rsidRPr="00E54350">
              <w:rPr>
                <w:rFonts w:cs="Arial"/>
                <w:iCs/>
                <w:lang w:eastAsia="sl-SI"/>
              </w:rPr>
              <w:t xml:space="preserve"> </w:t>
            </w:r>
            <w:r w:rsidRPr="00E54350">
              <w:rPr>
                <w:rFonts w:cs="Arial"/>
                <w:iCs/>
                <w:lang w:eastAsia="sl-SI"/>
              </w:rPr>
              <w:t>E</w:t>
            </w:r>
            <w:r w:rsidR="0006769A" w:rsidRPr="00E54350">
              <w:rPr>
                <w:rFonts w:cs="Arial"/>
                <w:iCs/>
                <w:lang w:eastAsia="sl-SI"/>
              </w:rPr>
              <w:t xml:space="preserve"> </w:t>
            </w:r>
            <w:r w:rsidRPr="00E54350">
              <w:rPr>
                <w:rFonts w:cs="Arial"/>
                <w:iCs/>
                <w:lang w:eastAsia="sl-SI"/>
              </w:rPr>
              <w:t>P</w:t>
            </w:r>
            <w:r w:rsidR="0006769A" w:rsidRPr="00E54350">
              <w:rPr>
                <w:rFonts w:cs="Arial"/>
                <w:iCs/>
                <w:lang w:eastAsia="sl-SI"/>
              </w:rPr>
              <w:t xml:space="preserve"> </w:t>
            </w:r>
            <w:r w:rsidR="00EE0B96" w:rsidRPr="00E54350">
              <w:rPr>
                <w:rFonts w:cs="Arial"/>
                <w:iCs/>
                <w:lang w:eastAsia="sl-SI"/>
              </w:rPr>
              <w:t>:</w:t>
            </w:r>
          </w:p>
          <w:p w14:paraId="0C2F61D2" w14:textId="77777777" w:rsidR="007A68DA" w:rsidRPr="00E54350" w:rsidRDefault="007A68DA" w:rsidP="007A68DA">
            <w:pPr>
              <w:jc w:val="both"/>
              <w:rPr>
                <w:rFonts w:cs="Arial"/>
                <w:iCs/>
                <w:lang w:eastAsia="sl-SI"/>
              </w:rPr>
            </w:pPr>
          </w:p>
          <w:p w14:paraId="6E9AA1CA" w14:textId="5CCD9299" w:rsidR="007114BD" w:rsidRPr="00E54350" w:rsidRDefault="007114BD" w:rsidP="007114BD">
            <w:pPr>
              <w:jc w:val="both"/>
              <w:rPr>
                <w:rFonts w:cs="Arial"/>
                <w:iCs/>
                <w:lang w:eastAsia="sl-SI"/>
              </w:rPr>
            </w:pPr>
            <w:r w:rsidRPr="00E54350">
              <w:rPr>
                <w:rFonts w:cs="Arial"/>
                <w:iCs/>
                <w:lang w:eastAsia="sl-SI"/>
              </w:rPr>
              <w:t>Vlada Republike Slovenije je odločila, da se presežek prihodkov nad odhodki javnega zavoda Slovenska akreditacija iz leta 202</w:t>
            </w:r>
            <w:r w:rsidR="00A959A5" w:rsidRPr="00E54350">
              <w:rPr>
                <w:rFonts w:cs="Arial"/>
                <w:iCs/>
                <w:lang w:eastAsia="sl-SI"/>
              </w:rPr>
              <w:t>4</w:t>
            </w:r>
            <w:r w:rsidRPr="00E54350">
              <w:rPr>
                <w:rFonts w:cs="Arial"/>
                <w:iCs/>
                <w:lang w:eastAsia="sl-SI"/>
              </w:rPr>
              <w:t xml:space="preserve"> v višini </w:t>
            </w:r>
            <w:r w:rsidR="00A959A5" w:rsidRPr="00E54350">
              <w:rPr>
                <w:rFonts w:cs="Arial"/>
                <w:iCs/>
                <w:lang w:eastAsia="sl-SI"/>
              </w:rPr>
              <w:t>26</w:t>
            </w:r>
            <w:r w:rsidRPr="00E54350">
              <w:rPr>
                <w:rFonts w:cs="Arial"/>
                <w:iCs/>
                <w:lang w:eastAsia="sl-SI"/>
              </w:rPr>
              <w:t>.</w:t>
            </w:r>
            <w:r w:rsidR="00A959A5" w:rsidRPr="00E54350">
              <w:rPr>
                <w:rFonts w:cs="Arial"/>
                <w:iCs/>
                <w:lang w:eastAsia="sl-SI"/>
              </w:rPr>
              <w:t>621,21</w:t>
            </w:r>
            <w:r w:rsidRPr="00E54350">
              <w:rPr>
                <w:rFonts w:cs="Arial"/>
                <w:iCs/>
                <w:lang w:eastAsia="sl-SI"/>
              </w:rPr>
              <w:t xml:space="preserve"> </w:t>
            </w:r>
            <w:r w:rsidR="00D122F9">
              <w:rPr>
                <w:rFonts w:cs="Arial"/>
                <w:iCs/>
                <w:lang w:eastAsia="sl-SI"/>
              </w:rPr>
              <w:t>eurov</w:t>
            </w:r>
            <w:r w:rsidRPr="00E54350">
              <w:rPr>
                <w:rFonts w:cs="Arial"/>
                <w:iCs/>
                <w:lang w:eastAsia="sl-SI"/>
              </w:rPr>
              <w:t xml:space="preserve"> nameni za opravljanje in razvoj dejavnosti javnega zavoda v letu 202</w:t>
            </w:r>
            <w:r w:rsidR="00A959A5" w:rsidRPr="00E54350">
              <w:rPr>
                <w:rFonts w:cs="Arial"/>
                <w:iCs/>
                <w:lang w:eastAsia="sl-SI"/>
              </w:rPr>
              <w:t>5</w:t>
            </w:r>
            <w:r w:rsidRPr="00E54350">
              <w:rPr>
                <w:rFonts w:cs="Arial"/>
                <w:iCs/>
                <w:lang w:eastAsia="sl-SI"/>
              </w:rPr>
              <w:t>.</w:t>
            </w:r>
          </w:p>
          <w:p w14:paraId="74C3C939" w14:textId="77777777" w:rsidR="00C273C2" w:rsidRPr="00E54350" w:rsidRDefault="00C273C2" w:rsidP="005B65E5">
            <w:pPr>
              <w:spacing w:line="312" w:lineRule="auto"/>
              <w:jc w:val="both"/>
              <w:rPr>
                <w:rFonts w:cs="Arial"/>
                <w:iCs/>
                <w:lang w:eastAsia="sl-SI"/>
              </w:rPr>
            </w:pPr>
          </w:p>
          <w:p w14:paraId="160B8F8A" w14:textId="77777777" w:rsidR="00774181" w:rsidRPr="00E54350" w:rsidRDefault="00774181" w:rsidP="005B65E5">
            <w:pPr>
              <w:spacing w:line="312" w:lineRule="auto"/>
              <w:jc w:val="both"/>
              <w:rPr>
                <w:rFonts w:cs="Arial"/>
                <w:iCs/>
                <w:lang w:eastAsia="sl-SI"/>
              </w:rPr>
            </w:pPr>
          </w:p>
          <w:p w14:paraId="548E501D" w14:textId="77777777" w:rsidR="00C273C2" w:rsidRPr="00E54350" w:rsidRDefault="00C273C2" w:rsidP="005B65E5">
            <w:pPr>
              <w:spacing w:line="312" w:lineRule="auto"/>
              <w:jc w:val="center"/>
              <w:rPr>
                <w:rFonts w:cs="Arial"/>
                <w:iCs/>
                <w:lang w:eastAsia="sl-SI"/>
              </w:rPr>
            </w:pPr>
            <w:r w:rsidRPr="00E54350">
              <w:rPr>
                <w:rFonts w:cs="Arial"/>
                <w:iCs/>
                <w:lang w:eastAsia="sl-SI"/>
              </w:rPr>
              <w:t xml:space="preserve">Barbara Kolenko </w:t>
            </w:r>
            <w:proofErr w:type="spellStart"/>
            <w:r w:rsidRPr="00E54350">
              <w:rPr>
                <w:rFonts w:cs="Arial"/>
                <w:iCs/>
                <w:lang w:eastAsia="sl-SI"/>
              </w:rPr>
              <w:t>Helbl</w:t>
            </w:r>
            <w:proofErr w:type="spellEnd"/>
          </w:p>
          <w:p w14:paraId="72A43E1A" w14:textId="77777777" w:rsidR="00C273C2" w:rsidRPr="00E54350" w:rsidRDefault="00C273C2" w:rsidP="005B65E5">
            <w:pPr>
              <w:spacing w:line="312" w:lineRule="auto"/>
              <w:jc w:val="center"/>
              <w:rPr>
                <w:rFonts w:cs="Arial"/>
                <w:iCs/>
                <w:lang w:eastAsia="sl-SI"/>
              </w:rPr>
            </w:pPr>
            <w:r w:rsidRPr="00E54350">
              <w:rPr>
                <w:rFonts w:cs="Arial"/>
                <w:iCs/>
                <w:lang w:eastAsia="sl-SI"/>
              </w:rPr>
              <w:t>generalna sekretarka</w:t>
            </w:r>
          </w:p>
          <w:p w14:paraId="21EF55EC" w14:textId="77777777" w:rsidR="00774181" w:rsidRPr="00E54350" w:rsidRDefault="00774181" w:rsidP="005B65E5">
            <w:pPr>
              <w:pStyle w:val="Vsebinaokvira"/>
              <w:spacing w:line="312" w:lineRule="auto"/>
              <w:rPr>
                <w:rFonts w:cs="Arial"/>
                <w:iCs/>
                <w:lang w:eastAsia="sl-SI"/>
              </w:rPr>
            </w:pPr>
          </w:p>
          <w:p w14:paraId="58EED1FC" w14:textId="77777777" w:rsidR="007114BD" w:rsidRPr="00E54350" w:rsidRDefault="007114BD" w:rsidP="005B65E5">
            <w:pPr>
              <w:pStyle w:val="Vsebinaokvira"/>
              <w:spacing w:line="312" w:lineRule="auto"/>
              <w:rPr>
                <w:rFonts w:cs="Arial"/>
                <w:iCs/>
                <w:lang w:eastAsia="sl-SI"/>
              </w:rPr>
            </w:pPr>
          </w:p>
          <w:p w14:paraId="035F43E3" w14:textId="77777777" w:rsidR="007114BD" w:rsidRPr="00E54350" w:rsidRDefault="007114BD" w:rsidP="005B65E5">
            <w:pPr>
              <w:pStyle w:val="Vsebinaokvira"/>
              <w:spacing w:line="312" w:lineRule="auto"/>
              <w:rPr>
                <w:rFonts w:cs="Arial"/>
                <w:iCs/>
                <w:lang w:eastAsia="sl-SI"/>
              </w:rPr>
            </w:pPr>
          </w:p>
          <w:p w14:paraId="6014D68D" w14:textId="77777777" w:rsidR="007114BD" w:rsidRPr="00E54350" w:rsidRDefault="007114BD" w:rsidP="005B65E5">
            <w:pPr>
              <w:pStyle w:val="Vsebinaokvira"/>
              <w:spacing w:line="312" w:lineRule="auto"/>
              <w:rPr>
                <w:rFonts w:cs="Arial"/>
                <w:iCs/>
                <w:lang w:eastAsia="sl-SI"/>
              </w:rPr>
            </w:pPr>
          </w:p>
          <w:p w14:paraId="12E0C689" w14:textId="77777777" w:rsidR="007114BD" w:rsidRPr="00E54350" w:rsidRDefault="007114BD" w:rsidP="005B65E5">
            <w:pPr>
              <w:pStyle w:val="Vsebinaokvira"/>
              <w:spacing w:line="312" w:lineRule="auto"/>
              <w:rPr>
                <w:rFonts w:cs="Arial"/>
                <w:iCs/>
                <w:lang w:eastAsia="sl-SI"/>
              </w:rPr>
            </w:pPr>
          </w:p>
          <w:p w14:paraId="60628BC9" w14:textId="77777777" w:rsidR="00D013C6" w:rsidRPr="00E54350" w:rsidRDefault="00C273C2" w:rsidP="005B65E5">
            <w:pPr>
              <w:pStyle w:val="Vsebinaokvira"/>
              <w:spacing w:line="312" w:lineRule="auto"/>
              <w:rPr>
                <w:rFonts w:cs="Arial"/>
                <w:iCs/>
                <w:lang w:eastAsia="sl-SI"/>
              </w:rPr>
            </w:pPr>
            <w:r w:rsidRPr="00E54350">
              <w:rPr>
                <w:rFonts w:cs="Arial"/>
                <w:iCs/>
                <w:lang w:eastAsia="sl-SI"/>
              </w:rPr>
              <w:t xml:space="preserve">Sklep sprejmejo: </w:t>
            </w:r>
          </w:p>
          <w:p w14:paraId="52FC4EA9" w14:textId="77777777" w:rsidR="007114BD" w:rsidRPr="00E54350" w:rsidRDefault="007114BD" w:rsidP="007114BD">
            <w:pPr>
              <w:numPr>
                <w:ilvl w:val="0"/>
                <w:numId w:val="3"/>
              </w:numPr>
              <w:overflowPunct w:val="0"/>
              <w:autoSpaceDE w:val="0"/>
              <w:autoSpaceDN w:val="0"/>
              <w:adjustRightInd w:val="0"/>
              <w:spacing w:line="276" w:lineRule="auto"/>
              <w:ind w:left="601" w:hanging="241"/>
              <w:jc w:val="both"/>
              <w:textAlignment w:val="baseline"/>
              <w:rPr>
                <w:rFonts w:cs="Arial"/>
                <w:iCs/>
                <w:lang w:eastAsia="sl-SI"/>
              </w:rPr>
            </w:pPr>
            <w:r w:rsidRPr="00E54350">
              <w:rPr>
                <w:rFonts w:cs="Arial"/>
                <w:iCs/>
                <w:lang w:eastAsia="sl-SI"/>
              </w:rPr>
              <w:t>Slovenska akreditacija, Pot k sejmišču 30a, Ljubljana,</w:t>
            </w:r>
          </w:p>
          <w:p w14:paraId="346288A1" w14:textId="52E32445" w:rsidR="007114BD" w:rsidRPr="00E54350" w:rsidRDefault="007114BD" w:rsidP="007114BD">
            <w:pPr>
              <w:numPr>
                <w:ilvl w:val="0"/>
                <w:numId w:val="3"/>
              </w:numPr>
              <w:overflowPunct w:val="0"/>
              <w:autoSpaceDE w:val="0"/>
              <w:autoSpaceDN w:val="0"/>
              <w:adjustRightInd w:val="0"/>
              <w:spacing w:line="276" w:lineRule="auto"/>
              <w:ind w:left="601" w:hanging="241"/>
              <w:jc w:val="both"/>
              <w:textAlignment w:val="baseline"/>
              <w:rPr>
                <w:rFonts w:cs="Arial"/>
                <w:iCs/>
                <w:lang w:eastAsia="sl-SI"/>
              </w:rPr>
            </w:pPr>
            <w:r w:rsidRPr="00E54350">
              <w:rPr>
                <w:rFonts w:cs="Arial"/>
                <w:iCs/>
                <w:lang w:eastAsia="sl-SI"/>
              </w:rPr>
              <w:t xml:space="preserve">Ministrstvo za </w:t>
            </w:r>
            <w:r w:rsidR="00B01953" w:rsidRPr="00E54350">
              <w:rPr>
                <w:rFonts w:cs="Arial"/>
                <w:iCs/>
                <w:lang w:eastAsia="sl-SI"/>
              </w:rPr>
              <w:t>gospodarstvo, turizem in šport,</w:t>
            </w:r>
          </w:p>
          <w:p w14:paraId="43205D28" w14:textId="77777777" w:rsidR="007114BD" w:rsidRPr="00E54350" w:rsidRDefault="007114BD" w:rsidP="007114BD">
            <w:pPr>
              <w:numPr>
                <w:ilvl w:val="0"/>
                <w:numId w:val="3"/>
              </w:numPr>
              <w:overflowPunct w:val="0"/>
              <w:autoSpaceDE w:val="0"/>
              <w:autoSpaceDN w:val="0"/>
              <w:adjustRightInd w:val="0"/>
              <w:spacing w:line="276" w:lineRule="auto"/>
              <w:ind w:left="601" w:hanging="241"/>
              <w:jc w:val="both"/>
              <w:textAlignment w:val="baseline"/>
              <w:rPr>
                <w:rFonts w:cs="Arial"/>
                <w:iCs/>
                <w:lang w:eastAsia="sl-SI"/>
              </w:rPr>
            </w:pPr>
            <w:r w:rsidRPr="00E54350">
              <w:rPr>
                <w:rFonts w:cs="Arial"/>
                <w:iCs/>
                <w:lang w:eastAsia="sl-SI"/>
              </w:rPr>
              <w:t>Urad Vlade Republike Slovenije za komuniciranje,</w:t>
            </w:r>
          </w:p>
          <w:p w14:paraId="5F3D6FF1" w14:textId="3107F7B2" w:rsidR="007114BD" w:rsidRPr="00E54350" w:rsidRDefault="007114BD" w:rsidP="007114BD">
            <w:pPr>
              <w:pStyle w:val="Vsebinaokvira"/>
              <w:numPr>
                <w:ilvl w:val="0"/>
                <w:numId w:val="3"/>
              </w:numPr>
              <w:spacing w:line="312" w:lineRule="auto"/>
              <w:ind w:left="589" w:hanging="229"/>
              <w:rPr>
                <w:rFonts w:cs="Arial"/>
                <w:iCs/>
                <w:lang w:eastAsia="sl-SI"/>
              </w:rPr>
            </w:pPr>
            <w:r w:rsidRPr="00E54350">
              <w:rPr>
                <w:rFonts w:cs="Arial"/>
                <w:iCs/>
                <w:lang w:eastAsia="sl-SI"/>
              </w:rPr>
              <w:t>Generalni sekretariat Vlade Republike Slovenije.</w:t>
            </w:r>
          </w:p>
          <w:p w14:paraId="611F2F8E" w14:textId="77777777" w:rsidR="00C273C2" w:rsidRPr="007114BD" w:rsidRDefault="00C273C2" w:rsidP="007114BD">
            <w:pPr>
              <w:pStyle w:val="Vsebinaokvira"/>
              <w:spacing w:line="312" w:lineRule="auto"/>
              <w:ind w:left="720"/>
              <w:rPr>
                <w:rFonts w:cs="Arial"/>
                <w:iCs/>
                <w:lang w:eastAsia="sl-SI"/>
              </w:rPr>
            </w:pPr>
          </w:p>
        </w:tc>
      </w:tr>
      <w:tr w:rsidR="00C273C2" w:rsidRPr="00201224" w14:paraId="53167B11" w14:textId="77777777" w:rsidTr="00C273C2">
        <w:tc>
          <w:tcPr>
            <w:tcW w:w="9214" w:type="dxa"/>
            <w:gridSpan w:val="2"/>
          </w:tcPr>
          <w:p w14:paraId="60A91EFB" w14:textId="77777777" w:rsidR="00C273C2" w:rsidRPr="00201224" w:rsidRDefault="00C273C2" w:rsidP="00C273C2">
            <w:pPr>
              <w:suppressAutoHyphens/>
              <w:overflowPunct w:val="0"/>
              <w:autoSpaceDE w:val="0"/>
              <w:autoSpaceDN w:val="0"/>
              <w:adjustRightInd w:val="0"/>
              <w:textAlignment w:val="baseline"/>
              <w:outlineLvl w:val="3"/>
              <w:rPr>
                <w:rFonts w:cs="Arial"/>
                <w:b/>
                <w:lang w:eastAsia="sl-SI"/>
              </w:rPr>
            </w:pPr>
            <w:r w:rsidRPr="00201224">
              <w:rPr>
                <w:rFonts w:cs="Arial"/>
                <w:b/>
                <w:lang w:eastAsia="sl-SI"/>
              </w:rPr>
              <w:t>2. Predlog za obravnavo predloga zakona po nujnem ali skrajšanem postopku v državnem zboru z obrazložitvijo razlogov:</w:t>
            </w:r>
          </w:p>
        </w:tc>
      </w:tr>
      <w:tr w:rsidR="00C273C2" w:rsidRPr="00201224" w14:paraId="56D6E2BD" w14:textId="77777777" w:rsidTr="00C273C2">
        <w:tc>
          <w:tcPr>
            <w:tcW w:w="9214" w:type="dxa"/>
            <w:gridSpan w:val="2"/>
          </w:tcPr>
          <w:p w14:paraId="207C2CFE" w14:textId="77777777" w:rsidR="00C273C2" w:rsidRPr="00201224" w:rsidRDefault="00C273C2" w:rsidP="00C273C2">
            <w:pPr>
              <w:suppressAutoHyphens/>
              <w:overflowPunct w:val="0"/>
              <w:autoSpaceDE w:val="0"/>
              <w:autoSpaceDN w:val="0"/>
              <w:adjustRightInd w:val="0"/>
              <w:textAlignment w:val="baseline"/>
              <w:outlineLvl w:val="3"/>
              <w:rPr>
                <w:rFonts w:cs="Arial"/>
                <w:sz w:val="24"/>
                <w:lang w:eastAsia="sl-SI"/>
              </w:rPr>
            </w:pPr>
            <w:r w:rsidRPr="00201224">
              <w:rPr>
                <w:rFonts w:cs="Arial"/>
                <w:sz w:val="24"/>
                <w:lang w:eastAsia="sl-SI"/>
              </w:rPr>
              <w:t>/</w:t>
            </w:r>
          </w:p>
        </w:tc>
      </w:tr>
    </w:tbl>
    <w:p w14:paraId="0CC55E08" w14:textId="77777777" w:rsidR="00EC5840" w:rsidRPr="00201224" w:rsidRDefault="00EC5840" w:rsidP="00EC5840">
      <w:pPr>
        <w:rPr>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393"/>
        <w:gridCol w:w="560"/>
        <w:gridCol w:w="631"/>
        <w:gridCol w:w="1354"/>
      </w:tblGrid>
      <w:tr w:rsidR="00C17D83" w:rsidRPr="00C17D83" w14:paraId="5DA3490A" w14:textId="77777777" w:rsidTr="003B2A8B">
        <w:tc>
          <w:tcPr>
            <w:tcW w:w="9214" w:type="dxa"/>
            <w:gridSpan w:val="5"/>
          </w:tcPr>
          <w:p w14:paraId="0AB50591"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3.a Osebe, odgovorne za strokovno pripravo in usklajenost gradiva:</w:t>
            </w:r>
          </w:p>
        </w:tc>
      </w:tr>
      <w:tr w:rsidR="00C17D83" w:rsidRPr="00C17D83" w14:paraId="48324A20" w14:textId="77777777" w:rsidTr="005B65E5">
        <w:trPr>
          <w:trHeight w:val="557"/>
        </w:trPr>
        <w:tc>
          <w:tcPr>
            <w:tcW w:w="9214" w:type="dxa"/>
            <w:gridSpan w:val="5"/>
          </w:tcPr>
          <w:p w14:paraId="5C35FBC4" w14:textId="77777777" w:rsidR="006158DE" w:rsidRPr="00947813"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947813">
              <w:rPr>
                <w:rFonts w:cs="Arial"/>
                <w:iCs/>
                <w:lang w:eastAsia="sl-SI"/>
              </w:rPr>
              <w:lastRenderedPageBreak/>
              <w:t>mag. Karla Pinter, generalna direktorica</w:t>
            </w:r>
            <w:r w:rsidRPr="00947813">
              <w:t xml:space="preserve"> </w:t>
            </w:r>
            <w:r w:rsidRPr="00947813">
              <w:rPr>
                <w:rFonts w:cs="Arial"/>
                <w:iCs/>
                <w:lang w:eastAsia="sl-SI"/>
              </w:rPr>
              <w:t>Direktorata za notranji trg, Ministrstvo za gospodarstvo, turizem in šport,</w:t>
            </w:r>
          </w:p>
          <w:p w14:paraId="1E088711" w14:textId="77777777" w:rsidR="006158DE" w:rsidRPr="00C17D83"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947813">
              <w:rPr>
                <w:rFonts w:cs="Arial"/>
                <w:iCs/>
                <w:lang w:eastAsia="sl-SI"/>
              </w:rPr>
              <w:t>Breda Goršek, sekretarka, vodja Sektorja za prost pretok blaga in storitev, Ministrstvo za gospodarstvo, turizem in šport.</w:t>
            </w:r>
          </w:p>
        </w:tc>
      </w:tr>
      <w:tr w:rsidR="00C17D83" w:rsidRPr="00C17D83" w14:paraId="181A8FC3" w14:textId="77777777" w:rsidTr="003B2A8B">
        <w:tc>
          <w:tcPr>
            <w:tcW w:w="9214" w:type="dxa"/>
            <w:gridSpan w:val="5"/>
          </w:tcPr>
          <w:p w14:paraId="4C529B3F"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3.b Zunanji strokovnjaki, ki so sodelovali pri pripravi dela ali celotnega gradiva:</w:t>
            </w:r>
          </w:p>
        </w:tc>
      </w:tr>
      <w:tr w:rsidR="00C17D83" w:rsidRPr="00C17D83" w14:paraId="6F668E74" w14:textId="77777777" w:rsidTr="003B2A8B">
        <w:tc>
          <w:tcPr>
            <w:tcW w:w="9214" w:type="dxa"/>
            <w:gridSpan w:val="5"/>
          </w:tcPr>
          <w:p w14:paraId="4E09F771" w14:textId="77777777" w:rsidR="006158DE" w:rsidRPr="00C17D83" w:rsidRDefault="006158DE" w:rsidP="003B2A8B">
            <w:pPr>
              <w:suppressAutoHyphens/>
              <w:overflowPunct w:val="0"/>
              <w:autoSpaceDE w:val="0"/>
              <w:autoSpaceDN w:val="0"/>
              <w:adjustRightInd w:val="0"/>
              <w:textAlignment w:val="baseline"/>
              <w:outlineLvl w:val="3"/>
              <w:rPr>
                <w:rFonts w:cs="Arial"/>
                <w:sz w:val="24"/>
                <w:lang w:eastAsia="sl-SI"/>
              </w:rPr>
            </w:pPr>
            <w:r w:rsidRPr="00C17D83">
              <w:rPr>
                <w:rFonts w:cs="Arial"/>
                <w:sz w:val="24"/>
                <w:lang w:eastAsia="sl-SI"/>
              </w:rPr>
              <w:t>/</w:t>
            </w:r>
          </w:p>
        </w:tc>
      </w:tr>
      <w:tr w:rsidR="00C17D83" w:rsidRPr="00C17D83" w14:paraId="1495C18D" w14:textId="77777777" w:rsidTr="003B2A8B">
        <w:tc>
          <w:tcPr>
            <w:tcW w:w="9214" w:type="dxa"/>
            <w:gridSpan w:val="5"/>
          </w:tcPr>
          <w:p w14:paraId="4C73E144"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4. Predstavniki vlade, ki bodo sodelovali pri delu državnega zbora:</w:t>
            </w:r>
          </w:p>
        </w:tc>
      </w:tr>
      <w:tr w:rsidR="00C17D83" w:rsidRPr="00C17D83" w14:paraId="3573C0C2" w14:textId="77777777" w:rsidTr="003B2A8B">
        <w:tc>
          <w:tcPr>
            <w:tcW w:w="9214" w:type="dxa"/>
            <w:gridSpan w:val="5"/>
          </w:tcPr>
          <w:p w14:paraId="502EFB83" w14:textId="77777777" w:rsidR="006158DE" w:rsidRPr="00C17D83" w:rsidRDefault="006158DE" w:rsidP="003B2A8B">
            <w:pPr>
              <w:suppressAutoHyphens/>
              <w:overflowPunct w:val="0"/>
              <w:autoSpaceDE w:val="0"/>
              <w:autoSpaceDN w:val="0"/>
              <w:adjustRightInd w:val="0"/>
              <w:textAlignment w:val="baseline"/>
              <w:outlineLvl w:val="3"/>
              <w:rPr>
                <w:rFonts w:cs="Arial"/>
                <w:sz w:val="24"/>
                <w:lang w:eastAsia="sl-SI"/>
              </w:rPr>
            </w:pPr>
            <w:r w:rsidRPr="00C17D83">
              <w:rPr>
                <w:rFonts w:cs="Arial"/>
                <w:sz w:val="24"/>
                <w:lang w:eastAsia="sl-SI"/>
              </w:rPr>
              <w:t>/</w:t>
            </w:r>
          </w:p>
        </w:tc>
      </w:tr>
      <w:tr w:rsidR="00C17D83" w:rsidRPr="00C17D83" w14:paraId="5E81D6A8" w14:textId="77777777" w:rsidTr="003B2A8B">
        <w:tc>
          <w:tcPr>
            <w:tcW w:w="9214" w:type="dxa"/>
            <w:gridSpan w:val="5"/>
          </w:tcPr>
          <w:p w14:paraId="34B6A918"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5. Kratek povzetek gradiva:</w:t>
            </w:r>
          </w:p>
        </w:tc>
      </w:tr>
      <w:tr w:rsidR="00C17D83" w:rsidRPr="00C17D83" w14:paraId="23446584" w14:textId="77777777" w:rsidTr="003B2A8B">
        <w:tc>
          <w:tcPr>
            <w:tcW w:w="9214" w:type="dxa"/>
            <w:gridSpan w:val="5"/>
          </w:tcPr>
          <w:p w14:paraId="005987EE" w14:textId="0C4EBB18" w:rsidR="00FF336B" w:rsidRPr="00947813" w:rsidRDefault="007114BD" w:rsidP="00734950">
            <w:pPr>
              <w:jc w:val="both"/>
            </w:pPr>
            <w:r w:rsidRPr="00947813">
              <w:t>Sklep o ustanovitvi javnega zavoda Slovenska akreditacija (Uradni</w:t>
            </w:r>
            <w:r w:rsidR="00FF336B" w:rsidRPr="00947813">
              <w:t xml:space="preserve"> </w:t>
            </w:r>
            <w:r w:rsidRPr="00947813">
              <w:t>list</w:t>
            </w:r>
            <w:r w:rsidR="00FF336B" w:rsidRPr="00947813">
              <w:t xml:space="preserve"> </w:t>
            </w:r>
            <w:r w:rsidRPr="00947813">
              <w:t>RS,</w:t>
            </w:r>
            <w:r w:rsidR="00FF336B" w:rsidRPr="00947813">
              <w:t xml:space="preserve"> </w:t>
            </w:r>
            <w:r w:rsidRPr="00947813">
              <w:t>št.</w:t>
            </w:r>
            <w:r w:rsidR="00FF336B" w:rsidRPr="00947813">
              <w:t xml:space="preserve"> </w:t>
            </w:r>
            <w:hyperlink r:id="rId25" w:tgtFrame="_blank" w:tooltip="Sklep o ustanovitvi javnega zavoda Slovenska akreditacija" w:history="1">
              <w:r w:rsidRPr="00947813">
                <w:t>36/00</w:t>
              </w:r>
            </w:hyperlink>
            <w:r w:rsidRPr="00947813">
              <w:t>,</w:t>
            </w:r>
            <w:r w:rsidR="00FF336B" w:rsidRPr="00947813">
              <w:t xml:space="preserve"> </w:t>
            </w:r>
            <w:hyperlink r:id="rId26" w:tgtFrame="_blank" w:tooltip="Sklep o spremembi sklepa o ustanovitvi javnega zavoda Slovenska akreditacija" w:history="1">
              <w:r w:rsidRPr="00947813">
                <w:t>23/01</w:t>
              </w:r>
            </w:hyperlink>
            <w:r w:rsidRPr="00947813">
              <w:t>,</w:t>
            </w:r>
            <w:r w:rsidR="00FF336B" w:rsidRPr="00947813">
              <w:t xml:space="preserve"> </w:t>
            </w:r>
            <w:hyperlink r:id="rId27" w:tgtFrame="_blank" w:tooltip="Sklep o spremembah Sklepa o ustanovitvi javnega zavoda Slovenska akreditacija" w:history="1">
              <w:r w:rsidRPr="00947813">
                <w:t>121/04</w:t>
              </w:r>
            </w:hyperlink>
            <w:r w:rsidRPr="00947813">
              <w:t>,</w:t>
            </w:r>
            <w:r w:rsidR="00FF336B" w:rsidRPr="00947813">
              <w:t xml:space="preserve"> </w:t>
            </w:r>
            <w:hyperlink r:id="rId28" w:tgtFrame="_blank" w:tooltip="Sklep o spremembah in dopolnitvi Sklepa o ustanovitvi javnega zavoda Slovenska akreditacija" w:history="1">
              <w:r w:rsidRPr="00947813">
                <w:t>22/08</w:t>
              </w:r>
            </w:hyperlink>
            <w:r w:rsidRPr="00947813">
              <w:t>,</w:t>
            </w:r>
            <w:r w:rsidR="00FF336B" w:rsidRPr="00947813">
              <w:t xml:space="preserve"> </w:t>
            </w:r>
            <w:hyperlink r:id="rId29" w:tgtFrame="_blank" w:tooltip="Sklep o spremembah in dopolnitvah Sklepa o ustanovitvi javnega zavoda Slovenska akreditacija" w:history="1">
              <w:r w:rsidRPr="00947813">
                <w:t>19/16</w:t>
              </w:r>
            </w:hyperlink>
            <w:r w:rsidRPr="00947813">
              <w:t>, </w:t>
            </w:r>
            <w:hyperlink r:id="rId30" w:tgtFrame="_blank" w:tooltip="Sklep o spremembi Sklepa o ustanovitvi javnega zavoda Slovenska akreditacija" w:history="1">
              <w:r w:rsidRPr="00947813">
                <w:t>51/16</w:t>
              </w:r>
            </w:hyperlink>
            <w:r w:rsidRPr="00947813">
              <w:t> in </w:t>
            </w:r>
            <w:hyperlink r:id="rId31" w:tgtFrame="_blank" w:tooltip="Sklep o spremembah in dopolnitvi Sklepa o ustanovitvi javnega zavoda Slovenska akreditacija" w:history="1">
              <w:r w:rsidRPr="00947813">
                <w:t>90/21</w:t>
              </w:r>
            </w:hyperlink>
            <w:r w:rsidRPr="00947813">
              <w:t>) v 16. členu določa, da o razpolaganju s presežkom prihodkov nad odhodki</w:t>
            </w:r>
            <w:r w:rsidR="008A7655">
              <w:t xml:space="preserve"> javnega zavoda</w:t>
            </w:r>
            <w:r w:rsidRPr="00947813">
              <w:t xml:space="preserve"> odloča ustanovitelj. </w:t>
            </w:r>
          </w:p>
          <w:p w14:paraId="3FDA4421" w14:textId="77777777" w:rsidR="00FF336B" w:rsidRPr="00947813" w:rsidRDefault="00FF336B" w:rsidP="00734950">
            <w:pPr>
              <w:jc w:val="both"/>
            </w:pPr>
          </w:p>
          <w:p w14:paraId="5926F7D2" w14:textId="7D3DAC48" w:rsidR="006158DE" w:rsidRDefault="007114BD" w:rsidP="00734950">
            <w:pPr>
              <w:jc w:val="both"/>
            </w:pPr>
            <w:r w:rsidRPr="00947813">
              <w:t>Predlagamo, da Vlada R</w:t>
            </w:r>
            <w:r w:rsidR="004B0037" w:rsidRPr="00947813">
              <w:t>epublike Slovenije</w:t>
            </w:r>
            <w:r w:rsidRPr="00947813">
              <w:t xml:space="preserve"> odloči, da se presežek prihodkov nad odhodki javnega zavoda Slovenska akreditacija iz leta 202</w:t>
            </w:r>
            <w:r w:rsidR="004B0037" w:rsidRPr="00947813">
              <w:t>4</w:t>
            </w:r>
            <w:r w:rsidR="00FF336B" w:rsidRPr="00947813">
              <w:t>,</w:t>
            </w:r>
            <w:r w:rsidRPr="00947813">
              <w:t xml:space="preserve"> v višini </w:t>
            </w:r>
            <w:r w:rsidR="004B0037" w:rsidRPr="00947813">
              <w:t>26</w:t>
            </w:r>
            <w:r w:rsidRPr="00947813">
              <w:rPr>
                <w:iCs/>
              </w:rPr>
              <w:t>.</w:t>
            </w:r>
            <w:r w:rsidR="004B0037" w:rsidRPr="00947813">
              <w:rPr>
                <w:iCs/>
              </w:rPr>
              <w:t>621,21</w:t>
            </w:r>
            <w:r w:rsidRPr="00947813">
              <w:rPr>
                <w:iCs/>
              </w:rPr>
              <w:t xml:space="preserve"> </w:t>
            </w:r>
            <w:r w:rsidR="008A7655">
              <w:rPr>
                <w:iCs/>
              </w:rPr>
              <w:t>eurov</w:t>
            </w:r>
            <w:r w:rsidR="00FF336B" w:rsidRPr="00947813">
              <w:t>,</w:t>
            </w:r>
            <w:r w:rsidRPr="00947813">
              <w:t xml:space="preserve"> nameni za</w:t>
            </w:r>
            <w:r w:rsidRPr="00947813">
              <w:rPr>
                <w:iCs/>
              </w:rPr>
              <w:t xml:space="preserve"> opravljanje in razvoj dejavnosti</w:t>
            </w:r>
            <w:r w:rsidRPr="00947813">
              <w:t xml:space="preserve"> javnega zavoda v letu 202</w:t>
            </w:r>
            <w:r w:rsidR="004B0037" w:rsidRPr="00947813">
              <w:t>5</w:t>
            </w:r>
            <w:r w:rsidRPr="00947813">
              <w:t xml:space="preserve">. </w:t>
            </w:r>
          </w:p>
          <w:p w14:paraId="57E5BB04" w14:textId="1977774E" w:rsidR="00947813" w:rsidRPr="00C17D83" w:rsidRDefault="00947813" w:rsidP="00734950">
            <w:pPr>
              <w:jc w:val="both"/>
              <w:rPr>
                <w:rFonts w:cs="Arial"/>
                <w:szCs w:val="20"/>
              </w:rPr>
            </w:pPr>
          </w:p>
        </w:tc>
      </w:tr>
      <w:tr w:rsidR="00C17D83" w:rsidRPr="00C17D83" w14:paraId="55DFE20F" w14:textId="77777777" w:rsidTr="003B2A8B">
        <w:tc>
          <w:tcPr>
            <w:tcW w:w="9214" w:type="dxa"/>
            <w:gridSpan w:val="5"/>
          </w:tcPr>
          <w:p w14:paraId="11F7435C"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6. Presoja posledic za:</w:t>
            </w:r>
          </w:p>
        </w:tc>
      </w:tr>
      <w:tr w:rsidR="00C17D83" w:rsidRPr="00C17D83" w14:paraId="2ED0D837" w14:textId="77777777" w:rsidTr="003B2A8B">
        <w:tc>
          <w:tcPr>
            <w:tcW w:w="1276" w:type="dxa"/>
          </w:tcPr>
          <w:p w14:paraId="08F037CA"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a)</w:t>
            </w:r>
          </w:p>
        </w:tc>
        <w:tc>
          <w:tcPr>
            <w:tcW w:w="5953" w:type="dxa"/>
            <w:gridSpan w:val="2"/>
          </w:tcPr>
          <w:p w14:paraId="0298E7CD" w14:textId="77777777" w:rsidR="006158DE" w:rsidRPr="00C17D83" w:rsidRDefault="006158DE" w:rsidP="003B2A8B">
            <w:pPr>
              <w:overflowPunct w:val="0"/>
              <w:autoSpaceDE w:val="0"/>
              <w:autoSpaceDN w:val="0"/>
              <w:adjustRightInd w:val="0"/>
              <w:spacing w:before="60" w:after="60" w:line="200" w:lineRule="exact"/>
              <w:textAlignment w:val="baseline"/>
              <w:rPr>
                <w:rFonts w:cs="Arial"/>
                <w:lang w:eastAsia="sl-SI"/>
              </w:rPr>
            </w:pPr>
            <w:r w:rsidRPr="00C17D83">
              <w:rPr>
                <w:rFonts w:cs="Arial"/>
                <w:lang w:eastAsia="sl-SI"/>
              </w:rPr>
              <w:t>javnofinančna sredstva v višini, večji od 40.000 EUR v tekočem in naslednjih treh letih</w:t>
            </w:r>
          </w:p>
        </w:tc>
        <w:tc>
          <w:tcPr>
            <w:tcW w:w="1985" w:type="dxa"/>
            <w:gridSpan w:val="2"/>
          </w:tcPr>
          <w:p w14:paraId="3F01456A" w14:textId="77777777" w:rsidR="006158DE" w:rsidRPr="00C17D83" w:rsidRDefault="007D5786"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40A8EE1D" w14:textId="77777777" w:rsidTr="003B2A8B">
        <w:tc>
          <w:tcPr>
            <w:tcW w:w="1276" w:type="dxa"/>
          </w:tcPr>
          <w:p w14:paraId="1D038542"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b)</w:t>
            </w:r>
          </w:p>
        </w:tc>
        <w:tc>
          <w:tcPr>
            <w:tcW w:w="5953" w:type="dxa"/>
            <w:gridSpan w:val="2"/>
          </w:tcPr>
          <w:p w14:paraId="2B1BEF33" w14:textId="77777777" w:rsidR="006158DE" w:rsidRPr="00C17D83" w:rsidRDefault="006158DE" w:rsidP="003B2A8B">
            <w:pPr>
              <w:overflowPunct w:val="0"/>
              <w:autoSpaceDE w:val="0"/>
              <w:autoSpaceDN w:val="0"/>
              <w:adjustRightInd w:val="0"/>
              <w:spacing w:before="60" w:after="60" w:line="200" w:lineRule="exact"/>
              <w:textAlignment w:val="baseline"/>
              <w:rPr>
                <w:rFonts w:cs="Arial"/>
                <w:iCs/>
                <w:lang w:eastAsia="sl-SI"/>
              </w:rPr>
            </w:pPr>
            <w:r w:rsidRPr="00C17D83">
              <w:rPr>
                <w:rFonts w:cs="Arial"/>
                <w:bCs/>
                <w:lang w:eastAsia="sl-SI"/>
              </w:rPr>
              <w:t>usklajenost slovenskega pravnega reda s pravnim redom Evropske unije</w:t>
            </w:r>
          </w:p>
        </w:tc>
        <w:tc>
          <w:tcPr>
            <w:tcW w:w="1985" w:type="dxa"/>
            <w:gridSpan w:val="2"/>
          </w:tcPr>
          <w:p w14:paraId="69B4302C" w14:textId="77777777" w:rsidR="006158DE" w:rsidRPr="00C17D83" w:rsidRDefault="006158DE"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07FA897B" w14:textId="77777777" w:rsidTr="003B2A8B">
        <w:tc>
          <w:tcPr>
            <w:tcW w:w="1276" w:type="dxa"/>
          </w:tcPr>
          <w:p w14:paraId="2BC3981E"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c)</w:t>
            </w:r>
          </w:p>
        </w:tc>
        <w:tc>
          <w:tcPr>
            <w:tcW w:w="5953" w:type="dxa"/>
            <w:gridSpan w:val="2"/>
          </w:tcPr>
          <w:p w14:paraId="09AF789D" w14:textId="77777777" w:rsidR="006158DE" w:rsidRPr="00C17D83" w:rsidRDefault="006158DE" w:rsidP="003B2A8B">
            <w:pPr>
              <w:overflowPunct w:val="0"/>
              <w:autoSpaceDE w:val="0"/>
              <w:autoSpaceDN w:val="0"/>
              <w:adjustRightInd w:val="0"/>
              <w:spacing w:before="60" w:after="60" w:line="200" w:lineRule="exact"/>
              <w:textAlignment w:val="baseline"/>
              <w:rPr>
                <w:rFonts w:cs="Arial"/>
                <w:iCs/>
                <w:lang w:eastAsia="sl-SI"/>
              </w:rPr>
            </w:pPr>
            <w:r w:rsidRPr="00C17D83">
              <w:rPr>
                <w:rFonts w:cs="Arial"/>
                <w:lang w:eastAsia="sl-SI"/>
              </w:rPr>
              <w:t>administrativne posledice</w:t>
            </w:r>
          </w:p>
        </w:tc>
        <w:tc>
          <w:tcPr>
            <w:tcW w:w="1985" w:type="dxa"/>
            <w:gridSpan w:val="2"/>
          </w:tcPr>
          <w:p w14:paraId="2BB2DDFA" w14:textId="77777777" w:rsidR="006158DE" w:rsidRPr="00C17D83" w:rsidRDefault="006158DE"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41A908F8" w14:textId="77777777" w:rsidTr="003B2A8B">
        <w:tc>
          <w:tcPr>
            <w:tcW w:w="1276" w:type="dxa"/>
          </w:tcPr>
          <w:p w14:paraId="3178D601"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č)</w:t>
            </w:r>
          </w:p>
        </w:tc>
        <w:tc>
          <w:tcPr>
            <w:tcW w:w="5953" w:type="dxa"/>
            <w:gridSpan w:val="2"/>
          </w:tcPr>
          <w:p w14:paraId="03B69F30" w14:textId="77777777" w:rsidR="006158DE" w:rsidRPr="00C17D83" w:rsidRDefault="006158DE" w:rsidP="003B2A8B">
            <w:pPr>
              <w:overflowPunct w:val="0"/>
              <w:autoSpaceDE w:val="0"/>
              <w:autoSpaceDN w:val="0"/>
              <w:adjustRightInd w:val="0"/>
              <w:spacing w:before="60" w:after="60" w:line="200" w:lineRule="exact"/>
              <w:textAlignment w:val="baseline"/>
              <w:rPr>
                <w:rFonts w:cs="Arial"/>
                <w:bCs/>
                <w:lang w:eastAsia="sl-SI"/>
              </w:rPr>
            </w:pPr>
            <w:r w:rsidRPr="00C17D83">
              <w:rPr>
                <w:rFonts w:cs="Arial"/>
                <w:lang w:eastAsia="sl-SI"/>
              </w:rPr>
              <w:t xml:space="preserve">na gospodarstvo, posebej </w:t>
            </w:r>
            <w:r w:rsidRPr="00C17D83">
              <w:rPr>
                <w:rFonts w:cs="Arial"/>
                <w:bCs/>
                <w:lang w:eastAsia="sl-SI"/>
              </w:rPr>
              <w:t>mala in srednja podjetja ter konkurenčnost podjetij</w:t>
            </w:r>
          </w:p>
        </w:tc>
        <w:tc>
          <w:tcPr>
            <w:tcW w:w="1985" w:type="dxa"/>
            <w:gridSpan w:val="2"/>
          </w:tcPr>
          <w:p w14:paraId="1005981B" w14:textId="77777777" w:rsidR="006158DE" w:rsidRPr="00C17D83" w:rsidRDefault="007D5786"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38AB1B61" w14:textId="77777777" w:rsidTr="003B2A8B">
        <w:tc>
          <w:tcPr>
            <w:tcW w:w="1276" w:type="dxa"/>
          </w:tcPr>
          <w:p w14:paraId="0CC9DEAD"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d)</w:t>
            </w:r>
          </w:p>
        </w:tc>
        <w:tc>
          <w:tcPr>
            <w:tcW w:w="5953" w:type="dxa"/>
            <w:gridSpan w:val="2"/>
          </w:tcPr>
          <w:p w14:paraId="37703863" w14:textId="77777777" w:rsidR="006158DE" w:rsidRPr="00C17D83" w:rsidRDefault="006158DE" w:rsidP="003B2A8B">
            <w:p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okolje, vključno s prostorskimi in varstvenimi vidiki</w:t>
            </w:r>
          </w:p>
        </w:tc>
        <w:tc>
          <w:tcPr>
            <w:tcW w:w="1985" w:type="dxa"/>
            <w:gridSpan w:val="2"/>
          </w:tcPr>
          <w:p w14:paraId="673007E0" w14:textId="77777777" w:rsidR="006158DE" w:rsidRPr="00C17D83" w:rsidRDefault="006158DE"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0EF8B9A0" w14:textId="77777777" w:rsidTr="003B2A8B">
        <w:tc>
          <w:tcPr>
            <w:tcW w:w="1276" w:type="dxa"/>
          </w:tcPr>
          <w:p w14:paraId="17462D82"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e)</w:t>
            </w:r>
          </w:p>
        </w:tc>
        <w:tc>
          <w:tcPr>
            <w:tcW w:w="5953" w:type="dxa"/>
            <w:gridSpan w:val="2"/>
          </w:tcPr>
          <w:p w14:paraId="7A4CA2D3" w14:textId="77777777" w:rsidR="006158DE" w:rsidRPr="00C17D83" w:rsidRDefault="006158DE" w:rsidP="003B2A8B">
            <w:p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socialno področje</w:t>
            </w:r>
          </w:p>
        </w:tc>
        <w:tc>
          <w:tcPr>
            <w:tcW w:w="1985" w:type="dxa"/>
            <w:gridSpan w:val="2"/>
          </w:tcPr>
          <w:p w14:paraId="690F673F" w14:textId="77777777" w:rsidR="006158DE" w:rsidRPr="00C17D83" w:rsidRDefault="006158DE"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20B8EECC" w14:textId="77777777" w:rsidTr="003B2A8B">
        <w:tc>
          <w:tcPr>
            <w:tcW w:w="1276" w:type="dxa"/>
          </w:tcPr>
          <w:p w14:paraId="76F5EB84" w14:textId="77777777" w:rsidR="006158DE" w:rsidRPr="00C17D83" w:rsidRDefault="006158DE" w:rsidP="003B2A8B">
            <w:pPr>
              <w:overflowPunct w:val="0"/>
              <w:autoSpaceDE w:val="0"/>
              <w:autoSpaceDN w:val="0"/>
              <w:adjustRightInd w:val="0"/>
              <w:spacing w:before="60" w:after="60" w:line="200" w:lineRule="exact"/>
              <w:ind w:left="360"/>
              <w:jc w:val="both"/>
              <w:textAlignment w:val="baseline"/>
              <w:rPr>
                <w:rFonts w:cs="Arial"/>
                <w:iCs/>
                <w:lang w:eastAsia="sl-SI"/>
              </w:rPr>
            </w:pPr>
            <w:r w:rsidRPr="00C17D83">
              <w:rPr>
                <w:rFonts w:cs="Arial"/>
                <w:iCs/>
                <w:lang w:eastAsia="sl-SI"/>
              </w:rPr>
              <w:t>f)</w:t>
            </w:r>
          </w:p>
        </w:tc>
        <w:tc>
          <w:tcPr>
            <w:tcW w:w="5953" w:type="dxa"/>
            <w:gridSpan w:val="2"/>
          </w:tcPr>
          <w:p w14:paraId="5359103A" w14:textId="77777777" w:rsidR="006158DE" w:rsidRPr="00C17D83" w:rsidRDefault="006158DE" w:rsidP="003B2A8B">
            <w:p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dokumente razvojnega načrtovanja:</w:t>
            </w:r>
          </w:p>
          <w:p w14:paraId="1AD062DB" w14:textId="77777777" w:rsidR="006158DE" w:rsidRPr="00C17D8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nacionalne dokumente razvojnega načrtovanja,</w:t>
            </w:r>
          </w:p>
          <w:p w14:paraId="476D209C" w14:textId="77777777" w:rsidR="006158DE" w:rsidRPr="00C17D8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razvojne politike na ravni programov po strukturi razvojne klasifikacije programskega proračuna</w:t>
            </w:r>
          </w:p>
          <w:p w14:paraId="4088CB3A" w14:textId="77777777" w:rsidR="006158DE" w:rsidRPr="00C17D8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17D83">
              <w:rPr>
                <w:rFonts w:cs="Arial"/>
                <w:bCs/>
                <w:lang w:eastAsia="sl-SI"/>
              </w:rPr>
              <w:t>razvojne dokumente Evropske unije in mednarodnih organizacij</w:t>
            </w:r>
          </w:p>
          <w:p w14:paraId="5AE93FA5" w14:textId="77777777" w:rsidR="006158DE" w:rsidRPr="00C17D83" w:rsidRDefault="006158DE" w:rsidP="003B2A8B">
            <w:pPr>
              <w:overflowPunct w:val="0"/>
              <w:autoSpaceDE w:val="0"/>
              <w:autoSpaceDN w:val="0"/>
              <w:adjustRightInd w:val="0"/>
              <w:spacing w:before="60" w:after="60" w:line="200" w:lineRule="exact"/>
              <w:ind w:left="720"/>
              <w:textAlignment w:val="baseline"/>
              <w:rPr>
                <w:rFonts w:cs="Arial"/>
                <w:bCs/>
                <w:lang w:eastAsia="sl-SI"/>
              </w:rPr>
            </w:pPr>
          </w:p>
        </w:tc>
        <w:tc>
          <w:tcPr>
            <w:tcW w:w="1985" w:type="dxa"/>
            <w:gridSpan w:val="2"/>
          </w:tcPr>
          <w:p w14:paraId="413B7309" w14:textId="77777777" w:rsidR="006158DE" w:rsidRPr="00C17D83" w:rsidRDefault="006158DE"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0040AFAF" w14:textId="77777777" w:rsidTr="003B2A8B">
        <w:tc>
          <w:tcPr>
            <w:tcW w:w="9214" w:type="dxa"/>
            <w:gridSpan w:val="5"/>
            <w:tcBorders>
              <w:bottom w:val="single" w:sz="4" w:space="0" w:color="000000"/>
            </w:tcBorders>
          </w:tcPr>
          <w:p w14:paraId="71ADC95F" w14:textId="77777777" w:rsidR="006158DE" w:rsidRPr="00C17D83" w:rsidRDefault="006158DE" w:rsidP="003B2A8B">
            <w:pPr>
              <w:pStyle w:val="Oddelek"/>
              <w:numPr>
                <w:ilvl w:val="0"/>
                <w:numId w:val="0"/>
              </w:numPr>
              <w:spacing w:before="0" w:line="276" w:lineRule="auto"/>
              <w:jc w:val="left"/>
              <w:rPr>
                <w:rFonts w:cs="Times New Roman"/>
                <w:sz w:val="20"/>
                <w:szCs w:val="24"/>
                <w:lang w:eastAsia="en-US"/>
              </w:rPr>
            </w:pPr>
            <w:r w:rsidRPr="00C17D83">
              <w:rPr>
                <w:rFonts w:cs="Times New Roman"/>
                <w:sz w:val="20"/>
                <w:szCs w:val="24"/>
                <w:lang w:eastAsia="en-US"/>
              </w:rPr>
              <w:t xml:space="preserve">7.a Predstavitev ocene finančnih posledic nad 40.000 EUR: </w:t>
            </w:r>
          </w:p>
          <w:p w14:paraId="3313235F" w14:textId="77777777" w:rsidR="007D5786" w:rsidRPr="00C17D83" w:rsidRDefault="007D5786" w:rsidP="003B2A8B">
            <w:pPr>
              <w:pStyle w:val="Oddelek"/>
              <w:numPr>
                <w:ilvl w:val="0"/>
                <w:numId w:val="0"/>
              </w:numPr>
              <w:spacing w:before="0" w:line="276" w:lineRule="auto"/>
              <w:jc w:val="left"/>
              <w:rPr>
                <w:rFonts w:cs="Times New Roman"/>
                <w:sz w:val="20"/>
                <w:szCs w:val="24"/>
                <w:lang w:eastAsia="en-US"/>
              </w:rPr>
            </w:pPr>
            <w:r w:rsidRPr="00C17D83">
              <w:rPr>
                <w:rFonts w:cs="Times New Roman"/>
                <w:sz w:val="20"/>
                <w:szCs w:val="24"/>
                <w:lang w:eastAsia="en-US"/>
              </w:rPr>
              <w:t>/</w:t>
            </w:r>
          </w:p>
        </w:tc>
      </w:tr>
      <w:tr w:rsidR="00C17D83" w:rsidRPr="00C17D83" w14:paraId="57018C73" w14:textId="77777777" w:rsidTr="003B2A8B">
        <w:tc>
          <w:tcPr>
            <w:tcW w:w="9214" w:type="dxa"/>
            <w:gridSpan w:val="5"/>
          </w:tcPr>
          <w:p w14:paraId="4CA07A94" w14:textId="77777777" w:rsidR="006158DE" w:rsidRPr="00C17D83" w:rsidRDefault="006158DE" w:rsidP="003B2A8B">
            <w:pPr>
              <w:suppressAutoHyphens/>
              <w:overflowPunct w:val="0"/>
              <w:autoSpaceDE w:val="0"/>
              <w:autoSpaceDN w:val="0"/>
              <w:adjustRightInd w:val="0"/>
              <w:spacing w:after="60"/>
              <w:textAlignment w:val="baseline"/>
              <w:outlineLvl w:val="3"/>
              <w:rPr>
                <w:rFonts w:cs="Arial"/>
                <w:lang w:eastAsia="sl-SI"/>
              </w:rPr>
            </w:pPr>
            <w:r w:rsidRPr="00C17D83">
              <w:rPr>
                <w:rFonts w:cs="Arial"/>
                <w:b/>
                <w:lang w:eastAsia="sl-SI"/>
              </w:rPr>
              <w:t xml:space="preserve">7.b Predstavitev ocene finančnih posledic pod 40.000 EUR: </w:t>
            </w:r>
          </w:p>
          <w:p w14:paraId="438B6DD6" w14:textId="13F4D7BB" w:rsidR="007D5786" w:rsidRPr="00C17D83" w:rsidRDefault="007114BD" w:rsidP="00DE4C34">
            <w:pPr>
              <w:suppressAutoHyphens/>
              <w:overflowPunct w:val="0"/>
              <w:autoSpaceDE w:val="0"/>
              <w:autoSpaceDN w:val="0"/>
              <w:adjustRightInd w:val="0"/>
              <w:spacing w:after="60"/>
              <w:textAlignment w:val="baseline"/>
              <w:outlineLvl w:val="3"/>
              <w:rPr>
                <w:rFonts w:cs="Arial"/>
                <w:b/>
                <w:lang w:eastAsia="sl-SI"/>
              </w:rPr>
            </w:pPr>
            <w:r w:rsidRPr="00947813">
              <w:t>Gradivo nima finančnih posledic.</w:t>
            </w:r>
          </w:p>
        </w:tc>
      </w:tr>
      <w:tr w:rsidR="00C17D83" w:rsidRPr="00C17D83" w14:paraId="53F41562" w14:textId="77777777" w:rsidTr="003B2A8B">
        <w:tc>
          <w:tcPr>
            <w:tcW w:w="9214" w:type="dxa"/>
            <w:gridSpan w:val="5"/>
            <w:tcBorders>
              <w:top w:val="single" w:sz="4" w:space="0" w:color="000000"/>
              <w:left w:val="single" w:sz="4" w:space="0" w:color="000000"/>
              <w:bottom w:val="single" w:sz="4" w:space="0" w:color="000000"/>
              <w:right w:val="single" w:sz="4" w:space="0" w:color="000000"/>
            </w:tcBorders>
          </w:tcPr>
          <w:p w14:paraId="7175EC38" w14:textId="77777777" w:rsidR="006158DE" w:rsidRPr="00C17D83" w:rsidRDefault="006158DE" w:rsidP="003B2A8B">
            <w:pPr>
              <w:rPr>
                <w:rFonts w:cs="Arial"/>
                <w:b/>
                <w:lang w:eastAsia="sl-SI"/>
              </w:rPr>
            </w:pPr>
            <w:r w:rsidRPr="00C17D83">
              <w:rPr>
                <w:rFonts w:cs="Arial"/>
                <w:b/>
                <w:lang w:eastAsia="sl-SI"/>
              </w:rPr>
              <w:t>8. Predstavitev sodelovanja z združenji občin:</w:t>
            </w:r>
          </w:p>
        </w:tc>
      </w:tr>
      <w:tr w:rsidR="00C17D83" w:rsidRPr="00C17D83" w14:paraId="1F90A4B8" w14:textId="77777777" w:rsidTr="003B2A8B">
        <w:tc>
          <w:tcPr>
            <w:tcW w:w="6669" w:type="dxa"/>
            <w:gridSpan w:val="2"/>
          </w:tcPr>
          <w:p w14:paraId="55E51FF3" w14:textId="77777777" w:rsidR="006158DE" w:rsidRPr="00C17D83" w:rsidRDefault="006158DE" w:rsidP="003B2A8B">
            <w:pPr>
              <w:pStyle w:val="Neotevilenodstavek"/>
              <w:widowControl w:val="0"/>
              <w:spacing w:before="0" w:after="0" w:line="260" w:lineRule="exact"/>
              <w:rPr>
                <w:iCs/>
                <w:sz w:val="20"/>
                <w:szCs w:val="20"/>
              </w:rPr>
            </w:pPr>
            <w:r w:rsidRPr="00C17D83">
              <w:rPr>
                <w:iCs/>
                <w:sz w:val="20"/>
                <w:szCs w:val="20"/>
              </w:rPr>
              <w:t>Vsebina predloženega gradiva (predpisa) vpliva na:</w:t>
            </w:r>
          </w:p>
          <w:p w14:paraId="520794D4" w14:textId="77777777"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pristojnosti občin,</w:t>
            </w:r>
          </w:p>
          <w:p w14:paraId="07E563E8" w14:textId="77777777"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delovanje občin,</w:t>
            </w:r>
          </w:p>
          <w:p w14:paraId="06367B6C" w14:textId="77777777"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financiranje občin.</w:t>
            </w:r>
          </w:p>
        </w:tc>
        <w:tc>
          <w:tcPr>
            <w:tcW w:w="2545" w:type="dxa"/>
            <w:gridSpan w:val="3"/>
          </w:tcPr>
          <w:p w14:paraId="7329A44A" w14:textId="77777777" w:rsidR="006158DE" w:rsidRPr="00C17D83" w:rsidRDefault="006158DE" w:rsidP="003B2A8B">
            <w:pPr>
              <w:pStyle w:val="Neotevilenodstavek"/>
              <w:widowControl w:val="0"/>
              <w:spacing w:before="0" w:after="0" w:line="260" w:lineRule="exact"/>
              <w:jc w:val="center"/>
              <w:rPr>
                <w:sz w:val="20"/>
                <w:szCs w:val="20"/>
              </w:rPr>
            </w:pPr>
            <w:r w:rsidRPr="00C17D83">
              <w:rPr>
                <w:sz w:val="20"/>
                <w:szCs w:val="20"/>
              </w:rPr>
              <w:t>NE</w:t>
            </w:r>
          </w:p>
        </w:tc>
      </w:tr>
      <w:tr w:rsidR="00C17D83" w:rsidRPr="00C17D83" w14:paraId="5BCFD87E" w14:textId="77777777" w:rsidTr="003B2A8B">
        <w:trPr>
          <w:trHeight w:val="274"/>
        </w:trPr>
        <w:tc>
          <w:tcPr>
            <w:tcW w:w="9214" w:type="dxa"/>
            <w:gridSpan w:val="5"/>
          </w:tcPr>
          <w:p w14:paraId="0B0BE7CF" w14:textId="77777777" w:rsidR="006158DE" w:rsidRPr="00C17D83" w:rsidRDefault="006158DE" w:rsidP="003B2A8B">
            <w:pPr>
              <w:pStyle w:val="Neotevilenodstavek"/>
              <w:widowControl w:val="0"/>
              <w:spacing w:before="0" w:after="0" w:line="260" w:lineRule="exact"/>
              <w:rPr>
                <w:iCs/>
                <w:sz w:val="20"/>
                <w:szCs w:val="20"/>
              </w:rPr>
            </w:pPr>
            <w:r w:rsidRPr="00C17D83">
              <w:rPr>
                <w:iCs/>
                <w:sz w:val="20"/>
                <w:szCs w:val="20"/>
              </w:rPr>
              <w:t xml:space="preserve">Gradivo (predpis) je bilo poslano v mnenje: </w:t>
            </w:r>
          </w:p>
          <w:p w14:paraId="62C8B62E" w14:textId="77777777"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Skupnosti občin Slovenije - SOS: NE</w:t>
            </w:r>
          </w:p>
          <w:p w14:paraId="4901F593" w14:textId="77777777"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Združenju občin Slovenije - ZOS: NE</w:t>
            </w:r>
          </w:p>
          <w:p w14:paraId="6B36F3B3" w14:textId="5D7D1A1B" w:rsidR="006158DE" w:rsidRPr="00C17D83" w:rsidRDefault="006158DE" w:rsidP="006158DE">
            <w:pPr>
              <w:pStyle w:val="Neotevilenodstavek"/>
              <w:widowControl w:val="0"/>
              <w:numPr>
                <w:ilvl w:val="0"/>
                <w:numId w:val="5"/>
              </w:numPr>
              <w:spacing w:before="0" w:after="0" w:line="260" w:lineRule="exact"/>
              <w:rPr>
                <w:iCs/>
                <w:sz w:val="20"/>
                <w:szCs w:val="20"/>
              </w:rPr>
            </w:pPr>
            <w:r w:rsidRPr="00C17D83">
              <w:rPr>
                <w:iCs/>
                <w:sz w:val="20"/>
                <w:szCs w:val="20"/>
              </w:rPr>
              <w:t>Združenju mestnih občin Slovenije - ZMOS: N</w:t>
            </w:r>
            <w:r w:rsidR="0020778E" w:rsidRPr="00C17D83">
              <w:rPr>
                <w:iCs/>
                <w:sz w:val="20"/>
                <w:szCs w:val="20"/>
              </w:rPr>
              <w:t>E</w:t>
            </w:r>
          </w:p>
          <w:p w14:paraId="362FF810" w14:textId="77777777" w:rsidR="006158DE" w:rsidRPr="00C17D83" w:rsidRDefault="006158DE" w:rsidP="003B2A8B">
            <w:pPr>
              <w:pStyle w:val="Neotevilenodstavek"/>
              <w:widowControl w:val="0"/>
              <w:spacing w:before="0" w:after="0" w:line="260" w:lineRule="exact"/>
              <w:rPr>
                <w:iCs/>
                <w:sz w:val="20"/>
                <w:szCs w:val="20"/>
              </w:rPr>
            </w:pPr>
          </w:p>
          <w:p w14:paraId="694C5627" w14:textId="77777777" w:rsidR="006158DE" w:rsidRPr="00C17D83" w:rsidRDefault="006158DE" w:rsidP="003B2A8B">
            <w:pPr>
              <w:pStyle w:val="Neotevilenodstavek"/>
              <w:widowControl w:val="0"/>
              <w:spacing w:before="0" w:after="0" w:line="260" w:lineRule="exact"/>
              <w:rPr>
                <w:iCs/>
                <w:sz w:val="20"/>
                <w:szCs w:val="20"/>
              </w:rPr>
            </w:pPr>
            <w:r w:rsidRPr="00C17D83">
              <w:rPr>
                <w:iCs/>
                <w:sz w:val="20"/>
                <w:szCs w:val="20"/>
              </w:rPr>
              <w:t>Predlogi in pripombe združenj so bili upoštevani:</w:t>
            </w:r>
          </w:p>
          <w:p w14:paraId="3091F5ED" w14:textId="77777777" w:rsidR="006158DE" w:rsidRPr="00C17D83" w:rsidRDefault="006158DE" w:rsidP="006158DE">
            <w:pPr>
              <w:pStyle w:val="Neotevilenodstavek"/>
              <w:widowControl w:val="0"/>
              <w:numPr>
                <w:ilvl w:val="0"/>
                <w:numId w:val="6"/>
              </w:numPr>
              <w:spacing w:before="0" w:after="0" w:line="260" w:lineRule="exact"/>
              <w:rPr>
                <w:iCs/>
                <w:sz w:val="20"/>
                <w:szCs w:val="20"/>
              </w:rPr>
            </w:pPr>
            <w:r w:rsidRPr="00C17D83">
              <w:rPr>
                <w:iCs/>
                <w:sz w:val="20"/>
                <w:szCs w:val="20"/>
              </w:rPr>
              <w:t>v celoti,</w:t>
            </w:r>
          </w:p>
          <w:p w14:paraId="6A94642E" w14:textId="77777777" w:rsidR="006158DE" w:rsidRPr="00C17D83" w:rsidRDefault="006158DE" w:rsidP="006158DE">
            <w:pPr>
              <w:pStyle w:val="Neotevilenodstavek"/>
              <w:widowControl w:val="0"/>
              <w:numPr>
                <w:ilvl w:val="0"/>
                <w:numId w:val="6"/>
              </w:numPr>
              <w:spacing w:before="0" w:after="0" w:line="260" w:lineRule="exact"/>
              <w:rPr>
                <w:iCs/>
                <w:sz w:val="20"/>
                <w:szCs w:val="20"/>
              </w:rPr>
            </w:pPr>
            <w:r w:rsidRPr="00C17D83">
              <w:rPr>
                <w:iCs/>
                <w:sz w:val="20"/>
                <w:szCs w:val="20"/>
              </w:rPr>
              <w:t>večinoma,</w:t>
            </w:r>
          </w:p>
          <w:p w14:paraId="59D425CE" w14:textId="77777777" w:rsidR="006158DE" w:rsidRPr="00C17D83" w:rsidRDefault="006158DE" w:rsidP="006158DE">
            <w:pPr>
              <w:pStyle w:val="Neotevilenodstavek"/>
              <w:widowControl w:val="0"/>
              <w:numPr>
                <w:ilvl w:val="0"/>
                <w:numId w:val="6"/>
              </w:numPr>
              <w:spacing w:before="0" w:after="0" w:line="260" w:lineRule="exact"/>
              <w:rPr>
                <w:iCs/>
                <w:sz w:val="20"/>
                <w:szCs w:val="20"/>
              </w:rPr>
            </w:pPr>
            <w:r w:rsidRPr="00C17D83">
              <w:rPr>
                <w:iCs/>
                <w:sz w:val="20"/>
                <w:szCs w:val="20"/>
              </w:rPr>
              <w:lastRenderedPageBreak/>
              <w:t>delno,</w:t>
            </w:r>
          </w:p>
          <w:p w14:paraId="3ABB3BA9" w14:textId="77777777" w:rsidR="006158DE" w:rsidRPr="00C17D83" w:rsidRDefault="006158DE" w:rsidP="006158DE">
            <w:pPr>
              <w:pStyle w:val="Neotevilenodstavek"/>
              <w:widowControl w:val="0"/>
              <w:numPr>
                <w:ilvl w:val="0"/>
                <w:numId w:val="6"/>
              </w:numPr>
              <w:spacing w:before="0" w:after="0" w:line="260" w:lineRule="exact"/>
              <w:rPr>
                <w:iCs/>
                <w:sz w:val="20"/>
                <w:szCs w:val="20"/>
              </w:rPr>
            </w:pPr>
            <w:r w:rsidRPr="00C17D83">
              <w:rPr>
                <w:iCs/>
                <w:sz w:val="20"/>
                <w:szCs w:val="20"/>
              </w:rPr>
              <w:t>niso bili upoštevani.</w:t>
            </w:r>
          </w:p>
          <w:p w14:paraId="3BEC847B" w14:textId="77777777" w:rsidR="006158DE" w:rsidRPr="00C17D83" w:rsidRDefault="006158DE" w:rsidP="003B2A8B">
            <w:pPr>
              <w:pStyle w:val="Neotevilenodstavek"/>
              <w:widowControl w:val="0"/>
              <w:spacing w:before="0" w:after="0" w:line="260" w:lineRule="exact"/>
              <w:ind w:left="360"/>
              <w:rPr>
                <w:iCs/>
                <w:sz w:val="20"/>
                <w:szCs w:val="20"/>
              </w:rPr>
            </w:pPr>
          </w:p>
          <w:p w14:paraId="7BA34476" w14:textId="77777777" w:rsidR="006158DE" w:rsidRPr="00C17D83" w:rsidRDefault="006158DE" w:rsidP="003B2A8B">
            <w:pPr>
              <w:pStyle w:val="Neotevilenodstavek"/>
              <w:widowControl w:val="0"/>
              <w:spacing w:before="0" w:after="0" w:line="260" w:lineRule="exact"/>
              <w:rPr>
                <w:iCs/>
                <w:sz w:val="20"/>
                <w:szCs w:val="20"/>
              </w:rPr>
            </w:pPr>
            <w:r w:rsidRPr="00C17D83">
              <w:rPr>
                <w:iCs/>
                <w:sz w:val="20"/>
                <w:szCs w:val="20"/>
              </w:rPr>
              <w:t>Bistveni predlogi in pripombe, ki niso bili upoštevani.</w:t>
            </w:r>
          </w:p>
          <w:p w14:paraId="418664A5" w14:textId="77777777" w:rsidR="006158DE" w:rsidRPr="00C17D83" w:rsidRDefault="006158DE" w:rsidP="003B2A8B">
            <w:pPr>
              <w:pStyle w:val="Neotevilenodstavek"/>
              <w:widowControl w:val="0"/>
              <w:spacing w:before="0" w:after="0" w:line="260" w:lineRule="exact"/>
              <w:rPr>
                <w:iCs/>
                <w:sz w:val="20"/>
                <w:szCs w:val="20"/>
              </w:rPr>
            </w:pPr>
          </w:p>
        </w:tc>
      </w:tr>
      <w:tr w:rsidR="00C17D83" w:rsidRPr="00C17D83" w14:paraId="604BCF35" w14:textId="77777777" w:rsidTr="003B2A8B">
        <w:tc>
          <w:tcPr>
            <w:tcW w:w="9214" w:type="dxa"/>
            <w:gridSpan w:val="5"/>
          </w:tcPr>
          <w:p w14:paraId="4FB14FB6"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lastRenderedPageBreak/>
              <w:t>9. Predstavitev sodelovanja javnosti:</w:t>
            </w:r>
          </w:p>
        </w:tc>
      </w:tr>
      <w:tr w:rsidR="00C17D83" w:rsidRPr="00C17D83" w14:paraId="2B7F1840" w14:textId="77777777" w:rsidTr="003B2A8B">
        <w:tc>
          <w:tcPr>
            <w:tcW w:w="7860" w:type="dxa"/>
            <w:gridSpan w:val="4"/>
          </w:tcPr>
          <w:p w14:paraId="57591924" w14:textId="77777777" w:rsidR="006158DE" w:rsidRPr="00C17D83" w:rsidRDefault="006158DE" w:rsidP="003B2A8B">
            <w:pPr>
              <w:overflowPunct w:val="0"/>
              <w:autoSpaceDE w:val="0"/>
              <w:autoSpaceDN w:val="0"/>
              <w:adjustRightInd w:val="0"/>
              <w:spacing w:before="60" w:after="60" w:line="200" w:lineRule="exact"/>
              <w:jc w:val="both"/>
              <w:textAlignment w:val="baseline"/>
              <w:rPr>
                <w:rFonts w:cs="Arial"/>
                <w:lang w:eastAsia="sl-SI"/>
              </w:rPr>
            </w:pPr>
            <w:r w:rsidRPr="00C17D83">
              <w:rPr>
                <w:rFonts w:cs="Arial"/>
                <w:iCs/>
                <w:lang w:eastAsia="sl-SI"/>
              </w:rPr>
              <w:t>Gradivo je bilo predhodno objavljeno na spletni strani predlagatelja:</w:t>
            </w:r>
          </w:p>
        </w:tc>
        <w:tc>
          <w:tcPr>
            <w:tcW w:w="1354" w:type="dxa"/>
          </w:tcPr>
          <w:p w14:paraId="102661B5" w14:textId="77777777" w:rsidR="006158DE" w:rsidRPr="00C17D83" w:rsidRDefault="007D5786" w:rsidP="003B2A8B">
            <w:pPr>
              <w:overflowPunct w:val="0"/>
              <w:autoSpaceDE w:val="0"/>
              <w:autoSpaceDN w:val="0"/>
              <w:adjustRightInd w:val="0"/>
              <w:spacing w:before="60" w:after="60" w:line="200" w:lineRule="exact"/>
              <w:jc w:val="center"/>
              <w:textAlignment w:val="baseline"/>
              <w:rPr>
                <w:rFonts w:cs="Arial"/>
                <w:iCs/>
                <w:lang w:eastAsia="sl-SI"/>
              </w:rPr>
            </w:pPr>
            <w:r w:rsidRPr="00C17D83">
              <w:rPr>
                <w:rFonts w:cs="Arial"/>
                <w:lang w:eastAsia="sl-SI"/>
              </w:rPr>
              <w:t>NE</w:t>
            </w:r>
          </w:p>
        </w:tc>
      </w:tr>
      <w:tr w:rsidR="00C17D83" w:rsidRPr="00C17D83" w14:paraId="26071C80" w14:textId="77777777" w:rsidTr="003B2A8B">
        <w:tc>
          <w:tcPr>
            <w:tcW w:w="9214" w:type="dxa"/>
            <w:gridSpan w:val="5"/>
          </w:tcPr>
          <w:p w14:paraId="45D20B44" w14:textId="77777777" w:rsidR="006158DE" w:rsidRPr="00C17D83" w:rsidRDefault="007D5786" w:rsidP="007D5786">
            <w:pPr>
              <w:spacing w:line="260" w:lineRule="atLeast"/>
              <w:jc w:val="both"/>
              <w:rPr>
                <w:rFonts w:cs="Arial"/>
              </w:rPr>
            </w:pPr>
            <w:r w:rsidRPr="00C17D83">
              <w:rPr>
                <w:iCs/>
              </w:rPr>
              <w:t>Gradivo ni take narave, da bi zahtevalo sodelovanje javnosti.</w:t>
            </w:r>
          </w:p>
        </w:tc>
      </w:tr>
      <w:tr w:rsidR="00C17D83" w:rsidRPr="00C17D83" w14:paraId="37C146C4" w14:textId="77777777" w:rsidTr="003B2A8B">
        <w:tc>
          <w:tcPr>
            <w:tcW w:w="7860" w:type="dxa"/>
            <w:gridSpan w:val="4"/>
            <w:tcBorders>
              <w:top w:val="single" w:sz="4" w:space="0" w:color="000000"/>
              <w:left w:val="single" w:sz="4" w:space="0" w:color="000000"/>
              <w:bottom w:val="single" w:sz="4" w:space="0" w:color="000000"/>
              <w:right w:val="single" w:sz="4" w:space="0" w:color="000000"/>
            </w:tcBorders>
          </w:tcPr>
          <w:p w14:paraId="79DD2A72" w14:textId="77777777" w:rsidR="006158DE" w:rsidRPr="00C17D83" w:rsidRDefault="006158DE" w:rsidP="003B2A8B">
            <w:pPr>
              <w:suppressAutoHyphens/>
              <w:overflowPunct w:val="0"/>
              <w:autoSpaceDE w:val="0"/>
              <w:autoSpaceDN w:val="0"/>
              <w:adjustRightInd w:val="0"/>
              <w:ind w:left="300" w:hanging="300"/>
              <w:textAlignment w:val="baseline"/>
              <w:outlineLvl w:val="3"/>
              <w:rPr>
                <w:rFonts w:cs="Arial"/>
                <w:b/>
                <w:lang w:eastAsia="sl-SI"/>
              </w:rPr>
            </w:pPr>
            <w:r w:rsidRPr="00C17D83">
              <w:rPr>
                <w:rFonts w:cs="Arial"/>
                <w:b/>
                <w:lang w:eastAsia="sl-SI"/>
              </w:rPr>
              <w:t>10. Pri pripravi gradiva so bile upoštevane zahteve iz Resolucije o normativni dejavnosti:</w:t>
            </w:r>
          </w:p>
        </w:tc>
        <w:tc>
          <w:tcPr>
            <w:tcW w:w="1354" w:type="dxa"/>
            <w:tcBorders>
              <w:top w:val="single" w:sz="4" w:space="0" w:color="000000"/>
              <w:left w:val="single" w:sz="4" w:space="0" w:color="000000"/>
              <w:bottom w:val="single" w:sz="4" w:space="0" w:color="000000"/>
              <w:right w:val="single" w:sz="4" w:space="0" w:color="000000"/>
            </w:tcBorders>
          </w:tcPr>
          <w:p w14:paraId="34B25059" w14:textId="77777777" w:rsidR="006158DE" w:rsidRPr="00C17D83" w:rsidRDefault="006158DE" w:rsidP="003B2A8B">
            <w:pPr>
              <w:overflowPunct w:val="0"/>
              <w:autoSpaceDE w:val="0"/>
              <w:autoSpaceDN w:val="0"/>
              <w:adjustRightInd w:val="0"/>
              <w:ind w:left="709" w:hanging="284"/>
              <w:jc w:val="both"/>
              <w:textAlignment w:val="baseline"/>
              <w:rPr>
                <w:rFonts w:cs="Arial"/>
                <w:b/>
                <w:bCs/>
                <w:lang w:eastAsia="sl-SI"/>
              </w:rPr>
            </w:pPr>
            <w:r w:rsidRPr="00C17D83">
              <w:rPr>
                <w:rFonts w:cs="Arial"/>
                <w:lang w:eastAsia="sl-SI"/>
              </w:rPr>
              <w:t>NE</w:t>
            </w:r>
          </w:p>
        </w:tc>
      </w:tr>
      <w:tr w:rsidR="006158DE" w:rsidRPr="00C17D83" w14:paraId="7D956E4D" w14:textId="77777777" w:rsidTr="003B2A8B">
        <w:tc>
          <w:tcPr>
            <w:tcW w:w="7860" w:type="dxa"/>
            <w:gridSpan w:val="4"/>
            <w:tcBorders>
              <w:top w:val="single" w:sz="4" w:space="0" w:color="000000"/>
              <w:left w:val="single" w:sz="4" w:space="0" w:color="000000"/>
              <w:bottom w:val="single" w:sz="4" w:space="0" w:color="000000"/>
              <w:right w:val="single" w:sz="4" w:space="0" w:color="000000"/>
            </w:tcBorders>
          </w:tcPr>
          <w:p w14:paraId="0CC49E47" w14:textId="77777777" w:rsidR="006158DE" w:rsidRPr="00C17D83" w:rsidRDefault="006158DE" w:rsidP="003B2A8B">
            <w:pPr>
              <w:suppressAutoHyphens/>
              <w:overflowPunct w:val="0"/>
              <w:autoSpaceDE w:val="0"/>
              <w:autoSpaceDN w:val="0"/>
              <w:adjustRightInd w:val="0"/>
              <w:textAlignment w:val="baseline"/>
              <w:outlineLvl w:val="3"/>
              <w:rPr>
                <w:rFonts w:cs="Arial"/>
                <w:b/>
                <w:lang w:eastAsia="sl-SI"/>
              </w:rPr>
            </w:pPr>
            <w:r w:rsidRPr="00C17D83">
              <w:rPr>
                <w:rFonts w:cs="Arial"/>
                <w:b/>
                <w:lang w:eastAsia="sl-SI"/>
              </w:rPr>
              <w:t>11. Gradivo je uvrščeno v delovni program vlade:</w:t>
            </w:r>
          </w:p>
        </w:tc>
        <w:tc>
          <w:tcPr>
            <w:tcW w:w="1354" w:type="dxa"/>
            <w:tcBorders>
              <w:top w:val="single" w:sz="4" w:space="0" w:color="000000"/>
              <w:left w:val="single" w:sz="4" w:space="0" w:color="000000"/>
              <w:bottom w:val="single" w:sz="4" w:space="0" w:color="000000"/>
              <w:right w:val="single" w:sz="4" w:space="0" w:color="000000"/>
            </w:tcBorders>
          </w:tcPr>
          <w:p w14:paraId="6DF8D1CC" w14:textId="77777777" w:rsidR="006158DE" w:rsidRPr="00C17D83" w:rsidRDefault="006158DE" w:rsidP="003B2A8B">
            <w:pPr>
              <w:overflowPunct w:val="0"/>
              <w:autoSpaceDE w:val="0"/>
              <w:autoSpaceDN w:val="0"/>
              <w:adjustRightInd w:val="0"/>
              <w:jc w:val="center"/>
              <w:textAlignment w:val="baseline"/>
              <w:rPr>
                <w:rFonts w:cs="Arial"/>
                <w:lang w:eastAsia="sl-SI"/>
              </w:rPr>
            </w:pPr>
            <w:r w:rsidRPr="00C17D83">
              <w:rPr>
                <w:rFonts w:cs="Arial"/>
                <w:lang w:eastAsia="sl-SI"/>
              </w:rPr>
              <w:t>NE</w:t>
            </w:r>
          </w:p>
        </w:tc>
      </w:tr>
    </w:tbl>
    <w:p w14:paraId="68B56F17" w14:textId="77777777" w:rsidR="005042AD" w:rsidRPr="00C17D83" w:rsidRDefault="005042AD" w:rsidP="00EC5840">
      <w:pPr>
        <w:ind w:left="4248" w:firstLine="708"/>
        <w:jc w:val="center"/>
        <w:rPr>
          <w:b/>
        </w:rPr>
      </w:pPr>
    </w:p>
    <w:p w14:paraId="1373AD95" w14:textId="77777777" w:rsidR="005042AD" w:rsidRPr="00C17D83" w:rsidRDefault="005042AD" w:rsidP="00EC5840">
      <w:pPr>
        <w:ind w:left="4248" w:firstLine="708"/>
        <w:jc w:val="center"/>
        <w:rPr>
          <w:b/>
        </w:rPr>
      </w:pPr>
    </w:p>
    <w:p w14:paraId="57D6FA01" w14:textId="77777777" w:rsidR="00EC5840" w:rsidRPr="0059733E" w:rsidRDefault="00EC5840" w:rsidP="00EC5840">
      <w:pPr>
        <w:ind w:left="4248" w:firstLine="708"/>
        <w:jc w:val="center"/>
        <w:rPr>
          <w:b/>
        </w:rPr>
      </w:pPr>
      <w:r w:rsidRPr="0059733E">
        <w:rPr>
          <w:b/>
        </w:rPr>
        <w:t>Matjaž Han</w:t>
      </w:r>
    </w:p>
    <w:p w14:paraId="6D41E023" w14:textId="77777777" w:rsidR="00EC5840" w:rsidRPr="0059733E" w:rsidRDefault="00EC5840" w:rsidP="00EC5840">
      <w:pPr>
        <w:ind w:left="4248" w:firstLine="708"/>
        <w:jc w:val="center"/>
        <w:rPr>
          <w:b/>
        </w:rPr>
      </w:pPr>
      <w:r w:rsidRPr="0059733E">
        <w:rPr>
          <w:b/>
        </w:rPr>
        <w:t>minister</w:t>
      </w:r>
    </w:p>
    <w:p w14:paraId="13408E83" w14:textId="77777777" w:rsidR="008A4089" w:rsidRPr="00C17D83" w:rsidRDefault="008A4089" w:rsidP="008A4089">
      <w:pPr>
        <w:spacing w:line="276" w:lineRule="auto"/>
        <w:rPr>
          <w:rFonts w:cs="Arial"/>
          <w:szCs w:val="20"/>
        </w:rPr>
      </w:pPr>
    </w:p>
    <w:p w14:paraId="2EA7EB5E" w14:textId="77777777" w:rsidR="001B0AF5" w:rsidRPr="00C17D83" w:rsidRDefault="001B0AF5" w:rsidP="008A4089">
      <w:pPr>
        <w:spacing w:line="276" w:lineRule="auto"/>
        <w:rPr>
          <w:rFonts w:cs="Arial"/>
          <w:szCs w:val="20"/>
        </w:rPr>
      </w:pPr>
    </w:p>
    <w:p w14:paraId="7AFD3C54" w14:textId="77777777" w:rsidR="001B0AF5" w:rsidRPr="00C17D83" w:rsidRDefault="001B0AF5" w:rsidP="008A4089">
      <w:pPr>
        <w:spacing w:line="276" w:lineRule="auto"/>
        <w:rPr>
          <w:rFonts w:cs="Arial"/>
          <w:szCs w:val="20"/>
        </w:rPr>
      </w:pPr>
    </w:p>
    <w:p w14:paraId="600051C8" w14:textId="77777777" w:rsidR="0069772B" w:rsidRPr="00C17D83" w:rsidRDefault="0069772B" w:rsidP="008A4089">
      <w:pPr>
        <w:spacing w:line="276" w:lineRule="auto"/>
        <w:rPr>
          <w:rFonts w:cs="Arial"/>
          <w:szCs w:val="20"/>
        </w:rPr>
      </w:pPr>
    </w:p>
    <w:p w14:paraId="074E5BD2" w14:textId="77777777" w:rsidR="007D5786" w:rsidRPr="00C17D83" w:rsidRDefault="007D5786" w:rsidP="008A4089">
      <w:pPr>
        <w:spacing w:line="276" w:lineRule="auto"/>
        <w:rPr>
          <w:rFonts w:cs="Arial"/>
          <w:szCs w:val="20"/>
        </w:rPr>
      </w:pPr>
    </w:p>
    <w:p w14:paraId="73A03FDC" w14:textId="77777777" w:rsidR="007D5786" w:rsidRDefault="007D5786" w:rsidP="008A4089">
      <w:pPr>
        <w:spacing w:line="276" w:lineRule="auto"/>
        <w:rPr>
          <w:rFonts w:cs="Arial"/>
          <w:szCs w:val="20"/>
        </w:rPr>
      </w:pPr>
    </w:p>
    <w:p w14:paraId="37FE215B" w14:textId="77777777" w:rsidR="00CF1D22" w:rsidRPr="00C17D83" w:rsidRDefault="00CF1D22" w:rsidP="008A4089">
      <w:pPr>
        <w:spacing w:line="276" w:lineRule="auto"/>
        <w:rPr>
          <w:rFonts w:cs="Arial"/>
          <w:szCs w:val="20"/>
        </w:rPr>
      </w:pPr>
    </w:p>
    <w:p w14:paraId="65BECC36" w14:textId="77777777" w:rsidR="007D5786" w:rsidRPr="00C17D83" w:rsidRDefault="007D5786" w:rsidP="008A4089">
      <w:pPr>
        <w:spacing w:line="276" w:lineRule="auto"/>
        <w:rPr>
          <w:rFonts w:cs="Arial"/>
          <w:szCs w:val="20"/>
        </w:rPr>
      </w:pPr>
    </w:p>
    <w:p w14:paraId="63AD2608" w14:textId="77777777" w:rsidR="007D5786" w:rsidRPr="00C17D83" w:rsidRDefault="007D5786" w:rsidP="008A4089">
      <w:pPr>
        <w:spacing w:line="276" w:lineRule="auto"/>
        <w:rPr>
          <w:rFonts w:cs="Arial"/>
          <w:szCs w:val="20"/>
        </w:rPr>
      </w:pPr>
    </w:p>
    <w:p w14:paraId="0498E8C3" w14:textId="77777777" w:rsidR="007D5786" w:rsidRPr="00C17D83" w:rsidRDefault="007D5786" w:rsidP="008A4089">
      <w:pPr>
        <w:spacing w:line="276" w:lineRule="auto"/>
        <w:rPr>
          <w:rFonts w:cs="Arial"/>
          <w:szCs w:val="20"/>
        </w:rPr>
      </w:pPr>
    </w:p>
    <w:p w14:paraId="79262ADF" w14:textId="77777777" w:rsidR="007D5786" w:rsidRPr="00C17D83" w:rsidRDefault="007D5786" w:rsidP="008A4089">
      <w:pPr>
        <w:spacing w:line="276" w:lineRule="auto"/>
        <w:rPr>
          <w:rFonts w:cs="Arial"/>
          <w:szCs w:val="20"/>
        </w:rPr>
      </w:pPr>
    </w:p>
    <w:p w14:paraId="4847A964" w14:textId="77777777" w:rsidR="007D5786" w:rsidRDefault="007D5786" w:rsidP="008A4089">
      <w:pPr>
        <w:spacing w:line="276" w:lineRule="auto"/>
        <w:rPr>
          <w:rFonts w:cs="Arial"/>
          <w:szCs w:val="20"/>
        </w:rPr>
      </w:pPr>
    </w:p>
    <w:p w14:paraId="24B9A979" w14:textId="77777777" w:rsidR="00C0429E" w:rsidRDefault="00C0429E" w:rsidP="008A4089">
      <w:pPr>
        <w:spacing w:line="276" w:lineRule="auto"/>
        <w:rPr>
          <w:rFonts w:cs="Arial"/>
          <w:szCs w:val="20"/>
        </w:rPr>
      </w:pPr>
    </w:p>
    <w:p w14:paraId="078DA518" w14:textId="77777777" w:rsidR="00C0429E" w:rsidRDefault="00C0429E" w:rsidP="008A4089">
      <w:pPr>
        <w:spacing w:line="276" w:lineRule="auto"/>
        <w:rPr>
          <w:rFonts w:cs="Arial"/>
          <w:szCs w:val="20"/>
        </w:rPr>
      </w:pPr>
    </w:p>
    <w:p w14:paraId="78AB54B0" w14:textId="77777777" w:rsidR="00C0429E" w:rsidRDefault="00C0429E" w:rsidP="008A4089">
      <w:pPr>
        <w:spacing w:line="276" w:lineRule="auto"/>
        <w:rPr>
          <w:rFonts w:cs="Arial"/>
          <w:szCs w:val="20"/>
        </w:rPr>
      </w:pPr>
    </w:p>
    <w:p w14:paraId="348E546A" w14:textId="77777777" w:rsidR="00C0429E" w:rsidRDefault="00C0429E" w:rsidP="008A4089">
      <w:pPr>
        <w:spacing w:line="276" w:lineRule="auto"/>
        <w:rPr>
          <w:rFonts w:cs="Arial"/>
          <w:szCs w:val="20"/>
        </w:rPr>
      </w:pPr>
    </w:p>
    <w:p w14:paraId="3B4212FF" w14:textId="77777777" w:rsidR="00C0429E" w:rsidRDefault="00C0429E" w:rsidP="008A4089">
      <w:pPr>
        <w:spacing w:line="276" w:lineRule="auto"/>
        <w:rPr>
          <w:rFonts w:cs="Arial"/>
          <w:szCs w:val="20"/>
        </w:rPr>
      </w:pPr>
    </w:p>
    <w:p w14:paraId="4DE5641A" w14:textId="77777777" w:rsidR="00C0429E" w:rsidRDefault="00C0429E" w:rsidP="008A4089">
      <w:pPr>
        <w:spacing w:line="276" w:lineRule="auto"/>
        <w:rPr>
          <w:rFonts w:cs="Arial"/>
          <w:szCs w:val="20"/>
        </w:rPr>
      </w:pPr>
    </w:p>
    <w:p w14:paraId="0EFA8C3A" w14:textId="77777777" w:rsidR="00C0429E" w:rsidRDefault="00C0429E" w:rsidP="008A4089">
      <w:pPr>
        <w:spacing w:line="276" w:lineRule="auto"/>
        <w:rPr>
          <w:rFonts w:cs="Arial"/>
          <w:szCs w:val="20"/>
        </w:rPr>
      </w:pPr>
    </w:p>
    <w:p w14:paraId="4E6B9130" w14:textId="77777777" w:rsidR="00C0429E" w:rsidRDefault="00C0429E" w:rsidP="008A4089">
      <w:pPr>
        <w:spacing w:line="276" w:lineRule="auto"/>
        <w:rPr>
          <w:rFonts w:cs="Arial"/>
          <w:szCs w:val="20"/>
        </w:rPr>
      </w:pPr>
    </w:p>
    <w:p w14:paraId="15AE970A" w14:textId="77777777" w:rsidR="00C0429E" w:rsidRDefault="00C0429E" w:rsidP="008A4089">
      <w:pPr>
        <w:spacing w:line="276" w:lineRule="auto"/>
        <w:rPr>
          <w:rFonts w:cs="Arial"/>
          <w:szCs w:val="20"/>
        </w:rPr>
      </w:pPr>
    </w:p>
    <w:p w14:paraId="1EFF1DFC" w14:textId="77777777" w:rsidR="00C0429E" w:rsidRDefault="00C0429E" w:rsidP="008A4089">
      <w:pPr>
        <w:spacing w:line="276" w:lineRule="auto"/>
        <w:rPr>
          <w:rFonts w:cs="Arial"/>
          <w:szCs w:val="20"/>
        </w:rPr>
      </w:pPr>
    </w:p>
    <w:p w14:paraId="4E365BA8" w14:textId="77777777" w:rsidR="00C0429E" w:rsidRDefault="00C0429E" w:rsidP="008A4089">
      <w:pPr>
        <w:spacing w:line="276" w:lineRule="auto"/>
        <w:rPr>
          <w:rFonts w:cs="Arial"/>
          <w:szCs w:val="20"/>
        </w:rPr>
      </w:pPr>
    </w:p>
    <w:p w14:paraId="57FF0FA2" w14:textId="77777777" w:rsidR="007D5786" w:rsidRPr="00C17D83" w:rsidRDefault="007D5786" w:rsidP="008A4089">
      <w:pPr>
        <w:spacing w:line="276" w:lineRule="auto"/>
        <w:rPr>
          <w:rFonts w:cs="Arial"/>
          <w:szCs w:val="20"/>
        </w:rPr>
      </w:pPr>
    </w:p>
    <w:p w14:paraId="6F079B55" w14:textId="77777777" w:rsidR="007D5786" w:rsidRPr="00C17D83" w:rsidRDefault="007D5786" w:rsidP="008A4089">
      <w:pPr>
        <w:spacing w:line="276" w:lineRule="auto"/>
        <w:rPr>
          <w:rFonts w:cs="Arial"/>
          <w:szCs w:val="20"/>
        </w:rPr>
      </w:pPr>
    </w:p>
    <w:p w14:paraId="78CFC5BE" w14:textId="77777777" w:rsidR="007D5786" w:rsidRPr="00C17D83" w:rsidRDefault="007D5786" w:rsidP="008A4089">
      <w:pPr>
        <w:spacing w:line="276" w:lineRule="auto"/>
        <w:rPr>
          <w:rFonts w:cs="Arial"/>
          <w:szCs w:val="20"/>
        </w:rPr>
      </w:pPr>
    </w:p>
    <w:p w14:paraId="72068F8E" w14:textId="77777777" w:rsidR="007D5786" w:rsidRPr="00C17D83" w:rsidRDefault="007D5786" w:rsidP="008A4089">
      <w:pPr>
        <w:spacing w:line="276" w:lineRule="auto"/>
        <w:rPr>
          <w:rFonts w:cs="Arial"/>
          <w:szCs w:val="20"/>
        </w:rPr>
      </w:pPr>
    </w:p>
    <w:p w14:paraId="1BBCF653" w14:textId="77777777" w:rsidR="00EC5840" w:rsidRPr="0059733E" w:rsidRDefault="00EC5840" w:rsidP="00EC5840">
      <w:pPr>
        <w:pStyle w:val="podpisi"/>
        <w:tabs>
          <w:tab w:val="clear" w:pos="3402"/>
          <w:tab w:val="left" w:pos="1701"/>
        </w:tabs>
        <w:spacing w:line="312" w:lineRule="auto"/>
        <w:jc w:val="both"/>
        <w:rPr>
          <w:szCs w:val="20"/>
          <w:lang w:val="sl-SI"/>
        </w:rPr>
      </w:pPr>
      <w:r w:rsidRPr="0059733E">
        <w:rPr>
          <w:szCs w:val="20"/>
          <w:lang w:val="sl-SI"/>
        </w:rPr>
        <w:t xml:space="preserve">Priloge:    </w:t>
      </w:r>
    </w:p>
    <w:p w14:paraId="0231F830" w14:textId="4A32B5B9" w:rsidR="007114BD" w:rsidRPr="0059733E" w:rsidRDefault="00F0286C" w:rsidP="007114BD">
      <w:pPr>
        <w:numPr>
          <w:ilvl w:val="0"/>
          <w:numId w:val="13"/>
        </w:numPr>
        <w:overflowPunct w:val="0"/>
        <w:autoSpaceDE w:val="0"/>
        <w:autoSpaceDN w:val="0"/>
        <w:adjustRightInd w:val="0"/>
        <w:jc w:val="both"/>
        <w:textAlignment w:val="baseline"/>
      </w:pPr>
      <w:r w:rsidRPr="0059733E">
        <w:t>O</w:t>
      </w:r>
      <w:r w:rsidR="007114BD" w:rsidRPr="0059733E">
        <w:t>brazložitev,</w:t>
      </w:r>
    </w:p>
    <w:p w14:paraId="520B0D19" w14:textId="3DA1646B" w:rsidR="007114BD" w:rsidRPr="0059733E" w:rsidRDefault="00F0286C" w:rsidP="007114BD">
      <w:pPr>
        <w:numPr>
          <w:ilvl w:val="0"/>
          <w:numId w:val="13"/>
        </w:numPr>
        <w:overflowPunct w:val="0"/>
        <w:autoSpaceDE w:val="0"/>
        <w:autoSpaceDN w:val="0"/>
        <w:adjustRightInd w:val="0"/>
        <w:jc w:val="both"/>
        <w:textAlignment w:val="baseline"/>
      </w:pPr>
      <w:r w:rsidRPr="0059733E">
        <w:rPr>
          <w:rFonts w:cs="Arial"/>
          <w:iCs/>
          <w:lang w:eastAsia="sl-SI"/>
        </w:rPr>
        <w:t>S</w:t>
      </w:r>
      <w:r w:rsidR="007114BD" w:rsidRPr="0059733E">
        <w:rPr>
          <w:rFonts w:cs="Arial"/>
          <w:iCs/>
          <w:lang w:eastAsia="sl-SI"/>
        </w:rPr>
        <w:t xml:space="preserve">oglasje Ministrstva za </w:t>
      </w:r>
      <w:r w:rsidR="00C0429E" w:rsidRPr="0059733E">
        <w:rPr>
          <w:rFonts w:cs="Arial"/>
          <w:iCs/>
          <w:lang w:eastAsia="sl-SI"/>
        </w:rPr>
        <w:t>gospodarstvo, turizem in šport</w:t>
      </w:r>
      <w:r w:rsidR="007114BD" w:rsidRPr="0059733E">
        <w:rPr>
          <w:rFonts w:cs="Arial"/>
          <w:iCs/>
          <w:lang w:eastAsia="sl-SI"/>
        </w:rPr>
        <w:t xml:space="preserve"> k Letnemu poročilu Slovenske akreditacije za leto 202</w:t>
      </w:r>
      <w:r w:rsidR="00C0429E" w:rsidRPr="0059733E">
        <w:rPr>
          <w:rFonts w:cs="Arial"/>
          <w:iCs/>
          <w:lang w:eastAsia="sl-SI"/>
        </w:rPr>
        <w:t>4</w:t>
      </w:r>
      <w:r w:rsidR="007114BD" w:rsidRPr="0059733E">
        <w:rPr>
          <w:rFonts w:cs="Arial"/>
          <w:iCs/>
          <w:lang w:eastAsia="sl-SI"/>
        </w:rPr>
        <w:t>,</w:t>
      </w:r>
    </w:p>
    <w:p w14:paraId="0D0252C0" w14:textId="6139FE44" w:rsidR="007114BD" w:rsidRPr="0059733E" w:rsidRDefault="00F0286C" w:rsidP="007114BD">
      <w:pPr>
        <w:numPr>
          <w:ilvl w:val="0"/>
          <w:numId w:val="13"/>
        </w:numPr>
        <w:overflowPunct w:val="0"/>
        <w:autoSpaceDE w:val="0"/>
        <w:autoSpaceDN w:val="0"/>
        <w:adjustRightInd w:val="0"/>
        <w:jc w:val="both"/>
        <w:textAlignment w:val="baseline"/>
      </w:pPr>
      <w:r w:rsidRPr="0059733E">
        <w:rPr>
          <w:rFonts w:cs="Arial"/>
          <w:iCs/>
          <w:lang w:eastAsia="sl-SI"/>
        </w:rPr>
        <w:t>Z</w:t>
      </w:r>
      <w:r w:rsidR="007114BD" w:rsidRPr="0059733E">
        <w:rPr>
          <w:rFonts w:cs="Arial"/>
          <w:iCs/>
          <w:lang w:eastAsia="sl-SI"/>
        </w:rPr>
        <w:t xml:space="preserve">apisnik </w:t>
      </w:r>
      <w:r w:rsidR="00C0429E" w:rsidRPr="0059733E">
        <w:rPr>
          <w:rFonts w:cs="Arial"/>
          <w:iCs/>
          <w:lang w:eastAsia="sl-SI"/>
        </w:rPr>
        <w:t>71</w:t>
      </w:r>
      <w:r w:rsidR="007114BD" w:rsidRPr="0059733E">
        <w:rPr>
          <w:rFonts w:cs="Arial"/>
          <w:iCs/>
          <w:lang w:eastAsia="sl-SI"/>
        </w:rPr>
        <w:t xml:space="preserve">. seje Sveta Slovenske akreditacije z dne </w:t>
      </w:r>
      <w:r w:rsidR="00C0429E" w:rsidRPr="0059733E">
        <w:rPr>
          <w:rFonts w:cs="Arial"/>
          <w:iCs/>
          <w:lang w:eastAsia="sl-SI"/>
        </w:rPr>
        <w:t>20</w:t>
      </w:r>
      <w:r w:rsidR="007114BD" w:rsidRPr="0059733E">
        <w:rPr>
          <w:rFonts w:cs="Arial"/>
          <w:iCs/>
          <w:lang w:eastAsia="sl-SI"/>
        </w:rPr>
        <w:t>. 2. 202</w:t>
      </w:r>
      <w:r w:rsidR="00C0429E" w:rsidRPr="0059733E">
        <w:rPr>
          <w:rFonts w:cs="Arial"/>
          <w:iCs/>
          <w:lang w:eastAsia="sl-SI"/>
        </w:rPr>
        <w:t>5</w:t>
      </w:r>
      <w:r w:rsidR="007114BD" w:rsidRPr="0059733E">
        <w:rPr>
          <w:rFonts w:cs="Arial"/>
          <w:iCs/>
          <w:lang w:eastAsia="sl-SI"/>
        </w:rPr>
        <w:t>,</w:t>
      </w:r>
    </w:p>
    <w:p w14:paraId="2D2D51FD" w14:textId="7F1628A9" w:rsidR="007114BD" w:rsidRPr="0059733E" w:rsidRDefault="007114BD" w:rsidP="007114BD">
      <w:pPr>
        <w:numPr>
          <w:ilvl w:val="0"/>
          <w:numId w:val="13"/>
        </w:numPr>
        <w:overflowPunct w:val="0"/>
        <w:autoSpaceDE w:val="0"/>
        <w:autoSpaceDN w:val="0"/>
        <w:adjustRightInd w:val="0"/>
        <w:jc w:val="both"/>
        <w:textAlignment w:val="baseline"/>
      </w:pPr>
      <w:r w:rsidRPr="0059733E">
        <w:rPr>
          <w:rFonts w:cs="Arial"/>
          <w:iCs/>
          <w:lang w:eastAsia="sl-SI"/>
        </w:rPr>
        <w:t>Letno poročilo Slovenske akreditacije za leto 202</w:t>
      </w:r>
      <w:r w:rsidR="00C0429E" w:rsidRPr="0059733E">
        <w:rPr>
          <w:rFonts w:cs="Arial"/>
          <w:iCs/>
          <w:lang w:eastAsia="sl-SI"/>
        </w:rPr>
        <w:t>4</w:t>
      </w:r>
      <w:r w:rsidRPr="0059733E">
        <w:rPr>
          <w:rFonts w:cs="Arial"/>
          <w:iCs/>
          <w:lang w:eastAsia="sl-SI"/>
        </w:rPr>
        <w:t>.</w:t>
      </w:r>
    </w:p>
    <w:p w14:paraId="4D0CD714" w14:textId="77777777" w:rsidR="003D406D" w:rsidRDefault="003D406D" w:rsidP="00A92198">
      <w:pPr>
        <w:pStyle w:val="podpisi"/>
        <w:tabs>
          <w:tab w:val="clear" w:pos="3402"/>
          <w:tab w:val="left" w:pos="1701"/>
        </w:tabs>
        <w:spacing w:line="312" w:lineRule="auto"/>
        <w:jc w:val="center"/>
        <w:rPr>
          <w:szCs w:val="20"/>
          <w:lang w:val="sl-SI"/>
        </w:rPr>
      </w:pPr>
    </w:p>
    <w:p w14:paraId="750E82C7" w14:textId="77777777" w:rsidR="00E876B5" w:rsidRDefault="00E876B5" w:rsidP="00A92198">
      <w:pPr>
        <w:pStyle w:val="podpisi"/>
        <w:tabs>
          <w:tab w:val="clear" w:pos="3402"/>
          <w:tab w:val="left" w:pos="1701"/>
        </w:tabs>
        <w:spacing w:line="312" w:lineRule="auto"/>
        <w:jc w:val="center"/>
        <w:rPr>
          <w:szCs w:val="20"/>
          <w:lang w:val="sl-SI"/>
        </w:rPr>
      </w:pPr>
    </w:p>
    <w:p w14:paraId="6DD6FCE2" w14:textId="77777777" w:rsidR="00E876B5" w:rsidRPr="00C17D83" w:rsidRDefault="00E876B5" w:rsidP="00A92198">
      <w:pPr>
        <w:pStyle w:val="podpisi"/>
        <w:tabs>
          <w:tab w:val="clear" w:pos="3402"/>
          <w:tab w:val="left" w:pos="1701"/>
        </w:tabs>
        <w:spacing w:line="312" w:lineRule="auto"/>
        <w:jc w:val="center"/>
        <w:rPr>
          <w:szCs w:val="20"/>
          <w:lang w:val="sl-SI"/>
        </w:rPr>
      </w:pPr>
    </w:p>
    <w:p w14:paraId="00A3FC33" w14:textId="77777777" w:rsidR="00EA1CD8" w:rsidRDefault="00EA1CD8" w:rsidP="00A92198">
      <w:pPr>
        <w:pStyle w:val="podpisi"/>
        <w:tabs>
          <w:tab w:val="clear" w:pos="3402"/>
          <w:tab w:val="left" w:pos="1701"/>
        </w:tabs>
        <w:spacing w:line="312" w:lineRule="auto"/>
        <w:jc w:val="center"/>
        <w:rPr>
          <w:b/>
          <w:szCs w:val="20"/>
          <w:lang w:val="sl-SI"/>
        </w:rPr>
      </w:pPr>
    </w:p>
    <w:p w14:paraId="2563DB5A" w14:textId="77777777" w:rsidR="00C30FD7" w:rsidRPr="005F68D7" w:rsidRDefault="00EC5840" w:rsidP="00C30FD7">
      <w:pPr>
        <w:jc w:val="center"/>
        <w:rPr>
          <w:b/>
          <w:szCs w:val="20"/>
        </w:rPr>
      </w:pPr>
      <w:r w:rsidRPr="005F68D7">
        <w:rPr>
          <w:b/>
          <w:szCs w:val="20"/>
        </w:rPr>
        <w:lastRenderedPageBreak/>
        <w:t>OBRAZLOŽITEV</w:t>
      </w:r>
    </w:p>
    <w:p w14:paraId="50E67FFB" w14:textId="77777777" w:rsidR="00C30FD7" w:rsidRPr="004E3954" w:rsidRDefault="00C30FD7" w:rsidP="007114BD">
      <w:pPr>
        <w:jc w:val="both"/>
        <w:rPr>
          <w:b/>
          <w:color w:val="7030A0"/>
          <w:szCs w:val="20"/>
        </w:rPr>
      </w:pPr>
    </w:p>
    <w:p w14:paraId="6E702255" w14:textId="77777777" w:rsidR="00C30FD7" w:rsidRPr="004E3954" w:rsidRDefault="00C30FD7" w:rsidP="007114BD">
      <w:pPr>
        <w:jc w:val="both"/>
        <w:rPr>
          <w:b/>
          <w:color w:val="7030A0"/>
          <w:szCs w:val="20"/>
        </w:rPr>
      </w:pPr>
    </w:p>
    <w:p w14:paraId="64187774" w14:textId="0EBBCE8D" w:rsidR="007114BD" w:rsidRPr="0059733E" w:rsidRDefault="007114BD" w:rsidP="007114BD">
      <w:pPr>
        <w:jc w:val="both"/>
      </w:pPr>
      <w:r w:rsidRPr="0059733E">
        <w:t>Republika Slovenija je ustanovila javni zavod Slovenska akreditacija na podlagi Zakona o akreditaciji (Uradni list RS, št. 59/99) in Sklepa o ustanovitvi javnega zavoda Slovenska akreditacija (Uradni list RS, št.</w:t>
      </w:r>
      <w:r w:rsidR="001E5FEC" w:rsidRPr="0059733E">
        <w:t xml:space="preserve"> </w:t>
      </w:r>
      <w:hyperlink r:id="rId32" w:tgtFrame="_blank" w:tooltip="Sklep o ustanovitvi javnega zavoda Slovenska akreditacija" w:history="1">
        <w:r w:rsidRPr="0059733E">
          <w:t>36/00</w:t>
        </w:r>
      </w:hyperlink>
      <w:r w:rsidRPr="0059733E">
        <w:t>,</w:t>
      </w:r>
      <w:r w:rsidR="001E5FEC" w:rsidRPr="0059733E">
        <w:t xml:space="preserve"> </w:t>
      </w:r>
      <w:hyperlink r:id="rId33" w:tgtFrame="_blank" w:tooltip="Sklep o spremembi sklepa o ustanovitvi javnega zavoda Slovenska akreditacija" w:history="1">
        <w:r w:rsidRPr="0059733E">
          <w:t>23/01</w:t>
        </w:r>
      </w:hyperlink>
      <w:r w:rsidRPr="0059733E">
        <w:t>,</w:t>
      </w:r>
      <w:r w:rsidR="001E5FEC" w:rsidRPr="0059733E">
        <w:t xml:space="preserve"> </w:t>
      </w:r>
      <w:hyperlink r:id="rId34" w:tgtFrame="_blank" w:tooltip="Sklep o spremembah Sklepa o ustanovitvi javnega zavoda Slovenska akreditacija" w:history="1">
        <w:r w:rsidRPr="0059733E">
          <w:t>121/04</w:t>
        </w:r>
      </w:hyperlink>
      <w:r w:rsidRPr="0059733E">
        <w:t>,</w:t>
      </w:r>
      <w:r w:rsidR="001E5FEC" w:rsidRPr="0059733E">
        <w:t xml:space="preserve"> </w:t>
      </w:r>
      <w:hyperlink r:id="rId35" w:tgtFrame="_blank" w:tooltip="Sklep o spremembah in dopolnitvi Sklepa o ustanovitvi javnega zavoda Slovenska akreditacija" w:history="1">
        <w:r w:rsidRPr="0059733E">
          <w:t>22/08</w:t>
        </w:r>
      </w:hyperlink>
      <w:r w:rsidRPr="0059733E">
        <w:t>,</w:t>
      </w:r>
      <w:r w:rsidR="001E5FEC" w:rsidRPr="0059733E">
        <w:t xml:space="preserve"> </w:t>
      </w:r>
      <w:hyperlink r:id="rId36" w:tgtFrame="_blank" w:tooltip="Sklep o spremembah in dopolnitvah Sklepa o ustanovitvi javnega zavoda Slovenska akreditacija" w:history="1">
        <w:r w:rsidRPr="0059733E">
          <w:t>19/16</w:t>
        </w:r>
      </w:hyperlink>
      <w:r w:rsidRPr="0059733E">
        <w:t>, </w:t>
      </w:r>
      <w:hyperlink r:id="rId37" w:tgtFrame="_blank" w:tooltip="Sklep o spremembi Sklepa o ustanovitvi javnega zavoda Slovenska akreditacija" w:history="1">
        <w:r w:rsidRPr="0059733E">
          <w:t>51/16</w:t>
        </w:r>
      </w:hyperlink>
      <w:r w:rsidRPr="0059733E">
        <w:t> in </w:t>
      </w:r>
      <w:hyperlink r:id="rId38" w:tgtFrame="_blank" w:tooltip="Sklep o spremembah in dopolnitvi Sklepa o ustanovitvi javnega zavoda Slovenska akreditacija" w:history="1">
        <w:r w:rsidRPr="0059733E">
          <w:t>90/21</w:t>
        </w:r>
      </w:hyperlink>
      <w:r w:rsidRPr="0059733E">
        <w:t xml:space="preserve">; v nadaljevanju: Sklep o ustanovitvi SA), za trajno in nemoteno opravljanje nalog nacionalne akreditacijske službe. </w:t>
      </w:r>
    </w:p>
    <w:p w14:paraId="19AB945B" w14:textId="77777777" w:rsidR="007114BD" w:rsidRPr="005F68D7" w:rsidRDefault="007114BD" w:rsidP="00D14F2B">
      <w:pPr>
        <w:spacing w:line="260" w:lineRule="atLeast"/>
        <w:jc w:val="both"/>
      </w:pPr>
    </w:p>
    <w:p w14:paraId="66671A28" w14:textId="174BCD96" w:rsidR="007114BD" w:rsidRPr="005F68D7" w:rsidRDefault="007114BD" w:rsidP="007114BD">
      <w:pPr>
        <w:spacing w:line="260" w:lineRule="atLeast"/>
        <w:jc w:val="both"/>
        <w:rPr>
          <w:iCs/>
        </w:rPr>
      </w:pPr>
      <w:r w:rsidRPr="005F68D7">
        <w:t xml:space="preserve">Na podlagi 20. člena Sklepa o ustanovitvi SA daje soglasje k zaključnemu računu ustanovitelj. </w:t>
      </w:r>
      <w:r w:rsidR="001E5FEC" w:rsidRPr="005F68D7">
        <w:t>Na podlagi desetega odstavka 58. člena Zakona o izvrševanju proračunov Republike Slovenije za leti 2025 in 2026 (Uradni list RS, št. </w:t>
      </w:r>
      <w:hyperlink r:id="rId39" w:tgtFrame="_blank" w:tooltip="Zakon o izvrševanju proračunov Republike Slovenije za leti 2025 in 2026 (ZIPRS2526)" w:history="1">
        <w:r w:rsidR="001E5FEC" w:rsidRPr="005F68D7">
          <w:t>104/24</w:t>
        </w:r>
      </w:hyperlink>
      <w:r w:rsidR="001E5FEC" w:rsidRPr="005F68D7">
        <w:t xml:space="preserve">) morajo posredni uporabniki državnega proračuna, ne glede na določbe drugih zakonov in predpisov, posredovati sprejeta letna poročila o delu v soglasje organu, pristojnemu za izdajo soglasja k njihovemu finančnemu načrtu in programu dela. </w:t>
      </w:r>
      <w:r w:rsidRPr="005F68D7">
        <w:rPr>
          <w:iCs/>
        </w:rPr>
        <w:t xml:space="preserve">Ministrstvo za </w:t>
      </w:r>
      <w:r w:rsidR="00D14F2B" w:rsidRPr="005F68D7">
        <w:rPr>
          <w:iCs/>
        </w:rPr>
        <w:t>gospodarstvo, turizem in šport</w:t>
      </w:r>
      <w:r w:rsidRPr="005F68D7">
        <w:rPr>
          <w:iCs/>
        </w:rPr>
        <w:t xml:space="preserve"> je </w:t>
      </w:r>
      <w:r w:rsidRPr="005F68D7">
        <w:rPr>
          <w:rFonts w:cs="Arial"/>
          <w:iCs/>
          <w:lang w:eastAsia="sl-SI"/>
        </w:rPr>
        <w:t xml:space="preserve">dne </w:t>
      </w:r>
      <w:r w:rsidR="005F68D7" w:rsidRPr="005F68D7">
        <w:rPr>
          <w:rFonts w:cs="Arial"/>
          <w:iCs/>
          <w:lang w:eastAsia="sl-SI"/>
        </w:rPr>
        <w:t>3</w:t>
      </w:r>
      <w:r w:rsidRPr="005F68D7">
        <w:rPr>
          <w:rFonts w:cs="Arial"/>
          <w:iCs/>
          <w:lang w:eastAsia="sl-SI"/>
        </w:rPr>
        <w:t>. 3. 202</w:t>
      </w:r>
      <w:r w:rsidR="00D14F2B" w:rsidRPr="005F68D7">
        <w:rPr>
          <w:rFonts w:cs="Arial"/>
          <w:iCs/>
          <w:lang w:eastAsia="sl-SI"/>
        </w:rPr>
        <w:t>5</w:t>
      </w:r>
      <w:r w:rsidRPr="005F68D7">
        <w:rPr>
          <w:rFonts w:cs="Arial"/>
          <w:iCs/>
          <w:lang w:eastAsia="sl-SI"/>
        </w:rPr>
        <w:t xml:space="preserve"> </w:t>
      </w:r>
      <w:r w:rsidRPr="005F68D7">
        <w:rPr>
          <w:iCs/>
        </w:rPr>
        <w:t xml:space="preserve">s sklepom št. </w:t>
      </w:r>
      <w:r w:rsidR="00D14F2B" w:rsidRPr="005F68D7">
        <w:rPr>
          <w:iCs/>
        </w:rPr>
        <w:t>315-58/2024/21</w:t>
      </w:r>
      <w:r w:rsidRPr="005F68D7">
        <w:rPr>
          <w:rFonts w:cs="Arial"/>
          <w:iCs/>
          <w:lang w:eastAsia="sl-SI"/>
        </w:rPr>
        <w:t xml:space="preserve"> </w:t>
      </w:r>
      <w:r w:rsidRPr="005F68D7">
        <w:rPr>
          <w:iCs/>
        </w:rPr>
        <w:t>dalo soglasje k Letnemu poročilu Slovenske akreditacije za leto 202</w:t>
      </w:r>
      <w:r w:rsidR="00D14F2B" w:rsidRPr="005F68D7">
        <w:rPr>
          <w:iCs/>
        </w:rPr>
        <w:t>4</w:t>
      </w:r>
      <w:r w:rsidRPr="005F68D7">
        <w:rPr>
          <w:iCs/>
        </w:rPr>
        <w:t xml:space="preserve">. </w:t>
      </w:r>
    </w:p>
    <w:p w14:paraId="1C636C17" w14:textId="77777777" w:rsidR="007114BD" w:rsidRPr="005F68D7" w:rsidRDefault="007114BD" w:rsidP="007114BD">
      <w:pPr>
        <w:spacing w:line="260" w:lineRule="atLeast"/>
        <w:jc w:val="both"/>
        <w:rPr>
          <w:iCs/>
        </w:rPr>
      </w:pPr>
    </w:p>
    <w:p w14:paraId="2D3675FD" w14:textId="2932E849" w:rsidR="007114BD" w:rsidRDefault="007114BD" w:rsidP="000014B7">
      <w:pPr>
        <w:jc w:val="both"/>
      </w:pPr>
      <w:r w:rsidRPr="005F68D7">
        <w:t>Na podlagi 16. člena Sklepa o ustanovitvi SA o razpolaganju s presežkom prihodkov nad odhodki odloča ustanovitelj. Slovenska akreditacija v zaključnem računu za leto 202</w:t>
      </w:r>
      <w:r w:rsidR="000014B7" w:rsidRPr="005F68D7">
        <w:t>4</w:t>
      </w:r>
      <w:r w:rsidRPr="005F68D7">
        <w:t xml:space="preserve"> izkazuje presežek prihodkov nad odhodki v višini </w:t>
      </w:r>
      <w:r w:rsidR="000014B7" w:rsidRPr="005F68D7">
        <w:t>26</w:t>
      </w:r>
      <w:r w:rsidRPr="005F68D7">
        <w:t>.</w:t>
      </w:r>
      <w:r w:rsidR="000014B7" w:rsidRPr="005F68D7">
        <w:t>621,21</w:t>
      </w:r>
      <w:r w:rsidRPr="005F68D7">
        <w:t xml:space="preserve"> </w:t>
      </w:r>
      <w:r w:rsidR="0031299D">
        <w:t>eurov</w:t>
      </w:r>
      <w:r w:rsidRPr="005F68D7">
        <w:t xml:space="preserve">. Svet Slovenske akreditacije je na </w:t>
      </w:r>
      <w:r w:rsidR="000014B7" w:rsidRPr="005F68D7">
        <w:t>71</w:t>
      </w:r>
      <w:r w:rsidRPr="005F68D7">
        <w:t xml:space="preserve">. seji dne </w:t>
      </w:r>
      <w:r w:rsidR="000014B7" w:rsidRPr="005F68D7">
        <w:t>20</w:t>
      </w:r>
      <w:r w:rsidRPr="005F68D7">
        <w:t>. 2. 202</w:t>
      </w:r>
      <w:r w:rsidR="000014B7" w:rsidRPr="005F68D7">
        <w:t>5</w:t>
      </w:r>
      <w:r w:rsidRPr="005F68D7">
        <w:t xml:space="preserve"> sprejel sklep št. </w:t>
      </w:r>
      <w:r w:rsidR="000014B7" w:rsidRPr="005F68D7">
        <w:t>765</w:t>
      </w:r>
      <w:r w:rsidRPr="005F68D7">
        <w:t>, s katerim predlaga ustanovitelju, da se presežek prihodkov nad odhodki javnega zavoda S</w:t>
      </w:r>
      <w:r w:rsidR="000014B7" w:rsidRPr="005F68D7">
        <w:t>lovenska akreditacija</w:t>
      </w:r>
      <w:r w:rsidRPr="005F68D7">
        <w:t xml:space="preserve"> iz leta 202</w:t>
      </w:r>
      <w:r w:rsidR="000014B7" w:rsidRPr="005F68D7">
        <w:t>4</w:t>
      </w:r>
      <w:r w:rsidR="00D83678" w:rsidRPr="005F68D7">
        <w:t>,</w:t>
      </w:r>
      <w:r w:rsidRPr="005F68D7">
        <w:t xml:space="preserve"> v višini </w:t>
      </w:r>
      <w:r w:rsidR="000014B7" w:rsidRPr="005F68D7">
        <w:t>26.621,21</w:t>
      </w:r>
      <w:r w:rsidRPr="005F68D7">
        <w:t xml:space="preserve"> </w:t>
      </w:r>
      <w:r w:rsidR="0031299D">
        <w:t>eurov</w:t>
      </w:r>
      <w:r w:rsidR="00D83678" w:rsidRPr="005F68D7">
        <w:t>,</w:t>
      </w:r>
      <w:r w:rsidRPr="005F68D7">
        <w:t xml:space="preserve"> nameni za opravljanje in razvoj dejavnosti javnega zavoda v letu 202</w:t>
      </w:r>
      <w:r w:rsidR="000014B7" w:rsidRPr="005F68D7">
        <w:t>5</w:t>
      </w:r>
      <w:r w:rsidRPr="005F68D7">
        <w:t>.</w:t>
      </w:r>
    </w:p>
    <w:p w14:paraId="2B0B129B" w14:textId="77777777" w:rsidR="002E7E8A" w:rsidRDefault="002E7E8A" w:rsidP="000014B7">
      <w:pPr>
        <w:jc w:val="both"/>
      </w:pPr>
    </w:p>
    <w:p w14:paraId="6A87216D" w14:textId="6AE11B69" w:rsidR="002C4594" w:rsidRPr="00074E55" w:rsidRDefault="002E7E8A" w:rsidP="000014B7">
      <w:pPr>
        <w:jc w:val="both"/>
        <w:rPr>
          <w:color w:val="000000" w:themeColor="text1"/>
        </w:rPr>
      </w:pPr>
      <w:bookmarkStart w:id="0" w:name="_Hlk193200149"/>
      <w:r w:rsidRPr="00074E55">
        <w:rPr>
          <w:color w:val="000000" w:themeColor="text1"/>
        </w:rPr>
        <w:t>Presežek</w:t>
      </w:r>
      <w:r w:rsidR="0089671A" w:rsidRPr="00074E55">
        <w:rPr>
          <w:color w:val="000000" w:themeColor="text1"/>
        </w:rPr>
        <w:t xml:space="preserve"> prihodkov nad odhodki javnega zavoda Slovenska akreditacija iz leta 2024,</w:t>
      </w:r>
      <w:r w:rsidRPr="00074E55">
        <w:rPr>
          <w:color w:val="000000" w:themeColor="text1"/>
        </w:rPr>
        <w:t xml:space="preserve"> v višini 26.621,21 </w:t>
      </w:r>
      <w:r w:rsidR="00175ECE" w:rsidRPr="00074E55">
        <w:rPr>
          <w:color w:val="000000" w:themeColor="text1"/>
        </w:rPr>
        <w:t>eur</w:t>
      </w:r>
      <w:r w:rsidR="0089671A" w:rsidRPr="00074E55">
        <w:rPr>
          <w:color w:val="000000" w:themeColor="text1"/>
        </w:rPr>
        <w:t>,</w:t>
      </w:r>
      <w:r w:rsidRPr="00074E55">
        <w:rPr>
          <w:color w:val="000000" w:themeColor="text1"/>
        </w:rPr>
        <w:t xml:space="preserve"> pomeni dodatna sredstva za javni zavod</w:t>
      </w:r>
      <w:r w:rsidR="002C4594" w:rsidRPr="00074E55">
        <w:rPr>
          <w:color w:val="000000" w:themeColor="text1"/>
        </w:rPr>
        <w:t xml:space="preserve"> -</w:t>
      </w:r>
      <w:r w:rsidR="006913C4" w:rsidRPr="00074E55">
        <w:rPr>
          <w:color w:val="000000" w:themeColor="text1"/>
        </w:rPr>
        <w:t xml:space="preserve"> </w:t>
      </w:r>
      <w:r w:rsidR="002008ED" w:rsidRPr="00074E55">
        <w:rPr>
          <w:color w:val="000000" w:themeColor="text1"/>
        </w:rPr>
        <w:t>i</w:t>
      </w:r>
      <w:r w:rsidR="006913C4" w:rsidRPr="00074E55">
        <w:rPr>
          <w:color w:val="000000" w:themeColor="text1"/>
        </w:rPr>
        <w:t>zhodišč</w:t>
      </w:r>
      <w:r w:rsidR="002008ED" w:rsidRPr="00074E55">
        <w:rPr>
          <w:color w:val="000000" w:themeColor="text1"/>
        </w:rPr>
        <w:t>a</w:t>
      </w:r>
      <w:r w:rsidR="006913C4" w:rsidRPr="00074E55">
        <w:rPr>
          <w:color w:val="000000" w:themeColor="text1"/>
        </w:rPr>
        <w:t xml:space="preserve"> za pripravo finančnega načrta javnega zavoda</w:t>
      </w:r>
      <w:r w:rsidR="002008ED" w:rsidRPr="00074E55">
        <w:rPr>
          <w:color w:val="000000" w:themeColor="text1"/>
        </w:rPr>
        <w:t xml:space="preserve"> se ne bodo spremenila</w:t>
      </w:r>
      <w:r w:rsidR="006913C4" w:rsidRPr="00074E55">
        <w:rPr>
          <w:color w:val="000000" w:themeColor="text1"/>
        </w:rPr>
        <w:t xml:space="preserve"> in </w:t>
      </w:r>
      <w:r w:rsidR="002008ED" w:rsidRPr="00074E55">
        <w:rPr>
          <w:color w:val="000000" w:themeColor="text1"/>
        </w:rPr>
        <w:t>transfer</w:t>
      </w:r>
      <w:r w:rsidR="006913C4" w:rsidRPr="00074E55">
        <w:rPr>
          <w:color w:val="000000" w:themeColor="text1"/>
        </w:rPr>
        <w:t xml:space="preserve"> za leto 2025</w:t>
      </w:r>
      <w:r w:rsidR="002008ED" w:rsidRPr="00074E55">
        <w:rPr>
          <w:color w:val="000000" w:themeColor="text1"/>
        </w:rPr>
        <w:t xml:space="preserve"> se ne bo znižal</w:t>
      </w:r>
      <w:r w:rsidR="006913C4" w:rsidRPr="00074E55">
        <w:rPr>
          <w:color w:val="000000" w:themeColor="text1"/>
        </w:rPr>
        <w:t>.</w:t>
      </w:r>
    </w:p>
    <w:p w14:paraId="52DB67D5" w14:textId="77777777" w:rsidR="00EF7C86" w:rsidRPr="00074E55" w:rsidRDefault="00EF7C86" w:rsidP="000014B7">
      <w:pPr>
        <w:jc w:val="both"/>
      </w:pPr>
    </w:p>
    <w:bookmarkEnd w:id="0"/>
    <w:p w14:paraId="1C1A39D4" w14:textId="579CC6A6" w:rsidR="0089671A" w:rsidRPr="00074E55" w:rsidRDefault="0089671A" w:rsidP="0089671A">
      <w:pPr>
        <w:jc w:val="both"/>
      </w:pPr>
      <w:r w:rsidRPr="0089671A">
        <w:t xml:space="preserve">Presežek prihodkov nad odhodki v višini 26.621,21 </w:t>
      </w:r>
      <w:r w:rsidR="00E808BD" w:rsidRPr="00074E55">
        <w:t>eurov</w:t>
      </w:r>
      <w:r w:rsidRPr="0089671A">
        <w:t xml:space="preserve"> je nastal, ker v letu 2024 ni bilo </w:t>
      </w:r>
      <w:r w:rsidR="00074E55" w:rsidRPr="00074E55">
        <w:t>mogoče</w:t>
      </w:r>
      <w:r w:rsidRPr="0089671A">
        <w:t xml:space="preserve"> vzpostaviti akreditiranja na nekaterih novih področjih, ki so bila načrtovana v Programu dela in Finančnem načrtu za leto 2024, ker za vzpostavitev niso bile zagotovljene zakonodajne podlage ali ker za vzpostavitev področja ni bilo več interesa ali pa je bila možna le delna vzpostavitev novega področja, ki bo dokončana v letu 2025.</w:t>
      </w:r>
    </w:p>
    <w:p w14:paraId="32ED6049" w14:textId="6D60228C" w:rsidR="0089671A" w:rsidRPr="0089671A" w:rsidRDefault="0089671A" w:rsidP="0089671A">
      <w:pPr>
        <w:jc w:val="both"/>
      </w:pPr>
      <w:r w:rsidRPr="0089671A">
        <w:rPr>
          <w:highlight w:val="yellow"/>
        </w:rPr>
        <w:t xml:space="preserve"> </w:t>
      </w:r>
    </w:p>
    <w:p w14:paraId="5793A783" w14:textId="541C9994" w:rsidR="0089671A" w:rsidRPr="0089671A" w:rsidRDefault="0089671A" w:rsidP="0089671A">
      <w:pPr>
        <w:jc w:val="both"/>
      </w:pPr>
      <w:r w:rsidRPr="0089671A">
        <w:t xml:space="preserve">Presežek v višini 26.621,21 </w:t>
      </w:r>
      <w:r w:rsidR="00E808BD" w:rsidRPr="0051243C">
        <w:t>eurov</w:t>
      </w:r>
      <w:r w:rsidRPr="0089671A">
        <w:t xml:space="preserve"> </w:t>
      </w:r>
      <w:r w:rsidR="0051243C" w:rsidRPr="0051243C">
        <w:t xml:space="preserve">se </w:t>
      </w:r>
      <w:r w:rsidRPr="0051243C">
        <w:t xml:space="preserve">bo </w:t>
      </w:r>
      <w:r w:rsidRPr="0089671A">
        <w:t xml:space="preserve">v letu 2025 </w:t>
      </w:r>
      <w:r w:rsidR="0051243C" w:rsidRPr="0051243C">
        <w:t>namenil</w:t>
      </w:r>
      <w:r w:rsidRPr="0089671A">
        <w:t xml:space="preserve"> za naslednje razvojne dejavnosti oziroma </w:t>
      </w:r>
      <w:r w:rsidR="00E808BD" w:rsidRPr="0051243C">
        <w:t>za kritje stroškov</w:t>
      </w:r>
      <w:r w:rsidRPr="0089671A">
        <w:t>, ki v Programu dela in Finančnem načrtu za leto 2025 niso bili upoštevani, ker v trenutku priprave še niso bili znani ali jih ni</w:t>
      </w:r>
      <w:r w:rsidR="00E808BD" w:rsidRPr="0051243C">
        <w:t xml:space="preserve"> bilo možno</w:t>
      </w:r>
      <w:r w:rsidRPr="0089671A">
        <w:t xml:space="preserve"> ustrezno predvideti:</w:t>
      </w:r>
    </w:p>
    <w:p w14:paraId="568E2202" w14:textId="0D46A797" w:rsidR="0089671A" w:rsidRPr="0051243C" w:rsidRDefault="00E808BD" w:rsidP="00E808BD">
      <w:pPr>
        <w:pStyle w:val="Odstavekseznama"/>
        <w:numPr>
          <w:ilvl w:val="0"/>
          <w:numId w:val="13"/>
        </w:numPr>
        <w:ind w:left="426" w:hanging="284"/>
        <w:jc w:val="both"/>
      </w:pPr>
      <w:r w:rsidRPr="0051243C">
        <w:t>V</w:t>
      </w:r>
      <w:r w:rsidR="0089671A" w:rsidRPr="0051243C">
        <w:t xml:space="preserve">zpostavitev akreditiranja certifikacijskih organov na področju GDPR v predvideni višini 5.000 </w:t>
      </w:r>
      <w:r w:rsidRPr="0051243C">
        <w:t>eurov;</w:t>
      </w:r>
    </w:p>
    <w:p w14:paraId="25BB8344" w14:textId="5F916C6D" w:rsidR="0089671A" w:rsidRPr="0051243C" w:rsidRDefault="00E808BD" w:rsidP="00E808BD">
      <w:pPr>
        <w:pStyle w:val="Odstavekseznama"/>
        <w:numPr>
          <w:ilvl w:val="0"/>
          <w:numId w:val="13"/>
        </w:numPr>
        <w:ind w:left="426" w:hanging="284"/>
        <w:jc w:val="both"/>
      </w:pPr>
      <w:r w:rsidRPr="0051243C">
        <w:t>V</w:t>
      </w:r>
      <w:r w:rsidR="0089671A" w:rsidRPr="0051243C">
        <w:t xml:space="preserve">zpostavitev akreditiranja certifikacijskih organov na področju informacijske varnosti po SIST ISO 27001 v predvideni višini 8.600 </w:t>
      </w:r>
      <w:r w:rsidRPr="0051243C">
        <w:t>eurov;</w:t>
      </w:r>
    </w:p>
    <w:p w14:paraId="25A787B2" w14:textId="5F5FE1C3" w:rsidR="0089671A" w:rsidRPr="0051243C" w:rsidRDefault="00E808BD" w:rsidP="00E808BD">
      <w:pPr>
        <w:pStyle w:val="Odstavekseznama"/>
        <w:numPr>
          <w:ilvl w:val="0"/>
          <w:numId w:val="13"/>
        </w:numPr>
        <w:ind w:left="426" w:hanging="284"/>
        <w:jc w:val="both"/>
      </w:pPr>
      <w:r w:rsidRPr="0051243C">
        <w:t>V</w:t>
      </w:r>
      <w:r w:rsidR="0089671A" w:rsidRPr="0051243C">
        <w:t xml:space="preserve">zpostavitve akreditiranja za preverjanje </w:t>
      </w:r>
      <w:proofErr w:type="spellStart"/>
      <w:r w:rsidR="0089671A" w:rsidRPr="0051243C">
        <w:t>ogljičnega</w:t>
      </w:r>
      <w:proofErr w:type="spellEnd"/>
      <w:r w:rsidR="0089671A" w:rsidRPr="0051243C">
        <w:t xml:space="preserve"> odtisa izdelka po ISO 14067 v predvideni višini 4.000 </w:t>
      </w:r>
      <w:r w:rsidRPr="0051243C">
        <w:t>eurov;</w:t>
      </w:r>
    </w:p>
    <w:p w14:paraId="270D6FCA" w14:textId="5A7E8869" w:rsidR="0089671A" w:rsidRPr="0051243C" w:rsidRDefault="00E808BD" w:rsidP="00E808BD">
      <w:pPr>
        <w:pStyle w:val="Odstavekseznama"/>
        <w:numPr>
          <w:ilvl w:val="0"/>
          <w:numId w:val="13"/>
        </w:numPr>
        <w:ind w:left="426" w:hanging="284"/>
        <w:jc w:val="both"/>
      </w:pPr>
      <w:r w:rsidRPr="0051243C">
        <w:t>O</w:t>
      </w:r>
      <w:r w:rsidR="0089671A" w:rsidRPr="0051243C">
        <w:t xml:space="preserve">rganizacija in izvedba dogodka </w:t>
      </w:r>
      <w:r w:rsidRPr="0051243C">
        <w:t>»</w:t>
      </w:r>
      <w:r w:rsidR="0089671A" w:rsidRPr="0051243C">
        <w:t>Dan akreditacije</w:t>
      </w:r>
      <w:r w:rsidRPr="0051243C">
        <w:t>«</w:t>
      </w:r>
      <w:r w:rsidR="0089671A" w:rsidRPr="0051243C">
        <w:t xml:space="preserve">, ki sovpada s 30. letnico delovanja sistema akreditiranja v Sloveniji, za katerega </w:t>
      </w:r>
      <w:r w:rsidRPr="0051243C">
        <w:t>se pričakuje</w:t>
      </w:r>
      <w:r w:rsidR="0089671A" w:rsidRPr="0051243C">
        <w:t xml:space="preserve"> večji odziv s strani povabljenih</w:t>
      </w:r>
      <w:r w:rsidRPr="0051243C">
        <w:t xml:space="preserve"> in posledično višje stroške programa</w:t>
      </w:r>
      <w:r w:rsidR="0089671A" w:rsidRPr="0051243C">
        <w:t>.</w:t>
      </w:r>
      <w:r w:rsidRPr="0051243C">
        <w:t xml:space="preserve"> Ocenjuje se</w:t>
      </w:r>
      <w:r w:rsidR="0089671A" w:rsidRPr="0051243C">
        <w:t xml:space="preserve">, da bodo znašala dodatno potrebna sredstva za organizacijo omenjenega dogodka 8.000 </w:t>
      </w:r>
      <w:r w:rsidRPr="0051243C">
        <w:t>eurov</w:t>
      </w:r>
      <w:r w:rsidR="0089671A" w:rsidRPr="0051243C">
        <w:t xml:space="preserve">, </w:t>
      </w:r>
      <w:r w:rsidRPr="0051243C">
        <w:t>katera</w:t>
      </w:r>
      <w:r w:rsidR="0089671A" w:rsidRPr="0051243C">
        <w:t xml:space="preserve"> v Programu dela za leto 2025 nis</w:t>
      </w:r>
      <w:r w:rsidRPr="0051243C">
        <w:t>o bila v</w:t>
      </w:r>
      <w:r w:rsidR="0089671A" w:rsidRPr="0051243C">
        <w:t xml:space="preserve"> celoti načrtova</w:t>
      </w:r>
      <w:r w:rsidRPr="0051243C">
        <w:t>na;</w:t>
      </w:r>
    </w:p>
    <w:p w14:paraId="49864DBB" w14:textId="76E90971" w:rsidR="0089671A" w:rsidRPr="0051243C" w:rsidRDefault="0089671A" w:rsidP="00E808BD">
      <w:pPr>
        <w:pStyle w:val="Odstavekseznama"/>
        <w:numPr>
          <w:ilvl w:val="0"/>
          <w:numId w:val="13"/>
        </w:numPr>
        <w:ind w:left="426" w:hanging="284"/>
        <w:jc w:val="both"/>
      </w:pPr>
      <w:r w:rsidRPr="0051243C">
        <w:t>Članarina za vzdrževanje polnopravnega članstva v organizaciji IAF (</w:t>
      </w:r>
      <w:proofErr w:type="spellStart"/>
      <w:r w:rsidRPr="0051243C">
        <w:t>International</w:t>
      </w:r>
      <w:proofErr w:type="spellEnd"/>
      <w:r w:rsidRPr="0051243C">
        <w:t xml:space="preserve"> </w:t>
      </w:r>
      <w:proofErr w:type="spellStart"/>
      <w:r w:rsidRPr="0051243C">
        <w:t>Accreditation</w:t>
      </w:r>
      <w:proofErr w:type="spellEnd"/>
      <w:r w:rsidRPr="0051243C">
        <w:t xml:space="preserve"> Forum) se je v letu 2025 v primerjavi z letom 2024 povišala za 55 %, </w:t>
      </w:r>
      <w:r w:rsidR="00E808BD" w:rsidRPr="0051243C">
        <w:t xml:space="preserve">za </w:t>
      </w:r>
      <w:r w:rsidRPr="0051243C">
        <w:t>kar</w:t>
      </w:r>
      <w:r w:rsidR="00E808BD" w:rsidRPr="0051243C">
        <w:t xml:space="preserve"> </w:t>
      </w:r>
      <w:r w:rsidR="00CA3C55">
        <w:t>bo namenjen</w:t>
      </w:r>
      <w:r w:rsidR="00E808BD" w:rsidRPr="0051243C">
        <w:t xml:space="preserve"> preostanek presežka</w:t>
      </w:r>
      <w:r w:rsidRPr="0051243C">
        <w:t xml:space="preserve"> v višini 1.021,21 </w:t>
      </w:r>
      <w:r w:rsidR="00E808BD" w:rsidRPr="0051243C">
        <w:t>eurov.</w:t>
      </w:r>
    </w:p>
    <w:p w14:paraId="018547AA" w14:textId="77777777" w:rsidR="00C24778" w:rsidRDefault="00C24778" w:rsidP="000014B7">
      <w:pPr>
        <w:jc w:val="both"/>
        <w:rPr>
          <w:color w:val="FF0000"/>
        </w:rPr>
      </w:pPr>
    </w:p>
    <w:p w14:paraId="35C013BC" w14:textId="77777777" w:rsidR="002C4594" w:rsidRPr="002E7E8A" w:rsidRDefault="002C4594" w:rsidP="000014B7">
      <w:pPr>
        <w:jc w:val="both"/>
        <w:rPr>
          <w:color w:val="FF0000"/>
        </w:rPr>
      </w:pPr>
    </w:p>
    <w:p w14:paraId="1D593744" w14:textId="77777777" w:rsidR="007114BD" w:rsidRPr="005F68D7" w:rsidRDefault="007114BD" w:rsidP="007114BD">
      <w:pPr>
        <w:spacing w:line="260" w:lineRule="atLeast"/>
        <w:jc w:val="both"/>
      </w:pPr>
    </w:p>
    <w:p w14:paraId="02A9E2B4" w14:textId="146748C7" w:rsidR="007114BD" w:rsidRPr="005F68D7" w:rsidRDefault="007114BD" w:rsidP="007114BD">
      <w:pPr>
        <w:spacing w:line="260" w:lineRule="atLeast"/>
        <w:jc w:val="both"/>
      </w:pPr>
      <w:r w:rsidRPr="005F68D7">
        <w:lastRenderedPageBreak/>
        <w:t>V skladu s 5. točko 9.i člena Zakona o javnih financah (</w:t>
      </w:r>
      <w:r w:rsidR="000014B7" w:rsidRPr="005F68D7">
        <w:t>Uradni list RS, št. </w:t>
      </w:r>
      <w:hyperlink r:id="rId40" w:tgtFrame="_blank" w:tooltip="Zakon o javnih financah (uradno prečiščeno besedilo) (ZJF-UPB4)" w:history="1">
        <w:r w:rsidR="000014B7" w:rsidRPr="005F68D7">
          <w:t>11/11</w:t>
        </w:r>
      </w:hyperlink>
      <w:r w:rsidR="000014B7" w:rsidRPr="005F68D7">
        <w:t> – uradno prečiščeno besedilo, </w:t>
      </w:r>
      <w:hyperlink r:id="rId41" w:tgtFrame="_blank" w:tooltip="Popravek Uradnega prečiščenega besedila Zakona  o javnih financah (ZJF-UPB4p)" w:history="1">
        <w:r w:rsidR="000014B7" w:rsidRPr="005F68D7">
          <w:t>14/13</w:t>
        </w:r>
      </w:hyperlink>
      <w:r w:rsidR="000014B7" w:rsidRPr="005F68D7">
        <w:t xml:space="preserve"> – </w:t>
      </w:r>
      <w:proofErr w:type="spellStart"/>
      <w:r w:rsidR="000014B7" w:rsidRPr="005F68D7">
        <w:t>popr</w:t>
      </w:r>
      <w:proofErr w:type="spellEnd"/>
      <w:r w:rsidR="000014B7" w:rsidRPr="005F68D7">
        <w:t>., </w:t>
      </w:r>
      <w:hyperlink r:id="rId42" w:tgtFrame="_blank" w:tooltip="Zakon o dopolnitvi Zakona o javnih financah (ZJF-G)" w:history="1">
        <w:r w:rsidR="000014B7" w:rsidRPr="005F68D7">
          <w:t>101/13</w:t>
        </w:r>
      </w:hyperlink>
      <w:r w:rsidR="000014B7" w:rsidRPr="005F68D7">
        <w:t>, </w:t>
      </w:r>
      <w:hyperlink r:id="rId43" w:tgtFrame="_blank" w:tooltip="Zakon o fiskalnem pravilu (ZFisP)" w:history="1">
        <w:r w:rsidR="000014B7" w:rsidRPr="005F68D7">
          <w:t>55/15</w:t>
        </w:r>
      </w:hyperlink>
      <w:r w:rsidR="000014B7" w:rsidRPr="005F68D7">
        <w:t xml:space="preserve"> – </w:t>
      </w:r>
      <w:proofErr w:type="spellStart"/>
      <w:r w:rsidR="000014B7" w:rsidRPr="005F68D7">
        <w:t>ZFisP</w:t>
      </w:r>
      <w:proofErr w:type="spellEnd"/>
      <w:r w:rsidR="000014B7" w:rsidRPr="005F68D7">
        <w:t>, </w:t>
      </w:r>
      <w:hyperlink r:id="rId44" w:tgtFrame="_blank" w:tooltip="Zakon o izvrševanju proračunov Republike Slovenije za leti 2016 in 2017 (ZIPRS1617)" w:history="1">
        <w:r w:rsidR="000014B7" w:rsidRPr="005F68D7">
          <w:t>96/15</w:t>
        </w:r>
      </w:hyperlink>
      <w:r w:rsidR="000014B7" w:rsidRPr="005F68D7">
        <w:t> – ZIPRS1617, </w:t>
      </w:r>
      <w:hyperlink r:id="rId45" w:tgtFrame="_blank" w:tooltip="Zakon o spremembah in dopolnitvah Zakona o javnih financah (ZJF-H)" w:history="1">
        <w:r w:rsidR="000014B7" w:rsidRPr="005F68D7">
          <w:t>13/18</w:t>
        </w:r>
      </w:hyperlink>
      <w:r w:rsidR="000014B7" w:rsidRPr="005F68D7">
        <w:t>, </w:t>
      </w:r>
      <w:hyperlink r:id="rId4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014B7" w:rsidRPr="005F68D7">
          <w:t>195/20</w:t>
        </w:r>
      </w:hyperlink>
      <w:r w:rsidR="000014B7" w:rsidRPr="005F68D7">
        <w:t xml:space="preserve"> – </w:t>
      </w:r>
      <w:proofErr w:type="spellStart"/>
      <w:r w:rsidR="000014B7" w:rsidRPr="005F68D7">
        <w:t>odl</w:t>
      </w:r>
      <w:proofErr w:type="spellEnd"/>
      <w:r w:rsidR="000014B7" w:rsidRPr="005F68D7">
        <w:t>. US, </w:t>
      </w:r>
      <w:hyperlink r:id="rId47" w:tgtFrame="_blank" w:tooltip="Zakon o spremembah in dopolnitvah Zakona o državni upravi (ZDU-1O)" w:history="1">
        <w:r w:rsidR="000014B7" w:rsidRPr="005F68D7">
          <w:t>18/23</w:t>
        </w:r>
      </w:hyperlink>
      <w:r w:rsidR="000014B7" w:rsidRPr="005F68D7">
        <w:t> – ZDU-1O in </w:t>
      </w:r>
      <w:hyperlink r:id="rId48" w:tgtFrame="_blank" w:tooltip="Zakon o spremembah in dopolnitvah Zakona o javnih financah (ZJF-I)" w:history="1">
        <w:r w:rsidR="000014B7" w:rsidRPr="005F68D7">
          <w:t>76/23</w:t>
        </w:r>
      </w:hyperlink>
      <w:r w:rsidRPr="005F68D7">
        <w:t>) javni zavod Slovenska akreditacija za obdobje od 1. 1. 202</w:t>
      </w:r>
      <w:r w:rsidR="000014B7" w:rsidRPr="005F68D7">
        <w:t>4</w:t>
      </w:r>
      <w:r w:rsidRPr="005F68D7">
        <w:t xml:space="preserve"> do 31. 12. 202</w:t>
      </w:r>
      <w:r w:rsidR="000014B7" w:rsidRPr="005F68D7">
        <w:t>4</w:t>
      </w:r>
      <w:r w:rsidRPr="005F68D7">
        <w:t xml:space="preserve"> izkazuje </w:t>
      </w:r>
      <w:r w:rsidR="000B75AA" w:rsidRPr="005F68D7">
        <w:t>402</w:t>
      </w:r>
      <w:r w:rsidRPr="005F68D7">
        <w:t>.</w:t>
      </w:r>
      <w:r w:rsidR="000B75AA" w:rsidRPr="005F68D7">
        <w:t>295,67</w:t>
      </w:r>
      <w:r w:rsidRPr="005F68D7">
        <w:t xml:space="preserve"> </w:t>
      </w:r>
      <w:r w:rsidR="0019076D">
        <w:t>eurov</w:t>
      </w:r>
      <w:r w:rsidRPr="005F68D7">
        <w:t xml:space="preserve"> primanjkljaja izračunanega po fiskalnem pravilu.</w:t>
      </w:r>
    </w:p>
    <w:p w14:paraId="4A6AD34E" w14:textId="77777777" w:rsidR="007114BD" w:rsidRPr="000B75AA" w:rsidRDefault="007114BD" w:rsidP="007114BD">
      <w:pPr>
        <w:spacing w:line="260" w:lineRule="atLeast"/>
        <w:jc w:val="both"/>
        <w:rPr>
          <w:color w:val="7030A0"/>
        </w:rPr>
      </w:pPr>
    </w:p>
    <w:p w14:paraId="7F392EDA" w14:textId="12EF6153" w:rsidR="007114BD" w:rsidRDefault="007114BD" w:rsidP="007114BD">
      <w:pPr>
        <w:spacing w:line="260" w:lineRule="atLeast"/>
        <w:jc w:val="both"/>
        <w:rPr>
          <w:iCs/>
          <w:color w:val="000000"/>
        </w:rPr>
      </w:pPr>
      <w:r w:rsidRPr="0087483C">
        <w:rPr>
          <w:iCs/>
          <w:color w:val="000000"/>
        </w:rPr>
        <w:t>Tabela: Izračun presežka prihodkov nad odhodki v skladu s 5.</w:t>
      </w:r>
      <w:r w:rsidR="000B75AA">
        <w:rPr>
          <w:iCs/>
          <w:color w:val="000000"/>
        </w:rPr>
        <w:t xml:space="preserve"> </w:t>
      </w:r>
      <w:r w:rsidRPr="0087483C">
        <w:rPr>
          <w:iCs/>
          <w:color w:val="000000"/>
        </w:rPr>
        <w:t>točko 9.i člena Zakona o javnih financah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69"/>
        <w:gridCol w:w="1263"/>
        <w:gridCol w:w="3825"/>
        <w:gridCol w:w="1267"/>
      </w:tblGrid>
      <w:tr w:rsidR="00790CAA" w:rsidRPr="006E63D4" w14:paraId="341A5454" w14:textId="77777777" w:rsidTr="006E63D4">
        <w:trPr>
          <w:trHeight w:val="376"/>
        </w:trPr>
        <w:tc>
          <w:tcPr>
            <w:tcW w:w="764" w:type="dxa"/>
            <w:shd w:val="clear" w:color="auto" w:fill="auto"/>
            <w:hideMark/>
          </w:tcPr>
          <w:p w14:paraId="4FC75808" w14:textId="77777777" w:rsidR="00790CAA" w:rsidRPr="006E63D4" w:rsidRDefault="00790CAA" w:rsidP="00131FC5">
            <w:pPr>
              <w:rPr>
                <w:b/>
                <w:iCs/>
                <w:sz w:val="18"/>
                <w:szCs w:val="22"/>
              </w:rPr>
            </w:pPr>
            <w:proofErr w:type="spellStart"/>
            <w:r w:rsidRPr="006E63D4">
              <w:rPr>
                <w:b/>
                <w:iCs/>
                <w:sz w:val="18"/>
                <w:szCs w:val="22"/>
              </w:rPr>
              <w:t>Zap</w:t>
            </w:r>
            <w:proofErr w:type="spellEnd"/>
            <w:r w:rsidRPr="006E63D4">
              <w:rPr>
                <w:b/>
                <w:iCs/>
                <w:sz w:val="18"/>
                <w:szCs w:val="22"/>
              </w:rPr>
              <w:t>. št.</w:t>
            </w:r>
          </w:p>
        </w:tc>
        <w:tc>
          <w:tcPr>
            <w:tcW w:w="1370" w:type="dxa"/>
            <w:shd w:val="clear" w:color="auto" w:fill="auto"/>
            <w:hideMark/>
          </w:tcPr>
          <w:p w14:paraId="2D89080B" w14:textId="0FE22316" w:rsidR="00790CAA" w:rsidRPr="006E63D4" w:rsidRDefault="00790CAA" w:rsidP="00131FC5">
            <w:pPr>
              <w:rPr>
                <w:b/>
                <w:iCs/>
                <w:sz w:val="18"/>
                <w:szCs w:val="22"/>
              </w:rPr>
            </w:pPr>
            <w:r w:rsidRPr="006E63D4">
              <w:rPr>
                <w:b/>
                <w:iCs/>
                <w:sz w:val="18"/>
                <w:szCs w:val="22"/>
              </w:rPr>
              <w:t>Konto</w:t>
            </w:r>
          </w:p>
        </w:tc>
        <w:tc>
          <w:tcPr>
            <w:tcW w:w="1263" w:type="dxa"/>
          </w:tcPr>
          <w:p w14:paraId="73216375" w14:textId="062E6647" w:rsidR="00790CAA" w:rsidRPr="006E63D4" w:rsidRDefault="00790CAA" w:rsidP="00131FC5">
            <w:pPr>
              <w:jc w:val="both"/>
              <w:rPr>
                <w:b/>
                <w:iCs/>
                <w:sz w:val="18"/>
                <w:szCs w:val="22"/>
              </w:rPr>
            </w:pPr>
            <w:r w:rsidRPr="006E63D4">
              <w:rPr>
                <w:b/>
                <w:iCs/>
                <w:sz w:val="18"/>
                <w:szCs w:val="22"/>
              </w:rPr>
              <w:t>Oznaka AOP</w:t>
            </w:r>
          </w:p>
        </w:tc>
        <w:tc>
          <w:tcPr>
            <w:tcW w:w="3828" w:type="dxa"/>
            <w:shd w:val="clear" w:color="auto" w:fill="auto"/>
            <w:hideMark/>
          </w:tcPr>
          <w:p w14:paraId="7D065F5D" w14:textId="493436A6" w:rsidR="00790CAA" w:rsidRPr="006E63D4" w:rsidRDefault="00790CAA" w:rsidP="00131FC5">
            <w:pPr>
              <w:jc w:val="both"/>
              <w:rPr>
                <w:b/>
                <w:iCs/>
                <w:sz w:val="18"/>
                <w:szCs w:val="22"/>
              </w:rPr>
            </w:pPr>
            <w:r w:rsidRPr="006E63D4">
              <w:rPr>
                <w:b/>
                <w:iCs/>
                <w:sz w:val="18"/>
                <w:szCs w:val="22"/>
              </w:rPr>
              <w:t>Vsebina računovodske postavke</w:t>
            </w:r>
          </w:p>
        </w:tc>
        <w:tc>
          <w:tcPr>
            <w:tcW w:w="1263" w:type="dxa"/>
            <w:shd w:val="clear" w:color="auto" w:fill="auto"/>
            <w:hideMark/>
          </w:tcPr>
          <w:p w14:paraId="78857D06" w14:textId="77777777" w:rsidR="00790CAA" w:rsidRPr="006E63D4" w:rsidRDefault="00790CAA" w:rsidP="00131FC5">
            <w:pPr>
              <w:rPr>
                <w:b/>
                <w:iCs/>
                <w:sz w:val="18"/>
                <w:szCs w:val="22"/>
              </w:rPr>
            </w:pPr>
            <w:r w:rsidRPr="006E63D4">
              <w:rPr>
                <w:b/>
                <w:iCs/>
                <w:sz w:val="18"/>
                <w:szCs w:val="22"/>
              </w:rPr>
              <w:t xml:space="preserve">   Znesek</w:t>
            </w:r>
          </w:p>
        </w:tc>
      </w:tr>
      <w:tr w:rsidR="00790CAA" w:rsidRPr="006E63D4" w14:paraId="739D81EC" w14:textId="77777777" w:rsidTr="006E63D4">
        <w:trPr>
          <w:trHeight w:val="420"/>
        </w:trPr>
        <w:tc>
          <w:tcPr>
            <w:tcW w:w="764" w:type="dxa"/>
            <w:shd w:val="clear" w:color="auto" w:fill="auto"/>
            <w:hideMark/>
          </w:tcPr>
          <w:p w14:paraId="7121EBCF" w14:textId="77777777" w:rsidR="00790CAA" w:rsidRPr="006E63D4" w:rsidRDefault="00790CAA" w:rsidP="00131FC5">
            <w:pPr>
              <w:rPr>
                <w:iCs/>
                <w:sz w:val="18"/>
                <w:szCs w:val="22"/>
              </w:rPr>
            </w:pPr>
            <w:r w:rsidRPr="006E63D4">
              <w:rPr>
                <w:iCs/>
                <w:sz w:val="18"/>
                <w:szCs w:val="22"/>
              </w:rPr>
              <w:t>1.</w:t>
            </w:r>
          </w:p>
        </w:tc>
        <w:tc>
          <w:tcPr>
            <w:tcW w:w="1370" w:type="dxa"/>
            <w:shd w:val="clear" w:color="auto" w:fill="auto"/>
            <w:hideMark/>
          </w:tcPr>
          <w:p w14:paraId="3D606779" w14:textId="503C1A63" w:rsidR="00790CAA" w:rsidRPr="006E63D4" w:rsidRDefault="00790CAA" w:rsidP="00131FC5">
            <w:pPr>
              <w:rPr>
                <w:iCs/>
                <w:sz w:val="16"/>
                <w:szCs w:val="20"/>
              </w:rPr>
            </w:pPr>
            <w:r w:rsidRPr="006E63D4">
              <w:rPr>
                <w:iCs/>
                <w:sz w:val="16"/>
                <w:szCs w:val="20"/>
              </w:rPr>
              <w:t>71, 72, 73, 74, 78</w:t>
            </w:r>
          </w:p>
        </w:tc>
        <w:tc>
          <w:tcPr>
            <w:tcW w:w="1263" w:type="dxa"/>
          </w:tcPr>
          <w:p w14:paraId="6139887D" w14:textId="528EFBB8" w:rsidR="00790CAA" w:rsidRPr="006E63D4" w:rsidRDefault="00790CAA" w:rsidP="00131FC5">
            <w:pPr>
              <w:jc w:val="both"/>
              <w:rPr>
                <w:iCs/>
                <w:sz w:val="16"/>
                <w:szCs w:val="20"/>
              </w:rPr>
            </w:pPr>
            <w:r w:rsidRPr="006E63D4">
              <w:rPr>
                <w:iCs/>
                <w:sz w:val="16"/>
                <w:szCs w:val="20"/>
              </w:rPr>
              <w:t>401</w:t>
            </w:r>
          </w:p>
        </w:tc>
        <w:tc>
          <w:tcPr>
            <w:tcW w:w="3828" w:type="dxa"/>
            <w:shd w:val="clear" w:color="auto" w:fill="auto"/>
            <w:hideMark/>
          </w:tcPr>
          <w:p w14:paraId="366E6FCA" w14:textId="62F16195" w:rsidR="00790CAA" w:rsidRPr="006E63D4" w:rsidRDefault="00790CAA" w:rsidP="00131FC5">
            <w:pPr>
              <w:jc w:val="both"/>
              <w:rPr>
                <w:iCs/>
                <w:sz w:val="18"/>
                <w:szCs w:val="22"/>
              </w:rPr>
            </w:pPr>
            <w:r w:rsidRPr="006E63D4">
              <w:rPr>
                <w:iCs/>
                <w:sz w:val="18"/>
                <w:szCs w:val="22"/>
              </w:rPr>
              <w:t>Prihodki po denarnem toku</w:t>
            </w:r>
          </w:p>
        </w:tc>
        <w:tc>
          <w:tcPr>
            <w:tcW w:w="1263" w:type="dxa"/>
            <w:shd w:val="clear" w:color="auto" w:fill="auto"/>
            <w:vAlign w:val="center"/>
            <w:hideMark/>
          </w:tcPr>
          <w:p w14:paraId="45C36243" w14:textId="5E3542A0" w:rsidR="00790CAA" w:rsidRPr="006E63D4" w:rsidRDefault="00790CAA" w:rsidP="00131FC5">
            <w:pPr>
              <w:jc w:val="right"/>
              <w:rPr>
                <w:iCs/>
                <w:sz w:val="18"/>
                <w:szCs w:val="22"/>
              </w:rPr>
            </w:pPr>
            <w:r w:rsidRPr="006E63D4">
              <w:rPr>
                <w:iCs/>
                <w:sz w:val="18"/>
                <w:szCs w:val="22"/>
              </w:rPr>
              <w:t>2.523.723,50</w:t>
            </w:r>
          </w:p>
        </w:tc>
      </w:tr>
      <w:tr w:rsidR="00790CAA" w:rsidRPr="006E63D4" w14:paraId="1259E8C1" w14:textId="77777777" w:rsidTr="006E63D4">
        <w:trPr>
          <w:trHeight w:val="420"/>
        </w:trPr>
        <w:tc>
          <w:tcPr>
            <w:tcW w:w="764" w:type="dxa"/>
            <w:shd w:val="clear" w:color="auto" w:fill="auto"/>
            <w:hideMark/>
          </w:tcPr>
          <w:p w14:paraId="7C8E35EA" w14:textId="77777777" w:rsidR="00790CAA" w:rsidRPr="006E63D4" w:rsidRDefault="00790CAA" w:rsidP="00131FC5">
            <w:pPr>
              <w:rPr>
                <w:iCs/>
                <w:sz w:val="18"/>
                <w:szCs w:val="22"/>
              </w:rPr>
            </w:pPr>
            <w:r w:rsidRPr="006E63D4">
              <w:rPr>
                <w:iCs/>
                <w:sz w:val="18"/>
                <w:szCs w:val="22"/>
              </w:rPr>
              <w:t>2.</w:t>
            </w:r>
          </w:p>
        </w:tc>
        <w:tc>
          <w:tcPr>
            <w:tcW w:w="1370" w:type="dxa"/>
            <w:shd w:val="clear" w:color="auto" w:fill="auto"/>
            <w:hideMark/>
          </w:tcPr>
          <w:p w14:paraId="76B74385" w14:textId="351422A0" w:rsidR="00790CAA" w:rsidRPr="006E63D4" w:rsidRDefault="00790CAA" w:rsidP="00131FC5">
            <w:pPr>
              <w:rPr>
                <w:iCs/>
                <w:sz w:val="16"/>
                <w:szCs w:val="20"/>
              </w:rPr>
            </w:pPr>
            <w:r w:rsidRPr="006E63D4">
              <w:rPr>
                <w:iCs/>
                <w:sz w:val="16"/>
                <w:szCs w:val="20"/>
              </w:rPr>
              <w:t>40, 41, 42, 43, 45</w:t>
            </w:r>
          </w:p>
        </w:tc>
        <w:tc>
          <w:tcPr>
            <w:tcW w:w="1263" w:type="dxa"/>
          </w:tcPr>
          <w:p w14:paraId="6F499A83" w14:textId="34519AC6" w:rsidR="00790CAA" w:rsidRPr="006E63D4" w:rsidRDefault="00790CAA" w:rsidP="00131FC5">
            <w:pPr>
              <w:jc w:val="both"/>
              <w:rPr>
                <w:iCs/>
                <w:sz w:val="16"/>
                <w:szCs w:val="20"/>
              </w:rPr>
            </w:pPr>
            <w:r w:rsidRPr="006E63D4">
              <w:rPr>
                <w:iCs/>
                <w:sz w:val="16"/>
                <w:szCs w:val="20"/>
              </w:rPr>
              <w:t>437</w:t>
            </w:r>
          </w:p>
        </w:tc>
        <w:tc>
          <w:tcPr>
            <w:tcW w:w="3828" w:type="dxa"/>
            <w:shd w:val="clear" w:color="auto" w:fill="auto"/>
            <w:hideMark/>
          </w:tcPr>
          <w:p w14:paraId="6FA64CB6" w14:textId="77360ACF" w:rsidR="00790CAA" w:rsidRPr="006E63D4" w:rsidRDefault="00790CAA" w:rsidP="00131FC5">
            <w:pPr>
              <w:jc w:val="both"/>
              <w:rPr>
                <w:iCs/>
                <w:sz w:val="18"/>
                <w:szCs w:val="22"/>
              </w:rPr>
            </w:pPr>
            <w:r w:rsidRPr="006E63D4">
              <w:rPr>
                <w:iCs/>
                <w:sz w:val="18"/>
                <w:szCs w:val="22"/>
              </w:rPr>
              <w:t>Odhodki po denarnem toku</w:t>
            </w:r>
          </w:p>
        </w:tc>
        <w:tc>
          <w:tcPr>
            <w:tcW w:w="1263" w:type="dxa"/>
            <w:shd w:val="clear" w:color="auto" w:fill="auto"/>
            <w:vAlign w:val="center"/>
          </w:tcPr>
          <w:p w14:paraId="59D9C4A6" w14:textId="3B394F33" w:rsidR="00790CAA" w:rsidRPr="006E63D4" w:rsidRDefault="00790CAA" w:rsidP="00131FC5">
            <w:pPr>
              <w:jc w:val="right"/>
              <w:rPr>
                <w:iCs/>
                <w:sz w:val="18"/>
                <w:szCs w:val="22"/>
              </w:rPr>
            </w:pPr>
            <w:r w:rsidRPr="006E63D4">
              <w:rPr>
                <w:iCs/>
                <w:sz w:val="18"/>
                <w:szCs w:val="22"/>
              </w:rPr>
              <w:t>2.521.610,96</w:t>
            </w:r>
          </w:p>
        </w:tc>
      </w:tr>
      <w:tr w:rsidR="00790CAA" w:rsidRPr="006E63D4" w14:paraId="4AE3C7FF" w14:textId="77777777" w:rsidTr="006E63D4">
        <w:trPr>
          <w:trHeight w:val="420"/>
        </w:trPr>
        <w:tc>
          <w:tcPr>
            <w:tcW w:w="764" w:type="dxa"/>
            <w:shd w:val="clear" w:color="auto" w:fill="auto"/>
            <w:hideMark/>
          </w:tcPr>
          <w:p w14:paraId="1E42DC6D" w14:textId="77777777" w:rsidR="00790CAA" w:rsidRPr="006E63D4" w:rsidRDefault="00790CAA" w:rsidP="00131FC5">
            <w:pPr>
              <w:rPr>
                <w:iCs/>
                <w:sz w:val="18"/>
                <w:szCs w:val="22"/>
              </w:rPr>
            </w:pPr>
            <w:r w:rsidRPr="006E63D4">
              <w:rPr>
                <w:iCs/>
                <w:sz w:val="18"/>
                <w:szCs w:val="22"/>
              </w:rPr>
              <w:t>3.</w:t>
            </w:r>
          </w:p>
        </w:tc>
        <w:tc>
          <w:tcPr>
            <w:tcW w:w="1370" w:type="dxa"/>
            <w:shd w:val="clear" w:color="auto" w:fill="auto"/>
            <w:hideMark/>
          </w:tcPr>
          <w:p w14:paraId="060F10CD" w14:textId="77777777" w:rsidR="00790CAA" w:rsidRPr="006E63D4" w:rsidRDefault="00790CAA" w:rsidP="00131FC5">
            <w:pPr>
              <w:rPr>
                <w:iCs/>
                <w:sz w:val="16"/>
                <w:szCs w:val="20"/>
              </w:rPr>
            </w:pPr>
            <w:r w:rsidRPr="006E63D4">
              <w:rPr>
                <w:iCs/>
                <w:sz w:val="16"/>
                <w:szCs w:val="20"/>
              </w:rPr>
              <w:t>(3 = 1 - 2)</w:t>
            </w:r>
          </w:p>
        </w:tc>
        <w:tc>
          <w:tcPr>
            <w:tcW w:w="1263" w:type="dxa"/>
          </w:tcPr>
          <w:p w14:paraId="68CCC27F" w14:textId="2C8EB834" w:rsidR="00790CAA" w:rsidRPr="006E63D4" w:rsidRDefault="00790CAA" w:rsidP="00131FC5">
            <w:pPr>
              <w:jc w:val="both"/>
              <w:rPr>
                <w:iCs/>
                <w:sz w:val="16"/>
                <w:szCs w:val="20"/>
              </w:rPr>
            </w:pPr>
            <w:r w:rsidRPr="006E63D4">
              <w:rPr>
                <w:iCs/>
                <w:sz w:val="16"/>
                <w:szCs w:val="20"/>
              </w:rPr>
              <w:t>485 ali 486</w:t>
            </w:r>
          </w:p>
        </w:tc>
        <w:tc>
          <w:tcPr>
            <w:tcW w:w="3828" w:type="dxa"/>
            <w:shd w:val="clear" w:color="auto" w:fill="auto"/>
            <w:hideMark/>
          </w:tcPr>
          <w:p w14:paraId="0B043BBA" w14:textId="28A82BA6" w:rsidR="00790CAA" w:rsidRPr="006E63D4" w:rsidRDefault="00790CAA" w:rsidP="00131FC5">
            <w:pPr>
              <w:jc w:val="both"/>
              <w:rPr>
                <w:iCs/>
                <w:sz w:val="18"/>
                <w:szCs w:val="22"/>
              </w:rPr>
            </w:pPr>
            <w:r w:rsidRPr="006E63D4">
              <w:rPr>
                <w:iCs/>
                <w:sz w:val="18"/>
                <w:szCs w:val="22"/>
              </w:rPr>
              <w:t>Presežek prihodkov</w:t>
            </w:r>
            <w:r w:rsidR="008A6124" w:rsidRPr="006E63D4">
              <w:rPr>
                <w:iCs/>
                <w:sz w:val="18"/>
                <w:szCs w:val="22"/>
              </w:rPr>
              <w:t xml:space="preserve"> ali presežek odhodkov</w:t>
            </w:r>
            <w:r w:rsidRPr="006E63D4">
              <w:rPr>
                <w:iCs/>
                <w:sz w:val="18"/>
                <w:szCs w:val="22"/>
              </w:rPr>
              <w:t xml:space="preserve"> po načelu denarnega toka</w:t>
            </w:r>
          </w:p>
        </w:tc>
        <w:tc>
          <w:tcPr>
            <w:tcW w:w="1263" w:type="dxa"/>
            <w:shd w:val="clear" w:color="auto" w:fill="auto"/>
            <w:vAlign w:val="center"/>
            <w:hideMark/>
          </w:tcPr>
          <w:p w14:paraId="3C740B56" w14:textId="33C6C594" w:rsidR="00790CAA" w:rsidRPr="006E63D4" w:rsidRDefault="008A6124" w:rsidP="00131FC5">
            <w:pPr>
              <w:jc w:val="right"/>
              <w:rPr>
                <w:iCs/>
                <w:sz w:val="18"/>
                <w:szCs w:val="22"/>
              </w:rPr>
            </w:pPr>
            <w:r w:rsidRPr="006E63D4">
              <w:rPr>
                <w:iCs/>
                <w:sz w:val="18"/>
                <w:szCs w:val="22"/>
              </w:rPr>
              <w:t>2.112,54</w:t>
            </w:r>
          </w:p>
        </w:tc>
      </w:tr>
      <w:tr w:rsidR="00790CAA" w:rsidRPr="006E63D4" w14:paraId="131CEE72" w14:textId="77777777" w:rsidTr="006E63D4">
        <w:trPr>
          <w:trHeight w:val="510"/>
        </w:trPr>
        <w:tc>
          <w:tcPr>
            <w:tcW w:w="764" w:type="dxa"/>
            <w:shd w:val="clear" w:color="auto" w:fill="auto"/>
            <w:hideMark/>
          </w:tcPr>
          <w:p w14:paraId="1F7C4EBE" w14:textId="77777777" w:rsidR="00790CAA" w:rsidRPr="006E63D4" w:rsidRDefault="00790CAA" w:rsidP="00131FC5">
            <w:pPr>
              <w:rPr>
                <w:iCs/>
                <w:sz w:val="18"/>
                <w:szCs w:val="22"/>
              </w:rPr>
            </w:pPr>
            <w:r w:rsidRPr="006E63D4">
              <w:rPr>
                <w:iCs/>
                <w:sz w:val="18"/>
                <w:szCs w:val="22"/>
              </w:rPr>
              <w:t>4.</w:t>
            </w:r>
          </w:p>
        </w:tc>
        <w:tc>
          <w:tcPr>
            <w:tcW w:w="1370" w:type="dxa"/>
            <w:shd w:val="clear" w:color="auto" w:fill="auto"/>
            <w:hideMark/>
          </w:tcPr>
          <w:p w14:paraId="7EE57EF9" w14:textId="14242058" w:rsidR="00790CAA" w:rsidRPr="006E63D4" w:rsidRDefault="008A6124" w:rsidP="00131FC5">
            <w:pPr>
              <w:rPr>
                <w:iCs/>
                <w:sz w:val="16"/>
                <w:szCs w:val="20"/>
              </w:rPr>
            </w:pPr>
            <w:r w:rsidRPr="006E63D4">
              <w:rPr>
                <w:iCs/>
                <w:sz w:val="16"/>
                <w:szCs w:val="20"/>
              </w:rPr>
              <w:t>75</w:t>
            </w:r>
          </w:p>
        </w:tc>
        <w:tc>
          <w:tcPr>
            <w:tcW w:w="1263" w:type="dxa"/>
          </w:tcPr>
          <w:p w14:paraId="63B55148" w14:textId="180F3BAE" w:rsidR="00790CAA" w:rsidRPr="006E63D4" w:rsidRDefault="008A6124" w:rsidP="00131FC5">
            <w:pPr>
              <w:jc w:val="both"/>
              <w:rPr>
                <w:iCs/>
                <w:sz w:val="16"/>
                <w:szCs w:val="20"/>
              </w:rPr>
            </w:pPr>
            <w:r w:rsidRPr="006E63D4">
              <w:rPr>
                <w:iCs/>
                <w:sz w:val="16"/>
                <w:szCs w:val="20"/>
              </w:rPr>
              <w:t>500</w:t>
            </w:r>
          </w:p>
        </w:tc>
        <w:tc>
          <w:tcPr>
            <w:tcW w:w="3828" w:type="dxa"/>
            <w:shd w:val="clear" w:color="auto" w:fill="auto"/>
            <w:hideMark/>
          </w:tcPr>
          <w:p w14:paraId="45452040" w14:textId="3E45E47E" w:rsidR="00790CAA" w:rsidRPr="006E63D4" w:rsidRDefault="008A6124" w:rsidP="00131FC5">
            <w:pPr>
              <w:jc w:val="both"/>
              <w:rPr>
                <w:iCs/>
                <w:sz w:val="18"/>
                <w:szCs w:val="22"/>
              </w:rPr>
            </w:pPr>
            <w:r w:rsidRPr="006E63D4">
              <w:rPr>
                <w:iCs/>
                <w:sz w:val="18"/>
                <w:szCs w:val="22"/>
              </w:rPr>
              <w:t>Prejeta vračila danih posojil in prodaja kapitalskih deležev</w:t>
            </w:r>
          </w:p>
        </w:tc>
        <w:tc>
          <w:tcPr>
            <w:tcW w:w="1263" w:type="dxa"/>
            <w:shd w:val="clear" w:color="auto" w:fill="auto"/>
            <w:vAlign w:val="center"/>
            <w:hideMark/>
          </w:tcPr>
          <w:p w14:paraId="07F31297" w14:textId="1CF22AC0" w:rsidR="00790CAA" w:rsidRPr="006E63D4" w:rsidRDefault="008A6124" w:rsidP="00131FC5">
            <w:pPr>
              <w:jc w:val="right"/>
              <w:rPr>
                <w:iCs/>
                <w:sz w:val="18"/>
                <w:szCs w:val="22"/>
              </w:rPr>
            </w:pPr>
            <w:r w:rsidRPr="006E63D4">
              <w:rPr>
                <w:iCs/>
                <w:sz w:val="18"/>
                <w:szCs w:val="22"/>
              </w:rPr>
              <w:t>-</w:t>
            </w:r>
          </w:p>
        </w:tc>
      </w:tr>
      <w:tr w:rsidR="008A6124" w:rsidRPr="006E63D4" w14:paraId="49B36525" w14:textId="77777777" w:rsidTr="006E63D4">
        <w:trPr>
          <w:trHeight w:val="510"/>
        </w:trPr>
        <w:tc>
          <w:tcPr>
            <w:tcW w:w="764" w:type="dxa"/>
            <w:shd w:val="clear" w:color="auto" w:fill="auto"/>
          </w:tcPr>
          <w:p w14:paraId="0029E48D" w14:textId="542D10FA" w:rsidR="008A6124" w:rsidRPr="006E63D4" w:rsidRDefault="008A6124" w:rsidP="00131FC5">
            <w:pPr>
              <w:rPr>
                <w:iCs/>
                <w:sz w:val="18"/>
                <w:szCs w:val="22"/>
              </w:rPr>
            </w:pPr>
            <w:r w:rsidRPr="006E63D4">
              <w:rPr>
                <w:iCs/>
                <w:sz w:val="18"/>
                <w:szCs w:val="22"/>
              </w:rPr>
              <w:t>5.</w:t>
            </w:r>
          </w:p>
        </w:tc>
        <w:tc>
          <w:tcPr>
            <w:tcW w:w="1370" w:type="dxa"/>
            <w:shd w:val="clear" w:color="auto" w:fill="auto"/>
          </w:tcPr>
          <w:p w14:paraId="6231B489" w14:textId="330983D1" w:rsidR="008A6124" w:rsidRPr="006E63D4" w:rsidRDefault="008A6124" w:rsidP="00131FC5">
            <w:pPr>
              <w:rPr>
                <w:iCs/>
                <w:sz w:val="16"/>
                <w:szCs w:val="20"/>
              </w:rPr>
            </w:pPr>
            <w:r w:rsidRPr="006E63D4">
              <w:rPr>
                <w:iCs/>
                <w:sz w:val="16"/>
                <w:szCs w:val="20"/>
              </w:rPr>
              <w:t>44</w:t>
            </w:r>
          </w:p>
        </w:tc>
        <w:tc>
          <w:tcPr>
            <w:tcW w:w="1263" w:type="dxa"/>
          </w:tcPr>
          <w:p w14:paraId="27E7D845" w14:textId="2032D58E" w:rsidR="008A6124" w:rsidRPr="006E63D4" w:rsidRDefault="008A6124" w:rsidP="00131FC5">
            <w:pPr>
              <w:jc w:val="both"/>
              <w:rPr>
                <w:iCs/>
                <w:sz w:val="16"/>
                <w:szCs w:val="20"/>
              </w:rPr>
            </w:pPr>
            <w:r w:rsidRPr="006E63D4">
              <w:rPr>
                <w:iCs/>
                <w:sz w:val="16"/>
                <w:szCs w:val="20"/>
              </w:rPr>
              <w:t>512</w:t>
            </w:r>
          </w:p>
        </w:tc>
        <w:tc>
          <w:tcPr>
            <w:tcW w:w="3828" w:type="dxa"/>
            <w:shd w:val="clear" w:color="auto" w:fill="auto"/>
          </w:tcPr>
          <w:p w14:paraId="04609188" w14:textId="1FE9E5D9" w:rsidR="008A6124" w:rsidRPr="006E63D4" w:rsidRDefault="008A6124" w:rsidP="00131FC5">
            <w:pPr>
              <w:jc w:val="both"/>
              <w:rPr>
                <w:iCs/>
                <w:sz w:val="18"/>
                <w:szCs w:val="22"/>
              </w:rPr>
            </w:pPr>
            <w:r w:rsidRPr="006E63D4">
              <w:rPr>
                <w:iCs/>
                <w:sz w:val="18"/>
                <w:szCs w:val="22"/>
              </w:rPr>
              <w:t>Dana posojila in povečanje kapitalskih deležev</w:t>
            </w:r>
          </w:p>
        </w:tc>
        <w:tc>
          <w:tcPr>
            <w:tcW w:w="1263" w:type="dxa"/>
            <w:shd w:val="clear" w:color="auto" w:fill="auto"/>
            <w:vAlign w:val="center"/>
          </w:tcPr>
          <w:p w14:paraId="07BBC64E" w14:textId="6B237A2A" w:rsidR="008A6124" w:rsidRPr="006E63D4" w:rsidRDefault="008A6124" w:rsidP="00131FC5">
            <w:pPr>
              <w:jc w:val="right"/>
              <w:rPr>
                <w:iCs/>
                <w:sz w:val="18"/>
                <w:szCs w:val="22"/>
              </w:rPr>
            </w:pPr>
            <w:r w:rsidRPr="006E63D4">
              <w:rPr>
                <w:iCs/>
                <w:sz w:val="18"/>
                <w:szCs w:val="22"/>
              </w:rPr>
              <w:t>-</w:t>
            </w:r>
          </w:p>
        </w:tc>
      </w:tr>
      <w:tr w:rsidR="008A6124" w:rsidRPr="006E63D4" w14:paraId="4BBBE8C9" w14:textId="77777777" w:rsidTr="006E63D4">
        <w:trPr>
          <w:trHeight w:val="510"/>
        </w:trPr>
        <w:tc>
          <w:tcPr>
            <w:tcW w:w="764" w:type="dxa"/>
            <w:shd w:val="clear" w:color="auto" w:fill="auto"/>
          </w:tcPr>
          <w:p w14:paraId="36AA965C" w14:textId="242E80CD" w:rsidR="008A6124" w:rsidRPr="006E63D4" w:rsidRDefault="008A6124" w:rsidP="00131FC5">
            <w:pPr>
              <w:rPr>
                <w:iCs/>
                <w:sz w:val="18"/>
                <w:szCs w:val="22"/>
              </w:rPr>
            </w:pPr>
            <w:r w:rsidRPr="006E63D4">
              <w:rPr>
                <w:iCs/>
                <w:sz w:val="18"/>
                <w:szCs w:val="22"/>
              </w:rPr>
              <w:t>6.</w:t>
            </w:r>
          </w:p>
        </w:tc>
        <w:tc>
          <w:tcPr>
            <w:tcW w:w="1370" w:type="dxa"/>
            <w:shd w:val="clear" w:color="auto" w:fill="auto"/>
          </w:tcPr>
          <w:p w14:paraId="4957162C" w14:textId="5659955E" w:rsidR="008A6124" w:rsidRPr="006E63D4" w:rsidRDefault="008A6124" w:rsidP="00131FC5">
            <w:pPr>
              <w:rPr>
                <w:iCs/>
                <w:sz w:val="16"/>
                <w:szCs w:val="20"/>
              </w:rPr>
            </w:pPr>
            <w:r w:rsidRPr="006E63D4">
              <w:rPr>
                <w:iCs/>
                <w:sz w:val="16"/>
                <w:szCs w:val="20"/>
              </w:rPr>
              <w:t>6=4-5</w:t>
            </w:r>
          </w:p>
        </w:tc>
        <w:tc>
          <w:tcPr>
            <w:tcW w:w="1263" w:type="dxa"/>
          </w:tcPr>
          <w:p w14:paraId="2CFA6C27" w14:textId="6513A77F" w:rsidR="008A6124" w:rsidRPr="006E63D4" w:rsidRDefault="008A6124" w:rsidP="00131FC5">
            <w:pPr>
              <w:jc w:val="both"/>
              <w:rPr>
                <w:iCs/>
                <w:sz w:val="16"/>
                <w:szCs w:val="20"/>
              </w:rPr>
            </w:pPr>
            <w:r w:rsidRPr="006E63D4">
              <w:rPr>
                <w:iCs/>
                <w:sz w:val="16"/>
                <w:szCs w:val="20"/>
              </w:rPr>
              <w:t>524 ali 525</w:t>
            </w:r>
          </w:p>
        </w:tc>
        <w:tc>
          <w:tcPr>
            <w:tcW w:w="3828" w:type="dxa"/>
            <w:shd w:val="clear" w:color="auto" w:fill="auto"/>
          </w:tcPr>
          <w:p w14:paraId="1E13E9AA" w14:textId="3644676F" w:rsidR="008A6124" w:rsidRPr="006E63D4" w:rsidRDefault="008A6124" w:rsidP="00131FC5">
            <w:pPr>
              <w:jc w:val="both"/>
              <w:rPr>
                <w:iCs/>
                <w:sz w:val="18"/>
                <w:szCs w:val="22"/>
              </w:rPr>
            </w:pPr>
            <w:r w:rsidRPr="006E63D4">
              <w:rPr>
                <w:iCs/>
                <w:sz w:val="18"/>
                <w:szCs w:val="22"/>
              </w:rPr>
              <w:t>Razlika med prejetimi in danimi sredstvi iz finančnih naložb</w:t>
            </w:r>
          </w:p>
        </w:tc>
        <w:tc>
          <w:tcPr>
            <w:tcW w:w="1263" w:type="dxa"/>
            <w:shd w:val="clear" w:color="auto" w:fill="auto"/>
            <w:vAlign w:val="center"/>
          </w:tcPr>
          <w:p w14:paraId="7CF7DBE5" w14:textId="7940EBE1" w:rsidR="008A6124" w:rsidRPr="006E63D4" w:rsidRDefault="008A6124" w:rsidP="00131FC5">
            <w:pPr>
              <w:jc w:val="right"/>
              <w:rPr>
                <w:iCs/>
                <w:sz w:val="18"/>
                <w:szCs w:val="22"/>
              </w:rPr>
            </w:pPr>
            <w:r w:rsidRPr="006E63D4">
              <w:rPr>
                <w:iCs/>
                <w:sz w:val="18"/>
                <w:szCs w:val="22"/>
              </w:rPr>
              <w:t>-</w:t>
            </w:r>
          </w:p>
        </w:tc>
      </w:tr>
      <w:tr w:rsidR="008A6124" w:rsidRPr="006E63D4" w14:paraId="6534A09A" w14:textId="77777777" w:rsidTr="006E63D4">
        <w:trPr>
          <w:trHeight w:val="510"/>
        </w:trPr>
        <w:tc>
          <w:tcPr>
            <w:tcW w:w="764" w:type="dxa"/>
            <w:shd w:val="clear" w:color="auto" w:fill="auto"/>
          </w:tcPr>
          <w:p w14:paraId="393B9882" w14:textId="0207ADF2" w:rsidR="008A6124" w:rsidRPr="006E63D4" w:rsidRDefault="008A6124" w:rsidP="00131FC5">
            <w:pPr>
              <w:rPr>
                <w:iCs/>
                <w:sz w:val="18"/>
                <w:szCs w:val="22"/>
              </w:rPr>
            </w:pPr>
            <w:r w:rsidRPr="006E63D4">
              <w:rPr>
                <w:iCs/>
                <w:sz w:val="18"/>
                <w:szCs w:val="22"/>
              </w:rPr>
              <w:t>7.</w:t>
            </w:r>
          </w:p>
        </w:tc>
        <w:tc>
          <w:tcPr>
            <w:tcW w:w="1370" w:type="dxa"/>
            <w:shd w:val="clear" w:color="auto" w:fill="auto"/>
          </w:tcPr>
          <w:p w14:paraId="3E567550" w14:textId="621E1E09" w:rsidR="008A6124" w:rsidRPr="006E63D4" w:rsidRDefault="008A6124" w:rsidP="00131FC5">
            <w:pPr>
              <w:rPr>
                <w:iCs/>
                <w:sz w:val="16"/>
                <w:szCs w:val="20"/>
              </w:rPr>
            </w:pPr>
            <w:r w:rsidRPr="006E63D4">
              <w:rPr>
                <w:iCs/>
                <w:sz w:val="16"/>
                <w:szCs w:val="20"/>
              </w:rPr>
              <w:t>50</w:t>
            </w:r>
          </w:p>
        </w:tc>
        <w:tc>
          <w:tcPr>
            <w:tcW w:w="1263" w:type="dxa"/>
          </w:tcPr>
          <w:p w14:paraId="15DF5FD9" w14:textId="65379632" w:rsidR="008A6124" w:rsidRPr="006E63D4" w:rsidRDefault="008A6124" w:rsidP="00131FC5">
            <w:pPr>
              <w:jc w:val="both"/>
              <w:rPr>
                <w:iCs/>
                <w:sz w:val="16"/>
                <w:szCs w:val="20"/>
              </w:rPr>
            </w:pPr>
            <w:r w:rsidRPr="006E63D4">
              <w:rPr>
                <w:iCs/>
                <w:sz w:val="16"/>
                <w:szCs w:val="20"/>
              </w:rPr>
              <w:t>550</w:t>
            </w:r>
          </w:p>
        </w:tc>
        <w:tc>
          <w:tcPr>
            <w:tcW w:w="3828" w:type="dxa"/>
            <w:shd w:val="clear" w:color="auto" w:fill="auto"/>
          </w:tcPr>
          <w:p w14:paraId="356CBCE2" w14:textId="244FFFAC" w:rsidR="008A6124" w:rsidRPr="006E63D4" w:rsidRDefault="008A6124" w:rsidP="00131FC5">
            <w:pPr>
              <w:jc w:val="both"/>
              <w:rPr>
                <w:iCs/>
                <w:sz w:val="18"/>
                <w:szCs w:val="22"/>
              </w:rPr>
            </w:pPr>
            <w:r w:rsidRPr="006E63D4">
              <w:rPr>
                <w:iCs/>
                <w:sz w:val="18"/>
                <w:szCs w:val="22"/>
              </w:rPr>
              <w:t>Zadolževanje</w:t>
            </w:r>
          </w:p>
        </w:tc>
        <w:tc>
          <w:tcPr>
            <w:tcW w:w="1263" w:type="dxa"/>
            <w:shd w:val="clear" w:color="auto" w:fill="auto"/>
            <w:vAlign w:val="center"/>
          </w:tcPr>
          <w:p w14:paraId="2796F4A8" w14:textId="2C103A55" w:rsidR="008A6124" w:rsidRPr="006E63D4" w:rsidRDefault="008A6124" w:rsidP="00131FC5">
            <w:pPr>
              <w:jc w:val="right"/>
              <w:rPr>
                <w:iCs/>
                <w:sz w:val="18"/>
                <w:szCs w:val="22"/>
              </w:rPr>
            </w:pPr>
            <w:r w:rsidRPr="006E63D4">
              <w:rPr>
                <w:iCs/>
                <w:sz w:val="18"/>
                <w:szCs w:val="22"/>
              </w:rPr>
              <w:t>-</w:t>
            </w:r>
          </w:p>
        </w:tc>
      </w:tr>
      <w:tr w:rsidR="008A6124" w:rsidRPr="006E63D4" w14:paraId="4F22659F" w14:textId="77777777" w:rsidTr="006E63D4">
        <w:trPr>
          <w:trHeight w:val="510"/>
        </w:trPr>
        <w:tc>
          <w:tcPr>
            <w:tcW w:w="764" w:type="dxa"/>
            <w:shd w:val="clear" w:color="auto" w:fill="auto"/>
          </w:tcPr>
          <w:p w14:paraId="5AF6E6E5" w14:textId="48F0E00D" w:rsidR="008A6124" w:rsidRPr="006E63D4" w:rsidRDefault="008A6124" w:rsidP="00131FC5">
            <w:pPr>
              <w:rPr>
                <w:iCs/>
                <w:sz w:val="18"/>
                <w:szCs w:val="22"/>
              </w:rPr>
            </w:pPr>
            <w:r w:rsidRPr="006E63D4">
              <w:rPr>
                <w:iCs/>
                <w:sz w:val="18"/>
                <w:szCs w:val="22"/>
              </w:rPr>
              <w:t>8.</w:t>
            </w:r>
          </w:p>
        </w:tc>
        <w:tc>
          <w:tcPr>
            <w:tcW w:w="1370" w:type="dxa"/>
            <w:shd w:val="clear" w:color="auto" w:fill="auto"/>
          </w:tcPr>
          <w:p w14:paraId="4D04BBF4" w14:textId="19390D2A" w:rsidR="008A6124" w:rsidRPr="006E63D4" w:rsidRDefault="008A6124" w:rsidP="00131FC5">
            <w:pPr>
              <w:rPr>
                <w:iCs/>
                <w:sz w:val="16"/>
                <w:szCs w:val="20"/>
              </w:rPr>
            </w:pPr>
            <w:r w:rsidRPr="006E63D4">
              <w:rPr>
                <w:iCs/>
                <w:sz w:val="16"/>
                <w:szCs w:val="20"/>
              </w:rPr>
              <w:t>55</w:t>
            </w:r>
          </w:p>
        </w:tc>
        <w:tc>
          <w:tcPr>
            <w:tcW w:w="1263" w:type="dxa"/>
          </w:tcPr>
          <w:p w14:paraId="49AB5489" w14:textId="7F55E011" w:rsidR="008A6124" w:rsidRPr="006E63D4" w:rsidRDefault="008A6124" w:rsidP="00131FC5">
            <w:pPr>
              <w:jc w:val="both"/>
              <w:rPr>
                <w:iCs/>
                <w:sz w:val="16"/>
                <w:szCs w:val="20"/>
              </w:rPr>
            </w:pPr>
            <w:r w:rsidRPr="006E63D4">
              <w:rPr>
                <w:iCs/>
                <w:sz w:val="16"/>
                <w:szCs w:val="20"/>
              </w:rPr>
              <w:t>560</w:t>
            </w:r>
          </w:p>
        </w:tc>
        <w:tc>
          <w:tcPr>
            <w:tcW w:w="3828" w:type="dxa"/>
            <w:shd w:val="clear" w:color="auto" w:fill="auto"/>
          </w:tcPr>
          <w:p w14:paraId="4CD6DDE4" w14:textId="3BC48C40" w:rsidR="008A6124" w:rsidRPr="006E63D4" w:rsidRDefault="008A6124" w:rsidP="00131FC5">
            <w:pPr>
              <w:jc w:val="both"/>
              <w:rPr>
                <w:iCs/>
                <w:sz w:val="18"/>
                <w:szCs w:val="22"/>
              </w:rPr>
            </w:pPr>
            <w:r w:rsidRPr="006E63D4">
              <w:rPr>
                <w:iCs/>
                <w:sz w:val="18"/>
                <w:szCs w:val="22"/>
              </w:rPr>
              <w:t>Odplačila dolga</w:t>
            </w:r>
          </w:p>
        </w:tc>
        <w:tc>
          <w:tcPr>
            <w:tcW w:w="1263" w:type="dxa"/>
            <w:shd w:val="clear" w:color="auto" w:fill="auto"/>
            <w:vAlign w:val="center"/>
          </w:tcPr>
          <w:p w14:paraId="6A0B50A9" w14:textId="7E454FDC" w:rsidR="008A6124" w:rsidRPr="006E63D4" w:rsidRDefault="008A6124" w:rsidP="00131FC5">
            <w:pPr>
              <w:jc w:val="right"/>
              <w:rPr>
                <w:iCs/>
                <w:sz w:val="18"/>
                <w:szCs w:val="22"/>
              </w:rPr>
            </w:pPr>
            <w:r w:rsidRPr="006E63D4">
              <w:rPr>
                <w:iCs/>
                <w:sz w:val="18"/>
                <w:szCs w:val="22"/>
              </w:rPr>
              <w:t>-</w:t>
            </w:r>
          </w:p>
        </w:tc>
      </w:tr>
      <w:tr w:rsidR="008A6124" w:rsidRPr="006E63D4" w14:paraId="43CE3117" w14:textId="77777777" w:rsidTr="006E63D4">
        <w:trPr>
          <w:trHeight w:val="510"/>
        </w:trPr>
        <w:tc>
          <w:tcPr>
            <w:tcW w:w="764" w:type="dxa"/>
            <w:shd w:val="clear" w:color="auto" w:fill="auto"/>
          </w:tcPr>
          <w:p w14:paraId="6FB1BC43" w14:textId="59B3DCF8" w:rsidR="008A6124" w:rsidRPr="006E63D4" w:rsidRDefault="008A6124" w:rsidP="00131FC5">
            <w:pPr>
              <w:rPr>
                <w:iCs/>
                <w:sz w:val="18"/>
                <w:szCs w:val="22"/>
              </w:rPr>
            </w:pPr>
            <w:r w:rsidRPr="006E63D4">
              <w:rPr>
                <w:iCs/>
                <w:sz w:val="18"/>
                <w:szCs w:val="22"/>
              </w:rPr>
              <w:t>9.</w:t>
            </w:r>
          </w:p>
        </w:tc>
        <w:tc>
          <w:tcPr>
            <w:tcW w:w="1370" w:type="dxa"/>
            <w:shd w:val="clear" w:color="auto" w:fill="auto"/>
          </w:tcPr>
          <w:p w14:paraId="10903F18" w14:textId="5ED7330A" w:rsidR="008A6124" w:rsidRPr="006E63D4" w:rsidRDefault="008A6124" w:rsidP="00131FC5">
            <w:pPr>
              <w:rPr>
                <w:iCs/>
                <w:sz w:val="16"/>
                <w:szCs w:val="20"/>
              </w:rPr>
            </w:pPr>
            <w:r w:rsidRPr="006E63D4">
              <w:rPr>
                <w:iCs/>
                <w:sz w:val="16"/>
                <w:szCs w:val="20"/>
              </w:rPr>
              <w:t>9=7-8</w:t>
            </w:r>
          </w:p>
        </w:tc>
        <w:tc>
          <w:tcPr>
            <w:tcW w:w="1263" w:type="dxa"/>
          </w:tcPr>
          <w:p w14:paraId="08D12CCD" w14:textId="600ED63A" w:rsidR="008A6124" w:rsidRPr="006E63D4" w:rsidRDefault="008A6124" w:rsidP="00131FC5">
            <w:pPr>
              <w:jc w:val="both"/>
              <w:rPr>
                <w:iCs/>
                <w:sz w:val="16"/>
                <w:szCs w:val="20"/>
              </w:rPr>
            </w:pPr>
            <w:r w:rsidRPr="006E63D4">
              <w:rPr>
                <w:iCs/>
                <w:sz w:val="16"/>
                <w:szCs w:val="20"/>
              </w:rPr>
              <w:t>570 ali 571</w:t>
            </w:r>
          </w:p>
        </w:tc>
        <w:tc>
          <w:tcPr>
            <w:tcW w:w="3828" w:type="dxa"/>
            <w:shd w:val="clear" w:color="auto" w:fill="auto"/>
          </w:tcPr>
          <w:p w14:paraId="5BB066F9" w14:textId="6FF4BD14" w:rsidR="008A6124" w:rsidRPr="006E63D4" w:rsidRDefault="008A6124" w:rsidP="00131FC5">
            <w:pPr>
              <w:jc w:val="both"/>
              <w:rPr>
                <w:iCs/>
                <w:sz w:val="18"/>
                <w:szCs w:val="22"/>
              </w:rPr>
            </w:pPr>
            <w:r w:rsidRPr="006E63D4">
              <w:rPr>
                <w:iCs/>
                <w:sz w:val="18"/>
                <w:szCs w:val="22"/>
              </w:rPr>
              <w:t>Neto zadolževanje ali odplačila dolga</w:t>
            </w:r>
          </w:p>
        </w:tc>
        <w:tc>
          <w:tcPr>
            <w:tcW w:w="1263" w:type="dxa"/>
            <w:shd w:val="clear" w:color="auto" w:fill="auto"/>
            <w:vAlign w:val="center"/>
          </w:tcPr>
          <w:p w14:paraId="196B48A2" w14:textId="1B06A7CC" w:rsidR="008A6124" w:rsidRPr="006E63D4" w:rsidRDefault="008A6124" w:rsidP="00131FC5">
            <w:pPr>
              <w:jc w:val="right"/>
              <w:rPr>
                <w:iCs/>
                <w:sz w:val="18"/>
                <w:szCs w:val="22"/>
              </w:rPr>
            </w:pPr>
            <w:r w:rsidRPr="006E63D4">
              <w:rPr>
                <w:iCs/>
                <w:sz w:val="18"/>
                <w:szCs w:val="22"/>
              </w:rPr>
              <w:t>-</w:t>
            </w:r>
          </w:p>
        </w:tc>
      </w:tr>
      <w:tr w:rsidR="008A6124" w:rsidRPr="006E63D4" w14:paraId="41034887" w14:textId="77777777" w:rsidTr="006E63D4">
        <w:trPr>
          <w:trHeight w:val="510"/>
        </w:trPr>
        <w:tc>
          <w:tcPr>
            <w:tcW w:w="764" w:type="dxa"/>
            <w:shd w:val="clear" w:color="auto" w:fill="auto"/>
          </w:tcPr>
          <w:p w14:paraId="6F28997F" w14:textId="64CB8128" w:rsidR="008A6124" w:rsidRPr="006E63D4" w:rsidRDefault="008A6124" w:rsidP="00131FC5">
            <w:pPr>
              <w:rPr>
                <w:iCs/>
                <w:sz w:val="18"/>
                <w:szCs w:val="22"/>
              </w:rPr>
            </w:pPr>
            <w:r w:rsidRPr="006E63D4">
              <w:rPr>
                <w:iCs/>
                <w:sz w:val="18"/>
                <w:szCs w:val="22"/>
              </w:rPr>
              <w:t>10.</w:t>
            </w:r>
          </w:p>
        </w:tc>
        <w:tc>
          <w:tcPr>
            <w:tcW w:w="1370" w:type="dxa"/>
            <w:shd w:val="clear" w:color="auto" w:fill="auto"/>
          </w:tcPr>
          <w:p w14:paraId="039598FF" w14:textId="7141E9DE" w:rsidR="008A6124" w:rsidRPr="006E63D4" w:rsidRDefault="008A6124" w:rsidP="00131FC5">
            <w:pPr>
              <w:rPr>
                <w:iCs/>
                <w:sz w:val="16"/>
                <w:szCs w:val="20"/>
              </w:rPr>
            </w:pPr>
            <w:r w:rsidRPr="006E63D4">
              <w:rPr>
                <w:iCs/>
                <w:sz w:val="16"/>
                <w:szCs w:val="20"/>
              </w:rPr>
              <w:t>10=3+6+9</w:t>
            </w:r>
          </w:p>
        </w:tc>
        <w:tc>
          <w:tcPr>
            <w:tcW w:w="1263" w:type="dxa"/>
          </w:tcPr>
          <w:p w14:paraId="1D1B2BDB" w14:textId="361AF69B" w:rsidR="008A6124" w:rsidRPr="006E63D4" w:rsidRDefault="008A6124" w:rsidP="00131FC5">
            <w:pPr>
              <w:jc w:val="both"/>
              <w:rPr>
                <w:iCs/>
                <w:sz w:val="16"/>
                <w:szCs w:val="20"/>
              </w:rPr>
            </w:pPr>
            <w:r w:rsidRPr="006E63D4">
              <w:rPr>
                <w:iCs/>
                <w:sz w:val="16"/>
                <w:szCs w:val="20"/>
              </w:rPr>
              <w:t>572 ali 573</w:t>
            </w:r>
          </w:p>
        </w:tc>
        <w:tc>
          <w:tcPr>
            <w:tcW w:w="3828" w:type="dxa"/>
            <w:shd w:val="clear" w:color="auto" w:fill="auto"/>
          </w:tcPr>
          <w:p w14:paraId="366E3365" w14:textId="4D8184BD" w:rsidR="008A6124" w:rsidRPr="006E63D4" w:rsidRDefault="008A6124" w:rsidP="00131FC5">
            <w:pPr>
              <w:jc w:val="both"/>
              <w:rPr>
                <w:iCs/>
                <w:sz w:val="18"/>
                <w:szCs w:val="22"/>
              </w:rPr>
            </w:pPr>
            <w:r w:rsidRPr="006E63D4">
              <w:rPr>
                <w:iCs/>
                <w:sz w:val="18"/>
                <w:szCs w:val="22"/>
              </w:rPr>
              <w:t>Povečanje ali zmanjšanje stanja ba računu</w:t>
            </w:r>
          </w:p>
        </w:tc>
        <w:tc>
          <w:tcPr>
            <w:tcW w:w="1263" w:type="dxa"/>
            <w:shd w:val="clear" w:color="auto" w:fill="auto"/>
            <w:vAlign w:val="center"/>
          </w:tcPr>
          <w:p w14:paraId="3CB6846E" w14:textId="3436BB6D" w:rsidR="008A6124" w:rsidRPr="006E63D4" w:rsidRDefault="008A6124" w:rsidP="00131FC5">
            <w:pPr>
              <w:jc w:val="right"/>
              <w:rPr>
                <w:iCs/>
                <w:sz w:val="18"/>
                <w:szCs w:val="22"/>
              </w:rPr>
            </w:pPr>
            <w:r w:rsidRPr="006E63D4">
              <w:rPr>
                <w:iCs/>
                <w:sz w:val="18"/>
                <w:szCs w:val="22"/>
              </w:rPr>
              <w:t>2.112,54</w:t>
            </w:r>
          </w:p>
        </w:tc>
      </w:tr>
      <w:tr w:rsidR="008A6124" w:rsidRPr="006E63D4" w14:paraId="59FCB9E0" w14:textId="77777777" w:rsidTr="006E63D4">
        <w:trPr>
          <w:trHeight w:val="510"/>
        </w:trPr>
        <w:tc>
          <w:tcPr>
            <w:tcW w:w="764" w:type="dxa"/>
            <w:shd w:val="clear" w:color="auto" w:fill="auto"/>
          </w:tcPr>
          <w:p w14:paraId="2CCDD1F8" w14:textId="30EEF30F" w:rsidR="008A6124" w:rsidRPr="006E63D4" w:rsidRDefault="008A6124" w:rsidP="00131FC5">
            <w:pPr>
              <w:rPr>
                <w:iCs/>
                <w:sz w:val="18"/>
                <w:szCs w:val="22"/>
              </w:rPr>
            </w:pPr>
            <w:r w:rsidRPr="006E63D4">
              <w:rPr>
                <w:iCs/>
                <w:sz w:val="18"/>
                <w:szCs w:val="22"/>
              </w:rPr>
              <w:t>11.</w:t>
            </w:r>
          </w:p>
        </w:tc>
        <w:tc>
          <w:tcPr>
            <w:tcW w:w="1370" w:type="dxa"/>
            <w:shd w:val="clear" w:color="auto" w:fill="auto"/>
          </w:tcPr>
          <w:p w14:paraId="6EFCF50D" w14:textId="77777777" w:rsidR="008A6124" w:rsidRPr="006E63D4" w:rsidRDefault="008A6124" w:rsidP="00131FC5">
            <w:pPr>
              <w:rPr>
                <w:iCs/>
                <w:sz w:val="16"/>
                <w:szCs w:val="20"/>
              </w:rPr>
            </w:pPr>
          </w:p>
        </w:tc>
        <w:tc>
          <w:tcPr>
            <w:tcW w:w="1263" w:type="dxa"/>
          </w:tcPr>
          <w:p w14:paraId="7951EB61" w14:textId="71899986" w:rsidR="008A6124" w:rsidRPr="006E63D4" w:rsidRDefault="008A6124" w:rsidP="00131FC5">
            <w:pPr>
              <w:jc w:val="both"/>
              <w:rPr>
                <w:iCs/>
                <w:sz w:val="16"/>
                <w:szCs w:val="20"/>
              </w:rPr>
            </w:pPr>
            <w:r w:rsidRPr="006E63D4">
              <w:rPr>
                <w:iCs/>
                <w:sz w:val="16"/>
                <w:szCs w:val="20"/>
              </w:rPr>
              <w:t>572</w:t>
            </w:r>
          </w:p>
        </w:tc>
        <w:tc>
          <w:tcPr>
            <w:tcW w:w="3828" w:type="dxa"/>
            <w:shd w:val="clear" w:color="auto" w:fill="auto"/>
          </w:tcPr>
          <w:p w14:paraId="56BFEB96" w14:textId="45A6806D" w:rsidR="008A6124" w:rsidRPr="006E63D4" w:rsidRDefault="008A6124" w:rsidP="00131FC5">
            <w:pPr>
              <w:jc w:val="both"/>
              <w:rPr>
                <w:iCs/>
                <w:sz w:val="18"/>
                <w:szCs w:val="22"/>
              </w:rPr>
            </w:pPr>
            <w:r w:rsidRPr="006E63D4">
              <w:rPr>
                <w:iCs/>
                <w:sz w:val="18"/>
                <w:szCs w:val="22"/>
              </w:rPr>
              <w:t>Če je razlika vpisana v vrstico z oznako AOP 572, drugi uporabnik presežek po denarnem toku zmanjša za predpisane obveznosti.</w:t>
            </w:r>
          </w:p>
        </w:tc>
        <w:tc>
          <w:tcPr>
            <w:tcW w:w="1263" w:type="dxa"/>
            <w:shd w:val="clear" w:color="auto" w:fill="auto"/>
            <w:vAlign w:val="center"/>
          </w:tcPr>
          <w:p w14:paraId="1BBDC35E" w14:textId="105AB9C2" w:rsidR="008A6124" w:rsidRPr="006E63D4" w:rsidRDefault="008A6124" w:rsidP="00131FC5">
            <w:pPr>
              <w:jc w:val="right"/>
              <w:rPr>
                <w:iCs/>
                <w:sz w:val="18"/>
                <w:szCs w:val="22"/>
              </w:rPr>
            </w:pPr>
          </w:p>
        </w:tc>
      </w:tr>
      <w:tr w:rsidR="008A6124" w:rsidRPr="006E63D4" w14:paraId="313ECE63" w14:textId="77777777" w:rsidTr="006E63D4">
        <w:trPr>
          <w:trHeight w:val="510"/>
        </w:trPr>
        <w:tc>
          <w:tcPr>
            <w:tcW w:w="764" w:type="dxa"/>
            <w:shd w:val="clear" w:color="auto" w:fill="auto"/>
          </w:tcPr>
          <w:p w14:paraId="510FEF03" w14:textId="7D983770" w:rsidR="008A6124" w:rsidRPr="006E63D4" w:rsidRDefault="008A6124" w:rsidP="00131FC5">
            <w:pPr>
              <w:rPr>
                <w:iCs/>
                <w:sz w:val="18"/>
                <w:szCs w:val="22"/>
              </w:rPr>
            </w:pPr>
            <w:r w:rsidRPr="006E63D4">
              <w:rPr>
                <w:iCs/>
                <w:sz w:val="18"/>
                <w:szCs w:val="22"/>
              </w:rPr>
              <w:t>12.</w:t>
            </w:r>
          </w:p>
        </w:tc>
        <w:tc>
          <w:tcPr>
            <w:tcW w:w="1370" w:type="dxa"/>
            <w:shd w:val="clear" w:color="auto" w:fill="auto"/>
          </w:tcPr>
          <w:p w14:paraId="6B51379B" w14:textId="4DA0C2AE" w:rsidR="008A6124" w:rsidRPr="006E63D4" w:rsidRDefault="00092862" w:rsidP="00131FC5">
            <w:pPr>
              <w:rPr>
                <w:iCs/>
                <w:sz w:val="16"/>
                <w:szCs w:val="20"/>
              </w:rPr>
            </w:pPr>
            <w:r w:rsidRPr="006E63D4">
              <w:rPr>
                <w:iCs/>
                <w:sz w:val="16"/>
                <w:szCs w:val="20"/>
              </w:rPr>
              <w:t>20, 21, 22, 23, 24, 25, 26, 29</w:t>
            </w:r>
          </w:p>
        </w:tc>
        <w:tc>
          <w:tcPr>
            <w:tcW w:w="1263" w:type="dxa"/>
          </w:tcPr>
          <w:p w14:paraId="25CF1645" w14:textId="1ABEB205" w:rsidR="008A6124" w:rsidRPr="006E63D4" w:rsidRDefault="00092862" w:rsidP="00131FC5">
            <w:pPr>
              <w:jc w:val="both"/>
              <w:rPr>
                <w:iCs/>
                <w:sz w:val="16"/>
                <w:szCs w:val="20"/>
              </w:rPr>
            </w:pPr>
            <w:r w:rsidRPr="006E63D4">
              <w:rPr>
                <w:iCs/>
                <w:sz w:val="16"/>
                <w:szCs w:val="20"/>
              </w:rPr>
              <w:t>034 (brez 042)</w:t>
            </w:r>
          </w:p>
        </w:tc>
        <w:tc>
          <w:tcPr>
            <w:tcW w:w="3828" w:type="dxa"/>
            <w:shd w:val="clear" w:color="auto" w:fill="auto"/>
          </w:tcPr>
          <w:p w14:paraId="14960A58" w14:textId="7D845476" w:rsidR="008A6124" w:rsidRPr="006E63D4" w:rsidRDefault="00092862" w:rsidP="00131FC5">
            <w:pPr>
              <w:jc w:val="both"/>
              <w:rPr>
                <w:iCs/>
                <w:sz w:val="18"/>
                <w:szCs w:val="22"/>
              </w:rPr>
            </w:pPr>
            <w:r w:rsidRPr="006E63D4">
              <w:rPr>
                <w:iCs/>
                <w:sz w:val="18"/>
                <w:szCs w:val="22"/>
              </w:rPr>
              <w:t>Kratkoročne obveznosti in pasivne časovne razmejitve</w:t>
            </w:r>
          </w:p>
        </w:tc>
        <w:tc>
          <w:tcPr>
            <w:tcW w:w="1263" w:type="dxa"/>
            <w:shd w:val="clear" w:color="auto" w:fill="auto"/>
            <w:vAlign w:val="center"/>
          </w:tcPr>
          <w:p w14:paraId="5B178B10" w14:textId="03950B11" w:rsidR="008A6124" w:rsidRPr="006E63D4" w:rsidRDefault="00092862" w:rsidP="00131FC5">
            <w:pPr>
              <w:jc w:val="right"/>
              <w:rPr>
                <w:iCs/>
                <w:sz w:val="18"/>
                <w:szCs w:val="22"/>
              </w:rPr>
            </w:pPr>
            <w:r w:rsidRPr="006E63D4">
              <w:rPr>
                <w:iCs/>
                <w:sz w:val="18"/>
                <w:szCs w:val="22"/>
              </w:rPr>
              <w:t>338.893,78</w:t>
            </w:r>
          </w:p>
        </w:tc>
      </w:tr>
      <w:tr w:rsidR="008A6124" w:rsidRPr="006E63D4" w14:paraId="34ED2305" w14:textId="77777777" w:rsidTr="006E63D4">
        <w:trPr>
          <w:trHeight w:val="510"/>
        </w:trPr>
        <w:tc>
          <w:tcPr>
            <w:tcW w:w="764" w:type="dxa"/>
            <w:shd w:val="clear" w:color="auto" w:fill="auto"/>
          </w:tcPr>
          <w:p w14:paraId="4950276C" w14:textId="77F3082C" w:rsidR="008A6124" w:rsidRPr="006E63D4" w:rsidRDefault="008A6124" w:rsidP="00131FC5">
            <w:pPr>
              <w:rPr>
                <w:iCs/>
                <w:sz w:val="18"/>
                <w:szCs w:val="22"/>
              </w:rPr>
            </w:pPr>
            <w:r w:rsidRPr="006E63D4">
              <w:rPr>
                <w:iCs/>
                <w:sz w:val="18"/>
                <w:szCs w:val="22"/>
              </w:rPr>
              <w:t>13.</w:t>
            </w:r>
          </w:p>
        </w:tc>
        <w:tc>
          <w:tcPr>
            <w:tcW w:w="1370" w:type="dxa"/>
            <w:shd w:val="clear" w:color="auto" w:fill="auto"/>
          </w:tcPr>
          <w:p w14:paraId="23054888" w14:textId="17F3953D" w:rsidR="008A6124" w:rsidRPr="006E63D4" w:rsidRDefault="00092862" w:rsidP="00131FC5">
            <w:pPr>
              <w:rPr>
                <w:iCs/>
                <w:sz w:val="16"/>
                <w:szCs w:val="20"/>
              </w:rPr>
            </w:pPr>
            <w:r w:rsidRPr="006E63D4">
              <w:rPr>
                <w:iCs/>
                <w:sz w:val="16"/>
                <w:szCs w:val="20"/>
              </w:rPr>
              <w:t>92, 96, 97</w:t>
            </w:r>
          </w:p>
        </w:tc>
        <w:tc>
          <w:tcPr>
            <w:tcW w:w="1263" w:type="dxa"/>
          </w:tcPr>
          <w:p w14:paraId="1CBC4B45" w14:textId="5CFD1593" w:rsidR="008A6124" w:rsidRPr="006E63D4" w:rsidRDefault="00092862" w:rsidP="00131FC5">
            <w:pPr>
              <w:jc w:val="both"/>
              <w:rPr>
                <w:iCs/>
                <w:sz w:val="16"/>
                <w:szCs w:val="20"/>
              </w:rPr>
            </w:pPr>
            <w:r w:rsidRPr="006E63D4">
              <w:rPr>
                <w:iCs/>
                <w:sz w:val="16"/>
                <w:szCs w:val="20"/>
              </w:rPr>
              <w:t>054, 055</w:t>
            </w:r>
          </w:p>
        </w:tc>
        <w:tc>
          <w:tcPr>
            <w:tcW w:w="3828" w:type="dxa"/>
            <w:shd w:val="clear" w:color="auto" w:fill="auto"/>
          </w:tcPr>
          <w:p w14:paraId="7EA062F0" w14:textId="1FFA4871" w:rsidR="008A6124" w:rsidRPr="006E63D4" w:rsidRDefault="00092862" w:rsidP="00131FC5">
            <w:pPr>
              <w:jc w:val="both"/>
              <w:rPr>
                <w:iCs/>
                <w:sz w:val="18"/>
                <w:szCs w:val="22"/>
              </w:rPr>
            </w:pPr>
            <w:r w:rsidRPr="006E63D4">
              <w:rPr>
                <w:iCs/>
                <w:sz w:val="18"/>
                <w:szCs w:val="22"/>
              </w:rPr>
              <w:t>Dolgoročne pasivne časovne razmejitve ter dolgoročne finančne obveznosti</w:t>
            </w:r>
          </w:p>
        </w:tc>
        <w:tc>
          <w:tcPr>
            <w:tcW w:w="1263" w:type="dxa"/>
            <w:shd w:val="clear" w:color="auto" w:fill="auto"/>
            <w:vAlign w:val="center"/>
          </w:tcPr>
          <w:p w14:paraId="6A009F53" w14:textId="329977EA" w:rsidR="008A6124" w:rsidRPr="006E63D4" w:rsidRDefault="007D6165" w:rsidP="00131FC5">
            <w:pPr>
              <w:jc w:val="right"/>
              <w:rPr>
                <w:iCs/>
                <w:sz w:val="18"/>
                <w:szCs w:val="22"/>
              </w:rPr>
            </w:pPr>
            <w:r w:rsidRPr="006E63D4">
              <w:rPr>
                <w:iCs/>
                <w:sz w:val="18"/>
                <w:szCs w:val="22"/>
              </w:rPr>
              <w:t>-</w:t>
            </w:r>
          </w:p>
        </w:tc>
      </w:tr>
      <w:tr w:rsidR="00790CAA" w:rsidRPr="006E63D4" w14:paraId="43046695" w14:textId="77777777" w:rsidTr="006E63D4">
        <w:trPr>
          <w:trHeight w:val="510"/>
        </w:trPr>
        <w:tc>
          <w:tcPr>
            <w:tcW w:w="764" w:type="dxa"/>
            <w:shd w:val="clear" w:color="auto" w:fill="auto"/>
            <w:hideMark/>
          </w:tcPr>
          <w:p w14:paraId="57F438BF" w14:textId="27ABA187" w:rsidR="00790CAA" w:rsidRPr="006E63D4" w:rsidRDefault="008A6124" w:rsidP="00131FC5">
            <w:pPr>
              <w:rPr>
                <w:iCs/>
                <w:sz w:val="18"/>
                <w:szCs w:val="22"/>
              </w:rPr>
            </w:pPr>
            <w:r w:rsidRPr="006E63D4">
              <w:rPr>
                <w:iCs/>
                <w:sz w:val="18"/>
                <w:szCs w:val="22"/>
              </w:rPr>
              <w:t>14.</w:t>
            </w:r>
          </w:p>
        </w:tc>
        <w:tc>
          <w:tcPr>
            <w:tcW w:w="1370" w:type="dxa"/>
            <w:shd w:val="clear" w:color="auto" w:fill="auto"/>
            <w:hideMark/>
          </w:tcPr>
          <w:p w14:paraId="4F31CD1B" w14:textId="77777777" w:rsidR="00790CAA" w:rsidRPr="006E63D4" w:rsidRDefault="00790CAA" w:rsidP="00131FC5">
            <w:pPr>
              <w:rPr>
                <w:iCs/>
                <w:sz w:val="16"/>
                <w:szCs w:val="20"/>
              </w:rPr>
            </w:pPr>
            <w:r w:rsidRPr="006E63D4">
              <w:rPr>
                <w:iCs/>
                <w:sz w:val="16"/>
                <w:szCs w:val="20"/>
              </w:rPr>
              <w:t>980 - (00 do 05)</w:t>
            </w:r>
          </w:p>
        </w:tc>
        <w:tc>
          <w:tcPr>
            <w:tcW w:w="1263" w:type="dxa"/>
          </w:tcPr>
          <w:p w14:paraId="0EED6138" w14:textId="122F0110" w:rsidR="00790CAA" w:rsidRPr="006E63D4" w:rsidRDefault="008A6124" w:rsidP="00131FC5">
            <w:pPr>
              <w:jc w:val="both"/>
              <w:rPr>
                <w:iCs/>
                <w:sz w:val="16"/>
                <w:szCs w:val="20"/>
              </w:rPr>
            </w:pPr>
            <w:r w:rsidRPr="006E63D4">
              <w:rPr>
                <w:iCs/>
                <w:sz w:val="16"/>
                <w:szCs w:val="20"/>
              </w:rPr>
              <w:t>056-(002-003+004-005+006-007)</w:t>
            </w:r>
          </w:p>
        </w:tc>
        <w:tc>
          <w:tcPr>
            <w:tcW w:w="3828" w:type="dxa"/>
            <w:shd w:val="clear" w:color="auto" w:fill="auto"/>
            <w:hideMark/>
          </w:tcPr>
          <w:p w14:paraId="449656DB" w14:textId="3DFC30EA" w:rsidR="00790CAA" w:rsidRPr="006E63D4" w:rsidRDefault="00790CAA" w:rsidP="00131FC5">
            <w:pPr>
              <w:jc w:val="both"/>
              <w:rPr>
                <w:iCs/>
                <w:sz w:val="18"/>
                <w:szCs w:val="22"/>
              </w:rPr>
            </w:pPr>
            <w:r w:rsidRPr="006E63D4">
              <w:rPr>
                <w:iCs/>
                <w:sz w:val="18"/>
                <w:szCs w:val="22"/>
              </w:rPr>
              <w:t>Neporabljena obveznost do virov sredstev,  ki predstavlja neporabljena sredstva za investicije</w:t>
            </w:r>
          </w:p>
        </w:tc>
        <w:tc>
          <w:tcPr>
            <w:tcW w:w="1263" w:type="dxa"/>
            <w:shd w:val="clear" w:color="auto" w:fill="auto"/>
            <w:vAlign w:val="center"/>
            <w:hideMark/>
          </w:tcPr>
          <w:p w14:paraId="568EE56D" w14:textId="3A292858" w:rsidR="00790CAA" w:rsidRPr="006E63D4" w:rsidRDefault="008A6124" w:rsidP="00131FC5">
            <w:pPr>
              <w:jc w:val="right"/>
              <w:rPr>
                <w:iCs/>
                <w:sz w:val="18"/>
                <w:szCs w:val="22"/>
              </w:rPr>
            </w:pPr>
            <w:r w:rsidRPr="006E63D4">
              <w:rPr>
                <w:iCs/>
                <w:sz w:val="18"/>
                <w:szCs w:val="22"/>
              </w:rPr>
              <w:t>65.514,43</w:t>
            </w:r>
          </w:p>
        </w:tc>
      </w:tr>
      <w:tr w:rsidR="00790CAA" w:rsidRPr="006E63D4" w14:paraId="4C1CEB05" w14:textId="77777777" w:rsidTr="006E63D4">
        <w:trPr>
          <w:trHeight w:val="420"/>
        </w:trPr>
        <w:tc>
          <w:tcPr>
            <w:tcW w:w="764" w:type="dxa"/>
            <w:shd w:val="clear" w:color="auto" w:fill="auto"/>
            <w:hideMark/>
          </w:tcPr>
          <w:p w14:paraId="1AE02FC2" w14:textId="550710A0" w:rsidR="00790CAA" w:rsidRPr="006E63D4" w:rsidRDefault="008A6124" w:rsidP="00131FC5">
            <w:pPr>
              <w:rPr>
                <w:iCs/>
                <w:sz w:val="18"/>
                <w:szCs w:val="22"/>
              </w:rPr>
            </w:pPr>
            <w:r w:rsidRPr="006E63D4">
              <w:rPr>
                <w:iCs/>
                <w:sz w:val="18"/>
                <w:szCs w:val="22"/>
              </w:rPr>
              <w:t>15</w:t>
            </w:r>
            <w:r w:rsidR="00790CAA" w:rsidRPr="006E63D4">
              <w:rPr>
                <w:iCs/>
                <w:sz w:val="18"/>
                <w:szCs w:val="22"/>
              </w:rPr>
              <w:t>.</w:t>
            </w:r>
          </w:p>
        </w:tc>
        <w:tc>
          <w:tcPr>
            <w:tcW w:w="1370" w:type="dxa"/>
            <w:shd w:val="clear" w:color="auto" w:fill="auto"/>
            <w:hideMark/>
          </w:tcPr>
          <w:p w14:paraId="2594DFD9" w14:textId="7920FA20" w:rsidR="00790CAA" w:rsidRPr="006E63D4" w:rsidRDefault="008A6124" w:rsidP="00131FC5">
            <w:pPr>
              <w:rPr>
                <w:iCs/>
                <w:sz w:val="16"/>
                <w:szCs w:val="20"/>
              </w:rPr>
            </w:pPr>
            <w:r w:rsidRPr="006E63D4">
              <w:rPr>
                <w:iCs/>
                <w:sz w:val="16"/>
                <w:szCs w:val="20"/>
              </w:rPr>
              <w:t>15=11-12-13-14</w:t>
            </w:r>
          </w:p>
        </w:tc>
        <w:tc>
          <w:tcPr>
            <w:tcW w:w="1263" w:type="dxa"/>
          </w:tcPr>
          <w:p w14:paraId="6C8B3EF5" w14:textId="7F3D8A6C" w:rsidR="00790CAA" w:rsidRPr="006E63D4" w:rsidRDefault="008A6124" w:rsidP="00131FC5">
            <w:pPr>
              <w:jc w:val="both"/>
              <w:rPr>
                <w:b/>
                <w:iCs/>
                <w:sz w:val="16"/>
                <w:szCs w:val="20"/>
              </w:rPr>
            </w:pPr>
            <w:r w:rsidRPr="006E63D4">
              <w:rPr>
                <w:b/>
                <w:iCs/>
                <w:sz w:val="16"/>
                <w:szCs w:val="20"/>
              </w:rPr>
              <w:t>-</w:t>
            </w:r>
          </w:p>
        </w:tc>
        <w:tc>
          <w:tcPr>
            <w:tcW w:w="3828" w:type="dxa"/>
            <w:shd w:val="clear" w:color="auto" w:fill="auto"/>
            <w:hideMark/>
          </w:tcPr>
          <w:p w14:paraId="5B5C4E6A" w14:textId="43B75D83" w:rsidR="00790CAA" w:rsidRPr="006E63D4" w:rsidRDefault="00790CAA" w:rsidP="00131FC5">
            <w:pPr>
              <w:jc w:val="both"/>
              <w:rPr>
                <w:b/>
                <w:iCs/>
                <w:sz w:val="18"/>
                <w:szCs w:val="22"/>
              </w:rPr>
            </w:pPr>
            <w:r w:rsidRPr="006E63D4">
              <w:rPr>
                <w:b/>
                <w:iCs/>
                <w:sz w:val="18"/>
                <w:szCs w:val="22"/>
              </w:rPr>
              <w:t>Znesek primanjkljaja po fiskalnem pravilu</w:t>
            </w:r>
          </w:p>
        </w:tc>
        <w:tc>
          <w:tcPr>
            <w:tcW w:w="1263" w:type="dxa"/>
            <w:shd w:val="clear" w:color="auto" w:fill="auto"/>
            <w:vAlign w:val="center"/>
          </w:tcPr>
          <w:p w14:paraId="7F391664" w14:textId="1A29F07B" w:rsidR="00790CAA" w:rsidRPr="006E63D4" w:rsidRDefault="008A6124" w:rsidP="00131FC5">
            <w:pPr>
              <w:jc w:val="right"/>
              <w:rPr>
                <w:iCs/>
                <w:sz w:val="18"/>
                <w:szCs w:val="22"/>
              </w:rPr>
            </w:pPr>
            <w:r w:rsidRPr="006E63D4">
              <w:rPr>
                <w:iCs/>
                <w:sz w:val="18"/>
                <w:szCs w:val="22"/>
              </w:rPr>
              <w:t>402.295,67</w:t>
            </w:r>
          </w:p>
        </w:tc>
      </w:tr>
    </w:tbl>
    <w:p w14:paraId="0C70FFDA" w14:textId="77777777" w:rsidR="007114BD" w:rsidRDefault="007114BD" w:rsidP="007114BD">
      <w:pPr>
        <w:spacing w:line="260" w:lineRule="atLeast"/>
        <w:jc w:val="both"/>
        <w:rPr>
          <w:iCs/>
        </w:rPr>
      </w:pPr>
    </w:p>
    <w:p w14:paraId="66140A49" w14:textId="0540C564" w:rsidR="007114BD" w:rsidRPr="00036849" w:rsidRDefault="007114BD" w:rsidP="007114BD">
      <w:pPr>
        <w:spacing w:line="260" w:lineRule="atLeast"/>
        <w:jc w:val="both"/>
        <w:rPr>
          <w:iCs/>
        </w:rPr>
      </w:pPr>
      <w:r w:rsidRPr="00036849">
        <w:rPr>
          <w:iCs/>
        </w:rPr>
        <w:t>Zakon o zavodih (Uradni list RS, št. 12/91, 8/96, 36/00 – ZPDZC in 127/06 – ZJZP</w:t>
      </w:r>
      <w:r w:rsidR="0019076D">
        <w:rPr>
          <w:iCs/>
        </w:rPr>
        <w:t>; v nadaljevanju: ZZ</w:t>
      </w:r>
      <w:r w:rsidRPr="00036849">
        <w:rPr>
          <w:iCs/>
        </w:rPr>
        <w:t>) v drugem odstavku 48. člena določa, da sme zavod presežek prihodkov nad odhodki uporabiti le za opravljanje in razvoj dejavnosti, če ni z aktom o ustanovitvi drugače določeno. Sklep o ustanovitvi SA v 16. členu določa, da o razpolaganju s presežkom prihodkov nad odhodki odloča ustanovitelj, ne določa pa za katere namene se sme presežek porabiti</w:t>
      </w:r>
      <w:r w:rsidR="0019076D">
        <w:rPr>
          <w:iCs/>
        </w:rPr>
        <w:t xml:space="preserve">, kar pomeni, da se sme uporabiti le za opravljanje in razvoj dejavnosti, kot to določa drugi odstavek 48. člena ZZ. Tudi </w:t>
      </w:r>
      <w:r w:rsidRPr="00036849">
        <w:rPr>
          <w:iCs/>
        </w:rPr>
        <w:t xml:space="preserve">Uredba (ES) št. 765/2008 Evropskega Parlamenta in Sveta z dne 9. julija 2008 o določitvi zahtev za akreditacijo in nadzor trga v zvezi s trženjem proizvodov ter razveljavitvi Uredbe (EGS) št. 339/93 (UL L št. 218 z dne 13. 8. 2008, str. 30), zadnjič spremenjena z Uredbo (EU) 2019/1020 Evropskega parlamenta in Sveta z dne 20. junija 2019 o nadzoru trga in skladnosti proizvodov ter spremembi Direktive 2004/42/ES in uredb (ES) št. 765/2008 in (EU) št. 305/2011 (UL L št. </w:t>
      </w:r>
      <w:r w:rsidRPr="00036849">
        <w:rPr>
          <w:iCs/>
        </w:rPr>
        <w:lastRenderedPageBreak/>
        <w:t xml:space="preserve">169 z dne 25. 6. 2019, str. 1), v 7. točki 4. člena določa, da nacionalni akreditacijski organ deluje na neprofitni osnovi ter v 14. </w:t>
      </w:r>
      <w:r w:rsidR="0019076D">
        <w:rPr>
          <w:iCs/>
        </w:rPr>
        <w:t>uvodni izjavi</w:t>
      </w:r>
      <w:r w:rsidRPr="00036849">
        <w:rPr>
          <w:iCs/>
        </w:rPr>
        <w:t xml:space="preserve"> navaja, da so morebitni prihodki, ki presegajo stroške</w:t>
      </w:r>
      <w:r w:rsidR="0019076D">
        <w:rPr>
          <w:iCs/>
        </w:rPr>
        <w:t>,</w:t>
      </w:r>
      <w:r w:rsidRPr="00036849">
        <w:rPr>
          <w:iCs/>
        </w:rPr>
        <w:t xml:space="preserve"> lahko uporabljeni za naložbe v nadaljnji razvoj dejavnosti.</w:t>
      </w:r>
    </w:p>
    <w:p w14:paraId="29DB8649" w14:textId="77777777" w:rsidR="007114BD" w:rsidRPr="00036849" w:rsidRDefault="007114BD" w:rsidP="007114BD">
      <w:pPr>
        <w:spacing w:line="260" w:lineRule="atLeast"/>
        <w:jc w:val="both"/>
        <w:rPr>
          <w:b/>
          <w:iCs/>
        </w:rPr>
      </w:pPr>
    </w:p>
    <w:p w14:paraId="65BB6A58" w14:textId="75626FD9" w:rsidR="007114BD" w:rsidRPr="00036849" w:rsidRDefault="007114BD" w:rsidP="007114BD">
      <w:pPr>
        <w:jc w:val="both"/>
        <w:rPr>
          <w:b/>
          <w:bCs/>
        </w:rPr>
      </w:pPr>
      <w:r w:rsidRPr="00036849">
        <w:rPr>
          <w:b/>
          <w:bCs/>
        </w:rPr>
        <w:t>Predlagamo, da Vlada Republike Slovenije odloči, da se presežek prihodkov nad odhodki javnega zavoda Slovenska akreditacija iz leta 202</w:t>
      </w:r>
      <w:r w:rsidR="00790CAA" w:rsidRPr="00036849">
        <w:rPr>
          <w:b/>
          <w:bCs/>
        </w:rPr>
        <w:t>4</w:t>
      </w:r>
      <w:r w:rsidR="007F2448" w:rsidRPr="00036849">
        <w:rPr>
          <w:b/>
          <w:bCs/>
        </w:rPr>
        <w:t>,</w:t>
      </w:r>
      <w:r w:rsidRPr="00036849">
        <w:rPr>
          <w:b/>
          <w:bCs/>
        </w:rPr>
        <w:t xml:space="preserve"> v višini </w:t>
      </w:r>
      <w:r w:rsidR="00790CAA" w:rsidRPr="00036849">
        <w:rPr>
          <w:b/>
          <w:bCs/>
        </w:rPr>
        <w:t>26</w:t>
      </w:r>
      <w:r w:rsidRPr="00036849">
        <w:rPr>
          <w:b/>
          <w:bCs/>
          <w:iCs/>
        </w:rPr>
        <w:t>.</w:t>
      </w:r>
      <w:r w:rsidR="00790CAA" w:rsidRPr="00036849">
        <w:rPr>
          <w:b/>
          <w:bCs/>
          <w:iCs/>
        </w:rPr>
        <w:t>621,21</w:t>
      </w:r>
      <w:r w:rsidRPr="00036849">
        <w:rPr>
          <w:b/>
          <w:bCs/>
          <w:iCs/>
        </w:rPr>
        <w:t xml:space="preserve"> </w:t>
      </w:r>
      <w:r w:rsidR="0019076D">
        <w:rPr>
          <w:b/>
          <w:bCs/>
          <w:iCs/>
        </w:rPr>
        <w:t>eurov</w:t>
      </w:r>
      <w:r w:rsidR="007F2448" w:rsidRPr="00036849">
        <w:rPr>
          <w:b/>
          <w:bCs/>
        </w:rPr>
        <w:t>,</w:t>
      </w:r>
      <w:r w:rsidRPr="00036849">
        <w:rPr>
          <w:b/>
          <w:bCs/>
        </w:rPr>
        <w:t xml:space="preserve"> nameni za</w:t>
      </w:r>
      <w:r w:rsidRPr="00036849">
        <w:rPr>
          <w:b/>
          <w:bCs/>
          <w:iCs/>
        </w:rPr>
        <w:t xml:space="preserve"> opravljanje in razvoj dejavnosti</w:t>
      </w:r>
      <w:r w:rsidRPr="00036849">
        <w:rPr>
          <w:b/>
          <w:bCs/>
        </w:rPr>
        <w:t xml:space="preserve"> javnega zavoda </w:t>
      </w:r>
      <w:r w:rsidR="0019076D">
        <w:rPr>
          <w:b/>
          <w:bCs/>
        </w:rPr>
        <w:t xml:space="preserve">Slovenska akreditacija </w:t>
      </w:r>
      <w:r w:rsidRPr="00036849">
        <w:rPr>
          <w:b/>
          <w:bCs/>
        </w:rPr>
        <w:t>v letu 202</w:t>
      </w:r>
      <w:r w:rsidR="00790CAA" w:rsidRPr="00036849">
        <w:rPr>
          <w:b/>
          <w:bCs/>
        </w:rPr>
        <w:t>5</w:t>
      </w:r>
      <w:r w:rsidR="00C30A09">
        <w:rPr>
          <w:b/>
          <w:bCs/>
        </w:rPr>
        <w:t>.</w:t>
      </w:r>
    </w:p>
    <w:p w14:paraId="61EBAB47" w14:textId="77777777" w:rsidR="007114BD" w:rsidRPr="00036849" w:rsidRDefault="007114BD" w:rsidP="007114BD">
      <w:pPr>
        <w:jc w:val="both"/>
      </w:pPr>
    </w:p>
    <w:p w14:paraId="29169F8E" w14:textId="77777777" w:rsidR="007114BD" w:rsidRPr="00036849" w:rsidRDefault="007114BD" w:rsidP="007114BD">
      <w:pPr>
        <w:jc w:val="both"/>
      </w:pPr>
    </w:p>
    <w:p w14:paraId="2E0EF384" w14:textId="63F3DF7A" w:rsidR="00EC5840" w:rsidRPr="00C17D83" w:rsidRDefault="00EC5840" w:rsidP="00A92198">
      <w:pPr>
        <w:pStyle w:val="podpisi"/>
        <w:tabs>
          <w:tab w:val="clear" w:pos="3402"/>
          <w:tab w:val="left" w:pos="1701"/>
        </w:tabs>
        <w:spacing w:line="312" w:lineRule="auto"/>
        <w:jc w:val="center"/>
        <w:rPr>
          <w:b/>
          <w:szCs w:val="20"/>
          <w:lang w:val="sl-SI"/>
        </w:rPr>
      </w:pPr>
    </w:p>
    <w:sectPr w:rsidR="00EC5840" w:rsidRPr="00C17D83" w:rsidSect="003B2A8B">
      <w:headerReference w:type="default" r:id="rId49"/>
      <w:footerReference w:type="even" r:id="rId50"/>
      <w:footerReference w:type="default" r:id="rId51"/>
      <w:headerReference w:type="first" r:id="rId5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36D9" w14:textId="77777777" w:rsidR="00B90400" w:rsidRDefault="00B90400" w:rsidP="008A4089">
      <w:pPr>
        <w:spacing w:line="240" w:lineRule="auto"/>
      </w:pPr>
      <w:r>
        <w:separator/>
      </w:r>
    </w:p>
  </w:endnote>
  <w:endnote w:type="continuationSeparator" w:id="0">
    <w:p w14:paraId="59DB7E56" w14:textId="77777777" w:rsidR="00B90400" w:rsidRDefault="00B9040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D33" w14:textId="77777777" w:rsidR="003B2A8B" w:rsidRDefault="003B2A8B" w:rsidP="003B2A8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8DF1F" w14:textId="77777777" w:rsidR="003B2A8B" w:rsidRDefault="003B2A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9B04" w14:textId="5FD6BA31" w:rsidR="003B2A8B" w:rsidRDefault="003B2A8B" w:rsidP="003B2A8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E28FE">
      <w:rPr>
        <w:rStyle w:val="tevilkastrani"/>
        <w:noProof/>
      </w:rPr>
      <w:t>2</w:t>
    </w:r>
    <w:r>
      <w:rPr>
        <w:rStyle w:val="tevilkastrani"/>
      </w:rPr>
      <w:fldChar w:fldCharType="end"/>
    </w:r>
  </w:p>
  <w:p w14:paraId="1C53E0B7" w14:textId="77777777" w:rsidR="003B2A8B" w:rsidRDefault="003B2A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F2BF" w14:textId="77777777" w:rsidR="00B90400" w:rsidRDefault="00B90400" w:rsidP="008A4089">
      <w:pPr>
        <w:spacing w:line="240" w:lineRule="auto"/>
      </w:pPr>
      <w:r>
        <w:separator/>
      </w:r>
    </w:p>
  </w:footnote>
  <w:footnote w:type="continuationSeparator" w:id="0">
    <w:p w14:paraId="5F616710" w14:textId="77777777" w:rsidR="00B90400" w:rsidRDefault="00B9040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4D3A" w14:textId="77777777" w:rsidR="003B2A8B" w:rsidRPr="00110CBD" w:rsidRDefault="003B2A8B" w:rsidP="003B2A8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3B2A8B" w:rsidRPr="008F3500" w14:paraId="2D66BA6C" w14:textId="77777777" w:rsidTr="003B2A8B">
      <w:trPr>
        <w:trHeight w:hRule="exact" w:val="847"/>
      </w:trPr>
      <w:tc>
        <w:tcPr>
          <w:tcW w:w="649" w:type="dxa"/>
        </w:tcPr>
        <w:p w14:paraId="3AAA685F" w14:textId="77777777" w:rsidR="003B2A8B" w:rsidRDefault="003B2A8B" w:rsidP="003B2A8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672D164" w14:textId="77777777" w:rsidR="003B2A8B" w:rsidRPr="006D42D9" w:rsidRDefault="003B2A8B" w:rsidP="003B2A8B">
          <w:pPr>
            <w:rPr>
              <w:rFonts w:ascii="Republika" w:hAnsi="Republika"/>
              <w:sz w:val="60"/>
              <w:szCs w:val="60"/>
            </w:rPr>
          </w:pPr>
        </w:p>
        <w:p w14:paraId="6DD7AABD" w14:textId="77777777" w:rsidR="003B2A8B" w:rsidRPr="006D42D9" w:rsidRDefault="003B2A8B" w:rsidP="003B2A8B">
          <w:pPr>
            <w:rPr>
              <w:rFonts w:ascii="Republika" w:hAnsi="Republika"/>
              <w:sz w:val="60"/>
              <w:szCs w:val="60"/>
            </w:rPr>
          </w:pPr>
        </w:p>
        <w:p w14:paraId="05BE0475" w14:textId="77777777" w:rsidR="003B2A8B" w:rsidRPr="006D42D9" w:rsidRDefault="003B2A8B" w:rsidP="003B2A8B">
          <w:pPr>
            <w:rPr>
              <w:rFonts w:ascii="Republika" w:hAnsi="Republika"/>
              <w:sz w:val="60"/>
              <w:szCs w:val="60"/>
            </w:rPr>
          </w:pPr>
        </w:p>
        <w:p w14:paraId="65BDB047" w14:textId="77777777" w:rsidR="003B2A8B" w:rsidRPr="006D42D9" w:rsidRDefault="003B2A8B" w:rsidP="003B2A8B">
          <w:pPr>
            <w:rPr>
              <w:rFonts w:ascii="Republika" w:hAnsi="Republika"/>
              <w:sz w:val="60"/>
              <w:szCs w:val="60"/>
            </w:rPr>
          </w:pPr>
        </w:p>
        <w:p w14:paraId="39208157" w14:textId="77777777" w:rsidR="003B2A8B" w:rsidRPr="006D42D9" w:rsidRDefault="003B2A8B" w:rsidP="003B2A8B">
          <w:pPr>
            <w:rPr>
              <w:rFonts w:ascii="Republika" w:hAnsi="Republika"/>
              <w:sz w:val="60"/>
              <w:szCs w:val="60"/>
            </w:rPr>
          </w:pPr>
        </w:p>
        <w:p w14:paraId="2F0EAF83" w14:textId="77777777" w:rsidR="003B2A8B" w:rsidRPr="006D42D9" w:rsidRDefault="003B2A8B" w:rsidP="003B2A8B">
          <w:pPr>
            <w:rPr>
              <w:rFonts w:ascii="Republika" w:hAnsi="Republika"/>
              <w:sz w:val="60"/>
              <w:szCs w:val="60"/>
            </w:rPr>
          </w:pPr>
        </w:p>
        <w:p w14:paraId="61700450" w14:textId="77777777" w:rsidR="003B2A8B" w:rsidRPr="006D42D9" w:rsidRDefault="003B2A8B" w:rsidP="003B2A8B">
          <w:pPr>
            <w:rPr>
              <w:rFonts w:ascii="Republika" w:hAnsi="Republika"/>
              <w:sz w:val="60"/>
              <w:szCs w:val="60"/>
            </w:rPr>
          </w:pPr>
        </w:p>
        <w:p w14:paraId="21625518" w14:textId="77777777" w:rsidR="003B2A8B" w:rsidRPr="006D42D9" w:rsidRDefault="003B2A8B" w:rsidP="003B2A8B">
          <w:pPr>
            <w:rPr>
              <w:rFonts w:ascii="Republika" w:hAnsi="Republika"/>
              <w:sz w:val="60"/>
              <w:szCs w:val="60"/>
            </w:rPr>
          </w:pPr>
        </w:p>
        <w:p w14:paraId="54674000" w14:textId="77777777" w:rsidR="003B2A8B" w:rsidRPr="006D42D9" w:rsidRDefault="003B2A8B" w:rsidP="003B2A8B">
          <w:pPr>
            <w:rPr>
              <w:rFonts w:ascii="Republika" w:hAnsi="Republika"/>
              <w:sz w:val="60"/>
              <w:szCs w:val="60"/>
            </w:rPr>
          </w:pPr>
        </w:p>
        <w:p w14:paraId="180F2861" w14:textId="77777777" w:rsidR="003B2A8B" w:rsidRPr="006D42D9" w:rsidRDefault="003B2A8B" w:rsidP="003B2A8B">
          <w:pPr>
            <w:rPr>
              <w:rFonts w:ascii="Republika" w:hAnsi="Republika"/>
              <w:sz w:val="60"/>
              <w:szCs w:val="60"/>
            </w:rPr>
          </w:pPr>
        </w:p>
        <w:p w14:paraId="188CC5B1" w14:textId="77777777" w:rsidR="003B2A8B" w:rsidRPr="006D42D9" w:rsidRDefault="003B2A8B" w:rsidP="003B2A8B">
          <w:pPr>
            <w:rPr>
              <w:rFonts w:ascii="Republika" w:hAnsi="Republika"/>
              <w:sz w:val="60"/>
              <w:szCs w:val="60"/>
            </w:rPr>
          </w:pPr>
        </w:p>
        <w:p w14:paraId="6B88D078" w14:textId="77777777" w:rsidR="003B2A8B" w:rsidRPr="006D42D9" w:rsidRDefault="003B2A8B" w:rsidP="003B2A8B">
          <w:pPr>
            <w:rPr>
              <w:rFonts w:ascii="Republika" w:hAnsi="Republika"/>
              <w:sz w:val="60"/>
              <w:szCs w:val="60"/>
            </w:rPr>
          </w:pPr>
        </w:p>
        <w:p w14:paraId="7AB27C22" w14:textId="77777777" w:rsidR="003B2A8B" w:rsidRPr="006D42D9" w:rsidRDefault="003B2A8B" w:rsidP="003B2A8B">
          <w:pPr>
            <w:rPr>
              <w:rFonts w:ascii="Republika" w:hAnsi="Republika"/>
              <w:sz w:val="60"/>
              <w:szCs w:val="60"/>
            </w:rPr>
          </w:pPr>
        </w:p>
        <w:p w14:paraId="2C511DF6" w14:textId="77777777" w:rsidR="003B2A8B" w:rsidRPr="006D42D9" w:rsidRDefault="003B2A8B" w:rsidP="003B2A8B">
          <w:pPr>
            <w:rPr>
              <w:rFonts w:ascii="Republika" w:hAnsi="Republika"/>
              <w:sz w:val="60"/>
              <w:szCs w:val="60"/>
            </w:rPr>
          </w:pPr>
        </w:p>
        <w:p w14:paraId="3EF738B7" w14:textId="77777777" w:rsidR="003B2A8B" w:rsidRPr="006D42D9" w:rsidRDefault="003B2A8B" w:rsidP="003B2A8B">
          <w:pPr>
            <w:rPr>
              <w:rFonts w:ascii="Republika" w:hAnsi="Republika"/>
              <w:sz w:val="60"/>
              <w:szCs w:val="60"/>
            </w:rPr>
          </w:pPr>
        </w:p>
        <w:p w14:paraId="2D478FDC" w14:textId="77777777" w:rsidR="003B2A8B" w:rsidRPr="006D42D9" w:rsidRDefault="003B2A8B" w:rsidP="003B2A8B">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3B2A8B" w:rsidRPr="008F3500" w14:paraId="0550EC12" w14:textId="77777777" w:rsidTr="003B2A8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90A905C" w14:textId="77777777" w:rsidR="003B2A8B" w:rsidRPr="006D42D9" w:rsidRDefault="003B2A8B" w:rsidP="003B2A8B">
          <w:pPr>
            <w:rPr>
              <w:rFonts w:ascii="Republika" w:hAnsi="Republika"/>
              <w:sz w:val="60"/>
              <w:szCs w:val="60"/>
            </w:rPr>
          </w:pPr>
        </w:p>
      </w:tc>
    </w:tr>
  </w:tbl>
  <w:p w14:paraId="0C7D2F6E" w14:textId="77777777" w:rsidR="003B2A8B" w:rsidRPr="008F3500" w:rsidRDefault="003B2A8B" w:rsidP="003B2A8B">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69299EF" wp14:editId="41281DF2">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D8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16694072" w14:textId="505614E1" w:rsidR="003B2A8B" w:rsidRPr="003316CC" w:rsidRDefault="003B2A8B" w:rsidP="003316C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5EDA19F9" w14:textId="56379ED9" w:rsidR="003B2A8B" w:rsidRPr="008F3500" w:rsidRDefault="003B2A8B" w:rsidP="009F1DF3">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w:t>
    </w:r>
    <w:r w:rsidR="003316CC">
      <w:rPr>
        <w:rFonts w:cs="Arial"/>
        <w:sz w:val="16"/>
      </w:rPr>
      <w:t>3 11</w:t>
    </w:r>
  </w:p>
  <w:p w14:paraId="70234703" w14:textId="77777777" w:rsidR="003B2A8B" w:rsidRPr="008F3500" w:rsidRDefault="003B2A8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14682AF7" w14:textId="77777777" w:rsidR="003B2A8B" w:rsidRPr="008F3500" w:rsidRDefault="003B2A8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7B44F65B" w14:textId="77777777" w:rsidR="003B2A8B" w:rsidRPr="008F3500" w:rsidRDefault="003B2A8B" w:rsidP="003B2A8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D3"/>
    <w:multiLevelType w:val="hybridMultilevel"/>
    <w:tmpl w:val="18ACE6E2"/>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52CE3"/>
    <w:multiLevelType w:val="hybridMultilevel"/>
    <w:tmpl w:val="569033A6"/>
    <w:lvl w:ilvl="0" w:tplc="E2C08A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E5348F"/>
    <w:multiLevelType w:val="multilevel"/>
    <w:tmpl w:val="94EE0434"/>
    <w:lvl w:ilvl="0">
      <w:start w:val="1"/>
      <w:numFmt w:val="decimal"/>
      <w:lvlText w:val="%1."/>
      <w:lvlJc w:val="left"/>
      <w:pPr>
        <w:ind w:left="360" w:hanging="360"/>
      </w:pPr>
    </w:lvl>
    <w:lvl w:ilvl="1">
      <w:start w:val="1"/>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7A126C0"/>
    <w:multiLevelType w:val="hybridMultilevel"/>
    <w:tmpl w:val="16AC49B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9" w15:restartNumberingAfterBreak="0">
    <w:nsid w:val="4DCD00E8"/>
    <w:multiLevelType w:val="hybridMultilevel"/>
    <w:tmpl w:val="93FE1C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28040E1"/>
    <w:multiLevelType w:val="hybridMultilevel"/>
    <w:tmpl w:val="4A5AC7AA"/>
    <w:lvl w:ilvl="0" w:tplc="61C4F9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0B4154"/>
    <w:multiLevelType w:val="hybridMultilevel"/>
    <w:tmpl w:val="B5F069E6"/>
    <w:lvl w:ilvl="0" w:tplc="D55EF2B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1A7758"/>
    <w:multiLevelType w:val="hybridMultilevel"/>
    <w:tmpl w:val="B788790A"/>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01">
      <w:start w:val="1"/>
      <w:numFmt w:val="bullet"/>
      <w:lvlText w:val=""/>
      <w:lvlJc w:val="left"/>
      <w:pPr>
        <w:tabs>
          <w:tab w:val="num" w:pos="1837"/>
        </w:tabs>
        <w:ind w:left="1837" w:hanging="360"/>
      </w:pPr>
      <w:rPr>
        <w:rFonts w:ascii="Symbol" w:hAnsi="Symbol" w:hint="default"/>
        <w:color w:val="auto"/>
      </w:r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14" w15:restartNumberingAfterBreak="0">
    <w:nsid w:val="684F6A8D"/>
    <w:multiLevelType w:val="hybridMultilevel"/>
    <w:tmpl w:val="93FE1C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128615">
    <w:abstractNumId w:val="0"/>
  </w:num>
  <w:num w:numId="2" w16cid:durableId="507447100">
    <w:abstractNumId w:val="11"/>
  </w:num>
  <w:num w:numId="3" w16cid:durableId="2111312358">
    <w:abstractNumId w:val="1"/>
  </w:num>
  <w:num w:numId="4" w16cid:durableId="642467066">
    <w:abstractNumId w:val="6"/>
  </w:num>
  <w:num w:numId="5" w16cid:durableId="1187602936">
    <w:abstractNumId w:val="7"/>
  </w:num>
  <w:num w:numId="6" w16cid:durableId="2103526390">
    <w:abstractNumId w:val="4"/>
  </w:num>
  <w:num w:numId="7" w16cid:durableId="370616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495320">
    <w:abstractNumId w:val="8"/>
  </w:num>
  <w:num w:numId="9" w16cid:durableId="1750544287">
    <w:abstractNumId w:val="5"/>
  </w:num>
  <w:num w:numId="10" w16cid:durableId="11152772">
    <w:abstractNumId w:val="10"/>
  </w:num>
  <w:num w:numId="11" w16cid:durableId="702831565">
    <w:abstractNumId w:val="3"/>
  </w:num>
  <w:num w:numId="12" w16cid:durableId="757362003">
    <w:abstractNumId w:val="13"/>
  </w:num>
  <w:num w:numId="13" w16cid:durableId="1912881795">
    <w:abstractNumId w:val="12"/>
  </w:num>
  <w:num w:numId="14" w16cid:durableId="249314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443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7E"/>
    <w:rsid w:val="000014A0"/>
    <w:rsid w:val="000014B7"/>
    <w:rsid w:val="000106E4"/>
    <w:rsid w:val="00014CDF"/>
    <w:rsid w:val="000150D5"/>
    <w:rsid w:val="0001749C"/>
    <w:rsid w:val="00035169"/>
    <w:rsid w:val="000363A4"/>
    <w:rsid w:val="00036849"/>
    <w:rsid w:val="0004252E"/>
    <w:rsid w:val="0005001B"/>
    <w:rsid w:val="0006769A"/>
    <w:rsid w:val="00073D30"/>
    <w:rsid w:val="00074E55"/>
    <w:rsid w:val="00080C25"/>
    <w:rsid w:val="0009047A"/>
    <w:rsid w:val="00092862"/>
    <w:rsid w:val="000B0776"/>
    <w:rsid w:val="000B3CD8"/>
    <w:rsid w:val="000B75AA"/>
    <w:rsid w:val="000C50B0"/>
    <w:rsid w:val="000C6ADF"/>
    <w:rsid w:val="000E35B3"/>
    <w:rsid w:val="000F717B"/>
    <w:rsid w:val="00111F14"/>
    <w:rsid w:val="00112033"/>
    <w:rsid w:val="0011428F"/>
    <w:rsid w:val="00120BCA"/>
    <w:rsid w:val="00121767"/>
    <w:rsid w:val="00122023"/>
    <w:rsid w:val="00127CA3"/>
    <w:rsid w:val="00130FDD"/>
    <w:rsid w:val="00133FB3"/>
    <w:rsid w:val="00135921"/>
    <w:rsid w:val="00141AF2"/>
    <w:rsid w:val="00143291"/>
    <w:rsid w:val="001721E8"/>
    <w:rsid w:val="001736ED"/>
    <w:rsid w:val="00175ECE"/>
    <w:rsid w:val="0019076D"/>
    <w:rsid w:val="001A794A"/>
    <w:rsid w:val="001B0AF5"/>
    <w:rsid w:val="001B65F6"/>
    <w:rsid w:val="001C0AE2"/>
    <w:rsid w:val="001C3C95"/>
    <w:rsid w:val="001C52DB"/>
    <w:rsid w:val="001D3D3F"/>
    <w:rsid w:val="001E067B"/>
    <w:rsid w:val="001E5FEC"/>
    <w:rsid w:val="001E7C89"/>
    <w:rsid w:val="001F70F2"/>
    <w:rsid w:val="001F7F10"/>
    <w:rsid w:val="002005CF"/>
    <w:rsid w:val="002008ED"/>
    <w:rsid w:val="00201224"/>
    <w:rsid w:val="00203321"/>
    <w:rsid w:val="0020778E"/>
    <w:rsid w:val="002111F6"/>
    <w:rsid w:val="002120D2"/>
    <w:rsid w:val="00213420"/>
    <w:rsid w:val="00213494"/>
    <w:rsid w:val="0021660E"/>
    <w:rsid w:val="00225537"/>
    <w:rsid w:val="00234286"/>
    <w:rsid w:val="002409A1"/>
    <w:rsid w:val="0024485C"/>
    <w:rsid w:val="002477C1"/>
    <w:rsid w:val="00277132"/>
    <w:rsid w:val="00277C02"/>
    <w:rsid w:val="00283ED1"/>
    <w:rsid w:val="002914A2"/>
    <w:rsid w:val="00291EE2"/>
    <w:rsid w:val="002A0005"/>
    <w:rsid w:val="002A7588"/>
    <w:rsid w:val="002B4FFB"/>
    <w:rsid w:val="002B615C"/>
    <w:rsid w:val="002C00E7"/>
    <w:rsid w:val="002C4594"/>
    <w:rsid w:val="002E7E3B"/>
    <w:rsid w:val="002E7E8A"/>
    <w:rsid w:val="00301118"/>
    <w:rsid w:val="00303CE9"/>
    <w:rsid w:val="00310A72"/>
    <w:rsid w:val="0031299D"/>
    <w:rsid w:val="0031444E"/>
    <w:rsid w:val="003312AA"/>
    <w:rsid w:val="003316CC"/>
    <w:rsid w:val="00352717"/>
    <w:rsid w:val="00364652"/>
    <w:rsid w:val="003702FA"/>
    <w:rsid w:val="003748C9"/>
    <w:rsid w:val="00387982"/>
    <w:rsid w:val="0039439E"/>
    <w:rsid w:val="003A1BD0"/>
    <w:rsid w:val="003A36ED"/>
    <w:rsid w:val="003A6DED"/>
    <w:rsid w:val="003B09D2"/>
    <w:rsid w:val="003B2A8B"/>
    <w:rsid w:val="003B3175"/>
    <w:rsid w:val="003B656F"/>
    <w:rsid w:val="003C7649"/>
    <w:rsid w:val="003D406D"/>
    <w:rsid w:val="003E0A06"/>
    <w:rsid w:val="003E39B8"/>
    <w:rsid w:val="003F0B0D"/>
    <w:rsid w:val="0040330F"/>
    <w:rsid w:val="00407D88"/>
    <w:rsid w:val="00412085"/>
    <w:rsid w:val="00427D1F"/>
    <w:rsid w:val="004341AD"/>
    <w:rsid w:val="00440931"/>
    <w:rsid w:val="00462179"/>
    <w:rsid w:val="00462840"/>
    <w:rsid w:val="00475E8B"/>
    <w:rsid w:val="00484F57"/>
    <w:rsid w:val="00486CE7"/>
    <w:rsid w:val="004941CD"/>
    <w:rsid w:val="004A01BF"/>
    <w:rsid w:val="004A099C"/>
    <w:rsid w:val="004A0C7E"/>
    <w:rsid w:val="004A2ED1"/>
    <w:rsid w:val="004A50A9"/>
    <w:rsid w:val="004A520C"/>
    <w:rsid w:val="004B0037"/>
    <w:rsid w:val="004C2053"/>
    <w:rsid w:val="004C4230"/>
    <w:rsid w:val="004C6621"/>
    <w:rsid w:val="004D1E14"/>
    <w:rsid w:val="004E3954"/>
    <w:rsid w:val="004F0E4E"/>
    <w:rsid w:val="004F386D"/>
    <w:rsid w:val="0050050D"/>
    <w:rsid w:val="005006D3"/>
    <w:rsid w:val="005042AD"/>
    <w:rsid w:val="005046E6"/>
    <w:rsid w:val="00506DE4"/>
    <w:rsid w:val="0051243C"/>
    <w:rsid w:val="005141A8"/>
    <w:rsid w:val="00536D30"/>
    <w:rsid w:val="00541957"/>
    <w:rsid w:val="00555BCC"/>
    <w:rsid w:val="00566534"/>
    <w:rsid w:val="00573AF5"/>
    <w:rsid w:val="0058056A"/>
    <w:rsid w:val="00581C62"/>
    <w:rsid w:val="00586B4E"/>
    <w:rsid w:val="00592523"/>
    <w:rsid w:val="0059733E"/>
    <w:rsid w:val="005A3318"/>
    <w:rsid w:val="005A5B70"/>
    <w:rsid w:val="005B194C"/>
    <w:rsid w:val="005B5388"/>
    <w:rsid w:val="005B65E5"/>
    <w:rsid w:val="005E0875"/>
    <w:rsid w:val="005E209D"/>
    <w:rsid w:val="005E28FE"/>
    <w:rsid w:val="005E77F6"/>
    <w:rsid w:val="005F4A60"/>
    <w:rsid w:val="005F68D7"/>
    <w:rsid w:val="006041BA"/>
    <w:rsid w:val="00612A39"/>
    <w:rsid w:val="00614288"/>
    <w:rsid w:val="006158DE"/>
    <w:rsid w:val="006175D7"/>
    <w:rsid w:val="00622322"/>
    <w:rsid w:val="0063038E"/>
    <w:rsid w:val="00631DA0"/>
    <w:rsid w:val="00633EEF"/>
    <w:rsid w:val="0064393F"/>
    <w:rsid w:val="0065082D"/>
    <w:rsid w:val="0065467C"/>
    <w:rsid w:val="00655F4C"/>
    <w:rsid w:val="006717CF"/>
    <w:rsid w:val="0067656C"/>
    <w:rsid w:val="00676BD1"/>
    <w:rsid w:val="006824ED"/>
    <w:rsid w:val="006913C4"/>
    <w:rsid w:val="0069772B"/>
    <w:rsid w:val="006A5184"/>
    <w:rsid w:val="006C01A5"/>
    <w:rsid w:val="006C12ED"/>
    <w:rsid w:val="006D445F"/>
    <w:rsid w:val="006D4A7C"/>
    <w:rsid w:val="006D5E65"/>
    <w:rsid w:val="006E63D4"/>
    <w:rsid w:val="006F7E21"/>
    <w:rsid w:val="00704B21"/>
    <w:rsid w:val="00710825"/>
    <w:rsid w:val="007114BD"/>
    <w:rsid w:val="007125D5"/>
    <w:rsid w:val="0072133A"/>
    <w:rsid w:val="00722E8D"/>
    <w:rsid w:val="00725FC3"/>
    <w:rsid w:val="00726172"/>
    <w:rsid w:val="00734950"/>
    <w:rsid w:val="00742469"/>
    <w:rsid w:val="00756D19"/>
    <w:rsid w:val="00767EF1"/>
    <w:rsid w:val="00774181"/>
    <w:rsid w:val="00775F38"/>
    <w:rsid w:val="00782CB4"/>
    <w:rsid w:val="00790CAA"/>
    <w:rsid w:val="007936D8"/>
    <w:rsid w:val="0079510C"/>
    <w:rsid w:val="007A64F5"/>
    <w:rsid w:val="007A68DA"/>
    <w:rsid w:val="007A6D6E"/>
    <w:rsid w:val="007A7F33"/>
    <w:rsid w:val="007C01A7"/>
    <w:rsid w:val="007C11E6"/>
    <w:rsid w:val="007D5786"/>
    <w:rsid w:val="007D6165"/>
    <w:rsid w:val="007F1DD8"/>
    <w:rsid w:val="007F2448"/>
    <w:rsid w:val="007F748C"/>
    <w:rsid w:val="008144C9"/>
    <w:rsid w:val="00833212"/>
    <w:rsid w:val="00844747"/>
    <w:rsid w:val="0085221A"/>
    <w:rsid w:val="00852240"/>
    <w:rsid w:val="00856E70"/>
    <w:rsid w:val="00863AA6"/>
    <w:rsid w:val="00863D06"/>
    <w:rsid w:val="008640A6"/>
    <w:rsid w:val="00870A24"/>
    <w:rsid w:val="00880D62"/>
    <w:rsid w:val="008822AD"/>
    <w:rsid w:val="008871D2"/>
    <w:rsid w:val="00887F45"/>
    <w:rsid w:val="0089671A"/>
    <w:rsid w:val="00896C46"/>
    <w:rsid w:val="008A4089"/>
    <w:rsid w:val="008A6124"/>
    <w:rsid w:val="008A7655"/>
    <w:rsid w:val="008B228C"/>
    <w:rsid w:val="008B5110"/>
    <w:rsid w:val="008E047A"/>
    <w:rsid w:val="008F0600"/>
    <w:rsid w:val="008F1581"/>
    <w:rsid w:val="008F1C1B"/>
    <w:rsid w:val="008F6805"/>
    <w:rsid w:val="0094087F"/>
    <w:rsid w:val="00943676"/>
    <w:rsid w:val="00947813"/>
    <w:rsid w:val="0095717D"/>
    <w:rsid w:val="00957B69"/>
    <w:rsid w:val="00973411"/>
    <w:rsid w:val="009740CA"/>
    <w:rsid w:val="00974ECF"/>
    <w:rsid w:val="0098056C"/>
    <w:rsid w:val="0098114A"/>
    <w:rsid w:val="0098570D"/>
    <w:rsid w:val="00990F8F"/>
    <w:rsid w:val="00994621"/>
    <w:rsid w:val="00994890"/>
    <w:rsid w:val="009A127C"/>
    <w:rsid w:val="009C42D9"/>
    <w:rsid w:val="009D1F7E"/>
    <w:rsid w:val="009D5A7E"/>
    <w:rsid w:val="009D6DEA"/>
    <w:rsid w:val="009F1AEF"/>
    <w:rsid w:val="009F1DF3"/>
    <w:rsid w:val="009F4980"/>
    <w:rsid w:val="009F550D"/>
    <w:rsid w:val="00A03ED9"/>
    <w:rsid w:val="00A14360"/>
    <w:rsid w:val="00A23222"/>
    <w:rsid w:val="00A250E2"/>
    <w:rsid w:val="00A262CC"/>
    <w:rsid w:val="00A263D2"/>
    <w:rsid w:val="00A328D9"/>
    <w:rsid w:val="00A41CD0"/>
    <w:rsid w:val="00A477E0"/>
    <w:rsid w:val="00A51620"/>
    <w:rsid w:val="00A71BA8"/>
    <w:rsid w:val="00A766E2"/>
    <w:rsid w:val="00A835C9"/>
    <w:rsid w:val="00A92198"/>
    <w:rsid w:val="00A93A36"/>
    <w:rsid w:val="00A959A5"/>
    <w:rsid w:val="00AB0771"/>
    <w:rsid w:val="00AB3134"/>
    <w:rsid w:val="00AB660A"/>
    <w:rsid w:val="00AC3483"/>
    <w:rsid w:val="00AC4B71"/>
    <w:rsid w:val="00AD02C6"/>
    <w:rsid w:val="00AD6440"/>
    <w:rsid w:val="00AD723B"/>
    <w:rsid w:val="00AE1FD0"/>
    <w:rsid w:val="00AE3B25"/>
    <w:rsid w:val="00AE4B48"/>
    <w:rsid w:val="00AE6F17"/>
    <w:rsid w:val="00AE74A7"/>
    <w:rsid w:val="00AF29F6"/>
    <w:rsid w:val="00AF7331"/>
    <w:rsid w:val="00B01953"/>
    <w:rsid w:val="00B06E8A"/>
    <w:rsid w:val="00B12EE4"/>
    <w:rsid w:val="00B12F1A"/>
    <w:rsid w:val="00B13C9E"/>
    <w:rsid w:val="00B3139A"/>
    <w:rsid w:val="00B521E6"/>
    <w:rsid w:val="00B5475F"/>
    <w:rsid w:val="00B61C2B"/>
    <w:rsid w:val="00B65D05"/>
    <w:rsid w:val="00B70C1A"/>
    <w:rsid w:val="00B84C0C"/>
    <w:rsid w:val="00B90400"/>
    <w:rsid w:val="00BA1BBF"/>
    <w:rsid w:val="00BB1132"/>
    <w:rsid w:val="00BC78FF"/>
    <w:rsid w:val="00BD11BD"/>
    <w:rsid w:val="00BD1A14"/>
    <w:rsid w:val="00C0028A"/>
    <w:rsid w:val="00C0429E"/>
    <w:rsid w:val="00C10680"/>
    <w:rsid w:val="00C108B2"/>
    <w:rsid w:val="00C11563"/>
    <w:rsid w:val="00C13CEF"/>
    <w:rsid w:val="00C17D83"/>
    <w:rsid w:val="00C20CF6"/>
    <w:rsid w:val="00C21AC8"/>
    <w:rsid w:val="00C24778"/>
    <w:rsid w:val="00C26DE3"/>
    <w:rsid w:val="00C273C2"/>
    <w:rsid w:val="00C3025A"/>
    <w:rsid w:val="00C303E6"/>
    <w:rsid w:val="00C30A09"/>
    <w:rsid w:val="00C30FD7"/>
    <w:rsid w:val="00C327D5"/>
    <w:rsid w:val="00C337B4"/>
    <w:rsid w:val="00C4461D"/>
    <w:rsid w:val="00C44879"/>
    <w:rsid w:val="00C4732A"/>
    <w:rsid w:val="00C541D9"/>
    <w:rsid w:val="00C732C2"/>
    <w:rsid w:val="00C865D3"/>
    <w:rsid w:val="00CA0045"/>
    <w:rsid w:val="00CA3C55"/>
    <w:rsid w:val="00CB135B"/>
    <w:rsid w:val="00CD3E5B"/>
    <w:rsid w:val="00CD66D9"/>
    <w:rsid w:val="00CE03FD"/>
    <w:rsid w:val="00CE0804"/>
    <w:rsid w:val="00CE565E"/>
    <w:rsid w:val="00CE5810"/>
    <w:rsid w:val="00CF1D22"/>
    <w:rsid w:val="00CF5067"/>
    <w:rsid w:val="00D013C6"/>
    <w:rsid w:val="00D03D24"/>
    <w:rsid w:val="00D106E1"/>
    <w:rsid w:val="00D122F9"/>
    <w:rsid w:val="00D14B2F"/>
    <w:rsid w:val="00D14F2B"/>
    <w:rsid w:val="00D26090"/>
    <w:rsid w:val="00D26814"/>
    <w:rsid w:val="00D27A9C"/>
    <w:rsid w:val="00D36680"/>
    <w:rsid w:val="00D55502"/>
    <w:rsid w:val="00D66869"/>
    <w:rsid w:val="00D72E3F"/>
    <w:rsid w:val="00D83678"/>
    <w:rsid w:val="00D8481B"/>
    <w:rsid w:val="00D90485"/>
    <w:rsid w:val="00D91F4F"/>
    <w:rsid w:val="00D97370"/>
    <w:rsid w:val="00DA2312"/>
    <w:rsid w:val="00DA7CEC"/>
    <w:rsid w:val="00DB1643"/>
    <w:rsid w:val="00DB50A9"/>
    <w:rsid w:val="00DC2164"/>
    <w:rsid w:val="00DC7BCC"/>
    <w:rsid w:val="00DE20FD"/>
    <w:rsid w:val="00DE4C34"/>
    <w:rsid w:val="00DE6A12"/>
    <w:rsid w:val="00DE7CD6"/>
    <w:rsid w:val="00DF08AE"/>
    <w:rsid w:val="00DF15F8"/>
    <w:rsid w:val="00DF1EBC"/>
    <w:rsid w:val="00E21A02"/>
    <w:rsid w:val="00E413D2"/>
    <w:rsid w:val="00E54350"/>
    <w:rsid w:val="00E5497C"/>
    <w:rsid w:val="00E63666"/>
    <w:rsid w:val="00E75FFF"/>
    <w:rsid w:val="00E808BD"/>
    <w:rsid w:val="00E876B5"/>
    <w:rsid w:val="00EA17E4"/>
    <w:rsid w:val="00EA1CD8"/>
    <w:rsid w:val="00EB2B57"/>
    <w:rsid w:val="00EC0E3A"/>
    <w:rsid w:val="00EC49A7"/>
    <w:rsid w:val="00EC5840"/>
    <w:rsid w:val="00EC6830"/>
    <w:rsid w:val="00ED5D5A"/>
    <w:rsid w:val="00EE0B96"/>
    <w:rsid w:val="00EF1676"/>
    <w:rsid w:val="00EF7C86"/>
    <w:rsid w:val="00F0286C"/>
    <w:rsid w:val="00F13FDD"/>
    <w:rsid w:val="00F17F85"/>
    <w:rsid w:val="00F30F3F"/>
    <w:rsid w:val="00F34788"/>
    <w:rsid w:val="00F36E6F"/>
    <w:rsid w:val="00F445D9"/>
    <w:rsid w:val="00F541C4"/>
    <w:rsid w:val="00F67AC5"/>
    <w:rsid w:val="00F724C0"/>
    <w:rsid w:val="00F83304"/>
    <w:rsid w:val="00F92D5B"/>
    <w:rsid w:val="00FA0053"/>
    <w:rsid w:val="00FA4D29"/>
    <w:rsid w:val="00FA7FF9"/>
    <w:rsid w:val="00FC2FF1"/>
    <w:rsid w:val="00FC3DFB"/>
    <w:rsid w:val="00FC6A27"/>
    <w:rsid w:val="00FD0ACA"/>
    <w:rsid w:val="00FD2735"/>
    <w:rsid w:val="00FE48CB"/>
    <w:rsid w:val="00FE7C73"/>
    <w:rsid w:val="00FF33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217D"/>
  <w15:chartTrackingRefBased/>
  <w15:docId w15:val="{E0D7C3EB-5A17-43FF-9672-950E2780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unhideWhenUsed/>
    <w:rsid w:val="00F83304"/>
    <w:rPr>
      <w:color w:val="0000FF"/>
      <w:u w:val="single"/>
    </w:rPr>
  </w:style>
  <w:style w:type="paragraph" w:customStyle="1" w:styleId="Vsebinaokvira">
    <w:name w:val="Vsebina okvira"/>
    <w:basedOn w:val="Navaden"/>
    <w:qFormat/>
    <w:rsid w:val="00F83304"/>
    <w:pPr>
      <w:suppressAutoHyphens/>
      <w:spacing w:line="260" w:lineRule="atLeast"/>
    </w:pPr>
  </w:style>
  <w:style w:type="paragraph" w:customStyle="1" w:styleId="Oddelek">
    <w:name w:val="Oddelek"/>
    <w:basedOn w:val="Navaden"/>
    <w:link w:val="OddelekZnak1"/>
    <w:qFormat/>
    <w:rsid w:val="00EC5840"/>
    <w:pPr>
      <w:numPr>
        <w:numId w:val="4"/>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EC5840"/>
    <w:rPr>
      <w:rFonts w:ascii="Arial" w:eastAsia="Times New Roman" w:hAnsi="Arial" w:cs="Arial"/>
      <w:b/>
      <w:lang w:eastAsia="sl-SI"/>
    </w:rPr>
  </w:style>
  <w:style w:type="paragraph" w:customStyle="1" w:styleId="Neotevilenodstavek">
    <w:name w:val="Neoštevilčen odstavek"/>
    <w:basedOn w:val="Navaden"/>
    <w:link w:val="NeotevilenodstavekZnak"/>
    <w:qFormat/>
    <w:rsid w:val="00EC584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C5840"/>
    <w:rPr>
      <w:rFonts w:ascii="Arial" w:eastAsia="Times New Roman" w:hAnsi="Arial" w:cs="Arial"/>
      <w:lang w:eastAsia="sl-SI"/>
    </w:rPr>
  </w:style>
  <w:style w:type="paragraph" w:customStyle="1" w:styleId="NavadenStetje">
    <w:name w:val="NavadenStetje"/>
    <w:basedOn w:val="Navaden"/>
    <w:rsid w:val="006158DE"/>
    <w:pPr>
      <w:numPr>
        <w:numId w:val="9"/>
      </w:numPr>
      <w:spacing w:line="288" w:lineRule="auto"/>
    </w:pPr>
    <w:rPr>
      <w:sz w:val="22"/>
    </w:rPr>
  </w:style>
  <w:style w:type="paragraph" w:styleId="Odstavekseznama">
    <w:name w:val="List Paragraph"/>
    <w:basedOn w:val="Navaden"/>
    <w:uiPriority w:val="34"/>
    <w:qFormat/>
    <w:rsid w:val="009740CA"/>
    <w:pPr>
      <w:ind w:left="720"/>
      <w:contextualSpacing/>
    </w:pPr>
  </w:style>
  <w:style w:type="character" w:styleId="Pripombasklic">
    <w:name w:val="annotation reference"/>
    <w:basedOn w:val="Privzetapisavaodstavka"/>
    <w:uiPriority w:val="99"/>
    <w:semiHidden/>
    <w:unhideWhenUsed/>
    <w:rsid w:val="000E35B3"/>
    <w:rPr>
      <w:sz w:val="16"/>
      <w:szCs w:val="16"/>
    </w:rPr>
  </w:style>
  <w:style w:type="paragraph" w:styleId="Pripombabesedilo">
    <w:name w:val="annotation text"/>
    <w:basedOn w:val="Navaden"/>
    <w:link w:val="PripombabesediloZnak"/>
    <w:uiPriority w:val="99"/>
    <w:semiHidden/>
    <w:unhideWhenUsed/>
    <w:rsid w:val="000E35B3"/>
    <w:pPr>
      <w:spacing w:line="240" w:lineRule="auto"/>
    </w:pPr>
    <w:rPr>
      <w:szCs w:val="20"/>
    </w:rPr>
  </w:style>
  <w:style w:type="character" w:customStyle="1" w:styleId="PripombabesediloZnak">
    <w:name w:val="Pripomba – besedilo Znak"/>
    <w:basedOn w:val="Privzetapisavaodstavka"/>
    <w:link w:val="Pripombabesedilo"/>
    <w:uiPriority w:val="99"/>
    <w:semiHidden/>
    <w:rsid w:val="000E35B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E35B3"/>
    <w:rPr>
      <w:b/>
      <w:bCs/>
    </w:rPr>
  </w:style>
  <w:style w:type="character" w:customStyle="1" w:styleId="ZadevapripombeZnak">
    <w:name w:val="Zadeva pripombe Znak"/>
    <w:basedOn w:val="PripombabesediloZnak"/>
    <w:link w:val="Zadevapripombe"/>
    <w:uiPriority w:val="99"/>
    <w:semiHidden/>
    <w:rsid w:val="000E35B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0E35B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35B3"/>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4F0E4E"/>
    <w:rPr>
      <w:color w:val="605E5C"/>
      <w:shd w:val="clear" w:color="auto" w:fill="E1DFDD"/>
    </w:rPr>
  </w:style>
  <w:style w:type="paragraph" w:customStyle="1" w:styleId="NavadenAlineje2">
    <w:name w:val="NavadenAlineje2"/>
    <w:basedOn w:val="Navaden"/>
    <w:rsid w:val="007114BD"/>
    <w:pPr>
      <w:numPr>
        <w:numId w:val="12"/>
      </w:numPr>
      <w:tabs>
        <w:tab w:val="left" w:pos="680"/>
      </w:tabs>
      <w:spacing w:line="288"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880">
      <w:bodyDiv w:val="1"/>
      <w:marLeft w:val="0"/>
      <w:marRight w:val="0"/>
      <w:marTop w:val="0"/>
      <w:marBottom w:val="0"/>
      <w:divBdr>
        <w:top w:val="none" w:sz="0" w:space="0" w:color="auto"/>
        <w:left w:val="none" w:sz="0" w:space="0" w:color="auto"/>
        <w:bottom w:val="none" w:sz="0" w:space="0" w:color="auto"/>
        <w:right w:val="none" w:sz="0" w:space="0" w:color="auto"/>
      </w:divBdr>
    </w:div>
    <w:div w:id="76363883">
      <w:bodyDiv w:val="1"/>
      <w:marLeft w:val="0"/>
      <w:marRight w:val="0"/>
      <w:marTop w:val="0"/>
      <w:marBottom w:val="0"/>
      <w:divBdr>
        <w:top w:val="none" w:sz="0" w:space="0" w:color="auto"/>
        <w:left w:val="none" w:sz="0" w:space="0" w:color="auto"/>
        <w:bottom w:val="none" w:sz="0" w:space="0" w:color="auto"/>
        <w:right w:val="none" w:sz="0" w:space="0" w:color="auto"/>
      </w:divBdr>
    </w:div>
    <w:div w:id="487672729">
      <w:bodyDiv w:val="1"/>
      <w:marLeft w:val="0"/>
      <w:marRight w:val="0"/>
      <w:marTop w:val="0"/>
      <w:marBottom w:val="0"/>
      <w:divBdr>
        <w:top w:val="none" w:sz="0" w:space="0" w:color="auto"/>
        <w:left w:val="none" w:sz="0" w:space="0" w:color="auto"/>
        <w:bottom w:val="none" w:sz="0" w:space="0" w:color="auto"/>
        <w:right w:val="none" w:sz="0" w:space="0" w:color="auto"/>
      </w:divBdr>
    </w:div>
    <w:div w:id="1087653255">
      <w:bodyDiv w:val="1"/>
      <w:marLeft w:val="0"/>
      <w:marRight w:val="0"/>
      <w:marTop w:val="0"/>
      <w:marBottom w:val="0"/>
      <w:divBdr>
        <w:top w:val="none" w:sz="0" w:space="0" w:color="auto"/>
        <w:left w:val="none" w:sz="0" w:space="0" w:color="auto"/>
        <w:bottom w:val="none" w:sz="0" w:space="0" w:color="auto"/>
        <w:right w:val="none" w:sz="0" w:space="0" w:color="auto"/>
      </w:divBdr>
    </w:div>
    <w:div w:id="1410495996">
      <w:bodyDiv w:val="1"/>
      <w:marLeft w:val="0"/>
      <w:marRight w:val="0"/>
      <w:marTop w:val="0"/>
      <w:marBottom w:val="0"/>
      <w:divBdr>
        <w:top w:val="none" w:sz="0" w:space="0" w:color="auto"/>
        <w:left w:val="none" w:sz="0" w:space="0" w:color="auto"/>
        <w:bottom w:val="none" w:sz="0" w:space="0" w:color="auto"/>
        <w:right w:val="none" w:sz="0" w:space="0" w:color="auto"/>
      </w:divBdr>
    </w:div>
    <w:div w:id="1410888425">
      <w:bodyDiv w:val="1"/>
      <w:marLeft w:val="0"/>
      <w:marRight w:val="0"/>
      <w:marTop w:val="0"/>
      <w:marBottom w:val="0"/>
      <w:divBdr>
        <w:top w:val="none" w:sz="0" w:space="0" w:color="auto"/>
        <w:left w:val="none" w:sz="0" w:space="0" w:color="auto"/>
        <w:bottom w:val="none" w:sz="0" w:space="0" w:color="auto"/>
        <w:right w:val="none" w:sz="0" w:space="0" w:color="auto"/>
      </w:divBdr>
    </w:div>
    <w:div w:id="1553879440">
      <w:bodyDiv w:val="1"/>
      <w:marLeft w:val="0"/>
      <w:marRight w:val="0"/>
      <w:marTop w:val="0"/>
      <w:marBottom w:val="0"/>
      <w:divBdr>
        <w:top w:val="none" w:sz="0" w:space="0" w:color="auto"/>
        <w:left w:val="none" w:sz="0" w:space="0" w:color="auto"/>
        <w:bottom w:val="none" w:sz="0" w:space="0" w:color="auto"/>
        <w:right w:val="none" w:sz="0" w:space="0" w:color="auto"/>
      </w:divBdr>
    </w:div>
    <w:div w:id="18111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3-01-0787" TargetMode="External"/><Relationship Id="rId18" Type="http://schemas.openxmlformats.org/officeDocument/2006/relationships/hyperlink" Target="http://www.uradni-list.si/1/objava.jsp?sop=2000-01-1695" TargetMode="External"/><Relationship Id="rId26" Type="http://schemas.openxmlformats.org/officeDocument/2006/relationships/hyperlink" Target="http://www.uradni-list.si/1/objava.jsp?sop=2001-01-1365" TargetMode="External"/><Relationship Id="rId39" Type="http://schemas.openxmlformats.org/officeDocument/2006/relationships/hyperlink" Target="https://www.uradni-list.si/glasilo-uradni-list-rs/vsebina/2024-01-3308" TargetMode="External"/><Relationship Id="rId21" Type="http://schemas.openxmlformats.org/officeDocument/2006/relationships/hyperlink" Target="http://www.uradni-list.si/1/objava.jsp?sop=2008-01-0780" TargetMode="External"/><Relationship Id="rId34" Type="http://schemas.openxmlformats.org/officeDocument/2006/relationships/hyperlink" Target="http://www.uradni-list.si/1/objava.jsp?sop=2004-01-5026" TargetMode="External"/><Relationship Id="rId42" Type="http://schemas.openxmlformats.org/officeDocument/2006/relationships/hyperlink" Target="https://www.uradni-list.si/glasilo-uradni-list-rs/vsebina/2013-01-3677" TargetMode="External"/><Relationship Id="rId47" Type="http://schemas.openxmlformats.org/officeDocument/2006/relationships/hyperlink" Target="https://www.uradni-list.si/glasilo-uradni-list-rs/vsebina/2023-01-0348"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7-01-2521" TargetMode="External"/><Relationship Id="rId29" Type="http://schemas.openxmlformats.org/officeDocument/2006/relationships/hyperlink" Target="http://www.uradni-list.si/1/objava.jsp?sop=2016-01-0721" TargetMode="External"/><Relationship Id="rId11" Type="http://schemas.openxmlformats.org/officeDocument/2006/relationships/hyperlink" Target="https://www.uradni-list.si/glasilo-uradni-list-rs/vsebina/2010-01-1847" TargetMode="External"/><Relationship Id="rId24" Type="http://schemas.openxmlformats.org/officeDocument/2006/relationships/hyperlink" Target="http://www.uradni-list.si/1/objava.jsp?sop=2021-01-1954" TargetMode="External"/><Relationship Id="rId32" Type="http://schemas.openxmlformats.org/officeDocument/2006/relationships/hyperlink" Target="http://www.uradni-list.si/1/objava.jsp?sop=2000-01-1695" TargetMode="External"/><Relationship Id="rId37" Type="http://schemas.openxmlformats.org/officeDocument/2006/relationships/hyperlink" Target="http://www.uradni-list.si/1/objava.jsp?sop=2016-01-2250" TargetMode="External"/><Relationship Id="rId40" Type="http://schemas.openxmlformats.org/officeDocument/2006/relationships/hyperlink" Target="https://www.uradni-list.si/glasilo-uradni-list-rs/vsebina/2011-01-0449" TargetMode="External"/><Relationship Id="rId45" Type="http://schemas.openxmlformats.org/officeDocument/2006/relationships/hyperlink" Target="https://www.uradni-list.si/glasilo-uradni-list-rs/vsebina/2018-01-054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radni-list.si/glasilo-uradni-list-rs/vsebina/2008-01-4694" TargetMode="External"/><Relationship Id="rId19" Type="http://schemas.openxmlformats.org/officeDocument/2006/relationships/hyperlink" Target="http://www.uradni-list.si/1/objava.jsp?sop=2001-01-1365" TargetMode="External"/><Relationship Id="rId31" Type="http://schemas.openxmlformats.org/officeDocument/2006/relationships/hyperlink" Target="http://www.uradni-list.si/1/objava.jsp?sop=2021-01-1954" TargetMode="External"/><Relationship Id="rId44" Type="http://schemas.openxmlformats.org/officeDocument/2006/relationships/hyperlink" Target="https://www.uradni-list.si/glasilo-uradni-list-rs/vsebina/2015-01-3772"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05-01-0823" TargetMode="External"/><Relationship Id="rId14" Type="http://schemas.openxmlformats.org/officeDocument/2006/relationships/hyperlink" Target="https://www.uradni-list.si/glasilo-uradni-list-rs/vsebina/2013-01-1783" TargetMode="External"/><Relationship Id="rId22" Type="http://schemas.openxmlformats.org/officeDocument/2006/relationships/hyperlink" Target="http://www.uradni-list.si/1/objava.jsp?sop=2016-01-0721" TargetMode="External"/><Relationship Id="rId27" Type="http://schemas.openxmlformats.org/officeDocument/2006/relationships/hyperlink" Target="http://www.uradni-list.si/1/objava.jsp?sop=2004-01-5026" TargetMode="External"/><Relationship Id="rId30" Type="http://schemas.openxmlformats.org/officeDocument/2006/relationships/hyperlink" Target="http://www.uradni-list.si/1/objava.jsp?sop=2016-01-2250" TargetMode="External"/><Relationship Id="rId35" Type="http://schemas.openxmlformats.org/officeDocument/2006/relationships/hyperlink" Target="http://www.uradni-list.si/1/objava.jsp?sop=2008-01-0780" TargetMode="External"/><Relationship Id="rId43" Type="http://schemas.openxmlformats.org/officeDocument/2006/relationships/hyperlink" Target="https://www.uradni-list.si/glasilo-uradni-list-rs/vsebina/2015-01-2277" TargetMode="External"/><Relationship Id="rId48" Type="http://schemas.openxmlformats.org/officeDocument/2006/relationships/hyperlink" Target="https://www.uradni-list.si/glasilo-uradni-list-rs/vsebina/2023-01-2386" TargetMode="External"/><Relationship Id="rId8" Type="http://schemas.openxmlformats.org/officeDocument/2006/relationships/hyperlink" Target="mailto:gp.gs@gov.si"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uradni-list.si/glasilo-uradni-list-rs/vsebina/2012-01-0268" TargetMode="External"/><Relationship Id="rId17" Type="http://schemas.openxmlformats.org/officeDocument/2006/relationships/hyperlink" Target="https://www.uradni-list.si/glasilo-uradni-list-rs/vsebina/2022-01-4191" TargetMode="External"/><Relationship Id="rId25" Type="http://schemas.openxmlformats.org/officeDocument/2006/relationships/hyperlink" Target="http://www.uradni-list.si/1/objava.jsp?sop=2000-01-1695" TargetMode="External"/><Relationship Id="rId33" Type="http://schemas.openxmlformats.org/officeDocument/2006/relationships/hyperlink" Target="http://www.uradni-list.si/1/objava.jsp?sop=2001-01-1365" TargetMode="External"/><Relationship Id="rId38" Type="http://schemas.openxmlformats.org/officeDocument/2006/relationships/hyperlink" Target="http://www.uradni-list.si/1/objava.jsp?sop=2021-01-1954" TargetMode="External"/><Relationship Id="rId46" Type="http://schemas.openxmlformats.org/officeDocument/2006/relationships/hyperlink" Target="https://www.uradni-list.si/glasilo-uradni-list-rs/vsebina/2020-01-3501" TargetMode="External"/><Relationship Id="rId20" Type="http://schemas.openxmlformats.org/officeDocument/2006/relationships/hyperlink" Target="http://www.uradni-list.si/1/objava.jsp?sop=2004-01-5026" TargetMode="External"/><Relationship Id="rId41" Type="http://schemas.openxmlformats.org/officeDocument/2006/relationships/hyperlink" Target="https://www.uradni-list.si/glasilo-uradni-list-rs/vsebina/2013-21-043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radni-list.si/glasilo-uradni-list-rs/vsebina/2014-01-2739" TargetMode="External"/><Relationship Id="rId23" Type="http://schemas.openxmlformats.org/officeDocument/2006/relationships/hyperlink" Target="http://www.uradni-list.si/1/objava.jsp?sop=2016-01-2250" TargetMode="External"/><Relationship Id="rId28" Type="http://schemas.openxmlformats.org/officeDocument/2006/relationships/hyperlink" Target="http://www.uradni-list.si/1/objava.jsp?sop=2008-01-0780" TargetMode="External"/><Relationship Id="rId36" Type="http://schemas.openxmlformats.org/officeDocument/2006/relationships/hyperlink" Target="http://www.uradni-list.si/1/objava.jsp?sop=2016-01-0721"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DNT_SPPB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493C51-9413-4C55-9FD3-97B5FA46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DNT_SPPBS_SI</Template>
  <TotalTime>1285</TotalTime>
  <Pages>6</Pages>
  <Words>2746</Words>
  <Characters>15658</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Marija-Judita Samsa</dc:creator>
  <cp:keywords/>
  <dc:description/>
  <cp:lastModifiedBy>Ksenija Mavrič</cp:lastModifiedBy>
  <cp:revision>346</cp:revision>
  <cp:lastPrinted>2022-04-20T12:17:00Z</cp:lastPrinted>
  <dcterms:created xsi:type="dcterms:W3CDTF">2023-01-27T07:01:00Z</dcterms:created>
  <dcterms:modified xsi:type="dcterms:W3CDTF">2025-04-01T07:28:00Z</dcterms:modified>
</cp:coreProperties>
</file>