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585"/>
        <w:gridCol w:w="814"/>
        <w:gridCol w:w="1391"/>
        <w:gridCol w:w="417"/>
        <w:gridCol w:w="911"/>
        <w:gridCol w:w="939"/>
        <w:gridCol w:w="294"/>
        <w:gridCol w:w="206"/>
        <w:gridCol w:w="302"/>
        <w:gridCol w:w="1946"/>
        <w:gridCol w:w="55"/>
      </w:tblGrid>
      <w:tr w:rsidR="00AE1F83" w:rsidRPr="003C5C30" w14:paraId="64052C7C" w14:textId="77777777" w:rsidTr="00D050A2">
        <w:trPr>
          <w:gridAfter w:val="4"/>
          <w:wAfter w:w="2509" w:type="dxa"/>
        </w:trPr>
        <w:tc>
          <w:tcPr>
            <w:tcW w:w="6754" w:type="dxa"/>
            <w:gridSpan w:val="8"/>
          </w:tcPr>
          <w:p w14:paraId="5408788A" w14:textId="043AE4EC" w:rsidR="00AE1F83" w:rsidRPr="003C5C30" w:rsidRDefault="005651EE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</w:t>
            </w:r>
            <w:r w:rsidR="00C12C74"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77FF2" w:rsidRPr="00977F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478-3/2026-2180-</w:t>
            </w:r>
            <w:r w:rsidR="00232D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</w:tr>
      <w:tr w:rsidR="00AE1F83" w:rsidRPr="003C5C30" w14:paraId="4E2B901E" w14:textId="77777777" w:rsidTr="00D050A2">
        <w:trPr>
          <w:gridAfter w:val="4"/>
          <w:wAfter w:w="2509" w:type="dxa"/>
        </w:trPr>
        <w:tc>
          <w:tcPr>
            <w:tcW w:w="6754" w:type="dxa"/>
            <w:gridSpan w:val="8"/>
          </w:tcPr>
          <w:p w14:paraId="35886F88" w14:textId="05C0C271" w:rsidR="00AE1F83" w:rsidRPr="003C5C30" w:rsidRDefault="005651EE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681F5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EF5FB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681F5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EF5FB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3C5C30" w14:paraId="548325A4" w14:textId="77777777" w:rsidTr="00D050A2">
        <w:trPr>
          <w:gridAfter w:val="4"/>
          <w:wAfter w:w="2509" w:type="dxa"/>
          <w:trHeight w:val="815"/>
        </w:trPr>
        <w:tc>
          <w:tcPr>
            <w:tcW w:w="6754" w:type="dxa"/>
            <w:gridSpan w:val="8"/>
          </w:tcPr>
          <w:p w14:paraId="7844B553" w14:textId="77777777" w:rsidR="00AE1F83" w:rsidRPr="003C5C30" w:rsidRDefault="00AE1F83" w:rsidP="000F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ED169A" w14:textId="77777777" w:rsidR="00AE1F83" w:rsidRPr="003C5C30" w:rsidRDefault="00AE1F83" w:rsidP="000F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6889100C" w14:textId="77777777" w:rsidR="00AE1F83" w:rsidRPr="003C5C30" w:rsidRDefault="00AE1F83" w:rsidP="000F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3C5C3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D39912C" w14:textId="77777777" w:rsidR="00AE1F83" w:rsidRPr="003C5C30" w:rsidRDefault="00AE1F83" w:rsidP="000F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3C5C30" w14:paraId="5003EB55" w14:textId="77777777" w:rsidTr="00E512BC">
        <w:tc>
          <w:tcPr>
            <w:tcW w:w="9263" w:type="dxa"/>
            <w:gridSpan w:val="12"/>
          </w:tcPr>
          <w:p w14:paraId="4647EAB5" w14:textId="3E7E787C" w:rsidR="00C13FA2" w:rsidRPr="000F79BE" w:rsidRDefault="00AE1F83" w:rsidP="000F75B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ZADEVA: </w:t>
            </w:r>
            <w:r w:rsidR="00C13FA2"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Prevzemanje in plačevanje obveznosti na namenski postavki </w:t>
            </w:r>
            <w:r w:rsidR="00DD094E" w:rsidRPr="00DD0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Ministrstva za gospodarstvo, turizem in šport</w:t>
            </w:r>
            <w:r w:rsidR="00B7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B76083" w:rsidRPr="00B7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DD094E" w:rsidRPr="00DD0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Urada RS za intelektualno lastnino </w:t>
            </w:r>
            <w:r w:rsidR="00C13FA2"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prek načrtovanih pravic porabe</w:t>
            </w:r>
            <w:r w:rsidR="00E041C8"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v letu 2026</w:t>
            </w:r>
            <w:r w:rsidR="00C13FA2"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– predlog za obravnavo</w:t>
            </w:r>
          </w:p>
        </w:tc>
      </w:tr>
      <w:tr w:rsidR="00AE1F83" w:rsidRPr="003C5C30" w14:paraId="4E6C8CF1" w14:textId="77777777" w:rsidTr="00E512BC">
        <w:tc>
          <w:tcPr>
            <w:tcW w:w="9263" w:type="dxa"/>
            <w:gridSpan w:val="12"/>
          </w:tcPr>
          <w:p w14:paraId="416803F4" w14:textId="77777777" w:rsidR="00AE1F83" w:rsidRPr="000F79BE" w:rsidRDefault="00AE1F83" w:rsidP="000F75B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960BC" w:rsidRPr="003C5C30" w14:paraId="5D4F7490" w14:textId="77777777" w:rsidTr="00E512BC">
        <w:tc>
          <w:tcPr>
            <w:tcW w:w="9263" w:type="dxa"/>
            <w:gridSpan w:val="12"/>
          </w:tcPr>
          <w:p w14:paraId="3567E992" w14:textId="77777777" w:rsidR="001667BD" w:rsidRPr="003C5C30" w:rsidRDefault="00C13FA2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 xml:space="preserve">Na podlagi </w:t>
            </w:r>
            <w:r w:rsidR="001667BD" w:rsidRPr="003C5C30">
              <w:rPr>
                <w:rFonts w:ascii="Arial" w:hAnsi="Arial" w:cs="Arial"/>
                <w:sz w:val="20"/>
                <w:szCs w:val="20"/>
              </w:rPr>
              <w:t xml:space="preserve">petega 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odstavka 21. člena </w:t>
            </w:r>
            <w:r w:rsidR="001667BD" w:rsidRPr="003C5C30">
              <w:rPr>
                <w:rFonts w:ascii="Arial" w:hAnsi="Arial" w:cs="Arial"/>
                <w:sz w:val="20"/>
                <w:szCs w:val="20"/>
              </w:rPr>
              <w:t>Zakona o izvrševanju proračunov Republike Slovenije za leti 2026 in 2027 (Uradni list RS, št. 95/25 in 112/25 – ZJF-K)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 je Vlada Republike Slovenije na ... dne ... pod točko …  sprejela naslednji </w:t>
            </w:r>
          </w:p>
          <w:p w14:paraId="6E784EB8" w14:textId="77777777" w:rsidR="002735F5" w:rsidRDefault="002735F5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0CA07" w14:textId="77777777" w:rsidR="00C013C5" w:rsidRPr="003C5C30" w:rsidRDefault="00C013C5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0338A6" w14:textId="57A757F6" w:rsidR="00C13FA2" w:rsidRDefault="001667BD" w:rsidP="00C013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>S</w:t>
            </w:r>
            <w:r w:rsidR="00C72B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C30">
              <w:rPr>
                <w:rFonts w:ascii="Arial" w:hAnsi="Arial" w:cs="Arial"/>
                <w:sz w:val="20"/>
                <w:szCs w:val="20"/>
              </w:rPr>
              <w:t>K</w:t>
            </w:r>
            <w:r w:rsidR="00C72B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C30">
              <w:rPr>
                <w:rFonts w:ascii="Arial" w:hAnsi="Arial" w:cs="Arial"/>
                <w:sz w:val="20"/>
                <w:szCs w:val="20"/>
              </w:rPr>
              <w:t>L</w:t>
            </w:r>
            <w:r w:rsidR="00C72B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C30">
              <w:rPr>
                <w:rFonts w:ascii="Arial" w:hAnsi="Arial" w:cs="Arial"/>
                <w:sz w:val="20"/>
                <w:szCs w:val="20"/>
              </w:rPr>
              <w:t>E</w:t>
            </w:r>
            <w:r w:rsidR="00C72B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C30">
              <w:rPr>
                <w:rFonts w:ascii="Arial" w:hAnsi="Arial" w:cs="Arial"/>
                <w:sz w:val="20"/>
                <w:szCs w:val="20"/>
              </w:rPr>
              <w:t>P</w:t>
            </w:r>
            <w:r w:rsidR="00C72BF3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28A1046F" w14:textId="77777777" w:rsidR="002735F5" w:rsidRPr="003C5C30" w:rsidRDefault="002735F5" w:rsidP="000F7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</w:rPr>
            </w:pPr>
          </w:p>
          <w:p w14:paraId="4433DEC8" w14:textId="6C297B1C" w:rsidR="002052AE" w:rsidRDefault="00107475" w:rsidP="006012EE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MT" w:hAnsi="ArialMT" w:cs="ArialMT"/>
                <w:sz w:val="20"/>
                <w:szCs w:val="20"/>
              </w:rPr>
            </w:pPr>
            <w:r w:rsidRPr="003C5C30">
              <w:rPr>
                <w:rFonts w:ascii="ArialMT" w:hAnsi="ArialMT" w:cs="ArialMT"/>
                <w:sz w:val="20"/>
                <w:szCs w:val="20"/>
              </w:rPr>
              <w:t xml:space="preserve">Vlada Republike Slovenije je </w:t>
            </w:r>
            <w:r w:rsidR="00E041C8" w:rsidRPr="003C5C30">
              <w:rPr>
                <w:rFonts w:ascii="ArialMT" w:hAnsi="ArialMT" w:cs="ArialMT"/>
                <w:sz w:val="20"/>
                <w:szCs w:val="20"/>
              </w:rPr>
              <w:t xml:space="preserve">dala soglasje </w:t>
            </w:r>
            <w:r w:rsidR="00701D9D">
              <w:rPr>
                <w:rFonts w:ascii="ArialMT" w:hAnsi="ArialMT" w:cs="ArialMT"/>
                <w:sz w:val="20"/>
                <w:szCs w:val="20"/>
              </w:rPr>
              <w:t>Ministrstvu za gospodarstvo, turizem in šport</w:t>
            </w:r>
            <w:r w:rsidR="00B76083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B76083" w:rsidRPr="00B76083">
              <w:rPr>
                <w:rFonts w:ascii="ArialMT" w:hAnsi="ArialMT" w:cs="ArialMT"/>
                <w:sz w:val="20"/>
                <w:szCs w:val="20"/>
              </w:rPr>
              <w:t xml:space="preserve">- </w:t>
            </w:r>
            <w:r w:rsidRPr="003C5C30">
              <w:rPr>
                <w:rFonts w:ascii="ArialMT" w:hAnsi="ArialMT" w:cs="ArialMT"/>
                <w:sz w:val="20"/>
                <w:szCs w:val="20"/>
              </w:rPr>
              <w:t>Urad</w:t>
            </w:r>
            <w:r w:rsidR="00B76083">
              <w:rPr>
                <w:rFonts w:ascii="ArialMT" w:hAnsi="ArialMT" w:cs="ArialMT"/>
                <w:sz w:val="20"/>
                <w:szCs w:val="20"/>
              </w:rPr>
              <w:t>u</w:t>
            </w:r>
            <w:r w:rsidRPr="003C5C30">
              <w:rPr>
                <w:rFonts w:ascii="ArialMT" w:hAnsi="ArialMT" w:cs="ArialMT"/>
                <w:sz w:val="20"/>
                <w:szCs w:val="20"/>
              </w:rPr>
              <w:t xml:space="preserve"> RS</w:t>
            </w:r>
            <w:r w:rsidR="00E041C8" w:rsidRPr="003C5C30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3C5C30">
              <w:rPr>
                <w:rFonts w:ascii="ArialMT" w:hAnsi="ArialMT" w:cs="ArialMT"/>
                <w:sz w:val="20"/>
                <w:szCs w:val="20"/>
              </w:rPr>
              <w:t>za intelektualno</w:t>
            </w:r>
            <w:r w:rsidR="00DD094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3C5C30">
              <w:rPr>
                <w:rFonts w:ascii="ArialMT" w:hAnsi="ArialMT" w:cs="ArialMT"/>
                <w:sz w:val="20"/>
                <w:szCs w:val="20"/>
              </w:rPr>
              <w:t>lastnino</w:t>
            </w:r>
            <w:r w:rsidR="00B76083">
              <w:rPr>
                <w:rFonts w:ascii="ArialMT" w:hAnsi="ArialMT" w:cs="ArialMT"/>
                <w:sz w:val="20"/>
                <w:szCs w:val="20"/>
              </w:rPr>
              <w:t>,</w:t>
            </w:r>
            <w:r w:rsidR="00DD094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DD094E" w:rsidRPr="006012EE">
              <w:rPr>
                <w:rFonts w:ascii="ArialMT" w:hAnsi="ArialMT" w:cs="ArialMT"/>
                <w:sz w:val="20"/>
                <w:szCs w:val="20"/>
              </w:rPr>
              <w:t xml:space="preserve">za prevzemanje in plačevanje </w:t>
            </w:r>
            <w:r w:rsidR="00E041C8" w:rsidRPr="003C5C30">
              <w:rPr>
                <w:rFonts w:ascii="ArialMT" w:hAnsi="ArialMT" w:cs="ArialMT"/>
                <w:sz w:val="20"/>
                <w:szCs w:val="20"/>
              </w:rPr>
              <w:t>obveznosti prek</w:t>
            </w:r>
            <w:r w:rsidR="00B2794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041C8" w:rsidRPr="003C5C30">
              <w:rPr>
                <w:rFonts w:ascii="ArialMT" w:hAnsi="ArialMT" w:cs="ArialMT"/>
                <w:sz w:val="20"/>
                <w:szCs w:val="20"/>
              </w:rPr>
              <w:t>načrtovanih pravic porabe v sprejetem proračunu države za leto 2026</w:t>
            </w:r>
            <w:r w:rsidR="00DD094E">
              <w:rPr>
                <w:rFonts w:ascii="ArialMT" w:hAnsi="ArialMT" w:cs="ArialMT"/>
                <w:sz w:val="20"/>
                <w:szCs w:val="20"/>
              </w:rPr>
              <w:t>, in sicer</w:t>
            </w:r>
            <w:r w:rsidR="00C72BF3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D094E">
              <w:rPr>
                <w:rFonts w:ascii="ArialMT" w:hAnsi="ArialMT" w:cs="ArialMT"/>
                <w:sz w:val="20"/>
                <w:szCs w:val="20"/>
              </w:rPr>
              <w:t>na namenski proračunski postavk</w:t>
            </w:r>
            <w:r w:rsidR="00E041C8" w:rsidRPr="00DD094E">
              <w:rPr>
                <w:rFonts w:ascii="ArialMT" w:hAnsi="ArialMT" w:cs="ArialMT"/>
                <w:sz w:val="20"/>
                <w:szCs w:val="20"/>
              </w:rPr>
              <w:t>i</w:t>
            </w:r>
            <w:r w:rsidRPr="00DD094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DD094E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231593 WIPO mednarodn</w:t>
            </w:r>
            <w:r w:rsidR="00700A83" w:rsidRPr="00DD094E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a donacija</w:t>
            </w:r>
            <w:r w:rsidRPr="00DD094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701D9D" w:rsidRPr="00DD094E">
              <w:rPr>
                <w:rFonts w:ascii="ArialMT" w:hAnsi="ArialMT" w:cs="ArialMT"/>
                <w:sz w:val="20"/>
                <w:szCs w:val="20"/>
              </w:rPr>
              <w:t xml:space="preserve">v </w:t>
            </w:r>
            <w:r w:rsidRPr="00DD094E">
              <w:rPr>
                <w:rFonts w:ascii="ArialMT" w:hAnsi="ArialMT" w:cs="ArialMT"/>
                <w:sz w:val="20"/>
                <w:szCs w:val="20"/>
              </w:rPr>
              <w:t>višin</w:t>
            </w:r>
            <w:r w:rsidR="00701D9D" w:rsidRPr="00DD094E">
              <w:rPr>
                <w:rFonts w:ascii="ArialMT" w:hAnsi="ArialMT" w:cs="ArialMT"/>
                <w:sz w:val="20"/>
                <w:szCs w:val="20"/>
              </w:rPr>
              <w:t>i</w:t>
            </w:r>
            <w:r w:rsidRPr="00DD094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B2794C" w:rsidRPr="00DD094E">
              <w:rPr>
                <w:rFonts w:ascii="ArialMT" w:hAnsi="ArialMT" w:cs="ArialMT"/>
                <w:sz w:val="20"/>
                <w:szCs w:val="20"/>
              </w:rPr>
              <w:t>909</w:t>
            </w:r>
            <w:r w:rsidRPr="00DD094E">
              <w:rPr>
                <w:rFonts w:ascii="ArialMT" w:hAnsi="ArialMT" w:cs="ArialMT"/>
                <w:sz w:val="20"/>
                <w:szCs w:val="20"/>
              </w:rPr>
              <w:t>.250,00 EUR</w:t>
            </w:r>
            <w:r w:rsidR="00525299" w:rsidRPr="00DD094E">
              <w:rPr>
                <w:rFonts w:ascii="ArialMT" w:hAnsi="ArialMT" w:cs="ArialMT"/>
                <w:sz w:val="20"/>
                <w:szCs w:val="20"/>
              </w:rPr>
              <w:t>, vendar ne v večjem obsegu od vplačanih prihodkov</w:t>
            </w:r>
            <w:r w:rsidR="00B2794C" w:rsidRPr="00DD094E">
              <w:rPr>
                <w:rFonts w:ascii="ArialMT" w:hAnsi="ArialMT" w:cs="ArialMT"/>
                <w:sz w:val="20"/>
                <w:szCs w:val="20"/>
              </w:rPr>
              <w:t>.</w:t>
            </w:r>
          </w:p>
          <w:p w14:paraId="0E64C7D4" w14:textId="5AFB126F" w:rsidR="006012EE" w:rsidRDefault="006012EE" w:rsidP="006012EE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MT" w:hAnsi="ArialMT" w:cs="ArialMT"/>
                <w:color w:val="FF0000"/>
                <w:sz w:val="20"/>
                <w:szCs w:val="20"/>
              </w:rPr>
            </w:pPr>
          </w:p>
          <w:p w14:paraId="3CD91961" w14:textId="165C2A65" w:rsidR="00C013C5" w:rsidRDefault="00C013C5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AF8197" w14:textId="77777777" w:rsidR="00C013C5" w:rsidRPr="003C5C30" w:rsidRDefault="00C013C5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B7884" w14:textId="77777777" w:rsidR="001667BD" w:rsidRPr="003C5C30" w:rsidRDefault="002735F5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4F433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67BD" w:rsidRPr="003C5C30"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r w:rsidR="00CA22B6">
              <w:rPr>
                <w:rFonts w:ascii="Arial" w:hAnsi="Arial" w:cs="Arial"/>
                <w:sz w:val="20"/>
                <w:szCs w:val="20"/>
              </w:rPr>
              <w:t xml:space="preserve">Kolenko Helbl </w:t>
            </w:r>
          </w:p>
          <w:p w14:paraId="421B20C4" w14:textId="77777777" w:rsidR="002052AE" w:rsidRPr="003C5C30" w:rsidRDefault="002735F5" w:rsidP="000F75B8">
            <w:pPr>
              <w:pStyle w:val="Naslovpredpisa"/>
              <w:spacing w:before="0" w:after="0" w:line="240" w:lineRule="auto"/>
              <w:ind w:left="1026" w:hanging="1026"/>
              <w:jc w:val="both"/>
              <w:rPr>
                <w:b w:val="0"/>
                <w:sz w:val="20"/>
                <w:szCs w:val="20"/>
              </w:rPr>
            </w:pPr>
            <w:r w:rsidRPr="003C5C30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CA22B6">
              <w:rPr>
                <w:b w:val="0"/>
                <w:sz w:val="20"/>
                <w:szCs w:val="20"/>
              </w:rPr>
              <w:t>generalna sekretarka vlade</w:t>
            </w:r>
            <w:r w:rsidRPr="003C5C30">
              <w:rPr>
                <w:b w:val="0"/>
                <w:sz w:val="20"/>
                <w:szCs w:val="20"/>
              </w:rPr>
              <w:t xml:space="preserve"> </w:t>
            </w:r>
          </w:p>
          <w:p w14:paraId="25C4DD9D" w14:textId="77777777" w:rsidR="00C13FA2" w:rsidRPr="003C5C30" w:rsidRDefault="00C13FA2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CBAC7" w14:textId="1C1929A9" w:rsidR="00CA4744" w:rsidRDefault="00CA4744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5FF22B" w14:textId="57DA10D2" w:rsidR="00B4005C" w:rsidRDefault="00B4005C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420C7" w14:textId="77777777" w:rsidR="00B4005C" w:rsidRDefault="00B4005C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9C9A3" w14:textId="77777777" w:rsidR="00CA4744" w:rsidRDefault="00CA4744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EF3DE8" w14:textId="7B674F4A" w:rsidR="00CA4744" w:rsidRDefault="00CA4744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Priloge:</w:t>
            </w:r>
          </w:p>
          <w:p w14:paraId="60FDE090" w14:textId="70A00F69" w:rsidR="00CA4744" w:rsidRPr="003C5C30" w:rsidRDefault="00CA4744" w:rsidP="00CA4744">
            <w:pPr>
              <w:numPr>
                <w:ilvl w:val="0"/>
                <w:numId w:val="2"/>
              </w:num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Obrazložitev,</w:t>
            </w:r>
          </w:p>
          <w:p w14:paraId="069CE3EC" w14:textId="2A95AC5D" w:rsidR="00CA4744" w:rsidRPr="003C5C30" w:rsidRDefault="00CA4744" w:rsidP="00CA4744">
            <w:pPr>
              <w:numPr>
                <w:ilvl w:val="0"/>
                <w:numId w:val="2"/>
              </w:num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744">
              <w:rPr>
                <w:rFonts w:ascii="Arial" w:hAnsi="Arial" w:cs="Arial"/>
                <w:sz w:val="20"/>
                <w:szCs w:val="20"/>
              </w:rPr>
              <w:t>Dokument identifikacije investicijskega projekta, št. 450-1460/2024-3130-1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2C0D4C" w14:textId="77777777" w:rsidR="00CA4744" w:rsidRDefault="00CA4744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D15B34" w14:textId="77777777" w:rsidR="00CA4744" w:rsidRDefault="00CA4744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0F3D7" w14:textId="77777777" w:rsidR="00CA4744" w:rsidRDefault="00CA4744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76A4C8" w14:textId="0113D076" w:rsidR="00C13FA2" w:rsidRPr="003C5C30" w:rsidRDefault="00C13FA2" w:rsidP="000F75B8">
            <w:p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>Sklep prejme</w:t>
            </w:r>
            <w:r w:rsidR="00C013C5">
              <w:rPr>
                <w:rFonts w:ascii="Arial" w:hAnsi="Arial" w:cs="Arial"/>
                <w:sz w:val="20"/>
                <w:szCs w:val="20"/>
              </w:rPr>
              <w:t>jo</w:t>
            </w:r>
            <w:r w:rsidRPr="003C5C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9C50D7" w14:textId="77777777" w:rsidR="00C13FA2" w:rsidRPr="003C5C30" w:rsidRDefault="00C13FA2" w:rsidP="000F75B8">
            <w:pPr>
              <w:numPr>
                <w:ilvl w:val="0"/>
                <w:numId w:val="2"/>
              </w:num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>Ministrstvo za gospodarstvo, turizem in šport</w:t>
            </w:r>
            <w:r w:rsidR="006645C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D62D30" w14:textId="0BB2697B" w:rsidR="00C13FA2" w:rsidRPr="003C5C30" w:rsidRDefault="00C13FA2" w:rsidP="000F75B8">
            <w:pPr>
              <w:numPr>
                <w:ilvl w:val="0"/>
                <w:numId w:val="2"/>
              </w:num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>Urad RS za intelektualno lastnino</w:t>
            </w:r>
            <w:r w:rsidR="006645C2">
              <w:rPr>
                <w:rFonts w:ascii="Arial" w:hAnsi="Arial" w:cs="Arial"/>
                <w:sz w:val="20"/>
                <w:szCs w:val="20"/>
              </w:rPr>
              <w:t>,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903F2F" w14:textId="77777777" w:rsidR="00C13FA2" w:rsidRDefault="00C13FA2" w:rsidP="000F75B8">
            <w:pPr>
              <w:numPr>
                <w:ilvl w:val="0"/>
                <w:numId w:val="2"/>
              </w:num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>Ministrstvo za finance</w:t>
            </w:r>
            <w:r w:rsidR="006645C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0DF3D2" w14:textId="568551B9" w:rsidR="002735F5" w:rsidRPr="003C5C30" w:rsidRDefault="006645C2" w:rsidP="00AB11AA">
            <w:pPr>
              <w:numPr>
                <w:ilvl w:val="0"/>
                <w:numId w:val="2"/>
              </w:numPr>
              <w:tabs>
                <w:tab w:val="left" w:pos="8280"/>
              </w:tabs>
              <w:spacing w:after="0" w:line="240" w:lineRule="auto"/>
              <w:ind w:righ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779">
              <w:rPr>
                <w:rFonts w:ascii="Arial" w:hAnsi="Arial" w:cs="Arial"/>
                <w:sz w:val="20"/>
                <w:szCs w:val="20"/>
              </w:rPr>
              <w:t>Služba Vlade R</w:t>
            </w:r>
            <w:r w:rsidR="00705779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Pr="00705779">
              <w:rPr>
                <w:rFonts w:ascii="Arial" w:hAnsi="Arial" w:cs="Arial"/>
                <w:sz w:val="20"/>
                <w:szCs w:val="20"/>
              </w:rPr>
              <w:t>S</w:t>
            </w:r>
            <w:r w:rsidR="00705779">
              <w:rPr>
                <w:rFonts w:ascii="Arial" w:hAnsi="Arial" w:cs="Arial"/>
                <w:sz w:val="20"/>
                <w:szCs w:val="20"/>
              </w:rPr>
              <w:t>lovenije</w:t>
            </w:r>
            <w:r w:rsidRPr="00705779">
              <w:rPr>
                <w:rFonts w:ascii="Arial" w:hAnsi="Arial" w:cs="Arial"/>
                <w:sz w:val="20"/>
                <w:szCs w:val="20"/>
              </w:rPr>
              <w:t xml:space="preserve"> za zakonodajo</w:t>
            </w:r>
            <w:r w:rsidR="00705779" w:rsidRPr="00705779">
              <w:rPr>
                <w:rFonts w:ascii="Arial" w:hAnsi="Arial" w:cs="Arial"/>
                <w:sz w:val="20"/>
                <w:szCs w:val="20"/>
              </w:rPr>
              <w:t>.</w:t>
            </w:r>
            <w:r w:rsidRPr="007057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3FA2" w:rsidRPr="003C5C30" w14:paraId="0BC64A25" w14:textId="77777777" w:rsidTr="00E512BC">
        <w:trPr>
          <w:trHeight w:val="708"/>
        </w:trPr>
        <w:tc>
          <w:tcPr>
            <w:tcW w:w="9263" w:type="dxa"/>
            <w:gridSpan w:val="12"/>
          </w:tcPr>
          <w:p w14:paraId="4C3797C5" w14:textId="77777777" w:rsidR="00C13FA2" w:rsidRPr="000F79BE" w:rsidRDefault="00C13FA2" w:rsidP="000F75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9BE">
              <w:rPr>
                <w:rFonts w:ascii="Arial" w:hAnsi="Arial" w:cs="Arial"/>
                <w:b/>
                <w:bCs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C13FA2" w:rsidRPr="003C5C30" w14:paraId="7EF20D91" w14:textId="77777777" w:rsidTr="00E512BC">
        <w:trPr>
          <w:trHeight w:val="408"/>
        </w:trPr>
        <w:tc>
          <w:tcPr>
            <w:tcW w:w="9263" w:type="dxa"/>
            <w:gridSpan w:val="12"/>
          </w:tcPr>
          <w:p w14:paraId="51171E4B" w14:textId="77777777" w:rsidR="00C13FA2" w:rsidRPr="003C5C30" w:rsidRDefault="00C13FA2" w:rsidP="000F75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E1F83" w:rsidRPr="003C5C30" w14:paraId="2F9A813F" w14:textId="77777777" w:rsidTr="00E512BC">
        <w:tc>
          <w:tcPr>
            <w:tcW w:w="9263" w:type="dxa"/>
            <w:gridSpan w:val="12"/>
          </w:tcPr>
          <w:p w14:paraId="26FF6A37" w14:textId="77777777" w:rsidR="00AE1F83" w:rsidRPr="000F79BE" w:rsidRDefault="00C13FA2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3a</w:t>
            </w:r>
            <w:r w:rsidR="009E5D8E"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AE1F83"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3C5C30" w14:paraId="069B701E" w14:textId="77777777" w:rsidTr="00E512BC">
        <w:tc>
          <w:tcPr>
            <w:tcW w:w="9263" w:type="dxa"/>
            <w:gridSpan w:val="12"/>
          </w:tcPr>
          <w:p w14:paraId="555D0961" w14:textId="28C8BD74" w:rsidR="00C13FA2" w:rsidRPr="003C5C30" w:rsidRDefault="00C13FA2" w:rsidP="000F75B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Karin Žvokelj, direktorica, Urad RS za intelektualno lastnino</w:t>
            </w:r>
            <w:r w:rsidR="00192C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6D3DB09E" w14:textId="58FFEB98" w:rsidR="00C13FA2" w:rsidRPr="003C5C30" w:rsidRDefault="00C13FA2" w:rsidP="000F75B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Denise Senečič, sekretarka, vodja Sektorja za splošne zadeve</w:t>
            </w:r>
            <w:r w:rsidR="00192C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72AD8A31" w14:textId="4CCB46C4" w:rsidR="00F83E2D" w:rsidRPr="003C5C30" w:rsidRDefault="00C13FA2" w:rsidP="000F75B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Mateja Jarc, sekretarka</w:t>
            </w:r>
            <w:r w:rsidR="007879B8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vodja Sektorja za strateške in mednarodne zadeve</w:t>
            </w:r>
            <w:r w:rsidR="00192C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7879B8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1F83" w:rsidRPr="003C5C30" w14:paraId="7E6D5AF5" w14:textId="77777777" w:rsidTr="00E512BC">
        <w:tc>
          <w:tcPr>
            <w:tcW w:w="9263" w:type="dxa"/>
            <w:gridSpan w:val="12"/>
          </w:tcPr>
          <w:p w14:paraId="1428DB2F" w14:textId="77777777" w:rsidR="00AE1F83" w:rsidRPr="000F79BE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3</w:t>
            </w:r>
            <w:r w:rsidR="00C13FA2" w:rsidRPr="000F79B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b</w:t>
            </w:r>
            <w:r w:rsidRPr="000F79B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 xml:space="preserve">. Zunanji strokovnjaki, ki so </w:t>
            </w: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3C5C30" w14:paraId="04569417" w14:textId="77777777" w:rsidTr="00E512BC">
        <w:tc>
          <w:tcPr>
            <w:tcW w:w="9263" w:type="dxa"/>
            <w:gridSpan w:val="12"/>
          </w:tcPr>
          <w:p w14:paraId="444774BF" w14:textId="77777777" w:rsidR="00AE1F83" w:rsidRPr="003C5C30" w:rsidRDefault="00C13FA2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3C5C30" w14:paraId="12A15AC1" w14:textId="77777777" w:rsidTr="00E512BC">
        <w:tc>
          <w:tcPr>
            <w:tcW w:w="9263" w:type="dxa"/>
            <w:gridSpan w:val="12"/>
          </w:tcPr>
          <w:p w14:paraId="087BDB86" w14:textId="77777777" w:rsidR="00AE1F83" w:rsidRPr="000F79BE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3C5C30" w14:paraId="0FE65E09" w14:textId="77777777" w:rsidTr="00E512BC">
        <w:tc>
          <w:tcPr>
            <w:tcW w:w="9263" w:type="dxa"/>
            <w:gridSpan w:val="12"/>
          </w:tcPr>
          <w:p w14:paraId="532364FF" w14:textId="77777777" w:rsidR="00AE1F83" w:rsidRPr="003C5C30" w:rsidRDefault="00C13FA2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3C5C30" w14:paraId="3745F011" w14:textId="77777777" w:rsidTr="00E512BC">
        <w:tc>
          <w:tcPr>
            <w:tcW w:w="9263" w:type="dxa"/>
            <w:gridSpan w:val="12"/>
          </w:tcPr>
          <w:p w14:paraId="13B2391E" w14:textId="77777777" w:rsidR="00AE1F83" w:rsidRPr="000F79BE" w:rsidRDefault="00AE1F83" w:rsidP="000F75B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AE1F83" w:rsidRPr="003C5C30" w14:paraId="347554AA" w14:textId="77777777" w:rsidTr="00E512BC">
        <w:tc>
          <w:tcPr>
            <w:tcW w:w="9263" w:type="dxa"/>
            <w:gridSpan w:val="12"/>
          </w:tcPr>
          <w:p w14:paraId="1117908C" w14:textId="762A5FFC" w:rsidR="00700A83" w:rsidRDefault="004B480F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48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 predlaganim sklepom Vlada Republike Slovenije daje soglasje, da </w:t>
            </w:r>
            <w:r w:rsidR="00701D9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gospodarstvo</w:t>
            </w:r>
            <w:r w:rsidR="00B2794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turizem in šport</w:t>
            </w:r>
            <w:r w:rsidR="00701D9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B76083" w:rsidRPr="00B760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="00701D9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4B48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RS za intelektualno lastnino</w:t>
            </w:r>
            <w:r w:rsidR="00CA474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4B48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700A83" w:rsidRPr="00700A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namenski </w:t>
            </w:r>
            <w:r w:rsidR="00B760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proračunski </w:t>
            </w:r>
            <w:r w:rsidR="00700A83" w:rsidRPr="00700A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postavki </w:t>
            </w:r>
            <w:r w:rsidR="00B76083" w:rsidRPr="00B760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231593 WIPO mednarodna donacija</w:t>
            </w:r>
            <w:r w:rsidR="00CA474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700A83" w:rsidRPr="004B48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4B48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lahko prevzame in plača obveznosti v letu 2026</w:t>
            </w:r>
            <w:r w:rsidR="00700A83">
              <w:t xml:space="preserve"> </w:t>
            </w:r>
            <w:r w:rsidRPr="004B480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prek načrtovanih pravic porabe v sprejetem proračunu za leto 2026</w:t>
            </w:r>
            <w:r w:rsidR="00700A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50111291" w14:textId="77777777" w:rsidR="00700A83" w:rsidRDefault="00700A83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5F6ADF" w14:textId="1169D045" w:rsidR="00F1794A" w:rsidRPr="00F1794A" w:rsidRDefault="00700A83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bookmarkStart w:id="0" w:name="_Hlk225491560"/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</w:t>
            </w:r>
            <w:r w:rsidR="00C13FA2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 namenski </w:t>
            </w:r>
            <w:r w:rsidR="00991237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proračunski </w:t>
            </w:r>
            <w:r w:rsidR="00C13FA2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postavki </w:t>
            </w:r>
            <w:r w:rsidR="00C13FA2" w:rsidRPr="003C5C30">
              <w:rPr>
                <w:rFonts w:ascii="Arial" w:eastAsia="Times New Roman" w:hAnsi="Arial" w:cs="Arial"/>
                <w:iCs/>
                <w:sz w:val="20"/>
                <w:szCs w:val="20"/>
              </w:rPr>
              <w:t>231593 WIPO</w:t>
            </w:r>
            <w:r w:rsidR="00C13FA2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mednarodn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 donacija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je v sprejetem proračunu za leto 2026 načrtovanih 409.250</w:t>
            </w:r>
            <w:r w:rsidR="004E07D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,00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 Ta znesek je namenjen za plačilo</w:t>
            </w:r>
            <w:r w:rsidR="00B25B4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strošk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ov</w:t>
            </w:r>
            <w:r w:rsidR="00B25B4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urada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. </w:t>
            </w:r>
            <w:r w:rsidR="00C20B2E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Trenutno veljavni proračun na tej PP znaša </w:t>
            </w:r>
            <w:r w:rsidR="00F1794A" w:rsidRPr="00F1794A">
              <w:rPr>
                <w:rFonts w:ascii="Arial" w:hAnsi="Arial" w:cs="Arial"/>
                <w:iCs/>
                <w:sz w:val="20"/>
                <w:szCs w:val="20"/>
              </w:rPr>
              <w:t>1.444.597,46</w:t>
            </w:r>
            <w:r w:rsidR="00F1794A" w:rsidRPr="00F1794A">
              <w:rPr>
                <w:rFonts w:ascii="Arial" w:hAnsi="Arial" w:cs="Arial"/>
                <w:b/>
                <w:iCs/>
              </w:rPr>
              <w:t xml:space="preserve"> </w:t>
            </w:r>
            <w:r w:rsidR="007652B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EUR</w:t>
            </w:r>
            <w:r w:rsidR="00BA04DA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. </w:t>
            </w:r>
          </w:p>
          <w:bookmarkEnd w:id="0"/>
          <w:p w14:paraId="5093FA07" w14:textId="77777777" w:rsidR="00700A83" w:rsidRDefault="00700A83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22A65AA2" w14:textId="507D876B" w:rsidR="005B1DDC" w:rsidRDefault="00700A83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Načrtovana sredstva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iz prejšnjega odstavka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za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let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o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20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>26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="00C13FA2"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 zadostujejo za</w:t>
            </w:r>
            <w:r w:rsidR="00C13FA2" w:rsidRPr="003C5C3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="00C13FA2" w:rsidRPr="003C5C30">
              <w:rPr>
                <w:rFonts w:ascii="Arial" w:eastAsia="Times New Roman" w:hAnsi="Arial" w:cs="Arial"/>
                <w:sz w:val="20"/>
                <w:szCs w:val="20"/>
              </w:rPr>
              <w:t xml:space="preserve">prenovo poslovne stavbe </w:t>
            </w:r>
            <w:r w:rsidR="00752A73" w:rsidRPr="003C5C30">
              <w:rPr>
                <w:rFonts w:ascii="Arial" w:eastAsia="Times New Roman" w:hAnsi="Arial" w:cs="Arial"/>
                <w:sz w:val="20"/>
                <w:szCs w:val="20"/>
              </w:rPr>
              <w:t>Urada RS za intelektualno lastnino</w:t>
            </w:r>
            <w:r w:rsidR="00C13FA2" w:rsidRPr="003C5C30">
              <w:rPr>
                <w:rFonts w:ascii="Arial" w:eastAsia="Times New Roman" w:hAnsi="Arial" w:cs="Arial"/>
                <w:sz w:val="20"/>
                <w:szCs w:val="20"/>
              </w:rPr>
              <w:t>, ki bo obsegala ureditev fasade (izboljšanje energetske učinkovitosti), zamenjavo vseh oken in zamenjavo vhodnih vrat. Strošek prenove fasade</w:t>
            </w:r>
            <w:r w:rsidR="005B1DDC">
              <w:rPr>
                <w:rFonts w:ascii="Arial" w:eastAsia="Times New Roman" w:hAnsi="Arial" w:cs="Arial"/>
                <w:sz w:val="20"/>
                <w:szCs w:val="20"/>
              </w:rPr>
              <w:t>, zamenjave oken in zamenjave vhodnih vrat</w:t>
            </w:r>
            <w:r w:rsidR="00C13FA2" w:rsidRPr="003C5C30">
              <w:rPr>
                <w:rFonts w:ascii="Arial" w:eastAsia="Times New Roman" w:hAnsi="Arial" w:cs="Arial"/>
                <w:sz w:val="20"/>
                <w:szCs w:val="20"/>
              </w:rPr>
              <w:t xml:space="preserve"> je ocenjen na 545.000</w:t>
            </w:r>
            <w:r w:rsidR="0030314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C13FA2" w:rsidRPr="003C5C30">
              <w:rPr>
                <w:rFonts w:ascii="Arial" w:eastAsia="Times New Roman" w:hAnsi="Arial" w:cs="Arial"/>
                <w:sz w:val="20"/>
                <w:szCs w:val="20"/>
              </w:rPr>
              <w:t xml:space="preserve"> EUR. Financiranje je razdeljeno med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Urad RS za intelektualno lastnino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 xml:space="preserve"> 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 xml:space="preserve">v višini 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>500.000</w:t>
            </w:r>
            <w:r w:rsidR="00303144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>,00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 xml:space="preserve"> EUR in Ministrstvo za javno upravo 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 xml:space="preserve">v višini 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>45.000</w:t>
            </w:r>
            <w:r w:rsidR="00303144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>,00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 xml:space="preserve"> EUR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>,</w:t>
            </w:r>
            <w:r w:rsidR="00C13FA2"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  <w:t xml:space="preserve">kar je razvidno iz priloženega </w:t>
            </w:r>
            <w:r w:rsidR="005B1DDC" w:rsidRPr="003C5C30">
              <w:rPr>
                <w:rFonts w:ascii="Arial" w:eastAsia="Times New Roman" w:hAnsi="Arial" w:cs="Arial"/>
                <w:sz w:val="20"/>
                <w:szCs w:val="20"/>
              </w:rPr>
              <w:t>Dokument</w:t>
            </w:r>
            <w:r w:rsidR="005B1D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B1DDC" w:rsidRPr="003C5C30">
              <w:rPr>
                <w:rFonts w:ascii="Arial" w:eastAsia="Times New Roman" w:hAnsi="Arial" w:cs="Arial"/>
                <w:sz w:val="20"/>
                <w:szCs w:val="20"/>
              </w:rPr>
              <w:t xml:space="preserve"> identifikacije investicijskega projekta, št. 450-1460/2024-3130-1</w:t>
            </w:r>
            <w:r w:rsidR="005B1D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EC39BFF" w14:textId="77777777" w:rsidR="005B1DDC" w:rsidRDefault="005B1DDC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57EBB2B0" w14:textId="2D837F48" w:rsidR="00C13FA2" w:rsidRDefault="00701D9D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Zaradi navedenega se predlaga povečanje pravice porabe na namenski postavki iz 409.2</w:t>
            </w:r>
            <w:r w:rsidR="007652B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</w:t>
            </w:r>
            <w:r w:rsidR="00303144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,00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 na </w:t>
            </w:r>
            <w:r w:rsidR="00B2794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909</w:t>
            </w:r>
            <w:r w:rsidRPr="00701D9D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.250,00 EUR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, 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torej b</w:t>
            </w:r>
            <w:r w:rsidR="005C65DA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o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prišlo do po</w:t>
            </w:r>
            <w:r w:rsidR="00B25B4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veča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nja</w:t>
            </w:r>
            <w:r w:rsidR="0050098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 w:rsidR="0050098B" w:rsidRPr="0050098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pravice porabe</w:t>
            </w:r>
            <w:r w:rsidR="00B25B4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za </w:t>
            </w:r>
            <w:r w:rsidR="00B2794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500.000</w:t>
            </w:r>
            <w:r w:rsidR="00303144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,00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EUR. 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Načrtovana sredstva do višine 409.250,00 EUR bodo porabljena za plačilo tekočih stroškov urada. Sredstva do višine 500.</w:t>
            </w:r>
            <w:r w:rsidR="0050098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000,00 EUR</w:t>
            </w:r>
            <w:r w:rsidR="005B1DD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bodo namenjena prenovi </w:t>
            </w:r>
            <w:r w:rsidR="0050098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poslovne stavbe</w:t>
            </w:r>
            <w:r w:rsidR="005B1DD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28B6BAB5" w14:textId="05258B86" w:rsidR="00B4005C" w:rsidRDefault="00B4005C" w:rsidP="004B480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  <w:p w14:paraId="0832E31B" w14:textId="2FD2E3A9" w:rsidR="00A80C95" w:rsidRDefault="00B4005C" w:rsidP="00B400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2BA">
              <w:rPr>
                <w:rFonts w:ascii="Arial" w:hAnsi="Arial" w:cs="Arial"/>
                <w:iCs/>
                <w:sz w:val="20"/>
                <w:szCs w:val="20"/>
              </w:rPr>
              <w:t>Investicija v prenovo poslovne stavbe Urada RS za intelektualno lastnino sodi, skladno s 115. členom Ustave RS (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Uradni list RS, št. </w:t>
            </w:r>
            <w:hyperlink r:id="rId9" w:tgtFrame="_blank" w:tooltip="Ustava Republike Slovenije (URS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33/91-I</w:t>
              </w:r>
            </w:hyperlink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 </w:t>
            </w:r>
            <w:hyperlink r:id="rId10" w:tgtFrame="_blank" w:tooltip="Ustavni zakon o spremembi 68. člena ustave Republike Slovenije (UZS68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42/97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UZS68, </w:t>
            </w:r>
            <w:hyperlink r:id="rId11" w:tgtFrame="_blank" w:tooltip="Ustavni zakon o dopolnitvi 80. člena ustave Republike Slovenije (UZ80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66/00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UZ80, </w:t>
            </w:r>
            <w:hyperlink r:id="rId12" w:tgtFrame="_blank" w:tooltip="Ustavni zakon o spremembah I. poglavja ter 47. in 68. člena ustave Republike Slovenije (UZ3a, 47, 68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24/03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UZ3a, 47, 68, </w:t>
            </w:r>
            <w:hyperlink r:id="rId13" w:tgtFrame="_blank" w:tooltip="Ustavni zakon o spremembi 14. člena Ustave Republike Slovenije (UZ14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69/04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UZ14, </w:t>
            </w:r>
            <w:hyperlink r:id="rId14" w:tgtFrame="_blank" w:tooltip="Ustavni zakon o spremembi 43. člena Ustave Republike Slovenije (UZ43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69/04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UZ43, </w:t>
            </w:r>
            <w:hyperlink r:id="rId15" w:tgtFrame="_blank" w:tooltip="Ustavni zakon o spremembi 50. člena Ustave Republike Slovenije (UZ50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69/04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UZ50, </w:t>
            </w:r>
            <w:hyperlink r:id="rId16" w:tgtFrame="_blank" w:tooltip="Ustavni zakon o spremembah 121., 140. in 143. člena Ustave Republike Slovenije (UZ121,140,143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68/06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UZ121,140,143, </w:t>
            </w:r>
            <w:hyperlink r:id="rId17" w:tgtFrame="_blank" w:tooltip="Ustavni zakon o spremembi 148. člena Ustave Republike Slovenije (UZ148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47/13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UZ148, </w:t>
            </w:r>
            <w:hyperlink r:id="rId18" w:tgtFrame="_blank" w:tooltip="Ustavni zakon o spremembah 90., 97. in 99. člena Ustave Republike Slovenije (UZ90,97,99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47/13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UZ90,97,99, </w:t>
            </w:r>
            <w:hyperlink r:id="rId19" w:tgtFrame="_blank" w:tooltip="Ustavni zakon o dopolnitvi III. poglavja Ustave Republike Slovenije (UZ70a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75/16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UZ70a, </w:t>
            </w:r>
            <w:hyperlink r:id="rId20" w:tgtFrame="_blank" w:tooltip="Ustavni zakon o dopolnitvi II. poglavja Ustave Republike Slovenije (UZ62a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92/21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UZ62a in </w:t>
            </w:r>
            <w:hyperlink r:id="rId21" w:tgtFrame="_blank" w:tooltip="Ustavni zakon o dopolnitvi III. poglavja Ustave Republike Slovenije (UZ74a)" w:history="1">
              <w:r w:rsidRPr="000452B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98/25</w:t>
              </w:r>
            </w:hyperlink>
            <w:r w:rsidRPr="000452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UZ74a)</w:t>
            </w:r>
            <w:r w:rsidR="00C300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0452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452BA">
              <w:rPr>
                <w:rFonts w:ascii="Arial" w:hAnsi="Arial" w:cs="Arial"/>
                <w:iCs/>
                <w:sz w:val="20"/>
                <w:szCs w:val="20"/>
              </w:rPr>
              <w:t xml:space="preserve">med tekoče posle Vlade RS in s tem tudi v redno delo Urada RS za intelektualno lastnino in Ministrstva za javno upravo, saj gre </w:t>
            </w:r>
            <w:r w:rsidRPr="000452BA">
              <w:rPr>
                <w:rFonts w:ascii="Arial" w:hAnsi="Arial" w:cs="Arial"/>
                <w:sz w:val="20"/>
                <w:szCs w:val="20"/>
              </w:rPr>
              <w:t>za od decembra 2024 trajajoči projekt z že odprtim pripadajočim NRP ter zagotovljenim virom financiranja iz mednarodnih namenskih sredstev WIPO.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D7B43C" w14:textId="77777777" w:rsidR="00B4005C" w:rsidRPr="00B4005C" w:rsidRDefault="00B4005C" w:rsidP="00B4005C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33F3C21" w14:textId="58719982" w:rsidR="004B480F" w:rsidRDefault="004B480F" w:rsidP="000F75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480F">
              <w:rPr>
                <w:rFonts w:ascii="Arial" w:eastAsia="Times New Roman" w:hAnsi="Arial" w:cs="Arial"/>
                <w:sz w:val="20"/>
                <w:szCs w:val="20"/>
              </w:rPr>
              <w:t>V skladu s petim odstavkom 21. člena Zakona o izvrševanju proračunov Republike Slovenije za leti 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4B480F">
              <w:rPr>
                <w:rFonts w:ascii="Arial" w:eastAsia="Times New Roman" w:hAnsi="Arial" w:cs="Arial"/>
                <w:sz w:val="20"/>
                <w:szCs w:val="20"/>
              </w:rPr>
              <w:t xml:space="preserve"> in 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4B480F">
              <w:rPr>
                <w:rFonts w:ascii="Arial" w:eastAsia="Times New Roman" w:hAnsi="Arial" w:cs="Arial"/>
                <w:sz w:val="20"/>
                <w:szCs w:val="20"/>
              </w:rPr>
              <w:t xml:space="preserve"> je treba k prevzemanju in plačevanju obveznosti na namenskih proračunskih postavkah prek načrtovanih pravic porabe v sprejetem proračunu pridobiti soglasje vlade. Tej določbi predlagani sklep tudi sledi.</w:t>
            </w:r>
          </w:p>
          <w:p w14:paraId="4BF2961B" w14:textId="77777777" w:rsidR="00AE1F83" w:rsidRPr="003C5C30" w:rsidRDefault="00AE1F83" w:rsidP="0013616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3C5C30" w14:paraId="20689E14" w14:textId="77777777" w:rsidTr="00E512BC">
        <w:tc>
          <w:tcPr>
            <w:tcW w:w="9263" w:type="dxa"/>
            <w:gridSpan w:val="12"/>
          </w:tcPr>
          <w:p w14:paraId="143DC2D8" w14:textId="77777777" w:rsidR="00AE1F83" w:rsidRPr="000F79BE" w:rsidRDefault="00AE1F83" w:rsidP="000F75B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3C5C30" w14:paraId="11488491" w14:textId="77777777" w:rsidTr="00D050A2">
        <w:tc>
          <w:tcPr>
            <w:tcW w:w="1403" w:type="dxa"/>
          </w:tcPr>
          <w:p w14:paraId="68853549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351" w:type="dxa"/>
            <w:gridSpan w:val="7"/>
          </w:tcPr>
          <w:p w14:paraId="595A316C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509" w:type="dxa"/>
            <w:gridSpan w:val="4"/>
            <w:vAlign w:val="center"/>
          </w:tcPr>
          <w:p w14:paraId="7426D865" w14:textId="77777777" w:rsidR="00AE1F83" w:rsidRPr="003C5C30" w:rsidRDefault="00C13FA2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3C5C30" w14:paraId="061E82E7" w14:textId="77777777" w:rsidTr="00D050A2">
        <w:tc>
          <w:tcPr>
            <w:tcW w:w="1403" w:type="dxa"/>
          </w:tcPr>
          <w:p w14:paraId="26127B7B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351" w:type="dxa"/>
            <w:gridSpan w:val="7"/>
          </w:tcPr>
          <w:p w14:paraId="2E17D821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509" w:type="dxa"/>
            <w:gridSpan w:val="4"/>
            <w:vAlign w:val="center"/>
          </w:tcPr>
          <w:p w14:paraId="63CB378A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5C30" w14:paraId="12EE939E" w14:textId="77777777" w:rsidTr="00D050A2">
        <w:tc>
          <w:tcPr>
            <w:tcW w:w="1403" w:type="dxa"/>
          </w:tcPr>
          <w:p w14:paraId="5B907C42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351" w:type="dxa"/>
            <w:gridSpan w:val="7"/>
          </w:tcPr>
          <w:p w14:paraId="50FBCD7D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509" w:type="dxa"/>
            <w:gridSpan w:val="4"/>
            <w:vAlign w:val="center"/>
          </w:tcPr>
          <w:p w14:paraId="67070242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5C30" w14:paraId="1CF1553A" w14:textId="77777777" w:rsidTr="00D050A2">
        <w:tc>
          <w:tcPr>
            <w:tcW w:w="1403" w:type="dxa"/>
          </w:tcPr>
          <w:p w14:paraId="65A1CE9E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351" w:type="dxa"/>
            <w:gridSpan w:val="7"/>
          </w:tcPr>
          <w:p w14:paraId="0B806269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509" w:type="dxa"/>
            <w:gridSpan w:val="4"/>
            <w:vAlign w:val="center"/>
          </w:tcPr>
          <w:p w14:paraId="574C15E8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5C30" w14:paraId="50667DEF" w14:textId="77777777" w:rsidTr="00D050A2">
        <w:tc>
          <w:tcPr>
            <w:tcW w:w="1403" w:type="dxa"/>
          </w:tcPr>
          <w:p w14:paraId="715F53C8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351" w:type="dxa"/>
            <w:gridSpan w:val="7"/>
          </w:tcPr>
          <w:p w14:paraId="711E04F5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509" w:type="dxa"/>
            <w:gridSpan w:val="4"/>
            <w:vAlign w:val="center"/>
          </w:tcPr>
          <w:p w14:paraId="27B11B06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5C30" w14:paraId="7B7A44A5" w14:textId="77777777" w:rsidTr="00D050A2">
        <w:tc>
          <w:tcPr>
            <w:tcW w:w="1403" w:type="dxa"/>
          </w:tcPr>
          <w:p w14:paraId="06FA21FA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351" w:type="dxa"/>
            <w:gridSpan w:val="7"/>
          </w:tcPr>
          <w:p w14:paraId="44F639BA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509" w:type="dxa"/>
            <w:gridSpan w:val="4"/>
            <w:vAlign w:val="center"/>
          </w:tcPr>
          <w:p w14:paraId="35118078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5C30" w14:paraId="1CEBA7A0" w14:textId="77777777" w:rsidTr="00D050A2">
        <w:tc>
          <w:tcPr>
            <w:tcW w:w="1403" w:type="dxa"/>
            <w:tcBorders>
              <w:bottom w:val="single" w:sz="4" w:space="0" w:color="auto"/>
            </w:tcBorders>
          </w:tcPr>
          <w:p w14:paraId="1CA871F8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351" w:type="dxa"/>
            <w:gridSpan w:val="7"/>
            <w:tcBorders>
              <w:bottom w:val="single" w:sz="4" w:space="0" w:color="auto"/>
            </w:tcBorders>
          </w:tcPr>
          <w:p w14:paraId="0528ECAC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0E0C3118" w14:textId="77777777" w:rsidR="00AE1F83" w:rsidRPr="003C5C30" w:rsidRDefault="00AE1F83" w:rsidP="000F75B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4C41873" w14:textId="77777777" w:rsidR="00AE1F83" w:rsidRPr="003C5C30" w:rsidRDefault="00AE1F83" w:rsidP="000F75B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1EAA620" w14:textId="77777777" w:rsidR="00C13FA2" w:rsidRPr="003C5C30" w:rsidRDefault="00AE1F83" w:rsidP="000F75B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509" w:type="dxa"/>
            <w:gridSpan w:val="4"/>
            <w:tcBorders>
              <w:bottom w:val="single" w:sz="4" w:space="0" w:color="auto"/>
            </w:tcBorders>
            <w:vAlign w:val="center"/>
          </w:tcPr>
          <w:p w14:paraId="51F41C39" w14:textId="77777777" w:rsidR="00AE1F83" w:rsidRPr="003C5C30" w:rsidRDefault="00AE1F83" w:rsidP="000F7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3C5C30" w14:paraId="6BC008F2" w14:textId="77777777" w:rsidTr="00E512BC">
        <w:tc>
          <w:tcPr>
            <w:tcW w:w="9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4B4" w14:textId="77777777" w:rsidR="00AE1F83" w:rsidRPr="000F79BE" w:rsidRDefault="00AE1F83" w:rsidP="000F75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35ABCD1F" w14:textId="77777777" w:rsidR="00CA13B3" w:rsidRDefault="00CA13B3" w:rsidP="000F7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03B19" w:rsidRPr="003C5C30">
              <w:rPr>
                <w:rFonts w:ascii="Arial" w:hAnsi="Arial" w:cs="Arial"/>
                <w:sz w:val="20"/>
                <w:szCs w:val="20"/>
              </w:rPr>
              <w:t xml:space="preserve">prejeti proračun </w:t>
            </w: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namenski proračunski postavki 231593 WIPO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znaša </w:t>
            </w:r>
            <w:r w:rsidR="00C03B19" w:rsidRPr="003C5C30">
              <w:rPr>
                <w:rFonts w:ascii="Arial" w:hAnsi="Arial" w:cs="Arial"/>
                <w:sz w:val="20"/>
                <w:szCs w:val="20"/>
              </w:rPr>
              <w:t>409.250,00 EUR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AE8ECCA" w14:textId="77777777" w:rsidR="00CA13B3" w:rsidRDefault="00CA13B3" w:rsidP="000F7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veljavni 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proračun </w:t>
            </w: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namenski proračunski postavki 231593 WIPO</w:t>
            </w:r>
            <w:r w:rsidRPr="003C5C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 znaša </w:t>
            </w:r>
            <w:r w:rsidR="00F1794A" w:rsidRPr="00F1794A">
              <w:rPr>
                <w:rFonts w:ascii="Arial" w:hAnsi="Arial" w:cs="Arial"/>
                <w:iCs/>
                <w:sz w:val="20"/>
                <w:szCs w:val="20"/>
              </w:rPr>
              <w:t>1.444.597,46</w:t>
            </w:r>
            <w:r w:rsidR="00F1794A" w:rsidRPr="00F1794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F1794A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915A4" w14:textId="1EDEDC7D" w:rsidR="00AE1F83" w:rsidRPr="003C5C30" w:rsidRDefault="00CA13B3" w:rsidP="00AB1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Pravice  porabe </w:t>
            </w: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namenski proračunski postavki 231593 WIPO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7652B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7652B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potrebno</w:t>
            </w:r>
            <w:r w:rsidR="00192C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zviša</w:t>
            </w:r>
            <w:r w:rsidR="007652B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</w:t>
            </w:r>
            <w:r>
              <w:rPr>
                <w:rFonts w:ascii="Arial" w:hAnsi="Arial" w:cs="Arial"/>
                <w:sz w:val="20"/>
                <w:szCs w:val="20"/>
              </w:rPr>
              <w:t xml:space="preserve">500.000,00 EUR. </w:t>
            </w:r>
          </w:p>
        </w:tc>
      </w:tr>
      <w:tr w:rsidR="00E512BC" w:rsidRPr="003C5C30" w14:paraId="2105ABF2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35"/>
        </w:trPr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2419FC" w14:textId="77777777" w:rsidR="00E512BC" w:rsidRPr="000F79BE" w:rsidRDefault="00E512BC" w:rsidP="000F75B8">
            <w:pPr>
              <w:pageBreakBefore/>
              <w:widowControl w:val="0"/>
              <w:tabs>
                <w:tab w:val="left" w:pos="2340"/>
              </w:tabs>
              <w:spacing w:after="0" w:line="240" w:lineRule="auto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E512BC" w:rsidRPr="003C5C30" w14:paraId="305DF0AC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276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CC2" w14:textId="77777777" w:rsidR="00E512BC" w:rsidRPr="003C5C30" w:rsidRDefault="00E512BC" w:rsidP="000F75B8">
            <w:pPr>
              <w:widowControl w:val="0"/>
              <w:spacing w:after="0" w:line="240" w:lineRule="auto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2101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1E2B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CBB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9E8B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E512BC" w:rsidRPr="003C5C30" w14:paraId="13A47AFF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423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67A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E72" w14:textId="77777777" w:rsidR="00E512BC" w:rsidRPr="003C5C30" w:rsidRDefault="00D855B3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0C3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F44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93B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E512BC" w:rsidRPr="003C5C30" w14:paraId="29BB28DB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423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4F5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6F2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7BE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082A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2C9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E512BC" w:rsidRPr="003C5C30" w14:paraId="2E371C09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423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940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6EDD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500.000</w:t>
            </w:r>
            <w:r w:rsidR="00727DA7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A1E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D3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345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E512BC" w:rsidRPr="003C5C30" w14:paraId="1E04C472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623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111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DAB4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7B5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5D7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D97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E512BC" w:rsidRPr="003C5C30" w14:paraId="4B94462C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423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140B" w14:textId="77777777" w:rsidR="00E512BC" w:rsidRPr="003C5C30" w:rsidRDefault="00E512BC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3C5C3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C08A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01A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br/>
              <w:t>/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AB5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5DC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E512BC" w:rsidRPr="003C5C30" w14:paraId="5EAB0159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257"/>
        </w:trPr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54EA3E" w14:textId="77777777" w:rsidR="00E512BC" w:rsidRPr="000F79BE" w:rsidRDefault="00E512BC" w:rsidP="000F75B8">
            <w:pPr>
              <w:widowControl w:val="0"/>
              <w:tabs>
                <w:tab w:val="left" w:pos="2340"/>
              </w:tabs>
              <w:spacing w:after="0" w:line="240" w:lineRule="auto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E512BC" w:rsidRPr="003C5C30" w14:paraId="2A0AFEE8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257"/>
        </w:trPr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F8F58" w14:textId="77777777" w:rsidR="00E512BC" w:rsidRPr="000F79BE" w:rsidRDefault="00E512BC" w:rsidP="000F75B8">
            <w:pPr>
              <w:widowControl w:val="0"/>
              <w:tabs>
                <w:tab w:val="left" w:pos="2340"/>
              </w:tabs>
              <w:spacing w:after="0" w:line="240" w:lineRule="auto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422AA" w:rsidRPr="00DB2737" w14:paraId="348EE939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100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DF41" w14:textId="77777777" w:rsidR="00E512BC" w:rsidRPr="00DB2737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2737">
              <w:rPr>
                <w:rFonts w:ascii="Arial" w:eastAsia="Times New Roman" w:hAnsi="Arial" w:cs="Arial"/>
                <w:sz w:val="20"/>
                <w:szCs w:val="20"/>
              </w:rPr>
              <w:t>Ime proračunskega uporabnika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357" w14:textId="77777777" w:rsidR="00E512BC" w:rsidRPr="00DB2737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2737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953" w14:textId="77777777" w:rsidR="00E512BC" w:rsidRPr="00DB2737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2737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A208" w14:textId="77777777" w:rsidR="00E512BC" w:rsidRPr="00DB2737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273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E52" w14:textId="77777777" w:rsidR="00E512BC" w:rsidRPr="00DB2737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2737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9A35CA" w:rsidRPr="003C5C30" w14:paraId="45B2979D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328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FA7C" w14:textId="77777777" w:rsidR="009A35CA" w:rsidRPr="00DB2737" w:rsidRDefault="009A35CA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DB273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Urad RS za intelektualno lastnino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B87" w14:textId="77777777" w:rsidR="009A35CA" w:rsidRPr="00DB2737" w:rsidRDefault="002F7ABB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3C6" w14:textId="77777777" w:rsidR="009A35CA" w:rsidRPr="00DB2737" w:rsidRDefault="00E363B7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DB273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231593</w:t>
            </w:r>
          </w:p>
          <w:p w14:paraId="7509D293" w14:textId="77777777" w:rsidR="00E363B7" w:rsidRPr="00DB2737" w:rsidRDefault="00E363B7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DB273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WIPO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4D4" w14:textId="77777777" w:rsidR="009A35CA" w:rsidRPr="003C5C30" w:rsidRDefault="00923321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1794A">
              <w:rPr>
                <w:rFonts w:ascii="Arial" w:hAnsi="Arial" w:cs="Arial"/>
                <w:iCs/>
                <w:sz w:val="20"/>
                <w:szCs w:val="20"/>
              </w:rPr>
              <w:t>1.444.597,46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391" w14:textId="46DD86A9" w:rsidR="009A35CA" w:rsidRPr="003C5C30" w:rsidRDefault="00CE16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E512BC" w:rsidRPr="003C5C30" w14:paraId="5A84AB14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5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8873" w14:textId="77777777" w:rsidR="00E512BC" w:rsidRPr="000F79BE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5049" w14:textId="6BE6502D" w:rsidR="00E512BC" w:rsidRPr="003C5C30" w:rsidRDefault="006E7C2A" w:rsidP="000F75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794A">
              <w:rPr>
                <w:rFonts w:ascii="Arial" w:hAnsi="Arial" w:cs="Arial"/>
                <w:iCs/>
                <w:sz w:val="20"/>
                <w:szCs w:val="20"/>
              </w:rPr>
              <w:t>1.444.597,46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D651" w14:textId="77777777" w:rsidR="00E512BC" w:rsidRPr="003C5C30" w:rsidRDefault="00E512BC" w:rsidP="000F75B8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E512BC" w:rsidRPr="003C5C30" w14:paraId="669F70E1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294"/>
        </w:trPr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40D50" w14:textId="77777777" w:rsidR="00E512BC" w:rsidRPr="000F79BE" w:rsidRDefault="00E512BC" w:rsidP="000F75B8">
            <w:pPr>
              <w:widowControl w:val="0"/>
              <w:tabs>
                <w:tab w:val="left" w:pos="234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E512BC" w:rsidRPr="003C5C30" w14:paraId="21C805DC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100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5822" w14:textId="77777777" w:rsidR="00E512BC" w:rsidRPr="003C5C30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Ime proračunskega uporabnika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583" w14:textId="77777777" w:rsidR="00E512BC" w:rsidRPr="003C5C30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F2B" w14:textId="77777777" w:rsidR="00E512BC" w:rsidRPr="003C5C30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7085" w14:textId="77777777" w:rsidR="00E512BC" w:rsidRPr="003C5C30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9E97" w14:textId="77777777" w:rsidR="00E512BC" w:rsidRPr="003C5C30" w:rsidRDefault="00E512BC" w:rsidP="000F79B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D050A2" w:rsidRPr="003C5C30" w14:paraId="12205406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E45" w14:textId="77777777" w:rsidR="00D050A2" w:rsidRPr="003C5C30" w:rsidRDefault="00D050A2" w:rsidP="00D050A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hAnsi="Arial" w:cs="Arial"/>
                <w:sz w:val="20"/>
                <w:szCs w:val="20"/>
              </w:rPr>
              <w:t xml:space="preserve">Urad RS za intelektualno lastnino 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C46" w14:textId="54859999" w:rsidR="00D050A2" w:rsidRPr="003C5C30" w:rsidRDefault="00CE16BC" w:rsidP="00D050A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D8B" w14:textId="77777777" w:rsidR="00D050A2" w:rsidRPr="00DB2737" w:rsidRDefault="00D050A2" w:rsidP="00D050A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DB273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231593</w:t>
            </w:r>
          </w:p>
          <w:p w14:paraId="1A17F53F" w14:textId="77777777" w:rsidR="00D050A2" w:rsidRPr="003C5C30" w:rsidRDefault="00D050A2" w:rsidP="00D050A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DB273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WIPO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2AC2" w14:textId="77777777" w:rsidR="00D050A2" w:rsidRPr="003C5C30" w:rsidRDefault="00D050A2" w:rsidP="00D050A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500.000,00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926" w14:textId="77777777" w:rsidR="00D050A2" w:rsidRPr="003C5C30" w:rsidRDefault="00D050A2" w:rsidP="00D050A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F3345" w:rsidRPr="003C5C30" w14:paraId="75442951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5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2D03" w14:textId="77777777" w:rsidR="009F3345" w:rsidRPr="000F79BE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D31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highlight w:val="yellow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500.000,00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971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F3345" w:rsidRPr="003C5C30" w14:paraId="2892ADA3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207"/>
        </w:trPr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F1FD63" w14:textId="77777777" w:rsidR="009F3345" w:rsidRPr="000F79BE" w:rsidRDefault="009F3345" w:rsidP="009F3345">
            <w:pPr>
              <w:widowControl w:val="0"/>
              <w:tabs>
                <w:tab w:val="left" w:pos="234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9F3345" w:rsidRPr="003C5C30" w14:paraId="3EE7D175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10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48F" w14:textId="77777777" w:rsidR="009F3345" w:rsidRPr="003C5C30" w:rsidRDefault="009F3345" w:rsidP="009F3345">
            <w:pPr>
              <w:widowControl w:val="0"/>
              <w:spacing w:after="0" w:line="240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A39" w14:textId="77777777" w:rsidR="009F3345" w:rsidRPr="003C5C30" w:rsidRDefault="009F3345" w:rsidP="009F3345">
            <w:pPr>
              <w:widowControl w:val="0"/>
              <w:spacing w:after="0" w:line="240" w:lineRule="auto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FFE" w14:textId="77777777" w:rsidR="009F3345" w:rsidRPr="003C5C30" w:rsidRDefault="009F3345" w:rsidP="009F3345">
            <w:pPr>
              <w:widowControl w:val="0"/>
              <w:spacing w:after="0" w:line="240" w:lineRule="auto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9F3345" w:rsidRPr="003C5C30" w14:paraId="29AA39ED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5BB4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F4D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0ED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F3345" w:rsidRPr="003C5C30" w14:paraId="774611AD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D2C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FCD2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1BC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F3345" w:rsidRPr="003C5C30" w14:paraId="5C7C782F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585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9E8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3EA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F3345" w:rsidRPr="003C5C30" w14:paraId="617EFEB2" w14:textId="77777777" w:rsidTr="00D0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5" w:type="dxa"/>
          <w:cantSplit/>
          <w:trHeight w:val="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B69" w14:textId="77777777" w:rsidR="009F3345" w:rsidRPr="000F79BE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A0B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BC19" w14:textId="77777777" w:rsidR="009F3345" w:rsidRPr="003C5C30" w:rsidRDefault="009F3345" w:rsidP="009F334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F3345" w:rsidRPr="003C5C30" w14:paraId="685B6A53" w14:textId="77777777" w:rsidTr="00D050A2">
        <w:trPr>
          <w:gridAfter w:val="1"/>
          <w:wAfter w:w="55" w:type="dxa"/>
          <w:trHeight w:val="1910"/>
        </w:trPr>
        <w:tc>
          <w:tcPr>
            <w:tcW w:w="9208" w:type="dxa"/>
            <w:gridSpan w:val="11"/>
          </w:tcPr>
          <w:p w14:paraId="5FFDD6FE" w14:textId="77777777" w:rsidR="009F3345" w:rsidRPr="000F79BE" w:rsidRDefault="009F3345" w:rsidP="009F33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OBRAZLOŽITEV:</w:t>
            </w:r>
          </w:p>
          <w:p w14:paraId="282DB06E" w14:textId="77777777" w:rsidR="009F3345" w:rsidRPr="001964ED" w:rsidRDefault="009F3345" w:rsidP="009F334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45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BD643D9" w14:textId="77777777" w:rsidR="009F3345" w:rsidRPr="00A422AA" w:rsidRDefault="009F3345" w:rsidP="009F3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2AA">
              <w:rPr>
                <w:rFonts w:ascii="Arial" w:hAnsi="Arial" w:cs="Arial"/>
                <w:sz w:val="20"/>
                <w:szCs w:val="20"/>
              </w:rPr>
              <w:t>Ocena finančnih posledic v letu 2026 znaša 500.000,00 EUR, kar predstavlja razliko med:</w:t>
            </w:r>
          </w:p>
          <w:p w14:paraId="65F5DE81" w14:textId="77777777" w:rsidR="009F3345" w:rsidRPr="00A145A9" w:rsidRDefault="009F3345" w:rsidP="009F3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422AA">
              <w:rPr>
                <w:rFonts w:ascii="Arial" w:hAnsi="Arial" w:cs="Arial"/>
                <w:sz w:val="20"/>
                <w:szCs w:val="20"/>
              </w:rPr>
              <w:t xml:space="preserve">- sprejetim proračunom (409.250,00 EUR) in oceno realizacije v letu 2026 (909.250,00 EUR) </w:t>
            </w:r>
            <w:r w:rsidRPr="00A422A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namenski proračunski postavki 231593 WIPO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2465F2AD" w14:textId="77777777" w:rsidR="009F3345" w:rsidRPr="00A145A9" w:rsidRDefault="009F3345" w:rsidP="009F334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1B9B54" w14:textId="77777777" w:rsidR="009F3345" w:rsidRPr="00A145A9" w:rsidRDefault="009F3345" w:rsidP="009F334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45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Finančne posledice za državni proračun: </w:t>
            </w:r>
          </w:p>
          <w:p w14:paraId="1C22E678" w14:textId="77777777" w:rsidR="009F3345" w:rsidRPr="00A145A9" w:rsidRDefault="009F3345" w:rsidP="009F334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1F0544D" w14:textId="66BD5A0F" w:rsidR="009F3345" w:rsidRDefault="009F3345" w:rsidP="009F3345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45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II.a Pravice porabe za izvedbo predlaganih rešitev so zagotovljene:  </w:t>
            </w:r>
          </w:p>
          <w:p w14:paraId="0B4A7ACF" w14:textId="7005876D" w:rsidR="00F96FD3" w:rsidRPr="00A145A9" w:rsidRDefault="00F96FD3" w:rsidP="00AB11AA">
            <w:pPr>
              <w:widowControl w:val="0"/>
              <w:suppressAutoHyphens/>
              <w:spacing w:after="0" w:line="240" w:lineRule="auto"/>
              <w:ind w:left="22" w:hanging="22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6F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Pravice porabe za izvedbo predlaganih rešitev so zagotovljene v veljavnem proračunu na namenski proračunski postavki 231593 WIPO, ki znaša 1.444.597,46 EUR.</w:t>
            </w:r>
          </w:p>
          <w:p w14:paraId="7BDEC51E" w14:textId="77777777" w:rsidR="009F3345" w:rsidRPr="00A145A9" w:rsidRDefault="009F3345" w:rsidP="009F3345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C3D041E" w14:textId="77777777" w:rsidR="009F3345" w:rsidRPr="00914FF8" w:rsidRDefault="009F3345" w:rsidP="009F3345">
            <w:pPr>
              <w:widowControl w:val="0"/>
              <w:suppressAutoHyphens/>
              <w:spacing w:after="0" w:line="240" w:lineRule="auto"/>
              <w:ind w:left="71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14F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  <w:p w14:paraId="3BD3B2D0" w14:textId="4DF0F34E" w:rsidR="009F3345" w:rsidRDefault="009F3345" w:rsidP="009F334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14FF8">
              <w:rPr>
                <w:rFonts w:ascii="Arial" w:eastAsia="Times New Roman" w:hAnsi="Arial" w:cs="Arial"/>
                <w:sz w:val="20"/>
                <w:szCs w:val="20"/>
              </w:rPr>
              <w:t>Urad RS za intelektualno lastnino ima sredstva v višini 500.000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,00 </w:t>
            </w:r>
            <w:r w:rsidRPr="00914FF8">
              <w:rPr>
                <w:rFonts w:ascii="Arial" w:eastAsia="Times New Roman" w:hAnsi="Arial" w:cs="Arial"/>
                <w:sz w:val="20"/>
                <w:szCs w:val="20"/>
              </w:rPr>
              <w:t xml:space="preserve">EUR zagotovljena v veljavnem </w:t>
            </w:r>
            <w:r w:rsidRPr="00914FF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proračunu za leto 2026 </w:t>
            </w:r>
            <w:r w:rsidRPr="00914FF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namenski proračunski postavki 231593 WIPO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2EEEE39B" w14:textId="77777777" w:rsidR="00BA2D28" w:rsidRDefault="00BA2D28" w:rsidP="009F334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58AFFDE" w14:textId="225BDAEA" w:rsidR="00BA2D28" w:rsidRPr="00A145A9" w:rsidRDefault="00BA2D28" w:rsidP="009F334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2D28">
              <w:rPr>
                <w:rFonts w:ascii="Arial" w:eastAsia="Times New Roman" w:hAnsi="Arial" w:cs="Arial"/>
                <w:sz w:val="20"/>
                <w:szCs w:val="20"/>
              </w:rPr>
              <w:t>Prerazporeditev finančnih sredstev v višini 500.000,00 EUR bo narejena v okviru namenske proračunske postavke 231593 WIPO.</w:t>
            </w:r>
          </w:p>
          <w:p w14:paraId="437FAD14" w14:textId="77777777" w:rsidR="009F3345" w:rsidRPr="00A145A9" w:rsidRDefault="009F3345" w:rsidP="009F334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FE67D23" w14:textId="7B4391E5" w:rsidR="009F3345" w:rsidRPr="00DB6E68" w:rsidRDefault="009F3345" w:rsidP="00A220FA">
            <w:pPr>
              <w:widowControl w:val="0"/>
              <w:suppressAutoHyphens/>
              <w:spacing w:after="0" w:line="240" w:lineRule="auto"/>
              <w:ind w:left="70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45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II.c Načrtovana nadomestitev zmanjšanih prihodkov in povečanih odhodkov proračuna: /   </w:t>
            </w: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</w:t>
            </w:r>
          </w:p>
        </w:tc>
      </w:tr>
      <w:tr w:rsidR="009F3345" w:rsidRPr="003C5C30" w14:paraId="4ECE9484" w14:textId="77777777" w:rsidTr="00D050A2">
        <w:trPr>
          <w:gridAfter w:val="1"/>
          <w:wAfter w:w="55" w:type="dxa"/>
          <w:trHeight w:val="597"/>
        </w:trPr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DE5A" w14:textId="77777777" w:rsidR="009F3345" w:rsidRPr="000F79BE" w:rsidRDefault="009F3345" w:rsidP="009F33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3A00E143" w14:textId="77777777" w:rsidR="009F3345" w:rsidRPr="003C5C30" w:rsidRDefault="009F3345" w:rsidP="009F33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9F3345" w:rsidRPr="003C5C30" w14:paraId="1DE62879" w14:textId="77777777" w:rsidTr="00D050A2">
        <w:trPr>
          <w:gridAfter w:val="1"/>
          <w:wAfter w:w="55" w:type="dxa"/>
          <w:trHeight w:val="371"/>
        </w:trPr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93D" w14:textId="77777777" w:rsidR="009F3345" w:rsidRPr="000F79BE" w:rsidRDefault="009F3345" w:rsidP="009F33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 Predstavitev sodelovanja z združenji občin:</w:t>
            </w:r>
          </w:p>
        </w:tc>
      </w:tr>
      <w:tr w:rsidR="009F3345" w:rsidRPr="003C5C30" w14:paraId="5BA749FC" w14:textId="77777777" w:rsidTr="00D050A2">
        <w:trPr>
          <w:gridAfter w:val="1"/>
          <w:wAfter w:w="55" w:type="dxa"/>
          <w:trHeight w:val="996"/>
        </w:trPr>
        <w:tc>
          <w:tcPr>
            <w:tcW w:w="6960" w:type="dxa"/>
            <w:gridSpan w:val="9"/>
          </w:tcPr>
          <w:p w14:paraId="21AB5F3C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467139E4" w14:textId="77777777" w:rsidR="009F3345" w:rsidRPr="003C5C30" w:rsidRDefault="009F3345" w:rsidP="009F3345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00C6C968" w14:textId="77777777" w:rsidR="009F3345" w:rsidRPr="003C5C30" w:rsidRDefault="009F3345" w:rsidP="009F3345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65294BA2" w14:textId="77777777" w:rsidR="009F3345" w:rsidRPr="003C5C30" w:rsidRDefault="009F3345" w:rsidP="009F3345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248" w:type="dxa"/>
            <w:gridSpan w:val="2"/>
          </w:tcPr>
          <w:p w14:paraId="7C47702C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F3345" w:rsidRPr="003C5C30" w14:paraId="22636848" w14:textId="77777777" w:rsidTr="00D050A2">
        <w:trPr>
          <w:gridAfter w:val="1"/>
          <w:wAfter w:w="55" w:type="dxa"/>
          <w:trHeight w:val="3213"/>
        </w:trPr>
        <w:tc>
          <w:tcPr>
            <w:tcW w:w="9208" w:type="dxa"/>
            <w:gridSpan w:val="11"/>
          </w:tcPr>
          <w:p w14:paraId="3BCE2815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6EE477CE" w14:textId="77777777" w:rsidR="009F3345" w:rsidRPr="003C5C30" w:rsidRDefault="009F3345" w:rsidP="009F3345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DD5134B" w14:textId="77777777" w:rsidR="009F3345" w:rsidRPr="003C5C30" w:rsidRDefault="009F3345" w:rsidP="009F3345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02520F06" w14:textId="77777777" w:rsidR="009F3345" w:rsidRPr="003C5C30" w:rsidRDefault="009F3345" w:rsidP="009F3345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1170670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B5EC571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4DC946DC" w14:textId="77777777" w:rsidR="009F3345" w:rsidRPr="003C5C30" w:rsidRDefault="009F3345" w:rsidP="009F3345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3DB03259" w14:textId="77777777" w:rsidR="009F3345" w:rsidRPr="003C5C30" w:rsidRDefault="009F3345" w:rsidP="009F3345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8864AA" w14:textId="77777777" w:rsidR="009F3345" w:rsidRPr="003C5C30" w:rsidRDefault="009F3345" w:rsidP="009F3345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2A8A898D" w14:textId="77777777" w:rsidR="009F3345" w:rsidRPr="003C5C30" w:rsidRDefault="009F3345" w:rsidP="009F3345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FCBBE1E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6493AD8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upoštevani: /</w:t>
            </w:r>
          </w:p>
        </w:tc>
      </w:tr>
      <w:tr w:rsidR="009F3345" w:rsidRPr="003C5C30" w14:paraId="6D9CAC2A" w14:textId="77777777" w:rsidTr="00D050A2">
        <w:trPr>
          <w:gridAfter w:val="1"/>
          <w:wAfter w:w="55" w:type="dxa"/>
        </w:trPr>
        <w:tc>
          <w:tcPr>
            <w:tcW w:w="9208" w:type="dxa"/>
            <w:gridSpan w:val="11"/>
            <w:vAlign w:val="center"/>
          </w:tcPr>
          <w:p w14:paraId="5AA456A4" w14:textId="77777777" w:rsidR="009F3345" w:rsidRPr="000F79BE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F79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9F3345" w:rsidRPr="003C5C30" w14:paraId="4E544EB8" w14:textId="77777777" w:rsidTr="00D050A2">
        <w:trPr>
          <w:gridAfter w:val="1"/>
          <w:wAfter w:w="55" w:type="dxa"/>
        </w:trPr>
        <w:tc>
          <w:tcPr>
            <w:tcW w:w="6960" w:type="dxa"/>
            <w:gridSpan w:val="9"/>
          </w:tcPr>
          <w:p w14:paraId="2E85B840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248" w:type="dxa"/>
            <w:gridSpan w:val="2"/>
          </w:tcPr>
          <w:p w14:paraId="5AFA45CA" w14:textId="77777777" w:rsidR="009F3345" w:rsidRPr="003C5C30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F3345" w:rsidRPr="003C5C30" w14:paraId="6701D820" w14:textId="77777777" w:rsidTr="00D050A2">
        <w:trPr>
          <w:gridAfter w:val="1"/>
          <w:wAfter w:w="55" w:type="dxa"/>
        </w:trPr>
        <w:tc>
          <w:tcPr>
            <w:tcW w:w="9208" w:type="dxa"/>
            <w:gridSpan w:val="11"/>
          </w:tcPr>
          <w:p w14:paraId="5A9D182A" w14:textId="77777777" w:rsidR="009F3345" w:rsidRDefault="009F3345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iCs/>
                <w:sz w:val="20"/>
                <w:szCs w:val="20"/>
              </w:rPr>
            </w:pPr>
            <w:r w:rsidRPr="000A30F5">
              <w:rPr>
                <w:rFonts w:ascii="Arial" w:eastAsia="Times New Roman" w:hAnsi="Arial" w:cs="Times New Roman"/>
                <w:iCs/>
                <w:sz w:val="20"/>
                <w:szCs w:val="20"/>
              </w:rPr>
              <w:t>Skladno s sedmim odstavkom 9. člena Poslovnika Vlade Republike Slovenije (Uradni list RS, št. 43/01, 23/02 – popr., 54/03, 103/03, 114/04, 26/06, 21/07, 32/10, 73/10, 95/11, 64/12, 10/14, 164/20, 35/21, 51/21 in 114/21) sodelovanje javnosti pri pripravi predloga sklepa ni potrebno</w:t>
            </w:r>
            <w:r>
              <w:rPr>
                <w:rFonts w:ascii="Arial" w:eastAsia="Times New Roman" w:hAnsi="Arial" w:cs="Times New Roman"/>
                <w:iCs/>
                <w:sz w:val="20"/>
                <w:szCs w:val="20"/>
              </w:rPr>
              <w:t>.</w:t>
            </w:r>
            <w:r w:rsidRPr="000A30F5">
              <w:rPr>
                <w:rFonts w:ascii="Arial" w:eastAsia="Times New Roman" w:hAnsi="Arial" w:cs="Times New Roman"/>
                <w:iCs/>
                <w:sz w:val="20"/>
                <w:szCs w:val="20"/>
              </w:rPr>
              <w:t xml:space="preserve"> </w:t>
            </w:r>
          </w:p>
          <w:p w14:paraId="135CB7BF" w14:textId="77777777" w:rsidR="00A220FA" w:rsidRPr="003C5C30" w:rsidRDefault="00A220FA" w:rsidP="009F33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9F3345" w:rsidRPr="003C5C30" w14:paraId="7880C19F" w14:textId="77777777" w:rsidTr="00D050A2">
        <w:trPr>
          <w:gridAfter w:val="1"/>
          <w:wAfter w:w="55" w:type="dxa"/>
        </w:trPr>
        <w:tc>
          <w:tcPr>
            <w:tcW w:w="9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373D" w14:textId="77777777" w:rsidR="009F3345" w:rsidRPr="003C5C30" w:rsidRDefault="009F3345" w:rsidP="009F334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0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7CD0369" w14:textId="77777777" w:rsidR="009F3345" w:rsidRPr="003C5C30" w:rsidRDefault="009F3345" w:rsidP="009F334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528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Matjaž Han</w:t>
            </w:r>
          </w:p>
          <w:p w14:paraId="19B29970" w14:textId="2FB2E7CE" w:rsidR="009F3345" w:rsidRDefault="009F3345" w:rsidP="00CA0B6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7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</w:t>
            </w:r>
            <w:r w:rsidR="00E06C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="0052493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Pr="003C5C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inister</w:t>
            </w:r>
          </w:p>
          <w:p w14:paraId="210C8616" w14:textId="69544ECD" w:rsidR="00CA0B6C" w:rsidRPr="00CA0B6C" w:rsidRDefault="00CA0B6C" w:rsidP="00CA0B6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7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E90E379" w14:textId="77777777" w:rsidR="00DB6E68" w:rsidRDefault="00DB6E68" w:rsidP="000F75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739CC2" w14:textId="77777777" w:rsidR="00C013C5" w:rsidRDefault="00C013C5" w:rsidP="000F75B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51856F" w14:textId="77777777" w:rsidR="00C013C5" w:rsidRDefault="00C013C5" w:rsidP="000F75B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78CDB0" w14:textId="77777777" w:rsidR="0013616E" w:rsidRDefault="001361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560FD5D" w14:textId="77777777" w:rsidR="00461920" w:rsidRPr="000F79BE" w:rsidRDefault="00461920" w:rsidP="000F75B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0F79BE"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>PRILOGA 2: Obrazložitev</w:t>
      </w:r>
    </w:p>
    <w:p w14:paraId="14E4B1BB" w14:textId="77777777" w:rsidR="00461920" w:rsidRDefault="00461920" w:rsidP="000F75B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830E5B" w14:textId="77777777" w:rsidR="00C013C5" w:rsidRPr="003C5C30" w:rsidRDefault="00C013C5" w:rsidP="000F75B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19F689" w14:textId="7D7395F6" w:rsidR="00000363" w:rsidRPr="003C5C30" w:rsidRDefault="00461920" w:rsidP="006406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C30">
        <w:rPr>
          <w:rFonts w:ascii="Arial" w:hAnsi="Arial" w:cs="Arial"/>
          <w:sz w:val="20"/>
          <w:szCs w:val="20"/>
        </w:rPr>
        <w:t>Peti odstavek 21. člena Zakona o izvrševanju proračunov Republike Slovenije za leti 2026 in 2027</w:t>
      </w:r>
      <w:r w:rsidR="00060D87">
        <w:rPr>
          <w:rFonts w:ascii="Arial" w:hAnsi="Arial" w:cs="Arial"/>
          <w:sz w:val="20"/>
          <w:szCs w:val="20"/>
        </w:rPr>
        <w:t xml:space="preserve"> </w:t>
      </w:r>
      <w:r w:rsidR="00060D87" w:rsidRPr="00060D87">
        <w:rPr>
          <w:rFonts w:ascii="Arial" w:hAnsi="Arial" w:cs="Arial"/>
          <w:sz w:val="20"/>
          <w:szCs w:val="20"/>
        </w:rPr>
        <w:t>(Uradni list RS, št. 95/25 in 112/25 – ZJF-K)</w:t>
      </w:r>
      <w:r w:rsidRPr="003C5C30">
        <w:rPr>
          <w:rFonts w:ascii="Arial" w:hAnsi="Arial" w:cs="Arial"/>
          <w:sz w:val="20"/>
          <w:szCs w:val="20"/>
        </w:rPr>
        <w:t xml:space="preserve"> določa, da</w:t>
      </w:r>
      <w:r w:rsidR="00000363" w:rsidRPr="003C5C30">
        <w:rPr>
          <w:rFonts w:ascii="Arial" w:hAnsi="Arial" w:cs="Arial"/>
          <w:sz w:val="20"/>
          <w:szCs w:val="20"/>
        </w:rPr>
        <w:t xml:space="preserve"> </w:t>
      </w:r>
      <w:r w:rsidR="00000363" w:rsidRPr="003C5C30">
        <w:rPr>
          <w:rFonts w:ascii="Arial" w:hAnsi="Arial" w:cs="Arial"/>
          <w:color w:val="333333"/>
          <w:sz w:val="20"/>
          <w:szCs w:val="20"/>
          <w:shd w:val="clear" w:color="auto" w:fill="FFFFFF"/>
        </w:rPr>
        <w:t>neposredni uporabniki prevzemajo in plačujejo obveznosti prek načrtovanih pravic porabe v sprejetem proračunu</w:t>
      </w:r>
      <w:r w:rsidR="00060D8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na podlagi soglasja vlade</w:t>
      </w:r>
      <w:r w:rsidR="00000363" w:rsidRPr="003C5C30">
        <w:rPr>
          <w:rFonts w:ascii="Arial" w:hAnsi="Arial" w:cs="Arial"/>
          <w:color w:val="333333"/>
          <w:sz w:val="20"/>
          <w:szCs w:val="20"/>
          <w:shd w:val="clear" w:color="auto" w:fill="FFFFFF"/>
        </w:rPr>
        <w:t>, vendar ne v večjem obsegu od vplačanih prihodkov v proračun, če zaradi tega ne grozi, da bi bil prekoračen obseg izdatkov, ki je določen za državni proračun</w:t>
      </w:r>
      <w:r w:rsidR="00060D8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 posameznem letu</w:t>
      </w:r>
      <w:r w:rsidR="00000363" w:rsidRPr="003C5C30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6213B45E" w14:textId="77777777" w:rsidR="00000363" w:rsidRPr="003C5C30" w:rsidRDefault="00000363" w:rsidP="000F7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E4F0F4"/>
        </w:rPr>
      </w:pPr>
    </w:p>
    <w:p w14:paraId="28FB68BF" w14:textId="495B20BE" w:rsidR="003C5C30" w:rsidRDefault="003C5C30" w:rsidP="000F75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C30">
        <w:rPr>
          <w:rFonts w:ascii="Arial" w:hAnsi="Arial" w:cs="Arial"/>
          <w:sz w:val="20"/>
          <w:szCs w:val="20"/>
        </w:rPr>
        <w:t>Dne 18. 12. 2024 sta Ministrstvo za javno upravo</w:t>
      </w:r>
      <w:r w:rsidR="000259E5">
        <w:rPr>
          <w:rFonts w:ascii="Arial" w:hAnsi="Arial" w:cs="Arial"/>
          <w:sz w:val="20"/>
          <w:szCs w:val="20"/>
        </w:rPr>
        <w:t xml:space="preserve"> (v nadaljnjem besedilu: MJU)</w:t>
      </w:r>
      <w:r w:rsidRPr="003C5C30">
        <w:rPr>
          <w:rFonts w:ascii="Arial" w:hAnsi="Arial" w:cs="Arial"/>
          <w:sz w:val="20"/>
          <w:szCs w:val="20"/>
        </w:rPr>
        <w:t xml:space="preserve"> in Urad RS za intelektualno lastnino </w:t>
      </w:r>
      <w:r w:rsidR="00060D87">
        <w:rPr>
          <w:rFonts w:ascii="Arial" w:hAnsi="Arial" w:cs="Arial"/>
          <w:sz w:val="20"/>
          <w:szCs w:val="20"/>
        </w:rPr>
        <w:t>(</w:t>
      </w:r>
      <w:r w:rsidR="00E823BB">
        <w:rPr>
          <w:rFonts w:ascii="Arial" w:hAnsi="Arial" w:cs="Arial"/>
          <w:sz w:val="20"/>
          <w:szCs w:val="20"/>
        </w:rPr>
        <w:t>v nadaljnjem besedilu</w:t>
      </w:r>
      <w:r w:rsidR="00060D87">
        <w:rPr>
          <w:rFonts w:ascii="Arial" w:hAnsi="Arial" w:cs="Arial"/>
          <w:sz w:val="20"/>
          <w:szCs w:val="20"/>
        </w:rPr>
        <w:t>: URSIL)</w:t>
      </w:r>
      <w:r w:rsidRPr="003C5C30">
        <w:rPr>
          <w:rFonts w:ascii="Arial" w:hAnsi="Arial" w:cs="Arial"/>
          <w:sz w:val="20"/>
          <w:szCs w:val="20"/>
        </w:rPr>
        <w:t xml:space="preserve"> podpisala </w:t>
      </w:r>
      <w:r w:rsidRPr="003C5C30">
        <w:rPr>
          <w:rFonts w:ascii="Arial" w:eastAsia="Times New Roman" w:hAnsi="Arial" w:cs="Arial"/>
          <w:sz w:val="20"/>
          <w:szCs w:val="20"/>
        </w:rPr>
        <w:t>Sporazum o načinu medsebojnih obveznostih pri izvedbi prenove poslovne stavbe na naslovu Kotnikova ulica 6, 1000 Ljubljana, številka 478-2/2024-2</w:t>
      </w:r>
      <w:r w:rsidRPr="003C5C30">
        <w:rPr>
          <w:rFonts w:ascii="Arial" w:hAnsi="Arial" w:cs="Arial"/>
          <w:sz w:val="20"/>
          <w:szCs w:val="20"/>
        </w:rPr>
        <w:t>.</w:t>
      </w:r>
      <w:r w:rsidR="00B56A4C">
        <w:rPr>
          <w:rFonts w:ascii="Arial" w:hAnsi="Arial" w:cs="Arial"/>
          <w:sz w:val="20"/>
          <w:szCs w:val="20"/>
        </w:rPr>
        <w:t xml:space="preserve"> </w:t>
      </w:r>
    </w:p>
    <w:p w14:paraId="77720004" w14:textId="77777777" w:rsidR="00B56A4C" w:rsidRDefault="00B56A4C" w:rsidP="000F75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819235" w14:textId="4803FF4D" w:rsidR="00B56A4C" w:rsidRPr="00C00CE1" w:rsidRDefault="00B56A4C" w:rsidP="00B56A4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N</w:t>
      </w:r>
      <w:r w:rsidRPr="003C5C3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a namenski proračunski postavki </w:t>
      </w:r>
      <w:r w:rsidRPr="003C5C30">
        <w:rPr>
          <w:rFonts w:ascii="Arial" w:eastAsia="Times New Roman" w:hAnsi="Arial" w:cs="Arial"/>
          <w:iCs/>
          <w:sz w:val="20"/>
          <w:szCs w:val="20"/>
        </w:rPr>
        <w:t>231593 WIPO</w:t>
      </w:r>
      <w:r w:rsidRPr="003C5C3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mednarodn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a donacija 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je v sprejetem proračunu za leto 2026 načrtovanih 409.250,00 EUR. Ta znesek je namenjen za plačilo stroškov </w:t>
      </w:r>
      <w:r w:rsidR="00E823BB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URSIL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. Trenutno veljavni proračun </w:t>
      </w:r>
      <w:r w:rsidR="009C5FD0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na 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predmetni proračunski postavki znaša </w:t>
      </w:r>
      <w:r w:rsidRPr="00F1794A">
        <w:rPr>
          <w:rFonts w:ascii="Arial" w:hAnsi="Arial" w:cs="Arial"/>
          <w:iCs/>
          <w:sz w:val="20"/>
          <w:szCs w:val="20"/>
        </w:rPr>
        <w:t>1.444.597,46</w:t>
      </w:r>
      <w:r w:rsidRPr="00F1794A">
        <w:rPr>
          <w:rFonts w:ascii="Arial" w:hAnsi="Arial" w:cs="Arial"/>
          <w:b/>
          <w:iCs/>
        </w:rPr>
        <w:t xml:space="preserve"> 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EUR, p</w:t>
      </w:r>
      <w:r>
        <w:rPr>
          <w:rFonts w:ascii="Arial" w:hAnsi="Arial" w:cs="Arial"/>
          <w:sz w:val="20"/>
          <w:szCs w:val="20"/>
        </w:rPr>
        <w:t>ravic</w:t>
      </w:r>
      <w:r w:rsidR="008F484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porabe </w:t>
      </w:r>
      <w:r w:rsidR="00E823BB">
        <w:rPr>
          <w:rFonts w:ascii="Arial" w:hAnsi="Arial" w:cs="Arial"/>
          <w:sz w:val="20"/>
          <w:szCs w:val="20"/>
        </w:rPr>
        <w:t xml:space="preserve">pa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se bo zvišala za </w:t>
      </w:r>
      <w:r>
        <w:rPr>
          <w:rFonts w:ascii="Arial" w:hAnsi="Arial" w:cs="Arial"/>
          <w:sz w:val="20"/>
          <w:szCs w:val="20"/>
        </w:rPr>
        <w:t>500.000,00 EUR.</w:t>
      </w:r>
    </w:p>
    <w:p w14:paraId="2879BBA6" w14:textId="77777777" w:rsidR="00B56A4C" w:rsidRDefault="00B56A4C" w:rsidP="00B56A4C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</w:pPr>
    </w:p>
    <w:p w14:paraId="0AF63C3C" w14:textId="4C3DE386" w:rsidR="00B56A4C" w:rsidRPr="008747E4" w:rsidRDefault="00B56A4C" w:rsidP="00B56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Načrtovana sredstva iz prejšnjega odstavka za</w:t>
      </w:r>
      <w:r w:rsidRPr="003C5C30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 let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o</w:t>
      </w:r>
      <w:r w:rsidRPr="003C5C30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 20</w:t>
      </w:r>
      <w:r w:rsidRPr="003C5C30">
        <w:rPr>
          <w:rFonts w:ascii="Arial" w:eastAsia="Times New Roman" w:hAnsi="Arial" w:cs="Arial"/>
          <w:bCs/>
          <w:kern w:val="32"/>
          <w:sz w:val="20"/>
          <w:szCs w:val="20"/>
        </w:rPr>
        <w:t>26</w:t>
      </w:r>
      <w:r w:rsidRPr="003C5C30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 </w:t>
      </w:r>
      <w:r w:rsidRPr="003C5C30">
        <w:rPr>
          <w:rFonts w:ascii="Arial" w:eastAsia="Times New Roman" w:hAnsi="Arial" w:cs="Arial"/>
          <w:iCs/>
          <w:sz w:val="20"/>
          <w:szCs w:val="20"/>
          <w:lang w:eastAsia="sl-SI"/>
        </w:rPr>
        <w:t>ne zadostujejo za</w:t>
      </w:r>
      <w:r w:rsidRPr="003C5C30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3C5C30">
        <w:rPr>
          <w:rFonts w:ascii="Arial" w:eastAsia="Times New Roman" w:hAnsi="Arial" w:cs="Arial"/>
          <w:sz w:val="20"/>
          <w:szCs w:val="20"/>
        </w:rPr>
        <w:t xml:space="preserve">prenovo poslovne stavbe </w:t>
      </w:r>
      <w:r w:rsidR="00E823BB">
        <w:rPr>
          <w:rFonts w:ascii="Arial" w:eastAsia="Times New Roman" w:hAnsi="Arial" w:cs="Arial"/>
          <w:sz w:val="20"/>
          <w:szCs w:val="20"/>
        </w:rPr>
        <w:t>URSIL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8747E4">
        <w:rPr>
          <w:rFonts w:ascii="Arial" w:hAnsi="Arial" w:cs="Arial"/>
          <w:sz w:val="20"/>
          <w:szCs w:val="20"/>
        </w:rPr>
        <w:t>P</w:t>
      </w:r>
      <w:r w:rsidRPr="008747E4">
        <w:rPr>
          <w:rFonts w:ascii="Arial" w:eastAsia="Times New Roman" w:hAnsi="Arial" w:cs="Arial"/>
          <w:sz w:val="20"/>
          <w:szCs w:val="20"/>
        </w:rPr>
        <w:t>renova poslovne stavbe (</w:t>
      </w:r>
      <w:r w:rsidR="00E823BB">
        <w:rPr>
          <w:rFonts w:ascii="Arial" w:hAnsi="Arial" w:cs="Arial"/>
          <w:sz w:val="20"/>
          <w:szCs w:val="20"/>
        </w:rPr>
        <w:t>v nadaljnjem besedilu</w:t>
      </w:r>
      <w:r w:rsidRPr="008747E4">
        <w:rPr>
          <w:rFonts w:ascii="Arial" w:eastAsia="Times New Roman" w:hAnsi="Arial" w:cs="Arial"/>
          <w:sz w:val="20"/>
          <w:szCs w:val="20"/>
        </w:rPr>
        <w:t>: investicija) bo obsegala:</w:t>
      </w:r>
    </w:p>
    <w:p w14:paraId="23716E24" w14:textId="77777777" w:rsidR="00B56A4C" w:rsidRPr="008747E4" w:rsidRDefault="00B56A4C" w:rsidP="00B56A4C">
      <w:pPr>
        <w:pStyle w:val="4Tekst"/>
        <w:numPr>
          <w:ilvl w:val="0"/>
          <w:numId w:val="18"/>
        </w:numPr>
        <w:spacing w:line="240" w:lineRule="auto"/>
        <w:rPr>
          <w:rFonts w:ascii="Arial" w:hAnsi="Arial" w:cs="Arial"/>
          <w:color w:val="auto"/>
          <w:sz w:val="20"/>
          <w:szCs w:val="20"/>
          <w:lang w:val="sl-SI"/>
        </w:rPr>
      </w:pPr>
      <w:r w:rsidRPr="008747E4">
        <w:rPr>
          <w:rFonts w:ascii="Arial" w:hAnsi="Arial" w:cs="Arial"/>
          <w:color w:val="auto"/>
          <w:sz w:val="20"/>
          <w:szCs w:val="20"/>
          <w:lang w:val="sl-SI"/>
        </w:rPr>
        <w:t>ureditev fasade (izboljšanje energetske učinkovitosti),</w:t>
      </w:r>
    </w:p>
    <w:p w14:paraId="519B1239" w14:textId="0FEB9D4E" w:rsidR="00B56A4C" w:rsidRPr="003C5C30" w:rsidRDefault="00B56A4C" w:rsidP="00B56A4C">
      <w:pPr>
        <w:pStyle w:val="4Tekst"/>
        <w:numPr>
          <w:ilvl w:val="0"/>
          <w:numId w:val="18"/>
        </w:numPr>
        <w:spacing w:line="240" w:lineRule="auto"/>
        <w:rPr>
          <w:rFonts w:ascii="Arial" w:hAnsi="Arial" w:cs="Arial"/>
          <w:color w:val="auto"/>
          <w:sz w:val="20"/>
          <w:szCs w:val="20"/>
          <w:lang w:val="sl-SI"/>
        </w:rPr>
      </w:pPr>
      <w:r w:rsidRPr="003C5C30">
        <w:rPr>
          <w:rFonts w:ascii="Arial" w:hAnsi="Arial" w:cs="Arial"/>
          <w:color w:val="auto"/>
          <w:sz w:val="20"/>
          <w:szCs w:val="20"/>
          <w:lang w:val="sl-SI"/>
        </w:rPr>
        <w:t>zamenjavo vseh oken</w:t>
      </w:r>
      <w:r w:rsidR="00E823BB">
        <w:rPr>
          <w:rFonts w:ascii="Arial" w:hAnsi="Arial" w:cs="Arial"/>
          <w:color w:val="auto"/>
          <w:sz w:val="20"/>
          <w:szCs w:val="20"/>
          <w:lang w:val="sl-SI"/>
        </w:rPr>
        <w:t xml:space="preserve"> in</w:t>
      </w:r>
    </w:p>
    <w:p w14:paraId="451708EC" w14:textId="77777777" w:rsidR="00B56A4C" w:rsidRDefault="00B56A4C" w:rsidP="00B56A4C">
      <w:pPr>
        <w:pStyle w:val="4Tekst"/>
        <w:numPr>
          <w:ilvl w:val="0"/>
          <w:numId w:val="18"/>
        </w:numPr>
        <w:spacing w:line="240" w:lineRule="auto"/>
        <w:rPr>
          <w:rFonts w:ascii="Arial" w:hAnsi="Arial" w:cs="Arial"/>
          <w:color w:val="auto"/>
          <w:sz w:val="20"/>
          <w:szCs w:val="20"/>
          <w:lang w:val="sl-SI"/>
        </w:rPr>
      </w:pPr>
      <w:r w:rsidRPr="003C5C30">
        <w:rPr>
          <w:rFonts w:ascii="Arial" w:hAnsi="Arial" w:cs="Arial"/>
          <w:color w:val="auto"/>
          <w:sz w:val="20"/>
          <w:szCs w:val="20"/>
          <w:lang w:val="sl-SI"/>
        </w:rPr>
        <w:t>zamenjavo vhodnih vrat.</w:t>
      </w:r>
    </w:p>
    <w:p w14:paraId="0FB987D4" w14:textId="77777777" w:rsidR="00B56A4C" w:rsidRDefault="00B56A4C" w:rsidP="00B56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A224B3" w14:textId="461368A1" w:rsidR="00B56A4C" w:rsidRPr="003C5C30" w:rsidRDefault="00B56A4C" w:rsidP="00AB11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5C30">
        <w:rPr>
          <w:rFonts w:ascii="Arial" w:eastAsia="Times New Roman" w:hAnsi="Arial" w:cs="Arial"/>
          <w:sz w:val="20"/>
          <w:szCs w:val="20"/>
        </w:rPr>
        <w:t>Strošek investicije je bil ocenjen na 545.000,00 EUR</w:t>
      </w:r>
      <w:r w:rsidR="00E823BB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MJU</w:t>
      </w:r>
      <w:r w:rsidRPr="003C5C30">
        <w:rPr>
          <w:rFonts w:ascii="Arial" w:eastAsia="Times New Roman" w:hAnsi="Arial" w:cs="Arial"/>
          <w:sz w:val="20"/>
          <w:szCs w:val="20"/>
        </w:rPr>
        <w:t xml:space="preserve"> nosi stroške projektiranja in izdelav</w:t>
      </w:r>
      <w:r w:rsidR="00E823BB">
        <w:rPr>
          <w:rFonts w:ascii="Arial" w:eastAsia="Times New Roman" w:hAnsi="Arial" w:cs="Arial"/>
          <w:sz w:val="20"/>
          <w:szCs w:val="20"/>
        </w:rPr>
        <w:t>e</w:t>
      </w:r>
      <w:r w:rsidRPr="003C5C30">
        <w:rPr>
          <w:rFonts w:ascii="Arial" w:eastAsia="Times New Roman" w:hAnsi="Arial" w:cs="Arial"/>
          <w:sz w:val="20"/>
          <w:szCs w:val="20"/>
        </w:rPr>
        <w:t xml:space="preserve"> razširjenega energetskega pregleda (REP) v višini 45.000,00 EUR</w:t>
      </w:r>
      <w:r w:rsidR="00E823BB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URSIL</w:t>
      </w:r>
      <w:r w:rsidRPr="003C5C30">
        <w:rPr>
          <w:rFonts w:ascii="Arial" w:eastAsia="Times New Roman" w:hAnsi="Arial" w:cs="Arial"/>
          <w:sz w:val="20"/>
          <w:szCs w:val="20"/>
        </w:rPr>
        <w:t xml:space="preserve"> pa nosi vse preostale stroške v višini 500.000,00 EUR</w:t>
      </w:r>
      <w:r w:rsidR="00E823BB">
        <w:rPr>
          <w:rFonts w:ascii="Arial" w:eastAsia="Times New Roman" w:hAnsi="Arial" w:cs="Arial"/>
          <w:sz w:val="20"/>
          <w:szCs w:val="20"/>
        </w:rPr>
        <w:t xml:space="preserve">. Navedeno je razvidno iz </w:t>
      </w:r>
      <w:r w:rsidR="00E823BB" w:rsidRPr="003C5C30">
        <w:rPr>
          <w:rFonts w:ascii="Arial" w:eastAsia="Times New Roman" w:hAnsi="Arial" w:cs="Arial"/>
          <w:sz w:val="20"/>
          <w:szCs w:val="20"/>
        </w:rPr>
        <w:t>Dokument</w:t>
      </w:r>
      <w:r w:rsidR="00E823BB">
        <w:rPr>
          <w:rFonts w:ascii="Arial" w:eastAsia="Times New Roman" w:hAnsi="Arial" w:cs="Arial"/>
          <w:sz w:val="20"/>
          <w:szCs w:val="20"/>
        </w:rPr>
        <w:t>a</w:t>
      </w:r>
      <w:r w:rsidR="00E823BB" w:rsidRPr="003C5C30">
        <w:rPr>
          <w:rFonts w:ascii="Arial" w:eastAsia="Times New Roman" w:hAnsi="Arial" w:cs="Arial"/>
          <w:sz w:val="20"/>
          <w:szCs w:val="20"/>
        </w:rPr>
        <w:t xml:space="preserve"> identifikacije investicijskega projekta</w:t>
      </w:r>
      <w:r w:rsidR="00E823BB">
        <w:rPr>
          <w:rFonts w:ascii="Arial" w:eastAsia="Times New Roman" w:hAnsi="Arial" w:cs="Arial"/>
          <w:sz w:val="20"/>
          <w:szCs w:val="20"/>
        </w:rPr>
        <w:t xml:space="preserve"> (DIIP) z naslovom </w:t>
      </w:r>
      <w:r w:rsidR="00E823BB" w:rsidRPr="00E823BB">
        <w:rPr>
          <w:rFonts w:ascii="Arial" w:eastAsia="Times New Roman" w:hAnsi="Arial" w:cs="Arial"/>
          <w:sz w:val="20"/>
          <w:szCs w:val="20"/>
        </w:rPr>
        <w:t>Menjava stavbnega pohištva in izolacija fasade na objektu z naslovom Kotnikova ulica 6, Ljubljana</w:t>
      </w:r>
      <w:r w:rsidR="00E823BB" w:rsidRPr="003C5C30">
        <w:rPr>
          <w:rFonts w:ascii="Arial" w:eastAsia="Times New Roman" w:hAnsi="Arial" w:cs="Arial"/>
          <w:sz w:val="20"/>
          <w:szCs w:val="20"/>
        </w:rPr>
        <w:t>, št. 450-1460/2024-3130-1</w:t>
      </w:r>
      <w:r w:rsidR="00E823BB">
        <w:rPr>
          <w:rFonts w:ascii="Arial" w:eastAsia="Times New Roman" w:hAnsi="Arial" w:cs="Arial"/>
          <w:sz w:val="20"/>
          <w:szCs w:val="20"/>
        </w:rPr>
        <w:t xml:space="preserve"> iz</w:t>
      </w:r>
      <w:r w:rsidR="00E823BB" w:rsidRPr="003C5C30">
        <w:rPr>
          <w:rFonts w:ascii="Arial" w:eastAsia="Times New Roman" w:hAnsi="Arial" w:cs="Arial"/>
          <w:sz w:val="20"/>
          <w:szCs w:val="20"/>
        </w:rPr>
        <w:t xml:space="preserve"> januarja 2025</w:t>
      </w:r>
      <w:r w:rsidR="00E823B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BD39FE3" w14:textId="77777777" w:rsidR="00B56A4C" w:rsidRDefault="00B56A4C" w:rsidP="00B56A4C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</w:pPr>
    </w:p>
    <w:p w14:paraId="40A99E88" w14:textId="133EE773" w:rsidR="00B56A4C" w:rsidRPr="003C5C30" w:rsidRDefault="00B56A4C" w:rsidP="00B56A4C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Zaradi navedenega se predlaga povečanje pravice porabe na namenski postavki iz 409.250,00 EUR na 909</w:t>
      </w:r>
      <w:r w:rsidRPr="00701D9D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.250,00 EUR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, torej bo prišlo do povečanja </w:t>
      </w:r>
      <w:r w:rsidRPr="0050098B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pravice porabe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 za 500.000,00 EUR. Načrtovana sredstva do višine 409.250,00 EUR bodo porabljena za plačilo tekočih stroškov </w:t>
      </w:r>
      <w:r w:rsidR="00E823BB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URSIL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. Sredstva do višine 500.000,00 EUR </w:t>
      </w:r>
      <w:r w:rsidR="00A5795C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pa 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bodo namenjena prenovi poslovne stavbe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F3C6577" w14:textId="77777777" w:rsidR="00592C3A" w:rsidRPr="00E151E9" w:rsidRDefault="00592C3A" w:rsidP="000F7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B0D719A" w14:textId="10266BE1" w:rsidR="003C5C30" w:rsidRPr="00F12FAC" w:rsidRDefault="003C5C30" w:rsidP="001413A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9E4A7E">
        <w:rPr>
          <w:rFonts w:ascii="Arial" w:hAnsi="Arial" w:cs="Arial"/>
          <w:iCs/>
          <w:sz w:val="20"/>
          <w:szCs w:val="20"/>
        </w:rPr>
        <w:t xml:space="preserve">Glede na to, da načrtovane pravice porabe na namenski proračunski postavki </w:t>
      </w:r>
      <w:r w:rsidRPr="009E4A7E">
        <w:rPr>
          <w:rFonts w:ascii="Arial" w:hAnsi="Arial" w:cs="Arial"/>
          <w:sz w:val="20"/>
          <w:szCs w:val="20"/>
        </w:rPr>
        <w:t>231593 WIPO</w:t>
      </w:r>
      <w:r w:rsidRPr="009E4A7E">
        <w:rPr>
          <w:rFonts w:ascii="Arial" w:hAnsi="Arial" w:cs="Arial"/>
          <w:iCs/>
          <w:sz w:val="20"/>
          <w:szCs w:val="20"/>
        </w:rPr>
        <w:t xml:space="preserve"> mednarodna donacija </w:t>
      </w:r>
      <w:r w:rsidRPr="009E4A7E">
        <w:rPr>
          <w:rFonts w:ascii="Arial" w:hAnsi="Arial" w:cs="Arial"/>
          <w:bCs/>
          <w:kern w:val="32"/>
          <w:sz w:val="20"/>
          <w:szCs w:val="20"/>
        </w:rPr>
        <w:t>v letu 2026</w:t>
      </w:r>
      <w:r w:rsidR="005B55BD">
        <w:rPr>
          <w:rFonts w:ascii="Arial" w:hAnsi="Arial" w:cs="Arial"/>
          <w:bCs/>
          <w:kern w:val="32"/>
          <w:sz w:val="20"/>
          <w:szCs w:val="20"/>
        </w:rPr>
        <w:t>,</w:t>
      </w:r>
      <w:r w:rsidRPr="009E4A7E">
        <w:rPr>
          <w:rFonts w:ascii="Arial" w:hAnsi="Arial" w:cs="Arial"/>
          <w:bCs/>
          <w:kern w:val="32"/>
          <w:sz w:val="20"/>
          <w:szCs w:val="20"/>
        </w:rPr>
        <w:t xml:space="preserve"> </w:t>
      </w:r>
      <w:r w:rsidRPr="009E4A7E">
        <w:rPr>
          <w:rFonts w:ascii="Arial" w:hAnsi="Arial" w:cs="Arial"/>
          <w:iCs/>
          <w:sz w:val="20"/>
          <w:szCs w:val="20"/>
        </w:rPr>
        <w:t>ne zadostujejo za omenjeno investicijo</w:t>
      </w:r>
      <w:r w:rsidRPr="009E4A7E">
        <w:rPr>
          <w:rFonts w:ascii="Arial" w:hAnsi="Arial" w:cs="Arial"/>
          <w:sz w:val="20"/>
          <w:szCs w:val="20"/>
        </w:rPr>
        <w:t xml:space="preserve">, </w:t>
      </w:r>
      <w:r w:rsidR="00982A8E">
        <w:rPr>
          <w:rFonts w:ascii="Arial" w:hAnsi="Arial" w:cs="Arial"/>
          <w:sz w:val="20"/>
          <w:szCs w:val="20"/>
        </w:rPr>
        <w:t>se Vladi R</w:t>
      </w:r>
      <w:r w:rsidR="00A5795C">
        <w:rPr>
          <w:rFonts w:ascii="Arial" w:hAnsi="Arial" w:cs="Arial"/>
          <w:sz w:val="20"/>
          <w:szCs w:val="20"/>
        </w:rPr>
        <w:t xml:space="preserve">epublike </w:t>
      </w:r>
      <w:r w:rsidR="00982A8E">
        <w:rPr>
          <w:rFonts w:ascii="Arial" w:hAnsi="Arial" w:cs="Arial"/>
          <w:sz w:val="20"/>
          <w:szCs w:val="20"/>
        </w:rPr>
        <w:t>S</w:t>
      </w:r>
      <w:r w:rsidR="00A5795C">
        <w:rPr>
          <w:rFonts w:ascii="Arial" w:hAnsi="Arial" w:cs="Arial"/>
          <w:sz w:val="20"/>
          <w:szCs w:val="20"/>
        </w:rPr>
        <w:t xml:space="preserve">lovenije </w:t>
      </w:r>
      <w:r w:rsidR="00982A8E">
        <w:rPr>
          <w:rFonts w:ascii="Arial" w:hAnsi="Arial" w:cs="Arial"/>
          <w:sz w:val="20"/>
          <w:szCs w:val="20"/>
        </w:rPr>
        <w:t xml:space="preserve">predlaga, da izda </w:t>
      </w:r>
      <w:r w:rsidRPr="009E4A7E">
        <w:rPr>
          <w:rFonts w:ascii="Arial" w:hAnsi="Arial" w:cs="Arial"/>
          <w:sz w:val="20"/>
          <w:szCs w:val="20"/>
        </w:rPr>
        <w:t>soglasje</w:t>
      </w:r>
      <w:r w:rsidR="00982A8E">
        <w:rPr>
          <w:rFonts w:ascii="Arial" w:hAnsi="Arial" w:cs="Arial"/>
          <w:sz w:val="20"/>
          <w:szCs w:val="20"/>
        </w:rPr>
        <w:t xml:space="preserve">, da </w:t>
      </w:r>
      <w:r w:rsidR="00F14AB1">
        <w:rPr>
          <w:rFonts w:ascii="Arial" w:hAnsi="Arial" w:cs="Arial"/>
          <w:sz w:val="20"/>
          <w:szCs w:val="20"/>
        </w:rPr>
        <w:t>URSIL</w:t>
      </w:r>
      <w:r w:rsidR="00982A8E">
        <w:rPr>
          <w:rFonts w:ascii="Arial" w:hAnsi="Arial" w:cs="Arial"/>
          <w:sz w:val="20"/>
          <w:szCs w:val="20"/>
        </w:rPr>
        <w:t xml:space="preserve"> lahko prevzame in plača </w:t>
      </w:r>
      <w:r w:rsidRPr="009E4A7E">
        <w:rPr>
          <w:rFonts w:ascii="Arial" w:hAnsi="Arial" w:cs="Arial"/>
          <w:sz w:val="20"/>
          <w:szCs w:val="20"/>
        </w:rPr>
        <w:t xml:space="preserve">obveznosti </w:t>
      </w:r>
      <w:r w:rsidRPr="009E4A7E">
        <w:rPr>
          <w:rFonts w:ascii="Arial" w:hAnsi="Arial" w:cs="Arial"/>
          <w:iCs/>
          <w:sz w:val="20"/>
          <w:szCs w:val="20"/>
        </w:rPr>
        <w:t>v letu 2026</w:t>
      </w:r>
      <w:r w:rsidR="001413AC">
        <w:rPr>
          <w:rFonts w:ascii="Arial" w:hAnsi="Arial" w:cs="Arial"/>
          <w:iCs/>
          <w:sz w:val="20"/>
          <w:szCs w:val="20"/>
        </w:rPr>
        <w:t>:</w:t>
      </w:r>
    </w:p>
    <w:p w14:paraId="2DCC05F3" w14:textId="77777777" w:rsidR="003C5C30" w:rsidRPr="003C5C30" w:rsidRDefault="003C5C30" w:rsidP="000F75B8">
      <w:pPr>
        <w:pStyle w:val="Bodytext20"/>
        <w:shd w:val="clear" w:color="auto" w:fill="auto"/>
        <w:tabs>
          <w:tab w:val="left" w:pos="763"/>
        </w:tabs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70D0F6D" w14:textId="44E34419" w:rsidR="001413AC" w:rsidRPr="00F14AB1" w:rsidRDefault="001413AC" w:rsidP="00F14AB1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4AB1">
        <w:rPr>
          <w:rFonts w:ascii="Arial" w:eastAsia="Times New Roman" w:hAnsi="Arial" w:cs="Arial"/>
          <w:sz w:val="20"/>
          <w:szCs w:val="20"/>
        </w:rPr>
        <w:t>na namenski proračunski postavki 231593 WIPO mednarodni sporazumi -  v bilanci odhodkov največ do skupne višine 909.250,00 EUR.</w:t>
      </w:r>
    </w:p>
    <w:p w14:paraId="1B157B67" w14:textId="77777777" w:rsidR="001413AC" w:rsidRPr="00592C3A" w:rsidRDefault="001413AC" w:rsidP="001413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19505B28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28A932D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0862CD0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44C68B5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148C460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B18FE79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03E551A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3F14B2B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887F3FC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2032697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A8926F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65524A0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E9F3352" w14:textId="77777777" w:rsidR="00E823BB" w:rsidRDefault="00E823BB" w:rsidP="00E82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22BD7BE" w14:textId="797F6AA8" w:rsidR="003C5C30" w:rsidRPr="00AB11AA" w:rsidRDefault="00E823BB" w:rsidP="00AB11A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C73C4">
        <w:rPr>
          <w:rFonts w:ascii="Arial" w:hAnsi="Arial" w:cs="Arial"/>
          <w:i/>
          <w:sz w:val="20"/>
          <w:szCs w:val="20"/>
        </w:rPr>
        <w:t>Opomba: v načrt razvojnih programov za leto 2026 je uvrščen projekt 2131-23-0001 »Usklajevanje nalog z mednarodnim sistemom pravic IL« (za namen plačevanja materialnih stroškov, povezanih z delovanjem URSIL), v katerem je bilo planirano za leto 2026 409.250,00 EUR.</w:t>
      </w:r>
    </w:p>
    <w:sectPr w:rsidR="003C5C30" w:rsidRPr="00AB11AA" w:rsidSect="00EE3DEA"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DA18" w14:textId="77777777" w:rsidR="00AB7D28" w:rsidRDefault="00AB7D28" w:rsidP="00F83E2D">
      <w:pPr>
        <w:spacing w:after="0" w:line="240" w:lineRule="auto"/>
      </w:pPr>
      <w:r>
        <w:separator/>
      </w:r>
    </w:p>
  </w:endnote>
  <w:endnote w:type="continuationSeparator" w:id="0">
    <w:p w14:paraId="36D368D5" w14:textId="77777777" w:rsidR="00AB7D28" w:rsidRDefault="00AB7D28" w:rsidP="00F8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TEE">
    <w:altName w:val="Calibri"/>
    <w:charset w:val="EE"/>
    <w:family w:val="auto"/>
    <w:pitch w:val="variable"/>
    <w:sig w:usb0="00000001" w:usb1="0000204A" w:usb2="00000000" w:usb3="00000000" w:csb0="0000008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401469"/>
      <w:docPartObj>
        <w:docPartGallery w:val="Page Numbers (Bottom of Page)"/>
        <w:docPartUnique/>
      </w:docPartObj>
    </w:sdtPr>
    <w:sdtContent>
      <w:p w14:paraId="13F7EF1D" w14:textId="0A72EE2F" w:rsidR="00560B5D" w:rsidRDefault="00560B5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F218" w14:textId="77777777" w:rsidR="00560B5D" w:rsidRDefault="00560B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462A" w14:textId="77777777" w:rsidR="00AB7D28" w:rsidRDefault="00AB7D28" w:rsidP="00F83E2D">
      <w:pPr>
        <w:spacing w:after="0" w:line="240" w:lineRule="auto"/>
      </w:pPr>
      <w:r>
        <w:separator/>
      </w:r>
    </w:p>
  </w:footnote>
  <w:footnote w:type="continuationSeparator" w:id="0">
    <w:p w14:paraId="41762650" w14:textId="77777777" w:rsidR="00AB7D28" w:rsidRDefault="00AB7D28" w:rsidP="00F8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2227" w14:textId="77777777" w:rsidR="00EE3DEA" w:rsidRPr="00EE3DEA" w:rsidRDefault="00EE3DEA" w:rsidP="00EE3DEA">
    <w:pPr>
      <w:spacing w:after="0" w:line="240" w:lineRule="auto"/>
      <w:ind w:hanging="794"/>
      <w:rPr>
        <w:rFonts w:ascii="Times New Roman" w:eastAsia="Times New Roman" w:hAnsi="Times New Roman" w:cs="Times New Roman"/>
        <w:sz w:val="24"/>
        <w:szCs w:val="24"/>
      </w:rPr>
    </w:pPr>
    <w:r w:rsidRPr="00EE3DEA"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inline distT="0" distB="0" distL="0" distR="0" wp14:anchorId="74D1E3A9" wp14:editId="3317BE50">
          <wp:extent cx="3911149" cy="4000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GP-word-dopis_SI-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333"/>
                  <a:stretch/>
                </pic:blipFill>
                <pic:spPr bwMode="auto">
                  <a:xfrm>
                    <a:off x="0" y="0"/>
                    <a:ext cx="3913632" cy="400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16DF59" w14:textId="77777777" w:rsidR="00EE3DEA" w:rsidRPr="00EE3DEA" w:rsidRDefault="00EE3DEA" w:rsidP="00EE3DEA">
    <w:pPr>
      <w:tabs>
        <w:tab w:val="center" w:pos="4536"/>
        <w:tab w:val="right" w:pos="9072"/>
      </w:tabs>
      <w:spacing w:after="0" w:line="240" w:lineRule="auto"/>
      <w:ind w:left="-28"/>
      <w:rPr>
        <w:rFonts w:ascii="Republika" w:eastAsia="Times New Roman" w:hAnsi="Republika" w:cs="Times New Roman"/>
        <w:sz w:val="20"/>
        <w:szCs w:val="20"/>
      </w:rPr>
    </w:pPr>
  </w:p>
  <w:p w14:paraId="2D83477A" w14:textId="77777777" w:rsidR="00B36637" w:rsidRDefault="00B36637" w:rsidP="00EE3DEA">
    <w:pPr>
      <w:tabs>
        <w:tab w:val="left" w:pos="5103"/>
      </w:tabs>
      <w:spacing w:after="0" w:line="240" w:lineRule="auto"/>
      <w:ind w:left="-28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Kotnikova 5</w:t>
    </w:r>
    <w:r w:rsidR="00EE3DEA" w:rsidRPr="00EE3DEA">
      <w:rPr>
        <w:rFonts w:ascii="Arial" w:eastAsia="Times New Roman" w:hAnsi="Arial" w:cs="Arial"/>
        <w:sz w:val="16"/>
        <w:szCs w:val="16"/>
      </w:rPr>
      <w:t>, 1000 Ljubljana</w:t>
    </w:r>
    <w:r w:rsidR="00EE3DEA" w:rsidRPr="00EE3DEA">
      <w:rPr>
        <w:rFonts w:ascii="Arial" w:eastAsia="Times New Roman" w:hAnsi="Arial" w:cs="Arial"/>
        <w:sz w:val="16"/>
        <w:szCs w:val="16"/>
      </w:rPr>
      <w:tab/>
    </w:r>
  </w:p>
  <w:p w14:paraId="2059ED9C" w14:textId="77777777" w:rsidR="00B36637" w:rsidRPr="00B36637" w:rsidRDefault="00B36637" w:rsidP="00B36637">
    <w:pPr>
      <w:tabs>
        <w:tab w:val="left" w:pos="5103"/>
      </w:tabs>
      <w:spacing w:after="0" w:line="276" w:lineRule="auto"/>
      <w:ind w:left="-28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 w:rsidRPr="00B36637">
      <w:rPr>
        <w:rFonts w:ascii="Arial" w:eastAsia="Times New Roman" w:hAnsi="Arial" w:cs="Arial"/>
        <w:sz w:val="16"/>
        <w:szCs w:val="16"/>
      </w:rPr>
      <w:t>T: 01 400 3311</w:t>
    </w:r>
  </w:p>
  <w:p w14:paraId="34FD4ECB" w14:textId="77777777" w:rsidR="00B36637" w:rsidRPr="00B36637" w:rsidRDefault="00B36637" w:rsidP="00B36637">
    <w:pPr>
      <w:tabs>
        <w:tab w:val="left" w:pos="5103"/>
      </w:tabs>
      <w:spacing w:after="0" w:line="276" w:lineRule="auto"/>
      <w:ind w:left="-28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 w:rsidRPr="00B36637">
      <w:rPr>
        <w:rFonts w:ascii="Arial" w:eastAsia="Times New Roman" w:hAnsi="Arial" w:cs="Arial"/>
        <w:sz w:val="16"/>
        <w:szCs w:val="16"/>
      </w:rPr>
      <w:t xml:space="preserve">E: </w:t>
    </w:r>
    <w:hyperlink r:id="rId2" w:history="1">
      <w:r w:rsidRPr="009034CC">
        <w:rPr>
          <w:rStyle w:val="Hiperpovezava"/>
          <w:rFonts w:ascii="Arial" w:eastAsia="Times New Roman" w:hAnsi="Arial" w:cs="Arial"/>
          <w:sz w:val="16"/>
          <w:szCs w:val="16"/>
        </w:rPr>
        <w:t>gp.mgts@gov.si</w:t>
      </w:r>
    </w:hyperlink>
    <w:r>
      <w:rPr>
        <w:rFonts w:ascii="Arial" w:eastAsia="Times New Roman" w:hAnsi="Arial" w:cs="Arial"/>
        <w:sz w:val="16"/>
        <w:szCs w:val="16"/>
      </w:rPr>
      <w:t xml:space="preserve"> </w:t>
    </w:r>
  </w:p>
  <w:p w14:paraId="74C48268" w14:textId="77777777" w:rsidR="00EE3DEA" w:rsidRDefault="00B36637" w:rsidP="00B36637">
    <w:pPr>
      <w:tabs>
        <w:tab w:val="left" w:pos="5103"/>
      </w:tabs>
      <w:spacing w:after="0" w:line="276" w:lineRule="auto"/>
      <w:ind w:left="-28"/>
    </w:pPr>
    <w:r>
      <w:rPr>
        <w:rFonts w:ascii="Arial" w:eastAsia="Times New Roman" w:hAnsi="Arial" w:cs="Arial"/>
        <w:sz w:val="16"/>
        <w:szCs w:val="16"/>
      </w:rPr>
      <w:tab/>
    </w:r>
    <w:hyperlink r:id="rId3" w:history="1">
      <w:r w:rsidRPr="009034CC">
        <w:rPr>
          <w:rStyle w:val="Hiperpovezava"/>
          <w:rFonts w:ascii="Arial" w:eastAsia="Times New Roman" w:hAnsi="Arial" w:cs="Arial"/>
          <w:sz w:val="16"/>
          <w:szCs w:val="16"/>
        </w:rPr>
        <w:t>www.mgts.gov.si</w:t>
      </w:r>
    </w:hyperlink>
    <w:r>
      <w:rPr>
        <w:rFonts w:ascii="Arial" w:eastAsia="Times New Roman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560"/>
    <w:multiLevelType w:val="hybridMultilevel"/>
    <w:tmpl w:val="71F0A7CE"/>
    <w:lvl w:ilvl="0" w:tplc="84B817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4910"/>
    <w:multiLevelType w:val="hybridMultilevel"/>
    <w:tmpl w:val="BCF0EED6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2B47"/>
    <w:multiLevelType w:val="hybridMultilevel"/>
    <w:tmpl w:val="E8909F1E"/>
    <w:lvl w:ilvl="0" w:tplc="F6CCA798">
      <w:start w:val="1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CorporateSTE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223B"/>
    <w:multiLevelType w:val="hybridMultilevel"/>
    <w:tmpl w:val="DE644C48"/>
    <w:lvl w:ilvl="0" w:tplc="DDA0F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3EB9"/>
    <w:multiLevelType w:val="hybridMultilevel"/>
    <w:tmpl w:val="51964EA4"/>
    <w:lvl w:ilvl="0" w:tplc="C5C82D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DD0B80"/>
    <w:multiLevelType w:val="hybridMultilevel"/>
    <w:tmpl w:val="6BA630EA"/>
    <w:lvl w:ilvl="0" w:tplc="84B81740">
      <w:start w:val="2"/>
      <w:numFmt w:val="bullet"/>
      <w:lvlText w:val="-"/>
      <w:lvlJc w:val="left"/>
      <w:pPr>
        <w:ind w:left="74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F545F80"/>
    <w:multiLevelType w:val="hybridMultilevel"/>
    <w:tmpl w:val="6686ACF6"/>
    <w:lvl w:ilvl="0" w:tplc="46DA6D02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177C"/>
    <w:multiLevelType w:val="hybridMultilevel"/>
    <w:tmpl w:val="27182604"/>
    <w:lvl w:ilvl="0" w:tplc="DDA0F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7798F"/>
    <w:multiLevelType w:val="hybridMultilevel"/>
    <w:tmpl w:val="5CD017B4"/>
    <w:lvl w:ilvl="0" w:tplc="DDA0F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05B"/>
    <w:multiLevelType w:val="hybridMultilevel"/>
    <w:tmpl w:val="4D4CB032"/>
    <w:lvl w:ilvl="0" w:tplc="DDA0F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D0156"/>
    <w:multiLevelType w:val="hybridMultilevel"/>
    <w:tmpl w:val="C5FCC760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94904"/>
    <w:multiLevelType w:val="hybridMultilevel"/>
    <w:tmpl w:val="06984F50"/>
    <w:lvl w:ilvl="0" w:tplc="151884A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0518">
    <w:abstractNumId w:val="3"/>
  </w:num>
  <w:num w:numId="2" w16cid:durableId="746076434">
    <w:abstractNumId w:val="16"/>
  </w:num>
  <w:num w:numId="3" w16cid:durableId="1406224628">
    <w:abstractNumId w:val="14"/>
  </w:num>
  <w:num w:numId="4" w16cid:durableId="1090078035">
    <w:abstractNumId w:val="17"/>
  </w:num>
  <w:num w:numId="5" w16cid:durableId="96799266">
    <w:abstractNumId w:val="18"/>
  </w:num>
  <w:num w:numId="6" w16cid:durableId="879362196">
    <w:abstractNumId w:val="11"/>
  </w:num>
  <w:num w:numId="7" w16cid:durableId="491677350">
    <w:abstractNumId w:val="6"/>
  </w:num>
  <w:num w:numId="8" w16cid:durableId="2016419849">
    <w:abstractNumId w:val="12"/>
  </w:num>
  <w:num w:numId="9" w16cid:durableId="1819376674">
    <w:abstractNumId w:val="5"/>
  </w:num>
  <w:num w:numId="10" w16cid:durableId="30884023">
    <w:abstractNumId w:val="0"/>
  </w:num>
  <w:num w:numId="11" w16cid:durableId="1446386544">
    <w:abstractNumId w:val="2"/>
  </w:num>
  <w:num w:numId="12" w16cid:durableId="1526989536">
    <w:abstractNumId w:val="7"/>
  </w:num>
  <w:num w:numId="13" w16cid:durableId="1402408726">
    <w:abstractNumId w:val="10"/>
  </w:num>
  <w:num w:numId="14" w16cid:durableId="870535623">
    <w:abstractNumId w:val="9"/>
  </w:num>
  <w:num w:numId="15" w16cid:durableId="607740067">
    <w:abstractNumId w:val="13"/>
  </w:num>
  <w:num w:numId="16" w16cid:durableId="1104617915">
    <w:abstractNumId w:val="4"/>
  </w:num>
  <w:num w:numId="17" w16cid:durableId="308484224">
    <w:abstractNumId w:val="8"/>
  </w:num>
  <w:num w:numId="18" w16cid:durableId="443770197">
    <w:abstractNumId w:val="1"/>
  </w:num>
  <w:num w:numId="19" w16cid:durableId="1086464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0363"/>
    <w:rsid w:val="0000676C"/>
    <w:rsid w:val="0002132B"/>
    <w:rsid w:val="00021389"/>
    <w:rsid w:val="000259E5"/>
    <w:rsid w:val="00027C41"/>
    <w:rsid w:val="00030CDB"/>
    <w:rsid w:val="000452BA"/>
    <w:rsid w:val="00060D87"/>
    <w:rsid w:val="00072A08"/>
    <w:rsid w:val="000734EF"/>
    <w:rsid w:val="00073ED8"/>
    <w:rsid w:val="0007552B"/>
    <w:rsid w:val="000760B7"/>
    <w:rsid w:val="000A30F5"/>
    <w:rsid w:val="000A401B"/>
    <w:rsid w:val="000A4186"/>
    <w:rsid w:val="000C73C4"/>
    <w:rsid w:val="000D1A41"/>
    <w:rsid w:val="000D4384"/>
    <w:rsid w:val="000D446F"/>
    <w:rsid w:val="000E74E2"/>
    <w:rsid w:val="000F75B8"/>
    <w:rsid w:val="000F79BE"/>
    <w:rsid w:val="00107475"/>
    <w:rsid w:val="00113D2D"/>
    <w:rsid w:val="00120B6E"/>
    <w:rsid w:val="00126A6E"/>
    <w:rsid w:val="0013616E"/>
    <w:rsid w:val="00140789"/>
    <w:rsid w:val="001413AC"/>
    <w:rsid w:val="00141C0D"/>
    <w:rsid w:val="001667BD"/>
    <w:rsid w:val="001679C3"/>
    <w:rsid w:val="00192C2E"/>
    <w:rsid w:val="001964ED"/>
    <w:rsid w:val="001973E4"/>
    <w:rsid w:val="001D7573"/>
    <w:rsid w:val="001E59AC"/>
    <w:rsid w:val="001F2867"/>
    <w:rsid w:val="002052AE"/>
    <w:rsid w:val="00213848"/>
    <w:rsid w:val="0021518E"/>
    <w:rsid w:val="00232D33"/>
    <w:rsid w:val="002527F2"/>
    <w:rsid w:val="00260974"/>
    <w:rsid w:val="00272176"/>
    <w:rsid w:val="002735F5"/>
    <w:rsid w:val="0029160F"/>
    <w:rsid w:val="00295C15"/>
    <w:rsid w:val="002A272E"/>
    <w:rsid w:val="002B425F"/>
    <w:rsid w:val="002C7080"/>
    <w:rsid w:val="002F7ABB"/>
    <w:rsid w:val="00303144"/>
    <w:rsid w:val="00305014"/>
    <w:rsid w:val="00321A64"/>
    <w:rsid w:val="00332263"/>
    <w:rsid w:val="00333E35"/>
    <w:rsid w:val="003445BC"/>
    <w:rsid w:val="00354727"/>
    <w:rsid w:val="003567CE"/>
    <w:rsid w:val="00360492"/>
    <w:rsid w:val="00366E46"/>
    <w:rsid w:val="003831DD"/>
    <w:rsid w:val="003877DF"/>
    <w:rsid w:val="00392A13"/>
    <w:rsid w:val="003A3FCC"/>
    <w:rsid w:val="003A63BC"/>
    <w:rsid w:val="003B1D13"/>
    <w:rsid w:val="003C0B4E"/>
    <w:rsid w:val="003C10E9"/>
    <w:rsid w:val="003C5C30"/>
    <w:rsid w:val="003E2511"/>
    <w:rsid w:val="0042224D"/>
    <w:rsid w:val="00432E9E"/>
    <w:rsid w:val="004549F8"/>
    <w:rsid w:val="00461920"/>
    <w:rsid w:val="00462994"/>
    <w:rsid w:val="00472CD0"/>
    <w:rsid w:val="004821EB"/>
    <w:rsid w:val="00493B0A"/>
    <w:rsid w:val="004B480F"/>
    <w:rsid w:val="004C410D"/>
    <w:rsid w:val="004D0EF6"/>
    <w:rsid w:val="004E07D7"/>
    <w:rsid w:val="004F4333"/>
    <w:rsid w:val="0050098B"/>
    <w:rsid w:val="00502AB0"/>
    <w:rsid w:val="00503DEF"/>
    <w:rsid w:val="00524934"/>
    <w:rsid w:val="00524A6E"/>
    <w:rsid w:val="00525299"/>
    <w:rsid w:val="00552C4B"/>
    <w:rsid w:val="00557CDD"/>
    <w:rsid w:val="00560B5D"/>
    <w:rsid w:val="005651EE"/>
    <w:rsid w:val="00566F07"/>
    <w:rsid w:val="00577B34"/>
    <w:rsid w:val="00581C78"/>
    <w:rsid w:val="00584C79"/>
    <w:rsid w:val="00584DA3"/>
    <w:rsid w:val="00592C3A"/>
    <w:rsid w:val="005960BC"/>
    <w:rsid w:val="00597BDE"/>
    <w:rsid w:val="005A6777"/>
    <w:rsid w:val="005B1DDC"/>
    <w:rsid w:val="005B55BD"/>
    <w:rsid w:val="005C2725"/>
    <w:rsid w:val="005C65DA"/>
    <w:rsid w:val="005D4BB8"/>
    <w:rsid w:val="005E7778"/>
    <w:rsid w:val="006007B4"/>
    <w:rsid w:val="006012EE"/>
    <w:rsid w:val="00615858"/>
    <w:rsid w:val="0064063E"/>
    <w:rsid w:val="006551D6"/>
    <w:rsid w:val="006645C2"/>
    <w:rsid w:val="00681F57"/>
    <w:rsid w:val="00682E26"/>
    <w:rsid w:val="00684BC2"/>
    <w:rsid w:val="006929CE"/>
    <w:rsid w:val="006932F2"/>
    <w:rsid w:val="00695EC3"/>
    <w:rsid w:val="00695FC2"/>
    <w:rsid w:val="006A13A8"/>
    <w:rsid w:val="006B6769"/>
    <w:rsid w:val="006C22B4"/>
    <w:rsid w:val="006D33B1"/>
    <w:rsid w:val="006E6D0D"/>
    <w:rsid w:val="006E7C2A"/>
    <w:rsid w:val="006F42C5"/>
    <w:rsid w:val="00700A83"/>
    <w:rsid w:val="00701D9D"/>
    <w:rsid w:val="00705779"/>
    <w:rsid w:val="00713CC3"/>
    <w:rsid w:val="00722F1C"/>
    <w:rsid w:val="00726DC2"/>
    <w:rsid w:val="00727DA7"/>
    <w:rsid w:val="007325AE"/>
    <w:rsid w:val="00736181"/>
    <w:rsid w:val="00752A73"/>
    <w:rsid w:val="00764A67"/>
    <w:rsid w:val="00764BD0"/>
    <w:rsid w:val="007652BF"/>
    <w:rsid w:val="0077194D"/>
    <w:rsid w:val="00775C12"/>
    <w:rsid w:val="007879B8"/>
    <w:rsid w:val="007B0A8D"/>
    <w:rsid w:val="007B7686"/>
    <w:rsid w:val="007E7087"/>
    <w:rsid w:val="00807255"/>
    <w:rsid w:val="008363B2"/>
    <w:rsid w:val="00855FC5"/>
    <w:rsid w:val="008647CC"/>
    <w:rsid w:val="008747E4"/>
    <w:rsid w:val="008807D7"/>
    <w:rsid w:val="008867E3"/>
    <w:rsid w:val="00887C40"/>
    <w:rsid w:val="008A1210"/>
    <w:rsid w:val="008B735B"/>
    <w:rsid w:val="008C3409"/>
    <w:rsid w:val="008D0C67"/>
    <w:rsid w:val="008E6560"/>
    <w:rsid w:val="008F210F"/>
    <w:rsid w:val="008F4844"/>
    <w:rsid w:val="00901D99"/>
    <w:rsid w:val="00914FF8"/>
    <w:rsid w:val="00923321"/>
    <w:rsid w:val="009240D4"/>
    <w:rsid w:val="0093409E"/>
    <w:rsid w:val="00947109"/>
    <w:rsid w:val="00964E3B"/>
    <w:rsid w:val="00977FF2"/>
    <w:rsid w:val="00982055"/>
    <w:rsid w:val="00982A8E"/>
    <w:rsid w:val="00990888"/>
    <w:rsid w:val="00991237"/>
    <w:rsid w:val="009A35CA"/>
    <w:rsid w:val="009A383E"/>
    <w:rsid w:val="009A63B2"/>
    <w:rsid w:val="009C5A94"/>
    <w:rsid w:val="009C5FD0"/>
    <w:rsid w:val="009E3E0A"/>
    <w:rsid w:val="009E4A7E"/>
    <w:rsid w:val="009E5D8E"/>
    <w:rsid w:val="009F3345"/>
    <w:rsid w:val="00A049F9"/>
    <w:rsid w:val="00A04C0E"/>
    <w:rsid w:val="00A06A99"/>
    <w:rsid w:val="00A145A9"/>
    <w:rsid w:val="00A220FA"/>
    <w:rsid w:val="00A422AA"/>
    <w:rsid w:val="00A548A6"/>
    <w:rsid w:val="00A5795C"/>
    <w:rsid w:val="00A61274"/>
    <w:rsid w:val="00A641A5"/>
    <w:rsid w:val="00A66F5B"/>
    <w:rsid w:val="00A80C95"/>
    <w:rsid w:val="00A86F71"/>
    <w:rsid w:val="00A87E0A"/>
    <w:rsid w:val="00A90B38"/>
    <w:rsid w:val="00AA1DB6"/>
    <w:rsid w:val="00AB11AA"/>
    <w:rsid w:val="00AB7D28"/>
    <w:rsid w:val="00AC342B"/>
    <w:rsid w:val="00AC38F3"/>
    <w:rsid w:val="00AE1F83"/>
    <w:rsid w:val="00AF004F"/>
    <w:rsid w:val="00B0355B"/>
    <w:rsid w:val="00B12EDF"/>
    <w:rsid w:val="00B25B4C"/>
    <w:rsid w:val="00B25D23"/>
    <w:rsid w:val="00B2794C"/>
    <w:rsid w:val="00B36637"/>
    <w:rsid w:val="00B379A0"/>
    <w:rsid w:val="00B4005C"/>
    <w:rsid w:val="00B50C99"/>
    <w:rsid w:val="00B56A4C"/>
    <w:rsid w:val="00B63563"/>
    <w:rsid w:val="00B712B1"/>
    <w:rsid w:val="00B76083"/>
    <w:rsid w:val="00B7654C"/>
    <w:rsid w:val="00B82F0E"/>
    <w:rsid w:val="00B82FD0"/>
    <w:rsid w:val="00B90677"/>
    <w:rsid w:val="00B97D7E"/>
    <w:rsid w:val="00BA04DA"/>
    <w:rsid w:val="00BA2D28"/>
    <w:rsid w:val="00BC1355"/>
    <w:rsid w:val="00BF1063"/>
    <w:rsid w:val="00C00CE1"/>
    <w:rsid w:val="00C013C5"/>
    <w:rsid w:val="00C03B19"/>
    <w:rsid w:val="00C12C74"/>
    <w:rsid w:val="00C13FA2"/>
    <w:rsid w:val="00C17235"/>
    <w:rsid w:val="00C20B2E"/>
    <w:rsid w:val="00C24B2C"/>
    <w:rsid w:val="00C30064"/>
    <w:rsid w:val="00C35756"/>
    <w:rsid w:val="00C40D5C"/>
    <w:rsid w:val="00C44C5F"/>
    <w:rsid w:val="00C4646E"/>
    <w:rsid w:val="00C56B35"/>
    <w:rsid w:val="00C66398"/>
    <w:rsid w:val="00C72BF3"/>
    <w:rsid w:val="00C86ADB"/>
    <w:rsid w:val="00C92DCA"/>
    <w:rsid w:val="00CA0B6C"/>
    <w:rsid w:val="00CA13B3"/>
    <w:rsid w:val="00CA22B6"/>
    <w:rsid w:val="00CA239E"/>
    <w:rsid w:val="00CA4744"/>
    <w:rsid w:val="00CE16BC"/>
    <w:rsid w:val="00CE1F01"/>
    <w:rsid w:val="00CE368F"/>
    <w:rsid w:val="00CF17A9"/>
    <w:rsid w:val="00D050A2"/>
    <w:rsid w:val="00D34BC5"/>
    <w:rsid w:val="00D63597"/>
    <w:rsid w:val="00D7476C"/>
    <w:rsid w:val="00D80339"/>
    <w:rsid w:val="00D855B3"/>
    <w:rsid w:val="00D9136C"/>
    <w:rsid w:val="00DA08D5"/>
    <w:rsid w:val="00DB2737"/>
    <w:rsid w:val="00DB3197"/>
    <w:rsid w:val="00DB6E68"/>
    <w:rsid w:val="00DC356B"/>
    <w:rsid w:val="00DD094E"/>
    <w:rsid w:val="00DE668D"/>
    <w:rsid w:val="00E041C8"/>
    <w:rsid w:val="00E06C65"/>
    <w:rsid w:val="00E151E9"/>
    <w:rsid w:val="00E363B7"/>
    <w:rsid w:val="00E47D14"/>
    <w:rsid w:val="00E512BC"/>
    <w:rsid w:val="00E57980"/>
    <w:rsid w:val="00E6076E"/>
    <w:rsid w:val="00E635D5"/>
    <w:rsid w:val="00E823BB"/>
    <w:rsid w:val="00EC1964"/>
    <w:rsid w:val="00EE3DEA"/>
    <w:rsid w:val="00EF50D1"/>
    <w:rsid w:val="00EF5FB9"/>
    <w:rsid w:val="00F12FAC"/>
    <w:rsid w:val="00F14AB1"/>
    <w:rsid w:val="00F17077"/>
    <w:rsid w:val="00F1794A"/>
    <w:rsid w:val="00F211A9"/>
    <w:rsid w:val="00F30F08"/>
    <w:rsid w:val="00F63EFD"/>
    <w:rsid w:val="00F71339"/>
    <w:rsid w:val="00F83E2D"/>
    <w:rsid w:val="00F90C8C"/>
    <w:rsid w:val="00F96FD3"/>
    <w:rsid w:val="00F97888"/>
    <w:rsid w:val="00FB20CB"/>
    <w:rsid w:val="00FB397B"/>
    <w:rsid w:val="00FC71F4"/>
    <w:rsid w:val="00FC7849"/>
    <w:rsid w:val="00FD0897"/>
    <w:rsid w:val="00FE5327"/>
    <w:rsid w:val="00FE74AF"/>
    <w:rsid w:val="00FF15FF"/>
    <w:rsid w:val="00FF65D3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D61C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445BC"/>
    <w:pPr>
      <w:widowControl w:val="0"/>
      <w:tabs>
        <w:tab w:val="left" w:pos="360"/>
      </w:tabs>
      <w:spacing w:after="0" w:line="260" w:lineRule="exact"/>
      <w:outlineLvl w:val="0"/>
    </w:pPr>
    <w:rPr>
      <w:rFonts w:ascii="Arial" w:eastAsia="Times New Roman" w:hAnsi="Arial" w:cs="Arial"/>
      <w:kern w:val="32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customStyle="1" w:styleId="Naslovpredpisa">
    <w:name w:val="Naslov_predpisa"/>
    <w:basedOn w:val="Navaden"/>
    <w:link w:val="NaslovpredpisaZnak"/>
    <w:qFormat/>
    <w:rsid w:val="00C13FA2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C13FA2"/>
    <w:rPr>
      <w:rFonts w:ascii="Arial" w:eastAsia="Times New Roman" w:hAnsi="Arial" w:cs="Arial"/>
      <w:b/>
      <w:lang w:eastAsia="sl-SI"/>
    </w:rPr>
  </w:style>
  <w:style w:type="character" w:customStyle="1" w:styleId="Bodytext2">
    <w:name w:val="Body text (2)_"/>
    <w:link w:val="Bodytext20"/>
    <w:rsid w:val="00C13FA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C13FA2"/>
    <w:pPr>
      <w:widowControl w:val="0"/>
      <w:shd w:val="clear" w:color="auto" w:fill="FFFFFF"/>
      <w:spacing w:after="420" w:line="0" w:lineRule="atLeast"/>
      <w:ind w:hanging="440"/>
      <w:jc w:val="center"/>
    </w:pPr>
    <w:rPr>
      <w:sz w:val="28"/>
      <w:szCs w:val="28"/>
    </w:rPr>
  </w:style>
  <w:style w:type="paragraph" w:styleId="Odstavekseznama">
    <w:name w:val="List Paragraph"/>
    <w:basedOn w:val="Navaden"/>
    <w:link w:val="OdstavekseznamaZnak"/>
    <w:uiPriority w:val="34"/>
    <w:qFormat/>
    <w:rsid w:val="00C13FA2"/>
    <w:pPr>
      <w:ind w:left="720"/>
      <w:contextualSpacing/>
    </w:pPr>
  </w:style>
  <w:style w:type="character" w:customStyle="1" w:styleId="Naslov1Znak">
    <w:name w:val="Naslov 1 Znak"/>
    <w:aliases w:val="NASLOV Znak"/>
    <w:basedOn w:val="Privzetapisavaodstavka"/>
    <w:link w:val="Naslov1"/>
    <w:rsid w:val="003445BC"/>
    <w:rPr>
      <w:rFonts w:ascii="Arial" w:eastAsia="Times New Roman" w:hAnsi="Arial" w:cs="Arial"/>
      <w:kern w:val="32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83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E2D"/>
  </w:style>
  <w:style w:type="paragraph" w:styleId="Noga">
    <w:name w:val="footer"/>
    <w:basedOn w:val="Navaden"/>
    <w:link w:val="NogaZnak"/>
    <w:uiPriority w:val="99"/>
    <w:unhideWhenUsed/>
    <w:rsid w:val="00F83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E2D"/>
  </w:style>
  <w:style w:type="character" w:styleId="Besedilooznabemesta">
    <w:name w:val="Placeholder Text"/>
    <w:basedOn w:val="Privzetapisavaodstavka"/>
    <w:uiPriority w:val="99"/>
    <w:semiHidden/>
    <w:rsid w:val="00F83E2D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B36637"/>
    <w:rPr>
      <w:color w:val="0563C1" w:themeColor="hyperlink"/>
      <w:u w:val="single"/>
    </w:rPr>
  </w:style>
  <w:style w:type="paragraph" w:customStyle="1" w:styleId="podpisi">
    <w:name w:val="podpisi"/>
    <w:basedOn w:val="Navaden"/>
    <w:qFormat/>
    <w:rsid w:val="000D1A41"/>
    <w:pPr>
      <w:tabs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4Tekst">
    <w:name w:val="4. Tekst"/>
    <w:basedOn w:val="Navaden"/>
    <w:qFormat/>
    <w:rsid w:val="00DA08D5"/>
    <w:pPr>
      <w:suppressAutoHyphens/>
      <w:autoSpaceDE w:val="0"/>
      <w:autoSpaceDN w:val="0"/>
      <w:adjustRightInd w:val="0"/>
      <w:spacing w:after="0" w:line="276" w:lineRule="auto"/>
      <w:jc w:val="both"/>
    </w:pPr>
    <w:rPr>
      <w:rFonts w:ascii="CorporateSTEE" w:eastAsia="Times New Roman" w:hAnsi="CorporateSTEE" w:cs="CorporateSTEE"/>
      <w:color w:val="000000"/>
      <w:sz w:val="23"/>
      <w:szCs w:val="23"/>
      <w:lang w:val="en-GB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667BD"/>
    <w:rPr>
      <w:color w:val="605E5C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locked/>
    <w:rsid w:val="0046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s://www.uradni-list.si/glasilo-uradni-list-rs/vsebina/2004-01-3088" TargetMode="External"/><Relationship Id="rId18" Type="http://schemas.openxmlformats.org/officeDocument/2006/relationships/hyperlink" Target="https://www.uradni-list.si/glasilo-uradni-list-rs/vsebina/2013-01-17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5-01-33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03-01-0899" TargetMode="External"/><Relationship Id="rId17" Type="http://schemas.openxmlformats.org/officeDocument/2006/relationships/hyperlink" Target="https://www.uradni-list.si/glasilo-uradni-list-rs/vsebina/2013-01-177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6-01-2951" TargetMode="External"/><Relationship Id="rId20" Type="http://schemas.openxmlformats.org/officeDocument/2006/relationships/hyperlink" Target="https://www.uradni-list.si/glasilo-uradni-list-rs/vsebina/2021-01-19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00-01-30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04-01-309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1997-01-2341" TargetMode="External"/><Relationship Id="rId19" Type="http://schemas.openxmlformats.org/officeDocument/2006/relationships/hyperlink" Target="https://www.uradni-list.si/glasilo-uradni-list-rs/vsebina/2016-01-3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1991-01-1409" TargetMode="External"/><Relationship Id="rId14" Type="http://schemas.openxmlformats.org/officeDocument/2006/relationships/hyperlink" Target="https://www.uradni-list.si/glasilo-uradni-list-rs/vsebina/2004-01-3090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9484DB-84B6-4B6C-A896-5FF73472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2111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Barbara Vintar</cp:lastModifiedBy>
  <cp:revision>11</cp:revision>
  <cp:lastPrinted>2026-03-27T10:17:00Z</cp:lastPrinted>
  <dcterms:created xsi:type="dcterms:W3CDTF">2026-04-22T05:28:00Z</dcterms:created>
  <dcterms:modified xsi:type="dcterms:W3CDTF">2026-05-06T07:58:00Z</dcterms:modified>
</cp:coreProperties>
</file>